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8F6" w:rsidRPr="00DE4DB7" w:rsidRDefault="005F42AF" w:rsidP="00DE4DB7">
      <w:pPr>
        <w:pStyle w:val="NoSpacing"/>
        <w:jc w:val="both"/>
        <w:rPr>
          <w:rFonts w:ascii="Arial" w:hAnsi="Arial" w:cs="Arial"/>
          <w:sz w:val="24"/>
          <w:szCs w:val="24"/>
        </w:rPr>
      </w:pPr>
      <w:r w:rsidRPr="00DE4DB7">
        <w:rPr>
          <w:rFonts w:ascii="Arial" w:hAnsi="Arial" w:cs="Arial"/>
          <w:sz w:val="24"/>
          <w:szCs w:val="24"/>
        </w:rPr>
        <w:t>Title</w:t>
      </w:r>
    </w:p>
    <w:p w:rsidR="005F42AF" w:rsidRPr="00DE4DB7" w:rsidRDefault="005F42AF" w:rsidP="00DE4DB7">
      <w:pPr>
        <w:pStyle w:val="NoSpacing"/>
        <w:jc w:val="both"/>
        <w:rPr>
          <w:rFonts w:ascii="Arial" w:eastAsia="Arial Unicode MS" w:hAnsi="Arial" w:cs="Arial"/>
          <w:sz w:val="24"/>
          <w:szCs w:val="24"/>
          <w:bdr w:val="nil"/>
          <w:lang w:val="en-US"/>
        </w:rPr>
      </w:pPr>
      <w:r w:rsidRPr="00DE4DB7">
        <w:rPr>
          <w:rFonts w:ascii="Arial" w:eastAsia="Arial Unicode MS" w:hAnsi="Arial" w:cs="Arial"/>
          <w:sz w:val="24"/>
          <w:szCs w:val="24"/>
          <w:bdr w:val="nil"/>
          <w:lang w:val="en-US"/>
        </w:rPr>
        <w:t>Evaluating a project to support the development of placements capacity in child community and primary care placement</w:t>
      </w:r>
    </w:p>
    <w:p w:rsidR="00D82D81" w:rsidRPr="00DE4DB7" w:rsidRDefault="00D82D81" w:rsidP="00DE4DB7">
      <w:pPr>
        <w:pStyle w:val="NoSpacing"/>
        <w:jc w:val="both"/>
        <w:rPr>
          <w:rFonts w:ascii="Arial" w:eastAsia="Arial Unicode MS" w:hAnsi="Arial" w:cs="Arial"/>
          <w:sz w:val="24"/>
          <w:szCs w:val="24"/>
          <w:bdr w:val="nil"/>
          <w:lang w:val="en-US"/>
        </w:rPr>
      </w:pPr>
    </w:p>
    <w:p w:rsidR="000C5766" w:rsidRPr="00DE4DB7" w:rsidRDefault="000C5766" w:rsidP="00DE4DB7">
      <w:pPr>
        <w:pStyle w:val="NoSpacing"/>
        <w:jc w:val="both"/>
        <w:rPr>
          <w:rFonts w:ascii="Arial" w:eastAsia="Arial Unicode MS" w:hAnsi="Arial" w:cs="Arial"/>
          <w:sz w:val="24"/>
          <w:szCs w:val="24"/>
          <w:bdr w:val="nil"/>
          <w:lang w:val="en-US"/>
        </w:rPr>
      </w:pPr>
      <w:r w:rsidRPr="00DE4DB7">
        <w:rPr>
          <w:rFonts w:ascii="Arial" w:eastAsia="Arial Unicode MS" w:hAnsi="Arial" w:cs="Arial"/>
          <w:sz w:val="24"/>
          <w:szCs w:val="24"/>
          <w:bdr w:val="nil"/>
          <w:lang w:val="en-US"/>
        </w:rPr>
        <w:t>Authors</w:t>
      </w:r>
    </w:p>
    <w:p w:rsidR="000C5766" w:rsidRPr="00DE4DB7" w:rsidRDefault="000C5766" w:rsidP="00DE4DB7">
      <w:pPr>
        <w:pStyle w:val="NoSpacing"/>
        <w:jc w:val="both"/>
        <w:rPr>
          <w:rFonts w:ascii="Arial" w:eastAsia="Arial Unicode MS" w:hAnsi="Arial" w:cs="Arial"/>
          <w:sz w:val="24"/>
          <w:szCs w:val="24"/>
          <w:bdr w:val="nil"/>
          <w:lang w:val="en-US"/>
        </w:rPr>
      </w:pPr>
    </w:p>
    <w:p w:rsidR="00D82D81" w:rsidRPr="00DE4DB7" w:rsidRDefault="00D82D81" w:rsidP="00DE4DB7">
      <w:pPr>
        <w:pStyle w:val="NoSpacing"/>
        <w:jc w:val="both"/>
        <w:rPr>
          <w:rFonts w:ascii="Arial" w:eastAsia="Arial Unicode MS" w:hAnsi="Arial" w:cs="Arial"/>
          <w:sz w:val="24"/>
          <w:szCs w:val="24"/>
          <w:bdr w:val="nil"/>
          <w:lang w:val="en-US"/>
        </w:rPr>
      </w:pPr>
      <w:r w:rsidRPr="00DE4DB7">
        <w:rPr>
          <w:rFonts w:ascii="Arial" w:eastAsia="Arial Unicode MS" w:hAnsi="Arial" w:cs="Arial"/>
          <w:sz w:val="24"/>
          <w:szCs w:val="24"/>
          <w:bdr w:val="nil"/>
          <w:lang w:val="en-US"/>
        </w:rPr>
        <w:t xml:space="preserve">Jumoke </w:t>
      </w:r>
      <w:bookmarkStart w:id="0" w:name="_GoBack"/>
      <w:r w:rsidRPr="00DE4DB7">
        <w:rPr>
          <w:rFonts w:ascii="Arial" w:eastAsia="Arial Unicode MS" w:hAnsi="Arial" w:cs="Arial"/>
          <w:sz w:val="24"/>
          <w:szCs w:val="24"/>
          <w:bdr w:val="nil"/>
          <w:lang w:val="en-US"/>
        </w:rPr>
        <w:t>Adegbie</w:t>
      </w:r>
      <w:bookmarkEnd w:id="0"/>
    </w:p>
    <w:p w:rsidR="00D82D81" w:rsidRPr="00DE4DB7" w:rsidRDefault="00D82D81" w:rsidP="00DE4DB7">
      <w:pPr>
        <w:pStyle w:val="NoSpacing"/>
        <w:jc w:val="both"/>
        <w:rPr>
          <w:rFonts w:ascii="Arial" w:eastAsia="Arial Unicode MS" w:hAnsi="Arial" w:cs="Arial"/>
          <w:sz w:val="24"/>
          <w:szCs w:val="24"/>
          <w:bdr w:val="nil"/>
          <w:lang w:val="en-US"/>
        </w:rPr>
      </w:pPr>
      <w:r w:rsidRPr="00DE4DB7">
        <w:rPr>
          <w:rFonts w:ascii="Arial" w:eastAsia="Arial Unicode MS" w:hAnsi="Arial" w:cs="Arial"/>
          <w:sz w:val="24"/>
          <w:szCs w:val="24"/>
          <w:bdr w:val="nil"/>
          <w:lang w:val="en-US"/>
        </w:rPr>
        <w:t>Clinical Educator</w:t>
      </w:r>
    </w:p>
    <w:p w:rsidR="00D82D81" w:rsidRPr="00DE4DB7" w:rsidRDefault="00D82D81" w:rsidP="00DE4DB7">
      <w:pPr>
        <w:pStyle w:val="NoSpacing"/>
        <w:jc w:val="both"/>
        <w:rPr>
          <w:rFonts w:ascii="Arial" w:eastAsia="Arial Unicode MS" w:hAnsi="Arial" w:cs="Arial"/>
          <w:sz w:val="24"/>
          <w:szCs w:val="24"/>
          <w:bdr w:val="nil"/>
          <w:lang w:val="en-US"/>
        </w:rPr>
      </w:pPr>
      <w:r w:rsidRPr="00DE4DB7">
        <w:rPr>
          <w:rFonts w:ascii="Arial" w:eastAsia="Arial Unicode MS" w:hAnsi="Arial" w:cs="Arial"/>
          <w:sz w:val="24"/>
          <w:szCs w:val="24"/>
          <w:bdr w:val="nil"/>
          <w:lang w:val="en-US"/>
        </w:rPr>
        <w:t>Central London Community Healthcare NHS Trust</w:t>
      </w:r>
    </w:p>
    <w:p w:rsidR="00D82D81" w:rsidRPr="00DE4DB7" w:rsidRDefault="00D82D81" w:rsidP="00DE4DB7">
      <w:pPr>
        <w:pStyle w:val="NoSpacing"/>
        <w:jc w:val="both"/>
        <w:rPr>
          <w:rFonts w:ascii="Arial" w:eastAsia="Arial Unicode MS" w:hAnsi="Arial" w:cs="Arial"/>
          <w:sz w:val="24"/>
          <w:szCs w:val="24"/>
          <w:bdr w:val="nil"/>
          <w:lang w:val="en-US"/>
        </w:rPr>
      </w:pPr>
      <w:r w:rsidRPr="00DE4DB7">
        <w:rPr>
          <w:rFonts w:ascii="Arial" w:eastAsia="Arial Unicode MS" w:hAnsi="Arial" w:cs="Arial"/>
          <w:sz w:val="24"/>
          <w:szCs w:val="24"/>
          <w:bdr w:val="nil"/>
          <w:lang w:val="en-US"/>
        </w:rPr>
        <w:t>2</w:t>
      </w:r>
      <w:r w:rsidRPr="00DE4DB7">
        <w:rPr>
          <w:rFonts w:ascii="Arial" w:eastAsia="Arial Unicode MS" w:hAnsi="Arial" w:cs="Arial"/>
          <w:sz w:val="24"/>
          <w:szCs w:val="24"/>
          <w:bdr w:val="nil"/>
          <w:vertAlign w:val="superscript"/>
          <w:lang w:val="en-US"/>
        </w:rPr>
        <w:t>nd</w:t>
      </w:r>
      <w:r w:rsidRPr="00DE4DB7">
        <w:rPr>
          <w:rFonts w:ascii="Arial" w:eastAsia="Arial Unicode MS" w:hAnsi="Arial" w:cs="Arial"/>
          <w:sz w:val="24"/>
          <w:szCs w:val="24"/>
          <w:bdr w:val="nil"/>
          <w:lang w:val="en-US"/>
        </w:rPr>
        <w:t xml:space="preserve"> floor</w:t>
      </w:r>
    </w:p>
    <w:p w:rsidR="00D82D81" w:rsidRPr="00DE4DB7" w:rsidRDefault="00D82D81" w:rsidP="00DE4DB7">
      <w:pPr>
        <w:pStyle w:val="NoSpacing"/>
        <w:jc w:val="both"/>
        <w:rPr>
          <w:rFonts w:ascii="Arial" w:eastAsia="Arial Unicode MS" w:hAnsi="Arial" w:cs="Arial"/>
          <w:sz w:val="24"/>
          <w:szCs w:val="24"/>
          <w:bdr w:val="nil"/>
          <w:lang w:val="en-US"/>
        </w:rPr>
      </w:pPr>
      <w:r w:rsidRPr="00DE4DB7">
        <w:rPr>
          <w:rFonts w:ascii="Arial" w:eastAsia="Arial Unicode MS" w:hAnsi="Arial" w:cs="Arial"/>
          <w:sz w:val="24"/>
          <w:szCs w:val="24"/>
          <w:bdr w:val="nil"/>
          <w:lang w:val="en-US"/>
        </w:rPr>
        <w:t>Parsons Green Health Centre</w:t>
      </w:r>
    </w:p>
    <w:p w:rsidR="00D82D81" w:rsidRPr="00DE4DB7" w:rsidRDefault="00D82D81" w:rsidP="00DE4DB7">
      <w:pPr>
        <w:pStyle w:val="NoSpacing"/>
        <w:jc w:val="both"/>
        <w:rPr>
          <w:rFonts w:ascii="Arial" w:eastAsia="Arial Unicode MS" w:hAnsi="Arial" w:cs="Arial"/>
          <w:sz w:val="24"/>
          <w:szCs w:val="24"/>
          <w:bdr w:val="nil"/>
          <w:lang w:val="en-US"/>
        </w:rPr>
      </w:pPr>
      <w:r w:rsidRPr="00DE4DB7">
        <w:rPr>
          <w:rFonts w:ascii="Arial" w:eastAsia="Arial Unicode MS" w:hAnsi="Arial" w:cs="Arial"/>
          <w:sz w:val="24"/>
          <w:szCs w:val="24"/>
          <w:bdr w:val="nil"/>
          <w:lang w:val="en-US"/>
        </w:rPr>
        <w:t>5-7 Parsons Green</w:t>
      </w:r>
    </w:p>
    <w:p w:rsidR="00D82D81" w:rsidRPr="00DE4DB7" w:rsidRDefault="00281B21" w:rsidP="00DE4DB7">
      <w:pPr>
        <w:pStyle w:val="NoSpacing"/>
        <w:jc w:val="both"/>
        <w:rPr>
          <w:rFonts w:ascii="Arial" w:hAnsi="Arial" w:cs="Arial"/>
          <w:sz w:val="24"/>
          <w:szCs w:val="24"/>
        </w:rPr>
      </w:pPr>
      <w:r w:rsidRPr="00DE4DB7">
        <w:rPr>
          <w:rFonts w:ascii="Arial" w:hAnsi="Arial" w:cs="Arial"/>
          <w:sz w:val="24"/>
          <w:szCs w:val="24"/>
        </w:rPr>
        <w:t>London</w:t>
      </w:r>
    </w:p>
    <w:p w:rsidR="00281B21" w:rsidRPr="00DE4DB7" w:rsidRDefault="00281B21" w:rsidP="00DE4DB7">
      <w:pPr>
        <w:pStyle w:val="NoSpacing"/>
        <w:jc w:val="both"/>
        <w:rPr>
          <w:rFonts w:ascii="Arial" w:hAnsi="Arial" w:cs="Arial"/>
          <w:sz w:val="24"/>
          <w:szCs w:val="24"/>
        </w:rPr>
      </w:pPr>
      <w:r w:rsidRPr="00DE4DB7">
        <w:rPr>
          <w:rFonts w:ascii="Arial" w:hAnsi="Arial" w:cs="Arial"/>
          <w:sz w:val="24"/>
          <w:szCs w:val="24"/>
        </w:rPr>
        <w:t>SW6 4UL</w:t>
      </w:r>
    </w:p>
    <w:p w:rsidR="000C5766" w:rsidRPr="00DE4DB7" w:rsidRDefault="000C5766" w:rsidP="00DE4DB7">
      <w:pPr>
        <w:pStyle w:val="NoSpacing"/>
        <w:jc w:val="both"/>
        <w:rPr>
          <w:rFonts w:ascii="Arial" w:hAnsi="Arial" w:cs="Arial"/>
          <w:sz w:val="24"/>
          <w:szCs w:val="24"/>
        </w:rPr>
      </w:pPr>
      <w:r w:rsidRPr="00DE4DB7">
        <w:rPr>
          <w:rFonts w:ascii="Arial" w:hAnsi="Arial" w:cs="Arial"/>
          <w:sz w:val="24"/>
          <w:szCs w:val="24"/>
        </w:rPr>
        <w:t>07814540708</w:t>
      </w:r>
    </w:p>
    <w:p w:rsidR="00281B21" w:rsidRPr="00DE4DB7" w:rsidRDefault="000D1EF9" w:rsidP="00DE4DB7">
      <w:pPr>
        <w:pStyle w:val="NoSpacing"/>
        <w:jc w:val="both"/>
        <w:rPr>
          <w:rFonts w:ascii="Arial" w:hAnsi="Arial" w:cs="Arial"/>
          <w:sz w:val="24"/>
          <w:szCs w:val="24"/>
        </w:rPr>
      </w:pPr>
      <w:hyperlink r:id="rId8" w:history="1">
        <w:r w:rsidR="00281B21" w:rsidRPr="00DE4DB7">
          <w:rPr>
            <w:rStyle w:val="Hyperlink"/>
            <w:rFonts w:ascii="Arial" w:hAnsi="Arial" w:cs="Arial"/>
            <w:color w:val="auto"/>
            <w:sz w:val="24"/>
            <w:szCs w:val="24"/>
          </w:rPr>
          <w:t>j.adegbie@nhs.net</w:t>
        </w:r>
      </w:hyperlink>
    </w:p>
    <w:p w:rsidR="00281B21" w:rsidRPr="00DE4DB7" w:rsidRDefault="00281B21" w:rsidP="00DE4DB7">
      <w:pPr>
        <w:pStyle w:val="NoSpacing"/>
        <w:jc w:val="both"/>
        <w:rPr>
          <w:rFonts w:ascii="Arial" w:hAnsi="Arial" w:cs="Arial"/>
          <w:sz w:val="24"/>
          <w:szCs w:val="24"/>
        </w:rPr>
      </w:pPr>
    </w:p>
    <w:p w:rsidR="00281B21" w:rsidRPr="00DE4DB7" w:rsidRDefault="00281B21" w:rsidP="00DE4DB7">
      <w:pPr>
        <w:pStyle w:val="NoSpacing"/>
        <w:jc w:val="both"/>
        <w:rPr>
          <w:rFonts w:ascii="Arial" w:hAnsi="Arial" w:cs="Arial"/>
          <w:sz w:val="24"/>
          <w:szCs w:val="24"/>
        </w:rPr>
      </w:pPr>
    </w:p>
    <w:p w:rsidR="00281B21" w:rsidRPr="00DE4DB7" w:rsidRDefault="00281B21" w:rsidP="00DE4DB7">
      <w:pPr>
        <w:pStyle w:val="NoSpacing"/>
        <w:jc w:val="both"/>
        <w:rPr>
          <w:rFonts w:ascii="Arial" w:hAnsi="Arial" w:cs="Arial"/>
          <w:sz w:val="24"/>
          <w:szCs w:val="24"/>
        </w:rPr>
      </w:pPr>
      <w:r w:rsidRPr="00DE4DB7">
        <w:rPr>
          <w:rFonts w:ascii="Arial" w:hAnsi="Arial" w:cs="Arial"/>
          <w:sz w:val="24"/>
          <w:szCs w:val="24"/>
        </w:rPr>
        <w:t>Professor Alison Twycross</w:t>
      </w:r>
    </w:p>
    <w:p w:rsidR="00281B21" w:rsidRPr="00DE4DB7" w:rsidRDefault="00E62B47" w:rsidP="00DE4DB7">
      <w:pPr>
        <w:pStyle w:val="NoSpacing"/>
        <w:jc w:val="both"/>
        <w:rPr>
          <w:rFonts w:ascii="Arial" w:hAnsi="Arial" w:cs="Arial"/>
          <w:sz w:val="24"/>
          <w:szCs w:val="24"/>
        </w:rPr>
      </w:pPr>
      <w:r w:rsidRPr="00DE4DB7">
        <w:rPr>
          <w:rFonts w:ascii="Arial" w:hAnsi="Arial" w:cs="Arial"/>
          <w:sz w:val="24"/>
          <w:szCs w:val="24"/>
        </w:rPr>
        <w:t xml:space="preserve">Deputy </w:t>
      </w:r>
      <w:r w:rsidR="00273DFF" w:rsidRPr="00DE4DB7">
        <w:rPr>
          <w:rFonts w:ascii="Arial" w:hAnsi="Arial" w:cs="Arial"/>
          <w:sz w:val="24"/>
          <w:szCs w:val="24"/>
        </w:rPr>
        <w:t xml:space="preserve">Dean </w:t>
      </w:r>
      <w:r w:rsidRPr="00DE4DB7">
        <w:rPr>
          <w:rFonts w:ascii="Arial" w:hAnsi="Arial" w:cs="Arial"/>
          <w:sz w:val="24"/>
          <w:szCs w:val="24"/>
        </w:rPr>
        <w:t>and Lead Nurse</w:t>
      </w:r>
    </w:p>
    <w:p w:rsidR="00281B21" w:rsidRPr="00DE4DB7" w:rsidRDefault="00281B21" w:rsidP="00DE4DB7">
      <w:pPr>
        <w:pStyle w:val="NoSpacing"/>
        <w:jc w:val="both"/>
        <w:rPr>
          <w:rFonts w:ascii="Arial" w:hAnsi="Arial" w:cs="Arial"/>
          <w:sz w:val="24"/>
          <w:szCs w:val="24"/>
        </w:rPr>
      </w:pPr>
      <w:r w:rsidRPr="00DE4DB7">
        <w:rPr>
          <w:rFonts w:ascii="Arial" w:hAnsi="Arial" w:cs="Arial"/>
          <w:sz w:val="24"/>
          <w:szCs w:val="24"/>
        </w:rPr>
        <w:t>School of Health and Social Care</w:t>
      </w:r>
    </w:p>
    <w:p w:rsidR="00281B21" w:rsidRPr="00DE4DB7" w:rsidRDefault="00281B21" w:rsidP="00DE4DB7">
      <w:pPr>
        <w:pStyle w:val="NoSpacing"/>
        <w:jc w:val="both"/>
        <w:rPr>
          <w:rFonts w:ascii="Arial" w:hAnsi="Arial" w:cs="Arial"/>
          <w:sz w:val="24"/>
          <w:szCs w:val="24"/>
        </w:rPr>
      </w:pPr>
      <w:r w:rsidRPr="00DE4DB7">
        <w:rPr>
          <w:rFonts w:ascii="Arial" w:hAnsi="Arial" w:cs="Arial"/>
          <w:sz w:val="24"/>
          <w:szCs w:val="24"/>
        </w:rPr>
        <w:t>London South Bank University</w:t>
      </w:r>
    </w:p>
    <w:p w:rsidR="00281B21" w:rsidRPr="00DE4DB7" w:rsidRDefault="00281B21" w:rsidP="00DE4DB7">
      <w:pPr>
        <w:pStyle w:val="NoSpacing"/>
        <w:jc w:val="both"/>
        <w:rPr>
          <w:rFonts w:ascii="Arial" w:hAnsi="Arial" w:cs="Arial"/>
          <w:sz w:val="24"/>
          <w:szCs w:val="24"/>
        </w:rPr>
      </w:pPr>
      <w:r w:rsidRPr="00DE4DB7">
        <w:rPr>
          <w:rFonts w:ascii="Arial" w:hAnsi="Arial" w:cs="Arial"/>
          <w:sz w:val="24"/>
          <w:szCs w:val="24"/>
        </w:rPr>
        <w:t>103 Borough Road</w:t>
      </w:r>
    </w:p>
    <w:p w:rsidR="00281B21" w:rsidRPr="00DE4DB7" w:rsidRDefault="00281B21" w:rsidP="00DE4DB7">
      <w:pPr>
        <w:pStyle w:val="NoSpacing"/>
        <w:jc w:val="both"/>
        <w:rPr>
          <w:rFonts w:ascii="Arial" w:hAnsi="Arial" w:cs="Arial"/>
          <w:sz w:val="24"/>
          <w:szCs w:val="24"/>
        </w:rPr>
      </w:pPr>
      <w:r w:rsidRPr="00DE4DB7">
        <w:rPr>
          <w:rFonts w:ascii="Arial" w:hAnsi="Arial" w:cs="Arial"/>
          <w:sz w:val="24"/>
          <w:szCs w:val="24"/>
        </w:rPr>
        <w:t>London</w:t>
      </w:r>
    </w:p>
    <w:p w:rsidR="00281B21" w:rsidRPr="00DE4DB7" w:rsidRDefault="00281B21" w:rsidP="00DE4DB7">
      <w:pPr>
        <w:pStyle w:val="NoSpacing"/>
        <w:jc w:val="both"/>
        <w:rPr>
          <w:rFonts w:ascii="Arial" w:hAnsi="Arial" w:cs="Arial"/>
          <w:sz w:val="24"/>
          <w:szCs w:val="24"/>
        </w:rPr>
      </w:pPr>
      <w:r w:rsidRPr="00DE4DB7">
        <w:rPr>
          <w:rFonts w:ascii="Arial" w:hAnsi="Arial" w:cs="Arial"/>
          <w:sz w:val="24"/>
          <w:szCs w:val="24"/>
        </w:rPr>
        <w:t>SE1 0AA</w:t>
      </w:r>
    </w:p>
    <w:p w:rsidR="00281B21" w:rsidRPr="00DE4DB7" w:rsidRDefault="000D1EF9" w:rsidP="00DE4DB7">
      <w:pPr>
        <w:pStyle w:val="NoSpacing"/>
        <w:jc w:val="both"/>
        <w:rPr>
          <w:rFonts w:ascii="Arial" w:eastAsia="Arial Unicode MS" w:hAnsi="Arial" w:cs="Arial"/>
          <w:sz w:val="24"/>
          <w:szCs w:val="24"/>
          <w:bdr w:val="nil"/>
          <w:lang w:val="en-US"/>
        </w:rPr>
      </w:pPr>
      <w:hyperlink r:id="rId9" w:history="1">
        <w:r w:rsidR="00281B21" w:rsidRPr="00DE4DB7">
          <w:rPr>
            <w:rStyle w:val="Hyperlink"/>
            <w:rFonts w:ascii="Arial" w:hAnsi="Arial" w:cs="Arial"/>
            <w:color w:val="auto"/>
            <w:sz w:val="24"/>
            <w:szCs w:val="24"/>
            <w:lang w:val="en" w:eastAsia="en-GB"/>
          </w:rPr>
          <w:t>a.twycross@lsbu.ac.uk</w:t>
        </w:r>
      </w:hyperlink>
    </w:p>
    <w:p w:rsidR="00281B21" w:rsidRPr="00DE4DB7" w:rsidRDefault="00281B21" w:rsidP="00DE4DB7">
      <w:pPr>
        <w:pStyle w:val="NoSpacing"/>
        <w:jc w:val="both"/>
        <w:rPr>
          <w:rFonts w:ascii="Arial" w:hAnsi="Arial" w:cs="Arial"/>
          <w:sz w:val="24"/>
          <w:szCs w:val="24"/>
        </w:rPr>
      </w:pPr>
    </w:p>
    <w:p w:rsidR="00281B21" w:rsidRPr="00DE4DB7" w:rsidRDefault="00281B21" w:rsidP="00DE4DB7">
      <w:pPr>
        <w:pStyle w:val="NoSpacing"/>
        <w:jc w:val="both"/>
        <w:rPr>
          <w:rFonts w:ascii="Arial" w:hAnsi="Arial" w:cs="Arial"/>
          <w:sz w:val="24"/>
          <w:szCs w:val="24"/>
        </w:rPr>
      </w:pPr>
    </w:p>
    <w:p w:rsidR="00281B21" w:rsidRPr="00DE4DB7" w:rsidRDefault="00281B21" w:rsidP="00DE4DB7">
      <w:pPr>
        <w:pStyle w:val="NoSpacing"/>
        <w:jc w:val="both"/>
        <w:rPr>
          <w:rFonts w:ascii="Arial" w:hAnsi="Arial" w:cs="Arial"/>
          <w:sz w:val="24"/>
          <w:szCs w:val="24"/>
        </w:rPr>
      </w:pPr>
    </w:p>
    <w:p w:rsidR="005F42AF" w:rsidRPr="00DE4DB7" w:rsidRDefault="005F42AF" w:rsidP="00DE4DB7">
      <w:pPr>
        <w:pStyle w:val="NoSpacing"/>
        <w:jc w:val="both"/>
        <w:rPr>
          <w:rFonts w:ascii="Arial" w:eastAsia="Arial Unicode MS" w:hAnsi="Arial" w:cs="Arial"/>
          <w:sz w:val="24"/>
          <w:szCs w:val="24"/>
          <w:bdr w:val="nil"/>
          <w:lang w:val="en-US"/>
        </w:rPr>
      </w:pPr>
    </w:p>
    <w:p w:rsidR="00AD5A1E" w:rsidRPr="00DE4DB7" w:rsidRDefault="00AD5A1E" w:rsidP="00DE4DB7">
      <w:pPr>
        <w:pStyle w:val="NoSpacing"/>
        <w:jc w:val="both"/>
        <w:rPr>
          <w:rFonts w:ascii="Arial" w:hAnsi="Arial" w:cs="Arial"/>
          <w:sz w:val="24"/>
          <w:szCs w:val="24"/>
        </w:rPr>
      </w:pPr>
    </w:p>
    <w:p w:rsidR="00AD5A1E" w:rsidRPr="00DE4DB7" w:rsidRDefault="00AD5A1E" w:rsidP="00DE4DB7">
      <w:pPr>
        <w:pStyle w:val="NoSpacing"/>
        <w:jc w:val="both"/>
        <w:rPr>
          <w:rFonts w:ascii="Arial" w:hAnsi="Arial" w:cs="Arial"/>
          <w:sz w:val="24"/>
          <w:szCs w:val="24"/>
        </w:rPr>
      </w:pPr>
    </w:p>
    <w:p w:rsidR="00AD5A1E" w:rsidRPr="00DE4DB7" w:rsidRDefault="00AD5A1E" w:rsidP="00DE4DB7">
      <w:pPr>
        <w:pStyle w:val="NoSpacing"/>
        <w:jc w:val="both"/>
        <w:rPr>
          <w:rFonts w:ascii="Arial" w:hAnsi="Arial" w:cs="Arial"/>
          <w:sz w:val="24"/>
          <w:szCs w:val="24"/>
        </w:rPr>
      </w:pPr>
    </w:p>
    <w:p w:rsidR="00AD5A1E" w:rsidRPr="00DE4DB7" w:rsidRDefault="00AD5A1E" w:rsidP="00DE4DB7">
      <w:pPr>
        <w:pStyle w:val="NoSpacing"/>
        <w:jc w:val="both"/>
        <w:rPr>
          <w:rFonts w:ascii="Arial" w:hAnsi="Arial" w:cs="Arial"/>
          <w:sz w:val="24"/>
          <w:szCs w:val="24"/>
        </w:rPr>
      </w:pPr>
    </w:p>
    <w:p w:rsidR="00AD5A1E" w:rsidRPr="00DE4DB7" w:rsidRDefault="00AD5A1E" w:rsidP="00DE4DB7">
      <w:pPr>
        <w:pStyle w:val="NoSpacing"/>
        <w:jc w:val="both"/>
        <w:rPr>
          <w:rFonts w:ascii="Arial" w:hAnsi="Arial" w:cs="Arial"/>
          <w:sz w:val="24"/>
          <w:szCs w:val="24"/>
        </w:rPr>
      </w:pPr>
    </w:p>
    <w:p w:rsidR="00AD5A1E" w:rsidRPr="00DE4DB7" w:rsidRDefault="00AD5A1E" w:rsidP="00DE4DB7">
      <w:pPr>
        <w:pStyle w:val="NoSpacing"/>
        <w:jc w:val="both"/>
        <w:rPr>
          <w:rFonts w:ascii="Arial" w:hAnsi="Arial" w:cs="Arial"/>
          <w:sz w:val="24"/>
          <w:szCs w:val="24"/>
        </w:rPr>
      </w:pPr>
    </w:p>
    <w:p w:rsidR="00AD5A1E" w:rsidRPr="00DE4DB7" w:rsidRDefault="00AD5A1E" w:rsidP="00DE4DB7">
      <w:pPr>
        <w:pStyle w:val="NoSpacing"/>
        <w:jc w:val="both"/>
        <w:rPr>
          <w:rFonts w:ascii="Arial" w:hAnsi="Arial" w:cs="Arial"/>
          <w:sz w:val="24"/>
          <w:szCs w:val="24"/>
        </w:rPr>
      </w:pPr>
    </w:p>
    <w:p w:rsidR="00AD5A1E" w:rsidRPr="00DE4DB7" w:rsidRDefault="00AD5A1E" w:rsidP="00DE4DB7">
      <w:pPr>
        <w:pStyle w:val="NoSpacing"/>
        <w:jc w:val="both"/>
        <w:rPr>
          <w:rFonts w:ascii="Arial" w:hAnsi="Arial" w:cs="Arial"/>
          <w:sz w:val="24"/>
          <w:szCs w:val="24"/>
        </w:rPr>
      </w:pPr>
    </w:p>
    <w:p w:rsidR="00AD5A1E" w:rsidRPr="00DE4DB7" w:rsidRDefault="00AD5A1E" w:rsidP="00DE4DB7">
      <w:pPr>
        <w:pStyle w:val="NoSpacing"/>
        <w:jc w:val="both"/>
        <w:rPr>
          <w:rFonts w:ascii="Arial" w:hAnsi="Arial" w:cs="Arial"/>
          <w:sz w:val="24"/>
          <w:szCs w:val="24"/>
        </w:rPr>
      </w:pPr>
    </w:p>
    <w:p w:rsidR="00AD5A1E" w:rsidRPr="00DE4DB7" w:rsidRDefault="00AD5A1E" w:rsidP="00DE4DB7">
      <w:pPr>
        <w:pStyle w:val="NoSpacing"/>
        <w:jc w:val="both"/>
        <w:rPr>
          <w:rFonts w:ascii="Arial" w:hAnsi="Arial" w:cs="Arial"/>
          <w:sz w:val="24"/>
          <w:szCs w:val="24"/>
        </w:rPr>
      </w:pPr>
    </w:p>
    <w:p w:rsidR="00AD5A1E" w:rsidRPr="00DE4DB7" w:rsidRDefault="00AD5A1E" w:rsidP="00DE4DB7">
      <w:pPr>
        <w:pStyle w:val="NoSpacing"/>
        <w:jc w:val="both"/>
        <w:rPr>
          <w:rFonts w:ascii="Arial" w:hAnsi="Arial" w:cs="Arial"/>
          <w:sz w:val="24"/>
          <w:szCs w:val="24"/>
        </w:rPr>
      </w:pPr>
    </w:p>
    <w:p w:rsidR="00C766E8" w:rsidRPr="00DE4DB7" w:rsidRDefault="00C766E8" w:rsidP="00DE4DB7">
      <w:pPr>
        <w:pStyle w:val="NoSpacing"/>
        <w:jc w:val="both"/>
        <w:rPr>
          <w:rFonts w:ascii="Arial" w:hAnsi="Arial" w:cs="Arial"/>
          <w:sz w:val="24"/>
          <w:szCs w:val="24"/>
        </w:rPr>
      </w:pPr>
    </w:p>
    <w:p w:rsidR="00C766E8" w:rsidRPr="00DE4DB7" w:rsidRDefault="00C766E8" w:rsidP="00DE4DB7">
      <w:pPr>
        <w:pStyle w:val="NoSpacing"/>
        <w:jc w:val="both"/>
        <w:rPr>
          <w:rFonts w:ascii="Arial" w:hAnsi="Arial" w:cs="Arial"/>
          <w:sz w:val="24"/>
          <w:szCs w:val="24"/>
        </w:rPr>
      </w:pPr>
    </w:p>
    <w:p w:rsidR="00C766E8" w:rsidRPr="00DE4DB7" w:rsidRDefault="00C766E8" w:rsidP="00DE4DB7">
      <w:pPr>
        <w:pStyle w:val="NoSpacing"/>
        <w:jc w:val="both"/>
        <w:rPr>
          <w:rFonts w:ascii="Arial" w:hAnsi="Arial" w:cs="Arial"/>
          <w:sz w:val="24"/>
          <w:szCs w:val="24"/>
        </w:rPr>
      </w:pPr>
    </w:p>
    <w:p w:rsidR="00C766E8" w:rsidRPr="00DE4DB7" w:rsidRDefault="00C766E8" w:rsidP="00DE4DB7">
      <w:pPr>
        <w:pStyle w:val="NoSpacing"/>
        <w:jc w:val="both"/>
        <w:rPr>
          <w:rFonts w:ascii="Arial" w:hAnsi="Arial" w:cs="Arial"/>
          <w:sz w:val="24"/>
          <w:szCs w:val="24"/>
        </w:rPr>
      </w:pPr>
    </w:p>
    <w:p w:rsidR="00C766E8" w:rsidRPr="00DE4DB7" w:rsidRDefault="00C766E8" w:rsidP="00DE4DB7">
      <w:pPr>
        <w:pStyle w:val="NoSpacing"/>
        <w:jc w:val="both"/>
        <w:rPr>
          <w:rFonts w:ascii="Arial" w:hAnsi="Arial" w:cs="Arial"/>
          <w:sz w:val="24"/>
          <w:szCs w:val="24"/>
        </w:rPr>
      </w:pPr>
    </w:p>
    <w:p w:rsidR="00C766E8" w:rsidRPr="00DE4DB7" w:rsidRDefault="00C766E8" w:rsidP="00DE4DB7">
      <w:pPr>
        <w:pStyle w:val="NoSpacing"/>
        <w:jc w:val="both"/>
        <w:rPr>
          <w:rFonts w:ascii="Arial" w:hAnsi="Arial" w:cs="Arial"/>
          <w:sz w:val="24"/>
          <w:szCs w:val="24"/>
        </w:rPr>
      </w:pPr>
    </w:p>
    <w:p w:rsidR="00C766E8" w:rsidRPr="00DE4DB7" w:rsidRDefault="00C766E8" w:rsidP="00DE4DB7">
      <w:pPr>
        <w:pStyle w:val="NoSpacing"/>
        <w:jc w:val="both"/>
        <w:rPr>
          <w:rFonts w:ascii="Arial" w:hAnsi="Arial" w:cs="Arial"/>
          <w:sz w:val="24"/>
          <w:szCs w:val="24"/>
        </w:rPr>
      </w:pPr>
    </w:p>
    <w:p w:rsidR="00C766E8" w:rsidRPr="00DE4DB7" w:rsidRDefault="00C766E8" w:rsidP="00DE4DB7">
      <w:pPr>
        <w:pStyle w:val="NoSpacing"/>
        <w:jc w:val="both"/>
        <w:rPr>
          <w:rFonts w:ascii="Arial" w:hAnsi="Arial" w:cs="Arial"/>
          <w:sz w:val="24"/>
          <w:szCs w:val="24"/>
        </w:rPr>
      </w:pPr>
    </w:p>
    <w:p w:rsidR="00C766E8" w:rsidRPr="00DE4DB7" w:rsidRDefault="00C766E8" w:rsidP="00DE4DB7">
      <w:pPr>
        <w:pStyle w:val="NoSpacing"/>
        <w:jc w:val="both"/>
        <w:rPr>
          <w:rFonts w:ascii="Arial" w:hAnsi="Arial" w:cs="Arial"/>
          <w:sz w:val="24"/>
          <w:szCs w:val="24"/>
        </w:rPr>
      </w:pPr>
    </w:p>
    <w:p w:rsidR="00C766E8" w:rsidRPr="00DE4DB7" w:rsidRDefault="00C766E8" w:rsidP="00DE4DB7">
      <w:pPr>
        <w:pStyle w:val="NoSpacing"/>
        <w:jc w:val="both"/>
        <w:rPr>
          <w:rFonts w:ascii="Arial" w:hAnsi="Arial" w:cs="Arial"/>
          <w:sz w:val="24"/>
          <w:szCs w:val="24"/>
        </w:rPr>
      </w:pPr>
    </w:p>
    <w:p w:rsidR="005F42AF" w:rsidRPr="00DE4DB7" w:rsidRDefault="005F42AF" w:rsidP="00DE4DB7">
      <w:pPr>
        <w:pStyle w:val="NoSpacing"/>
        <w:jc w:val="both"/>
        <w:rPr>
          <w:rFonts w:ascii="Arial" w:hAnsi="Arial" w:cs="Arial"/>
          <w:b/>
          <w:sz w:val="24"/>
          <w:szCs w:val="24"/>
        </w:rPr>
      </w:pPr>
      <w:r w:rsidRPr="00DE4DB7">
        <w:rPr>
          <w:rFonts w:ascii="Arial" w:hAnsi="Arial" w:cs="Arial"/>
          <w:b/>
          <w:sz w:val="24"/>
          <w:szCs w:val="24"/>
        </w:rPr>
        <w:t>Abstract</w:t>
      </w:r>
    </w:p>
    <w:p w:rsidR="00772871" w:rsidRPr="00DE4DB7" w:rsidRDefault="00772871" w:rsidP="00DE4DB7">
      <w:pPr>
        <w:pStyle w:val="NoSpacing"/>
        <w:jc w:val="both"/>
        <w:rPr>
          <w:rFonts w:ascii="Arial" w:hAnsi="Arial" w:cs="Arial"/>
          <w:sz w:val="24"/>
          <w:szCs w:val="24"/>
        </w:rPr>
      </w:pPr>
    </w:p>
    <w:p w:rsidR="00EC65D2" w:rsidRPr="00DE4DB7" w:rsidRDefault="00EC65D2" w:rsidP="00DE4DB7">
      <w:pPr>
        <w:pStyle w:val="NoSpacing"/>
        <w:jc w:val="both"/>
        <w:rPr>
          <w:rFonts w:ascii="Arial" w:eastAsia="Arial Unicode MS" w:hAnsi="Arial" w:cs="Arial"/>
          <w:sz w:val="24"/>
          <w:szCs w:val="24"/>
          <w:bdr w:val="nil"/>
          <w:lang w:val="en-US"/>
        </w:rPr>
      </w:pPr>
      <w:r w:rsidRPr="00DE4DB7">
        <w:rPr>
          <w:rFonts w:ascii="Arial" w:hAnsi="Arial" w:cs="Arial"/>
          <w:sz w:val="24"/>
          <w:szCs w:val="24"/>
        </w:rPr>
        <w:t xml:space="preserve">As health care moves away from hospital into the community, nursing students need to gain a range of experiences in the community.  Health Education </w:t>
      </w:r>
      <w:r w:rsidR="006B3A74" w:rsidRPr="00DE4DB7">
        <w:rPr>
          <w:rFonts w:ascii="Arial" w:hAnsi="Arial" w:cs="Arial"/>
          <w:sz w:val="24"/>
          <w:szCs w:val="24"/>
        </w:rPr>
        <w:t>England’s</w:t>
      </w:r>
      <w:r w:rsidR="006B3A74">
        <w:rPr>
          <w:rFonts w:ascii="Arial" w:hAnsi="Arial" w:cs="Arial"/>
          <w:sz w:val="24"/>
          <w:szCs w:val="24"/>
        </w:rPr>
        <w:t xml:space="preserve"> </w:t>
      </w:r>
      <w:r w:rsidR="006B3A74" w:rsidRPr="00DE4DB7">
        <w:rPr>
          <w:rFonts w:ascii="Arial" w:hAnsi="Arial" w:cs="Arial"/>
          <w:sz w:val="24"/>
          <w:szCs w:val="24"/>
        </w:rPr>
        <w:t>vision</w:t>
      </w:r>
      <w:r w:rsidRPr="00DE4DB7">
        <w:rPr>
          <w:rFonts w:ascii="Arial" w:hAnsi="Arial" w:cs="Arial"/>
          <w:sz w:val="24"/>
          <w:szCs w:val="24"/>
        </w:rPr>
        <w:t xml:space="preserve"> is to support students to embrace change in health care delivery and support community care workforce developme</w:t>
      </w:r>
      <w:r w:rsidR="00EF3A30">
        <w:rPr>
          <w:rFonts w:ascii="Arial" w:hAnsi="Arial" w:cs="Arial"/>
          <w:sz w:val="24"/>
          <w:szCs w:val="24"/>
        </w:rPr>
        <w:t xml:space="preserve">nt. To achieve this mandate, </w:t>
      </w:r>
      <w:r w:rsidR="00EF3A30" w:rsidRPr="00DE4DB7">
        <w:rPr>
          <w:rFonts w:ascii="Arial" w:hAnsi="Arial" w:cs="Arial"/>
          <w:sz w:val="24"/>
          <w:szCs w:val="24"/>
        </w:rPr>
        <w:t>Health Education England’s</w:t>
      </w:r>
      <w:r w:rsidR="00EF3A30">
        <w:rPr>
          <w:rFonts w:ascii="Arial" w:hAnsi="Arial" w:cs="Arial"/>
          <w:sz w:val="24"/>
          <w:szCs w:val="24"/>
        </w:rPr>
        <w:t xml:space="preserve"> </w:t>
      </w:r>
      <w:r w:rsidR="00EF3A30" w:rsidRPr="00DE4DB7">
        <w:rPr>
          <w:rFonts w:ascii="Arial" w:hAnsi="Arial" w:cs="Arial"/>
          <w:sz w:val="24"/>
          <w:szCs w:val="24"/>
        </w:rPr>
        <w:t>North</w:t>
      </w:r>
      <w:r w:rsidR="00C904BE" w:rsidRPr="00DE4DB7">
        <w:rPr>
          <w:rFonts w:ascii="Arial" w:hAnsi="Arial" w:cs="Arial"/>
          <w:sz w:val="24"/>
          <w:szCs w:val="24"/>
        </w:rPr>
        <w:t xml:space="preserve"> </w:t>
      </w:r>
      <w:r w:rsidRPr="00DE4DB7">
        <w:rPr>
          <w:rFonts w:ascii="Arial" w:hAnsi="Arial" w:cs="Arial"/>
          <w:sz w:val="24"/>
          <w:szCs w:val="24"/>
        </w:rPr>
        <w:t>W</w:t>
      </w:r>
      <w:r w:rsidR="00C904BE" w:rsidRPr="00DE4DB7">
        <w:rPr>
          <w:rFonts w:ascii="Arial" w:hAnsi="Arial" w:cs="Arial"/>
          <w:sz w:val="24"/>
          <w:szCs w:val="24"/>
        </w:rPr>
        <w:t xml:space="preserve">est </w:t>
      </w:r>
      <w:r w:rsidR="00EF3A30" w:rsidRPr="00DE4DB7">
        <w:rPr>
          <w:rFonts w:ascii="Arial" w:hAnsi="Arial" w:cs="Arial"/>
          <w:sz w:val="24"/>
          <w:szCs w:val="24"/>
        </w:rPr>
        <w:t>L</w:t>
      </w:r>
      <w:r w:rsidR="00EF3A30">
        <w:rPr>
          <w:rFonts w:ascii="Arial" w:hAnsi="Arial" w:cs="Arial"/>
          <w:sz w:val="24"/>
          <w:szCs w:val="24"/>
        </w:rPr>
        <w:t xml:space="preserve">ondon </w:t>
      </w:r>
      <w:r w:rsidR="00EF3A30" w:rsidRPr="00DE4DB7">
        <w:rPr>
          <w:rFonts w:ascii="Arial" w:hAnsi="Arial" w:cs="Arial"/>
          <w:sz w:val="24"/>
          <w:szCs w:val="24"/>
        </w:rPr>
        <w:t>funded</w:t>
      </w:r>
      <w:r w:rsidRPr="00DE4DB7">
        <w:rPr>
          <w:rFonts w:ascii="Arial" w:hAnsi="Arial" w:cs="Arial"/>
          <w:sz w:val="24"/>
          <w:szCs w:val="24"/>
        </w:rPr>
        <w:t xml:space="preserve"> a project to support the development of children’s nursing placement capacity in Central London Commun</w:t>
      </w:r>
      <w:r w:rsidR="00C904BE" w:rsidRPr="00DE4DB7">
        <w:rPr>
          <w:rFonts w:ascii="Arial" w:hAnsi="Arial" w:cs="Arial"/>
          <w:sz w:val="24"/>
          <w:szCs w:val="24"/>
        </w:rPr>
        <w:t>ity Health Care N</w:t>
      </w:r>
      <w:r w:rsidR="006B3A74">
        <w:rPr>
          <w:rFonts w:ascii="Arial" w:hAnsi="Arial" w:cs="Arial"/>
          <w:sz w:val="24"/>
          <w:szCs w:val="24"/>
        </w:rPr>
        <w:t xml:space="preserve">ational </w:t>
      </w:r>
      <w:r w:rsidR="00C904BE" w:rsidRPr="00DE4DB7">
        <w:rPr>
          <w:rFonts w:ascii="Arial" w:hAnsi="Arial" w:cs="Arial"/>
          <w:sz w:val="24"/>
          <w:szCs w:val="24"/>
        </w:rPr>
        <w:t>H</w:t>
      </w:r>
      <w:r w:rsidR="006B3A74">
        <w:rPr>
          <w:rFonts w:ascii="Arial" w:hAnsi="Arial" w:cs="Arial"/>
          <w:sz w:val="24"/>
          <w:szCs w:val="24"/>
        </w:rPr>
        <w:t xml:space="preserve">ealth </w:t>
      </w:r>
      <w:r w:rsidR="00C904BE" w:rsidRPr="00DE4DB7">
        <w:rPr>
          <w:rFonts w:ascii="Arial" w:hAnsi="Arial" w:cs="Arial"/>
          <w:sz w:val="24"/>
          <w:szCs w:val="24"/>
        </w:rPr>
        <w:t>S</w:t>
      </w:r>
      <w:r w:rsidR="006B3A74">
        <w:rPr>
          <w:rFonts w:ascii="Arial" w:hAnsi="Arial" w:cs="Arial"/>
          <w:sz w:val="24"/>
          <w:szCs w:val="24"/>
        </w:rPr>
        <w:t>ervice</w:t>
      </w:r>
      <w:r w:rsidR="00C904BE" w:rsidRPr="00DE4DB7">
        <w:rPr>
          <w:rFonts w:ascii="Arial" w:hAnsi="Arial" w:cs="Arial"/>
          <w:sz w:val="24"/>
          <w:szCs w:val="24"/>
        </w:rPr>
        <w:t xml:space="preserve"> Trust</w:t>
      </w:r>
      <w:r w:rsidRPr="00DE4DB7">
        <w:rPr>
          <w:rFonts w:ascii="Arial" w:hAnsi="Arial" w:cs="Arial"/>
          <w:sz w:val="24"/>
          <w:szCs w:val="24"/>
        </w:rPr>
        <w:t>. A total of 29 new placements were identified in commu</w:t>
      </w:r>
      <w:r w:rsidR="00C904BE" w:rsidRPr="00DE4DB7">
        <w:rPr>
          <w:rFonts w:ascii="Arial" w:hAnsi="Arial" w:cs="Arial"/>
          <w:sz w:val="24"/>
          <w:szCs w:val="24"/>
        </w:rPr>
        <w:t>nity setting across London by implementing</w:t>
      </w:r>
      <w:r w:rsidRPr="00DE4DB7">
        <w:rPr>
          <w:rFonts w:ascii="Arial" w:hAnsi="Arial" w:cs="Arial"/>
          <w:sz w:val="24"/>
          <w:szCs w:val="24"/>
        </w:rPr>
        <w:t xml:space="preserve"> a different approach to mentoring.</w:t>
      </w:r>
    </w:p>
    <w:p w:rsidR="000C5766" w:rsidRPr="00DE4DB7" w:rsidRDefault="000C5766" w:rsidP="00DE4DB7">
      <w:pPr>
        <w:pStyle w:val="NoSpacing"/>
        <w:jc w:val="both"/>
        <w:rPr>
          <w:rFonts w:ascii="Arial" w:hAnsi="Arial" w:cs="Arial"/>
          <w:sz w:val="24"/>
          <w:szCs w:val="24"/>
        </w:rPr>
      </w:pPr>
    </w:p>
    <w:p w:rsidR="000C5766" w:rsidRPr="00DE4DB7" w:rsidRDefault="000C5766" w:rsidP="00DE4DB7">
      <w:pPr>
        <w:pStyle w:val="NoSpacing"/>
        <w:jc w:val="both"/>
        <w:rPr>
          <w:rFonts w:ascii="Arial" w:hAnsi="Arial" w:cs="Arial"/>
          <w:b/>
          <w:sz w:val="24"/>
          <w:szCs w:val="24"/>
        </w:rPr>
      </w:pPr>
      <w:r w:rsidRPr="00DE4DB7">
        <w:rPr>
          <w:rFonts w:ascii="Arial" w:hAnsi="Arial" w:cs="Arial"/>
          <w:b/>
          <w:sz w:val="24"/>
          <w:szCs w:val="24"/>
        </w:rPr>
        <w:t>Background</w:t>
      </w:r>
    </w:p>
    <w:p w:rsidR="0079469E" w:rsidRPr="00DE4DB7" w:rsidRDefault="0079469E" w:rsidP="00DE4DB7">
      <w:pPr>
        <w:pStyle w:val="NoSpacing"/>
        <w:jc w:val="both"/>
        <w:rPr>
          <w:rFonts w:ascii="Arial" w:eastAsia="Times New Roman" w:hAnsi="Arial" w:cs="Arial"/>
          <w:b/>
          <w:sz w:val="24"/>
          <w:szCs w:val="24"/>
          <w:lang w:eastAsia="en-GB"/>
        </w:rPr>
      </w:pPr>
    </w:p>
    <w:p w:rsidR="0079469E" w:rsidRPr="00DE4DB7" w:rsidRDefault="0079469E" w:rsidP="00DE4DB7">
      <w:pPr>
        <w:pStyle w:val="NoSpacing"/>
        <w:jc w:val="both"/>
        <w:rPr>
          <w:rFonts w:ascii="Arial" w:hAnsi="Arial" w:cs="Arial"/>
          <w:sz w:val="24"/>
          <w:szCs w:val="24"/>
        </w:rPr>
      </w:pPr>
      <w:r w:rsidRPr="00DE4DB7">
        <w:rPr>
          <w:rFonts w:ascii="Arial" w:hAnsi="Arial" w:cs="Arial"/>
          <w:sz w:val="24"/>
          <w:szCs w:val="24"/>
        </w:rPr>
        <w:t>Government reforms have resulted in a shift of patients care into homes and primary car</w:t>
      </w:r>
      <w:r w:rsidR="00DF6C2E" w:rsidRPr="00DE4DB7">
        <w:rPr>
          <w:rFonts w:ascii="Arial" w:hAnsi="Arial" w:cs="Arial"/>
          <w:sz w:val="24"/>
          <w:szCs w:val="24"/>
        </w:rPr>
        <w:t>e settings (NHS England, 2014</w:t>
      </w:r>
      <w:r w:rsidR="00AB0852">
        <w:rPr>
          <w:rFonts w:ascii="Arial" w:hAnsi="Arial" w:cs="Arial"/>
          <w:sz w:val="24"/>
          <w:szCs w:val="24"/>
        </w:rPr>
        <w:t xml:space="preserve">). </w:t>
      </w:r>
      <w:r w:rsidRPr="00DE4DB7">
        <w:rPr>
          <w:rFonts w:ascii="Arial" w:hAnsi="Arial" w:cs="Arial"/>
          <w:sz w:val="24"/>
          <w:szCs w:val="24"/>
        </w:rPr>
        <w:t>As health care moves away from hospital into the community, there is a need to ensure that nursing students gain a range of experiences in the community. In his review of pre-registration nursing education, Willis (2012) recommended that more needs to be expected from graduate nurses of the future to meet a population based and in</w:t>
      </w:r>
      <w:r w:rsidR="00355679" w:rsidRPr="00DE4DB7">
        <w:rPr>
          <w:rFonts w:ascii="Arial" w:hAnsi="Arial" w:cs="Arial"/>
          <w:sz w:val="24"/>
          <w:szCs w:val="24"/>
        </w:rPr>
        <w:t>tegrated community approach. This is in line with the Nursing</w:t>
      </w:r>
      <w:r w:rsidRPr="00DE4DB7">
        <w:rPr>
          <w:rFonts w:ascii="Arial" w:hAnsi="Arial" w:cs="Arial"/>
          <w:sz w:val="24"/>
          <w:szCs w:val="24"/>
        </w:rPr>
        <w:t xml:space="preserve"> and Midwifery Council</w:t>
      </w:r>
      <w:r w:rsidR="00355679" w:rsidRPr="00DE4DB7">
        <w:rPr>
          <w:rFonts w:ascii="Arial" w:hAnsi="Arial" w:cs="Arial"/>
          <w:sz w:val="24"/>
          <w:szCs w:val="24"/>
        </w:rPr>
        <w:t>’s</w:t>
      </w:r>
      <w:r w:rsidRPr="00DE4DB7">
        <w:rPr>
          <w:rFonts w:ascii="Arial" w:hAnsi="Arial" w:cs="Arial"/>
          <w:sz w:val="24"/>
          <w:szCs w:val="24"/>
        </w:rPr>
        <w:t xml:space="preserve"> (2010) standards for pre-registration nurse education </w:t>
      </w:r>
      <w:r w:rsidR="00355679" w:rsidRPr="00DE4DB7">
        <w:rPr>
          <w:rFonts w:ascii="Arial" w:hAnsi="Arial" w:cs="Arial"/>
          <w:sz w:val="24"/>
          <w:szCs w:val="24"/>
        </w:rPr>
        <w:t xml:space="preserve">which </w:t>
      </w:r>
      <w:r w:rsidRPr="00DE4DB7">
        <w:rPr>
          <w:rFonts w:ascii="Arial" w:hAnsi="Arial" w:cs="Arial"/>
          <w:sz w:val="24"/>
          <w:szCs w:val="24"/>
        </w:rPr>
        <w:t>also signalled a shift of focus from acute to primary care</w:t>
      </w:r>
      <w:r w:rsidR="00355679" w:rsidRPr="00DE4DB7">
        <w:rPr>
          <w:rFonts w:ascii="Arial" w:hAnsi="Arial" w:cs="Arial"/>
          <w:sz w:val="24"/>
          <w:szCs w:val="24"/>
        </w:rPr>
        <w:t xml:space="preserve"> with a requirement for students to undertake a wider range of community placements</w:t>
      </w:r>
      <w:r w:rsidRPr="00DE4DB7">
        <w:rPr>
          <w:rFonts w:ascii="Arial" w:hAnsi="Arial" w:cs="Arial"/>
          <w:sz w:val="24"/>
          <w:szCs w:val="24"/>
        </w:rPr>
        <w:t xml:space="preserve">. </w:t>
      </w:r>
      <w:r w:rsidR="00AB0852">
        <w:rPr>
          <w:rFonts w:ascii="Arial" w:hAnsi="Arial" w:cs="Arial"/>
          <w:sz w:val="24"/>
          <w:szCs w:val="24"/>
        </w:rPr>
        <w:t xml:space="preserve">The </w:t>
      </w:r>
      <w:r w:rsidR="0031742F">
        <w:rPr>
          <w:rFonts w:ascii="Arial" w:hAnsi="Arial" w:cs="Arial"/>
          <w:sz w:val="24"/>
          <w:szCs w:val="24"/>
        </w:rPr>
        <w:t xml:space="preserve">new </w:t>
      </w:r>
      <w:r w:rsidR="00AB0852">
        <w:rPr>
          <w:rFonts w:ascii="Arial" w:hAnsi="Arial" w:cs="Arial"/>
          <w:sz w:val="24"/>
          <w:szCs w:val="24"/>
        </w:rPr>
        <w:t xml:space="preserve">NMC </w:t>
      </w:r>
      <w:r w:rsidR="003A03C1">
        <w:rPr>
          <w:rFonts w:ascii="Arial" w:hAnsi="Arial" w:cs="Arial"/>
          <w:sz w:val="24"/>
          <w:szCs w:val="24"/>
        </w:rPr>
        <w:t>(2018)</w:t>
      </w:r>
      <w:r w:rsidR="00AB0852">
        <w:rPr>
          <w:rFonts w:ascii="Arial" w:hAnsi="Arial" w:cs="Arial"/>
          <w:sz w:val="24"/>
          <w:szCs w:val="24"/>
        </w:rPr>
        <w:t xml:space="preserve"> standard</w:t>
      </w:r>
      <w:r w:rsidR="003A03C1">
        <w:rPr>
          <w:rFonts w:ascii="Arial" w:hAnsi="Arial" w:cs="Arial"/>
          <w:sz w:val="24"/>
          <w:szCs w:val="24"/>
        </w:rPr>
        <w:t xml:space="preserve"> </w:t>
      </w:r>
      <w:r w:rsidR="00AB0852">
        <w:rPr>
          <w:rFonts w:ascii="Arial" w:hAnsi="Arial" w:cs="Arial"/>
          <w:sz w:val="24"/>
          <w:szCs w:val="24"/>
        </w:rPr>
        <w:t xml:space="preserve">outline </w:t>
      </w:r>
      <w:r w:rsidR="003A03C1">
        <w:rPr>
          <w:rFonts w:ascii="Arial" w:hAnsi="Arial" w:cs="Arial"/>
          <w:sz w:val="24"/>
          <w:szCs w:val="24"/>
        </w:rPr>
        <w:t>that students experience the variety of practice expected of registered nurses to meet the holistic</w:t>
      </w:r>
      <w:r w:rsidR="00A86489">
        <w:rPr>
          <w:rFonts w:ascii="Arial" w:hAnsi="Arial" w:cs="Arial"/>
          <w:sz w:val="24"/>
          <w:szCs w:val="24"/>
        </w:rPr>
        <w:t xml:space="preserve"> need</w:t>
      </w:r>
      <w:r w:rsidR="003A03C1">
        <w:rPr>
          <w:rFonts w:ascii="Arial" w:hAnsi="Arial" w:cs="Arial"/>
          <w:sz w:val="24"/>
          <w:szCs w:val="24"/>
        </w:rPr>
        <w:t xml:space="preserve"> of all ages in the community setting. </w:t>
      </w:r>
      <w:r w:rsidRPr="00DE4DB7">
        <w:rPr>
          <w:rFonts w:ascii="Arial" w:hAnsi="Arial" w:cs="Arial"/>
          <w:sz w:val="24"/>
          <w:szCs w:val="24"/>
        </w:rPr>
        <w:t>This has resulted in increased emphasis on community and primary care in the nursing curriculum as well as a desire to increase the number of community based placements.</w:t>
      </w:r>
      <w:r w:rsidR="0031742F">
        <w:rPr>
          <w:rFonts w:ascii="Arial" w:hAnsi="Arial" w:cs="Arial"/>
          <w:sz w:val="24"/>
          <w:szCs w:val="24"/>
        </w:rPr>
        <w:t xml:space="preserve"> In addition, the new standard </w:t>
      </w:r>
      <w:r w:rsidR="005407B5">
        <w:rPr>
          <w:rFonts w:ascii="Arial" w:hAnsi="Arial" w:cs="Arial"/>
          <w:sz w:val="24"/>
          <w:szCs w:val="24"/>
        </w:rPr>
        <w:t>will further facilitate</w:t>
      </w:r>
      <w:r w:rsidR="0031742F">
        <w:rPr>
          <w:rFonts w:ascii="Arial" w:hAnsi="Arial" w:cs="Arial"/>
          <w:sz w:val="24"/>
          <w:szCs w:val="24"/>
        </w:rPr>
        <w:t xml:space="preserve"> placement capacity. According to NMC (2018) all registrants are now required to support students’ supervision in practice by removing the need for registered nurses with mentor qualification.</w:t>
      </w:r>
    </w:p>
    <w:p w:rsidR="0079469E" w:rsidRPr="00DE4DB7" w:rsidRDefault="0079469E" w:rsidP="00DE4DB7">
      <w:pPr>
        <w:pStyle w:val="NoSpacing"/>
        <w:jc w:val="both"/>
        <w:rPr>
          <w:rFonts w:ascii="Arial" w:hAnsi="Arial" w:cs="Arial"/>
          <w:sz w:val="24"/>
          <w:szCs w:val="24"/>
        </w:rPr>
      </w:pPr>
    </w:p>
    <w:p w:rsidR="0079469E" w:rsidRPr="00DE4DB7" w:rsidRDefault="0079469E" w:rsidP="00DE4DB7">
      <w:pPr>
        <w:pStyle w:val="NoSpacing"/>
        <w:jc w:val="both"/>
        <w:rPr>
          <w:rFonts w:ascii="Arial" w:hAnsi="Arial" w:cs="Arial"/>
          <w:sz w:val="24"/>
          <w:szCs w:val="24"/>
        </w:rPr>
      </w:pPr>
      <w:r w:rsidRPr="00DE4DB7">
        <w:rPr>
          <w:rFonts w:ascii="Arial" w:eastAsia="Times New Roman" w:hAnsi="Arial" w:cs="Arial"/>
          <w:sz w:val="24"/>
          <w:szCs w:val="24"/>
          <w:lang w:eastAsia="en-GB"/>
        </w:rPr>
        <w:t>A consistent</w:t>
      </w:r>
      <w:r w:rsidRPr="00DE4DB7">
        <w:rPr>
          <w:rFonts w:ascii="Arial" w:hAnsi="Arial" w:cs="Arial"/>
          <w:sz w:val="24"/>
          <w:szCs w:val="24"/>
        </w:rPr>
        <w:t xml:space="preserve"> challenge for Higher Education Institutions (HEI) </w:t>
      </w:r>
      <w:r w:rsidR="0030270A" w:rsidRPr="00DE4DB7">
        <w:rPr>
          <w:rFonts w:ascii="Arial" w:eastAsia="Times New Roman" w:hAnsi="Arial" w:cs="Arial"/>
          <w:sz w:val="24"/>
          <w:szCs w:val="24"/>
          <w:lang w:eastAsia="en-GB"/>
        </w:rPr>
        <w:t>is</w:t>
      </w:r>
      <w:r w:rsidRPr="00DE4DB7">
        <w:rPr>
          <w:rFonts w:ascii="Arial" w:hAnsi="Arial" w:cs="Arial"/>
          <w:sz w:val="24"/>
          <w:szCs w:val="24"/>
          <w:lang w:val="en"/>
        </w:rPr>
        <w:t xml:space="preserve"> find</w:t>
      </w:r>
      <w:r w:rsidR="0030270A" w:rsidRPr="00DE4DB7">
        <w:rPr>
          <w:rFonts w:ascii="Arial" w:hAnsi="Arial" w:cs="Arial"/>
          <w:sz w:val="24"/>
          <w:szCs w:val="24"/>
          <w:lang w:val="en"/>
        </w:rPr>
        <w:t>ing</w:t>
      </w:r>
      <w:r w:rsidRPr="00DE4DB7">
        <w:rPr>
          <w:rFonts w:ascii="Arial" w:hAnsi="Arial" w:cs="Arial"/>
          <w:sz w:val="24"/>
          <w:szCs w:val="24"/>
          <w:lang w:val="en"/>
        </w:rPr>
        <w:t xml:space="preserve"> sufficient community based placement experience</w:t>
      </w:r>
      <w:r w:rsidR="0030270A" w:rsidRPr="00DE4DB7">
        <w:rPr>
          <w:rFonts w:ascii="Arial" w:hAnsi="Arial" w:cs="Arial"/>
          <w:sz w:val="24"/>
          <w:szCs w:val="24"/>
          <w:lang w:val="en"/>
        </w:rPr>
        <w:t>s</w:t>
      </w:r>
      <w:r w:rsidRPr="00DE4DB7">
        <w:rPr>
          <w:rFonts w:ascii="Arial" w:hAnsi="Arial" w:cs="Arial"/>
          <w:sz w:val="24"/>
          <w:szCs w:val="24"/>
          <w:lang w:val="en"/>
        </w:rPr>
        <w:t xml:space="preserve"> for children’s nursing students.</w:t>
      </w:r>
      <w:r w:rsidRPr="00DE4DB7">
        <w:rPr>
          <w:rFonts w:ascii="Arial" w:hAnsi="Arial" w:cs="Arial"/>
          <w:sz w:val="24"/>
          <w:szCs w:val="24"/>
        </w:rPr>
        <w:t xml:space="preserve"> Traditionally, most of nursing students’ clinical experience is gained in the acute setting. The results of one study found that the maximum time students spend in a community placeme</w:t>
      </w:r>
      <w:r w:rsidR="004B25C6" w:rsidRPr="00DE4DB7">
        <w:rPr>
          <w:rFonts w:ascii="Arial" w:hAnsi="Arial" w:cs="Arial"/>
          <w:sz w:val="24"/>
          <w:szCs w:val="24"/>
        </w:rPr>
        <w:t>nt is four to six weeks</w:t>
      </w:r>
      <w:r w:rsidRPr="00DE4DB7">
        <w:rPr>
          <w:rFonts w:ascii="Arial" w:hAnsi="Arial" w:cs="Arial"/>
          <w:sz w:val="24"/>
          <w:szCs w:val="24"/>
        </w:rPr>
        <w:t xml:space="preserve"> (Betony, 2012). This is unlikely to prepare nursing students to practice in the primary care setting at the point of registration or encourage them to do so later in their career. </w:t>
      </w:r>
      <w:r w:rsidRPr="00DE4DB7">
        <w:rPr>
          <w:rFonts w:ascii="Arial" w:hAnsi="Arial" w:cs="Arial"/>
          <w:sz w:val="24"/>
          <w:szCs w:val="24"/>
          <w:lang w:val="en"/>
        </w:rPr>
        <w:t xml:space="preserve">The availability of placements is also constrained by the capacity of National Health Service (NHS) Trust to provide mentorship for students. </w:t>
      </w:r>
      <w:r w:rsidRPr="00DE4DB7">
        <w:rPr>
          <w:rFonts w:ascii="Arial" w:hAnsi="Arial" w:cs="Arial"/>
          <w:sz w:val="24"/>
          <w:szCs w:val="24"/>
        </w:rPr>
        <w:t>Other challenges in community placements include a lack of clarity about what constitute a community placement (Temple, 2013).</w:t>
      </w:r>
    </w:p>
    <w:p w:rsidR="0079469E" w:rsidRPr="00DE4DB7" w:rsidRDefault="0079469E" w:rsidP="00DE4DB7">
      <w:pPr>
        <w:pStyle w:val="NoSpacing"/>
        <w:jc w:val="both"/>
        <w:rPr>
          <w:rFonts w:ascii="Arial" w:hAnsi="Arial" w:cs="Arial"/>
          <w:sz w:val="24"/>
          <w:szCs w:val="24"/>
        </w:rPr>
      </w:pPr>
    </w:p>
    <w:p w:rsidR="0079469E" w:rsidRPr="00DE4DB7" w:rsidRDefault="0079469E" w:rsidP="00DE4DB7">
      <w:pPr>
        <w:pStyle w:val="NoSpacing"/>
        <w:jc w:val="both"/>
        <w:rPr>
          <w:rFonts w:ascii="Arial" w:eastAsia="Times New Roman" w:hAnsi="Arial" w:cs="Arial"/>
          <w:sz w:val="24"/>
          <w:szCs w:val="24"/>
          <w:lang w:eastAsia="en-GB"/>
        </w:rPr>
      </w:pPr>
      <w:r w:rsidRPr="00DE4DB7">
        <w:rPr>
          <w:rFonts w:ascii="Arial" w:eastAsia="Times New Roman" w:hAnsi="Arial" w:cs="Arial"/>
          <w:sz w:val="24"/>
          <w:szCs w:val="24"/>
          <w:lang w:eastAsia="en-GB"/>
        </w:rPr>
        <w:t>Health Education England North</w:t>
      </w:r>
      <w:r w:rsidR="00280F57" w:rsidRPr="00DE4DB7">
        <w:rPr>
          <w:rFonts w:ascii="Arial" w:eastAsia="Times New Roman" w:hAnsi="Arial" w:cs="Arial"/>
          <w:sz w:val="24"/>
          <w:szCs w:val="24"/>
          <w:lang w:eastAsia="en-GB"/>
        </w:rPr>
        <w:t xml:space="preserve"> West London (HEE NWL) vision was</w:t>
      </w:r>
      <w:r w:rsidRPr="00DE4DB7">
        <w:rPr>
          <w:rFonts w:ascii="Arial" w:eastAsia="Times New Roman" w:hAnsi="Arial" w:cs="Arial"/>
          <w:sz w:val="24"/>
          <w:szCs w:val="24"/>
          <w:lang w:eastAsia="en-GB"/>
        </w:rPr>
        <w:t xml:space="preserve"> to ensure that workforce planning, training and education drive sustainable innovations to deliver a capable and flexible workforce now and in the future to serve the population of North West London. The vision is also to support the development of students to enable them to embrace change in health care delivery and support community care workforce development and expansion of community care for all service providers. </w:t>
      </w:r>
      <w:r w:rsidRPr="00DE4DB7">
        <w:rPr>
          <w:rFonts w:ascii="Arial" w:eastAsia="Times New Roman" w:hAnsi="Arial" w:cs="Arial"/>
          <w:sz w:val="24"/>
          <w:szCs w:val="24"/>
          <w:lang w:eastAsia="en-GB"/>
        </w:rPr>
        <w:lastRenderedPageBreak/>
        <w:t>To achieve this mandate, HEE NWL funded a project to support the development of children’s nursing placement capacity in Central London Community Health Care NHS Trust (CLCH) in collaboration with London South Bank University (LSBU) in challenging areas.</w:t>
      </w:r>
    </w:p>
    <w:p w:rsidR="0079469E" w:rsidRPr="00DE4DB7" w:rsidRDefault="0079469E" w:rsidP="00DE4DB7">
      <w:pPr>
        <w:pStyle w:val="NoSpacing"/>
        <w:jc w:val="both"/>
        <w:rPr>
          <w:rFonts w:ascii="Arial" w:eastAsia="Times New Roman" w:hAnsi="Arial" w:cs="Arial"/>
          <w:sz w:val="24"/>
          <w:szCs w:val="24"/>
          <w:lang w:eastAsia="en-GB"/>
        </w:rPr>
      </w:pPr>
    </w:p>
    <w:p w:rsidR="00AD5A1E" w:rsidRPr="00DE4DB7" w:rsidRDefault="00AD5A1E" w:rsidP="00DE4DB7">
      <w:pPr>
        <w:pStyle w:val="NoSpacing"/>
        <w:jc w:val="both"/>
        <w:rPr>
          <w:rFonts w:ascii="Arial" w:eastAsia="Arial Unicode MS" w:hAnsi="Arial" w:cs="Arial"/>
          <w:i/>
          <w:sz w:val="24"/>
          <w:szCs w:val="24"/>
          <w:bdr w:val="nil"/>
          <w:lang w:val="en-US"/>
        </w:rPr>
      </w:pPr>
    </w:p>
    <w:p w:rsidR="0079469E" w:rsidRPr="00DE4DB7" w:rsidRDefault="0079469E" w:rsidP="00DE4DB7">
      <w:pPr>
        <w:pStyle w:val="NoSpacing"/>
        <w:jc w:val="both"/>
        <w:rPr>
          <w:rFonts w:ascii="Arial" w:hAnsi="Arial" w:cs="Arial"/>
          <w:b/>
          <w:color w:val="000000"/>
          <w:sz w:val="24"/>
          <w:szCs w:val="24"/>
        </w:rPr>
      </w:pPr>
      <w:r w:rsidRPr="00DE4DB7">
        <w:rPr>
          <w:rFonts w:ascii="Arial" w:eastAsia="Arial Unicode MS" w:hAnsi="Arial" w:cs="Arial"/>
          <w:b/>
          <w:sz w:val="24"/>
          <w:szCs w:val="24"/>
          <w:bdr w:val="nil"/>
          <w:lang w:val="en-US"/>
        </w:rPr>
        <w:t>Mentoring models</w:t>
      </w:r>
    </w:p>
    <w:p w:rsidR="0079469E" w:rsidRPr="00DE4DB7" w:rsidRDefault="0079469E" w:rsidP="00DE4DB7">
      <w:pPr>
        <w:pStyle w:val="NoSpacing"/>
        <w:jc w:val="both"/>
        <w:rPr>
          <w:rFonts w:ascii="Arial" w:eastAsia="Arial Unicode MS" w:hAnsi="Arial" w:cs="Arial"/>
          <w:sz w:val="24"/>
          <w:szCs w:val="24"/>
          <w:bdr w:val="nil"/>
          <w:lang w:val="en-US"/>
        </w:rPr>
      </w:pPr>
    </w:p>
    <w:p w:rsidR="0079469E" w:rsidRPr="00DE4DB7" w:rsidRDefault="0079469E" w:rsidP="00DE4DB7">
      <w:pPr>
        <w:pStyle w:val="NoSpacing"/>
        <w:jc w:val="both"/>
        <w:rPr>
          <w:rFonts w:ascii="Arial" w:hAnsi="Arial" w:cs="Arial"/>
          <w:sz w:val="24"/>
          <w:szCs w:val="24"/>
        </w:rPr>
      </w:pPr>
      <w:r w:rsidRPr="00DE4DB7">
        <w:rPr>
          <w:rFonts w:ascii="Arial" w:eastAsia="Times New Roman" w:hAnsi="Arial" w:cs="Arial"/>
          <w:sz w:val="24"/>
          <w:szCs w:val="24"/>
          <w:lang w:eastAsia="en-GB"/>
        </w:rPr>
        <w:t xml:space="preserve">Mentoring students in clinical practice is an important aspect of the registered nurses role. However, the pressure of clinical commitments on mentors and lack of available time sometimes limits the number of </w:t>
      </w:r>
      <w:r w:rsidR="00CD7D8A" w:rsidRPr="00DE4DB7">
        <w:rPr>
          <w:rFonts w:ascii="Arial" w:eastAsia="Times New Roman" w:hAnsi="Arial" w:cs="Arial"/>
          <w:sz w:val="24"/>
          <w:szCs w:val="24"/>
          <w:lang w:eastAsia="en-GB"/>
        </w:rPr>
        <w:t>mentors’</w:t>
      </w:r>
      <w:r w:rsidRPr="00DE4DB7">
        <w:rPr>
          <w:rFonts w:ascii="Arial" w:eastAsia="Times New Roman" w:hAnsi="Arial" w:cs="Arial"/>
          <w:sz w:val="24"/>
          <w:szCs w:val="24"/>
          <w:lang w:eastAsia="en-GB"/>
        </w:rPr>
        <w:t xml:space="preserve"> available (Royal College of Nursing, 2016). The traditional one to one mentor-mentee model ha</w:t>
      </w:r>
      <w:r w:rsidR="00CD7D8A" w:rsidRPr="00DE4DB7">
        <w:rPr>
          <w:rFonts w:ascii="Arial" w:eastAsia="Times New Roman" w:hAnsi="Arial" w:cs="Arial"/>
          <w:sz w:val="24"/>
          <w:szCs w:val="24"/>
          <w:lang w:eastAsia="en-GB"/>
        </w:rPr>
        <w:t xml:space="preserve">s been documented as providing </w:t>
      </w:r>
      <w:r w:rsidRPr="00DE4DB7">
        <w:rPr>
          <w:rFonts w:ascii="Arial" w:eastAsia="Times New Roman" w:hAnsi="Arial" w:cs="Arial"/>
          <w:sz w:val="24"/>
          <w:szCs w:val="24"/>
          <w:lang w:eastAsia="en-GB"/>
        </w:rPr>
        <w:t>effective support for the novice (Kostovich and Thurn, 2012). However, this traditional form of mentoring is not always feasible</w:t>
      </w:r>
      <w:r w:rsidR="00CD7D8A" w:rsidRPr="00DE4DB7">
        <w:rPr>
          <w:rFonts w:ascii="Arial" w:eastAsia="Times New Roman" w:hAnsi="Arial" w:cs="Arial"/>
          <w:sz w:val="24"/>
          <w:szCs w:val="24"/>
          <w:lang w:eastAsia="en-GB"/>
        </w:rPr>
        <w:t>, particularly in community settings,</w:t>
      </w:r>
      <w:r w:rsidRPr="00DE4DB7">
        <w:rPr>
          <w:rFonts w:ascii="Arial" w:eastAsia="Times New Roman" w:hAnsi="Arial" w:cs="Arial"/>
          <w:sz w:val="24"/>
          <w:szCs w:val="24"/>
          <w:lang w:eastAsia="en-GB"/>
        </w:rPr>
        <w:t xml:space="preserve"> and it is necessary to develop innovative solutions. Adopting different models and approaches to mentoring should increase the capacity for student placements in the community as well as</w:t>
      </w:r>
      <w:r w:rsidR="00CD7D8A" w:rsidRPr="00DE4DB7">
        <w:rPr>
          <w:rFonts w:ascii="Arial" w:eastAsia="Times New Roman" w:hAnsi="Arial" w:cs="Arial"/>
          <w:sz w:val="24"/>
          <w:szCs w:val="24"/>
          <w:lang w:eastAsia="en-GB"/>
        </w:rPr>
        <w:t xml:space="preserve"> creating access to </w:t>
      </w:r>
      <w:r w:rsidR="00EF3716" w:rsidRPr="00DE4DB7">
        <w:rPr>
          <w:rFonts w:ascii="Arial" w:eastAsia="Times New Roman" w:hAnsi="Arial" w:cs="Arial"/>
          <w:sz w:val="24"/>
          <w:szCs w:val="24"/>
          <w:lang w:eastAsia="en-GB"/>
        </w:rPr>
        <w:t>new practice</w:t>
      </w:r>
      <w:r w:rsidRPr="00DE4DB7">
        <w:rPr>
          <w:rFonts w:ascii="Arial" w:eastAsia="Times New Roman" w:hAnsi="Arial" w:cs="Arial"/>
          <w:sz w:val="24"/>
          <w:szCs w:val="24"/>
          <w:lang w:eastAsia="en-GB"/>
        </w:rPr>
        <w:t xml:space="preserve"> learning environment</w:t>
      </w:r>
      <w:r w:rsidR="00CD7D8A" w:rsidRPr="00DE4DB7">
        <w:rPr>
          <w:rFonts w:ascii="Arial" w:eastAsia="Times New Roman" w:hAnsi="Arial" w:cs="Arial"/>
          <w:sz w:val="24"/>
          <w:szCs w:val="24"/>
          <w:lang w:eastAsia="en-GB"/>
        </w:rPr>
        <w:t>s</w:t>
      </w:r>
      <w:r w:rsidRPr="00DE4DB7">
        <w:rPr>
          <w:rFonts w:ascii="Arial" w:eastAsia="Times New Roman" w:hAnsi="Arial" w:cs="Arial"/>
          <w:sz w:val="24"/>
          <w:szCs w:val="24"/>
          <w:lang w:eastAsia="en-GB"/>
        </w:rPr>
        <w:t xml:space="preserve"> that emphasise integrated and multiagency approaches to working. Models of mentoring such as the ‘Hub and Breadth Spoke’ and ‘Team Approach’, have been identified as successful strategy to support pre-registration students in placements Roxburgh et al. (2012). (See definitions in Box</w:t>
      </w:r>
      <w:r w:rsidR="000E4111">
        <w:rPr>
          <w:rFonts w:ascii="Arial" w:eastAsia="Times New Roman" w:hAnsi="Arial" w:cs="Arial"/>
          <w:sz w:val="24"/>
          <w:szCs w:val="24"/>
          <w:lang w:eastAsia="en-GB"/>
        </w:rPr>
        <w:t>es</w:t>
      </w:r>
      <w:r w:rsidRPr="00DE4DB7">
        <w:rPr>
          <w:rFonts w:ascii="Arial" w:eastAsia="Times New Roman" w:hAnsi="Arial" w:cs="Arial"/>
          <w:sz w:val="24"/>
          <w:szCs w:val="24"/>
          <w:lang w:eastAsia="en-GB"/>
        </w:rPr>
        <w:t xml:space="preserve"> 1 and 2).</w:t>
      </w:r>
    </w:p>
    <w:p w:rsidR="0079469E" w:rsidRPr="00DE4DB7" w:rsidRDefault="0079469E" w:rsidP="00DE4DB7">
      <w:pPr>
        <w:pStyle w:val="NoSpacing"/>
        <w:jc w:val="both"/>
        <w:rPr>
          <w:rFonts w:ascii="Arial" w:eastAsia="Times New Roman" w:hAnsi="Arial" w:cs="Arial"/>
          <w:sz w:val="24"/>
          <w:szCs w:val="24"/>
          <w:lang w:eastAsia="en-GB"/>
        </w:rPr>
      </w:pPr>
    </w:p>
    <w:p w:rsidR="0079469E" w:rsidRPr="00DE4DB7" w:rsidRDefault="0079469E" w:rsidP="00DE4DB7">
      <w:pPr>
        <w:pStyle w:val="NoSpacing"/>
        <w:jc w:val="both"/>
        <w:rPr>
          <w:rFonts w:ascii="Arial" w:eastAsia="Arial Unicode MS" w:hAnsi="Arial" w:cs="Arial"/>
          <w:b/>
          <w:sz w:val="24"/>
          <w:szCs w:val="24"/>
          <w:bdr w:val="nil"/>
          <w:lang w:val="en-US"/>
        </w:rPr>
      </w:pPr>
    </w:p>
    <w:p w:rsidR="0079469E" w:rsidRPr="00DE4DB7" w:rsidRDefault="0079469E" w:rsidP="00DE4DB7">
      <w:pPr>
        <w:pStyle w:val="NoSpacing"/>
        <w:jc w:val="both"/>
        <w:rPr>
          <w:rFonts w:ascii="Arial" w:hAnsi="Arial" w:cs="Arial"/>
          <w:b/>
          <w:sz w:val="24"/>
          <w:szCs w:val="24"/>
        </w:rPr>
      </w:pPr>
    </w:p>
    <w:p w:rsidR="0079469E" w:rsidRPr="00DE4DB7" w:rsidRDefault="0079469E" w:rsidP="00DE4DB7">
      <w:pPr>
        <w:pStyle w:val="NoSpacing"/>
        <w:jc w:val="both"/>
        <w:rPr>
          <w:rFonts w:ascii="Arial" w:hAnsi="Arial" w:cs="Arial"/>
          <w:b/>
          <w:sz w:val="24"/>
          <w:szCs w:val="24"/>
        </w:rPr>
      </w:pPr>
      <w:r w:rsidRPr="00DE4DB7">
        <w:rPr>
          <w:rFonts w:ascii="Arial" w:hAnsi="Arial" w:cs="Arial"/>
          <w:b/>
          <w:sz w:val="24"/>
          <w:szCs w:val="24"/>
        </w:rPr>
        <w:t>Box 1: Definition of Hub and Breadth Spoke Mentoring</w:t>
      </w:r>
    </w:p>
    <w:tbl>
      <w:tblPr>
        <w:tblStyle w:val="TableGrid"/>
        <w:tblW w:w="0" w:type="auto"/>
        <w:tblLook w:val="04A0" w:firstRow="1" w:lastRow="0" w:firstColumn="1" w:lastColumn="0" w:noHBand="0" w:noVBand="1"/>
      </w:tblPr>
      <w:tblGrid>
        <w:gridCol w:w="9242"/>
      </w:tblGrid>
      <w:tr w:rsidR="0079469E" w:rsidRPr="00DE4DB7" w:rsidTr="00D36CB2">
        <w:tc>
          <w:tcPr>
            <w:tcW w:w="9242" w:type="dxa"/>
          </w:tcPr>
          <w:p w:rsidR="0079469E" w:rsidRPr="00DE4DB7" w:rsidRDefault="0079469E" w:rsidP="00DE4DB7">
            <w:pPr>
              <w:pStyle w:val="NoSpacing"/>
              <w:jc w:val="both"/>
              <w:rPr>
                <w:rFonts w:ascii="Arial" w:eastAsiaTheme="minorEastAsia" w:hAnsi="Arial" w:cs="Arial"/>
                <w:color w:val="000000" w:themeColor="text1"/>
                <w:kern w:val="24"/>
                <w:sz w:val="24"/>
                <w:szCs w:val="24"/>
                <w:lang w:eastAsia="en-GB"/>
              </w:rPr>
            </w:pPr>
            <w:r w:rsidRPr="00DE4DB7">
              <w:rPr>
                <w:rFonts w:ascii="Arial" w:eastAsiaTheme="minorEastAsia" w:hAnsi="Arial" w:cs="Arial"/>
                <w:b/>
                <w:color w:val="000000" w:themeColor="text1"/>
                <w:kern w:val="24"/>
                <w:sz w:val="24"/>
                <w:szCs w:val="24"/>
                <w:lang w:eastAsia="en-GB"/>
              </w:rPr>
              <w:t>Hub</w:t>
            </w:r>
            <w:r w:rsidRPr="00DE4DB7">
              <w:rPr>
                <w:rFonts w:ascii="Arial" w:eastAsiaTheme="minorEastAsia" w:hAnsi="Arial" w:cs="Arial"/>
                <w:color w:val="000000" w:themeColor="text1"/>
                <w:kern w:val="24"/>
                <w:sz w:val="24"/>
                <w:szCs w:val="24"/>
                <w:lang w:eastAsia="en-GB"/>
              </w:rPr>
              <w:t xml:space="preserve"> </w:t>
            </w:r>
            <w:r w:rsidRPr="00DE4DB7">
              <w:rPr>
                <w:rFonts w:ascii="Arial" w:eastAsiaTheme="minorEastAsia" w:hAnsi="Arial" w:cs="Arial"/>
                <w:b/>
                <w:color w:val="000000" w:themeColor="text1"/>
                <w:kern w:val="24"/>
                <w:sz w:val="24"/>
                <w:szCs w:val="24"/>
                <w:lang w:eastAsia="en-GB"/>
              </w:rPr>
              <w:t>placements</w:t>
            </w:r>
            <w:r w:rsidRPr="00DE4DB7">
              <w:rPr>
                <w:rFonts w:ascii="Arial" w:eastAsiaTheme="minorEastAsia" w:hAnsi="Arial" w:cs="Arial"/>
                <w:color w:val="000000" w:themeColor="text1"/>
                <w:kern w:val="24"/>
                <w:sz w:val="24"/>
                <w:szCs w:val="24"/>
                <w:lang w:eastAsia="en-GB"/>
              </w:rPr>
              <w:t>: take students at all stages of the course for varying lengths of placement and have qualified mentors.</w:t>
            </w:r>
          </w:p>
          <w:p w:rsidR="0079469E" w:rsidRPr="00DE4DB7" w:rsidRDefault="0079469E" w:rsidP="00DE4DB7">
            <w:pPr>
              <w:pStyle w:val="NoSpacing"/>
              <w:jc w:val="both"/>
              <w:rPr>
                <w:rFonts w:ascii="Arial" w:eastAsia="Times New Roman" w:hAnsi="Arial" w:cs="Arial"/>
                <w:sz w:val="24"/>
                <w:szCs w:val="24"/>
                <w:lang w:eastAsia="en-GB"/>
              </w:rPr>
            </w:pPr>
          </w:p>
          <w:p w:rsidR="0079469E" w:rsidRPr="00DE4DB7" w:rsidRDefault="0079469E" w:rsidP="00DE4DB7">
            <w:pPr>
              <w:pStyle w:val="NoSpacing"/>
              <w:jc w:val="both"/>
              <w:rPr>
                <w:rFonts w:ascii="Arial" w:eastAsiaTheme="minorEastAsia" w:hAnsi="Arial" w:cs="Arial"/>
                <w:color w:val="000000" w:themeColor="text1"/>
                <w:kern w:val="24"/>
                <w:sz w:val="24"/>
                <w:szCs w:val="24"/>
                <w:lang w:eastAsia="en-GB"/>
              </w:rPr>
            </w:pPr>
            <w:r w:rsidRPr="00DE4DB7">
              <w:rPr>
                <w:rFonts w:ascii="Arial" w:eastAsiaTheme="minorEastAsia" w:hAnsi="Arial" w:cs="Arial"/>
                <w:b/>
                <w:bCs/>
                <w:color w:val="000000" w:themeColor="text1"/>
                <w:kern w:val="24"/>
                <w:sz w:val="24"/>
                <w:szCs w:val="24"/>
                <w:lang w:eastAsia="en-GB"/>
              </w:rPr>
              <w:t>Breadth</w:t>
            </w:r>
            <w:r w:rsidRPr="00DE4DB7">
              <w:rPr>
                <w:rFonts w:ascii="Arial" w:eastAsiaTheme="minorEastAsia" w:hAnsi="Arial" w:cs="Arial"/>
                <w:color w:val="000000" w:themeColor="text1"/>
                <w:kern w:val="24"/>
                <w:sz w:val="24"/>
                <w:szCs w:val="24"/>
                <w:lang w:eastAsia="en-GB"/>
              </w:rPr>
              <w:t xml:space="preserve"> </w:t>
            </w:r>
            <w:r w:rsidRPr="00DE4DB7">
              <w:rPr>
                <w:rFonts w:ascii="Arial" w:eastAsiaTheme="minorEastAsia" w:hAnsi="Arial" w:cs="Arial"/>
                <w:b/>
                <w:color w:val="000000" w:themeColor="text1"/>
                <w:kern w:val="24"/>
                <w:sz w:val="24"/>
                <w:szCs w:val="24"/>
                <w:lang w:eastAsia="en-GB"/>
              </w:rPr>
              <w:t>placements</w:t>
            </w:r>
            <w:r w:rsidRPr="00DE4DB7">
              <w:rPr>
                <w:rFonts w:ascii="Arial" w:eastAsiaTheme="minorEastAsia" w:hAnsi="Arial" w:cs="Arial"/>
                <w:color w:val="000000" w:themeColor="text1"/>
                <w:kern w:val="24"/>
                <w:sz w:val="24"/>
                <w:szCs w:val="24"/>
                <w:lang w:eastAsia="en-GB"/>
              </w:rPr>
              <w:t>: provide a breadth of learning opportunities across different clinical areas, especially those not directly associated but relevant and linked with their hub area. For example, children’s centres, early years, voluntary sectors and GP settings.</w:t>
            </w:r>
          </w:p>
          <w:p w:rsidR="0079469E" w:rsidRPr="00DE4DB7" w:rsidRDefault="0079469E" w:rsidP="00DE4DB7">
            <w:pPr>
              <w:pStyle w:val="NoSpacing"/>
              <w:jc w:val="both"/>
              <w:rPr>
                <w:rFonts w:ascii="Arial" w:eastAsia="Times New Roman" w:hAnsi="Arial" w:cs="Arial"/>
                <w:sz w:val="24"/>
                <w:szCs w:val="24"/>
                <w:lang w:eastAsia="en-GB"/>
              </w:rPr>
            </w:pPr>
          </w:p>
          <w:p w:rsidR="0079469E" w:rsidRPr="00DE4DB7" w:rsidRDefault="0079469E" w:rsidP="00DE4DB7">
            <w:pPr>
              <w:pStyle w:val="NoSpacing"/>
              <w:jc w:val="both"/>
              <w:rPr>
                <w:rFonts w:ascii="Arial" w:hAnsi="Arial" w:cs="Arial"/>
                <w:b/>
                <w:sz w:val="24"/>
                <w:szCs w:val="24"/>
              </w:rPr>
            </w:pPr>
            <w:r w:rsidRPr="00DE4DB7">
              <w:rPr>
                <w:rFonts w:ascii="Arial" w:eastAsiaTheme="minorEastAsia" w:hAnsi="Arial" w:cs="Arial"/>
                <w:color w:val="000000" w:themeColor="text1"/>
                <w:kern w:val="24"/>
                <w:sz w:val="24"/>
                <w:szCs w:val="24"/>
                <w:lang w:eastAsia="en-GB"/>
              </w:rPr>
              <w:t xml:space="preserve">A </w:t>
            </w:r>
            <w:r w:rsidRPr="00DE4DB7">
              <w:rPr>
                <w:rFonts w:ascii="Arial" w:eastAsiaTheme="minorEastAsia" w:hAnsi="Arial" w:cs="Arial"/>
                <w:b/>
                <w:color w:val="000000" w:themeColor="text1"/>
                <w:kern w:val="24"/>
                <w:sz w:val="24"/>
                <w:szCs w:val="24"/>
                <w:lang w:eastAsia="en-GB"/>
              </w:rPr>
              <w:t>spoke</w:t>
            </w:r>
            <w:r w:rsidRPr="00DE4DB7">
              <w:rPr>
                <w:rFonts w:ascii="Arial" w:eastAsiaTheme="minorEastAsia" w:hAnsi="Arial" w:cs="Arial"/>
                <w:color w:val="000000" w:themeColor="text1"/>
                <w:kern w:val="24"/>
                <w:sz w:val="24"/>
                <w:szCs w:val="24"/>
                <w:lang w:eastAsia="en-GB"/>
              </w:rPr>
              <w:t>: is a learning experience that is arranged from a placement (hub or breadth). Spoke experiences add to students’ learning and create relevant learning opportunities not available within the hub or breadth placements.</w:t>
            </w:r>
          </w:p>
        </w:tc>
      </w:tr>
    </w:tbl>
    <w:p w:rsidR="0079469E" w:rsidRPr="00DE4DB7" w:rsidRDefault="0079469E" w:rsidP="00DE4DB7">
      <w:pPr>
        <w:pStyle w:val="NoSpacing"/>
        <w:jc w:val="both"/>
        <w:rPr>
          <w:rFonts w:ascii="Arial" w:hAnsi="Arial" w:cs="Arial"/>
          <w:b/>
          <w:sz w:val="24"/>
          <w:szCs w:val="24"/>
        </w:rPr>
      </w:pPr>
    </w:p>
    <w:p w:rsidR="0079469E" w:rsidRPr="00DE4DB7" w:rsidRDefault="0079469E" w:rsidP="00DE4DB7">
      <w:pPr>
        <w:pStyle w:val="NoSpacing"/>
        <w:jc w:val="both"/>
        <w:rPr>
          <w:rFonts w:ascii="Arial" w:hAnsi="Arial" w:cs="Arial"/>
          <w:b/>
          <w:sz w:val="24"/>
          <w:szCs w:val="24"/>
        </w:rPr>
      </w:pPr>
      <w:r w:rsidRPr="00DE4DB7">
        <w:rPr>
          <w:rFonts w:ascii="Arial" w:hAnsi="Arial" w:cs="Arial"/>
          <w:b/>
          <w:sz w:val="24"/>
          <w:szCs w:val="24"/>
        </w:rPr>
        <w:t>Box 2: Definition of Team Mentoring</w:t>
      </w:r>
    </w:p>
    <w:tbl>
      <w:tblPr>
        <w:tblStyle w:val="TableGrid"/>
        <w:tblW w:w="0" w:type="auto"/>
        <w:tblLook w:val="04A0" w:firstRow="1" w:lastRow="0" w:firstColumn="1" w:lastColumn="0" w:noHBand="0" w:noVBand="1"/>
      </w:tblPr>
      <w:tblGrid>
        <w:gridCol w:w="9242"/>
      </w:tblGrid>
      <w:tr w:rsidR="0079469E" w:rsidRPr="00DE4DB7" w:rsidTr="00D36CB2">
        <w:tc>
          <w:tcPr>
            <w:tcW w:w="9242" w:type="dxa"/>
          </w:tcPr>
          <w:p w:rsidR="0079469E" w:rsidRPr="00DE4DB7" w:rsidRDefault="0079469E" w:rsidP="00DE4DB7">
            <w:pPr>
              <w:pStyle w:val="NoSpacing"/>
              <w:jc w:val="both"/>
              <w:rPr>
                <w:rFonts w:ascii="Arial" w:eastAsiaTheme="minorEastAsia" w:hAnsi="Arial" w:cs="Arial"/>
                <w:b/>
                <w:color w:val="000000" w:themeColor="text1"/>
                <w:kern w:val="24"/>
                <w:sz w:val="24"/>
                <w:szCs w:val="24"/>
                <w:lang w:eastAsia="en-GB"/>
              </w:rPr>
            </w:pPr>
            <w:r w:rsidRPr="00DE4DB7">
              <w:rPr>
                <w:rFonts w:ascii="Arial" w:eastAsia="Times New Roman" w:hAnsi="Arial" w:cs="Arial"/>
                <w:b/>
                <w:sz w:val="24"/>
                <w:szCs w:val="24"/>
                <w:lang w:eastAsia="en-GB"/>
              </w:rPr>
              <w:t xml:space="preserve">Team mentoring: </w:t>
            </w:r>
            <w:r w:rsidRPr="00DE4DB7">
              <w:rPr>
                <w:rFonts w:ascii="Arial" w:eastAsia="Times New Roman" w:hAnsi="Arial" w:cs="Arial"/>
                <w:sz w:val="24"/>
                <w:szCs w:val="24"/>
                <w:lang w:eastAsia="en-GB"/>
              </w:rPr>
              <w:t>involves</w:t>
            </w:r>
            <w:r w:rsidRPr="00DE4DB7">
              <w:rPr>
                <w:rFonts w:ascii="Arial" w:eastAsia="Times New Roman" w:hAnsi="Arial" w:cs="Arial"/>
                <w:b/>
                <w:sz w:val="24"/>
                <w:szCs w:val="24"/>
                <w:lang w:eastAsia="en-GB"/>
              </w:rPr>
              <w:t>:</w:t>
            </w:r>
            <w:r w:rsidRPr="00DE4DB7">
              <w:rPr>
                <w:rFonts w:ascii="Arial" w:eastAsia="Times New Roman" w:hAnsi="Arial" w:cs="Arial"/>
                <w:sz w:val="24"/>
                <w:szCs w:val="24"/>
                <w:lang w:eastAsia="en-GB"/>
              </w:rPr>
              <w:t xml:space="preserve"> having a named mentor and a number of facilitators working together to contribute to the student’s learning experience.</w:t>
            </w:r>
            <w:r w:rsidRPr="00DE4DB7">
              <w:rPr>
                <w:rFonts w:ascii="Arial" w:hAnsi="Arial" w:cs="Arial"/>
                <w:sz w:val="24"/>
                <w:szCs w:val="24"/>
              </w:rPr>
              <w:t xml:space="preserve"> Facilitators within the Team will contribute to the mentees learning over a period of time from agreed learning objectives/outcome. A named mentor in the team will have overall responsibility for the student and responsible for coordinating the students’ learning and assessments </w:t>
            </w:r>
            <w:r w:rsidRPr="00DE4DB7">
              <w:rPr>
                <w:rFonts w:ascii="Arial" w:eastAsia="Times New Roman" w:hAnsi="Arial" w:cs="Arial"/>
                <w:sz w:val="24"/>
                <w:szCs w:val="24"/>
                <w:lang w:eastAsia="en-GB"/>
              </w:rPr>
              <w:t>(Caldwell et al., 2008)</w:t>
            </w:r>
          </w:p>
        </w:tc>
      </w:tr>
    </w:tbl>
    <w:p w:rsidR="0079469E" w:rsidRPr="00DE4DB7" w:rsidRDefault="0079469E" w:rsidP="00DE4DB7">
      <w:pPr>
        <w:pStyle w:val="NoSpacing"/>
        <w:jc w:val="both"/>
        <w:rPr>
          <w:rFonts w:ascii="Arial" w:eastAsiaTheme="minorEastAsia" w:hAnsi="Arial" w:cs="Arial"/>
          <w:b/>
          <w:color w:val="000000" w:themeColor="text1"/>
          <w:kern w:val="24"/>
          <w:sz w:val="24"/>
          <w:szCs w:val="24"/>
          <w:lang w:eastAsia="en-GB"/>
        </w:rPr>
      </w:pPr>
    </w:p>
    <w:p w:rsidR="0079469E" w:rsidRPr="00DE4DB7" w:rsidRDefault="0079469E" w:rsidP="00DE4DB7">
      <w:pPr>
        <w:pStyle w:val="NoSpacing"/>
        <w:jc w:val="both"/>
        <w:rPr>
          <w:rFonts w:ascii="Arial" w:eastAsia="Arial Unicode MS" w:hAnsi="Arial" w:cs="Arial"/>
          <w:b/>
          <w:sz w:val="24"/>
          <w:szCs w:val="24"/>
          <w:bdr w:val="nil"/>
          <w:lang w:val="en-US"/>
        </w:rPr>
      </w:pPr>
    </w:p>
    <w:p w:rsidR="0079469E" w:rsidRPr="00DE4DB7" w:rsidRDefault="0079469E" w:rsidP="00DE4DB7">
      <w:pPr>
        <w:pStyle w:val="NoSpacing"/>
        <w:jc w:val="both"/>
        <w:rPr>
          <w:rFonts w:ascii="Arial" w:eastAsia="Arial Unicode MS" w:hAnsi="Arial" w:cs="Arial"/>
          <w:b/>
          <w:sz w:val="24"/>
          <w:szCs w:val="24"/>
          <w:bdr w:val="nil"/>
          <w:lang w:val="en-US"/>
        </w:rPr>
      </w:pPr>
      <w:r w:rsidRPr="00DE4DB7">
        <w:rPr>
          <w:rFonts w:ascii="Arial" w:eastAsia="Arial Unicode MS" w:hAnsi="Arial" w:cs="Arial"/>
          <w:b/>
          <w:sz w:val="24"/>
          <w:szCs w:val="24"/>
          <w:bdr w:val="nil"/>
          <w:lang w:val="en-US"/>
        </w:rPr>
        <w:t>Aim of project</w:t>
      </w:r>
    </w:p>
    <w:p w:rsidR="0079469E" w:rsidRPr="00DE4DB7" w:rsidRDefault="0079469E" w:rsidP="00DE4DB7">
      <w:pPr>
        <w:pStyle w:val="NoSpacing"/>
        <w:jc w:val="both"/>
        <w:rPr>
          <w:rFonts w:ascii="Arial" w:eastAsia="Arial Unicode MS" w:hAnsi="Arial" w:cs="Arial"/>
          <w:sz w:val="24"/>
          <w:szCs w:val="24"/>
          <w:bdr w:val="nil"/>
          <w:lang w:val="en-US"/>
        </w:rPr>
      </w:pPr>
      <w:r w:rsidRPr="00DE4DB7">
        <w:rPr>
          <w:rFonts w:ascii="Arial" w:eastAsia="Arial Unicode MS" w:hAnsi="Arial" w:cs="Arial"/>
          <w:sz w:val="24"/>
          <w:szCs w:val="24"/>
          <w:bdr w:val="nil"/>
          <w:lang w:val="en-US"/>
        </w:rPr>
        <w:t>To expand the range of community placements available for pre-registration children’s nursing students in CLCH.</w:t>
      </w:r>
    </w:p>
    <w:p w:rsidR="0079469E" w:rsidRPr="00DE4DB7" w:rsidRDefault="0079469E" w:rsidP="00DE4DB7">
      <w:pPr>
        <w:pStyle w:val="NoSpacing"/>
        <w:jc w:val="both"/>
        <w:rPr>
          <w:rFonts w:ascii="Arial" w:eastAsia="Arial Unicode MS" w:hAnsi="Arial" w:cs="Arial"/>
          <w:b/>
          <w:sz w:val="24"/>
          <w:szCs w:val="24"/>
          <w:bdr w:val="nil"/>
          <w:lang w:val="en-US"/>
        </w:rPr>
      </w:pPr>
    </w:p>
    <w:p w:rsidR="00AD5A1E" w:rsidRPr="00DE4DB7" w:rsidRDefault="00AD5A1E" w:rsidP="00DE4DB7">
      <w:pPr>
        <w:pStyle w:val="NoSpacing"/>
        <w:jc w:val="both"/>
        <w:rPr>
          <w:rFonts w:ascii="Arial" w:eastAsia="Arial Unicode MS" w:hAnsi="Arial" w:cs="Arial"/>
          <w:b/>
          <w:sz w:val="24"/>
          <w:szCs w:val="24"/>
          <w:bdr w:val="nil"/>
          <w:lang w:val="en-US"/>
        </w:rPr>
      </w:pPr>
    </w:p>
    <w:p w:rsidR="00AD5A1E" w:rsidRPr="00DE4DB7" w:rsidRDefault="00AD5A1E" w:rsidP="00DE4DB7">
      <w:pPr>
        <w:pStyle w:val="NoSpacing"/>
        <w:jc w:val="both"/>
        <w:rPr>
          <w:rFonts w:ascii="Arial" w:eastAsia="Arial Unicode MS" w:hAnsi="Arial" w:cs="Arial"/>
          <w:b/>
          <w:sz w:val="24"/>
          <w:szCs w:val="24"/>
          <w:bdr w:val="nil"/>
          <w:lang w:val="en-US"/>
        </w:rPr>
      </w:pPr>
    </w:p>
    <w:p w:rsidR="0079469E" w:rsidRPr="00DE4DB7" w:rsidRDefault="00971289" w:rsidP="00DE4DB7">
      <w:pPr>
        <w:pStyle w:val="NoSpacing"/>
        <w:jc w:val="both"/>
        <w:rPr>
          <w:rFonts w:ascii="Arial" w:eastAsia="Arial Unicode MS" w:hAnsi="Arial" w:cs="Arial"/>
          <w:b/>
          <w:sz w:val="24"/>
          <w:szCs w:val="24"/>
          <w:bdr w:val="nil"/>
          <w:lang w:val="en-US"/>
        </w:rPr>
      </w:pPr>
      <w:r w:rsidRPr="00DE4DB7">
        <w:rPr>
          <w:rFonts w:ascii="Arial" w:eastAsia="Arial Unicode MS" w:hAnsi="Arial" w:cs="Arial"/>
          <w:b/>
          <w:sz w:val="24"/>
          <w:szCs w:val="24"/>
          <w:bdr w:val="nil"/>
          <w:lang w:val="en-US"/>
        </w:rPr>
        <w:t>P</w:t>
      </w:r>
      <w:r w:rsidR="0079469E" w:rsidRPr="00DE4DB7">
        <w:rPr>
          <w:rFonts w:ascii="Arial" w:eastAsia="Arial Unicode MS" w:hAnsi="Arial" w:cs="Arial"/>
          <w:b/>
          <w:sz w:val="24"/>
          <w:szCs w:val="24"/>
          <w:bdr w:val="nil"/>
          <w:lang w:val="en-US"/>
        </w:rPr>
        <w:t>roject</w:t>
      </w:r>
      <w:r w:rsidRPr="00DE4DB7">
        <w:rPr>
          <w:rFonts w:ascii="Arial" w:eastAsia="Arial Unicode MS" w:hAnsi="Arial" w:cs="Arial"/>
          <w:b/>
          <w:sz w:val="24"/>
          <w:szCs w:val="24"/>
          <w:bdr w:val="nil"/>
          <w:lang w:val="en-US"/>
        </w:rPr>
        <w:t xml:space="preserve"> Outline</w:t>
      </w:r>
    </w:p>
    <w:p w:rsidR="00C91C7E" w:rsidRPr="00DE4DB7" w:rsidRDefault="00055317" w:rsidP="00DE4DB7">
      <w:pPr>
        <w:pStyle w:val="NoSpacing"/>
        <w:jc w:val="both"/>
        <w:rPr>
          <w:rFonts w:ascii="Arial" w:hAnsi="Arial" w:cs="Arial"/>
          <w:sz w:val="24"/>
          <w:szCs w:val="24"/>
        </w:rPr>
      </w:pPr>
      <w:r w:rsidRPr="00DE4DB7">
        <w:rPr>
          <w:rFonts w:ascii="Arial" w:eastAsia="Arial Unicode MS" w:hAnsi="Arial" w:cs="Arial"/>
          <w:sz w:val="24"/>
          <w:szCs w:val="24"/>
          <w:bdr w:val="nil"/>
          <w:lang w:val="en-US"/>
        </w:rPr>
        <w:t>A scoping exercise was undertaken to map existing placements and</w:t>
      </w:r>
      <w:r w:rsidR="0086520E" w:rsidRPr="00DE4DB7">
        <w:rPr>
          <w:rFonts w:ascii="Arial" w:eastAsia="Arial Unicode MS" w:hAnsi="Arial" w:cs="Arial"/>
          <w:sz w:val="24"/>
          <w:szCs w:val="24"/>
          <w:bdr w:val="nil"/>
          <w:lang w:val="en-US"/>
        </w:rPr>
        <w:t xml:space="preserve"> identify new placement</w:t>
      </w:r>
      <w:r w:rsidRPr="00DE4DB7">
        <w:rPr>
          <w:rFonts w:ascii="Arial" w:eastAsia="Arial Unicode MS" w:hAnsi="Arial" w:cs="Arial"/>
          <w:sz w:val="24"/>
          <w:szCs w:val="24"/>
          <w:bdr w:val="nil"/>
          <w:lang w:val="en-US"/>
        </w:rPr>
        <w:t xml:space="preserve"> </w:t>
      </w:r>
      <w:r w:rsidR="00353096" w:rsidRPr="00DE4DB7">
        <w:rPr>
          <w:rFonts w:ascii="Arial" w:eastAsia="Arial Unicode MS" w:hAnsi="Arial" w:cs="Arial"/>
          <w:sz w:val="24"/>
          <w:szCs w:val="24"/>
          <w:bdr w:val="nil"/>
          <w:lang w:val="en-US"/>
        </w:rPr>
        <w:t xml:space="preserve">opportunities. </w:t>
      </w:r>
      <w:r w:rsidR="00084B22" w:rsidRPr="00DE4DB7">
        <w:rPr>
          <w:rFonts w:ascii="Arial" w:hAnsi="Arial" w:cs="Arial"/>
          <w:sz w:val="24"/>
          <w:szCs w:val="24"/>
        </w:rPr>
        <w:t>This was followed by meetings and workshop with key stakeholders and clinical mentors.</w:t>
      </w:r>
      <w:r w:rsidR="003837B4" w:rsidRPr="00DE4DB7">
        <w:rPr>
          <w:rFonts w:ascii="Arial" w:hAnsi="Arial" w:cs="Arial"/>
          <w:sz w:val="24"/>
          <w:szCs w:val="24"/>
        </w:rPr>
        <w:t xml:space="preserve"> The scoping exercise identified 11 children’s centres in Central and North West London that offer a comprehensive health and early years’ service to families with children. These children’s centres were approached by email requesting a face to face meeting to discuss the initiative. All the children’s centres agreed to take part in the pilot. Separate meetings were also held with the Hub mentors to outline and discuss the project’s aims. They had the opportunity to ask questions about the project. Enablers and blockers with regards to the pilot were identified and discussed including; issues such as work pressure and mentor capacity.</w:t>
      </w:r>
    </w:p>
    <w:p w:rsidR="00084B22" w:rsidRDefault="00C91C7E" w:rsidP="00DE4DB7">
      <w:pPr>
        <w:pStyle w:val="NoSpacing"/>
        <w:jc w:val="both"/>
        <w:rPr>
          <w:rFonts w:ascii="Arial" w:hAnsi="Arial" w:cs="Arial"/>
          <w:sz w:val="24"/>
          <w:szCs w:val="24"/>
        </w:rPr>
      </w:pPr>
      <w:r w:rsidRPr="00DE4DB7">
        <w:rPr>
          <w:rFonts w:ascii="Arial" w:hAnsi="Arial" w:cs="Arial"/>
          <w:sz w:val="24"/>
          <w:szCs w:val="24"/>
        </w:rPr>
        <w:t xml:space="preserve">A total of 29 new placements were identified and secured in children’s centres and sexual health services across Central and North West London. </w:t>
      </w:r>
      <w:r w:rsidR="003837B4" w:rsidRPr="00DE4DB7">
        <w:rPr>
          <w:rFonts w:ascii="Arial" w:hAnsi="Arial" w:cs="Arial"/>
          <w:sz w:val="24"/>
          <w:szCs w:val="24"/>
        </w:rPr>
        <w:t>Prior to the students starting their placements further meetings were held with the student facilitators.</w:t>
      </w:r>
    </w:p>
    <w:p w:rsidR="004C2AA5" w:rsidRPr="00DE4DB7" w:rsidRDefault="004C2AA5" w:rsidP="00DE4DB7">
      <w:pPr>
        <w:pStyle w:val="NoSpacing"/>
        <w:jc w:val="both"/>
        <w:rPr>
          <w:rFonts w:ascii="Arial" w:hAnsi="Arial" w:cs="Arial"/>
          <w:sz w:val="24"/>
          <w:szCs w:val="24"/>
        </w:rPr>
      </w:pPr>
    </w:p>
    <w:p w:rsidR="0079469E" w:rsidRPr="00DE4DB7" w:rsidRDefault="00A1148A" w:rsidP="00DE4DB7">
      <w:pPr>
        <w:pStyle w:val="NoSpacing"/>
        <w:jc w:val="both"/>
        <w:rPr>
          <w:rFonts w:ascii="Arial" w:eastAsia="Arial Unicode MS" w:hAnsi="Arial" w:cs="Arial"/>
          <w:sz w:val="24"/>
          <w:szCs w:val="24"/>
          <w:bdr w:val="nil"/>
          <w:lang w:val="en-US"/>
        </w:rPr>
      </w:pPr>
      <w:r w:rsidRPr="00DE4DB7">
        <w:rPr>
          <w:rFonts w:ascii="Arial" w:eastAsia="Arial Unicode MS" w:hAnsi="Arial" w:cs="Arial"/>
          <w:sz w:val="24"/>
          <w:szCs w:val="24"/>
          <w:bdr w:val="nil"/>
          <w:lang w:val="en-US"/>
        </w:rPr>
        <w:t>Summary of project outline and process</w:t>
      </w:r>
      <w:r w:rsidR="0079469E" w:rsidRPr="00DE4DB7">
        <w:rPr>
          <w:rFonts w:ascii="Arial" w:eastAsia="Arial Unicode MS" w:hAnsi="Arial" w:cs="Arial"/>
          <w:sz w:val="24"/>
          <w:szCs w:val="24"/>
          <w:bdr w:val="nil"/>
          <w:lang w:val="en-US"/>
        </w:rPr>
        <w:t xml:space="preserve"> are detailed in Figure 1.</w:t>
      </w:r>
    </w:p>
    <w:p w:rsidR="0079469E" w:rsidRPr="00DE4DB7" w:rsidRDefault="0079469E" w:rsidP="00DE4DB7">
      <w:pPr>
        <w:pStyle w:val="NoSpacing"/>
        <w:jc w:val="both"/>
        <w:rPr>
          <w:rFonts w:ascii="Arial" w:eastAsia="Arial Unicode MS" w:hAnsi="Arial" w:cs="Arial"/>
          <w:sz w:val="24"/>
          <w:szCs w:val="24"/>
          <w:bdr w:val="nil"/>
          <w:lang w:val="en-US" w:eastAsia="en-GB"/>
        </w:rPr>
      </w:pPr>
      <w:r w:rsidRPr="00DE4DB7">
        <w:rPr>
          <w:rFonts w:ascii="Arial" w:eastAsia="Arial Unicode MS" w:hAnsi="Arial" w:cs="Arial"/>
          <w:noProof/>
          <w:sz w:val="24"/>
          <w:szCs w:val="24"/>
          <w:bdr w:val="nil"/>
          <w:lang w:eastAsia="en-GB"/>
        </w:rPr>
        <w:drawing>
          <wp:anchor distT="0" distB="0" distL="114300" distR="114300" simplePos="0" relativeHeight="251659264" behindDoc="1" locked="0" layoutInCell="1" allowOverlap="1" wp14:anchorId="319EABD3" wp14:editId="2F32959F">
            <wp:simplePos x="0" y="0"/>
            <wp:positionH relativeFrom="column">
              <wp:posOffset>152400</wp:posOffset>
            </wp:positionH>
            <wp:positionV relativeFrom="paragraph">
              <wp:posOffset>65405</wp:posOffset>
            </wp:positionV>
            <wp:extent cx="5229225" cy="2990850"/>
            <wp:effectExtent l="0" t="19050" r="0" b="7620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79469E" w:rsidRPr="00DE4DB7" w:rsidRDefault="0079469E" w:rsidP="00DE4DB7">
      <w:pPr>
        <w:pStyle w:val="NoSpacing"/>
        <w:jc w:val="both"/>
        <w:rPr>
          <w:rFonts w:ascii="Arial" w:eastAsia="Arial Unicode MS" w:hAnsi="Arial" w:cs="Arial"/>
          <w:sz w:val="24"/>
          <w:szCs w:val="24"/>
          <w:bdr w:val="nil"/>
          <w:lang w:val="en-US" w:eastAsia="en-GB"/>
        </w:rPr>
      </w:pPr>
    </w:p>
    <w:p w:rsidR="0079469E" w:rsidRPr="00DE4DB7" w:rsidRDefault="0079469E" w:rsidP="00DE4DB7">
      <w:pPr>
        <w:pStyle w:val="NoSpacing"/>
        <w:jc w:val="both"/>
        <w:rPr>
          <w:rFonts w:ascii="Arial" w:eastAsia="Arial Unicode MS" w:hAnsi="Arial" w:cs="Arial"/>
          <w:sz w:val="24"/>
          <w:szCs w:val="24"/>
          <w:bdr w:val="nil"/>
          <w:lang w:val="en-US" w:eastAsia="en-GB"/>
        </w:rPr>
      </w:pPr>
    </w:p>
    <w:p w:rsidR="0079469E" w:rsidRPr="00DE4DB7" w:rsidRDefault="0079469E" w:rsidP="00DE4DB7">
      <w:pPr>
        <w:pStyle w:val="NoSpacing"/>
        <w:jc w:val="both"/>
        <w:rPr>
          <w:rFonts w:ascii="Arial" w:eastAsia="Arial Unicode MS" w:hAnsi="Arial" w:cs="Arial"/>
          <w:sz w:val="24"/>
          <w:szCs w:val="24"/>
          <w:bdr w:val="nil"/>
          <w:lang w:val="en-US" w:eastAsia="en-GB"/>
        </w:rPr>
      </w:pPr>
    </w:p>
    <w:p w:rsidR="0079469E" w:rsidRPr="00DE4DB7" w:rsidRDefault="0079469E" w:rsidP="00DE4DB7">
      <w:pPr>
        <w:pStyle w:val="NoSpacing"/>
        <w:jc w:val="both"/>
        <w:rPr>
          <w:rFonts w:ascii="Arial" w:eastAsia="Arial Unicode MS" w:hAnsi="Arial" w:cs="Arial"/>
          <w:sz w:val="24"/>
          <w:szCs w:val="24"/>
          <w:bdr w:val="nil"/>
          <w:lang w:val="en-US" w:eastAsia="en-GB"/>
        </w:rPr>
      </w:pPr>
    </w:p>
    <w:p w:rsidR="0079469E" w:rsidRPr="00DE4DB7" w:rsidRDefault="0079469E" w:rsidP="00DE4DB7">
      <w:pPr>
        <w:pStyle w:val="NoSpacing"/>
        <w:jc w:val="both"/>
        <w:rPr>
          <w:rFonts w:ascii="Arial" w:eastAsia="Arial Unicode MS" w:hAnsi="Arial" w:cs="Arial"/>
          <w:sz w:val="24"/>
          <w:szCs w:val="24"/>
          <w:bdr w:val="nil"/>
          <w:lang w:val="en-US" w:eastAsia="en-GB"/>
        </w:rPr>
      </w:pPr>
    </w:p>
    <w:p w:rsidR="0079469E" w:rsidRPr="00DE4DB7" w:rsidRDefault="0079469E" w:rsidP="00DE4DB7">
      <w:pPr>
        <w:pStyle w:val="NoSpacing"/>
        <w:jc w:val="both"/>
        <w:rPr>
          <w:rFonts w:ascii="Arial" w:eastAsia="Arial Unicode MS" w:hAnsi="Arial" w:cs="Arial"/>
          <w:b/>
          <w:sz w:val="24"/>
          <w:szCs w:val="24"/>
          <w:bdr w:val="nil"/>
          <w:lang w:val="en-US"/>
        </w:rPr>
      </w:pPr>
    </w:p>
    <w:p w:rsidR="0079469E" w:rsidRPr="00DE4DB7" w:rsidRDefault="0079469E" w:rsidP="00DE4DB7">
      <w:pPr>
        <w:pStyle w:val="NoSpacing"/>
        <w:jc w:val="both"/>
        <w:rPr>
          <w:rFonts w:ascii="Arial" w:eastAsia="Arial Unicode MS" w:hAnsi="Arial" w:cs="Arial"/>
          <w:b/>
          <w:sz w:val="24"/>
          <w:szCs w:val="24"/>
          <w:bdr w:val="nil"/>
          <w:lang w:val="en-US"/>
        </w:rPr>
      </w:pPr>
    </w:p>
    <w:p w:rsidR="0079469E" w:rsidRPr="00DE4DB7" w:rsidRDefault="00C74EA6" w:rsidP="00C74EA6">
      <w:pPr>
        <w:pStyle w:val="NoSpacing"/>
        <w:tabs>
          <w:tab w:val="left" w:pos="5655"/>
        </w:tabs>
        <w:jc w:val="both"/>
        <w:rPr>
          <w:rFonts w:ascii="Arial" w:eastAsia="Arial Unicode MS" w:hAnsi="Arial" w:cs="Arial"/>
          <w:b/>
          <w:sz w:val="24"/>
          <w:szCs w:val="24"/>
          <w:bdr w:val="nil"/>
          <w:lang w:val="en-US"/>
        </w:rPr>
      </w:pPr>
      <w:r>
        <w:rPr>
          <w:rFonts w:ascii="Arial" w:eastAsia="Arial Unicode MS" w:hAnsi="Arial" w:cs="Arial"/>
          <w:b/>
          <w:sz w:val="24"/>
          <w:szCs w:val="24"/>
          <w:bdr w:val="nil"/>
          <w:lang w:val="en-US"/>
        </w:rPr>
        <w:tab/>
      </w:r>
    </w:p>
    <w:p w:rsidR="00C766E8" w:rsidRPr="00DE4DB7" w:rsidRDefault="00C766E8" w:rsidP="00DE4DB7">
      <w:pPr>
        <w:pStyle w:val="NoSpacing"/>
        <w:jc w:val="both"/>
        <w:rPr>
          <w:rFonts w:ascii="Arial" w:eastAsia="Arial Unicode MS" w:hAnsi="Arial" w:cs="Arial"/>
          <w:b/>
          <w:sz w:val="24"/>
          <w:szCs w:val="24"/>
          <w:bdr w:val="nil"/>
          <w:lang w:val="en-US"/>
        </w:rPr>
      </w:pPr>
    </w:p>
    <w:p w:rsidR="00C766E8" w:rsidRPr="00DE4DB7" w:rsidRDefault="00C766E8" w:rsidP="00DE4DB7">
      <w:pPr>
        <w:pStyle w:val="NoSpacing"/>
        <w:jc w:val="both"/>
        <w:rPr>
          <w:rFonts w:ascii="Arial" w:eastAsia="Arial Unicode MS" w:hAnsi="Arial" w:cs="Arial"/>
          <w:b/>
          <w:sz w:val="24"/>
          <w:szCs w:val="24"/>
          <w:bdr w:val="nil"/>
          <w:lang w:val="en-US"/>
        </w:rPr>
      </w:pPr>
    </w:p>
    <w:p w:rsidR="00C766E8" w:rsidRPr="00DE4DB7" w:rsidRDefault="00C766E8" w:rsidP="00DE4DB7">
      <w:pPr>
        <w:pStyle w:val="NoSpacing"/>
        <w:jc w:val="both"/>
        <w:rPr>
          <w:rFonts w:ascii="Arial" w:eastAsia="Arial Unicode MS" w:hAnsi="Arial" w:cs="Arial"/>
          <w:b/>
          <w:sz w:val="24"/>
          <w:szCs w:val="24"/>
          <w:bdr w:val="nil"/>
          <w:lang w:val="en-US"/>
        </w:rPr>
      </w:pPr>
    </w:p>
    <w:p w:rsidR="00C766E8" w:rsidRPr="00DE4DB7" w:rsidRDefault="00C766E8" w:rsidP="00DE4DB7">
      <w:pPr>
        <w:pStyle w:val="NoSpacing"/>
        <w:jc w:val="both"/>
        <w:rPr>
          <w:rFonts w:ascii="Arial" w:eastAsia="Arial Unicode MS" w:hAnsi="Arial" w:cs="Arial"/>
          <w:b/>
          <w:sz w:val="24"/>
          <w:szCs w:val="24"/>
          <w:bdr w:val="nil"/>
          <w:lang w:val="en-US"/>
        </w:rPr>
      </w:pPr>
    </w:p>
    <w:p w:rsidR="00C766E8" w:rsidRPr="00DE4DB7" w:rsidRDefault="00C766E8" w:rsidP="00DE4DB7">
      <w:pPr>
        <w:pStyle w:val="NoSpacing"/>
        <w:jc w:val="both"/>
        <w:rPr>
          <w:rFonts w:ascii="Arial" w:eastAsia="Arial Unicode MS" w:hAnsi="Arial" w:cs="Arial"/>
          <w:b/>
          <w:sz w:val="24"/>
          <w:szCs w:val="24"/>
          <w:bdr w:val="nil"/>
          <w:lang w:val="en-US"/>
        </w:rPr>
      </w:pPr>
    </w:p>
    <w:p w:rsidR="00C766E8" w:rsidRPr="00DE4DB7" w:rsidRDefault="00C766E8" w:rsidP="00DE4DB7">
      <w:pPr>
        <w:pStyle w:val="NoSpacing"/>
        <w:jc w:val="both"/>
        <w:rPr>
          <w:rFonts w:ascii="Arial" w:eastAsia="Arial Unicode MS" w:hAnsi="Arial" w:cs="Arial"/>
          <w:b/>
          <w:sz w:val="24"/>
          <w:szCs w:val="24"/>
          <w:bdr w:val="nil"/>
          <w:lang w:val="en-US"/>
        </w:rPr>
      </w:pPr>
    </w:p>
    <w:p w:rsidR="0079469E" w:rsidRPr="00DE4DB7" w:rsidRDefault="0079469E" w:rsidP="00DE4DB7">
      <w:pPr>
        <w:pStyle w:val="NoSpacing"/>
        <w:jc w:val="both"/>
        <w:rPr>
          <w:rFonts w:ascii="Arial" w:eastAsia="Arial Unicode MS" w:hAnsi="Arial" w:cs="Arial"/>
          <w:b/>
          <w:sz w:val="24"/>
          <w:szCs w:val="24"/>
          <w:bdr w:val="nil"/>
          <w:lang w:val="en-US"/>
        </w:rPr>
      </w:pPr>
      <w:r w:rsidRPr="00DE4DB7">
        <w:rPr>
          <w:rFonts w:ascii="Arial" w:eastAsia="Arial Unicode MS" w:hAnsi="Arial" w:cs="Arial"/>
          <w:b/>
          <w:sz w:val="24"/>
          <w:szCs w:val="24"/>
          <w:bdr w:val="nil"/>
          <w:lang w:val="en-US"/>
        </w:rPr>
        <w:t>Figure 1: Outline of project</w:t>
      </w:r>
    </w:p>
    <w:p w:rsidR="00C766E8" w:rsidRPr="00DE4DB7" w:rsidRDefault="00C766E8" w:rsidP="00DE4DB7">
      <w:pPr>
        <w:pStyle w:val="NoSpacing"/>
        <w:jc w:val="both"/>
        <w:rPr>
          <w:rFonts w:ascii="Arial" w:eastAsia="Arial Unicode MS" w:hAnsi="Arial" w:cs="Arial"/>
          <w:b/>
          <w:sz w:val="24"/>
          <w:szCs w:val="24"/>
          <w:bdr w:val="nil"/>
          <w:lang w:val="en-US"/>
        </w:rPr>
      </w:pPr>
    </w:p>
    <w:p w:rsidR="00C766E8" w:rsidRPr="00DE4DB7" w:rsidRDefault="00C766E8" w:rsidP="00DE4DB7">
      <w:pPr>
        <w:pStyle w:val="NoSpacing"/>
        <w:jc w:val="both"/>
        <w:rPr>
          <w:rFonts w:ascii="Arial" w:eastAsia="Arial Unicode MS" w:hAnsi="Arial" w:cs="Arial"/>
          <w:b/>
          <w:sz w:val="24"/>
          <w:szCs w:val="24"/>
          <w:bdr w:val="nil"/>
          <w:lang w:val="en-US"/>
        </w:rPr>
      </w:pPr>
    </w:p>
    <w:p w:rsidR="00E1761D" w:rsidRPr="00DE4DB7" w:rsidRDefault="00C91C7E" w:rsidP="00DE4DB7">
      <w:pPr>
        <w:pStyle w:val="NoSpacing"/>
        <w:jc w:val="both"/>
        <w:rPr>
          <w:rFonts w:ascii="Arial" w:hAnsi="Arial" w:cs="Arial"/>
          <w:b/>
          <w:sz w:val="24"/>
          <w:szCs w:val="24"/>
        </w:rPr>
      </w:pPr>
      <w:r w:rsidRPr="00DE4DB7">
        <w:rPr>
          <w:rFonts w:ascii="Arial" w:hAnsi="Arial" w:cs="Arial"/>
          <w:b/>
          <w:sz w:val="24"/>
          <w:szCs w:val="24"/>
        </w:rPr>
        <w:t>The Pilot</w:t>
      </w:r>
    </w:p>
    <w:p w:rsidR="00C91C7E" w:rsidRPr="00DE4DB7" w:rsidRDefault="00C91C7E" w:rsidP="00DE4DB7">
      <w:pPr>
        <w:pStyle w:val="NoSpacing"/>
        <w:jc w:val="both"/>
        <w:rPr>
          <w:rFonts w:ascii="Arial" w:hAnsi="Arial" w:cs="Arial"/>
          <w:sz w:val="24"/>
          <w:szCs w:val="24"/>
        </w:rPr>
      </w:pPr>
    </w:p>
    <w:p w:rsidR="00C91C7E" w:rsidRDefault="00C91C7E" w:rsidP="00DE4DB7">
      <w:pPr>
        <w:pStyle w:val="NoSpacing"/>
        <w:jc w:val="both"/>
        <w:rPr>
          <w:rFonts w:ascii="Arial" w:hAnsi="Arial" w:cs="Arial"/>
          <w:sz w:val="24"/>
          <w:szCs w:val="24"/>
        </w:rPr>
      </w:pPr>
      <w:r w:rsidRPr="00DE4DB7">
        <w:rPr>
          <w:rFonts w:ascii="Arial" w:hAnsi="Arial" w:cs="Arial"/>
          <w:sz w:val="24"/>
          <w:szCs w:val="24"/>
        </w:rPr>
        <w:t>Four weeks before the start of the pilot</w:t>
      </w:r>
      <w:r w:rsidR="00772871" w:rsidRPr="00DE4DB7">
        <w:rPr>
          <w:rFonts w:ascii="Arial" w:hAnsi="Arial" w:cs="Arial"/>
          <w:sz w:val="24"/>
          <w:szCs w:val="24"/>
        </w:rPr>
        <w:t>,</w:t>
      </w:r>
      <w:r w:rsidRPr="00DE4DB7">
        <w:rPr>
          <w:rFonts w:ascii="Arial" w:hAnsi="Arial" w:cs="Arial"/>
          <w:sz w:val="24"/>
          <w:szCs w:val="24"/>
        </w:rPr>
        <w:t xml:space="preserve"> the children’s centres were provided with their students’ names and the contact details of the named mentor at the Hub. A presentation and introduction of the pilot was also given at students’ induction in the Trust.</w:t>
      </w:r>
    </w:p>
    <w:p w:rsidR="004C2AA5" w:rsidRPr="00DE4DB7" w:rsidRDefault="004C2AA5" w:rsidP="00DE4DB7">
      <w:pPr>
        <w:pStyle w:val="NoSpacing"/>
        <w:jc w:val="both"/>
        <w:rPr>
          <w:rFonts w:ascii="Arial" w:hAnsi="Arial" w:cs="Arial"/>
          <w:sz w:val="24"/>
          <w:szCs w:val="24"/>
        </w:rPr>
      </w:pPr>
    </w:p>
    <w:p w:rsidR="00C91C7E" w:rsidRPr="00DE4DB7" w:rsidRDefault="00C91C7E" w:rsidP="00DE4DB7">
      <w:pPr>
        <w:pStyle w:val="NoSpacing"/>
        <w:jc w:val="both"/>
        <w:rPr>
          <w:rFonts w:ascii="Arial" w:eastAsia="Arial Unicode MS" w:hAnsi="Arial" w:cs="Arial"/>
          <w:sz w:val="24"/>
          <w:szCs w:val="24"/>
          <w:bdr w:val="nil"/>
          <w:lang w:val="en-US"/>
        </w:rPr>
      </w:pPr>
      <w:r w:rsidRPr="00DE4DB7">
        <w:rPr>
          <w:rFonts w:ascii="Arial" w:eastAsia="Arial Unicode MS" w:hAnsi="Arial" w:cs="Arial"/>
          <w:sz w:val="24"/>
          <w:szCs w:val="24"/>
          <w:bdr w:val="nil"/>
          <w:lang w:val="en-US"/>
        </w:rPr>
        <w:t>Two different approaches to mentoring</w:t>
      </w:r>
      <w:r w:rsidR="004C2AA5">
        <w:rPr>
          <w:rFonts w:ascii="Arial" w:eastAsia="Arial Unicode MS" w:hAnsi="Arial" w:cs="Arial"/>
          <w:sz w:val="24"/>
          <w:szCs w:val="24"/>
          <w:bdr w:val="nil"/>
          <w:lang w:val="en-US"/>
        </w:rPr>
        <w:t xml:space="preserve">: </w:t>
      </w:r>
      <w:r w:rsidRPr="00DE4DB7">
        <w:rPr>
          <w:rFonts w:ascii="Arial" w:eastAsia="Arial Unicode MS" w:hAnsi="Arial" w:cs="Arial"/>
          <w:sz w:val="24"/>
          <w:szCs w:val="24"/>
          <w:bdr w:val="nil"/>
          <w:lang w:val="en-US"/>
        </w:rPr>
        <w:t>Hub &amp; Breadth Spoke and Team approach were adopted for the placements.</w:t>
      </w:r>
    </w:p>
    <w:p w:rsidR="00772871" w:rsidRPr="00DE4DB7" w:rsidRDefault="00772871" w:rsidP="00DE4DB7">
      <w:pPr>
        <w:pStyle w:val="NoSpacing"/>
        <w:jc w:val="both"/>
        <w:rPr>
          <w:rFonts w:ascii="Arial" w:eastAsia="Arial Unicode MS" w:hAnsi="Arial" w:cs="Arial"/>
          <w:sz w:val="24"/>
          <w:szCs w:val="24"/>
          <w:bdr w:val="nil"/>
          <w:lang w:val="en-US"/>
        </w:rPr>
      </w:pPr>
    </w:p>
    <w:p w:rsidR="00BC18C5" w:rsidRDefault="00BC18C5" w:rsidP="00DE4DB7">
      <w:pPr>
        <w:pStyle w:val="NoSpacing"/>
        <w:jc w:val="both"/>
        <w:rPr>
          <w:rFonts w:ascii="Arial" w:eastAsia="Arial Unicode MS" w:hAnsi="Arial" w:cs="Arial"/>
          <w:b/>
          <w:sz w:val="24"/>
          <w:szCs w:val="24"/>
          <w:bdr w:val="nil"/>
          <w:lang w:val="en-US"/>
        </w:rPr>
      </w:pPr>
    </w:p>
    <w:p w:rsidR="00BC18C5" w:rsidRDefault="00BC18C5" w:rsidP="00DE4DB7">
      <w:pPr>
        <w:pStyle w:val="NoSpacing"/>
        <w:jc w:val="both"/>
        <w:rPr>
          <w:rFonts w:ascii="Arial" w:eastAsia="Arial Unicode MS" w:hAnsi="Arial" w:cs="Arial"/>
          <w:b/>
          <w:sz w:val="24"/>
          <w:szCs w:val="24"/>
          <w:bdr w:val="nil"/>
          <w:lang w:val="en-US"/>
        </w:rPr>
      </w:pPr>
    </w:p>
    <w:p w:rsidR="00BC18C5" w:rsidRDefault="00BC18C5" w:rsidP="00DE4DB7">
      <w:pPr>
        <w:pStyle w:val="NoSpacing"/>
        <w:jc w:val="both"/>
        <w:rPr>
          <w:rFonts w:ascii="Arial" w:eastAsia="Arial Unicode MS" w:hAnsi="Arial" w:cs="Arial"/>
          <w:b/>
          <w:sz w:val="24"/>
          <w:szCs w:val="24"/>
          <w:bdr w:val="nil"/>
          <w:lang w:val="en-US"/>
        </w:rPr>
      </w:pPr>
    </w:p>
    <w:p w:rsidR="00BC18C5" w:rsidRDefault="00BC18C5" w:rsidP="00DE4DB7">
      <w:pPr>
        <w:pStyle w:val="NoSpacing"/>
        <w:jc w:val="both"/>
        <w:rPr>
          <w:rFonts w:ascii="Arial" w:eastAsia="Arial Unicode MS" w:hAnsi="Arial" w:cs="Arial"/>
          <w:b/>
          <w:sz w:val="24"/>
          <w:szCs w:val="24"/>
          <w:bdr w:val="nil"/>
          <w:lang w:val="en-US"/>
        </w:rPr>
      </w:pPr>
    </w:p>
    <w:p w:rsidR="00BC18C5" w:rsidRDefault="00BC18C5" w:rsidP="00DE4DB7">
      <w:pPr>
        <w:pStyle w:val="NoSpacing"/>
        <w:jc w:val="both"/>
        <w:rPr>
          <w:rFonts w:ascii="Arial" w:eastAsia="Arial Unicode MS" w:hAnsi="Arial" w:cs="Arial"/>
          <w:b/>
          <w:sz w:val="24"/>
          <w:szCs w:val="24"/>
          <w:bdr w:val="nil"/>
          <w:lang w:val="en-US"/>
        </w:rPr>
      </w:pPr>
    </w:p>
    <w:p w:rsidR="00A70E81" w:rsidRPr="00DE4DB7" w:rsidRDefault="00A70E81" w:rsidP="00DE4DB7">
      <w:pPr>
        <w:pStyle w:val="NoSpacing"/>
        <w:jc w:val="both"/>
        <w:rPr>
          <w:rFonts w:ascii="Arial" w:eastAsia="Arial Unicode MS" w:hAnsi="Arial" w:cs="Arial"/>
          <w:b/>
          <w:sz w:val="24"/>
          <w:szCs w:val="24"/>
          <w:bdr w:val="nil"/>
          <w:lang w:val="en-US"/>
        </w:rPr>
      </w:pPr>
      <w:r w:rsidRPr="00DE4DB7">
        <w:rPr>
          <w:rFonts w:ascii="Arial" w:eastAsia="Arial Unicode MS" w:hAnsi="Arial" w:cs="Arial"/>
          <w:b/>
          <w:sz w:val="24"/>
          <w:szCs w:val="24"/>
          <w:bdr w:val="nil"/>
          <w:lang w:val="en-US"/>
        </w:rPr>
        <w:t>Hub and Breadth Spoke Placement</w:t>
      </w:r>
    </w:p>
    <w:p w:rsidR="00772871" w:rsidRPr="00DE4DB7" w:rsidRDefault="00772871" w:rsidP="00DE4DB7">
      <w:pPr>
        <w:pStyle w:val="NoSpacing"/>
        <w:jc w:val="both"/>
        <w:rPr>
          <w:rFonts w:ascii="Arial" w:eastAsia="Arial Unicode MS" w:hAnsi="Arial" w:cs="Arial"/>
          <w:b/>
          <w:sz w:val="24"/>
          <w:szCs w:val="24"/>
          <w:bdr w:val="nil"/>
          <w:lang w:val="en-US"/>
        </w:rPr>
      </w:pPr>
    </w:p>
    <w:p w:rsidR="00D70008" w:rsidRDefault="00EC65D2" w:rsidP="00DE4DB7">
      <w:pPr>
        <w:pStyle w:val="NoSpacing"/>
        <w:jc w:val="both"/>
        <w:rPr>
          <w:rFonts w:ascii="Arial" w:eastAsiaTheme="minorEastAsia" w:hAnsi="Arial" w:cs="Arial"/>
          <w:color w:val="000000" w:themeColor="text1"/>
          <w:kern w:val="24"/>
          <w:sz w:val="24"/>
          <w:szCs w:val="24"/>
          <w:lang w:eastAsia="en-GB"/>
        </w:rPr>
      </w:pPr>
      <w:r w:rsidRPr="00DE4DB7">
        <w:rPr>
          <w:rFonts w:ascii="Arial" w:hAnsi="Arial" w:cs="Arial"/>
          <w:sz w:val="24"/>
          <w:szCs w:val="24"/>
        </w:rPr>
        <w:t>Eleven students completed a 9-week hub and breadth</w:t>
      </w:r>
      <w:r w:rsidR="00772871" w:rsidRPr="00DE4DB7">
        <w:rPr>
          <w:rFonts w:ascii="Arial" w:hAnsi="Arial" w:cs="Arial"/>
          <w:sz w:val="24"/>
          <w:szCs w:val="24"/>
        </w:rPr>
        <w:t xml:space="preserve"> spoke</w:t>
      </w:r>
      <w:r w:rsidRPr="00DE4DB7">
        <w:rPr>
          <w:rFonts w:ascii="Arial" w:hAnsi="Arial" w:cs="Arial"/>
          <w:sz w:val="24"/>
          <w:szCs w:val="24"/>
        </w:rPr>
        <w:t xml:space="preserve"> placement. </w:t>
      </w:r>
      <w:r w:rsidR="00772871" w:rsidRPr="00DE4DB7">
        <w:rPr>
          <w:rFonts w:ascii="Arial" w:eastAsiaTheme="minorEastAsia" w:hAnsi="Arial" w:cs="Arial"/>
          <w:color w:val="000000" w:themeColor="text1"/>
          <w:kern w:val="24"/>
          <w:sz w:val="24"/>
          <w:szCs w:val="24"/>
          <w:lang w:eastAsia="en-GB"/>
        </w:rPr>
        <w:t xml:space="preserve">Written guidance for mentors and facilitators was provided to outline examples of activities that students could engage in at the </w:t>
      </w:r>
      <w:r w:rsidR="00772871" w:rsidRPr="00DE4DB7">
        <w:rPr>
          <w:rFonts w:ascii="Arial" w:eastAsiaTheme="minorEastAsia" w:hAnsi="Arial" w:cs="Arial"/>
          <w:i/>
          <w:color w:val="000000" w:themeColor="text1"/>
          <w:kern w:val="24"/>
          <w:sz w:val="24"/>
          <w:szCs w:val="24"/>
          <w:lang w:eastAsia="en-GB"/>
        </w:rPr>
        <w:t>Hub and breadth spoke</w:t>
      </w:r>
      <w:r w:rsidR="00772871" w:rsidRPr="00DE4DB7">
        <w:rPr>
          <w:rFonts w:ascii="Arial" w:eastAsiaTheme="minorEastAsia" w:hAnsi="Arial" w:cs="Arial"/>
          <w:color w:val="000000" w:themeColor="text1"/>
          <w:kern w:val="24"/>
          <w:sz w:val="24"/>
          <w:szCs w:val="24"/>
          <w:lang w:eastAsia="en-GB"/>
        </w:rPr>
        <w:t xml:space="preserve"> placement. </w:t>
      </w:r>
      <w:r w:rsidR="004C2AA5">
        <w:rPr>
          <w:rFonts w:ascii="Arial" w:hAnsi="Arial" w:cs="Arial"/>
          <w:sz w:val="24"/>
          <w:szCs w:val="24"/>
        </w:rPr>
        <w:t>Staff</w:t>
      </w:r>
      <w:r w:rsidR="004C2AA5" w:rsidRPr="00DE4DB7">
        <w:rPr>
          <w:rFonts w:ascii="Arial" w:hAnsi="Arial" w:cs="Arial"/>
          <w:sz w:val="24"/>
          <w:szCs w:val="24"/>
        </w:rPr>
        <w:t xml:space="preserve"> at the children’s centre with a mentoring qualification or experience of supporting students learning was</w:t>
      </w:r>
      <w:r w:rsidR="00772871" w:rsidRPr="00DE4DB7">
        <w:rPr>
          <w:rFonts w:ascii="Arial" w:hAnsi="Arial" w:cs="Arial"/>
          <w:sz w:val="24"/>
          <w:szCs w:val="24"/>
        </w:rPr>
        <w:t xml:space="preserve"> identified as the named facilitators for the nursing students. </w:t>
      </w:r>
      <w:r w:rsidR="00772871" w:rsidRPr="00DE4DB7">
        <w:rPr>
          <w:rFonts w:ascii="Arial" w:eastAsiaTheme="minorEastAsia" w:hAnsi="Arial" w:cs="Arial"/>
          <w:color w:val="000000" w:themeColor="text1"/>
          <w:kern w:val="24"/>
          <w:sz w:val="24"/>
          <w:szCs w:val="24"/>
          <w:lang w:eastAsia="en-GB"/>
        </w:rPr>
        <w:t>The students spent</w:t>
      </w:r>
      <w:r w:rsidRPr="00DE4DB7">
        <w:rPr>
          <w:rFonts w:ascii="Arial" w:eastAsiaTheme="minorEastAsia" w:hAnsi="Arial" w:cs="Arial"/>
          <w:color w:val="000000" w:themeColor="text1"/>
          <w:kern w:val="24"/>
          <w:sz w:val="24"/>
          <w:szCs w:val="24"/>
          <w:lang w:eastAsia="en-GB"/>
        </w:rPr>
        <w:t xml:space="preserve"> 55% of their placement with their clinical mentor</w:t>
      </w:r>
      <w:r w:rsidR="00772871" w:rsidRPr="00DE4DB7">
        <w:rPr>
          <w:rFonts w:ascii="Arial" w:eastAsiaTheme="minorEastAsia" w:hAnsi="Arial" w:cs="Arial"/>
          <w:color w:val="000000" w:themeColor="text1"/>
          <w:kern w:val="24"/>
          <w:sz w:val="24"/>
          <w:szCs w:val="24"/>
          <w:lang w:eastAsia="en-GB"/>
        </w:rPr>
        <w:t>s</w:t>
      </w:r>
      <w:r w:rsidRPr="00DE4DB7">
        <w:rPr>
          <w:rFonts w:ascii="Arial" w:eastAsiaTheme="minorEastAsia" w:hAnsi="Arial" w:cs="Arial"/>
          <w:color w:val="000000" w:themeColor="text1"/>
          <w:kern w:val="24"/>
          <w:sz w:val="24"/>
          <w:szCs w:val="24"/>
          <w:lang w:eastAsia="en-GB"/>
        </w:rPr>
        <w:t xml:space="preserve"> at the health centre/clinic, and 45% of the placement at the children’s centre. The students’ facilitators at the children’s centre did not complete any formal assessment but contributed to the student assessment through</w:t>
      </w:r>
      <w:r w:rsidR="00772871" w:rsidRPr="00DE4DB7">
        <w:rPr>
          <w:rFonts w:ascii="Arial" w:eastAsiaTheme="minorEastAsia" w:hAnsi="Arial" w:cs="Arial"/>
          <w:color w:val="000000" w:themeColor="text1"/>
          <w:kern w:val="24"/>
          <w:sz w:val="24"/>
          <w:szCs w:val="24"/>
          <w:lang w:eastAsia="en-GB"/>
        </w:rPr>
        <w:t xml:space="preserve"> the completion of a feedback form.</w:t>
      </w:r>
    </w:p>
    <w:p w:rsidR="00D70008" w:rsidRDefault="00D70008" w:rsidP="00DE4DB7">
      <w:pPr>
        <w:pStyle w:val="NoSpacing"/>
        <w:jc w:val="both"/>
        <w:rPr>
          <w:rFonts w:ascii="Arial" w:eastAsiaTheme="minorEastAsia" w:hAnsi="Arial" w:cs="Arial"/>
          <w:color w:val="000000" w:themeColor="text1"/>
          <w:kern w:val="24"/>
          <w:sz w:val="24"/>
          <w:szCs w:val="24"/>
          <w:lang w:eastAsia="en-GB"/>
        </w:rPr>
      </w:pPr>
    </w:p>
    <w:p w:rsidR="00BC18C5" w:rsidRDefault="00BC18C5" w:rsidP="00DE4DB7">
      <w:pPr>
        <w:pStyle w:val="NoSpacing"/>
        <w:jc w:val="both"/>
        <w:rPr>
          <w:rFonts w:ascii="Arial" w:hAnsi="Arial" w:cs="Arial"/>
          <w:b/>
          <w:sz w:val="24"/>
          <w:szCs w:val="24"/>
        </w:rPr>
      </w:pPr>
    </w:p>
    <w:p w:rsidR="00BC18C5" w:rsidRDefault="00BC18C5" w:rsidP="00DE4DB7">
      <w:pPr>
        <w:pStyle w:val="NoSpacing"/>
        <w:jc w:val="both"/>
        <w:rPr>
          <w:rFonts w:ascii="Arial" w:hAnsi="Arial" w:cs="Arial"/>
          <w:b/>
          <w:sz w:val="24"/>
          <w:szCs w:val="24"/>
        </w:rPr>
      </w:pPr>
    </w:p>
    <w:p w:rsidR="00EC65D2" w:rsidRPr="004C2AA5" w:rsidRDefault="00772871" w:rsidP="00DE4DB7">
      <w:pPr>
        <w:pStyle w:val="NoSpacing"/>
        <w:jc w:val="both"/>
        <w:rPr>
          <w:rFonts w:ascii="Arial" w:hAnsi="Arial" w:cs="Arial"/>
          <w:b/>
          <w:sz w:val="24"/>
          <w:szCs w:val="24"/>
        </w:rPr>
      </w:pPr>
      <w:r w:rsidRPr="004C2AA5">
        <w:rPr>
          <w:rFonts w:ascii="Arial" w:hAnsi="Arial" w:cs="Arial"/>
          <w:b/>
          <w:sz w:val="24"/>
          <w:szCs w:val="24"/>
        </w:rPr>
        <w:t>Placement outline</w:t>
      </w:r>
      <w:r w:rsidR="00EC65D2" w:rsidRPr="004C2AA5">
        <w:rPr>
          <w:rFonts w:ascii="Arial" w:hAnsi="Arial" w:cs="Arial"/>
          <w:b/>
          <w:sz w:val="24"/>
          <w:szCs w:val="24"/>
        </w:rPr>
        <w:t>:</w:t>
      </w:r>
    </w:p>
    <w:p w:rsidR="00D70008" w:rsidRDefault="00D70008" w:rsidP="00DE4DB7">
      <w:pPr>
        <w:pStyle w:val="NoSpacing"/>
        <w:jc w:val="both"/>
        <w:rPr>
          <w:rFonts w:ascii="Arial" w:hAnsi="Arial" w:cs="Arial"/>
          <w:sz w:val="24"/>
          <w:szCs w:val="24"/>
        </w:rPr>
      </w:pPr>
    </w:p>
    <w:p w:rsidR="00D70008" w:rsidRPr="00D70008" w:rsidRDefault="00D70008" w:rsidP="00DE4DB7">
      <w:pPr>
        <w:pStyle w:val="NoSpacing"/>
        <w:jc w:val="both"/>
        <w:rPr>
          <w:rFonts w:ascii="Arial" w:eastAsiaTheme="minorEastAsia" w:hAnsi="Arial" w:cs="Arial"/>
          <w:color w:val="000000" w:themeColor="text1"/>
          <w:kern w:val="24"/>
          <w:sz w:val="24"/>
          <w:szCs w:val="24"/>
          <w:lang w:eastAsia="en-GB"/>
        </w:rPr>
      </w:pPr>
      <w:r>
        <w:rPr>
          <w:rFonts w:ascii="Arial" w:hAnsi="Arial" w:cs="Arial"/>
          <w:sz w:val="24"/>
          <w:szCs w:val="24"/>
        </w:rPr>
        <w:t>Figure 2</w:t>
      </w:r>
    </w:p>
    <w:p w:rsidR="00C51CBE" w:rsidRPr="00DE4DB7" w:rsidRDefault="00FE22BF" w:rsidP="00DE4DB7">
      <w:pPr>
        <w:pStyle w:val="NoSpacing"/>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39" behindDoc="1" locked="0" layoutInCell="1" allowOverlap="1">
                <wp:simplePos x="0" y="0"/>
                <wp:positionH relativeFrom="column">
                  <wp:posOffset>-91440</wp:posOffset>
                </wp:positionH>
                <wp:positionV relativeFrom="paragraph">
                  <wp:posOffset>129540</wp:posOffset>
                </wp:positionV>
                <wp:extent cx="5924550" cy="42291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24550" cy="422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2BF" w:rsidRDefault="00FE22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10.2pt;width:466.5pt;height:33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" fillcolor="white [3201]" strokeweight=".5pt">
                <v:textbox>
                  <w:txbxContent>
                    <w:p w:rsidR="00FE22BF" w:rsidRDefault="00FE22BF"/>
                  </w:txbxContent>
                </v:textbox>
              </v:shape>
            </w:pict>
          </mc:Fallback>
        </mc:AlternateContent>
      </w:r>
    </w:p>
    <w:p w:rsidR="00C51CBE" w:rsidRPr="00DE4DB7" w:rsidRDefault="00C51CBE" w:rsidP="00DE4DB7">
      <w:pPr>
        <w:pStyle w:val="NoSpacing"/>
        <w:jc w:val="both"/>
        <w:rPr>
          <w:rFonts w:ascii="Arial" w:hAnsi="Arial" w:cs="Arial"/>
          <w:sz w:val="24"/>
          <w:szCs w:val="24"/>
        </w:rPr>
      </w:pPr>
      <w:r w:rsidRPr="00DE4DB7">
        <w:rPr>
          <w:rFonts w:ascii="Arial" w:hAnsi="Arial" w:cs="Arial"/>
          <w:i/>
          <w:sz w:val="24"/>
          <w:szCs w:val="24"/>
        </w:rPr>
        <w:t>Week 1</w:t>
      </w:r>
      <w:r w:rsidRPr="00DE4DB7">
        <w:rPr>
          <w:rFonts w:ascii="Arial" w:hAnsi="Arial" w:cs="Arial"/>
          <w:sz w:val="24"/>
          <w:szCs w:val="24"/>
        </w:rPr>
        <w:t xml:space="preserve"> (Hub Placement)</w:t>
      </w:r>
    </w:p>
    <w:p w:rsidR="00C51CBE" w:rsidRPr="00DE4DB7" w:rsidRDefault="00C51CBE" w:rsidP="00DE4DB7">
      <w:pPr>
        <w:pStyle w:val="NoSpacing"/>
        <w:jc w:val="both"/>
        <w:rPr>
          <w:rFonts w:ascii="Arial" w:eastAsia="Times New Roman" w:hAnsi="Arial" w:cs="Arial"/>
          <w:sz w:val="24"/>
          <w:szCs w:val="24"/>
          <w:lang w:eastAsia="en-GB"/>
        </w:rPr>
      </w:pPr>
      <w:r w:rsidRPr="00DE4DB7">
        <w:rPr>
          <w:rFonts w:ascii="Arial" w:eastAsia="Times New Roman" w:hAnsi="Arial" w:cs="Arial"/>
          <w:sz w:val="24"/>
          <w:szCs w:val="24"/>
          <w:lang w:eastAsia="en-GB"/>
        </w:rPr>
        <w:t>The mentor went through the practice assessment document.  Trust induction</w:t>
      </w:r>
      <w:r w:rsidR="0059354D" w:rsidRPr="00DE4DB7">
        <w:rPr>
          <w:rFonts w:ascii="Arial" w:eastAsia="Times New Roman" w:hAnsi="Arial" w:cs="Arial"/>
          <w:sz w:val="24"/>
          <w:szCs w:val="24"/>
          <w:lang w:eastAsia="en-GB"/>
        </w:rPr>
        <w:t xml:space="preserve"> and local orientation were completed</w:t>
      </w:r>
      <w:r w:rsidRPr="00DE4DB7">
        <w:rPr>
          <w:rFonts w:ascii="Arial" w:eastAsia="Times New Roman" w:hAnsi="Arial" w:cs="Arial"/>
          <w:sz w:val="24"/>
          <w:szCs w:val="24"/>
          <w:lang w:eastAsia="en-GB"/>
        </w:rPr>
        <w:t xml:space="preserve">. Learning outcomes and objectives for the </w:t>
      </w:r>
      <w:r w:rsidRPr="00DE4DB7">
        <w:rPr>
          <w:rFonts w:ascii="Arial" w:eastAsia="Times New Roman" w:hAnsi="Arial" w:cs="Arial"/>
          <w:i/>
          <w:sz w:val="24"/>
          <w:szCs w:val="24"/>
          <w:lang w:eastAsia="en-GB"/>
        </w:rPr>
        <w:t>Hub and Breadth Spoke</w:t>
      </w:r>
      <w:r w:rsidR="004C2AA5">
        <w:rPr>
          <w:rFonts w:ascii="Arial" w:eastAsia="Times New Roman" w:hAnsi="Arial" w:cs="Arial"/>
          <w:sz w:val="24"/>
          <w:szCs w:val="24"/>
          <w:lang w:eastAsia="en-GB"/>
        </w:rPr>
        <w:t xml:space="preserve"> placement were agreed and i</w:t>
      </w:r>
      <w:r w:rsidRPr="00DE4DB7">
        <w:rPr>
          <w:rFonts w:ascii="Arial" w:eastAsia="Times New Roman" w:hAnsi="Arial" w:cs="Arial"/>
          <w:sz w:val="24"/>
          <w:szCs w:val="24"/>
          <w:lang w:eastAsia="en-GB"/>
        </w:rPr>
        <w:t>nitial interview completed.</w:t>
      </w:r>
    </w:p>
    <w:p w:rsidR="00C51CBE" w:rsidRPr="00DE4DB7" w:rsidRDefault="00C51CBE" w:rsidP="00DE4DB7">
      <w:pPr>
        <w:pStyle w:val="NoSpacing"/>
        <w:jc w:val="both"/>
        <w:rPr>
          <w:rFonts w:ascii="Arial" w:eastAsia="Times New Roman" w:hAnsi="Arial" w:cs="Arial"/>
          <w:sz w:val="24"/>
          <w:szCs w:val="24"/>
          <w:lang w:eastAsia="en-GB"/>
        </w:rPr>
      </w:pPr>
    </w:p>
    <w:p w:rsidR="00C51CBE" w:rsidRPr="00DE4DB7" w:rsidRDefault="00C51CBE" w:rsidP="00DE4DB7">
      <w:pPr>
        <w:pStyle w:val="NoSpacing"/>
        <w:jc w:val="both"/>
        <w:rPr>
          <w:rFonts w:ascii="Arial" w:hAnsi="Arial" w:cs="Arial"/>
          <w:sz w:val="24"/>
          <w:szCs w:val="24"/>
        </w:rPr>
      </w:pPr>
    </w:p>
    <w:p w:rsidR="00C51CBE" w:rsidRPr="00DE4DB7" w:rsidRDefault="004C2AA5" w:rsidP="00DE4DB7">
      <w:pPr>
        <w:pStyle w:val="NoSpacing"/>
        <w:jc w:val="both"/>
        <w:rPr>
          <w:rFonts w:ascii="Arial" w:hAnsi="Arial" w:cs="Arial"/>
          <w:sz w:val="24"/>
          <w:szCs w:val="24"/>
        </w:rPr>
      </w:pPr>
      <w:r>
        <w:rPr>
          <w:rFonts w:ascii="Arial" w:hAnsi="Arial" w:cs="Arial"/>
          <w:i/>
          <w:sz w:val="24"/>
          <w:szCs w:val="24"/>
        </w:rPr>
        <w:t>Week 2-4</w:t>
      </w:r>
      <w:r w:rsidR="00C51CBE" w:rsidRPr="00DE4DB7">
        <w:rPr>
          <w:rFonts w:ascii="Arial" w:hAnsi="Arial" w:cs="Arial"/>
          <w:sz w:val="24"/>
          <w:szCs w:val="24"/>
        </w:rPr>
        <w:t xml:space="preserve"> (Breadth Spoke Placement)</w:t>
      </w:r>
    </w:p>
    <w:p w:rsidR="00C51CBE" w:rsidRPr="00DE4DB7" w:rsidRDefault="00C51CBE" w:rsidP="00DE4DB7">
      <w:pPr>
        <w:pStyle w:val="NoSpacing"/>
        <w:jc w:val="both"/>
        <w:rPr>
          <w:rFonts w:ascii="Arial" w:hAnsi="Arial" w:cs="Arial"/>
          <w:sz w:val="24"/>
          <w:szCs w:val="24"/>
        </w:rPr>
      </w:pPr>
      <w:r w:rsidRPr="00DE4DB7">
        <w:rPr>
          <w:rFonts w:ascii="Arial" w:hAnsi="Arial" w:cs="Arial"/>
          <w:sz w:val="24"/>
          <w:szCs w:val="24"/>
        </w:rPr>
        <w:t>During this period arrangements were made with the Hub mentor to complete the mid-point assessment at week 4 or 5</w:t>
      </w:r>
      <w:r w:rsidR="003B139F">
        <w:rPr>
          <w:rFonts w:ascii="Arial" w:hAnsi="Arial" w:cs="Arial"/>
          <w:sz w:val="24"/>
          <w:szCs w:val="24"/>
        </w:rPr>
        <w:t>.</w:t>
      </w:r>
    </w:p>
    <w:p w:rsidR="00C51CBE" w:rsidRPr="00DE4DB7" w:rsidRDefault="00C51CBE" w:rsidP="00DE4DB7">
      <w:pPr>
        <w:pStyle w:val="NoSpacing"/>
        <w:jc w:val="both"/>
        <w:rPr>
          <w:rFonts w:ascii="Arial" w:hAnsi="Arial" w:cs="Arial"/>
          <w:sz w:val="24"/>
          <w:szCs w:val="24"/>
        </w:rPr>
      </w:pPr>
    </w:p>
    <w:p w:rsidR="00C51CBE" w:rsidRPr="00DE4DB7" w:rsidRDefault="00C51CBE" w:rsidP="00DE4DB7">
      <w:pPr>
        <w:pStyle w:val="NoSpacing"/>
        <w:jc w:val="both"/>
        <w:rPr>
          <w:rFonts w:ascii="Arial" w:hAnsi="Arial" w:cs="Arial"/>
          <w:sz w:val="24"/>
          <w:szCs w:val="24"/>
        </w:rPr>
      </w:pPr>
    </w:p>
    <w:p w:rsidR="00C51CBE" w:rsidRPr="00DE4DB7" w:rsidRDefault="00C51CBE" w:rsidP="00DE4DB7">
      <w:pPr>
        <w:pStyle w:val="NoSpacing"/>
        <w:jc w:val="both"/>
        <w:rPr>
          <w:rFonts w:ascii="Arial" w:hAnsi="Arial" w:cs="Arial"/>
          <w:sz w:val="24"/>
          <w:szCs w:val="24"/>
        </w:rPr>
      </w:pPr>
      <w:r w:rsidRPr="00DE4DB7">
        <w:rPr>
          <w:rFonts w:ascii="Arial" w:hAnsi="Arial" w:cs="Arial"/>
          <w:i/>
          <w:sz w:val="24"/>
          <w:szCs w:val="24"/>
        </w:rPr>
        <w:t>Week 4</w:t>
      </w:r>
      <w:r w:rsidR="0059354D" w:rsidRPr="00DE4DB7">
        <w:rPr>
          <w:rFonts w:ascii="Arial" w:hAnsi="Arial" w:cs="Arial"/>
          <w:i/>
          <w:sz w:val="24"/>
          <w:szCs w:val="24"/>
        </w:rPr>
        <w:t xml:space="preserve"> </w:t>
      </w:r>
      <w:r w:rsidRPr="00DE4DB7">
        <w:rPr>
          <w:rFonts w:ascii="Arial" w:hAnsi="Arial" w:cs="Arial"/>
          <w:i/>
          <w:sz w:val="24"/>
          <w:szCs w:val="24"/>
        </w:rPr>
        <w:t>or 5</w:t>
      </w:r>
      <w:r w:rsidR="000E4111">
        <w:rPr>
          <w:rFonts w:ascii="Arial" w:hAnsi="Arial" w:cs="Arial"/>
          <w:sz w:val="24"/>
          <w:szCs w:val="24"/>
        </w:rPr>
        <w:t xml:space="preserve"> (Hub P</w:t>
      </w:r>
      <w:r w:rsidRPr="00DE4DB7">
        <w:rPr>
          <w:rFonts w:ascii="Arial" w:hAnsi="Arial" w:cs="Arial"/>
          <w:sz w:val="24"/>
          <w:szCs w:val="24"/>
        </w:rPr>
        <w:t>lacement)</w:t>
      </w:r>
    </w:p>
    <w:p w:rsidR="00C51CBE" w:rsidRPr="00DE4DB7" w:rsidRDefault="0059354D" w:rsidP="00DE4DB7">
      <w:pPr>
        <w:pStyle w:val="NoSpacing"/>
        <w:jc w:val="both"/>
        <w:rPr>
          <w:rFonts w:ascii="Arial" w:hAnsi="Arial" w:cs="Arial"/>
          <w:sz w:val="24"/>
          <w:szCs w:val="24"/>
        </w:rPr>
      </w:pPr>
      <w:r w:rsidRPr="00DE4DB7">
        <w:rPr>
          <w:rFonts w:ascii="Arial" w:hAnsi="Arial" w:cs="Arial"/>
          <w:sz w:val="24"/>
          <w:szCs w:val="24"/>
        </w:rPr>
        <w:t>Students return for a week; for</w:t>
      </w:r>
      <w:r w:rsidR="00C51CBE" w:rsidRPr="00DE4DB7">
        <w:rPr>
          <w:rFonts w:ascii="Arial" w:hAnsi="Arial" w:cs="Arial"/>
          <w:sz w:val="24"/>
          <w:szCs w:val="24"/>
        </w:rPr>
        <w:t xml:space="preserve"> mid-point assessment. Breadth Spoke placement </w:t>
      </w:r>
      <w:r w:rsidR="004C2AA5">
        <w:rPr>
          <w:rFonts w:ascii="Arial" w:hAnsi="Arial" w:cs="Arial"/>
          <w:sz w:val="24"/>
          <w:szCs w:val="24"/>
        </w:rPr>
        <w:t>facilitators contributed</w:t>
      </w:r>
      <w:r w:rsidR="00C51CBE" w:rsidRPr="00DE4DB7">
        <w:rPr>
          <w:rFonts w:ascii="Arial" w:hAnsi="Arial" w:cs="Arial"/>
          <w:sz w:val="24"/>
          <w:szCs w:val="24"/>
        </w:rPr>
        <w:t xml:space="preserve"> to </w:t>
      </w:r>
      <w:r w:rsidR="004C2AA5">
        <w:rPr>
          <w:rFonts w:ascii="Arial" w:hAnsi="Arial" w:cs="Arial"/>
          <w:sz w:val="24"/>
          <w:szCs w:val="24"/>
        </w:rPr>
        <w:t xml:space="preserve">the mid-point </w:t>
      </w:r>
      <w:r w:rsidR="00C51CBE" w:rsidRPr="00DE4DB7">
        <w:rPr>
          <w:rFonts w:ascii="Arial" w:hAnsi="Arial" w:cs="Arial"/>
          <w:sz w:val="24"/>
          <w:szCs w:val="24"/>
        </w:rPr>
        <w:t>assessment.</w:t>
      </w:r>
      <w:r w:rsidR="004C2AA5">
        <w:rPr>
          <w:rFonts w:ascii="Arial" w:hAnsi="Arial" w:cs="Arial"/>
          <w:sz w:val="24"/>
          <w:szCs w:val="24"/>
        </w:rPr>
        <w:t xml:space="preserve"> They return to Breadth Spoke placement at </w:t>
      </w:r>
      <w:r w:rsidR="00ED0054">
        <w:rPr>
          <w:rFonts w:ascii="Arial" w:hAnsi="Arial" w:cs="Arial"/>
          <w:sz w:val="24"/>
          <w:szCs w:val="24"/>
        </w:rPr>
        <w:t>week 6-7</w:t>
      </w:r>
      <w:r w:rsidR="003B139F">
        <w:rPr>
          <w:rFonts w:ascii="Arial" w:hAnsi="Arial" w:cs="Arial"/>
          <w:sz w:val="24"/>
          <w:szCs w:val="24"/>
        </w:rPr>
        <w:t>.</w:t>
      </w:r>
    </w:p>
    <w:p w:rsidR="00C51CBE" w:rsidRPr="00DE4DB7" w:rsidRDefault="00C51CBE" w:rsidP="00DE4DB7">
      <w:pPr>
        <w:pStyle w:val="NoSpacing"/>
        <w:jc w:val="both"/>
        <w:rPr>
          <w:rFonts w:ascii="Arial" w:hAnsi="Arial" w:cs="Arial"/>
          <w:sz w:val="24"/>
          <w:szCs w:val="24"/>
        </w:rPr>
      </w:pPr>
    </w:p>
    <w:p w:rsidR="00C766E8" w:rsidRPr="00DE4DB7" w:rsidRDefault="00C766E8" w:rsidP="00DE4DB7">
      <w:pPr>
        <w:pStyle w:val="NoSpacing"/>
        <w:jc w:val="both"/>
        <w:rPr>
          <w:rFonts w:ascii="Arial" w:hAnsi="Arial" w:cs="Arial"/>
          <w:sz w:val="24"/>
          <w:szCs w:val="24"/>
        </w:rPr>
      </w:pPr>
    </w:p>
    <w:p w:rsidR="00C766E8" w:rsidRPr="00DE4DB7" w:rsidRDefault="00C766E8" w:rsidP="00DE4DB7">
      <w:pPr>
        <w:pStyle w:val="NoSpacing"/>
        <w:jc w:val="both"/>
        <w:rPr>
          <w:rFonts w:ascii="Arial" w:hAnsi="Arial" w:cs="Arial"/>
          <w:sz w:val="24"/>
          <w:szCs w:val="24"/>
        </w:rPr>
      </w:pPr>
    </w:p>
    <w:p w:rsidR="00C51CBE" w:rsidRPr="00DE4DB7" w:rsidRDefault="00C51CBE" w:rsidP="00DE4DB7">
      <w:pPr>
        <w:pStyle w:val="NoSpacing"/>
        <w:jc w:val="both"/>
        <w:rPr>
          <w:rFonts w:ascii="Arial" w:hAnsi="Arial" w:cs="Arial"/>
          <w:sz w:val="24"/>
          <w:szCs w:val="24"/>
        </w:rPr>
      </w:pPr>
      <w:r w:rsidRPr="00DE4DB7">
        <w:rPr>
          <w:rFonts w:ascii="Arial" w:hAnsi="Arial" w:cs="Arial"/>
          <w:i/>
          <w:sz w:val="24"/>
          <w:szCs w:val="24"/>
        </w:rPr>
        <w:t>Weeks 8 and 9</w:t>
      </w:r>
      <w:r w:rsidRPr="00DE4DB7">
        <w:rPr>
          <w:rFonts w:ascii="Arial" w:hAnsi="Arial" w:cs="Arial"/>
          <w:sz w:val="24"/>
          <w:szCs w:val="24"/>
        </w:rPr>
        <w:t xml:space="preserve"> (Hub Placement)</w:t>
      </w:r>
    </w:p>
    <w:p w:rsidR="00FE22BF" w:rsidRPr="00DE4DB7" w:rsidRDefault="00C51CBE" w:rsidP="00DE4DB7">
      <w:pPr>
        <w:pStyle w:val="NoSpacing"/>
        <w:jc w:val="both"/>
        <w:rPr>
          <w:rFonts w:ascii="Arial" w:hAnsi="Arial" w:cs="Arial"/>
          <w:sz w:val="24"/>
          <w:szCs w:val="24"/>
        </w:rPr>
      </w:pPr>
      <w:r w:rsidRPr="00DE4DB7">
        <w:rPr>
          <w:rFonts w:ascii="Arial" w:hAnsi="Arial" w:cs="Arial"/>
          <w:sz w:val="24"/>
          <w:szCs w:val="24"/>
        </w:rPr>
        <w:t>Students were provided with other spoke opportunities.  Final placement assessment completed. Breadth Spoke placement contributes to assessment</w:t>
      </w:r>
      <w:r w:rsidR="00A3675B">
        <w:rPr>
          <w:rFonts w:ascii="Arial" w:hAnsi="Arial" w:cs="Arial"/>
          <w:sz w:val="24"/>
          <w:szCs w:val="24"/>
        </w:rPr>
        <w:t xml:space="preserve"> by completing end of placement feedback sheet</w:t>
      </w:r>
      <w:r w:rsidR="00FE22BF">
        <w:rPr>
          <w:rFonts w:ascii="Arial" w:hAnsi="Arial" w:cs="Arial"/>
          <w:sz w:val="24"/>
          <w:szCs w:val="24"/>
        </w:rPr>
        <w:t>.</w:t>
      </w:r>
    </w:p>
    <w:p w:rsidR="00C51CBE" w:rsidRPr="00DE4DB7" w:rsidRDefault="00C51CBE" w:rsidP="00DE4DB7">
      <w:pPr>
        <w:pStyle w:val="NoSpacing"/>
        <w:jc w:val="both"/>
        <w:rPr>
          <w:rFonts w:ascii="Arial" w:hAnsi="Arial" w:cs="Arial"/>
          <w:sz w:val="24"/>
          <w:szCs w:val="24"/>
        </w:rPr>
      </w:pPr>
    </w:p>
    <w:p w:rsidR="00A70E81" w:rsidRPr="00DE4DB7" w:rsidRDefault="00A70E81" w:rsidP="00DE4DB7">
      <w:pPr>
        <w:pStyle w:val="NoSpacing"/>
        <w:jc w:val="both"/>
        <w:rPr>
          <w:rFonts w:ascii="Arial" w:hAnsi="Arial" w:cs="Arial"/>
          <w:sz w:val="24"/>
          <w:szCs w:val="24"/>
        </w:rPr>
      </w:pPr>
    </w:p>
    <w:p w:rsidR="00A3675B" w:rsidRDefault="00A3675B" w:rsidP="00DE4DB7">
      <w:pPr>
        <w:pStyle w:val="NoSpacing"/>
        <w:jc w:val="both"/>
        <w:rPr>
          <w:rFonts w:ascii="Arial" w:hAnsi="Arial" w:cs="Arial"/>
          <w:b/>
          <w:sz w:val="24"/>
          <w:szCs w:val="24"/>
        </w:rPr>
      </w:pPr>
    </w:p>
    <w:p w:rsidR="00A3675B" w:rsidRDefault="00A3675B" w:rsidP="00DE4DB7">
      <w:pPr>
        <w:pStyle w:val="NoSpacing"/>
        <w:jc w:val="both"/>
        <w:rPr>
          <w:rFonts w:ascii="Arial" w:hAnsi="Arial" w:cs="Arial"/>
          <w:b/>
          <w:sz w:val="24"/>
          <w:szCs w:val="24"/>
        </w:rPr>
      </w:pPr>
    </w:p>
    <w:p w:rsidR="00A3675B" w:rsidRDefault="00A3675B" w:rsidP="00DE4DB7">
      <w:pPr>
        <w:pStyle w:val="NoSpacing"/>
        <w:jc w:val="both"/>
        <w:rPr>
          <w:rFonts w:ascii="Arial" w:hAnsi="Arial" w:cs="Arial"/>
          <w:b/>
          <w:sz w:val="24"/>
          <w:szCs w:val="24"/>
        </w:rPr>
      </w:pPr>
    </w:p>
    <w:p w:rsidR="00A3675B" w:rsidRDefault="00A3675B" w:rsidP="00DE4DB7">
      <w:pPr>
        <w:pStyle w:val="NoSpacing"/>
        <w:jc w:val="both"/>
        <w:rPr>
          <w:rFonts w:ascii="Arial" w:hAnsi="Arial" w:cs="Arial"/>
          <w:b/>
          <w:sz w:val="24"/>
          <w:szCs w:val="24"/>
        </w:rPr>
      </w:pPr>
    </w:p>
    <w:p w:rsidR="00A3675B" w:rsidRDefault="00A3675B" w:rsidP="00DE4DB7">
      <w:pPr>
        <w:pStyle w:val="NoSpacing"/>
        <w:jc w:val="both"/>
        <w:rPr>
          <w:rFonts w:ascii="Arial" w:hAnsi="Arial" w:cs="Arial"/>
          <w:b/>
          <w:sz w:val="24"/>
          <w:szCs w:val="24"/>
        </w:rPr>
      </w:pPr>
    </w:p>
    <w:p w:rsidR="00A3675B" w:rsidRDefault="00A3675B" w:rsidP="00DE4DB7">
      <w:pPr>
        <w:pStyle w:val="NoSpacing"/>
        <w:jc w:val="both"/>
        <w:rPr>
          <w:rFonts w:ascii="Arial" w:hAnsi="Arial" w:cs="Arial"/>
          <w:b/>
          <w:sz w:val="24"/>
          <w:szCs w:val="24"/>
        </w:rPr>
      </w:pPr>
    </w:p>
    <w:p w:rsidR="00A3675B" w:rsidRDefault="00A3675B" w:rsidP="00DE4DB7">
      <w:pPr>
        <w:pStyle w:val="NoSpacing"/>
        <w:jc w:val="both"/>
        <w:rPr>
          <w:rFonts w:ascii="Arial" w:hAnsi="Arial" w:cs="Arial"/>
          <w:b/>
          <w:sz w:val="24"/>
          <w:szCs w:val="24"/>
        </w:rPr>
      </w:pPr>
    </w:p>
    <w:p w:rsidR="00BC18C5" w:rsidRDefault="00BC18C5" w:rsidP="00DE4DB7">
      <w:pPr>
        <w:pStyle w:val="NoSpacing"/>
        <w:jc w:val="both"/>
        <w:rPr>
          <w:rFonts w:ascii="Arial" w:hAnsi="Arial" w:cs="Arial"/>
          <w:b/>
          <w:sz w:val="24"/>
          <w:szCs w:val="24"/>
        </w:rPr>
      </w:pPr>
    </w:p>
    <w:p w:rsidR="00EC65D2" w:rsidRPr="00DE4DB7" w:rsidRDefault="00A70E81" w:rsidP="00DE4DB7">
      <w:pPr>
        <w:pStyle w:val="NoSpacing"/>
        <w:jc w:val="both"/>
        <w:rPr>
          <w:rFonts w:ascii="Arial" w:hAnsi="Arial" w:cs="Arial"/>
          <w:b/>
          <w:sz w:val="24"/>
          <w:szCs w:val="24"/>
        </w:rPr>
      </w:pPr>
      <w:r w:rsidRPr="00DE4DB7">
        <w:rPr>
          <w:rFonts w:ascii="Arial" w:hAnsi="Arial" w:cs="Arial"/>
          <w:b/>
          <w:sz w:val="24"/>
          <w:szCs w:val="24"/>
        </w:rPr>
        <w:t>Team Approach placement</w:t>
      </w:r>
    </w:p>
    <w:p w:rsidR="00A70E81" w:rsidRPr="00DE4DB7" w:rsidRDefault="00A70E81" w:rsidP="00DE4DB7">
      <w:pPr>
        <w:pStyle w:val="NoSpacing"/>
        <w:jc w:val="both"/>
        <w:rPr>
          <w:rFonts w:ascii="Arial" w:hAnsi="Arial" w:cs="Arial"/>
          <w:b/>
          <w:sz w:val="24"/>
          <w:szCs w:val="24"/>
        </w:rPr>
      </w:pPr>
    </w:p>
    <w:p w:rsidR="00EC65D2" w:rsidRPr="00DE4DB7" w:rsidRDefault="0059354D" w:rsidP="00DE4DB7">
      <w:pPr>
        <w:pStyle w:val="NoSpacing"/>
        <w:jc w:val="both"/>
        <w:rPr>
          <w:rFonts w:ascii="Arial" w:hAnsi="Arial" w:cs="Arial"/>
          <w:sz w:val="24"/>
          <w:szCs w:val="24"/>
        </w:rPr>
      </w:pPr>
      <w:r w:rsidRPr="00DE4DB7">
        <w:rPr>
          <w:rFonts w:ascii="Arial" w:hAnsi="Arial" w:cs="Arial"/>
          <w:sz w:val="24"/>
          <w:szCs w:val="24"/>
        </w:rPr>
        <w:t>Five students spent 9</w:t>
      </w:r>
      <w:r w:rsidR="00EC65D2" w:rsidRPr="00DE4DB7">
        <w:rPr>
          <w:rFonts w:ascii="Arial" w:hAnsi="Arial" w:cs="Arial"/>
          <w:sz w:val="24"/>
          <w:szCs w:val="24"/>
        </w:rPr>
        <w:t>-week placement in a team that included health visitors, school nurses, community staff nurse</w:t>
      </w:r>
      <w:r w:rsidRPr="00DE4DB7">
        <w:rPr>
          <w:rFonts w:ascii="Arial" w:hAnsi="Arial" w:cs="Arial"/>
          <w:sz w:val="24"/>
          <w:szCs w:val="24"/>
        </w:rPr>
        <w:t>s</w:t>
      </w:r>
      <w:r w:rsidR="00EC65D2" w:rsidRPr="00DE4DB7">
        <w:rPr>
          <w:rFonts w:ascii="Arial" w:hAnsi="Arial" w:cs="Arial"/>
          <w:sz w:val="24"/>
          <w:szCs w:val="24"/>
        </w:rPr>
        <w:t xml:space="preserve"> and health care assistants. A team approach to mentorship was adopted with a named mentor responsible for each student and other members of the team a</w:t>
      </w:r>
      <w:r w:rsidRPr="00DE4DB7">
        <w:rPr>
          <w:rFonts w:ascii="Arial" w:hAnsi="Arial" w:cs="Arial"/>
          <w:sz w:val="24"/>
          <w:szCs w:val="24"/>
        </w:rPr>
        <w:t>cting as facilitators.</w:t>
      </w:r>
    </w:p>
    <w:p w:rsidR="00FE22BF" w:rsidRDefault="00FE22BF" w:rsidP="00DE4DB7">
      <w:pPr>
        <w:pStyle w:val="NoSpacing"/>
        <w:jc w:val="both"/>
        <w:rPr>
          <w:rFonts w:ascii="Arial" w:hAnsi="Arial" w:cs="Arial"/>
          <w:sz w:val="24"/>
          <w:szCs w:val="24"/>
        </w:rPr>
      </w:pPr>
    </w:p>
    <w:p w:rsidR="00D70008" w:rsidRDefault="00D70008" w:rsidP="00DE4DB7">
      <w:pPr>
        <w:pStyle w:val="NoSpacing"/>
        <w:jc w:val="both"/>
        <w:rPr>
          <w:rFonts w:ascii="Arial" w:hAnsi="Arial" w:cs="Arial"/>
          <w:sz w:val="24"/>
          <w:szCs w:val="24"/>
        </w:rPr>
      </w:pPr>
      <w:r>
        <w:rPr>
          <w:rFonts w:ascii="Arial" w:hAnsi="Arial" w:cs="Arial"/>
          <w:sz w:val="24"/>
          <w:szCs w:val="24"/>
        </w:rPr>
        <w:t>Figure 3</w:t>
      </w:r>
    </w:p>
    <w:p w:rsidR="00ED0054" w:rsidRDefault="00ED0054" w:rsidP="00DE4DB7">
      <w:pPr>
        <w:pStyle w:val="NoSpacing"/>
        <w:jc w:val="both"/>
        <w:rPr>
          <w:rFonts w:ascii="Arial" w:hAnsi="Arial" w:cs="Arial"/>
          <w:sz w:val="24"/>
          <w:szCs w:val="24"/>
        </w:rPr>
      </w:pPr>
    </w:p>
    <w:p w:rsidR="00D70008" w:rsidRDefault="00D70008" w:rsidP="00DE4DB7">
      <w:pPr>
        <w:pStyle w:val="NoSpacing"/>
        <w:jc w:val="both"/>
        <w:rPr>
          <w:rFonts w:ascii="Arial" w:hAnsi="Arial" w:cs="Arial"/>
          <w:i/>
          <w:sz w:val="24"/>
          <w:szCs w:val="24"/>
        </w:rPr>
      </w:pPr>
    </w:p>
    <w:p w:rsidR="00C51CBE" w:rsidRPr="00DE4DB7" w:rsidRDefault="00FE22BF" w:rsidP="00DE4DB7">
      <w:pPr>
        <w:pStyle w:val="NoSpacing"/>
        <w:jc w:val="both"/>
        <w:rPr>
          <w:rFonts w:ascii="Arial" w:hAnsi="Arial" w:cs="Arial"/>
          <w:sz w:val="24"/>
          <w:szCs w:val="24"/>
        </w:rPr>
      </w:pPr>
      <w:r>
        <w:rPr>
          <w:rFonts w:ascii="Arial" w:hAnsi="Arial" w:cs="Arial"/>
          <w:i/>
          <w:noProof/>
          <w:sz w:val="24"/>
          <w:szCs w:val="24"/>
          <w:lang w:eastAsia="en-GB"/>
        </w:rPr>
        <mc:AlternateContent>
          <mc:Choice Requires="wps">
            <w:drawing>
              <wp:anchor distT="0" distB="0" distL="114300" distR="114300" simplePos="0" relativeHeight="251660288" behindDoc="1" locked="0" layoutInCell="1" allowOverlap="1">
                <wp:simplePos x="0" y="0"/>
                <wp:positionH relativeFrom="column">
                  <wp:posOffset>-219075</wp:posOffset>
                </wp:positionH>
                <wp:positionV relativeFrom="paragraph">
                  <wp:posOffset>-161925</wp:posOffset>
                </wp:positionV>
                <wp:extent cx="6181725" cy="42862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181725" cy="428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2BF" w:rsidRDefault="00FE22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left:0;text-align:left;margin-left:-17.25pt;margin-top:-12.75pt;width:486.75pt;height:33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" fillcolor="white [3201]" strokeweight=".5pt">
                <v:textbox>
                  <w:txbxContent>
                    <w:p w:rsidR="00FE22BF" w:rsidRDefault="00FE22BF"/>
                  </w:txbxContent>
                </v:textbox>
              </v:shape>
            </w:pict>
          </mc:Fallback>
        </mc:AlternateContent>
      </w:r>
      <w:r w:rsidR="00C51CBE" w:rsidRPr="00DE4DB7">
        <w:rPr>
          <w:rFonts w:ascii="Arial" w:hAnsi="Arial" w:cs="Arial"/>
          <w:i/>
          <w:sz w:val="24"/>
          <w:szCs w:val="24"/>
        </w:rPr>
        <w:t>Week 1</w:t>
      </w:r>
      <w:r w:rsidR="00C51CBE" w:rsidRPr="00DE4DB7">
        <w:rPr>
          <w:rFonts w:ascii="Arial" w:hAnsi="Arial" w:cs="Arial"/>
          <w:sz w:val="24"/>
          <w:szCs w:val="24"/>
        </w:rPr>
        <w:t xml:space="preserve"> (with named mentor)</w:t>
      </w:r>
    </w:p>
    <w:p w:rsidR="00C51CBE" w:rsidRPr="00DE4DB7" w:rsidRDefault="00C51CBE" w:rsidP="00DE4DB7">
      <w:pPr>
        <w:pStyle w:val="NoSpacing"/>
        <w:jc w:val="both"/>
        <w:rPr>
          <w:rFonts w:ascii="Arial" w:hAnsi="Arial" w:cs="Arial"/>
          <w:sz w:val="24"/>
          <w:szCs w:val="24"/>
        </w:rPr>
      </w:pPr>
      <w:r w:rsidRPr="00DE4DB7">
        <w:rPr>
          <w:rFonts w:ascii="Arial" w:hAnsi="Arial" w:cs="Arial"/>
          <w:sz w:val="24"/>
          <w:szCs w:val="24"/>
        </w:rPr>
        <w:t>Students spent time with</w:t>
      </w:r>
      <w:r w:rsidR="0059354D" w:rsidRPr="00DE4DB7">
        <w:rPr>
          <w:rFonts w:ascii="Arial" w:hAnsi="Arial" w:cs="Arial"/>
          <w:sz w:val="24"/>
          <w:szCs w:val="24"/>
        </w:rPr>
        <w:t xml:space="preserve"> their mentors</w:t>
      </w:r>
      <w:r w:rsidRPr="00DE4DB7">
        <w:rPr>
          <w:rFonts w:ascii="Arial" w:hAnsi="Arial" w:cs="Arial"/>
          <w:sz w:val="24"/>
          <w:szCs w:val="24"/>
        </w:rPr>
        <w:t xml:space="preserve"> to go through their practice assessment document, complete Trust induction, and local orientation. Learning outcome</w:t>
      </w:r>
      <w:r w:rsidR="00F573D8" w:rsidRPr="00DE4DB7">
        <w:rPr>
          <w:rFonts w:ascii="Arial" w:hAnsi="Arial" w:cs="Arial"/>
          <w:sz w:val="24"/>
          <w:szCs w:val="24"/>
        </w:rPr>
        <w:t xml:space="preserve">s and objectives </w:t>
      </w:r>
      <w:r w:rsidR="00DE4DB7" w:rsidRPr="00DE4DB7">
        <w:rPr>
          <w:rFonts w:ascii="Arial" w:hAnsi="Arial" w:cs="Arial"/>
          <w:sz w:val="24"/>
          <w:szCs w:val="24"/>
        </w:rPr>
        <w:t>for learning</w:t>
      </w:r>
      <w:r w:rsidRPr="00DE4DB7">
        <w:rPr>
          <w:rFonts w:ascii="Arial" w:hAnsi="Arial" w:cs="Arial"/>
          <w:sz w:val="24"/>
          <w:szCs w:val="24"/>
        </w:rPr>
        <w:t xml:space="preserve"> experiences with other members of the team were identified by the mentor. The initial interview was also completed by the mentor.</w:t>
      </w:r>
    </w:p>
    <w:p w:rsidR="00C51CBE" w:rsidRPr="00DE4DB7" w:rsidRDefault="00C51CBE" w:rsidP="00DE4DB7">
      <w:pPr>
        <w:pStyle w:val="NoSpacing"/>
        <w:jc w:val="both"/>
        <w:rPr>
          <w:rFonts w:ascii="Arial" w:eastAsia="Times New Roman" w:hAnsi="Arial" w:cs="Arial"/>
          <w:noProof/>
          <w:sz w:val="24"/>
          <w:szCs w:val="24"/>
          <w:lang w:eastAsia="en-GB"/>
        </w:rPr>
      </w:pPr>
      <w:r w:rsidRPr="00DE4DB7">
        <w:rPr>
          <w:rFonts w:ascii="Arial" w:hAnsi="Arial" w:cs="Arial"/>
          <w:sz w:val="24"/>
          <w:szCs w:val="24"/>
        </w:rPr>
        <w:t>.</w:t>
      </w:r>
    </w:p>
    <w:p w:rsidR="00C51CBE" w:rsidRPr="00DE4DB7" w:rsidRDefault="00C51CBE" w:rsidP="00DE4DB7">
      <w:pPr>
        <w:pStyle w:val="NoSpacing"/>
        <w:jc w:val="both"/>
        <w:rPr>
          <w:rFonts w:ascii="Arial" w:eastAsia="Times New Roman" w:hAnsi="Arial" w:cs="Arial"/>
          <w:noProof/>
          <w:sz w:val="24"/>
          <w:szCs w:val="24"/>
          <w:lang w:eastAsia="en-GB"/>
        </w:rPr>
      </w:pPr>
    </w:p>
    <w:p w:rsidR="00C51CBE" w:rsidRPr="00DE4DB7" w:rsidRDefault="00ED0054" w:rsidP="00DE4DB7">
      <w:pPr>
        <w:pStyle w:val="NoSpacing"/>
        <w:jc w:val="both"/>
        <w:rPr>
          <w:rFonts w:ascii="Arial" w:hAnsi="Arial" w:cs="Arial"/>
          <w:sz w:val="24"/>
          <w:szCs w:val="24"/>
        </w:rPr>
      </w:pPr>
      <w:r>
        <w:rPr>
          <w:rFonts w:ascii="Arial" w:hAnsi="Arial" w:cs="Arial"/>
          <w:i/>
          <w:sz w:val="24"/>
          <w:szCs w:val="24"/>
        </w:rPr>
        <w:t>Week 2-4</w:t>
      </w:r>
      <w:r w:rsidR="00C51CBE" w:rsidRPr="00DE4DB7">
        <w:rPr>
          <w:rFonts w:ascii="Arial" w:hAnsi="Arial" w:cs="Arial"/>
          <w:sz w:val="24"/>
          <w:szCs w:val="24"/>
        </w:rPr>
        <w:t xml:space="preserve"> (with skill mix in the team)</w:t>
      </w:r>
    </w:p>
    <w:p w:rsidR="00C51CBE" w:rsidRPr="00DE4DB7" w:rsidRDefault="00C51CBE" w:rsidP="00DE4DB7">
      <w:pPr>
        <w:pStyle w:val="NoSpacing"/>
        <w:jc w:val="both"/>
        <w:rPr>
          <w:rFonts w:ascii="Arial" w:hAnsi="Arial" w:cs="Arial"/>
          <w:sz w:val="24"/>
          <w:szCs w:val="24"/>
        </w:rPr>
      </w:pPr>
      <w:r w:rsidRPr="00DE4DB7">
        <w:rPr>
          <w:rFonts w:ascii="Arial" w:hAnsi="Arial" w:cs="Arial"/>
          <w:sz w:val="24"/>
          <w:szCs w:val="24"/>
        </w:rPr>
        <w:t>They took turns to work with the different members of the team. Other short spokes experiences such as district nursing, child development team, practice nurse, speech and language therapist and the voluntary setting were also arranged.</w:t>
      </w:r>
    </w:p>
    <w:p w:rsidR="00C51CBE" w:rsidRPr="00DE4DB7" w:rsidRDefault="00C51CBE" w:rsidP="00DE4DB7">
      <w:pPr>
        <w:pStyle w:val="NoSpacing"/>
        <w:jc w:val="both"/>
        <w:rPr>
          <w:rFonts w:ascii="Arial" w:hAnsi="Arial" w:cs="Arial"/>
          <w:sz w:val="24"/>
          <w:szCs w:val="24"/>
        </w:rPr>
      </w:pPr>
    </w:p>
    <w:p w:rsidR="00C51CBE" w:rsidRPr="00DE4DB7" w:rsidRDefault="00C51CBE" w:rsidP="00DE4DB7">
      <w:pPr>
        <w:pStyle w:val="NoSpacing"/>
        <w:jc w:val="both"/>
        <w:rPr>
          <w:rFonts w:ascii="Arial" w:hAnsi="Arial" w:cs="Arial"/>
          <w:sz w:val="24"/>
          <w:szCs w:val="24"/>
        </w:rPr>
      </w:pPr>
      <w:r w:rsidRPr="00DE4DB7">
        <w:rPr>
          <w:rFonts w:ascii="Arial" w:hAnsi="Arial" w:cs="Arial"/>
          <w:i/>
          <w:sz w:val="24"/>
          <w:szCs w:val="24"/>
        </w:rPr>
        <w:t>Week 4 or 5</w:t>
      </w:r>
      <w:r w:rsidRPr="00DE4DB7">
        <w:rPr>
          <w:rFonts w:ascii="Arial" w:hAnsi="Arial" w:cs="Arial"/>
          <w:sz w:val="24"/>
          <w:szCs w:val="24"/>
        </w:rPr>
        <w:t xml:space="preserve"> (with named mentor)</w:t>
      </w:r>
    </w:p>
    <w:p w:rsidR="00C51CBE" w:rsidRPr="00DE4DB7" w:rsidRDefault="00F573D8" w:rsidP="00DE4DB7">
      <w:pPr>
        <w:pStyle w:val="NoSpacing"/>
        <w:jc w:val="both"/>
        <w:rPr>
          <w:rFonts w:ascii="Arial" w:hAnsi="Arial" w:cs="Arial"/>
          <w:sz w:val="24"/>
          <w:szCs w:val="24"/>
        </w:rPr>
      </w:pPr>
      <w:r w:rsidRPr="00DE4DB7">
        <w:rPr>
          <w:rFonts w:ascii="Arial" w:hAnsi="Arial" w:cs="Arial"/>
          <w:sz w:val="24"/>
          <w:szCs w:val="24"/>
        </w:rPr>
        <w:t>Students returned to work with their</w:t>
      </w:r>
      <w:r w:rsidR="00C51CBE" w:rsidRPr="00DE4DB7">
        <w:rPr>
          <w:rFonts w:ascii="Arial" w:hAnsi="Arial" w:cs="Arial"/>
          <w:sz w:val="24"/>
          <w:szCs w:val="24"/>
        </w:rPr>
        <w:t xml:space="preserve"> </w:t>
      </w:r>
      <w:r w:rsidRPr="00DE4DB7">
        <w:rPr>
          <w:rFonts w:ascii="Arial" w:hAnsi="Arial" w:cs="Arial"/>
          <w:sz w:val="24"/>
          <w:szCs w:val="24"/>
        </w:rPr>
        <w:t>named mentors’</w:t>
      </w:r>
      <w:r w:rsidR="00C51CBE" w:rsidRPr="00DE4DB7">
        <w:rPr>
          <w:rFonts w:ascii="Arial" w:hAnsi="Arial" w:cs="Arial"/>
          <w:sz w:val="24"/>
          <w:szCs w:val="24"/>
        </w:rPr>
        <w:t xml:space="preserve"> midway thr</w:t>
      </w:r>
      <w:r w:rsidRPr="00DE4DB7">
        <w:rPr>
          <w:rFonts w:ascii="Arial" w:hAnsi="Arial" w:cs="Arial"/>
          <w:sz w:val="24"/>
          <w:szCs w:val="24"/>
        </w:rPr>
        <w:t>ough the placement to complete</w:t>
      </w:r>
      <w:r w:rsidR="00C51CBE" w:rsidRPr="00DE4DB7">
        <w:rPr>
          <w:rFonts w:ascii="Arial" w:hAnsi="Arial" w:cs="Arial"/>
          <w:sz w:val="24"/>
          <w:szCs w:val="24"/>
        </w:rPr>
        <w:t xml:space="preserve"> the mid-point assessment.</w:t>
      </w:r>
      <w:r w:rsidR="00ED0054">
        <w:rPr>
          <w:rFonts w:ascii="Arial" w:hAnsi="Arial" w:cs="Arial"/>
          <w:sz w:val="24"/>
          <w:szCs w:val="24"/>
        </w:rPr>
        <w:t xml:space="preserve"> Week 6-7 they contin</w:t>
      </w:r>
      <w:r w:rsidR="003B139F">
        <w:rPr>
          <w:rFonts w:ascii="Arial" w:hAnsi="Arial" w:cs="Arial"/>
          <w:sz w:val="24"/>
          <w:szCs w:val="24"/>
        </w:rPr>
        <w:t>ued working with other team members.</w:t>
      </w:r>
    </w:p>
    <w:p w:rsidR="00C51CBE" w:rsidRPr="00DE4DB7" w:rsidRDefault="00C51CBE" w:rsidP="00DE4DB7">
      <w:pPr>
        <w:pStyle w:val="NoSpacing"/>
        <w:jc w:val="both"/>
        <w:rPr>
          <w:rFonts w:ascii="Arial" w:hAnsi="Arial" w:cs="Arial"/>
          <w:sz w:val="24"/>
          <w:szCs w:val="24"/>
        </w:rPr>
      </w:pPr>
    </w:p>
    <w:p w:rsidR="00C51CBE" w:rsidRPr="00DE4DB7" w:rsidRDefault="00C51CBE" w:rsidP="00DE4DB7">
      <w:pPr>
        <w:pStyle w:val="NoSpacing"/>
        <w:jc w:val="both"/>
        <w:rPr>
          <w:rFonts w:ascii="Arial" w:hAnsi="Arial" w:cs="Arial"/>
          <w:sz w:val="24"/>
          <w:szCs w:val="24"/>
        </w:rPr>
      </w:pPr>
    </w:p>
    <w:p w:rsidR="00C51CBE" w:rsidRPr="00DE4DB7" w:rsidRDefault="00C51CBE" w:rsidP="00DE4DB7">
      <w:pPr>
        <w:pStyle w:val="NoSpacing"/>
        <w:jc w:val="both"/>
        <w:rPr>
          <w:rFonts w:ascii="Arial" w:hAnsi="Arial" w:cs="Arial"/>
          <w:sz w:val="24"/>
          <w:szCs w:val="24"/>
        </w:rPr>
      </w:pPr>
      <w:r w:rsidRPr="00DE4DB7">
        <w:rPr>
          <w:rFonts w:ascii="Arial" w:hAnsi="Arial" w:cs="Arial"/>
          <w:i/>
          <w:sz w:val="24"/>
          <w:szCs w:val="24"/>
        </w:rPr>
        <w:t>Week 8-9</w:t>
      </w:r>
      <w:r w:rsidRPr="00DE4DB7">
        <w:rPr>
          <w:rFonts w:ascii="Arial" w:hAnsi="Arial" w:cs="Arial"/>
          <w:sz w:val="24"/>
          <w:szCs w:val="24"/>
        </w:rPr>
        <w:t xml:space="preserve"> (with named mentor)</w:t>
      </w:r>
    </w:p>
    <w:p w:rsidR="00C51CBE" w:rsidRPr="00DE4DB7" w:rsidRDefault="00C51CBE" w:rsidP="00DE4DB7">
      <w:pPr>
        <w:pStyle w:val="NoSpacing"/>
        <w:jc w:val="both"/>
        <w:rPr>
          <w:rFonts w:ascii="Arial" w:hAnsi="Arial" w:cs="Arial"/>
          <w:sz w:val="24"/>
          <w:szCs w:val="24"/>
        </w:rPr>
      </w:pPr>
    </w:p>
    <w:p w:rsidR="00C51CBE" w:rsidRPr="00DE4DB7" w:rsidRDefault="007E05B2" w:rsidP="00DE4DB7">
      <w:pPr>
        <w:pStyle w:val="NoSpacing"/>
        <w:jc w:val="both"/>
        <w:rPr>
          <w:rFonts w:ascii="Arial" w:hAnsi="Arial" w:cs="Arial"/>
          <w:sz w:val="24"/>
          <w:szCs w:val="24"/>
        </w:rPr>
      </w:pPr>
      <w:r>
        <w:rPr>
          <w:rFonts w:ascii="Arial" w:hAnsi="Arial" w:cs="Arial"/>
          <w:sz w:val="24"/>
          <w:szCs w:val="24"/>
        </w:rPr>
        <w:t>Students s</w:t>
      </w:r>
      <w:r w:rsidR="00C51CBE" w:rsidRPr="00DE4DB7">
        <w:rPr>
          <w:rFonts w:ascii="Arial" w:hAnsi="Arial" w:cs="Arial"/>
          <w:sz w:val="24"/>
          <w:szCs w:val="24"/>
        </w:rPr>
        <w:t xml:space="preserve">pent the final </w:t>
      </w:r>
      <w:r w:rsidR="00F573D8" w:rsidRPr="00DE4DB7">
        <w:rPr>
          <w:rFonts w:ascii="Arial" w:hAnsi="Arial" w:cs="Arial"/>
          <w:sz w:val="24"/>
          <w:szCs w:val="24"/>
        </w:rPr>
        <w:t>week of the placement with named mentor to facilitate completion of the</w:t>
      </w:r>
      <w:r w:rsidR="00C51CBE" w:rsidRPr="00DE4DB7">
        <w:rPr>
          <w:rFonts w:ascii="Arial" w:hAnsi="Arial" w:cs="Arial"/>
          <w:sz w:val="24"/>
          <w:szCs w:val="24"/>
        </w:rPr>
        <w:t xml:space="preserve"> final assessment</w:t>
      </w:r>
      <w:r w:rsidR="003B139F">
        <w:rPr>
          <w:rFonts w:ascii="Arial" w:hAnsi="Arial" w:cs="Arial"/>
          <w:sz w:val="24"/>
          <w:szCs w:val="24"/>
        </w:rPr>
        <w:t>.</w:t>
      </w:r>
    </w:p>
    <w:p w:rsidR="00C51CBE" w:rsidRPr="00DE4DB7" w:rsidRDefault="00C51CBE" w:rsidP="00DE4DB7">
      <w:pPr>
        <w:pStyle w:val="NoSpacing"/>
        <w:jc w:val="both"/>
        <w:rPr>
          <w:rFonts w:ascii="Arial" w:hAnsi="Arial" w:cs="Arial"/>
          <w:sz w:val="24"/>
          <w:szCs w:val="24"/>
        </w:rPr>
      </w:pPr>
    </w:p>
    <w:p w:rsidR="00C51CBE" w:rsidRPr="00DE4DB7" w:rsidRDefault="00C51CBE" w:rsidP="00DE4DB7">
      <w:pPr>
        <w:pStyle w:val="NoSpacing"/>
        <w:jc w:val="both"/>
        <w:rPr>
          <w:rFonts w:ascii="Arial" w:hAnsi="Arial" w:cs="Arial"/>
          <w:sz w:val="24"/>
          <w:szCs w:val="24"/>
        </w:rPr>
      </w:pPr>
    </w:p>
    <w:p w:rsidR="00C51CBE" w:rsidRPr="00DE4DB7" w:rsidRDefault="00C51CBE" w:rsidP="00DE4DB7">
      <w:pPr>
        <w:pStyle w:val="NoSpacing"/>
        <w:jc w:val="both"/>
        <w:rPr>
          <w:rFonts w:ascii="Arial" w:hAnsi="Arial" w:cs="Arial"/>
          <w:sz w:val="24"/>
          <w:szCs w:val="24"/>
        </w:rPr>
      </w:pPr>
    </w:p>
    <w:p w:rsidR="00C51CBE" w:rsidRPr="00DE4DB7" w:rsidRDefault="00C51CBE" w:rsidP="00DE4DB7">
      <w:pPr>
        <w:pStyle w:val="NoSpacing"/>
        <w:jc w:val="both"/>
        <w:rPr>
          <w:rFonts w:ascii="Arial" w:eastAsia="Times New Roman" w:hAnsi="Arial" w:cs="Arial"/>
          <w:noProof/>
          <w:sz w:val="24"/>
          <w:szCs w:val="24"/>
          <w:lang w:eastAsia="en-GB"/>
        </w:rPr>
      </w:pPr>
    </w:p>
    <w:p w:rsidR="00971289" w:rsidRPr="00DE4DB7" w:rsidRDefault="00971289" w:rsidP="00DE4DB7">
      <w:pPr>
        <w:pStyle w:val="NoSpacing"/>
        <w:jc w:val="both"/>
        <w:rPr>
          <w:rFonts w:ascii="Arial" w:hAnsi="Arial" w:cs="Arial"/>
          <w:sz w:val="24"/>
          <w:szCs w:val="24"/>
        </w:rPr>
      </w:pPr>
    </w:p>
    <w:p w:rsidR="00971289" w:rsidRPr="00DE4DB7" w:rsidRDefault="002067B2" w:rsidP="00DE4DB7">
      <w:pPr>
        <w:pStyle w:val="NoSpacing"/>
        <w:jc w:val="both"/>
        <w:rPr>
          <w:rFonts w:ascii="Arial" w:hAnsi="Arial" w:cs="Arial"/>
          <w:b/>
          <w:sz w:val="24"/>
          <w:szCs w:val="24"/>
        </w:rPr>
      </w:pPr>
      <w:r w:rsidRPr="00DE4DB7">
        <w:rPr>
          <w:rFonts w:ascii="Arial" w:hAnsi="Arial" w:cs="Arial"/>
          <w:b/>
          <w:sz w:val="24"/>
          <w:szCs w:val="24"/>
        </w:rPr>
        <w:t>Project e</w:t>
      </w:r>
      <w:r w:rsidR="00971289" w:rsidRPr="00DE4DB7">
        <w:rPr>
          <w:rFonts w:ascii="Arial" w:hAnsi="Arial" w:cs="Arial"/>
          <w:b/>
          <w:sz w:val="24"/>
          <w:szCs w:val="24"/>
        </w:rPr>
        <w:t>valuation</w:t>
      </w:r>
    </w:p>
    <w:p w:rsidR="00EC65D2" w:rsidRPr="00DE4DB7" w:rsidRDefault="00EC65D2" w:rsidP="00DE4DB7">
      <w:pPr>
        <w:pStyle w:val="NoSpacing"/>
        <w:jc w:val="both"/>
        <w:rPr>
          <w:rFonts w:ascii="Arial" w:hAnsi="Arial" w:cs="Arial"/>
          <w:sz w:val="24"/>
          <w:szCs w:val="24"/>
        </w:rPr>
      </w:pPr>
    </w:p>
    <w:p w:rsidR="00A3675B" w:rsidRPr="00DE4DB7" w:rsidRDefault="003B1F52" w:rsidP="00A3675B">
      <w:pPr>
        <w:pStyle w:val="NoSpacing"/>
        <w:jc w:val="both"/>
        <w:rPr>
          <w:rFonts w:ascii="Arial" w:hAnsi="Arial" w:cs="Arial"/>
          <w:sz w:val="24"/>
          <w:szCs w:val="24"/>
        </w:rPr>
      </w:pPr>
      <w:r w:rsidRPr="00DE4DB7">
        <w:rPr>
          <w:rFonts w:ascii="Arial" w:eastAsia="Arial Unicode MS" w:hAnsi="Arial" w:cs="Arial"/>
          <w:sz w:val="24"/>
          <w:szCs w:val="24"/>
          <w:bdr w:val="nil"/>
          <w:lang w:val="en-US"/>
        </w:rPr>
        <w:t>The pilot was evaluated by survey questionnaire and feedback sessions. This was</w:t>
      </w:r>
      <w:r w:rsidR="002067B2" w:rsidRPr="00DE4DB7">
        <w:rPr>
          <w:rFonts w:ascii="Arial" w:hAnsi="Arial" w:cs="Arial"/>
          <w:sz w:val="24"/>
          <w:szCs w:val="24"/>
        </w:rPr>
        <w:t xml:space="preserve"> completed at end of the </w:t>
      </w:r>
      <w:r w:rsidRPr="00DE4DB7">
        <w:rPr>
          <w:rFonts w:ascii="Arial" w:hAnsi="Arial" w:cs="Arial"/>
          <w:sz w:val="24"/>
          <w:szCs w:val="24"/>
        </w:rPr>
        <w:t>placements by</w:t>
      </w:r>
      <w:r w:rsidR="002067B2" w:rsidRPr="00DE4DB7">
        <w:rPr>
          <w:rFonts w:ascii="Arial" w:hAnsi="Arial" w:cs="Arial"/>
          <w:sz w:val="24"/>
          <w:szCs w:val="24"/>
        </w:rPr>
        <w:t xml:space="preserve"> the students,</w:t>
      </w:r>
      <w:r w:rsidR="00EC65D2" w:rsidRPr="00DE4DB7">
        <w:rPr>
          <w:rFonts w:ascii="Arial" w:hAnsi="Arial" w:cs="Arial"/>
          <w:sz w:val="24"/>
          <w:szCs w:val="24"/>
        </w:rPr>
        <w:t xml:space="preserve"> </w:t>
      </w:r>
      <w:r w:rsidR="002067B2" w:rsidRPr="00DE4DB7">
        <w:rPr>
          <w:rFonts w:ascii="Arial" w:hAnsi="Arial" w:cs="Arial"/>
          <w:sz w:val="24"/>
          <w:szCs w:val="24"/>
        </w:rPr>
        <w:t xml:space="preserve">children’s centre </w:t>
      </w:r>
      <w:r w:rsidR="00EC65D2" w:rsidRPr="00DE4DB7">
        <w:rPr>
          <w:rFonts w:ascii="Arial" w:hAnsi="Arial" w:cs="Arial"/>
          <w:sz w:val="24"/>
          <w:szCs w:val="24"/>
        </w:rPr>
        <w:t>facilitator</w:t>
      </w:r>
      <w:r w:rsidR="002067B2" w:rsidRPr="00DE4DB7">
        <w:rPr>
          <w:rFonts w:ascii="Arial" w:hAnsi="Arial" w:cs="Arial"/>
          <w:sz w:val="24"/>
          <w:szCs w:val="24"/>
        </w:rPr>
        <w:t>s</w:t>
      </w:r>
      <w:r w:rsidR="00EC65D2" w:rsidRPr="00DE4DB7">
        <w:rPr>
          <w:rFonts w:ascii="Arial" w:hAnsi="Arial" w:cs="Arial"/>
          <w:sz w:val="24"/>
          <w:szCs w:val="24"/>
        </w:rPr>
        <w:t xml:space="preserve"> a</w:t>
      </w:r>
      <w:r w:rsidR="002067B2" w:rsidRPr="00DE4DB7">
        <w:rPr>
          <w:rFonts w:ascii="Arial" w:hAnsi="Arial" w:cs="Arial"/>
          <w:sz w:val="24"/>
          <w:szCs w:val="24"/>
        </w:rPr>
        <w:t xml:space="preserve">nd </w:t>
      </w:r>
      <w:r w:rsidR="00C91C7E" w:rsidRPr="00DE4DB7">
        <w:rPr>
          <w:rFonts w:ascii="Arial" w:hAnsi="Arial" w:cs="Arial"/>
          <w:sz w:val="24"/>
          <w:szCs w:val="24"/>
        </w:rPr>
        <w:t>the named mentor</w:t>
      </w:r>
      <w:r w:rsidR="002067B2" w:rsidRPr="00DE4DB7">
        <w:rPr>
          <w:rFonts w:ascii="Arial" w:hAnsi="Arial" w:cs="Arial"/>
          <w:sz w:val="24"/>
          <w:szCs w:val="24"/>
        </w:rPr>
        <w:t>s</w:t>
      </w:r>
      <w:r w:rsidR="00C91C7E" w:rsidRPr="00DE4DB7">
        <w:rPr>
          <w:rFonts w:ascii="Arial" w:hAnsi="Arial" w:cs="Arial"/>
          <w:sz w:val="24"/>
          <w:szCs w:val="24"/>
        </w:rPr>
        <w:t>.</w:t>
      </w:r>
      <w:r w:rsidR="00A3675B" w:rsidRPr="00A3675B">
        <w:rPr>
          <w:rFonts w:ascii="Arial" w:hAnsi="Arial" w:cs="Arial"/>
          <w:sz w:val="24"/>
          <w:szCs w:val="24"/>
        </w:rPr>
        <w:t xml:space="preserve"> </w:t>
      </w:r>
    </w:p>
    <w:p w:rsidR="00EC65D2" w:rsidRPr="00DE4DB7" w:rsidRDefault="00EC65D2" w:rsidP="00DE4DB7">
      <w:pPr>
        <w:pStyle w:val="NoSpacing"/>
        <w:jc w:val="both"/>
        <w:rPr>
          <w:rFonts w:ascii="Arial" w:hAnsi="Arial" w:cs="Arial"/>
          <w:sz w:val="24"/>
          <w:szCs w:val="24"/>
        </w:rPr>
      </w:pPr>
    </w:p>
    <w:p w:rsidR="00EC65D2" w:rsidRPr="00DE4DB7" w:rsidRDefault="00EC65D2" w:rsidP="00DE4DB7">
      <w:pPr>
        <w:pStyle w:val="NoSpacing"/>
        <w:jc w:val="both"/>
        <w:rPr>
          <w:rFonts w:ascii="Arial" w:eastAsia="Arial Unicode MS" w:hAnsi="Arial" w:cs="Arial"/>
          <w:i/>
          <w:sz w:val="24"/>
          <w:szCs w:val="24"/>
          <w:bdr w:val="nil"/>
          <w:lang w:val="en-US"/>
        </w:rPr>
      </w:pPr>
      <w:r w:rsidRPr="00DE4DB7">
        <w:rPr>
          <w:rFonts w:ascii="Arial" w:eastAsia="Arial Unicode MS" w:hAnsi="Arial" w:cs="Arial"/>
          <w:i/>
          <w:sz w:val="24"/>
          <w:szCs w:val="24"/>
          <w:bdr w:val="nil"/>
          <w:lang w:val="en-US"/>
        </w:rPr>
        <w:t>Students’ experiences:</w:t>
      </w:r>
    </w:p>
    <w:p w:rsidR="00EC65D2" w:rsidRPr="00DE4DB7" w:rsidRDefault="00EC65D2" w:rsidP="00DE4DB7">
      <w:pPr>
        <w:pStyle w:val="NoSpacing"/>
        <w:jc w:val="both"/>
        <w:rPr>
          <w:rFonts w:ascii="Arial" w:eastAsia="Arial Unicode MS" w:hAnsi="Arial" w:cs="Arial"/>
          <w:sz w:val="24"/>
          <w:szCs w:val="24"/>
          <w:bdr w:val="nil"/>
          <w:lang w:val="en-US"/>
        </w:rPr>
      </w:pPr>
      <w:r w:rsidRPr="00DE4DB7">
        <w:rPr>
          <w:rFonts w:ascii="Arial" w:eastAsia="Arial Unicode MS" w:hAnsi="Arial" w:cs="Arial"/>
          <w:sz w:val="24"/>
          <w:szCs w:val="24"/>
          <w:bdr w:val="nil"/>
          <w:lang w:val="en-US"/>
        </w:rPr>
        <w:t>Over 80% of the responses r</w:t>
      </w:r>
      <w:r w:rsidR="003B1F52" w:rsidRPr="00DE4DB7">
        <w:rPr>
          <w:rFonts w:ascii="Arial" w:eastAsia="Arial Unicode MS" w:hAnsi="Arial" w:cs="Arial"/>
          <w:sz w:val="24"/>
          <w:szCs w:val="24"/>
          <w:bdr w:val="nil"/>
          <w:lang w:val="en-US"/>
        </w:rPr>
        <w:t>eceived stated that students had</w:t>
      </w:r>
      <w:r w:rsidRPr="00DE4DB7">
        <w:rPr>
          <w:rFonts w:ascii="Arial" w:eastAsia="Arial Unicode MS" w:hAnsi="Arial" w:cs="Arial"/>
          <w:sz w:val="24"/>
          <w:szCs w:val="24"/>
          <w:bdr w:val="nil"/>
          <w:lang w:val="en-US"/>
        </w:rPr>
        <w:t xml:space="preserve"> the opportunity to observe and work with a range of health and social care professionals at t</w:t>
      </w:r>
      <w:r w:rsidR="003B1F52" w:rsidRPr="00DE4DB7">
        <w:rPr>
          <w:rFonts w:ascii="Arial" w:eastAsia="Arial Unicode MS" w:hAnsi="Arial" w:cs="Arial"/>
          <w:sz w:val="24"/>
          <w:szCs w:val="24"/>
          <w:bdr w:val="nil"/>
          <w:lang w:val="en-US"/>
        </w:rPr>
        <w:t>he children’s centres.  52% said</w:t>
      </w:r>
      <w:r w:rsidRPr="00DE4DB7">
        <w:rPr>
          <w:rFonts w:ascii="Arial" w:eastAsia="Arial Unicode MS" w:hAnsi="Arial" w:cs="Arial"/>
          <w:sz w:val="24"/>
          <w:szCs w:val="24"/>
          <w:bdr w:val="nil"/>
          <w:lang w:val="en-US"/>
        </w:rPr>
        <w:t xml:space="preserve"> the children’s centre enabled them to meet the required learning outcomes:</w:t>
      </w:r>
    </w:p>
    <w:p w:rsidR="00EC65D2" w:rsidRPr="00DE4DB7" w:rsidRDefault="00EC65D2" w:rsidP="00DE4DB7">
      <w:pPr>
        <w:pStyle w:val="NoSpacing"/>
        <w:jc w:val="both"/>
        <w:rPr>
          <w:rFonts w:ascii="Arial" w:hAnsi="Arial" w:cs="Arial"/>
          <w:color w:val="333333"/>
          <w:sz w:val="24"/>
          <w:szCs w:val="24"/>
          <w:shd w:val="clear" w:color="auto" w:fill="E5F4F3"/>
        </w:rPr>
      </w:pPr>
    </w:p>
    <w:p w:rsidR="00EC65D2" w:rsidRPr="00DE4DB7" w:rsidRDefault="00EC65D2" w:rsidP="00DE4DB7">
      <w:pPr>
        <w:pStyle w:val="NoSpacing"/>
        <w:jc w:val="both"/>
        <w:rPr>
          <w:rFonts w:ascii="Arial" w:hAnsi="Arial" w:cs="Arial"/>
          <w:i/>
          <w:color w:val="333333"/>
          <w:sz w:val="24"/>
          <w:szCs w:val="24"/>
          <w:shd w:val="clear" w:color="auto" w:fill="E5F4F3"/>
        </w:rPr>
      </w:pPr>
    </w:p>
    <w:p w:rsidR="00EC65D2" w:rsidRPr="00ED0054" w:rsidRDefault="00EC65D2" w:rsidP="00DE4DB7">
      <w:pPr>
        <w:pStyle w:val="NoSpacing"/>
        <w:jc w:val="both"/>
        <w:rPr>
          <w:rFonts w:ascii="Arial" w:hAnsi="Arial" w:cs="Arial"/>
          <w:sz w:val="24"/>
          <w:szCs w:val="24"/>
        </w:rPr>
      </w:pPr>
      <w:r w:rsidRPr="00DE4DB7">
        <w:rPr>
          <w:rFonts w:ascii="Arial" w:eastAsia="Arial Unicode MS" w:hAnsi="Arial" w:cs="Arial"/>
          <w:sz w:val="24"/>
          <w:szCs w:val="24"/>
          <w:bdr w:val="nil"/>
          <w:lang w:val="en-US"/>
        </w:rPr>
        <w:t xml:space="preserve">Some students commented that there was a lack of preparation by the University for the new placement </w:t>
      </w:r>
      <w:r w:rsidR="001256F7" w:rsidRPr="00DE4DB7">
        <w:rPr>
          <w:rFonts w:ascii="Arial" w:eastAsia="Arial Unicode MS" w:hAnsi="Arial" w:cs="Arial"/>
          <w:sz w:val="24"/>
          <w:szCs w:val="24"/>
          <w:bdr w:val="nil"/>
          <w:lang w:val="en-US"/>
        </w:rPr>
        <w:t>pathways.</w:t>
      </w:r>
      <w:r w:rsidR="00D70008">
        <w:rPr>
          <w:rFonts w:ascii="Arial" w:hAnsi="Arial" w:cs="Arial"/>
          <w:sz w:val="24"/>
          <w:szCs w:val="24"/>
        </w:rPr>
        <w:t xml:space="preserve"> </w:t>
      </w:r>
      <w:r w:rsidRPr="00DE4DB7">
        <w:rPr>
          <w:rFonts w:ascii="Arial" w:eastAsia="Arial Unicode MS" w:hAnsi="Arial" w:cs="Arial"/>
          <w:sz w:val="24"/>
          <w:szCs w:val="24"/>
          <w:bdr w:val="nil"/>
          <w:lang w:val="en-US"/>
        </w:rPr>
        <w:t xml:space="preserve">Although some students felt that the placement was too long or would be better suited to a first </w:t>
      </w:r>
      <w:r w:rsidR="001256F7" w:rsidRPr="00DE4DB7">
        <w:rPr>
          <w:rFonts w:ascii="Arial" w:eastAsia="Arial Unicode MS" w:hAnsi="Arial" w:cs="Arial"/>
          <w:sz w:val="24"/>
          <w:szCs w:val="24"/>
          <w:bdr w:val="nil"/>
          <w:lang w:val="en-US"/>
        </w:rPr>
        <w:t>year student.</w:t>
      </w:r>
      <w:r w:rsidR="00D70008">
        <w:rPr>
          <w:rFonts w:ascii="Arial" w:hAnsi="Arial" w:cs="Arial"/>
          <w:sz w:val="24"/>
          <w:szCs w:val="24"/>
        </w:rPr>
        <w:t xml:space="preserve"> </w:t>
      </w:r>
      <w:r w:rsidRPr="00DE4DB7">
        <w:rPr>
          <w:rFonts w:ascii="Arial" w:eastAsia="Arial Unicode MS" w:hAnsi="Arial" w:cs="Arial"/>
          <w:sz w:val="24"/>
          <w:szCs w:val="24"/>
          <w:bdr w:val="nil"/>
          <w:lang w:val="en-US"/>
        </w:rPr>
        <w:t xml:space="preserve">One of the </w:t>
      </w:r>
      <w:r w:rsidR="001256F7" w:rsidRPr="00DE4DB7">
        <w:rPr>
          <w:rFonts w:ascii="Arial" w:eastAsia="Arial Unicode MS" w:hAnsi="Arial" w:cs="Arial"/>
          <w:sz w:val="24"/>
          <w:szCs w:val="24"/>
          <w:bdr w:val="nil"/>
          <w:lang w:val="en-US"/>
        </w:rPr>
        <w:t>students</w:t>
      </w:r>
      <w:r w:rsidRPr="00DE4DB7">
        <w:rPr>
          <w:rFonts w:ascii="Arial" w:eastAsia="Arial Unicode MS" w:hAnsi="Arial" w:cs="Arial"/>
          <w:sz w:val="24"/>
          <w:szCs w:val="24"/>
          <w:bdr w:val="nil"/>
          <w:lang w:val="en-US"/>
        </w:rPr>
        <w:t xml:space="preserve"> did not </w:t>
      </w:r>
      <w:r w:rsidR="001256F7" w:rsidRPr="00DE4DB7">
        <w:rPr>
          <w:rFonts w:ascii="Arial" w:eastAsia="Arial Unicode MS" w:hAnsi="Arial" w:cs="Arial"/>
          <w:sz w:val="24"/>
          <w:szCs w:val="24"/>
          <w:bdr w:val="nil"/>
          <w:lang w:val="en-US"/>
        </w:rPr>
        <w:t>feel the placement was valuable.</w:t>
      </w:r>
      <w:r w:rsidR="00ED0054">
        <w:rPr>
          <w:rFonts w:ascii="Arial" w:hAnsi="Arial" w:cs="Arial"/>
          <w:sz w:val="24"/>
          <w:szCs w:val="24"/>
        </w:rPr>
        <w:t xml:space="preserve"> </w:t>
      </w:r>
      <w:r w:rsidRPr="00DE4DB7">
        <w:rPr>
          <w:rFonts w:ascii="Arial" w:eastAsia="Arial Unicode MS" w:hAnsi="Arial" w:cs="Arial"/>
          <w:sz w:val="24"/>
          <w:szCs w:val="24"/>
          <w:bdr w:val="nil"/>
          <w:lang w:val="en-US"/>
        </w:rPr>
        <w:t>All the students reported that working with different members of the multi-disciplinary team improved their knowledge and understandin</w:t>
      </w:r>
      <w:r w:rsidR="001256F7" w:rsidRPr="00DE4DB7">
        <w:rPr>
          <w:rFonts w:ascii="Arial" w:eastAsia="Arial Unicode MS" w:hAnsi="Arial" w:cs="Arial"/>
          <w:sz w:val="24"/>
          <w:szCs w:val="24"/>
          <w:bdr w:val="nil"/>
          <w:lang w:val="en-US"/>
        </w:rPr>
        <w:t>g of the multidisciplinary team.</w:t>
      </w:r>
      <w:r w:rsidR="00D70008">
        <w:rPr>
          <w:rFonts w:ascii="Arial" w:eastAsia="Arial Unicode MS" w:hAnsi="Arial" w:cs="Arial"/>
          <w:sz w:val="24"/>
          <w:szCs w:val="24"/>
          <w:bdr w:val="nil"/>
          <w:lang w:val="en-US"/>
        </w:rPr>
        <w:t xml:space="preserve"> </w:t>
      </w:r>
      <w:r w:rsidRPr="00DE4DB7">
        <w:rPr>
          <w:rFonts w:ascii="Arial" w:eastAsia="Arial Unicode MS" w:hAnsi="Arial" w:cs="Arial"/>
          <w:sz w:val="24"/>
          <w:szCs w:val="24"/>
          <w:bdr w:val="nil"/>
          <w:lang w:val="en-US"/>
        </w:rPr>
        <w:t xml:space="preserve">The students stated that they have an increased understanding and knowledge of a range of services provided in the community setting particularly in </w:t>
      </w:r>
      <w:r w:rsidR="001256F7" w:rsidRPr="00DE4DB7">
        <w:rPr>
          <w:rFonts w:ascii="Arial" w:eastAsia="Arial Unicode MS" w:hAnsi="Arial" w:cs="Arial"/>
          <w:sz w:val="24"/>
          <w:szCs w:val="24"/>
          <w:bdr w:val="nil"/>
          <w:lang w:val="en-US"/>
        </w:rPr>
        <w:t>the area of preventative health.</w:t>
      </w:r>
    </w:p>
    <w:p w:rsidR="00EC65D2" w:rsidRPr="00DE4DB7" w:rsidRDefault="00EC65D2" w:rsidP="00DE4DB7">
      <w:pPr>
        <w:pStyle w:val="NoSpacing"/>
        <w:jc w:val="both"/>
        <w:rPr>
          <w:rFonts w:ascii="Arial" w:hAnsi="Arial" w:cs="Arial"/>
          <w:sz w:val="24"/>
          <w:szCs w:val="24"/>
        </w:rPr>
      </w:pPr>
    </w:p>
    <w:p w:rsidR="00EC65D2" w:rsidRPr="00DE4DB7" w:rsidRDefault="00EC65D2" w:rsidP="00DE4DB7">
      <w:pPr>
        <w:pStyle w:val="NoSpacing"/>
        <w:jc w:val="both"/>
        <w:rPr>
          <w:rFonts w:ascii="Arial" w:eastAsia="Arial Unicode MS" w:hAnsi="Arial" w:cs="Arial"/>
          <w:i/>
          <w:sz w:val="24"/>
          <w:szCs w:val="24"/>
          <w:bdr w:val="nil"/>
          <w:lang w:val="en-US"/>
        </w:rPr>
      </w:pPr>
      <w:r w:rsidRPr="00DE4DB7">
        <w:rPr>
          <w:rFonts w:ascii="Arial" w:eastAsia="Arial Unicode MS" w:hAnsi="Arial" w:cs="Arial"/>
          <w:i/>
          <w:sz w:val="24"/>
          <w:szCs w:val="24"/>
          <w:bdr w:val="nil"/>
          <w:lang w:val="en-US"/>
        </w:rPr>
        <w:t>Children’s centre’s staff’s perspective:</w:t>
      </w:r>
    </w:p>
    <w:p w:rsidR="00EC65D2" w:rsidRPr="00DE4DB7" w:rsidRDefault="00EC65D2" w:rsidP="00DE4DB7">
      <w:pPr>
        <w:pStyle w:val="NoSpacing"/>
        <w:jc w:val="both"/>
        <w:rPr>
          <w:rFonts w:ascii="Arial" w:eastAsia="Arial Unicode MS" w:hAnsi="Arial" w:cs="Arial"/>
          <w:sz w:val="24"/>
          <w:szCs w:val="24"/>
          <w:bdr w:val="nil"/>
          <w:lang w:val="en-US"/>
        </w:rPr>
      </w:pPr>
    </w:p>
    <w:p w:rsidR="00EC65D2" w:rsidRPr="00DE4DB7" w:rsidRDefault="00EC65D2" w:rsidP="00DE4DB7">
      <w:pPr>
        <w:pStyle w:val="NoSpacing"/>
        <w:jc w:val="both"/>
        <w:rPr>
          <w:rFonts w:ascii="Arial" w:eastAsia="Arial Unicode MS" w:hAnsi="Arial" w:cs="Arial"/>
          <w:sz w:val="24"/>
          <w:szCs w:val="24"/>
          <w:bdr w:val="nil"/>
          <w:lang w:val="en-US"/>
        </w:rPr>
      </w:pPr>
      <w:r w:rsidRPr="00DE4DB7">
        <w:rPr>
          <w:rFonts w:ascii="Arial" w:eastAsia="Arial Unicode MS" w:hAnsi="Arial" w:cs="Arial"/>
          <w:sz w:val="24"/>
          <w:szCs w:val="24"/>
          <w:bdr w:val="nil"/>
          <w:lang w:val="en-US"/>
        </w:rPr>
        <w:t>The staff at the children’s centres completed a questionnaire to evaluate their experience of the new style placements. The staff who responded said they have found having nursing students in the children’s centre a positive experience:</w:t>
      </w:r>
      <w:r w:rsidR="00D70008">
        <w:rPr>
          <w:rFonts w:ascii="Arial" w:eastAsia="Arial Unicode MS" w:hAnsi="Arial" w:cs="Arial"/>
          <w:sz w:val="24"/>
          <w:szCs w:val="24"/>
          <w:bdr w:val="nil"/>
          <w:lang w:val="en-US"/>
        </w:rPr>
        <w:t xml:space="preserve"> </w:t>
      </w:r>
      <w:r w:rsidRPr="00DE4DB7">
        <w:rPr>
          <w:rFonts w:ascii="Arial" w:eastAsia="Arial Unicode MS" w:hAnsi="Arial" w:cs="Arial"/>
          <w:sz w:val="24"/>
          <w:szCs w:val="24"/>
          <w:bdr w:val="nil"/>
          <w:lang w:val="en-US"/>
        </w:rPr>
        <w:t>Staff felt they were able to provide students with opportuniti</w:t>
      </w:r>
      <w:r w:rsidR="001256F7" w:rsidRPr="00DE4DB7">
        <w:rPr>
          <w:rFonts w:ascii="Arial" w:eastAsia="Arial Unicode MS" w:hAnsi="Arial" w:cs="Arial"/>
          <w:sz w:val="24"/>
          <w:szCs w:val="24"/>
          <w:bdr w:val="nil"/>
          <w:lang w:val="en-US"/>
        </w:rPr>
        <w:t xml:space="preserve">es to meet their learning </w:t>
      </w:r>
      <w:r w:rsidR="00683403" w:rsidRPr="00DE4DB7">
        <w:rPr>
          <w:rFonts w:ascii="Arial" w:eastAsia="Arial Unicode MS" w:hAnsi="Arial" w:cs="Arial"/>
          <w:sz w:val="24"/>
          <w:szCs w:val="24"/>
          <w:bdr w:val="nil"/>
          <w:lang w:val="en-US"/>
        </w:rPr>
        <w:t>needs. Staff</w:t>
      </w:r>
      <w:r w:rsidRPr="00DE4DB7">
        <w:rPr>
          <w:rFonts w:ascii="Arial" w:eastAsia="Arial Unicode MS" w:hAnsi="Arial" w:cs="Arial"/>
          <w:sz w:val="24"/>
          <w:szCs w:val="24"/>
          <w:bdr w:val="nil"/>
          <w:lang w:val="en-US"/>
        </w:rPr>
        <w:t xml:space="preserve"> would welcome having students on placement in the future:</w:t>
      </w:r>
    </w:p>
    <w:p w:rsidR="00EC65D2" w:rsidRPr="00DE4DB7" w:rsidRDefault="00EC65D2" w:rsidP="00DE4DB7">
      <w:pPr>
        <w:pStyle w:val="NoSpacing"/>
        <w:jc w:val="both"/>
        <w:rPr>
          <w:rFonts w:ascii="Arial" w:eastAsia="Arial Unicode MS" w:hAnsi="Arial" w:cs="Arial"/>
          <w:sz w:val="24"/>
          <w:szCs w:val="24"/>
          <w:bdr w:val="nil"/>
          <w:lang w:val="en-US"/>
        </w:rPr>
      </w:pPr>
    </w:p>
    <w:p w:rsidR="00EC65D2" w:rsidRPr="00DE4DB7" w:rsidRDefault="00EC65D2" w:rsidP="00DE4DB7">
      <w:pPr>
        <w:pStyle w:val="NoSpacing"/>
        <w:jc w:val="both"/>
        <w:rPr>
          <w:rFonts w:ascii="Arial" w:eastAsia="Arial Unicode MS" w:hAnsi="Arial" w:cs="Arial"/>
          <w:i/>
          <w:sz w:val="24"/>
          <w:szCs w:val="24"/>
          <w:bdr w:val="nil"/>
          <w:lang w:val="en-US"/>
        </w:rPr>
      </w:pPr>
      <w:r w:rsidRPr="00DE4DB7">
        <w:rPr>
          <w:rFonts w:ascii="Arial" w:eastAsia="Arial Unicode MS" w:hAnsi="Arial" w:cs="Arial"/>
          <w:i/>
          <w:sz w:val="24"/>
          <w:szCs w:val="24"/>
          <w:bdr w:val="nil"/>
          <w:lang w:val="en-US"/>
        </w:rPr>
        <w:t>Mentors’ perspectives:</w:t>
      </w:r>
    </w:p>
    <w:p w:rsidR="00EC65D2" w:rsidRPr="00DE4DB7" w:rsidRDefault="00EC65D2" w:rsidP="00DE4DB7">
      <w:pPr>
        <w:pStyle w:val="NoSpacing"/>
        <w:jc w:val="both"/>
        <w:rPr>
          <w:rFonts w:ascii="Arial" w:eastAsia="Arial Unicode MS" w:hAnsi="Arial" w:cs="Arial"/>
          <w:sz w:val="24"/>
          <w:szCs w:val="24"/>
          <w:bdr w:val="nil"/>
          <w:lang w:val="en-US"/>
        </w:rPr>
      </w:pPr>
    </w:p>
    <w:p w:rsidR="00EC65D2" w:rsidRPr="00DE4DB7" w:rsidRDefault="00EC65D2" w:rsidP="00DE4DB7">
      <w:pPr>
        <w:pStyle w:val="NoSpacing"/>
        <w:jc w:val="both"/>
        <w:rPr>
          <w:rFonts w:ascii="Arial" w:eastAsia="Arial Unicode MS" w:hAnsi="Arial" w:cs="Arial"/>
          <w:sz w:val="24"/>
          <w:szCs w:val="24"/>
          <w:bdr w:val="nil"/>
          <w:lang w:val="en-US"/>
        </w:rPr>
      </w:pPr>
      <w:r w:rsidRPr="00DE4DB7">
        <w:rPr>
          <w:rFonts w:ascii="Arial" w:eastAsia="Arial Unicode MS" w:hAnsi="Arial" w:cs="Arial"/>
          <w:sz w:val="24"/>
          <w:szCs w:val="24"/>
          <w:bdr w:val="nil"/>
          <w:lang w:val="en-US"/>
        </w:rPr>
        <w:t>Mentors’ perspectives were evaluated using an e-questionnaire and a feedback session. The mentors stated that the model supported their capacity to accommodate more students</w:t>
      </w:r>
      <w:r w:rsidRPr="00DE4DB7">
        <w:rPr>
          <w:rFonts w:ascii="Arial" w:hAnsi="Arial" w:cs="Arial"/>
          <w:i/>
          <w:sz w:val="24"/>
          <w:szCs w:val="24"/>
        </w:rPr>
        <w:t xml:space="preserve">. </w:t>
      </w:r>
      <w:r w:rsidRPr="00DE4DB7">
        <w:rPr>
          <w:rFonts w:ascii="Arial" w:eastAsia="Arial Unicode MS" w:hAnsi="Arial" w:cs="Arial"/>
          <w:sz w:val="24"/>
          <w:szCs w:val="24"/>
          <w:bdr w:val="nil"/>
          <w:lang w:val="en-US"/>
        </w:rPr>
        <w:t xml:space="preserve">They indicated that the shared approach to mentoring and facilitating provided the students with a wide range of experience which would have been </w:t>
      </w:r>
      <w:r w:rsidR="001256F7" w:rsidRPr="00DE4DB7">
        <w:rPr>
          <w:rFonts w:ascii="Arial" w:eastAsia="Arial Unicode MS" w:hAnsi="Arial" w:cs="Arial"/>
          <w:sz w:val="24"/>
          <w:szCs w:val="24"/>
          <w:bdr w:val="nil"/>
          <w:lang w:val="en-US"/>
        </w:rPr>
        <w:t>difficult to arrange previously.</w:t>
      </w:r>
    </w:p>
    <w:p w:rsidR="00EC65D2" w:rsidRPr="00DE4DB7" w:rsidRDefault="00EC65D2" w:rsidP="00DE4DB7">
      <w:pPr>
        <w:pStyle w:val="NoSpacing"/>
        <w:jc w:val="both"/>
        <w:rPr>
          <w:rFonts w:ascii="Arial" w:eastAsia="Arial Unicode MS" w:hAnsi="Arial" w:cs="Arial"/>
          <w:sz w:val="24"/>
          <w:szCs w:val="24"/>
          <w:bdr w:val="nil"/>
          <w:lang w:val="en-US"/>
        </w:rPr>
      </w:pPr>
    </w:p>
    <w:p w:rsidR="00EC65D2" w:rsidRPr="00DE4DB7" w:rsidRDefault="00EC65D2" w:rsidP="00DE4DB7">
      <w:pPr>
        <w:pStyle w:val="NoSpacing"/>
        <w:jc w:val="both"/>
        <w:rPr>
          <w:rFonts w:ascii="Arial" w:eastAsia="Arial Unicode MS" w:hAnsi="Arial" w:cs="Arial"/>
          <w:sz w:val="24"/>
          <w:szCs w:val="24"/>
          <w:bdr w:val="nil"/>
          <w:lang w:val="en-US"/>
        </w:rPr>
      </w:pPr>
      <w:r w:rsidRPr="00DE4DB7">
        <w:rPr>
          <w:rFonts w:ascii="Arial" w:eastAsia="Arial Unicode MS" w:hAnsi="Arial" w:cs="Arial"/>
          <w:sz w:val="24"/>
          <w:szCs w:val="24"/>
          <w:bdr w:val="nil"/>
          <w:lang w:val="en-US"/>
        </w:rPr>
        <w:t>The visible support from the project team encouraged mentors’ engagement and the guideline was useful in understanding the pathways and a range of activities students could engage in</w:t>
      </w:r>
      <w:r w:rsidRPr="00DE4DB7">
        <w:rPr>
          <w:rFonts w:ascii="Arial" w:hAnsi="Arial" w:cs="Arial"/>
          <w:sz w:val="24"/>
          <w:szCs w:val="24"/>
        </w:rPr>
        <w:t xml:space="preserve">. </w:t>
      </w:r>
      <w:r w:rsidRPr="00DE4DB7">
        <w:rPr>
          <w:rFonts w:ascii="Arial" w:eastAsia="Arial Unicode MS" w:hAnsi="Arial" w:cs="Arial"/>
          <w:sz w:val="24"/>
          <w:szCs w:val="24"/>
          <w:bdr w:val="nil"/>
          <w:lang w:val="en-US"/>
        </w:rPr>
        <w:t xml:space="preserve">The mentors expressed preference for the </w:t>
      </w:r>
      <w:r w:rsidRPr="00DE4DB7">
        <w:rPr>
          <w:rFonts w:ascii="Arial" w:eastAsia="Arial Unicode MS" w:hAnsi="Arial" w:cs="Arial"/>
          <w:i/>
          <w:sz w:val="24"/>
          <w:szCs w:val="24"/>
          <w:bdr w:val="nil"/>
          <w:lang w:val="en-US"/>
        </w:rPr>
        <w:t>Hub and Breadth Spoke model</w:t>
      </w:r>
      <w:r w:rsidRPr="00DE4DB7">
        <w:rPr>
          <w:rFonts w:ascii="Arial" w:eastAsia="Arial Unicode MS" w:hAnsi="Arial" w:cs="Arial"/>
          <w:sz w:val="24"/>
          <w:szCs w:val="24"/>
          <w:bdr w:val="nil"/>
          <w:lang w:val="en-US"/>
        </w:rPr>
        <w:t xml:space="preserve"> as it offers the flexibility to manage the students placement in a structured way, compared to the Team approach where it may not possible to sus</w:t>
      </w:r>
      <w:r w:rsidR="001256F7" w:rsidRPr="00DE4DB7">
        <w:rPr>
          <w:rFonts w:ascii="Arial" w:eastAsia="Arial Unicode MS" w:hAnsi="Arial" w:cs="Arial"/>
          <w:sz w:val="24"/>
          <w:szCs w:val="24"/>
          <w:bdr w:val="nil"/>
          <w:lang w:val="en-US"/>
        </w:rPr>
        <w:t>tain due to workforce structure.</w:t>
      </w:r>
    </w:p>
    <w:p w:rsidR="00EC65D2" w:rsidRPr="00DE4DB7" w:rsidRDefault="00EC65D2" w:rsidP="00DE4DB7">
      <w:pPr>
        <w:pStyle w:val="NoSpacing"/>
        <w:jc w:val="both"/>
        <w:rPr>
          <w:rFonts w:ascii="Arial" w:eastAsia="Arial Unicode MS" w:hAnsi="Arial" w:cs="Arial"/>
          <w:sz w:val="24"/>
          <w:szCs w:val="24"/>
          <w:bdr w:val="nil"/>
          <w:lang w:val="en-US"/>
        </w:rPr>
      </w:pPr>
    </w:p>
    <w:p w:rsidR="00EC65D2" w:rsidRPr="00DE4DB7" w:rsidRDefault="00EC65D2" w:rsidP="00DE4DB7">
      <w:pPr>
        <w:pStyle w:val="NoSpacing"/>
        <w:jc w:val="both"/>
        <w:rPr>
          <w:rFonts w:ascii="Arial" w:hAnsi="Arial" w:cs="Arial"/>
          <w:i/>
          <w:color w:val="333333"/>
          <w:sz w:val="24"/>
          <w:szCs w:val="24"/>
          <w:shd w:val="clear" w:color="auto" w:fill="E5F4F3"/>
        </w:rPr>
      </w:pPr>
    </w:p>
    <w:p w:rsidR="00EC65D2" w:rsidRPr="00DE4DB7" w:rsidRDefault="00EC65D2" w:rsidP="00DE4DB7">
      <w:pPr>
        <w:pStyle w:val="NoSpacing"/>
        <w:jc w:val="both"/>
        <w:rPr>
          <w:rFonts w:ascii="Arial" w:eastAsia="Arial Unicode MS" w:hAnsi="Arial" w:cs="Arial"/>
          <w:b/>
          <w:sz w:val="24"/>
          <w:szCs w:val="24"/>
          <w:bdr w:val="nil"/>
          <w:lang w:val="en-US"/>
        </w:rPr>
      </w:pPr>
      <w:r w:rsidRPr="00DE4DB7">
        <w:rPr>
          <w:rFonts w:ascii="Arial" w:eastAsia="Arial Unicode MS" w:hAnsi="Arial" w:cs="Arial"/>
          <w:b/>
          <w:sz w:val="24"/>
          <w:szCs w:val="24"/>
          <w:bdr w:val="nil"/>
          <w:lang w:val="en-US"/>
        </w:rPr>
        <w:t>Key learning</w:t>
      </w:r>
    </w:p>
    <w:p w:rsidR="00EC65D2" w:rsidRPr="00DE4DB7" w:rsidRDefault="00EC65D2" w:rsidP="00DE4DB7">
      <w:pPr>
        <w:pStyle w:val="NoSpacing"/>
        <w:jc w:val="both"/>
        <w:rPr>
          <w:rFonts w:ascii="Arial" w:eastAsia="Arial Unicode MS" w:hAnsi="Arial" w:cs="Arial"/>
          <w:sz w:val="24"/>
          <w:szCs w:val="24"/>
          <w:u w:val="single"/>
          <w:bdr w:val="nil"/>
          <w:lang w:val="en-US"/>
        </w:rPr>
      </w:pPr>
    </w:p>
    <w:p w:rsidR="00EC65D2" w:rsidRPr="00DE4DB7" w:rsidRDefault="00EC65D2" w:rsidP="00DF628A">
      <w:pPr>
        <w:pStyle w:val="NoSpacing"/>
        <w:numPr>
          <w:ilvl w:val="0"/>
          <w:numId w:val="8"/>
        </w:numPr>
        <w:jc w:val="both"/>
        <w:rPr>
          <w:rFonts w:ascii="Arial" w:eastAsia="Arial Unicode MS" w:hAnsi="Arial" w:cs="Arial"/>
          <w:sz w:val="24"/>
          <w:szCs w:val="24"/>
          <w:bdr w:val="nil"/>
          <w:lang w:val="en-US" w:eastAsia="en-GB"/>
        </w:rPr>
      </w:pPr>
      <w:r w:rsidRPr="00DE4DB7">
        <w:rPr>
          <w:rFonts w:ascii="Arial" w:eastAsia="Arial Unicode MS" w:hAnsi="Arial" w:cs="Arial"/>
          <w:sz w:val="24"/>
          <w:szCs w:val="24"/>
          <w:bdr w:val="nil"/>
          <w:lang w:val="en-US" w:eastAsia="en-GB"/>
        </w:rPr>
        <w:t>When developing new placements face to face contact with key stakeholders including mentors is essential.</w:t>
      </w:r>
    </w:p>
    <w:p w:rsidR="00EC65D2" w:rsidRPr="00DE4DB7" w:rsidRDefault="00EC65D2" w:rsidP="00DF628A">
      <w:pPr>
        <w:pStyle w:val="NoSpacing"/>
        <w:numPr>
          <w:ilvl w:val="0"/>
          <w:numId w:val="8"/>
        </w:numPr>
        <w:jc w:val="both"/>
        <w:rPr>
          <w:rFonts w:ascii="Arial" w:eastAsia="Arial Unicode MS" w:hAnsi="Arial" w:cs="Arial"/>
          <w:sz w:val="24"/>
          <w:szCs w:val="24"/>
          <w:bdr w:val="nil"/>
          <w:lang w:val="en-US" w:eastAsia="en-GB"/>
        </w:rPr>
      </w:pPr>
      <w:r w:rsidRPr="00DE4DB7">
        <w:rPr>
          <w:rFonts w:ascii="Arial" w:eastAsia="Arial Unicode MS" w:hAnsi="Arial" w:cs="Arial"/>
          <w:sz w:val="24"/>
          <w:szCs w:val="24"/>
          <w:bdr w:val="nil"/>
          <w:lang w:val="en-US" w:eastAsia="en-GB"/>
        </w:rPr>
        <w:t xml:space="preserve">Settings in the </w:t>
      </w:r>
      <w:r w:rsidR="003B1F52" w:rsidRPr="00DE4DB7">
        <w:rPr>
          <w:rFonts w:ascii="Arial" w:eastAsia="Arial Unicode MS" w:hAnsi="Arial" w:cs="Arial"/>
          <w:sz w:val="24"/>
          <w:szCs w:val="24"/>
          <w:bdr w:val="nil"/>
          <w:lang w:val="en-US" w:eastAsia="en-GB"/>
        </w:rPr>
        <w:t>community such as the children c</w:t>
      </w:r>
      <w:r w:rsidRPr="00DE4DB7">
        <w:rPr>
          <w:rFonts w:ascii="Arial" w:eastAsia="Arial Unicode MS" w:hAnsi="Arial" w:cs="Arial"/>
          <w:sz w:val="24"/>
          <w:szCs w:val="24"/>
          <w:bdr w:val="nil"/>
          <w:lang w:val="en-US" w:eastAsia="en-GB"/>
        </w:rPr>
        <w:t>entre can offer a high quality learning opportunity for children’s nursing students.</w:t>
      </w:r>
    </w:p>
    <w:p w:rsidR="00EC65D2" w:rsidRPr="00DE4DB7" w:rsidRDefault="00EC65D2" w:rsidP="00DF628A">
      <w:pPr>
        <w:pStyle w:val="NoSpacing"/>
        <w:numPr>
          <w:ilvl w:val="0"/>
          <w:numId w:val="8"/>
        </w:numPr>
        <w:jc w:val="both"/>
        <w:rPr>
          <w:rFonts w:ascii="Arial" w:eastAsia="Arial Unicode MS" w:hAnsi="Arial" w:cs="Arial"/>
          <w:sz w:val="24"/>
          <w:szCs w:val="24"/>
          <w:bdr w:val="nil"/>
          <w:lang w:val="en-US" w:eastAsia="en-GB"/>
        </w:rPr>
      </w:pPr>
      <w:r w:rsidRPr="00DE4DB7">
        <w:rPr>
          <w:rFonts w:ascii="Arial" w:eastAsia="Arial Unicode MS" w:hAnsi="Arial" w:cs="Arial"/>
          <w:sz w:val="24"/>
          <w:szCs w:val="24"/>
          <w:bdr w:val="nil"/>
          <w:lang w:val="en-US" w:eastAsia="en-GB"/>
        </w:rPr>
        <w:t>Students need preparing by the University ahead of any change in placement structure</w:t>
      </w:r>
      <w:r w:rsidR="003B1F52" w:rsidRPr="00DE4DB7">
        <w:rPr>
          <w:rFonts w:ascii="Arial" w:eastAsia="Arial Unicode MS" w:hAnsi="Arial" w:cs="Arial"/>
          <w:sz w:val="24"/>
          <w:szCs w:val="24"/>
          <w:bdr w:val="nil"/>
          <w:lang w:val="en-US" w:eastAsia="en-GB"/>
        </w:rPr>
        <w:t>.</w:t>
      </w:r>
    </w:p>
    <w:p w:rsidR="00EC65D2" w:rsidRPr="00DE4DB7" w:rsidRDefault="00EC65D2" w:rsidP="00DE4DB7">
      <w:pPr>
        <w:pStyle w:val="NoSpacing"/>
        <w:jc w:val="both"/>
        <w:rPr>
          <w:rFonts w:ascii="Arial" w:eastAsia="Arial Unicode MS" w:hAnsi="Arial" w:cs="Arial"/>
          <w:sz w:val="24"/>
          <w:szCs w:val="24"/>
          <w:bdr w:val="nil"/>
          <w:lang w:val="en-US"/>
        </w:rPr>
      </w:pPr>
    </w:p>
    <w:p w:rsidR="00CD7D8A" w:rsidRPr="00DE4DB7" w:rsidRDefault="00C518A4" w:rsidP="00DE4DB7">
      <w:pPr>
        <w:pStyle w:val="NoSpacing"/>
        <w:jc w:val="both"/>
        <w:rPr>
          <w:rFonts w:ascii="Arial" w:eastAsia="Arial Unicode MS" w:hAnsi="Arial" w:cs="Arial"/>
          <w:b/>
          <w:sz w:val="24"/>
          <w:szCs w:val="24"/>
          <w:bdr w:val="nil"/>
          <w:lang w:val="en-US"/>
        </w:rPr>
      </w:pPr>
      <w:r w:rsidRPr="00DE4DB7">
        <w:rPr>
          <w:rFonts w:ascii="Arial" w:eastAsia="Arial Unicode MS" w:hAnsi="Arial" w:cs="Arial"/>
          <w:b/>
          <w:sz w:val="24"/>
          <w:szCs w:val="24"/>
          <w:bdr w:val="nil"/>
          <w:lang w:val="en-US"/>
        </w:rPr>
        <w:t>Conclusion</w:t>
      </w:r>
    </w:p>
    <w:p w:rsidR="00BC18C5" w:rsidRDefault="00EC65D2" w:rsidP="00DE4DB7">
      <w:pPr>
        <w:pStyle w:val="NoSpacing"/>
        <w:jc w:val="both"/>
        <w:rPr>
          <w:rFonts w:ascii="Arial" w:eastAsia="Arial Unicode MS" w:hAnsi="Arial" w:cs="Arial"/>
          <w:sz w:val="24"/>
          <w:szCs w:val="24"/>
          <w:bdr w:val="nil"/>
          <w:lang w:val="en-US" w:eastAsia="en-GB"/>
        </w:rPr>
      </w:pPr>
      <w:r w:rsidRPr="00DE4DB7">
        <w:rPr>
          <w:rFonts w:ascii="Arial" w:eastAsia="Arial Unicode MS" w:hAnsi="Arial" w:cs="Arial"/>
          <w:sz w:val="24"/>
          <w:szCs w:val="24"/>
          <w:bdr w:val="nil"/>
          <w:lang w:val="en-US" w:eastAsia="en-GB"/>
        </w:rPr>
        <w:t>The University is now able to offer additional placement in the community for pre-registration children’s nurses.</w:t>
      </w:r>
      <w:r w:rsidR="00C518A4" w:rsidRPr="00DE4DB7">
        <w:rPr>
          <w:rFonts w:ascii="Arial" w:eastAsia="Arial Unicode MS" w:hAnsi="Arial" w:cs="Arial"/>
          <w:sz w:val="24"/>
          <w:szCs w:val="24"/>
          <w:bdr w:val="nil"/>
          <w:lang w:val="en-US" w:eastAsia="en-GB"/>
        </w:rPr>
        <w:t xml:space="preserve"> </w:t>
      </w:r>
      <w:r w:rsidRPr="00DE4DB7">
        <w:rPr>
          <w:rFonts w:ascii="Arial" w:eastAsia="Arial Unicode MS" w:hAnsi="Arial" w:cs="Arial"/>
          <w:sz w:val="24"/>
          <w:szCs w:val="24"/>
          <w:bdr w:val="nil"/>
          <w:lang w:val="en-US" w:eastAsia="en-GB"/>
        </w:rPr>
        <w:t>The new model of mentoring w</w:t>
      </w:r>
      <w:r w:rsidR="00C518A4" w:rsidRPr="00DE4DB7">
        <w:rPr>
          <w:rFonts w:ascii="Arial" w:eastAsia="Arial Unicode MS" w:hAnsi="Arial" w:cs="Arial"/>
          <w:sz w:val="24"/>
          <w:szCs w:val="24"/>
          <w:bdr w:val="nil"/>
          <w:lang w:val="en-US" w:eastAsia="en-GB"/>
        </w:rPr>
        <w:t>ill be rolled out in the organis</w:t>
      </w:r>
      <w:r w:rsidRPr="00DE4DB7">
        <w:rPr>
          <w:rFonts w:ascii="Arial" w:eastAsia="Arial Unicode MS" w:hAnsi="Arial" w:cs="Arial"/>
          <w:sz w:val="24"/>
          <w:szCs w:val="24"/>
          <w:bdr w:val="nil"/>
          <w:lang w:val="en-US" w:eastAsia="en-GB"/>
        </w:rPr>
        <w:t>ation.</w:t>
      </w:r>
      <w:r w:rsidR="00C518A4" w:rsidRPr="00DE4DB7">
        <w:rPr>
          <w:rFonts w:ascii="Arial" w:eastAsia="Arial Unicode MS" w:hAnsi="Arial" w:cs="Arial"/>
          <w:sz w:val="24"/>
          <w:szCs w:val="24"/>
          <w:bdr w:val="nil"/>
          <w:lang w:val="en-US" w:eastAsia="en-GB"/>
        </w:rPr>
        <w:t xml:space="preserve"> </w:t>
      </w:r>
      <w:r w:rsidRPr="00DE4DB7">
        <w:rPr>
          <w:rFonts w:ascii="Arial" w:eastAsia="Arial Unicode MS" w:hAnsi="Arial" w:cs="Arial"/>
          <w:sz w:val="24"/>
          <w:szCs w:val="24"/>
          <w:bdr w:val="nil"/>
          <w:lang w:val="en-US" w:eastAsia="en-GB"/>
        </w:rPr>
        <w:t>This approach can be adapted in securing placements in other settings with Practice Nurses in the General Practitioner (GP) setting.</w:t>
      </w:r>
    </w:p>
    <w:p w:rsidR="00D41266" w:rsidRDefault="00D41266" w:rsidP="00DE4DB7">
      <w:pPr>
        <w:pStyle w:val="NoSpacing"/>
        <w:jc w:val="both"/>
        <w:rPr>
          <w:rFonts w:ascii="Arial" w:eastAsia="Arial Unicode MS" w:hAnsi="Arial" w:cs="Arial"/>
          <w:sz w:val="24"/>
          <w:szCs w:val="24"/>
          <w:bdr w:val="nil"/>
          <w:lang w:val="en-US" w:eastAsia="en-GB"/>
        </w:rPr>
      </w:pPr>
    </w:p>
    <w:p w:rsidR="00EC65D2" w:rsidRPr="00BC18C5" w:rsidRDefault="00EC65D2" w:rsidP="00DE4DB7">
      <w:pPr>
        <w:pStyle w:val="NoSpacing"/>
        <w:jc w:val="both"/>
        <w:rPr>
          <w:rFonts w:ascii="Arial" w:eastAsia="Arial Unicode MS" w:hAnsi="Arial" w:cs="Arial"/>
          <w:b/>
          <w:sz w:val="24"/>
          <w:szCs w:val="24"/>
          <w:bdr w:val="nil"/>
          <w:lang w:val="en-US"/>
        </w:rPr>
      </w:pPr>
      <w:r w:rsidRPr="00DE4DB7">
        <w:rPr>
          <w:rFonts w:ascii="Arial" w:eastAsia="Arial Unicode MS" w:hAnsi="Arial" w:cs="Arial"/>
          <w:b/>
          <w:sz w:val="24"/>
          <w:szCs w:val="24"/>
          <w:bdr w:val="nil"/>
          <w:lang w:val="en-US"/>
        </w:rPr>
        <w:lastRenderedPageBreak/>
        <w:t>References</w:t>
      </w:r>
    </w:p>
    <w:p w:rsidR="00EC65D2" w:rsidRPr="00DE4DB7" w:rsidRDefault="00EC65D2" w:rsidP="00DE4DB7">
      <w:pPr>
        <w:pStyle w:val="NoSpacing"/>
        <w:jc w:val="both"/>
        <w:rPr>
          <w:rFonts w:ascii="Arial" w:eastAsia="Arial Unicode MS" w:hAnsi="Arial" w:cs="Arial"/>
          <w:b/>
          <w:sz w:val="24"/>
          <w:szCs w:val="24"/>
          <w:bdr w:val="nil"/>
          <w:lang w:val="en-US"/>
        </w:rPr>
      </w:pPr>
    </w:p>
    <w:p w:rsidR="00EC65D2" w:rsidRPr="00DE4DB7" w:rsidRDefault="00EC65D2" w:rsidP="00DE4DB7">
      <w:pPr>
        <w:pStyle w:val="NoSpacing"/>
        <w:jc w:val="both"/>
        <w:rPr>
          <w:rFonts w:ascii="Arial" w:hAnsi="Arial" w:cs="Arial"/>
          <w:color w:val="000000" w:themeColor="text1"/>
          <w:sz w:val="24"/>
          <w:szCs w:val="24"/>
          <w:shd w:val="clear" w:color="auto" w:fill="FFFFFF"/>
        </w:rPr>
      </w:pPr>
      <w:r w:rsidRPr="00DE4DB7">
        <w:rPr>
          <w:rFonts w:ascii="Arial" w:hAnsi="Arial" w:cs="Arial"/>
          <w:color w:val="000000" w:themeColor="text1"/>
          <w:sz w:val="24"/>
          <w:szCs w:val="24"/>
          <w:shd w:val="clear" w:color="auto" w:fill="FFFFFF"/>
        </w:rPr>
        <w:t xml:space="preserve">Betony, K. (2012) Clinical practice placements in the community: a survey to determine if they reflect the shift in healthcare delivery from secondary to primary care settings, </w:t>
      </w:r>
      <w:r w:rsidRPr="00DE4DB7">
        <w:rPr>
          <w:rFonts w:ascii="Arial" w:hAnsi="Arial" w:cs="Arial"/>
          <w:i/>
          <w:color w:val="000000" w:themeColor="text1"/>
          <w:sz w:val="24"/>
          <w:szCs w:val="24"/>
          <w:shd w:val="clear" w:color="auto" w:fill="FFFFFF"/>
        </w:rPr>
        <w:t>Nurse Education Today</w:t>
      </w:r>
      <w:r w:rsidRPr="00DE4DB7">
        <w:rPr>
          <w:rFonts w:ascii="Arial" w:hAnsi="Arial" w:cs="Arial"/>
          <w:color w:val="000000" w:themeColor="text1"/>
          <w:sz w:val="24"/>
          <w:szCs w:val="24"/>
          <w:shd w:val="clear" w:color="auto" w:fill="FFFFFF"/>
        </w:rPr>
        <w:t>, 32, (1), pp. 21-26.</w:t>
      </w:r>
    </w:p>
    <w:p w:rsidR="00EC65D2" w:rsidRPr="00DE4DB7" w:rsidRDefault="00EC65D2" w:rsidP="00DE4DB7">
      <w:pPr>
        <w:pStyle w:val="NoSpacing"/>
        <w:jc w:val="both"/>
        <w:rPr>
          <w:rFonts w:ascii="Arial" w:eastAsia="Times New Roman" w:hAnsi="Arial" w:cs="Arial"/>
          <w:color w:val="000000" w:themeColor="text1"/>
          <w:sz w:val="24"/>
          <w:szCs w:val="24"/>
          <w:lang w:eastAsia="en-GB"/>
        </w:rPr>
      </w:pPr>
    </w:p>
    <w:p w:rsidR="00EC65D2" w:rsidRDefault="00EC65D2" w:rsidP="00DE4DB7">
      <w:pPr>
        <w:pStyle w:val="NoSpacing"/>
        <w:jc w:val="both"/>
        <w:rPr>
          <w:rFonts w:ascii="Arial" w:eastAsia="Times New Roman" w:hAnsi="Arial" w:cs="Arial"/>
          <w:color w:val="000000" w:themeColor="text1"/>
          <w:sz w:val="24"/>
          <w:szCs w:val="24"/>
          <w:lang w:eastAsia="en-GB"/>
        </w:rPr>
      </w:pPr>
      <w:r w:rsidRPr="00DE4DB7">
        <w:rPr>
          <w:rFonts w:ascii="Arial" w:eastAsia="Times New Roman" w:hAnsi="Arial" w:cs="Arial"/>
          <w:color w:val="000000" w:themeColor="text1"/>
          <w:sz w:val="24"/>
          <w:szCs w:val="24"/>
          <w:lang w:eastAsia="en-GB"/>
        </w:rPr>
        <w:t xml:space="preserve">Caldwell, J., Dodd, K. and Wilkes, C. (2008) Developing a team mentoring model, </w:t>
      </w:r>
      <w:r w:rsidRPr="00DE4DB7">
        <w:rPr>
          <w:rFonts w:ascii="Arial" w:eastAsia="Times New Roman" w:hAnsi="Arial" w:cs="Arial"/>
          <w:i/>
          <w:color w:val="000000" w:themeColor="text1"/>
          <w:sz w:val="24"/>
          <w:szCs w:val="24"/>
          <w:lang w:eastAsia="en-GB"/>
        </w:rPr>
        <w:t>Nursing Standard</w:t>
      </w:r>
      <w:r w:rsidRPr="00DE4DB7">
        <w:rPr>
          <w:rFonts w:ascii="Arial" w:eastAsia="Times New Roman" w:hAnsi="Arial" w:cs="Arial"/>
          <w:color w:val="000000" w:themeColor="text1"/>
          <w:sz w:val="24"/>
          <w:szCs w:val="24"/>
          <w:lang w:eastAsia="en-GB"/>
        </w:rPr>
        <w:t>, 23, 7, 35-39</w:t>
      </w:r>
    </w:p>
    <w:p w:rsidR="00DB2FDD" w:rsidRDefault="00DB2FDD" w:rsidP="00DE4DB7">
      <w:pPr>
        <w:pStyle w:val="NoSpacing"/>
        <w:jc w:val="both"/>
        <w:rPr>
          <w:rFonts w:ascii="Arial" w:eastAsia="Times New Roman" w:hAnsi="Arial" w:cs="Arial"/>
          <w:color w:val="000000" w:themeColor="text1"/>
          <w:sz w:val="24"/>
          <w:szCs w:val="24"/>
          <w:lang w:eastAsia="en-GB"/>
        </w:rPr>
      </w:pPr>
    </w:p>
    <w:p w:rsidR="00DB2FDD" w:rsidRPr="00DE4DB7" w:rsidRDefault="00DB2FDD" w:rsidP="00DB2FDD">
      <w:pPr>
        <w:pStyle w:val="NoSpacing"/>
        <w:jc w:val="both"/>
        <w:rPr>
          <w:rFonts w:ascii="Arial" w:eastAsia="Times New Roman" w:hAnsi="Arial" w:cs="Arial"/>
          <w:i/>
          <w:color w:val="000000" w:themeColor="text1"/>
          <w:sz w:val="24"/>
          <w:szCs w:val="24"/>
          <w:lang w:eastAsia="en-GB"/>
        </w:rPr>
      </w:pPr>
      <w:r w:rsidRPr="00DE4DB7">
        <w:rPr>
          <w:rFonts w:ascii="Arial" w:eastAsia="Times New Roman" w:hAnsi="Arial" w:cs="Arial"/>
          <w:color w:val="000000" w:themeColor="text1"/>
          <w:sz w:val="24"/>
          <w:szCs w:val="24"/>
          <w:lang w:eastAsia="en-GB"/>
        </w:rPr>
        <w:t xml:space="preserve">Kostovich, C.T. and Thurn K.E. (2013) Group mentoring: A story for undergraduate baccalaureate nursing students, </w:t>
      </w:r>
      <w:r w:rsidRPr="00DE4DB7">
        <w:rPr>
          <w:rFonts w:ascii="Arial" w:eastAsia="Times New Roman" w:hAnsi="Arial" w:cs="Arial"/>
          <w:i/>
          <w:color w:val="000000" w:themeColor="text1"/>
          <w:sz w:val="24"/>
          <w:szCs w:val="24"/>
          <w:lang w:eastAsia="en-GB"/>
        </w:rPr>
        <w:t xml:space="preserve">Nurse Education Today, </w:t>
      </w:r>
      <w:r w:rsidRPr="00DE4DB7">
        <w:rPr>
          <w:rFonts w:ascii="Arial" w:eastAsia="Times New Roman" w:hAnsi="Arial" w:cs="Arial"/>
          <w:color w:val="000000" w:themeColor="text1"/>
          <w:sz w:val="24"/>
          <w:szCs w:val="24"/>
          <w:lang w:eastAsia="en-GB"/>
        </w:rPr>
        <w:t>vol. 33, pp.413-418.</w:t>
      </w:r>
    </w:p>
    <w:p w:rsidR="00DB2FDD" w:rsidRPr="00DE4DB7" w:rsidRDefault="00DB2FDD" w:rsidP="00DE4DB7">
      <w:pPr>
        <w:pStyle w:val="NoSpacing"/>
        <w:jc w:val="both"/>
        <w:rPr>
          <w:rFonts w:ascii="Arial" w:eastAsia="Times New Roman" w:hAnsi="Arial" w:cs="Arial"/>
          <w:color w:val="000000" w:themeColor="text1"/>
          <w:sz w:val="24"/>
          <w:szCs w:val="24"/>
          <w:lang w:eastAsia="en-GB"/>
        </w:rPr>
      </w:pPr>
    </w:p>
    <w:p w:rsidR="00EC65D2" w:rsidRPr="00DE4DB7" w:rsidRDefault="00B702F3" w:rsidP="00DE4DB7">
      <w:pPr>
        <w:pStyle w:val="NoSpacing"/>
        <w:jc w:val="both"/>
        <w:rPr>
          <w:rFonts w:ascii="Arial" w:hAnsi="Arial" w:cs="Arial"/>
          <w:i/>
          <w:color w:val="000000" w:themeColor="text1"/>
          <w:sz w:val="24"/>
          <w:szCs w:val="24"/>
          <w:shd w:val="clear" w:color="auto" w:fill="FFFFFF"/>
        </w:rPr>
      </w:pPr>
      <w:r w:rsidRPr="00DE4DB7">
        <w:rPr>
          <w:rFonts w:ascii="Arial" w:hAnsi="Arial" w:cs="Arial"/>
          <w:color w:val="000000" w:themeColor="text1"/>
          <w:sz w:val="24"/>
          <w:szCs w:val="24"/>
          <w:shd w:val="clear" w:color="auto" w:fill="FFFFFF"/>
        </w:rPr>
        <w:t>NHS</w:t>
      </w:r>
      <w:r w:rsidR="00DB58BE" w:rsidRPr="00DE4DB7">
        <w:rPr>
          <w:rFonts w:ascii="Arial" w:hAnsi="Arial" w:cs="Arial"/>
          <w:color w:val="000000" w:themeColor="text1"/>
          <w:sz w:val="24"/>
          <w:szCs w:val="24"/>
          <w:shd w:val="clear" w:color="auto" w:fill="FFFFFF"/>
        </w:rPr>
        <w:t xml:space="preserve"> England (2014</w:t>
      </w:r>
      <w:r w:rsidR="00EC65D2" w:rsidRPr="00DE4DB7">
        <w:rPr>
          <w:rFonts w:ascii="Arial" w:hAnsi="Arial" w:cs="Arial"/>
          <w:color w:val="000000" w:themeColor="text1"/>
          <w:sz w:val="24"/>
          <w:szCs w:val="24"/>
          <w:shd w:val="clear" w:color="auto" w:fill="FFFFFF"/>
        </w:rPr>
        <w:t xml:space="preserve">) </w:t>
      </w:r>
      <w:r w:rsidR="00EC0F37" w:rsidRPr="00DE4DB7">
        <w:rPr>
          <w:rFonts w:ascii="Arial" w:hAnsi="Arial" w:cs="Arial"/>
          <w:color w:val="000000" w:themeColor="text1"/>
          <w:sz w:val="24"/>
          <w:szCs w:val="24"/>
          <w:shd w:val="clear" w:color="auto" w:fill="FFFFFF"/>
        </w:rPr>
        <w:t>‘</w:t>
      </w:r>
      <w:r w:rsidR="00DB58BE" w:rsidRPr="00DE4DB7">
        <w:rPr>
          <w:rFonts w:ascii="Arial" w:hAnsi="Arial" w:cs="Arial"/>
          <w:i/>
          <w:color w:val="000000" w:themeColor="text1"/>
          <w:sz w:val="24"/>
          <w:szCs w:val="24"/>
          <w:shd w:val="clear" w:color="auto" w:fill="FFFFFF"/>
        </w:rPr>
        <w:t>Five Year Forward View</w:t>
      </w:r>
      <w:r w:rsidR="00EC0F37" w:rsidRPr="00DE4DB7">
        <w:rPr>
          <w:rFonts w:ascii="Arial" w:hAnsi="Arial" w:cs="Arial"/>
          <w:i/>
          <w:color w:val="000000" w:themeColor="text1"/>
          <w:sz w:val="24"/>
          <w:szCs w:val="24"/>
          <w:shd w:val="clear" w:color="auto" w:fill="FFFFFF"/>
        </w:rPr>
        <w:t>’ (Online),</w:t>
      </w:r>
      <w:r w:rsidR="00E023A8" w:rsidRPr="00DE4DB7">
        <w:rPr>
          <w:rFonts w:ascii="Arial" w:hAnsi="Arial" w:cs="Arial"/>
          <w:i/>
          <w:color w:val="000000" w:themeColor="text1"/>
          <w:sz w:val="24"/>
          <w:szCs w:val="24"/>
          <w:shd w:val="clear" w:color="auto" w:fill="FFFFFF"/>
        </w:rPr>
        <w:t xml:space="preserve"> Available at </w:t>
      </w:r>
      <w:hyperlink r:id="rId15" w:history="1">
        <w:r w:rsidR="00E023A8" w:rsidRPr="00DE4DB7">
          <w:rPr>
            <w:rStyle w:val="Hyperlink"/>
            <w:rFonts w:ascii="Arial" w:hAnsi="Arial" w:cs="Arial"/>
            <w:i/>
            <w:sz w:val="24"/>
            <w:szCs w:val="24"/>
            <w:shd w:val="clear" w:color="auto" w:fill="FFFFFF"/>
          </w:rPr>
          <w:t>https://www.england.nhs.uk/wp-content/uploads/2014/10/5yfv-web.pdf</w:t>
        </w:r>
      </w:hyperlink>
      <w:r w:rsidR="00E023A8" w:rsidRPr="00DE4DB7">
        <w:rPr>
          <w:rFonts w:ascii="Arial" w:hAnsi="Arial" w:cs="Arial"/>
          <w:i/>
          <w:color w:val="000000" w:themeColor="text1"/>
          <w:sz w:val="24"/>
          <w:szCs w:val="24"/>
          <w:shd w:val="clear" w:color="auto" w:fill="FFFFFF"/>
        </w:rPr>
        <w:t xml:space="preserve"> </w:t>
      </w:r>
      <w:r w:rsidR="00EC0F37" w:rsidRPr="00DE4DB7">
        <w:rPr>
          <w:rFonts w:ascii="Arial" w:hAnsi="Arial" w:cs="Arial"/>
          <w:i/>
          <w:color w:val="000000" w:themeColor="text1"/>
          <w:sz w:val="24"/>
          <w:szCs w:val="24"/>
          <w:shd w:val="clear" w:color="auto" w:fill="FFFFFF"/>
        </w:rPr>
        <w:t>(Accessed</w:t>
      </w:r>
      <w:r w:rsidR="00E023A8" w:rsidRPr="00DE4DB7">
        <w:rPr>
          <w:rFonts w:ascii="Arial" w:hAnsi="Arial" w:cs="Arial"/>
          <w:i/>
          <w:color w:val="000000" w:themeColor="text1"/>
          <w:sz w:val="24"/>
          <w:szCs w:val="24"/>
          <w:shd w:val="clear" w:color="auto" w:fill="FFFFFF"/>
        </w:rPr>
        <w:t xml:space="preserve"> </w:t>
      </w:r>
      <w:r w:rsidR="00EC0F37" w:rsidRPr="00DE4DB7">
        <w:rPr>
          <w:rFonts w:ascii="Arial" w:hAnsi="Arial" w:cs="Arial"/>
          <w:i/>
          <w:color w:val="000000" w:themeColor="text1"/>
          <w:sz w:val="24"/>
          <w:szCs w:val="24"/>
          <w:shd w:val="clear" w:color="auto" w:fill="FFFFFF"/>
        </w:rPr>
        <w:t xml:space="preserve">10 </w:t>
      </w:r>
      <w:r w:rsidR="00E023A8" w:rsidRPr="00DE4DB7">
        <w:rPr>
          <w:rFonts w:ascii="Arial" w:hAnsi="Arial" w:cs="Arial"/>
          <w:i/>
          <w:color w:val="000000" w:themeColor="text1"/>
          <w:sz w:val="24"/>
          <w:szCs w:val="24"/>
          <w:shd w:val="clear" w:color="auto" w:fill="FFFFFF"/>
        </w:rPr>
        <w:t>November, 2015)</w:t>
      </w:r>
      <w:r w:rsidR="00EC0F37" w:rsidRPr="00DE4DB7">
        <w:rPr>
          <w:rFonts w:ascii="Arial" w:hAnsi="Arial" w:cs="Arial"/>
          <w:i/>
          <w:color w:val="000000" w:themeColor="text1"/>
          <w:sz w:val="24"/>
          <w:szCs w:val="24"/>
          <w:shd w:val="clear" w:color="auto" w:fill="FFFFFF"/>
        </w:rPr>
        <w:t>.</w:t>
      </w:r>
    </w:p>
    <w:p w:rsidR="00EC65D2" w:rsidRPr="00DE4DB7" w:rsidRDefault="00EC65D2" w:rsidP="00DE4DB7">
      <w:pPr>
        <w:pStyle w:val="NoSpacing"/>
        <w:jc w:val="both"/>
        <w:rPr>
          <w:rFonts w:ascii="Arial" w:eastAsia="Times New Roman" w:hAnsi="Arial" w:cs="Arial"/>
          <w:color w:val="000000" w:themeColor="text1"/>
          <w:sz w:val="24"/>
          <w:szCs w:val="24"/>
          <w:lang w:eastAsia="en-GB"/>
        </w:rPr>
      </w:pPr>
    </w:p>
    <w:p w:rsidR="00EC65D2" w:rsidRDefault="00EC65D2" w:rsidP="00DE4DB7">
      <w:pPr>
        <w:pStyle w:val="NoSpacing"/>
        <w:jc w:val="both"/>
        <w:rPr>
          <w:rFonts w:ascii="Arial" w:eastAsia="Times New Roman" w:hAnsi="Arial" w:cs="Arial"/>
          <w:color w:val="000000" w:themeColor="text1"/>
          <w:sz w:val="24"/>
          <w:szCs w:val="24"/>
          <w:lang w:val="en" w:eastAsia="en-GB"/>
        </w:rPr>
      </w:pPr>
      <w:r w:rsidRPr="00DE4DB7">
        <w:rPr>
          <w:rFonts w:ascii="Arial" w:eastAsia="Times New Roman" w:hAnsi="Arial" w:cs="Arial"/>
          <w:color w:val="000000" w:themeColor="text1"/>
          <w:sz w:val="24"/>
          <w:szCs w:val="24"/>
          <w:lang w:val="en" w:eastAsia="en-GB"/>
        </w:rPr>
        <w:t>Nursing and Midwifery Council (2010a) Standards for Pre-Registration Nursing Education. NMC, London.</w:t>
      </w:r>
    </w:p>
    <w:p w:rsidR="00AB0852" w:rsidRDefault="00AB0852" w:rsidP="00DE4DB7">
      <w:pPr>
        <w:pStyle w:val="NoSpacing"/>
        <w:jc w:val="both"/>
        <w:rPr>
          <w:rFonts w:ascii="Arial" w:eastAsia="Times New Roman" w:hAnsi="Arial" w:cs="Arial"/>
          <w:color w:val="000000" w:themeColor="text1"/>
          <w:sz w:val="24"/>
          <w:szCs w:val="24"/>
          <w:lang w:val="en" w:eastAsia="en-GB"/>
        </w:rPr>
      </w:pPr>
    </w:p>
    <w:p w:rsidR="00AB0852" w:rsidRDefault="00AB0852" w:rsidP="00AB0852">
      <w:pPr>
        <w:pStyle w:val="NoSpacing"/>
        <w:jc w:val="both"/>
        <w:rPr>
          <w:rFonts w:ascii="Arial" w:eastAsia="Times New Roman" w:hAnsi="Arial" w:cs="Arial"/>
          <w:color w:val="000000" w:themeColor="text1"/>
          <w:sz w:val="24"/>
          <w:szCs w:val="24"/>
          <w:lang w:val="en" w:eastAsia="en-GB"/>
        </w:rPr>
      </w:pPr>
      <w:r w:rsidRPr="00DE4DB7">
        <w:rPr>
          <w:rFonts w:ascii="Arial" w:eastAsia="Times New Roman" w:hAnsi="Arial" w:cs="Arial"/>
          <w:color w:val="000000" w:themeColor="text1"/>
          <w:sz w:val="24"/>
          <w:szCs w:val="24"/>
          <w:lang w:val="en" w:eastAsia="en-GB"/>
        </w:rPr>
        <w:t>Nurs</w:t>
      </w:r>
      <w:r>
        <w:rPr>
          <w:rFonts w:ascii="Arial" w:eastAsia="Times New Roman" w:hAnsi="Arial" w:cs="Arial"/>
          <w:color w:val="000000" w:themeColor="text1"/>
          <w:sz w:val="24"/>
          <w:szCs w:val="24"/>
          <w:lang w:val="en" w:eastAsia="en-GB"/>
        </w:rPr>
        <w:t>ing and Midwifery Council (2018</w:t>
      </w:r>
      <w:r w:rsidRPr="00DE4DB7">
        <w:rPr>
          <w:rFonts w:ascii="Arial" w:eastAsia="Times New Roman" w:hAnsi="Arial" w:cs="Arial"/>
          <w:color w:val="000000" w:themeColor="text1"/>
          <w:sz w:val="24"/>
          <w:szCs w:val="24"/>
          <w:lang w:val="en" w:eastAsia="en-GB"/>
        </w:rPr>
        <w:t>)</w:t>
      </w:r>
      <w:r w:rsidR="003339AA">
        <w:rPr>
          <w:rFonts w:ascii="Arial" w:eastAsia="Times New Roman" w:hAnsi="Arial" w:cs="Arial"/>
          <w:color w:val="000000" w:themeColor="text1"/>
          <w:sz w:val="24"/>
          <w:szCs w:val="24"/>
          <w:lang w:val="en" w:eastAsia="en-GB"/>
        </w:rPr>
        <w:t xml:space="preserve"> Realising professionalism:</w:t>
      </w:r>
      <w:r w:rsidRPr="00DE4DB7">
        <w:rPr>
          <w:rFonts w:ascii="Arial" w:eastAsia="Times New Roman" w:hAnsi="Arial" w:cs="Arial"/>
          <w:color w:val="000000" w:themeColor="text1"/>
          <w:sz w:val="24"/>
          <w:szCs w:val="24"/>
          <w:lang w:val="en" w:eastAsia="en-GB"/>
        </w:rPr>
        <w:t xml:space="preserve"> Standards for </w:t>
      </w:r>
      <w:r w:rsidR="003339AA">
        <w:rPr>
          <w:rFonts w:ascii="Arial" w:eastAsia="Times New Roman" w:hAnsi="Arial" w:cs="Arial"/>
          <w:color w:val="000000" w:themeColor="text1"/>
          <w:sz w:val="24"/>
          <w:szCs w:val="24"/>
          <w:lang w:val="en" w:eastAsia="en-GB"/>
        </w:rPr>
        <w:t>education and training, Part 3: Standards for pre-registration nursing programmes</w:t>
      </w:r>
      <w:r w:rsidRPr="00DE4DB7">
        <w:rPr>
          <w:rFonts w:ascii="Arial" w:eastAsia="Times New Roman" w:hAnsi="Arial" w:cs="Arial"/>
          <w:color w:val="000000" w:themeColor="text1"/>
          <w:sz w:val="24"/>
          <w:szCs w:val="24"/>
          <w:lang w:val="en" w:eastAsia="en-GB"/>
        </w:rPr>
        <w:t>. NMC, London.</w:t>
      </w:r>
    </w:p>
    <w:p w:rsidR="00DB2FDD" w:rsidRDefault="00DB2FDD" w:rsidP="00AB0852">
      <w:pPr>
        <w:pStyle w:val="NoSpacing"/>
        <w:jc w:val="both"/>
        <w:rPr>
          <w:rFonts w:ascii="Arial" w:eastAsia="Times New Roman" w:hAnsi="Arial" w:cs="Arial"/>
          <w:color w:val="000000" w:themeColor="text1"/>
          <w:sz w:val="24"/>
          <w:szCs w:val="24"/>
          <w:lang w:val="en" w:eastAsia="en-GB"/>
        </w:rPr>
      </w:pPr>
    </w:p>
    <w:p w:rsidR="00EC65D2" w:rsidRDefault="00EC65D2" w:rsidP="00DE4DB7">
      <w:pPr>
        <w:pStyle w:val="NoSpacing"/>
        <w:jc w:val="both"/>
        <w:rPr>
          <w:rFonts w:ascii="Arial" w:eastAsia="Times New Roman" w:hAnsi="Arial" w:cs="Arial"/>
          <w:color w:val="000000" w:themeColor="text1"/>
          <w:sz w:val="24"/>
          <w:szCs w:val="24"/>
          <w:lang w:eastAsia="en-GB"/>
        </w:rPr>
      </w:pPr>
      <w:r w:rsidRPr="00DE4DB7">
        <w:rPr>
          <w:rFonts w:ascii="Arial" w:eastAsia="Times New Roman" w:hAnsi="Arial" w:cs="Arial"/>
          <w:color w:val="000000" w:themeColor="text1"/>
          <w:sz w:val="24"/>
          <w:szCs w:val="24"/>
          <w:lang w:eastAsia="en-GB"/>
        </w:rPr>
        <w:t xml:space="preserve">Roxburgh, M., Conlon, M. and Banks, D. (2012) Evaluating Hub and Spoke models of learning in Scotland, UK: A multiple case study approach, </w:t>
      </w:r>
      <w:r w:rsidRPr="00DE4DB7">
        <w:rPr>
          <w:rFonts w:ascii="Arial" w:eastAsia="Times New Roman" w:hAnsi="Arial" w:cs="Arial"/>
          <w:i/>
          <w:color w:val="000000" w:themeColor="text1"/>
          <w:sz w:val="24"/>
          <w:szCs w:val="24"/>
          <w:lang w:eastAsia="en-GB"/>
        </w:rPr>
        <w:t>Nurse Education Today</w:t>
      </w:r>
      <w:r w:rsidRPr="00DE4DB7">
        <w:rPr>
          <w:rFonts w:ascii="Arial" w:eastAsia="Times New Roman" w:hAnsi="Arial" w:cs="Arial"/>
          <w:color w:val="000000" w:themeColor="text1"/>
          <w:sz w:val="24"/>
          <w:szCs w:val="24"/>
          <w:lang w:eastAsia="en-GB"/>
        </w:rPr>
        <w:t>, 32 (7) 782-789.</w:t>
      </w:r>
    </w:p>
    <w:p w:rsidR="00E832D9" w:rsidRDefault="00E832D9" w:rsidP="00DE4DB7">
      <w:pPr>
        <w:pStyle w:val="NoSpacing"/>
        <w:jc w:val="both"/>
        <w:rPr>
          <w:rFonts w:ascii="Arial" w:eastAsia="Times New Roman" w:hAnsi="Arial" w:cs="Arial"/>
          <w:color w:val="000000" w:themeColor="text1"/>
          <w:sz w:val="24"/>
          <w:szCs w:val="24"/>
          <w:lang w:eastAsia="en-GB"/>
        </w:rPr>
      </w:pPr>
    </w:p>
    <w:p w:rsidR="00E832D9" w:rsidRPr="00DE4DB7" w:rsidRDefault="00E832D9" w:rsidP="00E832D9">
      <w:pPr>
        <w:pStyle w:val="NoSpacing"/>
        <w:jc w:val="both"/>
        <w:rPr>
          <w:rFonts w:ascii="Arial" w:hAnsi="Arial" w:cs="Arial"/>
          <w:color w:val="000000" w:themeColor="text1"/>
          <w:sz w:val="24"/>
          <w:szCs w:val="24"/>
        </w:rPr>
      </w:pPr>
      <w:r w:rsidRPr="00DE4DB7">
        <w:rPr>
          <w:rFonts w:ascii="Arial" w:hAnsi="Arial" w:cs="Arial"/>
          <w:color w:val="000000" w:themeColor="text1"/>
          <w:sz w:val="24"/>
          <w:szCs w:val="24"/>
        </w:rPr>
        <w:t xml:space="preserve">Royal College of Nursing (2016) </w:t>
      </w:r>
      <w:r w:rsidRPr="00DE4DB7">
        <w:rPr>
          <w:rFonts w:ascii="Arial" w:hAnsi="Arial" w:cs="Arial"/>
          <w:i/>
          <w:color w:val="000000" w:themeColor="text1"/>
          <w:sz w:val="24"/>
          <w:szCs w:val="24"/>
        </w:rPr>
        <w:t xml:space="preserve">RCN Mentorship Project 2015, </w:t>
      </w:r>
      <w:r w:rsidRPr="00DE4DB7">
        <w:rPr>
          <w:rFonts w:ascii="Arial" w:hAnsi="Arial" w:cs="Arial"/>
          <w:color w:val="000000" w:themeColor="text1"/>
          <w:sz w:val="24"/>
          <w:szCs w:val="24"/>
        </w:rPr>
        <w:t>London: RCN</w:t>
      </w:r>
    </w:p>
    <w:p w:rsidR="00E832D9" w:rsidRPr="00DE4DB7" w:rsidRDefault="00E832D9" w:rsidP="00DE4DB7">
      <w:pPr>
        <w:pStyle w:val="NoSpacing"/>
        <w:jc w:val="both"/>
        <w:rPr>
          <w:rFonts w:ascii="Arial" w:eastAsia="Times New Roman" w:hAnsi="Arial" w:cs="Arial"/>
          <w:color w:val="000000" w:themeColor="text1"/>
          <w:sz w:val="24"/>
          <w:szCs w:val="24"/>
          <w:lang w:eastAsia="en-GB"/>
        </w:rPr>
      </w:pPr>
    </w:p>
    <w:p w:rsidR="00EC65D2" w:rsidRPr="00DE4DB7" w:rsidRDefault="00EC65D2" w:rsidP="00DE4DB7">
      <w:pPr>
        <w:pStyle w:val="NoSpacing"/>
        <w:jc w:val="both"/>
        <w:rPr>
          <w:rFonts w:ascii="Arial" w:hAnsi="Arial" w:cs="Arial"/>
          <w:color w:val="000000" w:themeColor="text1"/>
          <w:sz w:val="24"/>
          <w:szCs w:val="24"/>
        </w:rPr>
      </w:pPr>
      <w:r w:rsidRPr="00DE4DB7">
        <w:rPr>
          <w:rFonts w:ascii="Arial" w:hAnsi="Arial" w:cs="Arial"/>
          <w:color w:val="000000" w:themeColor="text1"/>
          <w:sz w:val="24"/>
          <w:szCs w:val="24"/>
        </w:rPr>
        <w:t xml:space="preserve">Temple, J. (2013) what constitutes a community placement? </w:t>
      </w:r>
      <w:r w:rsidRPr="00DE4DB7">
        <w:rPr>
          <w:rFonts w:ascii="Arial" w:hAnsi="Arial" w:cs="Arial"/>
          <w:i/>
          <w:iCs/>
          <w:color w:val="000000" w:themeColor="text1"/>
          <w:sz w:val="24"/>
          <w:szCs w:val="24"/>
        </w:rPr>
        <w:t xml:space="preserve">Nursing Times, </w:t>
      </w:r>
      <w:r w:rsidRPr="00DE4DB7">
        <w:rPr>
          <w:rFonts w:ascii="Arial" w:hAnsi="Arial" w:cs="Arial"/>
          <w:color w:val="000000" w:themeColor="text1"/>
          <w:sz w:val="24"/>
          <w:szCs w:val="24"/>
        </w:rPr>
        <w:t>109, (37), pp.16-17.</w:t>
      </w:r>
    </w:p>
    <w:p w:rsidR="00EC65D2" w:rsidRPr="00DE4DB7" w:rsidRDefault="00EC65D2" w:rsidP="00DE4DB7">
      <w:pPr>
        <w:pStyle w:val="NoSpacing"/>
        <w:jc w:val="both"/>
        <w:rPr>
          <w:rFonts w:ascii="Arial" w:eastAsia="Times New Roman" w:hAnsi="Arial" w:cs="Arial"/>
          <w:i/>
          <w:color w:val="000000" w:themeColor="text1"/>
          <w:sz w:val="24"/>
          <w:szCs w:val="24"/>
          <w:lang w:eastAsia="en-GB"/>
        </w:rPr>
      </w:pPr>
    </w:p>
    <w:p w:rsidR="00EC65D2" w:rsidRPr="00DE4DB7" w:rsidRDefault="00EC65D2" w:rsidP="00DE4DB7">
      <w:pPr>
        <w:pStyle w:val="NoSpacing"/>
        <w:jc w:val="both"/>
        <w:rPr>
          <w:rFonts w:ascii="Arial" w:eastAsia="+mn-ea" w:hAnsi="Arial" w:cs="Arial"/>
          <w:bCs/>
          <w:color w:val="000000" w:themeColor="text1"/>
          <w:kern w:val="24"/>
          <w:sz w:val="24"/>
          <w:szCs w:val="24"/>
          <w:lang w:eastAsia="en-GB"/>
        </w:rPr>
      </w:pPr>
      <w:r w:rsidRPr="00DE4DB7">
        <w:rPr>
          <w:rFonts w:ascii="Arial" w:eastAsia="+mn-ea" w:hAnsi="Arial" w:cs="Arial"/>
          <w:bCs/>
          <w:color w:val="000000" w:themeColor="text1"/>
          <w:kern w:val="24"/>
          <w:sz w:val="24"/>
          <w:szCs w:val="24"/>
          <w:lang w:eastAsia="en-GB"/>
        </w:rPr>
        <w:t xml:space="preserve">Willis Commission (2012) </w:t>
      </w:r>
      <w:r w:rsidRPr="00DE4DB7">
        <w:rPr>
          <w:rFonts w:ascii="Arial" w:eastAsia="+mn-ea" w:hAnsi="Arial" w:cs="Arial"/>
          <w:bCs/>
          <w:i/>
          <w:color w:val="000000" w:themeColor="text1"/>
          <w:kern w:val="24"/>
          <w:sz w:val="24"/>
          <w:szCs w:val="24"/>
          <w:lang w:eastAsia="en-GB"/>
        </w:rPr>
        <w:t>Quality with Compassion: The Future of Nursing Education</w:t>
      </w:r>
      <w:r w:rsidRPr="00DE4DB7">
        <w:rPr>
          <w:rFonts w:ascii="Arial" w:eastAsia="+mn-ea" w:hAnsi="Arial" w:cs="Arial"/>
          <w:bCs/>
          <w:color w:val="000000" w:themeColor="text1"/>
          <w:kern w:val="24"/>
          <w:sz w:val="24"/>
          <w:szCs w:val="24"/>
          <w:lang w:eastAsia="en-GB"/>
        </w:rPr>
        <w:t>, London, RCN.</w:t>
      </w:r>
    </w:p>
    <w:p w:rsidR="00EC65D2" w:rsidRPr="00DE4DB7" w:rsidRDefault="00EC65D2" w:rsidP="00DE4DB7">
      <w:pPr>
        <w:pStyle w:val="NoSpacing"/>
        <w:jc w:val="both"/>
        <w:rPr>
          <w:rFonts w:ascii="Arial" w:eastAsia="Times New Roman" w:hAnsi="Arial" w:cs="Arial"/>
          <w:color w:val="000000" w:themeColor="text1"/>
          <w:sz w:val="24"/>
          <w:szCs w:val="24"/>
          <w:lang w:val="en" w:eastAsia="en-GB"/>
        </w:rPr>
      </w:pPr>
    </w:p>
    <w:p w:rsidR="00EC65D2" w:rsidRPr="00DE4DB7" w:rsidRDefault="00EC65D2" w:rsidP="00DE4DB7">
      <w:pPr>
        <w:pStyle w:val="NoSpacing"/>
        <w:jc w:val="both"/>
        <w:rPr>
          <w:rFonts w:ascii="Arial" w:eastAsia="Times New Roman" w:hAnsi="Arial" w:cs="Arial"/>
          <w:b/>
          <w:sz w:val="24"/>
          <w:szCs w:val="24"/>
          <w:lang w:eastAsia="en-GB"/>
        </w:rPr>
      </w:pPr>
    </w:p>
    <w:p w:rsidR="00EC65D2" w:rsidRPr="00DE4DB7" w:rsidRDefault="00EC65D2" w:rsidP="00DE4DB7">
      <w:pPr>
        <w:pStyle w:val="NoSpacing"/>
        <w:jc w:val="both"/>
        <w:rPr>
          <w:rFonts w:ascii="Arial" w:eastAsia="Times New Roman" w:hAnsi="Arial" w:cs="Arial"/>
          <w:b/>
          <w:sz w:val="24"/>
          <w:szCs w:val="24"/>
          <w:lang w:eastAsia="en-GB"/>
        </w:rPr>
      </w:pPr>
    </w:p>
    <w:p w:rsidR="0079469E" w:rsidRPr="00DE4DB7" w:rsidRDefault="0079469E" w:rsidP="00DE4DB7">
      <w:pPr>
        <w:pStyle w:val="NoSpacing"/>
        <w:jc w:val="both"/>
        <w:rPr>
          <w:rFonts w:ascii="Arial" w:hAnsi="Arial" w:cs="Arial"/>
          <w:sz w:val="24"/>
          <w:szCs w:val="24"/>
        </w:rPr>
      </w:pPr>
    </w:p>
    <w:p w:rsidR="005F42AF" w:rsidRPr="00DE4DB7" w:rsidRDefault="005F42AF" w:rsidP="00DE4DB7">
      <w:pPr>
        <w:pStyle w:val="NoSpacing"/>
        <w:jc w:val="both"/>
        <w:rPr>
          <w:rFonts w:ascii="Arial" w:hAnsi="Arial" w:cs="Arial"/>
          <w:sz w:val="24"/>
          <w:szCs w:val="24"/>
        </w:rPr>
      </w:pPr>
    </w:p>
    <w:sectPr w:rsidR="005F42AF" w:rsidRPr="00DE4DB7">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EF9" w:rsidRDefault="000D1EF9" w:rsidP="0079469E">
      <w:pPr>
        <w:spacing w:after="0" w:line="240" w:lineRule="auto"/>
      </w:pPr>
      <w:r>
        <w:separator/>
      </w:r>
    </w:p>
  </w:endnote>
  <w:endnote w:type="continuationSeparator" w:id="0">
    <w:p w:rsidR="000D1EF9" w:rsidRDefault="000D1EF9" w:rsidP="0079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mn-e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381939"/>
      <w:docPartObj>
        <w:docPartGallery w:val="Page Numbers (Bottom of Page)"/>
        <w:docPartUnique/>
      </w:docPartObj>
    </w:sdtPr>
    <w:sdtEndPr>
      <w:rPr>
        <w:noProof/>
      </w:rPr>
    </w:sdtEndPr>
    <w:sdtContent>
      <w:p w:rsidR="0079469E" w:rsidRDefault="0079469E">
        <w:pPr>
          <w:pStyle w:val="Footer"/>
          <w:jc w:val="center"/>
        </w:pPr>
        <w:r>
          <w:fldChar w:fldCharType="begin"/>
        </w:r>
        <w:r>
          <w:instrText xml:space="preserve"> PAGE   \* MERGEFORMAT </w:instrText>
        </w:r>
        <w:r>
          <w:fldChar w:fldCharType="separate"/>
        </w:r>
        <w:r w:rsidR="00E832D9">
          <w:rPr>
            <w:noProof/>
          </w:rPr>
          <w:t>8</w:t>
        </w:r>
        <w:r>
          <w:rPr>
            <w:noProof/>
          </w:rPr>
          <w:fldChar w:fldCharType="end"/>
        </w:r>
      </w:p>
    </w:sdtContent>
  </w:sdt>
  <w:p w:rsidR="0079469E" w:rsidRDefault="00C91C7E" w:rsidP="00C91C7E">
    <w:pPr>
      <w:pStyle w:val="Footer"/>
      <w:tabs>
        <w:tab w:val="clear" w:pos="4513"/>
        <w:tab w:val="clear" w:pos="9026"/>
        <w:tab w:val="left" w:pos="33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EF9" w:rsidRDefault="000D1EF9" w:rsidP="0079469E">
      <w:pPr>
        <w:spacing w:after="0" w:line="240" w:lineRule="auto"/>
      </w:pPr>
      <w:r>
        <w:separator/>
      </w:r>
    </w:p>
  </w:footnote>
  <w:footnote w:type="continuationSeparator" w:id="0">
    <w:p w:rsidR="000D1EF9" w:rsidRDefault="000D1EF9" w:rsidP="00794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008" w:rsidRDefault="00D70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7A61"/>
    <w:multiLevelType w:val="hybridMultilevel"/>
    <w:tmpl w:val="0372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A210E"/>
    <w:multiLevelType w:val="hybridMultilevel"/>
    <w:tmpl w:val="15A2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B12A1"/>
    <w:multiLevelType w:val="hybridMultilevel"/>
    <w:tmpl w:val="96F8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B271A"/>
    <w:multiLevelType w:val="hybridMultilevel"/>
    <w:tmpl w:val="6F300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A97E47"/>
    <w:multiLevelType w:val="hybridMultilevel"/>
    <w:tmpl w:val="B63A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CA23BD"/>
    <w:multiLevelType w:val="hybridMultilevel"/>
    <w:tmpl w:val="F62C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94E41"/>
    <w:multiLevelType w:val="hybridMultilevel"/>
    <w:tmpl w:val="B340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A01749"/>
    <w:multiLevelType w:val="hybridMultilevel"/>
    <w:tmpl w:val="0EBCA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AF"/>
    <w:rsid w:val="00032A84"/>
    <w:rsid w:val="00053DD6"/>
    <w:rsid w:val="00055317"/>
    <w:rsid w:val="00084B22"/>
    <w:rsid w:val="000C5766"/>
    <w:rsid w:val="000D1EF9"/>
    <w:rsid w:val="000E4111"/>
    <w:rsid w:val="00116F99"/>
    <w:rsid w:val="001256F7"/>
    <w:rsid w:val="001609DB"/>
    <w:rsid w:val="002067B2"/>
    <w:rsid w:val="00255374"/>
    <w:rsid w:val="00273DFF"/>
    <w:rsid w:val="00280F57"/>
    <w:rsid w:val="00281B21"/>
    <w:rsid w:val="002F29DF"/>
    <w:rsid w:val="0030270A"/>
    <w:rsid w:val="0031742F"/>
    <w:rsid w:val="003339AA"/>
    <w:rsid w:val="00353096"/>
    <w:rsid w:val="00353F20"/>
    <w:rsid w:val="00355679"/>
    <w:rsid w:val="003837B4"/>
    <w:rsid w:val="003A03C1"/>
    <w:rsid w:val="003B139F"/>
    <w:rsid w:val="003B1F52"/>
    <w:rsid w:val="003D35C1"/>
    <w:rsid w:val="00452624"/>
    <w:rsid w:val="004B25C6"/>
    <w:rsid w:val="004C2AA5"/>
    <w:rsid w:val="005407B5"/>
    <w:rsid w:val="0059354D"/>
    <w:rsid w:val="005F42AF"/>
    <w:rsid w:val="00683403"/>
    <w:rsid w:val="006B3A74"/>
    <w:rsid w:val="00754A5B"/>
    <w:rsid w:val="00772871"/>
    <w:rsid w:val="0079469E"/>
    <w:rsid w:val="007A08F6"/>
    <w:rsid w:val="007E05B2"/>
    <w:rsid w:val="00806CF0"/>
    <w:rsid w:val="0086520E"/>
    <w:rsid w:val="0091410D"/>
    <w:rsid w:val="00971289"/>
    <w:rsid w:val="00A012E7"/>
    <w:rsid w:val="00A1148A"/>
    <w:rsid w:val="00A3675B"/>
    <w:rsid w:val="00A70E81"/>
    <w:rsid w:val="00A86489"/>
    <w:rsid w:val="00AB0852"/>
    <w:rsid w:val="00AD5A1E"/>
    <w:rsid w:val="00AE05A2"/>
    <w:rsid w:val="00B41234"/>
    <w:rsid w:val="00B702F3"/>
    <w:rsid w:val="00BA35B2"/>
    <w:rsid w:val="00BB66D6"/>
    <w:rsid w:val="00BC18C5"/>
    <w:rsid w:val="00C518A4"/>
    <w:rsid w:val="00C51CBE"/>
    <w:rsid w:val="00C74EA6"/>
    <w:rsid w:val="00C766E8"/>
    <w:rsid w:val="00C904BE"/>
    <w:rsid w:val="00C91C7E"/>
    <w:rsid w:val="00CD7D8A"/>
    <w:rsid w:val="00D41266"/>
    <w:rsid w:val="00D64594"/>
    <w:rsid w:val="00D70008"/>
    <w:rsid w:val="00D82D81"/>
    <w:rsid w:val="00DB2FDD"/>
    <w:rsid w:val="00DB58BE"/>
    <w:rsid w:val="00DE4DB7"/>
    <w:rsid w:val="00DF628A"/>
    <w:rsid w:val="00DF6C2E"/>
    <w:rsid w:val="00E023A8"/>
    <w:rsid w:val="00E1761D"/>
    <w:rsid w:val="00E62B47"/>
    <w:rsid w:val="00E832D9"/>
    <w:rsid w:val="00EC0F37"/>
    <w:rsid w:val="00EC65D2"/>
    <w:rsid w:val="00ED0054"/>
    <w:rsid w:val="00EF3716"/>
    <w:rsid w:val="00EF3A30"/>
    <w:rsid w:val="00F573D8"/>
    <w:rsid w:val="00FA7D56"/>
    <w:rsid w:val="00FE2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76614-401A-4142-85D1-37CB5F4A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B21"/>
    <w:rPr>
      <w:color w:val="0000FF"/>
      <w:u w:val="single"/>
    </w:rPr>
  </w:style>
  <w:style w:type="paragraph" w:styleId="Header">
    <w:name w:val="header"/>
    <w:basedOn w:val="Normal"/>
    <w:link w:val="HeaderChar"/>
    <w:uiPriority w:val="99"/>
    <w:unhideWhenUsed/>
    <w:rsid w:val="00794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9E"/>
  </w:style>
  <w:style w:type="paragraph" w:styleId="Footer">
    <w:name w:val="footer"/>
    <w:basedOn w:val="Normal"/>
    <w:link w:val="FooterChar"/>
    <w:uiPriority w:val="99"/>
    <w:unhideWhenUsed/>
    <w:rsid w:val="00794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9E"/>
  </w:style>
  <w:style w:type="table" w:styleId="TableGrid">
    <w:name w:val="Table Grid"/>
    <w:basedOn w:val="TableNormal"/>
    <w:uiPriority w:val="59"/>
    <w:rsid w:val="00794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5D2"/>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053D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733754">
      <w:bodyDiv w:val="1"/>
      <w:marLeft w:val="0"/>
      <w:marRight w:val="0"/>
      <w:marTop w:val="0"/>
      <w:marBottom w:val="0"/>
      <w:divBdr>
        <w:top w:val="none" w:sz="0" w:space="0" w:color="auto"/>
        <w:left w:val="none" w:sz="0" w:space="0" w:color="auto"/>
        <w:bottom w:val="none" w:sz="0" w:space="0" w:color="auto"/>
        <w:right w:val="none" w:sz="0" w:space="0" w:color="auto"/>
      </w:divBdr>
    </w:div>
    <w:div w:id="196499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degbie@nhs.net"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www.england.nhs.uk/wp-content/uploads/2014/10/5yfv-web.pdf"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twycross@lsbu.ac.uk"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FFC1EA-2AEC-CB40-B5BF-B1E121D5FE75}" type="doc">
      <dgm:prSet loTypeId="urn:microsoft.com/office/officeart/2005/8/layout/hProcess9" loCatId="" qsTypeId="urn:microsoft.com/office/officeart/2005/8/quickstyle/simple4" qsCatId="simple" csTypeId="urn:microsoft.com/office/officeart/2005/8/colors/accent1_2" csCatId="accent1" phldr="1"/>
      <dgm:spPr/>
    </dgm:pt>
    <dgm:pt modelId="{35288104-44A5-0041-A1FA-F06BF0BF822E}">
      <dgm:prSet phldrT="[Text]"/>
      <dgm:spPr>
        <a:xfrm>
          <a:off x="2297" y="897255"/>
          <a:ext cx="1004736" cy="11963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1. Scoping exercise undertaken</a:t>
          </a:r>
          <a:endParaRPr lang="en-GB">
            <a:solidFill>
              <a:sysClr val="window" lastClr="FFFFFF"/>
            </a:solidFill>
            <a:latin typeface="Calibri"/>
            <a:ea typeface="+mn-ea"/>
            <a:cs typeface="+mn-cs"/>
          </a:endParaRPr>
        </a:p>
      </dgm:t>
    </dgm:pt>
    <dgm:pt modelId="{98D9E070-E7A7-414B-8927-2B8257EC5282}" type="parTrans" cxnId="{44D7F0D7-E028-7C4C-B69C-32D97F0B4C67}">
      <dgm:prSet/>
      <dgm:spPr/>
      <dgm:t>
        <a:bodyPr/>
        <a:lstStyle/>
        <a:p>
          <a:endParaRPr lang="en-GB"/>
        </a:p>
      </dgm:t>
    </dgm:pt>
    <dgm:pt modelId="{0A3D5E58-F9CC-704D-B5C3-6A6242D35E2B}" type="sibTrans" cxnId="{44D7F0D7-E028-7C4C-B69C-32D97F0B4C67}">
      <dgm:prSet/>
      <dgm:spPr/>
      <dgm:t>
        <a:bodyPr/>
        <a:lstStyle/>
        <a:p>
          <a:endParaRPr lang="en-GB"/>
        </a:p>
      </dgm:t>
    </dgm:pt>
    <dgm:pt modelId="{1DF14BA3-A0E2-A647-B848-32653B640F4F}">
      <dgm:prSet phldrT="[Text]"/>
      <dgm:spPr>
        <a:xfrm>
          <a:off x="3167217" y="897255"/>
          <a:ext cx="1004736" cy="11963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3. Piloting of new placements</a:t>
          </a:r>
        </a:p>
      </dgm:t>
    </dgm:pt>
    <dgm:pt modelId="{BFDE3700-7883-7B4B-84D0-8982E0EE505A}" type="parTrans" cxnId="{B43C06BC-C87B-BC40-953D-9E0D7F140C2E}">
      <dgm:prSet/>
      <dgm:spPr/>
      <dgm:t>
        <a:bodyPr/>
        <a:lstStyle/>
        <a:p>
          <a:endParaRPr lang="en-GB"/>
        </a:p>
      </dgm:t>
    </dgm:pt>
    <dgm:pt modelId="{E8CF9086-C0FD-EB4F-ACDA-3A532421FD6D}" type="sibTrans" cxnId="{B43C06BC-C87B-BC40-953D-9E0D7F140C2E}">
      <dgm:prSet/>
      <dgm:spPr/>
      <dgm:t>
        <a:bodyPr/>
        <a:lstStyle/>
        <a:p>
          <a:endParaRPr lang="en-GB"/>
        </a:p>
      </dgm:t>
    </dgm:pt>
    <dgm:pt modelId="{64C7A1DA-EF8C-1E41-925A-584FA4494516}">
      <dgm:prSet phldrT="[Text]"/>
      <dgm:spPr>
        <a:xfrm>
          <a:off x="4222190" y="897255"/>
          <a:ext cx="1004736" cy="11963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4. Evaluation of the pilot</a:t>
          </a:r>
          <a:endParaRPr lang="en-GB">
            <a:solidFill>
              <a:sysClr val="window" lastClr="FFFFFF"/>
            </a:solidFill>
            <a:latin typeface="Calibri"/>
            <a:ea typeface="+mn-ea"/>
            <a:cs typeface="+mn-cs"/>
          </a:endParaRPr>
        </a:p>
      </dgm:t>
    </dgm:pt>
    <dgm:pt modelId="{31562049-A46C-D841-9FCC-2098C71F52A7}" type="parTrans" cxnId="{BB6B0EE7-8C50-A347-9E3A-C69DFF01659C}">
      <dgm:prSet/>
      <dgm:spPr/>
      <dgm:t>
        <a:bodyPr/>
        <a:lstStyle/>
        <a:p>
          <a:endParaRPr lang="en-GB"/>
        </a:p>
      </dgm:t>
    </dgm:pt>
    <dgm:pt modelId="{06F028EE-C4D6-F54B-B8ED-E74AA0165C63}" type="sibTrans" cxnId="{BB6B0EE7-8C50-A347-9E3A-C69DFF01659C}">
      <dgm:prSet/>
      <dgm:spPr/>
      <dgm:t>
        <a:bodyPr/>
        <a:lstStyle/>
        <a:p>
          <a:endParaRPr lang="en-GB"/>
        </a:p>
      </dgm:t>
    </dgm:pt>
    <dgm:pt modelId="{808E5AE5-019E-E144-BC90-14DC4D5145B5}">
      <dgm:prSet/>
      <dgm:spPr>
        <a:xfrm>
          <a:off x="2184876" y="852751"/>
          <a:ext cx="1004736" cy="11963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800">
              <a:solidFill>
                <a:sysClr val="window" lastClr="FFFFFF"/>
              </a:solidFill>
              <a:latin typeface="Calibri"/>
              <a:ea typeface="+mn-ea"/>
              <a:cs typeface="+mn-cs"/>
            </a:rPr>
            <a:t>2b) </a:t>
          </a:r>
          <a:r>
            <a:rPr lang="en-US" sz="800" b="0">
              <a:solidFill>
                <a:sysClr val="window" lastClr="FFFFFF"/>
              </a:solidFill>
              <a:latin typeface="Calibri"/>
              <a:ea typeface="+mn-ea"/>
              <a:cs typeface="+mn-cs"/>
            </a:rPr>
            <a:t>Face to face meetings </a:t>
          </a:r>
          <a:r>
            <a:rPr lang="en-US" sz="800">
              <a:solidFill>
                <a:sysClr val="window" lastClr="FFFFFF"/>
              </a:solidFill>
              <a:latin typeface="Calibri"/>
              <a:ea typeface="+mn-ea"/>
              <a:cs typeface="+mn-cs"/>
            </a:rPr>
            <a:t>with </a:t>
          </a:r>
          <a:r>
            <a:rPr lang="en-US">
              <a:solidFill>
                <a:sysClr val="window" lastClr="FFFFFF"/>
              </a:solidFill>
              <a:latin typeface="Calibri"/>
              <a:ea typeface="+mn-ea"/>
              <a:cs typeface="+mn-cs"/>
            </a:rPr>
            <a:t>mentors</a:t>
          </a:r>
          <a:endParaRPr lang="en-GB" sz="800">
            <a:solidFill>
              <a:sysClr val="window" lastClr="FFFFFF"/>
            </a:solidFill>
            <a:latin typeface="Calibri"/>
            <a:ea typeface="+mn-ea"/>
            <a:cs typeface="+mn-cs"/>
          </a:endParaRPr>
        </a:p>
      </dgm:t>
    </dgm:pt>
    <dgm:pt modelId="{042C688E-97FF-AC46-A490-9E32BC4E3E1A}" type="parTrans" cxnId="{9886A525-836F-A548-9E96-D9A08703BC4E}">
      <dgm:prSet/>
      <dgm:spPr/>
      <dgm:t>
        <a:bodyPr/>
        <a:lstStyle/>
        <a:p>
          <a:endParaRPr lang="en-GB"/>
        </a:p>
      </dgm:t>
    </dgm:pt>
    <dgm:pt modelId="{BFBB2B93-F066-874E-A736-A7936E3C50EE}" type="sibTrans" cxnId="{9886A525-836F-A548-9E96-D9A08703BC4E}">
      <dgm:prSet/>
      <dgm:spPr/>
      <dgm:t>
        <a:bodyPr/>
        <a:lstStyle/>
        <a:p>
          <a:endParaRPr lang="en-GB"/>
        </a:p>
      </dgm:t>
    </dgm:pt>
    <dgm:pt modelId="{97FC0010-7BCD-4D4F-96BA-F900E01A7191}">
      <dgm:prSet/>
      <dgm:spPr>
        <a:xfrm>
          <a:off x="1057271" y="897255"/>
          <a:ext cx="1004736" cy="11963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2a) </a:t>
          </a:r>
          <a:r>
            <a:rPr lang="en-US" b="0">
              <a:solidFill>
                <a:sysClr val="window" lastClr="FFFFFF"/>
              </a:solidFill>
              <a:latin typeface="Calibri"/>
              <a:ea typeface="+mn-ea"/>
              <a:cs typeface="+mn-cs"/>
            </a:rPr>
            <a:t>Face to face meetings and workshops </a:t>
          </a:r>
          <a:r>
            <a:rPr lang="en-US">
              <a:solidFill>
                <a:sysClr val="window" lastClr="FFFFFF"/>
              </a:solidFill>
              <a:latin typeface="Calibri"/>
              <a:ea typeface="+mn-ea"/>
              <a:cs typeface="+mn-cs"/>
            </a:rPr>
            <a:t>held with key stakeholders. </a:t>
          </a:r>
          <a:endParaRPr lang="en-GB">
            <a:solidFill>
              <a:sysClr val="window" lastClr="FFFFFF"/>
            </a:solidFill>
            <a:latin typeface="Calibri"/>
            <a:ea typeface="+mn-ea"/>
            <a:cs typeface="+mn-cs"/>
          </a:endParaRPr>
        </a:p>
      </dgm:t>
    </dgm:pt>
    <dgm:pt modelId="{B02DC599-8BAF-A14B-B7D4-75BCF63BA8DB}" type="sibTrans" cxnId="{36756EE9-4C7B-2444-9198-D210E8ABF24E}">
      <dgm:prSet/>
      <dgm:spPr/>
      <dgm:t>
        <a:bodyPr/>
        <a:lstStyle/>
        <a:p>
          <a:endParaRPr lang="en-GB"/>
        </a:p>
      </dgm:t>
    </dgm:pt>
    <dgm:pt modelId="{9309C3EF-78A4-3B44-9172-CE61FD69C59C}" type="parTrans" cxnId="{36756EE9-4C7B-2444-9198-D210E8ABF24E}">
      <dgm:prSet/>
      <dgm:spPr/>
      <dgm:t>
        <a:bodyPr/>
        <a:lstStyle/>
        <a:p>
          <a:endParaRPr lang="en-GB"/>
        </a:p>
      </dgm:t>
    </dgm:pt>
    <dgm:pt modelId="{63EEF117-82B0-E149-A9D9-48F440ACF0EA}" type="pres">
      <dgm:prSet presAssocID="{1DFFC1EA-2AEC-CB40-B5BF-B1E121D5FE75}" presName="CompostProcess" presStyleCnt="0">
        <dgm:presLayoutVars>
          <dgm:dir/>
          <dgm:resizeHandles val="exact"/>
        </dgm:presLayoutVars>
      </dgm:prSet>
      <dgm:spPr/>
    </dgm:pt>
    <dgm:pt modelId="{DBD313A7-2B56-1A45-B9A2-3329C51232AB}" type="pres">
      <dgm:prSet presAssocID="{1DFFC1EA-2AEC-CB40-B5BF-B1E121D5FE75}" presName="arrow" presStyleLbl="bgShp" presStyleIdx="0" presStyleCnt="1"/>
      <dgm:spPr>
        <a:xfrm>
          <a:off x="392191" y="0"/>
          <a:ext cx="4444841" cy="2990850"/>
        </a:xfrm>
        <a:prstGeom prst="rightArrow">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gm:spPr>
    </dgm:pt>
    <dgm:pt modelId="{AA6DD44B-E571-3043-A68B-2B228EC5AE41}" type="pres">
      <dgm:prSet presAssocID="{1DFFC1EA-2AEC-CB40-B5BF-B1E121D5FE75}" presName="linearProcess" presStyleCnt="0"/>
      <dgm:spPr/>
    </dgm:pt>
    <dgm:pt modelId="{04B14A02-A034-2743-8C1C-21154F8234BA}" type="pres">
      <dgm:prSet presAssocID="{35288104-44A5-0041-A1FA-F06BF0BF822E}" presName="textNode" presStyleLbl="node1" presStyleIdx="0" presStyleCnt="5">
        <dgm:presLayoutVars>
          <dgm:bulletEnabled val="1"/>
        </dgm:presLayoutVars>
      </dgm:prSet>
      <dgm:spPr>
        <a:prstGeom prst="roundRect">
          <a:avLst/>
        </a:prstGeom>
      </dgm:spPr>
    </dgm:pt>
    <dgm:pt modelId="{57E9FFAE-DA29-BE43-BC0C-1A97FE83A0A4}" type="pres">
      <dgm:prSet presAssocID="{0A3D5E58-F9CC-704D-B5C3-6A6242D35E2B}" presName="sibTrans" presStyleCnt="0"/>
      <dgm:spPr/>
    </dgm:pt>
    <dgm:pt modelId="{88390A81-0D0A-BE42-B3F5-9B929CBC24D4}" type="pres">
      <dgm:prSet presAssocID="{97FC0010-7BCD-4D4F-96BA-F900E01A7191}" presName="textNode" presStyleLbl="node1" presStyleIdx="1" presStyleCnt="5">
        <dgm:presLayoutVars>
          <dgm:bulletEnabled val="1"/>
        </dgm:presLayoutVars>
      </dgm:prSet>
      <dgm:spPr>
        <a:prstGeom prst="roundRect">
          <a:avLst/>
        </a:prstGeom>
      </dgm:spPr>
    </dgm:pt>
    <dgm:pt modelId="{270FA3EC-5967-5C45-AB47-225B0DF06D65}" type="pres">
      <dgm:prSet presAssocID="{B02DC599-8BAF-A14B-B7D4-75BCF63BA8DB}" presName="sibTrans" presStyleCnt="0"/>
      <dgm:spPr/>
    </dgm:pt>
    <dgm:pt modelId="{FB2D441C-5177-9445-9FC3-3F005492B12C}" type="pres">
      <dgm:prSet presAssocID="{808E5AE5-019E-E144-BC90-14DC4D5145B5}" presName="textNode" presStyleLbl="node1" presStyleIdx="2" presStyleCnt="5" custScaleX="71421" custScaleY="101389" custLinFactNeighborX="30883" custLinFactNeighborY="1057">
        <dgm:presLayoutVars>
          <dgm:bulletEnabled val="1"/>
        </dgm:presLayoutVars>
      </dgm:prSet>
      <dgm:spPr>
        <a:prstGeom prst="roundRect">
          <a:avLst/>
        </a:prstGeom>
      </dgm:spPr>
    </dgm:pt>
    <dgm:pt modelId="{1C25F3C8-2EE0-C74A-B672-BD207527FB6C}" type="pres">
      <dgm:prSet presAssocID="{BFBB2B93-F066-874E-A736-A7936E3C50EE}" presName="sibTrans" presStyleCnt="0"/>
      <dgm:spPr/>
    </dgm:pt>
    <dgm:pt modelId="{7F9E1780-DE42-7F4A-804C-0C1076A9A018}" type="pres">
      <dgm:prSet presAssocID="{1DF14BA3-A0E2-A647-B848-32653B640F4F}" presName="textNode" presStyleLbl="node1" presStyleIdx="3" presStyleCnt="5" custLinFactNeighborX="-18951" custLinFactNeighborY="796">
        <dgm:presLayoutVars>
          <dgm:bulletEnabled val="1"/>
        </dgm:presLayoutVars>
      </dgm:prSet>
      <dgm:spPr>
        <a:prstGeom prst="roundRect">
          <a:avLst/>
        </a:prstGeom>
      </dgm:spPr>
    </dgm:pt>
    <dgm:pt modelId="{D6D8975A-44B2-1A41-8C61-8DCC59DA03E3}" type="pres">
      <dgm:prSet presAssocID="{E8CF9086-C0FD-EB4F-ACDA-3A532421FD6D}" presName="sibTrans" presStyleCnt="0"/>
      <dgm:spPr/>
    </dgm:pt>
    <dgm:pt modelId="{6938C9D1-D3EE-3441-972D-97879FFB14D9}" type="pres">
      <dgm:prSet presAssocID="{64C7A1DA-EF8C-1E41-925A-584FA4494516}" presName="textNode" presStyleLbl="node1" presStyleIdx="4" presStyleCnt="5">
        <dgm:presLayoutVars>
          <dgm:bulletEnabled val="1"/>
        </dgm:presLayoutVars>
      </dgm:prSet>
      <dgm:spPr>
        <a:prstGeom prst="roundRect">
          <a:avLst/>
        </a:prstGeom>
      </dgm:spPr>
    </dgm:pt>
  </dgm:ptLst>
  <dgm:cxnLst>
    <dgm:cxn modelId="{9886A525-836F-A548-9E96-D9A08703BC4E}" srcId="{1DFFC1EA-2AEC-CB40-B5BF-B1E121D5FE75}" destId="{808E5AE5-019E-E144-BC90-14DC4D5145B5}" srcOrd="2" destOrd="0" parTransId="{042C688E-97FF-AC46-A490-9E32BC4E3E1A}" sibTransId="{BFBB2B93-F066-874E-A736-A7936E3C50EE}"/>
    <dgm:cxn modelId="{A6CA0A49-FB74-4460-A3E0-EE95380BA33A}" type="presOf" srcId="{64C7A1DA-EF8C-1E41-925A-584FA4494516}" destId="{6938C9D1-D3EE-3441-972D-97879FFB14D9}" srcOrd="0" destOrd="0" presId="urn:microsoft.com/office/officeart/2005/8/layout/hProcess9"/>
    <dgm:cxn modelId="{A7622D4B-E80B-4FDB-9507-160199A09B3F}" type="presOf" srcId="{1DFFC1EA-2AEC-CB40-B5BF-B1E121D5FE75}" destId="{63EEF117-82B0-E149-A9D9-48F440ACF0EA}" srcOrd="0" destOrd="0" presId="urn:microsoft.com/office/officeart/2005/8/layout/hProcess9"/>
    <dgm:cxn modelId="{83533F86-3961-4261-A367-E7212AEA51DD}" type="presOf" srcId="{1DF14BA3-A0E2-A647-B848-32653B640F4F}" destId="{7F9E1780-DE42-7F4A-804C-0C1076A9A018}" srcOrd="0" destOrd="0" presId="urn:microsoft.com/office/officeart/2005/8/layout/hProcess9"/>
    <dgm:cxn modelId="{B312338B-AD3A-4E3F-8BE0-377F968406F4}" type="presOf" srcId="{808E5AE5-019E-E144-BC90-14DC4D5145B5}" destId="{FB2D441C-5177-9445-9FC3-3F005492B12C}" srcOrd="0" destOrd="0" presId="urn:microsoft.com/office/officeart/2005/8/layout/hProcess9"/>
    <dgm:cxn modelId="{1E990E8D-6690-4254-B01D-70D7CB0F3EC2}" type="presOf" srcId="{97FC0010-7BCD-4D4F-96BA-F900E01A7191}" destId="{88390A81-0D0A-BE42-B3F5-9B929CBC24D4}" srcOrd="0" destOrd="0" presId="urn:microsoft.com/office/officeart/2005/8/layout/hProcess9"/>
    <dgm:cxn modelId="{C3925494-0AD6-4753-BA4B-47240AD168A5}" type="presOf" srcId="{35288104-44A5-0041-A1FA-F06BF0BF822E}" destId="{04B14A02-A034-2743-8C1C-21154F8234BA}" srcOrd="0" destOrd="0" presId="urn:microsoft.com/office/officeart/2005/8/layout/hProcess9"/>
    <dgm:cxn modelId="{B43C06BC-C87B-BC40-953D-9E0D7F140C2E}" srcId="{1DFFC1EA-2AEC-CB40-B5BF-B1E121D5FE75}" destId="{1DF14BA3-A0E2-A647-B848-32653B640F4F}" srcOrd="3" destOrd="0" parTransId="{BFDE3700-7883-7B4B-84D0-8982E0EE505A}" sibTransId="{E8CF9086-C0FD-EB4F-ACDA-3A532421FD6D}"/>
    <dgm:cxn modelId="{44D7F0D7-E028-7C4C-B69C-32D97F0B4C67}" srcId="{1DFFC1EA-2AEC-CB40-B5BF-B1E121D5FE75}" destId="{35288104-44A5-0041-A1FA-F06BF0BF822E}" srcOrd="0" destOrd="0" parTransId="{98D9E070-E7A7-414B-8927-2B8257EC5282}" sibTransId="{0A3D5E58-F9CC-704D-B5C3-6A6242D35E2B}"/>
    <dgm:cxn modelId="{BB6B0EE7-8C50-A347-9E3A-C69DFF01659C}" srcId="{1DFFC1EA-2AEC-CB40-B5BF-B1E121D5FE75}" destId="{64C7A1DA-EF8C-1E41-925A-584FA4494516}" srcOrd="4" destOrd="0" parTransId="{31562049-A46C-D841-9FCC-2098C71F52A7}" sibTransId="{06F028EE-C4D6-F54B-B8ED-E74AA0165C63}"/>
    <dgm:cxn modelId="{36756EE9-4C7B-2444-9198-D210E8ABF24E}" srcId="{1DFFC1EA-2AEC-CB40-B5BF-B1E121D5FE75}" destId="{97FC0010-7BCD-4D4F-96BA-F900E01A7191}" srcOrd="1" destOrd="0" parTransId="{9309C3EF-78A4-3B44-9172-CE61FD69C59C}" sibTransId="{B02DC599-8BAF-A14B-B7D4-75BCF63BA8DB}"/>
    <dgm:cxn modelId="{F45D031A-39B0-4387-A320-C5865DB26C8A}" type="presParOf" srcId="{63EEF117-82B0-E149-A9D9-48F440ACF0EA}" destId="{DBD313A7-2B56-1A45-B9A2-3329C51232AB}" srcOrd="0" destOrd="0" presId="urn:microsoft.com/office/officeart/2005/8/layout/hProcess9"/>
    <dgm:cxn modelId="{5F52252D-C266-4A17-90E6-BF00025073DE}" type="presParOf" srcId="{63EEF117-82B0-E149-A9D9-48F440ACF0EA}" destId="{AA6DD44B-E571-3043-A68B-2B228EC5AE41}" srcOrd="1" destOrd="0" presId="urn:microsoft.com/office/officeart/2005/8/layout/hProcess9"/>
    <dgm:cxn modelId="{9FD1F233-DCE7-4069-9804-A42AFEDFEFE5}" type="presParOf" srcId="{AA6DD44B-E571-3043-A68B-2B228EC5AE41}" destId="{04B14A02-A034-2743-8C1C-21154F8234BA}" srcOrd="0" destOrd="0" presId="urn:microsoft.com/office/officeart/2005/8/layout/hProcess9"/>
    <dgm:cxn modelId="{7DC1A9DE-28B3-4F5F-B25B-63A23D118A74}" type="presParOf" srcId="{AA6DD44B-E571-3043-A68B-2B228EC5AE41}" destId="{57E9FFAE-DA29-BE43-BC0C-1A97FE83A0A4}" srcOrd="1" destOrd="0" presId="urn:microsoft.com/office/officeart/2005/8/layout/hProcess9"/>
    <dgm:cxn modelId="{F49BBF8D-A7BF-4358-9293-C4612FF0822B}" type="presParOf" srcId="{AA6DD44B-E571-3043-A68B-2B228EC5AE41}" destId="{88390A81-0D0A-BE42-B3F5-9B929CBC24D4}" srcOrd="2" destOrd="0" presId="urn:microsoft.com/office/officeart/2005/8/layout/hProcess9"/>
    <dgm:cxn modelId="{7910BAE9-29D6-473A-8A15-B4BB3E7BF2CC}" type="presParOf" srcId="{AA6DD44B-E571-3043-A68B-2B228EC5AE41}" destId="{270FA3EC-5967-5C45-AB47-225B0DF06D65}" srcOrd="3" destOrd="0" presId="urn:microsoft.com/office/officeart/2005/8/layout/hProcess9"/>
    <dgm:cxn modelId="{84F5E24B-BFD5-4499-A4D3-7B321AA8A30E}" type="presParOf" srcId="{AA6DD44B-E571-3043-A68B-2B228EC5AE41}" destId="{FB2D441C-5177-9445-9FC3-3F005492B12C}" srcOrd="4" destOrd="0" presId="urn:microsoft.com/office/officeart/2005/8/layout/hProcess9"/>
    <dgm:cxn modelId="{CF50A9C3-E289-44CD-BADE-A8A2A24BD57F}" type="presParOf" srcId="{AA6DD44B-E571-3043-A68B-2B228EC5AE41}" destId="{1C25F3C8-2EE0-C74A-B672-BD207527FB6C}" srcOrd="5" destOrd="0" presId="urn:microsoft.com/office/officeart/2005/8/layout/hProcess9"/>
    <dgm:cxn modelId="{19AEC1D0-B288-4FEB-86CE-9DD2CB5216FE}" type="presParOf" srcId="{AA6DD44B-E571-3043-A68B-2B228EC5AE41}" destId="{7F9E1780-DE42-7F4A-804C-0C1076A9A018}" srcOrd="6" destOrd="0" presId="urn:microsoft.com/office/officeart/2005/8/layout/hProcess9"/>
    <dgm:cxn modelId="{37148A33-C1BE-4DA4-860C-7931FF4C8D0B}" type="presParOf" srcId="{AA6DD44B-E571-3043-A68B-2B228EC5AE41}" destId="{D6D8975A-44B2-1A41-8C61-8DCC59DA03E3}" srcOrd="7" destOrd="0" presId="urn:microsoft.com/office/officeart/2005/8/layout/hProcess9"/>
    <dgm:cxn modelId="{6F68AEAA-EA17-4C14-AA47-CE5157EA64ED}" type="presParOf" srcId="{AA6DD44B-E571-3043-A68B-2B228EC5AE41}" destId="{6938C9D1-D3EE-3441-972D-97879FFB14D9}" srcOrd="8"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D313A7-2B56-1A45-B9A2-3329C51232AB}">
      <dsp:nvSpPr>
        <dsp:cNvPr id="0" name=""/>
        <dsp:cNvSpPr/>
      </dsp:nvSpPr>
      <dsp:spPr>
        <a:xfrm>
          <a:off x="392191" y="0"/>
          <a:ext cx="4444841" cy="2990850"/>
        </a:xfrm>
        <a:prstGeom prst="rightArrow">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04B14A02-A034-2743-8C1C-21154F8234BA}">
      <dsp:nvSpPr>
        <dsp:cNvPr id="0" name=""/>
        <dsp:cNvSpPr/>
      </dsp:nvSpPr>
      <dsp:spPr>
        <a:xfrm>
          <a:off x="144472" y="897255"/>
          <a:ext cx="1005304" cy="11963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1. Scoping exercise undertaken</a:t>
          </a:r>
          <a:endParaRPr lang="en-GB" sz="1100" kern="1200">
            <a:solidFill>
              <a:sysClr val="window" lastClr="FFFFFF"/>
            </a:solidFill>
            <a:latin typeface="Calibri"/>
            <a:ea typeface="+mn-ea"/>
            <a:cs typeface="+mn-cs"/>
          </a:endParaRPr>
        </a:p>
      </dsp:txBody>
      <dsp:txXfrm>
        <a:off x="193547" y="946330"/>
        <a:ext cx="907154" cy="1098190"/>
      </dsp:txXfrm>
    </dsp:sp>
    <dsp:sp modelId="{88390A81-0D0A-BE42-B3F5-9B929CBC24D4}">
      <dsp:nvSpPr>
        <dsp:cNvPr id="0" name=""/>
        <dsp:cNvSpPr/>
      </dsp:nvSpPr>
      <dsp:spPr>
        <a:xfrm>
          <a:off x="1200043" y="897255"/>
          <a:ext cx="1005304" cy="11963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2a) </a:t>
          </a:r>
          <a:r>
            <a:rPr lang="en-US" sz="1100" b="0" kern="1200">
              <a:solidFill>
                <a:sysClr val="window" lastClr="FFFFFF"/>
              </a:solidFill>
              <a:latin typeface="Calibri"/>
              <a:ea typeface="+mn-ea"/>
              <a:cs typeface="+mn-cs"/>
            </a:rPr>
            <a:t>Face to face meetings and workshops </a:t>
          </a:r>
          <a:r>
            <a:rPr lang="en-US" sz="1100" kern="1200">
              <a:solidFill>
                <a:sysClr val="window" lastClr="FFFFFF"/>
              </a:solidFill>
              <a:latin typeface="Calibri"/>
              <a:ea typeface="+mn-ea"/>
              <a:cs typeface="+mn-cs"/>
            </a:rPr>
            <a:t>held with key stakeholders. </a:t>
          </a:r>
          <a:endParaRPr lang="en-GB" sz="1100" kern="1200">
            <a:solidFill>
              <a:sysClr val="window" lastClr="FFFFFF"/>
            </a:solidFill>
            <a:latin typeface="Calibri"/>
            <a:ea typeface="+mn-ea"/>
            <a:cs typeface="+mn-cs"/>
          </a:endParaRPr>
        </a:p>
      </dsp:txBody>
      <dsp:txXfrm>
        <a:off x="1249118" y="946330"/>
        <a:ext cx="907154" cy="1098190"/>
      </dsp:txXfrm>
    </dsp:sp>
    <dsp:sp modelId="{FB2D441C-5177-9445-9FC3-3F005492B12C}">
      <dsp:nvSpPr>
        <dsp:cNvPr id="0" name=""/>
        <dsp:cNvSpPr/>
      </dsp:nvSpPr>
      <dsp:spPr>
        <a:xfrm>
          <a:off x="2271136" y="901591"/>
          <a:ext cx="717998" cy="1212957"/>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2b) </a:t>
          </a:r>
          <a:r>
            <a:rPr lang="en-US" sz="1100" b="0" kern="1200">
              <a:solidFill>
                <a:sysClr val="window" lastClr="FFFFFF"/>
              </a:solidFill>
              <a:latin typeface="Calibri"/>
              <a:ea typeface="+mn-ea"/>
              <a:cs typeface="+mn-cs"/>
            </a:rPr>
            <a:t>Face to face meetings </a:t>
          </a:r>
          <a:r>
            <a:rPr lang="en-US" sz="1100" kern="1200">
              <a:solidFill>
                <a:sysClr val="window" lastClr="FFFFFF"/>
              </a:solidFill>
              <a:latin typeface="Calibri"/>
              <a:ea typeface="+mn-ea"/>
              <a:cs typeface="+mn-cs"/>
            </a:rPr>
            <a:t>with mentors</a:t>
          </a:r>
          <a:endParaRPr lang="en-GB" sz="1100" kern="1200">
            <a:solidFill>
              <a:sysClr val="window" lastClr="FFFFFF"/>
            </a:solidFill>
            <a:latin typeface="Calibri"/>
            <a:ea typeface="+mn-ea"/>
            <a:cs typeface="+mn-cs"/>
          </a:endParaRPr>
        </a:p>
      </dsp:txBody>
      <dsp:txXfrm>
        <a:off x="2306186" y="936641"/>
        <a:ext cx="647898" cy="1142857"/>
      </dsp:txXfrm>
    </dsp:sp>
    <dsp:sp modelId="{7F9E1780-DE42-7F4A-804C-0C1076A9A018}">
      <dsp:nvSpPr>
        <dsp:cNvPr id="0" name=""/>
        <dsp:cNvSpPr/>
      </dsp:nvSpPr>
      <dsp:spPr>
        <a:xfrm>
          <a:off x="3014351" y="906777"/>
          <a:ext cx="1005304" cy="11963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3. Piloting of new placements</a:t>
          </a:r>
        </a:p>
      </dsp:txBody>
      <dsp:txXfrm>
        <a:off x="3063426" y="955852"/>
        <a:ext cx="907154" cy="1098190"/>
      </dsp:txXfrm>
    </dsp:sp>
    <dsp:sp modelId="{6938C9D1-D3EE-3441-972D-97879FFB14D9}">
      <dsp:nvSpPr>
        <dsp:cNvPr id="0" name=""/>
        <dsp:cNvSpPr/>
      </dsp:nvSpPr>
      <dsp:spPr>
        <a:xfrm>
          <a:off x="4079447" y="897255"/>
          <a:ext cx="1005304" cy="11963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4. Evaluation of the pilot</a:t>
          </a:r>
          <a:endParaRPr lang="en-GB" sz="1100" kern="1200">
            <a:solidFill>
              <a:sysClr val="window" lastClr="FFFFFF"/>
            </a:solidFill>
            <a:latin typeface="Calibri"/>
            <a:ea typeface="+mn-ea"/>
            <a:cs typeface="+mn-cs"/>
          </a:endParaRPr>
        </a:p>
      </dsp:txBody>
      <dsp:txXfrm>
        <a:off x="4128522" y="946330"/>
        <a:ext cx="907154" cy="109819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86AB-6C82-6445-A03F-64C242F6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CLCH</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Twycross, Alison</cp:lastModifiedBy>
  <cp:revision>2</cp:revision>
  <dcterms:created xsi:type="dcterms:W3CDTF">2019-01-17T15:41:00Z</dcterms:created>
  <dcterms:modified xsi:type="dcterms:W3CDTF">2019-01-17T15:41:00Z</dcterms:modified>
</cp:coreProperties>
</file>