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C4F2A" w14:textId="77777777" w:rsidR="00E66EFF" w:rsidRPr="00702AA1" w:rsidRDefault="00E66EFF" w:rsidP="00ED25E1">
      <w:pPr>
        <w:jc w:val="both"/>
        <w:rPr>
          <w:rFonts w:ascii="Book Antiqua" w:hAnsi="Book Antiqua"/>
        </w:rPr>
      </w:pPr>
    </w:p>
    <w:p w14:paraId="7B15A298" w14:textId="77777777" w:rsidR="00F730E6" w:rsidRPr="00702AA1" w:rsidRDefault="00F730E6" w:rsidP="00ED25E1">
      <w:pPr>
        <w:jc w:val="both"/>
        <w:rPr>
          <w:rFonts w:ascii="Book Antiqua" w:hAnsi="Book Antiqua"/>
        </w:rPr>
      </w:pPr>
    </w:p>
    <w:p w14:paraId="080BA519" w14:textId="77777777" w:rsidR="00ED25E1" w:rsidRPr="00702AA1" w:rsidRDefault="00ED25E1" w:rsidP="00ED25E1">
      <w:pPr>
        <w:jc w:val="center"/>
        <w:rPr>
          <w:rFonts w:ascii="Book Antiqua" w:hAnsi="Book Antiqua"/>
          <w:b/>
          <w:sz w:val="28"/>
        </w:rPr>
      </w:pPr>
      <w:r w:rsidRPr="00702AA1">
        <w:rPr>
          <w:rFonts w:ascii="Book Antiqua" w:hAnsi="Book Antiqua"/>
          <w:b/>
          <w:sz w:val="28"/>
        </w:rPr>
        <w:t>The transformative potential of post-war justice initiatives in Bosnia and Herzegovina</w:t>
      </w:r>
    </w:p>
    <w:p w14:paraId="41C95792" w14:textId="77777777" w:rsidR="00ED25E1" w:rsidRPr="00702AA1" w:rsidRDefault="00ED25E1" w:rsidP="00ED25E1">
      <w:pPr>
        <w:jc w:val="both"/>
        <w:rPr>
          <w:rFonts w:ascii="Book Antiqua" w:hAnsi="Book Antiqua"/>
        </w:rPr>
      </w:pPr>
    </w:p>
    <w:p w14:paraId="64314B50" w14:textId="77777777" w:rsidR="00B45A43" w:rsidRPr="00702AA1" w:rsidRDefault="00B45A43" w:rsidP="00ED25E1">
      <w:pPr>
        <w:jc w:val="both"/>
        <w:rPr>
          <w:rFonts w:ascii="Book Antiqua" w:hAnsi="Book Antiqua"/>
        </w:rPr>
      </w:pPr>
    </w:p>
    <w:p w14:paraId="52231CA5" w14:textId="77777777" w:rsidR="00E66EFF" w:rsidRPr="00702AA1" w:rsidRDefault="00E66EFF" w:rsidP="00ED25E1">
      <w:pPr>
        <w:jc w:val="both"/>
        <w:rPr>
          <w:rFonts w:ascii="Book Antiqua" w:hAnsi="Book Antiqua"/>
        </w:rPr>
      </w:pPr>
      <w:r w:rsidRPr="00702AA1">
        <w:rPr>
          <w:rFonts w:ascii="Book Antiqua" w:hAnsi="Book Antiqua"/>
        </w:rPr>
        <w:t>This chapter investigates the transformative potential of civil society initiatives in post</w:t>
      </w:r>
      <w:r w:rsidR="00ED25E1" w:rsidRPr="00702AA1">
        <w:rPr>
          <w:rFonts w:ascii="Book Antiqua" w:hAnsi="Book Antiqua"/>
        </w:rPr>
        <w:t xml:space="preserve">-war Bosnia and Herzegovina. The implementation of transitional justice in the former Yugoslav region heavily relied on retributive justice, through the work of the International Criminal Tribunal for the former Yugoslavia (ICTY) and tribunals. As transitional justice became synonym with war crimes trials, however, civil society initiatives tried to address other marginalised dimensions of the process of dealing with the past. </w:t>
      </w:r>
      <w:r w:rsidR="00266CF5" w:rsidRPr="00702AA1">
        <w:rPr>
          <w:rFonts w:ascii="Book Antiqua" w:hAnsi="Book Antiqua"/>
        </w:rPr>
        <w:t xml:space="preserve">This chapter questions what ‘transformative justice’ might mean in this context, and argues that developing a transformative approach to transitional justice requires shifting away from a focus on international and state-sponsored institutions, and turning towards grassroots processes of dealing with the past. </w:t>
      </w:r>
      <w:r w:rsidR="00ED25E1" w:rsidRPr="00702AA1">
        <w:rPr>
          <w:rFonts w:ascii="Book Antiqua" w:hAnsi="Book Antiqua"/>
        </w:rPr>
        <w:t xml:space="preserve">The analysis of these initiatives </w:t>
      </w:r>
      <w:r w:rsidR="00266CF5" w:rsidRPr="00702AA1">
        <w:rPr>
          <w:rFonts w:ascii="Book Antiqua" w:hAnsi="Book Antiqua"/>
        </w:rPr>
        <w:t>shows that, compared to the traditional transitional justice paradigm, transform</w:t>
      </w:r>
      <w:r w:rsidR="00CE01EE" w:rsidRPr="00702AA1">
        <w:rPr>
          <w:rFonts w:ascii="Book Antiqua" w:hAnsi="Book Antiqua"/>
        </w:rPr>
        <w:t>ative approaches better capture</w:t>
      </w:r>
      <w:r w:rsidR="00266CF5" w:rsidRPr="00702AA1">
        <w:rPr>
          <w:rFonts w:ascii="Book Antiqua" w:hAnsi="Book Antiqua"/>
        </w:rPr>
        <w:t xml:space="preserve"> local understandings of post-war justice.</w:t>
      </w:r>
      <w:r w:rsidR="00ED25E1" w:rsidRPr="00702AA1">
        <w:rPr>
          <w:rFonts w:ascii="Book Antiqua" w:hAnsi="Book Antiqua"/>
        </w:rPr>
        <w:t xml:space="preserve"> By looking at the cases of </w:t>
      </w:r>
      <w:r w:rsidR="00FA6EF2" w:rsidRPr="00702AA1">
        <w:rPr>
          <w:rFonts w:ascii="Book Antiqua" w:hAnsi="Book Antiqua"/>
        </w:rPr>
        <w:t>the Regional Commission (</w:t>
      </w:r>
      <w:r w:rsidR="00ED25E1" w:rsidRPr="00702AA1">
        <w:rPr>
          <w:rFonts w:ascii="Book Antiqua" w:hAnsi="Book Antiqua"/>
        </w:rPr>
        <w:t>RECOM</w:t>
      </w:r>
      <w:r w:rsidR="00FA6EF2" w:rsidRPr="00702AA1">
        <w:rPr>
          <w:rFonts w:ascii="Book Antiqua" w:hAnsi="Book Antiqua"/>
        </w:rPr>
        <w:t>) initiative</w:t>
      </w:r>
      <w:r w:rsidR="00ED25E1" w:rsidRPr="00702AA1">
        <w:rPr>
          <w:rFonts w:ascii="Book Antiqua" w:hAnsi="Book Antiqua"/>
        </w:rPr>
        <w:t xml:space="preserve">, the 2014 socioeconomic protests and the Women’s Court in Sarajevo, this chapter illustrates the transformative potential of social mobilisation around justice themes, as well as its limitations. In doing so, it takes into account the tension between grassroots activism and professionalization/institutionalisation, </w:t>
      </w:r>
      <w:r w:rsidR="00FB3851" w:rsidRPr="00702AA1">
        <w:rPr>
          <w:rFonts w:ascii="Book Antiqua" w:hAnsi="Book Antiqua"/>
        </w:rPr>
        <w:t>the challenges</w:t>
      </w:r>
      <w:r w:rsidR="00082663" w:rsidRPr="00702AA1">
        <w:rPr>
          <w:rFonts w:ascii="Book Antiqua" w:hAnsi="Book Antiqua"/>
        </w:rPr>
        <w:t xml:space="preserve"> </w:t>
      </w:r>
      <w:r w:rsidR="00FB3851" w:rsidRPr="00702AA1">
        <w:rPr>
          <w:rFonts w:ascii="Book Antiqua" w:hAnsi="Book Antiqua"/>
        </w:rPr>
        <w:t>of overcoming</w:t>
      </w:r>
      <w:r w:rsidR="00ED25E1" w:rsidRPr="00702AA1">
        <w:rPr>
          <w:rFonts w:ascii="Book Antiqua" w:hAnsi="Book Antiqua"/>
        </w:rPr>
        <w:t xml:space="preserve"> ethnicity as an organising principle, and </w:t>
      </w:r>
      <w:r w:rsidR="00FB3851" w:rsidRPr="00702AA1">
        <w:rPr>
          <w:rFonts w:ascii="Book Antiqua" w:hAnsi="Book Antiqua"/>
        </w:rPr>
        <w:t>attempts to</w:t>
      </w:r>
      <w:r w:rsidR="00ED25E1" w:rsidRPr="00702AA1">
        <w:rPr>
          <w:rFonts w:ascii="Book Antiqua" w:hAnsi="Book Antiqua"/>
        </w:rPr>
        <w:t xml:space="preserve"> escape from the ‘liberal transition’ as the paradigmatic goal of transitional justice processes. </w:t>
      </w:r>
    </w:p>
    <w:p w14:paraId="280EC4F4" w14:textId="77777777" w:rsidR="00E66EFF" w:rsidRPr="00702AA1" w:rsidRDefault="00E66EFF" w:rsidP="00ED25E1">
      <w:pPr>
        <w:jc w:val="both"/>
        <w:rPr>
          <w:rFonts w:ascii="Book Antiqua" w:hAnsi="Book Antiqua"/>
        </w:rPr>
      </w:pPr>
    </w:p>
    <w:p w14:paraId="59A68467" w14:textId="77777777" w:rsidR="00EA47E5" w:rsidRPr="009A0DED" w:rsidRDefault="00EA47E5" w:rsidP="00ED25E1">
      <w:pPr>
        <w:jc w:val="both"/>
        <w:rPr>
          <w:rFonts w:ascii="Book Antiqua" w:hAnsi="Book Antiqua"/>
        </w:rPr>
      </w:pPr>
      <w:r w:rsidRPr="009A0DED">
        <w:rPr>
          <w:rFonts w:ascii="Book Antiqua" w:hAnsi="Book Antiqua"/>
        </w:rPr>
        <w:t>Daniela Lai</w:t>
      </w:r>
    </w:p>
    <w:p w14:paraId="6432535C" w14:textId="431DF7E4" w:rsidR="00EA47E5" w:rsidRPr="009A0DED" w:rsidRDefault="00144E4C" w:rsidP="00ED25E1">
      <w:pPr>
        <w:jc w:val="both"/>
        <w:rPr>
          <w:rFonts w:ascii="Book Antiqua" w:hAnsi="Book Antiqua"/>
        </w:rPr>
      </w:pPr>
      <w:r w:rsidRPr="009A0DED">
        <w:rPr>
          <w:rFonts w:ascii="Book Antiqua" w:hAnsi="Book Antiqua"/>
        </w:rPr>
        <w:t xml:space="preserve">London School of Economics </w:t>
      </w:r>
      <w:r w:rsidR="00EF0CD8">
        <w:rPr>
          <w:rFonts w:ascii="Book Antiqua" w:hAnsi="Book Antiqua"/>
        </w:rPr>
        <w:t xml:space="preserve">and Political Science </w:t>
      </w:r>
    </w:p>
    <w:p w14:paraId="79B4D87E" w14:textId="77777777" w:rsidR="00EA47E5" w:rsidRPr="009A0DED" w:rsidRDefault="00EA47E5" w:rsidP="00ED25E1">
      <w:pPr>
        <w:jc w:val="both"/>
        <w:rPr>
          <w:rFonts w:ascii="Book Antiqua" w:hAnsi="Book Antiqua"/>
        </w:rPr>
      </w:pPr>
    </w:p>
    <w:p w14:paraId="29E26571" w14:textId="77777777" w:rsidR="00EA47E5" w:rsidRPr="009A0DED" w:rsidRDefault="00EA47E5" w:rsidP="00ED25E1">
      <w:pPr>
        <w:jc w:val="both"/>
        <w:rPr>
          <w:rFonts w:ascii="Book Antiqua" w:hAnsi="Book Antiqua"/>
        </w:rPr>
      </w:pPr>
      <w:r w:rsidRPr="009A0DED">
        <w:rPr>
          <w:rFonts w:ascii="Book Antiqua" w:hAnsi="Book Antiqua"/>
        </w:rPr>
        <w:t xml:space="preserve">Caterina Bonora </w:t>
      </w:r>
    </w:p>
    <w:p w14:paraId="6D5A69B4" w14:textId="77777777" w:rsidR="00EA47E5" w:rsidRPr="00702AA1" w:rsidRDefault="00EA47E5" w:rsidP="00ED25E1">
      <w:pPr>
        <w:jc w:val="both"/>
        <w:rPr>
          <w:rFonts w:ascii="Book Antiqua" w:hAnsi="Book Antiqua"/>
        </w:rPr>
      </w:pPr>
      <w:r w:rsidRPr="00702AA1">
        <w:rPr>
          <w:rFonts w:ascii="Book Antiqua" w:hAnsi="Book Antiqua"/>
        </w:rPr>
        <w:t xml:space="preserve">University of Bremen </w:t>
      </w:r>
    </w:p>
    <w:p w14:paraId="40960D6F" w14:textId="77777777" w:rsidR="00EA47E5" w:rsidRPr="00702AA1" w:rsidRDefault="00EA47E5" w:rsidP="00ED25E1">
      <w:pPr>
        <w:jc w:val="both"/>
        <w:rPr>
          <w:rFonts w:ascii="Book Antiqua" w:hAnsi="Book Antiqua"/>
        </w:rPr>
      </w:pPr>
    </w:p>
    <w:p w14:paraId="578E3CA8" w14:textId="77777777" w:rsidR="00E66EFF" w:rsidRPr="00702AA1" w:rsidRDefault="00E66EFF" w:rsidP="00ED25E1">
      <w:pPr>
        <w:jc w:val="both"/>
        <w:rPr>
          <w:rFonts w:ascii="Book Antiqua" w:hAnsi="Book Antiqua"/>
        </w:rPr>
      </w:pPr>
    </w:p>
    <w:p w14:paraId="06B9D100" w14:textId="77777777" w:rsidR="00533EB6" w:rsidRPr="00702AA1" w:rsidRDefault="00533EB6" w:rsidP="00ED25E1">
      <w:pPr>
        <w:jc w:val="both"/>
        <w:rPr>
          <w:rFonts w:ascii="Book Antiqua" w:hAnsi="Book Antiqua"/>
        </w:rPr>
      </w:pPr>
    </w:p>
    <w:p w14:paraId="2193A9EB" w14:textId="77777777" w:rsidR="00533EB6" w:rsidRPr="00702AA1" w:rsidRDefault="00533EB6" w:rsidP="00ED25E1">
      <w:pPr>
        <w:jc w:val="both"/>
        <w:rPr>
          <w:rFonts w:ascii="Book Antiqua" w:hAnsi="Book Antiqua"/>
        </w:rPr>
      </w:pPr>
      <w:r w:rsidRPr="00702AA1">
        <w:rPr>
          <w:rFonts w:ascii="Book Antiqua" w:hAnsi="Book Antiqua"/>
          <w:b/>
        </w:rPr>
        <w:t xml:space="preserve">Introduction </w:t>
      </w:r>
    </w:p>
    <w:p w14:paraId="38EA69B3" w14:textId="77777777" w:rsidR="001575FA" w:rsidRPr="00702AA1" w:rsidRDefault="001575FA" w:rsidP="00C62AF4">
      <w:pPr>
        <w:spacing w:line="360" w:lineRule="auto"/>
        <w:jc w:val="both"/>
        <w:rPr>
          <w:rFonts w:ascii="Book Antiqua" w:hAnsi="Book Antiqua"/>
        </w:rPr>
      </w:pPr>
    </w:p>
    <w:p w14:paraId="13E5BCE4" w14:textId="0E11E2D5" w:rsidR="003C483C" w:rsidRPr="00702AA1" w:rsidRDefault="00461D7C" w:rsidP="007A1EA0">
      <w:pPr>
        <w:spacing w:line="360" w:lineRule="auto"/>
        <w:jc w:val="both"/>
        <w:rPr>
          <w:rFonts w:ascii="Book Antiqua" w:hAnsi="Book Antiqua"/>
        </w:rPr>
      </w:pPr>
      <w:r>
        <w:rPr>
          <w:rFonts w:ascii="Book Antiqua" w:hAnsi="Book Antiqua"/>
        </w:rPr>
        <w:t xml:space="preserve"> In the former Yugoslav region, transitional justice scholars and activists have long been frustrated with the shortcomings of judicial approaches and the instrumental use of post-war-justice for political purposes</w:t>
      </w:r>
      <w:r w:rsidR="003C483C" w:rsidRPr="00702AA1">
        <w:rPr>
          <w:rFonts w:ascii="Book Antiqua" w:hAnsi="Book Antiqua"/>
        </w:rPr>
        <w:t>.</w:t>
      </w:r>
      <w:r>
        <w:rPr>
          <w:rFonts w:ascii="Book Antiqua" w:hAnsi="Book Antiqua"/>
        </w:rPr>
        <w:t xml:space="preserve"> Nonetheless, and despite</w:t>
      </w:r>
      <w:r w:rsidR="003C483C" w:rsidRPr="00702AA1">
        <w:rPr>
          <w:rFonts w:ascii="Book Antiqua" w:hAnsi="Book Antiqua"/>
        </w:rPr>
        <w:t xml:space="preserve"> the frustration, local activism in this field has never stopped. This chapter shifts the attention from established transitional justice processes to initiatives carried out at the level of civil society</w:t>
      </w:r>
      <w:r>
        <w:rPr>
          <w:rFonts w:ascii="Book Antiqua" w:hAnsi="Book Antiqua"/>
        </w:rPr>
        <w:t xml:space="preserve">, arguing that it is </w:t>
      </w:r>
      <w:r w:rsidR="003C483C" w:rsidRPr="00702AA1">
        <w:rPr>
          <w:rFonts w:ascii="Book Antiqua" w:hAnsi="Book Antiqua"/>
        </w:rPr>
        <w:t>among social actors that we might be able to identify transitional justice efforts that can be characterised as ‘transformative’. The question, or objective, driving this chapter is thus to locate the transformative potential of transitional justice initiatives in Bosnia and Herzegovina</w:t>
      </w:r>
      <w:r w:rsidR="008756C2" w:rsidRPr="00702AA1">
        <w:rPr>
          <w:rFonts w:ascii="Book Antiqua" w:hAnsi="Book Antiqua"/>
        </w:rPr>
        <w:t xml:space="preserve"> (BiH)</w:t>
      </w:r>
      <w:r w:rsidR="003C483C" w:rsidRPr="00702AA1">
        <w:rPr>
          <w:rFonts w:ascii="Book Antiqua" w:hAnsi="Book Antiqua"/>
        </w:rPr>
        <w:t xml:space="preserve">. </w:t>
      </w:r>
      <w:r>
        <w:rPr>
          <w:rFonts w:ascii="Book Antiqua" w:hAnsi="Book Antiqua"/>
        </w:rPr>
        <w:t>W</w:t>
      </w:r>
      <w:r w:rsidR="003C483C" w:rsidRPr="00702AA1">
        <w:rPr>
          <w:rFonts w:ascii="Book Antiqua" w:hAnsi="Book Antiqua"/>
        </w:rPr>
        <w:t xml:space="preserve">e identify three initiatives that will be discussed in greater detail in this chapter: </w:t>
      </w:r>
      <w:proofErr w:type="gramStart"/>
      <w:r w:rsidR="003C483C" w:rsidRPr="00702AA1">
        <w:rPr>
          <w:rFonts w:ascii="Book Antiqua" w:hAnsi="Book Antiqua"/>
        </w:rPr>
        <w:t>the</w:t>
      </w:r>
      <w:proofErr w:type="gramEnd"/>
      <w:r w:rsidR="003C483C" w:rsidRPr="00702AA1">
        <w:rPr>
          <w:rFonts w:ascii="Book Antiqua" w:hAnsi="Book Antiqua"/>
        </w:rPr>
        <w:t xml:space="preserve"> </w:t>
      </w:r>
      <w:r w:rsidR="00FA6EF2" w:rsidRPr="00702AA1">
        <w:rPr>
          <w:rFonts w:ascii="Book Antiqua" w:hAnsi="Book Antiqua"/>
        </w:rPr>
        <w:t>Regional Commission (</w:t>
      </w:r>
      <w:r w:rsidR="003C483C" w:rsidRPr="00702AA1">
        <w:rPr>
          <w:rFonts w:ascii="Book Antiqua" w:hAnsi="Book Antiqua"/>
        </w:rPr>
        <w:t>RECOM</w:t>
      </w:r>
      <w:r w:rsidR="00FA6EF2" w:rsidRPr="00702AA1">
        <w:rPr>
          <w:rFonts w:ascii="Book Antiqua" w:hAnsi="Book Antiqua"/>
        </w:rPr>
        <w:t>)</w:t>
      </w:r>
      <w:r w:rsidR="003C483C" w:rsidRPr="00702AA1">
        <w:rPr>
          <w:rFonts w:ascii="Book Antiqua" w:hAnsi="Book Antiqua"/>
        </w:rPr>
        <w:t xml:space="preserve"> initiative, the Women’s Court, and the 2014 socioeconomic protests. While very different from one another in some respects, these three </w:t>
      </w:r>
      <w:r w:rsidR="003C483C" w:rsidRPr="00702AA1">
        <w:rPr>
          <w:rFonts w:ascii="Book Antiqua" w:hAnsi="Book Antiqua"/>
        </w:rPr>
        <w:lastRenderedPageBreak/>
        <w:t>cases were selected because they represent the most significant efforts to address post-war justice issues that emerged from the Bosnian (or regional, in the case of RECOM</w:t>
      </w:r>
      <w:r w:rsidR="008163A1" w:rsidRPr="00702AA1">
        <w:rPr>
          <w:rFonts w:ascii="Book Antiqua" w:hAnsi="Book Antiqua"/>
        </w:rPr>
        <w:t xml:space="preserve"> and the Women’s Court</w:t>
      </w:r>
      <w:r w:rsidR="003C483C" w:rsidRPr="00702AA1">
        <w:rPr>
          <w:rFonts w:ascii="Book Antiqua" w:hAnsi="Book Antiqua"/>
        </w:rPr>
        <w:t xml:space="preserve">) civil society. </w:t>
      </w:r>
    </w:p>
    <w:p w14:paraId="115A2B6C" w14:textId="77777777" w:rsidR="008734ED" w:rsidRDefault="008734ED" w:rsidP="00475DC2">
      <w:pPr>
        <w:spacing w:line="360" w:lineRule="auto"/>
        <w:jc w:val="both"/>
        <w:rPr>
          <w:rFonts w:ascii="Book Antiqua" w:hAnsi="Book Antiqua"/>
        </w:rPr>
      </w:pPr>
    </w:p>
    <w:p w14:paraId="6F8C2787" w14:textId="5B62E85C" w:rsidR="003C483C" w:rsidRPr="00702AA1" w:rsidRDefault="003C483C" w:rsidP="00475DC2">
      <w:pPr>
        <w:spacing w:line="360" w:lineRule="auto"/>
        <w:jc w:val="both"/>
        <w:rPr>
          <w:rFonts w:ascii="Book Antiqua" w:hAnsi="Book Antiqua"/>
        </w:rPr>
      </w:pPr>
      <w:r w:rsidRPr="00702AA1">
        <w:rPr>
          <w:rFonts w:ascii="Book Antiqua" w:hAnsi="Book Antiqua"/>
        </w:rPr>
        <w:t>Before we proceed with the analysis, two clarifications are in order. First, why do we refer to transformative ‘potential’? Most simply, these grassroots or civil initiatives, at least in the Bosnian context, still occur at the margins of official transitional justice processes</w:t>
      </w:r>
      <w:r w:rsidR="00882682">
        <w:rPr>
          <w:rFonts w:ascii="Book Antiqua" w:hAnsi="Book Antiqua"/>
        </w:rPr>
        <w:t>, which have mostly been limited to the judicial realm</w:t>
      </w:r>
      <w:r w:rsidRPr="00702AA1">
        <w:rPr>
          <w:rFonts w:ascii="Book Antiqua" w:hAnsi="Book Antiqua"/>
        </w:rPr>
        <w:t>.</w:t>
      </w:r>
      <w:r w:rsidR="005E306A" w:rsidRPr="00702AA1">
        <w:rPr>
          <w:rFonts w:ascii="Book Antiqua" w:hAnsi="Book Antiqua"/>
        </w:rPr>
        <w:t xml:space="preserve"> This marginalisation, and the lack of institutional support, still limit what these initiatives are able to achieve. </w:t>
      </w:r>
      <w:r w:rsidRPr="00702AA1">
        <w:rPr>
          <w:rFonts w:ascii="Book Antiqua" w:hAnsi="Book Antiqua"/>
        </w:rPr>
        <w:t>Second, given the focus of the chapter, it seems relevant and appropriate to clarify our understanding of ‘civil society’. As scholarly interest in the contribution of social actors to political processes has grown over the years, so has the need for debating what characterises civil society. Often defined as the sphere separated from both the state and the market, civil society in post-conflict countries has been heralded as a necessary partner in peacebuilding processes (especially after the ‘local turn’ questioned top-down approaches to post-conflict reconstruction</w:t>
      </w:r>
      <w:r w:rsidR="002F4700" w:rsidRPr="00702AA1">
        <w:rPr>
          <w:rFonts w:ascii="Book Antiqua" w:hAnsi="Book Antiqua"/>
        </w:rPr>
        <w:t xml:space="preserve">; </w:t>
      </w:r>
      <w:r w:rsidR="00506CD8" w:rsidRPr="00702AA1">
        <w:rPr>
          <w:rFonts w:ascii="Book Antiqua" w:hAnsi="Book Antiqua"/>
        </w:rPr>
        <w:t xml:space="preserve">see </w:t>
      </w:r>
      <w:r w:rsidR="002F4700" w:rsidRPr="00702AA1">
        <w:rPr>
          <w:rFonts w:ascii="Book Antiqua" w:hAnsi="Book Antiqua"/>
        </w:rPr>
        <w:t>Lederach</w:t>
      </w:r>
      <w:r w:rsidR="0027352F">
        <w:rPr>
          <w:rFonts w:ascii="Book Antiqua" w:hAnsi="Book Antiqua"/>
        </w:rPr>
        <w:t>,</w:t>
      </w:r>
      <w:r w:rsidR="002F4700" w:rsidRPr="00702AA1">
        <w:rPr>
          <w:rFonts w:ascii="Book Antiqua" w:hAnsi="Book Antiqua"/>
        </w:rPr>
        <w:t xml:space="preserve"> 1997</w:t>
      </w:r>
      <w:r w:rsidR="00506CD8" w:rsidRPr="00702AA1">
        <w:rPr>
          <w:rFonts w:ascii="Book Antiqua" w:hAnsi="Book Antiqua"/>
        </w:rPr>
        <w:t xml:space="preserve"> for an early discussion of this and Leonardsson and Rudd</w:t>
      </w:r>
      <w:r w:rsidR="0027352F">
        <w:rPr>
          <w:rFonts w:ascii="Book Antiqua" w:hAnsi="Book Antiqua"/>
        </w:rPr>
        <w:t>,</w:t>
      </w:r>
      <w:r w:rsidR="00506CD8" w:rsidRPr="00702AA1">
        <w:rPr>
          <w:rFonts w:ascii="Book Antiqua" w:hAnsi="Book Antiqua"/>
        </w:rPr>
        <w:t xml:space="preserve"> 2015 for a recent review</w:t>
      </w:r>
      <w:r w:rsidRPr="00702AA1">
        <w:rPr>
          <w:rFonts w:ascii="Book Antiqua" w:hAnsi="Book Antiqua"/>
        </w:rPr>
        <w:t xml:space="preserve">), </w:t>
      </w:r>
      <w:r w:rsidR="00174486">
        <w:rPr>
          <w:rFonts w:ascii="Book Antiqua" w:hAnsi="Book Antiqua"/>
        </w:rPr>
        <w:t xml:space="preserve">but also </w:t>
      </w:r>
      <w:r w:rsidRPr="00702AA1">
        <w:rPr>
          <w:rFonts w:ascii="Book Antiqua" w:hAnsi="Book Antiqua"/>
        </w:rPr>
        <w:t>the object of critique for being too institutionalised, for responding to the priorities of international organisations and losing touch with the broader society (</w:t>
      </w:r>
      <w:r w:rsidR="002F4700" w:rsidRPr="00702AA1">
        <w:rPr>
          <w:rFonts w:ascii="Book Antiqua" w:hAnsi="Book Antiqua"/>
        </w:rPr>
        <w:t>Belloni</w:t>
      </w:r>
      <w:r w:rsidR="0027352F">
        <w:rPr>
          <w:rFonts w:ascii="Book Antiqua" w:hAnsi="Book Antiqua"/>
        </w:rPr>
        <w:t>,</w:t>
      </w:r>
      <w:r w:rsidR="002F4700" w:rsidRPr="00702AA1">
        <w:rPr>
          <w:rFonts w:ascii="Book Antiqua" w:hAnsi="Book Antiqua"/>
        </w:rPr>
        <w:t xml:space="preserve"> 2007</w:t>
      </w:r>
      <w:r w:rsidRPr="00702AA1">
        <w:rPr>
          <w:rFonts w:ascii="Book Antiqua" w:hAnsi="Book Antiqua"/>
        </w:rPr>
        <w:t>). In our view, civil society cannot be reduced to formally-established NGOs, but includes local and grassroots activists expressing a variety of views. Civil society is a ‘terrain of struggle’ (Rajagopal</w:t>
      </w:r>
      <w:r w:rsidR="0027352F">
        <w:rPr>
          <w:rFonts w:ascii="Book Antiqua" w:hAnsi="Book Antiqua"/>
        </w:rPr>
        <w:t>,</w:t>
      </w:r>
      <w:r w:rsidRPr="00702AA1">
        <w:rPr>
          <w:rFonts w:ascii="Book Antiqua" w:hAnsi="Book Antiqua"/>
        </w:rPr>
        <w:t xml:space="preserve"> </w:t>
      </w:r>
      <w:r w:rsidR="00506CD8" w:rsidRPr="00702AA1">
        <w:rPr>
          <w:rFonts w:ascii="Book Antiqua" w:hAnsi="Book Antiqua"/>
        </w:rPr>
        <w:t>2003</w:t>
      </w:r>
      <w:r w:rsidR="002C026E" w:rsidRPr="00702AA1">
        <w:rPr>
          <w:rFonts w:ascii="Book Antiqua" w:hAnsi="Book Antiqua"/>
        </w:rPr>
        <w:t>:</w:t>
      </w:r>
      <w:r w:rsidRPr="00702AA1">
        <w:rPr>
          <w:rFonts w:ascii="Book Antiqua" w:hAnsi="Book Antiqua"/>
        </w:rPr>
        <w:t xml:space="preserve"> 261), which includes progressive, socially-aware actors, as well as ‘English-language speaking, cosmopolitan local activists who know how to relate to Western donors’ (</w:t>
      </w:r>
      <w:r w:rsidR="00823CF1" w:rsidRPr="00702AA1">
        <w:rPr>
          <w:rFonts w:ascii="Book Antiqua" w:hAnsi="Book Antiqua"/>
        </w:rPr>
        <w:t>R</w:t>
      </w:r>
      <w:r w:rsidR="002C026E" w:rsidRPr="00702AA1">
        <w:rPr>
          <w:rFonts w:ascii="Book Antiqua" w:hAnsi="Book Antiqua"/>
        </w:rPr>
        <w:t>ajagopal</w:t>
      </w:r>
      <w:r w:rsidR="0027352F">
        <w:rPr>
          <w:rFonts w:ascii="Book Antiqua" w:hAnsi="Book Antiqua"/>
        </w:rPr>
        <w:t>,</w:t>
      </w:r>
      <w:r w:rsidR="002C026E" w:rsidRPr="00702AA1">
        <w:rPr>
          <w:rFonts w:ascii="Book Antiqua" w:hAnsi="Book Antiqua"/>
        </w:rPr>
        <w:t xml:space="preserve"> 2003:</w:t>
      </w:r>
      <w:r w:rsidR="00823CF1" w:rsidRPr="00702AA1">
        <w:rPr>
          <w:rFonts w:ascii="Book Antiqua" w:hAnsi="Book Antiqua"/>
        </w:rPr>
        <w:t xml:space="preserve"> 261</w:t>
      </w:r>
      <w:r w:rsidRPr="00702AA1">
        <w:rPr>
          <w:rFonts w:ascii="Book Antiqua" w:hAnsi="Book Antiqua"/>
        </w:rPr>
        <w:t xml:space="preserve">), but also nationalist, religious, or conservative groups who might be opposed to post-war justice processes. The term ‘civil society’, in this sense, </w:t>
      </w:r>
      <w:r w:rsidR="00174486">
        <w:rPr>
          <w:rFonts w:ascii="Book Antiqua" w:hAnsi="Book Antiqua"/>
        </w:rPr>
        <w:t>has a</w:t>
      </w:r>
      <w:r w:rsidR="00174486" w:rsidRPr="00702AA1">
        <w:rPr>
          <w:rFonts w:ascii="Book Antiqua" w:hAnsi="Book Antiqua"/>
        </w:rPr>
        <w:t xml:space="preserve"> </w:t>
      </w:r>
      <w:r w:rsidRPr="00702AA1">
        <w:rPr>
          <w:rFonts w:ascii="Book Antiqua" w:hAnsi="Book Antiqua"/>
        </w:rPr>
        <w:t xml:space="preserve">neutral, rather than </w:t>
      </w:r>
      <w:r w:rsidR="00AA0152" w:rsidRPr="00702AA1">
        <w:rPr>
          <w:rFonts w:ascii="Book Antiqua" w:hAnsi="Book Antiqua"/>
        </w:rPr>
        <w:t>necessarily positive or emancipatory</w:t>
      </w:r>
      <w:r w:rsidR="00174486">
        <w:rPr>
          <w:rFonts w:ascii="Book Antiqua" w:hAnsi="Book Antiqua"/>
        </w:rPr>
        <w:t xml:space="preserve"> connotation</w:t>
      </w:r>
      <w:r w:rsidRPr="00702AA1">
        <w:rPr>
          <w:rFonts w:ascii="Book Antiqua" w:hAnsi="Book Antiqua"/>
        </w:rPr>
        <w:t xml:space="preserve">. </w:t>
      </w:r>
    </w:p>
    <w:p w14:paraId="46399954" w14:textId="77777777" w:rsidR="0027352F" w:rsidRDefault="0027352F" w:rsidP="00475DC2">
      <w:pPr>
        <w:spacing w:line="360" w:lineRule="auto"/>
        <w:jc w:val="both"/>
        <w:rPr>
          <w:rFonts w:ascii="Book Antiqua" w:hAnsi="Book Antiqua"/>
        </w:rPr>
      </w:pPr>
    </w:p>
    <w:p w14:paraId="0C220C3D" w14:textId="2B12F8A9" w:rsidR="00090F89" w:rsidRPr="00702AA1" w:rsidRDefault="003C483C" w:rsidP="00475DC2">
      <w:pPr>
        <w:spacing w:line="360" w:lineRule="auto"/>
        <w:jc w:val="both"/>
        <w:rPr>
          <w:rFonts w:ascii="Book Antiqua" w:hAnsi="Book Antiqua"/>
        </w:rPr>
      </w:pPr>
      <w:r w:rsidRPr="00702AA1">
        <w:rPr>
          <w:rFonts w:ascii="Book Antiqua" w:hAnsi="Book Antiqua"/>
        </w:rPr>
        <w:t>The chapter contributes to the current search for an alternative approach to dealing with the consequences of wartime violence and mass human rights abuses. In particular, it draws on and develops the concept of ‘transformative justice’, engaging with recent work by Lambourne</w:t>
      </w:r>
      <w:r w:rsidR="0036775E" w:rsidRPr="00702AA1">
        <w:rPr>
          <w:rFonts w:ascii="Book Antiqua" w:hAnsi="Book Antiqua"/>
        </w:rPr>
        <w:t xml:space="preserve"> (2009, 2014), Sharp (2012, 2015</w:t>
      </w:r>
      <w:r w:rsidR="00F216E5" w:rsidRPr="00702AA1">
        <w:rPr>
          <w:rFonts w:ascii="Book Antiqua" w:hAnsi="Book Antiqua"/>
        </w:rPr>
        <w:t>), Gready and Robins (2014</w:t>
      </w:r>
      <w:r w:rsidRPr="00702AA1">
        <w:rPr>
          <w:rFonts w:ascii="Book Antiqua" w:hAnsi="Book Antiqua"/>
        </w:rPr>
        <w:t>), but also emphasising the need for expanding the scope of critical reflection beyond the field of transitional justice studies to include the work of scholars such as Nancy Fraser (1990, 2005, 2009). The empirical analysis draws on data collected by the authors during several years of fieldwork in Bosnia</w:t>
      </w:r>
      <w:r w:rsidR="00480B1A" w:rsidRPr="00702AA1">
        <w:rPr>
          <w:rFonts w:ascii="Book Antiqua" w:hAnsi="Book Antiqua"/>
        </w:rPr>
        <w:t xml:space="preserve"> </w:t>
      </w:r>
      <w:r w:rsidR="00480B1A" w:rsidRPr="00702AA1">
        <w:rPr>
          <w:rFonts w:ascii="Book Antiqua" w:hAnsi="Book Antiqua"/>
        </w:rPr>
        <w:lastRenderedPageBreak/>
        <w:t>(2012-2016)</w:t>
      </w:r>
      <w:r w:rsidRPr="00702AA1">
        <w:rPr>
          <w:rFonts w:ascii="Book Antiqua" w:hAnsi="Book Antiqua"/>
        </w:rPr>
        <w:t xml:space="preserve">. This includes interviews with NGOs and local activist groups, transcripts of RECOM proceedings, and observation carried out at RECOM meetings, at the Women’s Court events, and at protests and meetings organised by groups involved in the 2014 protests. </w:t>
      </w:r>
    </w:p>
    <w:p w14:paraId="3F9BCE6F" w14:textId="77777777" w:rsidR="0027352F" w:rsidRDefault="0027352F" w:rsidP="00475DC2">
      <w:pPr>
        <w:spacing w:line="360" w:lineRule="auto"/>
        <w:jc w:val="both"/>
        <w:rPr>
          <w:rFonts w:ascii="Book Antiqua" w:hAnsi="Book Antiqua"/>
        </w:rPr>
      </w:pPr>
    </w:p>
    <w:p w14:paraId="072807BE" w14:textId="46E32FA2" w:rsidR="003C483C" w:rsidRPr="00702AA1" w:rsidRDefault="003C483C" w:rsidP="00475DC2">
      <w:pPr>
        <w:spacing w:line="360" w:lineRule="auto"/>
        <w:jc w:val="both"/>
        <w:rPr>
          <w:rFonts w:ascii="Book Antiqua" w:hAnsi="Book Antiqua"/>
        </w:rPr>
      </w:pPr>
      <w:r w:rsidRPr="00702AA1">
        <w:rPr>
          <w:rFonts w:ascii="Book Antiqua" w:hAnsi="Book Antiqua"/>
        </w:rPr>
        <w:t>The chapter argues that ‘transformative’ justice in the case of local initiatives in Bosnia means (1) overcoming ethnicity as an organising principle of post-war justice processes; (2) an attempt to include non-institutional actors, going beyond state-sponsored mechanisms and heavily institutionalised civil society organisations; (3) a critique or even rejection of the liberal transition paradigm. The cases we analyse show these issues were identified, implicitly or explicitly, as a form of rupture with conventional transitional justice approaches, and</w:t>
      </w:r>
      <w:r w:rsidR="006C391A" w:rsidRPr="00702AA1">
        <w:rPr>
          <w:rFonts w:ascii="Book Antiqua" w:hAnsi="Book Antiqua"/>
        </w:rPr>
        <w:t xml:space="preserve"> as a way</w:t>
      </w:r>
      <w:r w:rsidRPr="00702AA1">
        <w:rPr>
          <w:rFonts w:ascii="Book Antiqua" w:hAnsi="Book Antiqua"/>
        </w:rPr>
        <w:t xml:space="preserve"> of overcoming some of its limitations. </w:t>
      </w:r>
      <w:r w:rsidR="00D062B5" w:rsidRPr="00702AA1">
        <w:rPr>
          <w:rFonts w:ascii="Book Antiqua" w:hAnsi="Book Antiqua"/>
        </w:rPr>
        <w:t>In fact, the most transformative potential can be found</w:t>
      </w:r>
      <w:r w:rsidR="00C2649A">
        <w:rPr>
          <w:rFonts w:ascii="Book Antiqua" w:hAnsi="Book Antiqua"/>
        </w:rPr>
        <w:t>, at different levels,</w:t>
      </w:r>
      <w:r w:rsidR="00D062B5" w:rsidRPr="00702AA1">
        <w:rPr>
          <w:rFonts w:ascii="Book Antiqua" w:hAnsi="Book Antiqua"/>
        </w:rPr>
        <w:t xml:space="preserve"> among Bosnian post-war justice initiatives that do not resemble transitional justice mechanisms at all.</w:t>
      </w:r>
      <w:r w:rsidRPr="00702AA1">
        <w:rPr>
          <w:rFonts w:ascii="Book Antiqua" w:hAnsi="Book Antiqua"/>
        </w:rPr>
        <w:t xml:space="preserve">  </w:t>
      </w:r>
    </w:p>
    <w:p w14:paraId="4D254915" w14:textId="77777777" w:rsidR="0027352F" w:rsidRDefault="0027352F" w:rsidP="00475DC2">
      <w:pPr>
        <w:spacing w:line="360" w:lineRule="auto"/>
        <w:jc w:val="both"/>
        <w:rPr>
          <w:rFonts w:ascii="Book Antiqua" w:hAnsi="Book Antiqua"/>
        </w:rPr>
      </w:pPr>
    </w:p>
    <w:p w14:paraId="7D1DF9AC" w14:textId="7F0DBD54" w:rsidR="00B76006" w:rsidRPr="00702AA1" w:rsidRDefault="003C483C" w:rsidP="00475DC2">
      <w:pPr>
        <w:spacing w:line="360" w:lineRule="auto"/>
        <w:jc w:val="both"/>
        <w:rPr>
          <w:rFonts w:ascii="Book Antiqua" w:hAnsi="Book Antiqua"/>
        </w:rPr>
      </w:pPr>
      <w:r w:rsidRPr="00702AA1">
        <w:rPr>
          <w:rFonts w:ascii="Book Antiqua" w:hAnsi="Book Antiqua"/>
        </w:rPr>
        <w:t xml:space="preserve">The chapter is organised as follows. First, we offer a critique of </w:t>
      </w:r>
      <w:r w:rsidR="003848D1" w:rsidRPr="00702AA1">
        <w:rPr>
          <w:rFonts w:ascii="Book Antiqua" w:hAnsi="Book Antiqua"/>
        </w:rPr>
        <w:t xml:space="preserve">conventional transitional justice approaches, </w:t>
      </w:r>
      <w:r w:rsidRPr="00702AA1">
        <w:rPr>
          <w:rFonts w:ascii="Book Antiqua" w:hAnsi="Book Antiqua"/>
        </w:rPr>
        <w:t>and emphasise the need for an alternative approach to dealing with post-war justice processes.</w:t>
      </w:r>
      <w:r w:rsidR="00506CD8" w:rsidRPr="00702AA1">
        <w:rPr>
          <w:rFonts w:ascii="Book Antiqua" w:hAnsi="Book Antiqua"/>
        </w:rPr>
        <w:t xml:space="preserve"> This is followed by a d</w:t>
      </w:r>
      <w:r w:rsidRPr="00702AA1">
        <w:rPr>
          <w:rFonts w:ascii="Book Antiqua" w:hAnsi="Book Antiqua"/>
        </w:rPr>
        <w:t>isc</w:t>
      </w:r>
      <w:r w:rsidR="00506CD8" w:rsidRPr="00702AA1">
        <w:rPr>
          <w:rFonts w:ascii="Book Antiqua" w:hAnsi="Book Antiqua"/>
        </w:rPr>
        <w:t xml:space="preserve">ussion of transformative justice. We focus on three conceptual issues that have been put forward by the literature on </w:t>
      </w:r>
      <w:r w:rsidR="0054271D">
        <w:rPr>
          <w:rFonts w:ascii="Book Antiqua" w:hAnsi="Book Antiqua"/>
        </w:rPr>
        <w:t xml:space="preserve">transformative </w:t>
      </w:r>
      <w:r w:rsidR="00506CD8" w:rsidRPr="00702AA1">
        <w:rPr>
          <w:rFonts w:ascii="Book Antiqua" w:hAnsi="Book Antiqua"/>
        </w:rPr>
        <w:t>justice</w:t>
      </w:r>
      <w:r w:rsidR="00D80BC0" w:rsidRPr="00702AA1">
        <w:rPr>
          <w:rFonts w:ascii="Book Antiqua" w:hAnsi="Book Antiqua"/>
        </w:rPr>
        <w:t xml:space="preserve"> (the critique of the ‘transition’, the role of the political, and participation in deliberative processes)</w:t>
      </w:r>
      <w:r w:rsidR="00506CD8" w:rsidRPr="00702AA1">
        <w:rPr>
          <w:rFonts w:ascii="Book Antiqua" w:hAnsi="Book Antiqua"/>
        </w:rPr>
        <w:t>, but are further developed here with specific reference to their importance for civil society-led justice initiatives. Lastly, the chapter analyses three such initiatives: RECOM, the Women’s Court and the 2014 protests.</w:t>
      </w:r>
      <w:r w:rsidR="00823CF1" w:rsidRPr="00702AA1" w:rsidDel="00823CF1">
        <w:rPr>
          <w:rFonts w:ascii="Book Antiqua" w:hAnsi="Book Antiqua"/>
        </w:rPr>
        <w:t xml:space="preserve"> </w:t>
      </w:r>
      <w:r w:rsidR="00D80BC0" w:rsidRPr="00702AA1">
        <w:rPr>
          <w:rFonts w:ascii="Book Antiqua" w:hAnsi="Book Antiqua"/>
        </w:rPr>
        <w:t>Here it is argued that w</w:t>
      </w:r>
      <w:r w:rsidR="00FE3B3D" w:rsidRPr="00702AA1">
        <w:rPr>
          <w:rFonts w:ascii="Book Antiqua" w:hAnsi="Book Antiqua"/>
        </w:rPr>
        <w:t xml:space="preserve">hile RECOM came to be as a response to top-down, legalistic approaches to transitional justice and dealing with the past, it ended up reproducing some of their limitations. The Women’s Court, on the other hand, pushed this critique further, and put great effort into rethinking justice models and organisational processes for transitional justice initiatives. </w:t>
      </w:r>
      <w:r w:rsidR="00D80BC0" w:rsidRPr="00702AA1">
        <w:rPr>
          <w:rFonts w:ascii="Book Antiqua" w:hAnsi="Book Antiqua"/>
        </w:rPr>
        <w:t>Moreover, w</w:t>
      </w:r>
      <w:r w:rsidR="00B76006" w:rsidRPr="00702AA1">
        <w:rPr>
          <w:rFonts w:ascii="Book Antiqua" w:hAnsi="Book Antiqua"/>
        </w:rPr>
        <w:t>hile the protests may seem the most unorthodox instance of local mobilisation for post-war justice, they were also the most radically transformative in spirit. This is not only because of the type of claims they raised, whic</w:t>
      </w:r>
      <w:r w:rsidR="00425A4C" w:rsidRPr="00702AA1">
        <w:rPr>
          <w:rFonts w:ascii="Book Antiqua" w:hAnsi="Book Antiqua"/>
        </w:rPr>
        <w:t>h were socioeconomic in nature (</w:t>
      </w:r>
      <w:r w:rsidR="00B76006" w:rsidRPr="00702AA1">
        <w:rPr>
          <w:rFonts w:ascii="Book Antiqua" w:hAnsi="Book Antiqua"/>
        </w:rPr>
        <w:t>and linked to the political econ</w:t>
      </w:r>
      <w:r w:rsidR="00425A4C" w:rsidRPr="00702AA1">
        <w:rPr>
          <w:rFonts w:ascii="Book Antiqua" w:hAnsi="Book Antiqua"/>
        </w:rPr>
        <w:t>omies of the war and transition),</w:t>
      </w:r>
      <w:r w:rsidR="00B76006" w:rsidRPr="00702AA1">
        <w:rPr>
          <w:rFonts w:ascii="Book Antiqua" w:hAnsi="Book Antiqua"/>
        </w:rPr>
        <w:t xml:space="preserve"> but also because of the participatory approach they took to collective deliberation. </w:t>
      </w:r>
    </w:p>
    <w:p w14:paraId="0200420F" w14:textId="77777777" w:rsidR="00533EB6" w:rsidRPr="00702AA1" w:rsidRDefault="00533EB6" w:rsidP="00C62AF4">
      <w:pPr>
        <w:spacing w:line="360" w:lineRule="auto"/>
        <w:jc w:val="both"/>
        <w:rPr>
          <w:rFonts w:ascii="Book Antiqua" w:hAnsi="Book Antiqua"/>
        </w:rPr>
      </w:pPr>
    </w:p>
    <w:p w14:paraId="5EF2F59D" w14:textId="77777777" w:rsidR="00241DCA" w:rsidRPr="00702AA1" w:rsidRDefault="00241DCA" w:rsidP="00C62AF4">
      <w:pPr>
        <w:spacing w:line="360" w:lineRule="auto"/>
        <w:jc w:val="both"/>
        <w:rPr>
          <w:rFonts w:ascii="Book Antiqua" w:hAnsi="Book Antiqua"/>
        </w:rPr>
      </w:pPr>
    </w:p>
    <w:p w14:paraId="19369E47" w14:textId="465A723B" w:rsidR="00F131DB" w:rsidRPr="00702AA1" w:rsidRDefault="007D107E" w:rsidP="00FE3B3D">
      <w:pPr>
        <w:spacing w:line="360" w:lineRule="auto"/>
        <w:jc w:val="both"/>
        <w:rPr>
          <w:rFonts w:ascii="Book Antiqua" w:hAnsi="Book Antiqua"/>
        </w:rPr>
      </w:pPr>
      <w:r w:rsidRPr="00702AA1">
        <w:rPr>
          <w:rFonts w:ascii="Book Antiqua" w:hAnsi="Book Antiqua"/>
          <w:b/>
        </w:rPr>
        <w:lastRenderedPageBreak/>
        <w:t>Rethinking transformative justice and the role of civil society initiatives</w:t>
      </w:r>
    </w:p>
    <w:p w14:paraId="5F62D40C" w14:textId="3A5C9648" w:rsidR="00480B1A" w:rsidRPr="00702AA1" w:rsidRDefault="00080BE0" w:rsidP="00FE3B3D">
      <w:pPr>
        <w:spacing w:line="360" w:lineRule="auto"/>
        <w:jc w:val="both"/>
        <w:rPr>
          <w:rFonts w:ascii="Book Antiqua" w:hAnsi="Book Antiqua"/>
        </w:rPr>
      </w:pPr>
      <w:r>
        <w:rPr>
          <w:rFonts w:ascii="Book Antiqua" w:hAnsi="Book Antiqua"/>
        </w:rPr>
        <w:t xml:space="preserve">Transitional justice has been </w:t>
      </w:r>
      <w:r w:rsidR="00480B1A" w:rsidRPr="00702AA1">
        <w:rPr>
          <w:rFonts w:ascii="Book Antiqua" w:hAnsi="Book Antiqua"/>
        </w:rPr>
        <w:t>part and parcel of the broader post-conflict international intervention in Bosnia and Herzegovina and the former Yugoslav</w:t>
      </w:r>
      <w:r>
        <w:rPr>
          <w:rFonts w:ascii="Book Antiqua" w:hAnsi="Book Antiqua"/>
        </w:rPr>
        <w:t>ia</w:t>
      </w:r>
      <w:r w:rsidR="00480B1A" w:rsidRPr="00702AA1">
        <w:rPr>
          <w:rFonts w:ascii="Book Antiqua" w:hAnsi="Book Antiqua"/>
        </w:rPr>
        <w:t>. As a matter of fact, the history of transitional justice, understood here as the ensemble of judicial and non-judicial measures aimed at redressing gross past injustices, is very much intertwined with the post-war justice-seeking experiences in the region. Some of the typical mechanisms of transitional justice were experimented for the first time here (Dragovi</w:t>
      </w:r>
      <w:r w:rsidR="00480B1A" w:rsidRPr="00702AA1">
        <w:rPr>
          <w:rFonts w:ascii="Book Antiqua" w:hAnsi="Book Antiqua" w:hint="eastAsia"/>
        </w:rPr>
        <w:t>ć</w:t>
      </w:r>
      <w:r w:rsidR="00480B1A" w:rsidRPr="00702AA1">
        <w:rPr>
          <w:rFonts w:ascii="Book Antiqua" w:hAnsi="Book Antiqua"/>
        </w:rPr>
        <w:t>-Soso and Gordy</w:t>
      </w:r>
      <w:r w:rsidR="00841902">
        <w:rPr>
          <w:rFonts w:ascii="Book Antiqua" w:hAnsi="Book Antiqua"/>
        </w:rPr>
        <w:t>,</w:t>
      </w:r>
      <w:r w:rsidR="00480B1A" w:rsidRPr="00702AA1">
        <w:rPr>
          <w:rFonts w:ascii="Book Antiqua" w:hAnsi="Book Antiqua"/>
        </w:rPr>
        <w:t xml:space="preserve"> 2011</w:t>
      </w:r>
      <w:r w:rsidR="002C026E" w:rsidRPr="00702AA1">
        <w:rPr>
          <w:rFonts w:ascii="Book Antiqua" w:hAnsi="Book Antiqua"/>
        </w:rPr>
        <w:t>:</w:t>
      </w:r>
      <w:r w:rsidR="00177265" w:rsidRPr="00702AA1">
        <w:rPr>
          <w:rFonts w:ascii="Book Antiqua" w:hAnsi="Book Antiqua"/>
        </w:rPr>
        <w:t xml:space="preserve"> </w:t>
      </w:r>
      <w:r w:rsidR="00480B1A" w:rsidRPr="00702AA1">
        <w:rPr>
          <w:rFonts w:ascii="Book Antiqua" w:hAnsi="Book Antiqua"/>
        </w:rPr>
        <w:t>193). For instance, the International Criminal Tribunal for the former Yugoslavia (ICTY) was the first international tribunal to be established after the International Military Tribunal in Nuremberg. It was the result of the obdurate activism of a group of international lawyers (Hazan</w:t>
      </w:r>
      <w:r w:rsidR="00841902">
        <w:rPr>
          <w:rFonts w:ascii="Book Antiqua" w:hAnsi="Book Antiqua"/>
        </w:rPr>
        <w:t>,</w:t>
      </w:r>
      <w:r w:rsidR="00480B1A" w:rsidRPr="00702AA1">
        <w:rPr>
          <w:rFonts w:ascii="Book Antiqua" w:hAnsi="Book Antiqua"/>
        </w:rPr>
        <w:t xml:space="preserve"> 2004</w:t>
      </w:r>
      <w:r w:rsidR="002C026E" w:rsidRPr="00702AA1">
        <w:rPr>
          <w:rFonts w:ascii="Book Antiqua" w:hAnsi="Book Antiqua"/>
        </w:rPr>
        <w:t>:</w:t>
      </w:r>
      <w:r w:rsidR="00177265" w:rsidRPr="00702AA1">
        <w:rPr>
          <w:rFonts w:ascii="Book Antiqua" w:hAnsi="Book Antiqua"/>
        </w:rPr>
        <w:t xml:space="preserve"> </w:t>
      </w:r>
      <w:r w:rsidR="00480B1A" w:rsidRPr="00702AA1">
        <w:rPr>
          <w:rFonts w:ascii="Book Antiqua" w:hAnsi="Book Antiqua"/>
        </w:rPr>
        <w:t xml:space="preserve">49) and part of a broader international justice movement that in the late 1980s and 1990s aimed </w:t>
      </w:r>
      <w:r w:rsidR="00503019" w:rsidRPr="00702AA1">
        <w:rPr>
          <w:rFonts w:ascii="Book Antiqua" w:hAnsi="Book Antiqua"/>
        </w:rPr>
        <w:t xml:space="preserve">to </w:t>
      </w:r>
      <w:r w:rsidR="00480B1A" w:rsidRPr="00702AA1">
        <w:rPr>
          <w:rFonts w:ascii="Book Antiqua" w:hAnsi="Book Antiqua"/>
        </w:rPr>
        <w:t>consolidate accountability in transitional contexts (Arthur</w:t>
      </w:r>
      <w:r w:rsidR="00841902">
        <w:rPr>
          <w:rFonts w:ascii="Book Antiqua" w:hAnsi="Book Antiqua"/>
        </w:rPr>
        <w:t>,</w:t>
      </w:r>
      <w:r w:rsidR="00480B1A" w:rsidRPr="00702AA1">
        <w:rPr>
          <w:rFonts w:ascii="Book Antiqua" w:hAnsi="Book Antiqua"/>
        </w:rPr>
        <w:t xml:space="preserve"> 2009</w:t>
      </w:r>
      <w:r w:rsidR="002C026E" w:rsidRPr="00702AA1">
        <w:rPr>
          <w:rFonts w:ascii="Book Antiqua" w:hAnsi="Book Antiqua"/>
        </w:rPr>
        <w:t>:</w:t>
      </w:r>
      <w:r w:rsidR="00177265" w:rsidRPr="00702AA1">
        <w:rPr>
          <w:rFonts w:ascii="Book Antiqua" w:hAnsi="Book Antiqua"/>
        </w:rPr>
        <w:t xml:space="preserve"> </w:t>
      </w:r>
      <w:r w:rsidR="00480B1A" w:rsidRPr="00702AA1">
        <w:rPr>
          <w:rFonts w:ascii="Book Antiqua" w:hAnsi="Book Antiqua"/>
        </w:rPr>
        <w:t>324; Hagan</w:t>
      </w:r>
      <w:r w:rsidR="00841902">
        <w:rPr>
          <w:rFonts w:ascii="Book Antiqua" w:hAnsi="Book Antiqua"/>
        </w:rPr>
        <w:t>,</w:t>
      </w:r>
      <w:r w:rsidR="00177265" w:rsidRPr="00702AA1">
        <w:rPr>
          <w:rFonts w:ascii="Book Antiqua" w:hAnsi="Book Antiqua"/>
        </w:rPr>
        <w:t xml:space="preserve"> 2003</w:t>
      </w:r>
      <w:r w:rsidR="00480B1A" w:rsidRPr="00702AA1">
        <w:rPr>
          <w:rFonts w:ascii="Book Antiqua" w:hAnsi="Book Antiqua"/>
        </w:rPr>
        <w:t>).</w:t>
      </w:r>
    </w:p>
    <w:p w14:paraId="3BC15FBF" w14:textId="77777777" w:rsidR="00841902" w:rsidRDefault="00841902" w:rsidP="00475DC2">
      <w:pPr>
        <w:spacing w:line="360" w:lineRule="auto"/>
        <w:jc w:val="both"/>
        <w:rPr>
          <w:rFonts w:ascii="Book Antiqua" w:hAnsi="Book Antiqua"/>
        </w:rPr>
      </w:pPr>
    </w:p>
    <w:p w14:paraId="6D6DAA6C" w14:textId="391B096F" w:rsidR="00480B1A" w:rsidRPr="00702AA1" w:rsidRDefault="00480B1A" w:rsidP="00475DC2">
      <w:pPr>
        <w:spacing w:line="360" w:lineRule="auto"/>
        <w:jc w:val="both"/>
        <w:rPr>
          <w:rFonts w:ascii="Book Antiqua" w:hAnsi="Book Antiqua"/>
        </w:rPr>
      </w:pPr>
      <w:r w:rsidRPr="00702AA1">
        <w:rPr>
          <w:rFonts w:ascii="Book Antiqua" w:hAnsi="Book Antiqua"/>
        </w:rPr>
        <w:t>Hence, both in the former Yugoslavia and internationally, the first transitional justice interventions have been characterized by the top-down establishment of international institutions, generally focused on criminal accountability</w:t>
      </w:r>
      <w:r w:rsidR="007C4E57" w:rsidRPr="00702AA1">
        <w:rPr>
          <w:rFonts w:ascii="Book Antiqua" w:hAnsi="Book Antiqua"/>
        </w:rPr>
        <w:t xml:space="preserve"> (McEvoy</w:t>
      </w:r>
      <w:r w:rsidR="00841902">
        <w:rPr>
          <w:rFonts w:ascii="Book Antiqua" w:hAnsi="Book Antiqua"/>
        </w:rPr>
        <w:t>,</w:t>
      </w:r>
      <w:r w:rsidR="007C4E57" w:rsidRPr="00702AA1">
        <w:rPr>
          <w:rFonts w:ascii="Book Antiqua" w:hAnsi="Book Antiqua"/>
        </w:rPr>
        <w:t xml:space="preserve"> </w:t>
      </w:r>
      <w:r w:rsidR="007C4E57" w:rsidRPr="00657BC4">
        <w:rPr>
          <w:rFonts w:ascii="Book Antiqua" w:hAnsi="Book Antiqua"/>
        </w:rPr>
        <w:t>200</w:t>
      </w:r>
      <w:r w:rsidR="001E47C3">
        <w:rPr>
          <w:rFonts w:ascii="Book Antiqua" w:hAnsi="Book Antiqua"/>
        </w:rPr>
        <w:t>8</w:t>
      </w:r>
      <w:r w:rsidR="007C4E57" w:rsidRPr="00657BC4">
        <w:rPr>
          <w:rFonts w:ascii="Book Antiqua" w:hAnsi="Book Antiqua"/>
        </w:rPr>
        <w:t>:</w:t>
      </w:r>
      <w:r w:rsidR="007C4E57" w:rsidRPr="00702AA1">
        <w:rPr>
          <w:rFonts w:ascii="Book Antiqua" w:hAnsi="Book Antiqua"/>
        </w:rPr>
        <w:t xml:space="preserve"> </w:t>
      </w:r>
      <w:r w:rsidR="00657BC4">
        <w:rPr>
          <w:rFonts w:ascii="Book Antiqua" w:hAnsi="Book Antiqua"/>
        </w:rPr>
        <w:t>25</w:t>
      </w:r>
      <w:r w:rsidR="007C4E57" w:rsidRPr="00702AA1">
        <w:rPr>
          <w:rFonts w:ascii="Book Antiqua" w:hAnsi="Book Antiqua"/>
        </w:rPr>
        <w:t>; Nagy</w:t>
      </w:r>
      <w:r w:rsidR="00841902">
        <w:rPr>
          <w:rFonts w:ascii="Book Antiqua" w:hAnsi="Book Antiqua"/>
        </w:rPr>
        <w:t>,</w:t>
      </w:r>
      <w:r w:rsidR="007C4E57" w:rsidRPr="00702AA1">
        <w:rPr>
          <w:rFonts w:ascii="Book Antiqua" w:hAnsi="Book Antiqua"/>
        </w:rPr>
        <w:t xml:space="preserve"> 2008: 274)</w:t>
      </w:r>
      <w:r w:rsidRPr="00702AA1">
        <w:rPr>
          <w:rFonts w:ascii="Book Antiqua" w:hAnsi="Book Antiqua"/>
        </w:rPr>
        <w:t>. While their contribution to normali</w:t>
      </w:r>
      <w:r w:rsidR="00841902">
        <w:rPr>
          <w:rFonts w:ascii="Book Antiqua" w:hAnsi="Book Antiqua"/>
        </w:rPr>
        <w:t>s</w:t>
      </w:r>
      <w:r w:rsidRPr="00702AA1">
        <w:rPr>
          <w:rFonts w:ascii="Book Antiqua" w:hAnsi="Book Antiqua"/>
        </w:rPr>
        <w:t xml:space="preserve">ing the fight against impunity after mass atrocity and consolidating international principles of accountability is indisputable, their limits in tackling complex justice demands in post-war contexts have soon become apparent. </w:t>
      </w:r>
    </w:p>
    <w:p w14:paraId="5CF19B75" w14:textId="77777777" w:rsidR="00841902" w:rsidRDefault="00841902" w:rsidP="00475DC2">
      <w:pPr>
        <w:spacing w:line="360" w:lineRule="auto"/>
        <w:jc w:val="both"/>
        <w:rPr>
          <w:rFonts w:ascii="Book Antiqua" w:hAnsi="Book Antiqua"/>
        </w:rPr>
      </w:pPr>
    </w:p>
    <w:p w14:paraId="232FD7D0" w14:textId="3DF79B1B" w:rsidR="00480B1A" w:rsidRPr="00702AA1" w:rsidRDefault="00480B1A" w:rsidP="00475DC2">
      <w:pPr>
        <w:spacing w:line="360" w:lineRule="auto"/>
        <w:jc w:val="both"/>
        <w:rPr>
          <w:rFonts w:ascii="Book Antiqua" w:hAnsi="Book Antiqua"/>
        </w:rPr>
      </w:pPr>
      <w:r w:rsidRPr="00702AA1">
        <w:rPr>
          <w:rFonts w:ascii="Book Antiqua" w:hAnsi="Book Antiqua"/>
        </w:rPr>
        <w:t>The ICTY</w:t>
      </w:r>
      <w:r w:rsidR="00FE3B3D" w:rsidRPr="00702AA1">
        <w:rPr>
          <w:rFonts w:ascii="Book Antiqua" w:hAnsi="Book Antiqua"/>
        </w:rPr>
        <w:t>,</w:t>
      </w:r>
      <w:r w:rsidRPr="00702AA1">
        <w:rPr>
          <w:rFonts w:ascii="Book Antiqua" w:hAnsi="Book Antiqua"/>
        </w:rPr>
        <w:t xml:space="preserve"> for instance</w:t>
      </w:r>
      <w:r w:rsidR="00FE3B3D" w:rsidRPr="00702AA1">
        <w:rPr>
          <w:rFonts w:ascii="Book Antiqua" w:hAnsi="Book Antiqua"/>
        </w:rPr>
        <w:t>,</w:t>
      </w:r>
      <w:r w:rsidRPr="00702AA1">
        <w:rPr>
          <w:rFonts w:ascii="Book Antiqua" w:hAnsi="Book Antiqua"/>
        </w:rPr>
        <w:t xml:space="preserve"> has been critici</w:t>
      </w:r>
      <w:r w:rsidR="00841902">
        <w:rPr>
          <w:rFonts w:ascii="Book Antiqua" w:hAnsi="Book Antiqua"/>
        </w:rPr>
        <w:t>s</w:t>
      </w:r>
      <w:r w:rsidRPr="00702AA1">
        <w:rPr>
          <w:rFonts w:ascii="Book Antiqua" w:hAnsi="Book Antiqua"/>
        </w:rPr>
        <w:t>ed for not being able to live up to its lofty promises of individuali</w:t>
      </w:r>
      <w:r w:rsidR="00841902">
        <w:rPr>
          <w:rFonts w:ascii="Book Antiqua" w:hAnsi="Book Antiqua"/>
        </w:rPr>
        <w:t>s</w:t>
      </w:r>
      <w:r w:rsidRPr="00702AA1">
        <w:rPr>
          <w:rFonts w:ascii="Book Antiqua" w:hAnsi="Book Antiqua"/>
        </w:rPr>
        <w:t>ing guilt, providing a comprehensive account of the past violence and aiding reconciliation (Clark</w:t>
      </w:r>
      <w:r w:rsidR="00841902">
        <w:rPr>
          <w:rFonts w:ascii="Book Antiqua" w:hAnsi="Book Antiqua"/>
        </w:rPr>
        <w:t>,</w:t>
      </w:r>
      <w:r w:rsidRPr="00702AA1">
        <w:rPr>
          <w:rFonts w:ascii="Book Antiqua" w:hAnsi="Book Antiqua"/>
        </w:rPr>
        <w:t xml:space="preserve"> 2009</w:t>
      </w:r>
      <w:r w:rsidR="002C026E" w:rsidRPr="00702AA1">
        <w:rPr>
          <w:rFonts w:ascii="Book Antiqua" w:hAnsi="Book Antiqua"/>
        </w:rPr>
        <w:t>:</w:t>
      </w:r>
      <w:r w:rsidR="00177265" w:rsidRPr="00702AA1">
        <w:rPr>
          <w:rFonts w:ascii="Book Antiqua" w:hAnsi="Book Antiqua"/>
        </w:rPr>
        <w:t xml:space="preserve"> </w:t>
      </w:r>
      <w:r w:rsidRPr="00702AA1">
        <w:rPr>
          <w:rFonts w:ascii="Book Antiqua" w:hAnsi="Book Antiqua"/>
        </w:rPr>
        <w:t xml:space="preserve">464). One oft-mentioned problem is </w:t>
      </w:r>
      <w:r w:rsidR="00AF5203" w:rsidRPr="00702AA1">
        <w:rPr>
          <w:rFonts w:ascii="Book Antiqua" w:hAnsi="Book Antiqua"/>
        </w:rPr>
        <w:t xml:space="preserve">the ICTY’s </w:t>
      </w:r>
      <w:r w:rsidRPr="00702AA1">
        <w:rPr>
          <w:rFonts w:ascii="Book Antiqua" w:hAnsi="Book Antiqua"/>
        </w:rPr>
        <w:t>physical and conceptual aloofness from those directly affected by the violence in Bosnia and Herzegovina and the region, which has not been remedied after the setting up of the Outreach Program (Delpla</w:t>
      </w:r>
      <w:r w:rsidR="00841902">
        <w:rPr>
          <w:rFonts w:ascii="Book Antiqua" w:hAnsi="Book Antiqua"/>
        </w:rPr>
        <w:t>s</w:t>
      </w:r>
      <w:r w:rsidRPr="00702AA1">
        <w:rPr>
          <w:rFonts w:ascii="Book Antiqua" w:hAnsi="Book Antiqua"/>
        </w:rPr>
        <w:t xml:space="preserve"> 2007</w:t>
      </w:r>
      <w:r w:rsidR="002C026E" w:rsidRPr="00702AA1">
        <w:rPr>
          <w:rFonts w:ascii="Book Antiqua" w:hAnsi="Book Antiqua"/>
        </w:rPr>
        <w:t xml:space="preserve">: </w:t>
      </w:r>
      <w:r w:rsidRPr="00702AA1">
        <w:rPr>
          <w:rFonts w:ascii="Book Antiqua" w:hAnsi="Book Antiqua"/>
        </w:rPr>
        <w:t>219; Mannergren Selimovi</w:t>
      </w:r>
      <w:r w:rsidRPr="00702AA1">
        <w:rPr>
          <w:rFonts w:ascii="Book Antiqua" w:hAnsi="Book Antiqua" w:hint="eastAsia"/>
        </w:rPr>
        <w:t>ć</w:t>
      </w:r>
      <w:r w:rsidRPr="00702AA1">
        <w:rPr>
          <w:rFonts w:ascii="Book Antiqua" w:hAnsi="Book Antiqua"/>
        </w:rPr>
        <w:t xml:space="preserve"> 2010</w:t>
      </w:r>
      <w:r w:rsidR="002C026E" w:rsidRPr="00702AA1">
        <w:rPr>
          <w:rFonts w:ascii="Book Antiqua" w:hAnsi="Book Antiqua"/>
        </w:rPr>
        <w:t>:</w:t>
      </w:r>
      <w:r w:rsidR="00177265" w:rsidRPr="00702AA1">
        <w:rPr>
          <w:rFonts w:ascii="Book Antiqua" w:hAnsi="Book Antiqua"/>
        </w:rPr>
        <w:t xml:space="preserve"> </w:t>
      </w:r>
      <w:r w:rsidRPr="00702AA1">
        <w:rPr>
          <w:rFonts w:ascii="Book Antiqua" w:hAnsi="Book Antiqua"/>
        </w:rPr>
        <w:t xml:space="preserve">58). </w:t>
      </w:r>
      <w:r w:rsidR="00F76009" w:rsidRPr="00702AA1">
        <w:rPr>
          <w:rFonts w:ascii="Book Antiqua" w:hAnsi="Book Antiqua"/>
        </w:rPr>
        <w:t>The latter was intended to bring about a better und</w:t>
      </w:r>
      <w:r w:rsidR="003D6A16" w:rsidRPr="00702AA1">
        <w:rPr>
          <w:rFonts w:ascii="Book Antiqua" w:hAnsi="Book Antiqua"/>
        </w:rPr>
        <w:t xml:space="preserve">erstanding of </w:t>
      </w:r>
      <w:r w:rsidR="00F76009" w:rsidRPr="00702AA1">
        <w:rPr>
          <w:rFonts w:ascii="Book Antiqua" w:hAnsi="Book Antiqua"/>
        </w:rPr>
        <w:t xml:space="preserve">the </w:t>
      </w:r>
      <w:r w:rsidR="001E47C3">
        <w:rPr>
          <w:rFonts w:ascii="Book Antiqua" w:hAnsi="Book Antiqua"/>
        </w:rPr>
        <w:t>ICTY</w:t>
      </w:r>
      <w:r w:rsidR="00F76009" w:rsidRPr="00702AA1">
        <w:rPr>
          <w:rFonts w:ascii="Book Antiqua" w:hAnsi="Book Antiqua"/>
        </w:rPr>
        <w:t xml:space="preserve"> and its procedures through a series of </w:t>
      </w:r>
      <w:r w:rsidR="00CF62C3">
        <w:rPr>
          <w:rFonts w:ascii="Book Antiqua" w:hAnsi="Book Antiqua"/>
        </w:rPr>
        <w:t>events</w:t>
      </w:r>
      <w:r w:rsidR="00F76009" w:rsidRPr="00702AA1">
        <w:rPr>
          <w:rFonts w:ascii="Book Antiqua" w:hAnsi="Book Antiqua"/>
        </w:rPr>
        <w:t xml:space="preserve"> </w:t>
      </w:r>
      <w:r w:rsidR="00B63F2C" w:rsidRPr="00702AA1">
        <w:rPr>
          <w:rFonts w:ascii="Book Antiqua" w:hAnsi="Book Antiqua"/>
        </w:rPr>
        <w:t xml:space="preserve">targeted at </w:t>
      </w:r>
      <w:r w:rsidR="00035B0E" w:rsidRPr="00702AA1">
        <w:rPr>
          <w:rFonts w:ascii="Book Antiqua" w:hAnsi="Book Antiqua"/>
        </w:rPr>
        <w:t xml:space="preserve">the </w:t>
      </w:r>
      <w:r w:rsidR="00B63F2C" w:rsidRPr="00702AA1">
        <w:rPr>
          <w:rFonts w:ascii="Book Antiqua" w:hAnsi="Book Antiqua"/>
        </w:rPr>
        <w:t>local citizenry and victims</w:t>
      </w:r>
      <w:r w:rsidR="00841902">
        <w:rPr>
          <w:rFonts w:ascii="Book Antiqua" w:hAnsi="Book Antiqua"/>
        </w:rPr>
        <w:t>’</w:t>
      </w:r>
      <w:r w:rsidR="00B63F2C" w:rsidRPr="00702AA1">
        <w:rPr>
          <w:rFonts w:ascii="Book Antiqua" w:hAnsi="Book Antiqua"/>
        </w:rPr>
        <w:t xml:space="preserve"> groups</w:t>
      </w:r>
      <w:r w:rsidR="00657BC4">
        <w:rPr>
          <w:rFonts w:ascii="Book Antiqua" w:hAnsi="Book Antiqua"/>
        </w:rPr>
        <w:t>, thereby mak</w:t>
      </w:r>
      <w:r w:rsidR="00CF62C3">
        <w:rPr>
          <w:rFonts w:ascii="Book Antiqua" w:hAnsi="Book Antiqua"/>
        </w:rPr>
        <w:t>ing</w:t>
      </w:r>
      <w:r w:rsidR="00657BC4">
        <w:rPr>
          <w:rFonts w:ascii="Book Antiqua" w:hAnsi="Book Antiqua"/>
        </w:rPr>
        <w:t xml:space="preserve"> the tribunal more</w:t>
      </w:r>
      <w:r w:rsidR="006141AC">
        <w:rPr>
          <w:rFonts w:ascii="Book Antiqua" w:hAnsi="Book Antiqua"/>
        </w:rPr>
        <w:t xml:space="preserve"> </w:t>
      </w:r>
      <w:r w:rsidR="00657BC4">
        <w:rPr>
          <w:rFonts w:ascii="Book Antiqua" w:hAnsi="Book Antiqua"/>
        </w:rPr>
        <w:t>accessible to them</w:t>
      </w:r>
      <w:r w:rsidR="00F76009" w:rsidRPr="00702AA1">
        <w:rPr>
          <w:rFonts w:ascii="Book Antiqua" w:hAnsi="Book Antiqua"/>
        </w:rPr>
        <w:t xml:space="preserve"> (Arzt</w:t>
      </w:r>
      <w:r w:rsidR="00841902">
        <w:rPr>
          <w:rFonts w:ascii="Book Antiqua" w:hAnsi="Book Antiqua"/>
        </w:rPr>
        <w:t>,</w:t>
      </w:r>
      <w:r w:rsidR="00F76009" w:rsidRPr="00702AA1">
        <w:rPr>
          <w:rFonts w:ascii="Book Antiqua" w:hAnsi="Book Antiqua"/>
        </w:rPr>
        <w:t xml:space="preserve"> 2006: 230). </w:t>
      </w:r>
      <w:r w:rsidR="00035B0E" w:rsidRPr="00702AA1">
        <w:rPr>
          <w:rFonts w:ascii="Book Antiqua" w:hAnsi="Book Antiqua"/>
        </w:rPr>
        <w:t>However, e</w:t>
      </w:r>
      <w:r w:rsidRPr="00702AA1">
        <w:rPr>
          <w:rFonts w:ascii="Book Antiqua" w:hAnsi="Book Antiqua"/>
        </w:rPr>
        <w:t xml:space="preserve">mpirical accounts have exposed the incompatibility of the </w:t>
      </w:r>
      <w:r w:rsidR="00D1779F">
        <w:rPr>
          <w:rFonts w:ascii="Book Antiqua" w:hAnsi="Book Antiqua"/>
        </w:rPr>
        <w:t>tribunal’s understanding</w:t>
      </w:r>
      <w:r w:rsidR="00D1779F" w:rsidRPr="00702AA1">
        <w:rPr>
          <w:rFonts w:ascii="Book Antiqua" w:hAnsi="Book Antiqua"/>
        </w:rPr>
        <w:t xml:space="preserve"> </w:t>
      </w:r>
      <w:r w:rsidRPr="00702AA1">
        <w:rPr>
          <w:rFonts w:ascii="Book Antiqua" w:hAnsi="Book Antiqua"/>
        </w:rPr>
        <w:t>of accountability and victimhood with that of the Bosnian public (Mannergren Selimovi</w:t>
      </w:r>
      <w:r w:rsidRPr="00702AA1">
        <w:rPr>
          <w:rFonts w:ascii="Book Antiqua" w:hAnsi="Book Antiqua" w:hint="eastAsia"/>
        </w:rPr>
        <w:t>ć</w:t>
      </w:r>
      <w:r w:rsidR="009D48F3">
        <w:rPr>
          <w:rFonts w:ascii="Book Antiqua" w:hAnsi="Book Antiqua"/>
        </w:rPr>
        <w:t>,</w:t>
      </w:r>
      <w:r w:rsidRPr="00702AA1">
        <w:rPr>
          <w:rFonts w:ascii="Book Antiqua" w:hAnsi="Book Antiqua"/>
        </w:rPr>
        <w:t xml:space="preserve"> 2010</w:t>
      </w:r>
      <w:r w:rsidR="002C026E" w:rsidRPr="00702AA1">
        <w:rPr>
          <w:rFonts w:ascii="Book Antiqua" w:hAnsi="Book Antiqua"/>
        </w:rPr>
        <w:t xml:space="preserve">: </w:t>
      </w:r>
      <w:r w:rsidRPr="00702AA1">
        <w:rPr>
          <w:rFonts w:ascii="Book Antiqua" w:hAnsi="Book Antiqua"/>
        </w:rPr>
        <w:t xml:space="preserve">54). </w:t>
      </w:r>
    </w:p>
    <w:p w14:paraId="7CD57109" w14:textId="77777777" w:rsidR="009D48F3" w:rsidRDefault="009D48F3" w:rsidP="00475DC2">
      <w:pPr>
        <w:spacing w:line="360" w:lineRule="auto"/>
        <w:jc w:val="both"/>
        <w:rPr>
          <w:rFonts w:ascii="Book Antiqua" w:hAnsi="Book Antiqua"/>
        </w:rPr>
      </w:pPr>
    </w:p>
    <w:p w14:paraId="7D7713A9" w14:textId="7CDC092D" w:rsidR="00480B1A" w:rsidRPr="00702AA1" w:rsidRDefault="00480B1A" w:rsidP="00475DC2">
      <w:pPr>
        <w:spacing w:line="360" w:lineRule="auto"/>
        <w:jc w:val="both"/>
        <w:rPr>
          <w:rFonts w:ascii="Book Antiqua" w:hAnsi="Book Antiqua"/>
        </w:rPr>
      </w:pPr>
      <w:r w:rsidRPr="00702AA1">
        <w:rPr>
          <w:rFonts w:ascii="Book Antiqua" w:hAnsi="Book Antiqua"/>
        </w:rPr>
        <w:lastRenderedPageBreak/>
        <w:t>In the case of the former Yugoslavia, this alienation of international judicial mechanisms from local constituencies has been further exacerbated by the imposition of transitional justice measures as part of the conditionality for EU accession, and the ensuing politici</w:t>
      </w:r>
      <w:r w:rsidR="009D48F3">
        <w:rPr>
          <w:rFonts w:ascii="Book Antiqua" w:hAnsi="Book Antiqua"/>
        </w:rPr>
        <w:t>s</w:t>
      </w:r>
      <w:r w:rsidRPr="00702AA1">
        <w:rPr>
          <w:rFonts w:ascii="Book Antiqua" w:hAnsi="Book Antiqua"/>
        </w:rPr>
        <w:t>ation of transitional justice issues (Suboti</w:t>
      </w:r>
      <w:r w:rsidR="00177265" w:rsidRPr="009A0DED">
        <w:rPr>
          <w:rFonts w:ascii="Book Antiqua" w:hAnsi="Book Antiqua" w:hint="eastAsia"/>
        </w:rPr>
        <w:t>ć</w:t>
      </w:r>
      <w:r w:rsidR="009D48F3">
        <w:rPr>
          <w:rFonts w:ascii="Book Antiqua" w:hAnsi="Book Antiqua"/>
        </w:rPr>
        <w:t>,</w:t>
      </w:r>
      <w:r w:rsidR="00177265" w:rsidRPr="00702AA1">
        <w:rPr>
          <w:rFonts w:ascii="Book Antiqua" w:hAnsi="Book Antiqua"/>
        </w:rPr>
        <w:t xml:space="preserve"> </w:t>
      </w:r>
      <w:r w:rsidRPr="00702AA1">
        <w:rPr>
          <w:rFonts w:ascii="Book Antiqua" w:hAnsi="Book Antiqua"/>
        </w:rPr>
        <w:t>2011a). Political elites from the region have paid lip service to the principles of international justice incarnated by the ICTY</w:t>
      </w:r>
      <w:r w:rsidR="00262A54" w:rsidRPr="00702AA1">
        <w:rPr>
          <w:rFonts w:ascii="Book Antiqua" w:hAnsi="Book Antiqua"/>
        </w:rPr>
        <w:t xml:space="preserve"> in order</w:t>
      </w:r>
      <w:r w:rsidRPr="00702AA1">
        <w:rPr>
          <w:rFonts w:ascii="Book Antiqua" w:hAnsi="Book Antiqua"/>
        </w:rPr>
        <w:t xml:space="preserve"> to pursue international alliances, while at the same time perpetuating the same</w:t>
      </w:r>
      <w:r w:rsidR="00262A54" w:rsidRPr="00702AA1">
        <w:rPr>
          <w:rFonts w:ascii="Book Antiqua" w:hAnsi="Book Antiqua"/>
        </w:rPr>
        <w:t xml:space="preserve"> conflict-era</w:t>
      </w:r>
      <w:r w:rsidRPr="00702AA1">
        <w:rPr>
          <w:rFonts w:ascii="Book Antiqua" w:hAnsi="Book Antiqua"/>
        </w:rPr>
        <w:t xml:space="preserve"> nationalist rhetoric at the domestic level (Suboti</w:t>
      </w:r>
      <w:r w:rsidR="00177265" w:rsidRPr="00702AA1">
        <w:rPr>
          <w:rFonts w:ascii="Book Antiqua" w:hAnsi="Book Antiqua" w:hint="eastAsia"/>
        </w:rPr>
        <w:t>ć</w:t>
      </w:r>
      <w:r w:rsidR="009D48F3">
        <w:rPr>
          <w:rFonts w:ascii="Book Antiqua" w:hAnsi="Book Antiqua"/>
        </w:rPr>
        <w:t>,</w:t>
      </w:r>
      <w:r w:rsidRPr="00702AA1">
        <w:rPr>
          <w:rFonts w:ascii="Book Antiqua" w:hAnsi="Book Antiqua"/>
        </w:rPr>
        <w:t xml:space="preserve"> 2009). Moreover, said conditionality has contributed to reducing transitional justice to retributive justice only, understood</w:t>
      </w:r>
      <w:r w:rsidR="00262A54" w:rsidRPr="00702AA1">
        <w:rPr>
          <w:rFonts w:ascii="Book Antiqua" w:hAnsi="Book Antiqua"/>
        </w:rPr>
        <w:t xml:space="preserve"> primarily</w:t>
      </w:r>
      <w:r w:rsidRPr="00702AA1">
        <w:rPr>
          <w:rFonts w:ascii="Book Antiqua" w:hAnsi="Book Antiqua"/>
        </w:rPr>
        <w:t xml:space="preserve"> as cooperation with international tribunals (Touquet and Vermeersc</w:t>
      </w:r>
      <w:r w:rsidR="00177265" w:rsidRPr="00702AA1">
        <w:rPr>
          <w:rFonts w:ascii="Book Antiqua" w:hAnsi="Book Antiqua"/>
        </w:rPr>
        <w:t>h</w:t>
      </w:r>
      <w:r w:rsidR="009D48F3">
        <w:rPr>
          <w:rFonts w:ascii="Book Antiqua" w:hAnsi="Book Antiqua"/>
        </w:rPr>
        <w:t>,</w:t>
      </w:r>
      <w:r w:rsidRPr="00702AA1">
        <w:rPr>
          <w:rFonts w:ascii="Book Antiqua" w:hAnsi="Book Antiqua"/>
        </w:rPr>
        <w:t xml:space="preserve"> 201</w:t>
      </w:r>
      <w:r w:rsidR="0035254B" w:rsidRPr="00702AA1">
        <w:rPr>
          <w:rFonts w:ascii="Book Antiqua" w:hAnsi="Book Antiqua"/>
        </w:rPr>
        <w:t>6</w:t>
      </w:r>
      <w:r w:rsidR="002C026E" w:rsidRPr="00702AA1">
        <w:rPr>
          <w:rFonts w:ascii="Book Antiqua" w:hAnsi="Book Antiqua"/>
        </w:rPr>
        <w:t>:</w:t>
      </w:r>
      <w:r w:rsidR="00177265" w:rsidRPr="00702AA1">
        <w:rPr>
          <w:rFonts w:ascii="Book Antiqua" w:hAnsi="Book Antiqua"/>
        </w:rPr>
        <w:t xml:space="preserve"> </w:t>
      </w:r>
      <w:r w:rsidRPr="00702AA1">
        <w:rPr>
          <w:rFonts w:ascii="Book Antiqua" w:hAnsi="Book Antiqua"/>
        </w:rPr>
        <w:t>64). This has further consolidated the focus on individual criminal responsibility as the principal lens through which to look at the injustices of the past in the region (Suboti</w:t>
      </w:r>
      <w:r w:rsidR="00177265" w:rsidRPr="009A0DED">
        <w:rPr>
          <w:rFonts w:ascii="Book Antiqua" w:hAnsi="Book Antiqua" w:hint="eastAsia"/>
        </w:rPr>
        <w:t>ć</w:t>
      </w:r>
      <w:r w:rsidR="009D48F3">
        <w:rPr>
          <w:rFonts w:ascii="Book Antiqua" w:hAnsi="Book Antiqua"/>
        </w:rPr>
        <w:t>,</w:t>
      </w:r>
      <w:r w:rsidRPr="00702AA1">
        <w:rPr>
          <w:rFonts w:ascii="Book Antiqua" w:hAnsi="Book Antiqua"/>
        </w:rPr>
        <w:t xml:space="preserve"> 20</w:t>
      </w:r>
      <w:r w:rsidR="003F15D3" w:rsidRPr="00702AA1">
        <w:rPr>
          <w:rFonts w:ascii="Book Antiqua" w:hAnsi="Book Antiqua"/>
        </w:rPr>
        <w:t>11b</w:t>
      </w:r>
      <w:r w:rsidRPr="00702AA1">
        <w:rPr>
          <w:rFonts w:ascii="Book Antiqua" w:hAnsi="Book Antiqua"/>
        </w:rPr>
        <w:t xml:space="preserve">). </w:t>
      </w:r>
    </w:p>
    <w:p w14:paraId="651E4C5E" w14:textId="77777777" w:rsidR="009D48F3" w:rsidRDefault="009D48F3" w:rsidP="00475DC2">
      <w:pPr>
        <w:spacing w:line="360" w:lineRule="auto"/>
        <w:jc w:val="both"/>
        <w:rPr>
          <w:rFonts w:ascii="Book Antiqua" w:hAnsi="Book Antiqua"/>
        </w:rPr>
      </w:pPr>
    </w:p>
    <w:p w14:paraId="5C3A3713" w14:textId="7BDF3216" w:rsidR="00480B1A" w:rsidRPr="00702AA1" w:rsidRDefault="00480B1A" w:rsidP="00475DC2">
      <w:pPr>
        <w:spacing w:line="360" w:lineRule="auto"/>
        <w:jc w:val="both"/>
        <w:rPr>
          <w:rFonts w:ascii="Book Antiqua" w:hAnsi="Book Antiqua"/>
        </w:rPr>
      </w:pPr>
      <w:r w:rsidRPr="00702AA1">
        <w:rPr>
          <w:rFonts w:ascii="Book Antiqua" w:hAnsi="Book Antiqua"/>
        </w:rPr>
        <w:t xml:space="preserve">However, the problematic dominance of institutional solutions </w:t>
      </w:r>
      <w:r w:rsidR="00503019" w:rsidRPr="00702AA1">
        <w:rPr>
          <w:rFonts w:ascii="Book Antiqua" w:hAnsi="Book Antiqua"/>
        </w:rPr>
        <w:t>centred</w:t>
      </w:r>
      <w:r w:rsidRPr="00702AA1">
        <w:rPr>
          <w:rFonts w:ascii="Book Antiqua" w:hAnsi="Book Antiqua"/>
        </w:rPr>
        <w:t xml:space="preserve"> on criminal responsibility is not a unique characteristic of transitional justice in the former Yugoslavia. A new wave of transitional justice scholarship has taken issue with the institutional and mainly retributive transitional justice model in many different contexts (</w:t>
      </w:r>
      <w:r w:rsidR="009D48F3">
        <w:rPr>
          <w:rFonts w:ascii="Book Antiqua" w:hAnsi="Book Antiqua"/>
        </w:rPr>
        <w:t>for example,</w:t>
      </w:r>
      <w:r w:rsidRPr="00702AA1">
        <w:rPr>
          <w:rFonts w:ascii="Book Antiqua" w:hAnsi="Book Antiqua"/>
        </w:rPr>
        <w:t xml:space="preserve"> Clark and Palmer, 2012; McEvoy and McGregor, 2008; Shaw and Waldorf, 2010)</w:t>
      </w:r>
      <w:r w:rsidR="001B73C8">
        <w:rPr>
          <w:rFonts w:ascii="Book Antiqua" w:hAnsi="Book Antiqua"/>
        </w:rPr>
        <w:t xml:space="preserve">, focusing on two </w:t>
      </w:r>
      <w:proofErr w:type="gramStart"/>
      <w:r w:rsidR="001B73C8">
        <w:rPr>
          <w:rFonts w:ascii="Book Antiqua" w:hAnsi="Book Antiqua"/>
        </w:rPr>
        <w:t>key  shortcomings</w:t>
      </w:r>
      <w:proofErr w:type="gramEnd"/>
      <w:r w:rsidR="001B73C8">
        <w:rPr>
          <w:rFonts w:ascii="Book Antiqua" w:hAnsi="Book Antiqua"/>
        </w:rPr>
        <w:t>.</w:t>
      </w:r>
      <w:r w:rsidR="00177265" w:rsidRPr="00702AA1">
        <w:rPr>
          <w:rFonts w:ascii="Book Antiqua" w:hAnsi="Book Antiqua"/>
        </w:rPr>
        <w:t xml:space="preserve"> First</w:t>
      </w:r>
      <w:r w:rsidRPr="00702AA1">
        <w:rPr>
          <w:rFonts w:ascii="Book Antiqua" w:hAnsi="Book Antiqua"/>
        </w:rPr>
        <w:t>, it denounce</w:t>
      </w:r>
      <w:r w:rsidR="001B73C8">
        <w:rPr>
          <w:rFonts w:ascii="Book Antiqua" w:hAnsi="Book Antiqua"/>
        </w:rPr>
        <w:t>d</w:t>
      </w:r>
      <w:r w:rsidRPr="00702AA1">
        <w:rPr>
          <w:rFonts w:ascii="Book Antiqua" w:hAnsi="Book Antiqua"/>
        </w:rPr>
        <w:t xml:space="preserve"> the already mentioned prevailing focus on individual criminal responsibility, which prevents unearthing the roots of the violence (Suboti</w:t>
      </w:r>
      <w:r w:rsidR="00177265" w:rsidRPr="00702AA1">
        <w:rPr>
          <w:rFonts w:ascii="Book Antiqua" w:hAnsi="Book Antiqua" w:hint="eastAsia"/>
        </w:rPr>
        <w:t>ć</w:t>
      </w:r>
      <w:r w:rsidR="009D48F3">
        <w:rPr>
          <w:rFonts w:ascii="Book Antiqua" w:hAnsi="Book Antiqua"/>
        </w:rPr>
        <w:t>,</w:t>
      </w:r>
      <w:r w:rsidR="005E46D6" w:rsidRPr="00702AA1">
        <w:rPr>
          <w:rFonts w:ascii="Book Antiqua" w:hAnsi="Book Antiqua"/>
        </w:rPr>
        <w:t xml:space="preserve"> 2011b</w:t>
      </w:r>
      <w:r w:rsidR="009D48F3">
        <w:rPr>
          <w:rFonts w:ascii="Book Antiqua" w:hAnsi="Book Antiqua"/>
        </w:rPr>
        <w:t>:</w:t>
      </w:r>
      <w:r w:rsidRPr="00702AA1">
        <w:rPr>
          <w:rFonts w:ascii="Book Antiqua" w:hAnsi="Book Antiqua"/>
        </w:rPr>
        <w:t xml:space="preserve"> 158-159). </w:t>
      </w:r>
      <w:r w:rsidR="00913F18">
        <w:rPr>
          <w:rFonts w:ascii="Book Antiqua" w:hAnsi="Book Antiqua"/>
        </w:rPr>
        <w:t>Namely</w:t>
      </w:r>
      <w:r w:rsidRPr="00702AA1">
        <w:rPr>
          <w:rFonts w:ascii="Book Antiqua" w:hAnsi="Book Antiqua"/>
        </w:rPr>
        <w:t xml:space="preserve">, </w:t>
      </w:r>
      <w:r w:rsidR="006928B3">
        <w:rPr>
          <w:rFonts w:ascii="Book Antiqua" w:hAnsi="Book Antiqua"/>
        </w:rPr>
        <w:t xml:space="preserve">retributive </w:t>
      </w:r>
      <w:r w:rsidRPr="00702AA1">
        <w:rPr>
          <w:rFonts w:ascii="Book Antiqua" w:hAnsi="Book Antiqua"/>
        </w:rPr>
        <w:t>transitional justice</w:t>
      </w:r>
      <w:r w:rsidR="006928B3">
        <w:rPr>
          <w:rFonts w:ascii="Book Antiqua" w:hAnsi="Book Antiqua"/>
        </w:rPr>
        <w:t xml:space="preserve"> </w:t>
      </w:r>
      <w:r w:rsidRPr="00702AA1">
        <w:rPr>
          <w:rFonts w:ascii="Book Antiqua" w:hAnsi="Book Antiqua"/>
        </w:rPr>
        <w:t>can only offer a very fragmentary analysis of the past violence</w:t>
      </w:r>
      <w:r w:rsidR="001B73C8">
        <w:rPr>
          <w:rFonts w:ascii="Book Antiqua" w:hAnsi="Book Antiqua"/>
        </w:rPr>
        <w:t xml:space="preserve">, </w:t>
      </w:r>
      <w:r w:rsidR="00913F18">
        <w:rPr>
          <w:rFonts w:ascii="Book Antiqua" w:hAnsi="Book Antiqua"/>
        </w:rPr>
        <w:t>which</w:t>
      </w:r>
      <w:r w:rsidRPr="00702AA1">
        <w:rPr>
          <w:rFonts w:ascii="Book Antiqua" w:hAnsi="Book Antiqua"/>
        </w:rPr>
        <w:t xml:space="preserve"> leaves out social inequalities and structural discriminations that may have been at the roots of the violence, and that may c</w:t>
      </w:r>
      <w:r w:rsidR="002C026E" w:rsidRPr="00702AA1">
        <w:rPr>
          <w:rFonts w:ascii="Book Antiqua" w:hAnsi="Book Antiqua"/>
        </w:rPr>
        <w:t xml:space="preserve">ontinue unabated even after the </w:t>
      </w:r>
      <w:r w:rsidR="003A4297" w:rsidRPr="00702AA1">
        <w:rPr>
          <w:rFonts w:ascii="Book Antiqua" w:hAnsi="Book Antiqua"/>
        </w:rPr>
        <w:t>’</w:t>
      </w:r>
      <w:proofErr w:type="gramStart"/>
      <w:r w:rsidRPr="00702AA1">
        <w:rPr>
          <w:rFonts w:ascii="Book Antiqua" w:hAnsi="Book Antiqua"/>
        </w:rPr>
        <w:t>transition</w:t>
      </w:r>
      <w:r w:rsidR="003A4297" w:rsidRPr="00702AA1">
        <w:rPr>
          <w:rFonts w:ascii="Book Antiqua" w:hAnsi="Book Antiqua"/>
        </w:rPr>
        <w:t xml:space="preserve">‘ </w:t>
      </w:r>
      <w:r w:rsidR="001B0127" w:rsidRPr="00702AA1">
        <w:rPr>
          <w:rFonts w:ascii="Book Antiqua" w:hAnsi="Book Antiqua"/>
        </w:rPr>
        <w:t>has</w:t>
      </w:r>
      <w:proofErr w:type="gramEnd"/>
      <w:r w:rsidR="001B0127" w:rsidRPr="00702AA1">
        <w:rPr>
          <w:rFonts w:ascii="Book Antiqua" w:hAnsi="Book Antiqua"/>
        </w:rPr>
        <w:t xml:space="preserve"> ended</w:t>
      </w:r>
      <w:r w:rsidR="00913F18">
        <w:rPr>
          <w:rFonts w:ascii="Book Antiqua" w:hAnsi="Book Antiqua"/>
        </w:rPr>
        <w:t xml:space="preserve"> </w:t>
      </w:r>
      <w:r w:rsidR="00913F18" w:rsidRPr="00702AA1">
        <w:rPr>
          <w:rFonts w:ascii="Book Antiqua" w:hAnsi="Book Antiqua"/>
        </w:rPr>
        <w:t>(Nagy</w:t>
      </w:r>
      <w:r w:rsidR="00913F18">
        <w:rPr>
          <w:rFonts w:ascii="Book Antiqua" w:hAnsi="Book Antiqua"/>
        </w:rPr>
        <w:t>,</w:t>
      </w:r>
      <w:r w:rsidR="00913F18" w:rsidRPr="00702AA1">
        <w:rPr>
          <w:rFonts w:ascii="Book Antiqua" w:hAnsi="Book Antiqua"/>
        </w:rPr>
        <w:t xml:space="preserve"> 2008: 284; Ross</w:t>
      </w:r>
      <w:r w:rsidR="00913F18">
        <w:rPr>
          <w:rFonts w:ascii="Book Antiqua" w:hAnsi="Book Antiqua"/>
        </w:rPr>
        <w:t>,</w:t>
      </w:r>
      <w:r w:rsidR="00913F18" w:rsidRPr="00702AA1">
        <w:rPr>
          <w:rFonts w:ascii="Book Antiqua" w:hAnsi="Book Antiqua"/>
        </w:rPr>
        <w:t xml:space="preserve"> 2003: 174)</w:t>
      </w:r>
      <w:r w:rsidR="001B0127" w:rsidRPr="00702AA1">
        <w:rPr>
          <w:rFonts w:ascii="Book Antiqua" w:hAnsi="Book Antiqua"/>
        </w:rPr>
        <w:t>.</w:t>
      </w:r>
      <w:r w:rsidRPr="00702AA1">
        <w:rPr>
          <w:rFonts w:ascii="Book Antiqua" w:hAnsi="Book Antiqua"/>
        </w:rPr>
        <w:t xml:space="preserve"> Second, </w:t>
      </w:r>
      <w:r w:rsidR="00DE2F1C" w:rsidRPr="00702AA1">
        <w:rPr>
          <w:rFonts w:ascii="Book Antiqua" w:hAnsi="Book Antiqua"/>
        </w:rPr>
        <w:t>the literature</w:t>
      </w:r>
      <w:r w:rsidR="006928B3">
        <w:rPr>
          <w:rFonts w:ascii="Book Antiqua" w:hAnsi="Book Antiqua"/>
        </w:rPr>
        <w:t xml:space="preserve"> has</w:t>
      </w:r>
      <w:r w:rsidR="00DE2F1C" w:rsidRPr="00702AA1">
        <w:rPr>
          <w:rFonts w:ascii="Book Antiqua" w:hAnsi="Book Antiqua"/>
        </w:rPr>
        <w:t xml:space="preserve"> </w:t>
      </w:r>
      <w:r w:rsidRPr="00702AA1">
        <w:rPr>
          <w:rFonts w:ascii="Book Antiqua" w:hAnsi="Book Antiqua"/>
        </w:rPr>
        <w:t>critici</w:t>
      </w:r>
      <w:r w:rsidR="009D48F3">
        <w:rPr>
          <w:rFonts w:ascii="Book Antiqua" w:hAnsi="Book Antiqua"/>
        </w:rPr>
        <w:t>s</w:t>
      </w:r>
      <w:r w:rsidRPr="00702AA1">
        <w:rPr>
          <w:rFonts w:ascii="Book Antiqua" w:hAnsi="Book Antiqua"/>
        </w:rPr>
        <w:t>e</w:t>
      </w:r>
      <w:r w:rsidR="006928B3">
        <w:rPr>
          <w:rFonts w:ascii="Book Antiqua" w:hAnsi="Book Antiqua"/>
        </w:rPr>
        <w:t>d</w:t>
      </w:r>
      <w:r w:rsidRPr="00702AA1">
        <w:rPr>
          <w:rFonts w:ascii="Book Antiqua" w:hAnsi="Book Antiqua"/>
        </w:rPr>
        <w:t xml:space="preserve"> the prevalence of institutional interventions in transitional justice (McEvoy, 2008:</w:t>
      </w:r>
      <w:r w:rsidR="002C026E" w:rsidRPr="00702AA1">
        <w:rPr>
          <w:rFonts w:ascii="Book Antiqua" w:hAnsi="Book Antiqua"/>
        </w:rPr>
        <w:t xml:space="preserve"> </w:t>
      </w:r>
      <w:r w:rsidRPr="00702AA1">
        <w:rPr>
          <w:rFonts w:ascii="Book Antiqua" w:hAnsi="Book Antiqua"/>
        </w:rPr>
        <w:t>26-29).</w:t>
      </w:r>
      <w:r w:rsidR="006928B3">
        <w:rPr>
          <w:rFonts w:ascii="Book Antiqua" w:hAnsi="Book Antiqua"/>
        </w:rPr>
        <w:t xml:space="preserve"> Legal i</w:t>
      </w:r>
      <w:r w:rsidRPr="00702AA1">
        <w:rPr>
          <w:rFonts w:ascii="Book Antiqua" w:hAnsi="Book Antiqua"/>
        </w:rPr>
        <w:t>nstitutions</w:t>
      </w:r>
      <w:proofErr w:type="gramStart"/>
      <w:r w:rsidRPr="00702AA1">
        <w:rPr>
          <w:rFonts w:ascii="Book Antiqua" w:hAnsi="Book Antiqua"/>
        </w:rPr>
        <w:t>,</w:t>
      </w:r>
      <w:r w:rsidR="006928B3">
        <w:rPr>
          <w:rFonts w:ascii="Book Antiqua" w:hAnsi="Book Antiqua"/>
        </w:rPr>
        <w:t xml:space="preserve"> in particular</w:t>
      </w:r>
      <w:r w:rsidRPr="00702AA1">
        <w:rPr>
          <w:rFonts w:ascii="Book Antiqua" w:hAnsi="Book Antiqua"/>
        </w:rPr>
        <w:t>, due</w:t>
      </w:r>
      <w:proofErr w:type="gramEnd"/>
      <w:r w:rsidRPr="00702AA1">
        <w:rPr>
          <w:rFonts w:ascii="Book Antiqua" w:hAnsi="Book Antiqua"/>
        </w:rPr>
        <w:t xml:space="preserve"> to their alleged neutral and apolitical character, are deemed safe to invest in by international organi</w:t>
      </w:r>
      <w:r w:rsidR="009D48F3">
        <w:rPr>
          <w:rFonts w:ascii="Book Antiqua" w:hAnsi="Book Antiqua"/>
        </w:rPr>
        <w:t>s</w:t>
      </w:r>
      <w:r w:rsidRPr="00702AA1">
        <w:rPr>
          <w:rFonts w:ascii="Book Antiqua" w:hAnsi="Book Antiqua"/>
        </w:rPr>
        <w:t>ations and donors (Oomen</w:t>
      </w:r>
      <w:r w:rsidR="009D48F3">
        <w:rPr>
          <w:rFonts w:ascii="Book Antiqua" w:hAnsi="Book Antiqua"/>
        </w:rPr>
        <w:t>,</w:t>
      </w:r>
      <w:r w:rsidRPr="00702AA1">
        <w:rPr>
          <w:rFonts w:ascii="Book Antiqua" w:hAnsi="Book Antiqua"/>
        </w:rPr>
        <w:t xml:space="preserve"> 2008</w:t>
      </w:r>
      <w:r w:rsidR="002C026E" w:rsidRPr="00702AA1">
        <w:rPr>
          <w:rFonts w:ascii="Book Antiqua" w:hAnsi="Book Antiqua"/>
        </w:rPr>
        <w:t xml:space="preserve">: </w:t>
      </w:r>
      <w:r w:rsidRPr="00702AA1">
        <w:rPr>
          <w:rFonts w:ascii="Book Antiqua" w:hAnsi="Book Antiqua"/>
        </w:rPr>
        <w:t>893; McEvoy</w:t>
      </w:r>
      <w:r w:rsidR="009D48F3">
        <w:rPr>
          <w:rFonts w:ascii="Book Antiqua" w:hAnsi="Book Antiqua"/>
        </w:rPr>
        <w:t>,</w:t>
      </w:r>
      <w:r w:rsidRPr="00702AA1">
        <w:rPr>
          <w:rFonts w:ascii="Book Antiqua" w:hAnsi="Book Antiqua"/>
        </w:rPr>
        <w:t xml:space="preserve"> 2008</w:t>
      </w:r>
      <w:r w:rsidR="002C026E" w:rsidRPr="00702AA1">
        <w:rPr>
          <w:rFonts w:ascii="Book Antiqua" w:hAnsi="Book Antiqua"/>
        </w:rPr>
        <w:t>:</w:t>
      </w:r>
      <w:r w:rsidR="00177265" w:rsidRPr="00702AA1">
        <w:rPr>
          <w:rFonts w:ascii="Book Antiqua" w:hAnsi="Book Antiqua"/>
        </w:rPr>
        <w:t xml:space="preserve"> </w:t>
      </w:r>
      <w:r w:rsidRPr="00702AA1">
        <w:rPr>
          <w:rFonts w:ascii="Book Antiqua" w:hAnsi="Book Antiqua"/>
        </w:rPr>
        <w:t xml:space="preserve">20). </w:t>
      </w:r>
      <w:r w:rsidR="006928B3">
        <w:rPr>
          <w:rFonts w:ascii="Book Antiqua" w:hAnsi="Book Antiqua"/>
        </w:rPr>
        <w:t xml:space="preserve">However, as discussed above with regards to the ICTY, they are seldom able to contribute </w:t>
      </w:r>
      <w:r w:rsidR="00503019" w:rsidRPr="00702AA1">
        <w:rPr>
          <w:rFonts w:ascii="Book Antiqua" w:hAnsi="Book Antiqua"/>
        </w:rPr>
        <w:t>to reinforcing</w:t>
      </w:r>
      <w:r w:rsidRPr="00702AA1">
        <w:rPr>
          <w:rFonts w:ascii="Book Antiqua" w:hAnsi="Book Antiqua"/>
        </w:rPr>
        <w:t xml:space="preserve"> domestic legal systems, nor to the broader justice and reconciliation process (Gready</w:t>
      </w:r>
      <w:r w:rsidR="009D48F3">
        <w:rPr>
          <w:rFonts w:ascii="Book Antiqua" w:hAnsi="Book Antiqua"/>
        </w:rPr>
        <w:t>,</w:t>
      </w:r>
      <w:r w:rsidRPr="00702AA1">
        <w:rPr>
          <w:rFonts w:ascii="Book Antiqua" w:hAnsi="Book Antiqua"/>
        </w:rPr>
        <w:t xml:space="preserve"> 2006</w:t>
      </w:r>
      <w:r w:rsidR="002C026E" w:rsidRPr="00702AA1">
        <w:rPr>
          <w:rFonts w:ascii="Book Antiqua" w:hAnsi="Book Antiqua"/>
        </w:rPr>
        <w:t>:</w:t>
      </w:r>
      <w:r w:rsidR="00177265" w:rsidRPr="00702AA1">
        <w:rPr>
          <w:rFonts w:ascii="Book Antiqua" w:hAnsi="Book Antiqua"/>
        </w:rPr>
        <w:t xml:space="preserve"> </w:t>
      </w:r>
      <w:r w:rsidRPr="00702AA1">
        <w:rPr>
          <w:rFonts w:ascii="Book Antiqua" w:hAnsi="Book Antiqua"/>
        </w:rPr>
        <w:t>8).</w:t>
      </w:r>
    </w:p>
    <w:p w14:paraId="449E47DB" w14:textId="77777777" w:rsidR="009D48F3" w:rsidRDefault="009D48F3" w:rsidP="00475DC2">
      <w:pPr>
        <w:spacing w:line="360" w:lineRule="auto"/>
        <w:jc w:val="both"/>
        <w:rPr>
          <w:rFonts w:ascii="Book Antiqua" w:hAnsi="Book Antiqua"/>
        </w:rPr>
      </w:pPr>
    </w:p>
    <w:p w14:paraId="405FB755" w14:textId="6BE9F6FD" w:rsidR="003C483C" w:rsidRPr="00702AA1" w:rsidRDefault="00F61702" w:rsidP="00475DC2">
      <w:pPr>
        <w:spacing w:line="360" w:lineRule="auto"/>
        <w:jc w:val="both"/>
        <w:rPr>
          <w:rFonts w:ascii="Book Antiqua" w:hAnsi="Book Antiqua"/>
        </w:rPr>
      </w:pPr>
      <w:r>
        <w:rPr>
          <w:rFonts w:ascii="Book Antiqua" w:hAnsi="Book Antiqua"/>
        </w:rPr>
        <w:t xml:space="preserve">In addition to these limitations, scholars have also realised that the </w:t>
      </w:r>
      <w:r w:rsidR="003C483C" w:rsidRPr="00702AA1">
        <w:rPr>
          <w:rFonts w:ascii="Book Antiqua" w:hAnsi="Book Antiqua"/>
        </w:rPr>
        <w:t xml:space="preserve">conceptual tools we use to study post-war justice processes do not seem equipped to capture local activism on justice issues adequately, especially since the work of many groups has surpassed the ‘transitional’ focus of transitional justice. Here we join the growing debate on transformative justice, and </w:t>
      </w:r>
      <w:r w:rsidR="003C483C" w:rsidRPr="00702AA1">
        <w:rPr>
          <w:rFonts w:ascii="Book Antiqua" w:hAnsi="Book Antiqua"/>
        </w:rPr>
        <w:lastRenderedPageBreak/>
        <w:t>more broadly the new wave of transitional justice scholarship seeking to push its boundaries, to include issues such as socioeconomic justice, gender, and social change (McAuliffe</w:t>
      </w:r>
      <w:r w:rsidR="0034385A">
        <w:rPr>
          <w:rFonts w:ascii="Book Antiqua" w:hAnsi="Book Antiqua"/>
        </w:rPr>
        <w:t>,</w:t>
      </w:r>
      <w:r w:rsidR="003C483C" w:rsidRPr="00702AA1">
        <w:rPr>
          <w:rFonts w:ascii="Book Antiqua" w:hAnsi="Book Antiqua"/>
        </w:rPr>
        <w:t xml:space="preserve"> 2017).</w:t>
      </w:r>
      <w:r w:rsidR="00280EE8" w:rsidRPr="00702AA1">
        <w:rPr>
          <w:rFonts w:ascii="Book Antiqua" w:hAnsi="Book Antiqua"/>
        </w:rPr>
        <w:t xml:space="preserve"> While civil society initiatives may be best placed to promote transformative justice, it does not automatically follow that they will. Therefore, in this chapter we reflect on the meaning of transformative justice by </w:t>
      </w:r>
      <w:r w:rsidR="00455AF6" w:rsidRPr="00702AA1">
        <w:rPr>
          <w:rFonts w:ascii="Book Antiqua" w:hAnsi="Book Antiqua"/>
        </w:rPr>
        <w:t>pondering</w:t>
      </w:r>
      <w:r w:rsidR="00280EE8" w:rsidRPr="00702AA1">
        <w:rPr>
          <w:rFonts w:ascii="Book Antiqua" w:hAnsi="Book Antiqua"/>
        </w:rPr>
        <w:t xml:space="preserve"> on and identifying what elements make local justice initiatives transformative, especially in relation to three conceptual features of transformative justice, briefly discussed below. </w:t>
      </w:r>
      <w:r w:rsidR="003C483C" w:rsidRPr="00702AA1">
        <w:rPr>
          <w:rFonts w:ascii="Book Antiqua" w:hAnsi="Book Antiqua"/>
        </w:rPr>
        <w:t xml:space="preserve"> </w:t>
      </w:r>
    </w:p>
    <w:p w14:paraId="2B961E4F" w14:textId="77777777" w:rsidR="0034385A" w:rsidRDefault="0034385A" w:rsidP="00475DC2">
      <w:pPr>
        <w:spacing w:line="360" w:lineRule="auto"/>
        <w:jc w:val="both"/>
        <w:rPr>
          <w:rFonts w:ascii="Book Antiqua" w:hAnsi="Book Antiqua"/>
        </w:rPr>
      </w:pPr>
    </w:p>
    <w:p w14:paraId="33091325" w14:textId="4A47BB67" w:rsidR="003C483C" w:rsidRPr="00702AA1" w:rsidRDefault="00CD5111" w:rsidP="00475DC2">
      <w:pPr>
        <w:spacing w:line="360" w:lineRule="auto"/>
        <w:jc w:val="both"/>
        <w:rPr>
          <w:rFonts w:ascii="Book Antiqua" w:hAnsi="Book Antiqua"/>
        </w:rPr>
      </w:pPr>
      <w:r w:rsidRPr="00702AA1">
        <w:rPr>
          <w:rFonts w:ascii="Book Antiqua" w:hAnsi="Book Antiqua"/>
        </w:rPr>
        <w:t xml:space="preserve">The first point to be addressed concerns the </w:t>
      </w:r>
      <w:r w:rsidR="003C483C" w:rsidRPr="00702AA1">
        <w:rPr>
          <w:rFonts w:ascii="Book Antiqua" w:hAnsi="Book Antiqua"/>
        </w:rPr>
        <w:t xml:space="preserve">problem of post-war justice conceived as merely </w:t>
      </w:r>
      <w:r w:rsidR="00C17488" w:rsidRPr="00702AA1">
        <w:rPr>
          <w:rFonts w:ascii="Book Antiqua" w:hAnsi="Book Antiqua"/>
        </w:rPr>
        <w:t>‘</w:t>
      </w:r>
      <w:r w:rsidR="003C483C" w:rsidRPr="00702AA1">
        <w:rPr>
          <w:rFonts w:ascii="Book Antiqua" w:hAnsi="Book Antiqua"/>
        </w:rPr>
        <w:t>transitional</w:t>
      </w:r>
      <w:r w:rsidR="00C17488" w:rsidRPr="00702AA1">
        <w:rPr>
          <w:rFonts w:ascii="Book Antiqua" w:hAnsi="Book Antiqua"/>
        </w:rPr>
        <w:t>’</w:t>
      </w:r>
      <w:r w:rsidR="003C483C" w:rsidRPr="00702AA1">
        <w:rPr>
          <w:rFonts w:ascii="Book Antiqua" w:hAnsi="Book Antiqua"/>
        </w:rPr>
        <w:t xml:space="preserve">. </w:t>
      </w:r>
      <w:r w:rsidR="00944ECD" w:rsidRPr="00702AA1">
        <w:rPr>
          <w:rFonts w:ascii="Book Antiqua" w:hAnsi="Book Antiqua"/>
        </w:rPr>
        <w:t xml:space="preserve">On the one hand, its origins as part of the study of </w:t>
      </w:r>
      <w:r w:rsidR="00C17488" w:rsidRPr="00702AA1">
        <w:rPr>
          <w:rFonts w:ascii="Book Antiqua" w:hAnsi="Book Antiqua"/>
        </w:rPr>
        <w:t>democratisation processes in Latin America and Southern Europe (</w:t>
      </w:r>
      <w:r w:rsidR="00561037" w:rsidRPr="00702AA1">
        <w:rPr>
          <w:rFonts w:ascii="Book Antiqua" w:hAnsi="Book Antiqua"/>
        </w:rPr>
        <w:t>Kritz</w:t>
      </w:r>
      <w:r w:rsidR="0034385A">
        <w:rPr>
          <w:rFonts w:ascii="Book Antiqua" w:hAnsi="Book Antiqua"/>
        </w:rPr>
        <w:t>,</w:t>
      </w:r>
      <w:r w:rsidR="00561037" w:rsidRPr="00702AA1">
        <w:rPr>
          <w:rFonts w:ascii="Book Antiqua" w:hAnsi="Book Antiqua"/>
        </w:rPr>
        <w:t xml:space="preserve"> 1995</w:t>
      </w:r>
      <w:r w:rsidR="005E46D6" w:rsidRPr="00702AA1">
        <w:rPr>
          <w:rFonts w:ascii="Book Antiqua" w:hAnsi="Book Antiqua"/>
        </w:rPr>
        <w:t>;</w:t>
      </w:r>
      <w:r w:rsidR="00561037" w:rsidRPr="00702AA1">
        <w:rPr>
          <w:rFonts w:ascii="Book Antiqua" w:hAnsi="Book Antiqua"/>
        </w:rPr>
        <w:t xml:space="preserve"> Teitel</w:t>
      </w:r>
      <w:r w:rsidR="0034385A">
        <w:rPr>
          <w:rFonts w:ascii="Book Antiqua" w:hAnsi="Book Antiqua"/>
        </w:rPr>
        <w:t>,</w:t>
      </w:r>
      <w:r w:rsidR="00561037" w:rsidRPr="00702AA1">
        <w:rPr>
          <w:rFonts w:ascii="Book Antiqua" w:hAnsi="Book Antiqua"/>
        </w:rPr>
        <w:t xml:space="preserve"> 2003</w:t>
      </w:r>
      <w:r w:rsidR="00C17488" w:rsidRPr="00702AA1">
        <w:rPr>
          <w:rFonts w:ascii="Book Antiqua" w:hAnsi="Book Antiqua"/>
        </w:rPr>
        <w:t>)</w:t>
      </w:r>
      <w:r w:rsidR="00944ECD" w:rsidRPr="00702AA1">
        <w:rPr>
          <w:rFonts w:ascii="Book Antiqua" w:hAnsi="Book Antiqua"/>
        </w:rPr>
        <w:t xml:space="preserve"> tied transitional justice to the goal of establishing liberal democracy as a necessary and desirable outcome (see Bunce</w:t>
      </w:r>
      <w:r w:rsidR="0034385A">
        <w:rPr>
          <w:rFonts w:ascii="Book Antiqua" w:hAnsi="Book Antiqua"/>
        </w:rPr>
        <w:t>,</w:t>
      </w:r>
      <w:r w:rsidR="00944ECD" w:rsidRPr="00702AA1">
        <w:rPr>
          <w:rFonts w:ascii="Book Antiqua" w:hAnsi="Book Antiqua"/>
        </w:rPr>
        <w:t xml:space="preserve"> 1995; Stark and Bruszt</w:t>
      </w:r>
      <w:r w:rsidR="0034385A">
        <w:rPr>
          <w:rFonts w:ascii="Book Antiqua" w:hAnsi="Book Antiqua"/>
        </w:rPr>
        <w:t>,</w:t>
      </w:r>
      <w:r w:rsidR="00944ECD" w:rsidRPr="00702AA1">
        <w:rPr>
          <w:rFonts w:ascii="Book Antiqua" w:hAnsi="Book Antiqua"/>
        </w:rPr>
        <w:t xml:space="preserve"> 1998 and Arthur</w:t>
      </w:r>
      <w:r w:rsidR="0034385A">
        <w:rPr>
          <w:rFonts w:ascii="Book Antiqua" w:hAnsi="Book Antiqua"/>
        </w:rPr>
        <w:t>,</w:t>
      </w:r>
      <w:r w:rsidR="00944ECD" w:rsidRPr="00702AA1">
        <w:rPr>
          <w:rFonts w:ascii="Book Antiqua" w:hAnsi="Book Antiqua"/>
        </w:rPr>
        <w:t xml:space="preserve"> 2009 for a critique on this)</w:t>
      </w:r>
      <w:r w:rsidR="00C17488" w:rsidRPr="00702AA1">
        <w:rPr>
          <w:rFonts w:ascii="Book Antiqua" w:hAnsi="Book Antiqua"/>
        </w:rPr>
        <w:t xml:space="preserve">. </w:t>
      </w:r>
      <w:r w:rsidR="00944ECD" w:rsidRPr="00702AA1">
        <w:rPr>
          <w:rFonts w:ascii="Book Antiqua" w:hAnsi="Book Antiqua"/>
        </w:rPr>
        <w:t xml:space="preserve"> In countries like Bosnia and Herzegovina, this meant that transitional justice was effectively linked to other elements of institutional, social, and economic transformation that were often contested or </w:t>
      </w:r>
      <w:r w:rsidR="0034385A">
        <w:rPr>
          <w:rFonts w:ascii="Book Antiqua" w:hAnsi="Book Antiqua"/>
        </w:rPr>
        <w:t xml:space="preserve">viewed as </w:t>
      </w:r>
      <w:r w:rsidR="00944ECD" w:rsidRPr="00702AA1">
        <w:rPr>
          <w:rFonts w:ascii="Book Antiqua" w:hAnsi="Book Antiqua"/>
        </w:rPr>
        <w:t>unwelcome by local communities (Laplante</w:t>
      </w:r>
      <w:r w:rsidR="0034385A">
        <w:rPr>
          <w:rFonts w:ascii="Book Antiqua" w:hAnsi="Book Antiqua"/>
        </w:rPr>
        <w:t>,</w:t>
      </w:r>
      <w:r w:rsidR="00944ECD" w:rsidRPr="00702AA1">
        <w:rPr>
          <w:rFonts w:ascii="Book Antiqua" w:hAnsi="Book Antiqua"/>
        </w:rPr>
        <w:t xml:space="preserve"> 2008; Nagy</w:t>
      </w:r>
      <w:r w:rsidR="0034385A">
        <w:rPr>
          <w:rFonts w:ascii="Book Antiqua" w:hAnsi="Book Antiqua"/>
        </w:rPr>
        <w:t>,</w:t>
      </w:r>
      <w:r w:rsidR="00944ECD" w:rsidRPr="00702AA1">
        <w:rPr>
          <w:rFonts w:ascii="Book Antiqua" w:hAnsi="Book Antiqua"/>
        </w:rPr>
        <w:t xml:space="preserve"> 2008; this is especially visible in the case of socioeconomic reforms). On the other hand, </w:t>
      </w:r>
      <w:r w:rsidR="00C17488" w:rsidRPr="00702AA1">
        <w:rPr>
          <w:rFonts w:ascii="Book Antiqua" w:hAnsi="Book Antiqua"/>
        </w:rPr>
        <w:t>some of the shortcomings of transitional justice processes can be attributed, at least in part, to the fact that</w:t>
      </w:r>
      <w:r w:rsidR="003C483C" w:rsidRPr="00702AA1">
        <w:rPr>
          <w:rFonts w:ascii="Book Antiqua" w:hAnsi="Book Antiqua"/>
        </w:rPr>
        <w:t xml:space="preserve"> ‘interim’ solutions to the legacy</w:t>
      </w:r>
      <w:r w:rsidR="00C17488" w:rsidRPr="00702AA1">
        <w:rPr>
          <w:rFonts w:ascii="Book Antiqua" w:hAnsi="Book Antiqua"/>
        </w:rPr>
        <w:t xml:space="preserve"> of violence are not sufficient. </w:t>
      </w:r>
      <w:r w:rsidR="00944ECD" w:rsidRPr="00702AA1">
        <w:rPr>
          <w:rFonts w:ascii="Book Antiqua" w:hAnsi="Book Antiqua"/>
        </w:rPr>
        <w:t>Local justice initiatives in the Bosnian context, then, can be considered transformative if committed to a</w:t>
      </w:r>
      <w:r w:rsidR="005E46D6" w:rsidRPr="00702AA1">
        <w:rPr>
          <w:rFonts w:ascii="Book Antiqua" w:hAnsi="Book Antiqua"/>
        </w:rPr>
        <w:t xml:space="preserve"> </w:t>
      </w:r>
      <w:r w:rsidR="005B587B" w:rsidRPr="00702AA1">
        <w:rPr>
          <w:rFonts w:ascii="Book Antiqua" w:hAnsi="Book Antiqua"/>
        </w:rPr>
        <w:t xml:space="preserve">process </w:t>
      </w:r>
      <w:r w:rsidR="00455AF6" w:rsidRPr="00702AA1">
        <w:rPr>
          <w:rFonts w:ascii="Book Antiqua" w:hAnsi="Book Antiqua"/>
        </w:rPr>
        <w:t xml:space="preserve">of </w:t>
      </w:r>
      <w:r w:rsidR="005E46D6" w:rsidRPr="00702AA1">
        <w:rPr>
          <w:rFonts w:ascii="Book Antiqua" w:hAnsi="Book Antiqua"/>
        </w:rPr>
        <w:t xml:space="preserve">social transformation </w:t>
      </w:r>
      <w:r w:rsidR="003C483C" w:rsidRPr="00702AA1">
        <w:rPr>
          <w:rFonts w:ascii="Book Antiqua" w:hAnsi="Book Antiqua"/>
        </w:rPr>
        <w:t xml:space="preserve">that </w:t>
      </w:r>
      <w:r w:rsidR="00944ECD" w:rsidRPr="00702AA1">
        <w:rPr>
          <w:rFonts w:ascii="Book Antiqua" w:hAnsi="Book Antiqua"/>
        </w:rPr>
        <w:t>has no pre-determined outcomes (</w:t>
      </w:r>
      <w:r w:rsidR="003C483C" w:rsidRPr="00702AA1">
        <w:rPr>
          <w:rFonts w:ascii="Book Antiqua" w:hAnsi="Book Antiqua"/>
        </w:rPr>
        <w:t>Gready and Robins</w:t>
      </w:r>
      <w:r w:rsidR="0034385A">
        <w:rPr>
          <w:rFonts w:ascii="Book Antiqua" w:hAnsi="Book Antiqua"/>
        </w:rPr>
        <w:t>,</w:t>
      </w:r>
      <w:r w:rsidR="003C483C" w:rsidRPr="00702AA1">
        <w:rPr>
          <w:rFonts w:ascii="Book Antiqua" w:hAnsi="Book Antiqua"/>
        </w:rPr>
        <w:t xml:space="preserve"> 2014)</w:t>
      </w:r>
      <w:r w:rsidR="005B587B" w:rsidRPr="00702AA1">
        <w:rPr>
          <w:rFonts w:ascii="Book Antiqua" w:hAnsi="Book Antiqua"/>
        </w:rPr>
        <w:t xml:space="preserve">, and that empowers local actors </w:t>
      </w:r>
      <w:r w:rsidR="00561037" w:rsidRPr="00702AA1">
        <w:rPr>
          <w:rFonts w:ascii="Book Antiqua" w:hAnsi="Book Antiqua"/>
        </w:rPr>
        <w:t>as agents guiding and directing post-war justice processes, possibly with the support of international organisations.</w:t>
      </w:r>
      <w:r w:rsidR="003C483C" w:rsidRPr="00702AA1">
        <w:rPr>
          <w:rFonts w:ascii="Book Antiqua" w:hAnsi="Book Antiqua"/>
        </w:rPr>
        <w:t xml:space="preserve"> </w:t>
      </w:r>
    </w:p>
    <w:p w14:paraId="7E302F0E" w14:textId="069317E1" w:rsidR="003C483C" w:rsidRPr="00702AA1" w:rsidRDefault="003C483C" w:rsidP="00586017">
      <w:pPr>
        <w:spacing w:line="360" w:lineRule="auto"/>
        <w:ind w:firstLine="709"/>
        <w:jc w:val="both"/>
        <w:rPr>
          <w:rFonts w:ascii="Book Antiqua" w:hAnsi="Book Antiqua"/>
        </w:rPr>
      </w:pPr>
      <w:r w:rsidRPr="00702AA1">
        <w:rPr>
          <w:rFonts w:ascii="Book Antiqua" w:hAnsi="Book Antiqua"/>
        </w:rPr>
        <w:t xml:space="preserve">Second, while there have been efforts to present transitional justice initiatives as technical or neutral, political choices were inevitably behind the decision to privilege approaches that are </w:t>
      </w:r>
      <w:r w:rsidR="0064286A" w:rsidRPr="00702AA1">
        <w:rPr>
          <w:rFonts w:ascii="Book Antiqua" w:hAnsi="Book Antiqua"/>
        </w:rPr>
        <w:t xml:space="preserve">often </w:t>
      </w:r>
      <w:r w:rsidRPr="00702AA1">
        <w:rPr>
          <w:rFonts w:ascii="Book Antiqua" w:hAnsi="Book Antiqua"/>
        </w:rPr>
        <w:t xml:space="preserve">legalistic and individualistic in nature. </w:t>
      </w:r>
      <w:r w:rsidR="0064286A" w:rsidRPr="00702AA1">
        <w:rPr>
          <w:rFonts w:ascii="Book Antiqua" w:hAnsi="Book Antiqua"/>
        </w:rPr>
        <w:t>This problem is not even limited to judicial mechanisms</w:t>
      </w:r>
      <w:r w:rsidR="00507A5A" w:rsidRPr="00702AA1">
        <w:rPr>
          <w:rFonts w:ascii="Book Antiqua" w:hAnsi="Book Antiqua"/>
        </w:rPr>
        <w:t>, as other internationally-supported programmes have often failed to engage with local communities outside mainstream narratives of conflict,</w:t>
      </w:r>
      <w:r w:rsidR="0064286A" w:rsidRPr="00702AA1">
        <w:rPr>
          <w:rFonts w:ascii="Book Antiqua" w:hAnsi="Book Antiqua"/>
        </w:rPr>
        <w:t xml:space="preserve"> thus ‘squeezing out’ the political or ‘the multitude of conflicts inherent in human life’ from th</w:t>
      </w:r>
      <w:r w:rsidR="00507A5A" w:rsidRPr="00702AA1">
        <w:rPr>
          <w:rFonts w:ascii="Book Antiqua" w:hAnsi="Book Antiqua"/>
        </w:rPr>
        <w:t>e</w:t>
      </w:r>
      <w:r w:rsidR="0064286A" w:rsidRPr="00702AA1">
        <w:rPr>
          <w:rFonts w:ascii="Book Antiqua" w:hAnsi="Book Antiqua"/>
        </w:rPr>
        <w:t>s</w:t>
      </w:r>
      <w:r w:rsidR="00507A5A" w:rsidRPr="00702AA1">
        <w:rPr>
          <w:rFonts w:ascii="Book Antiqua" w:hAnsi="Book Antiqua"/>
        </w:rPr>
        <w:t>e</w:t>
      </w:r>
      <w:r w:rsidR="0064286A" w:rsidRPr="00702AA1">
        <w:rPr>
          <w:rFonts w:ascii="Book Antiqua" w:hAnsi="Book Antiqua"/>
        </w:rPr>
        <w:t xml:space="preserve"> initiative</w:t>
      </w:r>
      <w:r w:rsidR="00507A5A" w:rsidRPr="00702AA1">
        <w:rPr>
          <w:rFonts w:ascii="Book Antiqua" w:hAnsi="Book Antiqua"/>
        </w:rPr>
        <w:t>s</w:t>
      </w:r>
      <w:r w:rsidR="002C026E" w:rsidRPr="00702AA1">
        <w:rPr>
          <w:rFonts w:ascii="Book Antiqua" w:hAnsi="Book Antiqua"/>
        </w:rPr>
        <w:t xml:space="preserve"> (Jones</w:t>
      </w:r>
      <w:r w:rsidR="00475DC2">
        <w:rPr>
          <w:rFonts w:ascii="Book Antiqua" w:hAnsi="Book Antiqua"/>
        </w:rPr>
        <w:t>,</w:t>
      </w:r>
      <w:r w:rsidR="002C026E" w:rsidRPr="00702AA1">
        <w:rPr>
          <w:rFonts w:ascii="Book Antiqua" w:hAnsi="Book Antiqua"/>
        </w:rPr>
        <w:t xml:space="preserve"> 2012:</w:t>
      </w:r>
      <w:r w:rsidR="0064286A" w:rsidRPr="00702AA1">
        <w:rPr>
          <w:rFonts w:ascii="Book Antiqua" w:hAnsi="Book Antiqua"/>
        </w:rPr>
        <w:t xml:space="preserve"> 133).</w:t>
      </w:r>
      <w:r w:rsidR="00CB1D70" w:rsidRPr="00702AA1">
        <w:rPr>
          <w:rFonts w:ascii="Book Antiqua" w:hAnsi="Book Antiqua"/>
        </w:rPr>
        <w:t xml:space="preserve"> As the Bosnian case illustrates, civil society initiatives risk reproducing this problem, especially when working within the constraints set by international donors who explicitly steer away from politically controversial issues. However</w:t>
      </w:r>
      <w:r w:rsidRPr="00702AA1">
        <w:rPr>
          <w:rFonts w:ascii="Book Antiqua" w:hAnsi="Book Antiqua"/>
        </w:rPr>
        <w:t xml:space="preserve">, the acknowledgment and critique of the ‘political’ in transitional justice is a key element underlying transformative justice thinking. </w:t>
      </w:r>
      <w:r w:rsidR="0064286A" w:rsidRPr="00702AA1">
        <w:rPr>
          <w:rFonts w:ascii="Book Antiqua" w:hAnsi="Book Antiqua"/>
        </w:rPr>
        <w:t xml:space="preserve">Recovering the political in post-war </w:t>
      </w:r>
      <w:r w:rsidR="0064286A" w:rsidRPr="00702AA1">
        <w:rPr>
          <w:rFonts w:ascii="Book Antiqua" w:hAnsi="Book Antiqua"/>
        </w:rPr>
        <w:lastRenderedPageBreak/>
        <w:t xml:space="preserve">justice initiatives entails a commitment to </w:t>
      </w:r>
      <w:r w:rsidR="00E55825" w:rsidRPr="00702AA1">
        <w:rPr>
          <w:rFonts w:ascii="Book Antiqua" w:hAnsi="Book Antiqua"/>
        </w:rPr>
        <w:t>deal</w:t>
      </w:r>
      <w:r w:rsidR="00E55825">
        <w:rPr>
          <w:rFonts w:ascii="Book Antiqua" w:hAnsi="Book Antiqua"/>
        </w:rPr>
        <w:t>, through open deliberative processes (Lambourne 2009; Gready and Robins 2014)</w:t>
      </w:r>
      <w:r w:rsidR="0064286A" w:rsidRPr="00702AA1">
        <w:rPr>
          <w:rFonts w:ascii="Book Antiqua" w:hAnsi="Book Antiqua"/>
        </w:rPr>
        <w:t xml:space="preserve"> with the issues and conflicts that local communities deem relevant to achieve the sustainable transformation of society. </w:t>
      </w:r>
      <w:r w:rsidRPr="00702AA1">
        <w:rPr>
          <w:rFonts w:ascii="Book Antiqua" w:hAnsi="Book Antiqua"/>
        </w:rPr>
        <w:t>In this sense, post-war justice processes resemble more spaces of public contestation, where</w:t>
      </w:r>
      <w:r w:rsidR="00E55825">
        <w:rPr>
          <w:rFonts w:ascii="Book Antiqua" w:hAnsi="Book Antiqua"/>
        </w:rPr>
        <w:t xml:space="preserve"> notions of</w:t>
      </w:r>
      <w:r w:rsidRPr="00702AA1">
        <w:rPr>
          <w:rFonts w:ascii="Book Antiqua" w:hAnsi="Book Antiqua"/>
        </w:rPr>
        <w:t xml:space="preserve"> justice are n</w:t>
      </w:r>
      <w:r w:rsidR="0064286A" w:rsidRPr="00702AA1">
        <w:rPr>
          <w:rFonts w:ascii="Book Antiqua" w:hAnsi="Book Antiqua"/>
        </w:rPr>
        <w:t xml:space="preserve">egotiated, adapted and reworked, </w:t>
      </w:r>
      <w:r w:rsidR="009C7111">
        <w:rPr>
          <w:rFonts w:ascii="Book Antiqua" w:hAnsi="Book Antiqua"/>
        </w:rPr>
        <w:t xml:space="preserve">and where established assumptions and priorities are questioned. </w:t>
      </w:r>
      <w:r w:rsidRPr="00702AA1">
        <w:rPr>
          <w:rFonts w:ascii="Book Antiqua" w:hAnsi="Book Antiqua"/>
        </w:rPr>
        <w:t xml:space="preserve"> </w:t>
      </w:r>
      <w:r w:rsidR="00507A5A" w:rsidRPr="00702AA1">
        <w:rPr>
          <w:rFonts w:ascii="Book Antiqua" w:hAnsi="Book Antiqua"/>
        </w:rPr>
        <w:t xml:space="preserve">The Bosnian initiatives discussed in the following section </w:t>
      </w:r>
      <w:r w:rsidR="00F91F57" w:rsidRPr="00702AA1">
        <w:rPr>
          <w:rFonts w:ascii="Book Antiqua" w:hAnsi="Book Antiqua"/>
        </w:rPr>
        <w:t xml:space="preserve">illustrate the importance of contestation and deliberation, and represent different levels of engagement with the ‘political’ in post-war justice processes. </w:t>
      </w:r>
    </w:p>
    <w:p w14:paraId="01A732E6" w14:textId="77777777" w:rsidR="007F0D69" w:rsidRDefault="007F0D69" w:rsidP="00475DC2">
      <w:pPr>
        <w:spacing w:line="360" w:lineRule="auto"/>
        <w:jc w:val="both"/>
        <w:rPr>
          <w:rFonts w:ascii="Book Antiqua" w:hAnsi="Book Antiqua"/>
        </w:rPr>
      </w:pPr>
    </w:p>
    <w:p w14:paraId="6484480B" w14:textId="4AD00C31" w:rsidR="003C483C" w:rsidRPr="00702AA1" w:rsidRDefault="003C483C" w:rsidP="00256E6A">
      <w:pPr>
        <w:spacing w:line="360" w:lineRule="auto"/>
        <w:ind w:firstLine="709"/>
        <w:jc w:val="both"/>
        <w:rPr>
          <w:rFonts w:ascii="Book Antiqua" w:hAnsi="Book Antiqua"/>
        </w:rPr>
      </w:pPr>
      <w:r w:rsidRPr="00702AA1">
        <w:rPr>
          <w:rFonts w:ascii="Book Antiqua" w:hAnsi="Book Antiqua"/>
        </w:rPr>
        <w:t>Third, and following from the previous point, transformative justice represents an attempt to respond to the critique that transitional justice is a top-down endeavour that simplifies complex realities on the ground</w:t>
      </w:r>
      <w:r w:rsidR="0064286A" w:rsidRPr="00702AA1">
        <w:rPr>
          <w:rFonts w:ascii="Book Antiqua" w:hAnsi="Book Antiqua"/>
        </w:rPr>
        <w:t xml:space="preserve">. </w:t>
      </w:r>
      <w:r w:rsidRPr="00702AA1">
        <w:rPr>
          <w:rFonts w:ascii="Book Antiqua" w:hAnsi="Book Antiqua"/>
        </w:rPr>
        <w:t xml:space="preserve">By acknowledging the diversity of </w:t>
      </w:r>
      <w:r w:rsidR="000710B4">
        <w:rPr>
          <w:rFonts w:ascii="Book Antiqua" w:hAnsi="Book Antiqua"/>
        </w:rPr>
        <w:t>post-war societies</w:t>
      </w:r>
      <w:r w:rsidRPr="00702AA1">
        <w:rPr>
          <w:rFonts w:ascii="Book Antiqua" w:hAnsi="Book Antiqua"/>
        </w:rPr>
        <w:t xml:space="preserve">, </w:t>
      </w:r>
      <w:r w:rsidR="009D2C2A" w:rsidRPr="00702AA1">
        <w:rPr>
          <w:rFonts w:ascii="Book Antiqua" w:hAnsi="Book Antiqua"/>
        </w:rPr>
        <w:t xml:space="preserve">and </w:t>
      </w:r>
      <w:r w:rsidRPr="00702AA1">
        <w:rPr>
          <w:rFonts w:ascii="Book Antiqua" w:hAnsi="Book Antiqua"/>
        </w:rPr>
        <w:t xml:space="preserve">the presence of overlapping identities and issues, transformative justice can go beyond the call for simply opening up to civil society </w:t>
      </w:r>
      <w:proofErr w:type="gramStart"/>
      <w:r w:rsidRPr="00702AA1">
        <w:rPr>
          <w:rFonts w:ascii="Book Antiqua" w:hAnsi="Book Antiqua"/>
        </w:rPr>
        <w:t>organisations, and</w:t>
      </w:r>
      <w:proofErr w:type="gramEnd"/>
      <w:r w:rsidRPr="00702AA1">
        <w:rPr>
          <w:rFonts w:ascii="Book Antiqua" w:hAnsi="Book Antiqua"/>
        </w:rPr>
        <w:t xml:space="preserve"> help us reflect on what are the most appropriate </w:t>
      </w:r>
      <w:r w:rsidR="009D2C2A" w:rsidRPr="00702AA1">
        <w:rPr>
          <w:rFonts w:ascii="Book Antiqua" w:hAnsi="Book Antiqua"/>
        </w:rPr>
        <w:t xml:space="preserve">and inclusive </w:t>
      </w:r>
      <w:r w:rsidRPr="00702AA1">
        <w:rPr>
          <w:rFonts w:ascii="Book Antiqua" w:hAnsi="Book Antiqua"/>
        </w:rPr>
        <w:t>modes of deliberation and participation.</w:t>
      </w:r>
      <w:r w:rsidR="00CB1497" w:rsidRPr="00702AA1">
        <w:rPr>
          <w:rFonts w:ascii="Book Antiqua" w:hAnsi="Book Antiqua"/>
        </w:rPr>
        <w:t xml:space="preserve"> </w:t>
      </w:r>
      <w:r w:rsidR="00B81AF7" w:rsidRPr="00702AA1">
        <w:rPr>
          <w:rFonts w:ascii="Book Antiqua" w:hAnsi="Book Antiqua"/>
        </w:rPr>
        <w:t xml:space="preserve">Drawing on Fraser (1990, 2005), we argue that it is </w:t>
      </w:r>
      <w:r w:rsidRPr="00702AA1">
        <w:rPr>
          <w:rFonts w:ascii="Book Antiqua" w:hAnsi="Book Antiqua"/>
        </w:rPr>
        <w:t>not sufficient to address simple forms of exclusion from political deliberation, as even within an ‘open’ public sphere there might be power relations and differences in resources that prevent participatory parity (Fraser</w:t>
      </w:r>
      <w:r w:rsidR="004A5FC5">
        <w:rPr>
          <w:rFonts w:ascii="Book Antiqua" w:hAnsi="Book Antiqua"/>
        </w:rPr>
        <w:t>,</w:t>
      </w:r>
      <w:r w:rsidRPr="00702AA1">
        <w:rPr>
          <w:rFonts w:ascii="Book Antiqua" w:hAnsi="Book Antiqua"/>
        </w:rPr>
        <w:t xml:space="preserve"> 1990).</w:t>
      </w:r>
      <w:r w:rsidR="00B81AF7" w:rsidRPr="00702AA1">
        <w:rPr>
          <w:rFonts w:ascii="Book Antiqua" w:hAnsi="Book Antiqua"/>
        </w:rPr>
        <w:t xml:space="preserve"> Some civil society initiatives, such as the 2014 protests discussed below, promote transformative models of justice by putting the claims and voices of subaltern groups to the forefront</w:t>
      </w:r>
      <w:r w:rsidRPr="00702AA1">
        <w:rPr>
          <w:rFonts w:ascii="Book Antiqua" w:hAnsi="Book Antiqua"/>
        </w:rPr>
        <w:t xml:space="preserve"> </w:t>
      </w:r>
      <w:r w:rsidR="00B81AF7" w:rsidRPr="00702AA1">
        <w:rPr>
          <w:rFonts w:ascii="Book Antiqua" w:hAnsi="Book Antiqua"/>
        </w:rPr>
        <w:t xml:space="preserve">of public debate. Transformative justice should also question how </w:t>
      </w:r>
      <w:r w:rsidRPr="00702AA1">
        <w:rPr>
          <w:rFonts w:ascii="Book Antiqua" w:hAnsi="Book Antiqua"/>
        </w:rPr>
        <w:t xml:space="preserve">boundaries are being set in ways that leave groups of individuals out (for instance, by restricting </w:t>
      </w:r>
      <w:r w:rsidR="00FA7A79" w:rsidRPr="00702AA1">
        <w:rPr>
          <w:rFonts w:ascii="Book Antiqua" w:hAnsi="Book Antiqua"/>
        </w:rPr>
        <w:t xml:space="preserve">the definition of ‘victimhood’; </w:t>
      </w:r>
      <w:r w:rsidR="00657D00" w:rsidRPr="00702AA1">
        <w:rPr>
          <w:rFonts w:ascii="Book Antiqua" w:hAnsi="Book Antiqua"/>
        </w:rPr>
        <w:t>McEvoy and McConnachie</w:t>
      </w:r>
      <w:r w:rsidR="004A5FC5">
        <w:rPr>
          <w:rFonts w:ascii="Book Antiqua" w:hAnsi="Book Antiqua"/>
        </w:rPr>
        <w:t>,</w:t>
      </w:r>
      <w:r w:rsidR="00657D00" w:rsidRPr="00702AA1">
        <w:rPr>
          <w:rFonts w:ascii="Book Antiqua" w:hAnsi="Book Antiqua"/>
        </w:rPr>
        <w:t xml:space="preserve"> 201</w:t>
      </w:r>
      <w:r w:rsidR="00FA7A79" w:rsidRPr="00702AA1">
        <w:rPr>
          <w:rFonts w:ascii="Book Antiqua" w:hAnsi="Book Antiqua"/>
        </w:rPr>
        <w:t>2</w:t>
      </w:r>
      <w:r w:rsidRPr="00702AA1">
        <w:rPr>
          <w:rFonts w:ascii="Book Antiqua" w:hAnsi="Book Antiqua"/>
        </w:rPr>
        <w:t xml:space="preserve">), and </w:t>
      </w:r>
      <w:r w:rsidR="00B81AF7" w:rsidRPr="00702AA1">
        <w:rPr>
          <w:rFonts w:ascii="Book Antiqua" w:hAnsi="Book Antiqua"/>
        </w:rPr>
        <w:t xml:space="preserve">how </w:t>
      </w:r>
      <w:r w:rsidRPr="00702AA1">
        <w:rPr>
          <w:rFonts w:ascii="Book Antiqua" w:hAnsi="Book Antiqua"/>
        </w:rPr>
        <w:t>the space of deliberation is organised in such a way that makes it impossible for certain issues to be included in the debate (Fraser</w:t>
      </w:r>
      <w:r w:rsidR="004A5FC5">
        <w:rPr>
          <w:rFonts w:ascii="Book Antiqua" w:hAnsi="Book Antiqua"/>
        </w:rPr>
        <w:t>,</w:t>
      </w:r>
      <w:r w:rsidRPr="00702AA1">
        <w:rPr>
          <w:rFonts w:ascii="Book Antiqua" w:hAnsi="Book Antiqua"/>
        </w:rPr>
        <w:t xml:space="preserve"> 2005</w:t>
      </w:r>
      <w:r w:rsidR="00657D00" w:rsidRPr="00702AA1">
        <w:rPr>
          <w:rFonts w:ascii="Book Antiqua" w:hAnsi="Book Antiqua"/>
        </w:rPr>
        <w:t xml:space="preserve"> refers to this as ‘misframing’</w:t>
      </w:r>
      <w:r w:rsidR="00B5485A" w:rsidRPr="00702AA1">
        <w:rPr>
          <w:rFonts w:ascii="Book Antiqua" w:hAnsi="Book Antiqua"/>
        </w:rPr>
        <w:t>). To sum up, a</w:t>
      </w:r>
      <w:r w:rsidRPr="00702AA1">
        <w:rPr>
          <w:rFonts w:ascii="Book Antiqua" w:hAnsi="Book Antiqua"/>
        </w:rPr>
        <w:t xml:space="preserve">n alternative approach to post-war justice can be transformative </w:t>
      </w:r>
      <w:r w:rsidR="00120946" w:rsidRPr="00702AA1">
        <w:rPr>
          <w:rFonts w:ascii="Book Antiqua" w:hAnsi="Book Antiqua"/>
        </w:rPr>
        <w:t xml:space="preserve">only </w:t>
      </w:r>
      <w:r w:rsidRPr="00702AA1">
        <w:rPr>
          <w:rFonts w:ascii="Book Antiqua" w:hAnsi="Book Antiqua"/>
        </w:rPr>
        <w:t xml:space="preserve">insofar as it provides for political justice too. </w:t>
      </w:r>
    </w:p>
    <w:p w14:paraId="225C2180" w14:textId="22914F7A" w:rsidR="004A5FC5" w:rsidRDefault="003C483C" w:rsidP="00475DC2">
      <w:pPr>
        <w:spacing w:line="360" w:lineRule="auto"/>
        <w:ind w:firstLine="709"/>
        <w:jc w:val="both"/>
        <w:rPr>
          <w:rFonts w:ascii="Book Antiqua" w:hAnsi="Book Antiqua"/>
        </w:rPr>
      </w:pPr>
      <w:r w:rsidRPr="00702AA1">
        <w:rPr>
          <w:rFonts w:ascii="Book Antiqua" w:hAnsi="Book Antiqua"/>
        </w:rPr>
        <w:t xml:space="preserve"> </w:t>
      </w:r>
    </w:p>
    <w:p w14:paraId="04B363EC" w14:textId="53826F38" w:rsidR="003C483C" w:rsidRPr="00702AA1" w:rsidRDefault="00120946" w:rsidP="009A0DED">
      <w:pPr>
        <w:spacing w:line="360" w:lineRule="auto"/>
        <w:ind w:firstLine="709"/>
        <w:jc w:val="both"/>
        <w:rPr>
          <w:rFonts w:ascii="Book Antiqua" w:hAnsi="Book Antiqua"/>
        </w:rPr>
      </w:pPr>
      <w:r w:rsidRPr="00702AA1">
        <w:rPr>
          <w:rFonts w:ascii="Book Antiqua" w:hAnsi="Book Antiqua"/>
        </w:rPr>
        <w:t xml:space="preserve">Reflecting </w:t>
      </w:r>
      <w:r w:rsidR="003C483C" w:rsidRPr="00702AA1">
        <w:rPr>
          <w:rFonts w:ascii="Book Antiqua" w:hAnsi="Book Antiqua"/>
        </w:rPr>
        <w:t>on the critique of the transitional paradigm, on the politics of transitional justice, and on processes of deliberation</w:t>
      </w:r>
      <w:r w:rsidRPr="00702AA1">
        <w:rPr>
          <w:rFonts w:ascii="Book Antiqua" w:hAnsi="Book Antiqua"/>
        </w:rPr>
        <w:t>,</w:t>
      </w:r>
      <w:r w:rsidR="003C483C" w:rsidRPr="00702AA1">
        <w:rPr>
          <w:rFonts w:ascii="Book Antiqua" w:hAnsi="Book Antiqua"/>
        </w:rPr>
        <w:t xml:space="preserve"> prompt</w:t>
      </w:r>
      <w:r w:rsidR="009D2C2A" w:rsidRPr="00702AA1">
        <w:rPr>
          <w:rFonts w:ascii="Book Antiqua" w:hAnsi="Book Antiqua"/>
        </w:rPr>
        <w:t>s</w:t>
      </w:r>
      <w:r w:rsidR="003C483C" w:rsidRPr="00702AA1">
        <w:rPr>
          <w:rFonts w:ascii="Book Antiqua" w:hAnsi="Book Antiqua"/>
        </w:rPr>
        <w:t xml:space="preserve"> us to ask questions that can be used as benchmarks to assess the transformative potential of RECOM, the Women’s Court, and the 2014 protests</w:t>
      </w:r>
      <w:r w:rsidR="00634B4A" w:rsidRPr="00702AA1">
        <w:rPr>
          <w:rFonts w:ascii="Book Antiqua" w:hAnsi="Book Antiqua"/>
        </w:rPr>
        <w:t xml:space="preserve">: </w:t>
      </w:r>
      <w:r w:rsidR="003C483C" w:rsidRPr="00702AA1">
        <w:rPr>
          <w:rFonts w:ascii="Book Antiqua" w:hAnsi="Book Antiqua"/>
        </w:rPr>
        <w:t xml:space="preserve">To what extent are these local initiatives open-ended, unbound by the goals of liberal democratic transition? Do they allow for the emergence of alternative political principles, identities, </w:t>
      </w:r>
      <w:r w:rsidR="008756C2" w:rsidRPr="00702AA1">
        <w:rPr>
          <w:rFonts w:ascii="Book Antiqua" w:hAnsi="Book Antiqua"/>
        </w:rPr>
        <w:t xml:space="preserve">and </w:t>
      </w:r>
      <w:r w:rsidR="003C483C" w:rsidRPr="00702AA1">
        <w:rPr>
          <w:rFonts w:ascii="Book Antiqua" w:hAnsi="Book Antiqua"/>
        </w:rPr>
        <w:t>conceptions of justice?</w:t>
      </w:r>
      <w:r w:rsidR="00DA5B1F">
        <w:rPr>
          <w:rFonts w:ascii="Book Antiqua" w:hAnsi="Book Antiqua"/>
        </w:rPr>
        <w:t xml:space="preserve"> </w:t>
      </w:r>
      <w:r w:rsidR="003C483C" w:rsidRPr="00702AA1">
        <w:rPr>
          <w:rFonts w:ascii="Book Antiqua" w:hAnsi="Book Antiqua"/>
        </w:rPr>
        <w:t xml:space="preserve">Do they consider the specific features of the </w:t>
      </w:r>
      <w:r w:rsidR="003C483C" w:rsidRPr="00702AA1">
        <w:rPr>
          <w:rFonts w:ascii="Book Antiqua" w:hAnsi="Book Antiqua"/>
        </w:rPr>
        <w:lastRenderedPageBreak/>
        <w:t>transition in each country?</w:t>
      </w:r>
      <w:r w:rsidR="00DA5B1F">
        <w:rPr>
          <w:rFonts w:ascii="Book Antiqua" w:hAnsi="Book Antiqua"/>
        </w:rPr>
        <w:t xml:space="preserve"> </w:t>
      </w:r>
      <w:r w:rsidR="00FC0B68" w:rsidRPr="00702AA1">
        <w:rPr>
          <w:rFonts w:ascii="Book Antiqua" w:hAnsi="Book Antiqua"/>
        </w:rPr>
        <w:t xml:space="preserve">Do </w:t>
      </w:r>
      <w:r w:rsidR="003C483C" w:rsidRPr="00702AA1">
        <w:rPr>
          <w:rFonts w:ascii="Book Antiqua" w:hAnsi="Book Antiqua"/>
        </w:rPr>
        <w:t>the</w:t>
      </w:r>
      <w:r w:rsidR="00FC0B68" w:rsidRPr="00702AA1">
        <w:rPr>
          <w:rFonts w:ascii="Book Antiqua" w:hAnsi="Book Antiqua"/>
        </w:rPr>
        <w:t>se</w:t>
      </w:r>
      <w:r w:rsidR="003C483C" w:rsidRPr="00702AA1">
        <w:rPr>
          <w:rFonts w:ascii="Book Antiqua" w:hAnsi="Book Antiqua"/>
        </w:rPr>
        <w:t xml:space="preserve"> initiative</w:t>
      </w:r>
      <w:r w:rsidR="00FC0B68" w:rsidRPr="00702AA1">
        <w:rPr>
          <w:rFonts w:ascii="Book Antiqua" w:hAnsi="Book Antiqua"/>
        </w:rPr>
        <w:t>s</w:t>
      </w:r>
      <w:r w:rsidR="003C483C" w:rsidRPr="00702AA1">
        <w:rPr>
          <w:rFonts w:ascii="Book Antiqua" w:hAnsi="Book Antiqua"/>
        </w:rPr>
        <w:t xml:space="preserve"> leave the floor open to local communities? Are </w:t>
      </w:r>
      <w:r w:rsidR="008756C2" w:rsidRPr="00702AA1">
        <w:rPr>
          <w:rFonts w:ascii="Book Antiqua" w:hAnsi="Book Antiqua"/>
        </w:rPr>
        <w:t xml:space="preserve">local communities the </w:t>
      </w:r>
      <w:r w:rsidR="003C483C" w:rsidRPr="00702AA1">
        <w:rPr>
          <w:rFonts w:ascii="Book Antiqua" w:hAnsi="Book Antiqua"/>
        </w:rPr>
        <w:t>initiators, participants, or recipients of the initiatives?</w:t>
      </w:r>
      <w:r w:rsidR="00DA5B1F">
        <w:rPr>
          <w:rFonts w:ascii="Book Antiqua" w:hAnsi="Book Antiqua"/>
        </w:rPr>
        <w:t xml:space="preserve"> </w:t>
      </w:r>
      <w:r w:rsidR="003C483C" w:rsidRPr="00702AA1">
        <w:rPr>
          <w:rFonts w:ascii="Book Antiqua" w:hAnsi="Book Antiqua"/>
        </w:rPr>
        <w:t>To what extent is the initiative guided by international priorities or ‘technical’, ‘neutral’ principles that are not up for discussion?</w:t>
      </w:r>
      <w:r w:rsidR="00DA5B1F">
        <w:rPr>
          <w:rFonts w:ascii="Book Antiqua" w:hAnsi="Book Antiqua"/>
        </w:rPr>
        <w:t xml:space="preserve"> </w:t>
      </w:r>
      <w:r w:rsidR="003C483C" w:rsidRPr="00702AA1">
        <w:rPr>
          <w:rFonts w:ascii="Book Antiqua" w:hAnsi="Book Antiqua"/>
        </w:rPr>
        <w:t>Who is allowed to participate? What issues are discussed, and how are these put on the agenda? How is deliberation conducted?</w:t>
      </w:r>
      <w:r w:rsidR="00634B4A" w:rsidRPr="00702AA1">
        <w:rPr>
          <w:rFonts w:ascii="Book Antiqua" w:hAnsi="Book Antiqua"/>
        </w:rPr>
        <w:t xml:space="preserve"> B</w:t>
      </w:r>
      <w:r w:rsidRPr="00702AA1">
        <w:rPr>
          <w:rFonts w:ascii="Book Antiqua" w:hAnsi="Book Antiqua"/>
        </w:rPr>
        <w:t xml:space="preserve">uilding </w:t>
      </w:r>
      <w:r w:rsidR="0012474F" w:rsidRPr="00702AA1">
        <w:rPr>
          <w:rFonts w:ascii="Book Antiqua" w:hAnsi="Book Antiqua"/>
        </w:rPr>
        <w:t>on th</w:t>
      </w:r>
      <w:r w:rsidR="008756C2" w:rsidRPr="00702AA1">
        <w:rPr>
          <w:rFonts w:ascii="Book Antiqua" w:hAnsi="Book Antiqua"/>
        </w:rPr>
        <w:t>e</w:t>
      </w:r>
      <w:r w:rsidR="0012474F" w:rsidRPr="00702AA1">
        <w:rPr>
          <w:rFonts w:ascii="Book Antiqua" w:hAnsi="Book Antiqua"/>
        </w:rPr>
        <w:t xml:space="preserve"> conceptual framework</w:t>
      </w:r>
      <w:r w:rsidR="008756C2" w:rsidRPr="00702AA1">
        <w:rPr>
          <w:rFonts w:ascii="Book Antiqua" w:hAnsi="Book Antiqua"/>
        </w:rPr>
        <w:t xml:space="preserve"> which emerges from these benchmarking questions</w:t>
      </w:r>
      <w:r w:rsidR="0012474F" w:rsidRPr="00702AA1">
        <w:rPr>
          <w:rFonts w:ascii="Book Antiqua" w:hAnsi="Book Antiqua"/>
        </w:rPr>
        <w:t>,</w:t>
      </w:r>
      <w:r w:rsidR="003C483C" w:rsidRPr="00702AA1">
        <w:rPr>
          <w:rFonts w:ascii="Book Antiqua" w:hAnsi="Book Antiqua"/>
        </w:rPr>
        <w:t xml:space="preserve"> the following section provide</w:t>
      </w:r>
      <w:r w:rsidRPr="00702AA1">
        <w:rPr>
          <w:rFonts w:ascii="Book Antiqua" w:hAnsi="Book Antiqua"/>
        </w:rPr>
        <w:t>s</w:t>
      </w:r>
      <w:r w:rsidR="003C483C" w:rsidRPr="00702AA1">
        <w:rPr>
          <w:rFonts w:ascii="Book Antiqua" w:hAnsi="Book Antiqua"/>
        </w:rPr>
        <w:t xml:space="preserve"> an overview and assessment of three</w:t>
      </w:r>
      <w:r w:rsidR="00E2710F" w:rsidRPr="00702AA1">
        <w:rPr>
          <w:rFonts w:ascii="Book Antiqua" w:hAnsi="Book Antiqua"/>
        </w:rPr>
        <w:t xml:space="preserve"> important justice initiatives conducted at the level of civil society in Bosnia and Herzegovina. </w:t>
      </w:r>
    </w:p>
    <w:p w14:paraId="1A0CA7CB" w14:textId="77777777" w:rsidR="00403A3F" w:rsidRPr="00702AA1" w:rsidRDefault="00403A3F" w:rsidP="00C62AF4">
      <w:pPr>
        <w:spacing w:line="360" w:lineRule="auto"/>
        <w:jc w:val="both"/>
        <w:rPr>
          <w:rFonts w:ascii="Book Antiqua" w:hAnsi="Book Antiqua"/>
        </w:rPr>
      </w:pPr>
    </w:p>
    <w:p w14:paraId="487C1160" w14:textId="328D0424" w:rsidR="00F131DB" w:rsidRPr="00702AA1" w:rsidRDefault="00225157" w:rsidP="00C62AF4">
      <w:pPr>
        <w:spacing w:line="360" w:lineRule="auto"/>
        <w:jc w:val="both"/>
        <w:rPr>
          <w:rFonts w:ascii="Book Antiqua" w:hAnsi="Book Antiqua"/>
        </w:rPr>
      </w:pPr>
      <w:r w:rsidRPr="00702AA1">
        <w:rPr>
          <w:rFonts w:ascii="Book Antiqua" w:hAnsi="Book Antiqua"/>
          <w:b/>
        </w:rPr>
        <w:t xml:space="preserve">Bottom-up justice initiatives and transformative justice in BiH </w:t>
      </w:r>
    </w:p>
    <w:p w14:paraId="5AB35ABA" w14:textId="43807641" w:rsidR="00044C1C" w:rsidRPr="00702AA1" w:rsidRDefault="00945413" w:rsidP="00C62AF4">
      <w:pPr>
        <w:spacing w:line="360" w:lineRule="auto"/>
        <w:jc w:val="both"/>
        <w:rPr>
          <w:rFonts w:ascii="Book Antiqua" w:hAnsi="Book Antiqua"/>
        </w:rPr>
      </w:pPr>
      <w:r w:rsidRPr="00702AA1">
        <w:rPr>
          <w:rFonts w:ascii="Book Antiqua" w:hAnsi="Book Antiqua"/>
        </w:rPr>
        <w:t xml:space="preserve">This </w:t>
      </w:r>
      <w:r w:rsidR="004E5115" w:rsidRPr="00702AA1">
        <w:rPr>
          <w:rFonts w:ascii="Book Antiqua" w:hAnsi="Book Antiqua"/>
        </w:rPr>
        <w:t>section analyses local justice initiatives and tries to establish to what extent they respond to the features of transformative justice discussed</w:t>
      </w:r>
      <w:r w:rsidRPr="00702AA1">
        <w:rPr>
          <w:rFonts w:ascii="Book Antiqua" w:hAnsi="Book Antiqua"/>
        </w:rPr>
        <w:t xml:space="preserve"> above</w:t>
      </w:r>
      <w:r w:rsidR="004E5115" w:rsidRPr="00702AA1">
        <w:rPr>
          <w:rFonts w:ascii="Book Antiqua" w:hAnsi="Book Antiqua"/>
        </w:rPr>
        <w:t xml:space="preserve">. </w:t>
      </w:r>
      <w:r w:rsidR="00044C1C" w:rsidRPr="00702AA1">
        <w:rPr>
          <w:rFonts w:ascii="Book Antiqua" w:hAnsi="Book Antiqua"/>
        </w:rPr>
        <w:t>While</w:t>
      </w:r>
      <w:r w:rsidR="004E5115" w:rsidRPr="00702AA1">
        <w:rPr>
          <w:rFonts w:ascii="Book Antiqua" w:hAnsi="Book Antiqua"/>
        </w:rPr>
        <w:t xml:space="preserve"> we believe that</w:t>
      </w:r>
      <w:r w:rsidR="00044C1C" w:rsidRPr="00702AA1">
        <w:rPr>
          <w:rFonts w:ascii="Book Antiqua" w:hAnsi="Book Antiqua"/>
        </w:rPr>
        <w:t xml:space="preserve"> local initiatives are best placed to </w:t>
      </w:r>
      <w:r w:rsidR="004E5115" w:rsidRPr="00702AA1">
        <w:rPr>
          <w:rFonts w:ascii="Book Antiqua" w:hAnsi="Book Antiqua"/>
        </w:rPr>
        <w:t xml:space="preserve">promote transformative justice and sustainable social change in post-conflict societies, this does not necessarily imply that they always do, or that they achieve satisfactory results when </w:t>
      </w:r>
      <w:r w:rsidRPr="00702AA1">
        <w:rPr>
          <w:rFonts w:ascii="Book Antiqua" w:hAnsi="Book Antiqua"/>
        </w:rPr>
        <w:t>attempting to do so</w:t>
      </w:r>
      <w:r w:rsidR="004E5115" w:rsidRPr="00702AA1">
        <w:rPr>
          <w:rFonts w:ascii="Book Antiqua" w:hAnsi="Book Antiqua"/>
        </w:rPr>
        <w:t>. Civil society groups vary widely, and so do the three examples discussed below</w:t>
      </w:r>
      <w:r w:rsidR="0071238E" w:rsidRPr="00702AA1">
        <w:rPr>
          <w:rFonts w:ascii="Book Antiqua" w:hAnsi="Book Antiqua"/>
        </w:rPr>
        <w:t xml:space="preserve"> (see Table 1 for an overview of their features and key differences)</w:t>
      </w:r>
      <w:r w:rsidR="004E5115" w:rsidRPr="00702AA1">
        <w:rPr>
          <w:rFonts w:ascii="Book Antiqua" w:hAnsi="Book Antiqua"/>
        </w:rPr>
        <w:t>.</w:t>
      </w:r>
      <w:r w:rsidR="00447552" w:rsidRPr="00702AA1">
        <w:rPr>
          <w:rFonts w:ascii="Book Antiqua" w:hAnsi="Book Antiqua"/>
        </w:rPr>
        <w:t xml:space="preserve"> RECOM was initiated by</w:t>
      </w:r>
      <w:r w:rsidR="00920A30" w:rsidRPr="00702AA1">
        <w:rPr>
          <w:rFonts w:ascii="Book Antiqua" w:hAnsi="Book Antiqua"/>
        </w:rPr>
        <w:t xml:space="preserve"> three</w:t>
      </w:r>
      <w:r w:rsidR="00447552" w:rsidRPr="00702AA1">
        <w:rPr>
          <w:rFonts w:ascii="Book Antiqua" w:hAnsi="Book Antiqua"/>
        </w:rPr>
        <w:t xml:space="preserve"> regional nongovernmental organi</w:t>
      </w:r>
      <w:r w:rsidR="00511AF2">
        <w:rPr>
          <w:rFonts w:ascii="Book Antiqua" w:hAnsi="Book Antiqua"/>
        </w:rPr>
        <w:t>s</w:t>
      </w:r>
      <w:r w:rsidR="00447552" w:rsidRPr="00702AA1">
        <w:rPr>
          <w:rFonts w:ascii="Book Antiqua" w:hAnsi="Book Antiqua"/>
        </w:rPr>
        <w:t>ations</w:t>
      </w:r>
      <w:r w:rsidR="00311F68" w:rsidRPr="00311F68">
        <w:rPr>
          <w:rFonts w:ascii="Book Antiqua" w:hAnsi="Book Antiqua"/>
        </w:rPr>
        <w:t xml:space="preserve"> </w:t>
      </w:r>
      <w:r w:rsidR="00311F68" w:rsidRPr="00702AA1">
        <w:rPr>
          <w:rFonts w:ascii="Book Antiqua" w:hAnsi="Book Antiqua"/>
        </w:rPr>
        <w:t>with the purpose of creating a regional commission and involving victims more actively in shaping the reconstruction of the past</w:t>
      </w:r>
      <w:r w:rsidR="00311F68">
        <w:rPr>
          <w:rFonts w:ascii="Book Antiqua" w:hAnsi="Book Antiqua"/>
        </w:rPr>
        <w:t>. It then</w:t>
      </w:r>
      <w:r w:rsidR="00447552" w:rsidRPr="00702AA1">
        <w:rPr>
          <w:rFonts w:ascii="Book Antiqua" w:hAnsi="Book Antiqua"/>
        </w:rPr>
        <w:t xml:space="preserve"> </w:t>
      </w:r>
      <w:r w:rsidR="00920A30" w:rsidRPr="00702AA1">
        <w:rPr>
          <w:rFonts w:ascii="Book Antiqua" w:hAnsi="Book Antiqua"/>
        </w:rPr>
        <w:t>obtained the support of international NGOs like the International Center for Transitional Justice</w:t>
      </w:r>
      <w:r w:rsidR="00CC1A09" w:rsidRPr="00702AA1">
        <w:rPr>
          <w:rFonts w:ascii="Book Antiqua" w:hAnsi="Book Antiqua"/>
        </w:rPr>
        <w:t xml:space="preserve"> (ICTJ)</w:t>
      </w:r>
      <w:r w:rsidR="00920A30" w:rsidRPr="00702AA1">
        <w:rPr>
          <w:rFonts w:ascii="Book Antiqua" w:hAnsi="Book Antiqua"/>
        </w:rPr>
        <w:t>, as well as funds and support from international organi</w:t>
      </w:r>
      <w:r w:rsidR="00511AF2">
        <w:rPr>
          <w:rFonts w:ascii="Book Antiqua" w:hAnsi="Book Antiqua"/>
        </w:rPr>
        <w:t>s</w:t>
      </w:r>
      <w:r w:rsidR="00920A30" w:rsidRPr="00702AA1">
        <w:rPr>
          <w:rFonts w:ascii="Book Antiqua" w:hAnsi="Book Antiqua"/>
        </w:rPr>
        <w:t>ations like the EU, the Council of Europe, and various international embassies and foundations.</w:t>
      </w:r>
      <w:r w:rsidR="004E5115" w:rsidRPr="00702AA1">
        <w:rPr>
          <w:rFonts w:ascii="Book Antiqua" w:hAnsi="Book Antiqua"/>
        </w:rPr>
        <w:t xml:space="preserve"> </w:t>
      </w:r>
      <w:r w:rsidR="00920A30" w:rsidRPr="00702AA1">
        <w:rPr>
          <w:rFonts w:ascii="Book Antiqua" w:hAnsi="Book Antiqua"/>
        </w:rPr>
        <w:t>The Women’s Court was similarly initiated by regional women’s organi</w:t>
      </w:r>
      <w:r w:rsidR="00511AF2">
        <w:rPr>
          <w:rFonts w:ascii="Book Antiqua" w:hAnsi="Book Antiqua"/>
        </w:rPr>
        <w:t>s</w:t>
      </w:r>
      <w:r w:rsidR="00920A30" w:rsidRPr="00702AA1">
        <w:rPr>
          <w:rFonts w:ascii="Book Antiqua" w:hAnsi="Book Antiqua"/>
        </w:rPr>
        <w:t>ations</w:t>
      </w:r>
      <w:r w:rsidR="00423303" w:rsidRPr="00702AA1">
        <w:rPr>
          <w:rFonts w:ascii="Book Antiqua" w:hAnsi="Book Antiqua"/>
        </w:rPr>
        <w:t xml:space="preserve"> with the purpose of creating a symbolic court for women </w:t>
      </w:r>
      <w:r w:rsidR="00311F68">
        <w:rPr>
          <w:rFonts w:ascii="Book Antiqua" w:hAnsi="Book Antiqua"/>
        </w:rPr>
        <w:t>survivors of various forms of violence related to the conflicts of the 1990s</w:t>
      </w:r>
      <w:r w:rsidR="00920A30" w:rsidRPr="00702AA1">
        <w:rPr>
          <w:rFonts w:ascii="Book Antiqua" w:hAnsi="Book Antiqua"/>
        </w:rPr>
        <w:t xml:space="preserve">, but it received much more limited external support. </w:t>
      </w:r>
      <w:r w:rsidR="00311F68">
        <w:rPr>
          <w:rFonts w:ascii="Book Antiqua" w:hAnsi="Book Antiqua"/>
        </w:rPr>
        <w:t>Like RECOM, the Women’s Court focused on the victims, but it</w:t>
      </w:r>
      <w:r w:rsidR="00311F68" w:rsidRPr="00702AA1">
        <w:rPr>
          <w:rFonts w:ascii="Book Antiqua" w:hAnsi="Book Antiqua"/>
        </w:rPr>
        <w:t xml:space="preserve"> adopted an explicitly feminist approach, and challenged the neat separation of wartime and peacetime violence.</w:t>
      </w:r>
      <w:r w:rsidR="004E5115" w:rsidRPr="00702AA1">
        <w:rPr>
          <w:rFonts w:ascii="Book Antiqua" w:hAnsi="Book Antiqua"/>
        </w:rPr>
        <w:t xml:space="preserve"> The 2014 protests </w:t>
      </w:r>
      <w:r w:rsidR="00AE697C" w:rsidRPr="00702AA1">
        <w:rPr>
          <w:rFonts w:ascii="Book Antiqua" w:hAnsi="Book Antiqua"/>
        </w:rPr>
        <w:t xml:space="preserve">were sparked by industrial workers’ protests, but soon revealed deeper social concerns with </w:t>
      </w:r>
      <w:r w:rsidR="004E5115" w:rsidRPr="00702AA1">
        <w:rPr>
          <w:rFonts w:ascii="Book Antiqua" w:hAnsi="Book Antiqua"/>
        </w:rPr>
        <w:t xml:space="preserve">an aspect of </w:t>
      </w:r>
      <w:r w:rsidR="0071238E" w:rsidRPr="00702AA1">
        <w:rPr>
          <w:rFonts w:ascii="Book Antiqua" w:hAnsi="Book Antiqua"/>
        </w:rPr>
        <w:t>the war</w:t>
      </w:r>
      <w:r w:rsidR="004E5115" w:rsidRPr="00702AA1">
        <w:rPr>
          <w:rFonts w:ascii="Book Antiqua" w:hAnsi="Book Antiqua"/>
        </w:rPr>
        <w:t xml:space="preserve">, that is socioeconomic violence (and its </w:t>
      </w:r>
      <w:r w:rsidR="00FC0B68" w:rsidRPr="00702AA1">
        <w:rPr>
          <w:rFonts w:ascii="Book Antiqua" w:hAnsi="Book Antiqua"/>
        </w:rPr>
        <w:t>continuation</w:t>
      </w:r>
      <w:r w:rsidR="004E5115" w:rsidRPr="00702AA1">
        <w:rPr>
          <w:rFonts w:ascii="Book Antiqua" w:hAnsi="Book Antiqua"/>
        </w:rPr>
        <w:t xml:space="preserve"> during the transition), which </w:t>
      </w:r>
      <w:r w:rsidR="00AE697C" w:rsidRPr="00702AA1">
        <w:rPr>
          <w:rFonts w:ascii="Book Antiqua" w:hAnsi="Book Antiqua"/>
        </w:rPr>
        <w:t>was not dealt with by</w:t>
      </w:r>
      <w:r w:rsidR="004E5115" w:rsidRPr="00702AA1">
        <w:rPr>
          <w:rFonts w:ascii="Book Antiqua" w:hAnsi="Book Antiqua"/>
        </w:rPr>
        <w:t xml:space="preserve"> conventional transitional justice approaches</w:t>
      </w:r>
      <w:r w:rsidR="00A2526C" w:rsidRPr="00702AA1">
        <w:rPr>
          <w:rFonts w:ascii="Book Antiqua" w:hAnsi="Book Antiqua"/>
        </w:rPr>
        <w:t xml:space="preserve"> in the former Yugoslavia</w:t>
      </w:r>
      <w:r w:rsidR="004E5115" w:rsidRPr="00702AA1">
        <w:rPr>
          <w:rFonts w:ascii="Book Antiqua" w:hAnsi="Book Antiqua"/>
        </w:rPr>
        <w:t>. The three brief accounts of these initiatives, while not being exhaustive, are meant to critically analyse the transformative pote</w:t>
      </w:r>
      <w:r w:rsidR="00296B4A" w:rsidRPr="00702AA1">
        <w:rPr>
          <w:rFonts w:ascii="Book Antiqua" w:hAnsi="Book Antiqua"/>
        </w:rPr>
        <w:t>ntial (and limitations) of each.</w:t>
      </w:r>
    </w:p>
    <w:p w14:paraId="5F598F5D" w14:textId="77777777" w:rsidR="00F14C1C" w:rsidRPr="00702AA1" w:rsidRDefault="00F14C1C" w:rsidP="00C62AF4">
      <w:pPr>
        <w:spacing w:line="360" w:lineRule="auto"/>
        <w:jc w:val="both"/>
        <w:rPr>
          <w:rFonts w:ascii="Book Antiqua" w:hAnsi="Book Antiqua"/>
        </w:rPr>
      </w:pPr>
    </w:p>
    <w:p w14:paraId="7FCEC01A" w14:textId="77777777" w:rsidR="00F14C1C" w:rsidRPr="00702AA1" w:rsidRDefault="00F14C1C" w:rsidP="00F14C1C">
      <w:pPr>
        <w:spacing w:line="360" w:lineRule="auto"/>
        <w:jc w:val="both"/>
        <w:rPr>
          <w:rFonts w:ascii="Book Antiqua" w:hAnsi="Book Antiqua"/>
          <w:b/>
        </w:rPr>
      </w:pPr>
      <w:r w:rsidRPr="00702AA1">
        <w:rPr>
          <w:rFonts w:ascii="Book Antiqua" w:hAnsi="Book Antiqua"/>
          <w:b/>
        </w:rPr>
        <w:t xml:space="preserve">Table 1. RECOM, the Women’s Court and the 2014 protests </w:t>
      </w:r>
    </w:p>
    <w:tbl>
      <w:tblPr>
        <w:tblStyle w:val="GridTable31"/>
        <w:tblW w:w="0" w:type="auto"/>
        <w:tblLook w:val="04A0" w:firstRow="1" w:lastRow="0" w:firstColumn="1" w:lastColumn="0" w:noHBand="0" w:noVBand="1"/>
      </w:tblPr>
      <w:tblGrid>
        <w:gridCol w:w="2235"/>
        <w:gridCol w:w="2350"/>
        <w:gridCol w:w="57"/>
        <w:gridCol w:w="2293"/>
        <w:gridCol w:w="2351"/>
      </w:tblGrid>
      <w:tr w:rsidR="00F14C1C" w:rsidRPr="00702AA1" w14:paraId="0DF14BB2" w14:textId="77777777" w:rsidTr="009C01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Pr>
          <w:p w14:paraId="39AC9F34" w14:textId="77777777" w:rsidR="00F14C1C" w:rsidRPr="00702AA1" w:rsidRDefault="00F14C1C" w:rsidP="009C01B6">
            <w:pPr>
              <w:spacing w:line="360" w:lineRule="auto"/>
              <w:jc w:val="center"/>
              <w:rPr>
                <w:rFonts w:ascii="Book Antiqua" w:hAnsi="Book Antiqua"/>
                <w:b w:val="0"/>
                <w:sz w:val="20"/>
                <w:szCs w:val="20"/>
              </w:rPr>
            </w:pPr>
          </w:p>
        </w:tc>
        <w:tc>
          <w:tcPr>
            <w:tcW w:w="2407" w:type="dxa"/>
            <w:gridSpan w:val="2"/>
          </w:tcPr>
          <w:p w14:paraId="2E646E2D" w14:textId="77777777" w:rsidR="00F14C1C" w:rsidRPr="00702AA1" w:rsidRDefault="00F14C1C" w:rsidP="009C01B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RECOM</w:t>
            </w:r>
          </w:p>
        </w:tc>
        <w:tc>
          <w:tcPr>
            <w:tcW w:w="0" w:type="dxa"/>
          </w:tcPr>
          <w:p w14:paraId="5DE3777B" w14:textId="77777777" w:rsidR="00F14C1C" w:rsidRPr="00702AA1" w:rsidRDefault="00F14C1C" w:rsidP="009C01B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Women’s Court</w:t>
            </w:r>
          </w:p>
        </w:tc>
        <w:tc>
          <w:tcPr>
            <w:tcW w:w="0" w:type="dxa"/>
          </w:tcPr>
          <w:p w14:paraId="7A6BA04B" w14:textId="77777777" w:rsidR="00F14C1C" w:rsidRPr="00702AA1" w:rsidRDefault="00F14C1C" w:rsidP="009C01B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2014 Protests</w:t>
            </w:r>
          </w:p>
        </w:tc>
      </w:tr>
      <w:tr w:rsidR="00F14C1C" w:rsidRPr="00702AA1" w14:paraId="20BC7E2A" w14:textId="77777777" w:rsidTr="009C0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bottom w:val="single" w:sz="4" w:space="0" w:color="666666" w:themeColor="text1" w:themeTint="99"/>
            </w:tcBorders>
            <w:shd w:val="clear" w:color="auto" w:fill="D9D9D9" w:themeFill="background1" w:themeFillShade="D9"/>
          </w:tcPr>
          <w:p w14:paraId="7CF1953F" w14:textId="77777777" w:rsidR="00F14C1C" w:rsidRPr="00702AA1" w:rsidRDefault="00F14C1C" w:rsidP="009C01B6">
            <w:pPr>
              <w:spacing w:before="40" w:after="40"/>
              <w:jc w:val="both"/>
              <w:rPr>
                <w:rFonts w:ascii="Book Antiqua" w:hAnsi="Book Antiqua"/>
                <w:b/>
                <w:i w:val="0"/>
                <w:sz w:val="20"/>
                <w:szCs w:val="20"/>
              </w:rPr>
            </w:pPr>
            <w:r w:rsidRPr="00702AA1">
              <w:rPr>
                <w:rFonts w:ascii="Book Antiqua" w:hAnsi="Book Antiqua"/>
                <w:b/>
                <w:sz w:val="20"/>
                <w:szCs w:val="20"/>
              </w:rPr>
              <w:t xml:space="preserve">Years of activity </w:t>
            </w:r>
          </w:p>
        </w:tc>
        <w:tc>
          <w:tcPr>
            <w:tcW w:w="2350" w:type="dxa"/>
            <w:shd w:val="clear" w:color="auto" w:fill="D9D9D9" w:themeFill="background1" w:themeFillShade="D9"/>
            <w:vAlign w:val="center"/>
          </w:tcPr>
          <w:p w14:paraId="5AF78AD2" w14:textId="77777777" w:rsidR="00F14C1C" w:rsidRPr="00702AA1" w:rsidRDefault="00F14C1C" w:rsidP="009C01B6">
            <w:pPr>
              <w:spacing w:before="40" w:after="4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2006 – (ongoing)</w:t>
            </w:r>
          </w:p>
        </w:tc>
        <w:tc>
          <w:tcPr>
            <w:tcW w:w="2350" w:type="dxa"/>
            <w:gridSpan w:val="2"/>
            <w:shd w:val="clear" w:color="auto" w:fill="D9D9D9" w:themeFill="background1" w:themeFillShade="D9"/>
            <w:vAlign w:val="center"/>
          </w:tcPr>
          <w:p w14:paraId="65957AB8" w14:textId="77777777" w:rsidR="00F14C1C" w:rsidRPr="00702AA1" w:rsidRDefault="00F14C1C" w:rsidP="009C01B6">
            <w:pPr>
              <w:spacing w:before="40" w:after="4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 xml:space="preserve">2010 – 2015 </w:t>
            </w:r>
          </w:p>
        </w:tc>
        <w:tc>
          <w:tcPr>
            <w:tcW w:w="2351" w:type="dxa"/>
            <w:shd w:val="clear" w:color="auto" w:fill="D9D9D9" w:themeFill="background1" w:themeFillShade="D9"/>
            <w:vAlign w:val="center"/>
          </w:tcPr>
          <w:p w14:paraId="3291DC48" w14:textId="77777777" w:rsidR="00F14C1C" w:rsidRPr="00702AA1" w:rsidRDefault="00F14C1C" w:rsidP="009C01B6">
            <w:pPr>
              <w:spacing w:before="40" w:after="4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2014 – (ongoing)</w:t>
            </w:r>
          </w:p>
        </w:tc>
      </w:tr>
      <w:tr w:rsidR="00F14C1C" w:rsidRPr="00702AA1" w14:paraId="2CB8F3AB" w14:textId="77777777" w:rsidTr="009C01B6">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bottom w:val="single" w:sz="4" w:space="0" w:color="666666" w:themeColor="text1" w:themeTint="99"/>
            </w:tcBorders>
          </w:tcPr>
          <w:p w14:paraId="7A40DA16" w14:textId="77777777" w:rsidR="00F14C1C" w:rsidRPr="00702AA1" w:rsidRDefault="00F14C1C" w:rsidP="009C01B6">
            <w:pPr>
              <w:spacing w:before="40" w:after="40"/>
              <w:jc w:val="both"/>
              <w:rPr>
                <w:rFonts w:ascii="Book Antiqua" w:hAnsi="Book Antiqua"/>
                <w:b/>
                <w:i w:val="0"/>
                <w:sz w:val="20"/>
                <w:szCs w:val="20"/>
              </w:rPr>
            </w:pPr>
            <w:r w:rsidRPr="00702AA1">
              <w:rPr>
                <w:rFonts w:ascii="Book Antiqua" w:hAnsi="Book Antiqua"/>
                <w:b/>
                <w:sz w:val="20"/>
                <w:szCs w:val="20"/>
              </w:rPr>
              <w:t xml:space="preserve">Purpose </w:t>
            </w:r>
          </w:p>
        </w:tc>
        <w:tc>
          <w:tcPr>
            <w:tcW w:w="2350" w:type="dxa"/>
            <w:vAlign w:val="center"/>
          </w:tcPr>
          <w:p w14:paraId="24FB6D1D" w14:textId="77777777" w:rsidR="00F14C1C" w:rsidRPr="00702AA1" w:rsidRDefault="00F14C1C" w:rsidP="009C01B6">
            <w:pPr>
              <w:spacing w:before="40" w:after="4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Provide a space for victims to tell their stories; obtain a broader reconstruction of the wartime facts; obtain official acknowledgement by region’s politicians.</w:t>
            </w:r>
          </w:p>
        </w:tc>
        <w:tc>
          <w:tcPr>
            <w:tcW w:w="2350" w:type="dxa"/>
            <w:gridSpan w:val="2"/>
            <w:vAlign w:val="center"/>
          </w:tcPr>
          <w:p w14:paraId="5C95B365" w14:textId="77777777" w:rsidR="00F14C1C" w:rsidRPr="00702AA1" w:rsidRDefault="00F14C1C" w:rsidP="009C01B6">
            <w:pPr>
              <w:spacing w:before="40" w:after="4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Provide a space for women to tell their (unknown) stories;</w:t>
            </w:r>
          </w:p>
          <w:p w14:paraId="76101CEE" w14:textId="540128C7" w:rsidR="00F14C1C" w:rsidRPr="00702AA1" w:rsidRDefault="00D678A1" w:rsidP="009C01B6">
            <w:pPr>
              <w:spacing w:before="40" w:after="4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s</w:t>
            </w:r>
            <w:r w:rsidR="00F14C1C" w:rsidRPr="00702AA1">
              <w:rPr>
                <w:rFonts w:ascii="Book Antiqua" w:hAnsi="Book Antiqua"/>
                <w:sz w:val="20"/>
                <w:szCs w:val="20"/>
              </w:rPr>
              <w:t>upport a broader concept of justice, point to structural causes of violence.</w:t>
            </w:r>
          </w:p>
        </w:tc>
        <w:tc>
          <w:tcPr>
            <w:tcW w:w="2351" w:type="dxa"/>
            <w:vAlign w:val="center"/>
          </w:tcPr>
          <w:p w14:paraId="6332BE3C" w14:textId="77777777" w:rsidR="00F14C1C" w:rsidRPr="00702AA1" w:rsidRDefault="00F14C1C" w:rsidP="009C01B6">
            <w:pPr>
              <w:spacing w:before="40" w:after="4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 xml:space="preserve">To fight against social injustice and political/institutional system that prevents change in BiH. </w:t>
            </w:r>
          </w:p>
        </w:tc>
      </w:tr>
      <w:tr w:rsidR="00F14C1C" w:rsidRPr="00702AA1" w14:paraId="347FAF67" w14:textId="77777777" w:rsidTr="009C0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bottom w:val="single" w:sz="4" w:space="0" w:color="666666" w:themeColor="text1" w:themeTint="99"/>
            </w:tcBorders>
            <w:shd w:val="clear" w:color="auto" w:fill="D9D9D9" w:themeFill="background1" w:themeFillShade="D9"/>
          </w:tcPr>
          <w:p w14:paraId="4E68A1DD" w14:textId="77777777" w:rsidR="00F14C1C" w:rsidRPr="00702AA1" w:rsidRDefault="00F14C1C" w:rsidP="009C01B6">
            <w:pPr>
              <w:spacing w:before="40" w:after="40"/>
              <w:jc w:val="both"/>
              <w:rPr>
                <w:rFonts w:ascii="Book Antiqua" w:hAnsi="Book Antiqua"/>
                <w:b/>
                <w:i w:val="0"/>
                <w:sz w:val="20"/>
                <w:szCs w:val="20"/>
              </w:rPr>
            </w:pPr>
            <w:r w:rsidRPr="00702AA1">
              <w:rPr>
                <w:rFonts w:ascii="Book Antiqua" w:hAnsi="Book Antiqua"/>
                <w:b/>
                <w:sz w:val="20"/>
                <w:szCs w:val="20"/>
              </w:rPr>
              <w:t>Participation</w:t>
            </w:r>
          </w:p>
        </w:tc>
        <w:tc>
          <w:tcPr>
            <w:tcW w:w="2350" w:type="dxa"/>
            <w:shd w:val="clear" w:color="auto" w:fill="D9D9D9" w:themeFill="background1" w:themeFillShade="D9"/>
            <w:vAlign w:val="center"/>
          </w:tcPr>
          <w:p w14:paraId="1F1684B6" w14:textId="77777777" w:rsidR="00F14C1C" w:rsidRPr="00702AA1" w:rsidRDefault="00F14C1C" w:rsidP="009C01B6">
            <w:pPr>
              <w:spacing w:before="40" w:after="4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Mostly NGOs (regional) and active individuals.</w:t>
            </w:r>
          </w:p>
        </w:tc>
        <w:tc>
          <w:tcPr>
            <w:tcW w:w="2350" w:type="dxa"/>
            <w:gridSpan w:val="2"/>
            <w:shd w:val="clear" w:color="auto" w:fill="D9D9D9" w:themeFill="background1" w:themeFillShade="D9"/>
            <w:vAlign w:val="center"/>
          </w:tcPr>
          <w:p w14:paraId="3DEE0366" w14:textId="44B826D8" w:rsidR="00F14C1C" w:rsidRPr="00702AA1" w:rsidRDefault="00F14C1C" w:rsidP="009C01B6">
            <w:pPr>
              <w:spacing w:before="40" w:after="4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Women’s organi</w:t>
            </w:r>
            <w:r w:rsidR="0004235C">
              <w:rPr>
                <w:rFonts w:ascii="Book Antiqua" w:hAnsi="Book Antiqua"/>
                <w:sz w:val="20"/>
                <w:szCs w:val="20"/>
              </w:rPr>
              <w:t>s</w:t>
            </w:r>
            <w:r w:rsidRPr="00702AA1">
              <w:rPr>
                <w:rFonts w:ascii="Book Antiqua" w:hAnsi="Book Antiqua"/>
                <w:sz w:val="20"/>
                <w:szCs w:val="20"/>
              </w:rPr>
              <w:t xml:space="preserve">ations (regional) and women affiliated to or approached by them.  </w:t>
            </w:r>
          </w:p>
        </w:tc>
        <w:tc>
          <w:tcPr>
            <w:tcW w:w="2351" w:type="dxa"/>
            <w:shd w:val="clear" w:color="auto" w:fill="D9D9D9" w:themeFill="background1" w:themeFillShade="D9"/>
            <w:vAlign w:val="center"/>
          </w:tcPr>
          <w:p w14:paraId="6F052C41" w14:textId="0C6BF1CA" w:rsidR="00F14C1C" w:rsidRPr="00702AA1" w:rsidRDefault="00F14C1C" w:rsidP="009C01B6">
            <w:pPr>
              <w:spacing w:before="40" w:after="4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Citizens’ participation in the protests; grassroots activists established informal groups (some still active).</w:t>
            </w:r>
          </w:p>
        </w:tc>
      </w:tr>
      <w:tr w:rsidR="00F14C1C" w:rsidRPr="00702AA1" w14:paraId="5198237F" w14:textId="77777777" w:rsidTr="009C01B6">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bottom w:val="single" w:sz="4" w:space="0" w:color="666666" w:themeColor="text1" w:themeTint="99"/>
            </w:tcBorders>
          </w:tcPr>
          <w:p w14:paraId="2178CA93" w14:textId="77777777" w:rsidR="00F14C1C" w:rsidRPr="00702AA1" w:rsidRDefault="00F14C1C" w:rsidP="009C01B6">
            <w:pPr>
              <w:spacing w:before="40" w:after="40"/>
              <w:jc w:val="both"/>
              <w:rPr>
                <w:rFonts w:ascii="Book Antiqua" w:hAnsi="Book Antiqua"/>
                <w:b/>
                <w:sz w:val="20"/>
                <w:szCs w:val="20"/>
              </w:rPr>
            </w:pPr>
            <w:r w:rsidRPr="00702AA1">
              <w:rPr>
                <w:rFonts w:ascii="Book Antiqua" w:hAnsi="Book Antiqua"/>
                <w:b/>
                <w:sz w:val="20"/>
                <w:szCs w:val="20"/>
              </w:rPr>
              <w:t xml:space="preserve">Institutional support in BiH </w:t>
            </w:r>
          </w:p>
        </w:tc>
        <w:tc>
          <w:tcPr>
            <w:tcW w:w="2350" w:type="dxa"/>
            <w:vAlign w:val="center"/>
          </w:tcPr>
          <w:p w14:paraId="3200402C" w14:textId="77777777" w:rsidR="00F14C1C" w:rsidRPr="00702AA1" w:rsidRDefault="00F14C1C" w:rsidP="009C01B6">
            <w:pPr>
              <w:spacing w:before="40" w:after="4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No</w:t>
            </w:r>
          </w:p>
        </w:tc>
        <w:tc>
          <w:tcPr>
            <w:tcW w:w="2350" w:type="dxa"/>
            <w:gridSpan w:val="2"/>
            <w:vAlign w:val="center"/>
          </w:tcPr>
          <w:p w14:paraId="4EAA987F" w14:textId="77777777" w:rsidR="00F14C1C" w:rsidRPr="00702AA1" w:rsidRDefault="00F14C1C" w:rsidP="009C01B6">
            <w:pPr>
              <w:spacing w:before="40" w:after="4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No</w:t>
            </w:r>
          </w:p>
        </w:tc>
        <w:tc>
          <w:tcPr>
            <w:tcW w:w="2351" w:type="dxa"/>
            <w:vAlign w:val="center"/>
          </w:tcPr>
          <w:p w14:paraId="01A9290A" w14:textId="77777777" w:rsidR="00F14C1C" w:rsidRPr="00702AA1" w:rsidRDefault="00F14C1C" w:rsidP="009C01B6">
            <w:pPr>
              <w:spacing w:before="40" w:after="4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No</w:t>
            </w:r>
          </w:p>
        </w:tc>
      </w:tr>
      <w:tr w:rsidR="00F14C1C" w:rsidRPr="00702AA1" w14:paraId="1842F1FE" w14:textId="77777777" w:rsidTr="009C0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bottom w:val="single" w:sz="4" w:space="0" w:color="666666" w:themeColor="text1" w:themeTint="99"/>
            </w:tcBorders>
            <w:shd w:val="clear" w:color="auto" w:fill="D9D9D9" w:themeFill="background1" w:themeFillShade="D9"/>
            <w:vAlign w:val="center"/>
          </w:tcPr>
          <w:p w14:paraId="5496A830" w14:textId="77777777" w:rsidR="00F14C1C" w:rsidRPr="00702AA1" w:rsidRDefault="00F14C1C" w:rsidP="009C01B6">
            <w:pPr>
              <w:spacing w:before="40" w:after="40"/>
              <w:rPr>
                <w:rFonts w:ascii="Book Antiqua" w:hAnsi="Book Antiqua"/>
                <w:b/>
                <w:iCs w:val="0"/>
                <w:sz w:val="20"/>
                <w:szCs w:val="20"/>
              </w:rPr>
            </w:pPr>
            <w:r w:rsidRPr="00702AA1">
              <w:rPr>
                <w:rFonts w:ascii="Book Antiqua" w:hAnsi="Book Antiqua"/>
                <w:b/>
                <w:sz w:val="20"/>
                <w:szCs w:val="20"/>
              </w:rPr>
              <w:t xml:space="preserve">International support </w:t>
            </w:r>
          </w:p>
          <w:p w14:paraId="32BF11B4" w14:textId="77777777" w:rsidR="00F14C1C" w:rsidRPr="00702AA1" w:rsidRDefault="00F14C1C" w:rsidP="009C01B6">
            <w:pPr>
              <w:spacing w:before="40" w:after="40"/>
              <w:rPr>
                <w:rFonts w:ascii="Book Antiqua" w:hAnsi="Book Antiqua"/>
                <w:sz w:val="20"/>
                <w:szCs w:val="20"/>
              </w:rPr>
            </w:pPr>
          </w:p>
        </w:tc>
        <w:tc>
          <w:tcPr>
            <w:tcW w:w="2350" w:type="dxa"/>
            <w:shd w:val="clear" w:color="auto" w:fill="D9D9D9" w:themeFill="background1" w:themeFillShade="D9"/>
            <w:vAlign w:val="center"/>
          </w:tcPr>
          <w:p w14:paraId="6716FF2E" w14:textId="1C91508C" w:rsidR="00F14C1C" w:rsidRPr="00702AA1" w:rsidRDefault="00F14C1C" w:rsidP="009C01B6">
            <w:pPr>
              <w:spacing w:before="40" w:after="4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Strong (financial support from EU, foundations/embassies; support by Council of Europe, etc.).</w:t>
            </w:r>
          </w:p>
        </w:tc>
        <w:tc>
          <w:tcPr>
            <w:tcW w:w="2350" w:type="dxa"/>
            <w:gridSpan w:val="2"/>
            <w:shd w:val="clear" w:color="auto" w:fill="D9D9D9" w:themeFill="background1" w:themeFillShade="D9"/>
            <w:vAlign w:val="center"/>
          </w:tcPr>
          <w:p w14:paraId="78486AEA" w14:textId="77777777" w:rsidR="00F14C1C" w:rsidRPr="00702AA1" w:rsidRDefault="00F14C1C" w:rsidP="009C01B6">
            <w:pPr>
              <w:spacing w:before="40" w:after="4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Extremely limited.</w:t>
            </w:r>
          </w:p>
        </w:tc>
        <w:tc>
          <w:tcPr>
            <w:tcW w:w="2351" w:type="dxa"/>
            <w:shd w:val="clear" w:color="auto" w:fill="D9D9D9" w:themeFill="background1" w:themeFillShade="D9"/>
            <w:vAlign w:val="center"/>
          </w:tcPr>
          <w:p w14:paraId="0D3A7FBB" w14:textId="77777777" w:rsidR="00F14C1C" w:rsidRPr="00702AA1" w:rsidRDefault="00F14C1C" w:rsidP="009C01B6">
            <w:pPr>
              <w:spacing w:before="40" w:after="4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702AA1">
              <w:rPr>
                <w:rFonts w:ascii="Book Antiqua" w:hAnsi="Book Antiqua"/>
                <w:sz w:val="20"/>
                <w:szCs w:val="20"/>
              </w:rPr>
              <w:t>International interest; support from Austrian Initiative.</w:t>
            </w:r>
          </w:p>
        </w:tc>
      </w:tr>
    </w:tbl>
    <w:p w14:paraId="224FBBC2" w14:textId="77777777" w:rsidR="00F14C1C" w:rsidRPr="00702AA1" w:rsidRDefault="00F14C1C" w:rsidP="00C62AF4">
      <w:pPr>
        <w:spacing w:line="360" w:lineRule="auto"/>
        <w:jc w:val="both"/>
        <w:rPr>
          <w:rFonts w:ascii="Book Antiqua" w:hAnsi="Book Antiqua"/>
        </w:rPr>
      </w:pPr>
    </w:p>
    <w:p w14:paraId="4D44EE6D" w14:textId="70069E5C" w:rsidR="004C3BB2" w:rsidRPr="00702AA1" w:rsidRDefault="004C3BB2" w:rsidP="00C62AF4">
      <w:pPr>
        <w:spacing w:line="360" w:lineRule="auto"/>
        <w:jc w:val="both"/>
        <w:rPr>
          <w:rFonts w:ascii="Book Antiqua" w:hAnsi="Book Antiqua"/>
          <w:b/>
          <w:i/>
        </w:rPr>
      </w:pPr>
      <w:r w:rsidRPr="00702AA1">
        <w:rPr>
          <w:rFonts w:ascii="Book Antiqua" w:hAnsi="Book Antiqua"/>
          <w:b/>
          <w:i/>
        </w:rPr>
        <w:t>The initiative for RECOM</w:t>
      </w:r>
    </w:p>
    <w:p w14:paraId="687B9B9E" w14:textId="1BAC83D4" w:rsidR="008347F1" w:rsidRPr="00702AA1" w:rsidRDefault="004C3BB2">
      <w:pPr>
        <w:spacing w:line="360" w:lineRule="auto"/>
        <w:jc w:val="both"/>
        <w:rPr>
          <w:rFonts w:ascii="Book Antiqua" w:hAnsi="Book Antiqua"/>
        </w:rPr>
      </w:pPr>
      <w:r w:rsidRPr="00702AA1">
        <w:rPr>
          <w:rFonts w:ascii="Book Antiqua" w:hAnsi="Book Antiqua"/>
        </w:rPr>
        <w:t>The idea of a regional truth commission for the former Yugoslavia emerged out of the failures to establish national truth commissions in the region, and particularly in Bosnia and Herzegovina. Here, three different attempts, in 1997, 2000 and 2005, produced only a series of draft statutes, which were never implemented. All of these attempts had been initiated by or with the strong support of the US Institute for Peace (USIP) and aimed to compensate for the limits of the retributive justice process, by providing a space for victims and producing a more comprehensive reconstructi</w:t>
      </w:r>
      <w:r w:rsidR="002C026E" w:rsidRPr="00702AA1">
        <w:rPr>
          <w:rFonts w:ascii="Book Antiqua" w:hAnsi="Book Antiqua"/>
        </w:rPr>
        <w:t>on of the past (Kritz and Finci</w:t>
      </w:r>
      <w:r w:rsidR="008F726A">
        <w:rPr>
          <w:rFonts w:ascii="Book Antiqua" w:hAnsi="Book Antiqua"/>
        </w:rPr>
        <w:t>,</w:t>
      </w:r>
      <w:r w:rsidRPr="00702AA1">
        <w:rPr>
          <w:rFonts w:ascii="Book Antiqua" w:hAnsi="Book Antiqua"/>
        </w:rPr>
        <w:t xml:space="preserve"> 2001). However, </w:t>
      </w:r>
      <w:r w:rsidR="00945413" w:rsidRPr="00702AA1">
        <w:rPr>
          <w:rFonts w:ascii="Book Antiqua" w:hAnsi="Book Antiqua"/>
        </w:rPr>
        <w:t xml:space="preserve">these initiatives </w:t>
      </w:r>
      <w:r w:rsidRPr="00702AA1">
        <w:rPr>
          <w:rFonts w:ascii="Book Antiqua" w:hAnsi="Book Antiqua"/>
        </w:rPr>
        <w:t>had never really found the support of the local civil society organi</w:t>
      </w:r>
      <w:r w:rsidR="008F726A">
        <w:rPr>
          <w:rFonts w:ascii="Book Antiqua" w:hAnsi="Book Antiqua"/>
        </w:rPr>
        <w:t>s</w:t>
      </w:r>
      <w:r w:rsidRPr="00702AA1">
        <w:rPr>
          <w:rFonts w:ascii="Book Antiqua" w:hAnsi="Book Antiqua"/>
        </w:rPr>
        <w:t>ations, who felt that the process lacked transparency (</w:t>
      </w:r>
      <w:r w:rsidR="00FC0B68" w:rsidRPr="00702AA1">
        <w:rPr>
          <w:rFonts w:ascii="Book Antiqua" w:hAnsi="Book Antiqua" w:cs="Times New Roman"/>
        </w:rPr>
        <w:t>UNDP</w:t>
      </w:r>
      <w:r w:rsidR="008F726A">
        <w:rPr>
          <w:rFonts w:ascii="Book Antiqua" w:hAnsi="Book Antiqua" w:cs="Times New Roman"/>
        </w:rPr>
        <w:t>,</w:t>
      </w:r>
      <w:r w:rsidR="00FC0B68" w:rsidRPr="00702AA1">
        <w:rPr>
          <w:rFonts w:ascii="Book Antiqua" w:hAnsi="Book Antiqua" w:cs="Times New Roman"/>
        </w:rPr>
        <w:t xml:space="preserve"> 2009</w:t>
      </w:r>
      <w:r w:rsidR="00920A30" w:rsidRPr="00702AA1">
        <w:rPr>
          <w:rFonts w:ascii="Book Antiqua" w:hAnsi="Book Antiqua" w:cs="Times New Roman"/>
        </w:rPr>
        <w:t>:</w:t>
      </w:r>
      <w:r w:rsidR="00FC0B68" w:rsidRPr="00702AA1">
        <w:rPr>
          <w:rFonts w:ascii="Book Antiqua" w:hAnsi="Book Antiqua" w:cs="Times New Roman"/>
        </w:rPr>
        <w:t xml:space="preserve"> </w:t>
      </w:r>
      <w:r w:rsidRPr="00702AA1">
        <w:rPr>
          <w:rFonts w:ascii="Book Antiqua" w:hAnsi="Book Antiqua" w:cs="Times New Roman"/>
        </w:rPr>
        <w:t>56)</w:t>
      </w:r>
      <w:r w:rsidR="00945413" w:rsidRPr="00702AA1">
        <w:rPr>
          <w:rFonts w:ascii="Book Antiqua" w:hAnsi="Book Antiqua" w:cs="Times New Roman"/>
        </w:rPr>
        <w:t>,</w:t>
      </w:r>
      <w:r w:rsidRPr="00702AA1">
        <w:rPr>
          <w:rFonts w:ascii="Book Antiqua" w:hAnsi="Book Antiqua" w:cs="Times New Roman"/>
        </w:rPr>
        <w:t xml:space="preserve"> or of the victims’ associations, who held that the government should focus instead on more concrete measures to meet their needs (</w:t>
      </w:r>
      <w:r w:rsidR="002C026E" w:rsidRPr="00702AA1">
        <w:rPr>
          <w:rFonts w:ascii="Book Antiqua" w:hAnsi="Book Antiqua"/>
        </w:rPr>
        <w:t>Dragovi</w:t>
      </w:r>
      <w:r w:rsidR="002C026E" w:rsidRPr="00702AA1">
        <w:rPr>
          <w:rFonts w:ascii="Book Antiqua" w:hAnsi="Book Antiqua" w:hint="eastAsia"/>
        </w:rPr>
        <w:t>ć</w:t>
      </w:r>
      <w:r w:rsidR="002C026E" w:rsidRPr="00702AA1">
        <w:rPr>
          <w:rFonts w:ascii="Book Antiqua" w:hAnsi="Book Antiqua"/>
        </w:rPr>
        <w:t>-Soso and Gordy</w:t>
      </w:r>
      <w:r w:rsidR="008F726A">
        <w:rPr>
          <w:rFonts w:ascii="Book Antiqua" w:hAnsi="Book Antiqua"/>
        </w:rPr>
        <w:t>,</w:t>
      </w:r>
      <w:r w:rsidR="002C026E" w:rsidRPr="00702AA1">
        <w:rPr>
          <w:rFonts w:ascii="Book Antiqua" w:hAnsi="Book Antiqua"/>
        </w:rPr>
        <w:t xml:space="preserve"> 2011:</w:t>
      </w:r>
      <w:r w:rsidR="00FC0B68" w:rsidRPr="00702AA1">
        <w:rPr>
          <w:rFonts w:ascii="Book Antiqua" w:hAnsi="Book Antiqua"/>
        </w:rPr>
        <w:t xml:space="preserve"> </w:t>
      </w:r>
      <w:r w:rsidRPr="00702AA1">
        <w:rPr>
          <w:rFonts w:ascii="Book Antiqua" w:hAnsi="Book Antiqua"/>
        </w:rPr>
        <w:t>203).</w:t>
      </w:r>
      <w:r w:rsidRPr="00702AA1">
        <w:rPr>
          <w:rFonts w:ascii="Book Antiqua" w:hAnsi="Book Antiqua" w:cs="Times New Roman"/>
        </w:rPr>
        <w:t xml:space="preserve">  </w:t>
      </w:r>
      <w:r w:rsidRPr="00702AA1">
        <w:rPr>
          <w:rFonts w:ascii="Book Antiqua" w:hAnsi="Book Antiqua"/>
        </w:rPr>
        <w:t>Hence, RECOM’s activists had well in mind the limits of top-down processes, both judicial and non-judicial, when they started pondering on the project of a regional truth commission.</w:t>
      </w:r>
      <w:r w:rsidRPr="00702AA1">
        <w:rPr>
          <w:rStyle w:val="FootnoteReference"/>
          <w:rFonts w:ascii="Book Antiqua" w:hAnsi="Book Antiqua"/>
        </w:rPr>
        <w:footnoteReference w:id="1"/>
      </w:r>
      <w:r w:rsidRPr="00702AA1">
        <w:rPr>
          <w:rFonts w:ascii="Book Antiqua" w:hAnsi="Book Antiqua"/>
        </w:rPr>
        <w:t xml:space="preserve"> RECOM was </w:t>
      </w:r>
      <w:r w:rsidR="00C95B48">
        <w:rPr>
          <w:rFonts w:ascii="Book Antiqua" w:hAnsi="Book Antiqua"/>
        </w:rPr>
        <w:t>conceived</w:t>
      </w:r>
      <w:r w:rsidR="00C95B48" w:rsidRPr="00702AA1">
        <w:rPr>
          <w:rFonts w:ascii="Book Antiqua" w:hAnsi="Book Antiqua"/>
        </w:rPr>
        <w:t xml:space="preserve"> </w:t>
      </w:r>
      <w:r w:rsidR="00D26C62">
        <w:rPr>
          <w:rFonts w:ascii="Book Antiqua" w:hAnsi="Book Antiqua"/>
        </w:rPr>
        <w:t>by</w:t>
      </w:r>
      <w:r w:rsidRPr="00702AA1">
        <w:rPr>
          <w:rFonts w:ascii="Book Antiqua" w:hAnsi="Book Antiqua"/>
        </w:rPr>
        <w:t xml:space="preserve"> three human rights organi</w:t>
      </w:r>
      <w:r w:rsidR="008F726A">
        <w:rPr>
          <w:rFonts w:ascii="Book Antiqua" w:hAnsi="Book Antiqua"/>
        </w:rPr>
        <w:t>s</w:t>
      </w:r>
      <w:r w:rsidRPr="00702AA1">
        <w:rPr>
          <w:rFonts w:ascii="Book Antiqua" w:hAnsi="Book Antiqua"/>
        </w:rPr>
        <w:t>ations, who already worked at the identification of victims of the Yugoslav wars and had signed a protocol of cooperation in 2004</w:t>
      </w:r>
      <w:r w:rsidR="00170DC5">
        <w:rPr>
          <w:rFonts w:ascii="Book Antiqua" w:hAnsi="Book Antiqua"/>
        </w:rPr>
        <w:t>:</w:t>
      </w:r>
      <w:r w:rsidR="0049184A" w:rsidRPr="00702AA1">
        <w:rPr>
          <w:rFonts w:ascii="Book Antiqua" w:hAnsi="Book Antiqua"/>
        </w:rPr>
        <w:t xml:space="preserve"> the Humanitarian Law Center from Belgrade, Documenta from Zagreb and the Research and Documentation Center </w:t>
      </w:r>
      <w:r w:rsidR="0049184A" w:rsidRPr="00702AA1">
        <w:rPr>
          <w:rFonts w:ascii="Book Antiqua" w:hAnsi="Book Antiqua"/>
        </w:rPr>
        <w:lastRenderedPageBreak/>
        <w:t>from Sarajevo</w:t>
      </w:r>
      <w:r w:rsidRPr="00702AA1">
        <w:rPr>
          <w:rFonts w:ascii="Book Antiqua" w:hAnsi="Book Antiqua"/>
        </w:rPr>
        <w:t>. The regional approach was thought to better reflect the regional nature of the Yugoslav wars</w:t>
      </w:r>
      <w:r w:rsidR="00347990" w:rsidRPr="00702AA1">
        <w:rPr>
          <w:rFonts w:ascii="Book Antiqua" w:hAnsi="Book Antiqua"/>
        </w:rPr>
        <w:t>, and was also translated in the initiative’s goal of establishing an intergovernmental commission with the support of governments from all former Yugoslav states.</w:t>
      </w:r>
      <w:r w:rsidR="00ED3580" w:rsidRPr="00702AA1">
        <w:rPr>
          <w:rStyle w:val="FootnoteReference"/>
          <w:rFonts w:ascii="Book Antiqua" w:hAnsi="Book Antiqua"/>
        </w:rPr>
        <w:footnoteReference w:id="2"/>
      </w:r>
      <w:r w:rsidR="00347990" w:rsidRPr="00702AA1">
        <w:rPr>
          <w:rFonts w:ascii="Book Antiqua" w:hAnsi="Book Antiqua"/>
        </w:rPr>
        <w:t xml:space="preserve"> </w:t>
      </w:r>
      <w:r w:rsidR="00FC0B68" w:rsidRPr="00702AA1">
        <w:rPr>
          <w:rFonts w:ascii="Book Antiqua" w:hAnsi="Book Antiqua"/>
        </w:rPr>
        <w:t xml:space="preserve">This last, harder step, </w:t>
      </w:r>
      <w:r w:rsidR="00347990" w:rsidRPr="00702AA1">
        <w:rPr>
          <w:rFonts w:ascii="Book Antiqua" w:hAnsi="Book Antiqua"/>
        </w:rPr>
        <w:t xml:space="preserve">despite consuming </w:t>
      </w:r>
      <w:r w:rsidR="00FC0B68" w:rsidRPr="00702AA1">
        <w:rPr>
          <w:rFonts w:ascii="Book Antiqua" w:hAnsi="Book Antiqua"/>
        </w:rPr>
        <w:t xml:space="preserve">much of the initiative’s energy, has </w:t>
      </w:r>
      <w:r w:rsidR="00347990" w:rsidRPr="00702AA1">
        <w:rPr>
          <w:rFonts w:ascii="Book Antiqua" w:hAnsi="Book Antiqua"/>
        </w:rPr>
        <w:t>so far not been reached, also due to the changing political equilibriums in the region</w:t>
      </w:r>
      <w:r w:rsidR="00D65847" w:rsidRPr="00702AA1">
        <w:rPr>
          <w:rFonts w:ascii="Book Antiqua" w:hAnsi="Book Antiqua"/>
        </w:rPr>
        <w:t>.</w:t>
      </w:r>
      <w:r w:rsidR="00D65847" w:rsidRPr="00702AA1">
        <w:rPr>
          <w:rStyle w:val="FootnoteReference"/>
          <w:rFonts w:ascii="Book Antiqua" w:hAnsi="Book Antiqua"/>
        </w:rPr>
        <w:t xml:space="preserve"> </w:t>
      </w:r>
      <w:r w:rsidR="00D65847" w:rsidRPr="00702AA1">
        <w:rPr>
          <w:rStyle w:val="FootnoteReference"/>
          <w:rFonts w:ascii="Book Antiqua" w:hAnsi="Book Antiqua"/>
        </w:rPr>
        <w:footnoteReference w:id="3"/>
      </w:r>
    </w:p>
    <w:p w14:paraId="2A61109B" w14:textId="77777777" w:rsidR="008F726A" w:rsidRDefault="008F726A" w:rsidP="004D14DC">
      <w:pPr>
        <w:spacing w:line="360" w:lineRule="auto"/>
        <w:jc w:val="both"/>
        <w:rPr>
          <w:rFonts w:ascii="Book Antiqua" w:hAnsi="Book Antiqua"/>
        </w:rPr>
      </w:pPr>
    </w:p>
    <w:p w14:paraId="690DFC4D" w14:textId="32FFF79D" w:rsidR="004C3BB2" w:rsidRPr="00702AA1" w:rsidRDefault="00FC0B68" w:rsidP="004D14DC">
      <w:pPr>
        <w:spacing w:line="360" w:lineRule="auto"/>
        <w:jc w:val="both"/>
        <w:rPr>
          <w:rFonts w:ascii="Book Antiqua" w:hAnsi="Book Antiqua"/>
        </w:rPr>
      </w:pPr>
      <w:r w:rsidRPr="00702AA1">
        <w:rPr>
          <w:rFonts w:ascii="Book Antiqua" w:hAnsi="Book Antiqua"/>
        </w:rPr>
        <w:t>B</w:t>
      </w:r>
      <w:r w:rsidR="004C3BB2" w:rsidRPr="00702AA1">
        <w:rPr>
          <w:rFonts w:ascii="Book Antiqua" w:hAnsi="Book Antiqua"/>
        </w:rPr>
        <w:t xml:space="preserve">y consciously addressing the mentioned shortcomings of top-down transitional justice in the region, </w:t>
      </w:r>
      <w:r w:rsidRPr="00702AA1">
        <w:rPr>
          <w:rFonts w:ascii="Book Antiqua" w:hAnsi="Book Antiqua"/>
        </w:rPr>
        <w:t>the organisers</w:t>
      </w:r>
      <w:r w:rsidR="004C3BB2" w:rsidRPr="00702AA1">
        <w:rPr>
          <w:rFonts w:ascii="Book Antiqua" w:hAnsi="Book Antiqua"/>
        </w:rPr>
        <w:t xml:space="preserve"> aimed at a strongly inclusive and locally</w:t>
      </w:r>
      <w:r w:rsidR="0078012E" w:rsidRPr="00702AA1">
        <w:rPr>
          <w:rFonts w:ascii="Book Antiqua" w:hAnsi="Book Antiqua"/>
        </w:rPr>
        <w:t>-</w:t>
      </w:r>
      <w:r w:rsidR="004C3BB2" w:rsidRPr="00702AA1">
        <w:rPr>
          <w:rFonts w:ascii="Book Antiqua" w:hAnsi="Book Antiqua"/>
        </w:rPr>
        <w:t>owned process.</w:t>
      </w:r>
      <w:r w:rsidR="000B3E24" w:rsidRPr="00702AA1">
        <w:rPr>
          <w:rFonts w:ascii="Book Antiqua" w:hAnsi="Book Antiqua"/>
        </w:rPr>
        <w:t xml:space="preserve"> This </w:t>
      </w:r>
      <w:r w:rsidR="0049184A" w:rsidRPr="00702AA1">
        <w:rPr>
          <w:rFonts w:ascii="Book Antiqua" w:hAnsi="Book Antiqua"/>
        </w:rPr>
        <w:t xml:space="preserve">initiative had the potential to be </w:t>
      </w:r>
      <w:r w:rsidR="000B3E24" w:rsidRPr="00702AA1">
        <w:rPr>
          <w:rFonts w:ascii="Book Antiqua" w:hAnsi="Book Antiqua"/>
        </w:rPr>
        <w:t xml:space="preserve">one of the most transformative attempts carried out in the former Yugoslavia since the end of the conflicts. </w:t>
      </w:r>
      <w:r w:rsidRPr="00702AA1">
        <w:rPr>
          <w:rFonts w:ascii="Book Antiqua" w:hAnsi="Book Antiqua"/>
        </w:rPr>
        <w:t>The leading RECOM activists</w:t>
      </w:r>
      <w:r w:rsidR="000B3E24" w:rsidRPr="00702AA1">
        <w:rPr>
          <w:rFonts w:ascii="Book Antiqua" w:hAnsi="Book Antiqua"/>
        </w:rPr>
        <w:t xml:space="preserve"> wanted the </w:t>
      </w:r>
      <w:r w:rsidR="004C3BB2" w:rsidRPr="00702AA1">
        <w:rPr>
          <w:rFonts w:ascii="Book Antiqua" w:hAnsi="Book Antiqua"/>
        </w:rPr>
        <w:t>prospective truth commission to be the result of a broad consultation process involving numerous and diverse actors of the local civil society.</w:t>
      </w:r>
      <w:r w:rsidR="004C3BB2" w:rsidRPr="00702AA1">
        <w:rPr>
          <w:rStyle w:val="FootnoteReference"/>
          <w:rFonts w:ascii="Book Antiqua" w:hAnsi="Book Antiqua"/>
        </w:rPr>
        <w:footnoteReference w:id="4"/>
      </w:r>
      <w:r w:rsidR="004C3BB2" w:rsidRPr="00702AA1">
        <w:rPr>
          <w:rFonts w:ascii="Book Antiqua" w:hAnsi="Book Antiqua"/>
        </w:rPr>
        <w:t xml:space="preserve"> From 2007 to 2011, 127 consultations were therefore carried out throughout the seven former Yugoslav countries, involving NGOs, victims’ associations (of all ethnic groups), war veterans</w:t>
      </w:r>
      <w:r w:rsidR="005455E5" w:rsidRPr="00702AA1">
        <w:rPr>
          <w:rFonts w:ascii="Book Antiqua" w:hAnsi="Book Antiqua"/>
        </w:rPr>
        <w:t>’</w:t>
      </w:r>
      <w:r w:rsidR="004C3BB2" w:rsidRPr="00702AA1">
        <w:rPr>
          <w:rFonts w:ascii="Book Antiqua" w:hAnsi="Book Antiqua"/>
        </w:rPr>
        <w:t xml:space="preserve"> organi</w:t>
      </w:r>
      <w:r w:rsidR="008F726A">
        <w:rPr>
          <w:rFonts w:ascii="Book Antiqua" w:hAnsi="Book Antiqua"/>
        </w:rPr>
        <w:t>s</w:t>
      </w:r>
      <w:r w:rsidR="004C3BB2" w:rsidRPr="00702AA1">
        <w:rPr>
          <w:rFonts w:ascii="Book Antiqua" w:hAnsi="Book Antiqua"/>
        </w:rPr>
        <w:t>ations, journalists</w:t>
      </w:r>
      <w:r w:rsidR="005455E5" w:rsidRPr="00702AA1">
        <w:rPr>
          <w:rFonts w:ascii="Book Antiqua" w:hAnsi="Book Antiqua"/>
        </w:rPr>
        <w:t xml:space="preserve"> and </w:t>
      </w:r>
      <w:r w:rsidR="004C3BB2" w:rsidRPr="00702AA1">
        <w:rPr>
          <w:rFonts w:ascii="Book Antiqua" w:hAnsi="Book Antiqua"/>
        </w:rPr>
        <w:t>artists, to discuss the prospective truth commission and adopt a draft statute. Also thanks to the support of the ICTJ from New York, RECOM managed to secure considerable funds for the consultation and awaren</w:t>
      </w:r>
      <w:r w:rsidRPr="00702AA1">
        <w:rPr>
          <w:rFonts w:ascii="Book Antiqua" w:hAnsi="Book Antiqua"/>
        </w:rPr>
        <w:t>ess-</w:t>
      </w:r>
      <w:r w:rsidR="004C3BB2" w:rsidRPr="00702AA1">
        <w:rPr>
          <w:rFonts w:ascii="Book Antiqua" w:hAnsi="Book Antiqua"/>
        </w:rPr>
        <w:t>raising process</w:t>
      </w:r>
      <w:r w:rsidR="003C5D2D">
        <w:rPr>
          <w:rFonts w:ascii="Book Antiqua" w:hAnsi="Book Antiqua"/>
        </w:rPr>
        <w:t xml:space="preserve"> (RECOM</w:t>
      </w:r>
      <w:r w:rsidR="008F726A">
        <w:rPr>
          <w:rFonts w:ascii="Book Antiqua" w:hAnsi="Book Antiqua"/>
        </w:rPr>
        <w:t>,</w:t>
      </w:r>
      <w:r w:rsidR="003C5D2D">
        <w:rPr>
          <w:rFonts w:ascii="Book Antiqua" w:hAnsi="Book Antiqua"/>
        </w:rPr>
        <w:t xml:space="preserve"> 2011b)</w:t>
      </w:r>
      <w:r w:rsidR="004C3BB2" w:rsidRPr="00702AA1">
        <w:rPr>
          <w:rFonts w:ascii="Book Antiqua" w:hAnsi="Book Antiqua"/>
        </w:rPr>
        <w:t xml:space="preserve">.  </w:t>
      </w:r>
      <w:r w:rsidR="000B3E24" w:rsidRPr="00702AA1">
        <w:rPr>
          <w:rFonts w:ascii="Book Antiqua" w:hAnsi="Book Antiqua"/>
        </w:rPr>
        <w:t xml:space="preserve">Considering its declared bottom-up, inclusive approach and its awareness of the flaws of previous top-down transitional justice approaches, RECOM clearly displayed some transformative potential. Its advocates presented it as an unprecedented effort of inclusiveness and local ownership: </w:t>
      </w:r>
      <w:r w:rsidR="005455E5" w:rsidRPr="00702AA1">
        <w:rPr>
          <w:rFonts w:ascii="Book Antiqua" w:hAnsi="Book Antiqua"/>
          <w:iCs/>
        </w:rPr>
        <w:t>’</w:t>
      </w:r>
      <w:r w:rsidR="00E070D4" w:rsidRPr="00702AA1">
        <w:rPr>
          <w:rFonts w:ascii="Book Antiqua" w:hAnsi="Book Antiqua"/>
          <w:iCs/>
        </w:rPr>
        <w:t>I</w:t>
      </w:r>
      <w:r w:rsidR="000B3E24" w:rsidRPr="00702AA1">
        <w:rPr>
          <w:rFonts w:ascii="Book Antiqua" w:hAnsi="Book Antiqua"/>
          <w:iCs/>
        </w:rPr>
        <w:t>f you compare this experience with any experience around the world, you will hardly find any initiative that is so inclusive</w:t>
      </w:r>
      <w:r w:rsidR="005455E5" w:rsidRPr="00702AA1">
        <w:rPr>
          <w:rFonts w:ascii="Book Antiqua" w:hAnsi="Book Antiqua"/>
          <w:iCs/>
        </w:rPr>
        <w:t>’</w:t>
      </w:r>
      <w:r w:rsidR="003864EA">
        <w:rPr>
          <w:rFonts w:ascii="Book Antiqua" w:hAnsi="Book Antiqua"/>
        </w:rPr>
        <w:t>.</w:t>
      </w:r>
      <w:r w:rsidR="000B3E24" w:rsidRPr="00702AA1">
        <w:rPr>
          <w:rStyle w:val="FootnoteReference"/>
          <w:rFonts w:ascii="Book Antiqua" w:hAnsi="Book Antiqua"/>
        </w:rPr>
        <w:footnoteReference w:id="5"/>
      </w:r>
      <w:r w:rsidR="000B3E24" w:rsidRPr="00702AA1">
        <w:rPr>
          <w:rFonts w:ascii="Book Antiqua" w:hAnsi="Book Antiqua"/>
        </w:rPr>
        <w:t xml:space="preserve"> Its democratic organi</w:t>
      </w:r>
      <w:r w:rsidR="008F726A">
        <w:rPr>
          <w:rFonts w:ascii="Book Antiqua" w:hAnsi="Book Antiqua"/>
        </w:rPr>
        <w:t>s</w:t>
      </w:r>
      <w:r w:rsidR="000B3E24" w:rsidRPr="00702AA1">
        <w:rPr>
          <w:rFonts w:ascii="Book Antiqua" w:hAnsi="Book Antiqua"/>
        </w:rPr>
        <w:t xml:space="preserve">ation, with an Assembly of members and a Coordination Council as representative decision-making bodies, lent credibility to these statements. </w:t>
      </w:r>
    </w:p>
    <w:p w14:paraId="58236F0A" w14:textId="77777777" w:rsidR="008F726A" w:rsidRDefault="008F726A" w:rsidP="004D14DC">
      <w:pPr>
        <w:spacing w:line="360" w:lineRule="auto"/>
        <w:jc w:val="both"/>
        <w:rPr>
          <w:rFonts w:ascii="Book Antiqua" w:hAnsi="Book Antiqua"/>
        </w:rPr>
      </w:pPr>
    </w:p>
    <w:p w14:paraId="5894F222" w14:textId="697A0FE0" w:rsidR="00E070D4" w:rsidRPr="00702AA1" w:rsidRDefault="00E070D4" w:rsidP="004D14DC">
      <w:pPr>
        <w:spacing w:line="360" w:lineRule="auto"/>
        <w:jc w:val="both"/>
        <w:rPr>
          <w:rFonts w:ascii="Book Antiqua" w:hAnsi="Book Antiqua"/>
        </w:rPr>
      </w:pPr>
      <w:r w:rsidRPr="00702AA1">
        <w:rPr>
          <w:rFonts w:ascii="Book Antiqua" w:hAnsi="Book Antiqua"/>
        </w:rPr>
        <w:t>However, a closer analysis of the consultation process and of the overall initiative points to a narrow</w:t>
      </w:r>
      <w:r w:rsidR="00A63BF5">
        <w:rPr>
          <w:rFonts w:ascii="Book Antiqua" w:hAnsi="Book Antiqua"/>
        </w:rPr>
        <w:t xml:space="preserve"> </w:t>
      </w:r>
      <w:r w:rsidR="00C95B48">
        <w:rPr>
          <w:rFonts w:ascii="Book Antiqua" w:hAnsi="Book Antiqua"/>
        </w:rPr>
        <w:t>and</w:t>
      </w:r>
      <w:r w:rsidRPr="00702AA1">
        <w:rPr>
          <w:rFonts w:ascii="Book Antiqua" w:hAnsi="Book Antiqua"/>
        </w:rPr>
        <w:t xml:space="preserve"> procedural interpretation of inclusiveness. For instance, in singling out the target g</w:t>
      </w:r>
      <w:r w:rsidR="00FC0B68" w:rsidRPr="00702AA1">
        <w:rPr>
          <w:rFonts w:ascii="Book Antiqua" w:hAnsi="Book Antiqua"/>
        </w:rPr>
        <w:t>roups for the consultations, REC</w:t>
      </w:r>
      <w:r w:rsidRPr="00702AA1">
        <w:rPr>
          <w:rFonts w:ascii="Book Antiqua" w:hAnsi="Book Antiqua"/>
        </w:rPr>
        <w:t>OM’s activists referred often to the organi</w:t>
      </w:r>
      <w:r w:rsidR="00FC0B68" w:rsidRPr="00702AA1">
        <w:rPr>
          <w:rFonts w:ascii="Book Antiqua" w:hAnsi="Book Antiqua"/>
        </w:rPr>
        <w:t xml:space="preserve">sed, and often </w:t>
      </w:r>
      <w:r w:rsidR="00FC0B68" w:rsidRPr="00702AA1">
        <w:rPr>
          <w:rFonts w:ascii="Book Antiqua" w:hAnsi="Book Antiqua"/>
        </w:rPr>
        <w:lastRenderedPageBreak/>
        <w:t>professionalis</w:t>
      </w:r>
      <w:r w:rsidRPr="00702AA1">
        <w:rPr>
          <w:rFonts w:ascii="Book Antiqua" w:hAnsi="Book Antiqua"/>
        </w:rPr>
        <w:t xml:space="preserve">ed, civil society to represent the abovementioned societal groups. For example, the victims were actually </w:t>
      </w:r>
      <w:r w:rsidRPr="001D116F">
        <w:rPr>
          <w:rFonts w:ascii="Book Antiqua" w:hAnsi="Book Antiqua"/>
          <w:i/>
        </w:rPr>
        <w:t>victims’ associations</w:t>
      </w:r>
      <w:r w:rsidRPr="00702AA1">
        <w:rPr>
          <w:rFonts w:ascii="Book Antiqua" w:hAnsi="Book Antiqua"/>
        </w:rPr>
        <w:t xml:space="preserve">, the young people were generally </w:t>
      </w:r>
      <w:r w:rsidRPr="001D116F">
        <w:rPr>
          <w:rFonts w:ascii="Book Antiqua" w:hAnsi="Book Antiqua"/>
          <w:i/>
        </w:rPr>
        <w:t>members of</w:t>
      </w:r>
      <w:r w:rsidRPr="00702AA1">
        <w:rPr>
          <w:rFonts w:ascii="Book Antiqua" w:hAnsi="Book Antiqua"/>
        </w:rPr>
        <w:t xml:space="preserve"> </w:t>
      </w:r>
      <w:r w:rsidRPr="001D116F">
        <w:rPr>
          <w:rFonts w:ascii="Book Antiqua" w:hAnsi="Book Antiqua"/>
          <w:i/>
        </w:rPr>
        <w:t>youth organi</w:t>
      </w:r>
      <w:r w:rsidR="00702AA1">
        <w:rPr>
          <w:rFonts w:ascii="Book Antiqua" w:hAnsi="Book Antiqua"/>
          <w:i/>
        </w:rPr>
        <w:t>s</w:t>
      </w:r>
      <w:r w:rsidRPr="001D116F">
        <w:rPr>
          <w:rFonts w:ascii="Book Antiqua" w:hAnsi="Book Antiqua"/>
          <w:i/>
        </w:rPr>
        <w:t>ations</w:t>
      </w:r>
      <w:r w:rsidRPr="00702AA1">
        <w:rPr>
          <w:rFonts w:ascii="Book Antiqua" w:hAnsi="Book Antiqua"/>
        </w:rPr>
        <w:t>.</w:t>
      </w:r>
      <w:r w:rsidRPr="00702AA1">
        <w:rPr>
          <w:rStyle w:val="FootnoteReference"/>
          <w:rFonts w:ascii="Book Antiqua" w:hAnsi="Book Antiqua"/>
        </w:rPr>
        <w:footnoteReference w:id="6"/>
      </w:r>
      <w:r w:rsidRPr="00702AA1">
        <w:rPr>
          <w:rFonts w:ascii="Book Antiqua" w:hAnsi="Book Antiqua"/>
        </w:rPr>
        <w:t xml:space="preserve"> Yet</w:t>
      </w:r>
      <w:r w:rsidR="005E27D6">
        <w:rPr>
          <w:rFonts w:ascii="Book Antiqua" w:hAnsi="Book Antiqua"/>
        </w:rPr>
        <w:t>,</w:t>
      </w:r>
      <w:r w:rsidRPr="00702AA1">
        <w:rPr>
          <w:rFonts w:ascii="Book Antiqua" w:hAnsi="Book Antiqua"/>
        </w:rPr>
        <w:t xml:space="preserve">  </w:t>
      </w:r>
      <w:r w:rsidR="005455E5" w:rsidRPr="00702AA1">
        <w:rPr>
          <w:rFonts w:ascii="Book Antiqua" w:hAnsi="Book Antiqua"/>
        </w:rPr>
        <w:t xml:space="preserve">the extent to which </w:t>
      </w:r>
      <w:r w:rsidRPr="00702AA1">
        <w:rPr>
          <w:rFonts w:ascii="Book Antiqua" w:hAnsi="Book Antiqua"/>
        </w:rPr>
        <w:t>these</w:t>
      </w:r>
      <w:r w:rsidR="00FC0B68" w:rsidRPr="00702AA1">
        <w:rPr>
          <w:rFonts w:ascii="Book Antiqua" w:hAnsi="Book Antiqua"/>
        </w:rPr>
        <w:t xml:space="preserve"> organis</w:t>
      </w:r>
      <w:r w:rsidRPr="00702AA1">
        <w:rPr>
          <w:rFonts w:ascii="Book Antiqua" w:hAnsi="Book Antiqua"/>
        </w:rPr>
        <w:t>ed groups may represent society at large</w:t>
      </w:r>
      <w:r w:rsidR="005455E5" w:rsidRPr="00702AA1">
        <w:rPr>
          <w:rFonts w:ascii="Book Antiqua" w:hAnsi="Book Antiqua"/>
        </w:rPr>
        <w:t xml:space="preserve"> is disputable</w:t>
      </w:r>
      <w:r w:rsidRPr="00702AA1">
        <w:rPr>
          <w:rFonts w:ascii="Book Antiqua" w:hAnsi="Book Antiqua"/>
        </w:rPr>
        <w:t>.</w:t>
      </w:r>
      <w:r w:rsidRPr="00702AA1">
        <w:rPr>
          <w:rStyle w:val="FootnoteReference"/>
          <w:rFonts w:ascii="Book Antiqua" w:hAnsi="Book Antiqua"/>
        </w:rPr>
        <w:footnoteReference w:id="7"/>
      </w:r>
      <w:r w:rsidRPr="00702AA1">
        <w:rPr>
          <w:rFonts w:ascii="Book Antiqua" w:hAnsi="Book Antiqua"/>
        </w:rPr>
        <w:t xml:space="preserve"> In the particular Bosnian case, if</w:t>
      </w:r>
      <w:r w:rsidR="005455E5" w:rsidRPr="00702AA1">
        <w:rPr>
          <w:rFonts w:ascii="Book Antiqua" w:hAnsi="Book Antiqua"/>
        </w:rPr>
        <w:t>,</w:t>
      </w:r>
      <w:r w:rsidRPr="00702AA1">
        <w:rPr>
          <w:rFonts w:ascii="Book Antiqua" w:hAnsi="Book Antiqua"/>
        </w:rPr>
        <w:t xml:space="preserve"> on the one hand</w:t>
      </w:r>
      <w:r w:rsidR="005455E5" w:rsidRPr="00702AA1">
        <w:rPr>
          <w:rFonts w:ascii="Book Antiqua" w:hAnsi="Book Antiqua"/>
        </w:rPr>
        <w:t>,</w:t>
      </w:r>
      <w:r w:rsidRPr="00702AA1">
        <w:rPr>
          <w:rFonts w:ascii="Book Antiqua" w:hAnsi="Book Antiqua"/>
        </w:rPr>
        <w:t xml:space="preserve"> RECOM’s failure to convince many victims’ associations to participate was considered one of the major flaws of the initiative, on the other</w:t>
      </w:r>
      <w:r w:rsidR="005455E5" w:rsidRPr="00702AA1">
        <w:rPr>
          <w:rFonts w:ascii="Book Antiqua" w:hAnsi="Book Antiqua"/>
        </w:rPr>
        <w:t>,</w:t>
      </w:r>
      <w:r w:rsidRPr="00702AA1">
        <w:rPr>
          <w:rFonts w:ascii="Book Antiqua" w:hAnsi="Book Antiqua"/>
        </w:rPr>
        <w:t xml:space="preserve"> the choice to refer to victims’ associations to represent the victims was</w:t>
      </w:r>
      <w:r w:rsidR="005455E5" w:rsidRPr="00702AA1">
        <w:rPr>
          <w:rFonts w:ascii="Book Antiqua" w:hAnsi="Book Antiqua"/>
        </w:rPr>
        <w:t xml:space="preserve"> also</w:t>
      </w:r>
      <w:r w:rsidRPr="00702AA1">
        <w:rPr>
          <w:rFonts w:ascii="Book Antiqua" w:hAnsi="Book Antiqua"/>
        </w:rPr>
        <w:t xml:space="preserve"> often critici</w:t>
      </w:r>
      <w:r w:rsidR="00FC0B68" w:rsidRPr="00702AA1">
        <w:rPr>
          <w:rFonts w:ascii="Book Antiqua" w:hAnsi="Book Antiqua"/>
        </w:rPr>
        <w:t>s</w:t>
      </w:r>
      <w:r w:rsidRPr="00702AA1">
        <w:rPr>
          <w:rFonts w:ascii="Book Antiqua" w:hAnsi="Book Antiqua"/>
        </w:rPr>
        <w:t>ed.</w:t>
      </w:r>
      <w:r w:rsidRPr="00702AA1">
        <w:rPr>
          <w:rStyle w:val="FootnoteReference"/>
          <w:rFonts w:ascii="Book Antiqua" w:hAnsi="Book Antiqua"/>
        </w:rPr>
        <w:footnoteReference w:id="8"/>
      </w:r>
      <w:r w:rsidRPr="00702AA1">
        <w:rPr>
          <w:rFonts w:ascii="Book Antiqua" w:hAnsi="Book Antiqua"/>
        </w:rPr>
        <w:t xml:space="preserve"> In fact, victims</w:t>
      </w:r>
      <w:r w:rsidR="005455E5" w:rsidRPr="00702AA1">
        <w:rPr>
          <w:rFonts w:ascii="Book Antiqua" w:hAnsi="Book Antiqua"/>
        </w:rPr>
        <w:t>’</w:t>
      </w:r>
      <w:r w:rsidRPr="00702AA1">
        <w:rPr>
          <w:rFonts w:ascii="Book Antiqua" w:hAnsi="Book Antiqua"/>
        </w:rPr>
        <w:t xml:space="preserve"> associations </w:t>
      </w:r>
      <w:r w:rsidR="005455E5" w:rsidRPr="00702AA1">
        <w:rPr>
          <w:rFonts w:ascii="Book Antiqua" w:hAnsi="Book Antiqua"/>
        </w:rPr>
        <w:t xml:space="preserve">in BiH </w:t>
      </w:r>
      <w:r w:rsidRPr="00702AA1">
        <w:rPr>
          <w:rFonts w:ascii="Book Antiqua" w:hAnsi="Book Antiqua"/>
        </w:rPr>
        <w:t>are often seen as self-interested groups that feature a strong ethnic connotation and often perpetuate the same nationalistic rhetoric that RECOM tried to defeat</w:t>
      </w:r>
      <w:r w:rsidR="00A63BF5">
        <w:rPr>
          <w:rFonts w:ascii="Book Antiqua" w:hAnsi="Book Antiqua"/>
        </w:rPr>
        <w:t>,</w:t>
      </w:r>
      <w:r w:rsidRPr="00702AA1">
        <w:rPr>
          <w:rStyle w:val="FootnoteReference"/>
          <w:rFonts w:ascii="Book Antiqua" w:hAnsi="Book Antiqua"/>
        </w:rPr>
        <w:footnoteReference w:id="9"/>
      </w:r>
      <w:r w:rsidR="00A63BF5">
        <w:rPr>
          <w:rFonts w:ascii="Book Antiqua" w:hAnsi="Book Antiqua"/>
        </w:rPr>
        <w:t xml:space="preserve"> while also having limited reach among victims beyond their membership. </w:t>
      </w:r>
      <w:r w:rsidRPr="00702AA1">
        <w:rPr>
          <w:rFonts w:ascii="Book Antiqua" w:hAnsi="Book Antiqua"/>
        </w:rPr>
        <w:t xml:space="preserve">   </w:t>
      </w:r>
    </w:p>
    <w:p w14:paraId="4C8392A8" w14:textId="77777777" w:rsidR="00A11012" w:rsidRDefault="00A11012" w:rsidP="004D14DC">
      <w:pPr>
        <w:spacing w:line="360" w:lineRule="auto"/>
        <w:jc w:val="both"/>
        <w:rPr>
          <w:rFonts w:ascii="Book Antiqua" w:hAnsi="Book Antiqua"/>
        </w:rPr>
      </w:pPr>
    </w:p>
    <w:p w14:paraId="6519EC39" w14:textId="52B0BCE2" w:rsidR="00E070D4" w:rsidRPr="00702AA1" w:rsidRDefault="00E070D4" w:rsidP="004D14DC">
      <w:pPr>
        <w:spacing w:line="360" w:lineRule="auto"/>
        <w:jc w:val="both"/>
        <w:rPr>
          <w:rFonts w:ascii="Book Antiqua" w:hAnsi="Book Antiqua"/>
        </w:rPr>
      </w:pPr>
      <w:r w:rsidRPr="00702AA1">
        <w:rPr>
          <w:rFonts w:ascii="Book Antiqua" w:hAnsi="Book Antiqua"/>
        </w:rPr>
        <w:t>With reference to the Serbian case, Obradovi</w:t>
      </w:r>
      <w:r w:rsidRPr="00702AA1">
        <w:rPr>
          <w:rFonts w:ascii="Book Antiqua" w:hAnsi="Book Antiqua" w:hint="eastAsia"/>
        </w:rPr>
        <w:t>ć</w:t>
      </w:r>
      <w:r w:rsidRPr="00702AA1">
        <w:rPr>
          <w:rFonts w:ascii="Book Antiqua" w:hAnsi="Book Antiqua"/>
        </w:rPr>
        <w:t>-Wochnik (2013) has shown that the idea that NGOs represent the broader public is taken for granted</w:t>
      </w:r>
      <w:r w:rsidR="005E7A3D" w:rsidRPr="00702AA1">
        <w:rPr>
          <w:rFonts w:ascii="Book Antiqua" w:hAnsi="Book Antiqua"/>
        </w:rPr>
        <w:t xml:space="preserve"> by international actors and scholars</w:t>
      </w:r>
      <w:r w:rsidRPr="00702AA1">
        <w:rPr>
          <w:rFonts w:ascii="Book Antiqua" w:hAnsi="Book Antiqua"/>
        </w:rPr>
        <w:t>. The</w:t>
      </w:r>
      <w:r w:rsidR="005E7A3D" w:rsidRPr="00702AA1">
        <w:rPr>
          <w:rFonts w:ascii="Book Antiqua" w:hAnsi="Book Antiqua"/>
        </w:rPr>
        <w:t xml:space="preserve"> latter often interpret the</w:t>
      </w:r>
      <w:r w:rsidRPr="00702AA1">
        <w:rPr>
          <w:rFonts w:ascii="Book Antiqua" w:hAnsi="Book Antiqua"/>
        </w:rPr>
        <w:t xml:space="preserve"> silence of the rest of the citizenry as denial or lack of interest, </w:t>
      </w:r>
      <w:r w:rsidR="0008682C" w:rsidRPr="00702AA1">
        <w:rPr>
          <w:rFonts w:ascii="Book Antiqua" w:hAnsi="Book Antiqua"/>
        </w:rPr>
        <w:t>as</w:t>
      </w:r>
      <w:r w:rsidRPr="00702AA1">
        <w:rPr>
          <w:rFonts w:ascii="Book Antiqua" w:hAnsi="Book Antiqua"/>
        </w:rPr>
        <w:t xml:space="preserve"> personal or structural factors that might hinder individuals from participating</w:t>
      </w:r>
      <w:r w:rsidR="0008682C" w:rsidRPr="00702AA1">
        <w:rPr>
          <w:rFonts w:ascii="Book Antiqua" w:hAnsi="Book Antiqua"/>
        </w:rPr>
        <w:t xml:space="preserve"> are generally ignored</w:t>
      </w:r>
      <w:r w:rsidRPr="00702AA1">
        <w:rPr>
          <w:rFonts w:ascii="Book Antiqua" w:hAnsi="Book Antiqua"/>
        </w:rPr>
        <w:t xml:space="preserve">. Similarly, RECOM’s advocates have not engaged in a deeper reflection on structural inequalities among the various civil society groups that might influence their capacity to participate, and have espoused a conception of civil society as formed exclusively </w:t>
      </w:r>
      <w:r w:rsidR="0008682C" w:rsidRPr="00702AA1">
        <w:rPr>
          <w:rFonts w:ascii="Book Antiqua" w:hAnsi="Book Antiqua"/>
        </w:rPr>
        <w:t xml:space="preserve">by </w:t>
      </w:r>
      <w:r w:rsidRPr="00702AA1">
        <w:rPr>
          <w:rFonts w:ascii="Book Antiqua" w:hAnsi="Book Antiqua"/>
        </w:rPr>
        <w:t>active and organi</w:t>
      </w:r>
      <w:r w:rsidR="00A11012">
        <w:rPr>
          <w:rFonts w:ascii="Book Antiqua" w:hAnsi="Book Antiqua"/>
        </w:rPr>
        <w:t>s</w:t>
      </w:r>
      <w:r w:rsidRPr="00702AA1">
        <w:rPr>
          <w:rFonts w:ascii="Book Antiqua" w:hAnsi="Book Antiqua"/>
        </w:rPr>
        <w:t>ed individuals/groups. Their emphasis on speciali</w:t>
      </w:r>
      <w:r w:rsidR="00A11012">
        <w:rPr>
          <w:rFonts w:ascii="Book Antiqua" w:hAnsi="Book Antiqua"/>
        </w:rPr>
        <w:t>s</w:t>
      </w:r>
      <w:r w:rsidRPr="00702AA1">
        <w:rPr>
          <w:rFonts w:ascii="Book Antiqua" w:hAnsi="Book Antiqua"/>
        </w:rPr>
        <w:t xml:space="preserve">ed knowledge on transitional justice, visible in the numerous presentations </w:t>
      </w:r>
      <w:r w:rsidR="00B87540">
        <w:rPr>
          <w:rFonts w:ascii="Book Antiqua" w:hAnsi="Book Antiqua"/>
        </w:rPr>
        <w:t>that</w:t>
      </w:r>
      <w:r w:rsidRPr="00702AA1">
        <w:rPr>
          <w:rFonts w:ascii="Book Antiqua" w:hAnsi="Book Antiqua"/>
        </w:rPr>
        <w:t xml:space="preserve"> often opened the consultation meetings, created distance between the core organi</w:t>
      </w:r>
      <w:r w:rsidR="00A11012">
        <w:rPr>
          <w:rFonts w:ascii="Book Antiqua" w:hAnsi="Book Antiqua"/>
        </w:rPr>
        <w:t>s</w:t>
      </w:r>
      <w:r w:rsidRPr="00702AA1">
        <w:rPr>
          <w:rFonts w:ascii="Book Antiqua" w:hAnsi="Book Antiqua"/>
        </w:rPr>
        <w:t>ations and those less professionali</w:t>
      </w:r>
      <w:r w:rsidR="00A11012">
        <w:rPr>
          <w:rFonts w:ascii="Book Antiqua" w:hAnsi="Book Antiqua"/>
        </w:rPr>
        <w:t>s</w:t>
      </w:r>
      <w:r w:rsidRPr="00702AA1">
        <w:rPr>
          <w:rFonts w:ascii="Book Antiqua" w:hAnsi="Book Antiqua"/>
        </w:rPr>
        <w:t>ed, who felt they were not expert enough to contribute in the same way.</w:t>
      </w:r>
      <w:r w:rsidRPr="00702AA1">
        <w:rPr>
          <w:rStyle w:val="FootnoteReference"/>
          <w:rFonts w:ascii="Book Antiqua" w:hAnsi="Book Antiqua"/>
        </w:rPr>
        <w:footnoteReference w:id="10"/>
      </w:r>
      <w:r w:rsidRPr="00702AA1">
        <w:rPr>
          <w:rFonts w:ascii="Book Antiqua" w:hAnsi="Book Antiqua"/>
        </w:rPr>
        <w:t xml:space="preserve"> The kind of engagement that RECOM asked for was demanding even for professional activists in terms of time and resources.</w:t>
      </w:r>
      <w:r w:rsidRPr="00702AA1">
        <w:rPr>
          <w:rStyle w:val="FootnoteReference"/>
          <w:rFonts w:ascii="Book Antiqua" w:hAnsi="Book Antiqua"/>
        </w:rPr>
        <w:footnoteReference w:id="11"/>
      </w:r>
      <w:r w:rsidRPr="00702AA1">
        <w:rPr>
          <w:rFonts w:ascii="Book Antiqua" w:hAnsi="Book Antiqua"/>
        </w:rPr>
        <w:t xml:space="preserve"> As a consequence, as admitted by RECOM’s activists themselves, </w:t>
      </w:r>
      <w:r w:rsidR="0008682C" w:rsidRPr="00702AA1">
        <w:rPr>
          <w:rFonts w:ascii="Book Antiqua" w:hAnsi="Book Antiqua"/>
        </w:rPr>
        <w:t>‘</w:t>
      </w:r>
      <w:r w:rsidRPr="00702AA1">
        <w:rPr>
          <w:rFonts w:ascii="Book Antiqua" w:hAnsi="Book Antiqua" w:cs="Times New Roman"/>
        </w:rPr>
        <w:t>the majority did not have the means nor the possibility to participate more actively</w:t>
      </w:r>
      <w:r w:rsidR="0008682C" w:rsidRPr="00702AA1">
        <w:rPr>
          <w:rFonts w:ascii="Book Antiqua" w:hAnsi="Book Antiqua" w:cs="Times New Roman"/>
        </w:rPr>
        <w:t>’</w:t>
      </w:r>
      <w:r w:rsidRPr="00702AA1">
        <w:rPr>
          <w:rFonts w:ascii="Book Antiqua" w:hAnsi="Book Antiqua" w:cs="Times New Roman"/>
        </w:rPr>
        <w:t>.</w:t>
      </w:r>
      <w:r w:rsidRPr="00702AA1">
        <w:rPr>
          <w:rStyle w:val="FootnoteReference"/>
          <w:rFonts w:ascii="Book Antiqua" w:hAnsi="Book Antiqua" w:cs="Times New Roman"/>
        </w:rPr>
        <w:footnoteReference w:id="12"/>
      </w:r>
    </w:p>
    <w:p w14:paraId="72AD1115" w14:textId="77777777" w:rsidR="00A11012" w:rsidRDefault="00A11012" w:rsidP="004D14DC">
      <w:pPr>
        <w:spacing w:line="360" w:lineRule="auto"/>
        <w:jc w:val="both"/>
        <w:rPr>
          <w:rFonts w:ascii="Book Antiqua" w:hAnsi="Book Antiqua"/>
        </w:rPr>
      </w:pPr>
    </w:p>
    <w:p w14:paraId="2E8839CC" w14:textId="55A982B8" w:rsidR="00E070D4" w:rsidRPr="00702AA1" w:rsidRDefault="00E070D4" w:rsidP="004D14DC">
      <w:pPr>
        <w:spacing w:line="360" w:lineRule="auto"/>
        <w:jc w:val="both"/>
        <w:rPr>
          <w:rFonts w:ascii="Book Antiqua" w:hAnsi="Book Antiqua"/>
        </w:rPr>
      </w:pPr>
      <w:r w:rsidRPr="00702AA1">
        <w:rPr>
          <w:rFonts w:ascii="Book Antiqua" w:hAnsi="Book Antiqua"/>
        </w:rPr>
        <w:lastRenderedPageBreak/>
        <w:t>The impediments to participation in RECOM were therefore not formal, like in top-down, institutional measures of transitional justice, as here a seat in the debate was formally guaranteed to all those interested. It was the lack of a reflection on the informal impediments, like the knowledge of the transitional justice lingo, the unequal access to resources and knowledge among different groups</w:t>
      </w:r>
      <w:r w:rsidR="0008682C" w:rsidRPr="00702AA1">
        <w:rPr>
          <w:rFonts w:ascii="Book Antiqua" w:hAnsi="Book Antiqua"/>
        </w:rPr>
        <w:t xml:space="preserve"> and</w:t>
      </w:r>
      <w:r w:rsidRPr="00702AA1">
        <w:rPr>
          <w:rFonts w:ascii="Book Antiqua" w:hAnsi="Book Antiqua"/>
        </w:rPr>
        <w:t xml:space="preserve"> the lack of efforts to empower more peripheral and less professionali</w:t>
      </w:r>
      <w:r w:rsidR="00511162">
        <w:rPr>
          <w:rFonts w:ascii="Book Antiqua" w:hAnsi="Book Antiqua"/>
        </w:rPr>
        <w:t>s</w:t>
      </w:r>
      <w:r w:rsidRPr="00702AA1">
        <w:rPr>
          <w:rFonts w:ascii="Book Antiqua" w:hAnsi="Book Antiqua"/>
        </w:rPr>
        <w:t xml:space="preserve">ed groups, that hindered full participatory parity. </w:t>
      </w:r>
    </w:p>
    <w:p w14:paraId="047A1CA5" w14:textId="77777777" w:rsidR="00511162" w:rsidRDefault="00511162" w:rsidP="004D14DC">
      <w:pPr>
        <w:spacing w:line="360" w:lineRule="auto"/>
        <w:jc w:val="both"/>
        <w:rPr>
          <w:rFonts w:ascii="Book Antiqua" w:hAnsi="Book Antiqua"/>
        </w:rPr>
      </w:pPr>
    </w:p>
    <w:p w14:paraId="3B1E20F3" w14:textId="4A73836F" w:rsidR="00E070D4" w:rsidRPr="00702AA1" w:rsidRDefault="00E070D4" w:rsidP="004D14DC">
      <w:pPr>
        <w:spacing w:line="360" w:lineRule="auto"/>
        <w:jc w:val="both"/>
        <w:rPr>
          <w:rFonts w:ascii="Book Antiqua" w:hAnsi="Book Antiqua"/>
        </w:rPr>
      </w:pPr>
      <w:r w:rsidRPr="00702AA1">
        <w:rPr>
          <w:rFonts w:ascii="Book Antiqua" w:hAnsi="Book Antiqua"/>
        </w:rPr>
        <w:t>In sum, the RECOM experiment displayed the limits of the liberal public sphere as described by Fraser</w:t>
      </w:r>
      <w:r w:rsidR="002C026E" w:rsidRPr="00702AA1">
        <w:rPr>
          <w:rFonts w:ascii="Book Antiqua" w:hAnsi="Book Antiqua"/>
        </w:rPr>
        <w:t xml:space="preserve"> (1990:</w:t>
      </w:r>
      <w:r w:rsidRPr="00702AA1">
        <w:rPr>
          <w:rFonts w:ascii="Book Antiqua" w:hAnsi="Book Antiqua"/>
        </w:rPr>
        <w:t xml:space="preserve"> 63-65), being only formally inclusive, without the substantial social equality necessary for a truly democratic process. Moreover, this shortcoming also had the effect of maintaining, rather than expanding, the discursive space on transitional justice in the region. In fact, the key concepts of justice, victimhood and harm were again defined following international legal standards and therefore through the lens of individual criminal responsibility</w:t>
      </w:r>
      <w:r w:rsidR="00652C8D" w:rsidRPr="00702AA1">
        <w:rPr>
          <w:rFonts w:ascii="Book Antiqua" w:hAnsi="Book Antiqua"/>
        </w:rPr>
        <w:t xml:space="preserve"> (RECOM</w:t>
      </w:r>
      <w:r w:rsidR="005D6814">
        <w:rPr>
          <w:rFonts w:ascii="Book Antiqua" w:hAnsi="Book Antiqua"/>
        </w:rPr>
        <w:t>,</w:t>
      </w:r>
      <w:r w:rsidR="00652C8D" w:rsidRPr="00702AA1">
        <w:rPr>
          <w:rFonts w:ascii="Book Antiqua" w:hAnsi="Book Antiqua"/>
        </w:rPr>
        <w:t xml:space="preserve"> 2011</w:t>
      </w:r>
      <w:r w:rsidR="002668F3">
        <w:rPr>
          <w:rFonts w:ascii="Book Antiqua" w:hAnsi="Book Antiqua"/>
        </w:rPr>
        <w:t>a</w:t>
      </w:r>
      <w:r w:rsidR="00652C8D" w:rsidRPr="00702AA1">
        <w:rPr>
          <w:rFonts w:ascii="Book Antiqua" w:hAnsi="Book Antiqua"/>
        </w:rPr>
        <w:t>: Art. 1)</w:t>
      </w:r>
      <w:r w:rsidRPr="00702AA1">
        <w:rPr>
          <w:rFonts w:ascii="Book Antiqua" w:hAnsi="Book Antiqua"/>
        </w:rPr>
        <w:t>.</w:t>
      </w:r>
      <w:r w:rsidR="00652C8D" w:rsidRPr="00702AA1" w:rsidDel="00652C8D">
        <w:rPr>
          <w:rStyle w:val="FootnoteReference"/>
          <w:rFonts w:ascii="Book Antiqua" w:hAnsi="Book Antiqua"/>
        </w:rPr>
        <w:t xml:space="preserve"> </w:t>
      </w:r>
      <w:r w:rsidRPr="00702AA1">
        <w:rPr>
          <w:rFonts w:ascii="Book Antiqua" w:hAnsi="Book Antiqua"/>
        </w:rPr>
        <w:t xml:space="preserve"> Some participants actually advocated for a more flexible conceptuali</w:t>
      </w:r>
      <w:r w:rsidR="00511162">
        <w:rPr>
          <w:rFonts w:ascii="Book Antiqua" w:hAnsi="Book Antiqua"/>
        </w:rPr>
        <w:t>s</w:t>
      </w:r>
      <w:r w:rsidRPr="00702AA1">
        <w:rPr>
          <w:rFonts w:ascii="Book Antiqua" w:hAnsi="Book Antiqua"/>
        </w:rPr>
        <w:t>ation of justice and a broader idea of victimhood, but eventually the reference to international standards sponsored by the organi</w:t>
      </w:r>
      <w:r w:rsidR="00511162">
        <w:rPr>
          <w:rFonts w:ascii="Book Antiqua" w:hAnsi="Book Antiqua"/>
        </w:rPr>
        <w:t>s</w:t>
      </w:r>
      <w:r w:rsidRPr="00702AA1">
        <w:rPr>
          <w:rFonts w:ascii="Book Antiqua" w:hAnsi="Book Antiqua"/>
        </w:rPr>
        <w:t>ers prevailed.</w:t>
      </w:r>
      <w:r w:rsidRPr="00702AA1">
        <w:rPr>
          <w:rStyle w:val="FootnoteReference"/>
          <w:rFonts w:ascii="Book Antiqua" w:hAnsi="Book Antiqua"/>
        </w:rPr>
        <w:footnoteReference w:id="13"/>
      </w:r>
      <w:r w:rsidRPr="00702AA1">
        <w:rPr>
          <w:rFonts w:ascii="Book Antiqua" w:hAnsi="Book Antiqua"/>
        </w:rPr>
        <w:t xml:space="preserve"> </w:t>
      </w:r>
      <w:r w:rsidR="0042046F" w:rsidRPr="00702AA1">
        <w:rPr>
          <w:rFonts w:ascii="Book Antiqua" w:hAnsi="Book Antiqua"/>
        </w:rPr>
        <w:t xml:space="preserve">In this sense, RECOM did not push, but </w:t>
      </w:r>
      <w:r w:rsidR="0042046F" w:rsidRPr="001D116F">
        <w:rPr>
          <w:rFonts w:ascii="Book Antiqua" w:hAnsi="Book Antiqua"/>
          <w:i/>
        </w:rPr>
        <w:t>set</w:t>
      </w:r>
      <w:r w:rsidR="0042046F" w:rsidRPr="00702AA1">
        <w:rPr>
          <w:rFonts w:ascii="Book Antiqua" w:hAnsi="Book Antiqua"/>
        </w:rPr>
        <w:t xml:space="preserve"> the boundaries of what could be legitimately discussed as a justice claim (and, by implication, what could not be), thus defining what transitional justice meant (and did not mean).</w:t>
      </w:r>
    </w:p>
    <w:p w14:paraId="6F0F7655" w14:textId="77777777" w:rsidR="00511162" w:rsidRDefault="00511162" w:rsidP="004D14DC">
      <w:pPr>
        <w:spacing w:line="360" w:lineRule="auto"/>
        <w:jc w:val="both"/>
        <w:rPr>
          <w:rFonts w:ascii="Book Antiqua" w:hAnsi="Book Antiqua"/>
        </w:rPr>
      </w:pPr>
    </w:p>
    <w:p w14:paraId="0DE2DBF4" w14:textId="4997FB15" w:rsidR="00E070D4" w:rsidRPr="00702AA1" w:rsidRDefault="00E070D4" w:rsidP="004D14DC">
      <w:pPr>
        <w:spacing w:line="360" w:lineRule="auto"/>
        <w:jc w:val="both"/>
        <w:rPr>
          <w:rFonts w:ascii="Book Antiqua" w:hAnsi="Book Antiqua"/>
        </w:rPr>
      </w:pPr>
      <w:r w:rsidRPr="00702AA1">
        <w:rPr>
          <w:rFonts w:ascii="Book Antiqua" w:hAnsi="Book Antiqua"/>
        </w:rPr>
        <w:t>Hence, while the</w:t>
      </w:r>
      <w:r w:rsidR="0008682C" w:rsidRPr="00702AA1">
        <w:rPr>
          <w:rFonts w:ascii="Book Antiqua" w:hAnsi="Book Antiqua"/>
        </w:rPr>
        <w:t xml:space="preserve"> RECOM</w:t>
      </w:r>
      <w:r w:rsidRPr="00702AA1">
        <w:rPr>
          <w:rFonts w:ascii="Book Antiqua" w:hAnsi="Book Antiqua"/>
        </w:rPr>
        <w:t xml:space="preserve"> initiative explicitly tried to make up for the flaws of top-down transitional justice, </w:t>
      </w:r>
      <w:r w:rsidR="0008682C" w:rsidRPr="00702AA1">
        <w:rPr>
          <w:rFonts w:ascii="Book Antiqua" w:hAnsi="Book Antiqua"/>
        </w:rPr>
        <w:t xml:space="preserve">in practice </w:t>
      </w:r>
      <w:r w:rsidRPr="00702AA1">
        <w:rPr>
          <w:rFonts w:ascii="Book Antiqua" w:hAnsi="Book Antiqua"/>
        </w:rPr>
        <w:t>it reproduced some of its limits by embracing a formal interpretation of inclusiveness and legalistic interpretations of justice and victimhood. Whereas the reference to international standards was supposed to compromise among the different conceptions of justice and victimhood represented in the consultations, it eventually constrained the debate to those options compatible with international standards. Following this chapter’s configuration of transformative justice, the transformative potential of the initiative appears to</w:t>
      </w:r>
      <w:r w:rsidR="00347990" w:rsidRPr="00702AA1">
        <w:rPr>
          <w:rFonts w:ascii="Book Antiqua" w:hAnsi="Book Antiqua"/>
        </w:rPr>
        <w:t xml:space="preserve"> have been limited to challenging ethnic stereotypes and giving a more prominent role to the civil society compared to legal mechanisms of transitional justice. However, RECOM’s transformative potential was far from being fulfilled</w:t>
      </w:r>
      <w:r w:rsidRPr="00702AA1">
        <w:rPr>
          <w:rFonts w:ascii="Book Antiqua" w:hAnsi="Book Antiqua"/>
        </w:rPr>
        <w:t xml:space="preserve"> </w:t>
      </w:r>
      <w:r w:rsidR="0008682C" w:rsidRPr="00702AA1">
        <w:rPr>
          <w:rFonts w:ascii="Book Antiqua" w:hAnsi="Book Antiqua"/>
        </w:rPr>
        <w:t xml:space="preserve">with regard </w:t>
      </w:r>
      <w:r w:rsidRPr="00702AA1">
        <w:rPr>
          <w:rFonts w:ascii="Book Antiqua" w:hAnsi="Book Antiqua"/>
        </w:rPr>
        <w:t xml:space="preserve">to the initiative’s </w:t>
      </w:r>
      <w:r w:rsidR="0008682C" w:rsidRPr="00702AA1">
        <w:rPr>
          <w:rFonts w:ascii="Book Antiqua" w:hAnsi="Book Antiqua"/>
        </w:rPr>
        <w:t xml:space="preserve">potential </w:t>
      </w:r>
      <w:r w:rsidRPr="00702AA1">
        <w:rPr>
          <w:rFonts w:ascii="Book Antiqua" w:hAnsi="Book Antiqua"/>
        </w:rPr>
        <w:t xml:space="preserve">to produce a substantially inclusive project, able to reach out to the local </w:t>
      </w:r>
      <w:r w:rsidRPr="00702AA1">
        <w:rPr>
          <w:rFonts w:ascii="Book Antiqua" w:hAnsi="Book Antiqua"/>
        </w:rPr>
        <w:lastRenderedPageBreak/>
        <w:t>communities and not only to professionali</w:t>
      </w:r>
      <w:r w:rsidR="00511162">
        <w:rPr>
          <w:rFonts w:ascii="Book Antiqua" w:hAnsi="Book Antiqua"/>
        </w:rPr>
        <w:t>s</w:t>
      </w:r>
      <w:r w:rsidRPr="00702AA1">
        <w:rPr>
          <w:rFonts w:ascii="Book Antiqua" w:hAnsi="Book Antiqua"/>
        </w:rPr>
        <w:t xml:space="preserve">ed NGOs and to encourage the emergence of ideas of justice alternative to the prevalent liberal model. </w:t>
      </w:r>
    </w:p>
    <w:p w14:paraId="531CD2AA" w14:textId="77777777" w:rsidR="004C3BB2" w:rsidRPr="00702AA1" w:rsidRDefault="004C3BB2" w:rsidP="00F00033">
      <w:pPr>
        <w:spacing w:line="360" w:lineRule="auto"/>
        <w:ind w:firstLine="709"/>
        <w:jc w:val="both"/>
        <w:rPr>
          <w:rFonts w:ascii="Book Antiqua" w:hAnsi="Book Antiqua" w:cs="Times New Roman"/>
        </w:rPr>
      </w:pPr>
      <w:r w:rsidRPr="00702AA1">
        <w:rPr>
          <w:rFonts w:ascii="Book Antiqua" w:hAnsi="Book Antiqua" w:cs="Times New Roman"/>
        </w:rPr>
        <w:t xml:space="preserve"> </w:t>
      </w:r>
    </w:p>
    <w:p w14:paraId="13CAB859" w14:textId="77777777" w:rsidR="00824D96" w:rsidRPr="00702AA1" w:rsidRDefault="00824D96" w:rsidP="00824D96">
      <w:pPr>
        <w:spacing w:line="360" w:lineRule="auto"/>
        <w:jc w:val="both"/>
        <w:rPr>
          <w:rFonts w:ascii="Book Antiqua" w:hAnsi="Book Antiqua"/>
        </w:rPr>
      </w:pPr>
    </w:p>
    <w:p w14:paraId="630EFA15" w14:textId="77777777" w:rsidR="00403A3F" w:rsidRPr="00702AA1" w:rsidRDefault="0029247C" w:rsidP="00824D96">
      <w:pPr>
        <w:spacing w:line="360" w:lineRule="auto"/>
        <w:jc w:val="both"/>
        <w:rPr>
          <w:rFonts w:ascii="Book Antiqua" w:hAnsi="Book Antiqua"/>
          <w:b/>
          <w:i/>
        </w:rPr>
      </w:pPr>
      <w:r w:rsidRPr="00702AA1">
        <w:rPr>
          <w:rFonts w:ascii="Book Antiqua" w:hAnsi="Book Antiqua"/>
          <w:b/>
          <w:i/>
        </w:rPr>
        <w:t xml:space="preserve">The </w:t>
      </w:r>
      <w:r w:rsidR="00403A3F" w:rsidRPr="00702AA1">
        <w:rPr>
          <w:rFonts w:ascii="Book Antiqua" w:hAnsi="Book Antiqua"/>
          <w:b/>
          <w:i/>
        </w:rPr>
        <w:t>Women’s Cour</w:t>
      </w:r>
      <w:r w:rsidRPr="00702AA1">
        <w:rPr>
          <w:rFonts w:ascii="Book Antiqua" w:hAnsi="Book Antiqua"/>
          <w:b/>
          <w:i/>
        </w:rPr>
        <w:t>t for the Balkans</w:t>
      </w:r>
    </w:p>
    <w:p w14:paraId="509CE9F8" w14:textId="1994D2AE" w:rsidR="00AB3E16" w:rsidRPr="00702AA1" w:rsidRDefault="00AB3E16" w:rsidP="00AB3E16">
      <w:pPr>
        <w:spacing w:line="360" w:lineRule="auto"/>
        <w:jc w:val="both"/>
        <w:rPr>
          <w:rFonts w:ascii="Book Antiqua" w:hAnsi="Book Antiqua"/>
        </w:rPr>
      </w:pPr>
      <w:r w:rsidRPr="00702AA1">
        <w:rPr>
          <w:rFonts w:ascii="Book Antiqua" w:hAnsi="Book Antiqua"/>
        </w:rPr>
        <w:t>Similarly to RECOM, the Women’s Court for the Balkans is a truth-seeking initiative initiated by local civil society organi</w:t>
      </w:r>
      <w:r w:rsidR="004A1A26">
        <w:rPr>
          <w:rFonts w:ascii="Book Antiqua" w:hAnsi="Book Antiqua"/>
        </w:rPr>
        <w:t>s</w:t>
      </w:r>
      <w:r w:rsidRPr="00702AA1">
        <w:rPr>
          <w:rFonts w:ascii="Book Antiqua" w:hAnsi="Book Antiqua"/>
        </w:rPr>
        <w:t>ations from all over the post-Yugoslav space</w:t>
      </w:r>
      <w:r w:rsidR="005E27D6">
        <w:rPr>
          <w:rFonts w:ascii="Book Antiqua" w:hAnsi="Book Antiqua"/>
        </w:rPr>
        <w:t xml:space="preserve"> (Ženski Sud n.d.)</w:t>
      </w:r>
      <w:r w:rsidRPr="00702AA1">
        <w:rPr>
          <w:rFonts w:ascii="Book Antiqua" w:hAnsi="Book Antiqua"/>
        </w:rPr>
        <w:t>.</w:t>
      </w:r>
      <w:r w:rsidRPr="00702AA1">
        <w:rPr>
          <w:rStyle w:val="FootnoteReference"/>
          <w:rFonts w:ascii="Book Antiqua" w:hAnsi="Book Antiqua"/>
        </w:rPr>
        <w:footnoteReference w:id="14"/>
      </w:r>
      <w:r w:rsidRPr="00702AA1">
        <w:rPr>
          <w:rFonts w:ascii="Book Antiqua" w:hAnsi="Book Antiqua"/>
        </w:rPr>
        <w:t xml:space="preserve"> While RECOM clearly </w:t>
      </w:r>
      <w:r w:rsidR="00D068FC">
        <w:rPr>
          <w:rFonts w:ascii="Book Antiqua" w:hAnsi="Book Antiqua"/>
        </w:rPr>
        <w:t>places</w:t>
      </w:r>
      <w:r w:rsidR="00D068FC" w:rsidRPr="00702AA1">
        <w:rPr>
          <w:rFonts w:ascii="Book Antiqua" w:hAnsi="Book Antiqua"/>
        </w:rPr>
        <w:t xml:space="preserve"> </w:t>
      </w:r>
      <w:r w:rsidRPr="00702AA1">
        <w:rPr>
          <w:rFonts w:ascii="Book Antiqua" w:hAnsi="Book Antiqua"/>
        </w:rPr>
        <w:t>itself in the transitional justice framework, the main cultural reference of the Women’s Court for the Balkans is the</w:t>
      </w:r>
      <w:r w:rsidR="005B0C46" w:rsidRPr="005B0C46">
        <w:rPr>
          <w:rFonts w:ascii="Book Antiqua" w:hAnsi="Book Antiqua"/>
        </w:rPr>
        <w:t xml:space="preserve"> </w:t>
      </w:r>
      <w:r w:rsidR="005B0C46" w:rsidRPr="00702AA1">
        <w:rPr>
          <w:rFonts w:ascii="Book Antiqua" w:hAnsi="Book Antiqua"/>
        </w:rPr>
        <w:t>tradition</w:t>
      </w:r>
      <w:r w:rsidR="002E0797" w:rsidRPr="00702AA1">
        <w:rPr>
          <w:rFonts w:ascii="Book Antiqua" w:hAnsi="Book Antiqua"/>
        </w:rPr>
        <w:t>,</w:t>
      </w:r>
      <w:r w:rsidRPr="00702AA1">
        <w:rPr>
          <w:rFonts w:ascii="Book Antiqua" w:hAnsi="Book Antiqua"/>
        </w:rPr>
        <w:t xml:space="preserve"> by now consolidated</w:t>
      </w:r>
      <w:r w:rsidR="002E0797" w:rsidRPr="00702AA1">
        <w:rPr>
          <w:rFonts w:ascii="Book Antiqua" w:hAnsi="Book Antiqua"/>
        </w:rPr>
        <w:t>,</w:t>
      </w:r>
      <w:r w:rsidRPr="00702AA1">
        <w:rPr>
          <w:rFonts w:ascii="Book Antiqua" w:hAnsi="Book Antiqua"/>
        </w:rPr>
        <w:t xml:space="preserve"> of women’s courts implemented by feminist activists worldwide since the 1990s.</w:t>
      </w:r>
      <w:r w:rsidRPr="00702AA1">
        <w:rPr>
          <w:rStyle w:val="FootnoteReference"/>
          <w:rFonts w:ascii="Book Antiqua" w:hAnsi="Book Antiqua"/>
        </w:rPr>
        <w:footnoteReference w:id="15"/>
      </w:r>
      <w:r w:rsidRPr="00702AA1">
        <w:rPr>
          <w:rFonts w:ascii="Book Antiqua" w:hAnsi="Book Antiqua"/>
        </w:rPr>
        <w:t xml:space="preserve"> These are symbolic courts with no judicial powers where people widely trusted in the local society, the ‘judges’, issue recommendations based on a series of testimonies by women ‘witnesses</w:t>
      </w:r>
      <w:r w:rsidR="002E0797" w:rsidRPr="00702AA1">
        <w:rPr>
          <w:rFonts w:ascii="Book Antiqua" w:hAnsi="Book Antiqua"/>
        </w:rPr>
        <w:t>’</w:t>
      </w:r>
      <w:r w:rsidRPr="00702AA1">
        <w:rPr>
          <w:rFonts w:ascii="Book Antiqua" w:hAnsi="Book Antiqua"/>
        </w:rPr>
        <w:t>. The Women’s Court for the Balkans took place in Sarajevo, Bosnia and Herzegovina, from May 4</w:t>
      </w:r>
      <w:r w:rsidRPr="00702AA1">
        <w:rPr>
          <w:rFonts w:ascii="Book Antiqua" w:hAnsi="Book Antiqua"/>
          <w:vertAlign w:val="superscript"/>
        </w:rPr>
        <w:t>th</w:t>
      </w:r>
      <w:r w:rsidRPr="00702AA1">
        <w:rPr>
          <w:rFonts w:ascii="Book Antiqua" w:hAnsi="Book Antiqua"/>
        </w:rPr>
        <w:t xml:space="preserve"> to 7</w:t>
      </w:r>
      <w:r w:rsidRPr="00702AA1">
        <w:rPr>
          <w:rFonts w:ascii="Book Antiqua" w:hAnsi="Book Antiqua"/>
          <w:vertAlign w:val="superscript"/>
        </w:rPr>
        <w:t>th</w:t>
      </w:r>
      <w:r w:rsidRPr="00702AA1">
        <w:rPr>
          <w:rFonts w:ascii="Book Antiqua" w:hAnsi="Book Antiqua"/>
        </w:rPr>
        <w:t xml:space="preserve">, 2015, but it was just the last phase of a long preparation that had lasted more than 10 years. The first idea had actually come up in 2000, sponsored by local activist </w:t>
      </w:r>
      <w:r w:rsidRPr="00702AA1">
        <w:rPr>
          <w:rFonts w:ascii="Times New Roman" w:hAnsi="Times New Roman" w:cs="Times New Roman"/>
        </w:rPr>
        <w:t>Ž</w:t>
      </w:r>
      <w:r w:rsidRPr="00702AA1">
        <w:rPr>
          <w:rFonts w:ascii="Book Antiqua" w:hAnsi="Book Antiqua"/>
        </w:rPr>
        <w:t>arana Papi</w:t>
      </w:r>
      <w:r w:rsidRPr="00702AA1">
        <w:rPr>
          <w:rFonts w:ascii="Times New Roman" w:hAnsi="Times New Roman" w:cs="Times New Roman"/>
        </w:rPr>
        <w:t>ć</w:t>
      </w:r>
      <w:r w:rsidRPr="00702AA1">
        <w:rPr>
          <w:rFonts w:ascii="Book Antiqua" w:hAnsi="Book Antiqua"/>
        </w:rPr>
        <w:t xml:space="preserve"> and by the international coordinator of the global Women’s Court movement, Corinne Kumar, but it had been abandoned after Papi</w:t>
      </w:r>
      <w:r w:rsidRPr="00702AA1">
        <w:rPr>
          <w:rFonts w:ascii="Times New Roman" w:hAnsi="Times New Roman" w:cs="Times New Roman"/>
        </w:rPr>
        <w:t>ć</w:t>
      </w:r>
      <w:r w:rsidRPr="00702AA1">
        <w:rPr>
          <w:rFonts w:ascii="Book Antiqua" w:hAnsi="Book Antiqua"/>
        </w:rPr>
        <w:t xml:space="preserve"> had passed away</w:t>
      </w:r>
      <w:r w:rsidR="003F384F" w:rsidRPr="00702AA1">
        <w:rPr>
          <w:rFonts w:ascii="Book Antiqua" w:hAnsi="Book Antiqua"/>
        </w:rPr>
        <w:t xml:space="preserve"> (</w:t>
      </w:r>
      <w:r w:rsidR="00140D16" w:rsidRPr="001D116F">
        <w:rPr>
          <w:rFonts w:ascii="Book Antiqua" w:hAnsi="Book Antiqua" w:cs="Lucida Grande"/>
        </w:rPr>
        <w:t>Women’s Court</w:t>
      </w:r>
      <w:r w:rsidR="0084139C">
        <w:rPr>
          <w:rFonts w:ascii="Book Antiqua" w:hAnsi="Book Antiqua" w:cs="Lucida Grande"/>
        </w:rPr>
        <w:t>,</w:t>
      </w:r>
      <w:r w:rsidR="003F384F" w:rsidRPr="00702AA1">
        <w:rPr>
          <w:rFonts w:ascii="Book Antiqua" w:hAnsi="Book Antiqua"/>
        </w:rPr>
        <w:t xml:space="preserve"> 2011: 14)</w:t>
      </w:r>
      <w:r w:rsidRPr="00702AA1">
        <w:rPr>
          <w:rFonts w:ascii="Book Antiqua" w:hAnsi="Book Antiqua"/>
        </w:rPr>
        <w:t>. After the initiative was re-launched by the Balgrade-based NGO Women in Black in 2006/7, the formal preparatory process started in 2010. It comprised a series of meetings, seminars and presentations with women from throughout the region, during which it was decided who would testify and approximately about what topics.</w:t>
      </w:r>
      <w:r w:rsidRPr="00702AA1">
        <w:rPr>
          <w:rStyle w:val="FootnoteReference"/>
          <w:rFonts w:ascii="Book Antiqua" w:hAnsi="Book Antiqua"/>
        </w:rPr>
        <w:footnoteReference w:id="16"/>
      </w:r>
      <w:r w:rsidRPr="00702AA1">
        <w:rPr>
          <w:rFonts w:ascii="Book Antiqua" w:hAnsi="Book Antiqua"/>
        </w:rPr>
        <w:t xml:space="preserve"> </w:t>
      </w:r>
    </w:p>
    <w:p w14:paraId="420CB6F6" w14:textId="77777777" w:rsidR="0084139C" w:rsidRDefault="0084139C" w:rsidP="004D14DC">
      <w:pPr>
        <w:spacing w:line="360" w:lineRule="auto"/>
        <w:jc w:val="both"/>
        <w:rPr>
          <w:rFonts w:ascii="Book Antiqua" w:hAnsi="Book Antiqua"/>
        </w:rPr>
      </w:pPr>
    </w:p>
    <w:p w14:paraId="2EC8AFFA" w14:textId="0C7005F2" w:rsidR="00AB3E16" w:rsidRPr="00702AA1" w:rsidRDefault="00AB3E16" w:rsidP="004D14DC">
      <w:pPr>
        <w:spacing w:line="360" w:lineRule="auto"/>
        <w:jc w:val="both"/>
        <w:rPr>
          <w:rFonts w:ascii="Book Antiqua" w:hAnsi="Book Antiqua"/>
        </w:rPr>
      </w:pPr>
      <w:r w:rsidRPr="00702AA1">
        <w:rPr>
          <w:rFonts w:ascii="Book Antiqua" w:hAnsi="Book Antiqua"/>
        </w:rPr>
        <w:t xml:space="preserve">In the case of the Women’s Court, too, </w:t>
      </w:r>
      <w:r w:rsidR="00CB1A9F" w:rsidRPr="00702AA1">
        <w:rPr>
          <w:rFonts w:ascii="Book Antiqua" w:hAnsi="Book Antiqua"/>
        </w:rPr>
        <w:t>similarly to</w:t>
      </w:r>
      <w:r w:rsidRPr="00702AA1">
        <w:rPr>
          <w:rFonts w:ascii="Book Antiqua" w:hAnsi="Book Antiqua"/>
        </w:rPr>
        <w:t xml:space="preserve"> RECOM, there was a strong awareness of the limits of ordinary justice processes</w:t>
      </w:r>
      <w:r w:rsidR="00027FEA" w:rsidRPr="00702AA1">
        <w:rPr>
          <w:rFonts w:ascii="Book Antiqua" w:hAnsi="Book Antiqua"/>
        </w:rPr>
        <w:t>,</w:t>
      </w:r>
      <w:r w:rsidRPr="00702AA1">
        <w:rPr>
          <w:rFonts w:ascii="Book Antiqua" w:hAnsi="Book Antiqua"/>
        </w:rPr>
        <w:t xml:space="preserve"> and the secondary and rather passive role victims play therein. Hence</w:t>
      </w:r>
      <w:r w:rsidR="006D0ADE" w:rsidRPr="00702AA1">
        <w:rPr>
          <w:rFonts w:ascii="Book Antiqua" w:hAnsi="Book Antiqua"/>
        </w:rPr>
        <w:t>,</w:t>
      </w:r>
      <w:r w:rsidRPr="00702AA1">
        <w:rPr>
          <w:rFonts w:ascii="Book Antiqua" w:hAnsi="Book Antiqua"/>
        </w:rPr>
        <w:t xml:space="preserve"> one of the paramount goals of the initiative was to provide a safe space for women whose stories had not been featured in trials or other transitional justice </w:t>
      </w:r>
      <w:r w:rsidRPr="00702AA1">
        <w:rPr>
          <w:rFonts w:ascii="Book Antiqua" w:hAnsi="Book Antiqua"/>
        </w:rPr>
        <w:lastRenderedPageBreak/>
        <w:t xml:space="preserve">initiatives, to tell their stories. </w:t>
      </w:r>
      <w:r w:rsidR="006D0ADE" w:rsidRPr="00702AA1">
        <w:rPr>
          <w:rFonts w:ascii="Book Antiqua" w:hAnsi="Book Antiqua"/>
        </w:rPr>
        <w:t>J</w:t>
      </w:r>
      <w:r w:rsidRPr="00702AA1">
        <w:rPr>
          <w:rFonts w:ascii="Book Antiqua" w:hAnsi="Book Antiqua"/>
        </w:rPr>
        <w:t xml:space="preserve">udicial mechanisms </w:t>
      </w:r>
      <w:r w:rsidR="00364905" w:rsidRPr="00702AA1">
        <w:rPr>
          <w:rFonts w:ascii="Book Antiqua" w:hAnsi="Book Antiqua"/>
        </w:rPr>
        <w:t>(</w:t>
      </w:r>
      <w:r w:rsidRPr="00702AA1">
        <w:rPr>
          <w:rFonts w:ascii="Book Antiqua" w:hAnsi="Book Antiqua"/>
        </w:rPr>
        <w:t>and more general</w:t>
      </w:r>
      <w:r w:rsidR="002E0797" w:rsidRPr="00702AA1">
        <w:rPr>
          <w:rFonts w:ascii="Book Antiqua" w:hAnsi="Book Antiqua"/>
        </w:rPr>
        <w:t>ly</w:t>
      </w:r>
      <w:r w:rsidRPr="00702AA1">
        <w:rPr>
          <w:rFonts w:ascii="Book Antiqua" w:hAnsi="Book Antiqua"/>
        </w:rPr>
        <w:t xml:space="preserve"> the transitional justice framework</w:t>
      </w:r>
      <w:r w:rsidR="00364905" w:rsidRPr="00702AA1">
        <w:rPr>
          <w:rFonts w:ascii="Book Antiqua" w:hAnsi="Book Antiqua"/>
        </w:rPr>
        <w:t>)</w:t>
      </w:r>
      <w:r w:rsidRPr="00702AA1">
        <w:rPr>
          <w:rFonts w:ascii="Book Antiqua" w:hAnsi="Book Antiqua"/>
        </w:rPr>
        <w:t xml:space="preserve"> were still considered necessary, but were held insufficient to fulfil the needs of the victims and to reflect the complexity of the conflict and its consequences</w:t>
      </w:r>
      <w:r w:rsidR="003F384F" w:rsidRPr="00702AA1">
        <w:rPr>
          <w:rFonts w:ascii="Book Antiqua" w:hAnsi="Book Antiqua"/>
        </w:rPr>
        <w:t xml:space="preserve"> (</w:t>
      </w:r>
      <w:r w:rsidR="00D51F25">
        <w:rPr>
          <w:rFonts w:ascii="Book Antiqua" w:hAnsi="Book Antiqua" w:cs="Lucida Grande"/>
        </w:rPr>
        <w:t>Zajović</w:t>
      </w:r>
      <w:r w:rsidR="004E5907">
        <w:rPr>
          <w:rFonts w:ascii="Book Antiqua" w:hAnsi="Book Antiqua" w:cs="Lucida Grande"/>
        </w:rPr>
        <w:t>,</w:t>
      </w:r>
      <w:r w:rsidR="003F384F" w:rsidRPr="00702AA1">
        <w:rPr>
          <w:rFonts w:ascii="Book Antiqua" w:hAnsi="Book Antiqua"/>
        </w:rPr>
        <w:t xml:space="preserve"> 2015: 11)</w:t>
      </w:r>
      <w:r w:rsidRPr="00702AA1">
        <w:rPr>
          <w:rFonts w:ascii="Book Antiqua" w:hAnsi="Book Antiqua"/>
        </w:rPr>
        <w:t>. In order to complement them, a feminist lens had to be adopted, highlighting the various forms of structural violence that accompanied the 1990s conflicts in the region and the ways the latter specifically affected women</w:t>
      </w:r>
      <w:r w:rsidR="00116B7C" w:rsidRPr="00702AA1">
        <w:rPr>
          <w:rFonts w:ascii="Book Antiqua" w:hAnsi="Book Antiqua"/>
        </w:rPr>
        <w:t xml:space="preserve"> (</w:t>
      </w:r>
      <w:r w:rsidR="00F47810" w:rsidRPr="001D116F">
        <w:rPr>
          <w:rFonts w:ascii="Book Antiqua" w:hAnsi="Book Antiqua" w:cs="Lucida Grande"/>
        </w:rPr>
        <w:t>Women’s Court</w:t>
      </w:r>
      <w:r w:rsidR="004E5907">
        <w:rPr>
          <w:rFonts w:ascii="Book Antiqua" w:hAnsi="Book Antiqua" w:cs="Lucida Grande"/>
        </w:rPr>
        <w:t>,</w:t>
      </w:r>
      <w:r w:rsidR="00116B7C" w:rsidRPr="00702AA1">
        <w:rPr>
          <w:rFonts w:ascii="Book Antiqua" w:hAnsi="Book Antiqua"/>
        </w:rPr>
        <w:t xml:space="preserve"> 2011: 14)</w:t>
      </w:r>
      <w:r w:rsidRPr="00702AA1">
        <w:rPr>
          <w:rFonts w:ascii="Book Antiqua" w:hAnsi="Book Antiqua"/>
        </w:rPr>
        <w:t>.</w:t>
      </w:r>
    </w:p>
    <w:p w14:paraId="07F68CB7" w14:textId="77777777" w:rsidR="004E5907" w:rsidRDefault="004E5907" w:rsidP="004D14DC">
      <w:pPr>
        <w:widowControl w:val="0"/>
        <w:autoSpaceDE w:val="0"/>
        <w:autoSpaceDN w:val="0"/>
        <w:adjustRightInd w:val="0"/>
        <w:spacing w:line="360" w:lineRule="auto"/>
        <w:jc w:val="both"/>
        <w:rPr>
          <w:rFonts w:ascii="Book Antiqua" w:hAnsi="Book Antiqua"/>
        </w:rPr>
      </w:pPr>
    </w:p>
    <w:p w14:paraId="6413DE56" w14:textId="7D63206B" w:rsidR="00AB3E16" w:rsidRPr="001D116F" w:rsidRDefault="00AB3E16" w:rsidP="004D14DC">
      <w:pPr>
        <w:widowControl w:val="0"/>
        <w:autoSpaceDE w:val="0"/>
        <w:autoSpaceDN w:val="0"/>
        <w:adjustRightInd w:val="0"/>
        <w:spacing w:line="360" w:lineRule="auto"/>
        <w:jc w:val="both"/>
        <w:rPr>
          <w:rFonts w:ascii="Book Antiqua" w:hAnsi="Book Antiqua" w:cs="Cambria"/>
        </w:rPr>
      </w:pPr>
      <w:r w:rsidRPr="00702AA1">
        <w:rPr>
          <w:rFonts w:ascii="Book Antiqua" w:hAnsi="Book Antiqua"/>
        </w:rPr>
        <w:t>A broader and more nuanced interpretation of the wartime violence and its consequences was the first and foremost contribution of the Women’s Court toward a transformative justice process. In fact, this was the first consistent effort in the region to propose a reading of the violence that would highlight the economic and social consequences of the conflict besides the interethnic and interpersonal violence that are usually in the spotlight. This was reali</w:t>
      </w:r>
      <w:r w:rsidR="004E5907">
        <w:rPr>
          <w:rFonts w:ascii="Book Antiqua" w:hAnsi="Book Antiqua"/>
        </w:rPr>
        <w:t>s</w:t>
      </w:r>
      <w:r w:rsidRPr="00702AA1">
        <w:rPr>
          <w:rFonts w:ascii="Book Antiqua" w:hAnsi="Book Antiqua"/>
        </w:rPr>
        <w:t xml:space="preserve">ed by including testimonies on </w:t>
      </w:r>
      <w:r w:rsidR="00775DBD">
        <w:rPr>
          <w:rFonts w:ascii="Book Antiqua" w:hAnsi="Book Antiqua"/>
        </w:rPr>
        <w:t>various</w:t>
      </w:r>
      <w:r w:rsidRPr="00702AA1">
        <w:rPr>
          <w:rFonts w:ascii="Book Antiqua" w:hAnsi="Book Antiqua"/>
        </w:rPr>
        <w:t xml:space="preserve"> topics, </w:t>
      </w:r>
      <w:r w:rsidR="009B0FEE" w:rsidRPr="00702AA1">
        <w:rPr>
          <w:rFonts w:ascii="Book Antiqua" w:hAnsi="Book Antiqua"/>
        </w:rPr>
        <w:t xml:space="preserve">each </w:t>
      </w:r>
      <w:r w:rsidRPr="00702AA1">
        <w:rPr>
          <w:rFonts w:ascii="Book Antiqua" w:hAnsi="Book Antiqua"/>
        </w:rPr>
        <w:t xml:space="preserve">corresponding to a section of the court featuring several witnesses: </w:t>
      </w:r>
      <w:r w:rsidRPr="00702AA1">
        <w:rPr>
          <w:rFonts w:ascii="Book Antiqua" w:hAnsi="Book Antiqua" w:cs="Cambria"/>
        </w:rPr>
        <w:t>1. War against the civilian population (</w:t>
      </w:r>
      <w:r w:rsidRPr="00702AA1">
        <w:rPr>
          <w:rFonts w:ascii="Book Antiqua" w:hAnsi="Book Antiqua" w:cs="Times"/>
          <w:i/>
        </w:rPr>
        <w:t>Rat protiv civilno stanovništvo</w:t>
      </w:r>
      <w:r w:rsidRPr="00702AA1">
        <w:rPr>
          <w:rFonts w:ascii="Book Antiqua" w:hAnsi="Book Antiqua" w:cs="Cambria"/>
        </w:rPr>
        <w:t>); 2. Wom</w:t>
      </w:r>
      <w:r w:rsidR="002A3C38" w:rsidRPr="00702AA1">
        <w:rPr>
          <w:rFonts w:ascii="Book Antiqua" w:hAnsi="Book Antiqua" w:cs="Cambria"/>
        </w:rPr>
        <w:t>a</w:t>
      </w:r>
      <w:r w:rsidRPr="00702AA1">
        <w:rPr>
          <w:rFonts w:ascii="Book Antiqua" w:hAnsi="Book Antiqua" w:cs="Cambria"/>
        </w:rPr>
        <w:t>n’s body</w:t>
      </w:r>
      <w:r w:rsidR="009B0FEE" w:rsidRPr="00702AA1">
        <w:rPr>
          <w:rFonts w:ascii="Book Antiqua" w:hAnsi="Book Antiqua" w:cs="Cambria"/>
        </w:rPr>
        <w:t xml:space="preserve">: </w:t>
      </w:r>
      <w:r w:rsidRPr="00702AA1">
        <w:rPr>
          <w:rFonts w:ascii="Book Antiqua" w:hAnsi="Book Antiqua" w:cs="Cambria"/>
        </w:rPr>
        <w:t>a battlefield (</w:t>
      </w:r>
      <w:r w:rsidRPr="00702AA1">
        <w:rPr>
          <w:rFonts w:ascii="Times New Roman" w:hAnsi="Times New Roman" w:cs="Times New Roman"/>
          <w:i/>
        </w:rPr>
        <w:t>Ž</w:t>
      </w:r>
      <w:r w:rsidRPr="00702AA1">
        <w:rPr>
          <w:rFonts w:ascii="Book Antiqua" w:hAnsi="Book Antiqua" w:cs="Times"/>
          <w:i/>
        </w:rPr>
        <w:t>ensko tjelo: bojno polje</w:t>
      </w:r>
      <w:r w:rsidRPr="00702AA1">
        <w:rPr>
          <w:rFonts w:ascii="Book Antiqua" w:hAnsi="Book Antiqua" w:cs="Cambria"/>
        </w:rPr>
        <w:t>); 3. Militaristic violence and women’s resistance (</w:t>
      </w:r>
      <w:r w:rsidRPr="00702AA1">
        <w:rPr>
          <w:rFonts w:ascii="Book Antiqua" w:hAnsi="Book Antiqua" w:cs="Times"/>
          <w:i/>
        </w:rPr>
        <w:t xml:space="preserve">Militarističko nasilje i otpor </w:t>
      </w:r>
      <w:r w:rsidRPr="00702AA1">
        <w:rPr>
          <w:rFonts w:ascii="Times New Roman" w:hAnsi="Times New Roman" w:cs="Times New Roman"/>
          <w:i/>
        </w:rPr>
        <w:t>ž</w:t>
      </w:r>
      <w:r w:rsidRPr="00702AA1">
        <w:rPr>
          <w:rFonts w:ascii="Book Antiqua" w:hAnsi="Book Antiqua" w:cs="Times"/>
          <w:i/>
        </w:rPr>
        <w:t>ena</w:t>
      </w:r>
      <w:r w:rsidRPr="00702AA1">
        <w:rPr>
          <w:rFonts w:ascii="Book Antiqua" w:hAnsi="Book Antiqua" w:cs="Cambria"/>
        </w:rPr>
        <w:t>); 4. Persecution of those who are different in war and peace (</w:t>
      </w:r>
      <w:r w:rsidRPr="00702AA1">
        <w:rPr>
          <w:rFonts w:ascii="Book Antiqua" w:hAnsi="Book Antiqua" w:cs="Times"/>
          <w:i/>
        </w:rPr>
        <w:t>Progon drugačijih i u ratu i u miru</w:t>
      </w:r>
      <w:r w:rsidRPr="00702AA1">
        <w:rPr>
          <w:rFonts w:ascii="Book Antiqua" w:hAnsi="Book Antiqua" w:cs="Cambria"/>
        </w:rPr>
        <w:t>); 5. (Un)declared war: social and economic violence and women’s resistance ((</w:t>
      </w:r>
      <w:r w:rsidRPr="00702AA1">
        <w:rPr>
          <w:rFonts w:ascii="Book Antiqua" w:hAnsi="Book Antiqua" w:cs="Times"/>
          <w:i/>
        </w:rPr>
        <w:t xml:space="preserve">Ne)objavljeni rat: socijalno i ekonomsko nasilje i otpor </w:t>
      </w:r>
      <w:r w:rsidRPr="00702AA1">
        <w:rPr>
          <w:rFonts w:ascii="Times New Roman" w:hAnsi="Times New Roman" w:cs="Times New Roman"/>
          <w:i/>
        </w:rPr>
        <w:t>ž</w:t>
      </w:r>
      <w:r w:rsidRPr="00702AA1">
        <w:rPr>
          <w:rFonts w:ascii="Book Antiqua" w:hAnsi="Book Antiqua" w:cs="Times"/>
          <w:i/>
        </w:rPr>
        <w:t>ena</w:t>
      </w:r>
      <w:r w:rsidRPr="00702AA1">
        <w:rPr>
          <w:rFonts w:ascii="Book Antiqua" w:hAnsi="Book Antiqua" w:cs="Cambria"/>
        </w:rPr>
        <w:t>). The women’s testimonies were then placed in a broader hi</w:t>
      </w:r>
      <w:r w:rsidR="00FC0B68" w:rsidRPr="00702AA1">
        <w:rPr>
          <w:rFonts w:ascii="Book Antiqua" w:hAnsi="Book Antiqua" w:cs="Cambria"/>
        </w:rPr>
        <w:t>storical and social context by ‘</w:t>
      </w:r>
      <w:r w:rsidRPr="00702AA1">
        <w:rPr>
          <w:rFonts w:ascii="Book Antiqua" w:hAnsi="Book Antiqua" w:cs="Cambria"/>
        </w:rPr>
        <w:t>experts’ (academics or activists with an expertise on the specific topic).</w:t>
      </w:r>
    </w:p>
    <w:p w14:paraId="1AA62FF0" w14:textId="77777777" w:rsidR="004E5907" w:rsidRDefault="004E5907" w:rsidP="004D14DC">
      <w:pPr>
        <w:widowControl w:val="0"/>
        <w:autoSpaceDE w:val="0"/>
        <w:autoSpaceDN w:val="0"/>
        <w:adjustRightInd w:val="0"/>
        <w:spacing w:line="360" w:lineRule="auto"/>
        <w:jc w:val="both"/>
        <w:rPr>
          <w:rFonts w:ascii="Book Antiqua" w:hAnsi="Book Antiqua" w:cs="Cambria"/>
        </w:rPr>
      </w:pPr>
    </w:p>
    <w:p w14:paraId="6945853F" w14:textId="4501741A" w:rsidR="00AB3E16" w:rsidRPr="001D116F" w:rsidRDefault="006D0ADE" w:rsidP="004D14DC">
      <w:pPr>
        <w:widowControl w:val="0"/>
        <w:autoSpaceDE w:val="0"/>
        <w:autoSpaceDN w:val="0"/>
        <w:adjustRightInd w:val="0"/>
        <w:spacing w:line="360" w:lineRule="auto"/>
        <w:jc w:val="both"/>
        <w:rPr>
          <w:rFonts w:ascii="Book Antiqua" w:hAnsi="Book Antiqua" w:cs="Times"/>
        </w:rPr>
      </w:pPr>
      <w:r w:rsidRPr="00702AA1">
        <w:rPr>
          <w:rFonts w:ascii="Book Antiqua" w:hAnsi="Book Antiqua" w:cs="Cambria"/>
        </w:rPr>
        <w:t>One of the most transformative elements of the Court was that</w:t>
      </w:r>
      <w:r w:rsidR="00AB3E16" w:rsidRPr="00702AA1">
        <w:rPr>
          <w:rFonts w:ascii="Book Antiqua" w:hAnsi="Book Antiqua" w:cs="Cambria"/>
        </w:rPr>
        <w:t xml:space="preserve"> </w:t>
      </w:r>
      <w:r w:rsidR="00FC0B68" w:rsidRPr="00702AA1">
        <w:rPr>
          <w:rFonts w:ascii="Book Antiqua" w:hAnsi="Book Antiqua" w:cs="Cambria"/>
        </w:rPr>
        <w:t xml:space="preserve">it let </w:t>
      </w:r>
      <w:r w:rsidR="00AB3E16" w:rsidRPr="00702AA1">
        <w:rPr>
          <w:rFonts w:ascii="Book Antiqua" w:hAnsi="Book Antiqua" w:cs="Cambria"/>
        </w:rPr>
        <w:t>histories of violence that had never found an escape valve before, such as the predicament of women who lost their jobs after the mass layoffs ensuing</w:t>
      </w:r>
      <w:r w:rsidR="009B0FEE" w:rsidRPr="00702AA1">
        <w:rPr>
          <w:rFonts w:ascii="Book Antiqua" w:hAnsi="Book Antiqua" w:cs="Cambria"/>
        </w:rPr>
        <w:t xml:space="preserve"> from</w:t>
      </w:r>
      <w:r w:rsidR="00AB3E16" w:rsidRPr="00702AA1">
        <w:rPr>
          <w:rFonts w:ascii="Book Antiqua" w:hAnsi="Book Antiqua" w:cs="Cambria"/>
        </w:rPr>
        <w:t xml:space="preserve"> the privati</w:t>
      </w:r>
      <w:r w:rsidR="000A022A">
        <w:rPr>
          <w:rFonts w:ascii="Book Antiqua" w:hAnsi="Book Antiqua" w:cs="Cambria"/>
        </w:rPr>
        <w:t>s</w:t>
      </w:r>
      <w:r w:rsidR="00AB3E16" w:rsidRPr="00702AA1">
        <w:rPr>
          <w:rFonts w:ascii="Book Antiqua" w:hAnsi="Book Antiqua" w:cs="Cambria"/>
        </w:rPr>
        <w:t>ations, become part and parcel of the transitional narrative.</w:t>
      </w:r>
      <w:r w:rsidR="00AB3E16" w:rsidRPr="00702AA1">
        <w:rPr>
          <w:rStyle w:val="FootnoteReference"/>
          <w:rFonts w:ascii="Book Antiqua" w:hAnsi="Book Antiqua" w:cs="Cambria"/>
        </w:rPr>
        <w:footnoteReference w:id="17"/>
      </w:r>
      <w:r w:rsidR="00AB3E16" w:rsidRPr="00702AA1">
        <w:rPr>
          <w:rFonts w:ascii="Book Antiqua" w:hAnsi="Book Antiqua" w:cs="Cambria"/>
        </w:rPr>
        <w:t xml:space="preserve"> Attesting to the flexibility of the concept of (in)justice, some testimonies featured several forms of violence. A woman victim of wartime rape, for instance, underlined how she had also </w:t>
      </w:r>
      <w:r w:rsidR="00021F80" w:rsidRPr="00702AA1">
        <w:rPr>
          <w:rFonts w:ascii="Book Antiqua" w:hAnsi="Book Antiqua" w:cs="Cambria"/>
        </w:rPr>
        <w:t xml:space="preserve">been a </w:t>
      </w:r>
      <w:r w:rsidR="00AB3E16" w:rsidRPr="00702AA1">
        <w:rPr>
          <w:rFonts w:ascii="Book Antiqua" w:hAnsi="Book Antiqua" w:cs="Cambria"/>
        </w:rPr>
        <w:t>victim of domestic violence and, after leaving her husband, of multiple discrimination: as a refugee, a single mother and someone suffering from mental health issues. But what currently made her suffer the most was that her sons could not find a job due to the current economic situation in Bosnia and Herzegovina.</w:t>
      </w:r>
      <w:r w:rsidR="00AB3E16" w:rsidRPr="00702AA1">
        <w:rPr>
          <w:rStyle w:val="FootnoteReference"/>
          <w:rFonts w:ascii="Book Antiqua" w:hAnsi="Book Antiqua" w:cs="Cambria"/>
        </w:rPr>
        <w:footnoteReference w:id="18"/>
      </w:r>
      <w:r w:rsidR="00AB3E16" w:rsidRPr="00702AA1">
        <w:rPr>
          <w:rFonts w:ascii="Book Antiqua" w:hAnsi="Book Antiqua" w:cs="Cambria"/>
        </w:rPr>
        <w:t xml:space="preserve">  This example also shows how the Women’s Court was able to bring out the interconnectedness of the various forms of violence and, above all, their continuity from wartime into the present. The ability to break the artificial isolation of wartime violence from the present and reveal its </w:t>
      </w:r>
      <w:r w:rsidR="00AB3E16" w:rsidRPr="00702AA1">
        <w:rPr>
          <w:rFonts w:ascii="Book Antiqua" w:hAnsi="Book Antiqua" w:cs="Cambria"/>
        </w:rPr>
        <w:lastRenderedPageBreak/>
        <w:t xml:space="preserve">significance for </w:t>
      </w:r>
      <w:r w:rsidR="00775DBD">
        <w:rPr>
          <w:rFonts w:ascii="Book Antiqua" w:hAnsi="Book Antiqua" w:cs="Cambria"/>
        </w:rPr>
        <w:t>current</w:t>
      </w:r>
      <w:r w:rsidR="00021F80" w:rsidRPr="00702AA1">
        <w:rPr>
          <w:rFonts w:ascii="Book Antiqua" w:hAnsi="Book Antiqua" w:cs="Cambria"/>
        </w:rPr>
        <w:t xml:space="preserve"> </w:t>
      </w:r>
      <w:r w:rsidR="00AB3E16" w:rsidRPr="00702AA1">
        <w:rPr>
          <w:rFonts w:ascii="Book Antiqua" w:hAnsi="Book Antiqua" w:cs="Cambria"/>
        </w:rPr>
        <w:t>problems is key for a truly transformative process (</w:t>
      </w:r>
      <w:r w:rsidR="00FC0B68" w:rsidRPr="00702AA1">
        <w:rPr>
          <w:rFonts w:ascii="Book Antiqua" w:hAnsi="Book Antiqua" w:cs="Cambria"/>
        </w:rPr>
        <w:t>see</w:t>
      </w:r>
      <w:r w:rsidR="00E01310" w:rsidRPr="00702AA1">
        <w:rPr>
          <w:rFonts w:ascii="Book Antiqua" w:hAnsi="Book Antiqua" w:cs="Cambria"/>
        </w:rPr>
        <w:t xml:space="preserve"> Gready and Robins</w:t>
      </w:r>
      <w:r w:rsidR="000A022A">
        <w:rPr>
          <w:rFonts w:ascii="Book Antiqua" w:hAnsi="Book Antiqua" w:cs="Cambria"/>
        </w:rPr>
        <w:t>,</w:t>
      </w:r>
      <w:r w:rsidR="00AB3E16" w:rsidRPr="00702AA1">
        <w:rPr>
          <w:rFonts w:ascii="Book Antiqua" w:hAnsi="Book Antiqua" w:cs="Cambria"/>
        </w:rPr>
        <w:t xml:space="preserve"> 2014:</w:t>
      </w:r>
      <w:r w:rsidR="00021F80" w:rsidRPr="00702AA1">
        <w:rPr>
          <w:rFonts w:ascii="Book Antiqua" w:hAnsi="Book Antiqua" w:cs="Cambria"/>
        </w:rPr>
        <w:t xml:space="preserve"> </w:t>
      </w:r>
      <w:r w:rsidR="00AB3E16" w:rsidRPr="00702AA1">
        <w:rPr>
          <w:rFonts w:ascii="Book Antiqua" w:hAnsi="Book Antiqua" w:cs="Cambria"/>
        </w:rPr>
        <w:t>10). In fact, this means directly taking issue with current political problems, like the corruption of ethno-national elites but also the liberal model sponsored by the international community.</w:t>
      </w:r>
      <w:r w:rsidR="00AB3E16" w:rsidRPr="00702AA1">
        <w:rPr>
          <w:rStyle w:val="FootnoteReference"/>
          <w:rFonts w:ascii="Book Antiqua" w:hAnsi="Book Antiqua" w:cs="Cambria"/>
        </w:rPr>
        <w:footnoteReference w:id="19"/>
      </w:r>
      <w:r w:rsidRPr="00702AA1">
        <w:rPr>
          <w:rFonts w:ascii="Book Antiqua" w:hAnsi="Book Antiqua" w:cs="Cambria"/>
        </w:rPr>
        <w:t xml:space="preserve"> </w:t>
      </w:r>
      <w:r w:rsidR="00364905" w:rsidRPr="00702AA1">
        <w:rPr>
          <w:rFonts w:ascii="Book Antiqua" w:hAnsi="Book Antiqua" w:cs="Cambria"/>
        </w:rPr>
        <w:t xml:space="preserve">Through its work, the Court effectively attempted to reconceptualise the very meaning of injustice and justice, by relying on a feminist approach and putting women’s voices and actions at the centre of the process, in a much more substantial way compared to previous transitional justice initiatives, including RECOM. </w:t>
      </w:r>
      <w:r w:rsidR="00FC0B68" w:rsidRPr="00702AA1">
        <w:rPr>
          <w:rFonts w:ascii="Book Antiqua" w:hAnsi="Book Antiqua" w:cs="Cambria"/>
        </w:rPr>
        <w:t>It did not shy away from political issues, but put them at the centre of its work.</w:t>
      </w:r>
    </w:p>
    <w:p w14:paraId="376B77CE" w14:textId="77777777" w:rsidR="000A022A" w:rsidRDefault="000A022A" w:rsidP="004D14DC">
      <w:pPr>
        <w:spacing w:line="360" w:lineRule="auto"/>
        <w:jc w:val="both"/>
        <w:rPr>
          <w:rFonts w:ascii="Book Antiqua" w:hAnsi="Book Antiqua"/>
        </w:rPr>
      </w:pPr>
    </w:p>
    <w:p w14:paraId="2B15B354" w14:textId="37DC69E0" w:rsidR="006017B5" w:rsidRPr="00702AA1" w:rsidRDefault="006017B5" w:rsidP="004D14DC">
      <w:pPr>
        <w:spacing w:line="360" w:lineRule="auto"/>
        <w:jc w:val="both"/>
        <w:rPr>
          <w:rFonts w:ascii="Book Antiqua" w:hAnsi="Book Antiqua"/>
        </w:rPr>
      </w:pPr>
      <w:r w:rsidRPr="00702AA1">
        <w:rPr>
          <w:rFonts w:ascii="Book Antiqua" w:hAnsi="Book Antiqua"/>
        </w:rPr>
        <w:t xml:space="preserve">The Court’s transformative potential was </w:t>
      </w:r>
      <w:r w:rsidR="003C0E24">
        <w:rPr>
          <w:rFonts w:ascii="Book Antiqua" w:hAnsi="Book Antiqua"/>
        </w:rPr>
        <w:t xml:space="preserve">also </w:t>
      </w:r>
      <w:r w:rsidRPr="00702AA1">
        <w:rPr>
          <w:rFonts w:ascii="Book Antiqua" w:hAnsi="Book Antiqua"/>
        </w:rPr>
        <w:t xml:space="preserve">visible in </w:t>
      </w:r>
      <w:r w:rsidR="003C0E24">
        <w:rPr>
          <w:rFonts w:ascii="Book Antiqua" w:hAnsi="Book Antiqua"/>
        </w:rPr>
        <w:t xml:space="preserve">the more radical approach it took to increasing local </w:t>
      </w:r>
      <w:proofErr w:type="gramStart"/>
      <w:r w:rsidR="003C0E24">
        <w:rPr>
          <w:rFonts w:ascii="Book Antiqua" w:hAnsi="Book Antiqua"/>
        </w:rPr>
        <w:t>participation.</w:t>
      </w:r>
      <w:r w:rsidRPr="00702AA1">
        <w:rPr>
          <w:rFonts w:ascii="Book Antiqua" w:hAnsi="Book Antiqua"/>
        </w:rPr>
        <w:t>.</w:t>
      </w:r>
      <w:proofErr w:type="gramEnd"/>
      <w:r w:rsidRPr="00702AA1">
        <w:rPr>
          <w:rFonts w:ascii="Book Antiqua" w:hAnsi="Book Antiqua"/>
        </w:rPr>
        <w:t xml:space="preserve"> The Court’s feminist approach to justice, in fact, meant not only a reformulation of what ‘justice’ meant, but also a substantial rethinking of the ways in which women (as the focus of the Court’s work) took part in post-war justice processes. This meant involving the broader society, beyond those actively involved in non-governmental </w:t>
      </w:r>
      <w:r w:rsidR="00F65E9E" w:rsidRPr="00702AA1">
        <w:rPr>
          <w:rFonts w:ascii="Book Antiqua" w:hAnsi="Book Antiqua"/>
        </w:rPr>
        <w:t xml:space="preserve">organisation </w:t>
      </w:r>
      <w:r w:rsidRPr="00702AA1">
        <w:rPr>
          <w:rFonts w:ascii="Book Antiqua" w:hAnsi="Book Antiqua"/>
        </w:rPr>
        <w:t>work. Women witnesses, some of whom were not affiliated with any organisations, were ‘the leading subjects of the Women’s Court’</w:t>
      </w:r>
      <w:r w:rsidR="003B5EB5" w:rsidRPr="00702AA1">
        <w:rPr>
          <w:rFonts w:ascii="Book Antiqua" w:hAnsi="Book Antiqua"/>
        </w:rPr>
        <w:t xml:space="preserve"> (Women’s Court, Judicial Council</w:t>
      </w:r>
      <w:r w:rsidR="004C0F69">
        <w:rPr>
          <w:rFonts w:ascii="Book Antiqua" w:hAnsi="Book Antiqua"/>
        </w:rPr>
        <w:t>,</w:t>
      </w:r>
      <w:r w:rsidR="003B5EB5" w:rsidRPr="00702AA1">
        <w:rPr>
          <w:rFonts w:ascii="Book Antiqua" w:hAnsi="Book Antiqua"/>
        </w:rPr>
        <w:t xml:space="preserve"> 2015)</w:t>
      </w:r>
      <w:r w:rsidRPr="00702AA1">
        <w:rPr>
          <w:rFonts w:ascii="Book Antiqua" w:hAnsi="Book Antiqua"/>
        </w:rPr>
        <w:t>. The judges who wrote the preliminary conclusions of the Sarajevo events recognised that these women ‘have been invisible’, and unable to</w:t>
      </w:r>
      <w:r w:rsidR="00F65E9E" w:rsidRPr="00702AA1">
        <w:rPr>
          <w:rFonts w:ascii="Book Antiqua" w:hAnsi="Book Antiqua"/>
        </w:rPr>
        <w:t xml:space="preserve"> actively</w:t>
      </w:r>
      <w:r w:rsidRPr="00702AA1">
        <w:rPr>
          <w:rFonts w:ascii="Book Antiqua" w:hAnsi="Book Antiqua"/>
        </w:rPr>
        <w:t xml:space="preserve"> take part in ‘truth telling, history making, and</w:t>
      </w:r>
      <w:r w:rsidR="00FC0B68" w:rsidRPr="00702AA1">
        <w:rPr>
          <w:rFonts w:ascii="Book Antiqua" w:hAnsi="Book Antiqua"/>
        </w:rPr>
        <w:t xml:space="preserve"> demanding and defining justice</w:t>
      </w:r>
      <w:r w:rsidRPr="00702AA1">
        <w:rPr>
          <w:rFonts w:ascii="Book Antiqua" w:hAnsi="Book Antiqua"/>
        </w:rPr>
        <w:t>’</w:t>
      </w:r>
      <w:r w:rsidR="00FC0B68" w:rsidRPr="00702AA1">
        <w:rPr>
          <w:rFonts w:ascii="Book Antiqua" w:hAnsi="Book Antiqua"/>
        </w:rPr>
        <w:t xml:space="preserve"> thus far</w:t>
      </w:r>
      <w:r w:rsidR="003B5EB5" w:rsidRPr="00702AA1">
        <w:rPr>
          <w:rFonts w:ascii="Book Antiqua" w:hAnsi="Book Antiqua"/>
        </w:rPr>
        <w:t xml:space="preserve"> (Women’s Court, Judicial Council</w:t>
      </w:r>
      <w:r w:rsidR="004C0F69">
        <w:rPr>
          <w:rFonts w:ascii="Book Antiqua" w:hAnsi="Book Antiqua"/>
        </w:rPr>
        <w:t>,</w:t>
      </w:r>
      <w:r w:rsidR="003B5EB5" w:rsidRPr="00702AA1">
        <w:rPr>
          <w:rFonts w:ascii="Book Antiqua" w:hAnsi="Book Antiqua"/>
        </w:rPr>
        <w:t xml:space="preserve"> 2015)</w:t>
      </w:r>
      <w:r w:rsidR="00FC0B68" w:rsidRPr="00702AA1">
        <w:rPr>
          <w:rFonts w:ascii="Book Antiqua" w:hAnsi="Book Antiqua"/>
        </w:rPr>
        <w:t>.</w:t>
      </w:r>
      <w:r w:rsidRPr="00702AA1">
        <w:rPr>
          <w:rFonts w:ascii="Book Antiqua" w:hAnsi="Book Antiqua"/>
        </w:rPr>
        <w:t xml:space="preserve"> As we can see, participation here goes well beyond involvement in transitional justice programmes, and refers instead to a fundamental contribution to shaping the whole process of dealing with past (and present) violence. In this sense, the feminist approach to justice of the Women’s Court constituted a critique of the structural inequalities of liberal democracy and its forms of participation. It effectively created a ‘subaltern’ space of confrontation and deliberation (Fraser</w:t>
      </w:r>
      <w:r w:rsidR="004C0F69">
        <w:rPr>
          <w:rFonts w:ascii="Book Antiqua" w:hAnsi="Book Antiqua"/>
        </w:rPr>
        <w:t>,</w:t>
      </w:r>
      <w:r w:rsidRPr="00702AA1">
        <w:rPr>
          <w:rFonts w:ascii="Book Antiqua" w:hAnsi="Book Antiqua"/>
        </w:rPr>
        <w:t xml:space="preserve"> 1990) that foregrounded the agency of wo</w:t>
      </w:r>
      <w:r w:rsidR="00E01310" w:rsidRPr="00702AA1">
        <w:rPr>
          <w:rFonts w:ascii="Book Antiqua" w:hAnsi="Book Antiqua"/>
        </w:rPr>
        <w:t>men. As noted by O’Reilly (2016:</w:t>
      </w:r>
      <w:r w:rsidRPr="00702AA1">
        <w:rPr>
          <w:rFonts w:ascii="Book Antiqua" w:hAnsi="Book Antiqua"/>
        </w:rPr>
        <w:t xml:space="preserve"> 428), one important aspect of the </w:t>
      </w:r>
      <w:r w:rsidR="004C0F69">
        <w:rPr>
          <w:rFonts w:ascii="Book Antiqua" w:hAnsi="Book Antiqua"/>
        </w:rPr>
        <w:t>C</w:t>
      </w:r>
      <w:r w:rsidRPr="00702AA1">
        <w:rPr>
          <w:rFonts w:ascii="Book Antiqua" w:hAnsi="Book Antiqua"/>
        </w:rPr>
        <w:t xml:space="preserve">ourt was precisely that it was centred around the role of women witnesses rather than that of experts (who were present, but to provide contextualisation to the testimonies rather than guide the process). </w:t>
      </w:r>
    </w:p>
    <w:p w14:paraId="583553A1" w14:textId="77777777" w:rsidR="004C0F69" w:rsidRDefault="004C0F69" w:rsidP="004D14DC">
      <w:pPr>
        <w:spacing w:line="360" w:lineRule="auto"/>
        <w:jc w:val="both"/>
        <w:rPr>
          <w:rFonts w:ascii="Book Antiqua" w:hAnsi="Book Antiqua"/>
        </w:rPr>
      </w:pPr>
    </w:p>
    <w:p w14:paraId="7A8D7780" w14:textId="2624EB9A" w:rsidR="00AB3E16" w:rsidRPr="00702AA1" w:rsidRDefault="00AB3E16" w:rsidP="004D14DC">
      <w:pPr>
        <w:spacing w:line="360" w:lineRule="auto"/>
        <w:jc w:val="both"/>
        <w:rPr>
          <w:rFonts w:ascii="Book Antiqua" w:hAnsi="Book Antiqua"/>
        </w:rPr>
      </w:pPr>
      <w:r w:rsidRPr="00702AA1">
        <w:rPr>
          <w:rFonts w:ascii="Book Antiqua" w:hAnsi="Book Antiqua"/>
        </w:rPr>
        <w:t xml:space="preserve">Finally, the </w:t>
      </w:r>
      <w:r w:rsidR="00364905" w:rsidRPr="00702AA1">
        <w:rPr>
          <w:rFonts w:ascii="Book Antiqua" w:hAnsi="Book Antiqua"/>
        </w:rPr>
        <w:t xml:space="preserve">Court’s reference to an alternative, more transformative, justice </w:t>
      </w:r>
      <w:r w:rsidR="00105CE3" w:rsidRPr="00702AA1">
        <w:rPr>
          <w:rFonts w:ascii="Book Antiqua" w:hAnsi="Book Antiqua"/>
        </w:rPr>
        <w:t>framework</w:t>
      </w:r>
      <w:r w:rsidR="00364905" w:rsidRPr="00702AA1">
        <w:rPr>
          <w:rFonts w:ascii="Book Antiqua" w:hAnsi="Book Antiqua"/>
        </w:rPr>
        <w:t xml:space="preserve"> is also visible from its detachment from the </w:t>
      </w:r>
      <w:r w:rsidRPr="00702AA1">
        <w:rPr>
          <w:rFonts w:ascii="Book Antiqua" w:hAnsi="Book Antiqua"/>
        </w:rPr>
        <w:t>restorative justice model. While</w:t>
      </w:r>
      <w:r w:rsidR="00364905" w:rsidRPr="00702AA1">
        <w:rPr>
          <w:rFonts w:ascii="Book Antiqua" w:hAnsi="Book Antiqua"/>
        </w:rPr>
        <w:t>,</w:t>
      </w:r>
      <w:r w:rsidRPr="00702AA1">
        <w:rPr>
          <w:rFonts w:ascii="Book Antiqua" w:hAnsi="Book Antiqua"/>
        </w:rPr>
        <w:t xml:space="preserve"> as mentioned </w:t>
      </w:r>
      <w:r w:rsidR="00364905" w:rsidRPr="00702AA1">
        <w:rPr>
          <w:rFonts w:ascii="Book Antiqua" w:hAnsi="Book Antiqua"/>
        </w:rPr>
        <w:t xml:space="preserve">above, </w:t>
      </w:r>
      <w:r w:rsidRPr="00702AA1">
        <w:rPr>
          <w:rFonts w:ascii="Book Antiqua" w:hAnsi="Book Antiqua"/>
        </w:rPr>
        <w:t xml:space="preserve">the witnesses constituted the core of the justice-seeking process, the purpose was not merely to assist them as passive victims in need of therapeutic support, but rather to </w:t>
      </w:r>
      <w:r w:rsidRPr="00702AA1">
        <w:rPr>
          <w:rFonts w:ascii="Book Antiqua" w:hAnsi="Book Antiqua"/>
        </w:rPr>
        <w:lastRenderedPageBreak/>
        <w:t>empower them. Hence, very often the histories of violence were also histories of resistance. The violence had often prompted the women to become politically active, to protest or organi</w:t>
      </w:r>
      <w:r w:rsidR="00890497">
        <w:rPr>
          <w:rFonts w:ascii="Book Antiqua" w:hAnsi="Book Antiqua"/>
        </w:rPr>
        <w:t>s</w:t>
      </w:r>
      <w:r w:rsidRPr="00702AA1">
        <w:rPr>
          <w:rFonts w:ascii="Book Antiqua" w:hAnsi="Book Antiqua"/>
        </w:rPr>
        <w:t>e.</w:t>
      </w:r>
      <w:r w:rsidRPr="00702AA1">
        <w:rPr>
          <w:rStyle w:val="FootnoteReference"/>
          <w:rFonts w:ascii="Book Antiqua" w:hAnsi="Book Antiqua"/>
        </w:rPr>
        <w:footnoteReference w:id="20"/>
      </w:r>
      <w:r w:rsidRPr="00702AA1">
        <w:rPr>
          <w:rFonts w:ascii="Book Antiqua" w:hAnsi="Book Antiqua"/>
        </w:rPr>
        <w:t xml:space="preserve"> The rebuttal of the restorative model, which was communicated clearly in the very first press conference (</w:t>
      </w:r>
      <w:r w:rsidR="00F65E9E" w:rsidRPr="00702AA1">
        <w:rPr>
          <w:rFonts w:ascii="Book Antiqua" w:hAnsi="Book Antiqua"/>
        </w:rPr>
        <w:t>‘</w:t>
      </w:r>
      <w:r w:rsidRPr="00702AA1">
        <w:rPr>
          <w:rFonts w:ascii="Book Antiqua" w:hAnsi="Book Antiqua"/>
          <w:iCs/>
        </w:rPr>
        <w:t>the Women‘s Court is not a psycho-therapeutic court, but a political court</w:t>
      </w:r>
      <w:r w:rsidR="00F65E9E" w:rsidRPr="00702AA1">
        <w:rPr>
          <w:rFonts w:ascii="Book Antiqua" w:hAnsi="Book Antiqua"/>
          <w:iCs/>
        </w:rPr>
        <w:t>’</w:t>
      </w:r>
      <w:r w:rsidRPr="00702AA1">
        <w:rPr>
          <w:rFonts w:ascii="Book Antiqua" w:hAnsi="Book Antiqua"/>
          <w:iCs/>
        </w:rPr>
        <w:t>)</w:t>
      </w:r>
      <w:r w:rsidRPr="00702AA1">
        <w:rPr>
          <w:rFonts w:ascii="Book Antiqua" w:hAnsi="Book Antiqua"/>
          <w:i/>
          <w:iCs/>
        </w:rPr>
        <w:t>,</w:t>
      </w:r>
      <w:r w:rsidRPr="00702AA1">
        <w:rPr>
          <w:rStyle w:val="FootnoteReference"/>
          <w:rFonts w:ascii="Book Antiqua" w:hAnsi="Book Antiqua"/>
          <w:iCs/>
        </w:rPr>
        <w:footnoteReference w:id="21"/>
      </w:r>
      <w:r w:rsidRPr="00702AA1">
        <w:rPr>
          <w:rFonts w:ascii="Book Antiqua" w:hAnsi="Book Antiqua"/>
          <w:i/>
          <w:iCs/>
        </w:rPr>
        <w:t xml:space="preserve"> </w:t>
      </w:r>
      <w:r w:rsidRPr="00702AA1">
        <w:rPr>
          <w:rFonts w:ascii="Book Antiqua" w:hAnsi="Book Antiqua"/>
          <w:iCs/>
        </w:rPr>
        <w:t xml:space="preserve">may be better understood in light of the tendency </w:t>
      </w:r>
      <w:r w:rsidR="00802E60">
        <w:rPr>
          <w:rFonts w:ascii="Book Antiqua" w:hAnsi="Book Antiqua"/>
          <w:iCs/>
        </w:rPr>
        <w:t>(</w:t>
      </w:r>
      <w:r w:rsidRPr="00702AA1">
        <w:rPr>
          <w:rFonts w:ascii="Book Antiqua" w:hAnsi="Book Antiqua"/>
          <w:iCs/>
        </w:rPr>
        <w:t>particularly of international organi</w:t>
      </w:r>
      <w:r w:rsidR="00802E60">
        <w:rPr>
          <w:rFonts w:ascii="Book Antiqua" w:hAnsi="Book Antiqua"/>
          <w:iCs/>
        </w:rPr>
        <w:t>s</w:t>
      </w:r>
      <w:r w:rsidRPr="00702AA1">
        <w:rPr>
          <w:rFonts w:ascii="Book Antiqua" w:hAnsi="Book Antiqua"/>
          <w:iCs/>
        </w:rPr>
        <w:t>ations and NGOs</w:t>
      </w:r>
      <w:r w:rsidR="00802E60">
        <w:rPr>
          <w:rFonts w:ascii="Book Antiqua" w:hAnsi="Book Antiqua"/>
          <w:iCs/>
        </w:rPr>
        <w:t>)</w:t>
      </w:r>
      <w:r w:rsidRPr="00702AA1">
        <w:rPr>
          <w:rFonts w:ascii="Book Antiqua" w:hAnsi="Book Antiqua"/>
          <w:iCs/>
        </w:rPr>
        <w:t xml:space="preserve"> to ‘patologise’ the Bosnian population, i.e. to focus on the traumati</w:t>
      </w:r>
      <w:r w:rsidR="00802E60">
        <w:rPr>
          <w:rFonts w:ascii="Book Antiqua" w:hAnsi="Book Antiqua"/>
          <w:iCs/>
        </w:rPr>
        <w:t>s</w:t>
      </w:r>
      <w:r w:rsidRPr="00702AA1">
        <w:rPr>
          <w:rFonts w:ascii="Book Antiqua" w:hAnsi="Book Antiqua"/>
          <w:iCs/>
        </w:rPr>
        <w:t>ed individual to explain current political and economic problems, while ignoring structural c</w:t>
      </w:r>
      <w:r w:rsidR="00E01310" w:rsidRPr="00702AA1">
        <w:rPr>
          <w:rFonts w:ascii="Book Antiqua" w:hAnsi="Book Antiqua"/>
          <w:iCs/>
        </w:rPr>
        <w:t>auses (Pupavac and Hughes, 2005:</w:t>
      </w:r>
      <w:r w:rsidRPr="00702AA1">
        <w:rPr>
          <w:rFonts w:ascii="Book Antiqua" w:hAnsi="Book Antiqua"/>
          <w:iCs/>
        </w:rPr>
        <w:t xml:space="preserve"> 879-880).</w:t>
      </w:r>
    </w:p>
    <w:p w14:paraId="1116EC42" w14:textId="77777777" w:rsidR="00802E60" w:rsidRDefault="00802E60" w:rsidP="004D14DC">
      <w:pPr>
        <w:spacing w:line="360" w:lineRule="auto"/>
        <w:jc w:val="both"/>
        <w:rPr>
          <w:rFonts w:ascii="Book Antiqua" w:hAnsi="Book Antiqua"/>
        </w:rPr>
      </w:pPr>
    </w:p>
    <w:p w14:paraId="202E6F79" w14:textId="2F4C4DFA" w:rsidR="00AB3E16" w:rsidRPr="00702AA1" w:rsidRDefault="00F00033" w:rsidP="004D14DC">
      <w:pPr>
        <w:spacing w:line="360" w:lineRule="auto"/>
        <w:jc w:val="both"/>
        <w:rPr>
          <w:rFonts w:ascii="Book Antiqua" w:hAnsi="Book Antiqua"/>
        </w:rPr>
      </w:pPr>
      <w:r w:rsidRPr="00702AA1">
        <w:rPr>
          <w:rFonts w:ascii="Book Antiqua" w:hAnsi="Book Antiqua"/>
        </w:rPr>
        <w:t>It should be noted that the Women’s Court’s potential was limited in some important ways. For instance, activists remarked that there was a somewhat unbalanced focus on the broader network of the Women of Srebrenica to testify about sexual violence in Bosnia</w:t>
      </w:r>
      <w:r w:rsidR="00105CE3" w:rsidRPr="00702AA1">
        <w:rPr>
          <w:rFonts w:ascii="Book Antiqua" w:hAnsi="Book Antiqua"/>
        </w:rPr>
        <w:t xml:space="preserve"> at the expense of other experiences</w:t>
      </w:r>
      <w:r w:rsidRPr="00702AA1">
        <w:rPr>
          <w:rFonts w:ascii="Book Antiqua" w:hAnsi="Book Antiqua"/>
        </w:rPr>
        <w:t>.</w:t>
      </w:r>
      <w:r w:rsidRPr="00702AA1">
        <w:rPr>
          <w:rStyle w:val="FootnoteReference"/>
          <w:rFonts w:ascii="Book Antiqua" w:hAnsi="Book Antiqua"/>
        </w:rPr>
        <w:footnoteReference w:id="22"/>
      </w:r>
      <w:r w:rsidR="00E01310" w:rsidRPr="00702AA1">
        <w:rPr>
          <w:rFonts w:ascii="Book Antiqua" w:hAnsi="Book Antiqua"/>
        </w:rPr>
        <w:t xml:space="preserve"> O’Reilly (2016:</w:t>
      </w:r>
      <w:r w:rsidRPr="00702AA1">
        <w:rPr>
          <w:rFonts w:ascii="Book Antiqua" w:hAnsi="Book Antiqua"/>
        </w:rPr>
        <w:t xml:space="preserve"> 431) has also pointed out the lack of diversity in the wartime experiences of violence told at the Court, such as </w:t>
      </w:r>
      <w:r w:rsidR="00F65E9E" w:rsidRPr="00702AA1">
        <w:rPr>
          <w:rFonts w:ascii="Book Antiqua" w:hAnsi="Book Antiqua"/>
        </w:rPr>
        <w:t xml:space="preserve">the lack of </w:t>
      </w:r>
      <w:r w:rsidRPr="00702AA1">
        <w:rPr>
          <w:rFonts w:ascii="Book Antiqua" w:hAnsi="Book Antiqua"/>
        </w:rPr>
        <w:t>stories of women soldiers, which reinforces the stereotype of the war as a mainly masculine endeavour.</w:t>
      </w:r>
      <w:r w:rsidR="00F65E9E" w:rsidRPr="00702AA1">
        <w:rPr>
          <w:rFonts w:ascii="Book Antiqua" w:hAnsi="Book Antiqua"/>
        </w:rPr>
        <w:t xml:space="preserve"> However, Women’s Court’s activists pointed to the difficult task of selecting only some of the numerous women that wanted to testify, due to the short time available and to the scarcity of funds</w:t>
      </w:r>
      <w:r w:rsidR="00746A36" w:rsidRPr="00702AA1">
        <w:rPr>
          <w:rFonts w:ascii="Book Antiqua" w:hAnsi="Book Antiqua"/>
        </w:rPr>
        <w:t>.</w:t>
      </w:r>
      <w:r w:rsidR="009B512B" w:rsidRPr="00702AA1">
        <w:rPr>
          <w:rStyle w:val="FootnoteReference"/>
          <w:rFonts w:ascii="Book Antiqua" w:hAnsi="Book Antiqua"/>
        </w:rPr>
        <w:footnoteReference w:id="23"/>
      </w:r>
      <w:r w:rsidR="00F14C3F" w:rsidRPr="00702AA1">
        <w:rPr>
          <w:rFonts w:ascii="Book Antiqua" w:hAnsi="Book Antiqua"/>
        </w:rPr>
        <w:t xml:space="preserve"> </w:t>
      </w:r>
      <w:r w:rsidR="00AB3E16" w:rsidRPr="00702AA1">
        <w:rPr>
          <w:rFonts w:ascii="Book Antiqua" w:hAnsi="Book Antiqua"/>
        </w:rPr>
        <w:t>In sum, despite some limits</w:t>
      </w:r>
      <w:r w:rsidR="00F65E9E" w:rsidRPr="00702AA1">
        <w:rPr>
          <w:rFonts w:ascii="Book Antiqua" w:hAnsi="Book Antiqua"/>
        </w:rPr>
        <w:t>,</w:t>
      </w:r>
      <w:r w:rsidR="00AB3E16" w:rsidRPr="00702AA1">
        <w:rPr>
          <w:rFonts w:ascii="Book Antiqua" w:hAnsi="Book Antiqua"/>
        </w:rPr>
        <w:t xml:space="preserve"> in part related to the limited availability of funds and time, which prevented a comprehensive representation of all aspects of the violence, the Women’s Court succeeded in producing an alternative interpretive framework and justice model. Perhaps its most serious limitation remains its capacity to impact at the institutional level, by effectively turning th</w:t>
      </w:r>
      <w:r w:rsidR="003848D1" w:rsidRPr="00702AA1">
        <w:rPr>
          <w:rFonts w:ascii="Book Antiqua" w:hAnsi="Book Antiqua"/>
        </w:rPr>
        <w:t>is</w:t>
      </w:r>
      <w:r w:rsidR="00AB3E16" w:rsidRPr="00702AA1">
        <w:rPr>
          <w:rFonts w:ascii="Book Antiqua" w:hAnsi="Book Antiqua"/>
        </w:rPr>
        <w:t xml:space="preserve"> interpretive framework into political action beyond the </w:t>
      </w:r>
      <w:r w:rsidR="003848D1" w:rsidRPr="00702AA1">
        <w:rPr>
          <w:rFonts w:ascii="Book Antiqua" w:hAnsi="Book Antiqua"/>
        </w:rPr>
        <w:t>protected space of the Court activities</w:t>
      </w:r>
      <w:r w:rsidR="00AB3E16" w:rsidRPr="00702AA1">
        <w:rPr>
          <w:rFonts w:ascii="Book Antiqua" w:hAnsi="Book Antiqua"/>
        </w:rPr>
        <w:t>.</w:t>
      </w:r>
      <w:r w:rsidR="00F14C3F" w:rsidRPr="00702AA1">
        <w:rPr>
          <w:rFonts w:ascii="Book Antiqua" w:hAnsi="Book Antiqua"/>
        </w:rPr>
        <w:t xml:space="preserve"> </w:t>
      </w:r>
      <w:r w:rsidR="00227404" w:rsidRPr="00702AA1">
        <w:rPr>
          <w:rFonts w:ascii="Book Antiqua" w:hAnsi="Book Antiqua"/>
        </w:rPr>
        <w:t>In fact, w</w:t>
      </w:r>
      <w:r w:rsidR="00F14C3F" w:rsidRPr="00702AA1">
        <w:rPr>
          <w:rFonts w:ascii="Book Antiqua" w:hAnsi="Book Antiqua"/>
        </w:rPr>
        <w:t xml:space="preserve">ith </w:t>
      </w:r>
      <w:r w:rsidR="00227404" w:rsidRPr="00702AA1">
        <w:rPr>
          <w:rFonts w:ascii="Book Antiqua" w:hAnsi="Book Antiqua"/>
        </w:rPr>
        <w:t>its</w:t>
      </w:r>
      <w:r w:rsidR="00F14C3F" w:rsidRPr="00702AA1">
        <w:rPr>
          <w:rFonts w:ascii="Book Antiqua" w:hAnsi="Book Antiqua"/>
        </w:rPr>
        <w:t xml:space="preserve"> limited resort to external funds</w:t>
      </w:r>
      <w:r w:rsidR="0082630C" w:rsidRPr="00702AA1">
        <w:rPr>
          <w:rFonts w:ascii="Book Antiqua" w:hAnsi="Book Antiqua"/>
        </w:rPr>
        <w:t xml:space="preserve"> and support</w:t>
      </w:r>
      <w:r w:rsidR="008E2573">
        <w:rPr>
          <w:rFonts w:ascii="Book Antiqua" w:hAnsi="Book Antiqua"/>
        </w:rPr>
        <w:t xml:space="preserve">, </w:t>
      </w:r>
      <w:r w:rsidR="00F14C3F" w:rsidRPr="00702AA1">
        <w:rPr>
          <w:rFonts w:ascii="Book Antiqua" w:hAnsi="Book Antiqua"/>
        </w:rPr>
        <w:t xml:space="preserve">the Women’s Court </w:t>
      </w:r>
      <w:r w:rsidR="00227404" w:rsidRPr="00702AA1">
        <w:rPr>
          <w:rFonts w:ascii="Book Antiqua" w:hAnsi="Book Antiqua"/>
        </w:rPr>
        <w:t xml:space="preserve">could not </w:t>
      </w:r>
      <w:r w:rsidR="00214C78" w:rsidRPr="00702AA1">
        <w:rPr>
          <w:rFonts w:ascii="Book Antiqua" w:hAnsi="Book Antiqua"/>
        </w:rPr>
        <w:t xml:space="preserve">exert the same pressure on regional political elites </w:t>
      </w:r>
      <w:r w:rsidR="003C0E24">
        <w:rPr>
          <w:rFonts w:ascii="Book Antiqua" w:hAnsi="Book Antiqua"/>
        </w:rPr>
        <w:t>as</w:t>
      </w:r>
      <w:r w:rsidR="00214C78" w:rsidRPr="00702AA1">
        <w:rPr>
          <w:rFonts w:ascii="Book Antiqua" w:hAnsi="Book Antiqua"/>
        </w:rPr>
        <w:t xml:space="preserve"> </w:t>
      </w:r>
      <w:r w:rsidR="008E2573">
        <w:rPr>
          <w:rFonts w:ascii="Book Antiqua" w:hAnsi="Book Antiqua"/>
        </w:rPr>
        <w:t xml:space="preserve">more institutionalised initiatives like </w:t>
      </w:r>
      <w:r w:rsidR="00214C78" w:rsidRPr="00702AA1">
        <w:rPr>
          <w:rFonts w:ascii="Book Antiqua" w:hAnsi="Book Antiqua"/>
        </w:rPr>
        <w:t>RECOM</w:t>
      </w:r>
      <w:r w:rsidR="00E8335F" w:rsidRPr="00702AA1">
        <w:rPr>
          <w:rFonts w:ascii="Book Antiqua" w:hAnsi="Book Antiqua"/>
        </w:rPr>
        <w:t xml:space="preserve">. </w:t>
      </w:r>
    </w:p>
    <w:p w14:paraId="3077461B" w14:textId="77777777" w:rsidR="003848D1" w:rsidRPr="00702AA1" w:rsidRDefault="003848D1" w:rsidP="00E6107E">
      <w:pPr>
        <w:spacing w:line="360" w:lineRule="auto"/>
        <w:jc w:val="both"/>
        <w:rPr>
          <w:rFonts w:ascii="Book Antiqua" w:hAnsi="Book Antiqua"/>
        </w:rPr>
      </w:pPr>
    </w:p>
    <w:p w14:paraId="6AC948C8" w14:textId="77777777" w:rsidR="00896C02" w:rsidRPr="00702AA1" w:rsidRDefault="00896C02" w:rsidP="00896C02">
      <w:pPr>
        <w:spacing w:line="360" w:lineRule="auto"/>
        <w:jc w:val="both"/>
        <w:rPr>
          <w:rFonts w:ascii="Book Antiqua" w:hAnsi="Book Antiqua"/>
        </w:rPr>
      </w:pPr>
    </w:p>
    <w:p w14:paraId="46FA0BBB" w14:textId="77777777" w:rsidR="00E72F16" w:rsidRPr="00702AA1" w:rsidRDefault="00E72F16" w:rsidP="00C62AF4">
      <w:pPr>
        <w:spacing w:line="360" w:lineRule="auto"/>
        <w:jc w:val="both"/>
        <w:rPr>
          <w:rFonts w:ascii="Book Antiqua" w:hAnsi="Book Antiqua"/>
          <w:b/>
          <w:i/>
        </w:rPr>
      </w:pPr>
      <w:r w:rsidRPr="00702AA1">
        <w:rPr>
          <w:rFonts w:ascii="Book Antiqua" w:hAnsi="Book Antiqua"/>
          <w:b/>
          <w:i/>
        </w:rPr>
        <w:t xml:space="preserve">The 2014 protests </w:t>
      </w:r>
    </w:p>
    <w:p w14:paraId="01A0CE25" w14:textId="6C596C92" w:rsidR="003B2951" w:rsidRPr="00702AA1" w:rsidRDefault="003B2951" w:rsidP="00C62AF4">
      <w:pPr>
        <w:spacing w:line="360" w:lineRule="auto"/>
        <w:jc w:val="both"/>
        <w:rPr>
          <w:rFonts w:ascii="Book Antiqua" w:hAnsi="Book Antiqua"/>
        </w:rPr>
      </w:pPr>
      <w:r w:rsidRPr="00702AA1">
        <w:rPr>
          <w:rFonts w:ascii="Book Antiqua" w:hAnsi="Book Antiqua"/>
        </w:rPr>
        <w:t xml:space="preserve">The February 2014 protests were sparked by the frustration of workers in the Eastern Bosnian city of Tuzla, where factories had been closing down throughout the transition period, </w:t>
      </w:r>
      <w:r w:rsidR="00AA0732">
        <w:rPr>
          <w:rFonts w:ascii="Book Antiqua" w:hAnsi="Book Antiqua"/>
        </w:rPr>
        <w:t xml:space="preserve">leaving </w:t>
      </w:r>
      <w:r w:rsidRPr="00702AA1">
        <w:rPr>
          <w:rFonts w:ascii="Book Antiqua" w:hAnsi="Book Antiqua"/>
        </w:rPr>
        <w:t xml:space="preserve">many unemployed. Faced with delayed salaries and social security </w:t>
      </w:r>
      <w:r w:rsidRPr="00702AA1">
        <w:rPr>
          <w:rFonts w:ascii="Book Antiqua" w:hAnsi="Book Antiqua"/>
        </w:rPr>
        <w:lastRenderedPageBreak/>
        <w:t>payments, the workers succeeded in getting a critical mass of protesters to join them, and</w:t>
      </w:r>
      <w:r w:rsidR="00AA0732">
        <w:rPr>
          <w:rFonts w:ascii="Book Antiqua" w:hAnsi="Book Antiqua"/>
        </w:rPr>
        <w:t xml:space="preserve"> to</w:t>
      </w:r>
      <w:r w:rsidRPr="00702AA1">
        <w:rPr>
          <w:rFonts w:ascii="Book Antiqua" w:hAnsi="Book Antiqua"/>
        </w:rPr>
        <w:t xml:space="preserve"> surround the cantonal government building.</w:t>
      </w:r>
      <w:r w:rsidR="00D339B5" w:rsidRPr="00702AA1">
        <w:rPr>
          <w:rFonts w:ascii="Book Antiqua" w:hAnsi="Book Antiqua"/>
        </w:rPr>
        <w:t xml:space="preserve"> </w:t>
      </w:r>
      <w:r w:rsidRPr="00702AA1">
        <w:rPr>
          <w:rFonts w:ascii="Book Antiqua" w:hAnsi="Book Antiqua"/>
        </w:rPr>
        <w:t xml:space="preserve">As the police reacted forcefully to the escalation of tensions (the building was damaged by fire and stones thrown at it), citizens and workers in other parts of Bosnia joined the demonstrations. </w:t>
      </w:r>
      <w:r w:rsidR="00D339B5" w:rsidRPr="00702AA1">
        <w:rPr>
          <w:rFonts w:ascii="Book Antiqua" w:hAnsi="Book Antiqua"/>
        </w:rPr>
        <w:t xml:space="preserve">After workers organised informally in Tuzla, other citizens joined the demonstrations spontaneously in other cities. While some political parties made instrumental claims regarding the demonstrators to gain popularity, what characterised this wave of discontent was precisely its informal and grassroots nature. </w:t>
      </w:r>
      <w:r w:rsidRPr="00702AA1">
        <w:rPr>
          <w:rFonts w:ascii="Book Antiqua" w:hAnsi="Book Antiqua"/>
        </w:rPr>
        <w:t>The scope of the protests quickly broadened to include calls for the resignation of governments at cantonal, entity and state level,</w:t>
      </w:r>
      <w:r w:rsidR="00D95825" w:rsidRPr="00702AA1">
        <w:rPr>
          <w:rStyle w:val="FootnoteReference"/>
          <w:rFonts w:ascii="Book Antiqua" w:hAnsi="Book Antiqua"/>
        </w:rPr>
        <w:footnoteReference w:id="24"/>
      </w:r>
      <w:r w:rsidRPr="00702AA1">
        <w:rPr>
          <w:rFonts w:ascii="Book Antiqua" w:hAnsi="Book Antiqua"/>
        </w:rPr>
        <w:t xml:space="preserve"> the revision of privatisation agreements, as well as an end to privileges accorded to political elites</w:t>
      </w:r>
      <w:r w:rsidR="00C66581" w:rsidRPr="00702AA1">
        <w:rPr>
          <w:rFonts w:ascii="Book Antiqua" w:hAnsi="Book Antiqua"/>
        </w:rPr>
        <w:t xml:space="preserve"> (see BH Protest Files</w:t>
      </w:r>
      <w:r w:rsidR="00C979E9">
        <w:rPr>
          <w:rFonts w:ascii="Book Antiqua" w:hAnsi="Book Antiqua"/>
        </w:rPr>
        <w:t>,</w:t>
      </w:r>
      <w:r w:rsidR="00C66581" w:rsidRPr="00702AA1">
        <w:rPr>
          <w:rFonts w:ascii="Book Antiqua" w:hAnsi="Book Antiqua"/>
        </w:rPr>
        <w:t xml:space="preserve"> 2014a for a concise summary of the protesters’ demands)</w:t>
      </w:r>
      <w:r w:rsidRPr="00702AA1">
        <w:rPr>
          <w:rFonts w:ascii="Book Antiqua" w:hAnsi="Book Antiqua"/>
        </w:rPr>
        <w:t xml:space="preserve">. </w:t>
      </w:r>
    </w:p>
    <w:p w14:paraId="38C5B234" w14:textId="77777777" w:rsidR="00C979E9" w:rsidRDefault="00C979E9" w:rsidP="004D14DC">
      <w:pPr>
        <w:spacing w:line="360" w:lineRule="auto"/>
        <w:jc w:val="both"/>
        <w:rPr>
          <w:rFonts w:ascii="Book Antiqua" w:hAnsi="Book Antiqua"/>
        </w:rPr>
      </w:pPr>
    </w:p>
    <w:p w14:paraId="11110051" w14:textId="54553B25" w:rsidR="003B2951" w:rsidRPr="00702AA1" w:rsidRDefault="003B2951" w:rsidP="004D14DC">
      <w:pPr>
        <w:spacing w:line="360" w:lineRule="auto"/>
        <w:jc w:val="both"/>
        <w:rPr>
          <w:rFonts w:ascii="Book Antiqua" w:hAnsi="Book Antiqua"/>
        </w:rPr>
      </w:pPr>
      <w:r w:rsidRPr="00702AA1">
        <w:rPr>
          <w:rFonts w:ascii="Book Antiqua" w:hAnsi="Book Antiqua"/>
        </w:rPr>
        <w:t>Among the cases analysed in this section, the 2014 protests are the least immediately recognisable as a post-war justice initiative</w:t>
      </w:r>
      <w:r w:rsidR="00775DBD">
        <w:rPr>
          <w:rFonts w:ascii="Book Antiqua" w:hAnsi="Book Antiqua"/>
        </w:rPr>
        <w:t xml:space="preserve">, as </w:t>
      </w:r>
      <w:r w:rsidR="007C3479" w:rsidRPr="00702AA1">
        <w:rPr>
          <w:rFonts w:ascii="Book Antiqua" w:hAnsi="Book Antiqua"/>
        </w:rPr>
        <w:t>the crucial concern of the protesters was socioeconomic. How are these events</w:t>
      </w:r>
      <w:r w:rsidRPr="00702AA1">
        <w:rPr>
          <w:rFonts w:ascii="Book Antiqua" w:hAnsi="Book Antiqua"/>
        </w:rPr>
        <w:t xml:space="preserve"> connected to the war and wartime violence? </w:t>
      </w:r>
      <w:r w:rsidR="00C04EC6" w:rsidRPr="00702AA1">
        <w:rPr>
          <w:rFonts w:ascii="Book Antiqua" w:hAnsi="Book Antiqua"/>
        </w:rPr>
        <w:t>The protests were in fact linked directly to the war, but in a different way tha</w:t>
      </w:r>
      <w:r w:rsidR="00EB526D" w:rsidRPr="00702AA1">
        <w:rPr>
          <w:rFonts w:ascii="Book Antiqua" w:hAnsi="Book Antiqua"/>
        </w:rPr>
        <w:t>n</w:t>
      </w:r>
      <w:r w:rsidR="00C04EC6" w:rsidRPr="00702AA1">
        <w:rPr>
          <w:rFonts w:ascii="Book Antiqua" w:hAnsi="Book Antiqua"/>
        </w:rPr>
        <w:t xml:space="preserve"> usually foreseen by the transitional justice literature. Their origins lied in the political economy of the </w:t>
      </w:r>
      <w:r w:rsidR="00105CE3" w:rsidRPr="00702AA1">
        <w:rPr>
          <w:rFonts w:ascii="Book Antiqua" w:hAnsi="Book Antiqua"/>
        </w:rPr>
        <w:t xml:space="preserve">Bosnian </w:t>
      </w:r>
      <w:r w:rsidR="00C04EC6" w:rsidRPr="00702AA1">
        <w:rPr>
          <w:rFonts w:ascii="Book Antiqua" w:hAnsi="Book Antiqua"/>
        </w:rPr>
        <w:t>conflict, which was mostly based on trafficking</w:t>
      </w:r>
      <w:r w:rsidR="00105CE3" w:rsidRPr="00702AA1">
        <w:rPr>
          <w:rFonts w:ascii="Book Antiqua" w:hAnsi="Book Antiqua"/>
        </w:rPr>
        <w:t>, profiteering,</w:t>
      </w:r>
      <w:r w:rsidR="00C04EC6" w:rsidRPr="00702AA1">
        <w:rPr>
          <w:rFonts w:ascii="Book Antiqua" w:hAnsi="Book Antiqua"/>
        </w:rPr>
        <w:t xml:space="preserve"> and on the seizure of socially-owned property. Economic power was, in many cases, a crucial factor fuelling the military effort (Strazzari</w:t>
      </w:r>
      <w:r w:rsidR="000C79DE">
        <w:rPr>
          <w:rFonts w:ascii="Book Antiqua" w:hAnsi="Book Antiqua"/>
        </w:rPr>
        <w:t>,</w:t>
      </w:r>
      <w:r w:rsidR="00C04EC6" w:rsidRPr="00702AA1">
        <w:rPr>
          <w:rFonts w:ascii="Book Antiqua" w:hAnsi="Book Antiqua"/>
        </w:rPr>
        <w:t xml:space="preserve"> 2003</w:t>
      </w:r>
      <w:r w:rsidR="00EB526D" w:rsidRPr="00702AA1">
        <w:rPr>
          <w:rFonts w:ascii="Book Antiqua" w:hAnsi="Book Antiqua"/>
        </w:rPr>
        <w:t xml:space="preserve">; </w:t>
      </w:r>
      <w:r w:rsidR="00C04EC6" w:rsidRPr="00702AA1">
        <w:rPr>
          <w:rFonts w:ascii="Book Antiqua" w:hAnsi="Book Antiqua"/>
        </w:rPr>
        <w:t>Pugh and Cooper</w:t>
      </w:r>
      <w:r w:rsidR="000C79DE">
        <w:rPr>
          <w:rFonts w:ascii="Book Antiqua" w:hAnsi="Book Antiqua"/>
        </w:rPr>
        <w:t>,</w:t>
      </w:r>
      <w:r w:rsidR="00C04EC6" w:rsidRPr="00702AA1">
        <w:rPr>
          <w:rFonts w:ascii="Book Antiqua" w:hAnsi="Book Antiqua"/>
        </w:rPr>
        <w:t xml:space="preserve"> 2004</w:t>
      </w:r>
      <w:r w:rsidR="003C0E24">
        <w:rPr>
          <w:rFonts w:ascii="Book Antiqua" w:hAnsi="Book Antiqua"/>
        </w:rPr>
        <w:t>; Andreas 2009</w:t>
      </w:r>
      <w:r w:rsidR="00C04EC6" w:rsidRPr="00702AA1">
        <w:rPr>
          <w:rFonts w:ascii="Book Antiqua" w:hAnsi="Book Antiqua"/>
        </w:rPr>
        <w:t>). As infrastructure was shelled and industry reduced to a fraction of its pre-war capacity, in parts of the country ethnic cleansing overlapped with theft, dismissals</w:t>
      </w:r>
      <w:r w:rsidR="00EB526D" w:rsidRPr="00702AA1">
        <w:rPr>
          <w:rFonts w:ascii="Book Antiqua" w:hAnsi="Book Antiqua"/>
        </w:rPr>
        <w:t xml:space="preserve"> from employment</w:t>
      </w:r>
      <w:r w:rsidR="00C04EC6" w:rsidRPr="00702AA1">
        <w:rPr>
          <w:rFonts w:ascii="Book Antiqua" w:hAnsi="Book Antiqua"/>
        </w:rPr>
        <w:t>, and other measures of social exclusion that constituted a major part of people’s experiences of the war. In Prijedor,</w:t>
      </w:r>
      <w:r w:rsidR="00400912" w:rsidRPr="00702AA1">
        <w:rPr>
          <w:rFonts w:ascii="Book Antiqua" w:hAnsi="Book Antiqua"/>
        </w:rPr>
        <w:t xml:space="preserve"> a city in north-western BiH,</w:t>
      </w:r>
      <w:r w:rsidR="00C04EC6" w:rsidRPr="00702AA1">
        <w:rPr>
          <w:rFonts w:ascii="Book Antiqua" w:hAnsi="Book Antiqua"/>
        </w:rPr>
        <w:t xml:space="preserve"> the first impression that the non-Serb population got from the war was the loss of employment on a</w:t>
      </w:r>
      <w:r w:rsidR="00105CE3" w:rsidRPr="00702AA1">
        <w:rPr>
          <w:rFonts w:ascii="Book Antiqua" w:hAnsi="Book Antiqua"/>
        </w:rPr>
        <w:t>n ethnically</w:t>
      </w:r>
      <w:r w:rsidR="00C04EC6" w:rsidRPr="00702AA1">
        <w:rPr>
          <w:rFonts w:ascii="Book Antiqua" w:hAnsi="Book Antiqua"/>
        </w:rPr>
        <w:t xml:space="preserve"> discriminatory basis. This was often followed by internment in some of the very industries from which </w:t>
      </w:r>
      <w:r w:rsidR="00105CE3" w:rsidRPr="00702AA1">
        <w:rPr>
          <w:rFonts w:ascii="Book Antiqua" w:hAnsi="Book Antiqua"/>
        </w:rPr>
        <w:t>workers</w:t>
      </w:r>
      <w:r w:rsidR="00C04EC6" w:rsidRPr="00702AA1">
        <w:rPr>
          <w:rFonts w:ascii="Book Antiqua" w:hAnsi="Book Antiqua"/>
        </w:rPr>
        <w:t xml:space="preserve"> had been fired, such as the Omarska </w:t>
      </w:r>
      <w:r w:rsidR="00045A29" w:rsidRPr="00702AA1">
        <w:rPr>
          <w:rFonts w:ascii="Book Antiqua" w:hAnsi="Book Antiqua"/>
        </w:rPr>
        <w:t xml:space="preserve">iron ore </w:t>
      </w:r>
      <w:r w:rsidR="00C04EC6" w:rsidRPr="00702AA1">
        <w:rPr>
          <w:rFonts w:ascii="Book Antiqua" w:hAnsi="Book Antiqua"/>
        </w:rPr>
        <w:t>mines and the Keraterm ceramics factory</w:t>
      </w:r>
      <w:r w:rsidR="00AA0732">
        <w:rPr>
          <w:rFonts w:ascii="Book Antiqua" w:hAnsi="Book Antiqua"/>
        </w:rPr>
        <w:t>, which were turned into prison camps in 1992</w:t>
      </w:r>
      <w:r w:rsidR="00C04EC6" w:rsidRPr="00702AA1">
        <w:rPr>
          <w:rFonts w:ascii="Book Antiqua" w:hAnsi="Book Antiqua"/>
        </w:rPr>
        <w:t>.</w:t>
      </w:r>
      <w:r w:rsidR="00B64AF7" w:rsidRPr="00702AA1">
        <w:rPr>
          <w:rStyle w:val="FootnoteReference"/>
          <w:rFonts w:ascii="Book Antiqua" w:hAnsi="Book Antiqua"/>
        </w:rPr>
        <w:footnoteReference w:id="25"/>
      </w:r>
      <w:r w:rsidR="00C04EC6" w:rsidRPr="00702AA1">
        <w:rPr>
          <w:rFonts w:ascii="Book Antiqua" w:hAnsi="Book Antiqua"/>
        </w:rPr>
        <w:t xml:space="preserve"> </w:t>
      </w:r>
      <w:r w:rsidR="00857B44" w:rsidRPr="00702AA1">
        <w:rPr>
          <w:rFonts w:ascii="Book Antiqua" w:hAnsi="Book Antiqua"/>
        </w:rPr>
        <w:t>This story of the war as one of econom</w:t>
      </w:r>
      <w:r w:rsidR="00EB526D" w:rsidRPr="00702AA1">
        <w:rPr>
          <w:rFonts w:ascii="Book Antiqua" w:hAnsi="Book Antiqua"/>
        </w:rPr>
        <w:t>ic</w:t>
      </w:r>
      <w:r w:rsidR="00857B44" w:rsidRPr="00702AA1">
        <w:rPr>
          <w:rFonts w:ascii="Book Antiqua" w:hAnsi="Book Antiqua"/>
        </w:rPr>
        <w:t xml:space="preserve"> clashes, destruction, and profiteering went </w:t>
      </w:r>
      <w:r w:rsidR="00105CE3" w:rsidRPr="00702AA1">
        <w:rPr>
          <w:rFonts w:ascii="Book Antiqua" w:hAnsi="Book Antiqua"/>
        </w:rPr>
        <w:t>rather</w:t>
      </w:r>
      <w:r w:rsidR="00857B44" w:rsidRPr="00702AA1">
        <w:rPr>
          <w:rFonts w:ascii="Book Antiqua" w:hAnsi="Book Antiqua"/>
        </w:rPr>
        <w:t xml:space="preserve"> unnoticed, especially from the point of view of dealing with the legacy of (socioeconomic) violence. In February 2014, still suffering from the consequences of </w:t>
      </w:r>
      <w:r w:rsidR="00857B44" w:rsidRPr="00702AA1">
        <w:rPr>
          <w:rFonts w:ascii="Book Antiqua" w:hAnsi="Book Antiqua"/>
        </w:rPr>
        <w:lastRenderedPageBreak/>
        <w:t xml:space="preserve">asset stripping, economic decline and failure to compensate workers in any way, Bosnian citizens mobilised for socioeconomic justice. </w:t>
      </w:r>
    </w:p>
    <w:p w14:paraId="6A0F8636" w14:textId="77777777" w:rsidR="000C79DE" w:rsidRDefault="000C79DE" w:rsidP="004D14DC">
      <w:pPr>
        <w:spacing w:line="360" w:lineRule="auto"/>
        <w:jc w:val="both"/>
        <w:rPr>
          <w:rFonts w:ascii="Book Antiqua" w:hAnsi="Book Antiqua"/>
        </w:rPr>
      </w:pPr>
    </w:p>
    <w:p w14:paraId="5445D09C" w14:textId="536FA924" w:rsidR="00160CA3" w:rsidRPr="00702AA1" w:rsidRDefault="00160CA3" w:rsidP="004D14DC">
      <w:pPr>
        <w:spacing w:line="360" w:lineRule="auto"/>
        <w:jc w:val="both"/>
        <w:rPr>
          <w:rFonts w:ascii="Book Antiqua" w:hAnsi="Book Antiqua"/>
        </w:rPr>
      </w:pPr>
      <w:r w:rsidRPr="00702AA1">
        <w:rPr>
          <w:rFonts w:ascii="Book Antiqua" w:hAnsi="Book Antiqua"/>
        </w:rPr>
        <w:t>While not falling within the canon of transitional justice initiatives, the protests exhibited transformative features,</w:t>
      </w:r>
      <w:r w:rsidR="003C0E24">
        <w:rPr>
          <w:rFonts w:ascii="Book Antiqua" w:hAnsi="Book Antiqua"/>
        </w:rPr>
        <w:t xml:space="preserve"> probably </w:t>
      </w:r>
      <w:proofErr w:type="gramStart"/>
      <w:r w:rsidR="003C0E24">
        <w:rPr>
          <w:rFonts w:ascii="Book Antiqua" w:hAnsi="Book Antiqua"/>
        </w:rPr>
        <w:t>to a greater extent compared</w:t>
      </w:r>
      <w:proofErr w:type="gramEnd"/>
      <w:r w:rsidR="006627DB">
        <w:rPr>
          <w:rFonts w:ascii="Book Antiqua" w:hAnsi="Book Antiqua"/>
        </w:rPr>
        <w:t xml:space="preserve"> to the other cases analysed here.</w:t>
      </w:r>
      <w:r w:rsidRPr="00702AA1">
        <w:rPr>
          <w:rFonts w:ascii="Book Antiqua" w:hAnsi="Book Antiqua"/>
        </w:rPr>
        <w:t xml:space="preserve"> </w:t>
      </w:r>
      <w:r w:rsidR="002E363A" w:rsidRPr="00702AA1">
        <w:rPr>
          <w:rFonts w:ascii="Book Antiqua" w:hAnsi="Book Antiqua"/>
        </w:rPr>
        <w:t>Referring to the concepts developed in the previous section and to the questions raised, we can say that the transformative potential of the protests resides in their radical claims related to socioeconomic redistribution, and to the modes of participation and democratic deliberation they adopted.</w:t>
      </w:r>
    </w:p>
    <w:p w14:paraId="4E5016E7" w14:textId="77777777" w:rsidR="00370309" w:rsidRDefault="00370309" w:rsidP="004D14DC">
      <w:pPr>
        <w:spacing w:line="360" w:lineRule="auto"/>
        <w:jc w:val="both"/>
        <w:rPr>
          <w:rFonts w:ascii="Book Antiqua" w:hAnsi="Book Antiqua"/>
        </w:rPr>
      </w:pPr>
    </w:p>
    <w:p w14:paraId="1560C3F5" w14:textId="6C296701" w:rsidR="00BA549E" w:rsidRPr="00702AA1" w:rsidRDefault="00473EF3" w:rsidP="004D14DC">
      <w:pPr>
        <w:spacing w:line="360" w:lineRule="auto"/>
        <w:jc w:val="both"/>
        <w:rPr>
          <w:rFonts w:ascii="Book Antiqua" w:hAnsi="Book Antiqua"/>
        </w:rPr>
      </w:pPr>
      <w:r w:rsidRPr="00702AA1">
        <w:rPr>
          <w:rFonts w:ascii="Book Antiqua" w:hAnsi="Book Antiqua"/>
        </w:rPr>
        <w:t>The 2014 protests effectively turned the experiences of socioeconomic violence experienced in Prijedor, Tuzla, and many other Bosnian cities during the conflict</w:t>
      </w:r>
      <w:r w:rsidR="00734644">
        <w:rPr>
          <w:rFonts w:ascii="Book Antiqua" w:hAnsi="Book Antiqua"/>
        </w:rPr>
        <w:t>,</w:t>
      </w:r>
      <w:r w:rsidRPr="00702AA1">
        <w:rPr>
          <w:rFonts w:ascii="Book Antiqua" w:hAnsi="Book Antiqua"/>
        </w:rPr>
        <w:t xml:space="preserve"> into a public and political issue for the first time since the end of the war.</w:t>
      </w:r>
      <w:r w:rsidR="00AB5983" w:rsidRPr="00702AA1">
        <w:rPr>
          <w:rFonts w:ascii="Book Antiqua" w:hAnsi="Book Antiqua"/>
        </w:rPr>
        <w:t xml:space="preserve"> Experiences of unjustified dismissal, followed by the impossibility of regaining employment after the war, led protesters to make work, and the rights related to work, a central claim.</w:t>
      </w:r>
      <w:r w:rsidR="00AB5983" w:rsidRPr="00702AA1">
        <w:rPr>
          <w:rStyle w:val="FootnoteReference"/>
          <w:rFonts w:ascii="Book Antiqua" w:hAnsi="Book Antiqua"/>
        </w:rPr>
        <w:footnoteReference w:id="26"/>
      </w:r>
      <w:r w:rsidR="00105CE3" w:rsidRPr="00702AA1">
        <w:rPr>
          <w:rFonts w:ascii="Book Antiqua" w:hAnsi="Book Antiqua"/>
        </w:rPr>
        <w:t xml:space="preserve"> The protests’ focus on </w:t>
      </w:r>
      <w:r w:rsidR="00AB5983" w:rsidRPr="00702AA1">
        <w:rPr>
          <w:rFonts w:ascii="Book Antiqua" w:hAnsi="Book Antiqua"/>
        </w:rPr>
        <w:t>privatisations and on regaining control of the economic production process shows the transformative nature of the demonstrators’ demands, as they claim that issues that have, so far, been subject to the neoliberal logic of the market should instead be dealt with through a social justice approach</w:t>
      </w:r>
      <w:r w:rsidR="00C66581" w:rsidRPr="00702AA1">
        <w:rPr>
          <w:rFonts w:ascii="Book Antiqua" w:hAnsi="Book Antiqua"/>
        </w:rPr>
        <w:t xml:space="preserve"> (BH Protest Files</w:t>
      </w:r>
      <w:r w:rsidR="00734644">
        <w:rPr>
          <w:rFonts w:ascii="Book Antiqua" w:hAnsi="Book Antiqua"/>
        </w:rPr>
        <w:t>,</w:t>
      </w:r>
      <w:r w:rsidR="00C66581" w:rsidRPr="00702AA1">
        <w:rPr>
          <w:rFonts w:ascii="Book Antiqua" w:hAnsi="Book Antiqua"/>
        </w:rPr>
        <w:t xml:space="preserve"> 2014b)</w:t>
      </w:r>
      <w:r w:rsidR="00AB5983" w:rsidRPr="00702AA1">
        <w:rPr>
          <w:rFonts w:ascii="Book Antiqua" w:hAnsi="Book Antiqua"/>
        </w:rPr>
        <w:t>.</w:t>
      </w:r>
      <w:r w:rsidR="00C66581" w:rsidRPr="00702AA1">
        <w:rPr>
          <w:rStyle w:val="CommentReference"/>
        </w:rPr>
        <w:t xml:space="preserve"> </w:t>
      </w:r>
      <w:r w:rsidR="00AB5983" w:rsidRPr="00702AA1">
        <w:rPr>
          <w:rFonts w:ascii="Book Antiqua" w:hAnsi="Book Antiqua"/>
        </w:rPr>
        <w:t xml:space="preserve"> </w:t>
      </w:r>
      <w:r w:rsidR="004D6866" w:rsidRPr="00702AA1">
        <w:rPr>
          <w:rFonts w:ascii="Book Antiqua" w:hAnsi="Book Antiqua"/>
        </w:rPr>
        <w:t xml:space="preserve">These socioeconomic demands expanded quickly into the political realm. The protesters </w:t>
      </w:r>
      <w:r w:rsidR="00105CE3" w:rsidRPr="00702AA1">
        <w:rPr>
          <w:rFonts w:ascii="Book Antiqua" w:hAnsi="Book Antiqua"/>
        </w:rPr>
        <w:t>saw</w:t>
      </w:r>
      <w:r w:rsidR="004D6866" w:rsidRPr="00702AA1">
        <w:rPr>
          <w:rFonts w:ascii="Book Antiqua" w:hAnsi="Book Antiqua"/>
        </w:rPr>
        <w:t xml:space="preserve"> the institutional framework established at Dayton as an obstacle to achieving social justice, and as a way of maintaining unfair privileges reserved for the elites, while common citizens struggle to get by</w:t>
      </w:r>
      <w:r w:rsidR="00031235" w:rsidRPr="00702AA1">
        <w:rPr>
          <w:rFonts w:ascii="Book Antiqua" w:hAnsi="Book Antiqua"/>
        </w:rPr>
        <w:t xml:space="preserve"> (Kurtovi</w:t>
      </w:r>
      <w:r w:rsidR="00031235" w:rsidRPr="00702AA1">
        <w:rPr>
          <w:rFonts w:ascii="Book Antiqua" w:hAnsi="Book Antiqua" w:hint="eastAsia"/>
        </w:rPr>
        <w:t>ć</w:t>
      </w:r>
      <w:r w:rsidR="002D4592">
        <w:rPr>
          <w:rFonts w:ascii="Book Antiqua" w:hAnsi="Book Antiqua"/>
        </w:rPr>
        <w:t>,</w:t>
      </w:r>
      <w:r w:rsidR="00031235" w:rsidRPr="00702AA1">
        <w:rPr>
          <w:rFonts w:ascii="Book Antiqua" w:hAnsi="Book Antiqua"/>
        </w:rPr>
        <w:t xml:space="preserve"> 2015</w:t>
      </w:r>
      <w:r w:rsidR="001D2917" w:rsidRPr="009A0DED">
        <w:rPr>
          <w:rFonts w:ascii="Book Antiqua" w:hAnsi="Book Antiqua"/>
        </w:rPr>
        <w:t xml:space="preserve">; see also the claims made by </w:t>
      </w:r>
      <w:r w:rsidR="001D2917" w:rsidRPr="00702AA1">
        <w:rPr>
          <w:rFonts w:ascii="Book Antiqua" w:hAnsi="Book Antiqua"/>
        </w:rPr>
        <w:t>protesters in different cities, for example at BH Protest Files</w:t>
      </w:r>
      <w:r w:rsidR="002D4592">
        <w:rPr>
          <w:rFonts w:ascii="Book Antiqua" w:hAnsi="Book Antiqua"/>
        </w:rPr>
        <w:t>,</w:t>
      </w:r>
      <w:r w:rsidR="001D2917" w:rsidRPr="00702AA1">
        <w:rPr>
          <w:rFonts w:ascii="Book Antiqua" w:hAnsi="Book Antiqua"/>
        </w:rPr>
        <w:t xml:space="preserve"> 2014d</w:t>
      </w:r>
      <w:r w:rsidR="00031235" w:rsidRPr="009A0DED">
        <w:rPr>
          <w:rFonts w:ascii="Book Antiqua" w:hAnsi="Book Antiqua"/>
        </w:rPr>
        <w:t>)</w:t>
      </w:r>
      <w:r w:rsidR="004D6866" w:rsidRPr="00702AA1">
        <w:rPr>
          <w:rFonts w:ascii="Book Antiqua" w:hAnsi="Book Antiqua"/>
        </w:rPr>
        <w:t xml:space="preserve">. </w:t>
      </w:r>
      <w:r w:rsidR="00FF4F22" w:rsidRPr="00702AA1">
        <w:rPr>
          <w:rFonts w:ascii="Book Antiqua" w:hAnsi="Book Antiqua"/>
        </w:rPr>
        <w:t xml:space="preserve">The analysis of these justice claims thus shows two things: on the one hand, the 2014 protests begin as a critique of the liberal transition model established in Bosnia with the support of international organisations. They see economic reforms in the area of privatisation, labour laws, and welfare not as redressing the everyday forms of socioeconomic violence they suffered during the war, but as </w:t>
      </w:r>
      <w:r w:rsidR="00105CE3" w:rsidRPr="00702AA1">
        <w:rPr>
          <w:rFonts w:ascii="Book Antiqua" w:hAnsi="Book Antiqua"/>
        </w:rPr>
        <w:t xml:space="preserve">aggravating the </w:t>
      </w:r>
      <w:r w:rsidR="00FF4F22" w:rsidRPr="00702AA1">
        <w:rPr>
          <w:rFonts w:ascii="Book Antiqua" w:hAnsi="Book Antiqua"/>
        </w:rPr>
        <w:t>si</w:t>
      </w:r>
      <w:r w:rsidR="00852B78" w:rsidRPr="00702AA1">
        <w:rPr>
          <w:rFonts w:ascii="Book Antiqua" w:hAnsi="Book Antiqua"/>
        </w:rPr>
        <w:t xml:space="preserve">tuation. On the other hand, they discuss justice issues as inherently political, and envisage redistributive policies and changes in the political and economic model of the country as the primary way of redressing the dire conditions faced by Bosnian people. This has little to do with individual claims brought forward in courts: structural change is needed. </w:t>
      </w:r>
    </w:p>
    <w:p w14:paraId="4C90462D" w14:textId="77777777" w:rsidR="002D4592" w:rsidRDefault="002D4592" w:rsidP="004D14DC">
      <w:pPr>
        <w:spacing w:line="360" w:lineRule="auto"/>
        <w:jc w:val="both"/>
        <w:rPr>
          <w:rFonts w:ascii="Book Antiqua" w:hAnsi="Book Antiqua"/>
        </w:rPr>
      </w:pPr>
    </w:p>
    <w:p w14:paraId="3C4A508A" w14:textId="355D0490" w:rsidR="00E72F16" w:rsidRPr="00702AA1" w:rsidRDefault="005A3164" w:rsidP="004D14DC">
      <w:pPr>
        <w:spacing w:line="360" w:lineRule="auto"/>
        <w:jc w:val="both"/>
        <w:rPr>
          <w:rFonts w:ascii="Book Antiqua" w:hAnsi="Book Antiqua"/>
        </w:rPr>
      </w:pPr>
      <w:r w:rsidRPr="00702AA1">
        <w:rPr>
          <w:rFonts w:ascii="Book Antiqua" w:hAnsi="Book Antiqua"/>
        </w:rPr>
        <w:lastRenderedPageBreak/>
        <w:t xml:space="preserve">From the point of view of the modes of participation and deliberation, the 2014 protests were characterised by a rejection of ethnicity as a form of identification, and the adoption of a civic model that valued open discussion and direct democracy. </w:t>
      </w:r>
      <w:r w:rsidR="004E46E6" w:rsidRPr="00702AA1">
        <w:rPr>
          <w:rFonts w:ascii="Book Antiqua" w:hAnsi="Book Antiqua"/>
        </w:rPr>
        <w:t xml:space="preserve"> In this sense, February 2014 represented a radical response to the rigid</w:t>
      </w:r>
      <w:r w:rsidR="00580F35" w:rsidRPr="00702AA1">
        <w:rPr>
          <w:rFonts w:ascii="Book Antiqua" w:hAnsi="Book Antiqua"/>
        </w:rPr>
        <w:t xml:space="preserve"> </w:t>
      </w:r>
      <w:r w:rsidR="00C45F2B" w:rsidRPr="00702AA1">
        <w:rPr>
          <w:rFonts w:ascii="Book Antiqua" w:hAnsi="Book Antiqua"/>
        </w:rPr>
        <w:t>ethno</w:t>
      </w:r>
      <w:r w:rsidR="006970A2">
        <w:rPr>
          <w:rFonts w:ascii="Book Antiqua" w:hAnsi="Book Antiqua"/>
        </w:rPr>
        <w:t>-</w:t>
      </w:r>
      <w:r w:rsidR="00C45F2B" w:rsidRPr="00702AA1">
        <w:rPr>
          <w:rFonts w:ascii="Book Antiqua" w:hAnsi="Book Antiqua"/>
        </w:rPr>
        <w:t xml:space="preserve">nationalist </w:t>
      </w:r>
      <w:r w:rsidR="004E46E6" w:rsidRPr="00702AA1">
        <w:rPr>
          <w:rFonts w:ascii="Book Antiqua" w:hAnsi="Book Antiqua"/>
        </w:rPr>
        <w:t xml:space="preserve">frameworks of political participation characterising the Bosnian system. </w:t>
      </w:r>
      <w:r w:rsidR="00C45F2B" w:rsidRPr="00702AA1">
        <w:rPr>
          <w:rFonts w:ascii="Book Antiqua" w:hAnsi="Book Antiqua"/>
        </w:rPr>
        <w:t>Some of the slogans that appeared during the demonstrations exemplify the importance given to socioeconomic issues, beyond any ethnic dimension: ‘we are hungry in three languages’ (</w:t>
      </w:r>
      <w:r w:rsidR="00032EB6" w:rsidRPr="00702AA1">
        <w:rPr>
          <w:rFonts w:ascii="Book Antiqua" w:hAnsi="Book Antiqua"/>
          <w:i/>
        </w:rPr>
        <w:t>gladni smo na tri jezika</w:t>
      </w:r>
      <w:r w:rsidR="00032EB6" w:rsidRPr="00702AA1">
        <w:rPr>
          <w:rFonts w:ascii="Book Antiqua" w:hAnsi="Book Antiqua"/>
        </w:rPr>
        <w:t>), ‘freedom is my nation’ (</w:t>
      </w:r>
      <w:r w:rsidR="00032EB6" w:rsidRPr="00702AA1">
        <w:rPr>
          <w:rFonts w:ascii="Book Antiqua" w:hAnsi="Book Antiqua"/>
          <w:i/>
        </w:rPr>
        <w:t>sloboda je moja nacija</w:t>
      </w:r>
      <w:r w:rsidR="00032EB6" w:rsidRPr="00702AA1">
        <w:rPr>
          <w:rFonts w:ascii="Book Antiqua" w:hAnsi="Book Antiqua"/>
        </w:rPr>
        <w:t>), ‘death to nationalism’ (</w:t>
      </w:r>
      <w:r w:rsidR="00032EB6" w:rsidRPr="00702AA1">
        <w:rPr>
          <w:rFonts w:ascii="Book Antiqua" w:hAnsi="Book Antiqua"/>
          <w:i/>
        </w:rPr>
        <w:t>smrt nacionalizmu</w:t>
      </w:r>
      <w:r w:rsidR="00032EB6" w:rsidRPr="00702AA1">
        <w:rPr>
          <w:rFonts w:ascii="Book Antiqua" w:hAnsi="Book Antiqua"/>
        </w:rPr>
        <w:t>).</w:t>
      </w:r>
      <w:r w:rsidR="009A0DED">
        <w:rPr>
          <w:rStyle w:val="FootnoteReference"/>
          <w:rFonts w:ascii="Book Antiqua" w:hAnsi="Book Antiqua"/>
        </w:rPr>
        <w:footnoteReference w:id="27"/>
      </w:r>
      <w:r w:rsidR="00032EB6" w:rsidRPr="00702AA1">
        <w:rPr>
          <w:rFonts w:ascii="Book Antiqua" w:hAnsi="Book Antiqua"/>
        </w:rPr>
        <w:t xml:space="preserve"> </w:t>
      </w:r>
      <w:r w:rsidR="00BE26AD" w:rsidRPr="00702AA1">
        <w:rPr>
          <w:rFonts w:ascii="Book Antiqua" w:hAnsi="Book Antiqua"/>
        </w:rPr>
        <w:t>As one activist put it, the protests had nothing to do with ethnicity, but ‘had everything to do with the positions of an ordinary citizen in this system’.</w:t>
      </w:r>
      <w:r w:rsidR="00BE26AD" w:rsidRPr="00702AA1">
        <w:rPr>
          <w:rStyle w:val="FootnoteReference"/>
          <w:rFonts w:ascii="Book Antiqua" w:hAnsi="Book Antiqua"/>
        </w:rPr>
        <w:footnoteReference w:id="28"/>
      </w:r>
      <w:r w:rsidR="00BE26AD" w:rsidRPr="00702AA1">
        <w:rPr>
          <w:rFonts w:ascii="Book Antiqua" w:hAnsi="Book Antiqua"/>
        </w:rPr>
        <w:t xml:space="preserve"> </w:t>
      </w:r>
      <w:r w:rsidR="00280D07" w:rsidRPr="00702AA1">
        <w:rPr>
          <w:rFonts w:ascii="Book Antiqua" w:hAnsi="Book Antiqua"/>
        </w:rPr>
        <w:t xml:space="preserve">If participants considered </w:t>
      </w:r>
      <w:r w:rsidR="0057354C" w:rsidRPr="00702AA1">
        <w:rPr>
          <w:rFonts w:ascii="Book Antiqua" w:hAnsi="Book Antiqua"/>
        </w:rPr>
        <w:t xml:space="preserve">themselves </w:t>
      </w:r>
      <w:r w:rsidR="00280D07" w:rsidRPr="00702AA1">
        <w:rPr>
          <w:rFonts w:ascii="Book Antiqua" w:hAnsi="Book Antiqua"/>
        </w:rPr>
        <w:t>citizens (without the need for identifying</w:t>
      </w:r>
      <w:r w:rsidR="00105CE3" w:rsidRPr="00702AA1">
        <w:rPr>
          <w:rFonts w:ascii="Book Antiqua" w:hAnsi="Book Antiqua"/>
        </w:rPr>
        <w:t xml:space="preserve"> with an</w:t>
      </w:r>
      <w:r w:rsidR="00280D07" w:rsidRPr="00702AA1">
        <w:rPr>
          <w:rFonts w:ascii="Book Antiqua" w:hAnsi="Book Antiqua"/>
        </w:rPr>
        <w:t xml:space="preserve"> ethnic </w:t>
      </w:r>
      <w:r w:rsidR="00105CE3" w:rsidRPr="00702AA1">
        <w:rPr>
          <w:rFonts w:ascii="Book Antiqua" w:hAnsi="Book Antiqua"/>
        </w:rPr>
        <w:t>group</w:t>
      </w:r>
      <w:r w:rsidR="00280D07" w:rsidRPr="00702AA1">
        <w:rPr>
          <w:rFonts w:ascii="Book Antiqua" w:hAnsi="Book Antiqua"/>
        </w:rPr>
        <w:t xml:space="preserve">), they were also invited to take part in the process of debating and developing the protest claims. City </w:t>
      </w:r>
      <w:r w:rsidR="00CE4582" w:rsidRPr="00702AA1">
        <w:rPr>
          <w:rFonts w:ascii="Book Antiqua" w:hAnsi="Book Antiqua"/>
        </w:rPr>
        <w:t>after</w:t>
      </w:r>
      <w:r w:rsidR="00280D07" w:rsidRPr="00702AA1">
        <w:rPr>
          <w:rFonts w:ascii="Book Antiqua" w:hAnsi="Book Antiqua"/>
        </w:rPr>
        <w:t xml:space="preserve"> city, ‘plenum’ assemblies of citizens were formed, which were defined as ‘public gatherings, open to any citizen, through which collective decisions and demands can be made and action taken beyond guarantees of leadership. They are open, direct, and transparent democracy in practice’ (Arsenijevi</w:t>
      </w:r>
      <w:r w:rsidR="00280D07" w:rsidRPr="00702AA1">
        <w:rPr>
          <w:rFonts w:ascii="Book Antiqua" w:hAnsi="Book Antiqua" w:hint="eastAsia"/>
        </w:rPr>
        <w:t>ć</w:t>
      </w:r>
      <w:r w:rsidR="00B21502">
        <w:rPr>
          <w:rFonts w:ascii="Book Antiqua" w:hAnsi="Book Antiqua"/>
        </w:rPr>
        <w:t>,</w:t>
      </w:r>
      <w:r w:rsidR="00280D07" w:rsidRPr="00702AA1">
        <w:rPr>
          <w:rFonts w:ascii="Book Antiqua" w:hAnsi="Book Antiqua"/>
        </w:rPr>
        <w:t xml:space="preserve"> 2014</w:t>
      </w:r>
      <w:r w:rsidR="00B21502">
        <w:rPr>
          <w:rFonts w:ascii="Book Antiqua" w:hAnsi="Book Antiqua"/>
        </w:rPr>
        <w:t>:</w:t>
      </w:r>
      <w:r w:rsidR="00280D07" w:rsidRPr="00702AA1">
        <w:rPr>
          <w:rFonts w:ascii="Book Antiqua" w:hAnsi="Book Antiqua"/>
        </w:rPr>
        <w:t xml:space="preserve"> 47-48). </w:t>
      </w:r>
      <w:r w:rsidR="003645D5" w:rsidRPr="00702AA1">
        <w:rPr>
          <w:rFonts w:ascii="Book Antiqua" w:hAnsi="Book Antiqua"/>
        </w:rPr>
        <w:t>Plenum assemblies did not have leaders or an internal hierarchy. Each citizen had one vote, and decisions were made at general meetings where everyone had the right to speak, and the discussion was conducted by a moderator (who had no role in representing the plenum outside of the assembly). While the absence of leaders and structure was criticised for curbing the potential of the protest movement (Weber</w:t>
      </w:r>
      <w:r w:rsidR="00B21502">
        <w:rPr>
          <w:rFonts w:ascii="Book Antiqua" w:hAnsi="Book Antiqua"/>
        </w:rPr>
        <w:t>,</w:t>
      </w:r>
      <w:r w:rsidR="003645D5" w:rsidRPr="00702AA1">
        <w:rPr>
          <w:rFonts w:ascii="Book Antiqua" w:hAnsi="Book Antiqua"/>
        </w:rPr>
        <w:t xml:space="preserve"> 2014</w:t>
      </w:r>
      <w:r w:rsidR="0057354C" w:rsidRPr="00702AA1">
        <w:rPr>
          <w:rFonts w:ascii="Book Antiqua" w:hAnsi="Book Antiqua"/>
        </w:rPr>
        <w:t>;</w:t>
      </w:r>
      <w:r w:rsidR="003645D5" w:rsidRPr="00702AA1">
        <w:rPr>
          <w:rFonts w:ascii="Book Antiqua" w:hAnsi="Book Antiqua"/>
        </w:rPr>
        <w:t xml:space="preserve"> Sicurella</w:t>
      </w:r>
      <w:r w:rsidR="00B21502">
        <w:rPr>
          <w:rFonts w:ascii="Book Antiqua" w:hAnsi="Book Antiqua"/>
        </w:rPr>
        <w:t>,</w:t>
      </w:r>
      <w:r w:rsidR="003645D5" w:rsidRPr="00702AA1">
        <w:rPr>
          <w:rFonts w:ascii="Book Antiqua" w:hAnsi="Book Antiqua"/>
        </w:rPr>
        <w:t xml:space="preserve"> 2016), horizontality was a crucial feature of the movement, where activists were trying to encourage </w:t>
      </w:r>
      <w:r w:rsidR="006F5A82" w:rsidRPr="00702AA1">
        <w:rPr>
          <w:rFonts w:ascii="Book Antiqua" w:hAnsi="Book Antiqua"/>
        </w:rPr>
        <w:t>a more meaningful fo</w:t>
      </w:r>
      <w:r w:rsidR="003645D5" w:rsidRPr="00702AA1">
        <w:rPr>
          <w:rFonts w:ascii="Book Antiqua" w:hAnsi="Book Antiqua"/>
        </w:rPr>
        <w:t>r</w:t>
      </w:r>
      <w:r w:rsidR="006F5A82" w:rsidRPr="00702AA1">
        <w:rPr>
          <w:rFonts w:ascii="Book Antiqua" w:hAnsi="Book Antiqua"/>
        </w:rPr>
        <w:t>m</w:t>
      </w:r>
      <w:r w:rsidR="003645D5" w:rsidRPr="00702AA1">
        <w:rPr>
          <w:rFonts w:ascii="Book Antiqua" w:hAnsi="Book Antiqua"/>
        </w:rPr>
        <w:t xml:space="preserve"> of democratisation than had been promoted through internationally-sponsored </w:t>
      </w:r>
      <w:r w:rsidR="00D579C2" w:rsidRPr="00702AA1">
        <w:rPr>
          <w:rFonts w:ascii="Book Antiqua" w:hAnsi="Book Antiqua"/>
        </w:rPr>
        <w:t>‘</w:t>
      </w:r>
      <w:r w:rsidR="003645D5" w:rsidRPr="00702AA1">
        <w:rPr>
          <w:rFonts w:ascii="Book Antiqua" w:hAnsi="Book Antiqua"/>
        </w:rPr>
        <w:t>civil society building</w:t>
      </w:r>
      <w:r w:rsidR="00D579C2" w:rsidRPr="00702AA1">
        <w:rPr>
          <w:rFonts w:ascii="Book Antiqua" w:hAnsi="Book Antiqua"/>
        </w:rPr>
        <w:t>’</w:t>
      </w:r>
      <w:r w:rsidR="003645D5" w:rsidRPr="00702AA1">
        <w:rPr>
          <w:rFonts w:ascii="Book Antiqua" w:hAnsi="Book Antiqua"/>
        </w:rPr>
        <w:t xml:space="preserve"> projects</w:t>
      </w:r>
      <w:r w:rsidR="00D579C2" w:rsidRPr="00702AA1">
        <w:rPr>
          <w:rFonts w:ascii="Book Antiqua" w:hAnsi="Book Antiqua"/>
        </w:rPr>
        <w:t xml:space="preserve"> or ‘local ownership’</w:t>
      </w:r>
      <w:r w:rsidR="00400912" w:rsidRPr="00702AA1">
        <w:rPr>
          <w:rFonts w:ascii="Book Antiqua" w:hAnsi="Book Antiqua"/>
        </w:rPr>
        <w:t xml:space="preserve"> (Donais</w:t>
      </w:r>
      <w:r w:rsidR="00B21502">
        <w:rPr>
          <w:rFonts w:ascii="Book Antiqua" w:hAnsi="Book Antiqua"/>
        </w:rPr>
        <w:t>,</w:t>
      </w:r>
      <w:r w:rsidR="00400912" w:rsidRPr="00702AA1">
        <w:rPr>
          <w:rFonts w:ascii="Book Antiqua" w:hAnsi="Book Antiqua"/>
        </w:rPr>
        <w:t xml:space="preserve"> 2009)</w:t>
      </w:r>
      <w:r w:rsidR="003645D5" w:rsidRPr="00702AA1">
        <w:rPr>
          <w:rFonts w:ascii="Book Antiqua" w:hAnsi="Book Antiqua"/>
        </w:rPr>
        <w:t xml:space="preserve">. </w:t>
      </w:r>
      <w:r w:rsidR="007F0B1F" w:rsidRPr="00702AA1">
        <w:rPr>
          <w:rFonts w:ascii="Book Antiqua" w:hAnsi="Book Antiqua"/>
        </w:rPr>
        <w:t xml:space="preserve">Indeed, this radical approach to inclusiveness went hand in hand with criticism of the NGO sector, despite the fact that NGO workers </w:t>
      </w:r>
      <w:r w:rsidR="00B82278" w:rsidRPr="00702AA1">
        <w:rPr>
          <w:rFonts w:ascii="Book Antiqua" w:hAnsi="Book Antiqua"/>
        </w:rPr>
        <w:t xml:space="preserve">were </w:t>
      </w:r>
      <w:r w:rsidR="007F0B1F" w:rsidRPr="00702AA1">
        <w:rPr>
          <w:rFonts w:ascii="Book Antiqua" w:hAnsi="Book Antiqua"/>
        </w:rPr>
        <w:t>often present at the meetings</w:t>
      </w:r>
      <w:r w:rsidR="00105CE3" w:rsidRPr="00702AA1">
        <w:rPr>
          <w:rFonts w:ascii="Book Antiqua" w:hAnsi="Book Antiqua"/>
        </w:rPr>
        <w:t xml:space="preserve"> in personal capacity</w:t>
      </w:r>
      <w:r w:rsidR="007F0B1F" w:rsidRPr="00702AA1">
        <w:rPr>
          <w:rFonts w:ascii="Book Antiqua" w:hAnsi="Book Antiqua"/>
        </w:rPr>
        <w:t>.</w:t>
      </w:r>
      <w:r w:rsidR="007C04B2" w:rsidRPr="00702AA1">
        <w:rPr>
          <w:rStyle w:val="FootnoteReference"/>
          <w:rFonts w:ascii="Book Antiqua" w:hAnsi="Book Antiqua"/>
        </w:rPr>
        <w:footnoteReference w:id="29"/>
      </w:r>
      <w:r w:rsidR="007F0B1F" w:rsidRPr="00702AA1">
        <w:rPr>
          <w:rFonts w:ascii="Book Antiqua" w:hAnsi="Book Antiqua"/>
        </w:rPr>
        <w:t xml:space="preserve"> </w:t>
      </w:r>
    </w:p>
    <w:p w14:paraId="7521F53D" w14:textId="77777777" w:rsidR="00B21502" w:rsidRDefault="00B21502" w:rsidP="004D14DC">
      <w:pPr>
        <w:tabs>
          <w:tab w:val="left" w:pos="5801"/>
        </w:tabs>
        <w:spacing w:line="360" w:lineRule="auto"/>
        <w:jc w:val="both"/>
        <w:rPr>
          <w:rFonts w:ascii="Book Antiqua" w:hAnsi="Book Antiqua"/>
        </w:rPr>
      </w:pPr>
    </w:p>
    <w:p w14:paraId="2E2C580E" w14:textId="7DB89946" w:rsidR="00EF14ED" w:rsidRDefault="00B82278" w:rsidP="004D14DC">
      <w:pPr>
        <w:tabs>
          <w:tab w:val="left" w:pos="5801"/>
        </w:tabs>
        <w:spacing w:line="360" w:lineRule="auto"/>
        <w:jc w:val="both"/>
        <w:rPr>
          <w:rFonts w:ascii="Book Antiqua" w:hAnsi="Book Antiqua"/>
        </w:rPr>
      </w:pPr>
      <w:r w:rsidRPr="00702AA1">
        <w:rPr>
          <w:rFonts w:ascii="Book Antiqua" w:hAnsi="Book Antiqua"/>
        </w:rPr>
        <w:t xml:space="preserve">To sum up, the 2014 </w:t>
      </w:r>
      <w:r w:rsidR="00C008B2" w:rsidRPr="00702AA1">
        <w:rPr>
          <w:rFonts w:ascii="Book Antiqua" w:hAnsi="Book Antiqua"/>
        </w:rPr>
        <w:t>protests were a</w:t>
      </w:r>
      <w:r w:rsidRPr="00702AA1">
        <w:rPr>
          <w:rFonts w:ascii="Book Antiqua" w:hAnsi="Book Antiqua"/>
        </w:rPr>
        <w:t xml:space="preserve"> transformative</w:t>
      </w:r>
      <w:r w:rsidR="00C008B2" w:rsidRPr="00702AA1">
        <w:rPr>
          <w:rFonts w:ascii="Book Antiqua" w:hAnsi="Book Antiqua"/>
        </w:rPr>
        <w:t xml:space="preserve"> moment because they</w:t>
      </w:r>
      <w:r w:rsidRPr="00702AA1">
        <w:rPr>
          <w:rFonts w:ascii="Book Antiqua" w:hAnsi="Book Antiqua"/>
        </w:rPr>
        <w:t xml:space="preserve"> questioned the necessity and desirability of the liberal transition, while promoting alternative forms of identification that went beyond ethnicity (and that were civic, or based on socioeconomic status), and </w:t>
      </w:r>
      <w:proofErr w:type="gramStart"/>
      <w:r w:rsidRPr="00702AA1">
        <w:rPr>
          <w:rFonts w:ascii="Book Antiqua" w:hAnsi="Book Antiqua"/>
        </w:rPr>
        <w:t>opening up</w:t>
      </w:r>
      <w:proofErr w:type="gramEnd"/>
      <w:r w:rsidRPr="00702AA1">
        <w:rPr>
          <w:rFonts w:ascii="Book Antiqua" w:hAnsi="Book Antiqua"/>
        </w:rPr>
        <w:t xml:space="preserve"> spaces of public </w:t>
      </w:r>
      <w:r w:rsidR="00C008B2" w:rsidRPr="00702AA1">
        <w:rPr>
          <w:rFonts w:ascii="Book Antiqua" w:hAnsi="Book Antiqua"/>
        </w:rPr>
        <w:t xml:space="preserve">deliberation to common citizens. </w:t>
      </w:r>
      <w:r w:rsidR="00E357F0" w:rsidRPr="00702AA1">
        <w:rPr>
          <w:rFonts w:ascii="Book Antiqua" w:hAnsi="Book Antiqua"/>
        </w:rPr>
        <w:t xml:space="preserve">The protesters’ concern with widening political participation and reclaiming public spaces mirrored new </w:t>
      </w:r>
      <w:r w:rsidR="00E357F0" w:rsidRPr="00702AA1">
        <w:rPr>
          <w:rFonts w:ascii="Book Antiqua" w:hAnsi="Book Antiqua"/>
        </w:rPr>
        <w:lastRenderedPageBreak/>
        <w:t xml:space="preserve">forms of social activism </w:t>
      </w:r>
      <w:r w:rsidR="00605C22">
        <w:rPr>
          <w:rFonts w:ascii="Book Antiqua" w:hAnsi="Book Antiqua"/>
        </w:rPr>
        <w:t xml:space="preserve">which </w:t>
      </w:r>
      <w:r w:rsidR="00E357F0" w:rsidRPr="00702AA1">
        <w:rPr>
          <w:rFonts w:ascii="Book Antiqua" w:hAnsi="Book Antiqua"/>
        </w:rPr>
        <w:t>emerged in the wake of the Arab uprisings and the Occupy movement (Pickerill and Krinsky</w:t>
      </w:r>
      <w:r w:rsidR="00605C22">
        <w:rPr>
          <w:rFonts w:ascii="Book Antiqua" w:hAnsi="Book Antiqua"/>
        </w:rPr>
        <w:t>,</w:t>
      </w:r>
      <w:r w:rsidR="00E357F0" w:rsidRPr="00702AA1">
        <w:rPr>
          <w:rFonts w:ascii="Book Antiqua" w:hAnsi="Book Antiqua"/>
        </w:rPr>
        <w:t xml:space="preserve"> 2012; Kaldor and Selchow</w:t>
      </w:r>
      <w:r w:rsidR="00605C22">
        <w:rPr>
          <w:rFonts w:ascii="Book Antiqua" w:hAnsi="Book Antiqua"/>
        </w:rPr>
        <w:t>,</w:t>
      </w:r>
      <w:r w:rsidR="00E357F0" w:rsidRPr="00702AA1">
        <w:rPr>
          <w:rFonts w:ascii="Book Antiqua" w:hAnsi="Book Antiqua"/>
        </w:rPr>
        <w:t xml:space="preserve"> 2015). </w:t>
      </w:r>
      <w:r w:rsidR="00EF14ED">
        <w:rPr>
          <w:rFonts w:ascii="Book Antiqua" w:hAnsi="Book Antiqua"/>
        </w:rPr>
        <w:t>I</w:t>
      </w:r>
      <w:r w:rsidR="00A70CC7" w:rsidRPr="00702AA1">
        <w:rPr>
          <w:rFonts w:ascii="Book Antiqua" w:hAnsi="Book Antiqua"/>
        </w:rPr>
        <w:t>t also demonstrated the relevance of social and economic rights within contemporary forms of activism (Evans</w:t>
      </w:r>
      <w:r w:rsidR="00605C22">
        <w:rPr>
          <w:rFonts w:ascii="Book Antiqua" w:hAnsi="Book Antiqua"/>
        </w:rPr>
        <w:t>,</w:t>
      </w:r>
      <w:r w:rsidR="00A70CC7" w:rsidRPr="00702AA1">
        <w:rPr>
          <w:rFonts w:ascii="Book Antiqua" w:hAnsi="Book Antiqua"/>
        </w:rPr>
        <w:t xml:space="preserve"> 2015). </w:t>
      </w:r>
      <w:r w:rsidR="00C008B2" w:rsidRPr="00702AA1">
        <w:rPr>
          <w:rFonts w:ascii="Book Antiqua" w:hAnsi="Book Antiqua"/>
        </w:rPr>
        <w:t xml:space="preserve">As the protest movement faded, though, questions regarding their legacy were raised. Many of the informal, grassroots groups formed in February 2014 were quite small, or became so once the street protests ended. Some of these groups still exist in different parts of Bosnia, and were assisted with a limited amount of unconditional funding coming from Austria, but social mobilisation in Bosnia has never reached </w:t>
      </w:r>
      <w:r w:rsidR="00105CE3" w:rsidRPr="00702AA1">
        <w:rPr>
          <w:rFonts w:ascii="Book Antiqua" w:hAnsi="Book Antiqua"/>
        </w:rPr>
        <w:t>the</w:t>
      </w:r>
      <w:r w:rsidR="00C008B2" w:rsidRPr="00702AA1">
        <w:rPr>
          <w:rFonts w:ascii="Book Antiqua" w:hAnsi="Book Antiqua"/>
        </w:rPr>
        <w:t xml:space="preserve"> levels </w:t>
      </w:r>
      <w:r w:rsidR="00105CE3" w:rsidRPr="00702AA1">
        <w:rPr>
          <w:rFonts w:ascii="Book Antiqua" w:hAnsi="Book Antiqua"/>
        </w:rPr>
        <w:t xml:space="preserve">of 2014 </w:t>
      </w:r>
      <w:r w:rsidR="00C008B2" w:rsidRPr="00702AA1">
        <w:rPr>
          <w:rFonts w:ascii="Book Antiqua" w:hAnsi="Book Antiqua"/>
        </w:rPr>
        <w:t xml:space="preserve">again. </w:t>
      </w:r>
      <w:r w:rsidR="0057354C" w:rsidRPr="00702AA1">
        <w:rPr>
          <w:rFonts w:ascii="Book Antiqua" w:hAnsi="Book Antiqua"/>
        </w:rPr>
        <w:t xml:space="preserve">For </w:t>
      </w:r>
      <w:r w:rsidR="00E314A7" w:rsidRPr="00702AA1">
        <w:rPr>
          <w:rFonts w:ascii="Book Antiqua" w:hAnsi="Book Antiqua"/>
        </w:rPr>
        <w:t>their part, international actors have largely failed to understand the nature of the protests and their connection to the legacy of the war, or how they could have supported the transformative change promoted by the activist</w:t>
      </w:r>
      <w:r w:rsidR="0057354C" w:rsidRPr="00702AA1">
        <w:rPr>
          <w:rFonts w:ascii="Book Antiqua" w:hAnsi="Book Antiqua"/>
        </w:rPr>
        <w:t>s</w:t>
      </w:r>
      <w:r w:rsidR="00E314A7" w:rsidRPr="00702AA1">
        <w:rPr>
          <w:rFonts w:ascii="Book Antiqua" w:hAnsi="Book Antiqua"/>
        </w:rPr>
        <w:t xml:space="preserve"> (Lai</w:t>
      </w:r>
      <w:r w:rsidR="00605C22">
        <w:rPr>
          <w:rFonts w:ascii="Book Antiqua" w:hAnsi="Book Antiqua"/>
        </w:rPr>
        <w:t>,</w:t>
      </w:r>
      <w:r w:rsidR="00E314A7" w:rsidRPr="00702AA1">
        <w:rPr>
          <w:rFonts w:ascii="Book Antiqua" w:hAnsi="Book Antiqua"/>
        </w:rPr>
        <w:t xml:space="preserve"> 2016). Instead, they pushed forward a programme </w:t>
      </w:r>
      <w:r w:rsidR="002E03EB" w:rsidRPr="00702AA1">
        <w:rPr>
          <w:rFonts w:ascii="Book Antiqua" w:hAnsi="Book Antiqua"/>
        </w:rPr>
        <w:t>of economic reforms that follow</w:t>
      </w:r>
      <w:r w:rsidR="00DF3DDC" w:rsidRPr="00702AA1">
        <w:rPr>
          <w:rFonts w:ascii="Book Antiqua" w:hAnsi="Book Antiqua"/>
        </w:rPr>
        <w:t>s</w:t>
      </w:r>
      <w:r w:rsidR="00E314A7" w:rsidRPr="00702AA1">
        <w:rPr>
          <w:rFonts w:ascii="Book Antiqua" w:hAnsi="Book Antiqua"/>
        </w:rPr>
        <w:t xml:space="preserve"> the blueprint of previous attempts at liberalising the market and completing the privatisation process. </w:t>
      </w:r>
    </w:p>
    <w:p w14:paraId="0BB91B2E" w14:textId="77777777" w:rsidR="00605C22" w:rsidRDefault="00605C22" w:rsidP="004D14DC">
      <w:pPr>
        <w:tabs>
          <w:tab w:val="left" w:pos="5801"/>
        </w:tabs>
        <w:spacing w:line="360" w:lineRule="auto"/>
        <w:jc w:val="both"/>
        <w:rPr>
          <w:rFonts w:ascii="Book Antiqua" w:hAnsi="Book Antiqua"/>
        </w:rPr>
      </w:pPr>
    </w:p>
    <w:p w14:paraId="0A00A35D" w14:textId="5BAE3828" w:rsidR="00B82278" w:rsidRPr="00702AA1" w:rsidRDefault="00AD69CF" w:rsidP="004D14DC">
      <w:pPr>
        <w:tabs>
          <w:tab w:val="left" w:pos="5801"/>
        </w:tabs>
        <w:spacing w:line="360" w:lineRule="auto"/>
        <w:jc w:val="both"/>
        <w:rPr>
          <w:rFonts w:ascii="Book Antiqua" w:hAnsi="Book Antiqua"/>
        </w:rPr>
      </w:pPr>
      <w:r w:rsidRPr="00702AA1">
        <w:rPr>
          <w:rFonts w:ascii="Book Antiqua" w:hAnsi="Book Antiqua"/>
        </w:rPr>
        <w:t>However, the</w:t>
      </w:r>
      <w:r w:rsidR="00D41A9C" w:rsidRPr="00702AA1">
        <w:rPr>
          <w:rFonts w:ascii="Book Antiqua" w:hAnsi="Book Antiqua"/>
        </w:rPr>
        <w:t xml:space="preserve"> 2014 protests </w:t>
      </w:r>
      <w:r w:rsidR="00105CE3" w:rsidRPr="00702AA1">
        <w:rPr>
          <w:rFonts w:ascii="Book Antiqua" w:hAnsi="Book Antiqua"/>
        </w:rPr>
        <w:t xml:space="preserve">also </w:t>
      </w:r>
      <w:r w:rsidR="006627DB">
        <w:rPr>
          <w:rFonts w:ascii="Book Antiqua" w:hAnsi="Book Antiqua"/>
        </w:rPr>
        <w:t>facilitated the creation</w:t>
      </w:r>
      <w:r w:rsidR="00D41A9C" w:rsidRPr="00702AA1">
        <w:rPr>
          <w:rFonts w:ascii="Book Antiqua" w:hAnsi="Book Antiqua"/>
        </w:rPr>
        <w:t xml:space="preserve"> of activist</w:t>
      </w:r>
      <w:r w:rsidR="006627DB">
        <w:rPr>
          <w:rFonts w:ascii="Book Antiqua" w:hAnsi="Book Antiqua"/>
        </w:rPr>
        <w:t xml:space="preserve"> networks</w:t>
      </w:r>
      <w:r w:rsidR="00D41A9C" w:rsidRPr="00702AA1">
        <w:rPr>
          <w:rFonts w:ascii="Book Antiqua" w:hAnsi="Book Antiqua"/>
        </w:rPr>
        <w:t xml:space="preserve"> </w:t>
      </w:r>
      <w:r w:rsidR="006627DB">
        <w:rPr>
          <w:rFonts w:ascii="Book Antiqua" w:hAnsi="Book Antiqua"/>
        </w:rPr>
        <w:t>across</w:t>
      </w:r>
      <w:r w:rsidR="00D41A9C" w:rsidRPr="00702AA1">
        <w:rPr>
          <w:rFonts w:ascii="Book Antiqua" w:hAnsi="Book Antiqua"/>
        </w:rPr>
        <w:t xml:space="preserve"> Bosnia. Citizens of both entities </w:t>
      </w:r>
      <w:r w:rsidR="000A5795" w:rsidRPr="00702AA1">
        <w:rPr>
          <w:rFonts w:ascii="Book Antiqua" w:hAnsi="Book Antiqua"/>
        </w:rPr>
        <w:t xml:space="preserve">(the Federation and Republika Srpska) </w:t>
      </w:r>
      <w:r w:rsidR="00D41A9C" w:rsidRPr="00702AA1">
        <w:rPr>
          <w:rFonts w:ascii="Book Antiqua" w:hAnsi="Book Antiqua"/>
        </w:rPr>
        <w:t xml:space="preserve">saw that a civic mobilisation </w:t>
      </w:r>
      <w:r w:rsidR="006627DB">
        <w:rPr>
          <w:rFonts w:ascii="Book Antiqua" w:hAnsi="Book Antiqua"/>
        </w:rPr>
        <w:t>was</w:t>
      </w:r>
      <w:r w:rsidR="006627DB" w:rsidRPr="00702AA1">
        <w:rPr>
          <w:rFonts w:ascii="Book Antiqua" w:hAnsi="Book Antiqua"/>
        </w:rPr>
        <w:t xml:space="preserve"> </w:t>
      </w:r>
      <w:r w:rsidR="00D41A9C" w:rsidRPr="00702AA1">
        <w:rPr>
          <w:rFonts w:ascii="Book Antiqua" w:hAnsi="Book Antiqua"/>
        </w:rPr>
        <w:t>indeed possible, and that there are possibilities for entertaining progressive debates on the future of the country.</w:t>
      </w:r>
      <w:r w:rsidR="000A5795" w:rsidRPr="00702AA1">
        <w:rPr>
          <w:rStyle w:val="FootnoteReference"/>
          <w:rFonts w:ascii="Book Antiqua" w:hAnsi="Book Antiqua"/>
        </w:rPr>
        <w:footnoteReference w:id="30"/>
      </w:r>
      <w:r w:rsidR="001C452D" w:rsidRPr="00702AA1">
        <w:rPr>
          <w:rFonts w:ascii="Book Antiqua" w:hAnsi="Book Antiqua"/>
        </w:rPr>
        <w:t xml:space="preserve"> </w:t>
      </w:r>
      <w:r w:rsidR="00C54196" w:rsidRPr="00702AA1">
        <w:rPr>
          <w:rFonts w:ascii="Book Antiqua" w:hAnsi="Book Antiqua"/>
        </w:rPr>
        <w:t xml:space="preserve">Building on these newly-formed networks, for instance, the so-called Austrian Initiative supported activists and </w:t>
      </w:r>
      <w:r w:rsidR="00605C22">
        <w:rPr>
          <w:rFonts w:ascii="Book Antiqua" w:hAnsi="Book Antiqua"/>
        </w:rPr>
        <w:t>p</w:t>
      </w:r>
      <w:r w:rsidR="00C54196" w:rsidRPr="00702AA1">
        <w:rPr>
          <w:rFonts w:ascii="Book Antiqua" w:hAnsi="Book Antiqua"/>
        </w:rPr>
        <w:t>lenum groups from all over Bosnia by providing funding for their running costs, and for activities that the groups themselves could establish, without any form of conditionality, and without requiring them to formally register as a</w:t>
      </w:r>
      <w:r w:rsidR="00605C22">
        <w:rPr>
          <w:rFonts w:ascii="Book Antiqua" w:hAnsi="Book Antiqua"/>
        </w:rPr>
        <w:t>n</w:t>
      </w:r>
      <w:r w:rsidR="00C54196" w:rsidRPr="00702AA1">
        <w:rPr>
          <w:rFonts w:ascii="Book Antiqua" w:hAnsi="Book Antiqua"/>
        </w:rPr>
        <w:t xml:space="preserve"> NGO (Ludwig Boltzmann Institute</w:t>
      </w:r>
      <w:r w:rsidR="00605C22">
        <w:rPr>
          <w:rFonts w:ascii="Book Antiqua" w:hAnsi="Book Antiqua"/>
        </w:rPr>
        <w:t>,</w:t>
      </w:r>
      <w:r w:rsidR="00C54196" w:rsidRPr="00702AA1">
        <w:rPr>
          <w:rFonts w:ascii="Book Antiqua" w:hAnsi="Book Antiqua"/>
        </w:rPr>
        <w:t xml:space="preserve"> 2016). In another case, t</w:t>
      </w:r>
      <w:r w:rsidR="00D41A9C" w:rsidRPr="00702AA1">
        <w:rPr>
          <w:rFonts w:ascii="Book Antiqua" w:hAnsi="Book Antiqua"/>
        </w:rPr>
        <w:t xml:space="preserve">he long-term commitment of the workers of the DITA </w:t>
      </w:r>
      <w:r w:rsidR="00D3771D" w:rsidRPr="00702AA1">
        <w:rPr>
          <w:rFonts w:ascii="Book Antiqua" w:hAnsi="Book Antiqua"/>
        </w:rPr>
        <w:t>company</w:t>
      </w:r>
      <w:r w:rsidR="00D41A9C" w:rsidRPr="00702AA1">
        <w:rPr>
          <w:rFonts w:ascii="Book Antiqua" w:hAnsi="Book Antiqua"/>
        </w:rPr>
        <w:t xml:space="preserve"> in Tuzla</w:t>
      </w:r>
      <w:r w:rsidR="00526553" w:rsidRPr="00702AA1">
        <w:rPr>
          <w:rFonts w:ascii="Book Antiqua" w:hAnsi="Book Antiqua"/>
        </w:rPr>
        <w:t xml:space="preserve"> </w:t>
      </w:r>
      <w:r w:rsidR="00D41A9C" w:rsidRPr="00702AA1">
        <w:rPr>
          <w:rFonts w:ascii="Book Antiqua" w:hAnsi="Book Antiqua"/>
        </w:rPr>
        <w:t xml:space="preserve">succeeded in keeping the </w:t>
      </w:r>
      <w:r w:rsidR="00D3771D" w:rsidRPr="00702AA1">
        <w:rPr>
          <w:rFonts w:ascii="Book Antiqua" w:hAnsi="Book Antiqua"/>
        </w:rPr>
        <w:t xml:space="preserve">detergent </w:t>
      </w:r>
      <w:r w:rsidR="00D41A9C" w:rsidRPr="00702AA1">
        <w:rPr>
          <w:rFonts w:ascii="Book Antiqua" w:hAnsi="Book Antiqua"/>
        </w:rPr>
        <w:t>factory open and workers employe</w:t>
      </w:r>
      <w:r w:rsidR="007B697D" w:rsidRPr="00702AA1">
        <w:rPr>
          <w:rFonts w:ascii="Book Antiqua" w:hAnsi="Book Antiqua"/>
        </w:rPr>
        <w:t>d</w:t>
      </w:r>
      <w:r w:rsidR="001D2917" w:rsidRPr="00702AA1">
        <w:rPr>
          <w:rFonts w:ascii="Book Antiqua" w:hAnsi="Book Antiqua"/>
        </w:rPr>
        <w:t xml:space="preserve"> (Pepi</w:t>
      </w:r>
      <w:r w:rsidR="001D2917" w:rsidRPr="00702AA1">
        <w:rPr>
          <w:rFonts w:ascii="Book Antiqua" w:hAnsi="Book Antiqua" w:hint="eastAsia"/>
        </w:rPr>
        <w:t>ć</w:t>
      </w:r>
      <w:r w:rsidR="00605C22">
        <w:rPr>
          <w:rFonts w:ascii="Book Antiqua" w:hAnsi="Book Antiqua"/>
        </w:rPr>
        <w:t>,</w:t>
      </w:r>
      <w:r w:rsidR="001D2917" w:rsidRPr="00702AA1">
        <w:rPr>
          <w:rFonts w:ascii="Book Antiqua" w:hAnsi="Book Antiqua"/>
        </w:rPr>
        <w:t xml:space="preserve"> 2015)</w:t>
      </w:r>
      <w:r w:rsidR="007B697D" w:rsidRPr="00702AA1">
        <w:rPr>
          <w:rFonts w:ascii="Book Antiqua" w:hAnsi="Book Antiqua"/>
        </w:rPr>
        <w:t xml:space="preserve">. While the structural problems affecting Bosnia have not been solved, the protests showed </w:t>
      </w:r>
      <w:r w:rsidR="00605C22">
        <w:rPr>
          <w:rFonts w:ascii="Book Antiqua" w:hAnsi="Book Antiqua"/>
        </w:rPr>
        <w:t>what</w:t>
      </w:r>
      <w:r w:rsidR="00605C22" w:rsidRPr="00702AA1">
        <w:rPr>
          <w:rFonts w:ascii="Book Antiqua" w:hAnsi="Book Antiqua"/>
        </w:rPr>
        <w:t xml:space="preserve"> </w:t>
      </w:r>
      <w:r w:rsidR="007B697D" w:rsidRPr="00702AA1">
        <w:rPr>
          <w:rFonts w:ascii="Book Antiqua" w:hAnsi="Book Antiqua"/>
        </w:rPr>
        <w:t xml:space="preserve">a potentially transformative mobilisation for post-war social justice can look like. </w:t>
      </w:r>
      <w:r w:rsidR="00D41A9C" w:rsidRPr="00702AA1">
        <w:rPr>
          <w:rFonts w:ascii="Book Antiqua" w:hAnsi="Book Antiqua"/>
        </w:rPr>
        <w:t xml:space="preserve">  </w:t>
      </w:r>
    </w:p>
    <w:p w14:paraId="5587E978" w14:textId="77777777" w:rsidR="00C008B2" w:rsidRPr="00702AA1" w:rsidRDefault="00C008B2" w:rsidP="00F511BD">
      <w:pPr>
        <w:tabs>
          <w:tab w:val="left" w:pos="5801"/>
        </w:tabs>
        <w:spacing w:line="360" w:lineRule="auto"/>
        <w:jc w:val="both"/>
        <w:rPr>
          <w:rFonts w:ascii="Book Antiqua" w:hAnsi="Book Antiqua"/>
        </w:rPr>
      </w:pPr>
    </w:p>
    <w:p w14:paraId="5A1493C2" w14:textId="77777777" w:rsidR="005C139A" w:rsidRPr="00702AA1" w:rsidRDefault="005C139A" w:rsidP="00F511BD">
      <w:pPr>
        <w:tabs>
          <w:tab w:val="left" w:pos="5801"/>
        </w:tabs>
        <w:spacing w:line="360" w:lineRule="auto"/>
        <w:jc w:val="both"/>
        <w:rPr>
          <w:rFonts w:ascii="Book Antiqua" w:hAnsi="Book Antiqua"/>
        </w:rPr>
      </w:pPr>
    </w:p>
    <w:p w14:paraId="62755A48" w14:textId="77777777" w:rsidR="00403A3F" w:rsidRPr="00702AA1" w:rsidRDefault="00403A3F" w:rsidP="00F511BD">
      <w:pPr>
        <w:spacing w:line="360" w:lineRule="auto"/>
        <w:jc w:val="both"/>
        <w:rPr>
          <w:rFonts w:ascii="Book Antiqua" w:hAnsi="Book Antiqua"/>
        </w:rPr>
      </w:pPr>
      <w:r w:rsidRPr="00702AA1">
        <w:rPr>
          <w:rFonts w:ascii="Book Antiqua" w:hAnsi="Book Antiqua"/>
          <w:b/>
        </w:rPr>
        <w:t xml:space="preserve">Conclusion </w:t>
      </w:r>
    </w:p>
    <w:p w14:paraId="4B157012" w14:textId="77777777" w:rsidR="00F131DB" w:rsidRPr="00702AA1" w:rsidRDefault="00F131DB" w:rsidP="00F511BD">
      <w:pPr>
        <w:spacing w:line="360" w:lineRule="auto"/>
        <w:jc w:val="both"/>
        <w:rPr>
          <w:rFonts w:ascii="Book Antiqua" w:hAnsi="Book Antiqua"/>
        </w:rPr>
      </w:pPr>
    </w:p>
    <w:p w14:paraId="10793C4E" w14:textId="1A17883D" w:rsidR="001E2CE9" w:rsidRPr="00702AA1" w:rsidRDefault="001E2CE9" w:rsidP="00F511BD">
      <w:pPr>
        <w:spacing w:line="360" w:lineRule="auto"/>
        <w:jc w:val="both"/>
        <w:rPr>
          <w:rFonts w:ascii="Book Antiqua" w:hAnsi="Book Antiqua"/>
        </w:rPr>
      </w:pPr>
      <w:r w:rsidRPr="00702AA1">
        <w:rPr>
          <w:rFonts w:ascii="Book Antiqua" w:hAnsi="Book Antiqua"/>
        </w:rPr>
        <w:t xml:space="preserve">Bosnia is definitely a country in need of </w:t>
      </w:r>
      <w:r w:rsidR="00555E9A" w:rsidRPr="00702AA1">
        <w:rPr>
          <w:rFonts w:ascii="Book Antiqua" w:hAnsi="Book Antiqua"/>
        </w:rPr>
        <w:t xml:space="preserve">transformation: </w:t>
      </w:r>
      <w:r w:rsidR="00FB1EB8" w:rsidRPr="00702AA1">
        <w:rPr>
          <w:rFonts w:ascii="Book Antiqua" w:hAnsi="Book Antiqua"/>
        </w:rPr>
        <w:t xml:space="preserve">many </w:t>
      </w:r>
      <w:r w:rsidR="00555E9A" w:rsidRPr="00702AA1">
        <w:rPr>
          <w:rFonts w:ascii="Book Antiqua" w:hAnsi="Book Antiqua"/>
        </w:rPr>
        <w:t xml:space="preserve">international actors, NGOs, activists and common citizens would agree. However, if we consider the field of transitional justice, the focus of </w:t>
      </w:r>
      <w:r w:rsidR="00823329" w:rsidRPr="00702AA1">
        <w:rPr>
          <w:rFonts w:ascii="Book Antiqua" w:hAnsi="Book Antiqua"/>
        </w:rPr>
        <w:t>international efforts ha</w:t>
      </w:r>
      <w:r w:rsidR="00866A91" w:rsidRPr="00702AA1">
        <w:rPr>
          <w:rFonts w:ascii="Book Antiqua" w:hAnsi="Book Antiqua"/>
        </w:rPr>
        <w:t>s</w:t>
      </w:r>
      <w:r w:rsidR="00351D0E" w:rsidRPr="00702AA1">
        <w:rPr>
          <w:rFonts w:ascii="Book Antiqua" w:hAnsi="Book Antiqua"/>
        </w:rPr>
        <w:t xml:space="preserve"> been</w:t>
      </w:r>
      <w:r w:rsidR="00866A91" w:rsidRPr="00702AA1">
        <w:rPr>
          <w:rFonts w:ascii="Book Antiqua" w:hAnsi="Book Antiqua"/>
        </w:rPr>
        <w:t xml:space="preserve"> </w:t>
      </w:r>
      <w:r w:rsidR="00476888" w:rsidRPr="00702AA1">
        <w:rPr>
          <w:rFonts w:ascii="Book Antiqua" w:hAnsi="Book Antiqua"/>
        </w:rPr>
        <w:t>limited to</w:t>
      </w:r>
      <w:r w:rsidR="00823329" w:rsidRPr="00702AA1">
        <w:rPr>
          <w:rFonts w:ascii="Book Antiqua" w:hAnsi="Book Antiqua"/>
        </w:rPr>
        <w:t xml:space="preserve"> ‘conventional’ transitional justice </w:t>
      </w:r>
      <w:r w:rsidR="00823329" w:rsidRPr="00702AA1">
        <w:rPr>
          <w:rFonts w:ascii="Book Antiqua" w:hAnsi="Book Antiqua"/>
        </w:rPr>
        <w:lastRenderedPageBreak/>
        <w:t>mechanisms, and especially judicial ones.</w:t>
      </w:r>
      <w:r w:rsidR="00DC47A7" w:rsidRPr="00702AA1">
        <w:rPr>
          <w:rFonts w:ascii="Book Antiqua" w:hAnsi="Book Antiqua"/>
        </w:rPr>
        <w:t xml:space="preserve"> Trials have contributed to establishing a record of what happened during the war, and acknowledged the suffering of thousands of victims. They have also, according to some scholars, promoted local mobilisation around justice issues, which has contributed to the democratisation of Bosnian society (Nettelfield</w:t>
      </w:r>
      <w:r w:rsidR="00B51FC7">
        <w:rPr>
          <w:rFonts w:ascii="Book Antiqua" w:hAnsi="Book Antiqua"/>
        </w:rPr>
        <w:t>,</w:t>
      </w:r>
      <w:r w:rsidR="00DC47A7" w:rsidRPr="00702AA1">
        <w:rPr>
          <w:rFonts w:ascii="Book Antiqua" w:hAnsi="Book Antiqua"/>
        </w:rPr>
        <w:t xml:space="preserve"> 2010).</w:t>
      </w:r>
      <w:r w:rsidR="00823329" w:rsidRPr="00702AA1">
        <w:rPr>
          <w:rFonts w:ascii="Book Antiqua" w:hAnsi="Book Antiqua"/>
        </w:rPr>
        <w:t xml:space="preserve"> Without contesting the vital importance of war crimes trials, </w:t>
      </w:r>
      <w:r w:rsidR="005056FF" w:rsidRPr="00702AA1">
        <w:rPr>
          <w:rFonts w:ascii="Book Antiqua" w:hAnsi="Book Antiqua"/>
        </w:rPr>
        <w:t xml:space="preserve">though, </w:t>
      </w:r>
      <w:r w:rsidR="00823329" w:rsidRPr="00702AA1">
        <w:rPr>
          <w:rFonts w:ascii="Book Antiqua" w:hAnsi="Book Antiqua"/>
        </w:rPr>
        <w:t xml:space="preserve">attempts at transformative justice have mostly come </w:t>
      </w:r>
      <w:r w:rsidRPr="00702AA1">
        <w:rPr>
          <w:rFonts w:ascii="Book Antiqua" w:hAnsi="Book Antiqua"/>
        </w:rPr>
        <w:t>from local actors, who have been able to look beyond the transitio</w:t>
      </w:r>
      <w:r w:rsidR="005056FF" w:rsidRPr="00702AA1">
        <w:rPr>
          <w:rFonts w:ascii="Book Antiqua" w:hAnsi="Book Antiqua"/>
        </w:rPr>
        <w:t>nal focus of the ICTY</w:t>
      </w:r>
      <w:r w:rsidR="000723C2" w:rsidRPr="00702AA1">
        <w:rPr>
          <w:rFonts w:ascii="Book Antiqua" w:hAnsi="Book Antiqua"/>
        </w:rPr>
        <w:t>, and sought comprehensive ways of dealing with the legacy of the conflict, in all its facets</w:t>
      </w:r>
      <w:r w:rsidR="002F4EC9" w:rsidRPr="00702AA1">
        <w:rPr>
          <w:rFonts w:ascii="Book Antiqua" w:hAnsi="Book Antiqua"/>
        </w:rPr>
        <w:t>.</w:t>
      </w:r>
    </w:p>
    <w:p w14:paraId="6E50948F" w14:textId="77777777" w:rsidR="00BB031A" w:rsidRDefault="00BB031A" w:rsidP="004D14DC">
      <w:pPr>
        <w:spacing w:line="360" w:lineRule="auto"/>
        <w:jc w:val="both"/>
        <w:rPr>
          <w:rFonts w:ascii="Book Antiqua" w:hAnsi="Book Antiqua"/>
        </w:rPr>
      </w:pPr>
    </w:p>
    <w:p w14:paraId="160B470B" w14:textId="39226E37" w:rsidR="00112994" w:rsidRPr="00702AA1" w:rsidRDefault="00ED1DDB" w:rsidP="004D14DC">
      <w:pPr>
        <w:spacing w:line="360" w:lineRule="auto"/>
        <w:jc w:val="both"/>
        <w:rPr>
          <w:rFonts w:ascii="Book Antiqua" w:hAnsi="Book Antiqua"/>
        </w:rPr>
      </w:pPr>
      <w:r w:rsidRPr="00702AA1">
        <w:rPr>
          <w:rFonts w:ascii="Book Antiqua" w:hAnsi="Book Antiqua"/>
        </w:rPr>
        <w:t>In this chapter, we analysed what transformative justice might look like in the case of Bosnia and Herzegovina. We argued that several attempts were made to overcome the limitations of judicial, top-down approaches to dealing with the past, and that these attempts originated within the civil society. In our understanding, the ‘transformative’ potential of civil society initiatives is characterised by a critique of the liberal transition paradigm, an engagement with the political nature of transitional justice, and a commitment to more radically open forms of participation and deliberation. The analysis of the case studies shows a great deal of variation between RECOM, the Women’s Court and the 2014 protests, with the lat</w:t>
      </w:r>
      <w:r w:rsidR="000F4CD4">
        <w:rPr>
          <w:rFonts w:ascii="Book Antiqua" w:hAnsi="Book Antiqua"/>
        </w:rPr>
        <w:t>t</w:t>
      </w:r>
      <w:r w:rsidRPr="00702AA1">
        <w:rPr>
          <w:rFonts w:ascii="Book Antiqua" w:hAnsi="Book Antiqua"/>
        </w:rPr>
        <w:t>e</w:t>
      </w:r>
      <w:r w:rsidR="000F4CD4">
        <w:rPr>
          <w:rFonts w:ascii="Book Antiqua" w:hAnsi="Book Antiqua"/>
        </w:rPr>
        <w:t>r</w:t>
      </w:r>
      <w:r w:rsidRPr="00702AA1">
        <w:rPr>
          <w:rFonts w:ascii="Book Antiqua" w:hAnsi="Book Antiqua"/>
        </w:rPr>
        <w:t xml:space="preserve"> two initiatives presenting more transformative features than the first: it seems that the further away we move from the transitional justice model, the more transformative potential the initiative contains. </w:t>
      </w:r>
      <w:r w:rsidR="00DE6C4D" w:rsidRPr="00702AA1">
        <w:rPr>
          <w:rFonts w:ascii="Book Antiqua" w:hAnsi="Book Antiqua"/>
        </w:rPr>
        <w:t>At the same time, we might find that, in the long run, the more institutionalised RECOM initiative might have a more prominent legacy, at least in shaping future attempts at dealing with past injustices in the former Yugoslav region. RECOM (similarly to the Women’s Court) also shows that regional activism may be better equipped to deal with a common legacy of violence, and highlight common trends of criminality and injustice that continue into the transition. Scholars such as Bili</w:t>
      </w:r>
      <w:r w:rsidR="00DE6C4D" w:rsidRPr="009A0DED">
        <w:rPr>
          <w:rFonts w:ascii="Book Antiqua" w:hAnsi="Book Antiqua" w:hint="eastAsia"/>
        </w:rPr>
        <w:t>ć</w:t>
      </w:r>
      <w:r w:rsidR="00DE6C4D" w:rsidRPr="009A0DED">
        <w:rPr>
          <w:rFonts w:ascii="Book Antiqua" w:hAnsi="Book Antiqua"/>
        </w:rPr>
        <w:t xml:space="preserve"> (2012) have indeed pointed out that talking about activism while considering the countries of the former Yugoslavia separately constitutes an artificial endeavour. In fact, even the 2014 protests, which were primarily a Bosnian phenomenon, drew on the experiences of social mobilisation from below of, and exchanges between, activist groups from different parts of the former Yugoslavia. </w:t>
      </w:r>
    </w:p>
    <w:p w14:paraId="20238211" w14:textId="77777777" w:rsidR="000F4CD4" w:rsidRDefault="000F4CD4" w:rsidP="004D14DC">
      <w:pPr>
        <w:spacing w:line="360" w:lineRule="auto"/>
        <w:jc w:val="both"/>
        <w:rPr>
          <w:rFonts w:ascii="Book Antiqua" w:hAnsi="Book Antiqua"/>
        </w:rPr>
      </w:pPr>
    </w:p>
    <w:p w14:paraId="49B12825" w14:textId="75480BBD" w:rsidR="0076569A" w:rsidRPr="00702AA1" w:rsidRDefault="00F511BD" w:rsidP="004D14DC">
      <w:pPr>
        <w:spacing w:line="360" w:lineRule="auto"/>
        <w:jc w:val="both"/>
        <w:rPr>
          <w:rFonts w:ascii="Book Antiqua" w:hAnsi="Book Antiqua"/>
        </w:rPr>
      </w:pPr>
      <w:r w:rsidRPr="00702AA1">
        <w:rPr>
          <w:rFonts w:ascii="Book Antiqua" w:hAnsi="Book Antiqua"/>
        </w:rPr>
        <w:t xml:space="preserve">Overall, the chapter suggests that if transitional justice is to survive criticism of its politics, and especially accusations of Western-centrism, legalism, and ineffectiveness, it needs to engage seriously with these grassroots initiatives, not close itself. It should recognise that local actors are varied, and they include potential spoilers of peace and justice processes </w:t>
      </w:r>
      <w:r w:rsidRPr="00702AA1">
        <w:rPr>
          <w:rFonts w:ascii="Book Antiqua" w:hAnsi="Book Antiqua"/>
        </w:rPr>
        <w:lastRenderedPageBreak/>
        <w:t>(Arnould</w:t>
      </w:r>
      <w:r w:rsidR="00337F9D">
        <w:rPr>
          <w:rFonts w:ascii="Book Antiqua" w:hAnsi="Book Antiqua"/>
        </w:rPr>
        <w:t>,</w:t>
      </w:r>
      <w:r w:rsidRPr="00702AA1">
        <w:rPr>
          <w:rFonts w:ascii="Book Antiqua" w:hAnsi="Book Antiqua"/>
        </w:rPr>
        <w:t xml:space="preserve"> 2016; McAuliffe</w:t>
      </w:r>
      <w:r w:rsidR="00337F9D">
        <w:rPr>
          <w:rFonts w:ascii="Book Antiqua" w:hAnsi="Book Antiqua"/>
        </w:rPr>
        <w:t>,</w:t>
      </w:r>
      <w:r w:rsidRPr="00702AA1">
        <w:rPr>
          <w:rFonts w:ascii="Book Antiqua" w:hAnsi="Book Antiqua"/>
        </w:rPr>
        <w:t xml:space="preserve"> 2017), but also progressive and socially-aware activist groups that, as in the Bosnian case, have been left without institutional and political power by the war and transition, but</w:t>
      </w:r>
      <w:r w:rsidR="00FB1EB8" w:rsidRPr="00702AA1">
        <w:rPr>
          <w:rFonts w:ascii="Book Antiqua" w:hAnsi="Book Antiqua"/>
        </w:rPr>
        <w:t xml:space="preserve"> which</w:t>
      </w:r>
      <w:r w:rsidRPr="00702AA1">
        <w:rPr>
          <w:rFonts w:ascii="Book Antiqua" w:hAnsi="Book Antiqua"/>
        </w:rPr>
        <w:t xml:space="preserve"> could play a crucial role in promoting transformative change.</w:t>
      </w:r>
      <w:r w:rsidR="00112994" w:rsidRPr="00702AA1">
        <w:rPr>
          <w:rFonts w:ascii="Book Antiqua" w:hAnsi="Book Antiqua"/>
        </w:rPr>
        <w:t xml:space="preserve"> </w:t>
      </w:r>
      <w:r w:rsidR="0076569A" w:rsidRPr="00702AA1">
        <w:rPr>
          <w:rFonts w:ascii="Book Antiqua" w:hAnsi="Book Antiqua"/>
        </w:rPr>
        <w:t>Our emphasis on local initiatives</w:t>
      </w:r>
      <w:r w:rsidR="00112994" w:rsidRPr="00702AA1">
        <w:rPr>
          <w:rFonts w:ascii="Book Antiqua" w:hAnsi="Book Antiqua"/>
        </w:rPr>
        <w:t>, though,</w:t>
      </w:r>
      <w:r w:rsidR="0076569A" w:rsidRPr="00702AA1">
        <w:rPr>
          <w:rFonts w:ascii="Book Antiqua" w:hAnsi="Book Antiqua"/>
        </w:rPr>
        <w:t xml:space="preserve"> might lead some to question whether the international community should have a role in post-war justice processes at all. We believe that, in today’s globalised world, it is indeed impossible for international actors not to influence these processes. International organisations are present on the ground and have an impact on the daily life of the country, and on its population. Support for certain political, economic and institutional reforms inevitably affects the context within which post-war justice initiatives develop and operate. Moreover, withdrawing financial and organisational commitment from transitional justice programmes in order to promote ‘local ownership’ is in itself a form of intervention that could well have adverse effects. Rather, the international community might seek alternative ways of supporting local processes of dealing with the past</w:t>
      </w:r>
      <w:r w:rsidR="00FB51EE" w:rsidRPr="00702AA1">
        <w:rPr>
          <w:rFonts w:ascii="Book Antiqua" w:hAnsi="Book Antiqua"/>
        </w:rPr>
        <w:t xml:space="preserve">, more akin to the Austrian </w:t>
      </w:r>
      <w:r w:rsidR="00337F9D">
        <w:rPr>
          <w:rFonts w:ascii="Book Antiqua" w:hAnsi="Book Antiqua"/>
        </w:rPr>
        <w:t>I</w:t>
      </w:r>
      <w:r w:rsidR="00FB51EE" w:rsidRPr="00702AA1">
        <w:rPr>
          <w:rFonts w:ascii="Book Antiqua" w:hAnsi="Book Antiqua"/>
        </w:rPr>
        <w:t>nitiative implemented after the 2014 protests than to formalised projects with complex forms of conditionality</w:t>
      </w:r>
      <w:r w:rsidR="0076569A" w:rsidRPr="00702AA1">
        <w:rPr>
          <w:rFonts w:ascii="Book Antiqua" w:hAnsi="Book Antiqua"/>
        </w:rPr>
        <w:t>.</w:t>
      </w:r>
      <w:r w:rsidR="0060662B" w:rsidRPr="00702AA1">
        <w:rPr>
          <w:rFonts w:ascii="Book Antiqua" w:hAnsi="Book Antiqua"/>
        </w:rPr>
        <w:t xml:space="preserve"> </w:t>
      </w:r>
      <w:r w:rsidR="002270A0" w:rsidRPr="00702AA1">
        <w:rPr>
          <w:rFonts w:ascii="Book Antiqua" w:hAnsi="Book Antiqua"/>
        </w:rPr>
        <w:t xml:space="preserve">This is a limited example, but is indicative of the need for transformative thinking on the part of donors and external actors as well. </w:t>
      </w:r>
    </w:p>
    <w:p w14:paraId="109A65CE" w14:textId="77777777" w:rsidR="00337F9D" w:rsidRDefault="00337F9D" w:rsidP="004D14DC">
      <w:pPr>
        <w:spacing w:line="360" w:lineRule="auto"/>
        <w:jc w:val="both"/>
        <w:rPr>
          <w:rFonts w:ascii="Book Antiqua" w:hAnsi="Book Antiqua"/>
        </w:rPr>
      </w:pPr>
    </w:p>
    <w:p w14:paraId="7808FD90" w14:textId="153A868D" w:rsidR="00367AA4" w:rsidRPr="00702AA1" w:rsidRDefault="00054F0C" w:rsidP="00143ED6">
      <w:pPr>
        <w:spacing w:line="360" w:lineRule="auto"/>
        <w:ind w:firstLine="709"/>
        <w:jc w:val="both"/>
        <w:rPr>
          <w:rFonts w:ascii="Book Antiqua" w:hAnsi="Book Antiqua"/>
          <w:b/>
        </w:rPr>
      </w:pPr>
      <w:r w:rsidRPr="00702AA1">
        <w:rPr>
          <w:rFonts w:ascii="Book Antiqua" w:hAnsi="Book Antiqua"/>
        </w:rPr>
        <w:t xml:space="preserve">One issue that emerges from this chapter, and that would be worth pursuing in further research, is thus related to the role of international actors in transformative justice. From a conceptual point of view, is it possible for international organisations and donors to be involved </w:t>
      </w:r>
      <w:r w:rsidR="00337F9D">
        <w:rPr>
          <w:rFonts w:ascii="Book Antiqua" w:hAnsi="Book Antiqua"/>
        </w:rPr>
        <w:t xml:space="preserve">in </w:t>
      </w:r>
      <w:r w:rsidRPr="00702AA1">
        <w:rPr>
          <w:rFonts w:ascii="Book Antiqua" w:hAnsi="Book Antiqua"/>
        </w:rPr>
        <w:t>local processes without compromising their success or potential for sustainable social change? And from a practical point of view, what would this international support e</w:t>
      </w:r>
      <w:r w:rsidR="0060662B" w:rsidRPr="00702AA1">
        <w:rPr>
          <w:rFonts w:ascii="Book Antiqua" w:hAnsi="Book Antiqua"/>
        </w:rPr>
        <w:t xml:space="preserve">ntail? Aside from these questions, this chapter clearly suggests that much of the transformative potential of local initiatives still remains unrealised. </w:t>
      </w:r>
      <w:r w:rsidR="00874AD4" w:rsidRPr="00702AA1">
        <w:rPr>
          <w:rFonts w:ascii="Book Antiqua" w:hAnsi="Book Antiqua"/>
        </w:rPr>
        <w:t>The challenge for researchers and practitioners with a serious commitment to developing this transformative potential will be in understanding these initiatives, their connections to the broader society, and how they might (or could, in the future) support transformative change in post-conflict societies.</w:t>
      </w:r>
      <w:r w:rsidR="006B7B64" w:rsidRPr="00702AA1">
        <w:rPr>
          <w:rFonts w:ascii="Book Antiqua" w:hAnsi="Book Antiqua"/>
          <w:b/>
        </w:rPr>
        <w:br w:type="page"/>
      </w:r>
    </w:p>
    <w:p w14:paraId="0BF46371" w14:textId="77777777" w:rsidR="00367AA4" w:rsidRPr="00702AA1" w:rsidRDefault="00367AA4" w:rsidP="006B7B64">
      <w:pPr>
        <w:jc w:val="center"/>
        <w:rPr>
          <w:rFonts w:ascii="Book Antiqua" w:hAnsi="Book Antiqua"/>
          <w:b/>
          <w:sz w:val="28"/>
        </w:rPr>
      </w:pPr>
      <w:r w:rsidRPr="00702AA1">
        <w:rPr>
          <w:rFonts w:ascii="Book Antiqua" w:hAnsi="Book Antiqua"/>
          <w:b/>
          <w:sz w:val="28"/>
        </w:rPr>
        <w:lastRenderedPageBreak/>
        <w:t>References</w:t>
      </w:r>
    </w:p>
    <w:p w14:paraId="3997AFB5" w14:textId="77777777" w:rsidR="00367AA4" w:rsidRPr="00702AA1" w:rsidRDefault="00367AA4" w:rsidP="00367AA4">
      <w:pPr>
        <w:spacing w:after="120"/>
        <w:ind w:left="709" w:hanging="709"/>
        <w:jc w:val="both"/>
        <w:rPr>
          <w:rFonts w:ascii="Book Antiqua" w:hAnsi="Book Antiqua"/>
        </w:rPr>
      </w:pPr>
    </w:p>
    <w:p w14:paraId="0B3C7B70" w14:textId="77777777" w:rsidR="006B7B64" w:rsidRPr="00702AA1" w:rsidRDefault="006B7B64" w:rsidP="00367AA4">
      <w:pPr>
        <w:spacing w:after="120"/>
        <w:ind w:left="709" w:hanging="709"/>
        <w:jc w:val="both"/>
        <w:rPr>
          <w:rFonts w:ascii="Book Antiqua" w:hAnsi="Book Antiqua"/>
        </w:rPr>
      </w:pPr>
    </w:p>
    <w:p w14:paraId="2A583282" w14:textId="77777777" w:rsidR="006B7B64" w:rsidRPr="00702AA1" w:rsidRDefault="006B7B64" w:rsidP="00367AA4">
      <w:pPr>
        <w:spacing w:after="120"/>
        <w:ind w:left="709" w:hanging="709"/>
        <w:jc w:val="both"/>
        <w:rPr>
          <w:rFonts w:ascii="Book Antiqua" w:hAnsi="Book Antiqua"/>
        </w:rPr>
      </w:pPr>
    </w:p>
    <w:p w14:paraId="14966F42"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Andreas, Peter. 2009. “Symbiosis Between Peace Operations and Illicit Business in Bosnia.” </w:t>
      </w:r>
      <w:r w:rsidRPr="00702AA1">
        <w:rPr>
          <w:rFonts w:ascii="Book Antiqua" w:hAnsi="Book Antiqua"/>
          <w:i/>
          <w:iCs/>
        </w:rPr>
        <w:t>International Peacekeeping</w:t>
      </w:r>
      <w:r w:rsidRPr="00702AA1">
        <w:rPr>
          <w:rFonts w:ascii="Book Antiqua" w:hAnsi="Book Antiqua"/>
        </w:rPr>
        <w:t>, 16(1): 33-46.</w:t>
      </w:r>
    </w:p>
    <w:p w14:paraId="6A36FC22"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Arnould, Valerie. 2016. “Transitional Justice in Peacebuilding: Dynamics of Contestation in the DRC.” </w:t>
      </w:r>
      <w:r w:rsidRPr="00702AA1">
        <w:rPr>
          <w:rFonts w:ascii="Book Antiqua" w:hAnsi="Book Antiqua"/>
          <w:i/>
          <w:iCs/>
        </w:rPr>
        <w:t>Journal of Intervention and Statebuilding</w:t>
      </w:r>
      <w:r w:rsidRPr="00702AA1">
        <w:rPr>
          <w:rFonts w:ascii="Book Antiqua" w:hAnsi="Book Antiqua"/>
        </w:rPr>
        <w:t> 10(3): 321-338.</w:t>
      </w:r>
    </w:p>
    <w:p w14:paraId="5A73974A"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Arsenijevi</w:t>
      </w:r>
      <w:r w:rsidRPr="00702AA1">
        <w:rPr>
          <w:rFonts w:ascii="Book Antiqua" w:hAnsi="Book Antiqua" w:cs="Lucida Grande" w:hint="eastAsia"/>
        </w:rPr>
        <w:t>ć</w:t>
      </w:r>
      <w:r w:rsidRPr="00702AA1">
        <w:rPr>
          <w:rFonts w:ascii="Book Antiqua" w:hAnsi="Book Antiqua"/>
        </w:rPr>
        <w:t xml:space="preserve">, Damir. 2014. “Protests and the Plenum: The Struggle for the Commons.” in </w:t>
      </w:r>
      <w:r w:rsidRPr="00702AA1">
        <w:rPr>
          <w:rFonts w:ascii="Book Antiqua" w:hAnsi="Book Antiqua"/>
          <w:i/>
          <w:iCs/>
        </w:rPr>
        <w:t>Unbribable Bosnia and Herzegovina: The Fight for the Commons</w:t>
      </w:r>
      <w:r w:rsidRPr="00702AA1">
        <w:rPr>
          <w:rFonts w:ascii="Book Antiqua" w:hAnsi="Book Antiqua"/>
        </w:rPr>
        <w:t>, edited by Damir Arsenijevi</w:t>
      </w:r>
      <w:r w:rsidRPr="00702AA1">
        <w:rPr>
          <w:rFonts w:ascii="Book Antiqua" w:hAnsi="Book Antiqua" w:cs="Lucida Grande" w:hint="eastAsia"/>
        </w:rPr>
        <w:t>ć</w:t>
      </w:r>
      <w:r w:rsidRPr="00702AA1">
        <w:rPr>
          <w:rFonts w:ascii="Book Antiqua" w:hAnsi="Book Antiqua"/>
        </w:rPr>
        <w:t xml:space="preserve">, Southeast European Integration Perspectives, Nomos: Baden-Baden. </w:t>
      </w:r>
    </w:p>
    <w:p w14:paraId="1F7FE427" w14:textId="75CFFCF4"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Arthur, Paige. 2009. “How Transitions Reshaped “Human Rights”: A Conceptual History of Transitional Justice.” </w:t>
      </w:r>
      <w:r w:rsidRPr="00702AA1">
        <w:rPr>
          <w:rFonts w:ascii="Book Antiqua" w:hAnsi="Book Antiqua"/>
          <w:i/>
          <w:iCs/>
        </w:rPr>
        <w:t xml:space="preserve">Human Rights Quarterly </w:t>
      </w:r>
      <w:r w:rsidRPr="00702AA1">
        <w:rPr>
          <w:rFonts w:ascii="Book Antiqua" w:hAnsi="Book Antiqua"/>
        </w:rPr>
        <w:t>31(</w:t>
      </w:r>
      <w:r w:rsidR="004D07C3" w:rsidRPr="009A0DED">
        <w:rPr>
          <w:rFonts w:ascii="Book Antiqua" w:hAnsi="Book Antiqua"/>
        </w:rPr>
        <w:t>2</w:t>
      </w:r>
      <w:r w:rsidRPr="00702AA1">
        <w:rPr>
          <w:rFonts w:ascii="Book Antiqua" w:hAnsi="Book Antiqua"/>
        </w:rPr>
        <w:t>): 321-367.</w:t>
      </w:r>
    </w:p>
    <w:p w14:paraId="15BA799B" w14:textId="32005117" w:rsidR="00F76009" w:rsidRPr="00702AA1" w:rsidRDefault="00F76009" w:rsidP="005C139A">
      <w:pPr>
        <w:spacing w:before="120" w:after="120"/>
        <w:ind w:left="709" w:hanging="709"/>
        <w:jc w:val="both"/>
        <w:rPr>
          <w:rFonts w:ascii="Book Antiqua" w:hAnsi="Book Antiqua"/>
        </w:rPr>
      </w:pPr>
      <w:r w:rsidRPr="00702AA1">
        <w:rPr>
          <w:rFonts w:ascii="Book Antiqua" w:hAnsi="Book Antiqua"/>
        </w:rPr>
        <w:t xml:space="preserve">Arzt, Donna A. 2006. “Views on the ground: the local perception of international </w:t>
      </w:r>
      <w:r w:rsidR="00A41617" w:rsidRPr="00702AA1">
        <w:rPr>
          <w:rFonts w:ascii="Book Antiqua" w:hAnsi="Book Antiqua"/>
        </w:rPr>
        <w:t>c</w:t>
      </w:r>
      <w:r w:rsidRPr="00702AA1">
        <w:rPr>
          <w:rFonts w:ascii="Book Antiqua" w:hAnsi="Book Antiqua"/>
        </w:rPr>
        <w:t xml:space="preserve">riminal tribunals in the former Yugoslavia and Sierra Leone.” </w:t>
      </w:r>
      <w:r w:rsidRPr="001D116F">
        <w:rPr>
          <w:rFonts w:ascii="Book Antiqua" w:hAnsi="Book Antiqua"/>
          <w:i/>
        </w:rPr>
        <w:t>The ANNALS of the American Academy of Political and Social Sciences</w:t>
      </w:r>
      <w:r w:rsidRPr="00702AA1">
        <w:rPr>
          <w:rFonts w:ascii="Book Antiqua" w:hAnsi="Book Antiqua"/>
        </w:rPr>
        <w:t xml:space="preserve"> 603(1): 226-239.</w:t>
      </w:r>
    </w:p>
    <w:p w14:paraId="35F16952" w14:textId="773F8C0E" w:rsidR="00C66581" w:rsidRPr="00702AA1" w:rsidRDefault="00C66581" w:rsidP="005C139A">
      <w:pPr>
        <w:spacing w:before="120" w:after="120"/>
        <w:ind w:left="709" w:hanging="709"/>
        <w:jc w:val="both"/>
        <w:rPr>
          <w:rFonts w:ascii="Book Antiqua" w:hAnsi="Book Antiqua"/>
        </w:rPr>
      </w:pPr>
      <w:r w:rsidRPr="00702AA1">
        <w:rPr>
          <w:rFonts w:ascii="Book Antiqua" w:hAnsi="Book Antiqua"/>
        </w:rPr>
        <w:t>BH Protest Files. 2014a. Visualizing the Plenum Demands, 13 May 2014, at &lt;https://bhprotestfiles.wordpress.com/2014/05/13/visualizing-the-plenum-demands/&gt;, last accessed 20 July 2017.</w:t>
      </w:r>
    </w:p>
    <w:p w14:paraId="299F8B42" w14:textId="7CEE4634" w:rsidR="00C66581" w:rsidRPr="00702AA1" w:rsidRDefault="00C66581" w:rsidP="00C66581">
      <w:pPr>
        <w:spacing w:before="120" w:after="120"/>
        <w:ind w:left="709" w:hanging="709"/>
        <w:jc w:val="both"/>
        <w:rPr>
          <w:rFonts w:ascii="Book Antiqua" w:hAnsi="Book Antiqua"/>
        </w:rPr>
      </w:pPr>
      <w:r w:rsidRPr="00702AA1">
        <w:rPr>
          <w:rFonts w:ascii="Book Antiqua" w:hAnsi="Book Antiqua"/>
        </w:rPr>
        <w:t xml:space="preserve">BH Protest Files. 2014b. Declaration of the Sarajevo Citizens’ Plenum (#3), 9 February 2014, &lt;https://bhprotestfiles.wordpress.com/2014/02/09/declaration-of-the-sarajevo-citizensplenum-3/&gt;, last accessed 12 September 2017. </w:t>
      </w:r>
    </w:p>
    <w:p w14:paraId="597CEB1A" w14:textId="2B086D6D" w:rsidR="00D161E6" w:rsidRPr="00702AA1" w:rsidRDefault="00D161E6" w:rsidP="00C66581">
      <w:pPr>
        <w:spacing w:before="120" w:after="120"/>
        <w:ind w:left="709" w:hanging="709"/>
        <w:jc w:val="both"/>
        <w:rPr>
          <w:rFonts w:ascii="Book Antiqua" w:hAnsi="Book Antiqua"/>
        </w:rPr>
      </w:pPr>
      <w:r w:rsidRPr="00702AA1">
        <w:rPr>
          <w:rFonts w:ascii="Book Antiqua" w:hAnsi="Book Antiqua"/>
        </w:rPr>
        <w:t xml:space="preserve">BH Protest Files. 2014c. </w:t>
      </w:r>
      <w:r w:rsidR="001D2917" w:rsidRPr="00702AA1">
        <w:rPr>
          <w:rFonts w:ascii="Book Antiqua" w:hAnsi="Book Antiqua"/>
        </w:rPr>
        <w:t>T</w:t>
      </w:r>
      <w:r w:rsidRPr="00702AA1">
        <w:rPr>
          <w:rFonts w:ascii="Book Antiqua" w:hAnsi="Book Antiqua"/>
        </w:rPr>
        <w:t xml:space="preserve">he Tuzla Declaration of Citizens and Workers of 7 February 2014 (Tuzla #1), at </w:t>
      </w:r>
      <w:r w:rsidRPr="001D116F">
        <w:t>https://bhprotestfiles.wordpress.com/2014/02/07/declaration-of-citizens-and-workers-in-tuzla-1/</w:t>
      </w:r>
      <w:r w:rsidRPr="00702AA1">
        <w:rPr>
          <w:rFonts w:ascii="Book Antiqua" w:hAnsi="Book Antiqua"/>
        </w:rPr>
        <w:t>&gt;, last accessed 25 September 2017.</w:t>
      </w:r>
    </w:p>
    <w:p w14:paraId="157036E0" w14:textId="43D1E0F4" w:rsidR="001D2917" w:rsidRPr="00702AA1" w:rsidRDefault="001D2917" w:rsidP="00C66581">
      <w:pPr>
        <w:spacing w:before="120" w:after="120"/>
        <w:ind w:left="709" w:hanging="709"/>
        <w:jc w:val="both"/>
        <w:rPr>
          <w:rFonts w:ascii="Book Antiqua" w:hAnsi="Book Antiqua"/>
        </w:rPr>
      </w:pPr>
      <w:r w:rsidRPr="00702AA1">
        <w:rPr>
          <w:rFonts w:ascii="Book Antiqua" w:hAnsi="Book Antiqua"/>
        </w:rPr>
        <w:t>BH Protest Files. 2014d. Proclamation of the Plenum of Citizens of the Tuzla Canton, 13 February 2017, at &lt;https://bhprotestfiles.wordpress.com/2014/02/13/announcement-of-the-plenum-of-citizens-of-the-tuzla-canton/&gt;, last accessed 20 July 2017.</w:t>
      </w:r>
    </w:p>
    <w:p w14:paraId="08605FB9" w14:textId="68AE1A46" w:rsidR="00367AA4" w:rsidRPr="00702AA1" w:rsidRDefault="00367AA4" w:rsidP="00C66581">
      <w:pPr>
        <w:spacing w:before="120" w:after="120"/>
        <w:ind w:left="709" w:hanging="709"/>
        <w:jc w:val="both"/>
        <w:rPr>
          <w:rFonts w:ascii="Book Antiqua" w:hAnsi="Book Antiqua"/>
        </w:rPr>
      </w:pPr>
      <w:r w:rsidRPr="00702AA1">
        <w:rPr>
          <w:rFonts w:ascii="Book Antiqua" w:hAnsi="Book Antiqua"/>
        </w:rPr>
        <w:t xml:space="preserve">Belloni, Roberto. 2007. </w:t>
      </w:r>
      <w:r w:rsidRPr="00702AA1">
        <w:rPr>
          <w:rFonts w:ascii="Book Antiqua" w:hAnsi="Book Antiqua"/>
          <w:i/>
        </w:rPr>
        <w:t>State Building and International Intervention in Bosnia</w:t>
      </w:r>
      <w:r w:rsidRPr="00702AA1">
        <w:rPr>
          <w:rFonts w:ascii="Book Antiqua" w:hAnsi="Book Antiqua"/>
        </w:rPr>
        <w:t>. London: Routledge.</w:t>
      </w:r>
    </w:p>
    <w:p w14:paraId="7444EE7B"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Bilić, Bojan. Resisting the evil. 2012. </w:t>
      </w:r>
      <w:r w:rsidRPr="001D116F">
        <w:rPr>
          <w:rFonts w:ascii="Book Antiqua" w:hAnsi="Book Antiqua"/>
          <w:i/>
        </w:rPr>
        <w:t>[Post-]Yugoslav anti-war contention</w:t>
      </w:r>
      <w:r w:rsidRPr="00702AA1">
        <w:rPr>
          <w:rFonts w:ascii="Book Antiqua" w:hAnsi="Book Antiqua"/>
        </w:rPr>
        <w:t xml:space="preserve">. Baden-Baden: </w:t>
      </w:r>
      <w:r w:rsidR="00526553" w:rsidRPr="00702AA1">
        <w:rPr>
          <w:rFonts w:ascii="Book Antiqua" w:hAnsi="Book Antiqua"/>
        </w:rPr>
        <w:t>Nomos</w:t>
      </w:r>
      <w:r w:rsidR="005C139A" w:rsidRPr="00702AA1">
        <w:rPr>
          <w:rFonts w:ascii="Book Antiqua" w:hAnsi="Book Antiqua"/>
        </w:rPr>
        <w:t>.</w:t>
      </w:r>
    </w:p>
    <w:p w14:paraId="137DE051"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Bunce, Valerie. 1995. “Should Transitologists Be Grounded?” </w:t>
      </w:r>
      <w:r w:rsidRPr="00702AA1">
        <w:rPr>
          <w:rFonts w:ascii="Book Antiqua" w:hAnsi="Book Antiqua"/>
          <w:i/>
        </w:rPr>
        <w:t>Slavic Review</w:t>
      </w:r>
      <w:r w:rsidRPr="00702AA1">
        <w:rPr>
          <w:rFonts w:ascii="Book Antiqua" w:hAnsi="Book Antiqua"/>
        </w:rPr>
        <w:t xml:space="preserve"> 54(1): 111–27.</w:t>
      </w:r>
    </w:p>
    <w:p w14:paraId="5F13522D" w14:textId="77777777" w:rsidR="00E86736" w:rsidRPr="00702AA1" w:rsidRDefault="00367AA4" w:rsidP="005C139A">
      <w:pPr>
        <w:spacing w:before="120" w:after="120"/>
        <w:ind w:left="709" w:hanging="709"/>
        <w:jc w:val="both"/>
        <w:rPr>
          <w:rFonts w:ascii="Book Antiqua" w:hAnsi="Book Antiqua"/>
        </w:rPr>
      </w:pPr>
      <w:r w:rsidRPr="0075298A">
        <w:rPr>
          <w:rFonts w:ascii="Book Antiqua" w:hAnsi="Book Antiqua"/>
          <w:lang w:val="it-IT"/>
        </w:rPr>
        <w:t xml:space="preserve">Cassese, Antonio. 2003. </w:t>
      </w:r>
      <w:r w:rsidRPr="005E27D6">
        <w:rPr>
          <w:rFonts w:ascii="Book Antiqua" w:hAnsi="Book Antiqua"/>
          <w:i/>
          <w:lang w:val="it-IT"/>
        </w:rPr>
        <w:t>International Criminal Law.</w:t>
      </w:r>
      <w:r w:rsidRPr="005E27D6">
        <w:rPr>
          <w:rFonts w:ascii="Book Antiqua" w:hAnsi="Book Antiqua"/>
          <w:lang w:val="it-IT"/>
        </w:rPr>
        <w:t xml:space="preserve"> </w:t>
      </w:r>
      <w:r w:rsidRPr="001D116F">
        <w:rPr>
          <w:rFonts w:ascii="Book Antiqua" w:hAnsi="Book Antiqua"/>
        </w:rPr>
        <w:t>Oxford: Oxford University Press</w:t>
      </w:r>
      <w:r w:rsidR="005C139A" w:rsidRPr="001D116F">
        <w:rPr>
          <w:rFonts w:ascii="Book Antiqua" w:hAnsi="Book Antiqua"/>
        </w:rPr>
        <w:t>.</w:t>
      </w:r>
    </w:p>
    <w:p w14:paraId="03445E85" w14:textId="77777777" w:rsidR="00E86736" w:rsidRPr="001D116F" w:rsidRDefault="00367AA4" w:rsidP="005C139A">
      <w:pPr>
        <w:spacing w:before="120" w:after="120"/>
        <w:ind w:left="709" w:hanging="709"/>
        <w:jc w:val="both"/>
        <w:rPr>
          <w:rFonts w:ascii="Book Antiqua" w:hAnsi="Book Antiqua"/>
        </w:rPr>
      </w:pPr>
      <w:r w:rsidRPr="001D116F">
        <w:rPr>
          <w:rFonts w:ascii="Book Antiqua" w:hAnsi="Book Antiqua"/>
        </w:rPr>
        <w:t xml:space="preserve">Clark, Phil and Palmer, Nicola. 2012 „Challenging transitional </w:t>
      </w:r>
      <w:proofErr w:type="gramStart"/>
      <w:r w:rsidRPr="001D116F">
        <w:rPr>
          <w:rFonts w:ascii="Book Antiqua" w:hAnsi="Book Antiqua"/>
        </w:rPr>
        <w:t>justice.“</w:t>
      </w:r>
      <w:proofErr w:type="gramEnd"/>
      <w:r w:rsidRPr="001D116F">
        <w:rPr>
          <w:rFonts w:ascii="Book Antiqua" w:hAnsi="Book Antiqua"/>
        </w:rPr>
        <w:t xml:space="preserve"> In </w:t>
      </w:r>
      <w:r w:rsidRPr="001D116F">
        <w:rPr>
          <w:rFonts w:ascii="Book Antiqua" w:hAnsi="Book Antiqua"/>
          <w:i/>
        </w:rPr>
        <w:t xml:space="preserve">Critical perspectives on transitional justice, </w:t>
      </w:r>
      <w:r w:rsidRPr="001D116F">
        <w:rPr>
          <w:rFonts w:ascii="Book Antiqua" w:hAnsi="Book Antiqua"/>
        </w:rPr>
        <w:t>edited by Phil Clark, Nicola Palmer and Danielle Granville, 1-16. Antwerp: Intersentia</w:t>
      </w:r>
      <w:r w:rsidR="005C139A" w:rsidRPr="001D116F">
        <w:rPr>
          <w:rFonts w:ascii="Book Antiqua" w:hAnsi="Book Antiqua"/>
        </w:rPr>
        <w:t>.</w:t>
      </w:r>
    </w:p>
    <w:p w14:paraId="70EAC372" w14:textId="01488A1F" w:rsidR="00E86736" w:rsidRPr="001D116F" w:rsidRDefault="00367AA4" w:rsidP="005C139A">
      <w:pPr>
        <w:spacing w:before="120" w:after="120"/>
        <w:ind w:left="709" w:hanging="709"/>
        <w:jc w:val="both"/>
        <w:rPr>
          <w:rFonts w:ascii="Book Antiqua" w:hAnsi="Book Antiqua" w:cs="Times"/>
        </w:rPr>
      </w:pPr>
      <w:r w:rsidRPr="00702AA1">
        <w:rPr>
          <w:rFonts w:ascii="Book Antiqua" w:hAnsi="Book Antiqua"/>
        </w:rPr>
        <w:t xml:space="preserve">Clark, Janine N. 2009. “The limits of retributive justice. Findings of an empirical study in Bosnia and Hercegovina.” </w:t>
      </w:r>
      <w:r w:rsidRPr="00702AA1">
        <w:rPr>
          <w:rFonts w:ascii="Book Antiqua" w:hAnsi="Book Antiqua"/>
          <w:i/>
        </w:rPr>
        <w:t>Journal of International Criminal Justice</w:t>
      </w:r>
      <w:r w:rsidRPr="00702AA1">
        <w:rPr>
          <w:rFonts w:ascii="Book Antiqua" w:hAnsi="Book Antiqua"/>
        </w:rPr>
        <w:t xml:space="preserve">, </w:t>
      </w:r>
      <w:r w:rsidR="005C139A" w:rsidRPr="001D116F">
        <w:rPr>
          <w:rFonts w:ascii="Book Antiqua" w:hAnsi="Book Antiqua" w:cs="Times"/>
        </w:rPr>
        <w:t>7 (</w:t>
      </w:r>
      <w:r w:rsidR="002F49C8" w:rsidRPr="001D116F">
        <w:rPr>
          <w:rFonts w:ascii="Book Antiqua" w:hAnsi="Book Antiqua" w:cs="Times"/>
        </w:rPr>
        <w:t>3</w:t>
      </w:r>
      <w:r w:rsidR="005C139A" w:rsidRPr="001D116F">
        <w:rPr>
          <w:rFonts w:ascii="Book Antiqua" w:hAnsi="Book Antiqua" w:cs="Times"/>
        </w:rPr>
        <w:t>), 463-487.</w:t>
      </w:r>
    </w:p>
    <w:p w14:paraId="7958CFEB" w14:textId="56E771E5" w:rsidR="00E86736" w:rsidRPr="001D116F" w:rsidRDefault="00367AA4" w:rsidP="005C139A">
      <w:pPr>
        <w:spacing w:before="120" w:after="120"/>
        <w:ind w:left="709" w:hanging="709"/>
        <w:jc w:val="both"/>
        <w:rPr>
          <w:rFonts w:ascii="Book Antiqua" w:hAnsi="Book Antiqua" w:cs="Times"/>
        </w:rPr>
      </w:pPr>
      <w:r w:rsidRPr="001D116F">
        <w:rPr>
          <w:rFonts w:ascii="Book Antiqua" w:hAnsi="Book Antiqua" w:cs="Times"/>
        </w:rPr>
        <w:t xml:space="preserve">Clark, Janine N. 2016. </w:t>
      </w:r>
      <w:proofErr w:type="gramStart"/>
      <w:r w:rsidR="008505AB">
        <w:rPr>
          <w:rFonts w:ascii="Book Antiqua" w:hAnsi="Book Antiqua" w:cs="Times"/>
        </w:rPr>
        <w:t>”</w:t>
      </w:r>
      <w:r w:rsidRPr="001D116F">
        <w:rPr>
          <w:rFonts w:ascii="Book Antiqua" w:hAnsi="Book Antiqua" w:cs="Times"/>
        </w:rPr>
        <w:t>Transitional</w:t>
      </w:r>
      <w:proofErr w:type="gramEnd"/>
      <w:r w:rsidRPr="001D116F">
        <w:rPr>
          <w:rFonts w:ascii="Book Antiqua" w:hAnsi="Book Antiqua" w:cs="Times"/>
        </w:rPr>
        <w:t xml:space="preserve"> justice as recognition: an analysis of the Women’s Court </w:t>
      </w:r>
      <w:r w:rsidRPr="001D116F">
        <w:rPr>
          <w:rFonts w:ascii="Book Antiqua" w:hAnsi="Book Antiqua" w:cs="Times"/>
        </w:rPr>
        <w:tab/>
        <w:t xml:space="preserve">in Sarajevo.“ </w:t>
      </w:r>
      <w:r w:rsidRPr="001D116F">
        <w:rPr>
          <w:rFonts w:ascii="Book Antiqua" w:hAnsi="Book Antiqua" w:cs="Times"/>
          <w:i/>
        </w:rPr>
        <w:t>International Journal of Transitional Justice</w:t>
      </w:r>
      <w:r w:rsidRPr="001D116F">
        <w:rPr>
          <w:rFonts w:ascii="Book Antiqua" w:hAnsi="Book Antiqua" w:cs="Times"/>
        </w:rPr>
        <w:t>, 10(</w:t>
      </w:r>
      <w:r w:rsidR="002F49C8" w:rsidRPr="001D116F">
        <w:rPr>
          <w:rFonts w:ascii="Book Antiqua" w:hAnsi="Book Antiqua" w:cs="Times"/>
        </w:rPr>
        <w:t>1</w:t>
      </w:r>
      <w:r w:rsidRPr="001D116F">
        <w:rPr>
          <w:rFonts w:ascii="Book Antiqua" w:hAnsi="Book Antiqua" w:cs="Times"/>
        </w:rPr>
        <w:t>): 67-87</w:t>
      </w:r>
      <w:r w:rsidR="005C139A" w:rsidRPr="001D116F">
        <w:rPr>
          <w:rFonts w:ascii="Book Antiqua" w:hAnsi="Book Antiqua" w:cs="Times"/>
        </w:rPr>
        <w:t>.</w:t>
      </w:r>
    </w:p>
    <w:p w14:paraId="5F2D63AE" w14:textId="77777777" w:rsidR="00E86736" w:rsidRPr="001D116F" w:rsidRDefault="00367AA4" w:rsidP="005C139A">
      <w:pPr>
        <w:spacing w:before="120" w:after="120"/>
        <w:ind w:left="709" w:hanging="709"/>
        <w:jc w:val="both"/>
        <w:rPr>
          <w:rFonts w:ascii="Book Antiqua" w:hAnsi="Book Antiqua" w:cs="Times"/>
        </w:rPr>
      </w:pPr>
      <w:r w:rsidRPr="00702AA1">
        <w:rPr>
          <w:rFonts w:ascii="Book Antiqua" w:hAnsi="Book Antiqua"/>
        </w:rPr>
        <w:t xml:space="preserve">Chandler, David. 2011. “Post-conflict Statebuilding: Governance without Government.” In </w:t>
      </w:r>
      <w:r w:rsidRPr="00702AA1">
        <w:rPr>
          <w:rFonts w:ascii="Book Antiqua" w:hAnsi="Book Antiqua"/>
          <w:i/>
        </w:rPr>
        <w:t>Whose Peace? Critical Perspectives on the Political Economy of Peacebuilding</w:t>
      </w:r>
      <w:r w:rsidRPr="00702AA1">
        <w:rPr>
          <w:rFonts w:ascii="Book Antiqua" w:hAnsi="Book Antiqua"/>
        </w:rPr>
        <w:t xml:space="preserve">, edited by </w:t>
      </w:r>
      <w:r w:rsidRPr="00702AA1">
        <w:rPr>
          <w:rFonts w:ascii="Book Antiqua" w:hAnsi="Book Antiqua"/>
        </w:rPr>
        <w:lastRenderedPageBreak/>
        <w:t>Michael Pugh, Neil Cooper, and Mandy Turner, 337–355. Basingstoke: Palgrave Macmillan.</w:t>
      </w:r>
    </w:p>
    <w:p w14:paraId="6B55E70B" w14:textId="77777777" w:rsidR="00E86736" w:rsidRPr="001D116F" w:rsidRDefault="00367AA4" w:rsidP="005C139A">
      <w:pPr>
        <w:spacing w:before="120" w:after="120"/>
        <w:ind w:left="709" w:hanging="709"/>
        <w:jc w:val="both"/>
        <w:rPr>
          <w:rFonts w:ascii="Book Antiqua" w:hAnsi="Book Antiqua"/>
        </w:rPr>
      </w:pPr>
      <w:r w:rsidRPr="001D116F">
        <w:rPr>
          <w:rFonts w:ascii="Book Antiqua" w:hAnsi="Book Antiqua"/>
        </w:rPr>
        <w:t xml:space="preserve">Delpla, Isabelle. 2007. “In the midst of injustice: the ICTY from the perspective of some victim associations.” In </w:t>
      </w:r>
      <w:r w:rsidRPr="001D116F">
        <w:rPr>
          <w:rFonts w:ascii="Book Antiqua" w:hAnsi="Book Antiqua"/>
          <w:i/>
        </w:rPr>
        <w:t xml:space="preserve">The New Bosnian mosaic, </w:t>
      </w:r>
      <w:r w:rsidRPr="001D116F">
        <w:rPr>
          <w:rStyle w:val="addmd"/>
          <w:rFonts w:ascii="Book Antiqua" w:hAnsi="Book Antiqua"/>
        </w:rPr>
        <w:t>edited by Elissa Helms, Ger Duijzings and Xavier Bougarel, 211-234</w:t>
      </w:r>
      <w:r w:rsidRPr="001D116F">
        <w:rPr>
          <w:rFonts w:ascii="Book Antiqua" w:hAnsi="Book Antiqua"/>
        </w:rPr>
        <w:t>. London: Ashgate</w:t>
      </w:r>
      <w:r w:rsidR="005C139A" w:rsidRPr="001D116F">
        <w:rPr>
          <w:rFonts w:ascii="Book Antiqua" w:hAnsi="Book Antiqua"/>
        </w:rPr>
        <w:t>.</w:t>
      </w:r>
    </w:p>
    <w:p w14:paraId="54DEAF53" w14:textId="3FB1208B" w:rsidR="00400912" w:rsidRPr="00702AA1" w:rsidRDefault="00400912" w:rsidP="005C139A">
      <w:pPr>
        <w:spacing w:before="120" w:after="120"/>
        <w:ind w:left="709" w:hanging="709"/>
        <w:jc w:val="both"/>
        <w:rPr>
          <w:rFonts w:ascii="Book Antiqua" w:hAnsi="Book Antiqua"/>
        </w:rPr>
      </w:pPr>
      <w:r w:rsidRPr="00702AA1">
        <w:rPr>
          <w:rFonts w:ascii="Book Antiqua" w:hAnsi="Book Antiqua"/>
        </w:rPr>
        <w:t>Donais, Timothy. 2009. “Empowerment or Imposition? Dilemmas of Local Ownership in Post</w:t>
      </w:r>
      <w:r w:rsidRPr="00702AA1">
        <w:rPr>
          <w:rFonts w:ascii="Cambria Math" w:hAnsi="Cambria Math" w:cs="Cambria Math"/>
        </w:rPr>
        <w:t>‐</w:t>
      </w:r>
      <w:r w:rsidRPr="00702AA1">
        <w:rPr>
          <w:rFonts w:ascii="Book Antiqua" w:hAnsi="Book Antiqua"/>
        </w:rPr>
        <w:t xml:space="preserve">Conflict Peacebuilding Processes.” </w:t>
      </w:r>
      <w:r w:rsidRPr="001D116F">
        <w:rPr>
          <w:rFonts w:ascii="Book Antiqua" w:hAnsi="Book Antiqua"/>
          <w:i/>
        </w:rPr>
        <w:t>Peace &amp; Change</w:t>
      </w:r>
      <w:r w:rsidRPr="00702AA1">
        <w:rPr>
          <w:rFonts w:ascii="Book Antiqua" w:hAnsi="Book Antiqua"/>
        </w:rPr>
        <w:t xml:space="preserve"> 34(1): 3-26. </w:t>
      </w:r>
    </w:p>
    <w:p w14:paraId="598D9338" w14:textId="7DF8E036"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Dragovi</w:t>
      </w:r>
      <w:r w:rsidRPr="00702AA1">
        <w:rPr>
          <w:rFonts w:ascii="Book Antiqua" w:hAnsi="Book Antiqua" w:cs="Times New Roman" w:hint="eastAsia"/>
        </w:rPr>
        <w:t>ć</w:t>
      </w:r>
      <w:r w:rsidR="00526553" w:rsidRPr="00702AA1">
        <w:rPr>
          <w:rFonts w:ascii="Book Antiqua" w:hAnsi="Book Antiqua"/>
        </w:rPr>
        <w:t>-</w:t>
      </w:r>
      <w:r w:rsidRPr="00702AA1">
        <w:rPr>
          <w:rFonts w:ascii="Book Antiqua" w:hAnsi="Book Antiqua"/>
        </w:rPr>
        <w:t xml:space="preserve">Soso, Jasna and Gordy, Eric. 2011. “Coming to terms with the past: transitional justice and reconciliation in the post-Yugoslav lands.” In </w:t>
      </w:r>
      <w:r w:rsidRPr="00702AA1">
        <w:rPr>
          <w:rFonts w:ascii="Book Antiqua" w:hAnsi="Book Antiqua"/>
          <w:i/>
        </w:rPr>
        <w:t>New Perspectives on Yugoslavia. Key issues and controversies</w:t>
      </w:r>
      <w:r w:rsidRPr="00702AA1">
        <w:rPr>
          <w:rFonts w:ascii="Book Antiqua" w:hAnsi="Book Antiqua"/>
        </w:rPr>
        <w:t>, edited by Dejan Djoki</w:t>
      </w:r>
      <w:r w:rsidRPr="00702AA1">
        <w:rPr>
          <w:rFonts w:ascii="Book Antiqua" w:hAnsi="Book Antiqua" w:cs="Times New Roman" w:hint="eastAsia"/>
        </w:rPr>
        <w:t>ć</w:t>
      </w:r>
      <w:r w:rsidRPr="00702AA1">
        <w:rPr>
          <w:rFonts w:ascii="Book Antiqua" w:hAnsi="Book Antiqua"/>
        </w:rPr>
        <w:t xml:space="preserve"> and James Ker-Lindsay, 193-212. London: Routledge</w:t>
      </w:r>
      <w:r w:rsidR="005C139A" w:rsidRPr="00702AA1">
        <w:rPr>
          <w:rFonts w:ascii="Book Antiqua" w:hAnsi="Book Antiqua"/>
        </w:rPr>
        <w:t>.</w:t>
      </w:r>
    </w:p>
    <w:p w14:paraId="006D7D75" w14:textId="77777777" w:rsidR="00B354ED" w:rsidRPr="00702AA1" w:rsidRDefault="00B354ED" w:rsidP="005C139A">
      <w:pPr>
        <w:spacing w:before="120" w:after="120"/>
        <w:ind w:left="709" w:hanging="709"/>
        <w:jc w:val="both"/>
        <w:rPr>
          <w:rFonts w:ascii="Book Antiqua" w:hAnsi="Book Antiqua"/>
        </w:rPr>
      </w:pPr>
      <w:r w:rsidRPr="00702AA1">
        <w:rPr>
          <w:rFonts w:ascii="Book Antiqua" w:hAnsi="Book Antiqua"/>
        </w:rPr>
        <w:t xml:space="preserve">Evans, Matthew. 2015. “Trade Unions as Human Rights Organizations.” </w:t>
      </w:r>
      <w:r w:rsidRPr="00702AA1">
        <w:rPr>
          <w:rFonts w:ascii="Book Antiqua" w:hAnsi="Book Antiqua"/>
          <w:i/>
        </w:rPr>
        <w:t xml:space="preserve">Journal of Human Rights Practice </w:t>
      </w:r>
      <w:r w:rsidRPr="00702AA1">
        <w:rPr>
          <w:rFonts w:ascii="Book Antiqua" w:hAnsi="Book Antiqua"/>
        </w:rPr>
        <w:t xml:space="preserve">7(3): 466-483. </w:t>
      </w:r>
    </w:p>
    <w:p w14:paraId="2755BFDC" w14:textId="0372A296"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Fraser, Nancy. 1990. “Rethinking the Public Sphere: A Contribution to the Critique of Actually Existing Democracy.” </w:t>
      </w:r>
      <w:r w:rsidRPr="00702AA1">
        <w:rPr>
          <w:rFonts w:ascii="Book Antiqua" w:hAnsi="Book Antiqua"/>
          <w:i/>
          <w:iCs/>
        </w:rPr>
        <w:t xml:space="preserve">Social Text </w:t>
      </w:r>
      <w:r w:rsidRPr="00702AA1">
        <w:rPr>
          <w:rFonts w:ascii="Book Antiqua" w:hAnsi="Book Antiqua"/>
        </w:rPr>
        <w:t>25/26: 56-80.</w:t>
      </w:r>
    </w:p>
    <w:p w14:paraId="1FAE1FB5"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Fraser, Nancy. 2005. “Reframing Justice in a Globalizing World.” </w:t>
      </w:r>
      <w:r w:rsidRPr="00702AA1">
        <w:rPr>
          <w:rFonts w:ascii="Book Antiqua" w:hAnsi="Book Antiqua"/>
          <w:i/>
          <w:iCs/>
        </w:rPr>
        <w:t xml:space="preserve">New Left Review </w:t>
      </w:r>
      <w:r w:rsidRPr="00702AA1">
        <w:rPr>
          <w:rFonts w:ascii="Book Antiqua" w:hAnsi="Book Antiqua"/>
        </w:rPr>
        <w:t>36, Nov/Dec 1995: 69-88.</w:t>
      </w:r>
    </w:p>
    <w:p w14:paraId="760332D9"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Fraser, Nancy. 2009. </w:t>
      </w:r>
      <w:r w:rsidRPr="00702AA1">
        <w:rPr>
          <w:rFonts w:ascii="Book Antiqua" w:hAnsi="Book Antiqua"/>
          <w:i/>
          <w:iCs/>
        </w:rPr>
        <w:t>Scales of Justice. Reimagining Political Space in a Globalizing World</w:t>
      </w:r>
      <w:r w:rsidRPr="00702AA1">
        <w:rPr>
          <w:rFonts w:ascii="Book Antiqua" w:hAnsi="Book Antiqua"/>
        </w:rPr>
        <w:t>, New York: Columbia University Press.</w:t>
      </w:r>
    </w:p>
    <w:p w14:paraId="73C2B5B3" w14:textId="08094599" w:rsidR="00E86736" w:rsidRPr="001D116F" w:rsidRDefault="00367AA4" w:rsidP="005C139A">
      <w:pPr>
        <w:spacing w:before="120" w:after="120"/>
        <w:ind w:left="709" w:hanging="709"/>
        <w:jc w:val="both"/>
        <w:rPr>
          <w:rFonts w:ascii="Book Antiqua" w:hAnsi="Book Antiqua"/>
        </w:rPr>
      </w:pPr>
      <w:r w:rsidRPr="001D116F">
        <w:rPr>
          <w:rFonts w:ascii="Book Antiqua" w:hAnsi="Book Antiqua"/>
        </w:rPr>
        <w:t xml:space="preserve">Gready, Paul. 2005. “Reconceptualizing transitional justice: embedded and distanced justice.” </w:t>
      </w:r>
      <w:r w:rsidRPr="001D116F">
        <w:rPr>
          <w:rFonts w:ascii="Book Antiqua" w:hAnsi="Book Antiqua"/>
          <w:i/>
        </w:rPr>
        <w:t>Conflict, Security and Development</w:t>
      </w:r>
      <w:r w:rsidRPr="001D116F">
        <w:rPr>
          <w:rFonts w:ascii="Book Antiqua" w:hAnsi="Book Antiqua"/>
        </w:rPr>
        <w:t xml:space="preserve"> 5(</w:t>
      </w:r>
      <w:r w:rsidR="00F52274" w:rsidRPr="001D116F">
        <w:rPr>
          <w:rFonts w:ascii="Book Antiqua" w:hAnsi="Book Antiqua"/>
        </w:rPr>
        <w:t>1</w:t>
      </w:r>
      <w:r w:rsidRPr="001D116F">
        <w:rPr>
          <w:rFonts w:ascii="Book Antiqua" w:hAnsi="Book Antiqua"/>
        </w:rPr>
        <w:t>):3-21</w:t>
      </w:r>
      <w:r w:rsidR="005C139A" w:rsidRPr="001D116F">
        <w:rPr>
          <w:rFonts w:ascii="Book Antiqua" w:hAnsi="Book Antiqua"/>
        </w:rPr>
        <w:t>.</w:t>
      </w:r>
    </w:p>
    <w:p w14:paraId="0FC1926F"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Gready, Paul, and Simon Robins. 2014. “From transitional to transformative justice: A new agenda for practice.” </w:t>
      </w:r>
      <w:r w:rsidRPr="00702AA1">
        <w:rPr>
          <w:rFonts w:ascii="Book Antiqua" w:hAnsi="Book Antiqua"/>
          <w:i/>
          <w:iCs/>
        </w:rPr>
        <w:t>International Journal of Transitional Justice</w:t>
      </w:r>
      <w:r w:rsidRPr="00702AA1">
        <w:rPr>
          <w:rFonts w:ascii="Book Antiqua" w:hAnsi="Book Antiqua"/>
        </w:rPr>
        <w:t> 8(3): 339-361.</w:t>
      </w:r>
    </w:p>
    <w:p w14:paraId="101B704A" w14:textId="77777777" w:rsidR="00E86736" w:rsidRPr="00702AA1" w:rsidRDefault="00367AA4" w:rsidP="005C139A">
      <w:pPr>
        <w:spacing w:before="120" w:after="120"/>
        <w:ind w:left="709" w:hanging="709"/>
        <w:jc w:val="both"/>
        <w:rPr>
          <w:rFonts w:ascii="Book Antiqua" w:hAnsi="Book Antiqua"/>
        </w:rPr>
      </w:pPr>
      <w:r w:rsidRPr="001D116F">
        <w:rPr>
          <w:rFonts w:ascii="Book Antiqua" w:hAnsi="Book Antiqua"/>
        </w:rPr>
        <w:t xml:space="preserve">Hagan, John. 2003.  </w:t>
      </w:r>
      <w:r w:rsidRPr="001D116F">
        <w:rPr>
          <w:rFonts w:ascii="Book Antiqua" w:hAnsi="Book Antiqua"/>
          <w:i/>
        </w:rPr>
        <w:t>Justice in the Balkans. Prosecuting war crimes in the Hague Tribunal</w:t>
      </w:r>
      <w:r w:rsidRPr="001D116F">
        <w:rPr>
          <w:rFonts w:ascii="Book Antiqua" w:hAnsi="Book Antiqua"/>
        </w:rPr>
        <w:t>. Chicago and London: University of Chicago Press</w:t>
      </w:r>
      <w:r w:rsidR="005C139A" w:rsidRPr="001D116F">
        <w:rPr>
          <w:rFonts w:ascii="Book Antiqua" w:hAnsi="Book Antiqua"/>
        </w:rPr>
        <w:t>.</w:t>
      </w:r>
    </w:p>
    <w:p w14:paraId="07AF70B2" w14:textId="77777777" w:rsidR="00E86736" w:rsidRPr="001D116F" w:rsidRDefault="00367AA4" w:rsidP="005C139A">
      <w:pPr>
        <w:spacing w:before="120" w:after="120"/>
        <w:ind w:left="709" w:hanging="709"/>
        <w:jc w:val="both"/>
        <w:rPr>
          <w:rFonts w:ascii="Book Antiqua" w:hAnsi="Book Antiqua"/>
        </w:rPr>
      </w:pPr>
      <w:r w:rsidRPr="001D116F">
        <w:rPr>
          <w:rFonts w:ascii="Book Antiqua" w:hAnsi="Book Antiqua"/>
        </w:rPr>
        <w:t xml:space="preserve">Hazan, Pierre. 2004. </w:t>
      </w:r>
      <w:r w:rsidRPr="001D116F">
        <w:rPr>
          <w:rFonts w:ascii="Book Antiqua" w:hAnsi="Book Antiqua"/>
          <w:i/>
        </w:rPr>
        <w:t xml:space="preserve">Justice in a time of war- the true story behind the International Criminal </w:t>
      </w:r>
      <w:r w:rsidR="00E86736" w:rsidRPr="001D116F">
        <w:rPr>
          <w:rFonts w:ascii="Book Antiqua" w:hAnsi="Book Antiqua"/>
          <w:i/>
        </w:rPr>
        <w:t>T</w:t>
      </w:r>
      <w:r w:rsidRPr="001D116F">
        <w:rPr>
          <w:rFonts w:ascii="Book Antiqua" w:hAnsi="Book Antiqua"/>
          <w:i/>
        </w:rPr>
        <w:t>ribunal for the former Yugoslavia</w:t>
      </w:r>
      <w:r w:rsidRPr="001D116F">
        <w:rPr>
          <w:rFonts w:ascii="Book Antiqua" w:hAnsi="Book Antiqua"/>
        </w:rPr>
        <w:t>. College Station: Texas A&amp;M University Press</w:t>
      </w:r>
      <w:r w:rsidR="005C139A" w:rsidRPr="001D116F">
        <w:rPr>
          <w:rFonts w:ascii="Book Antiqua" w:hAnsi="Book Antiqua"/>
        </w:rPr>
        <w:t>.</w:t>
      </w:r>
    </w:p>
    <w:p w14:paraId="70831DC6" w14:textId="66BFB0A2"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Hughes, Caroline and Pupavac, Vanessa. 2005. “Framing post-conflict societies: international pathologisation and the post-Yugoslav states.” </w:t>
      </w:r>
      <w:r w:rsidRPr="00702AA1">
        <w:rPr>
          <w:rFonts w:ascii="Book Antiqua" w:hAnsi="Book Antiqua"/>
          <w:i/>
        </w:rPr>
        <w:t>Third World Qu</w:t>
      </w:r>
      <w:r w:rsidRPr="00702AA1">
        <w:rPr>
          <w:rFonts w:ascii="Book Antiqua" w:hAnsi="Book Antiqua"/>
        </w:rPr>
        <w:t>arterly, 26(</w:t>
      </w:r>
      <w:r w:rsidR="00AC6459" w:rsidRPr="00702AA1">
        <w:rPr>
          <w:rFonts w:ascii="Book Antiqua" w:hAnsi="Book Antiqua"/>
        </w:rPr>
        <w:t>6</w:t>
      </w:r>
      <w:r w:rsidRPr="00702AA1">
        <w:rPr>
          <w:rFonts w:ascii="Book Antiqua" w:hAnsi="Book Antiqua"/>
        </w:rPr>
        <w:t>):873-889</w:t>
      </w:r>
      <w:r w:rsidR="005C139A" w:rsidRPr="00702AA1">
        <w:rPr>
          <w:rFonts w:ascii="Book Antiqua" w:hAnsi="Book Antiqua"/>
        </w:rPr>
        <w:t>.</w:t>
      </w:r>
    </w:p>
    <w:p w14:paraId="711A2F36"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Jones, Briony. 2012. “Exploring the Politics of Reconciliation through Education Reform: The Case of Br</w:t>
      </w:r>
      <w:r w:rsidRPr="00702AA1">
        <w:rPr>
          <w:rFonts w:ascii="Book Antiqua" w:hAnsi="Book Antiqua" w:hint="eastAsia"/>
        </w:rPr>
        <w:t>č</w:t>
      </w:r>
      <w:r w:rsidRPr="00702AA1">
        <w:rPr>
          <w:rFonts w:ascii="Book Antiqua" w:hAnsi="Book Antiqua"/>
        </w:rPr>
        <w:t xml:space="preserve">ko District, Bosnia and Herzegovina.” </w:t>
      </w:r>
      <w:r w:rsidRPr="00702AA1">
        <w:rPr>
          <w:rFonts w:ascii="Book Antiqua" w:hAnsi="Book Antiqua"/>
          <w:i/>
          <w:iCs/>
        </w:rPr>
        <w:t>International Journal of Transitional Justice</w:t>
      </w:r>
      <w:r w:rsidRPr="00702AA1">
        <w:rPr>
          <w:rFonts w:ascii="Book Antiqua" w:hAnsi="Book Antiqua"/>
        </w:rPr>
        <w:t>, 6(1): 126-148.</w:t>
      </w:r>
    </w:p>
    <w:p w14:paraId="1492153E" w14:textId="0BC09073" w:rsidR="00367AA4" w:rsidRDefault="00A70CC7" w:rsidP="005C139A">
      <w:pPr>
        <w:spacing w:before="120" w:after="120"/>
        <w:ind w:left="709" w:hanging="709"/>
        <w:jc w:val="both"/>
        <w:rPr>
          <w:rFonts w:ascii="Book Antiqua" w:hAnsi="Book Antiqua"/>
        </w:rPr>
      </w:pPr>
      <w:r w:rsidRPr="00702AA1">
        <w:rPr>
          <w:rFonts w:ascii="Book Antiqua" w:hAnsi="Book Antiqua"/>
        </w:rPr>
        <w:t xml:space="preserve">Kaldor, Mary and Sabine Selchow, eds. 2015. </w:t>
      </w:r>
      <w:r w:rsidRPr="00702AA1">
        <w:rPr>
          <w:rFonts w:ascii="Book Antiqua" w:hAnsi="Book Antiqua"/>
          <w:i/>
          <w:iCs/>
        </w:rPr>
        <w:t xml:space="preserve">Subterranean Politics in Europe. </w:t>
      </w:r>
      <w:r w:rsidRPr="00702AA1">
        <w:rPr>
          <w:rFonts w:ascii="Book Antiqua" w:hAnsi="Book Antiqua"/>
        </w:rPr>
        <w:t>Basingstoke: Palgrave Macmillan</w:t>
      </w:r>
      <w:r w:rsidR="0075298A">
        <w:rPr>
          <w:rFonts w:ascii="Book Antiqua" w:hAnsi="Book Antiqua"/>
        </w:rPr>
        <w:t>.</w:t>
      </w:r>
      <w:r w:rsidRPr="00702AA1">
        <w:rPr>
          <w:rFonts w:ascii="Book Antiqua" w:hAnsi="Book Antiqua"/>
        </w:rPr>
        <w:t xml:space="preserve"> </w:t>
      </w:r>
    </w:p>
    <w:p w14:paraId="7AC40689" w14:textId="77777777" w:rsidR="0075298A" w:rsidRDefault="00367AA4" w:rsidP="005C139A">
      <w:pPr>
        <w:spacing w:before="120" w:after="120"/>
        <w:ind w:left="709" w:hanging="709"/>
        <w:jc w:val="both"/>
        <w:rPr>
          <w:rFonts w:ascii="Book Antiqua" w:hAnsi="Book Antiqua"/>
        </w:rPr>
      </w:pPr>
      <w:r w:rsidRPr="00702AA1">
        <w:rPr>
          <w:rFonts w:ascii="Book Antiqua" w:hAnsi="Book Antiqua"/>
        </w:rPr>
        <w:t xml:space="preserve">Kritz, Neil J. 1995. </w:t>
      </w:r>
      <w:r w:rsidRPr="00702AA1">
        <w:rPr>
          <w:rFonts w:ascii="Book Antiqua" w:hAnsi="Book Antiqua"/>
          <w:i/>
          <w:iCs/>
        </w:rPr>
        <w:t xml:space="preserve">Transitional Justice: How Emerging Democracies Reckon with Former Regimes. </w:t>
      </w:r>
      <w:r w:rsidRPr="00702AA1">
        <w:rPr>
          <w:rFonts w:ascii="Book Antiqua" w:hAnsi="Book Antiqua"/>
        </w:rPr>
        <w:t>Washington: United States Institute of Peace.</w:t>
      </w:r>
    </w:p>
    <w:p w14:paraId="63AEF51D" w14:textId="3DC2F1D3" w:rsidR="00367AA4" w:rsidRPr="001D116F" w:rsidRDefault="00E86736" w:rsidP="005C139A">
      <w:pPr>
        <w:spacing w:before="120" w:after="120"/>
        <w:ind w:left="709" w:hanging="709"/>
        <w:jc w:val="both"/>
        <w:rPr>
          <w:rFonts w:ascii="Book Antiqua" w:hAnsi="Book Antiqua" w:cs="Cambria"/>
        </w:rPr>
      </w:pPr>
      <w:r w:rsidRPr="00702AA1">
        <w:rPr>
          <w:rFonts w:ascii="Book Antiqua" w:hAnsi="Book Antiqua"/>
        </w:rPr>
        <w:t>K</w:t>
      </w:r>
      <w:r w:rsidR="00367AA4" w:rsidRPr="001D116F">
        <w:rPr>
          <w:rFonts w:ascii="Book Antiqua" w:hAnsi="Book Antiqua" w:cs="Cambria"/>
        </w:rPr>
        <w:t xml:space="preserve">ritz, Neil and Finci, Jakob. 2001. “A truth and reconciliation commission in Bosnia and Herzegovina: an idea whose time has come.” </w:t>
      </w:r>
      <w:r w:rsidR="00367AA4" w:rsidRPr="001D116F">
        <w:rPr>
          <w:rFonts w:ascii="Book Antiqua" w:hAnsi="Book Antiqua" w:cs="Cambria"/>
          <w:i/>
          <w:iCs/>
        </w:rPr>
        <w:t xml:space="preserve">International Law Forum </w:t>
      </w:r>
      <w:r w:rsidR="00367AA4" w:rsidRPr="001D116F">
        <w:rPr>
          <w:rFonts w:ascii="Book Antiqua" w:hAnsi="Book Antiqua" w:cs="Cambria"/>
        </w:rPr>
        <w:t>3(2001):50-58</w:t>
      </w:r>
      <w:r w:rsidRPr="001D116F">
        <w:rPr>
          <w:rFonts w:ascii="Book Antiqua" w:hAnsi="Book Antiqua" w:cs="Cambria"/>
        </w:rPr>
        <w:t>.</w:t>
      </w:r>
      <w:r w:rsidR="00367AA4" w:rsidRPr="001D116F">
        <w:rPr>
          <w:rFonts w:ascii="Book Antiqua" w:hAnsi="Book Antiqua" w:cs="Cambria"/>
        </w:rPr>
        <w:t xml:space="preserve"> </w:t>
      </w:r>
    </w:p>
    <w:p w14:paraId="49FE5132"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Lai, Daniela. 2016. “Transitional Justice and Its Discontents: Socioeconomic Justice in Bosnia and Herzegovina and the Limits of International Intervention.” </w:t>
      </w:r>
      <w:r w:rsidRPr="00702AA1">
        <w:rPr>
          <w:rFonts w:ascii="Book Antiqua" w:hAnsi="Book Antiqua"/>
          <w:i/>
          <w:iCs/>
        </w:rPr>
        <w:t>Journal of Intervention and Statebuilding</w:t>
      </w:r>
      <w:r w:rsidRPr="00702AA1">
        <w:rPr>
          <w:rFonts w:ascii="Book Antiqua" w:hAnsi="Book Antiqua"/>
        </w:rPr>
        <w:t>, </w:t>
      </w:r>
      <w:r w:rsidRPr="00702AA1">
        <w:rPr>
          <w:rFonts w:ascii="Book Antiqua" w:hAnsi="Book Antiqua"/>
          <w:iCs/>
        </w:rPr>
        <w:t>10</w:t>
      </w:r>
      <w:r w:rsidRPr="00702AA1">
        <w:rPr>
          <w:rFonts w:ascii="Book Antiqua" w:hAnsi="Book Antiqua"/>
        </w:rPr>
        <w:t>(3): 361-381.</w:t>
      </w:r>
    </w:p>
    <w:p w14:paraId="3C7DC813"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Lambourne, Wendy. 2009. “Transitional Justice and Peacebuilding after Mass Violence.” </w:t>
      </w:r>
      <w:r w:rsidRPr="00702AA1">
        <w:rPr>
          <w:rFonts w:ascii="Book Antiqua" w:hAnsi="Book Antiqua"/>
          <w:i/>
          <w:iCs/>
        </w:rPr>
        <w:t xml:space="preserve">International Journal of Transitional Justice </w:t>
      </w:r>
      <w:r w:rsidRPr="00702AA1">
        <w:rPr>
          <w:rFonts w:ascii="Book Antiqua" w:hAnsi="Book Antiqua"/>
        </w:rPr>
        <w:t xml:space="preserve">3(1): 28-48. </w:t>
      </w:r>
    </w:p>
    <w:p w14:paraId="407163BC"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lastRenderedPageBreak/>
        <w:t xml:space="preserve">Lambourne, Wendy. 2014. “Transformative Justice, Reconciliation and Peacebuilding.” In </w:t>
      </w:r>
      <w:r w:rsidRPr="00702AA1">
        <w:rPr>
          <w:rFonts w:ascii="Book Antiqua" w:hAnsi="Book Antiqua"/>
          <w:i/>
          <w:iCs/>
        </w:rPr>
        <w:t>Transitional Justice Theories</w:t>
      </w:r>
      <w:r w:rsidRPr="00702AA1">
        <w:rPr>
          <w:rFonts w:ascii="Book Antiqua" w:hAnsi="Book Antiqua"/>
        </w:rPr>
        <w:t>, edited by Susanne Buckley-Zistel, Teresa Koloma Beck, Christian Braun and Frederike Mieth. London: Routledge.</w:t>
      </w:r>
    </w:p>
    <w:p w14:paraId="590BED2D"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Laplante, Lisa J. 2008. “Transitional Justice and Peace Building: Diagnosing and Addressing the Socioeconomic Roots of Violence through a Human Rights Framework.” </w:t>
      </w:r>
      <w:r w:rsidRPr="00702AA1">
        <w:rPr>
          <w:rFonts w:ascii="Book Antiqua" w:hAnsi="Book Antiqua"/>
          <w:i/>
          <w:iCs/>
        </w:rPr>
        <w:t xml:space="preserve">International Journal of Transitional Justice </w:t>
      </w:r>
      <w:r w:rsidRPr="00702AA1">
        <w:rPr>
          <w:rFonts w:ascii="Book Antiqua" w:hAnsi="Book Antiqua"/>
        </w:rPr>
        <w:t>2(3): 331-55.</w:t>
      </w:r>
    </w:p>
    <w:p w14:paraId="3996B4EF"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Lederach, John Paul. 1997. “Building peace: Sustainable reconciliation in divided societies.” </w:t>
      </w:r>
      <w:r w:rsidRPr="00702AA1">
        <w:rPr>
          <w:rFonts w:ascii="Book Antiqua" w:hAnsi="Book Antiqua"/>
          <w:i/>
          <w:iCs/>
        </w:rPr>
        <w:t>Washington DC</w:t>
      </w:r>
      <w:r w:rsidRPr="00702AA1">
        <w:rPr>
          <w:rFonts w:ascii="Book Antiqua" w:hAnsi="Book Antiqua"/>
        </w:rPr>
        <w:t> 4 (1997).</w:t>
      </w:r>
    </w:p>
    <w:p w14:paraId="65A809A4"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Leonardsson, Hanna, and Gustav Rudd. 2015. “The ‘local turn’ in peacebuilding: a literature review of effective and emancipatory local peacebuilding.” </w:t>
      </w:r>
      <w:r w:rsidRPr="00702AA1">
        <w:rPr>
          <w:rFonts w:ascii="Book Antiqua" w:hAnsi="Book Antiqua"/>
          <w:i/>
          <w:iCs/>
        </w:rPr>
        <w:t>Third World Quarterly</w:t>
      </w:r>
      <w:r w:rsidRPr="00702AA1">
        <w:rPr>
          <w:rFonts w:ascii="Book Antiqua" w:hAnsi="Book Antiqua"/>
        </w:rPr>
        <w:t> 36(5): 825-839.</w:t>
      </w:r>
    </w:p>
    <w:p w14:paraId="7A86CA17"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Kurtovi</w:t>
      </w:r>
      <w:r w:rsidRPr="00702AA1">
        <w:rPr>
          <w:rFonts w:ascii="Book Antiqua" w:hAnsi="Book Antiqua" w:cs="Lucida Grande" w:hint="eastAsia"/>
        </w:rPr>
        <w:t>ć</w:t>
      </w:r>
      <w:r w:rsidRPr="00702AA1">
        <w:rPr>
          <w:rFonts w:ascii="Book Antiqua" w:hAnsi="Book Antiqua"/>
        </w:rPr>
        <w:t xml:space="preserve">, Larisa. 2015. “Who Sows Anger, Reaps Rage’: On Protest, Indignation and Redistributive Justice in Bosnia and Herzegovina.” </w:t>
      </w:r>
      <w:r w:rsidRPr="00702AA1">
        <w:rPr>
          <w:rFonts w:ascii="Book Antiqua" w:hAnsi="Book Antiqua"/>
          <w:i/>
          <w:iCs/>
        </w:rPr>
        <w:t xml:space="preserve">Southeast Europe and Black Sea Studies </w:t>
      </w:r>
      <w:r w:rsidRPr="00702AA1">
        <w:rPr>
          <w:rFonts w:ascii="Book Antiqua" w:hAnsi="Book Antiqua"/>
        </w:rPr>
        <w:t>15(4): 639-659.</w:t>
      </w:r>
    </w:p>
    <w:p w14:paraId="2003DBAE"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Mannergren Selimovi</w:t>
      </w:r>
      <w:r w:rsidRPr="00702AA1">
        <w:rPr>
          <w:rFonts w:ascii="Book Antiqua" w:hAnsi="Book Antiqua" w:cs="Lucida Grande" w:hint="eastAsia"/>
        </w:rPr>
        <w:t>ć</w:t>
      </w:r>
      <w:r w:rsidRPr="00702AA1">
        <w:rPr>
          <w:rFonts w:ascii="Book Antiqua" w:hAnsi="Book Antiqua"/>
        </w:rPr>
        <w:t xml:space="preserve">, Johanna. 2010. “Perpetrators and victims: local responses to the International Criminal Tribunal for the former Yugoslavia.” </w:t>
      </w:r>
      <w:r w:rsidRPr="00702AA1">
        <w:rPr>
          <w:rFonts w:ascii="Book Antiqua" w:hAnsi="Book Antiqua"/>
          <w:i/>
        </w:rPr>
        <w:t>Focaal—Journal of Global and Historical Anthropology</w:t>
      </w:r>
      <w:r w:rsidRPr="00702AA1">
        <w:rPr>
          <w:rFonts w:ascii="Book Antiqua" w:hAnsi="Book Antiqua"/>
        </w:rPr>
        <w:t>, 57(2010): 50-61</w:t>
      </w:r>
      <w:r w:rsidR="005C139A" w:rsidRPr="00702AA1">
        <w:rPr>
          <w:rFonts w:ascii="Book Antiqua" w:hAnsi="Book Antiqua"/>
        </w:rPr>
        <w:t>.</w:t>
      </w:r>
    </w:p>
    <w:p w14:paraId="4F0F577C"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McAuliffe, Padraig. 2017. “Reflections of the nexus between justice and peacebuilding.” </w:t>
      </w:r>
      <w:r w:rsidRPr="00702AA1">
        <w:rPr>
          <w:rFonts w:ascii="Book Antiqua" w:hAnsi="Book Antiqua"/>
          <w:i/>
          <w:iCs/>
        </w:rPr>
        <w:t>Journal of Intervention and Statebuilding</w:t>
      </w:r>
      <w:r w:rsidRPr="00702AA1">
        <w:rPr>
          <w:rFonts w:ascii="Book Antiqua" w:hAnsi="Book Antiqua"/>
        </w:rPr>
        <w:t> (online first): 1-16.</w:t>
      </w:r>
    </w:p>
    <w:p w14:paraId="1A9C0F82" w14:textId="77777777" w:rsidR="00E86736" w:rsidRPr="001D116F" w:rsidRDefault="00367AA4" w:rsidP="005C139A">
      <w:pPr>
        <w:spacing w:before="120" w:after="120"/>
        <w:ind w:left="709" w:hanging="709"/>
        <w:jc w:val="both"/>
        <w:rPr>
          <w:rFonts w:ascii="Book Antiqua" w:hAnsi="Book Antiqua"/>
        </w:rPr>
      </w:pPr>
      <w:r w:rsidRPr="001D116F">
        <w:rPr>
          <w:rFonts w:ascii="Book Antiqua" w:hAnsi="Book Antiqua"/>
        </w:rPr>
        <w:t xml:space="preserve">McEvoy, Kieran. 2008. “Letting go of legalism. Developing a ‘thicker’ version of transitional justice.” In </w:t>
      </w:r>
      <w:r w:rsidRPr="001D116F">
        <w:rPr>
          <w:rFonts w:ascii="Book Antiqua" w:hAnsi="Book Antiqua"/>
          <w:i/>
        </w:rPr>
        <w:t>Transitional justice from below. Grassroots activism and the struggle for change</w:t>
      </w:r>
      <w:r w:rsidRPr="001D116F">
        <w:rPr>
          <w:rFonts w:ascii="Book Antiqua" w:hAnsi="Book Antiqua"/>
        </w:rPr>
        <w:t>, edited by Kieran McEvoy and Lorna McGregor, 15-45. Oxford: Hart Publishing</w:t>
      </w:r>
      <w:r w:rsidR="005C139A" w:rsidRPr="001D116F">
        <w:rPr>
          <w:rFonts w:ascii="Book Antiqua" w:hAnsi="Book Antiqua"/>
        </w:rPr>
        <w:t>.</w:t>
      </w:r>
    </w:p>
    <w:p w14:paraId="700BB16F"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McEvoy, Kieran, and Kirsten McConnachie. “Victimology in transitional justice: Victimhood, innocence and hierarchy.” </w:t>
      </w:r>
      <w:r w:rsidRPr="00702AA1">
        <w:rPr>
          <w:rFonts w:ascii="Book Antiqua" w:hAnsi="Book Antiqua"/>
          <w:i/>
          <w:iCs/>
        </w:rPr>
        <w:t>European Journal of Criminology</w:t>
      </w:r>
      <w:r w:rsidRPr="00702AA1">
        <w:rPr>
          <w:rFonts w:ascii="Book Antiqua" w:hAnsi="Book Antiqua"/>
        </w:rPr>
        <w:t> 9(5): 527-538.</w:t>
      </w:r>
    </w:p>
    <w:p w14:paraId="0BA2ECE8"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McEvoy, Kieran and McGregor, Lorna. 2008. </w:t>
      </w:r>
      <w:r w:rsidRPr="00702AA1">
        <w:rPr>
          <w:rFonts w:ascii="Book Antiqua" w:hAnsi="Book Antiqua"/>
          <w:i/>
        </w:rPr>
        <w:t>Transitional Justice from Below</w:t>
      </w:r>
      <w:r w:rsidR="00E86736" w:rsidRPr="00702AA1">
        <w:rPr>
          <w:rFonts w:ascii="Book Antiqua" w:hAnsi="Book Antiqua"/>
          <w:i/>
        </w:rPr>
        <w:t xml:space="preserve"> </w:t>
      </w:r>
      <w:r w:rsidRPr="00702AA1">
        <w:rPr>
          <w:rFonts w:ascii="Book Antiqua" w:hAnsi="Book Antiqua"/>
          <w:i/>
        </w:rPr>
        <w:t>Grassroots Activism and the Struggle for Change.</w:t>
      </w:r>
      <w:r w:rsidRPr="00702AA1">
        <w:rPr>
          <w:rFonts w:ascii="Book Antiqua" w:hAnsi="Book Antiqua"/>
        </w:rPr>
        <w:t xml:space="preserve"> London: Hart Publishing</w:t>
      </w:r>
      <w:r w:rsidR="005C139A" w:rsidRPr="00702AA1">
        <w:rPr>
          <w:rFonts w:ascii="Book Antiqua" w:hAnsi="Book Antiqua"/>
        </w:rPr>
        <w:t>.</w:t>
      </w:r>
    </w:p>
    <w:p w14:paraId="0467443F"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Nagy, Rosemary. 2008. “Transitional Justice as Global Project: Critical Reflections.” </w:t>
      </w:r>
      <w:r w:rsidRPr="00702AA1">
        <w:rPr>
          <w:rFonts w:ascii="Book Antiqua" w:hAnsi="Book Antiqua"/>
          <w:i/>
          <w:iCs/>
        </w:rPr>
        <w:t>Third World Quarterly</w:t>
      </w:r>
      <w:r w:rsidRPr="00702AA1">
        <w:rPr>
          <w:rFonts w:ascii="Book Antiqua" w:hAnsi="Book Antiqua"/>
        </w:rPr>
        <w:t>, 29(8): 275-289.</w:t>
      </w:r>
    </w:p>
    <w:p w14:paraId="08B1CEB3" w14:textId="77777777" w:rsidR="00526553" w:rsidRPr="00702AA1" w:rsidRDefault="00526553" w:rsidP="005C139A">
      <w:pPr>
        <w:spacing w:before="120" w:after="120"/>
        <w:ind w:left="709" w:hanging="709"/>
        <w:jc w:val="both"/>
        <w:rPr>
          <w:rFonts w:ascii="Book Antiqua" w:hAnsi="Book Antiqua"/>
        </w:rPr>
      </w:pPr>
      <w:r w:rsidRPr="00702AA1">
        <w:rPr>
          <w:rFonts w:ascii="Book Antiqua" w:hAnsi="Book Antiqua"/>
        </w:rPr>
        <w:t xml:space="preserve">Neetelfield, Lara. 2010. </w:t>
      </w:r>
      <w:r w:rsidRPr="00702AA1">
        <w:rPr>
          <w:rFonts w:ascii="Book Antiqua" w:hAnsi="Book Antiqua"/>
          <w:i/>
        </w:rPr>
        <w:t xml:space="preserve">Courting Democracy: The Hague’s Tribunal Impact in a Post-war State. </w:t>
      </w:r>
      <w:r w:rsidRPr="00702AA1">
        <w:rPr>
          <w:rFonts w:ascii="Book Antiqua" w:hAnsi="Book Antiqua"/>
        </w:rPr>
        <w:t>New York and Cambridge: Cambridge University Press.</w:t>
      </w:r>
    </w:p>
    <w:p w14:paraId="28536A24" w14:textId="62E81D94"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Obradovi</w:t>
      </w:r>
      <w:r w:rsidRPr="00702AA1">
        <w:rPr>
          <w:rFonts w:ascii="Book Antiqua" w:hAnsi="Book Antiqua" w:hint="eastAsia"/>
        </w:rPr>
        <w:t>ć</w:t>
      </w:r>
      <w:r w:rsidRPr="00702AA1">
        <w:rPr>
          <w:rFonts w:ascii="Book Antiqua" w:hAnsi="Book Antiqua"/>
        </w:rPr>
        <w:t xml:space="preserve">-Wochnik, Jelena. 2013. “The silent dilemma of transitional justice: Silencing and </w:t>
      </w:r>
      <w:r w:rsidR="00526553" w:rsidRPr="00702AA1">
        <w:rPr>
          <w:rFonts w:ascii="Book Antiqua" w:hAnsi="Book Antiqua"/>
        </w:rPr>
        <w:t>c</w:t>
      </w:r>
      <w:r w:rsidRPr="00702AA1">
        <w:rPr>
          <w:rFonts w:ascii="Book Antiqua" w:hAnsi="Book Antiqua"/>
        </w:rPr>
        <w:t xml:space="preserve">oming to terms with the past in Serbia.” </w:t>
      </w:r>
      <w:r w:rsidRPr="00702AA1">
        <w:rPr>
          <w:rFonts w:ascii="Book Antiqua" w:hAnsi="Book Antiqua"/>
          <w:i/>
        </w:rPr>
        <w:t>The International Journal of Transitional Justice</w:t>
      </w:r>
      <w:r w:rsidRPr="00702AA1">
        <w:rPr>
          <w:rFonts w:ascii="Book Antiqua" w:hAnsi="Book Antiqua"/>
        </w:rPr>
        <w:t>, 7(</w:t>
      </w:r>
      <w:r w:rsidR="00E86654" w:rsidRPr="00702AA1">
        <w:rPr>
          <w:rFonts w:ascii="Book Antiqua" w:hAnsi="Book Antiqua"/>
        </w:rPr>
        <w:t>2</w:t>
      </w:r>
      <w:r w:rsidRPr="00702AA1">
        <w:rPr>
          <w:rFonts w:ascii="Book Antiqua" w:hAnsi="Book Antiqua"/>
        </w:rPr>
        <w:t>):328-347</w:t>
      </w:r>
      <w:r w:rsidR="00E86736" w:rsidRPr="00702AA1">
        <w:rPr>
          <w:rFonts w:ascii="Book Antiqua" w:hAnsi="Book Antiqua"/>
        </w:rPr>
        <w:t>.</w:t>
      </w:r>
    </w:p>
    <w:p w14:paraId="231BBB00" w14:textId="7DC391BA" w:rsidR="00E86736" w:rsidRPr="001D116F" w:rsidRDefault="00367AA4" w:rsidP="005C139A">
      <w:pPr>
        <w:spacing w:before="120" w:after="120"/>
        <w:ind w:left="709" w:hanging="709"/>
        <w:jc w:val="both"/>
        <w:rPr>
          <w:rFonts w:ascii="Book Antiqua" w:hAnsi="Book Antiqua"/>
        </w:rPr>
      </w:pPr>
      <w:r w:rsidRPr="001D116F">
        <w:rPr>
          <w:rFonts w:ascii="Book Antiqua" w:hAnsi="Book Antiqua"/>
        </w:rPr>
        <w:t xml:space="preserve">Oomen, Barbara. 2008. “Donor driven justice and its discontents: The case of Rwanda.” </w:t>
      </w:r>
      <w:r w:rsidRPr="001D116F">
        <w:rPr>
          <w:rFonts w:ascii="Book Antiqua" w:hAnsi="Book Antiqua"/>
          <w:i/>
        </w:rPr>
        <w:t>Development and Change</w:t>
      </w:r>
      <w:r w:rsidRPr="001D116F">
        <w:rPr>
          <w:rFonts w:ascii="Book Antiqua" w:hAnsi="Book Antiqua"/>
        </w:rPr>
        <w:t xml:space="preserve"> 36 (</w:t>
      </w:r>
      <w:r w:rsidR="00835509" w:rsidRPr="001D116F">
        <w:rPr>
          <w:rFonts w:ascii="Book Antiqua" w:hAnsi="Book Antiqua"/>
        </w:rPr>
        <w:t>5</w:t>
      </w:r>
      <w:r w:rsidRPr="001D116F">
        <w:rPr>
          <w:rFonts w:ascii="Book Antiqua" w:hAnsi="Book Antiqua"/>
        </w:rPr>
        <w:t>): 887-910</w:t>
      </w:r>
      <w:r w:rsidR="00E86736" w:rsidRPr="001D116F">
        <w:rPr>
          <w:rFonts w:ascii="Book Antiqua" w:hAnsi="Book Antiqua"/>
        </w:rPr>
        <w:t>.</w:t>
      </w:r>
    </w:p>
    <w:p w14:paraId="79E1B342" w14:textId="77777777" w:rsidR="00E86736" w:rsidRPr="00702AA1" w:rsidRDefault="00367AA4" w:rsidP="005C139A">
      <w:pPr>
        <w:spacing w:before="120" w:after="120"/>
        <w:ind w:left="709" w:hanging="709"/>
        <w:jc w:val="both"/>
        <w:rPr>
          <w:rFonts w:ascii="Book Antiqua" w:hAnsi="Book Antiqua"/>
        </w:rPr>
      </w:pPr>
      <w:r w:rsidRPr="001D116F">
        <w:rPr>
          <w:rFonts w:ascii="Book Antiqua" w:hAnsi="Book Antiqua"/>
        </w:rPr>
        <w:t xml:space="preserve">O’Reilly, Maria. 2016. “Peace and Justice through a feminist lens: Women’s justice and the Women’s Court for the former Yugoslavia.” </w:t>
      </w:r>
      <w:r w:rsidRPr="001D116F">
        <w:rPr>
          <w:rFonts w:ascii="Book Antiqua" w:hAnsi="Book Antiqua"/>
          <w:i/>
        </w:rPr>
        <w:t>Journal of Intervention and Statebuilding</w:t>
      </w:r>
      <w:r w:rsidRPr="001D116F">
        <w:rPr>
          <w:rFonts w:ascii="Book Antiqua" w:hAnsi="Book Antiqua"/>
        </w:rPr>
        <w:t xml:space="preserve">, </w:t>
      </w:r>
      <w:r w:rsidRPr="00702AA1">
        <w:rPr>
          <w:rFonts w:ascii="Book Antiqua" w:hAnsi="Book Antiqua"/>
          <w:iCs/>
        </w:rPr>
        <w:t>10</w:t>
      </w:r>
      <w:r w:rsidRPr="00702AA1">
        <w:rPr>
          <w:rFonts w:ascii="Book Antiqua" w:hAnsi="Book Antiqua"/>
        </w:rPr>
        <w:t>(3): 419-445</w:t>
      </w:r>
      <w:r w:rsidR="00E86736" w:rsidRPr="00702AA1">
        <w:rPr>
          <w:rFonts w:ascii="Book Antiqua" w:hAnsi="Book Antiqua"/>
        </w:rPr>
        <w:t>.</w:t>
      </w:r>
    </w:p>
    <w:p w14:paraId="71E93F7F" w14:textId="3CCE3A91" w:rsidR="001D2917" w:rsidRPr="00702AA1" w:rsidRDefault="001D2917" w:rsidP="005C139A">
      <w:pPr>
        <w:spacing w:before="120" w:after="120"/>
        <w:ind w:left="709" w:hanging="709"/>
        <w:jc w:val="both"/>
        <w:rPr>
          <w:rFonts w:ascii="Book Antiqua" w:hAnsi="Book Antiqua"/>
        </w:rPr>
      </w:pPr>
      <w:r w:rsidRPr="00702AA1">
        <w:rPr>
          <w:rFonts w:ascii="Book Antiqua" w:hAnsi="Book Antiqua"/>
        </w:rPr>
        <w:t>Pepi</w:t>
      </w:r>
      <w:r w:rsidRPr="00702AA1">
        <w:rPr>
          <w:rFonts w:ascii="Book Antiqua" w:hAnsi="Book Antiqua" w:hint="eastAsia"/>
        </w:rPr>
        <w:t>ć</w:t>
      </w:r>
      <w:r w:rsidRPr="00702AA1">
        <w:rPr>
          <w:rFonts w:ascii="Book Antiqua" w:hAnsi="Book Antiqua"/>
        </w:rPr>
        <w:t xml:space="preserve">, Andjela. 2015. </w:t>
      </w:r>
      <w:r w:rsidR="00F52881" w:rsidRPr="00702AA1">
        <w:rPr>
          <w:rFonts w:ascii="Book Antiqua" w:hAnsi="Book Antiqua"/>
        </w:rPr>
        <w:t>“</w:t>
      </w:r>
      <w:r w:rsidRPr="001D116F">
        <w:rPr>
          <w:rFonts w:ascii="Book Antiqua" w:hAnsi="Book Antiqua"/>
        </w:rPr>
        <w:t>Reclaiming the Factory: A Story from Bosnia</w:t>
      </w:r>
      <w:r w:rsidR="00F52881" w:rsidRPr="00702AA1">
        <w:rPr>
          <w:rFonts w:ascii="Book Antiqua" w:hAnsi="Book Antiqua"/>
        </w:rPr>
        <w:t>”,</w:t>
      </w:r>
      <w:r w:rsidRPr="00702AA1">
        <w:rPr>
          <w:rFonts w:ascii="Book Antiqua" w:hAnsi="Book Antiqua"/>
        </w:rPr>
        <w:t xml:space="preserve"> Open Democracy, at &lt;https://www.opendemocracy.net/can-europe-make-it/andjela-pepic/reclaiming-factory-story-from-bosnia&gt;, last accessed 1 August 2017.</w:t>
      </w:r>
    </w:p>
    <w:p w14:paraId="1AAE88A1" w14:textId="59330747" w:rsidR="00A70CC7" w:rsidRPr="00702AA1" w:rsidRDefault="00A70CC7" w:rsidP="005C139A">
      <w:pPr>
        <w:spacing w:before="120" w:after="120"/>
        <w:ind w:left="709" w:hanging="709"/>
        <w:jc w:val="both"/>
        <w:rPr>
          <w:rFonts w:ascii="Book Antiqua" w:hAnsi="Book Antiqua"/>
        </w:rPr>
      </w:pPr>
      <w:r w:rsidRPr="00702AA1">
        <w:rPr>
          <w:rFonts w:ascii="Book Antiqua" w:hAnsi="Book Antiqua"/>
        </w:rPr>
        <w:t>Pickerill, Jenny.</w:t>
      </w:r>
      <w:r w:rsidR="000062E4" w:rsidRPr="00702AA1">
        <w:rPr>
          <w:rFonts w:ascii="Book Antiqua" w:hAnsi="Book Antiqua"/>
        </w:rPr>
        <w:t xml:space="preserve"> 2012. “Why Does Occupy Matter?</w:t>
      </w:r>
      <w:r w:rsidRPr="00702AA1">
        <w:rPr>
          <w:rFonts w:ascii="Book Antiqua" w:hAnsi="Book Antiqua"/>
        </w:rPr>
        <w:t xml:space="preserve">” </w:t>
      </w:r>
      <w:r w:rsidRPr="00702AA1">
        <w:rPr>
          <w:rFonts w:ascii="Book Antiqua" w:hAnsi="Book Antiqua"/>
          <w:i/>
        </w:rPr>
        <w:t>Social Movement Studies 11(3-4)</w:t>
      </w:r>
      <w:r w:rsidRPr="00702AA1">
        <w:rPr>
          <w:rFonts w:ascii="Book Antiqua" w:hAnsi="Book Antiqua"/>
        </w:rPr>
        <w:t>: 279-287.</w:t>
      </w:r>
    </w:p>
    <w:p w14:paraId="01F8A7E8" w14:textId="77777777" w:rsidR="009A0DED" w:rsidRDefault="009A0DED" w:rsidP="005C139A">
      <w:pPr>
        <w:spacing w:before="120" w:after="120"/>
        <w:ind w:left="709" w:hanging="709"/>
        <w:jc w:val="both"/>
        <w:rPr>
          <w:rFonts w:ascii="Book Antiqua" w:hAnsi="Book Antiqua"/>
        </w:rPr>
      </w:pPr>
      <w:r>
        <w:rPr>
          <w:rFonts w:ascii="Book Antiqua" w:hAnsi="Book Antiqua"/>
        </w:rPr>
        <w:t>Plenum Zenica (2016). Bulletin (</w:t>
      </w:r>
      <w:r>
        <w:rPr>
          <w:rFonts w:ascii="Book Antiqua" w:hAnsi="Book Antiqua"/>
          <w:i/>
        </w:rPr>
        <w:t xml:space="preserve">Bilten) </w:t>
      </w:r>
      <w:r>
        <w:rPr>
          <w:rFonts w:ascii="Book Antiqua" w:hAnsi="Book Antiqua"/>
        </w:rPr>
        <w:t xml:space="preserve">No 1, on file with the authors. </w:t>
      </w:r>
    </w:p>
    <w:p w14:paraId="62A6D705" w14:textId="26ED8AF5"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lastRenderedPageBreak/>
        <w:t xml:space="preserve">Pugh, Michael and Neil Cooper. 2004. </w:t>
      </w:r>
      <w:r w:rsidRPr="00702AA1">
        <w:rPr>
          <w:rFonts w:ascii="Book Antiqua" w:hAnsi="Book Antiqua"/>
          <w:i/>
          <w:iCs/>
        </w:rPr>
        <w:t xml:space="preserve">War Economies in a Regional Context: Challenges of Transformation. </w:t>
      </w:r>
      <w:r w:rsidRPr="00702AA1">
        <w:rPr>
          <w:rFonts w:ascii="Book Antiqua" w:hAnsi="Book Antiqua"/>
        </w:rPr>
        <w:t>Boulder, London: Lynne Rienner Publishers.</w:t>
      </w:r>
    </w:p>
    <w:p w14:paraId="3593D852"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Rajagopal, Balakrishnan. 2003. </w:t>
      </w:r>
      <w:r w:rsidRPr="00702AA1">
        <w:rPr>
          <w:rFonts w:ascii="Book Antiqua" w:hAnsi="Book Antiqua"/>
          <w:i/>
        </w:rPr>
        <w:t>International Law from Below: Development, Social Movements and Third World Resistance</w:t>
      </w:r>
      <w:r w:rsidRPr="00702AA1">
        <w:rPr>
          <w:rFonts w:ascii="Book Antiqua" w:hAnsi="Book Antiqua"/>
        </w:rPr>
        <w:t>, Cambridge University Press.</w:t>
      </w:r>
    </w:p>
    <w:p w14:paraId="75060BC3" w14:textId="353607B1" w:rsidR="00652C8D" w:rsidRPr="00702AA1" w:rsidRDefault="00652C8D" w:rsidP="005C139A">
      <w:pPr>
        <w:spacing w:before="120" w:after="120"/>
        <w:ind w:left="709" w:hanging="709"/>
        <w:jc w:val="both"/>
        <w:rPr>
          <w:rFonts w:ascii="Book Antiqua" w:hAnsi="Book Antiqua"/>
        </w:rPr>
      </w:pPr>
      <w:r w:rsidRPr="00702AA1">
        <w:rPr>
          <w:rFonts w:ascii="Book Antiqua" w:hAnsi="Book Antiqua"/>
        </w:rPr>
        <w:t>RECOM. 2011</w:t>
      </w:r>
      <w:r w:rsidR="00793CC6">
        <w:rPr>
          <w:rFonts w:ascii="Book Antiqua" w:hAnsi="Book Antiqua"/>
        </w:rPr>
        <w:t>a</w:t>
      </w:r>
      <w:r w:rsidRPr="00702AA1">
        <w:rPr>
          <w:rFonts w:ascii="Book Antiqua" w:hAnsi="Book Antiqua"/>
        </w:rPr>
        <w:t>. “The Statute Proposal of the Regional Commission for Establishing the Facts about War Crimes and Other Gross Violations of Human Rights Committed on the Territory of the Former Yugoslavia.”</w:t>
      </w:r>
      <w:r w:rsidR="00565CC0" w:rsidRPr="00702AA1">
        <w:rPr>
          <w:rFonts w:ascii="Book Antiqua" w:hAnsi="Book Antiqua"/>
        </w:rPr>
        <w:t xml:space="preserve"> RECOM, at</w:t>
      </w:r>
      <w:r w:rsidR="00565CC0" w:rsidRPr="00702AA1">
        <w:t xml:space="preserve"> </w:t>
      </w:r>
      <w:r w:rsidR="0064238E" w:rsidRPr="00702AA1">
        <w:t>&lt;</w:t>
      </w:r>
      <w:hyperlink r:id="rId8" w:history="1">
        <w:r w:rsidR="00565CC0" w:rsidRPr="00702AA1">
          <w:rPr>
            <w:rStyle w:val="Hyperlink"/>
            <w:rFonts w:ascii="Book Antiqua" w:hAnsi="Book Antiqua"/>
          </w:rPr>
          <w:t>http://recom.link/wp-content/uploads/2012/01/Proposed-Statute.pdf</w:t>
        </w:r>
      </w:hyperlink>
      <w:r w:rsidR="0064238E" w:rsidRPr="00702AA1">
        <w:rPr>
          <w:rFonts w:ascii="Book Antiqua" w:hAnsi="Book Antiqua"/>
        </w:rPr>
        <w:t>&gt;</w:t>
      </w:r>
      <w:r w:rsidR="00565CC0" w:rsidRPr="00702AA1">
        <w:rPr>
          <w:rFonts w:ascii="Book Antiqua" w:hAnsi="Book Antiqua"/>
        </w:rPr>
        <w:t xml:space="preserve">, last accessed September 30, 2017. </w:t>
      </w:r>
    </w:p>
    <w:p w14:paraId="2DAED8CE" w14:textId="011CD222" w:rsidR="00793CC6" w:rsidRDefault="00793CC6" w:rsidP="005C139A">
      <w:pPr>
        <w:spacing w:before="120" w:after="120"/>
        <w:ind w:left="709" w:hanging="709"/>
        <w:jc w:val="both"/>
        <w:rPr>
          <w:rFonts w:ascii="Book Antiqua" w:hAnsi="Book Antiqua" w:cs="Times New Roman"/>
        </w:rPr>
      </w:pPr>
      <w:r>
        <w:rPr>
          <w:rFonts w:ascii="Book Antiqua" w:hAnsi="Book Antiqua"/>
        </w:rPr>
        <w:t>RECOM 2011b. RECOM Budget, 2011, retrieved at &lt;</w:t>
      </w:r>
      <w:r w:rsidRPr="001D116F">
        <w:rPr>
          <w:rFonts w:ascii="Book Antiqua" w:hAnsi="Book Antiqua" w:cs="Times New Roman"/>
        </w:rPr>
        <w:t>http://www.zarekom.org/documents/Financial-Report.en.html</w:t>
      </w:r>
      <w:r>
        <w:rPr>
          <w:rFonts w:ascii="Book Antiqua" w:hAnsi="Book Antiqua" w:cs="Times New Roman"/>
        </w:rPr>
        <w:t xml:space="preserve">&gt; on </w:t>
      </w:r>
      <w:r w:rsidRPr="00241DCA">
        <w:rPr>
          <w:rFonts w:ascii="Book Antiqua" w:hAnsi="Book Antiqua" w:cs="Times New Roman"/>
        </w:rPr>
        <w:t>February 9, 2015</w:t>
      </w:r>
      <w:r>
        <w:rPr>
          <w:rFonts w:ascii="Book Antiqua" w:hAnsi="Book Antiqua" w:cs="Times New Roman"/>
        </w:rPr>
        <w:t xml:space="preserve">, now on file with the authors. </w:t>
      </w:r>
    </w:p>
    <w:p w14:paraId="15B8882F" w14:textId="1C057F21" w:rsidR="00AE7E42" w:rsidRPr="00702AA1" w:rsidRDefault="00AE7E42" w:rsidP="005C139A">
      <w:pPr>
        <w:spacing w:before="120" w:after="120"/>
        <w:ind w:left="709" w:hanging="709"/>
        <w:jc w:val="both"/>
        <w:rPr>
          <w:rFonts w:ascii="Book Antiqua" w:hAnsi="Book Antiqua"/>
        </w:rPr>
      </w:pPr>
      <w:r w:rsidRPr="00702AA1">
        <w:rPr>
          <w:rFonts w:ascii="Book Antiqua" w:hAnsi="Book Antiqua"/>
        </w:rPr>
        <w:t>RECOM. 2017. “Prikupljeno 50</w:t>
      </w:r>
      <w:r w:rsidR="00691ED3" w:rsidRPr="00702AA1">
        <w:rPr>
          <w:rFonts w:ascii="Book Antiqua" w:hAnsi="Book Antiqua"/>
        </w:rPr>
        <w:t>.</w:t>
      </w:r>
      <w:r w:rsidR="00761E03" w:rsidRPr="00702AA1">
        <w:rPr>
          <w:rFonts w:ascii="Book Antiqua" w:hAnsi="Book Antiqua"/>
        </w:rPr>
        <w:t>361 potpisa podrš</w:t>
      </w:r>
      <w:r w:rsidRPr="00702AA1">
        <w:rPr>
          <w:rFonts w:ascii="Book Antiqua" w:hAnsi="Book Antiqua"/>
        </w:rPr>
        <w:t>ke da se REKOM osn</w:t>
      </w:r>
      <w:r w:rsidR="00691ED3" w:rsidRPr="00702AA1">
        <w:rPr>
          <w:rFonts w:ascii="Book Antiqua" w:hAnsi="Book Antiqua"/>
        </w:rPr>
        <w:t>uje u okviru berlinskog procesa</w:t>
      </w:r>
      <w:r w:rsidRPr="00702AA1">
        <w:rPr>
          <w:rFonts w:ascii="Book Antiqua" w:hAnsi="Book Antiqua"/>
        </w:rPr>
        <w:t>”</w:t>
      </w:r>
      <w:r w:rsidR="002B24F0" w:rsidRPr="00702AA1">
        <w:rPr>
          <w:rFonts w:ascii="Book Antiqua" w:hAnsi="Book Antiqua"/>
        </w:rPr>
        <w:t xml:space="preserve"> </w:t>
      </w:r>
      <w:r w:rsidR="00691ED3" w:rsidRPr="00702AA1">
        <w:rPr>
          <w:rFonts w:ascii="Book Antiqua" w:hAnsi="Book Antiqua"/>
        </w:rPr>
        <w:t>(50.361</w:t>
      </w:r>
      <w:r w:rsidR="002B24F0" w:rsidRPr="00702AA1">
        <w:rPr>
          <w:rFonts w:ascii="Book Antiqua" w:hAnsi="Book Antiqua"/>
        </w:rPr>
        <w:t xml:space="preserve"> </w:t>
      </w:r>
      <w:r w:rsidR="00691ED3" w:rsidRPr="00702AA1">
        <w:rPr>
          <w:rFonts w:ascii="Book Antiqua" w:hAnsi="Book Antiqua"/>
        </w:rPr>
        <w:t xml:space="preserve">signatures collected in support of the </w:t>
      </w:r>
      <w:r w:rsidR="00761E03" w:rsidRPr="00702AA1">
        <w:rPr>
          <w:rFonts w:ascii="Book Antiqua" w:hAnsi="Book Antiqua"/>
        </w:rPr>
        <w:t>establishment</w:t>
      </w:r>
      <w:r w:rsidR="00691ED3" w:rsidRPr="00702AA1">
        <w:rPr>
          <w:rFonts w:ascii="Book Antiqua" w:hAnsi="Book Antiqua"/>
        </w:rPr>
        <w:t xml:space="preserve"> of RECOM in the framework of the Berlin process). </w:t>
      </w:r>
      <w:r w:rsidR="002B24F0" w:rsidRPr="00702AA1">
        <w:rPr>
          <w:rFonts w:ascii="Book Antiqua" w:hAnsi="Book Antiqua"/>
        </w:rPr>
        <w:t>RECOM</w:t>
      </w:r>
      <w:r w:rsidR="006F39CB" w:rsidRPr="00702AA1">
        <w:rPr>
          <w:rFonts w:ascii="Book Antiqua" w:hAnsi="Book Antiqua"/>
        </w:rPr>
        <w:t>,</w:t>
      </w:r>
      <w:r w:rsidRPr="00702AA1">
        <w:rPr>
          <w:rFonts w:ascii="Book Antiqua" w:hAnsi="Book Antiqua"/>
        </w:rPr>
        <w:t xml:space="preserve"> at </w:t>
      </w:r>
      <w:r w:rsidR="0064238E" w:rsidRPr="00702AA1">
        <w:rPr>
          <w:rFonts w:ascii="Book Antiqua" w:hAnsi="Book Antiqua"/>
        </w:rPr>
        <w:t>&lt;</w:t>
      </w:r>
      <w:r w:rsidRPr="001D116F">
        <w:rPr>
          <w:rFonts w:ascii="Book Antiqua" w:hAnsi="Book Antiqua"/>
          <w:sz w:val="24"/>
          <w:szCs w:val="24"/>
        </w:rPr>
        <w:t>http://recom.link/sr/prikupljeno-50-361-potpis-podrske-da-se-rekom-osnuje-u-okviru-berlinskog-procesa/</w:t>
      </w:r>
      <w:r w:rsidR="0064238E" w:rsidRPr="00702AA1">
        <w:rPr>
          <w:rStyle w:val="Hyperlink"/>
          <w:rFonts w:ascii="Book Antiqua" w:hAnsi="Book Antiqua"/>
          <w:sz w:val="24"/>
          <w:szCs w:val="24"/>
        </w:rPr>
        <w:t>&gt;</w:t>
      </w:r>
      <w:r w:rsidRPr="001D116F">
        <w:rPr>
          <w:rStyle w:val="Hyperlink"/>
          <w:rFonts w:ascii="Book Antiqua" w:hAnsi="Book Antiqua"/>
          <w:sz w:val="24"/>
          <w:szCs w:val="24"/>
        </w:rPr>
        <w:t>, last accessed September 30, 2017.</w:t>
      </w:r>
      <w:r w:rsidRPr="00702AA1">
        <w:rPr>
          <w:rStyle w:val="Hyperlink"/>
          <w:rFonts w:ascii="Book Antiqua" w:hAnsi="Book Antiqua"/>
          <w:sz w:val="20"/>
          <w:szCs w:val="20"/>
        </w:rPr>
        <w:t xml:space="preserve"> </w:t>
      </w:r>
    </w:p>
    <w:p w14:paraId="03DEA526" w14:textId="77777777" w:rsidR="00E86736" w:rsidRPr="001D116F" w:rsidRDefault="00367AA4" w:rsidP="005C139A">
      <w:pPr>
        <w:spacing w:before="120" w:after="120"/>
        <w:ind w:left="709" w:hanging="709"/>
        <w:jc w:val="both"/>
        <w:rPr>
          <w:rFonts w:ascii="Book Antiqua" w:hAnsi="Book Antiqua"/>
        </w:rPr>
      </w:pPr>
      <w:r w:rsidRPr="001D116F">
        <w:rPr>
          <w:rFonts w:ascii="Book Antiqua" w:hAnsi="Book Antiqua"/>
        </w:rPr>
        <w:t xml:space="preserve">Ross, Fiona. 2003. “Using rights to measure wrongs: a case study of method and morals in the case of the South African Truth and Reconciliation Commission.” In </w:t>
      </w:r>
      <w:r w:rsidRPr="001D116F">
        <w:rPr>
          <w:rFonts w:ascii="Book Antiqua" w:hAnsi="Book Antiqua"/>
          <w:i/>
        </w:rPr>
        <w:t xml:space="preserve">Human rights in global perspective. Anthropological studies of rights, claims and entitlements, </w:t>
      </w:r>
      <w:r w:rsidRPr="001D116F">
        <w:rPr>
          <w:rFonts w:ascii="Book Antiqua" w:hAnsi="Book Antiqua"/>
        </w:rPr>
        <w:t>edited by Richard Wilson and Jon P. Mitchell, 141-163. London: Routledge</w:t>
      </w:r>
      <w:r w:rsidR="00E86736" w:rsidRPr="001D116F">
        <w:rPr>
          <w:rFonts w:ascii="Book Antiqua" w:hAnsi="Book Antiqua"/>
        </w:rPr>
        <w:t>.</w:t>
      </w:r>
    </w:p>
    <w:p w14:paraId="0F7250BD"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Sharp, Dustin N. 2015. “Emancipating Transitional Justice from the Bonds of the Paradigmatic Transition.” </w:t>
      </w:r>
      <w:r w:rsidRPr="00702AA1">
        <w:rPr>
          <w:rFonts w:ascii="Book Antiqua" w:hAnsi="Book Antiqua"/>
          <w:i/>
          <w:iCs/>
        </w:rPr>
        <w:t xml:space="preserve">International Journal of Transitional Justice </w:t>
      </w:r>
      <w:r w:rsidRPr="00702AA1">
        <w:rPr>
          <w:rFonts w:ascii="Book Antiqua" w:hAnsi="Book Antiqua"/>
        </w:rPr>
        <w:t>9(1): 150-169.</w:t>
      </w:r>
    </w:p>
    <w:p w14:paraId="2F902366"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Sharp, Dustin. N. 2012. “Addressing Economic Violence in Times of Transition: Toward a Positive-Peace Paradigm for Transitional Justice.” </w:t>
      </w:r>
      <w:r w:rsidRPr="00702AA1">
        <w:rPr>
          <w:rFonts w:ascii="Book Antiqua" w:hAnsi="Book Antiqua"/>
          <w:i/>
          <w:iCs/>
        </w:rPr>
        <w:t>Fordham International Law Journal</w:t>
      </w:r>
      <w:r w:rsidRPr="00702AA1">
        <w:rPr>
          <w:rFonts w:ascii="Book Antiqua" w:hAnsi="Book Antiqua"/>
        </w:rPr>
        <w:t xml:space="preserve">, </w:t>
      </w:r>
      <w:r w:rsidRPr="00702AA1">
        <w:rPr>
          <w:rFonts w:ascii="Book Antiqua" w:hAnsi="Book Antiqua"/>
          <w:i/>
          <w:iCs/>
        </w:rPr>
        <w:t>35</w:t>
      </w:r>
      <w:r w:rsidRPr="00702AA1">
        <w:rPr>
          <w:rFonts w:ascii="Book Antiqua" w:hAnsi="Book Antiqua"/>
        </w:rPr>
        <w:t>(3): 780.</w:t>
      </w:r>
    </w:p>
    <w:p w14:paraId="47AAD77F"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Shaw, Rosalind and Waldorf, Lars. 2010. </w:t>
      </w:r>
      <w:r w:rsidRPr="00702AA1">
        <w:rPr>
          <w:rFonts w:ascii="Book Antiqua" w:hAnsi="Book Antiqua"/>
          <w:i/>
        </w:rPr>
        <w:t>Localizing transitional justice. Interventions and priorities after mass violence</w:t>
      </w:r>
      <w:r w:rsidRPr="00702AA1">
        <w:rPr>
          <w:rFonts w:ascii="Book Antiqua" w:hAnsi="Book Antiqua"/>
        </w:rPr>
        <w:t>. Stanford: Stanford University Press</w:t>
      </w:r>
      <w:r w:rsidR="00E86736" w:rsidRPr="00702AA1">
        <w:rPr>
          <w:rFonts w:ascii="Book Antiqua" w:hAnsi="Book Antiqua"/>
        </w:rPr>
        <w:t>.</w:t>
      </w:r>
    </w:p>
    <w:p w14:paraId="0019FC02" w14:textId="2DECBD2C" w:rsidR="00E86736" w:rsidRPr="009A0DED" w:rsidRDefault="00367AA4" w:rsidP="005C139A">
      <w:pPr>
        <w:spacing w:before="120" w:after="120"/>
        <w:ind w:left="709" w:hanging="709"/>
        <w:jc w:val="both"/>
        <w:rPr>
          <w:rFonts w:ascii="Book Antiqua" w:hAnsi="Book Antiqua"/>
        </w:rPr>
      </w:pPr>
      <w:r w:rsidRPr="0054271D">
        <w:rPr>
          <w:rFonts w:ascii="Book Antiqua" w:hAnsi="Book Antiqua"/>
          <w:lang w:val="it-IT"/>
        </w:rPr>
        <w:t xml:space="preserve">Sicurella, Federico G. 2016. “Usurpatori o Portavoci? La Mancata Alleanza tra Intellettuali Pubblici e Movimenti di Protesta in Bosnia-Erzegovina nel 2014.” </w:t>
      </w:r>
      <w:r w:rsidR="008505AB">
        <w:rPr>
          <w:rFonts w:ascii="Book Antiqua" w:hAnsi="Book Antiqua"/>
          <w:lang w:val="it-IT"/>
        </w:rPr>
        <w:t xml:space="preserve">In </w:t>
      </w:r>
      <w:r w:rsidR="008505AB" w:rsidRPr="001D116F">
        <w:rPr>
          <w:rFonts w:ascii="Book Antiqua" w:hAnsi="Book Antiqua"/>
          <w:i/>
          <w:lang w:val="it-IT"/>
        </w:rPr>
        <w:t>A venti anni dagli accordi di Dayton</w:t>
      </w:r>
      <w:r w:rsidR="008505AB" w:rsidRPr="008505AB">
        <w:rPr>
          <w:rFonts w:ascii="Book Antiqua" w:hAnsi="Book Antiqua"/>
          <w:i/>
          <w:lang w:val="it-IT"/>
        </w:rPr>
        <w:t xml:space="preserve">, </w:t>
      </w:r>
      <w:r w:rsidR="008505AB">
        <w:rPr>
          <w:rFonts w:ascii="Book Antiqua" w:hAnsi="Book Antiqua"/>
          <w:lang w:val="it-IT"/>
        </w:rPr>
        <w:t>edited by Giuseppe Motta.</w:t>
      </w:r>
      <w:r w:rsidR="008505AB">
        <w:rPr>
          <w:rFonts w:ascii="Book Antiqua" w:hAnsi="Book Antiqua"/>
          <w:i/>
          <w:lang w:val="it-IT"/>
        </w:rPr>
        <w:t xml:space="preserve"> </w:t>
      </w:r>
      <w:r w:rsidR="008505AB" w:rsidRPr="001D116F">
        <w:rPr>
          <w:rFonts w:ascii="Book Antiqua" w:hAnsi="Book Antiqua"/>
        </w:rPr>
        <w:t>Rome: Aracne Editrice, 201-217.</w:t>
      </w:r>
    </w:p>
    <w:p w14:paraId="7FE5762B" w14:textId="77777777" w:rsidR="00E86736" w:rsidRPr="00702AA1" w:rsidRDefault="00E86736" w:rsidP="005C139A">
      <w:pPr>
        <w:spacing w:before="120" w:after="120"/>
        <w:ind w:left="709" w:hanging="709"/>
        <w:jc w:val="both"/>
        <w:rPr>
          <w:rFonts w:ascii="Book Antiqua" w:hAnsi="Book Antiqua"/>
        </w:rPr>
      </w:pPr>
      <w:r w:rsidRPr="00702AA1">
        <w:rPr>
          <w:rFonts w:ascii="Book Antiqua" w:hAnsi="Book Antiqua"/>
        </w:rPr>
        <w:t>S</w:t>
      </w:r>
      <w:r w:rsidR="00367AA4" w:rsidRPr="00702AA1">
        <w:rPr>
          <w:rFonts w:ascii="Book Antiqua" w:hAnsi="Book Antiqua"/>
        </w:rPr>
        <w:t xml:space="preserve">tark, David and Bruszt, Laszlo. 1998. </w:t>
      </w:r>
      <w:r w:rsidR="00367AA4" w:rsidRPr="00702AA1">
        <w:rPr>
          <w:rFonts w:ascii="Book Antiqua" w:hAnsi="Book Antiqua"/>
          <w:i/>
          <w:iCs/>
        </w:rPr>
        <w:t>Postsocialist pathways: Transforming politics and property in East Central Europe</w:t>
      </w:r>
      <w:r w:rsidR="00367AA4" w:rsidRPr="00702AA1">
        <w:rPr>
          <w:rFonts w:ascii="Book Antiqua" w:hAnsi="Book Antiqua"/>
        </w:rPr>
        <w:t>. Cambridge University Press.</w:t>
      </w:r>
    </w:p>
    <w:p w14:paraId="20F35E97"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Steffeck, Jens and Hahn, Kristina. 2010.</w:t>
      </w:r>
      <w:r w:rsidRPr="00702AA1">
        <w:rPr>
          <w:rFonts w:ascii="Book Antiqua" w:hAnsi="Book Antiqua"/>
          <w:i/>
        </w:rPr>
        <w:t xml:space="preserve"> Evaluating transnational NGOs</w:t>
      </w:r>
      <w:r w:rsidRPr="00702AA1">
        <w:rPr>
          <w:rFonts w:ascii="Book Antiqua" w:hAnsi="Book Antiqua"/>
        </w:rPr>
        <w:t>, edited by Jens Steffeck and Kristina Hahn. London: Palgrave McMillan, 2010</w:t>
      </w:r>
      <w:r w:rsidR="00E86736" w:rsidRPr="00702AA1">
        <w:rPr>
          <w:rFonts w:ascii="Book Antiqua" w:hAnsi="Book Antiqua"/>
        </w:rPr>
        <w:t>.</w:t>
      </w:r>
    </w:p>
    <w:p w14:paraId="338077A3" w14:textId="77777777"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Strazzari Francesco. 2003. “Between Ethnic Collision and Mafia Collusion: The “Balkan Route” to State-Making”, in </w:t>
      </w:r>
      <w:r w:rsidRPr="00702AA1">
        <w:rPr>
          <w:rFonts w:ascii="Book Antiqua" w:hAnsi="Book Antiqua"/>
          <w:i/>
          <w:iCs/>
        </w:rPr>
        <w:t xml:space="preserve">Shadow Globalization, Ethnic Conflicts and New Wars, </w:t>
      </w:r>
      <w:r w:rsidRPr="00702AA1">
        <w:rPr>
          <w:rFonts w:ascii="Book Antiqua" w:hAnsi="Book Antiqua"/>
        </w:rPr>
        <w:t>edited by Dietrich Jung, London and New York: Routledge, 140-162.</w:t>
      </w:r>
    </w:p>
    <w:p w14:paraId="627A6534" w14:textId="77777777" w:rsidR="00526553" w:rsidRPr="001D116F" w:rsidRDefault="00367AA4" w:rsidP="005C139A">
      <w:pPr>
        <w:spacing w:before="120" w:after="120"/>
        <w:ind w:left="709" w:hanging="709"/>
        <w:jc w:val="both"/>
        <w:rPr>
          <w:rFonts w:ascii="Book Antiqua" w:hAnsi="Book Antiqua"/>
        </w:rPr>
      </w:pPr>
      <w:r w:rsidRPr="001D116F">
        <w:rPr>
          <w:rFonts w:ascii="Book Antiqua" w:hAnsi="Book Antiqua"/>
        </w:rPr>
        <w:t>Suboti</w:t>
      </w:r>
      <w:r w:rsidRPr="001D116F">
        <w:rPr>
          <w:rFonts w:ascii="Book Antiqua" w:hAnsi="Book Antiqua" w:cs="Times New Roman" w:hint="eastAsia"/>
        </w:rPr>
        <w:t>ć</w:t>
      </w:r>
      <w:r w:rsidRPr="001D116F">
        <w:rPr>
          <w:rFonts w:ascii="Book Antiqua" w:hAnsi="Book Antiqua"/>
        </w:rPr>
        <w:t xml:space="preserve">, Jelena. 2009. </w:t>
      </w:r>
      <w:r w:rsidRPr="001D116F">
        <w:rPr>
          <w:rFonts w:ascii="Book Antiqua" w:hAnsi="Book Antiqua"/>
          <w:i/>
        </w:rPr>
        <w:t>Hijacked Justice: Dealing with the past in the Balkans</w:t>
      </w:r>
      <w:r w:rsidRPr="001D116F">
        <w:rPr>
          <w:rFonts w:ascii="Book Antiqua" w:hAnsi="Book Antiqua"/>
        </w:rPr>
        <w:t>. Ithaca, N.Y.: Cornell University Press</w:t>
      </w:r>
      <w:r w:rsidR="00E86736" w:rsidRPr="001D116F">
        <w:rPr>
          <w:rFonts w:ascii="Book Antiqua" w:hAnsi="Book Antiqua"/>
        </w:rPr>
        <w:t>.</w:t>
      </w:r>
    </w:p>
    <w:p w14:paraId="0C89768D" w14:textId="52BA7A0A" w:rsidR="00E86736" w:rsidRPr="001D116F" w:rsidRDefault="00367AA4" w:rsidP="005C139A">
      <w:pPr>
        <w:spacing w:before="120" w:after="120"/>
        <w:ind w:left="709" w:hanging="709"/>
        <w:jc w:val="both"/>
        <w:rPr>
          <w:rFonts w:ascii="Book Antiqua" w:hAnsi="Book Antiqua" w:cs="Times"/>
        </w:rPr>
      </w:pPr>
      <w:r w:rsidRPr="001D116F">
        <w:rPr>
          <w:rFonts w:ascii="Book Antiqua" w:hAnsi="Book Antiqua"/>
        </w:rPr>
        <w:t>Suboti</w:t>
      </w:r>
      <w:r w:rsidRPr="001D116F">
        <w:rPr>
          <w:rFonts w:ascii="Book Antiqua" w:hAnsi="Book Antiqua" w:cs="Lucida Grande" w:hint="eastAsia"/>
        </w:rPr>
        <w:t>ć</w:t>
      </w:r>
      <w:r w:rsidR="00526553" w:rsidRPr="001D116F">
        <w:rPr>
          <w:rFonts w:ascii="Book Antiqua" w:hAnsi="Book Antiqua"/>
        </w:rPr>
        <w:t>, Jelena, 2011</w:t>
      </w:r>
      <w:r w:rsidRPr="001D116F">
        <w:rPr>
          <w:rFonts w:ascii="Book Antiqua" w:hAnsi="Book Antiqua"/>
        </w:rPr>
        <w:t>a. “Europe is a state of mind: Ident</w:t>
      </w:r>
      <w:r w:rsidR="00526553" w:rsidRPr="001D116F">
        <w:rPr>
          <w:rFonts w:ascii="Book Antiqua" w:hAnsi="Book Antiqua"/>
        </w:rPr>
        <w:t xml:space="preserve">ity and Europeanization in the </w:t>
      </w:r>
      <w:r w:rsidRPr="001D116F">
        <w:rPr>
          <w:rFonts w:ascii="Book Antiqua" w:hAnsi="Book Antiqua"/>
        </w:rPr>
        <w:t xml:space="preserve">Balkans.” </w:t>
      </w:r>
      <w:r w:rsidRPr="001D116F">
        <w:rPr>
          <w:rFonts w:ascii="Book Antiqua" w:hAnsi="Book Antiqua" w:cs="Times"/>
          <w:i/>
        </w:rPr>
        <w:t>International Studies Quarterly</w:t>
      </w:r>
      <w:r w:rsidR="00E86736" w:rsidRPr="001D116F">
        <w:rPr>
          <w:rFonts w:ascii="Book Antiqua" w:hAnsi="Book Antiqua" w:cs="Times"/>
        </w:rPr>
        <w:t xml:space="preserve"> 55</w:t>
      </w:r>
      <w:r w:rsidR="00F042DD" w:rsidRPr="001D116F">
        <w:rPr>
          <w:rFonts w:ascii="Book Antiqua" w:hAnsi="Book Antiqua" w:cs="Times"/>
        </w:rPr>
        <w:t>(2)</w:t>
      </w:r>
      <w:r w:rsidR="00526553" w:rsidRPr="001D116F">
        <w:rPr>
          <w:rFonts w:ascii="Book Antiqua" w:hAnsi="Book Antiqua" w:cs="Times"/>
        </w:rPr>
        <w:t>:</w:t>
      </w:r>
      <w:r w:rsidR="00E86736" w:rsidRPr="001D116F">
        <w:rPr>
          <w:rFonts w:ascii="Book Antiqua" w:hAnsi="Book Antiqua" w:cs="Times"/>
        </w:rPr>
        <w:t xml:space="preserve"> 309–330.</w:t>
      </w:r>
    </w:p>
    <w:p w14:paraId="1095BFF7" w14:textId="56E8BA02" w:rsidR="00367AA4" w:rsidRPr="001D116F" w:rsidRDefault="00367AA4" w:rsidP="005C139A">
      <w:pPr>
        <w:spacing w:before="120" w:after="120"/>
        <w:ind w:left="709" w:hanging="709"/>
        <w:jc w:val="both"/>
        <w:rPr>
          <w:rFonts w:ascii="Book Antiqua" w:hAnsi="Book Antiqua"/>
        </w:rPr>
      </w:pPr>
      <w:r w:rsidRPr="001D116F">
        <w:rPr>
          <w:rFonts w:ascii="Book Antiqua" w:hAnsi="Book Antiqua"/>
        </w:rPr>
        <w:t>Suboti</w:t>
      </w:r>
      <w:r w:rsidRPr="001D116F">
        <w:rPr>
          <w:rFonts w:ascii="Book Antiqua" w:hAnsi="Book Antiqua" w:cs="Times New Roman" w:hint="eastAsia"/>
        </w:rPr>
        <w:t>ć</w:t>
      </w:r>
      <w:r w:rsidRPr="001D116F">
        <w:rPr>
          <w:rFonts w:ascii="Book Antiqua" w:hAnsi="Book Antiqua"/>
        </w:rPr>
        <w:t xml:space="preserve">, Jelena. 2011-b. “Expanding the scope of post-conflict justice: individual, state and societal responsibility for mass atrocity.” </w:t>
      </w:r>
      <w:r w:rsidRPr="001D116F">
        <w:rPr>
          <w:rFonts w:ascii="Book Antiqua" w:hAnsi="Book Antiqua"/>
          <w:i/>
        </w:rPr>
        <w:t>Journal of Peace Research</w:t>
      </w:r>
      <w:r w:rsidRPr="001D116F">
        <w:rPr>
          <w:rFonts w:ascii="Book Antiqua" w:hAnsi="Book Antiqua"/>
        </w:rPr>
        <w:t xml:space="preserve"> 48(2):</w:t>
      </w:r>
      <w:r w:rsidRPr="001D116F">
        <w:rPr>
          <w:rStyle w:val="publication-meta-journal"/>
          <w:rFonts w:ascii="Book Antiqua" w:hAnsi="Book Antiqua"/>
        </w:rPr>
        <w:t>157-169</w:t>
      </w:r>
      <w:r w:rsidRPr="001D116F">
        <w:rPr>
          <w:rStyle w:val="publication-meta-date"/>
          <w:rFonts w:ascii="Book Antiqua" w:hAnsi="Book Antiqua"/>
        </w:rPr>
        <w:t> </w:t>
      </w:r>
    </w:p>
    <w:p w14:paraId="5BF217CF"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lastRenderedPageBreak/>
        <w:t xml:space="preserve">Teitel, Ruti G. 2003. “Transitional Justice Genealogy.” </w:t>
      </w:r>
      <w:r w:rsidRPr="00702AA1">
        <w:rPr>
          <w:rFonts w:ascii="Book Antiqua" w:hAnsi="Book Antiqua"/>
          <w:i/>
          <w:iCs/>
        </w:rPr>
        <w:t>Harvard Human Rights Journal</w:t>
      </w:r>
      <w:r w:rsidRPr="00702AA1">
        <w:rPr>
          <w:rFonts w:ascii="Book Antiqua" w:hAnsi="Book Antiqua"/>
        </w:rPr>
        <w:t>, 16(2003): 69-94.</w:t>
      </w:r>
    </w:p>
    <w:p w14:paraId="71883910" w14:textId="3934B98A" w:rsidR="00E86736" w:rsidRPr="00702AA1" w:rsidRDefault="00367AA4" w:rsidP="005C139A">
      <w:pPr>
        <w:spacing w:before="120" w:after="120"/>
        <w:ind w:left="709" w:hanging="709"/>
        <w:jc w:val="both"/>
        <w:rPr>
          <w:rFonts w:ascii="Book Antiqua" w:hAnsi="Book Antiqua"/>
        </w:rPr>
      </w:pPr>
      <w:r w:rsidRPr="00702AA1">
        <w:rPr>
          <w:rFonts w:ascii="Book Antiqua" w:hAnsi="Book Antiqua"/>
        </w:rPr>
        <w:t xml:space="preserve">Touquet, Heleen and Vermeersch, Peter. 2016. “Changing frames of reconciliation: the politics of peace-building in the former Yugoslavia.” </w:t>
      </w:r>
      <w:r w:rsidRPr="00702AA1">
        <w:rPr>
          <w:rFonts w:ascii="Book Antiqua" w:hAnsi="Book Antiqua"/>
          <w:i/>
        </w:rPr>
        <w:t>East European Politics and Societies and Cultures</w:t>
      </w:r>
      <w:r w:rsidRPr="00702AA1">
        <w:rPr>
          <w:rFonts w:ascii="Book Antiqua" w:hAnsi="Book Antiqua"/>
        </w:rPr>
        <w:t>, 30(</w:t>
      </w:r>
      <w:r w:rsidR="008E43C5" w:rsidRPr="00702AA1">
        <w:rPr>
          <w:rFonts w:ascii="Book Antiqua" w:hAnsi="Book Antiqua"/>
        </w:rPr>
        <w:t>1</w:t>
      </w:r>
      <w:r w:rsidRPr="00702AA1">
        <w:rPr>
          <w:rFonts w:ascii="Book Antiqua" w:hAnsi="Book Antiqua"/>
        </w:rPr>
        <w:t>): 55-73</w:t>
      </w:r>
      <w:r w:rsidR="00E86736" w:rsidRPr="00702AA1">
        <w:rPr>
          <w:rFonts w:ascii="Book Antiqua" w:hAnsi="Book Antiqua"/>
        </w:rPr>
        <w:t>.</w:t>
      </w:r>
    </w:p>
    <w:p w14:paraId="120204FD" w14:textId="77777777" w:rsidR="00E86736" w:rsidRPr="001D116F" w:rsidRDefault="00367AA4" w:rsidP="005C139A">
      <w:pPr>
        <w:spacing w:before="120" w:after="120"/>
        <w:ind w:left="709" w:hanging="709"/>
        <w:jc w:val="both"/>
        <w:rPr>
          <w:rFonts w:ascii="Book Antiqua" w:hAnsi="Book Antiqua" w:cs="Times"/>
        </w:rPr>
      </w:pPr>
      <w:r w:rsidRPr="001D116F">
        <w:rPr>
          <w:rFonts w:ascii="Book Antiqua" w:hAnsi="Book Antiqua" w:cs="Cambria"/>
        </w:rPr>
        <w:t xml:space="preserve">United Nations Development Program. 2009. </w:t>
      </w:r>
      <w:r w:rsidRPr="001D116F">
        <w:rPr>
          <w:rFonts w:ascii="Book Antiqua" w:hAnsi="Book Antiqua" w:cs="Cambria"/>
          <w:i/>
          <w:iCs/>
        </w:rPr>
        <w:t xml:space="preserve">Vodić kroz tranzicijsku pravdu u Bosni i Hercegovini </w:t>
      </w:r>
      <w:r w:rsidRPr="001D116F">
        <w:rPr>
          <w:rFonts w:ascii="Book Antiqua" w:hAnsi="Book Antiqua" w:cs="Cambria"/>
        </w:rPr>
        <w:t xml:space="preserve">(A guide to transitional justice in Bosnia and Herzegovina), </w:t>
      </w:r>
      <w:r w:rsidRPr="001D116F">
        <w:rPr>
          <w:rFonts w:ascii="Book Antiqua" w:hAnsi="Book Antiqua" w:cs="Cambria"/>
        </w:rPr>
        <w:tab/>
        <w:t>prepared by Dragan M. Popović. Sarajevo: UNDP</w:t>
      </w:r>
      <w:r w:rsidR="00E86736" w:rsidRPr="001D116F">
        <w:rPr>
          <w:rFonts w:ascii="Book Antiqua" w:hAnsi="Book Antiqua" w:cs="Times"/>
        </w:rPr>
        <w:t>.</w:t>
      </w:r>
    </w:p>
    <w:p w14:paraId="72862038" w14:textId="77777777" w:rsidR="00367AA4" w:rsidRPr="00702AA1" w:rsidRDefault="00367AA4" w:rsidP="005C139A">
      <w:pPr>
        <w:spacing w:before="120" w:after="120"/>
        <w:ind w:left="709" w:hanging="709"/>
        <w:jc w:val="both"/>
        <w:rPr>
          <w:rFonts w:ascii="Book Antiqua" w:hAnsi="Book Antiqua"/>
        </w:rPr>
      </w:pPr>
      <w:r w:rsidRPr="00702AA1">
        <w:rPr>
          <w:rFonts w:ascii="Book Antiqua" w:hAnsi="Book Antiqua"/>
        </w:rPr>
        <w:t>Weber, Bodo. 2015. “Bosnia and Herzegovina after the February 2014 Protests: Is there a Potential for Renewed Violent Social Unrest?” AI-DPC BiH Security Risk Analysis, Policy Note #2. Berlin-Sarajevo, September 2015.</w:t>
      </w:r>
    </w:p>
    <w:p w14:paraId="4BC67D29" w14:textId="5AD07E37" w:rsidR="00006740" w:rsidRPr="001D116F" w:rsidRDefault="00006740" w:rsidP="005C139A">
      <w:pPr>
        <w:spacing w:before="120" w:after="120"/>
        <w:ind w:left="709" w:hanging="709"/>
        <w:jc w:val="both"/>
        <w:rPr>
          <w:rFonts w:ascii="Book Antiqua" w:hAnsi="Book Antiqua" w:cs="Cambria"/>
        </w:rPr>
      </w:pPr>
      <w:r w:rsidRPr="007D719B">
        <w:rPr>
          <w:rFonts w:ascii="Book Antiqua" w:hAnsi="Book Antiqua" w:cs="Cambria"/>
        </w:rPr>
        <w:t xml:space="preserve">Women’s Court. </w:t>
      </w:r>
      <w:proofErr w:type="gramStart"/>
      <w:r w:rsidRPr="007D719B">
        <w:rPr>
          <w:rFonts w:ascii="Book Antiqua" w:hAnsi="Book Antiqua" w:cs="Cambria"/>
        </w:rPr>
        <w:t>2011</w:t>
      </w:r>
      <w:r w:rsidR="003B5EB5" w:rsidRPr="007D719B">
        <w:rPr>
          <w:rFonts w:ascii="Book Antiqua" w:hAnsi="Book Antiqua" w:cs="Cambria"/>
        </w:rPr>
        <w:t>.</w:t>
      </w:r>
      <w:r w:rsidRPr="001D116F">
        <w:rPr>
          <w:rFonts w:ascii="Book Antiqua" w:hAnsi="Book Antiqua" w:cs="Cambria"/>
        </w:rPr>
        <w:t xml:space="preserve"> </w:t>
      </w:r>
      <w:r w:rsidR="001D116F">
        <w:rPr>
          <w:rFonts w:ascii="Book Antiqua" w:hAnsi="Book Antiqua" w:cs="Cambria"/>
        </w:rPr>
        <w:t>”</w:t>
      </w:r>
      <w:r w:rsidRPr="001D116F">
        <w:rPr>
          <w:rFonts w:ascii="Book Antiqua" w:hAnsi="Book Antiqua" w:cs="Lucida Grande"/>
        </w:rPr>
        <w:t>Ženski</w:t>
      </w:r>
      <w:proofErr w:type="gramEnd"/>
      <w:r w:rsidRPr="001D116F">
        <w:rPr>
          <w:rFonts w:ascii="Book Antiqua" w:hAnsi="Book Antiqua" w:cs="Lucida Grande"/>
        </w:rPr>
        <w:t xml:space="preserve"> Sud</w:t>
      </w:r>
      <w:r w:rsidRPr="001D116F">
        <w:rPr>
          <w:rFonts w:ascii="Book Antiqua" w:hAnsi="Book Antiqua" w:cs="Cambria"/>
        </w:rPr>
        <w:t xml:space="preserve"> feministicki pristup pravdi [Women’s court, a feministic approach to justice], published by Women in Black Belgrade and Center for Women Studies. Belgrade: Artprint Novi Sad. </w:t>
      </w:r>
    </w:p>
    <w:p w14:paraId="4C70A784" w14:textId="4E711B65" w:rsidR="0064238E" w:rsidRPr="00702AA1" w:rsidRDefault="0064238E" w:rsidP="005C139A">
      <w:pPr>
        <w:spacing w:before="120" w:after="120"/>
        <w:ind w:left="709" w:hanging="709"/>
        <w:jc w:val="both"/>
        <w:rPr>
          <w:rFonts w:ascii="Book Antiqua" w:hAnsi="Book Antiqua"/>
        </w:rPr>
      </w:pPr>
      <w:r w:rsidRPr="00702AA1">
        <w:rPr>
          <w:rFonts w:ascii="Book Antiqua" w:hAnsi="Book Antiqua"/>
        </w:rPr>
        <w:t>Women’s Court, Judicial Council. 2015. “Preliminary Decisions and Recommendations, Delivered in Sarajevo, 9 May 2015.” Women’s Court, at &lt;http://www.zenskisud.org/en/pdf/2015/Womens_Court_Preliminary_Decision_Judicial_Council_2015.pdf</w:t>
      </w:r>
      <w:r w:rsidR="003B5EB5" w:rsidRPr="00702AA1">
        <w:rPr>
          <w:rFonts w:ascii="Book Antiqua" w:hAnsi="Book Antiqua"/>
        </w:rPr>
        <w:t>&gt;</w:t>
      </w:r>
      <w:r w:rsidRPr="00702AA1">
        <w:rPr>
          <w:rFonts w:ascii="Book Antiqua" w:hAnsi="Book Antiqua"/>
        </w:rPr>
        <w:t>, last accessed July 30, 2017</w:t>
      </w:r>
      <w:r w:rsidR="003B5EB5" w:rsidRPr="00702AA1">
        <w:rPr>
          <w:rFonts w:ascii="Book Antiqua" w:hAnsi="Book Antiqua"/>
        </w:rPr>
        <w:t>.</w:t>
      </w:r>
    </w:p>
    <w:p w14:paraId="7BAD85DA" w14:textId="39AA1DD6" w:rsidR="002B24F0" w:rsidRPr="00702AA1" w:rsidRDefault="002B24F0" w:rsidP="001D116F">
      <w:pPr>
        <w:spacing w:before="120" w:after="120"/>
        <w:ind w:left="709" w:hanging="709"/>
        <w:rPr>
          <w:rFonts w:ascii="Book Antiqua" w:hAnsi="Book Antiqua"/>
        </w:rPr>
      </w:pPr>
      <w:r w:rsidRPr="00702AA1">
        <w:rPr>
          <w:rFonts w:ascii="Book Antiqua" w:hAnsi="Book Antiqua"/>
        </w:rPr>
        <w:t>YIHR Serbia and YIHR Croatia. 2011. “</w:t>
      </w:r>
      <w:r w:rsidR="006F39CB" w:rsidRPr="00702AA1">
        <w:rPr>
          <w:rFonts w:ascii="Book Antiqua" w:hAnsi="Book Antiqua"/>
        </w:rPr>
        <w:t xml:space="preserve">Report of Youth Initiative for Human Rights in Serbia and Youth Initiative for Human Rights in Croatia on </w:t>
      </w:r>
      <w:r w:rsidR="006F39CB" w:rsidRPr="001D116F">
        <w:rPr>
          <w:rFonts w:ascii="Book Antiqua" w:hAnsi="Book Antiqua"/>
          <w:i/>
        </w:rPr>
        <w:t>1.000.000.000 signatures for RECOM</w:t>
      </w:r>
      <w:r w:rsidR="006F39CB" w:rsidRPr="00702AA1">
        <w:rPr>
          <w:rFonts w:ascii="Book Antiqua" w:hAnsi="Book Antiqua"/>
        </w:rPr>
        <w:t xml:space="preserve"> campaign.” Documenta, at </w:t>
      </w:r>
      <w:r w:rsidR="003A3FFE" w:rsidRPr="00702AA1">
        <w:rPr>
          <w:rFonts w:ascii="Book Antiqua" w:hAnsi="Book Antiqua"/>
        </w:rPr>
        <w:t>&lt;</w:t>
      </w:r>
      <w:hyperlink r:id="rId9" w:history="1">
        <w:r w:rsidR="006F39CB" w:rsidRPr="00702AA1">
          <w:rPr>
            <w:rStyle w:val="Hyperlink"/>
            <w:rFonts w:ascii="Book Antiqua" w:hAnsi="Book Antiqua"/>
          </w:rPr>
          <w:t>https://www.documenta.hr/assets/files/REKOM/ENG/11_f_2184_en.pdf</w:t>
        </w:r>
      </w:hyperlink>
      <w:r w:rsidR="003A3FFE" w:rsidRPr="00702AA1">
        <w:rPr>
          <w:rFonts w:ascii="Book Antiqua" w:hAnsi="Book Antiqua"/>
        </w:rPr>
        <w:t>&gt;</w:t>
      </w:r>
      <w:r w:rsidR="00C71ADA" w:rsidRPr="00702AA1">
        <w:rPr>
          <w:rFonts w:ascii="Book Antiqua" w:hAnsi="Book Antiqua"/>
        </w:rPr>
        <w:t xml:space="preserve">, last accessed September 30, 2017. </w:t>
      </w:r>
    </w:p>
    <w:p w14:paraId="0BCCB844" w14:textId="048A10FD" w:rsidR="007D719B" w:rsidRDefault="007D719B" w:rsidP="007D719B">
      <w:pPr>
        <w:spacing w:before="120" w:after="120"/>
        <w:ind w:left="709" w:hanging="709"/>
        <w:jc w:val="both"/>
        <w:rPr>
          <w:rFonts w:ascii="Book Antiqua" w:hAnsi="Book Antiqua" w:cs="Cambria"/>
        </w:rPr>
      </w:pPr>
      <w:r>
        <w:rPr>
          <w:rFonts w:ascii="Book Antiqua" w:hAnsi="Book Antiqua" w:cs="Cambria"/>
        </w:rPr>
        <w:t xml:space="preserve">Zajović, Staša, </w:t>
      </w:r>
      <w:proofErr w:type="gramStart"/>
      <w:r>
        <w:rPr>
          <w:rFonts w:ascii="Book Antiqua" w:hAnsi="Book Antiqua" w:cs="Cambria"/>
        </w:rPr>
        <w:t>ed.</w:t>
      </w:r>
      <w:r w:rsidRPr="001D116F">
        <w:rPr>
          <w:rFonts w:ascii="Book Antiqua" w:hAnsi="Book Antiqua" w:cs="Cambria"/>
        </w:rPr>
        <w:t>.</w:t>
      </w:r>
      <w:proofErr w:type="gramEnd"/>
      <w:r w:rsidRPr="001D116F">
        <w:rPr>
          <w:rFonts w:ascii="Book Antiqua" w:hAnsi="Book Antiqua" w:cs="Cambria"/>
        </w:rPr>
        <w:t xml:space="preserve"> 2015. </w:t>
      </w:r>
      <w:r w:rsidRPr="007D719B">
        <w:rPr>
          <w:rFonts w:ascii="Lucida Grande" w:hAnsi="Lucida Grande" w:cs="Lucida Grande"/>
          <w:i/>
        </w:rPr>
        <w:t>Ženski Sud</w:t>
      </w:r>
      <w:r w:rsidRPr="007D719B">
        <w:rPr>
          <w:rFonts w:ascii="Book Antiqua" w:hAnsi="Book Antiqua" w:cs="Cambria"/>
          <w:i/>
        </w:rPr>
        <w:t>: o procesu organizovanja</w:t>
      </w:r>
      <w:r w:rsidRPr="001D116F">
        <w:rPr>
          <w:rFonts w:ascii="Book Antiqua" w:hAnsi="Book Antiqua" w:cs="Cambria"/>
        </w:rPr>
        <w:t xml:space="preserve"> [Women’s Court: on the process of organization], published by Women in Black Belgrade and Center for Women Studies. Belgrade: Art Print Novi Sad.</w:t>
      </w:r>
    </w:p>
    <w:p w14:paraId="3FBA6C6A" w14:textId="77BEFC1E" w:rsidR="005E27D6" w:rsidRPr="005E27D6" w:rsidRDefault="005E27D6" w:rsidP="007D719B">
      <w:pPr>
        <w:spacing w:before="120" w:after="120"/>
        <w:ind w:left="709" w:hanging="709"/>
        <w:jc w:val="both"/>
        <w:rPr>
          <w:rFonts w:ascii="Book Antiqua" w:hAnsi="Book Antiqua" w:cs="Cambria"/>
        </w:rPr>
      </w:pPr>
      <w:r w:rsidRPr="00290F5D">
        <w:rPr>
          <w:rFonts w:ascii="Book Antiqua" w:hAnsi="Book Antiqua" w:cs="Cambria"/>
        </w:rPr>
        <w:t xml:space="preserve">Ženski Sud. n.d. Ženski Sud. </w:t>
      </w:r>
      <w:r w:rsidRPr="005E27D6">
        <w:rPr>
          <w:rFonts w:ascii="Book Antiqua" w:hAnsi="Book Antiqua" w:cs="Cambria"/>
        </w:rPr>
        <w:t xml:space="preserve">Feministički pristup pravdi </w:t>
      </w:r>
      <w:r>
        <w:rPr>
          <w:rFonts w:ascii="Book Antiqua" w:hAnsi="Book Antiqua" w:cs="Cambria"/>
        </w:rPr>
        <w:t xml:space="preserve">[Women’s Court. A Feminist Approach to Justice]. </w:t>
      </w:r>
      <w:r>
        <w:rPr>
          <w:rFonts w:ascii="Book Antiqua" w:hAnsi="Book Antiqua"/>
        </w:rPr>
        <w:t>Accessed at &lt;</w:t>
      </w:r>
      <w:hyperlink r:id="rId10" w:history="1">
        <w:r w:rsidRPr="003B6625">
          <w:rPr>
            <w:rStyle w:val="Hyperlink"/>
            <w:rFonts w:ascii="Book Antiqua" w:hAnsi="Book Antiqua"/>
          </w:rPr>
          <w:t>www.zenskisud.org</w:t>
        </w:r>
      </w:hyperlink>
      <w:r>
        <w:rPr>
          <w:rStyle w:val="Hyperlink"/>
          <w:rFonts w:ascii="Book Antiqua" w:hAnsi="Book Antiqua"/>
        </w:rPr>
        <w:t>&gt;</w:t>
      </w:r>
      <w:r>
        <w:rPr>
          <w:rFonts w:ascii="Book Antiqua" w:hAnsi="Book Antiqua"/>
        </w:rPr>
        <w:t>, last accessed October 2, 2017.</w:t>
      </w:r>
    </w:p>
    <w:p w14:paraId="6E4130F4" w14:textId="619C897B" w:rsidR="00F74E45" w:rsidRPr="005E27D6" w:rsidRDefault="00F74E45" w:rsidP="00006740">
      <w:pPr>
        <w:spacing w:before="120" w:after="120"/>
        <w:ind w:left="709" w:hanging="709"/>
        <w:jc w:val="both"/>
        <w:rPr>
          <w:rFonts w:ascii="Book Antiqua" w:hAnsi="Book Antiqua"/>
        </w:rPr>
      </w:pPr>
      <w:bookmarkStart w:id="0" w:name="_GoBack"/>
      <w:bookmarkEnd w:id="0"/>
    </w:p>
    <w:sectPr w:rsidR="00F74E45" w:rsidRPr="005E27D6" w:rsidSect="008D7152">
      <w:footerReference w:type="default" r:id="rId11"/>
      <w:head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56C5" w14:textId="77777777" w:rsidR="00E80CE9" w:rsidRDefault="00E80CE9" w:rsidP="00C17488">
      <w:r>
        <w:separator/>
      </w:r>
    </w:p>
  </w:endnote>
  <w:endnote w:type="continuationSeparator" w:id="0">
    <w:p w14:paraId="2987AB99" w14:textId="77777777" w:rsidR="00E80CE9" w:rsidRDefault="00E80CE9" w:rsidP="00C1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592546025"/>
      <w:docPartObj>
        <w:docPartGallery w:val="Page Numbers (Bottom of Page)"/>
        <w:docPartUnique/>
      </w:docPartObj>
    </w:sdtPr>
    <w:sdtEndPr>
      <w:rPr>
        <w:noProof/>
      </w:rPr>
    </w:sdtEndPr>
    <w:sdtContent>
      <w:p w14:paraId="57B1B6EF" w14:textId="77777777" w:rsidR="00A30B59" w:rsidRDefault="00A30B59">
        <w:pPr>
          <w:pStyle w:val="Footer"/>
          <w:jc w:val="center"/>
          <w:rPr>
            <w:rFonts w:ascii="Book Antiqua" w:hAnsi="Book Antiqua"/>
          </w:rPr>
        </w:pPr>
      </w:p>
      <w:p w14:paraId="57C3D9D2" w14:textId="0EAB5555" w:rsidR="00A30B59" w:rsidRPr="005C139A" w:rsidRDefault="00A30B59" w:rsidP="005C139A">
        <w:pPr>
          <w:pStyle w:val="Footer"/>
          <w:jc w:val="center"/>
          <w:rPr>
            <w:rFonts w:ascii="Book Antiqua" w:hAnsi="Book Antiqua"/>
          </w:rPr>
        </w:pPr>
        <w:r w:rsidRPr="00713B2B">
          <w:rPr>
            <w:rFonts w:ascii="Book Antiqua" w:hAnsi="Book Antiqua"/>
          </w:rPr>
          <w:fldChar w:fldCharType="begin"/>
        </w:r>
        <w:r w:rsidRPr="00713B2B">
          <w:rPr>
            <w:rFonts w:ascii="Book Antiqua" w:hAnsi="Book Antiqua"/>
          </w:rPr>
          <w:instrText xml:space="preserve"> PAGE   \* MERGEFORMAT </w:instrText>
        </w:r>
        <w:r w:rsidRPr="00713B2B">
          <w:rPr>
            <w:rFonts w:ascii="Book Antiqua" w:hAnsi="Book Antiqua"/>
          </w:rPr>
          <w:fldChar w:fldCharType="separate"/>
        </w:r>
        <w:r w:rsidR="000710B4">
          <w:rPr>
            <w:rFonts w:ascii="Book Antiqua" w:hAnsi="Book Antiqua"/>
            <w:noProof/>
          </w:rPr>
          <w:t>22</w:t>
        </w:r>
        <w:r w:rsidRPr="00713B2B">
          <w:rPr>
            <w:rFonts w:ascii="Book Antiqua" w:hAnsi="Book Antiqu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D580A" w14:textId="77777777" w:rsidR="00E80CE9" w:rsidRDefault="00E80CE9" w:rsidP="00C17488">
      <w:r>
        <w:separator/>
      </w:r>
    </w:p>
  </w:footnote>
  <w:footnote w:type="continuationSeparator" w:id="0">
    <w:p w14:paraId="5BA6AC74" w14:textId="77777777" w:rsidR="00E80CE9" w:rsidRDefault="00E80CE9" w:rsidP="00C17488">
      <w:r>
        <w:continuationSeparator/>
      </w:r>
    </w:p>
  </w:footnote>
  <w:footnote w:id="1">
    <w:p w14:paraId="7C4FCE68" w14:textId="77777777" w:rsidR="00A30B59" w:rsidRPr="00241DCA" w:rsidRDefault="00A30B59" w:rsidP="004C3BB2">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Interview with Refik Hodžić, ICTJ, New York, 18 April 2014.</w:t>
      </w:r>
    </w:p>
  </w:footnote>
  <w:footnote w:id="2">
    <w:p w14:paraId="6C336934" w14:textId="70F2C85D" w:rsidR="00A30B59" w:rsidRPr="001D116F" w:rsidRDefault="00A30B59">
      <w:pPr>
        <w:pStyle w:val="FootnoteText"/>
        <w:rPr>
          <w:rFonts w:ascii="Book Antiqua" w:hAnsi="Book Antiqua"/>
          <w:lang w:val="en-US"/>
        </w:rPr>
      </w:pPr>
      <w:r w:rsidRPr="001D116F">
        <w:rPr>
          <w:rStyle w:val="FootnoteReference"/>
          <w:rFonts w:ascii="Book Antiqua" w:hAnsi="Book Antiqua"/>
        </w:rPr>
        <w:footnoteRef/>
      </w:r>
      <w:r w:rsidRPr="001D116F">
        <w:rPr>
          <w:rFonts w:ascii="Book Antiqua" w:hAnsi="Book Antiqua"/>
        </w:rPr>
        <w:t xml:space="preserve"> </w:t>
      </w:r>
      <w:r w:rsidRPr="001D116F">
        <w:rPr>
          <w:rFonts w:ascii="Book Antiqua" w:hAnsi="Book Antiqua"/>
          <w:lang w:val="en-US"/>
        </w:rPr>
        <w:t>Interview with Nataša Kandi</w:t>
      </w:r>
      <w:r w:rsidRPr="001D116F">
        <w:rPr>
          <w:rFonts w:ascii="Times New Roman" w:hAnsi="Times New Roman" w:cs="Times New Roman"/>
          <w:lang w:val="en-US"/>
        </w:rPr>
        <w:t>ć</w:t>
      </w:r>
      <w:r w:rsidRPr="001D116F">
        <w:rPr>
          <w:rFonts w:ascii="Book Antiqua" w:hAnsi="Book Antiqua"/>
          <w:lang w:val="en-US"/>
        </w:rPr>
        <w:t>, Humanitarian Law Center, Belgrade, May 22, 2013.</w:t>
      </w:r>
    </w:p>
  </w:footnote>
  <w:footnote w:id="3">
    <w:p w14:paraId="1CAE6B76" w14:textId="2183D874" w:rsidR="00A30B59" w:rsidRPr="00241DCA" w:rsidRDefault="00A30B59" w:rsidP="00D65847">
      <w:pPr>
        <w:rPr>
          <w:rFonts w:ascii="Book Antiqua" w:hAnsi="Book Antiqua"/>
          <w:sz w:val="20"/>
          <w:szCs w:val="20"/>
        </w:rPr>
      </w:pPr>
      <w:r w:rsidRPr="00241DCA">
        <w:rPr>
          <w:rStyle w:val="FootnoteReference"/>
          <w:rFonts w:ascii="Book Antiqua" w:hAnsi="Book Antiqua"/>
          <w:sz w:val="20"/>
          <w:szCs w:val="20"/>
        </w:rPr>
        <w:footnoteRef/>
      </w:r>
      <w:r w:rsidRPr="00241DCA">
        <w:rPr>
          <w:rFonts w:ascii="Book Antiqua" w:hAnsi="Book Antiqua"/>
          <w:sz w:val="20"/>
          <w:szCs w:val="20"/>
        </w:rPr>
        <w:t xml:space="preserve"> While in 2014 the changes suggested by the representatives of the various regional governments have been incorporated in the statute of the prospective commission, there has been no further progress toward the establishment of the regional commission. However, a last effort to revive the initiative has been recently made with the launch of a new signature collection campaign in May 2017. So far, about 50.000 signatures have been collected in the region’s capitals</w:t>
      </w:r>
      <w:r>
        <w:rPr>
          <w:rFonts w:ascii="Book Antiqua" w:hAnsi="Book Antiqua"/>
          <w:sz w:val="20"/>
          <w:szCs w:val="20"/>
        </w:rPr>
        <w:t xml:space="preserve"> (RECOM, 2017)</w:t>
      </w:r>
      <w:r w:rsidRPr="00241DCA">
        <w:rPr>
          <w:rFonts w:ascii="Book Antiqua" w:hAnsi="Book Antiqua"/>
          <w:sz w:val="20"/>
          <w:szCs w:val="20"/>
        </w:rPr>
        <w:t>; this follows a previous signature campaign carried out in 2011, when around half million signatures were collected</w:t>
      </w:r>
      <w:r>
        <w:rPr>
          <w:rFonts w:ascii="Book Antiqua" w:hAnsi="Book Antiqua"/>
          <w:sz w:val="20"/>
          <w:szCs w:val="20"/>
        </w:rPr>
        <w:t xml:space="preserve"> (YIHR Serbia and YIHR Croatia, 2011)</w:t>
      </w:r>
      <w:r w:rsidRPr="00241DCA">
        <w:rPr>
          <w:rFonts w:ascii="Book Antiqua" w:hAnsi="Book Antiqua"/>
          <w:sz w:val="20"/>
          <w:szCs w:val="20"/>
        </w:rPr>
        <w:t xml:space="preserve">.  </w:t>
      </w:r>
    </w:p>
  </w:footnote>
  <w:footnote w:id="4">
    <w:p w14:paraId="6A5D551F" w14:textId="32F5C2E9" w:rsidR="00A30B59" w:rsidRPr="00241DCA" w:rsidRDefault="00A30B59" w:rsidP="004C3BB2">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w:t>
      </w:r>
      <w:r>
        <w:rPr>
          <w:rFonts w:ascii="Book Antiqua" w:hAnsi="Book Antiqua" w:cs="Times New Roman"/>
        </w:rPr>
        <w:t>Interview with Marijana Toma, Humanitarian Law Center, Belgrade, May 22, 2013</w:t>
      </w:r>
      <w:r w:rsidRPr="00241DCA">
        <w:rPr>
          <w:rStyle w:val="Hyperlink"/>
          <w:rFonts w:ascii="Book Antiqua" w:hAnsi="Book Antiqua" w:cs="Times New Roman"/>
          <w:color w:val="auto"/>
          <w:u w:val="none"/>
        </w:rPr>
        <w:t>.</w:t>
      </w:r>
    </w:p>
  </w:footnote>
  <w:footnote w:id="5">
    <w:p w14:paraId="6390061A" w14:textId="77777777" w:rsidR="00A30B59" w:rsidRPr="00241DCA" w:rsidRDefault="00A30B59" w:rsidP="000B3E24">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Interview with Eduardo Gonzalez Cueva, ICTJ, New York, September 13, 2013.</w:t>
      </w:r>
    </w:p>
  </w:footnote>
  <w:footnote w:id="6">
    <w:p w14:paraId="689F28F4" w14:textId="77777777" w:rsidR="00A30B59" w:rsidRPr="00241DCA" w:rsidRDefault="00A30B59" w:rsidP="00E070D4">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See for instance the Minute of National Consultations with Young People, Sarajevo, June 27, 2007, p. 12, where participants themselves notice the problematic focus on youth </w:t>
      </w:r>
      <w:r w:rsidRPr="001D116F">
        <w:rPr>
          <w:rFonts w:ascii="Book Antiqua" w:hAnsi="Book Antiqua"/>
          <w:i/>
        </w:rPr>
        <w:t>activists</w:t>
      </w:r>
      <w:r w:rsidRPr="00241DCA">
        <w:rPr>
          <w:rFonts w:ascii="Book Antiqua" w:hAnsi="Book Antiqua"/>
        </w:rPr>
        <w:t xml:space="preserve"> only. </w:t>
      </w:r>
    </w:p>
  </w:footnote>
  <w:footnote w:id="7">
    <w:p w14:paraId="3CF312C6" w14:textId="77777777" w:rsidR="00A30B59" w:rsidRPr="00241DCA" w:rsidRDefault="00A30B59" w:rsidP="00E070D4">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For a discussion of the representativeness of NGOs, see Steffeck and Hahn, 2010. </w:t>
      </w:r>
    </w:p>
  </w:footnote>
  <w:footnote w:id="8">
    <w:p w14:paraId="5424129D" w14:textId="434DF1E4" w:rsidR="00A30B59" w:rsidRPr="00241DCA" w:rsidRDefault="00A30B59" w:rsidP="00E070D4">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w:t>
      </w:r>
      <w:r>
        <w:rPr>
          <w:rFonts w:ascii="Book Antiqua" w:hAnsi="Book Antiqua"/>
        </w:rPr>
        <w:t xml:space="preserve">See, for example, </w:t>
      </w:r>
      <w:r w:rsidRPr="00241DCA">
        <w:rPr>
          <w:rFonts w:ascii="Book Antiqua" w:hAnsi="Book Antiqua"/>
        </w:rPr>
        <w:t>interview with Forum Žena II, telephone interview, November 11, 2014; interview with Refik Hodžić, ICTJ.</w:t>
      </w:r>
    </w:p>
  </w:footnote>
  <w:footnote w:id="9">
    <w:p w14:paraId="06EB0554" w14:textId="20459C9C" w:rsidR="00A30B59" w:rsidRPr="00241DCA" w:rsidRDefault="00A30B59" w:rsidP="00E070D4">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w:t>
      </w:r>
      <w:r>
        <w:rPr>
          <w:rFonts w:ascii="Book Antiqua" w:hAnsi="Book Antiqua"/>
        </w:rPr>
        <w:t>See, for example,</w:t>
      </w:r>
      <w:r w:rsidRPr="00241DCA" w:rsidDel="00A11012">
        <w:rPr>
          <w:rFonts w:ascii="Book Antiqua" w:hAnsi="Book Antiqua"/>
        </w:rPr>
        <w:t xml:space="preserve"> </w:t>
      </w:r>
      <w:r w:rsidRPr="00241DCA">
        <w:rPr>
          <w:rFonts w:ascii="Book Antiqua" w:hAnsi="Book Antiqua"/>
        </w:rPr>
        <w:t>interview with Augustina Rahmanović-Koning, Vive Žene, Tuzla, August 9, 2013; Stanojka Tešić, Forum Žena, Bratunac, August 16, 2013.</w:t>
      </w:r>
    </w:p>
  </w:footnote>
  <w:footnote w:id="10">
    <w:p w14:paraId="01381766" w14:textId="2995CBEA" w:rsidR="00A30B59" w:rsidRPr="00241DCA" w:rsidRDefault="00A30B59" w:rsidP="00E070D4">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For instance</w:t>
      </w:r>
      <w:r>
        <w:rPr>
          <w:rFonts w:ascii="Book Antiqua" w:hAnsi="Book Antiqua"/>
        </w:rPr>
        <w:t>,</w:t>
      </w:r>
      <w:r w:rsidRPr="00241DCA">
        <w:rPr>
          <w:rFonts w:ascii="Book Antiqua" w:hAnsi="Book Antiqua"/>
        </w:rPr>
        <w:t xml:space="preserve"> </w:t>
      </w:r>
      <w:r>
        <w:rPr>
          <w:rFonts w:ascii="Book Antiqua" w:hAnsi="Book Antiqua" w:cs="Times New Roman"/>
        </w:rPr>
        <w:t>i</w:t>
      </w:r>
      <w:r w:rsidRPr="00241DCA">
        <w:rPr>
          <w:rFonts w:ascii="Book Antiqua" w:hAnsi="Book Antiqua" w:cs="Times New Roman"/>
        </w:rPr>
        <w:t>nterview with Sakib Ahmetović, Bosniak association of prisoners’ camps survivors (BUPL), Bratunac, August 15, 2013.</w:t>
      </w:r>
    </w:p>
  </w:footnote>
  <w:footnote w:id="11">
    <w:p w14:paraId="5FE65A27" w14:textId="77777777" w:rsidR="00A30B59" w:rsidRPr="00241DCA" w:rsidRDefault="00A30B59" w:rsidP="00E070D4">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Interview with Alma Masić, YIHRs BiH, Sarajevo, April 29, 2015.</w:t>
      </w:r>
    </w:p>
  </w:footnote>
  <w:footnote w:id="12">
    <w:p w14:paraId="231D698E" w14:textId="648513C3" w:rsidR="00A30B59" w:rsidRPr="00241DCA" w:rsidRDefault="00A30B59" w:rsidP="00E070D4">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w:t>
      </w:r>
      <w:r w:rsidRPr="00241DCA">
        <w:rPr>
          <w:rFonts w:ascii="Book Antiqua" w:hAnsi="Book Antiqua" w:cs="Times New Roman"/>
        </w:rPr>
        <w:t>Interview with Marijana Toma (Serbian in the original</w:t>
      </w:r>
      <w:r>
        <w:rPr>
          <w:rFonts w:ascii="Book Antiqua" w:hAnsi="Book Antiqua" w:cs="Times New Roman"/>
        </w:rPr>
        <w:t>, author’s translation</w:t>
      </w:r>
      <w:r w:rsidRPr="00241DCA">
        <w:rPr>
          <w:rFonts w:ascii="Book Antiqua" w:hAnsi="Book Antiqua" w:cs="Times New Roman"/>
        </w:rPr>
        <w:t>).</w:t>
      </w:r>
    </w:p>
  </w:footnote>
  <w:footnote w:id="13">
    <w:p w14:paraId="244DF492" w14:textId="716FE8E4" w:rsidR="00A30B59" w:rsidRPr="001D116F" w:rsidRDefault="00A30B59" w:rsidP="00FC0B68">
      <w:pPr>
        <w:widowControl w:val="0"/>
        <w:autoSpaceDE w:val="0"/>
        <w:autoSpaceDN w:val="0"/>
        <w:adjustRightInd w:val="0"/>
        <w:rPr>
          <w:rFonts w:ascii="Book Antiqua" w:hAnsi="Book Antiqua" w:cs="Times"/>
          <w:sz w:val="20"/>
          <w:szCs w:val="20"/>
          <w:lang w:val="en-US"/>
        </w:rPr>
      </w:pPr>
      <w:r w:rsidRPr="00241DCA">
        <w:rPr>
          <w:rStyle w:val="FootnoteReference"/>
          <w:rFonts w:ascii="Book Antiqua" w:hAnsi="Book Antiqua"/>
          <w:sz w:val="20"/>
          <w:szCs w:val="20"/>
        </w:rPr>
        <w:footnoteRef/>
      </w:r>
      <w:r w:rsidRPr="00241DCA">
        <w:rPr>
          <w:rFonts w:ascii="Book Antiqua" w:hAnsi="Book Antiqua"/>
          <w:sz w:val="20"/>
          <w:szCs w:val="20"/>
        </w:rPr>
        <w:t xml:space="preserve"> See for instance Minute of National Consultations </w:t>
      </w:r>
      <w:r>
        <w:rPr>
          <w:rFonts w:ascii="Book Antiqua" w:hAnsi="Book Antiqua"/>
          <w:sz w:val="20"/>
          <w:szCs w:val="20"/>
        </w:rPr>
        <w:t>w</w:t>
      </w:r>
      <w:r w:rsidRPr="00241DCA">
        <w:rPr>
          <w:rFonts w:ascii="Book Antiqua" w:hAnsi="Book Antiqua"/>
          <w:sz w:val="20"/>
          <w:szCs w:val="20"/>
        </w:rPr>
        <w:t xml:space="preserve">ith </w:t>
      </w:r>
      <w:r>
        <w:rPr>
          <w:rFonts w:ascii="Book Antiqua" w:hAnsi="Book Antiqua"/>
          <w:sz w:val="20"/>
          <w:szCs w:val="20"/>
        </w:rPr>
        <w:t>t</w:t>
      </w:r>
      <w:r w:rsidRPr="00241DCA">
        <w:rPr>
          <w:rFonts w:ascii="Book Antiqua" w:hAnsi="Book Antiqua"/>
          <w:sz w:val="20"/>
          <w:szCs w:val="20"/>
        </w:rPr>
        <w:t xml:space="preserve">he Associations </w:t>
      </w:r>
      <w:r>
        <w:rPr>
          <w:rFonts w:ascii="Book Antiqua" w:hAnsi="Book Antiqua"/>
          <w:sz w:val="20"/>
          <w:szCs w:val="20"/>
        </w:rPr>
        <w:t>o</w:t>
      </w:r>
      <w:r w:rsidRPr="00241DCA">
        <w:rPr>
          <w:rFonts w:ascii="Book Antiqua" w:hAnsi="Book Antiqua"/>
          <w:sz w:val="20"/>
          <w:szCs w:val="20"/>
        </w:rPr>
        <w:t xml:space="preserve">f Victims </w:t>
      </w:r>
      <w:r>
        <w:rPr>
          <w:rFonts w:ascii="Book Antiqua" w:hAnsi="Book Antiqua"/>
          <w:sz w:val="20"/>
          <w:szCs w:val="20"/>
        </w:rPr>
        <w:t>o</w:t>
      </w:r>
      <w:r w:rsidRPr="00241DCA">
        <w:rPr>
          <w:rFonts w:ascii="Book Antiqua" w:hAnsi="Book Antiqua"/>
          <w:sz w:val="20"/>
          <w:szCs w:val="20"/>
        </w:rPr>
        <w:t xml:space="preserve">n </w:t>
      </w:r>
      <w:r>
        <w:rPr>
          <w:rFonts w:ascii="Book Antiqua" w:hAnsi="Book Antiqua"/>
          <w:sz w:val="20"/>
          <w:szCs w:val="20"/>
        </w:rPr>
        <w:t>t</w:t>
      </w:r>
      <w:r w:rsidRPr="00241DCA">
        <w:rPr>
          <w:rFonts w:ascii="Book Antiqua" w:hAnsi="Book Antiqua"/>
          <w:sz w:val="20"/>
          <w:szCs w:val="20"/>
        </w:rPr>
        <w:t xml:space="preserve">he Mechanism </w:t>
      </w:r>
      <w:r>
        <w:rPr>
          <w:rFonts w:ascii="Book Antiqua" w:hAnsi="Book Antiqua"/>
          <w:sz w:val="20"/>
          <w:szCs w:val="20"/>
        </w:rPr>
        <w:t>f</w:t>
      </w:r>
      <w:r w:rsidRPr="00241DCA">
        <w:rPr>
          <w:rFonts w:ascii="Book Antiqua" w:hAnsi="Book Antiqua"/>
          <w:sz w:val="20"/>
          <w:szCs w:val="20"/>
        </w:rPr>
        <w:t xml:space="preserve">or </w:t>
      </w:r>
      <w:r>
        <w:rPr>
          <w:rFonts w:ascii="Book Antiqua" w:hAnsi="Book Antiqua"/>
          <w:sz w:val="20"/>
          <w:szCs w:val="20"/>
        </w:rPr>
        <w:t>t</w:t>
      </w:r>
      <w:r w:rsidRPr="00241DCA">
        <w:rPr>
          <w:rFonts w:ascii="Book Antiqua" w:hAnsi="Book Antiqua"/>
          <w:sz w:val="20"/>
          <w:szCs w:val="20"/>
        </w:rPr>
        <w:t xml:space="preserve">he Establishment </w:t>
      </w:r>
      <w:r>
        <w:rPr>
          <w:rFonts w:ascii="Book Antiqua" w:hAnsi="Book Antiqua"/>
          <w:sz w:val="20"/>
          <w:szCs w:val="20"/>
        </w:rPr>
        <w:t>f</w:t>
      </w:r>
      <w:r w:rsidRPr="00241DCA">
        <w:rPr>
          <w:rFonts w:ascii="Book Antiqua" w:hAnsi="Book Antiqua"/>
          <w:sz w:val="20"/>
          <w:szCs w:val="20"/>
        </w:rPr>
        <w:t xml:space="preserve">or </w:t>
      </w:r>
      <w:r>
        <w:rPr>
          <w:rFonts w:ascii="Book Antiqua" w:hAnsi="Book Antiqua"/>
          <w:sz w:val="20"/>
          <w:szCs w:val="20"/>
        </w:rPr>
        <w:t>t</w:t>
      </w:r>
      <w:r w:rsidRPr="00241DCA">
        <w:rPr>
          <w:rFonts w:ascii="Book Antiqua" w:hAnsi="Book Antiqua"/>
          <w:sz w:val="20"/>
          <w:szCs w:val="20"/>
        </w:rPr>
        <w:t xml:space="preserve">he Facts </w:t>
      </w:r>
      <w:r>
        <w:rPr>
          <w:rFonts w:ascii="Book Antiqua" w:hAnsi="Book Antiqua"/>
          <w:sz w:val="20"/>
          <w:szCs w:val="20"/>
        </w:rPr>
        <w:t>a</w:t>
      </w:r>
      <w:r w:rsidRPr="00241DCA">
        <w:rPr>
          <w:rFonts w:ascii="Book Antiqua" w:hAnsi="Book Antiqua"/>
          <w:sz w:val="20"/>
          <w:szCs w:val="20"/>
        </w:rPr>
        <w:t>nd Truth-</w:t>
      </w:r>
      <w:r>
        <w:rPr>
          <w:rFonts w:ascii="Book Antiqua" w:hAnsi="Book Antiqua"/>
          <w:sz w:val="20"/>
          <w:szCs w:val="20"/>
        </w:rPr>
        <w:t>t</w:t>
      </w:r>
      <w:r w:rsidRPr="00241DCA">
        <w:rPr>
          <w:rFonts w:ascii="Book Antiqua" w:hAnsi="Book Antiqua"/>
          <w:sz w:val="20"/>
          <w:szCs w:val="20"/>
        </w:rPr>
        <w:t xml:space="preserve">elling </w:t>
      </w:r>
      <w:r>
        <w:rPr>
          <w:rFonts w:ascii="Book Antiqua" w:hAnsi="Book Antiqua"/>
          <w:sz w:val="20"/>
          <w:szCs w:val="20"/>
        </w:rPr>
        <w:t>o</w:t>
      </w:r>
      <w:r w:rsidRPr="00241DCA">
        <w:rPr>
          <w:rFonts w:ascii="Book Antiqua" w:hAnsi="Book Antiqua"/>
          <w:sz w:val="20"/>
          <w:szCs w:val="20"/>
        </w:rPr>
        <w:t xml:space="preserve">n War Crimes </w:t>
      </w:r>
      <w:r>
        <w:rPr>
          <w:rFonts w:ascii="Book Antiqua" w:hAnsi="Book Antiqua"/>
          <w:sz w:val="20"/>
          <w:szCs w:val="20"/>
        </w:rPr>
        <w:t>i</w:t>
      </w:r>
      <w:r w:rsidRPr="00241DCA">
        <w:rPr>
          <w:rFonts w:ascii="Book Antiqua" w:hAnsi="Book Antiqua"/>
          <w:sz w:val="20"/>
          <w:szCs w:val="20"/>
        </w:rPr>
        <w:t xml:space="preserve">n </w:t>
      </w:r>
      <w:r>
        <w:rPr>
          <w:rFonts w:ascii="Book Antiqua" w:hAnsi="Book Antiqua"/>
          <w:sz w:val="20"/>
          <w:szCs w:val="20"/>
        </w:rPr>
        <w:t>t</w:t>
      </w:r>
      <w:r w:rsidRPr="00241DCA">
        <w:rPr>
          <w:rFonts w:ascii="Book Antiqua" w:hAnsi="Book Antiqua"/>
          <w:sz w:val="20"/>
          <w:szCs w:val="20"/>
        </w:rPr>
        <w:t>he Former Yugoslavia,</w:t>
      </w:r>
      <w:r>
        <w:rPr>
          <w:rFonts w:ascii="Book Antiqua" w:hAnsi="Book Antiqua"/>
          <w:sz w:val="20"/>
          <w:szCs w:val="20"/>
        </w:rPr>
        <w:t xml:space="preserve"> Belgrade, July 15, 2008, p. 35.</w:t>
      </w:r>
    </w:p>
  </w:footnote>
  <w:footnote w:id="14">
    <w:p w14:paraId="5DAC37EA" w14:textId="4B16867F" w:rsidR="00A30B59" w:rsidRPr="003848D1" w:rsidRDefault="00A30B59" w:rsidP="00AB3E16">
      <w:pPr>
        <w:pStyle w:val="FootnoteText"/>
        <w:rPr>
          <w:rFonts w:ascii="Book Antiqua" w:hAnsi="Book Antiqua"/>
        </w:rPr>
      </w:pPr>
      <w:r w:rsidRPr="003848D1">
        <w:rPr>
          <w:rStyle w:val="FootnoteReference"/>
          <w:rFonts w:ascii="Book Antiqua" w:hAnsi="Book Antiqua"/>
        </w:rPr>
        <w:footnoteRef/>
      </w:r>
      <w:r w:rsidRPr="003848D1">
        <w:rPr>
          <w:rFonts w:ascii="Book Antiqua" w:hAnsi="Book Antiqua"/>
        </w:rPr>
        <w:t xml:space="preserve"> Its regional organi</w:t>
      </w:r>
      <w:r>
        <w:rPr>
          <w:rFonts w:ascii="Book Antiqua" w:hAnsi="Book Antiqua"/>
        </w:rPr>
        <w:t>s</w:t>
      </w:r>
      <w:r w:rsidRPr="003848D1">
        <w:rPr>
          <w:rFonts w:ascii="Book Antiqua" w:hAnsi="Book Antiqua"/>
        </w:rPr>
        <w:t>ational committee (</w:t>
      </w:r>
      <w:r w:rsidRPr="003848D1">
        <w:rPr>
          <w:rFonts w:ascii="Book Antiqua" w:hAnsi="Book Antiqua"/>
          <w:i/>
        </w:rPr>
        <w:t>regionalni organizacioni odbor</w:t>
      </w:r>
      <w:r w:rsidRPr="003848D1">
        <w:rPr>
          <w:rFonts w:ascii="Book Antiqua" w:hAnsi="Book Antiqua"/>
        </w:rPr>
        <w:t>) was composed by: Cure and Mothers of Srebrenica and Zepa from Bosnia, Center for Women Studies and Center for Women Victims of the War from Croatia, Women’s Network from Kosovo, Council for Gender Equality from Macedonia, Anima from Montenegro, Women in Black and Center for Women Studies from Serbia, Women’s Lobby from Slovenia</w:t>
      </w:r>
      <w:r>
        <w:rPr>
          <w:rFonts w:ascii="Book Antiqua" w:hAnsi="Book Antiqua"/>
        </w:rPr>
        <w:t>.</w:t>
      </w:r>
      <w:r w:rsidR="000710B4">
        <w:rPr>
          <w:rFonts w:ascii="Book Antiqua" w:hAnsi="Book Antiqua"/>
        </w:rPr>
        <w:t xml:space="preserve"> O</w:t>
      </w:r>
      <w:r w:rsidRPr="003848D1">
        <w:rPr>
          <w:rFonts w:ascii="Book Antiqua" w:hAnsi="Book Antiqua"/>
        </w:rPr>
        <w:t>ther organizations had been involved with a leading role earlier in the preparation stages, e.g. Forum Žena Bratunac and Žene Ženama (the latter dropped out in 2013)</w:t>
      </w:r>
      <w:r>
        <w:rPr>
          <w:rFonts w:ascii="Book Antiqua" w:hAnsi="Book Antiqua"/>
        </w:rPr>
        <w:t xml:space="preserve"> (Interview with Valentina Pellizzer, feminist activist in Sarajevo, telephone interview, November 3, 2013)</w:t>
      </w:r>
      <w:r w:rsidRPr="003848D1">
        <w:rPr>
          <w:rFonts w:ascii="Book Antiqua" w:hAnsi="Book Antiqua"/>
        </w:rPr>
        <w:t xml:space="preserve">. </w:t>
      </w:r>
    </w:p>
  </w:footnote>
  <w:footnote w:id="15">
    <w:p w14:paraId="32E9F2A9" w14:textId="065D688E" w:rsidR="00A30B59" w:rsidRPr="003848D1" w:rsidRDefault="00A30B59" w:rsidP="00AB3E16">
      <w:pPr>
        <w:pStyle w:val="FootnoteText"/>
        <w:rPr>
          <w:rFonts w:ascii="Book Antiqua" w:hAnsi="Book Antiqua"/>
        </w:rPr>
      </w:pPr>
      <w:r w:rsidRPr="003848D1">
        <w:rPr>
          <w:rStyle w:val="FootnoteReference"/>
          <w:rFonts w:ascii="Book Antiqua" w:hAnsi="Book Antiqua"/>
        </w:rPr>
        <w:footnoteRef/>
      </w:r>
      <w:r w:rsidRPr="003848D1">
        <w:rPr>
          <w:rFonts w:ascii="Book Antiqua" w:hAnsi="Book Antiqua"/>
        </w:rPr>
        <w:t xml:space="preserve"> The first women’s ‘tribunals’ were actually created in the 1970s, but a new, more informal kind of women’s ‘courts’ has been implemented more consistently since the 1990s throughout the world</w:t>
      </w:r>
      <w:r>
        <w:rPr>
          <w:rFonts w:ascii="Book Antiqua" w:hAnsi="Book Antiqua"/>
        </w:rPr>
        <w:t xml:space="preserve"> (</w:t>
      </w:r>
      <w:r w:rsidRPr="001D116F">
        <w:rPr>
          <w:rFonts w:ascii="Book Antiqua" w:hAnsi="Book Antiqua" w:cs="Lucida Grande"/>
        </w:rPr>
        <w:t>Women’s Court</w:t>
      </w:r>
      <w:r>
        <w:rPr>
          <w:rFonts w:ascii="Book Antiqua" w:hAnsi="Book Antiqua" w:cs="Lucida Grande"/>
        </w:rPr>
        <w:t>,</w:t>
      </w:r>
      <w:r w:rsidRPr="00B43C88">
        <w:rPr>
          <w:rFonts w:ascii="Book Antiqua" w:hAnsi="Book Antiqua"/>
        </w:rPr>
        <w:t xml:space="preserve"> 2011</w:t>
      </w:r>
      <w:r>
        <w:rPr>
          <w:rFonts w:ascii="Book Antiqua" w:hAnsi="Book Antiqua"/>
        </w:rPr>
        <w:t>: 21-48)</w:t>
      </w:r>
      <w:r w:rsidRPr="003848D1">
        <w:rPr>
          <w:rFonts w:ascii="Book Antiqua" w:hAnsi="Book Antiqua"/>
        </w:rPr>
        <w:t>.</w:t>
      </w:r>
    </w:p>
  </w:footnote>
  <w:footnote w:id="16">
    <w:p w14:paraId="611AF48E" w14:textId="111E1850" w:rsidR="00A30B59" w:rsidRPr="003848D1" w:rsidRDefault="00A30B59" w:rsidP="00AB3E16">
      <w:pPr>
        <w:pStyle w:val="FootnoteText"/>
        <w:rPr>
          <w:rFonts w:ascii="Book Antiqua" w:hAnsi="Book Antiqua"/>
        </w:rPr>
      </w:pPr>
      <w:r w:rsidRPr="003848D1">
        <w:rPr>
          <w:rStyle w:val="FootnoteReference"/>
          <w:rFonts w:ascii="Book Antiqua" w:hAnsi="Book Antiqua"/>
        </w:rPr>
        <w:footnoteRef/>
      </w:r>
      <w:r w:rsidRPr="003848D1">
        <w:rPr>
          <w:rFonts w:ascii="Book Antiqua" w:hAnsi="Book Antiqua"/>
        </w:rPr>
        <w:t xml:space="preserve"> Interview with Forum Žena Bratunac II, telephone interview, November 11, 2014.</w:t>
      </w:r>
      <w:r>
        <w:rPr>
          <w:rFonts w:ascii="Book Antiqua" w:hAnsi="Book Antiqua"/>
        </w:rPr>
        <w:t xml:space="preserve"> </w:t>
      </w:r>
    </w:p>
  </w:footnote>
  <w:footnote w:id="17">
    <w:p w14:paraId="737DCBE6" w14:textId="168DD0D0" w:rsidR="00A30B59" w:rsidRPr="00241DCA" w:rsidRDefault="00A30B59" w:rsidP="00AB3E16">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w:t>
      </w:r>
      <w:r>
        <w:rPr>
          <w:rFonts w:ascii="Book Antiqua" w:hAnsi="Book Antiqua"/>
        </w:rPr>
        <w:t xml:space="preserve">See field notes on the Women’s Court, May 7-10, 2015, </w:t>
      </w:r>
      <w:r w:rsidRPr="00241DCA">
        <w:rPr>
          <w:rFonts w:ascii="Book Antiqua" w:hAnsi="Book Antiqua"/>
        </w:rPr>
        <w:t>Session 6, n.1, woman from Macedoni</w:t>
      </w:r>
      <w:r>
        <w:rPr>
          <w:rFonts w:ascii="Book Antiqua" w:hAnsi="Book Antiqua"/>
        </w:rPr>
        <w:t>a.</w:t>
      </w:r>
    </w:p>
  </w:footnote>
  <w:footnote w:id="18">
    <w:p w14:paraId="3C0424DA" w14:textId="56574770" w:rsidR="00A30B59" w:rsidRPr="00241DCA" w:rsidRDefault="00A30B59" w:rsidP="00AB3E16">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w:t>
      </w:r>
      <w:r>
        <w:rPr>
          <w:rFonts w:ascii="Book Antiqua" w:hAnsi="Book Antiqua"/>
        </w:rPr>
        <w:t xml:space="preserve">Field notes on Women’s Court, </w:t>
      </w:r>
      <w:r w:rsidRPr="00241DCA">
        <w:rPr>
          <w:rFonts w:ascii="Book Antiqua" w:hAnsi="Book Antiqua"/>
        </w:rPr>
        <w:t xml:space="preserve">Session 2, n. 3, woman from Srebrenica. </w:t>
      </w:r>
    </w:p>
  </w:footnote>
  <w:footnote w:id="19">
    <w:p w14:paraId="06068110" w14:textId="04FF4630" w:rsidR="00A30B59" w:rsidRPr="00241DCA" w:rsidRDefault="00A30B59" w:rsidP="00AB3E16">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Explicit critiques to these issues were expressed in the preliminary recommendations of the judges</w:t>
      </w:r>
      <w:r>
        <w:rPr>
          <w:rFonts w:ascii="Book Antiqua" w:hAnsi="Book Antiqua"/>
        </w:rPr>
        <w:t xml:space="preserve"> (Women’s Court, Judicial Council, 2015)</w:t>
      </w:r>
      <w:r w:rsidRPr="00241DCA">
        <w:rPr>
          <w:rFonts w:ascii="Book Antiqua" w:hAnsi="Book Antiqua"/>
        </w:rPr>
        <w:t xml:space="preserve">. </w:t>
      </w:r>
    </w:p>
  </w:footnote>
  <w:footnote w:id="20">
    <w:p w14:paraId="72B0FCED" w14:textId="5034432D" w:rsidR="00A30B59" w:rsidRPr="00241DCA" w:rsidRDefault="00A30B59" w:rsidP="00AB3E16">
      <w:pPr>
        <w:pStyle w:val="FootnoteText"/>
        <w:rPr>
          <w:rFonts w:ascii="Book Antiqua" w:hAnsi="Book Antiqua"/>
        </w:rPr>
      </w:pPr>
      <w:r w:rsidRPr="00241DCA">
        <w:rPr>
          <w:rStyle w:val="FootnoteReference"/>
          <w:rFonts w:ascii="Book Antiqua" w:hAnsi="Book Antiqua"/>
        </w:rPr>
        <w:footnoteRef/>
      </w:r>
      <w:r w:rsidRPr="00241DCA">
        <w:rPr>
          <w:rFonts w:ascii="Book Antiqua" w:hAnsi="Book Antiqua"/>
        </w:rPr>
        <w:t xml:space="preserve"> </w:t>
      </w:r>
      <w:r>
        <w:rPr>
          <w:rFonts w:ascii="Book Antiqua" w:hAnsi="Book Antiqua"/>
        </w:rPr>
        <w:t>Field notes on Women’s Court, i</w:t>
      </w:r>
      <w:r w:rsidRPr="00241DCA">
        <w:rPr>
          <w:rFonts w:ascii="Book Antiqua" w:hAnsi="Book Antiqua"/>
        </w:rPr>
        <w:t>n particular testimonies from Sections 3 and 5.</w:t>
      </w:r>
    </w:p>
  </w:footnote>
  <w:footnote w:id="21">
    <w:p w14:paraId="0AE3FFE5" w14:textId="77777777" w:rsidR="00A30B59" w:rsidRPr="009A0DED" w:rsidRDefault="00A30B59" w:rsidP="00241DCA">
      <w:pPr>
        <w:widowControl w:val="0"/>
        <w:autoSpaceDE w:val="0"/>
        <w:autoSpaceDN w:val="0"/>
        <w:adjustRightInd w:val="0"/>
        <w:rPr>
          <w:rFonts w:ascii="Book Antiqua" w:hAnsi="Book Antiqua" w:cs="Times"/>
          <w:lang w:val="en-US"/>
        </w:rPr>
      </w:pPr>
      <w:r w:rsidRPr="00241DCA">
        <w:rPr>
          <w:rStyle w:val="FootnoteReference"/>
          <w:rFonts w:ascii="Book Antiqua" w:hAnsi="Book Antiqua"/>
          <w:sz w:val="20"/>
          <w:szCs w:val="20"/>
        </w:rPr>
        <w:footnoteRef/>
      </w:r>
      <w:r w:rsidRPr="00241DCA">
        <w:rPr>
          <w:rFonts w:ascii="Book Antiqua" w:hAnsi="Book Antiqua"/>
          <w:sz w:val="20"/>
          <w:szCs w:val="20"/>
        </w:rPr>
        <w:t xml:space="preserve"> </w:t>
      </w:r>
      <w:r w:rsidRPr="009A0DED">
        <w:rPr>
          <w:rFonts w:ascii="Book Antiqua" w:hAnsi="Book Antiqua" w:cs="Cambria"/>
          <w:sz w:val="20"/>
          <w:szCs w:val="20"/>
          <w:lang w:val="en-US"/>
        </w:rPr>
        <w:t>Ljupka Kovac</w:t>
      </w:r>
      <w:r w:rsidRPr="009A0DED">
        <w:rPr>
          <w:rFonts w:ascii="Times New Roman" w:hAnsi="Times New Roman" w:cs="Times New Roman"/>
          <w:sz w:val="20"/>
          <w:szCs w:val="20"/>
          <w:lang w:val="en-US"/>
        </w:rPr>
        <w:t>̌</w:t>
      </w:r>
      <w:r w:rsidRPr="009A0DED">
        <w:rPr>
          <w:rFonts w:ascii="Book Antiqua" w:hAnsi="Book Antiqua" w:cs="Cambria"/>
          <w:sz w:val="20"/>
          <w:szCs w:val="20"/>
          <w:lang w:val="en-US"/>
        </w:rPr>
        <w:t xml:space="preserve">ević of NGO Anima of Kotor during the Press Conference opening the WCB on May 5, 2015. </w:t>
      </w:r>
    </w:p>
  </w:footnote>
  <w:footnote w:id="22">
    <w:p w14:paraId="67DCA7F7" w14:textId="77777777" w:rsidR="00A30B59" w:rsidRPr="003848D1" w:rsidRDefault="00A30B59">
      <w:pPr>
        <w:pStyle w:val="FootnoteText"/>
        <w:rPr>
          <w:rFonts w:ascii="Book Antiqua" w:hAnsi="Book Antiqua"/>
        </w:rPr>
      </w:pPr>
      <w:r w:rsidRPr="003848D1">
        <w:rPr>
          <w:rStyle w:val="FootnoteReference"/>
          <w:rFonts w:ascii="Book Antiqua" w:hAnsi="Book Antiqua"/>
        </w:rPr>
        <w:footnoteRef/>
      </w:r>
      <w:r w:rsidRPr="003848D1">
        <w:rPr>
          <w:rFonts w:ascii="Book Antiqua" w:hAnsi="Book Antiqua"/>
        </w:rPr>
        <w:t xml:space="preserve"> Interview with feminist activist, Sarajevo, May 27, 2015.</w:t>
      </w:r>
    </w:p>
  </w:footnote>
  <w:footnote w:id="23">
    <w:p w14:paraId="7CC39775" w14:textId="51DE451F" w:rsidR="00A30B59" w:rsidRPr="009A0DED" w:rsidRDefault="00A30B59">
      <w:pPr>
        <w:pStyle w:val="FootnoteText"/>
        <w:rPr>
          <w:lang w:val="en-US"/>
        </w:rPr>
      </w:pPr>
      <w:r>
        <w:rPr>
          <w:rStyle w:val="FootnoteReference"/>
        </w:rPr>
        <w:footnoteRef/>
      </w:r>
      <w:r>
        <w:t xml:space="preserve"> </w:t>
      </w:r>
      <w:r w:rsidR="002803C2">
        <w:rPr>
          <w:rFonts w:ascii="Book Antiqua" w:hAnsi="Book Antiqua"/>
        </w:rPr>
        <w:t>F</w:t>
      </w:r>
      <w:r>
        <w:rPr>
          <w:rFonts w:ascii="Book Antiqua" w:hAnsi="Book Antiqua"/>
        </w:rPr>
        <w:t>or example,</w:t>
      </w:r>
      <w:r w:rsidRPr="003848D1">
        <w:rPr>
          <w:rFonts w:ascii="Book Antiqua" w:hAnsi="Book Antiqua"/>
        </w:rPr>
        <w:t xml:space="preserve"> interview with Jadranka Mili</w:t>
      </w:r>
      <w:r w:rsidRPr="003848D1">
        <w:rPr>
          <w:rFonts w:ascii="Book Antiqua" w:hAnsi="Book Antiqua" w:cs="Times New Roman"/>
        </w:rPr>
        <w:t>č</w:t>
      </w:r>
      <w:r w:rsidRPr="003848D1">
        <w:rPr>
          <w:rFonts w:ascii="Book Antiqua" w:hAnsi="Book Antiqua"/>
        </w:rPr>
        <w:t>evi</w:t>
      </w:r>
      <w:r w:rsidRPr="003848D1">
        <w:rPr>
          <w:rFonts w:ascii="Book Antiqua" w:hAnsi="Book Antiqua" w:cs="Times New Roman"/>
        </w:rPr>
        <w:t>ć</w:t>
      </w:r>
      <w:r w:rsidRPr="003848D1">
        <w:rPr>
          <w:rFonts w:ascii="Book Antiqua" w:hAnsi="Book Antiqua"/>
        </w:rPr>
        <w:t>, Foundation ‘Cure’, Sarajevo, December 15, 2015</w:t>
      </w:r>
      <w:r>
        <w:rPr>
          <w:rFonts w:ascii="Book Antiqua" w:hAnsi="Book Antiqua"/>
        </w:rPr>
        <w:t>.</w:t>
      </w:r>
    </w:p>
  </w:footnote>
  <w:footnote w:id="24">
    <w:p w14:paraId="1CEE9CB6" w14:textId="05FA72A4" w:rsidR="00A30B59" w:rsidRPr="00D95825" w:rsidRDefault="00A30B59">
      <w:pPr>
        <w:pStyle w:val="FootnoteText"/>
      </w:pPr>
      <w:r w:rsidRPr="00143ED6">
        <w:rPr>
          <w:rStyle w:val="FootnoteReference"/>
          <w:rFonts w:ascii="Book Antiqua" w:hAnsi="Book Antiqua"/>
        </w:rPr>
        <w:footnoteRef/>
      </w:r>
      <w:r w:rsidRPr="00143ED6">
        <w:rPr>
          <w:rFonts w:ascii="Book Antiqua" w:hAnsi="Book Antiqua"/>
        </w:rPr>
        <w:t xml:space="preserve"> Bosnia and Herzegovina is divided in two entities: the Federation of Bosnia and Herzegovina and Republika Srpska, each with their own government, and the Brčko District. The Federation is further divided into ten cantons, which also elect cantonal governments. Both the cantons and the entity of Republika Srpska are composed of municipalities.</w:t>
      </w:r>
      <w:r>
        <w:t xml:space="preserve"> </w:t>
      </w:r>
    </w:p>
  </w:footnote>
  <w:footnote w:id="25">
    <w:p w14:paraId="039C5AC1" w14:textId="77777777" w:rsidR="00A30B59" w:rsidRPr="003848D1" w:rsidRDefault="00A30B59">
      <w:pPr>
        <w:pStyle w:val="FootnoteText"/>
        <w:rPr>
          <w:rFonts w:ascii="Book Antiqua" w:hAnsi="Book Antiqua"/>
        </w:rPr>
      </w:pPr>
      <w:r w:rsidRPr="003848D1">
        <w:rPr>
          <w:rStyle w:val="FootnoteReference"/>
          <w:rFonts w:ascii="Book Antiqua" w:hAnsi="Book Antiqua"/>
        </w:rPr>
        <w:footnoteRef/>
      </w:r>
      <w:r w:rsidRPr="003848D1">
        <w:rPr>
          <w:rFonts w:ascii="Book Antiqua" w:hAnsi="Book Antiqua"/>
        </w:rPr>
        <w:t xml:space="preserve"> Based on interview research conducted in Prijedor in the summer of 2015.  </w:t>
      </w:r>
    </w:p>
  </w:footnote>
  <w:footnote w:id="26">
    <w:p w14:paraId="20525BC8" w14:textId="6DED755B" w:rsidR="00A30B59" w:rsidRPr="003848D1" w:rsidRDefault="00A30B59">
      <w:pPr>
        <w:pStyle w:val="FootnoteText"/>
        <w:rPr>
          <w:rFonts w:ascii="Book Antiqua" w:hAnsi="Book Antiqua"/>
        </w:rPr>
      </w:pPr>
      <w:r w:rsidRPr="003848D1">
        <w:rPr>
          <w:rStyle w:val="FootnoteReference"/>
          <w:rFonts w:ascii="Book Antiqua" w:hAnsi="Book Antiqua"/>
        </w:rPr>
        <w:footnoteRef/>
      </w:r>
      <w:r w:rsidRPr="003848D1">
        <w:rPr>
          <w:rFonts w:ascii="Book Antiqua" w:hAnsi="Book Antiqua"/>
        </w:rPr>
        <w:t xml:space="preserve"> See interviews with Sarajevo activists on 5 May 2015 and 21 May 2015, and Zenica activist, 7 May 2015. See also</w:t>
      </w:r>
      <w:r>
        <w:rPr>
          <w:rFonts w:ascii="Book Antiqua" w:hAnsi="Book Antiqua"/>
        </w:rPr>
        <w:t xml:space="preserve"> BH Protest Files, 2014c.</w:t>
      </w:r>
      <w:r w:rsidRPr="003848D1">
        <w:rPr>
          <w:rFonts w:ascii="Book Antiqua" w:hAnsi="Book Antiqua"/>
        </w:rPr>
        <w:t xml:space="preserve"> </w:t>
      </w:r>
    </w:p>
  </w:footnote>
  <w:footnote w:id="27">
    <w:p w14:paraId="5EDB9EFD" w14:textId="48603DEC" w:rsidR="00A30B59" w:rsidRPr="009A0DED" w:rsidRDefault="00A30B59">
      <w:pPr>
        <w:pStyle w:val="FootnoteText"/>
        <w:rPr>
          <w:rFonts w:ascii="Book Antiqua" w:hAnsi="Book Antiqua"/>
        </w:rPr>
      </w:pPr>
      <w:r w:rsidRPr="009A0DED">
        <w:rPr>
          <w:rStyle w:val="FootnoteReference"/>
          <w:rFonts w:ascii="Book Antiqua" w:hAnsi="Book Antiqua"/>
        </w:rPr>
        <w:footnoteRef/>
      </w:r>
      <w:r w:rsidRPr="009A0DED">
        <w:rPr>
          <w:rFonts w:ascii="Book Antiqua" w:hAnsi="Book Antiqua"/>
        </w:rPr>
        <w:t xml:space="preserve"> </w:t>
      </w:r>
      <w:r>
        <w:rPr>
          <w:rFonts w:ascii="Book Antiqua" w:hAnsi="Book Antiqua"/>
        </w:rPr>
        <w:t xml:space="preserve">Fieldnotes, Tuzla 1 May 2015; see also the Bulletin of Plenum Zenica (Plenum Zenica, 2016). </w:t>
      </w:r>
    </w:p>
  </w:footnote>
  <w:footnote w:id="28">
    <w:p w14:paraId="64C45890" w14:textId="77777777" w:rsidR="00A30B59" w:rsidRPr="003848D1" w:rsidRDefault="00A30B59">
      <w:pPr>
        <w:pStyle w:val="FootnoteText"/>
        <w:rPr>
          <w:rFonts w:ascii="Book Antiqua" w:hAnsi="Book Antiqua"/>
        </w:rPr>
      </w:pPr>
      <w:r w:rsidRPr="003848D1">
        <w:rPr>
          <w:rStyle w:val="FootnoteReference"/>
          <w:rFonts w:ascii="Book Antiqua" w:hAnsi="Book Antiqua"/>
        </w:rPr>
        <w:footnoteRef/>
      </w:r>
      <w:r w:rsidRPr="003848D1">
        <w:rPr>
          <w:rFonts w:ascii="Book Antiqua" w:hAnsi="Book Antiqua"/>
        </w:rPr>
        <w:t xml:space="preserve"> Interview with activist in Sarajevo, 21 May 2015. </w:t>
      </w:r>
    </w:p>
  </w:footnote>
  <w:footnote w:id="29">
    <w:p w14:paraId="68B08F3A" w14:textId="3D96E428" w:rsidR="00A30B59" w:rsidRPr="009A0DED" w:rsidRDefault="00A30B59">
      <w:pPr>
        <w:pStyle w:val="FootnoteText"/>
        <w:rPr>
          <w:rFonts w:ascii="Book Antiqua" w:hAnsi="Book Antiqua"/>
        </w:rPr>
      </w:pPr>
      <w:r w:rsidRPr="009A0DED">
        <w:rPr>
          <w:rStyle w:val="FootnoteReference"/>
          <w:rFonts w:ascii="Book Antiqua" w:hAnsi="Book Antiqua"/>
        </w:rPr>
        <w:footnoteRef/>
      </w:r>
      <w:r w:rsidRPr="009A0DED">
        <w:rPr>
          <w:rFonts w:ascii="Book Antiqua" w:hAnsi="Book Antiqua"/>
        </w:rPr>
        <w:t xml:space="preserve"> Interview with activist in Sarajevo, 16 September 2015.</w:t>
      </w:r>
    </w:p>
  </w:footnote>
  <w:footnote w:id="30">
    <w:p w14:paraId="1D586E8D" w14:textId="2696C0D3" w:rsidR="00A30B59" w:rsidRDefault="00A30B59">
      <w:pPr>
        <w:pStyle w:val="FootnoteText"/>
      </w:pPr>
      <w:r>
        <w:rPr>
          <w:rStyle w:val="FootnoteReference"/>
        </w:rPr>
        <w:footnoteRef/>
      </w:r>
      <w:r>
        <w:t xml:space="preserve"> Interview with activist in Sarajevo, 16 September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B55A" w14:textId="3FC4739A" w:rsidR="00A30B59" w:rsidRPr="008D7152" w:rsidRDefault="00A30B59" w:rsidP="008D7152">
    <w:pPr>
      <w:pStyle w:val="Header"/>
      <w:jc w:val="right"/>
      <w:rPr>
        <w:rFonts w:ascii="Book Antiqua" w:hAnsi="Book Antiqua"/>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07B0"/>
    <w:multiLevelType w:val="hybridMultilevel"/>
    <w:tmpl w:val="3EF2344A"/>
    <w:lvl w:ilvl="0" w:tplc="FF8A1904">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7908CC"/>
    <w:multiLevelType w:val="hybridMultilevel"/>
    <w:tmpl w:val="EFCC1ABC"/>
    <w:lvl w:ilvl="0" w:tplc="FF8A1904">
      <w:numFmt w:val="bullet"/>
      <w:lvlText w:val="-"/>
      <w:lvlJc w:val="left"/>
      <w:pPr>
        <w:ind w:left="708" w:hanging="360"/>
      </w:pPr>
      <w:rPr>
        <w:rFonts w:ascii="Book Antiqua" w:eastAsiaTheme="minorHAnsi" w:hAnsi="Book Antiqua" w:cstheme="minorBidi"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2" w15:restartNumberingAfterBreak="0">
    <w:nsid w:val="54C01D52"/>
    <w:multiLevelType w:val="hybridMultilevel"/>
    <w:tmpl w:val="153C22E8"/>
    <w:lvl w:ilvl="0" w:tplc="0809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9E2A17"/>
    <w:multiLevelType w:val="hybridMultilevel"/>
    <w:tmpl w:val="ACF4982C"/>
    <w:lvl w:ilvl="0" w:tplc="EB36FB1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93C55"/>
    <w:multiLevelType w:val="hybridMultilevel"/>
    <w:tmpl w:val="83D03320"/>
    <w:lvl w:ilvl="0" w:tplc="08090001">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29D"/>
    <w:rsid w:val="000062E4"/>
    <w:rsid w:val="00006740"/>
    <w:rsid w:val="00021F80"/>
    <w:rsid w:val="00027FEA"/>
    <w:rsid w:val="00030989"/>
    <w:rsid w:val="00031235"/>
    <w:rsid w:val="00032EB6"/>
    <w:rsid w:val="00035B0E"/>
    <w:rsid w:val="0004235C"/>
    <w:rsid w:val="0004250F"/>
    <w:rsid w:val="00044C1C"/>
    <w:rsid w:val="00045A29"/>
    <w:rsid w:val="0005028F"/>
    <w:rsid w:val="00053BAF"/>
    <w:rsid w:val="00054F0C"/>
    <w:rsid w:val="000572F9"/>
    <w:rsid w:val="000710B4"/>
    <w:rsid w:val="000723C2"/>
    <w:rsid w:val="00073773"/>
    <w:rsid w:val="00076A89"/>
    <w:rsid w:val="00080BE0"/>
    <w:rsid w:val="00082663"/>
    <w:rsid w:val="0008682C"/>
    <w:rsid w:val="00090F89"/>
    <w:rsid w:val="00091B29"/>
    <w:rsid w:val="000A022A"/>
    <w:rsid w:val="000A3D4D"/>
    <w:rsid w:val="000A5795"/>
    <w:rsid w:val="000A7164"/>
    <w:rsid w:val="000B3E24"/>
    <w:rsid w:val="000B729F"/>
    <w:rsid w:val="000C0D08"/>
    <w:rsid w:val="000C79DE"/>
    <w:rsid w:val="000E104B"/>
    <w:rsid w:val="000E2F68"/>
    <w:rsid w:val="000E6F6B"/>
    <w:rsid w:val="000F4CD4"/>
    <w:rsid w:val="000F5C4A"/>
    <w:rsid w:val="0010402C"/>
    <w:rsid w:val="00105CE3"/>
    <w:rsid w:val="00112994"/>
    <w:rsid w:val="00115DDE"/>
    <w:rsid w:val="00116B7C"/>
    <w:rsid w:val="00120946"/>
    <w:rsid w:val="00121E3B"/>
    <w:rsid w:val="00122094"/>
    <w:rsid w:val="0012474F"/>
    <w:rsid w:val="001279A5"/>
    <w:rsid w:val="001320FF"/>
    <w:rsid w:val="001359DF"/>
    <w:rsid w:val="00136FBA"/>
    <w:rsid w:val="00140D16"/>
    <w:rsid w:val="00143ED6"/>
    <w:rsid w:val="00144E4C"/>
    <w:rsid w:val="001502C5"/>
    <w:rsid w:val="0015149E"/>
    <w:rsid w:val="001575FA"/>
    <w:rsid w:val="00160CA3"/>
    <w:rsid w:val="001622E3"/>
    <w:rsid w:val="00170DC5"/>
    <w:rsid w:val="00174486"/>
    <w:rsid w:val="00177265"/>
    <w:rsid w:val="001803FD"/>
    <w:rsid w:val="00182EA1"/>
    <w:rsid w:val="001A423B"/>
    <w:rsid w:val="001B0127"/>
    <w:rsid w:val="001B6CBF"/>
    <w:rsid w:val="001B73C8"/>
    <w:rsid w:val="001C3BA6"/>
    <w:rsid w:val="001C452D"/>
    <w:rsid w:val="001D116F"/>
    <w:rsid w:val="001D2917"/>
    <w:rsid w:val="001D2A13"/>
    <w:rsid w:val="001D499C"/>
    <w:rsid w:val="001E03D8"/>
    <w:rsid w:val="001E2CE9"/>
    <w:rsid w:val="001E3B69"/>
    <w:rsid w:val="001E47C3"/>
    <w:rsid w:val="00205379"/>
    <w:rsid w:val="00214C78"/>
    <w:rsid w:val="00225157"/>
    <w:rsid w:val="002266D7"/>
    <w:rsid w:val="002270A0"/>
    <w:rsid w:val="00227404"/>
    <w:rsid w:val="0023110A"/>
    <w:rsid w:val="00231B47"/>
    <w:rsid w:val="00232D44"/>
    <w:rsid w:val="0023465C"/>
    <w:rsid w:val="00241DCA"/>
    <w:rsid w:val="00242977"/>
    <w:rsid w:val="00254B9F"/>
    <w:rsid w:val="00256E6A"/>
    <w:rsid w:val="00262A54"/>
    <w:rsid w:val="002668F3"/>
    <w:rsid w:val="00266CF5"/>
    <w:rsid w:val="002728C2"/>
    <w:rsid w:val="0027352F"/>
    <w:rsid w:val="00277161"/>
    <w:rsid w:val="002803C2"/>
    <w:rsid w:val="00280D07"/>
    <w:rsid w:val="00280EE8"/>
    <w:rsid w:val="00286C40"/>
    <w:rsid w:val="00290F5D"/>
    <w:rsid w:val="0029247C"/>
    <w:rsid w:val="002942D8"/>
    <w:rsid w:val="00296B4A"/>
    <w:rsid w:val="002A31DA"/>
    <w:rsid w:val="002A3C38"/>
    <w:rsid w:val="002B24F0"/>
    <w:rsid w:val="002B3050"/>
    <w:rsid w:val="002B64EA"/>
    <w:rsid w:val="002C026E"/>
    <w:rsid w:val="002D24E3"/>
    <w:rsid w:val="002D4592"/>
    <w:rsid w:val="002E03EB"/>
    <w:rsid w:val="002E0797"/>
    <w:rsid w:val="002E119B"/>
    <w:rsid w:val="002E363A"/>
    <w:rsid w:val="002E45E6"/>
    <w:rsid w:val="002E7EEE"/>
    <w:rsid w:val="002F4700"/>
    <w:rsid w:val="002F49C8"/>
    <w:rsid w:val="002F4EC9"/>
    <w:rsid w:val="00300A4C"/>
    <w:rsid w:val="00305CEA"/>
    <w:rsid w:val="00310C12"/>
    <w:rsid w:val="00311F68"/>
    <w:rsid w:val="00321FF7"/>
    <w:rsid w:val="00323F37"/>
    <w:rsid w:val="003265EA"/>
    <w:rsid w:val="003333C7"/>
    <w:rsid w:val="00337C25"/>
    <w:rsid w:val="00337F9D"/>
    <w:rsid w:val="00340120"/>
    <w:rsid w:val="0034385A"/>
    <w:rsid w:val="00347990"/>
    <w:rsid w:val="00347BE6"/>
    <w:rsid w:val="00351D0E"/>
    <w:rsid w:val="0035254B"/>
    <w:rsid w:val="0035389D"/>
    <w:rsid w:val="00355558"/>
    <w:rsid w:val="003645D5"/>
    <w:rsid w:val="00364905"/>
    <w:rsid w:val="0036574F"/>
    <w:rsid w:val="0036775E"/>
    <w:rsid w:val="00367AA4"/>
    <w:rsid w:val="00370309"/>
    <w:rsid w:val="0037077B"/>
    <w:rsid w:val="00372666"/>
    <w:rsid w:val="003848D1"/>
    <w:rsid w:val="003864EA"/>
    <w:rsid w:val="003914A4"/>
    <w:rsid w:val="0039600D"/>
    <w:rsid w:val="003967C3"/>
    <w:rsid w:val="00397E33"/>
    <w:rsid w:val="003A0B6B"/>
    <w:rsid w:val="003A3FFE"/>
    <w:rsid w:val="003A4297"/>
    <w:rsid w:val="003B2951"/>
    <w:rsid w:val="003B5EB5"/>
    <w:rsid w:val="003B7570"/>
    <w:rsid w:val="003C0BDA"/>
    <w:rsid w:val="003C0E24"/>
    <w:rsid w:val="003C483C"/>
    <w:rsid w:val="003C5D2D"/>
    <w:rsid w:val="003D3933"/>
    <w:rsid w:val="003D6A16"/>
    <w:rsid w:val="003D6ED5"/>
    <w:rsid w:val="003F15D3"/>
    <w:rsid w:val="003F2361"/>
    <w:rsid w:val="003F384F"/>
    <w:rsid w:val="00400912"/>
    <w:rsid w:val="00403A3F"/>
    <w:rsid w:val="00404552"/>
    <w:rsid w:val="004176D3"/>
    <w:rsid w:val="0042046F"/>
    <w:rsid w:val="00420971"/>
    <w:rsid w:val="004224E6"/>
    <w:rsid w:val="00423303"/>
    <w:rsid w:val="004249C2"/>
    <w:rsid w:val="00425A4C"/>
    <w:rsid w:val="00431693"/>
    <w:rsid w:val="00445AE9"/>
    <w:rsid w:val="00447552"/>
    <w:rsid w:val="00454BFE"/>
    <w:rsid w:val="00455AF6"/>
    <w:rsid w:val="00461CA5"/>
    <w:rsid w:val="00461D7C"/>
    <w:rsid w:val="00466018"/>
    <w:rsid w:val="00471344"/>
    <w:rsid w:val="00473EF3"/>
    <w:rsid w:val="00475DC2"/>
    <w:rsid w:val="00476888"/>
    <w:rsid w:val="00480B1A"/>
    <w:rsid w:val="0048681A"/>
    <w:rsid w:val="0049184A"/>
    <w:rsid w:val="0049214C"/>
    <w:rsid w:val="00493F6F"/>
    <w:rsid w:val="004A1A26"/>
    <w:rsid w:val="004A4749"/>
    <w:rsid w:val="004A5FC5"/>
    <w:rsid w:val="004B03C0"/>
    <w:rsid w:val="004B24E7"/>
    <w:rsid w:val="004C045D"/>
    <w:rsid w:val="004C0F69"/>
    <w:rsid w:val="004C229D"/>
    <w:rsid w:val="004C3BB2"/>
    <w:rsid w:val="004D07C3"/>
    <w:rsid w:val="004D14DC"/>
    <w:rsid w:val="004D6866"/>
    <w:rsid w:val="004E46E6"/>
    <w:rsid w:val="004E5115"/>
    <w:rsid w:val="004E5907"/>
    <w:rsid w:val="004E7428"/>
    <w:rsid w:val="00503019"/>
    <w:rsid w:val="005056FF"/>
    <w:rsid w:val="00506CD8"/>
    <w:rsid w:val="00507A5A"/>
    <w:rsid w:val="00511162"/>
    <w:rsid w:val="00511AF2"/>
    <w:rsid w:val="00526553"/>
    <w:rsid w:val="0053126B"/>
    <w:rsid w:val="00531EBA"/>
    <w:rsid w:val="00533EB6"/>
    <w:rsid w:val="0053733B"/>
    <w:rsid w:val="0054251D"/>
    <w:rsid w:val="0054271D"/>
    <w:rsid w:val="00543478"/>
    <w:rsid w:val="005455E5"/>
    <w:rsid w:val="005466D4"/>
    <w:rsid w:val="00550A20"/>
    <w:rsid w:val="00555E9A"/>
    <w:rsid w:val="00556951"/>
    <w:rsid w:val="00561037"/>
    <w:rsid w:val="00565CC0"/>
    <w:rsid w:val="0057354C"/>
    <w:rsid w:val="00575DB6"/>
    <w:rsid w:val="00580F35"/>
    <w:rsid w:val="00586017"/>
    <w:rsid w:val="005916AD"/>
    <w:rsid w:val="00594AAF"/>
    <w:rsid w:val="005A3164"/>
    <w:rsid w:val="005A3B01"/>
    <w:rsid w:val="005A6D17"/>
    <w:rsid w:val="005B0C46"/>
    <w:rsid w:val="005B587B"/>
    <w:rsid w:val="005B5BE6"/>
    <w:rsid w:val="005B5E8D"/>
    <w:rsid w:val="005C139A"/>
    <w:rsid w:val="005C1F67"/>
    <w:rsid w:val="005C228E"/>
    <w:rsid w:val="005C4F2E"/>
    <w:rsid w:val="005D11D6"/>
    <w:rsid w:val="005D3EA6"/>
    <w:rsid w:val="005D6814"/>
    <w:rsid w:val="005D7A67"/>
    <w:rsid w:val="005E0072"/>
    <w:rsid w:val="005E27D6"/>
    <w:rsid w:val="005E306A"/>
    <w:rsid w:val="005E46D6"/>
    <w:rsid w:val="005E4CD5"/>
    <w:rsid w:val="005E7A3D"/>
    <w:rsid w:val="005F504A"/>
    <w:rsid w:val="005F72BD"/>
    <w:rsid w:val="006017B5"/>
    <w:rsid w:val="00605C22"/>
    <w:rsid w:val="0060662B"/>
    <w:rsid w:val="00611F20"/>
    <w:rsid w:val="006141AC"/>
    <w:rsid w:val="0062290D"/>
    <w:rsid w:val="00623E40"/>
    <w:rsid w:val="00625851"/>
    <w:rsid w:val="00632CC0"/>
    <w:rsid w:val="00634B4A"/>
    <w:rsid w:val="00634C1F"/>
    <w:rsid w:val="006419FB"/>
    <w:rsid w:val="0064238E"/>
    <w:rsid w:val="0064286A"/>
    <w:rsid w:val="0065032B"/>
    <w:rsid w:val="00652C8D"/>
    <w:rsid w:val="00657BC4"/>
    <w:rsid w:val="00657D00"/>
    <w:rsid w:val="00661645"/>
    <w:rsid w:val="006627DB"/>
    <w:rsid w:val="006639E5"/>
    <w:rsid w:val="0066507A"/>
    <w:rsid w:val="00677F3E"/>
    <w:rsid w:val="00681629"/>
    <w:rsid w:val="00683DBA"/>
    <w:rsid w:val="00691ED3"/>
    <w:rsid w:val="0069232E"/>
    <w:rsid w:val="006928B3"/>
    <w:rsid w:val="00692F6D"/>
    <w:rsid w:val="006955DF"/>
    <w:rsid w:val="006970A2"/>
    <w:rsid w:val="00697F7A"/>
    <w:rsid w:val="006A0CCA"/>
    <w:rsid w:val="006B7B64"/>
    <w:rsid w:val="006C391A"/>
    <w:rsid w:val="006C667F"/>
    <w:rsid w:val="006D0ADE"/>
    <w:rsid w:val="006F2DBD"/>
    <w:rsid w:val="006F2E52"/>
    <w:rsid w:val="006F39CB"/>
    <w:rsid w:val="006F5A82"/>
    <w:rsid w:val="00700E69"/>
    <w:rsid w:val="00702AA1"/>
    <w:rsid w:val="00704407"/>
    <w:rsid w:val="0070722B"/>
    <w:rsid w:val="007104F5"/>
    <w:rsid w:val="0071238E"/>
    <w:rsid w:val="00713B2B"/>
    <w:rsid w:val="00715E3B"/>
    <w:rsid w:val="00717279"/>
    <w:rsid w:val="00727A32"/>
    <w:rsid w:val="00733FD1"/>
    <w:rsid w:val="00734644"/>
    <w:rsid w:val="007424FA"/>
    <w:rsid w:val="00744F67"/>
    <w:rsid w:val="00746A36"/>
    <w:rsid w:val="0075298A"/>
    <w:rsid w:val="00757132"/>
    <w:rsid w:val="00761E03"/>
    <w:rsid w:val="00762127"/>
    <w:rsid w:val="00763A13"/>
    <w:rsid w:val="0076569A"/>
    <w:rsid w:val="00775BF8"/>
    <w:rsid w:val="00775DBD"/>
    <w:rsid w:val="007766A7"/>
    <w:rsid w:val="0078012E"/>
    <w:rsid w:val="00780D21"/>
    <w:rsid w:val="00790908"/>
    <w:rsid w:val="007936AB"/>
    <w:rsid w:val="00793CC6"/>
    <w:rsid w:val="007A1EA0"/>
    <w:rsid w:val="007A3538"/>
    <w:rsid w:val="007B697D"/>
    <w:rsid w:val="007C04B2"/>
    <w:rsid w:val="007C1848"/>
    <w:rsid w:val="007C3479"/>
    <w:rsid w:val="007C3DB7"/>
    <w:rsid w:val="007C4E57"/>
    <w:rsid w:val="007C53E7"/>
    <w:rsid w:val="007D039A"/>
    <w:rsid w:val="007D107E"/>
    <w:rsid w:val="007D3BE4"/>
    <w:rsid w:val="007D719B"/>
    <w:rsid w:val="007E210F"/>
    <w:rsid w:val="007E23C5"/>
    <w:rsid w:val="007F0B1F"/>
    <w:rsid w:val="007F0D69"/>
    <w:rsid w:val="00802E60"/>
    <w:rsid w:val="00812473"/>
    <w:rsid w:val="008163A1"/>
    <w:rsid w:val="00823329"/>
    <w:rsid w:val="00823CF1"/>
    <w:rsid w:val="00824D96"/>
    <w:rsid w:val="0082630C"/>
    <w:rsid w:val="00826A78"/>
    <w:rsid w:val="008347F1"/>
    <w:rsid w:val="00835509"/>
    <w:rsid w:val="008402C8"/>
    <w:rsid w:val="0084139C"/>
    <w:rsid w:val="00841902"/>
    <w:rsid w:val="008505AB"/>
    <w:rsid w:val="008525F2"/>
    <w:rsid w:val="008528F6"/>
    <w:rsid w:val="00852B78"/>
    <w:rsid w:val="00854A64"/>
    <w:rsid w:val="00857B44"/>
    <w:rsid w:val="00865ACA"/>
    <w:rsid w:val="00866A91"/>
    <w:rsid w:val="008734ED"/>
    <w:rsid w:val="00874AD4"/>
    <w:rsid w:val="008756C2"/>
    <w:rsid w:val="00882682"/>
    <w:rsid w:val="00885121"/>
    <w:rsid w:val="00890497"/>
    <w:rsid w:val="00891B44"/>
    <w:rsid w:val="008947E9"/>
    <w:rsid w:val="00896C02"/>
    <w:rsid w:val="008A0FE0"/>
    <w:rsid w:val="008A48AF"/>
    <w:rsid w:val="008A6DEE"/>
    <w:rsid w:val="008D7152"/>
    <w:rsid w:val="008E2573"/>
    <w:rsid w:val="008E43C5"/>
    <w:rsid w:val="008E5BA6"/>
    <w:rsid w:val="008F36E0"/>
    <w:rsid w:val="008F726A"/>
    <w:rsid w:val="009104EA"/>
    <w:rsid w:val="00913F18"/>
    <w:rsid w:val="00917708"/>
    <w:rsid w:val="00920A30"/>
    <w:rsid w:val="009258B3"/>
    <w:rsid w:val="00926168"/>
    <w:rsid w:val="00926447"/>
    <w:rsid w:val="00933738"/>
    <w:rsid w:val="00944ECD"/>
    <w:rsid w:val="00945413"/>
    <w:rsid w:val="00983D34"/>
    <w:rsid w:val="00983E42"/>
    <w:rsid w:val="00984E61"/>
    <w:rsid w:val="00986792"/>
    <w:rsid w:val="009A0DED"/>
    <w:rsid w:val="009A32B2"/>
    <w:rsid w:val="009A433E"/>
    <w:rsid w:val="009A456F"/>
    <w:rsid w:val="009A4A0E"/>
    <w:rsid w:val="009B0F62"/>
    <w:rsid w:val="009B0FEE"/>
    <w:rsid w:val="009B512B"/>
    <w:rsid w:val="009B7A3B"/>
    <w:rsid w:val="009C01B6"/>
    <w:rsid w:val="009C0CF9"/>
    <w:rsid w:val="009C7111"/>
    <w:rsid w:val="009D2C2A"/>
    <w:rsid w:val="009D48F3"/>
    <w:rsid w:val="00A11012"/>
    <w:rsid w:val="00A165C3"/>
    <w:rsid w:val="00A22773"/>
    <w:rsid w:val="00A231AC"/>
    <w:rsid w:val="00A2526C"/>
    <w:rsid w:val="00A26A5C"/>
    <w:rsid w:val="00A30B59"/>
    <w:rsid w:val="00A41617"/>
    <w:rsid w:val="00A5102A"/>
    <w:rsid w:val="00A61083"/>
    <w:rsid w:val="00A63BF5"/>
    <w:rsid w:val="00A70CC7"/>
    <w:rsid w:val="00A80DFF"/>
    <w:rsid w:val="00A86D15"/>
    <w:rsid w:val="00A86E02"/>
    <w:rsid w:val="00A94FE8"/>
    <w:rsid w:val="00A96938"/>
    <w:rsid w:val="00AA0152"/>
    <w:rsid w:val="00AA0732"/>
    <w:rsid w:val="00AB0B4C"/>
    <w:rsid w:val="00AB3E16"/>
    <w:rsid w:val="00AB5983"/>
    <w:rsid w:val="00AC359C"/>
    <w:rsid w:val="00AC6459"/>
    <w:rsid w:val="00AD69CF"/>
    <w:rsid w:val="00AE295A"/>
    <w:rsid w:val="00AE697C"/>
    <w:rsid w:val="00AE7E42"/>
    <w:rsid w:val="00AF5203"/>
    <w:rsid w:val="00AF572A"/>
    <w:rsid w:val="00AF746A"/>
    <w:rsid w:val="00B006DC"/>
    <w:rsid w:val="00B00F85"/>
    <w:rsid w:val="00B06AB0"/>
    <w:rsid w:val="00B17DFE"/>
    <w:rsid w:val="00B2076A"/>
    <w:rsid w:val="00B21502"/>
    <w:rsid w:val="00B35460"/>
    <w:rsid w:val="00B354ED"/>
    <w:rsid w:val="00B43C88"/>
    <w:rsid w:val="00B45A2C"/>
    <w:rsid w:val="00B45A43"/>
    <w:rsid w:val="00B50954"/>
    <w:rsid w:val="00B51FC7"/>
    <w:rsid w:val="00B5485A"/>
    <w:rsid w:val="00B63F2C"/>
    <w:rsid w:val="00B64AF7"/>
    <w:rsid w:val="00B76006"/>
    <w:rsid w:val="00B81AF7"/>
    <w:rsid w:val="00B82278"/>
    <w:rsid w:val="00B87540"/>
    <w:rsid w:val="00B87BB8"/>
    <w:rsid w:val="00B94271"/>
    <w:rsid w:val="00B953BC"/>
    <w:rsid w:val="00BA0081"/>
    <w:rsid w:val="00BA1E3E"/>
    <w:rsid w:val="00BA549E"/>
    <w:rsid w:val="00BB031A"/>
    <w:rsid w:val="00BC5B14"/>
    <w:rsid w:val="00BE26AD"/>
    <w:rsid w:val="00BF4DA0"/>
    <w:rsid w:val="00BF5BD6"/>
    <w:rsid w:val="00BF7BB4"/>
    <w:rsid w:val="00C008B2"/>
    <w:rsid w:val="00C04EC6"/>
    <w:rsid w:val="00C10BB1"/>
    <w:rsid w:val="00C1509F"/>
    <w:rsid w:val="00C17488"/>
    <w:rsid w:val="00C2649A"/>
    <w:rsid w:val="00C270B4"/>
    <w:rsid w:val="00C30721"/>
    <w:rsid w:val="00C3125B"/>
    <w:rsid w:val="00C339A8"/>
    <w:rsid w:val="00C34A5B"/>
    <w:rsid w:val="00C45F2B"/>
    <w:rsid w:val="00C54196"/>
    <w:rsid w:val="00C54C26"/>
    <w:rsid w:val="00C62AF4"/>
    <w:rsid w:val="00C6333E"/>
    <w:rsid w:val="00C646FB"/>
    <w:rsid w:val="00C65210"/>
    <w:rsid w:val="00C66581"/>
    <w:rsid w:val="00C7033D"/>
    <w:rsid w:val="00C71ADA"/>
    <w:rsid w:val="00C72685"/>
    <w:rsid w:val="00C72971"/>
    <w:rsid w:val="00C870A4"/>
    <w:rsid w:val="00C95B48"/>
    <w:rsid w:val="00C979E9"/>
    <w:rsid w:val="00CA18DC"/>
    <w:rsid w:val="00CA3DC9"/>
    <w:rsid w:val="00CA3FFD"/>
    <w:rsid w:val="00CA53C9"/>
    <w:rsid w:val="00CB1497"/>
    <w:rsid w:val="00CB1A9F"/>
    <w:rsid w:val="00CB1D70"/>
    <w:rsid w:val="00CC1A09"/>
    <w:rsid w:val="00CC5D10"/>
    <w:rsid w:val="00CC6631"/>
    <w:rsid w:val="00CD4168"/>
    <w:rsid w:val="00CD5111"/>
    <w:rsid w:val="00CE01EE"/>
    <w:rsid w:val="00CE1088"/>
    <w:rsid w:val="00CE1D8C"/>
    <w:rsid w:val="00CE4582"/>
    <w:rsid w:val="00CE5C1C"/>
    <w:rsid w:val="00CE70B7"/>
    <w:rsid w:val="00CF253F"/>
    <w:rsid w:val="00CF2691"/>
    <w:rsid w:val="00CF514E"/>
    <w:rsid w:val="00CF62C3"/>
    <w:rsid w:val="00D00609"/>
    <w:rsid w:val="00D033DC"/>
    <w:rsid w:val="00D04886"/>
    <w:rsid w:val="00D062B5"/>
    <w:rsid w:val="00D068FC"/>
    <w:rsid w:val="00D07BAC"/>
    <w:rsid w:val="00D161E6"/>
    <w:rsid w:val="00D1779F"/>
    <w:rsid w:val="00D26395"/>
    <w:rsid w:val="00D26C62"/>
    <w:rsid w:val="00D339B5"/>
    <w:rsid w:val="00D363BA"/>
    <w:rsid w:val="00D3771D"/>
    <w:rsid w:val="00D41A9C"/>
    <w:rsid w:val="00D50A0C"/>
    <w:rsid w:val="00D51F25"/>
    <w:rsid w:val="00D579C2"/>
    <w:rsid w:val="00D65847"/>
    <w:rsid w:val="00D678A1"/>
    <w:rsid w:val="00D70553"/>
    <w:rsid w:val="00D80BC0"/>
    <w:rsid w:val="00D86896"/>
    <w:rsid w:val="00D92CBE"/>
    <w:rsid w:val="00D95825"/>
    <w:rsid w:val="00DA51E8"/>
    <w:rsid w:val="00DA5B1F"/>
    <w:rsid w:val="00DB0411"/>
    <w:rsid w:val="00DC1455"/>
    <w:rsid w:val="00DC1EF7"/>
    <w:rsid w:val="00DC47A7"/>
    <w:rsid w:val="00DD3297"/>
    <w:rsid w:val="00DE2F1C"/>
    <w:rsid w:val="00DE3E91"/>
    <w:rsid w:val="00DE6C4D"/>
    <w:rsid w:val="00DF2936"/>
    <w:rsid w:val="00DF33B9"/>
    <w:rsid w:val="00DF3DDC"/>
    <w:rsid w:val="00DF6AB3"/>
    <w:rsid w:val="00E01310"/>
    <w:rsid w:val="00E03828"/>
    <w:rsid w:val="00E070D4"/>
    <w:rsid w:val="00E2710F"/>
    <w:rsid w:val="00E314A7"/>
    <w:rsid w:val="00E32F27"/>
    <w:rsid w:val="00E34CF2"/>
    <w:rsid w:val="00E357F0"/>
    <w:rsid w:val="00E43EC6"/>
    <w:rsid w:val="00E44488"/>
    <w:rsid w:val="00E55825"/>
    <w:rsid w:val="00E56A5F"/>
    <w:rsid w:val="00E6107E"/>
    <w:rsid w:val="00E66EFF"/>
    <w:rsid w:val="00E72F16"/>
    <w:rsid w:val="00E75587"/>
    <w:rsid w:val="00E80CE9"/>
    <w:rsid w:val="00E81567"/>
    <w:rsid w:val="00E81807"/>
    <w:rsid w:val="00E8335F"/>
    <w:rsid w:val="00E86654"/>
    <w:rsid w:val="00E86736"/>
    <w:rsid w:val="00E93089"/>
    <w:rsid w:val="00EA47E5"/>
    <w:rsid w:val="00EA51DF"/>
    <w:rsid w:val="00EB45FC"/>
    <w:rsid w:val="00EB49E5"/>
    <w:rsid w:val="00EB526D"/>
    <w:rsid w:val="00EC7B23"/>
    <w:rsid w:val="00ED028F"/>
    <w:rsid w:val="00ED065B"/>
    <w:rsid w:val="00ED1DDB"/>
    <w:rsid w:val="00ED25E1"/>
    <w:rsid w:val="00ED3580"/>
    <w:rsid w:val="00ED6DF7"/>
    <w:rsid w:val="00EF0CD8"/>
    <w:rsid w:val="00EF14ED"/>
    <w:rsid w:val="00F00033"/>
    <w:rsid w:val="00F02E02"/>
    <w:rsid w:val="00F042DD"/>
    <w:rsid w:val="00F04EF6"/>
    <w:rsid w:val="00F131DB"/>
    <w:rsid w:val="00F14C1C"/>
    <w:rsid w:val="00F14C3F"/>
    <w:rsid w:val="00F16DB1"/>
    <w:rsid w:val="00F216E5"/>
    <w:rsid w:val="00F2196B"/>
    <w:rsid w:val="00F47810"/>
    <w:rsid w:val="00F511BD"/>
    <w:rsid w:val="00F52274"/>
    <w:rsid w:val="00F52881"/>
    <w:rsid w:val="00F5316F"/>
    <w:rsid w:val="00F57CAA"/>
    <w:rsid w:val="00F61702"/>
    <w:rsid w:val="00F65E9E"/>
    <w:rsid w:val="00F730E6"/>
    <w:rsid w:val="00F74E45"/>
    <w:rsid w:val="00F76009"/>
    <w:rsid w:val="00F852A3"/>
    <w:rsid w:val="00F85892"/>
    <w:rsid w:val="00F85DB5"/>
    <w:rsid w:val="00F91F57"/>
    <w:rsid w:val="00FA12DB"/>
    <w:rsid w:val="00FA6EF2"/>
    <w:rsid w:val="00FA7A79"/>
    <w:rsid w:val="00FB1EB8"/>
    <w:rsid w:val="00FB3851"/>
    <w:rsid w:val="00FB51EE"/>
    <w:rsid w:val="00FB6B7F"/>
    <w:rsid w:val="00FC0B68"/>
    <w:rsid w:val="00FD76C9"/>
    <w:rsid w:val="00FE3B3D"/>
    <w:rsid w:val="00FE3E48"/>
    <w:rsid w:val="00FE523A"/>
    <w:rsid w:val="00FF4F2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4AFCE"/>
  <w15:docId w15:val="{D0B8BE96-C1CA-4B7D-95BA-7CFA31C9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B14"/>
    <w:pPr>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D15"/>
    <w:rPr>
      <w:color w:val="0000FF" w:themeColor="hyperlink"/>
      <w:u w:val="single"/>
    </w:rPr>
  </w:style>
  <w:style w:type="character" w:styleId="FollowedHyperlink">
    <w:name w:val="FollowedHyperlink"/>
    <w:basedOn w:val="DefaultParagraphFont"/>
    <w:uiPriority w:val="99"/>
    <w:semiHidden/>
    <w:unhideWhenUsed/>
    <w:rsid w:val="00717279"/>
    <w:rPr>
      <w:color w:val="800080" w:themeColor="followedHyperlink"/>
      <w:u w:val="single"/>
    </w:rPr>
  </w:style>
  <w:style w:type="paragraph" w:styleId="ListParagraph">
    <w:name w:val="List Paragraph"/>
    <w:basedOn w:val="Normal"/>
    <w:uiPriority w:val="34"/>
    <w:qFormat/>
    <w:rsid w:val="00533EB6"/>
    <w:pPr>
      <w:ind w:left="720"/>
      <w:contextualSpacing/>
    </w:pPr>
  </w:style>
  <w:style w:type="table" w:styleId="TableGrid">
    <w:name w:val="Table Grid"/>
    <w:basedOn w:val="TableNormal"/>
    <w:uiPriority w:val="59"/>
    <w:rsid w:val="005F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F72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noteText">
    <w:name w:val="footnote text"/>
    <w:basedOn w:val="Normal"/>
    <w:link w:val="FootnoteTextChar"/>
    <w:uiPriority w:val="99"/>
    <w:unhideWhenUsed/>
    <w:rsid w:val="00C17488"/>
    <w:rPr>
      <w:sz w:val="20"/>
      <w:szCs w:val="20"/>
    </w:rPr>
  </w:style>
  <w:style w:type="character" w:customStyle="1" w:styleId="FootnoteTextChar">
    <w:name w:val="Footnote Text Char"/>
    <w:basedOn w:val="DefaultParagraphFont"/>
    <w:link w:val="FootnoteText"/>
    <w:uiPriority w:val="99"/>
    <w:rsid w:val="00C17488"/>
    <w:rPr>
      <w:sz w:val="20"/>
      <w:szCs w:val="20"/>
      <w:lang w:val="en-GB"/>
    </w:rPr>
  </w:style>
  <w:style w:type="character" w:styleId="FootnoteReference">
    <w:name w:val="footnote reference"/>
    <w:basedOn w:val="DefaultParagraphFont"/>
    <w:uiPriority w:val="99"/>
    <w:unhideWhenUsed/>
    <w:rsid w:val="00C17488"/>
    <w:rPr>
      <w:vertAlign w:val="superscript"/>
    </w:rPr>
  </w:style>
  <w:style w:type="character" w:customStyle="1" w:styleId="Mention1">
    <w:name w:val="Mention1"/>
    <w:basedOn w:val="DefaultParagraphFont"/>
    <w:uiPriority w:val="99"/>
    <w:semiHidden/>
    <w:unhideWhenUsed/>
    <w:rsid w:val="009A4A0E"/>
    <w:rPr>
      <w:color w:val="2B579A"/>
      <w:shd w:val="clear" w:color="auto" w:fill="E6E6E6"/>
    </w:rPr>
  </w:style>
  <w:style w:type="paragraph" w:styleId="Header">
    <w:name w:val="header"/>
    <w:basedOn w:val="Normal"/>
    <w:link w:val="HeaderChar"/>
    <w:uiPriority w:val="99"/>
    <w:unhideWhenUsed/>
    <w:rsid w:val="00713B2B"/>
    <w:pPr>
      <w:tabs>
        <w:tab w:val="center" w:pos="4513"/>
        <w:tab w:val="right" w:pos="9026"/>
      </w:tabs>
    </w:pPr>
  </w:style>
  <w:style w:type="character" w:customStyle="1" w:styleId="HeaderChar">
    <w:name w:val="Header Char"/>
    <w:basedOn w:val="DefaultParagraphFont"/>
    <w:link w:val="Header"/>
    <w:uiPriority w:val="99"/>
    <w:rsid w:val="00713B2B"/>
    <w:rPr>
      <w:lang w:val="en-GB"/>
    </w:rPr>
  </w:style>
  <w:style w:type="paragraph" w:styleId="Footer">
    <w:name w:val="footer"/>
    <w:basedOn w:val="Normal"/>
    <w:link w:val="FooterChar"/>
    <w:uiPriority w:val="99"/>
    <w:unhideWhenUsed/>
    <w:rsid w:val="00713B2B"/>
    <w:pPr>
      <w:tabs>
        <w:tab w:val="center" w:pos="4513"/>
        <w:tab w:val="right" w:pos="9026"/>
      </w:tabs>
    </w:pPr>
  </w:style>
  <w:style w:type="character" w:customStyle="1" w:styleId="FooterChar">
    <w:name w:val="Footer Char"/>
    <w:basedOn w:val="DefaultParagraphFont"/>
    <w:link w:val="Footer"/>
    <w:uiPriority w:val="99"/>
    <w:rsid w:val="00713B2B"/>
    <w:rPr>
      <w:lang w:val="en-GB"/>
    </w:rPr>
  </w:style>
  <w:style w:type="paragraph" w:styleId="BalloonText">
    <w:name w:val="Balloon Text"/>
    <w:basedOn w:val="Normal"/>
    <w:link w:val="BalloonTextChar"/>
    <w:uiPriority w:val="99"/>
    <w:semiHidden/>
    <w:unhideWhenUsed/>
    <w:rsid w:val="00503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19"/>
    <w:rPr>
      <w:rFonts w:ascii="Segoe UI" w:hAnsi="Segoe UI" w:cs="Segoe UI"/>
      <w:sz w:val="18"/>
      <w:szCs w:val="18"/>
      <w:lang w:val="en-GB"/>
    </w:rPr>
  </w:style>
  <w:style w:type="character" w:styleId="CommentReference">
    <w:name w:val="annotation reference"/>
    <w:basedOn w:val="DefaultParagraphFont"/>
    <w:uiPriority w:val="99"/>
    <w:semiHidden/>
    <w:unhideWhenUsed/>
    <w:rsid w:val="00503019"/>
    <w:rPr>
      <w:sz w:val="16"/>
      <w:szCs w:val="16"/>
    </w:rPr>
  </w:style>
  <w:style w:type="paragraph" w:styleId="CommentText">
    <w:name w:val="annotation text"/>
    <w:basedOn w:val="Normal"/>
    <w:link w:val="CommentTextChar"/>
    <w:uiPriority w:val="99"/>
    <w:semiHidden/>
    <w:unhideWhenUsed/>
    <w:rsid w:val="00503019"/>
    <w:rPr>
      <w:sz w:val="20"/>
      <w:szCs w:val="20"/>
    </w:rPr>
  </w:style>
  <w:style w:type="character" w:customStyle="1" w:styleId="CommentTextChar">
    <w:name w:val="Comment Text Char"/>
    <w:basedOn w:val="DefaultParagraphFont"/>
    <w:link w:val="CommentText"/>
    <w:uiPriority w:val="99"/>
    <w:semiHidden/>
    <w:rsid w:val="00503019"/>
    <w:rPr>
      <w:sz w:val="20"/>
      <w:szCs w:val="20"/>
      <w:lang w:val="en-GB"/>
    </w:rPr>
  </w:style>
  <w:style w:type="paragraph" w:styleId="CommentSubject">
    <w:name w:val="annotation subject"/>
    <w:basedOn w:val="CommentText"/>
    <w:next w:val="CommentText"/>
    <w:link w:val="CommentSubjectChar"/>
    <w:uiPriority w:val="99"/>
    <w:semiHidden/>
    <w:unhideWhenUsed/>
    <w:rsid w:val="00503019"/>
    <w:rPr>
      <w:b/>
      <w:bCs/>
    </w:rPr>
  </w:style>
  <w:style w:type="character" w:customStyle="1" w:styleId="CommentSubjectChar">
    <w:name w:val="Comment Subject Char"/>
    <w:basedOn w:val="CommentTextChar"/>
    <w:link w:val="CommentSubject"/>
    <w:uiPriority w:val="99"/>
    <w:semiHidden/>
    <w:rsid w:val="00503019"/>
    <w:rPr>
      <w:b/>
      <w:bCs/>
      <w:sz w:val="20"/>
      <w:szCs w:val="20"/>
      <w:lang w:val="en-GB"/>
    </w:rPr>
  </w:style>
  <w:style w:type="character" w:customStyle="1" w:styleId="addmd">
    <w:name w:val="addmd"/>
    <w:basedOn w:val="DefaultParagraphFont"/>
    <w:rsid w:val="00A165C3"/>
  </w:style>
  <w:style w:type="character" w:customStyle="1" w:styleId="publication-meta-journal">
    <w:name w:val="publication-meta-journal"/>
    <w:basedOn w:val="DefaultParagraphFont"/>
    <w:rsid w:val="00F57CAA"/>
  </w:style>
  <w:style w:type="character" w:customStyle="1" w:styleId="publication-meta-date">
    <w:name w:val="publication-meta-date"/>
    <w:basedOn w:val="DefaultParagraphFont"/>
    <w:rsid w:val="00F57CAA"/>
  </w:style>
  <w:style w:type="character" w:customStyle="1" w:styleId="Mention2">
    <w:name w:val="Mention2"/>
    <w:basedOn w:val="DefaultParagraphFont"/>
    <w:uiPriority w:val="99"/>
    <w:semiHidden/>
    <w:unhideWhenUsed/>
    <w:rsid w:val="004224E6"/>
    <w:rPr>
      <w:color w:val="2B579A"/>
      <w:shd w:val="clear" w:color="auto" w:fill="E6E6E6"/>
    </w:rPr>
  </w:style>
  <w:style w:type="character" w:customStyle="1" w:styleId="Mention3">
    <w:name w:val="Mention3"/>
    <w:basedOn w:val="DefaultParagraphFont"/>
    <w:uiPriority w:val="99"/>
    <w:semiHidden/>
    <w:unhideWhenUsed/>
    <w:rsid w:val="00D3771D"/>
    <w:rPr>
      <w:color w:val="2B579A"/>
      <w:shd w:val="clear" w:color="auto" w:fill="E6E6E6"/>
    </w:rPr>
  </w:style>
  <w:style w:type="paragraph" w:styleId="Revision">
    <w:name w:val="Revision"/>
    <w:hidden/>
    <w:uiPriority w:val="99"/>
    <w:semiHidden/>
    <w:rsid w:val="00455AF6"/>
    <w:pPr>
      <w:jc w:val="left"/>
    </w:pPr>
    <w:rPr>
      <w:lang w:val="en-GB"/>
    </w:rPr>
  </w:style>
  <w:style w:type="character" w:customStyle="1" w:styleId="UnresolvedMention1">
    <w:name w:val="Unresolved Mention1"/>
    <w:basedOn w:val="DefaultParagraphFont"/>
    <w:uiPriority w:val="99"/>
    <w:semiHidden/>
    <w:unhideWhenUsed/>
    <w:rsid w:val="00793C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om.link/wp-content/uploads/2012/01/Proposed-Statut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enskisud.org" TargetMode="External"/><Relationship Id="rId4" Type="http://schemas.openxmlformats.org/officeDocument/2006/relationships/settings" Target="settings.xml"/><Relationship Id="rId9" Type="http://schemas.openxmlformats.org/officeDocument/2006/relationships/hyperlink" Target="https://www.documenta.hr/assets/files/REKOM/ENG/11_f_2184_en.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2DB34-2FE6-4821-9E7B-83758A8D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27</Pages>
  <Words>10671</Words>
  <Characters>60828</Characters>
  <Application>Microsoft Office Word</Application>
  <DocSecurity>0</DocSecurity>
  <Lines>506</Lines>
  <Paragraphs>142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Deftones</Company>
  <LinksUpToDate>false</LinksUpToDate>
  <CharactersWithSpaces>71357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Lai</dc:creator>
  <cp:keywords/>
  <dc:description/>
  <cp:lastModifiedBy>Daniela Lai</cp:lastModifiedBy>
  <cp:revision>2</cp:revision>
  <dcterms:created xsi:type="dcterms:W3CDTF">2018-04-26T14:03:00Z</dcterms:created>
  <dcterms:modified xsi:type="dcterms:W3CDTF">2018-09-19T10:40:00Z</dcterms:modified>
</cp:coreProperties>
</file>