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8A" w:rsidRPr="007A25F5" w:rsidRDefault="0053238A" w:rsidP="00D5168D">
      <w:pPr>
        <w:pStyle w:val="PaperTitleEnglish"/>
        <w:rPr>
          <w:lang w:val="en-GB"/>
        </w:rPr>
      </w:pPr>
      <w:r w:rsidRPr="007A25F5">
        <w:rPr>
          <w:lang w:val="en-GB"/>
        </w:rPr>
        <w:t>Integrated mode</w:t>
      </w:r>
      <w:r w:rsidR="00CB6A84" w:rsidRPr="007A25F5">
        <w:rPr>
          <w:lang w:val="en-GB"/>
        </w:rPr>
        <w:t>l</w:t>
      </w:r>
      <w:r w:rsidRPr="007A25F5">
        <w:rPr>
          <w:lang w:val="en-GB"/>
        </w:rPr>
        <w:t xml:space="preserve">ling </w:t>
      </w:r>
      <w:r w:rsidR="006374F7" w:rsidRPr="007A25F5">
        <w:rPr>
          <w:lang w:val="en-GB"/>
        </w:rPr>
        <w:t xml:space="preserve">system with </w:t>
      </w:r>
      <w:r w:rsidR="00443E42" w:rsidRPr="007A25F5">
        <w:rPr>
          <w:lang w:val="en-GB"/>
        </w:rPr>
        <w:t>UNCERTAINTY</w:t>
      </w:r>
      <w:r w:rsidR="006374F7" w:rsidRPr="007A25F5">
        <w:rPr>
          <w:lang w:val="en-GB"/>
        </w:rPr>
        <w:t xml:space="preserve">analysis </w:t>
      </w:r>
      <w:r w:rsidRPr="007A25F5">
        <w:rPr>
          <w:lang w:val="en-GB"/>
        </w:rPr>
        <w:t xml:space="preserve">for </w:t>
      </w:r>
      <w:r w:rsidR="00BE29BB" w:rsidRPr="007A25F5">
        <w:rPr>
          <w:lang w:val="en-GB"/>
        </w:rPr>
        <w:t xml:space="preserve">reservoir </w:t>
      </w:r>
      <w:r w:rsidRPr="007A25F5">
        <w:rPr>
          <w:lang w:val="en-GB"/>
        </w:rPr>
        <w:t xml:space="preserve">water quality management in a </w:t>
      </w:r>
      <w:r w:rsidR="002847A8" w:rsidRPr="007A25F5">
        <w:rPr>
          <w:lang w:val="en-GB"/>
        </w:rPr>
        <w:t xml:space="preserve">reclamation </w:t>
      </w:r>
      <w:r w:rsidR="00D5168D" w:rsidRPr="007A25F5">
        <w:rPr>
          <w:lang w:val="en-GB"/>
        </w:rPr>
        <w:t>RIVER BASIN</w:t>
      </w:r>
      <w:r w:rsidR="00D5168D" w:rsidRPr="007A25F5">
        <w:rPr>
          <w:rStyle w:val="FootnoteReference"/>
          <w:lang w:val="en-GB"/>
        </w:rPr>
        <w:footnoteReference w:customMarkFollows="1" w:id="2"/>
        <w:t>†</w:t>
      </w:r>
    </w:p>
    <w:p w:rsidR="00D5168D" w:rsidRPr="007A25F5" w:rsidRDefault="00D5168D" w:rsidP="00FA3169">
      <w:pPr>
        <w:pStyle w:val="PaperAuthorNames"/>
        <w:widowControl w:val="0"/>
        <w:spacing w:before="0" w:line="360" w:lineRule="auto"/>
        <w:rPr>
          <w:rFonts w:ascii="Times New Roman" w:hAnsi="Times New Roman" w:cs="Times New Roman"/>
          <w:b/>
          <w:i/>
          <w:sz w:val="22"/>
          <w:szCs w:val="22"/>
          <w:lang w:eastAsia="ko-KR"/>
        </w:rPr>
      </w:pPr>
    </w:p>
    <w:p w:rsidR="00BA3F83" w:rsidRPr="007A25F5" w:rsidRDefault="00BA3F83" w:rsidP="00FA3169">
      <w:pPr>
        <w:pStyle w:val="PaperAuthorNames"/>
        <w:widowControl w:val="0"/>
        <w:spacing w:before="0" w:line="360" w:lineRule="auto"/>
        <w:rPr>
          <w:rFonts w:ascii="Times New Roman" w:hAnsi="Times New Roman" w:cs="Times New Roman"/>
          <w:b/>
          <w:i/>
          <w:sz w:val="22"/>
          <w:szCs w:val="22"/>
          <w:lang w:eastAsia="ko-KR"/>
        </w:rPr>
      </w:pPr>
    </w:p>
    <w:p w:rsidR="006420E1" w:rsidRPr="007A25F5" w:rsidRDefault="00500DD3" w:rsidP="00FA3169">
      <w:pPr>
        <w:pStyle w:val="PaperAuthorNames"/>
        <w:widowControl w:val="0"/>
        <w:spacing w:before="0" w:line="360" w:lineRule="auto"/>
        <w:rPr>
          <w:rFonts w:ascii="Times New Roman" w:hAnsi="Times New Roman" w:cs="Times New Roman"/>
          <w:sz w:val="22"/>
          <w:szCs w:val="22"/>
          <w:vertAlign w:val="superscript"/>
          <w:lang w:eastAsia="ko-KR"/>
        </w:rPr>
      </w:pPr>
      <w:r w:rsidRPr="007A25F5">
        <w:rPr>
          <w:rFonts w:ascii="Times New Roman" w:hAnsi="Times New Roman" w:cs="Times New Roman"/>
          <w:sz w:val="22"/>
          <w:szCs w:val="22"/>
          <w:lang w:eastAsia="ko-KR"/>
        </w:rPr>
        <w:t>JONGHWA HAM</w:t>
      </w:r>
      <w:r w:rsidR="00DF1B94" w:rsidRPr="007A25F5">
        <w:rPr>
          <w:rFonts w:ascii="Times New Roman" w:hAnsi="Times New Roman" w:cs="Times New Roman"/>
          <w:sz w:val="22"/>
          <w:szCs w:val="22"/>
          <w:vertAlign w:val="superscript"/>
          <w:lang w:eastAsia="ko-KR"/>
        </w:rPr>
        <w:t>1</w:t>
      </w:r>
      <w:r w:rsidR="00494941" w:rsidRPr="007A25F5">
        <w:rPr>
          <w:rStyle w:val="FootnoteReference"/>
          <w:rFonts w:ascii="Times New Roman" w:hAnsi="Times New Roman" w:cs="Times New Roman"/>
          <w:color w:val="auto"/>
          <w:sz w:val="22"/>
          <w:szCs w:val="22"/>
          <w:lang w:eastAsia="ko-KR"/>
        </w:rPr>
        <w:footnoteReference w:id="3"/>
      </w:r>
      <w:r w:rsidRPr="007A25F5">
        <w:rPr>
          <w:rFonts w:ascii="Times New Roman" w:hAnsi="Times New Roman" w:cs="Times New Roman"/>
          <w:sz w:val="22"/>
          <w:szCs w:val="22"/>
          <w:lang w:eastAsia="ko-KR"/>
        </w:rPr>
        <w:t>AND</w:t>
      </w:r>
      <w:r w:rsidR="00D27F61" w:rsidRPr="007A25F5">
        <w:rPr>
          <w:rFonts w:ascii="Times New Roman" w:hAnsi="Times New Roman" w:cs="Times New Roman"/>
          <w:sz w:val="22"/>
          <w:szCs w:val="22"/>
          <w:lang w:eastAsia="ko-KR"/>
        </w:rPr>
        <w:t>Y</w:t>
      </w:r>
      <w:r w:rsidRPr="007A25F5">
        <w:rPr>
          <w:rFonts w:ascii="Times New Roman" w:hAnsi="Times New Roman" w:cs="Times New Roman"/>
          <w:sz w:val="22"/>
          <w:szCs w:val="22"/>
          <w:lang w:eastAsia="ko-KR"/>
        </w:rPr>
        <w:t>OON-SEOK TIMOTHY HONG</w:t>
      </w:r>
      <w:r w:rsidR="00DF1B94" w:rsidRPr="007A25F5">
        <w:rPr>
          <w:rFonts w:ascii="Times New Roman" w:hAnsi="Times New Roman" w:cs="Times New Roman"/>
          <w:sz w:val="22"/>
          <w:szCs w:val="22"/>
          <w:vertAlign w:val="superscript"/>
          <w:lang w:eastAsia="ko-KR"/>
        </w:rPr>
        <w:t>2</w:t>
      </w:r>
    </w:p>
    <w:p w:rsidR="00D5168D" w:rsidRPr="007A25F5" w:rsidRDefault="00D5168D" w:rsidP="00FA3169">
      <w:pPr>
        <w:pStyle w:val="PaperAuthorNames"/>
        <w:widowControl w:val="0"/>
        <w:spacing w:before="0" w:line="360" w:lineRule="auto"/>
        <w:rPr>
          <w:rFonts w:ascii="Times New Roman" w:hAnsi="Times New Roman" w:cs="Times New Roman"/>
          <w:sz w:val="22"/>
          <w:szCs w:val="22"/>
          <w:lang w:eastAsia="ko-KR"/>
        </w:rPr>
      </w:pPr>
    </w:p>
    <w:p w:rsidR="007F1ADF" w:rsidRPr="007A25F5" w:rsidRDefault="00DF1B94" w:rsidP="00FA3169">
      <w:pPr>
        <w:pStyle w:val="PaperAuthorNames"/>
        <w:widowControl w:val="0"/>
        <w:spacing w:before="0" w:line="360" w:lineRule="auto"/>
        <w:rPr>
          <w:rFonts w:ascii="Times New Roman" w:hAnsi="Times New Roman" w:cs="Times New Roman"/>
          <w:i/>
          <w:color w:val="auto"/>
          <w:lang w:eastAsia="ko-KR"/>
        </w:rPr>
      </w:pPr>
      <w:r w:rsidRPr="007A25F5">
        <w:rPr>
          <w:rFonts w:ascii="Times New Roman" w:hAnsi="Times New Roman" w:cs="Times New Roman"/>
          <w:i/>
          <w:vertAlign w:val="superscript"/>
          <w:lang w:eastAsia="ko-KR"/>
        </w:rPr>
        <w:t>1</w:t>
      </w:r>
      <w:r w:rsidR="007F1ADF" w:rsidRPr="007A25F5">
        <w:rPr>
          <w:rFonts w:ascii="Times New Roman" w:hAnsi="Times New Roman" w:cs="Times New Roman"/>
          <w:i/>
          <w:lang w:eastAsia="ko-KR"/>
        </w:rPr>
        <w:t>Rural Research Institute, Korea Rural Community Corporation, Ansan, Rep</w:t>
      </w:r>
      <w:r w:rsidR="00D5168D" w:rsidRPr="007A25F5">
        <w:rPr>
          <w:rFonts w:ascii="Times New Roman" w:hAnsi="Times New Roman" w:cs="Times New Roman"/>
          <w:i/>
          <w:lang w:eastAsia="ko-KR"/>
        </w:rPr>
        <w:t>ublic</w:t>
      </w:r>
      <w:r w:rsidR="007F1ADF" w:rsidRPr="007A25F5">
        <w:rPr>
          <w:rFonts w:ascii="Times New Roman" w:hAnsi="Times New Roman" w:cs="Times New Roman"/>
          <w:i/>
          <w:lang w:eastAsia="ko-KR"/>
        </w:rPr>
        <w:t xml:space="preserve"> of Korea</w:t>
      </w:r>
    </w:p>
    <w:p w:rsidR="007F1ADF" w:rsidRPr="007A25F5" w:rsidRDefault="00DF1B94" w:rsidP="00FA3169">
      <w:pPr>
        <w:pStyle w:val="PaperAuthorNames"/>
        <w:widowControl w:val="0"/>
        <w:spacing w:before="0" w:line="360" w:lineRule="auto"/>
        <w:rPr>
          <w:rFonts w:ascii="Times New Roman" w:hAnsi="Times New Roman" w:cs="Times New Roman"/>
          <w:i/>
          <w:color w:val="auto"/>
          <w:lang w:eastAsia="ko-KR"/>
        </w:rPr>
      </w:pPr>
      <w:r w:rsidRPr="007A25F5">
        <w:rPr>
          <w:rFonts w:ascii="Times New Roman" w:hAnsi="Times New Roman" w:cs="Times New Roman"/>
          <w:i/>
          <w:vertAlign w:val="superscript"/>
          <w:lang w:eastAsia="ko-KR"/>
        </w:rPr>
        <w:t>2</w:t>
      </w:r>
      <w:r w:rsidR="00B51B93" w:rsidRPr="007A25F5">
        <w:rPr>
          <w:rFonts w:ascii="Times New Roman" w:hAnsi="Times New Roman" w:cs="Times New Roman"/>
          <w:i/>
          <w:lang w:eastAsia="ko-KR"/>
        </w:rPr>
        <w:t>School of the Built Environment and Architecture</w:t>
      </w:r>
      <w:r w:rsidR="007F1ADF" w:rsidRPr="007A25F5">
        <w:rPr>
          <w:rFonts w:ascii="Times New Roman" w:hAnsi="Times New Roman" w:cs="Times New Roman"/>
          <w:i/>
          <w:lang w:eastAsia="ko-KR"/>
        </w:rPr>
        <w:t>, London South Bank University, U</w:t>
      </w:r>
      <w:r w:rsidR="00D5168D" w:rsidRPr="007A25F5">
        <w:rPr>
          <w:rFonts w:ascii="Times New Roman" w:hAnsi="Times New Roman" w:cs="Times New Roman"/>
          <w:i/>
          <w:lang w:eastAsia="ko-KR"/>
        </w:rPr>
        <w:t xml:space="preserve">nited </w:t>
      </w:r>
      <w:r w:rsidR="007F1ADF" w:rsidRPr="007A25F5">
        <w:rPr>
          <w:rFonts w:ascii="Times New Roman" w:hAnsi="Times New Roman" w:cs="Times New Roman"/>
          <w:i/>
          <w:lang w:eastAsia="ko-KR"/>
        </w:rPr>
        <w:t>K</w:t>
      </w:r>
      <w:r w:rsidR="00D5168D" w:rsidRPr="007A25F5">
        <w:rPr>
          <w:rFonts w:ascii="Times New Roman" w:hAnsi="Times New Roman" w:cs="Times New Roman"/>
          <w:i/>
          <w:lang w:eastAsia="ko-KR"/>
        </w:rPr>
        <w:t>ingdom</w:t>
      </w:r>
    </w:p>
    <w:p w:rsidR="00D5168D" w:rsidRPr="007A25F5" w:rsidRDefault="00D5168D" w:rsidP="00D5168D">
      <w:pPr>
        <w:pStyle w:val="PaperAbstractTitle"/>
        <w:widowControl w:val="0"/>
        <w:spacing w:before="0" w:line="360" w:lineRule="auto"/>
        <w:rPr>
          <w:b w:val="0"/>
          <w:sz w:val="22"/>
          <w:szCs w:val="22"/>
        </w:rPr>
      </w:pPr>
    </w:p>
    <w:p w:rsidR="00D5168D" w:rsidRPr="007A25F5" w:rsidRDefault="00D5168D" w:rsidP="00D5168D">
      <w:pPr>
        <w:pStyle w:val="PaperAbstractTitle"/>
        <w:widowControl w:val="0"/>
        <w:spacing w:before="0" w:line="360" w:lineRule="auto"/>
        <w:rPr>
          <w:b w:val="0"/>
          <w:sz w:val="22"/>
          <w:szCs w:val="22"/>
        </w:rPr>
      </w:pPr>
    </w:p>
    <w:p w:rsidR="00D5168D" w:rsidRPr="007A25F5" w:rsidRDefault="00D5168D" w:rsidP="00D5168D">
      <w:pPr>
        <w:pStyle w:val="PaperAbstractTitle"/>
        <w:widowControl w:val="0"/>
        <w:spacing w:before="0" w:line="360" w:lineRule="auto"/>
        <w:rPr>
          <w:b w:val="0"/>
          <w:sz w:val="22"/>
          <w:szCs w:val="22"/>
        </w:rPr>
      </w:pPr>
    </w:p>
    <w:p w:rsidR="006420E1" w:rsidRPr="007A25F5" w:rsidRDefault="006420E1" w:rsidP="00D5168D">
      <w:pPr>
        <w:pStyle w:val="PaperAbstractTitle"/>
        <w:widowControl w:val="0"/>
        <w:spacing w:before="0" w:line="360" w:lineRule="auto"/>
        <w:rPr>
          <w:b w:val="0"/>
          <w:sz w:val="22"/>
          <w:szCs w:val="22"/>
        </w:rPr>
      </w:pPr>
      <w:r w:rsidRPr="007A25F5">
        <w:rPr>
          <w:b w:val="0"/>
          <w:sz w:val="22"/>
          <w:szCs w:val="22"/>
        </w:rPr>
        <w:t>ABSTRACT</w:t>
      </w:r>
    </w:p>
    <w:p w:rsidR="00D47EBC" w:rsidRPr="007A25F5" w:rsidRDefault="00D47EBC" w:rsidP="00DD2EE6">
      <w:pPr>
        <w:pStyle w:val="PaperFormattext"/>
      </w:pPr>
    </w:p>
    <w:p w:rsidR="00300F31" w:rsidRPr="007A25F5" w:rsidRDefault="00735C88" w:rsidP="00DD2EE6">
      <w:pPr>
        <w:pStyle w:val="PaperFormattext"/>
      </w:pPr>
      <w:r w:rsidRPr="007A25F5">
        <w:t>A developed</w:t>
      </w:r>
      <w:r w:rsidR="00A15F1E" w:rsidRPr="007A25F5">
        <w:t>integrated mode</w:t>
      </w:r>
      <w:r w:rsidR="006374F7" w:rsidRPr="007A25F5">
        <w:t>l</w:t>
      </w:r>
      <w:r w:rsidR="00A15F1E" w:rsidRPr="007A25F5">
        <w:t>ling system</w:t>
      </w:r>
      <w:r w:rsidR="00427664" w:rsidRPr="007A25F5">
        <w:t xml:space="preserve"> with the uncertainty analysis (Monte Carlo simulation </w:t>
      </w:r>
      <w:r w:rsidR="00300F31" w:rsidRPr="007A25F5">
        <w:t>a</w:t>
      </w:r>
      <w:r w:rsidR="00427664" w:rsidRPr="007A25F5">
        <w:t xml:space="preserve">nd generalized likelihood uncertainty estimation) </w:t>
      </w:r>
      <w:r w:rsidR="00D47EBC" w:rsidRPr="007A25F5">
        <w:t xml:space="preserve">was </w:t>
      </w:r>
      <w:r w:rsidR="009D6074" w:rsidRPr="007A25F5">
        <w:t xml:space="preserve">used </w:t>
      </w:r>
      <w:r w:rsidR="00D47EBC" w:rsidRPr="007A25F5">
        <w:t xml:space="preserve">to evaluate the effect of uncertainty sources on long-term water quality and develop </w:t>
      </w:r>
      <w:r w:rsidR="00D5168D" w:rsidRPr="007A25F5">
        <w:t xml:space="preserve">river basin </w:t>
      </w:r>
      <w:r w:rsidR="00D47EBC" w:rsidRPr="007A25F5">
        <w:t xml:space="preserve">management measures to meet the specified water quality criteria based on the predicted probability of occurrence in the reclamation </w:t>
      </w:r>
      <w:r w:rsidR="00D5168D" w:rsidRPr="007A25F5">
        <w:t>river basin</w:t>
      </w:r>
      <w:r w:rsidR="00D47EBC" w:rsidRPr="007A25F5">
        <w:t xml:space="preserve">. </w:t>
      </w:r>
      <w:r w:rsidR="00300F31" w:rsidRPr="007A25F5">
        <w:t xml:space="preserve">The results of deterministic integrated modelling system without the uncertainty analysis showed that </w:t>
      </w:r>
      <w:r w:rsidR="00960D07" w:rsidRPr="007A25F5">
        <w:t xml:space="preserve">the </w:t>
      </w:r>
      <w:r w:rsidR="00300F31" w:rsidRPr="007A25F5">
        <w:t>Hwaong</w:t>
      </w:r>
      <w:r w:rsidR="00BC58A0" w:rsidRPr="007A25F5">
        <w:t>R</w:t>
      </w:r>
      <w:r w:rsidR="00300F31" w:rsidRPr="007A25F5">
        <w:t xml:space="preserve">eservoir water quality for </w:t>
      </w:r>
      <w:r w:rsidR="007B51DF" w:rsidRPr="007A25F5">
        <w:t>total phosphorus</w:t>
      </w:r>
      <w:r w:rsidR="00020695" w:rsidRPr="007A25F5">
        <w:t>(</w:t>
      </w:r>
      <w:r w:rsidR="00300F31" w:rsidRPr="007A25F5">
        <w:t>T-P</w:t>
      </w:r>
      <w:r w:rsidR="00020695" w:rsidRPr="007A25F5">
        <w:t>)</w:t>
      </w:r>
      <w:r w:rsidR="00300F31" w:rsidRPr="007A25F5">
        <w:t xml:space="preserve"> (0.094 mg L</w:t>
      </w:r>
      <w:r w:rsidR="00300F31" w:rsidRPr="007A25F5">
        <w:rPr>
          <w:vertAlign w:val="superscript"/>
        </w:rPr>
        <w:t>-1</w:t>
      </w:r>
      <w:r w:rsidR="00300F31" w:rsidRPr="007A25F5">
        <w:t>) in 2022 would meet the reservoir water quality standard</w:t>
      </w:r>
      <w:r w:rsidR="001B42B9" w:rsidRPr="007A25F5">
        <w:t xml:space="preserve"> (0.1 mg L</w:t>
      </w:r>
      <w:r w:rsidR="001B42B9" w:rsidRPr="007A25F5">
        <w:rPr>
          <w:vertAlign w:val="superscript"/>
        </w:rPr>
        <w:t>-1</w:t>
      </w:r>
      <w:r w:rsidR="001B42B9" w:rsidRPr="007A25F5">
        <w:t>)</w:t>
      </w:r>
      <w:r w:rsidR="00300F31" w:rsidRPr="007A25F5">
        <w:t xml:space="preserve">. However, the water quality prediction </w:t>
      </w:r>
      <w:r w:rsidR="00567E86" w:rsidRPr="007A25F5">
        <w:t>for the</w:t>
      </w:r>
      <w:r w:rsidR="00300F31" w:rsidRPr="007A25F5">
        <w:t xml:space="preserve">Hwaong Reservoir in 2022 using the integrated modelling </w:t>
      </w:r>
      <w:r w:rsidR="006309D4" w:rsidRPr="007A25F5">
        <w:t xml:space="preserve">system </w:t>
      </w:r>
      <w:r w:rsidR="00300F31" w:rsidRPr="007A25F5">
        <w:t xml:space="preserve">with the uncertainty analysis showed that only 28% would meet the T-P water quality standard, indicating that to meet the water quality standard with a 90% </w:t>
      </w:r>
      <w:r w:rsidR="00FF7118" w:rsidRPr="007A25F5">
        <w:t xml:space="preserve">level of </w:t>
      </w:r>
      <w:r w:rsidR="00300F31" w:rsidRPr="007A25F5">
        <w:t xml:space="preserve">confidence, further </w:t>
      </w:r>
      <w:r w:rsidR="00BC58A0" w:rsidRPr="007A25F5">
        <w:t xml:space="preserve">river basin </w:t>
      </w:r>
      <w:r w:rsidR="00300F31" w:rsidRPr="007A25F5">
        <w:t xml:space="preserve">management measures should be applied in addition to the construction of planned wastewater treatment plants and treatment wetlands. </w:t>
      </w:r>
      <w:r w:rsidR="00FF7118" w:rsidRPr="007A25F5">
        <w:t>T</w:t>
      </w:r>
      <w:r w:rsidR="00300F31" w:rsidRPr="007A25F5">
        <w:t>he</w:t>
      </w:r>
      <w:r w:rsidR="006309D4" w:rsidRPr="007A25F5">
        <w:t xml:space="preserve"> developed</w:t>
      </w:r>
      <w:r w:rsidR="00300F31" w:rsidRPr="007A25F5">
        <w:t xml:space="preserve"> integrated mode</w:t>
      </w:r>
      <w:r w:rsidR="006374F7" w:rsidRPr="007A25F5">
        <w:t>l</w:t>
      </w:r>
      <w:r w:rsidR="00300F31" w:rsidRPr="007A25F5">
        <w:t xml:space="preserve">ling system with the uncertainty analysis </w:t>
      </w:r>
      <w:r w:rsidR="009A6229" w:rsidRPr="007A25F5">
        <w:t xml:space="preserve">was demonstrated to be advantageous because it </w:t>
      </w:r>
      <w:r w:rsidR="00300F31" w:rsidRPr="007A25F5">
        <w:t xml:space="preserve">can allow modellers to make useful decisions </w:t>
      </w:r>
      <w:r w:rsidR="00686625" w:rsidRPr="007A25F5">
        <w:t xml:space="preserve">about </w:t>
      </w:r>
      <w:r w:rsidR="00300F31" w:rsidRPr="007A25F5">
        <w:t xml:space="preserve">whether </w:t>
      </w:r>
      <w:r w:rsidR="00686625" w:rsidRPr="007A25F5">
        <w:t xml:space="preserve">a </w:t>
      </w:r>
      <w:r w:rsidR="00BC58A0" w:rsidRPr="007A25F5">
        <w:t xml:space="preserve">river basin </w:t>
      </w:r>
      <w:r w:rsidR="00300F31" w:rsidRPr="007A25F5">
        <w:lastRenderedPageBreak/>
        <w:t>management plan can meet specified waterquality criteria based on the probability of occurrence.</w:t>
      </w:r>
    </w:p>
    <w:p w:rsidR="00300F31" w:rsidRPr="007A25F5" w:rsidRDefault="00300F31" w:rsidP="00DD2EE6">
      <w:pPr>
        <w:pStyle w:val="PaperFormattext"/>
      </w:pPr>
    </w:p>
    <w:p w:rsidR="00785127" w:rsidRPr="007A25F5" w:rsidRDefault="00785127" w:rsidP="00DD2EE6">
      <w:pPr>
        <w:pStyle w:val="PaperFormattext"/>
      </w:pPr>
      <w:r w:rsidRPr="007A25F5">
        <w:t>K</w:t>
      </w:r>
      <w:r w:rsidR="00DE5E0F" w:rsidRPr="007A25F5">
        <w:t>EYWORDS</w:t>
      </w:r>
      <w:r w:rsidRPr="007A25F5">
        <w:t xml:space="preserve">: </w:t>
      </w:r>
      <w:r w:rsidR="00DD2D8F" w:rsidRPr="007A25F5">
        <w:t>u</w:t>
      </w:r>
      <w:r w:rsidR="00D7099E" w:rsidRPr="007A25F5">
        <w:t>ncertainty analysis</w:t>
      </w:r>
      <w:r w:rsidR="00480CBD" w:rsidRPr="007A25F5">
        <w:t>;</w:t>
      </w:r>
      <w:r w:rsidR="00B45160" w:rsidRPr="007A25F5">
        <w:t>integrated modelling system</w:t>
      </w:r>
      <w:r w:rsidR="0021267B" w:rsidRPr="007A25F5">
        <w:t>;</w:t>
      </w:r>
      <w:r w:rsidR="00D5168D" w:rsidRPr="007A25F5">
        <w:t xml:space="preserve">river basin </w:t>
      </w:r>
      <w:r w:rsidR="00D7099E" w:rsidRPr="007A25F5">
        <w:t xml:space="preserve">management </w:t>
      </w:r>
      <w:r w:rsidR="00AB6FAB" w:rsidRPr="007A25F5">
        <w:t>measure</w:t>
      </w:r>
      <w:r w:rsidR="00EE5E9B" w:rsidRPr="007A25F5">
        <w:t xml:space="preserve">; </w:t>
      </w:r>
      <w:r w:rsidR="00DD2D8F" w:rsidRPr="007A25F5">
        <w:t>t</w:t>
      </w:r>
      <w:r w:rsidR="00D7099E" w:rsidRPr="007A25F5">
        <w:t>reatment wetland</w:t>
      </w:r>
      <w:r w:rsidR="00E16608" w:rsidRPr="007A25F5">
        <w:t>; Monte</w:t>
      </w:r>
      <w:r w:rsidR="00D7099E" w:rsidRPr="007A25F5">
        <w:t xml:space="preserve"> Carlo simulation</w:t>
      </w:r>
      <w:r w:rsidR="00E16608" w:rsidRPr="007A25F5">
        <w:t>; GLUE</w:t>
      </w:r>
      <w:r w:rsidR="00ED1095" w:rsidRPr="007A25F5">
        <w:t>.</w:t>
      </w:r>
    </w:p>
    <w:p w:rsidR="00D6358D" w:rsidRPr="007A25F5" w:rsidRDefault="00D6358D" w:rsidP="00BC58A0">
      <w:pPr>
        <w:widowControl w:val="0"/>
        <w:suppressAutoHyphens/>
        <w:spacing w:after="0" w:line="360" w:lineRule="auto"/>
        <w:jc w:val="center"/>
        <w:rPr>
          <w:rFonts w:ascii="Times New Roman" w:hAnsi="Times New Roman" w:cs="Times New Roman"/>
          <w:color w:val="auto"/>
          <w:sz w:val="22"/>
          <w:szCs w:val="22"/>
        </w:rPr>
      </w:pPr>
    </w:p>
    <w:p w:rsidR="00D5168D" w:rsidRPr="007A25F5" w:rsidRDefault="00D5168D" w:rsidP="00BC58A0">
      <w:pPr>
        <w:widowControl w:val="0"/>
        <w:suppressAutoHyphens/>
        <w:spacing w:after="0" w:line="360" w:lineRule="auto"/>
        <w:jc w:val="center"/>
        <w:rPr>
          <w:rFonts w:ascii="Times New Roman" w:hAnsi="Times New Roman" w:cs="Times New Roman"/>
          <w:color w:val="auto"/>
          <w:sz w:val="22"/>
          <w:szCs w:val="22"/>
        </w:rPr>
      </w:pPr>
    </w:p>
    <w:p w:rsidR="00BC58A0" w:rsidRPr="007A25F5" w:rsidRDefault="00BC58A0" w:rsidP="00BC58A0">
      <w:pPr>
        <w:widowControl w:val="0"/>
        <w:suppressAutoHyphens/>
        <w:spacing w:after="0" w:line="360" w:lineRule="auto"/>
        <w:jc w:val="center"/>
        <w:rPr>
          <w:rFonts w:ascii="Times New Roman" w:hAnsi="Times New Roman" w:cs="Times New Roman"/>
          <w:color w:val="222222"/>
          <w:sz w:val="22"/>
          <w:szCs w:val="22"/>
          <w:lang w:val="fr-FR"/>
        </w:rPr>
      </w:pPr>
      <w:r w:rsidRPr="007A25F5">
        <w:rPr>
          <w:rFonts w:ascii="Times New Roman" w:hAnsi="Times New Roman" w:cs="Times New Roman"/>
          <w:color w:val="222222"/>
          <w:sz w:val="22"/>
          <w:szCs w:val="22"/>
          <w:lang w:val="fr-FR"/>
        </w:rPr>
        <w:t>RÉSUMÉ</w:t>
      </w:r>
    </w:p>
    <w:p w:rsidR="00BC58A0" w:rsidRPr="007A25F5" w:rsidRDefault="00BC58A0" w:rsidP="00BC58A0">
      <w:pPr>
        <w:widowControl w:val="0"/>
        <w:suppressAutoHyphens/>
        <w:spacing w:after="0" w:line="360" w:lineRule="auto"/>
        <w:jc w:val="center"/>
        <w:rPr>
          <w:rFonts w:ascii="Times New Roman" w:hAnsi="Times New Roman" w:cs="Times New Roman"/>
          <w:color w:val="222222"/>
          <w:sz w:val="22"/>
          <w:szCs w:val="22"/>
          <w:lang w:val="fr-FR"/>
        </w:rPr>
      </w:pPr>
    </w:p>
    <w:p w:rsidR="00BC58A0" w:rsidRPr="007A25F5" w:rsidRDefault="00BC58A0" w:rsidP="00BC58A0">
      <w:pPr>
        <w:widowControl w:val="0"/>
        <w:suppressAutoHyphens/>
        <w:spacing w:after="0" w:line="360" w:lineRule="auto"/>
        <w:jc w:val="both"/>
        <w:rPr>
          <w:rFonts w:ascii="Times New Roman" w:hAnsi="Times New Roman" w:cs="Times New Roman"/>
          <w:color w:val="222222"/>
          <w:sz w:val="22"/>
          <w:szCs w:val="22"/>
          <w:lang w:val="fr-FR"/>
        </w:rPr>
      </w:pPr>
      <w:r w:rsidRPr="007A25F5">
        <w:rPr>
          <w:rFonts w:ascii="Times New Roman" w:hAnsi="Times New Roman" w:cs="Times New Roman"/>
          <w:color w:val="222222"/>
          <w:sz w:val="22"/>
          <w:szCs w:val="22"/>
          <w:lang w:val="fr-FR"/>
        </w:rPr>
        <w:t xml:space="preserve">Le système de modélisation intégrée a été développé en combinant </w:t>
      </w:r>
      <w:r w:rsidR="0085637C">
        <w:rPr>
          <w:rFonts w:ascii="Times New Roman" w:hAnsi="Times New Roman" w:cs="Times New Roman"/>
          <w:color w:val="222222"/>
          <w:sz w:val="22"/>
          <w:szCs w:val="22"/>
          <w:lang w:val="fr-FR"/>
        </w:rPr>
        <w:t>lep</w:t>
      </w:r>
      <w:r w:rsidR="0085637C" w:rsidRPr="007A25F5">
        <w:rPr>
          <w:rFonts w:ascii="Times New Roman" w:hAnsi="Times New Roman" w:cs="Times New Roman"/>
          <w:color w:val="222222"/>
          <w:sz w:val="22"/>
          <w:szCs w:val="22"/>
          <w:lang w:val="fr-FR"/>
        </w:rPr>
        <w:t xml:space="preserve">rogramme-FORTRAN </w:t>
      </w:r>
      <w:r w:rsidR="0085637C">
        <w:rPr>
          <w:rFonts w:ascii="Times New Roman" w:hAnsi="Times New Roman" w:cs="Times New Roman"/>
          <w:color w:val="222222"/>
          <w:sz w:val="22"/>
          <w:szCs w:val="22"/>
          <w:lang w:val="fr-FR"/>
        </w:rPr>
        <w:t xml:space="preserve">de </w:t>
      </w:r>
      <w:r w:rsidRPr="007A25F5">
        <w:rPr>
          <w:rFonts w:ascii="Times New Roman" w:hAnsi="Times New Roman" w:cs="Times New Roman"/>
          <w:color w:val="222222"/>
          <w:sz w:val="22"/>
          <w:szCs w:val="22"/>
          <w:lang w:val="fr-FR"/>
        </w:rPr>
        <w:t xml:space="preserve">simulation hydrologique </w:t>
      </w:r>
      <w:r w:rsidR="0085637C">
        <w:rPr>
          <w:rFonts w:ascii="Times New Roman" w:hAnsi="Times New Roman" w:cs="Times New Roman"/>
          <w:color w:val="222222"/>
          <w:sz w:val="22"/>
          <w:szCs w:val="22"/>
          <w:lang w:val="fr-FR"/>
        </w:rPr>
        <w:t>avec le p</w:t>
      </w:r>
      <w:r w:rsidRPr="007A25F5">
        <w:rPr>
          <w:rFonts w:ascii="Times New Roman" w:hAnsi="Times New Roman" w:cs="Times New Roman"/>
          <w:color w:val="222222"/>
          <w:sz w:val="22"/>
          <w:szCs w:val="22"/>
          <w:lang w:val="fr-FR"/>
        </w:rPr>
        <w:t xml:space="preserve">rogramme </w:t>
      </w:r>
      <w:r w:rsidR="0085637C" w:rsidRPr="007A25F5">
        <w:rPr>
          <w:rFonts w:ascii="Times New Roman" w:hAnsi="Times New Roman" w:cs="Times New Roman"/>
          <w:color w:val="222222"/>
          <w:sz w:val="22"/>
          <w:szCs w:val="22"/>
          <w:lang w:val="fr-FR"/>
        </w:rPr>
        <w:t>de simulation</w:t>
      </w:r>
      <w:r w:rsidRPr="007A25F5">
        <w:rPr>
          <w:rFonts w:ascii="Times New Roman" w:hAnsi="Times New Roman" w:cs="Times New Roman"/>
          <w:color w:val="222222"/>
          <w:sz w:val="22"/>
          <w:szCs w:val="22"/>
          <w:lang w:val="fr-FR"/>
        </w:rPr>
        <w:t xml:space="preserve">de </w:t>
      </w:r>
      <w:r w:rsidR="0085637C">
        <w:rPr>
          <w:rFonts w:ascii="Times New Roman" w:hAnsi="Times New Roman" w:cs="Times New Roman"/>
          <w:color w:val="222222"/>
          <w:sz w:val="22"/>
          <w:szCs w:val="22"/>
          <w:lang w:val="fr-FR"/>
        </w:rPr>
        <w:t xml:space="preserve">la </w:t>
      </w:r>
      <w:r w:rsidRPr="007A25F5">
        <w:rPr>
          <w:rFonts w:ascii="Times New Roman" w:hAnsi="Times New Roman" w:cs="Times New Roman"/>
          <w:color w:val="222222"/>
          <w:sz w:val="22"/>
          <w:szCs w:val="22"/>
          <w:lang w:val="fr-FR"/>
        </w:rPr>
        <w:t>qualité de l'eau. Ce</w:t>
      </w:r>
      <w:r w:rsidR="0085637C">
        <w:rPr>
          <w:rFonts w:ascii="Times New Roman" w:hAnsi="Times New Roman" w:cs="Times New Roman"/>
          <w:color w:val="222222"/>
          <w:sz w:val="22"/>
          <w:szCs w:val="22"/>
          <w:lang w:val="fr-FR"/>
        </w:rPr>
        <w:t xml:space="preserve"> système de modélisation intègre </w:t>
      </w:r>
      <w:r w:rsidR="00DA4B91">
        <w:rPr>
          <w:rFonts w:ascii="Times New Roman" w:hAnsi="Times New Roman" w:cs="Times New Roman"/>
          <w:color w:val="222222"/>
          <w:sz w:val="22"/>
          <w:szCs w:val="22"/>
          <w:lang w:val="fr-FR"/>
        </w:rPr>
        <w:t>l'analyse d'incertitude (</w:t>
      </w:r>
      <w:r w:rsidRPr="007A25F5">
        <w:rPr>
          <w:rFonts w:ascii="Times New Roman" w:hAnsi="Times New Roman" w:cs="Times New Roman"/>
          <w:color w:val="222222"/>
          <w:sz w:val="22"/>
          <w:szCs w:val="22"/>
          <w:lang w:val="fr-FR"/>
        </w:rPr>
        <w:t>simulation de Monte Carlo et estimation de l'incertitude de vraisemblance généralisé</w:t>
      </w:r>
      <w:r w:rsidR="0085637C">
        <w:rPr>
          <w:rFonts w:ascii="Times New Roman" w:hAnsi="Times New Roman" w:cs="Times New Roman"/>
          <w:color w:val="222222"/>
          <w:sz w:val="22"/>
          <w:szCs w:val="22"/>
          <w:lang w:val="fr-FR"/>
        </w:rPr>
        <w:t>e</w:t>
      </w:r>
      <w:r w:rsidRPr="007A25F5">
        <w:rPr>
          <w:rFonts w:ascii="Times New Roman" w:hAnsi="Times New Roman" w:cs="Times New Roman"/>
          <w:color w:val="222222"/>
          <w:sz w:val="22"/>
          <w:szCs w:val="22"/>
          <w:lang w:val="fr-FR"/>
        </w:rPr>
        <w:t>)</w:t>
      </w:r>
      <w:r w:rsidR="00DA4B91">
        <w:rPr>
          <w:rFonts w:ascii="Times New Roman" w:hAnsi="Times New Roman" w:cs="Times New Roman"/>
          <w:color w:val="222222"/>
          <w:sz w:val="22"/>
          <w:szCs w:val="22"/>
          <w:lang w:val="fr-FR"/>
        </w:rPr>
        <w:t>,</w:t>
      </w:r>
      <w:r w:rsidR="0085637C">
        <w:rPr>
          <w:rFonts w:ascii="Times New Roman" w:hAnsi="Times New Roman" w:cs="Times New Roman"/>
          <w:color w:val="222222"/>
          <w:sz w:val="22"/>
          <w:szCs w:val="22"/>
          <w:lang w:val="fr-FR"/>
        </w:rPr>
        <w:t>et a</w:t>
      </w:r>
      <w:r w:rsidRPr="007A25F5">
        <w:rPr>
          <w:rFonts w:ascii="Times New Roman" w:hAnsi="Times New Roman" w:cs="Times New Roman"/>
          <w:color w:val="222222"/>
          <w:sz w:val="22"/>
          <w:szCs w:val="22"/>
          <w:lang w:val="fr-FR"/>
        </w:rPr>
        <w:t xml:space="preserve"> été proposé </w:t>
      </w:r>
      <w:r w:rsidR="0085637C">
        <w:rPr>
          <w:rFonts w:ascii="Times New Roman" w:hAnsi="Times New Roman" w:cs="Times New Roman"/>
          <w:color w:val="222222"/>
          <w:sz w:val="22"/>
          <w:szCs w:val="22"/>
          <w:lang w:val="fr-FR"/>
        </w:rPr>
        <w:t xml:space="preserve">pour </w:t>
      </w:r>
      <w:r w:rsidRPr="007A25F5">
        <w:rPr>
          <w:rFonts w:ascii="Times New Roman" w:hAnsi="Times New Roman" w:cs="Times New Roman"/>
          <w:color w:val="222222"/>
          <w:sz w:val="22"/>
          <w:szCs w:val="22"/>
          <w:lang w:val="fr-FR"/>
        </w:rPr>
        <w:t xml:space="preserve">évaluer l'effet des sources d'incertitude sur la qualité de l'eau à long terme et d'élaborer des mesures de gestion des bassins hydrographiques pour répondre à la qualité de l'eau spécifiée </w:t>
      </w:r>
      <w:r w:rsidR="0085637C">
        <w:rPr>
          <w:rFonts w:ascii="Times New Roman" w:hAnsi="Times New Roman" w:cs="Times New Roman"/>
          <w:color w:val="222222"/>
          <w:sz w:val="22"/>
          <w:szCs w:val="22"/>
          <w:lang w:val="fr-FR"/>
        </w:rPr>
        <w:t xml:space="preserve">par </w:t>
      </w:r>
      <w:r w:rsidRPr="007A25F5">
        <w:rPr>
          <w:rFonts w:ascii="Times New Roman" w:hAnsi="Times New Roman" w:cs="Times New Roman"/>
          <w:color w:val="222222"/>
          <w:sz w:val="22"/>
          <w:szCs w:val="22"/>
          <w:lang w:val="fr-FR"/>
        </w:rPr>
        <w:t xml:space="preserve">des critères basés sur la probabilité prédite d'occurrence dans le bassin </w:t>
      </w:r>
      <w:r w:rsidR="00DA4B91">
        <w:rPr>
          <w:rFonts w:ascii="Times New Roman" w:hAnsi="Times New Roman" w:cs="Times New Roman"/>
          <w:color w:val="222222"/>
          <w:sz w:val="22"/>
          <w:szCs w:val="22"/>
          <w:lang w:val="fr-FR"/>
        </w:rPr>
        <w:t xml:space="preserve">ou </w:t>
      </w:r>
      <w:r w:rsidRPr="007A25F5">
        <w:rPr>
          <w:rFonts w:ascii="Times New Roman" w:hAnsi="Times New Roman" w:cs="Times New Roman"/>
          <w:color w:val="222222"/>
          <w:sz w:val="22"/>
          <w:szCs w:val="22"/>
          <w:lang w:val="fr-FR"/>
        </w:rPr>
        <w:t>la rivière</w:t>
      </w:r>
      <w:r w:rsidR="00DA4B91">
        <w:rPr>
          <w:rFonts w:ascii="Times New Roman" w:hAnsi="Times New Roman" w:cs="Times New Roman"/>
          <w:color w:val="222222"/>
          <w:sz w:val="22"/>
          <w:szCs w:val="22"/>
          <w:lang w:val="fr-FR"/>
        </w:rPr>
        <w:t xml:space="preserve"> est remise en état</w:t>
      </w:r>
      <w:r w:rsidRPr="007A25F5">
        <w:rPr>
          <w:rFonts w:ascii="Times New Roman" w:hAnsi="Times New Roman" w:cs="Times New Roman"/>
          <w:color w:val="222222"/>
          <w:sz w:val="22"/>
          <w:szCs w:val="22"/>
          <w:lang w:val="fr-FR"/>
        </w:rPr>
        <w:t xml:space="preserve">. Les résultats du système déterministe de modélisation intégrée sans l'analyse de l'incertitude ont montré que </w:t>
      </w:r>
      <w:r w:rsidR="0085637C">
        <w:rPr>
          <w:rFonts w:ascii="Times New Roman" w:hAnsi="Times New Roman" w:cs="Times New Roman"/>
          <w:color w:val="222222"/>
          <w:sz w:val="22"/>
          <w:szCs w:val="22"/>
          <w:lang w:val="fr-FR"/>
        </w:rPr>
        <w:t xml:space="preserve">la </w:t>
      </w:r>
      <w:r w:rsidRPr="007A25F5">
        <w:rPr>
          <w:rFonts w:ascii="Times New Roman" w:hAnsi="Times New Roman" w:cs="Times New Roman"/>
          <w:color w:val="222222"/>
          <w:sz w:val="22"/>
          <w:szCs w:val="22"/>
          <w:lang w:val="fr-FR"/>
        </w:rPr>
        <w:t xml:space="preserve">qualité de l'eau </w:t>
      </w:r>
      <w:r w:rsidR="0085637C">
        <w:rPr>
          <w:rFonts w:ascii="Times New Roman" w:hAnsi="Times New Roman" w:cs="Times New Roman"/>
          <w:color w:val="222222"/>
          <w:sz w:val="22"/>
          <w:szCs w:val="22"/>
          <w:lang w:val="fr-FR"/>
        </w:rPr>
        <w:t>du ré</w:t>
      </w:r>
      <w:r w:rsidR="0085637C" w:rsidRPr="007A25F5">
        <w:rPr>
          <w:rFonts w:ascii="Times New Roman" w:hAnsi="Times New Roman" w:cs="Times New Roman"/>
          <w:color w:val="222222"/>
          <w:sz w:val="22"/>
          <w:szCs w:val="22"/>
          <w:lang w:val="fr-FR"/>
        </w:rPr>
        <w:t>servoirHwaong</w:t>
      </w:r>
      <w:r w:rsidRPr="007A25F5">
        <w:rPr>
          <w:rFonts w:ascii="Times New Roman" w:hAnsi="Times New Roman" w:cs="Times New Roman"/>
          <w:color w:val="222222"/>
          <w:sz w:val="22"/>
          <w:szCs w:val="22"/>
          <w:lang w:val="fr-FR"/>
        </w:rPr>
        <w:t xml:space="preserve">pour </w:t>
      </w:r>
      <w:r w:rsidR="0085637C">
        <w:rPr>
          <w:rFonts w:ascii="Times New Roman" w:hAnsi="Times New Roman" w:cs="Times New Roman"/>
          <w:color w:val="222222"/>
          <w:sz w:val="22"/>
          <w:szCs w:val="22"/>
          <w:lang w:val="fr-FR"/>
        </w:rPr>
        <w:t>le phosphore total</w:t>
      </w:r>
      <w:r w:rsidRPr="007A25F5">
        <w:rPr>
          <w:rFonts w:ascii="Times New Roman" w:hAnsi="Times New Roman" w:cs="Times New Roman"/>
          <w:color w:val="222222"/>
          <w:sz w:val="22"/>
          <w:szCs w:val="22"/>
          <w:lang w:val="fr-FR"/>
        </w:rPr>
        <w:t xml:space="preserve"> (</w:t>
      </w:r>
      <w:r w:rsidR="0085637C">
        <w:rPr>
          <w:rFonts w:ascii="Times New Roman" w:hAnsi="Times New Roman" w:cs="Times New Roman"/>
          <w:color w:val="222222"/>
          <w:sz w:val="22"/>
          <w:szCs w:val="22"/>
          <w:lang w:val="fr-FR"/>
        </w:rPr>
        <w:t xml:space="preserve">actuellement </w:t>
      </w:r>
      <w:r w:rsidR="00DA4B91">
        <w:rPr>
          <w:rFonts w:ascii="Times New Roman" w:hAnsi="Times New Roman" w:cs="Times New Roman"/>
          <w:color w:val="222222"/>
          <w:sz w:val="22"/>
          <w:szCs w:val="22"/>
          <w:lang w:val="fr-FR"/>
        </w:rPr>
        <w:t>0,094 </w:t>
      </w:r>
      <w:r w:rsidRPr="007A25F5">
        <w:rPr>
          <w:rFonts w:ascii="Times New Roman" w:hAnsi="Times New Roman" w:cs="Times New Roman"/>
          <w:color w:val="222222"/>
          <w:sz w:val="22"/>
          <w:szCs w:val="22"/>
          <w:lang w:val="fr-FR"/>
        </w:rPr>
        <w:t xml:space="preserve">mg </w:t>
      </w:r>
      <w:r w:rsidR="007A25F5" w:rsidRPr="007A25F5">
        <w:rPr>
          <w:rFonts w:ascii="Times New Roman" w:hAnsi="Times New Roman" w:cs="Times New Roman"/>
          <w:sz w:val="22"/>
          <w:szCs w:val="22"/>
          <w:lang w:val="fr-FR"/>
        </w:rPr>
        <w:t>L</w:t>
      </w:r>
      <w:r w:rsidR="007A25F5" w:rsidRPr="007A25F5">
        <w:rPr>
          <w:rFonts w:ascii="Times New Roman" w:hAnsi="Times New Roman" w:cs="Times New Roman"/>
          <w:sz w:val="22"/>
          <w:szCs w:val="22"/>
          <w:vertAlign w:val="superscript"/>
          <w:lang w:val="fr-FR"/>
        </w:rPr>
        <w:t>-1</w:t>
      </w:r>
      <w:r w:rsidRPr="007A25F5">
        <w:rPr>
          <w:rFonts w:ascii="Times New Roman" w:hAnsi="Times New Roman" w:cs="Times New Roman"/>
          <w:color w:val="222222"/>
          <w:sz w:val="22"/>
          <w:szCs w:val="22"/>
          <w:lang w:val="fr-FR"/>
        </w:rPr>
        <w:t xml:space="preserve">) serait conforme </w:t>
      </w:r>
      <w:r w:rsidR="0085637C" w:rsidRPr="007A25F5">
        <w:rPr>
          <w:rFonts w:ascii="Times New Roman" w:hAnsi="Times New Roman" w:cs="Times New Roman"/>
          <w:color w:val="222222"/>
          <w:sz w:val="22"/>
          <w:szCs w:val="22"/>
          <w:lang w:val="fr-FR"/>
        </w:rPr>
        <w:t xml:space="preserve">en 2022 </w:t>
      </w:r>
      <w:r w:rsidRPr="007A25F5">
        <w:rPr>
          <w:rFonts w:ascii="Times New Roman" w:hAnsi="Times New Roman" w:cs="Times New Roman"/>
          <w:color w:val="222222"/>
          <w:sz w:val="22"/>
          <w:szCs w:val="22"/>
          <w:lang w:val="fr-FR"/>
        </w:rPr>
        <w:t xml:space="preserve">à la norme de qualité de l'eau </w:t>
      </w:r>
      <w:r w:rsidR="0085637C">
        <w:rPr>
          <w:rFonts w:ascii="Times New Roman" w:hAnsi="Times New Roman" w:cs="Times New Roman"/>
          <w:color w:val="222222"/>
          <w:sz w:val="22"/>
          <w:szCs w:val="22"/>
          <w:lang w:val="fr-FR"/>
        </w:rPr>
        <w:t>applicable à un</w:t>
      </w:r>
      <w:r w:rsidRPr="007A25F5">
        <w:rPr>
          <w:rFonts w:ascii="Times New Roman" w:hAnsi="Times New Roman" w:cs="Times New Roman"/>
          <w:color w:val="222222"/>
          <w:sz w:val="22"/>
          <w:szCs w:val="22"/>
          <w:lang w:val="fr-FR"/>
        </w:rPr>
        <w:t xml:space="preserve"> réservoir (</w:t>
      </w:r>
      <w:r w:rsidR="00DA4B91">
        <w:rPr>
          <w:rFonts w:ascii="Times New Roman" w:hAnsi="Times New Roman" w:cs="Times New Roman"/>
          <w:color w:val="222222"/>
          <w:sz w:val="22"/>
          <w:szCs w:val="22"/>
          <w:lang w:val="fr-FR"/>
        </w:rPr>
        <w:t>0,1 </w:t>
      </w:r>
      <w:r w:rsidRPr="007A25F5">
        <w:rPr>
          <w:rFonts w:ascii="Times New Roman" w:hAnsi="Times New Roman" w:cs="Times New Roman"/>
          <w:color w:val="222222"/>
          <w:sz w:val="22"/>
          <w:szCs w:val="22"/>
          <w:lang w:val="fr-FR"/>
        </w:rPr>
        <w:t xml:space="preserve">mg </w:t>
      </w:r>
      <w:r w:rsidR="007A25F5" w:rsidRPr="007A25F5">
        <w:rPr>
          <w:rFonts w:ascii="Times New Roman" w:hAnsi="Times New Roman" w:cs="Times New Roman"/>
          <w:sz w:val="22"/>
          <w:szCs w:val="22"/>
          <w:lang w:val="fr-FR"/>
        </w:rPr>
        <w:t>L</w:t>
      </w:r>
      <w:r w:rsidR="007A25F5" w:rsidRPr="007A25F5">
        <w:rPr>
          <w:rFonts w:ascii="Times New Roman" w:hAnsi="Times New Roman" w:cs="Times New Roman"/>
          <w:sz w:val="22"/>
          <w:szCs w:val="22"/>
          <w:vertAlign w:val="superscript"/>
          <w:lang w:val="fr-FR"/>
        </w:rPr>
        <w:t>-1</w:t>
      </w:r>
      <w:r w:rsidRPr="007A25F5">
        <w:rPr>
          <w:rFonts w:ascii="Times New Roman" w:hAnsi="Times New Roman" w:cs="Times New Roman"/>
          <w:color w:val="222222"/>
          <w:sz w:val="22"/>
          <w:szCs w:val="22"/>
          <w:lang w:val="fr-FR"/>
        </w:rPr>
        <w:t xml:space="preserve">). Cependant, le résultat de prédiction de la qualité de l'eau en 2022 </w:t>
      </w:r>
      <w:r w:rsidR="00DA4B91">
        <w:rPr>
          <w:rFonts w:ascii="Times New Roman" w:hAnsi="Times New Roman" w:cs="Times New Roman"/>
          <w:color w:val="222222"/>
          <w:sz w:val="22"/>
          <w:szCs w:val="22"/>
          <w:lang w:val="fr-FR"/>
        </w:rPr>
        <w:t xml:space="preserve">obtenu </w:t>
      </w:r>
      <w:r w:rsidRPr="007A25F5">
        <w:rPr>
          <w:rFonts w:ascii="Times New Roman" w:hAnsi="Times New Roman" w:cs="Times New Roman"/>
          <w:color w:val="222222"/>
          <w:sz w:val="22"/>
          <w:szCs w:val="22"/>
          <w:lang w:val="fr-FR"/>
        </w:rPr>
        <w:t xml:space="preserve">en </w:t>
      </w:r>
      <w:r w:rsidR="0085637C">
        <w:rPr>
          <w:rFonts w:ascii="Times New Roman" w:hAnsi="Times New Roman" w:cs="Times New Roman"/>
          <w:color w:val="222222"/>
          <w:sz w:val="22"/>
          <w:szCs w:val="22"/>
          <w:lang w:val="fr-FR"/>
        </w:rPr>
        <w:t>appliquant</w:t>
      </w:r>
      <w:r w:rsidRPr="007A25F5">
        <w:rPr>
          <w:rFonts w:ascii="Times New Roman" w:hAnsi="Times New Roman" w:cs="Times New Roman"/>
          <w:color w:val="222222"/>
          <w:sz w:val="22"/>
          <w:szCs w:val="22"/>
          <w:lang w:val="fr-FR"/>
        </w:rPr>
        <w:t xml:space="preserve"> le système de modélisation intégrée à l'analyse d'incertitude a montré que seulement </w:t>
      </w:r>
      <w:r w:rsidR="00DA4B91">
        <w:rPr>
          <w:rFonts w:ascii="Times New Roman" w:hAnsi="Times New Roman" w:cs="Times New Roman"/>
          <w:color w:val="222222"/>
          <w:sz w:val="22"/>
          <w:szCs w:val="22"/>
          <w:lang w:val="fr-FR"/>
        </w:rPr>
        <w:t>28 </w:t>
      </w:r>
      <w:r w:rsidRPr="007A25F5">
        <w:rPr>
          <w:rFonts w:ascii="Times New Roman" w:hAnsi="Times New Roman" w:cs="Times New Roman"/>
          <w:color w:val="222222"/>
          <w:sz w:val="22"/>
          <w:szCs w:val="22"/>
          <w:lang w:val="fr-FR"/>
        </w:rPr>
        <w:t>% serait conforme à la norme de qualité de l'eau de TP</w:t>
      </w:r>
      <w:r w:rsidR="0085637C">
        <w:rPr>
          <w:rFonts w:ascii="Times New Roman" w:hAnsi="Times New Roman" w:cs="Times New Roman"/>
          <w:color w:val="222222"/>
          <w:sz w:val="22"/>
          <w:szCs w:val="22"/>
          <w:lang w:val="fr-FR"/>
        </w:rPr>
        <w:t>. Ceci indique que</w:t>
      </w:r>
      <w:r w:rsidRPr="007A25F5">
        <w:rPr>
          <w:rFonts w:ascii="Times New Roman" w:hAnsi="Times New Roman" w:cs="Times New Roman"/>
          <w:color w:val="222222"/>
          <w:sz w:val="22"/>
          <w:szCs w:val="22"/>
          <w:lang w:val="fr-FR"/>
        </w:rPr>
        <w:t xml:space="preserve"> pour satisfaire à la norme de qualité de l'eau avec une confiance de </w:t>
      </w:r>
      <w:r w:rsidR="00DA4B91">
        <w:rPr>
          <w:rFonts w:ascii="Times New Roman" w:hAnsi="Times New Roman" w:cs="Times New Roman"/>
          <w:color w:val="222222"/>
          <w:sz w:val="22"/>
          <w:szCs w:val="22"/>
          <w:lang w:val="fr-FR"/>
        </w:rPr>
        <w:t>90 </w:t>
      </w:r>
      <w:r w:rsidRPr="007A25F5">
        <w:rPr>
          <w:rFonts w:ascii="Times New Roman" w:hAnsi="Times New Roman" w:cs="Times New Roman"/>
          <w:color w:val="222222"/>
          <w:sz w:val="22"/>
          <w:szCs w:val="22"/>
          <w:lang w:val="fr-FR"/>
        </w:rPr>
        <w:t xml:space="preserve">%, des mesures de gestion </w:t>
      </w:r>
      <w:r w:rsidR="0085637C">
        <w:rPr>
          <w:rFonts w:ascii="Times New Roman" w:hAnsi="Times New Roman" w:cs="Times New Roman"/>
          <w:color w:val="222222"/>
          <w:sz w:val="22"/>
          <w:szCs w:val="22"/>
          <w:lang w:val="fr-FR"/>
        </w:rPr>
        <w:t xml:space="preserve">complémentaires </w:t>
      </w:r>
      <w:r w:rsidRPr="007A25F5">
        <w:rPr>
          <w:rFonts w:ascii="Times New Roman" w:hAnsi="Times New Roman" w:cs="Times New Roman"/>
          <w:color w:val="222222"/>
          <w:sz w:val="22"/>
          <w:szCs w:val="22"/>
          <w:lang w:val="fr-FR"/>
        </w:rPr>
        <w:t>des bassins doivent être appliquées</w:t>
      </w:r>
      <w:r w:rsidR="0085637C">
        <w:rPr>
          <w:rFonts w:ascii="Times New Roman" w:hAnsi="Times New Roman" w:cs="Times New Roman"/>
          <w:color w:val="222222"/>
          <w:sz w:val="22"/>
          <w:szCs w:val="22"/>
          <w:lang w:val="fr-FR"/>
        </w:rPr>
        <w:t>,</w:t>
      </w:r>
      <w:r w:rsidRPr="007A25F5">
        <w:rPr>
          <w:rFonts w:ascii="Times New Roman" w:hAnsi="Times New Roman" w:cs="Times New Roman"/>
          <w:color w:val="222222"/>
          <w:sz w:val="22"/>
          <w:szCs w:val="22"/>
          <w:lang w:val="fr-FR"/>
        </w:rPr>
        <w:t xml:space="preserve"> en plus de la construction d'usines </w:t>
      </w:r>
      <w:r w:rsidR="0085637C" w:rsidRPr="007A25F5">
        <w:rPr>
          <w:rFonts w:ascii="Times New Roman" w:hAnsi="Times New Roman" w:cs="Times New Roman"/>
          <w:color w:val="222222"/>
          <w:sz w:val="22"/>
          <w:szCs w:val="22"/>
          <w:lang w:val="fr-FR"/>
        </w:rPr>
        <w:t xml:space="preserve">et de zones humides </w:t>
      </w:r>
      <w:r w:rsidRPr="007A25F5">
        <w:rPr>
          <w:rFonts w:ascii="Times New Roman" w:hAnsi="Times New Roman" w:cs="Times New Roman"/>
          <w:color w:val="222222"/>
          <w:sz w:val="22"/>
          <w:szCs w:val="22"/>
          <w:lang w:val="fr-FR"/>
        </w:rPr>
        <w:t xml:space="preserve">de traitement des eaux usées. Il a été démontré que le système de modélisation intégrée </w:t>
      </w:r>
      <w:r w:rsidR="00DA4B91">
        <w:rPr>
          <w:rFonts w:ascii="Times New Roman" w:hAnsi="Times New Roman" w:cs="Times New Roman"/>
          <w:color w:val="222222"/>
          <w:sz w:val="22"/>
          <w:szCs w:val="22"/>
          <w:lang w:val="fr-FR"/>
        </w:rPr>
        <w:t xml:space="preserve">couplée à </w:t>
      </w:r>
      <w:bookmarkStart w:id="0" w:name="_GoBack"/>
      <w:bookmarkEnd w:id="0"/>
      <w:r w:rsidRPr="007A25F5">
        <w:rPr>
          <w:rFonts w:ascii="Times New Roman" w:hAnsi="Times New Roman" w:cs="Times New Roman"/>
          <w:color w:val="222222"/>
          <w:sz w:val="22"/>
          <w:szCs w:val="22"/>
          <w:lang w:val="fr-FR"/>
        </w:rPr>
        <w:t xml:space="preserve">l'analyse d'incertitude peut permettre </w:t>
      </w:r>
      <w:r w:rsidR="0085637C">
        <w:rPr>
          <w:rFonts w:ascii="Times New Roman" w:hAnsi="Times New Roman" w:cs="Times New Roman"/>
          <w:color w:val="222222"/>
          <w:sz w:val="22"/>
          <w:szCs w:val="22"/>
          <w:lang w:val="fr-FR"/>
        </w:rPr>
        <w:t xml:space="preserve">aux </w:t>
      </w:r>
      <w:r w:rsidRPr="007A25F5">
        <w:rPr>
          <w:rFonts w:ascii="Times New Roman" w:hAnsi="Times New Roman" w:cs="Times New Roman"/>
          <w:color w:val="222222"/>
          <w:sz w:val="22"/>
          <w:szCs w:val="22"/>
          <w:lang w:val="fr-FR"/>
        </w:rPr>
        <w:t>modélisateurs de prendre des décisions utiles si le plan de gestion du bassin de la rivière peut répondre aux critères spécifiés qualité de l'eau en fonction de la probabilité d'occurrence.</w:t>
      </w:r>
    </w:p>
    <w:p w:rsidR="00BC58A0" w:rsidRPr="007A25F5" w:rsidRDefault="00BC58A0" w:rsidP="00BC58A0">
      <w:pPr>
        <w:widowControl w:val="0"/>
        <w:suppressAutoHyphens/>
        <w:spacing w:after="0" w:line="360" w:lineRule="auto"/>
        <w:jc w:val="both"/>
        <w:rPr>
          <w:rFonts w:ascii="Times New Roman" w:hAnsi="Times New Roman" w:cs="Times New Roman"/>
          <w:color w:val="222222"/>
          <w:sz w:val="22"/>
          <w:szCs w:val="22"/>
          <w:lang w:val="fr-FR"/>
        </w:rPr>
      </w:pPr>
    </w:p>
    <w:p w:rsidR="00BC58A0" w:rsidRPr="007A25F5" w:rsidRDefault="00BC58A0" w:rsidP="00BC58A0">
      <w:pPr>
        <w:widowControl w:val="0"/>
        <w:suppressAutoHyphens/>
        <w:spacing w:after="0" w:line="360" w:lineRule="auto"/>
        <w:jc w:val="both"/>
        <w:rPr>
          <w:rFonts w:ascii="Times New Roman" w:hAnsi="Times New Roman" w:cs="Times New Roman"/>
          <w:color w:val="auto"/>
          <w:sz w:val="22"/>
          <w:szCs w:val="22"/>
          <w:lang w:val="fr-FR"/>
        </w:rPr>
      </w:pPr>
      <w:r w:rsidRPr="007A25F5">
        <w:rPr>
          <w:rFonts w:ascii="Times New Roman" w:hAnsi="Times New Roman" w:cs="Times New Roman"/>
          <w:caps/>
          <w:color w:val="222222"/>
          <w:sz w:val="22"/>
          <w:szCs w:val="22"/>
          <w:lang w:val="fr-FR"/>
        </w:rPr>
        <w:t>Mots clés</w:t>
      </w:r>
      <w:r w:rsidR="00587A77">
        <w:rPr>
          <w:rFonts w:ascii="Times New Roman" w:hAnsi="Times New Roman" w:cs="Times New Roman"/>
          <w:caps/>
          <w:color w:val="222222"/>
          <w:sz w:val="22"/>
          <w:szCs w:val="22"/>
          <w:lang w:val="fr-FR"/>
        </w:rPr>
        <w:t> :</w:t>
      </w:r>
      <w:r w:rsidRPr="007A25F5">
        <w:rPr>
          <w:rFonts w:ascii="Times New Roman" w:hAnsi="Times New Roman" w:cs="Times New Roman"/>
          <w:color w:val="222222"/>
          <w:sz w:val="22"/>
          <w:szCs w:val="22"/>
          <w:lang w:val="fr-FR"/>
        </w:rPr>
        <w:t>analyse d'incertitude</w:t>
      </w:r>
      <w:r w:rsidR="00587A77">
        <w:rPr>
          <w:rFonts w:ascii="Times New Roman" w:hAnsi="Times New Roman" w:cs="Times New Roman"/>
          <w:color w:val="222222"/>
          <w:sz w:val="22"/>
          <w:szCs w:val="22"/>
          <w:lang w:val="fr-FR"/>
        </w:rPr>
        <w:t> ;</w:t>
      </w:r>
      <w:r w:rsidRPr="007A25F5">
        <w:rPr>
          <w:rFonts w:ascii="Times New Roman" w:hAnsi="Times New Roman" w:cs="Times New Roman"/>
          <w:color w:val="222222"/>
          <w:sz w:val="22"/>
          <w:szCs w:val="22"/>
          <w:lang w:val="fr-FR"/>
        </w:rPr>
        <w:t xml:space="preserve"> système de modélisation intégrée</w:t>
      </w:r>
      <w:r w:rsidR="00587A77">
        <w:rPr>
          <w:rFonts w:ascii="Times New Roman" w:hAnsi="Times New Roman" w:cs="Times New Roman"/>
          <w:color w:val="222222"/>
          <w:sz w:val="22"/>
          <w:szCs w:val="22"/>
          <w:lang w:val="fr-FR"/>
        </w:rPr>
        <w:t> ;</w:t>
      </w:r>
      <w:r w:rsidRPr="007A25F5">
        <w:rPr>
          <w:rFonts w:ascii="Times New Roman" w:hAnsi="Times New Roman" w:cs="Times New Roman"/>
          <w:color w:val="222222"/>
          <w:sz w:val="22"/>
          <w:szCs w:val="22"/>
          <w:lang w:val="fr-FR"/>
        </w:rPr>
        <w:t xml:space="preserve"> mesure de gestion des bassins fluviaux</w:t>
      </w:r>
      <w:r w:rsidR="00587A77">
        <w:rPr>
          <w:rFonts w:ascii="Times New Roman" w:hAnsi="Times New Roman" w:cs="Times New Roman"/>
          <w:color w:val="222222"/>
          <w:sz w:val="22"/>
          <w:szCs w:val="22"/>
          <w:lang w:val="fr-FR"/>
        </w:rPr>
        <w:t> ;</w:t>
      </w:r>
      <w:r w:rsidRPr="007A25F5">
        <w:rPr>
          <w:rFonts w:ascii="Times New Roman" w:hAnsi="Times New Roman" w:cs="Times New Roman"/>
          <w:color w:val="222222"/>
          <w:sz w:val="22"/>
          <w:szCs w:val="22"/>
          <w:lang w:val="fr-FR"/>
        </w:rPr>
        <w:t xml:space="preserve"> zone humide de traitement</w:t>
      </w:r>
      <w:r w:rsidR="00587A77">
        <w:rPr>
          <w:rFonts w:ascii="Times New Roman" w:hAnsi="Times New Roman" w:cs="Times New Roman"/>
          <w:color w:val="222222"/>
          <w:sz w:val="22"/>
          <w:szCs w:val="22"/>
          <w:lang w:val="fr-FR"/>
        </w:rPr>
        <w:t> ; s</w:t>
      </w:r>
      <w:r w:rsidRPr="007A25F5">
        <w:rPr>
          <w:rFonts w:ascii="Times New Roman" w:hAnsi="Times New Roman" w:cs="Times New Roman"/>
          <w:color w:val="222222"/>
          <w:sz w:val="22"/>
          <w:szCs w:val="22"/>
          <w:lang w:val="fr-FR"/>
        </w:rPr>
        <w:t>imulation de Monte Carlo; GLUE.</w:t>
      </w:r>
    </w:p>
    <w:p w:rsidR="00D5168D" w:rsidRPr="007A25F5" w:rsidRDefault="00D5168D" w:rsidP="00BC58A0">
      <w:pPr>
        <w:widowControl w:val="0"/>
        <w:suppressAutoHyphens/>
        <w:spacing w:after="0" w:line="360" w:lineRule="auto"/>
        <w:jc w:val="center"/>
        <w:rPr>
          <w:rFonts w:ascii="Times New Roman" w:hAnsi="Times New Roman" w:cs="Times New Roman"/>
          <w:color w:val="auto"/>
          <w:sz w:val="22"/>
          <w:szCs w:val="22"/>
          <w:lang w:val="fr-FR" w:eastAsia="ko-KR"/>
        </w:rPr>
      </w:pPr>
    </w:p>
    <w:p w:rsidR="00BC58A0" w:rsidRPr="007A25F5" w:rsidRDefault="00BC58A0" w:rsidP="00BC58A0">
      <w:pPr>
        <w:widowControl w:val="0"/>
        <w:suppressAutoHyphens/>
        <w:spacing w:after="0" w:line="360" w:lineRule="auto"/>
        <w:jc w:val="center"/>
        <w:rPr>
          <w:rFonts w:ascii="Times New Roman" w:hAnsi="Times New Roman" w:cs="Times New Roman"/>
          <w:color w:val="auto"/>
          <w:sz w:val="22"/>
          <w:szCs w:val="22"/>
          <w:lang w:val="fr-FR" w:eastAsia="ko-KR"/>
        </w:rPr>
      </w:pPr>
    </w:p>
    <w:p w:rsidR="006420E1" w:rsidRPr="007A25F5" w:rsidRDefault="00D06F59" w:rsidP="00BC58A0">
      <w:pPr>
        <w:pStyle w:val="PaperMainheadings"/>
        <w:widowControl w:val="0"/>
        <w:spacing w:line="360" w:lineRule="auto"/>
        <w:jc w:val="center"/>
        <w:rPr>
          <w:b w:val="0"/>
          <w:sz w:val="22"/>
          <w:szCs w:val="22"/>
        </w:rPr>
      </w:pPr>
      <w:r w:rsidRPr="007A25F5">
        <w:rPr>
          <w:b w:val="0"/>
          <w:sz w:val="22"/>
          <w:szCs w:val="22"/>
        </w:rPr>
        <w:t>INTRODUCTIO</w:t>
      </w:r>
      <w:r w:rsidR="00906995" w:rsidRPr="007A25F5">
        <w:rPr>
          <w:b w:val="0"/>
          <w:sz w:val="22"/>
          <w:szCs w:val="22"/>
        </w:rPr>
        <w:t>N</w:t>
      </w:r>
    </w:p>
    <w:p w:rsidR="006420E1" w:rsidRPr="007A25F5" w:rsidRDefault="006420E1" w:rsidP="00DD2EE6">
      <w:pPr>
        <w:pStyle w:val="PaperFormattext"/>
      </w:pPr>
    </w:p>
    <w:p w:rsidR="00BC58A0" w:rsidRPr="007A25F5" w:rsidRDefault="00876C4F" w:rsidP="00DD2EE6">
      <w:pPr>
        <w:pStyle w:val="PaperFormattext"/>
      </w:pPr>
      <w:r w:rsidRPr="007A25F5">
        <w:lastRenderedPageBreak/>
        <w:t xml:space="preserve">Most of estuarine reservoirs in South Korea have </w:t>
      </w:r>
      <w:r w:rsidR="004A5B98" w:rsidRPr="007A25F5">
        <w:t>been forced</w:t>
      </w:r>
      <w:r w:rsidRPr="007A25F5">
        <w:t xml:space="preserve">to deal with the eutrophication problem that is caused by nutrient discharge from the surrounding areas. Methods to effectively control the eutrophication problem have attracted a great deal of interest. It is wellknown that reservoir eutrophication management should be implemented on a </w:t>
      </w:r>
      <w:r w:rsidR="00BA32F4" w:rsidRPr="007A25F5">
        <w:t>river basin</w:t>
      </w:r>
      <w:r w:rsidRPr="007A25F5">
        <w:t xml:space="preserve"> scale (Cooke </w:t>
      </w:r>
      <w:r w:rsidRPr="007A25F5">
        <w:rPr>
          <w:i/>
        </w:rPr>
        <w:t>et al.</w:t>
      </w:r>
      <w:r w:rsidRPr="007A25F5">
        <w:t>, 1993) because of the complex interactions between a water body and surrounding region (Somlyody and Wets, 1988).</w:t>
      </w:r>
    </w:p>
    <w:p w:rsidR="00CD0E8C" w:rsidRPr="007A25F5" w:rsidRDefault="00876C4F" w:rsidP="00DD2EE6">
      <w:pPr>
        <w:pStyle w:val="PaperFormattext"/>
      </w:pPr>
      <w:r w:rsidRPr="007A25F5">
        <w:t xml:space="preserve">Various </w:t>
      </w:r>
      <w:r w:rsidR="00BC58A0" w:rsidRPr="007A25F5">
        <w:t>river basin</w:t>
      </w:r>
      <w:r w:rsidRPr="007A25F5">
        <w:t xml:space="preserve"> management measures can be available for managing a reservoir eutrophication problem. A general approach for identifying the best set of management measures is to implement a computer simulation model to describe the relationship between a given </w:t>
      </w:r>
      <w:r w:rsidR="00BC58A0" w:rsidRPr="007A25F5">
        <w:t>river basin</w:t>
      </w:r>
      <w:r w:rsidRPr="007A25F5">
        <w:t xml:space="preserve"> management measure at a specific location and </w:t>
      </w:r>
      <w:r w:rsidR="005C436E" w:rsidRPr="007A25F5">
        <w:t xml:space="preserve">the resulting </w:t>
      </w:r>
      <w:r w:rsidRPr="007A25F5">
        <w:t xml:space="preserve">reservoir water quality (Crowder </w:t>
      </w:r>
      <w:r w:rsidRPr="007A25F5">
        <w:rPr>
          <w:i/>
        </w:rPr>
        <w:t>et al.</w:t>
      </w:r>
      <w:r w:rsidR="00BA3F83" w:rsidRPr="007A25F5">
        <w:t>, 1985).</w:t>
      </w:r>
    </w:p>
    <w:p w:rsidR="00BA3F83" w:rsidRPr="007A25F5" w:rsidRDefault="00876C4F" w:rsidP="00DD2EE6">
      <w:pPr>
        <w:pStyle w:val="PaperFormattext"/>
      </w:pPr>
      <w:r w:rsidRPr="007A25F5">
        <w:t xml:space="preserve">For the practical application, the computer model </w:t>
      </w:r>
      <w:r w:rsidR="003B5093" w:rsidRPr="007A25F5">
        <w:t xml:space="preserve">first </w:t>
      </w:r>
      <w:r w:rsidRPr="007A25F5">
        <w:t xml:space="preserve">should be calibrated </w:t>
      </w:r>
      <w:r w:rsidR="003B5093" w:rsidRPr="007A25F5">
        <w:t>using</w:t>
      </w:r>
      <w:r w:rsidRPr="007A25F5">
        <w:t xml:space="preserve"> observed data and then used to examine the impact of various </w:t>
      </w:r>
      <w:r w:rsidR="00BC58A0" w:rsidRPr="007A25F5">
        <w:t>river basin</w:t>
      </w:r>
      <w:r w:rsidRPr="007A25F5">
        <w:t xml:space="preserve"> management scenarios on the future behaviour of the system. </w:t>
      </w:r>
      <w:r w:rsidR="00E47714" w:rsidRPr="007A25F5">
        <w:t xml:space="preserve">Research </w:t>
      </w:r>
      <w:r w:rsidRPr="007A25F5">
        <w:t xml:space="preserve">has demonstrated that reliable results from </w:t>
      </w:r>
      <w:r w:rsidR="00E47714" w:rsidRPr="007A25F5">
        <w:t xml:space="preserve">a </w:t>
      </w:r>
      <w:r w:rsidRPr="007A25F5">
        <w:t>computer model can only be obtained if the input data and parameter values are known with some accuracy (Eckhardt</w:t>
      </w:r>
      <w:r w:rsidRPr="007A25F5">
        <w:rPr>
          <w:i/>
        </w:rPr>
        <w:t>et al.</w:t>
      </w:r>
      <w:r w:rsidRPr="007A25F5">
        <w:t xml:space="preserve">, 2003). </w:t>
      </w:r>
      <w:r w:rsidR="002B6374" w:rsidRPr="007A25F5">
        <w:t>Research has</w:t>
      </w:r>
      <w:r w:rsidRPr="007A25F5">
        <w:t xml:space="preserve"> also </w:t>
      </w:r>
      <w:r w:rsidR="002B6374" w:rsidRPr="007A25F5">
        <w:t>shown</w:t>
      </w:r>
      <w:r w:rsidRPr="007A25F5">
        <w:t xml:space="preserve"> that the uncertainty in water quality modelling is inevitably high because of uncertainties in the model structure, the model parameters and the future behaviour of the system caused by natural variability (</w:t>
      </w:r>
      <w:r w:rsidR="0068143B" w:rsidRPr="007A25F5">
        <w:t xml:space="preserve">Beck, 1987; </w:t>
      </w:r>
      <w:r w:rsidRPr="007A25F5">
        <w:t xml:space="preserve">Annan, 2001; Mu </w:t>
      </w:r>
      <w:r w:rsidRPr="007A25F5">
        <w:rPr>
          <w:i/>
        </w:rPr>
        <w:t>et al.</w:t>
      </w:r>
      <w:r w:rsidRPr="007A25F5">
        <w:t xml:space="preserve">, 2008; Mu </w:t>
      </w:r>
      <w:r w:rsidRPr="007A25F5">
        <w:rPr>
          <w:i/>
        </w:rPr>
        <w:t>et al.</w:t>
      </w:r>
      <w:r w:rsidRPr="007A25F5">
        <w:t>, 2013).</w:t>
      </w:r>
      <w:r w:rsidR="00AE7596" w:rsidRPr="007A25F5">
        <w:t xml:space="preserve"> Some</w:t>
      </w:r>
      <w:r w:rsidRPr="007A25F5">
        <w:t xml:space="preserve">studies </w:t>
      </w:r>
      <w:r w:rsidR="00AE7596" w:rsidRPr="007A25F5">
        <w:t xml:space="preserve">show the importance of </w:t>
      </w:r>
      <w:r w:rsidRPr="007A25F5">
        <w:t>model parameter uncertainty</w:t>
      </w:r>
      <w:r w:rsidR="00AE7596" w:rsidRPr="007A25F5">
        <w:t xml:space="preserve"> and </w:t>
      </w:r>
      <w:r w:rsidR="00D24FC1" w:rsidRPr="007A25F5">
        <w:t xml:space="preserve">its </w:t>
      </w:r>
      <w:r w:rsidR="00AE7596" w:rsidRPr="007A25F5">
        <w:t xml:space="preserve">impact on </w:t>
      </w:r>
      <w:r w:rsidRPr="007A25F5">
        <w:t xml:space="preserve">model output </w:t>
      </w:r>
      <w:r w:rsidR="00763EF2" w:rsidRPr="007A25F5">
        <w:t xml:space="preserve">(Cheng </w:t>
      </w:r>
      <w:r w:rsidR="00763EF2" w:rsidRPr="007A25F5">
        <w:rPr>
          <w:i/>
        </w:rPr>
        <w:t>et al.</w:t>
      </w:r>
      <w:r w:rsidR="00763EF2" w:rsidRPr="007A25F5">
        <w:t xml:space="preserve">, 2014; Lin </w:t>
      </w:r>
      <w:r w:rsidR="00763EF2" w:rsidRPr="007A25F5">
        <w:rPr>
          <w:i/>
        </w:rPr>
        <w:t>et al.</w:t>
      </w:r>
      <w:r w:rsidR="00763EF2" w:rsidRPr="007A25F5">
        <w:t>, 2014; Xue</w:t>
      </w:r>
      <w:r w:rsidR="00763EF2" w:rsidRPr="007A25F5">
        <w:rPr>
          <w:i/>
        </w:rPr>
        <w:t>et al.</w:t>
      </w:r>
      <w:r w:rsidR="00763EF2" w:rsidRPr="007A25F5">
        <w:t>, 2014; Leta</w:t>
      </w:r>
      <w:r w:rsidR="00763EF2" w:rsidRPr="007A25F5">
        <w:rPr>
          <w:i/>
        </w:rPr>
        <w:t>et al.</w:t>
      </w:r>
      <w:r w:rsidR="00763EF2" w:rsidRPr="007A25F5">
        <w:t>, 2015)</w:t>
      </w:r>
      <w:r w:rsidRPr="007A25F5">
        <w:t>.</w:t>
      </w:r>
      <w:r w:rsidRPr="007A25F5">
        <w:rPr>
          <w:color w:val="000000"/>
        </w:rPr>
        <w:t xml:space="preserve">If </w:t>
      </w:r>
      <w:r w:rsidR="009A0F35" w:rsidRPr="007A25F5">
        <w:t xml:space="preserve">a </w:t>
      </w:r>
      <w:r w:rsidR="00BC58A0" w:rsidRPr="007A25F5">
        <w:rPr>
          <w:color w:val="000000"/>
        </w:rPr>
        <w:t>river basin</w:t>
      </w:r>
      <w:r w:rsidRPr="007A25F5">
        <w:rPr>
          <w:color w:val="000000"/>
        </w:rPr>
        <w:t xml:space="preserve"> management p</w:t>
      </w:r>
      <w:r w:rsidRPr="007A25F5">
        <w:t>lan is</w:t>
      </w:r>
      <w:r w:rsidRPr="007A25F5">
        <w:rPr>
          <w:color w:val="000000"/>
        </w:rPr>
        <w:t xml:space="preserve"> to meet specified water quality criteria, </w:t>
      </w:r>
      <w:r w:rsidR="003820DD" w:rsidRPr="007A25F5">
        <w:rPr>
          <w:color w:val="000000"/>
        </w:rPr>
        <w:t>an</w:t>
      </w:r>
      <w:r w:rsidRPr="007A25F5">
        <w:rPr>
          <w:color w:val="000000"/>
        </w:rPr>
        <w:t xml:space="preserve"> u</w:t>
      </w:r>
      <w:r w:rsidRPr="007A25F5">
        <w:t xml:space="preserve">ncertainty analysis associated with model parameters and future behaviour such as pollutant loads and climate change should be </w:t>
      </w:r>
      <w:r w:rsidR="003B09C0" w:rsidRPr="007A25F5">
        <w:rPr>
          <w:color w:val="000000"/>
        </w:rPr>
        <w:t>conducted</w:t>
      </w:r>
      <w:r w:rsidRPr="007A25F5">
        <w:rPr>
          <w:color w:val="000000"/>
        </w:rPr>
        <w:t xml:space="preserve"> (</w:t>
      </w:r>
      <w:r w:rsidR="00BA3F83" w:rsidRPr="007A25F5">
        <w:t>National Research Council</w:t>
      </w:r>
      <w:r w:rsidR="00BA3F83" w:rsidRPr="007A25F5">
        <w:rPr>
          <w:color w:val="000000"/>
        </w:rPr>
        <w:t xml:space="preserve"> (</w:t>
      </w:r>
      <w:r w:rsidRPr="007A25F5">
        <w:rPr>
          <w:color w:val="000000"/>
        </w:rPr>
        <w:t>NRC</w:t>
      </w:r>
      <w:r w:rsidR="00BA3F83" w:rsidRPr="007A25F5">
        <w:rPr>
          <w:color w:val="000000"/>
        </w:rPr>
        <w:t>)</w:t>
      </w:r>
      <w:r w:rsidRPr="007A25F5">
        <w:rPr>
          <w:color w:val="000000"/>
        </w:rPr>
        <w:t>, 2001).</w:t>
      </w:r>
    </w:p>
    <w:p w:rsidR="00BA3F83" w:rsidRPr="007A25F5" w:rsidRDefault="00876C4F" w:rsidP="00DD2EE6">
      <w:pPr>
        <w:pStyle w:val="PaperFormattext"/>
      </w:pPr>
      <w:r w:rsidRPr="007A25F5">
        <w:t>During the last several decades uncertainty analysis has received special attention (particularly in hydrological, ecological and climate mode</w:t>
      </w:r>
      <w:r w:rsidR="00385BE1" w:rsidRPr="007A25F5">
        <w:t>l</w:t>
      </w:r>
      <w:r w:rsidRPr="007A25F5">
        <w:t>ling) and several methods have been developed and implemented to investigate the impacts of different types of uncertainty sources on the predictions of numerical models (</w:t>
      </w:r>
      <w:r w:rsidR="00E507DE" w:rsidRPr="007A25F5">
        <w:t xml:space="preserve">Todini, 2008; </w:t>
      </w:r>
      <w:r w:rsidRPr="007A25F5">
        <w:t>Sin</w:t>
      </w:r>
      <w:r w:rsidR="00E507DE" w:rsidRPr="007A25F5">
        <w:t xml:space="preserve">gh </w:t>
      </w:r>
      <w:r w:rsidR="00E507DE" w:rsidRPr="007A25F5">
        <w:rPr>
          <w:i/>
        </w:rPr>
        <w:t>et al.</w:t>
      </w:r>
      <w:r w:rsidR="00E507DE" w:rsidRPr="007A25F5">
        <w:t>, 2010</w:t>
      </w:r>
      <w:r w:rsidR="00966A0B" w:rsidRPr="007A25F5">
        <w:t>; Shojaei</w:t>
      </w:r>
      <w:r w:rsidR="00966A0B" w:rsidRPr="007A25F5">
        <w:rPr>
          <w:i/>
        </w:rPr>
        <w:t>et al.</w:t>
      </w:r>
      <w:r w:rsidR="00966A0B" w:rsidRPr="007A25F5">
        <w:t>, 2015</w:t>
      </w:r>
      <w:r w:rsidRPr="007A25F5">
        <w:t>)</w:t>
      </w:r>
      <w:r w:rsidR="00A43EEF" w:rsidRPr="007A25F5">
        <w:t>.</w:t>
      </w:r>
      <w:r w:rsidRPr="007A25F5">
        <w:t xml:space="preserve"> Monte </w:t>
      </w:r>
      <w:r w:rsidR="00A43EEF" w:rsidRPr="007A25F5">
        <w:t>Carlo-</w:t>
      </w:r>
      <w:r w:rsidRPr="007A25F5">
        <w:t>based methods such as Bayesian analysis</w:t>
      </w:r>
      <w:r w:rsidR="00763EF2" w:rsidRPr="007A25F5">
        <w:t xml:space="preserve"> (Starrfelt and Kaste, 2014; Wellen</w:t>
      </w:r>
      <w:r w:rsidR="00763EF2" w:rsidRPr="007A25F5">
        <w:rPr>
          <w:i/>
        </w:rPr>
        <w:t>et al.</w:t>
      </w:r>
      <w:r w:rsidR="00763EF2" w:rsidRPr="007A25F5">
        <w:t xml:space="preserve">, 2014; Li </w:t>
      </w:r>
      <w:r w:rsidR="00763EF2" w:rsidRPr="007A25F5">
        <w:rPr>
          <w:i/>
        </w:rPr>
        <w:t>et al.</w:t>
      </w:r>
      <w:r w:rsidR="00763EF2" w:rsidRPr="007A25F5">
        <w:t>, 2015)</w:t>
      </w:r>
      <w:r w:rsidRPr="007A25F5">
        <w:t xml:space="preserve">, Markov Chain Monte Carlo (MCMC)(Yang </w:t>
      </w:r>
      <w:r w:rsidRPr="007A25F5">
        <w:rPr>
          <w:i/>
        </w:rPr>
        <w:t>et al.</w:t>
      </w:r>
      <w:r w:rsidRPr="007A25F5">
        <w:t xml:space="preserve">, 2008; Cheng </w:t>
      </w:r>
      <w:r w:rsidRPr="007A25F5">
        <w:rPr>
          <w:i/>
        </w:rPr>
        <w:t>et al.</w:t>
      </w:r>
      <w:r w:rsidRPr="007A25F5">
        <w:t>, 2014; Zheng and Han, 2015) and the Generalized Likelihood Uncertainty Estimation method</w:t>
      </w:r>
      <w:r w:rsidR="00A43EEF" w:rsidRPr="007A25F5">
        <w:t>(</w:t>
      </w:r>
      <w:r w:rsidRPr="007A25F5">
        <w:t>GLUE</w:t>
      </w:r>
      <w:r w:rsidR="00A43EEF" w:rsidRPr="007A25F5">
        <w:t>)</w:t>
      </w:r>
      <w:r w:rsidRPr="007A25F5">
        <w:t xml:space="preserve"> (Beven and Binley, 1992</w:t>
      </w:r>
      <w:r w:rsidR="009B03D2" w:rsidRPr="007A25F5">
        <w:t>;</w:t>
      </w:r>
      <w:r w:rsidR="00EC6C77" w:rsidRPr="007A25F5">
        <w:t xml:space="preserve">Beven and Freer, 2001; </w:t>
      </w:r>
      <w:r w:rsidR="00DC2AF9" w:rsidRPr="007A25F5">
        <w:t>Beven and Binley, 2013</w:t>
      </w:r>
      <w:r w:rsidRPr="007A25F5">
        <w:t>)</w:t>
      </w:r>
      <w:r w:rsidR="00A43EEF" w:rsidRPr="007A25F5">
        <w:t xml:space="preserve"> are prominent among the methods used to conduct uncertainty analysis</w:t>
      </w:r>
      <w:r w:rsidRPr="007A25F5">
        <w:t>.</w:t>
      </w:r>
    </w:p>
    <w:p w:rsidR="00BA3F83" w:rsidRPr="007A25F5" w:rsidRDefault="00876C4F" w:rsidP="00DD2EE6">
      <w:pPr>
        <w:pStyle w:val="PaperFormattext"/>
      </w:pPr>
      <w:r w:rsidRPr="007A25F5">
        <w:lastRenderedPageBreak/>
        <w:t xml:space="preserve">The GLUE method introduced by Beven and Binley (1992) is a </w:t>
      </w:r>
      <w:r w:rsidR="00D30840" w:rsidRPr="007A25F5">
        <w:t>well-known</w:t>
      </w:r>
      <w:r w:rsidRPr="007A25F5">
        <w:t xml:space="preserve"> stochastic framework that is </w:t>
      </w:r>
      <w:r w:rsidR="00D30840" w:rsidRPr="007A25F5">
        <w:t xml:space="preserve">widely used </w:t>
      </w:r>
      <w:r w:rsidR="00DF2EB4" w:rsidRPr="007A25F5">
        <w:t xml:space="preserve">in </w:t>
      </w:r>
      <w:r w:rsidRPr="007A25F5">
        <w:t>environmental simulation models</w:t>
      </w:r>
      <w:r w:rsidR="00D30840" w:rsidRPr="007A25F5">
        <w:t xml:space="preserve"> to</w:t>
      </w:r>
      <w:r w:rsidRPr="007A25F5">
        <w:t xml:space="preserve"> evaluate the distribution of predicted variables and </w:t>
      </w:r>
      <w:r w:rsidR="003471A4" w:rsidRPr="007A25F5">
        <w:t xml:space="preserve">to </w:t>
      </w:r>
      <w:r w:rsidRPr="007A25F5">
        <w:t xml:space="preserve">characterize their plausible ranges of fluctuations. GLUE uses a likelihood measure to judge how close the model performance is to the reality with the given parameter set. By adopting a strategy similar to Monte Carlo simulation and Bayesian updating, GLUE </w:t>
      </w:r>
      <w:r w:rsidR="00D30840" w:rsidRPr="007A25F5">
        <w:t>is able to</w:t>
      </w:r>
      <w:r w:rsidRPr="007A25F5">
        <w:t xml:space="preserve"> identify the parameters</w:t>
      </w:r>
      <w:r w:rsidR="00FA3169" w:rsidRPr="007A25F5">
        <w:t>'</w:t>
      </w:r>
      <w:r w:rsidRPr="007A25F5">
        <w:t xml:space="preserve"> posterior distributions</w:t>
      </w:r>
      <w:r w:rsidR="003471A4" w:rsidRPr="007A25F5">
        <w:t>,</w:t>
      </w:r>
      <w:r w:rsidRPr="007A25F5">
        <w:t xml:space="preserve"> which can be used for future predictions under uncertainty (Yu </w:t>
      </w:r>
      <w:r w:rsidRPr="007A25F5">
        <w:rPr>
          <w:i/>
        </w:rPr>
        <w:t>et al.</w:t>
      </w:r>
      <w:r w:rsidRPr="007A25F5">
        <w:t xml:space="preserve">, 2014). </w:t>
      </w:r>
      <w:r w:rsidR="003471A4" w:rsidRPr="007A25F5">
        <w:t xml:space="preserve">The </w:t>
      </w:r>
      <w:r w:rsidR="000C34E2" w:rsidRPr="007A25F5">
        <w:t>GLUEmethod has been recently used to analyze the impact of model parameter uncertainty on flood inundation models (Aronica</w:t>
      </w:r>
      <w:r w:rsidR="000C34E2" w:rsidRPr="007A25F5">
        <w:rPr>
          <w:i/>
        </w:rPr>
        <w:t>et al.</w:t>
      </w:r>
      <w:r w:rsidR="000C34E2" w:rsidRPr="007A25F5">
        <w:t>, 2012; Jung and Merwade, 2012)</w:t>
      </w:r>
      <w:r w:rsidR="0017119D" w:rsidRPr="007A25F5">
        <w:t>,</w:t>
      </w:r>
      <w:r w:rsidR="005907B3" w:rsidRPr="007A25F5">
        <w:t xml:space="preserve">a </w:t>
      </w:r>
      <w:r w:rsidR="000C34E2" w:rsidRPr="007A25F5">
        <w:t>rainfall-</w:t>
      </w:r>
      <w:r w:rsidR="0017119D" w:rsidRPr="007A25F5">
        <w:t>runoff model (Mirzaei</w:t>
      </w:r>
      <w:r w:rsidR="0017119D" w:rsidRPr="007A25F5">
        <w:rPr>
          <w:i/>
        </w:rPr>
        <w:t>et al.</w:t>
      </w:r>
      <w:r w:rsidR="0017119D" w:rsidRPr="007A25F5">
        <w:t>, 2015</w:t>
      </w:r>
      <w:r w:rsidR="000C34E2" w:rsidRPr="007A25F5">
        <w:t>)</w:t>
      </w:r>
      <w:r w:rsidR="0017119D" w:rsidRPr="007A25F5">
        <w:t xml:space="preserve"> and </w:t>
      </w:r>
      <w:r w:rsidR="0077379D" w:rsidRPr="007A25F5">
        <w:t xml:space="preserve">a </w:t>
      </w:r>
      <w:r w:rsidR="00BC58A0" w:rsidRPr="007A25F5">
        <w:t>river basin</w:t>
      </w:r>
      <w:r w:rsidR="0017119D" w:rsidRPr="007A25F5">
        <w:t xml:space="preserve"> model (Uniyal</w:t>
      </w:r>
      <w:r w:rsidR="0017119D" w:rsidRPr="007A25F5">
        <w:rPr>
          <w:i/>
        </w:rPr>
        <w:t>et al.</w:t>
      </w:r>
      <w:r w:rsidR="0017119D" w:rsidRPr="007A25F5">
        <w:t>, 2015)</w:t>
      </w:r>
      <w:r w:rsidR="000C34E2" w:rsidRPr="007A25F5">
        <w:t>.</w:t>
      </w:r>
    </w:p>
    <w:p w:rsidR="000A61E0" w:rsidRPr="007A25F5" w:rsidRDefault="000A61E0" w:rsidP="00DD2EE6">
      <w:pPr>
        <w:pStyle w:val="PaperFormattext"/>
      </w:pPr>
      <w:r w:rsidRPr="007A25F5">
        <w:t>In</w:t>
      </w:r>
      <w:r w:rsidR="00677E77" w:rsidRPr="007A25F5">
        <w:t xml:space="preserve">the </w:t>
      </w:r>
      <w:r w:rsidRPr="007A25F5">
        <w:t>study</w:t>
      </w:r>
      <w:r w:rsidR="005E7391" w:rsidRPr="007A25F5">
        <w:t xml:space="preserve"> reported herein</w:t>
      </w:r>
      <w:r w:rsidRPr="007A25F5">
        <w:t xml:space="preserve">, </w:t>
      </w:r>
      <w:r w:rsidR="005E7391" w:rsidRPr="007A25F5">
        <w:t xml:space="preserve">an </w:t>
      </w:r>
      <w:r w:rsidRPr="007A25F5">
        <w:t xml:space="preserve">integrated modelling system </w:t>
      </w:r>
      <w:r w:rsidR="00332434" w:rsidRPr="007A25F5">
        <w:t xml:space="preserve">that combines the Hydrological Simulation Program-FORTRAN (HSPF) with the </w:t>
      </w:r>
      <w:r w:rsidR="001961FE" w:rsidRPr="007A25F5">
        <w:t>W</w:t>
      </w:r>
      <w:r w:rsidR="00D52762" w:rsidRPr="007A25F5">
        <w:t>ater Quality Ana</w:t>
      </w:r>
      <w:r w:rsidR="001961FE" w:rsidRPr="007A25F5">
        <w:t xml:space="preserve">lysis Simulation Program </w:t>
      </w:r>
      <w:r w:rsidR="00332434" w:rsidRPr="007A25F5">
        <w:t xml:space="preserve">(WASP) </w:t>
      </w:r>
      <w:r w:rsidR="000651A1" w:rsidRPr="007A25F5">
        <w:t xml:space="preserve">was </w:t>
      </w:r>
      <w:r w:rsidRPr="007A25F5">
        <w:t xml:space="preserve">developed to evaluate the effect of </w:t>
      </w:r>
      <w:r w:rsidR="00BC58A0" w:rsidRPr="007A25F5">
        <w:t>river basin</w:t>
      </w:r>
      <w:r w:rsidRPr="007A25F5">
        <w:t xml:space="preserve"> management </w:t>
      </w:r>
      <w:r w:rsidR="00AB6FAB" w:rsidRPr="007A25F5">
        <w:t>measure</w:t>
      </w:r>
      <w:r w:rsidRPr="007A25F5">
        <w:t xml:space="preserve">s on reservoir water quality in </w:t>
      </w:r>
      <w:r w:rsidR="000651A1" w:rsidRPr="007A25F5">
        <w:t xml:space="preserve">a </w:t>
      </w:r>
      <w:r w:rsidR="00774207" w:rsidRPr="007A25F5">
        <w:t xml:space="preserve">reclamation </w:t>
      </w:r>
      <w:r w:rsidR="00BC58A0" w:rsidRPr="007A25F5">
        <w:t>river basin</w:t>
      </w:r>
      <w:r w:rsidRPr="007A25F5">
        <w:t xml:space="preserve">. </w:t>
      </w:r>
      <w:r w:rsidR="00A56AD1" w:rsidRPr="007A25F5">
        <w:t xml:space="preserve">This integrated modelling system </w:t>
      </w:r>
      <w:r w:rsidR="004009DA" w:rsidRPr="007A25F5">
        <w:t>was</w:t>
      </w:r>
      <w:r w:rsidR="00A56AD1" w:rsidRPr="007A25F5">
        <w:t xml:space="preserve"> integrated with Monte Carlo simulation and </w:t>
      </w:r>
      <w:r w:rsidR="004009DA" w:rsidRPr="007A25F5">
        <w:t xml:space="preserve">the </w:t>
      </w:r>
      <w:r w:rsidR="00A56AD1" w:rsidRPr="007A25F5">
        <w:t xml:space="preserve">GLUE based probabilistic approach to estimate the effect of three uncertainty sources </w:t>
      </w:r>
      <w:r w:rsidR="00081AFE" w:rsidRPr="007A25F5">
        <w:t xml:space="preserve">(i.e., </w:t>
      </w:r>
      <w:r w:rsidR="00A56AD1" w:rsidRPr="007A25F5">
        <w:t>model parameters, point source (PS) pollutant loads and climate data</w:t>
      </w:r>
      <w:r w:rsidR="00C36B66" w:rsidRPr="007A25F5">
        <w:t>)</w:t>
      </w:r>
      <w:r w:rsidR="00A56AD1" w:rsidRPr="007A25F5">
        <w:t xml:space="preserve"> on change</w:t>
      </w:r>
      <w:r w:rsidR="00C36B66" w:rsidRPr="007A25F5">
        <w:t>s</w:t>
      </w:r>
      <w:r w:rsidR="00A56AD1" w:rsidRPr="007A25F5">
        <w:t xml:space="preserve"> in long-term water quality.</w:t>
      </w:r>
      <w:r w:rsidR="00C36B66" w:rsidRPr="007A25F5">
        <w:t>T</w:t>
      </w:r>
      <w:r w:rsidRPr="007A25F5">
        <w:t xml:space="preserve">o demonstrate the usefulness of </w:t>
      </w:r>
      <w:r w:rsidR="00BE0C97" w:rsidRPr="007A25F5">
        <w:t>the</w:t>
      </w:r>
      <w:r w:rsidR="00A56AD1" w:rsidRPr="007A25F5">
        <w:t xml:space="preserve">integrated modelling system </w:t>
      </w:r>
      <w:r w:rsidR="00C65D45" w:rsidRPr="007A25F5">
        <w:t xml:space="preserve">(including </w:t>
      </w:r>
      <w:r w:rsidR="006309D4" w:rsidRPr="007A25F5">
        <w:t xml:space="preserve">the uncertainty analysis </w:t>
      </w:r>
      <w:r w:rsidR="00C65D45" w:rsidRPr="007A25F5">
        <w:t xml:space="preserve">via </w:t>
      </w:r>
      <w:r w:rsidR="00077D8D" w:rsidRPr="007A25F5">
        <w:t xml:space="preserve">Monte Carlo simulation and </w:t>
      </w:r>
      <w:r w:rsidR="00A56AD1" w:rsidRPr="007A25F5">
        <w:t>GLUE</w:t>
      </w:r>
      <w:r w:rsidR="006309D4" w:rsidRPr="007A25F5">
        <w:t>)</w:t>
      </w:r>
      <w:r w:rsidR="00DF031A" w:rsidRPr="007A25F5">
        <w:t xml:space="preserve">a </w:t>
      </w:r>
      <w:r w:rsidRPr="007A25F5">
        <w:t xml:space="preserve">practical application </w:t>
      </w:r>
      <w:r w:rsidR="00DF031A" w:rsidRPr="007A25F5">
        <w:t xml:space="preserve">was </w:t>
      </w:r>
      <w:r w:rsidRPr="007A25F5">
        <w:t xml:space="preserve">undertaken to estimate the level of uncertainty and the probability of occurrence in water quality prediction and to evaluate whether the </w:t>
      </w:r>
      <w:r w:rsidR="00BC58A0" w:rsidRPr="007A25F5">
        <w:t>river basin</w:t>
      </w:r>
      <w:r w:rsidRPr="007A25F5">
        <w:t xml:space="preserve"> management plan can meet the specified waterquality criteria in the reclamation </w:t>
      </w:r>
      <w:r w:rsidR="00BC58A0" w:rsidRPr="007A25F5">
        <w:t>river basin</w:t>
      </w:r>
      <w:r w:rsidRPr="007A25F5">
        <w:t>.</w:t>
      </w:r>
    </w:p>
    <w:p w:rsidR="000A61E0" w:rsidRPr="007A25F5" w:rsidRDefault="000A61E0" w:rsidP="00DD2EE6">
      <w:pPr>
        <w:pStyle w:val="PaperFormattext"/>
      </w:pPr>
    </w:p>
    <w:p w:rsidR="000A61E0" w:rsidRPr="007A25F5" w:rsidRDefault="000A61E0" w:rsidP="00DD2EE6">
      <w:pPr>
        <w:pStyle w:val="PaperFormattext"/>
      </w:pPr>
    </w:p>
    <w:p w:rsidR="006420E1" w:rsidRPr="007A25F5" w:rsidRDefault="00B37F84" w:rsidP="00BA3F83">
      <w:pPr>
        <w:pStyle w:val="PaperMainheadings"/>
        <w:widowControl w:val="0"/>
        <w:spacing w:line="360" w:lineRule="auto"/>
        <w:jc w:val="center"/>
        <w:rPr>
          <w:b w:val="0"/>
          <w:sz w:val="22"/>
          <w:szCs w:val="22"/>
        </w:rPr>
      </w:pPr>
      <w:r w:rsidRPr="007A25F5">
        <w:rPr>
          <w:b w:val="0"/>
          <w:sz w:val="22"/>
          <w:szCs w:val="22"/>
        </w:rPr>
        <w:t>METHOD</w:t>
      </w:r>
      <w:r w:rsidR="000A61E0" w:rsidRPr="007A25F5">
        <w:rPr>
          <w:b w:val="0"/>
          <w:sz w:val="22"/>
          <w:szCs w:val="22"/>
        </w:rPr>
        <w:t>OLOGY</w:t>
      </w:r>
    </w:p>
    <w:p w:rsidR="005A25C1" w:rsidRPr="007A25F5" w:rsidRDefault="005A25C1" w:rsidP="003471A4">
      <w:pPr>
        <w:pStyle w:val="PaperSubheadings"/>
      </w:pPr>
    </w:p>
    <w:p w:rsidR="00B3637E" w:rsidRPr="007A25F5" w:rsidRDefault="00B3637E" w:rsidP="003471A4">
      <w:pPr>
        <w:pStyle w:val="PaperSubheadings"/>
      </w:pPr>
      <w:r w:rsidRPr="007A25F5">
        <w:t xml:space="preserve">Case study </w:t>
      </w:r>
      <w:r w:rsidR="00BC58A0" w:rsidRPr="007A25F5">
        <w:t>river basin</w:t>
      </w:r>
    </w:p>
    <w:p w:rsidR="002514E1" w:rsidRPr="007A25F5" w:rsidRDefault="00B3637E" w:rsidP="003471A4">
      <w:pPr>
        <w:spacing w:after="0" w:line="360" w:lineRule="auto"/>
        <w:ind w:firstLine="567"/>
        <w:jc w:val="both"/>
        <w:rPr>
          <w:rFonts w:ascii="Times New Roman" w:hAnsi="Times New Roman" w:cs="Times New Roman"/>
          <w:sz w:val="22"/>
          <w:szCs w:val="22"/>
        </w:rPr>
      </w:pPr>
      <w:r w:rsidRPr="007A25F5">
        <w:rPr>
          <w:rFonts w:ascii="Times New Roman" w:hAnsi="Times New Roman" w:cs="Times New Roman"/>
          <w:sz w:val="22"/>
          <w:szCs w:val="22"/>
        </w:rPr>
        <w:t xml:space="preserve">The Hwaong Reservoir </w:t>
      </w:r>
      <w:r w:rsidR="00BC58A0" w:rsidRPr="007A25F5">
        <w:rPr>
          <w:rFonts w:ascii="Times New Roman" w:hAnsi="Times New Roman" w:cs="Times New Roman"/>
          <w:sz w:val="22"/>
          <w:szCs w:val="22"/>
        </w:rPr>
        <w:t>river basin</w:t>
      </w:r>
      <w:r w:rsidRPr="007A25F5">
        <w:rPr>
          <w:rFonts w:ascii="Times New Roman" w:hAnsi="Times New Roman" w:cs="Times New Roman"/>
          <w:sz w:val="22"/>
          <w:szCs w:val="22"/>
        </w:rPr>
        <w:t xml:space="preserve"> is located in </w:t>
      </w:r>
      <w:r w:rsidR="001E189D" w:rsidRPr="007A25F5">
        <w:rPr>
          <w:rFonts w:ascii="Times New Roman" w:hAnsi="Times New Roman" w:cs="Times New Roman"/>
          <w:sz w:val="22"/>
          <w:szCs w:val="22"/>
          <w:lang w:eastAsia="ko-KR"/>
        </w:rPr>
        <w:t xml:space="preserve">the </w:t>
      </w:r>
      <w:r w:rsidRPr="007A25F5">
        <w:rPr>
          <w:rFonts w:ascii="Times New Roman" w:hAnsi="Times New Roman" w:cs="Times New Roman"/>
          <w:sz w:val="22"/>
          <w:szCs w:val="22"/>
        </w:rPr>
        <w:t xml:space="preserve">Gyeonggi Province on the west coast of the Korean peninsula (Figure 1). The mean annual precipitation and temperature for </w:t>
      </w:r>
      <w:r w:rsidR="006A5819" w:rsidRPr="007A25F5">
        <w:rPr>
          <w:rFonts w:ascii="Times New Roman" w:hAnsi="Times New Roman" w:cs="Times New Roman"/>
          <w:color w:val="auto"/>
          <w:sz w:val="22"/>
          <w:szCs w:val="22"/>
        </w:rPr>
        <w:t>2008</w:t>
      </w:r>
      <w:r w:rsidR="00475DD0" w:rsidRPr="007A25F5">
        <w:rPr>
          <w:rFonts w:ascii="Times New Roman" w:hAnsi="Times New Roman" w:cs="Times New Roman"/>
          <w:color w:val="auto"/>
          <w:sz w:val="22"/>
          <w:szCs w:val="22"/>
        </w:rPr>
        <w:t>–</w:t>
      </w:r>
      <w:r w:rsidRPr="007A25F5">
        <w:rPr>
          <w:rFonts w:ascii="Times New Roman" w:hAnsi="Times New Roman" w:cs="Times New Roman"/>
          <w:color w:val="auto"/>
          <w:sz w:val="22"/>
          <w:szCs w:val="22"/>
        </w:rPr>
        <w:t>20</w:t>
      </w:r>
      <w:r w:rsidR="006A5819" w:rsidRPr="007A25F5">
        <w:rPr>
          <w:rFonts w:ascii="Times New Roman" w:hAnsi="Times New Roman" w:cs="Times New Roman"/>
          <w:color w:val="auto"/>
          <w:sz w:val="22"/>
          <w:szCs w:val="22"/>
        </w:rPr>
        <w:t>12</w:t>
      </w:r>
      <w:r w:rsidRPr="007A25F5">
        <w:rPr>
          <w:rFonts w:ascii="Times New Roman" w:hAnsi="Times New Roman" w:cs="Times New Roman"/>
          <w:sz w:val="22"/>
          <w:szCs w:val="22"/>
        </w:rPr>
        <w:t>were 1</w:t>
      </w:r>
      <w:r w:rsidR="00712BDC" w:rsidRPr="007A25F5">
        <w:rPr>
          <w:rFonts w:ascii="Times New Roman" w:hAnsi="Times New Roman" w:cs="Times New Roman"/>
          <w:sz w:val="22"/>
          <w:szCs w:val="22"/>
        </w:rPr>
        <w:t>,</w:t>
      </w:r>
      <w:r w:rsidR="00BA3F83" w:rsidRPr="007A25F5">
        <w:rPr>
          <w:rFonts w:ascii="Times New Roman" w:hAnsi="Times New Roman" w:cs="Times New Roman"/>
          <w:sz w:val="22"/>
          <w:szCs w:val="22"/>
        </w:rPr>
        <w:t xml:space="preserve">620 </w:t>
      </w:r>
      <w:r w:rsidRPr="007A25F5">
        <w:rPr>
          <w:rFonts w:ascii="Times New Roman" w:hAnsi="Times New Roman" w:cs="Times New Roman"/>
          <w:sz w:val="22"/>
          <w:szCs w:val="22"/>
        </w:rPr>
        <w:t>mm and 1</w:t>
      </w:r>
      <w:r w:rsidR="006A5819" w:rsidRPr="007A25F5">
        <w:rPr>
          <w:rFonts w:ascii="Times New Roman" w:hAnsi="Times New Roman" w:cs="Times New Roman"/>
          <w:sz w:val="22"/>
          <w:szCs w:val="22"/>
        </w:rPr>
        <w:t>2</w:t>
      </w:r>
      <w:r w:rsidRPr="007A25F5">
        <w:rPr>
          <w:rFonts w:ascii="Times New Roman" w:hAnsi="Times New Roman" w:cs="Times New Roman"/>
          <w:sz w:val="22"/>
          <w:szCs w:val="22"/>
        </w:rPr>
        <w:t>.</w:t>
      </w:r>
      <w:r w:rsidR="006A5819" w:rsidRPr="007A25F5">
        <w:rPr>
          <w:rFonts w:ascii="Times New Roman" w:hAnsi="Times New Roman" w:cs="Times New Roman"/>
          <w:sz w:val="22"/>
          <w:szCs w:val="22"/>
        </w:rPr>
        <w:t>3</w:t>
      </w:r>
      <w:r w:rsidR="00797102" w:rsidRPr="007A25F5">
        <w:rPr>
          <w:rFonts w:ascii="Times New Roman" w:hAnsi="Times New Roman" w:cs="Times New Roman"/>
          <w:sz w:val="22"/>
          <w:szCs w:val="22"/>
        </w:rPr>
        <w:t>°C</w:t>
      </w:r>
      <w:r w:rsidRPr="007A25F5">
        <w:rPr>
          <w:rFonts w:ascii="Times New Roman" w:hAnsi="Times New Roman" w:cs="Times New Roman"/>
          <w:sz w:val="22"/>
          <w:szCs w:val="22"/>
        </w:rPr>
        <w:t xml:space="preserve">, respectively.The </w:t>
      </w:r>
      <w:r w:rsidRPr="007A25F5">
        <w:rPr>
          <w:rFonts w:ascii="Times New Roman" w:hAnsi="Times New Roman" w:cs="Times New Roman"/>
          <w:color w:val="auto"/>
          <w:sz w:val="22"/>
          <w:szCs w:val="22"/>
        </w:rPr>
        <w:t>23</w:t>
      </w:r>
      <w:r w:rsidR="00A80084" w:rsidRPr="007A25F5">
        <w:rPr>
          <w:rFonts w:ascii="Times New Roman" w:hAnsi="Times New Roman" w:cs="Times New Roman"/>
          <w:color w:val="auto"/>
          <w:sz w:val="22"/>
          <w:szCs w:val="22"/>
          <w:lang w:eastAsia="ko-KR"/>
        </w:rPr>
        <w:t>,</w:t>
      </w:r>
      <w:r w:rsidR="00E06CDC" w:rsidRPr="007A25F5">
        <w:rPr>
          <w:rFonts w:ascii="Times New Roman" w:hAnsi="Times New Roman" w:cs="Times New Roman"/>
          <w:color w:val="auto"/>
          <w:sz w:val="22"/>
          <w:szCs w:val="22"/>
        </w:rPr>
        <w:t>600</w:t>
      </w:r>
      <w:r w:rsidRPr="007A25F5">
        <w:rPr>
          <w:rFonts w:ascii="Times New Roman" w:hAnsi="Times New Roman" w:cs="Times New Roman"/>
          <w:color w:val="auto"/>
          <w:sz w:val="22"/>
          <w:szCs w:val="22"/>
        </w:rPr>
        <w:t>ha</w:t>
      </w:r>
      <w:r w:rsidR="00BC58A0" w:rsidRPr="007A25F5">
        <w:rPr>
          <w:rFonts w:ascii="Times New Roman" w:hAnsi="Times New Roman" w:cs="Times New Roman"/>
          <w:sz w:val="22"/>
          <w:szCs w:val="22"/>
        </w:rPr>
        <w:t>river basin</w:t>
      </w:r>
      <w:r w:rsidRPr="007A25F5">
        <w:rPr>
          <w:rFonts w:ascii="Times New Roman" w:hAnsi="Times New Roman" w:cs="Times New Roman"/>
          <w:sz w:val="22"/>
          <w:szCs w:val="22"/>
        </w:rPr>
        <w:t xml:space="preserve"> is composed of 7% urban, 24% agricultural, 43% forested and 26% new polder lands. The Hwaong Polder Project began in 1991 and sea dike (9.8km) construction was completed in 2002, resulting in 6,012ha of reclaimed tide</w:t>
      </w:r>
      <w:r w:rsidR="003471A4" w:rsidRPr="007A25F5">
        <w:rPr>
          <w:rFonts w:ascii="Times New Roman" w:hAnsi="Times New Roman" w:cs="Times New Roman"/>
          <w:sz w:val="22"/>
          <w:szCs w:val="22"/>
        </w:rPr>
        <w:t>l</w:t>
      </w:r>
      <w:r w:rsidRPr="007A25F5">
        <w:rPr>
          <w:rFonts w:ascii="Times New Roman" w:hAnsi="Times New Roman" w:cs="Times New Roman"/>
          <w:sz w:val="22"/>
          <w:szCs w:val="22"/>
        </w:rPr>
        <w:t xml:space="preserve">and with 4,082ha </w:t>
      </w:r>
      <w:r w:rsidR="000B5809" w:rsidRPr="007A25F5">
        <w:rPr>
          <w:rFonts w:ascii="Times New Roman" w:hAnsi="Times New Roman" w:cs="Times New Roman"/>
          <w:sz w:val="22"/>
          <w:szCs w:val="22"/>
          <w:lang w:eastAsia="ko-KR"/>
        </w:rPr>
        <w:t xml:space="preserve">of the area </w:t>
      </w:r>
      <w:r w:rsidRPr="007A25F5">
        <w:rPr>
          <w:rFonts w:ascii="Times New Roman" w:hAnsi="Times New Roman" w:cs="Times New Roman"/>
          <w:sz w:val="22"/>
          <w:szCs w:val="22"/>
        </w:rPr>
        <w:t xml:space="preserve">used as new farmland and 1,730ha allocated to a freshwater reservoir. This large-scale polder project is expected to mitigate flooding problems in </w:t>
      </w:r>
      <w:r w:rsidRPr="007A25F5">
        <w:rPr>
          <w:rFonts w:ascii="Times New Roman" w:hAnsi="Times New Roman" w:cs="Times New Roman"/>
          <w:sz w:val="22"/>
          <w:szCs w:val="22"/>
        </w:rPr>
        <w:lastRenderedPageBreak/>
        <w:t xml:space="preserve">the coastal area and secure 54 million </w:t>
      </w:r>
      <w:r w:rsidR="00365C03" w:rsidRPr="007A25F5">
        <w:rPr>
          <w:rFonts w:ascii="Times New Roman" w:hAnsi="Times New Roman" w:cs="Times New Roman"/>
          <w:sz w:val="22"/>
          <w:szCs w:val="22"/>
          <w:lang w:eastAsia="ko-KR"/>
        </w:rPr>
        <w:t xml:space="preserve">metric </w:t>
      </w:r>
      <w:r w:rsidRPr="007A25F5">
        <w:rPr>
          <w:rFonts w:ascii="Times New Roman" w:hAnsi="Times New Roman" w:cs="Times New Roman"/>
          <w:sz w:val="22"/>
          <w:szCs w:val="22"/>
        </w:rPr>
        <w:t>tons of water resources per year, as well as increase food production.</w:t>
      </w:r>
      <w:r w:rsidR="00A95FB0" w:rsidRPr="007A25F5">
        <w:rPr>
          <w:rFonts w:ascii="Times New Roman" w:hAnsi="Times New Roman" w:cs="Times New Roman"/>
          <w:sz w:val="22"/>
          <w:szCs w:val="22"/>
        </w:rPr>
        <w:t>However, t</w:t>
      </w:r>
      <w:r w:rsidRPr="007A25F5">
        <w:rPr>
          <w:rFonts w:ascii="Times New Roman" w:hAnsi="Times New Roman" w:cs="Times New Roman"/>
          <w:sz w:val="22"/>
          <w:szCs w:val="22"/>
        </w:rPr>
        <w:t>he</w:t>
      </w:r>
      <w:r w:rsidR="00A8691E" w:rsidRPr="007A25F5">
        <w:rPr>
          <w:rFonts w:ascii="Times New Roman" w:hAnsi="Times New Roman" w:cs="Times New Roman"/>
          <w:sz w:val="22"/>
          <w:szCs w:val="22"/>
        </w:rPr>
        <w:t xml:space="preserve"> future condition of </w:t>
      </w:r>
      <w:r w:rsidRPr="007A25F5">
        <w:rPr>
          <w:rFonts w:ascii="Times New Roman" w:hAnsi="Times New Roman" w:cs="Times New Roman"/>
          <w:sz w:val="22"/>
          <w:szCs w:val="22"/>
        </w:rPr>
        <w:t xml:space="preserve">water quality </w:t>
      </w:r>
      <w:r w:rsidR="00A8691E" w:rsidRPr="007A25F5">
        <w:rPr>
          <w:rFonts w:ascii="Times New Roman" w:hAnsi="Times New Roman" w:cs="Times New Roman"/>
          <w:sz w:val="22"/>
          <w:szCs w:val="22"/>
        </w:rPr>
        <w:t xml:space="preserve">in </w:t>
      </w:r>
      <w:r w:rsidRPr="007A25F5">
        <w:rPr>
          <w:rFonts w:ascii="Times New Roman" w:hAnsi="Times New Roman" w:cs="Times New Roman"/>
          <w:sz w:val="22"/>
          <w:szCs w:val="22"/>
        </w:rPr>
        <w:t xml:space="preserve">the new reservoir </w:t>
      </w:r>
      <w:r w:rsidR="00A8691E" w:rsidRPr="007A25F5">
        <w:rPr>
          <w:rFonts w:ascii="Times New Roman" w:hAnsi="Times New Roman" w:cs="Times New Roman"/>
          <w:sz w:val="22"/>
          <w:szCs w:val="22"/>
        </w:rPr>
        <w:t xml:space="preserve">has been </w:t>
      </w:r>
      <w:r w:rsidRPr="007A25F5">
        <w:rPr>
          <w:rFonts w:ascii="Times New Roman" w:hAnsi="Times New Roman" w:cs="Times New Roman"/>
          <w:sz w:val="22"/>
          <w:szCs w:val="22"/>
        </w:rPr>
        <w:t xml:space="preserve">questioned by environmental </w:t>
      </w:r>
      <w:r w:rsidR="00A8691E" w:rsidRPr="007A25F5">
        <w:rPr>
          <w:rFonts w:ascii="Times New Roman" w:hAnsi="Times New Roman" w:cs="Times New Roman"/>
          <w:sz w:val="22"/>
          <w:szCs w:val="22"/>
        </w:rPr>
        <w:t xml:space="preserve">activist </w:t>
      </w:r>
      <w:r w:rsidRPr="007A25F5">
        <w:rPr>
          <w:rFonts w:ascii="Times New Roman" w:hAnsi="Times New Roman" w:cs="Times New Roman"/>
          <w:sz w:val="22"/>
          <w:szCs w:val="22"/>
        </w:rPr>
        <w:t>groups</w:t>
      </w:r>
      <w:r w:rsidR="00A8691E" w:rsidRPr="007A25F5">
        <w:rPr>
          <w:rFonts w:ascii="Times New Roman" w:hAnsi="Times New Roman" w:cs="Times New Roman"/>
          <w:sz w:val="22"/>
          <w:szCs w:val="22"/>
        </w:rPr>
        <w:t>. P</w:t>
      </w:r>
      <w:r w:rsidRPr="007A25F5">
        <w:rPr>
          <w:rFonts w:ascii="Times New Roman" w:hAnsi="Times New Roman" w:cs="Times New Roman"/>
          <w:sz w:val="22"/>
          <w:szCs w:val="22"/>
        </w:rPr>
        <w:t>recautionary actions and comprehensive researchare being implemented to prevent potential water quality problems.</w:t>
      </w:r>
    </w:p>
    <w:p w:rsidR="002514E1" w:rsidRPr="007A25F5" w:rsidRDefault="002514E1" w:rsidP="00DD2EE6">
      <w:pPr>
        <w:pStyle w:val="PaperFormattext"/>
      </w:pPr>
    </w:p>
    <w:p w:rsidR="002514E1" w:rsidRPr="007A25F5" w:rsidRDefault="002514E1" w:rsidP="00DD2EE6">
      <w:pPr>
        <w:pStyle w:val="PaperFormattext"/>
      </w:pPr>
      <w:r w:rsidRPr="007A25F5">
        <w:t>Figure 1.</w:t>
      </w:r>
      <w:r w:rsidR="00A158EE" w:rsidRPr="007A25F5">
        <w:t xml:space="preserve">Study </w:t>
      </w:r>
      <w:r w:rsidR="00BC58A0" w:rsidRPr="007A25F5">
        <w:t>river basin</w:t>
      </w:r>
      <w:r w:rsidR="00A158EE" w:rsidRPr="007A25F5">
        <w:t xml:space="preserve"> and </w:t>
      </w:r>
      <w:r w:rsidR="00BC58A0" w:rsidRPr="007A25F5">
        <w:t>river basin</w:t>
      </w:r>
      <w:r w:rsidR="00A158EE" w:rsidRPr="007A25F5">
        <w:t xml:space="preserve"> management plans</w:t>
      </w:r>
    </w:p>
    <w:p w:rsidR="000A61E0" w:rsidRPr="007A25F5" w:rsidRDefault="000A61E0" w:rsidP="00BA3F83">
      <w:pPr>
        <w:pStyle w:val="PaperSubheadings"/>
      </w:pPr>
    </w:p>
    <w:p w:rsidR="00564480" w:rsidRPr="007A25F5" w:rsidRDefault="00564480" w:rsidP="00BA3F83">
      <w:pPr>
        <w:pStyle w:val="PaperSubheadings"/>
      </w:pPr>
      <w:r w:rsidRPr="007A25F5">
        <w:t xml:space="preserve">Integrated </w:t>
      </w:r>
      <w:r w:rsidR="0088480C" w:rsidRPr="007A25F5">
        <w:t>modelling</w:t>
      </w:r>
      <w:r w:rsidRPr="007A25F5">
        <w:t xml:space="preserve"> system</w:t>
      </w:r>
    </w:p>
    <w:p w:rsidR="002514E1" w:rsidRPr="007A25F5" w:rsidRDefault="00A8691E" w:rsidP="00DD2EE6">
      <w:pPr>
        <w:pStyle w:val="PaperFormattext"/>
      </w:pPr>
      <w:r w:rsidRPr="007A25F5">
        <w:t xml:space="preserve">In this </w:t>
      </w:r>
      <w:r w:rsidR="00302C1E" w:rsidRPr="007A25F5">
        <w:t>study</w:t>
      </w:r>
      <w:r w:rsidRPr="007A25F5">
        <w:t xml:space="preserve"> the</w:t>
      </w:r>
      <w:r w:rsidR="00564480" w:rsidRPr="007A25F5">
        <w:t xml:space="preserve"> integrated </w:t>
      </w:r>
      <w:r w:rsidR="0088480C" w:rsidRPr="007A25F5">
        <w:t>modelling</w:t>
      </w:r>
      <w:r w:rsidR="00564480" w:rsidRPr="007A25F5">
        <w:t xml:space="preserve"> system </w:t>
      </w:r>
      <w:r w:rsidRPr="007A25F5">
        <w:t xml:space="preserve">was </w:t>
      </w:r>
      <w:r w:rsidR="007810A7" w:rsidRPr="007A25F5">
        <w:t xml:space="preserve">used </w:t>
      </w:r>
      <w:r w:rsidR="009757D7" w:rsidRPr="007A25F5">
        <w:t>to simulate</w:t>
      </w:r>
      <w:r w:rsidR="00BC58A0" w:rsidRPr="007A25F5">
        <w:t>river basin</w:t>
      </w:r>
      <w:r w:rsidR="00564480" w:rsidRPr="007A25F5">
        <w:t xml:space="preserve"> loading, receiving water quality and wetland performance</w:t>
      </w:r>
      <w:r w:rsidR="00C16D08" w:rsidRPr="007A25F5">
        <w:t>, and thereby</w:t>
      </w:r>
      <w:r w:rsidR="00564480" w:rsidRPr="007A25F5">
        <w:t xml:space="preserve"> evaluate the effect of </w:t>
      </w:r>
      <w:r w:rsidR="00BC58A0" w:rsidRPr="007A25F5">
        <w:t>river basin</w:t>
      </w:r>
      <w:r w:rsidR="00564480" w:rsidRPr="007A25F5">
        <w:t xml:space="preserve"> management </w:t>
      </w:r>
      <w:r w:rsidR="00AB6FAB" w:rsidRPr="007A25F5">
        <w:t>measure</w:t>
      </w:r>
      <w:r w:rsidR="00564480" w:rsidRPr="007A25F5">
        <w:t xml:space="preserve">s on reservoir water quality. </w:t>
      </w:r>
      <w:r w:rsidRPr="007A25F5">
        <w:t xml:space="preserve">The integrated modelling system </w:t>
      </w:r>
      <w:r w:rsidR="003145D5" w:rsidRPr="007A25F5">
        <w:t>was</w:t>
      </w:r>
      <w:r w:rsidR="0055362D" w:rsidRPr="007A25F5">
        <w:t xml:space="preserve"> composed of three major models: 1)</w:t>
      </w:r>
      <w:r w:rsidR="00564480" w:rsidRPr="007A25F5">
        <w:t>HSPF</w:t>
      </w:r>
      <w:r w:rsidR="00E06A1B" w:rsidRPr="007A25F5">
        <w:t>,</w:t>
      </w:r>
      <w:r w:rsidR="00564480" w:rsidRPr="007A25F5">
        <w:t xml:space="preserve"> a </w:t>
      </w:r>
      <w:r w:rsidR="0088480C" w:rsidRPr="007A25F5">
        <w:t>well-known</w:t>
      </w:r>
      <w:r w:rsidR="00564480" w:rsidRPr="007A25F5">
        <w:t xml:space="preserve"> comprehensive </w:t>
      </w:r>
      <w:r w:rsidR="00BC58A0" w:rsidRPr="007A25F5">
        <w:t>river basin</w:t>
      </w:r>
      <w:r w:rsidR="00535B78" w:rsidRPr="007A25F5">
        <w:t xml:space="preserve">loading </w:t>
      </w:r>
      <w:r w:rsidR="00564480" w:rsidRPr="007A25F5">
        <w:t xml:space="preserve">model (Bicknell </w:t>
      </w:r>
      <w:r w:rsidR="00564480" w:rsidRPr="007A25F5">
        <w:rPr>
          <w:i/>
        </w:rPr>
        <w:t>et al.</w:t>
      </w:r>
      <w:r w:rsidR="00564480" w:rsidRPr="007A25F5">
        <w:t>, 2001)</w:t>
      </w:r>
      <w:r w:rsidR="003471A4" w:rsidRPr="007A25F5">
        <w:t>;</w:t>
      </w:r>
      <w:r w:rsidR="0055362D" w:rsidRPr="007A25F5">
        <w:t xml:space="preserve">2) </w:t>
      </w:r>
      <w:r w:rsidR="00564480" w:rsidRPr="007A25F5">
        <w:t>WASP</w:t>
      </w:r>
      <w:r w:rsidR="00E06A1B" w:rsidRPr="007A25F5">
        <w:t>, a</w:t>
      </w:r>
      <w:r w:rsidR="00564480" w:rsidRPr="007A25F5">
        <w:t xml:space="preserve"> widely used </w:t>
      </w:r>
      <w:r w:rsidR="00E06A1B" w:rsidRPr="007A25F5">
        <w:t xml:space="preserve">program </w:t>
      </w:r>
      <w:r w:rsidR="00564480" w:rsidRPr="007A25F5">
        <w:t>to simulate water quality</w:t>
      </w:r>
      <w:r w:rsidR="00535B78" w:rsidRPr="007A25F5">
        <w:t xml:space="preserve"> in reservoirs </w:t>
      </w:r>
      <w:r w:rsidR="00564480" w:rsidRPr="007A25F5">
        <w:t xml:space="preserve">(Ambrose </w:t>
      </w:r>
      <w:r w:rsidR="00564480" w:rsidRPr="007A25F5">
        <w:rPr>
          <w:i/>
        </w:rPr>
        <w:t>et al.</w:t>
      </w:r>
      <w:r w:rsidR="00564480" w:rsidRPr="007A25F5">
        <w:t>, 1993)</w:t>
      </w:r>
      <w:r w:rsidR="0055362D" w:rsidRPr="007A25F5">
        <w:t>; 3)</w:t>
      </w:r>
      <w:r w:rsidR="00564480" w:rsidRPr="007A25F5">
        <w:t xml:space="preserve"> BASINS</w:t>
      </w:r>
      <w:r w:rsidR="00DE241A" w:rsidRPr="007A25F5">
        <w:t>,</w:t>
      </w:r>
      <w:r w:rsidR="00564480" w:rsidRPr="007A25F5">
        <w:t xml:space="preserve"> a multipurpose environmental analysis system for </w:t>
      </w:r>
      <w:r w:rsidR="00BC58A0" w:rsidRPr="007A25F5">
        <w:t>river basin</w:t>
      </w:r>
      <w:r w:rsidR="00564480" w:rsidRPr="007A25F5">
        <w:t xml:space="preserve"> and water quality studies (</w:t>
      </w:r>
      <w:r w:rsidR="00BA3F83" w:rsidRPr="007A25F5">
        <w:t>U.S. Environmental Protection Agency (</w:t>
      </w:r>
      <w:r w:rsidR="00564480" w:rsidRPr="007A25F5">
        <w:t>USEPA</w:t>
      </w:r>
      <w:r w:rsidR="00BA3F83" w:rsidRPr="007A25F5">
        <w:t>)</w:t>
      </w:r>
      <w:r w:rsidR="00564480" w:rsidRPr="007A25F5">
        <w:t xml:space="preserve">, 2001). </w:t>
      </w:r>
      <w:r w:rsidR="0055362D" w:rsidRPr="007A25F5">
        <w:t xml:space="preserve">In this project, </w:t>
      </w:r>
      <w:r w:rsidR="00564480" w:rsidRPr="007A25F5">
        <w:t xml:space="preserve">BASINS was modified to incorporate </w:t>
      </w:r>
      <w:r w:rsidR="003145D5" w:rsidRPr="007A25F5">
        <w:t xml:space="preserve">the </w:t>
      </w:r>
      <w:r w:rsidR="00564480" w:rsidRPr="007A25F5">
        <w:t xml:space="preserve">WASP and NPS-WET </w:t>
      </w:r>
      <w:r w:rsidR="0055362D" w:rsidRPr="007A25F5">
        <w:t>(</w:t>
      </w:r>
      <w:r w:rsidR="004870CB" w:rsidRPr="007A25F5">
        <w:t>Non</w:t>
      </w:r>
      <w:r w:rsidR="005F3AED" w:rsidRPr="007A25F5">
        <w:t>-</w:t>
      </w:r>
      <w:r w:rsidR="004870CB" w:rsidRPr="007A25F5">
        <w:t xml:space="preserve">Point Source </w:t>
      </w:r>
      <w:r w:rsidR="00C53C51" w:rsidRPr="007A25F5">
        <w:t xml:space="preserve">Pollution Control </w:t>
      </w:r>
      <w:r w:rsidR="00C20906" w:rsidRPr="007A25F5">
        <w:t xml:space="preserve">Wetland </w:t>
      </w:r>
      <w:r w:rsidR="004870CB" w:rsidRPr="007A25F5">
        <w:t>model</w:t>
      </w:r>
      <w:r w:rsidR="0055362D" w:rsidRPr="007A25F5">
        <w:t>)</w:t>
      </w:r>
      <w:r w:rsidR="003471A4" w:rsidRPr="007A25F5">
        <w:t>,</w:t>
      </w:r>
      <w:r w:rsidR="00564480" w:rsidRPr="007A25F5">
        <w:t xml:space="preserve">which </w:t>
      </w:r>
      <w:r w:rsidR="008C417D" w:rsidRPr="007A25F5">
        <w:t>was</w:t>
      </w:r>
      <w:r w:rsidR="00564480" w:rsidRPr="007A25F5">
        <w:t xml:space="preserve"> developed by previous research (Ham, 2005), in addition to the built-in HSPF. Modules to estimate </w:t>
      </w:r>
      <w:r w:rsidR="003145D5" w:rsidRPr="007A25F5">
        <w:t xml:space="preserve">the </w:t>
      </w:r>
      <w:r w:rsidR="00564480" w:rsidRPr="007A25F5">
        <w:t>PS pollutant load</w:t>
      </w:r>
      <w:r w:rsidR="0055362D" w:rsidRPr="007A25F5">
        <w:t xml:space="preserve"> were developed and then</w:t>
      </w:r>
      <w:r w:rsidR="00564480" w:rsidRPr="007A25F5">
        <w:t xml:space="preserve"> link</w:t>
      </w:r>
      <w:r w:rsidR="0055362D" w:rsidRPr="007A25F5">
        <w:t>ed with the integrated modelling system</w:t>
      </w:r>
      <w:r w:rsidR="00564480" w:rsidRPr="007A25F5">
        <w:t>.</w:t>
      </w:r>
    </w:p>
    <w:p w:rsidR="00A97B44" w:rsidRPr="007A25F5" w:rsidRDefault="00A97B44" w:rsidP="00DD2EE6">
      <w:pPr>
        <w:pStyle w:val="PaperFormattext"/>
      </w:pPr>
    </w:p>
    <w:p w:rsidR="007C4F41" w:rsidRPr="007A25F5" w:rsidRDefault="007C4F41" w:rsidP="00DD2EE6">
      <w:pPr>
        <w:pStyle w:val="PaperFormattext"/>
      </w:pPr>
      <w:r w:rsidRPr="007A25F5">
        <w:t>Figure 2.</w:t>
      </w:r>
      <w:r w:rsidR="007A25F5" w:rsidRPr="007A25F5">
        <w:t>F</w:t>
      </w:r>
      <w:r w:rsidRPr="007A25F5">
        <w:t>lowchart of integrated modelling system</w:t>
      </w:r>
    </w:p>
    <w:p w:rsidR="007C4F41" w:rsidRPr="007A25F5" w:rsidRDefault="007C4F41" w:rsidP="00DD2EE6">
      <w:pPr>
        <w:pStyle w:val="PaperFormattext"/>
      </w:pPr>
    </w:p>
    <w:p w:rsidR="007C4F41" w:rsidRPr="007A25F5" w:rsidRDefault="00C11CA4" w:rsidP="00BA3F83">
      <w:pPr>
        <w:pStyle w:val="PaperSubheadings"/>
      </w:pPr>
      <w:r w:rsidRPr="007A25F5">
        <w:t>Monitoring</w:t>
      </w:r>
      <w:r w:rsidR="007C4F41" w:rsidRPr="007A25F5">
        <w:t xml:space="preserve"> data and model calibration</w:t>
      </w:r>
    </w:p>
    <w:p w:rsidR="00432CB0" w:rsidRPr="007A25F5" w:rsidRDefault="00DE4182" w:rsidP="00DD2EE6">
      <w:pPr>
        <w:pStyle w:val="PaperFormattext"/>
      </w:pPr>
      <w:r w:rsidRPr="007A25F5">
        <w:t>Streamf</w:t>
      </w:r>
      <w:r w:rsidR="007C4F41" w:rsidRPr="007A25F5">
        <w:t xml:space="preserve">low rate and water quality observed </w:t>
      </w:r>
      <w:r w:rsidR="0093457F" w:rsidRPr="007A25F5">
        <w:t xml:space="preserve">at </w:t>
      </w:r>
      <w:r w:rsidR="00E22705" w:rsidRPr="007A25F5">
        <w:t xml:space="preserve">the monitoring site of </w:t>
      </w:r>
      <w:r w:rsidR="007C4F41" w:rsidRPr="007A25F5">
        <w:t>ST0</w:t>
      </w:r>
      <w:r w:rsidR="00C83409" w:rsidRPr="007A25F5">
        <w:t xml:space="preserve"> (Figure 1)</w:t>
      </w:r>
      <w:r w:rsidR="007C4F41" w:rsidRPr="007A25F5">
        <w:t xml:space="preserve"> in </w:t>
      </w:r>
      <w:r w:rsidR="00CD0E8C" w:rsidRPr="007A25F5">
        <w:t xml:space="preserve">the </w:t>
      </w:r>
      <w:r w:rsidR="00BC58A0" w:rsidRPr="007A25F5">
        <w:t>river basin</w:t>
      </w:r>
      <w:r w:rsidR="0093457F" w:rsidRPr="007A25F5">
        <w:t xml:space="preserve">were used to calibrate </w:t>
      </w:r>
      <w:r w:rsidR="00CD0E8C" w:rsidRPr="007A25F5">
        <w:t xml:space="preserve">the </w:t>
      </w:r>
      <w:r w:rsidR="00BC58A0" w:rsidRPr="007A25F5">
        <w:t>river basin</w:t>
      </w:r>
      <w:r w:rsidR="007C4F41" w:rsidRPr="007A25F5">
        <w:t xml:space="preserve"> loading model (HSPF), and reservoir water quality observed from </w:t>
      </w:r>
      <w:r w:rsidR="00554E1D" w:rsidRPr="007A25F5">
        <w:t>nine</w:t>
      </w:r>
      <w:r w:rsidR="007C4F41" w:rsidRPr="007A25F5">
        <w:t xml:space="preserve"> monitoring </w:t>
      </w:r>
      <w:r w:rsidR="00A57DAC" w:rsidRPr="007A25F5">
        <w:t>site</w:t>
      </w:r>
      <w:r w:rsidR="007C4F41" w:rsidRPr="007A25F5">
        <w:t xml:space="preserve">s in the Hwaong Reservoir </w:t>
      </w:r>
      <w:r w:rsidR="00C366DD" w:rsidRPr="007A25F5">
        <w:t>were used to calibrate the</w:t>
      </w:r>
      <w:r w:rsidR="007C4F41" w:rsidRPr="007A25F5">
        <w:t>receiving water quality model (WASP).</w:t>
      </w:r>
      <w:r w:rsidR="000B5D92" w:rsidRPr="007A25F5">
        <w:t>The sampling scheme applied to all monitoring point</w:t>
      </w:r>
      <w:r w:rsidR="00CD0E8C" w:rsidRPr="007A25F5">
        <w:t>s</w:t>
      </w:r>
      <w:r w:rsidR="001D07C6" w:rsidRPr="007A25F5">
        <w:t xml:space="preserve">involved </w:t>
      </w:r>
      <w:r w:rsidR="000B5D92" w:rsidRPr="007A25F5">
        <w:t xml:space="preserve">grab sampling </w:t>
      </w:r>
      <w:r w:rsidR="00496E67" w:rsidRPr="007A25F5">
        <w:t xml:space="preserve">at </w:t>
      </w:r>
      <w:r w:rsidR="000B5D92" w:rsidRPr="007A25F5">
        <w:t xml:space="preserve">monthly or biweekly intervals from January through December 2012. Routine chemical analyses of water samples </w:t>
      </w:r>
      <w:r w:rsidR="00CD0E8C" w:rsidRPr="007A25F5">
        <w:t xml:space="preserve">by </w:t>
      </w:r>
      <w:r w:rsidR="000B5D92" w:rsidRPr="007A25F5">
        <w:t xml:space="preserve">using </w:t>
      </w:r>
      <w:r w:rsidR="00CD0E8C" w:rsidRPr="007A25F5">
        <w:t xml:space="preserve">the </w:t>
      </w:r>
      <w:r w:rsidR="00761CC4" w:rsidRPr="007A25F5">
        <w:t>S</w:t>
      </w:r>
      <w:r w:rsidR="006408A6" w:rsidRPr="007A25F5">
        <w:t xml:space="preserve">tandard </w:t>
      </w:r>
      <w:r w:rsidR="00336B8A" w:rsidRPr="007A25F5">
        <w:t xml:space="preserve">Methods </w:t>
      </w:r>
      <w:r w:rsidR="006408A6" w:rsidRPr="007A25F5">
        <w:t>(</w:t>
      </w:r>
      <w:r w:rsidR="00AE7C20" w:rsidRPr="007A25F5">
        <w:t>American Public Health Association (</w:t>
      </w:r>
      <w:r w:rsidR="006408A6" w:rsidRPr="007A25F5">
        <w:t>AP</w:t>
      </w:r>
      <w:r w:rsidR="00761CC4" w:rsidRPr="007A25F5">
        <w:t>HA</w:t>
      </w:r>
      <w:r w:rsidR="00AE7C20" w:rsidRPr="007A25F5">
        <w:t>)</w:t>
      </w:r>
      <w:r w:rsidR="006408A6" w:rsidRPr="007A25F5">
        <w:t xml:space="preserve">, </w:t>
      </w:r>
      <w:r w:rsidR="004074BD" w:rsidRPr="007A25F5">
        <w:t>1998</w:t>
      </w:r>
      <w:r w:rsidR="006408A6" w:rsidRPr="007A25F5">
        <w:t>) i</w:t>
      </w:r>
      <w:r w:rsidR="000B5D92" w:rsidRPr="007A25F5">
        <w:t xml:space="preserve">ncluded total suspended solids (TSS), </w:t>
      </w:r>
      <w:r w:rsidR="00FE00CB" w:rsidRPr="007A25F5">
        <w:t xml:space="preserve">chemical oxygen demand (COD), </w:t>
      </w:r>
      <w:r w:rsidR="000B5D92" w:rsidRPr="007A25F5">
        <w:t>ammonia-ni</w:t>
      </w:r>
      <w:r w:rsidR="006408A6" w:rsidRPr="007A25F5">
        <w:t>t</w:t>
      </w:r>
      <w:r w:rsidR="000B5D92" w:rsidRPr="007A25F5">
        <w:t>rogen (NH</w:t>
      </w:r>
      <w:r w:rsidR="000B5D92" w:rsidRPr="007A25F5">
        <w:rPr>
          <w:vertAlign w:val="subscript"/>
        </w:rPr>
        <w:t>3</w:t>
      </w:r>
      <w:r w:rsidR="000B5D92" w:rsidRPr="007A25F5">
        <w:t xml:space="preserve">-N), </w:t>
      </w:r>
      <w:r w:rsidR="006408A6" w:rsidRPr="007A25F5">
        <w:t>nitrite-nitrogen (NO</w:t>
      </w:r>
      <w:r w:rsidR="006408A6" w:rsidRPr="007A25F5">
        <w:rPr>
          <w:vertAlign w:val="subscript"/>
        </w:rPr>
        <w:t>2</w:t>
      </w:r>
      <w:r w:rsidR="006408A6" w:rsidRPr="007A25F5">
        <w:t xml:space="preserve">-N), </w:t>
      </w:r>
      <w:r w:rsidR="000B5D92" w:rsidRPr="007A25F5">
        <w:t>nitrate-nitrogen (NO</w:t>
      </w:r>
      <w:r w:rsidR="000B5D92" w:rsidRPr="007A25F5">
        <w:rPr>
          <w:vertAlign w:val="subscript"/>
        </w:rPr>
        <w:t>3</w:t>
      </w:r>
      <w:r w:rsidR="000B5D92" w:rsidRPr="007A25F5">
        <w:t xml:space="preserve">-N), total </w:t>
      </w:r>
      <w:r w:rsidR="00206D42" w:rsidRPr="007A25F5">
        <w:t>nitrogen</w:t>
      </w:r>
      <w:r w:rsidR="000B5D92" w:rsidRPr="007A25F5">
        <w:t xml:space="preserve"> (T-N), </w:t>
      </w:r>
      <w:r w:rsidR="00FE00CB" w:rsidRPr="007A25F5">
        <w:t>soluble reactive phosphorus (PO</w:t>
      </w:r>
      <w:r w:rsidR="00FE00CB" w:rsidRPr="007A25F5">
        <w:rPr>
          <w:vertAlign w:val="subscript"/>
        </w:rPr>
        <w:t>4</w:t>
      </w:r>
      <w:r w:rsidR="00FE00CB" w:rsidRPr="007A25F5">
        <w:t xml:space="preserve">-P) and total </w:t>
      </w:r>
      <w:r w:rsidR="00DF2BC4" w:rsidRPr="007A25F5">
        <w:t xml:space="preserve">phosphorus </w:t>
      </w:r>
      <w:r w:rsidR="00FE00CB" w:rsidRPr="007A25F5">
        <w:t>(T-P).</w:t>
      </w:r>
    </w:p>
    <w:p w:rsidR="007C4F41" w:rsidRPr="007A25F5" w:rsidRDefault="007C4F41" w:rsidP="00DD2EE6">
      <w:pPr>
        <w:pStyle w:val="PaperFormattext"/>
      </w:pPr>
      <w:r w:rsidRPr="007A25F5">
        <w:lastRenderedPageBreak/>
        <w:t>Graphical methods (ti</w:t>
      </w:r>
      <w:r w:rsidR="00DE66BC" w:rsidRPr="007A25F5">
        <w:t xml:space="preserve">me series </w:t>
      </w:r>
      <w:r w:rsidR="009503CC" w:rsidRPr="007A25F5">
        <w:t xml:space="preserve">plots </w:t>
      </w:r>
      <w:r w:rsidR="00DE66BC" w:rsidRPr="007A25F5">
        <w:t>and scattergram</w:t>
      </w:r>
      <w:r w:rsidR="00634632" w:rsidRPr="007A25F5">
        <w:t>s</w:t>
      </w:r>
      <w:r w:rsidR="00DE66BC" w:rsidRPr="007A25F5">
        <w:t>)</w:t>
      </w:r>
      <w:r w:rsidRPr="007A25F5">
        <w:t xml:space="preserve"> and statistical measures were used to evaluate the model performance based on the observed data.</w:t>
      </w:r>
      <w:r w:rsidR="00CD0E8C" w:rsidRPr="007A25F5">
        <w:t>By u</w:t>
      </w:r>
      <w:r w:rsidRPr="007A25F5">
        <w:t xml:space="preserve">sing a single goodness-of-fit measure for model evaluation is inappropriate due to its limitations. Therefore, three statistical </w:t>
      </w:r>
      <w:r w:rsidR="00077D8D" w:rsidRPr="007A25F5">
        <w:t>measures</w:t>
      </w:r>
      <w:r w:rsidRPr="007A25F5">
        <w:t xml:space="preserve"> were used to evaluate the goodness-of-fit: coefficient of d</w:t>
      </w:r>
      <w:r w:rsidR="002265A7" w:rsidRPr="007A25F5">
        <w:t>e</w:t>
      </w:r>
      <w:r w:rsidRPr="007A25F5">
        <w:t>termination (r</w:t>
      </w:r>
      <w:r w:rsidRPr="007A25F5">
        <w:rPr>
          <w:vertAlign w:val="superscript"/>
        </w:rPr>
        <w:t>2</w:t>
      </w:r>
      <w:r w:rsidRPr="007A25F5">
        <w:t>), Nash-Sutcliff efficiency (NSE) (Nash and Sutcliffe, 1970) and root mean square error (RMSE).</w:t>
      </w:r>
      <w:r w:rsidR="00F0041A" w:rsidRPr="007A25F5">
        <w:t>Eq</w:t>
      </w:r>
      <w:r w:rsidR="00E2097E" w:rsidRPr="007A25F5">
        <w:t xml:space="preserve">. </w:t>
      </w:r>
      <w:r w:rsidR="00F0041A" w:rsidRPr="007A25F5">
        <w:t>1 defines</w:t>
      </w:r>
      <w:r w:rsidR="00077D8D" w:rsidRPr="007A25F5">
        <w:t xml:space="preserve"> the Nash-Sutcliff efficiency (NSE):</w:t>
      </w:r>
    </w:p>
    <w:p w:rsidR="007C4F41" w:rsidRPr="007A25F5" w:rsidRDefault="007C4F41" w:rsidP="00DD2EE6">
      <w:pPr>
        <w:pStyle w:val="PaperFormattext"/>
      </w:pPr>
    </w:p>
    <w:p w:rsidR="007C4F41" w:rsidRPr="007A25F5" w:rsidRDefault="007C4F41" w:rsidP="00DD2EE6">
      <w:pPr>
        <w:pStyle w:val="PaperFormattext"/>
      </w:pPr>
      <m:oMath>
        <m:r>
          <m:rPr>
            <m:sty m:val="bi"/>
          </m:rPr>
          <w:rPr>
            <w:rFonts w:ascii="Cambria Math" w:hAnsi="Cambria Math"/>
          </w:rPr>
          <m:t>NSE</m:t>
        </m:r>
        <m:r>
          <m:rPr>
            <m:sty m:val="b"/>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O</m:t>
                            </m:r>
                          </m:e>
                          <m:sub>
                            <m:r>
                              <m:rPr>
                                <m:sty m:val="bi"/>
                              </m:rPr>
                              <w:rPr>
                                <w:rFonts w:ascii="Cambria Math" w:hAnsi="Cambria Math"/>
                              </w:rPr>
                              <m:t>i</m:t>
                            </m:r>
                          </m:sub>
                        </m:sSub>
                        <m:r>
                          <m:rPr>
                            <m:sty m:val="b"/>
                          </m:rPr>
                          <w:rPr>
                            <w:rFonts w:ascii="Cambria Math" w:hAnsi="Cambria Math"/>
                          </w:rPr>
                          <m:t>-</m:t>
                        </m:r>
                        <m:acc>
                          <m:accPr>
                            <m:chr m:val="̅"/>
                            <m:ctrlPr>
                              <w:rPr>
                                <w:rFonts w:ascii="Cambria Math" w:hAnsi="Cambria Math"/>
                              </w:rPr>
                            </m:ctrlPr>
                          </m:accPr>
                          <m:e>
                            <m:r>
                              <m:rPr>
                                <m:sty m:val="bi"/>
                              </m:rPr>
                              <w:rPr>
                                <w:rFonts w:ascii="Cambria Math" w:hAnsi="Cambria Math"/>
                              </w:rPr>
                              <m:t>O</m:t>
                            </m:r>
                          </m:e>
                        </m:acc>
                      </m:e>
                    </m:d>
                  </m:e>
                  <m:sup>
                    <m:r>
                      <m:rPr>
                        <m:sty m:val="b"/>
                      </m:rPr>
                      <w:rPr>
                        <w:rFonts w:ascii="Cambria Math" w:hAnsi="Cambria Math"/>
                      </w:rPr>
                      <m:t>2</m:t>
                    </m:r>
                  </m:sup>
                </m:sSup>
              </m:e>
            </m:nary>
            <m:r>
              <m:rPr>
                <m:sty m:val="b"/>
              </m:rPr>
              <w:rPr>
                <w:rFonts w:ascii="Cambria Math" w:hAnsi="Cambria Math"/>
              </w:rPr>
              <m:t>-</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O</m:t>
                            </m:r>
                          </m:e>
                          <m:sub>
                            <m:r>
                              <m:rPr>
                                <m:sty m:val="bi"/>
                              </m:rPr>
                              <w:rPr>
                                <w:rFonts w:ascii="Cambria Math" w:hAnsi="Cambria Math"/>
                              </w:rPr>
                              <m:t>i</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i</m:t>
                            </m:r>
                          </m:sub>
                        </m:sSub>
                      </m:e>
                    </m:d>
                  </m:e>
                  <m:sup>
                    <m:r>
                      <m:rPr>
                        <m:sty m:val="b"/>
                      </m:rPr>
                      <w:rPr>
                        <w:rFonts w:ascii="Cambria Math" w:hAnsi="Cambria Math"/>
                      </w:rPr>
                      <m:t>2</m:t>
                    </m:r>
                  </m:sup>
                </m:sSup>
              </m:e>
            </m:nary>
          </m:num>
          <m:den>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=1</m:t>
                </m:r>
              </m:sub>
              <m:sup>
                <m:r>
                  <m:rPr>
                    <m:sty m:val="bi"/>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O</m:t>
                            </m:r>
                          </m:e>
                          <m:sub>
                            <m:r>
                              <m:rPr>
                                <m:sty m:val="bi"/>
                              </m:rPr>
                              <w:rPr>
                                <w:rFonts w:ascii="Cambria Math" w:hAnsi="Cambria Math"/>
                              </w:rPr>
                              <m:t>i</m:t>
                            </m:r>
                          </m:sub>
                        </m:sSub>
                        <m:r>
                          <m:rPr>
                            <m:sty m:val="b"/>
                          </m:rPr>
                          <w:rPr>
                            <w:rFonts w:ascii="Cambria Math" w:hAnsi="Cambria Math"/>
                          </w:rPr>
                          <m:t>-</m:t>
                        </m:r>
                        <m:acc>
                          <m:accPr>
                            <m:chr m:val="̅"/>
                            <m:ctrlPr>
                              <w:rPr>
                                <w:rFonts w:ascii="Cambria Math" w:hAnsi="Cambria Math"/>
                              </w:rPr>
                            </m:ctrlPr>
                          </m:accPr>
                          <m:e>
                            <m:r>
                              <m:rPr>
                                <m:sty m:val="bi"/>
                              </m:rPr>
                              <w:rPr>
                                <w:rFonts w:ascii="Cambria Math" w:hAnsi="Cambria Math"/>
                              </w:rPr>
                              <m:t>O</m:t>
                            </m:r>
                          </m:e>
                        </m:acc>
                      </m:e>
                    </m:d>
                  </m:e>
                  <m:sup>
                    <m:r>
                      <m:rPr>
                        <m:sty m:val="b"/>
                      </m:rPr>
                      <w:rPr>
                        <w:rFonts w:ascii="Cambria Math" w:hAnsi="Cambria Math"/>
                      </w:rPr>
                      <m:t>2</m:t>
                    </m:r>
                  </m:sup>
                </m:sSup>
              </m:e>
            </m:nary>
          </m:den>
        </m:f>
      </m:oMath>
      <w:r w:rsidR="00CD0E8C" w:rsidRPr="007A25F5">
        <w:tab/>
      </w:r>
      <w:r w:rsidR="00077D8D" w:rsidRPr="007A25F5">
        <w:t>(1)</w:t>
      </w:r>
    </w:p>
    <w:p w:rsidR="007C4F41" w:rsidRPr="007A25F5" w:rsidRDefault="007C4F41" w:rsidP="00DD2EE6">
      <w:pPr>
        <w:pStyle w:val="PaperFormattext"/>
      </w:pPr>
    </w:p>
    <w:p w:rsidR="007C4F41" w:rsidRPr="007A25F5" w:rsidRDefault="00077D8D" w:rsidP="00DD2EE6">
      <w:pPr>
        <w:pStyle w:val="PaperFormattext"/>
      </w:pPr>
      <w:r w:rsidRPr="007A25F5">
        <w:t>w</w:t>
      </w:r>
      <w:r w:rsidR="007C4F41" w:rsidRPr="007A25F5">
        <w:t>here</w:t>
      </w:r>
      <m:oMath>
        <m:sSub>
          <m:sSubPr>
            <m:ctrlPr>
              <w:rPr>
                <w:rFonts w:ascii="Cambria Math" w:hAnsi="Cambria Math"/>
              </w:rPr>
            </m:ctrlPr>
          </m:sSubPr>
          <m:e>
            <m:r>
              <m:rPr>
                <m:sty m:val="bi"/>
              </m:rPr>
              <w:rPr>
                <w:rFonts w:ascii="Cambria Math" w:hAnsi="Cambria Math"/>
              </w:rPr>
              <m:t>O</m:t>
            </m:r>
          </m:e>
          <m:sub>
            <m:r>
              <m:rPr>
                <m:sty m:val="bi"/>
              </m:rPr>
              <w:rPr>
                <w:rFonts w:ascii="Cambria Math" w:hAnsi="Cambria Math"/>
              </w:rPr>
              <m:t>i</m:t>
            </m:r>
          </m:sub>
        </m:sSub>
      </m:oMath>
      <w:r w:rsidR="007C4F41" w:rsidRPr="007A25F5">
        <w:t xml:space="preserve"> and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i</m:t>
            </m:r>
          </m:sub>
        </m:sSub>
      </m:oMath>
      <w:r w:rsidR="007C4F41" w:rsidRPr="007A25F5">
        <w:t xml:space="preserve"> are the observed and predicted values, respectively, </w:t>
      </w:r>
      <m:oMath>
        <m:acc>
          <m:accPr>
            <m:chr m:val="̅"/>
            <m:ctrlPr>
              <w:rPr>
                <w:rFonts w:ascii="Cambria Math" w:hAnsi="Cambria Math"/>
              </w:rPr>
            </m:ctrlPr>
          </m:accPr>
          <m:e>
            <m:r>
              <m:rPr>
                <m:sty m:val="bi"/>
              </m:rPr>
              <w:rPr>
                <w:rFonts w:ascii="Cambria Math" w:hAnsi="Cambria Math"/>
              </w:rPr>
              <m:t>O</m:t>
            </m:r>
          </m:e>
        </m:acc>
      </m:oMath>
      <w:r w:rsidR="007C4F41" w:rsidRPr="007A25F5">
        <w:t xml:space="preserve"> is the mean of the observed values and </w:t>
      </w:r>
      <w:r w:rsidR="007C4F41" w:rsidRPr="007A25F5">
        <w:rPr>
          <w:i/>
        </w:rPr>
        <w:t>n</w:t>
      </w:r>
      <w:r w:rsidR="007C4F41" w:rsidRPr="007A25F5">
        <w:t xml:space="preserve"> is the number of samples. The NSE can range from -∞ to 1, with 1 indicating a perfect fit.</w:t>
      </w:r>
    </w:p>
    <w:p w:rsidR="007C4F41" w:rsidRPr="007A25F5" w:rsidRDefault="007C4F41" w:rsidP="00DD2EE6">
      <w:pPr>
        <w:pStyle w:val="PaperFormattext"/>
      </w:pPr>
    </w:p>
    <w:p w:rsidR="007C4F41" w:rsidRPr="007A25F5" w:rsidRDefault="00147DBD" w:rsidP="00BA3F83">
      <w:pPr>
        <w:pStyle w:val="PaperSubheadings"/>
      </w:pPr>
      <w:r w:rsidRPr="007A25F5">
        <w:t>Treatment wetlands construction</w:t>
      </w:r>
      <w:r w:rsidR="007C4F41" w:rsidRPr="007A25F5">
        <w:t xml:space="preserve"> scenario</w:t>
      </w:r>
    </w:p>
    <w:p w:rsidR="00B3637E" w:rsidRPr="007A25F5" w:rsidRDefault="00564480" w:rsidP="00DD2EE6">
      <w:pPr>
        <w:pStyle w:val="PaperFormattext"/>
      </w:pPr>
      <w:r w:rsidRPr="007A25F5">
        <w:t xml:space="preserve">For diffuse pollution control, </w:t>
      </w:r>
      <w:r w:rsidR="00AD7642" w:rsidRPr="007A25F5">
        <w:t xml:space="preserve">the construction of </w:t>
      </w:r>
      <w:r w:rsidR="001F7BE7" w:rsidRPr="007A25F5">
        <w:t xml:space="preserve">treatment </w:t>
      </w:r>
      <w:r w:rsidRPr="007A25F5">
        <w:t>wetland</w:t>
      </w:r>
      <w:r w:rsidR="001F7BE7" w:rsidRPr="007A25F5">
        <w:t>s</w:t>
      </w:r>
      <w:r w:rsidRPr="007A25F5">
        <w:t xml:space="preserve"> at the </w:t>
      </w:r>
      <w:r w:rsidR="00AD7642" w:rsidRPr="007A25F5">
        <w:t xml:space="preserve">mouths </w:t>
      </w:r>
      <w:r w:rsidRPr="007A25F5">
        <w:t xml:space="preserve">of the three main streams </w:t>
      </w:r>
      <w:r w:rsidR="00D36CB4" w:rsidRPr="007A25F5">
        <w:t xml:space="preserve">were </w:t>
      </w:r>
      <w:r w:rsidRPr="007A25F5">
        <w:t xml:space="preserve">considered </w:t>
      </w:r>
      <w:r w:rsidR="00EA7414" w:rsidRPr="007A25F5">
        <w:t xml:space="preserve">in this study </w:t>
      </w:r>
      <w:r w:rsidRPr="007A25F5">
        <w:t xml:space="preserve">(Figure 1) because approximately 80% of the pollutant loading from </w:t>
      </w:r>
      <w:r w:rsidR="00CD0E8C" w:rsidRPr="007A25F5">
        <w:t xml:space="preserve">the </w:t>
      </w:r>
      <w:r w:rsidR="00BC58A0" w:rsidRPr="007A25F5">
        <w:t>river basin</w:t>
      </w:r>
      <w:r w:rsidRPr="007A25F5">
        <w:t xml:space="preserve"> was transported to the Hwaong Reservoir by the three main streams (the Namnyang, Jaan, and Eoeun). The total area of wetlands under consideration </w:t>
      </w:r>
      <w:r w:rsidR="00D36CB4" w:rsidRPr="007A25F5">
        <w:t>was</w:t>
      </w:r>
      <w:r w:rsidRPr="007A25F5">
        <w:t xml:space="preserve"> 264 ha (wetland-1, 65 ha; wetland-2, 102 ha; wetland-3, 97 ha), which </w:t>
      </w:r>
      <w:r w:rsidR="00CD41A2" w:rsidRPr="007A25F5">
        <w:t xml:space="preserve">was </w:t>
      </w:r>
      <w:r w:rsidRPr="007A25F5">
        <w:t xml:space="preserve">about 1.1% of the total </w:t>
      </w:r>
      <w:r w:rsidR="00BC58A0" w:rsidRPr="007A25F5">
        <w:t>river basin</w:t>
      </w:r>
      <w:r w:rsidRPr="007A25F5">
        <w:t xml:space="preserve"> area</w:t>
      </w:r>
      <w:r w:rsidR="000D5D5F" w:rsidRPr="007A25F5">
        <w:t xml:space="preserve"> (Figure 1)</w:t>
      </w:r>
      <w:r w:rsidRPr="007A25F5">
        <w:t xml:space="preserve">. </w:t>
      </w:r>
      <w:r w:rsidR="006502B1" w:rsidRPr="007A25F5">
        <w:t xml:space="preserve">The </w:t>
      </w:r>
      <w:r w:rsidRPr="007A25F5">
        <w:t xml:space="preserve">wetland model </w:t>
      </w:r>
      <w:r w:rsidR="006502B1" w:rsidRPr="007A25F5">
        <w:t xml:space="preserve">calibrated </w:t>
      </w:r>
      <w:r w:rsidR="008C028E" w:rsidRPr="007A25F5">
        <w:t xml:space="preserve">using </w:t>
      </w:r>
      <w:r w:rsidRPr="007A25F5">
        <w:t xml:space="preserve">observed data from </w:t>
      </w:r>
      <w:r w:rsidR="00593CE1" w:rsidRPr="007A25F5">
        <w:t xml:space="preserve">an </w:t>
      </w:r>
      <w:r w:rsidRPr="007A25F5">
        <w:t>experimental site was used to evaluate</w:t>
      </w:r>
      <w:r w:rsidR="000D5D5F" w:rsidRPr="007A25F5">
        <w:t xml:space="preserve"> the</w:t>
      </w:r>
      <w:r w:rsidRPr="007A25F5">
        <w:t xml:space="preserve"> nutrient removal rate and effluent concentration of constructed wetl</w:t>
      </w:r>
      <w:r w:rsidR="00AE7C20" w:rsidRPr="007A25F5">
        <w:t>ands.</w:t>
      </w:r>
      <w:r w:rsidRPr="007A25F5">
        <w:t xml:space="preserve">Results </w:t>
      </w:r>
      <w:r w:rsidR="00420D32" w:rsidRPr="007A25F5">
        <w:t xml:space="preserve">from </w:t>
      </w:r>
      <w:r w:rsidR="00CD0E8C" w:rsidRPr="007A25F5">
        <w:t xml:space="preserve">the </w:t>
      </w:r>
      <w:r w:rsidRPr="007A25F5">
        <w:t>HSPF and wetland model</w:t>
      </w:r>
      <w:r w:rsidR="00CD0E8C" w:rsidRPr="007A25F5">
        <w:t>s</w:t>
      </w:r>
      <w:r w:rsidR="000D5D5F" w:rsidRPr="007A25F5">
        <w:t xml:space="preserve">were </w:t>
      </w:r>
      <w:r w:rsidR="005333D1" w:rsidRPr="007A25F5">
        <w:t xml:space="preserve">used as input data </w:t>
      </w:r>
      <w:r w:rsidR="000D5D5F" w:rsidRPr="007A25F5">
        <w:t xml:space="preserve">into </w:t>
      </w:r>
      <w:r w:rsidR="00CD0E8C" w:rsidRPr="007A25F5">
        <w:t xml:space="preserve">the </w:t>
      </w:r>
      <w:r w:rsidR="000D5D5F" w:rsidRPr="007A25F5">
        <w:t>reservoir water quality model in the integrated modelling system</w:t>
      </w:r>
      <w:r w:rsidRPr="007A25F5">
        <w:t>.</w:t>
      </w:r>
    </w:p>
    <w:p w:rsidR="00B3637E" w:rsidRPr="007A25F5" w:rsidRDefault="00B3637E" w:rsidP="00DD2EE6">
      <w:pPr>
        <w:pStyle w:val="PaperFormattext"/>
      </w:pPr>
    </w:p>
    <w:p w:rsidR="00564480" w:rsidRPr="007A25F5" w:rsidRDefault="00564480" w:rsidP="00BA3F83">
      <w:pPr>
        <w:pStyle w:val="PaperSubheadings"/>
      </w:pPr>
      <w:r w:rsidRPr="007A25F5">
        <w:t>Monte Carlo simulation</w:t>
      </w:r>
    </w:p>
    <w:p w:rsidR="00564480" w:rsidRPr="007A25F5" w:rsidRDefault="00564480" w:rsidP="00DD2EE6">
      <w:pPr>
        <w:pStyle w:val="PaperFormattext"/>
      </w:pPr>
      <w:r w:rsidRPr="007A25F5">
        <w:t>One of the mo</w:t>
      </w:r>
      <w:r w:rsidR="005D421D" w:rsidRPr="007A25F5">
        <w:t>st</w:t>
      </w:r>
      <w:r w:rsidRPr="007A25F5">
        <w:t xml:space="preserve"> popular methods by which the effect of uncertainty is incorporated into numerical models is the use of randomized methods based on Monte Carlo </w:t>
      </w:r>
      <w:r w:rsidR="005D421D" w:rsidRPr="007A25F5">
        <w:t xml:space="preserve">simulation </w:t>
      </w:r>
      <w:r w:rsidRPr="007A25F5">
        <w:t xml:space="preserve">techniquesin which input </w:t>
      </w:r>
      <w:r w:rsidR="00317592" w:rsidRPr="007A25F5">
        <w:t>data</w:t>
      </w:r>
      <w:r w:rsidRPr="007A25F5">
        <w:t xml:space="preserve"> are randomly sampled from underlying probability distributions. The Monte Carlo method for</w:t>
      </w:r>
      <w:r w:rsidR="005D421D" w:rsidRPr="007A25F5">
        <w:t xml:space="preserve"> the</w:t>
      </w:r>
      <w:r w:rsidRPr="007A25F5">
        <w:t xml:space="preserve"> uncertainty</w:t>
      </w:r>
      <w:r w:rsidR="005D421D" w:rsidRPr="007A25F5">
        <w:t xml:space="preserve"> analysis of model </w:t>
      </w:r>
      <w:r w:rsidR="00317592" w:rsidRPr="007A25F5">
        <w:t>input data</w:t>
      </w:r>
      <w:r w:rsidRPr="007A25F5">
        <w:t xml:space="preserve"> is quite simple in principle. The application procedure generally include</w:t>
      </w:r>
      <w:r w:rsidR="0078330D" w:rsidRPr="007A25F5">
        <w:t xml:space="preserve">s </w:t>
      </w:r>
      <w:r w:rsidRPr="007A25F5">
        <w:t>the following</w:t>
      </w:r>
      <w:r w:rsidR="0078330D" w:rsidRPr="007A25F5">
        <w:t xml:space="preserve"> steps</w:t>
      </w:r>
      <w:r w:rsidR="00A279CA" w:rsidRPr="007A25F5">
        <w:t>.</w:t>
      </w:r>
      <w:r w:rsidRPr="007A25F5">
        <w:t xml:space="preserve"> First</w:t>
      </w:r>
      <w:r w:rsidR="005D421D" w:rsidRPr="007A25F5">
        <w:t>,</w:t>
      </w:r>
      <w:r w:rsidRPr="007A25F5">
        <w:t xml:space="preserve"> the important input </w:t>
      </w:r>
      <w:r w:rsidR="00317592" w:rsidRPr="007A25F5">
        <w:t>data</w:t>
      </w:r>
      <w:r w:rsidRPr="007A25F5">
        <w:t xml:space="preserve"> which </w:t>
      </w:r>
      <w:r w:rsidR="00A279CA" w:rsidRPr="007A25F5">
        <w:t xml:space="preserve">are needed </w:t>
      </w:r>
      <w:r w:rsidRPr="007A25F5">
        <w:t>to carry out the uncertainty analysis must be identified</w:t>
      </w:r>
      <w:r w:rsidR="005D421D" w:rsidRPr="007A25F5">
        <w:t>. Second</w:t>
      </w:r>
      <w:r w:rsidRPr="007A25F5">
        <w:t xml:space="preserve">, the uncertainty ranges and shapes of probability density functions of the selected </w:t>
      </w:r>
      <w:r w:rsidR="00317592" w:rsidRPr="007A25F5">
        <w:t>input data</w:t>
      </w:r>
      <w:r w:rsidRPr="007A25F5">
        <w:t xml:space="preserve"> should be prescribed. </w:t>
      </w:r>
      <w:r w:rsidR="005D421D" w:rsidRPr="007A25F5">
        <w:t>Third,</w:t>
      </w:r>
      <w:r w:rsidRPr="007A25F5">
        <w:t xml:space="preserve"> Monte Carlo simulation is carried out and a new set of input </w:t>
      </w:r>
      <w:r w:rsidR="00317592" w:rsidRPr="007A25F5">
        <w:t>data</w:t>
      </w:r>
      <w:r w:rsidRPr="007A25F5">
        <w:t xml:space="preserve"> from specified probability distributions and ranges </w:t>
      </w:r>
      <w:r w:rsidRPr="007A25F5">
        <w:lastRenderedPageBreak/>
        <w:t xml:space="preserve">(which are typically based on field measurements or prior knowledge) is randomly </w:t>
      </w:r>
      <w:r w:rsidR="005D421D" w:rsidRPr="007A25F5">
        <w:t>generated</w:t>
      </w:r>
      <w:r w:rsidRPr="007A25F5">
        <w:t xml:space="preserve">. </w:t>
      </w:r>
      <w:r w:rsidR="005D421D" w:rsidRPr="007A25F5">
        <w:t>Fourth, t</w:t>
      </w:r>
      <w:r w:rsidRPr="007A25F5">
        <w:t xml:space="preserve">he </w:t>
      </w:r>
      <w:r w:rsidR="005D421D" w:rsidRPr="007A25F5">
        <w:t xml:space="preserve">given </w:t>
      </w:r>
      <w:r w:rsidRPr="007A25F5">
        <w:t xml:space="preserve">model is run to generate </w:t>
      </w:r>
      <w:r w:rsidR="0078330D" w:rsidRPr="007A25F5">
        <w:t xml:space="preserve">the </w:t>
      </w:r>
      <w:r w:rsidRPr="007A25F5">
        <w:t xml:space="preserve">result using the set of </w:t>
      </w:r>
      <w:r w:rsidR="00317592" w:rsidRPr="007A25F5">
        <w:t>input data</w:t>
      </w:r>
      <w:r w:rsidR="005D421D" w:rsidRPr="007A25F5">
        <w:t>generated</w:t>
      </w:r>
      <w:r w:rsidRPr="007A25F5">
        <w:t xml:space="preserve">. </w:t>
      </w:r>
      <w:r w:rsidR="005D421D" w:rsidRPr="007A25F5">
        <w:t xml:space="preserve">Finally,these </w:t>
      </w:r>
      <w:r w:rsidRPr="007A25F5">
        <w:t>proce</w:t>
      </w:r>
      <w:r w:rsidR="00356E57" w:rsidRPr="007A25F5">
        <w:t>dures are</w:t>
      </w:r>
      <w:r w:rsidRPr="007A25F5">
        <w:t xml:space="preserve"> repeated </w:t>
      </w:r>
      <w:r w:rsidR="005D421D" w:rsidRPr="007A25F5">
        <w:t xml:space="preserve">until </w:t>
      </w:r>
      <w:r w:rsidRPr="007A25F5">
        <w:t>statistical information on the model outputs</w:t>
      </w:r>
      <w:r w:rsidR="005D421D" w:rsidRPr="007A25F5">
        <w:t xml:space="preserve"> is derived</w:t>
      </w:r>
      <w:r w:rsidRPr="007A25F5">
        <w:t>.</w:t>
      </w:r>
    </w:p>
    <w:p w:rsidR="00564480" w:rsidRPr="007A25F5" w:rsidRDefault="00564480" w:rsidP="00DD2EE6">
      <w:pPr>
        <w:pStyle w:val="PaperFormattext"/>
      </w:pPr>
    </w:p>
    <w:p w:rsidR="00564480" w:rsidRPr="007A25F5" w:rsidRDefault="00564480" w:rsidP="00BA3F83">
      <w:pPr>
        <w:pStyle w:val="PaperSubheadings"/>
      </w:pPr>
      <w:r w:rsidRPr="007A25F5">
        <w:t>GLUE analysis</w:t>
      </w:r>
    </w:p>
    <w:p w:rsidR="00A279CA" w:rsidRPr="007A25F5" w:rsidRDefault="00ED1095" w:rsidP="00DD2EE6">
      <w:pPr>
        <w:pStyle w:val="PaperFormattext"/>
      </w:pPr>
      <w:r w:rsidRPr="007A25F5">
        <w:t xml:space="preserve">The </w:t>
      </w:r>
      <w:r w:rsidR="00564480" w:rsidRPr="007A25F5">
        <w:t xml:space="preserve">GLUE analysis was </w:t>
      </w:r>
      <w:r w:rsidR="00B2487E" w:rsidRPr="007A25F5">
        <w:t>undertaken</w:t>
      </w:r>
      <w:r w:rsidR="00564480" w:rsidRPr="007A25F5">
        <w:t xml:space="preserve"> with the identified sensitive parameters from </w:t>
      </w:r>
      <w:r w:rsidR="00200A2C" w:rsidRPr="007A25F5">
        <w:t>one</w:t>
      </w:r>
      <w:r w:rsidR="00564480" w:rsidRPr="007A25F5">
        <w:t>-factor-</w:t>
      </w:r>
      <w:r w:rsidR="00200A2C" w:rsidRPr="007A25F5">
        <w:t>at</w:t>
      </w:r>
      <w:r w:rsidR="00564480" w:rsidRPr="007A25F5">
        <w:t>-a-</w:t>
      </w:r>
      <w:r w:rsidR="00200A2C" w:rsidRPr="007A25F5">
        <w:t xml:space="preserve">time </w:t>
      </w:r>
      <w:r w:rsidR="00564480" w:rsidRPr="007A25F5">
        <w:t>(OAT) sensitivity analysis technique. The GLUE methodology is based on recognition of the importance of the set of parameters to produce the behavio</w:t>
      </w:r>
      <w:r w:rsidR="0088480C" w:rsidRPr="007A25F5">
        <w:t>u</w:t>
      </w:r>
      <w:r w:rsidR="00564480" w:rsidRPr="007A25F5">
        <w:t>r of the system, not individual parameters. The acceptable model realizations (i.e. behavio</w:t>
      </w:r>
      <w:r w:rsidR="0088480C" w:rsidRPr="007A25F5">
        <w:t>u</w:t>
      </w:r>
      <w:r w:rsidR="00564480" w:rsidRPr="007A25F5">
        <w:t>r set) obtained from Monte Carlo simulations are given a likelihood weight according to observed data and a likelihood function. Several choices for an appropriate likelihood function can be obtained from Beven and Freer</w:t>
      </w:r>
      <w:r w:rsidR="00AE7C20" w:rsidRPr="007A25F5">
        <w:t xml:space="preserve"> (2001).</w:t>
      </w:r>
    </w:p>
    <w:p w:rsidR="00564480" w:rsidRPr="007A25F5" w:rsidRDefault="00564480" w:rsidP="00DD2EE6">
      <w:pPr>
        <w:pStyle w:val="PaperFormattext"/>
      </w:pPr>
      <w:r w:rsidRPr="007A25F5">
        <w:t xml:space="preserve">A likelihood measure based on </w:t>
      </w:r>
      <w:r w:rsidR="00A279CA" w:rsidRPr="007A25F5">
        <w:t xml:space="preserve">the </w:t>
      </w:r>
      <w:r w:rsidRPr="007A25F5">
        <w:t xml:space="preserve">NSE criterion with shaping factor </w:t>
      </w:r>
      <w:r w:rsidRPr="007A25F5">
        <w:rPr>
          <w:i/>
        </w:rPr>
        <w:t>N</w:t>
      </w:r>
      <w:r w:rsidRPr="007A25F5">
        <w:t xml:space="preserve"> is defined </w:t>
      </w:r>
      <w:r w:rsidR="004F40A5" w:rsidRPr="007A25F5">
        <w:t xml:space="preserve">by Eq.2 </w:t>
      </w:r>
      <w:r w:rsidRPr="007A25F5">
        <w:t>(Freer and Beven, 1996):</w:t>
      </w:r>
    </w:p>
    <w:p w:rsidR="00564480" w:rsidRPr="007A25F5" w:rsidRDefault="00564480" w:rsidP="00DD2EE6">
      <w:pPr>
        <w:pStyle w:val="PaperFormattext"/>
      </w:pPr>
    </w:p>
    <w:p w:rsidR="00297B87" w:rsidRPr="007A25F5" w:rsidRDefault="00297B87" w:rsidP="00DD2EE6">
      <w:pPr>
        <w:pStyle w:val="PaperFormattext"/>
      </w:pPr>
      <m:oMath>
        <m:r>
          <m:rPr>
            <m:sty m:val="bi"/>
          </m:rPr>
          <w:rPr>
            <w:rFonts w:ascii="Cambria Math" w:hAnsi="Cambria Math"/>
          </w:rPr>
          <m:t>L</m:t>
        </m:r>
        <m:d>
          <m:dPr>
            <m:ctrlPr>
              <w:rPr>
                <w:rFonts w:ascii="Cambria Math" w:hAnsi="Cambria Math"/>
              </w:rPr>
            </m:ctrlPr>
          </m:dPr>
          <m:e>
            <m:r>
              <m:rPr>
                <m:sty m:val="bi"/>
              </m:rPr>
              <w:rPr>
                <w:rFonts w:ascii="Cambria Math" w:hAnsi="Cambria Math"/>
              </w:rPr>
              <m:t>θ</m:t>
            </m:r>
            <m:r>
              <m:rPr>
                <m:sty m:val="b"/>
              </m:rPr>
              <w:rPr>
                <w:rFonts w:ascii="Cambria Math" w:hAnsi="Cambria Math"/>
              </w:rPr>
              <m:t>|</m:t>
            </m:r>
            <m:r>
              <m:rPr>
                <m:sty m:val="bi"/>
              </m:rPr>
              <w:rPr>
                <w:rFonts w:ascii="Cambria Math" w:hAnsi="Cambria Math"/>
              </w:rPr>
              <m:t>y</m:t>
            </m:r>
          </m:e>
        </m:d>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1-</m:t>
                </m:r>
                <m:f>
                  <m:fPr>
                    <m:ctrlPr>
                      <w:rPr>
                        <w:rFonts w:ascii="Cambria Math" w:hAnsi="Cambria Math"/>
                      </w:rPr>
                    </m:ctrlPr>
                  </m:fPr>
                  <m:num>
                    <m:sSubSup>
                      <m:sSubSupPr>
                        <m:ctrlPr>
                          <w:rPr>
                            <w:rFonts w:ascii="Cambria Math" w:hAnsi="Cambria Math"/>
                          </w:rPr>
                        </m:ctrlPr>
                      </m:sSubSupPr>
                      <m:e>
                        <m:r>
                          <m:rPr>
                            <m:sty m:val="bi"/>
                          </m:rPr>
                          <w:rPr>
                            <w:rFonts w:ascii="Cambria Math" w:hAnsi="Cambria Math"/>
                          </w:rPr>
                          <m:t>σ</m:t>
                        </m:r>
                      </m:e>
                      <m:sub>
                        <m:r>
                          <m:rPr>
                            <m:sty m:val="bi"/>
                          </m:rPr>
                          <w:rPr>
                            <w:rFonts w:ascii="Cambria Math" w:hAnsi="Cambria Math"/>
                          </w:rPr>
                          <m:t>ε</m:t>
                        </m:r>
                      </m:sub>
                      <m:sup>
                        <m:r>
                          <m:rPr>
                            <m:sty m:val="b"/>
                          </m:rPr>
                          <w:rPr>
                            <w:rFonts w:ascii="Cambria Math" w:hAnsi="Cambria Math"/>
                          </w:rPr>
                          <m:t>2</m:t>
                        </m:r>
                      </m:sup>
                    </m:sSubSup>
                  </m:num>
                  <m:den>
                    <m:sSubSup>
                      <m:sSubSupPr>
                        <m:ctrlPr>
                          <w:rPr>
                            <w:rFonts w:ascii="Cambria Math" w:hAnsi="Cambria Math"/>
                          </w:rPr>
                        </m:ctrlPr>
                      </m:sSubSupPr>
                      <m:e>
                        <m:r>
                          <m:rPr>
                            <m:sty m:val="bi"/>
                          </m:rPr>
                          <w:rPr>
                            <w:rFonts w:ascii="Cambria Math" w:hAnsi="Cambria Math"/>
                          </w:rPr>
                          <m:t>σ</m:t>
                        </m:r>
                      </m:e>
                      <m:sub>
                        <m:r>
                          <m:rPr>
                            <m:sty m:val="bi"/>
                          </m:rPr>
                          <w:rPr>
                            <w:rFonts w:ascii="Cambria Math" w:hAnsi="Cambria Math"/>
                          </w:rPr>
                          <m:t>o</m:t>
                        </m:r>
                      </m:sub>
                      <m:sup>
                        <m:r>
                          <m:rPr>
                            <m:sty m:val="b"/>
                          </m:rPr>
                          <w:rPr>
                            <w:rFonts w:ascii="Cambria Math" w:hAnsi="Cambria Math"/>
                          </w:rPr>
                          <m:t>2</m:t>
                        </m:r>
                      </m:sup>
                    </m:sSubSup>
                  </m:den>
                </m:f>
              </m:e>
            </m:d>
          </m:e>
          <m:sup>
            <m:r>
              <m:rPr>
                <m:sty m:val="bi"/>
              </m:rPr>
              <w:rPr>
                <w:rFonts w:ascii="Cambria Math" w:hAnsi="Cambria Math"/>
              </w:rPr>
              <m:t>N</m:t>
            </m:r>
          </m:sup>
        </m:sSup>
        <m:r>
          <m:rPr>
            <m:sty m:val="b"/>
          </m:rPr>
          <w:rPr>
            <w:rFonts w:ascii="Cambria Math" w:hAnsi="Cambria Math"/>
          </w:rPr>
          <m:t xml:space="preserve">; </m:t>
        </m:r>
        <m:sSubSup>
          <m:sSubSupPr>
            <m:ctrlPr>
              <w:rPr>
                <w:rFonts w:ascii="Cambria Math" w:hAnsi="Cambria Math"/>
              </w:rPr>
            </m:ctrlPr>
          </m:sSubSupPr>
          <m:e>
            <m:r>
              <m:rPr>
                <m:sty m:val="bi"/>
              </m:rPr>
              <w:rPr>
                <w:rFonts w:ascii="Cambria Math" w:hAnsi="Cambria Math"/>
              </w:rPr>
              <m:t>σ</m:t>
            </m:r>
          </m:e>
          <m:sub>
            <m:r>
              <m:rPr>
                <m:sty m:val="bi"/>
              </m:rPr>
              <w:rPr>
                <w:rFonts w:ascii="Cambria Math" w:hAnsi="Cambria Math"/>
              </w:rPr>
              <m:t>ε</m:t>
            </m:r>
          </m:sub>
          <m:sup>
            <m:r>
              <m:rPr>
                <m:sty m:val="b"/>
              </m:rPr>
              <w:rPr>
                <w:rFonts w:ascii="Cambria Math" w:hAnsi="Cambria Math"/>
              </w:rPr>
              <m:t>2</m:t>
            </m:r>
          </m:sup>
        </m:sSubSup>
        <m:r>
          <m:rPr>
            <m:sty m:val="b"/>
          </m:rPr>
          <w:rPr>
            <w:rFonts w:ascii="Cambria Math" w:hAnsi="Cambria Math"/>
          </w:rPr>
          <m:t>&lt;</m:t>
        </m:r>
        <m:sSubSup>
          <m:sSubSupPr>
            <m:ctrlPr>
              <w:rPr>
                <w:rFonts w:ascii="Cambria Math" w:hAnsi="Cambria Math"/>
              </w:rPr>
            </m:ctrlPr>
          </m:sSubSupPr>
          <m:e>
            <m:r>
              <m:rPr>
                <m:sty m:val="bi"/>
              </m:rPr>
              <w:rPr>
                <w:rFonts w:ascii="Cambria Math" w:hAnsi="Cambria Math"/>
              </w:rPr>
              <m:t>σ</m:t>
            </m:r>
          </m:e>
          <m:sub>
            <m:r>
              <m:rPr>
                <m:sty m:val="bi"/>
              </m:rPr>
              <w:rPr>
                <w:rFonts w:ascii="Cambria Math" w:hAnsi="Cambria Math"/>
              </w:rPr>
              <m:t>o</m:t>
            </m:r>
          </m:sub>
          <m:sup>
            <m:r>
              <m:rPr>
                <m:sty m:val="b"/>
              </m:rPr>
              <w:rPr>
                <w:rFonts w:ascii="Cambria Math" w:hAnsi="Cambria Math"/>
              </w:rPr>
              <m:t>2</m:t>
            </m:r>
          </m:sup>
        </m:sSubSup>
      </m:oMath>
      <w:r w:rsidR="00283109" w:rsidRPr="007A25F5">
        <w:tab/>
      </w:r>
      <w:r w:rsidRPr="007A25F5">
        <w:t>(2)</w:t>
      </w:r>
    </w:p>
    <w:p w:rsidR="00564480" w:rsidRPr="007A25F5" w:rsidRDefault="00564480" w:rsidP="00DD2EE6">
      <w:pPr>
        <w:pStyle w:val="PaperFormattext"/>
      </w:pPr>
    </w:p>
    <w:p w:rsidR="00564480" w:rsidRPr="007A25F5" w:rsidRDefault="00EC1E57" w:rsidP="00DD2EE6">
      <w:pPr>
        <w:pStyle w:val="PaperFormattext"/>
      </w:pPr>
      <w:r w:rsidRPr="007A25F5">
        <w:t>where</w:t>
      </w:r>
      <m:oMath>
        <m:r>
          <m:rPr>
            <m:sty m:val="bi"/>
          </m:rPr>
          <w:rPr>
            <w:rFonts w:ascii="Cambria Math" w:hAnsi="Cambria Math"/>
          </w:rPr>
          <m:t>L</m:t>
        </m:r>
        <m:d>
          <m:dPr>
            <m:ctrlPr>
              <w:rPr>
                <w:rFonts w:ascii="Cambria Math" w:hAnsi="Cambria Math"/>
              </w:rPr>
            </m:ctrlPr>
          </m:dPr>
          <m:e>
            <m:r>
              <m:rPr>
                <m:sty m:val="bi"/>
              </m:rPr>
              <w:rPr>
                <w:rFonts w:ascii="Cambria Math" w:hAnsi="Cambria Math"/>
              </w:rPr>
              <m:t>θ</m:t>
            </m:r>
            <m:r>
              <m:rPr>
                <m:sty m:val="b"/>
              </m:rPr>
              <w:rPr>
                <w:rFonts w:ascii="Cambria Math"/>
              </w:rPr>
              <m:t>|</m:t>
            </m:r>
            <m:r>
              <m:rPr>
                <m:sty m:val="bi"/>
              </m:rPr>
              <w:rPr>
                <w:rFonts w:ascii="Cambria Math" w:hAnsi="Cambria Math"/>
              </w:rPr>
              <m:t>y</m:t>
            </m:r>
          </m:e>
        </m:d>
      </m:oMath>
      <w:r w:rsidR="00564480" w:rsidRPr="007A25F5">
        <w:t xml:space="preserve"> is the likelihood of parameter set </w:t>
      </w:r>
      <m:oMath>
        <m:d>
          <m:dPr>
            <m:ctrlPr>
              <w:rPr>
                <w:rFonts w:ascii="Cambria Math" w:hAnsi="Cambria Math"/>
              </w:rPr>
            </m:ctrlPr>
          </m:dPr>
          <m:e>
            <m:r>
              <m:rPr>
                <m:sty m:val="bi"/>
              </m:rPr>
              <w:rPr>
                <w:rFonts w:ascii="Cambria Math" w:hAnsi="Cambria Math"/>
              </w:rPr>
              <m:t>θ</m:t>
            </m:r>
          </m:e>
        </m:d>
      </m:oMath>
      <w:r w:rsidR="00564480" w:rsidRPr="007A25F5">
        <w:t>given the observed data</w:t>
      </w:r>
      <m:oMath>
        <m:d>
          <m:dPr>
            <m:ctrlPr>
              <w:rPr>
                <w:rFonts w:ascii="Cambria Math" w:hAnsi="Cambria Math"/>
              </w:rPr>
            </m:ctrlPr>
          </m:dPr>
          <m:e>
            <m:r>
              <m:rPr>
                <m:sty m:val="bi"/>
              </m:rPr>
              <w:rPr>
                <w:rFonts w:ascii="Cambria Math" w:hAnsi="Cambria Math"/>
              </w:rPr>
              <m:t>y</m:t>
            </m:r>
          </m:e>
        </m:d>
      </m:oMath>
      <w:r w:rsidR="00564480" w:rsidRPr="007A25F5">
        <w:t xml:space="preserve">. The quantities </w:t>
      </w:r>
      <m:oMath>
        <m:sSubSup>
          <m:sSubSupPr>
            <m:ctrlPr>
              <w:rPr>
                <w:rFonts w:ascii="Cambria Math" w:hAnsi="Cambria Math"/>
              </w:rPr>
            </m:ctrlPr>
          </m:sSubSupPr>
          <m:e>
            <m:r>
              <m:rPr>
                <m:sty m:val="bi"/>
              </m:rPr>
              <w:rPr>
                <w:rFonts w:ascii="Cambria Math" w:hAnsi="Cambria Math"/>
              </w:rPr>
              <m:t>σ</m:t>
            </m:r>
          </m:e>
          <m:sub>
            <m:r>
              <m:rPr>
                <m:sty m:val="bi"/>
              </m:rPr>
              <w:rPr>
                <w:rFonts w:ascii="Cambria Math" w:hAnsi="Cambria Math"/>
              </w:rPr>
              <m:t>ε</m:t>
            </m:r>
          </m:sub>
          <m:sup>
            <m:r>
              <m:rPr>
                <m:sty m:val="b"/>
              </m:rPr>
              <w:rPr>
                <w:rFonts w:ascii="Cambria Math"/>
              </w:rPr>
              <m:t>2</m:t>
            </m:r>
          </m:sup>
        </m:sSubSup>
      </m:oMath>
      <w:r w:rsidR="00564480" w:rsidRPr="007A25F5">
        <w:t xml:space="preserve"> and </w:t>
      </w:r>
      <m:oMath>
        <m:sSubSup>
          <m:sSubSupPr>
            <m:ctrlPr>
              <w:rPr>
                <w:rFonts w:ascii="Cambria Math" w:hAnsi="Cambria Math"/>
              </w:rPr>
            </m:ctrlPr>
          </m:sSubSupPr>
          <m:e>
            <m:r>
              <m:rPr>
                <m:sty m:val="bi"/>
              </m:rPr>
              <w:rPr>
                <w:rFonts w:ascii="Cambria Math" w:hAnsi="Cambria Math"/>
              </w:rPr>
              <m:t>σ</m:t>
            </m:r>
          </m:e>
          <m:sub>
            <m:r>
              <m:rPr>
                <m:sty m:val="bi"/>
              </m:rPr>
              <w:rPr>
                <w:rFonts w:ascii="Cambria Math" w:hAnsi="Cambria Math"/>
              </w:rPr>
              <m:t>o</m:t>
            </m:r>
          </m:sub>
          <m:sup>
            <m:r>
              <m:rPr>
                <m:sty m:val="b"/>
              </m:rPr>
              <w:rPr>
                <w:rFonts w:ascii="Cambria Math"/>
              </w:rPr>
              <m:t>2</m:t>
            </m:r>
          </m:sup>
        </m:sSubSup>
      </m:oMath>
      <w:r w:rsidR="00564480" w:rsidRPr="007A25F5">
        <w:t xml:space="preserve"> refer to the error variance between model simulations and observed data, and the variance of the observed data, respectively. For </w:t>
      </w:r>
      <w:r w:rsidR="00564480" w:rsidRPr="007A25F5">
        <w:rPr>
          <w:i/>
        </w:rPr>
        <w:t>N</w:t>
      </w:r>
      <w:r w:rsidR="00564480" w:rsidRPr="007A25F5">
        <w:t xml:space="preserve">=1, </w:t>
      </w:r>
      <m:oMath>
        <m:r>
          <m:rPr>
            <m:sty m:val="bi"/>
          </m:rPr>
          <w:rPr>
            <w:rFonts w:ascii="Cambria Math" w:hAnsi="Cambria Math"/>
          </w:rPr>
          <m:t>L</m:t>
        </m:r>
        <m:d>
          <m:dPr>
            <m:ctrlPr>
              <w:rPr>
                <w:rFonts w:ascii="Cambria Math" w:hAnsi="Cambria Math"/>
              </w:rPr>
            </m:ctrlPr>
          </m:dPr>
          <m:e>
            <m:r>
              <m:rPr>
                <m:sty m:val="bi"/>
              </m:rPr>
              <w:rPr>
                <w:rFonts w:ascii="Cambria Math" w:hAnsi="Cambria Math"/>
              </w:rPr>
              <m:t>θ</m:t>
            </m:r>
            <m:r>
              <m:rPr>
                <m:sty m:val="b"/>
              </m:rPr>
              <w:rPr>
                <w:rFonts w:ascii="Cambria Math"/>
              </w:rPr>
              <m:t>|</m:t>
            </m:r>
            <m:r>
              <m:rPr>
                <m:sty m:val="bi"/>
              </m:rPr>
              <w:rPr>
                <w:rFonts w:ascii="Cambria Math" w:hAnsi="Cambria Math"/>
              </w:rPr>
              <m:t>y</m:t>
            </m:r>
          </m:e>
        </m:d>
      </m:oMath>
      <w:r w:rsidR="00564480" w:rsidRPr="007A25F5">
        <w:t xml:space="preserve">in Eq. </w:t>
      </w:r>
      <w:r w:rsidR="006205EE" w:rsidRPr="007A25F5">
        <w:t>2</w:t>
      </w:r>
      <w:r w:rsidR="00564480" w:rsidRPr="007A25F5">
        <w:t xml:space="preserve"> is the well-known NSE that is often used for calibration of hydrologic and water quality models.</w:t>
      </w:r>
    </w:p>
    <w:p w:rsidR="00564480" w:rsidRPr="007A25F5" w:rsidRDefault="00564480" w:rsidP="00DD2EE6">
      <w:pPr>
        <w:pStyle w:val="PaperFormattext"/>
      </w:pPr>
      <w:r w:rsidRPr="007A25F5">
        <w:t xml:space="preserve">Parameter sets that result in likelihood values below a certain threshold (NSE </w:t>
      </w:r>
      <w:r w:rsidR="008512CB" w:rsidRPr="007A25F5">
        <w:rPr>
          <w:position w:val="-4"/>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9.65pt" o:ole="">
            <v:imagedata r:id="rId8" o:title=""/>
          </v:shape>
          <o:OLEObject Type="Embed" ProgID="Equation.DSMT4" ShapeID="_x0000_i1025" DrawAspect="Content" ObjectID="_1569842286" r:id="rId9"/>
        </w:object>
      </w:r>
      <w:r w:rsidRPr="007A25F5">
        <w:t xml:space="preserve"> 0) are termed </w:t>
      </w:r>
      <w:r w:rsidR="00FA3169" w:rsidRPr="007A25F5">
        <w:t>'</w:t>
      </w:r>
      <w:r w:rsidRPr="007A25F5">
        <w:t>non-behavio</w:t>
      </w:r>
      <w:r w:rsidR="0088480C" w:rsidRPr="007A25F5">
        <w:t>u</w:t>
      </w:r>
      <w:r w:rsidRPr="007A25F5">
        <w:t>ral</w:t>
      </w:r>
      <w:r w:rsidR="00FA3169" w:rsidRPr="007A25F5">
        <w:t>'</w:t>
      </w:r>
      <w:r w:rsidRPr="007A25F5">
        <w:t xml:space="preserve"> and are </w:t>
      </w:r>
      <w:r w:rsidR="00012EA9" w:rsidRPr="007A25F5">
        <w:t>eliminated from further consideration</w:t>
      </w:r>
      <w:r w:rsidRPr="007A25F5">
        <w:t xml:space="preserve">. The remaining </w:t>
      </w:r>
      <w:r w:rsidR="00FA3169" w:rsidRPr="007A25F5">
        <w:t>'</w:t>
      </w:r>
      <w:r w:rsidRPr="007A25F5">
        <w:t>behavio</w:t>
      </w:r>
      <w:r w:rsidR="0088480C" w:rsidRPr="007A25F5">
        <w:t>u</w:t>
      </w:r>
      <w:r w:rsidRPr="007A25F5">
        <w:t>ral</w:t>
      </w:r>
      <w:r w:rsidR="00FA3169" w:rsidRPr="007A25F5">
        <w:t>'</w:t>
      </w:r>
      <w:r w:rsidRPr="007A25F5">
        <w:t xml:space="preserve"> parameter sets are assigned recalled likelihood weights. Therefore, the likelihood measure </w:t>
      </w:r>
      <w:r w:rsidR="00B2487E" w:rsidRPr="007A25F5">
        <w:t xml:space="preserve">can be </w:t>
      </w:r>
      <w:r w:rsidRPr="007A25F5">
        <w:t>rewritten as</w:t>
      </w:r>
      <w:r w:rsidR="00012EA9" w:rsidRPr="007A25F5">
        <w:t xml:space="preserve"> Eq. 3</w:t>
      </w:r>
      <w:r w:rsidRPr="007A25F5">
        <w:t>:</w:t>
      </w:r>
    </w:p>
    <w:p w:rsidR="00564480" w:rsidRPr="007A25F5" w:rsidRDefault="00564480" w:rsidP="00DD2EE6">
      <w:pPr>
        <w:pStyle w:val="PaperFormattext"/>
      </w:pPr>
    </w:p>
    <w:p w:rsidR="00283109" w:rsidRPr="007A25F5" w:rsidRDefault="00283109" w:rsidP="00DD2EE6">
      <w:pPr>
        <w:pStyle w:val="PaperFormattext"/>
      </w:pPr>
      <m:oMath>
        <m:r>
          <m:rPr>
            <m:sty m:val="bi"/>
          </m:rPr>
          <w:rPr>
            <w:rFonts w:ascii="Cambria Math" w:hAnsi="Cambria Math"/>
          </w:rPr>
          <m:t>L</m:t>
        </m:r>
        <m:d>
          <m:dPr>
            <m:ctrlPr>
              <w:rPr>
                <w:rFonts w:ascii="Cambria Math" w:hAnsi="Cambria Math"/>
              </w:rPr>
            </m:ctrlPr>
          </m:dPr>
          <m:e>
            <m:r>
              <m:rPr>
                <m:sty m:val="bi"/>
              </m:rPr>
              <w:rPr>
                <w:rFonts w:ascii="Cambria Math" w:hAnsi="Cambria Math"/>
              </w:rPr>
              <m:t>θ</m:t>
            </m:r>
            <m:r>
              <m:rPr>
                <m:sty m:val="b"/>
              </m:rPr>
              <w:rPr>
                <w:rFonts w:ascii="Cambria Math" w:hAnsi="Cambria Math"/>
              </w:rPr>
              <m:t>|</m:t>
            </m:r>
            <m:r>
              <m:rPr>
                <m:sty m:val="bi"/>
              </m:rPr>
              <w:rPr>
                <w:rFonts w:ascii="Cambria Math" w:hAnsi="Cambria Math"/>
              </w:rPr>
              <m:t>y</m:t>
            </m:r>
          </m:e>
        </m:d>
        <m:r>
          <m:rPr>
            <m:sty m:val="b"/>
          </m:rPr>
          <w:rPr>
            <w:rFonts w:ascii="Cambria Math" w:hAnsi="Cambria Math"/>
          </w:rPr>
          <m:t>=</m:t>
        </m:r>
        <m:r>
          <m:rPr>
            <m:sty m:val="bi"/>
          </m:rPr>
          <w:rPr>
            <w:rFonts w:ascii="Cambria Math" w:hAnsi="Cambria Math"/>
          </w:rPr>
          <m:t>max</m:t>
        </m:r>
        <m:d>
          <m:dPr>
            <m:begChr m:val="["/>
            <m:endChr m:val="]"/>
            <m:ctrlPr>
              <w:rPr>
                <w:rFonts w:ascii="Cambria Math" w:hAnsi="Cambria Math"/>
              </w:rPr>
            </m:ctrlPr>
          </m:dPr>
          <m:e>
            <m:d>
              <m:dPr>
                <m:ctrlPr>
                  <w:rPr>
                    <w:rFonts w:ascii="Cambria Math" w:hAnsi="Cambria Math"/>
                  </w:rPr>
                </m:ctrlPr>
              </m:dPr>
              <m:e>
                <m:r>
                  <m:rPr>
                    <m:sty m:val="b"/>
                  </m:rPr>
                  <w:rPr>
                    <w:rFonts w:ascii="Cambria Math" w:hAnsi="Cambria Math"/>
                  </w:rPr>
                  <m:t>1-</m:t>
                </m:r>
                <m:f>
                  <m:fPr>
                    <m:ctrlPr>
                      <w:rPr>
                        <w:rFonts w:ascii="Cambria Math" w:hAnsi="Cambria Math"/>
                      </w:rPr>
                    </m:ctrlPr>
                  </m:fPr>
                  <m:num>
                    <m:sSubSup>
                      <m:sSubSupPr>
                        <m:ctrlPr>
                          <w:rPr>
                            <w:rFonts w:ascii="Cambria Math" w:hAnsi="Cambria Math"/>
                          </w:rPr>
                        </m:ctrlPr>
                      </m:sSubSupPr>
                      <m:e>
                        <m:r>
                          <m:rPr>
                            <m:sty m:val="bi"/>
                          </m:rPr>
                          <w:rPr>
                            <w:rFonts w:ascii="Cambria Math" w:hAnsi="Cambria Math"/>
                          </w:rPr>
                          <m:t>σ</m:t>
                        </m:r>
                      </m:e>
                      <m:sub>
                        <m:r>
                          <m:rPr>
                            <m:sty m:val="bi"/>
                          </m:rPr>
                          <w:rPr>
                            <w:rFonts w:ascii="Cambria Math" w:hAnsi="Cambria Math"/>
                          </w:rPr>
                          <m:t>ε</m:t>
                        </m:r>
                      </m:sub>
                      <m:sup>
                        <m:r>
                          <m:rPr>
                            <m:sty m:val="b"/>
                          </m:rPr>
                          <w:rPr>
                            <w:rFonts w:ascii="Cambria Math" w:hAnsi="Cambria Math"/>
                          </w:rPr>
                          <m:t>2</m:t>
                        </m:r>
                      </m:sup>
                    </m:sSubSup>
                  </m:num>
                  <m:den>
                    <m:sSubSup>
                      <m:sSubSupPr>
                        <m:ctrlPr>
                          <w:rPr>
                            <w:rFonts w:ascii="Cambria Math" w:hAnsi="Cambria Math"/>
                          </w:rPr>
                        </m:ctrlPr>
                      </m:sSubSupPr>
                      <m:e>
                        <m:r>
                          <m:rPr>
                            <m:sty m:val="bi"/>
                          </m:rPr>
                          <w:rPr>
                            <w:rFonts w:ascii="Cambria Math" w:hAnsi="Cambria Math"/>
                          </w:rPr>
                          <m:t>σ</m:t>
                        </m:r>
                      </m:e>
                      <m:sub>
                        <m:r>
                          <m:rPr>
                            <m:sty m:val="bi"/>
                          </m:rPr>
                          <w:rPr>
                            <w:rFonts w:ascii="Cambria Math" w:hAnsi="Cambria Math"/>
                          </w:rPr>
                          <m:t>o</m:t>
                        </m:r>
                      </m:sub>
                      <m:sup>
                        <m:r>
                          <m:rPr>
                            <m:sty m:val="b"/>
                          </m:rPr>
                          <w:rPr>
                            <w:rFonts w:ascii="Cambria Math" w:hAnsi="Cambria Math"/>
                          </w:rPr>
                          <m:t>2</m:t>
                        </m:r>
                      </m:sup>
                    </m:sSubSup>
                  </m:den>
                </m:f>
              </m:e>
            </m:d>
            <m:r>
              <m:rPr>
                <m:sty m:val="b"/>
              </m:rPr>
              <w:rPr>
                <w:rFonts w:ascii="Cambria Math" w:hAnsi="Cambria Math"/>
              </w:rPr>
              <m:t>,0</m:t>
            </m:r>
          </m:e>
        </m:d>
      </m:oMath>
      <w:r w:rsidRPr="007A25F5">
        <w:tab/>
        <w:t>(3)</w:t>
      </w:r>
    </w:p>
    <w:p w:rsidR="00283109" w:rsidRPr="007A25F5" w:rsidRDefault="00283109" w:rsidP="00DD2EE6">
      <w:pPr>
        <w:pStyle w:val="PaperFormattext"/>
      </w:pPr>
    </w:p>
    <w:p w:rsidR="00B83620" w:rsidRPr="007A25F5" w:rsidRDefault="00564480" w:rsidP="00DD2EE6">
      <w:pPr>
        <w:pStyle w:val="PaperFormattext"/>
      </w:pPr>
      <w:r w:rsidRPr="007A25F5">
        <w:t xml:space="preserve">For each simulation from a random parameter set, a likelihood weight is obtained </w:t>
      </w:r>
      <w:r w:rsidR="00AE5D98" w:rsidRPr="007A25F5">
        <w:t xml:space="preserve">using </w:t>
      </w:r>
      <w:r w:rsidRPr="007A25F5">
        <w:t xml:space="preserve">Eq. </w:t>
      </w:r>
      <w:r w:rsidR="006205EE" w:rsidRPr="007A25F5">
        <w:t>3</w:t>
      </w:r>
      <w:r w:rsidRPr="007A25F5">
        <w:t xml:space="preserve">. Then, these weights are rescaled by dividing each </w:t>
      </w:r>
      <w:r w:rsidR="00AE5D98" w:rsidRPr="007A25F5">
        <w:t>individual weight</w:t>
      </w:r>
      <w:r w:rsidRPr="007A25F5">
        <w:t xml:space="preserve"> by their total sum. The rescaled likelihood weights are used to construct a cumulative distribution for the output of interest, which can be used </w:t>
      </w:r>
      <w:r w:rsidR="00C10271" w:rsidRPr="007A25F5">
        <w:t>to estimate the</w:t>
      </w:r>
      <w:r w:rsidRPr="007A25F5">
        <w:t xml:space="preserve"> uncertainty bounds associated with the output by computing its quantiles.</w:t>
      </w:r>
    </w:p>
    <w:p w:rsidR="00564480" w:rsidRPr="007A25F5" w:rsidRDefault="00564480" w:rsidP="00DD2EE6">
      <w:pPr>
        <w:pStyle w:val="PaperFormattext"/>
      </w:pPr>
      <w:r w:rsidRPr="007A25F5">
        <w:lastRenderedPageBreak/>
        <w:t>Updating the likelihood distribution as more data become available may be achieved by the application of Bayes equation in the form</w:t>
      </w:r>
      <w:r w:rsidR="00D66C47" w:rsidRPr="007A25F5">
        <w:t xml:space="preserve"> of Eq. 4</w:t>
      </w:r>
      <w:r w:rsidRPr="007A25F5">
        <w:t>:</w:t>
      </w:r>
    </w:p>
    <w:p w:rsidR="00564480" w:rsidRPr="007A25F5" w:rsidRDefault="00564480" w:rsidP="00DD2EE6">
      <w:pPr>
        <w:pStyle w:val="PaperFormattext"/>
      </w:pPr>
    </w:p>
    <w:p w:rsidR="00564480" w:rsidRPr="007A25F5" w:rsidRDefault="00283109" w:rsidP="00DD2EE6">
      <w:pPr>
        <w:pStyle w:val="PaperFormattext"/>
      </w:pPr>
      <m:oMath>
        <m:r>
          <m:rPr>
            <m:sty m:val="bi"/>
          </m:rPr>
          <w:rPr>
            <w:rFonts w:ascii="Cambria Math" w:hAnsi="Cambria Math"/>
          </w:rPr>
          <m:t>L</m:t>
        </m:r>
        <m:d>
          <m:dPr>
            <m:ctrlPr>
              <w:rPr>
                <w:rFonts w:ascii="Cambria Math" w:hAnsi="Cambria Math"/>
              </w:rPr>
            </m:ctrlPr>
          </m:dPr>
          <m:e>
            <m:r>
              <m:rPr>
                <m:sty m:val="bi"/>
              </m:rPr>
              <w:rPr>
                <w:rFonts w:ascii="Cambria Math" w:hAnsi="Cambria Math"/>
              </w:rPr>
              <m:t>y</m:t>
            </m:r>
            <m:r>
              <m:rPr>
                <m:sty m:val="b"/>
              </m:rPr>
              <w:rPr>
                <w:rFonts w:ascii="Cambria Math" w:hAnsi="Cambria Math"/>
              </w:rPr>
              <m:t>|</m:t>
            </m:r>
            <m:r>
              <m:rPr>
                <m:sty m:val="bi"/>
              </m:rPr>
              <w:rPr>
                <w:rFonts w:ascii="Cambria Math" w:hAnsi="Cambria Math"/>
              </w:rPr>
              <m:t>θ</m:t>
            </m:r>
          </m:e>
        </m:d>
        <m:r>
          <m:rPr>
            <m:sty m:val="b"/>
          </m:rPr>
          <w:rPr>
            <w:rFonts w:ascii="Cambria Math" w:hAnsi="Cambria Math"/>
          </w:rPr>
          <m:t>=</m:t>
        </m:r>
        <m:r>
          <m:rPr>
            <m:sty m:val="bi"/>
          </m:rPr>
          <w:rPr>
            <w:rFonts w:ascii="Cambria Math" w:hAnsi="Cambria Math"/>
          </w:rPr>
          <m:t>L</m:t>
        </m:r>
        <m:d>
          <m:dPr>
            <m:ctrlPr>
              <w:rPr>
                <w:rFonts w:ascii="Cambria Math" w:hAnsi="Cambria Math"/>
              </w:rPr>
            </m:ctrlPr>
          </m:dPr>
          <m:e>
            <m:r>
              <m:rPr>
                <m:sty m:val="bi"/>
              </m:rPr>
              <w:rPr>
                <w:rFonts w:ascii="Cambria Math" w:hAnsi="Cambria Math"/>
              </w:rPr>
              <m:t>θ</m:t>
            </m:r>
            <m:r>
              <m:rPr>
                <m:sty m:val="b"/>
              </m:rPr>
              <w:rPr>
                <w:rFonts w:ascii="Cambria Math" w:hAnsi="Cambria Math"/>
              </w:rPr>
              <m:t>|</m:t>
            </m:r>
            <m:r>
              <m:rPr>
                <m:sty m:val="bi"/>
              </m:rPr>
              <w:rPr>
                <w:rFonts w:ascii="Cambria Math" w:hAnsi="Cambria Math"/>
              </w:rPr>
              <m:t>y</m:t>
            </m:r>
          </m:e>
        </m:d>
        <m:sSub>
          <m:sSubPr>
            <m:ctrlPr>
              <w:rPr>
                <w:rFonts w:ascii="Cambria Math" w:hAnsi="Cambria Math"/>
              </w:rPr>
            </m:ctrlPr>
          </m:sSubPr>
          <m:e>
            <m:r>
              <m:rPr>
                <m:sty m:val="bi"/>
              </m:rPr>
              <w:rPr>
                <w:rFonts w:ascii="Cambria Math" w:hAnsi="Cambria Math"/>
              </w:rPr>
              <m:t>L</m:t>
            </m:r>
          </m:e>
          <m:sub>
            <m:r>
              <m:rPr>
                <m:sty m:val="bi"/>
              </m:rPr>
              <w:rPr>
                <w:rFonts w:ascii="Cambria Math" w:hAnsi="Cambria Math"/>
              </w:rPr>
              <m:t>o</m:t>
            </m:r>
          </m:sub>
        </m:sSub>
        <m:d>
          <m:dPr>
            <m:ctrlPr>
              <w:rPr>
                <w:rFonts w:ascii="Cambria Math" w:hAnsi="Cambria Math"/>
              </w:rPr>
            </m:ctrlPr>
          </m:dPr>
          <m:e>
            <m:r>
              <m:rPr>
                <m:sty m:val="bi"/>
              </m:rPr>
              <w:rPr>
                <w:rFonts w:ascii="Cambria Math" w:hAnsi="Cambria Math"/>
              </w:rPr>
              <m:t>θ</m:t>
            </m:r>
          </m:e>
        </m:d>
        <m:r>
          <m:rPr>
            <m:sty m:val="b"/>
          </m:rPr>
          <w:rPr>
            <w:rFonts w:ascii="Cambria Math" w:hAnsi="Cambria Math"/>
          </w:rPr>
          <m:t>/</m:t>
        </m:r>
        <m:r>
          <m:rPr>
            <m:sty m:val="bi"/>
          </m:rPr>
          <w:rPr>
            <w:rFonts w:ascii="Cambria Math" w:hAnsi="Cambria Math"/>
          </w:rPr>
          <m:t>C</m:t>
        </m:r>
      </m:oMath>
      <w:r w:rsidRPr="007A25F5">
        <w:tab/>
        <w:t>(4)</w:t>
      </w:r>
    </w:p>
    <w:p w:rsidR="00283109" w:rsidRPr="007A25F5" w:rsidRDefault="00283109" w:rsidP="00DD2EE6">
      <w:pPr>
        <w:pStyle w:val="PaperFormattext"/>
      </w:pPr>
    </w:p>
    <w:p w:rsidR="00564480" w:rsidRPr="007A25F5" w:rsidRDefault="00564480" w:rsidP="00DD2EE6">
      <w:pPr>
        <w:pStyle w:val="PaperFormattext"/>
      </w:pPr>
      <w:r w:rsidRPr="007A25F5">
        <w:t xml:space="preserve">where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o</m:t>
            </m:r>
          </m:sub>
        </m:sSub>
        <m:d>
          <m:dPr>
            <m:ctrlPr>
              <w:rPr>
                <w:rFonts w:ascii="Cambria Math" w:hAnsi="Cambria Math"/>
              </w:rPr>
            </m:ctrlPr>
          </m:dPr>
          <m:e>
            <m:r>
              <m:rPr>
                <m:sty m:val="bi"/>
              </m:rPr>
              <w:rPr>
                <w:rFonts w:ascii="Cambria Math" w:hAnsi="Cambria Math"/>
              </w:rPr>
              <m:t>θ</m:t>
            </m:r>
          </m:e>
        </m:d>
      </m:oMath>
      <w:r w:rsidRPr="007A25F5">
        <w:t xml:space="preserve"> is a prior likelihood for the parameter set</w:t>
      </w:r>
      <m:oMath>
        <m:r>
          <m:rPr>
            <m:sty m:val="bi"/>
          </m:rPr>
          <w:rPr>
            <w:rFonts w:ascii="Cambria Math" w:hAnsi="Cambria Math"/>
          </w:rPr>
          <m:t>θ</m:t>
        </m:r>
      </m:oMath>
      <w:r w:rsidRPr="007A25F5">
        <w:t xml:space="preserve">, </w:t>
      </w:r>
      <m:oMath>
        <m:r>
          <m:rPr>
            <m:sty m:val="bi"/>
          </m:rPr>
          <w:rPr>
            <w:rFonts w:ascii="Cambria Math" w:hAnsi="Cambria Math"/>
          </w:rPr>
          <m:t>L</m:t>
        </m:r>
        <m:d>
          <m:dPr>
            <m:ctrlPr>
              <w:rPr>
                <w:rFonts w:ascii="Cambria Math" w:hAnsi="Cambria Math"/>
              </w:rPr>
            </m:ctrlPr>
          </m:dPr>
          <m:e>
            <m:r>
              <m:rPr>
                <m:sty m:val="bi"/>
              </m:rPr>
              <w:rPr>
                <w:rFonts w:ascii="Cambria Math" w:hAnsi="Cambria Math"/>
              </w:rPr>
              <m:t>θ</m:t>
            </m:r>
            <m:r>
              <m:rPr>
                <m:sty m:val="bi"/>
              </m:rPr>
              <w:rPr>
                <w:rFonts w:ascii="Cambria Math"/>
              </w:rPr>
              <m:t>|</m:t>
            </m:r>
            <m:r>
              <m:rPr>
                <m:sty m:val="bi"/>
              </m:rPr>
              <w:rPr>
                <w:rFonts w:ascii="Cambria Math" w:hAnsi="Cambria Math"/>
              </w:rPr>
              <m:t>y</m:t>
            </m:r>
          </m:e>
        </m:d>
      </m:oMath>
      <w:r w:rsidRPr="007A25F5">
        <w:t xml:space="preserve">is the likelihood calculated </w:t>
      </w:r>
      <w:r w:rsidR="000B7DB8" w:rsidRPr="007A25F5">
        <w:t xml:space="preserve">using </w:t>
      </w:r>
      <w:r w:rsidRPr="007A25F5">
        <w:t>the set of observed variables</w:t>
      </w:r>
      <m:oMath>
        <m:r>
          <m:rPr>
            <m:sty m:val="bi"/>
          </m:rPr>
          <w:rPr>
            <w:rFonts w:ascii="Cambria Math" w:hAnsi="Cambria Math"/>
          </w:rPr>
          <m:t>y</m:t>
        </m:r>
      </m:oMath>
      <w:r w:rsidRPr="007A25F5">
        <w:t xml:space="preserve">, </w:t>
      </w:r>
      <m:oMath>
        <m:r>
          <m:rPr>
            <m:sty m:val="bi"/>
          </m:rPr>
          <w:rPr>
            <w:rFonts w:ascii="Cambria Math" w:hAnsi="Cambria Math"/>
          </w:rPr>
          <m:t>L</m:t>
        </m:r>
        <m:d>
          <m:dPr>
            <m:ctrlPr>
              <w:rPr>
                <w:rFonts w:ascii="Cambria Math" w:hAnsi="Cambria Math"/>
              </w:rPr>
            </m:ctrlPr>
          </m:dPr>
          <m:e>
            <m:r>
              <m:rPr>
                <m:sty m:val="bi"/>
              </m:rPr>
              <w:rPr>
                <w:rFonts w:ascii="Cambria Math" w:hAnsi="Cambria Math"/>
              </w:rPr>
              <m:t>y</m:t>
            </m:r>
            <m:r>
              <m:rPr>
                <m:sty m:val="b"/>
              </m:rPr>
              <w:rPr>
                <w:rFonts w:ascii="Cambria Math"/>
              </w:rPr>
              <m:t>|</m:t>
            </m:r>
            <m:r>
              <m:rPr>
                <m:sty m:val="bi"/>
              </m:rPr>
              <w:rPr>
                <w:rFonts w:ascii="Cambria Math" w:hAnsi="Cambria Math"/>
              </w:rPr>
              <m:t>θ</m:t>
            </m:r>
          </m:e>
        </m:d>
      </m:oMath>
      <w:r w:rsidRPr="007A25F5">
        <w:t xml:space="preserve">is the posterior likelihood for the simulation of </w:t>
      </w:r>
      <m:oMath>
        <m:r>
          <m:rPr>
            <m:sty m:val="bi"/>
          </m:rPr>
          <w:rPr>
            <w:rFonts w:ascii="Cambria Math" w:hAnsi="Cambria Math"/>
          </w:rPr>
          <m:t>y</m:t>
        </m:r>
      </m:oMath>
      <w:r w:rsidRPr="007A25F5">
        <w:t xml:space="preserve"> given</w:t>
      </w:r>
      <m:oMath>
        <m:r>
          <m:rPr>
            <m:sty m:val="bi"/>
          </m:rPr>
          <w:rPr>
            <w:rFonts w:ascii="Cambria Math" w:hAnsi="Cambria Math"/>
          </w:rPr>
          <m:t>θ</m:t>
        </m:r>
      </m:oMath>
      <w:r w:rsidRPr="007A25F5">
        <w:t xml:space="preserve">and </w:t>
      </w:r>
      <m:oMath>
        <m:r>
          <m:rPr>
            <m:sty m:val="bi"/>
          </m:rPr>
          <w:rPr>
            <w:rFonts w:ascii="Cambria Math" w:hAnsi="Cambria Math"/>
          </w:rPr>
          <m:t>C</m:t>
        </m:r>
      </m:oMath>
      <w:r w:rsidRPr="007A25F5">
        <w:t xml:space="preserve"> is a scaling constant calculated such that the cumulative</w:t>
      </w:r>
      <w:r w:rsidR="007E557A" w:rsidRPr="007A25F5">
        <w:t xml:space="preserve"> value</w:t>
      </w:r>
      <w:r w:rsidRPr="007A25F5">
        <w:t xml:space="preserve"> of </w:t>
      </w:r>
      <m:oMath>
        <m:r>
          <m:rPr>
            <m:sty m:val="bi"/>
          </m:rPr>
          <w:rPr>
            <w:rFonts w:ascii="Cambria Math" w:hAnsi="Cambria Math"/>
          </w:rPr>
          <m:t>L</m:t>
        </m:r>
        <m:d>
          <m:dPr>
            <m:ctrlPr>
              <w:rPr>
                <w:rFonts w:ascii="Cambria Math" w:hAnsi="Cambria Math"/>
              </w:rPr>
            </m:ctrlPr>
          </m:dPr>
          <m:e>
            <m:r>
              <m:rPr>
                <m:sty m:val="bi"/>
              </m:rPr>
              <w:rPr>
                <w:rFonts w:ascii="Cambria Math" w:hAnsi="Cambria Math"/>
              </w:rPr>
              <m:t>y</m:t>
            </m:r>
            <m:r>
              <m:rPr>
                <m:sty m:val="b"/>
              </m:rPr>
              <w:rPr>
                <w:rFonts w:ascii="Cambria Math"/>
              </w:rPr>
              <m:t>|</m:t>
            </m:r>
            <m:r>
              <m:rPr>
                <m:sty m:val="bi"/>
              </m:rPr>
              <w:rPr>
                <w:rFonts w:ascii="Cambria Math" w:hAnsi="Cambria Math"/>
              </w:rPr>
              <m:t>θ</m:t>
            </m:r>
          </m:e>
        </m:d>
      </m:oMath>
      <w:r w:rsidRPr="007A25F5">
        <w:t xml:space="preserve"> equals unity.</w:t>
      </w:r>
    </w:p>
    <w:p w:rsidR="002B5C0C" w:rsidRPr="007A25F5" w:rsidRDefault="002B5C0C" w:rsidP="00DD2EE6">
      <w:pPr>
        <w:pStyle w:val="PaperFormattext"/>
      </w:pPr>
    </w:p>
    <w:p w:rsidR="00684E5B" w:rsidRPr="007A25F5" w:rsidRDefault="0062179D" w:rsidP="00BA3F83">
      <w:pPr>
        <w:pStyle w:val="PaperSubheadings"/>
      </w:pPr>
      <w:r w:rsidRPr="007A25F5">
        <w:t xml:space="preserve">Uncertain input data </w:t>
      </w:r>
      <w:r w:rsidR="00684E5B" w:rsidRPr="007A25F5">
        <w:t xml:space="preserve">and </w:t>
      </w:r>
      <w:r w:rsidR="0005213F" w:rsidRPr="007A25F5">
        <w:t>uncertainty an</w:t>
      </w:r>
      <w:r w:rsidR="00684E5B" w:rsidRPr="007A25F5">
        <w:t>alysis</w:t>
      </w:r>
    </w:p>
    <w:p w:rsidR="00EA3422" w:rsidRPr="007A25F5" w:rsidRDefault="00B96DC8" w:rsidP="00DD2EE6">
      <w:pPr>
        <w:pStyle w:val="PaperFormattext"/>
      </w:pPr>
      <w:r w:rsidRPr="007A25F5">
        <w:t xml:space="preserve">Uncertainty enters the </w:t>
      </w:r>
      <w:r w:rsidR="009E672D" w:rsidRPr="007A25F5">
        <w:t>application of models</w:t>
      </w:r>
      <w:r w:rsidRPr="007A25F5">
        <w:t xml:space="preserve"> through a variety of routes, such as model structure uncertainty, model parameter uncertainty</w:t>
      </w:r>
      <w:r w:rsidR="0028792D" w:rsidRPr="007A25F5">
        <w:t xml:space="preserve">and </w:t>
      </w:r>
      <w:r w:rsidR="007447F1" w:rsidRPr="007A25F5">
        <w:t>natural stochasticity</w:t>
      </w:r>
      <w:r w:rsidRPr="007A25F5">
        <w:t>.</w:t>
      </w:r>
      <w:r w:rsidR="00242E6F" w:rsidRPr="007A25F5">
        <w:t xml:space="preserve"> The uncertain input data considered </w:t>
      </w:r>
      <w:r w:rsidR="00CB0F84" w:rsidRPr="007A25F5">
        <w:t xml:space="preserve">in the present study </w:t>
      </w:r>
      <w:r w:rsidR="00242E6F" w:rsidRPr="007A25F5">
        <w:t xml:space="preserve">included 1) water quality model parameter values that </w:t>
      </w:r>
      <w:r w:rsidR="0029264A" w:rsidRPr="007A25F5">
        <w:t xml:space="preserve">had </w:t>
      </w:r>
      <w:r w:rsidR="00242E6F" w:rsidRPr="007A25F5">
        <w:t>uncertainty after calibration due to the unstable water body of a newly constructed estuarine reservoir; 2) climate data and predicted PS pollutant loads that can change significantly with time.</w:t>
      </w:r>
    </w:p>
    <w:p w:rsidR="00EA3422" w:rsidRPr="007A25F5" w:rsidRDefault="00AC3120" w:rsidP="00DD2EE6">
      <w:pPr>
        <w:pStyle w:val="PaperFormattext"/>
      </w:pPr>
      <w:r w:rsidRPr="007A25F5">
        <w:t xml:space="preserve">The uncertainty analysis was performed to investigate the effect of various uncertain input data on </w:t>
      </w:r>
      <w:r w:rsidR="00684E5B" w:rsidRPr="007A25F5">
        <w:t xml:space="preserve">the </w:t>
      </w:r>
      <w:r w:rsidR="00330A6B" w:rsidRPr="007A25F5">
        <w:t xml:space="preserve">reservoir </w:t>
      </w:r>
      <w:r w:rsidR="00684E5B" w:rsidRPr="007A25F5">
        <w:t xml:space="preserve">water quality prediction for 2022. Using GLUE likelihood weights and behaviour parameter sets computed from </w:t>
      </w:r>
      <w:r w:rsidR="0029264A" w:rsidRPr="007A25F5">
        <w:t xml:space="preserve">the </w:t>
      </w:r>
      <w:r w:rsidR="00684E5B" w:rsidRPr="007A25F5">
        <w:t xml:space="preserve">Bayes Theorem (Eq. </w:t>
      </w:r>
      <w:r w:rsidR="00887F05" w:rsidRPr="007A25F5">
        <w:t>4</w:t>
      </w:r>
      <w:r w:rsidR="00684E5B" w:rsidRPr="007A25F5">
        <w:t xml:space="preserve">) a likelihood distribution was updated and a cumulative GLUE likelihood was generated for the uncertainty analysis of model parameters. </w:t>
      </w:r>
    </w:p>
    <w:p w:rsidR="00684E5B" w:rsidRPr="007A25F5" w:rsidRDefault="00684E5B" w:rsidP="00DD2EE6">
      <w:pPr>
        <w:pStyle w:val="PaperFormattext"/>
      </w:pPr>
      <w:r w:rsidRPr="007A25F5">
        <w:t xml:space="preserve">Monte Carlo simulation was performed to investigate the effect of future behaviour uncertainty (particularly climate data and predicted PS pollutant loads) on the output. In the uncertainty analysis of climate data, it was assumed that the future weather condition </w:t>
      </w:r>
      <w:r w:rsidR="006D4CA4" w:rsidRPr="007A25F5">
        <w:t xml:space="preserve">would </w:t>
      </w:r>
      <w:r w:rsidRPr="007A25F5">
        <w:t xml:space="preserve">be the same as any of the existing climate data sets from the last 40 years. Therefore a climate data set was randomly selected from among the 40 sets of annual climate data. In the uncertainty analysis of predicted PS pollutant loads, the mean and standard deviation of the PS pollutant loads prediction error (predicted PS pollutant loads – actual PS pollutant loads) were assumed to be 0 and 20% of the predicted PS pollutant loads, respectively. This assumption was </w:t>
      </w:r>
      <w:r w:rsidR="005F6E26" w:rsidRPr="007A25F5">
        <w:t>based on</w:t>
      </w:r>
      <w:r w:rsidRPr="007A25F5">
        <w:t xml:space="preserve"> other completed polder reclamation project studies </w:t>
      </w:r>
      <w:r w:rsidR="00A60671" w:rsidRPr="007A25F5">
        <w:t xml:space="preserve">in </w:t>
      </w:r>
      <w:r w:rsidRPr="007A25F5">
        <w:t xml:space="preserve">similar </w:t>
      </w:r>
      <w:r w:rsidR="00122B0E" w:rsidRPr="007A25F5">
        <w:t xml:space="preserve">settings </w:t>
      </w:r>
      <w:r w:rsidRPr="007A25F5">
        <w:t xml:space="preserve">to </w:t>
      </w:r>
      <w:r w:rsidR="00122B0E" w:rsidRPr="007A25F5">
        <w:t xml:space="preserve">the </w:t>
      </w:r>
      <w:r w:rsidRPr="007A25F5">
        <w:t xml:space="preserve">study area </w:t>
      </w:r>
      <w:r w:rsidR="00122B0E" w:rsidRPr="007A25F5">
        <w:t xml:space="preserve">in the present research </w:t>
      </w:r>
      <w:r w:rsidRPr="007A25F5">
        <w:t xml:space="preserve">(Lee </w:t>
      </w:r>
      <w:r w:rsidRPr="007A25F5">
        <w:rPr>
          <w:i/>
        </w:rPr>
        <w:t>et al.</w:t>
      </w:r>
      <w:r w:rsidRPr="007A25F5">
        <w:t xml:space="preserve">, 2014). To generate likelihood weights of combineduncertainty sources, likelihood weights of three uncertainty sources were </w:t>
      </w:r>
      <w:r w:rsidR="005F705A" w:rsidRPr="007A25F5">
        <w:t xml:space="preserve">first </w:t>
      </w:r>
      <w:r w:rsidRPr="007A25F5">
        <w:t xml:space="preserve">multiplied </w:t>
      </w:r>
      <w:r w:rsidR="005F705A" w:rsidRPr="007A25F5">
        <w:t xml:space="preserve">together </w:t>
      </w:r>
      <w:r w:rsidRPr="007A25F5">
        <w:t xml:space="preserve">and </w:t>
      </w:r>
      <w:r w:rsidR="005F705A" w:rsidRPr="007A25F5">
        <w:t xml:space="preserve">the product </w:t>
      </w:r>
      <w:r w:rsidRPr="007A25F5">
        <w:t>divided by their total.</w:t>
      </w:r>
    </w:p>
    <w:p w:rsidR="00684E5B" w:rsidRPr="007A25F5" w:rsidRDefault="00684E5B" w:rsidP="00AE7C20">
      <w:pPr>
        <w:widowControl w:val="0"/>
        <w:suppressAutoHyphens/>
        <w:spacing w:after="0" w:line="360" w:lineRule="auto"/>
        <w:jc w:val="center"/>
        <w:rPr>
          <w:rFonts w:ascii="Times New Roman" w:hAnsi="Times New Roman" w:cs="Times New Roman"/>
          <w:color w:val="auto"/>
          <w:sz w:val="22"/>
          <w:szCs w:val="22"/>
          <w:lang w:eastAsia="ko-KR"/>
        </w:rPr>
      </w:pPr>
    </w:p>
    <w:p w:rsidR="000508F4" w:rsidRPr="007A25F5" w:rsidRDefault="000508F4" w:rsidP="00AE7C20">
      <w:pPr>
        <w:widowControl w:val="0"/>
        <w:suppressAutoHyphens/>
        <w:spacing w:after="0" w:line="360" w:lineRule="auto"/>
        <w:jc w:val="center"/>
        <w:rPr>
          <w:rFonts w:ascii="Times New Roman" w:hAnsi="Times New Roman" w:cs="Times New Roman"/>
          <w:color w:val="auto"/>
          <w:sz w:val="22"/>
          <w:szCs w:val="22"/>
          <w:lang w:eastAsia="ko-KR"/>
        </w:rPr>
      </w:pPr>
    </w:p>
    <w:p w:rsidR="008512CB" w:rsidRPr="007A25F5" w:rsidRDefault="00B37F84" w:rsidP="00AE7C20">
      <w:pPr>
        <w:pStyle w:val="PaperMainheadings"/>
        <w:widowControl w:val="0"/>
        <w:spacing w:line="360" w:lineRule="auto"/>
        <w:jc w:val="center"/>
        <w:rPr>
          <w:b w:val="0"/>
          <w:sz w:val="22"/>
          <w:szCs w:val="22"/>
        </w:rPr>
      </w:pPr>
      <w:r w:rsidRPr="007A25F5">
        <w:rPr>
          <w:b w:val="0"/>
          <w:sz w:val="22"/>
          <w:szCs w:val="22"/>
        </w:rPr>
        <w:t>RESULTS AND DISCUSSION</w:t>
      </w:r>
    </w:p>
    <w:p w:rsidR="008512CB" w:rsidRPr="007A25F5" w:rsidRDefault="008512CB" w:rsidP="00DD2EE6">
      <w:pPr>
        <w:pStyle w:val="PaperFormattext"/>
      </w:pPr>
    </w:p>
    <w:p w:rsidR="00564480" w:rsidRPr="007A25F5" w:rsidRDefault="00A620D9" w:rsidP="00BA3F83">
      <w:pPr>
        <w:pStyle w:val="PaperSubheadings"/>
      </w:pPr>
      <w:r w:rsidRPr="007A25F5">
        <w:t xml:space="preserve">Calibration </w:t>
      </w:r>
      <w:r w:rsidR="00B3146A" w:rsidRPr="007A25F5">
        <w:t xml:space="preserve">and prediction of the </w:t>
      </w:r>
      <w:r w:rsidRPr="007A25F5">
        <w:t xml:space="preserve">integrated </w:t>
      </w:r>
      <w:r w:rsidR="0088480C" w:rsidRPr="007A25F5">
        <w:t>modelling</w:t>
      </w:r>
      <w:r w:rsidRPr="007A25F5">
        <w:t xml:space="preserve"> system </w:t>
      </w:r>
      <w:r w:rsidR="00B3146A" w:rsidRPr="007A25F5">
        <w:t>without the uncertainty analysis</w:t>
      </w:r>
    </w:p>
    <w:p w:rsidR="00EA3422" w:rsidRPr="007A25F5" w:rsidRDefault="00A620D9" w:rsidP="00DD2EE6">
      <w:pPr>
        <w:pStyle w:val="PaperFormattext"/>
      </w:pPr>
      <w:r w:rsidRPr="007A25F5">
        <w:t>Before making future predictions of</w:t>
      </w:r>
      <w:r w:rsidR="00A44F12" w:rsidRPr="007A25F5">
        <w:t xml:space="preserve"> water quality in</w:t>
      </w:r>
      <w:r w:rsidRPr="007A25F5">
        <w:t xml:space="preserve"> the Hwaong Reservoir</w:t>
      </w:r>
      <w:r w:rsidR="00035AD2" w:rsidRPr="007A25F5">
        <w:t>(</w:t>
      </w:r>
      <w:r w:rsidR="004F5F78" w:rsidRPr="007A25F5">
        <w:t>Figure 1</w:t>
      </w:r>
      <w:r w:rsidR="00035AD2" w:rsidRPr="007A25F5">
        <w:t>)</w:t>
      </w:r>
      <w:r w:rsidRPr="007A25F5">
        <w:t xml:space="preserve">, the integrated </w:t>
      </w:r>
      <w:r w:rsidR="0088480C" w:rsidRPr="007A25F5">
        <w:t>modelling</w:t>
      </w:r>
      <w:r w:rsidRPr="007A25F5">
        <w:t xml:space="preserve"> system</w:t>
      </w:r>
      <w:r w:rsidR="00A44F12" w:rsidRPr="007A25F5">
        <w:t xml:space="preserve"> that</w:t>
      </w:r>
      <w:r w:rsidRPr="007A25F5">
        <w:t xml:space="preserve"> incorporated </w:t>
      </w:r>
      <w:r w:rsidR="00A44F12" w:rsidRPr="007A25F5">
        <w:t xml:space="preserve">the </w:t>
      </w:r>
      <w:r w:rsidRPr="007A25F5">
        <w:t xml:space="preserve">HSPF and WASP </w:t>
      </w:r>
      <w:r w:rsidR="00692186" w:rsidRPr="007A25F5">
        <w:t>model</w:t>
      </w:r>
      <w:r w:rsidR="00EA3422" w:rsidRPr="007A25F5">
        <w:t>s</w:t>
      </w:r>
      <w:r w:rsidRPr="007A25F5">
        <w:t xml:space="preserve">was calibrated </w:t>
      </w:r>
      <w:r w:rsidR="007E77D1" w:rsidRPr="007A25F5">
        <w:t xml:space="preserve">using </w:t>
      </w:r>
      <w:r w:rsidRPr="007A25F5">
        <w:t>observed data</w:t>
      </w:r>
      <w:r w:rsidR="009C6180" w:rsidRPr="007A25F5">
        <w:t xml:space="preserve"> (Table</w:t>
      </w:r>
      <w:r w:rsidR="00AE7C20" w:rsidRPr="007A25F5">
        <w:t xml:space="preserve">sI </w:t>
      </w:r>
      <w:r w:rsidR="00E71861" w:rsidRPr="007A25F5">
        <w:t xml:space="preserve">and </w:t>
      </w:r>
      <w:r w:rsidR="00AE7C20" w:rsidRPr="007A25F5">
        <w:t>II</w:t>
      </w:r>
      <w:r w:rsidR="009C6180" w:rsidRPr="007A25F5">
        <w:t>)</w:t>
      </w:r>
      <w:r w:rsidRPr="007A25F5">
        <w:t>.</w:t>
      </w:r>
      <w:r w:rsidR="00A44F12" w:rsidRPr="007A25F5">
        <w:t xml:space="preserve"> The outputs of the calibrated HSPF and WASP model</w:t>
      </w:r>
      <w:r w:rsidR="00EA3422" w:rsidRPr="007A25F5">
        <w:t>s</w:t>
      </w:r>
      <w:r w:rsidR="00A44F12" w:rsidRPr="007A25F5">
        <w:t xml:space="preserve"> are shown in </w:t>
      </w:r>
      <w:r w:rsidR="000021AD" w:rsidRPr="007A25F5">
        <w:t>Figures 3</w:t>
      </w:r>
      <w:r w:rsidR="00EA3422" w:rsidRPr="007A25F5">
        <w:t>and</w:t>
      </w:r>
      <w:r w:rsidR="000021AD" w:rsidRPr="007A25F5">
        <w:t xml:space="preserve">4 and </w:t>
      </w:r>
      <w:r w:rsidR="00EA3422" w:rsidRPr="007A25F5">
        <w:t xml:space="preserve">in </w:t>
      </w:r>
      <w:r w:rsidR="004C32EB" w:rsidRPr="007A25F5">
        <w:t xml:space="preserve">Table </w:t>
      </w:r>
      <w:r w:rsidR="00AE7C20" w:rsidRPr="007A25F5">
        <w:t>III</w:t>
      </w:r>
      <w:r w:rsidR="00A44F12" w:rsidRPr="007A25F5">
        <w:t>.</w:t>
      </w:r>
      <w:r w:rsidR="00013613" w:rsidRPr="007A25F5">
        <w:t>These results</w:t>
      </w:r>
      <w:r w:rsidR="00A97B44" w:rsidRPr="007A25F5">
        <w:t>demonstrated that the HSPF and WASP model</w:t>
      </w:r>
      <w:r w:rsidR="00EA3422" w:rsidRPr="007A25F5">
        <w:t>s</w:t>
      </w:r>
      <w:r w:rsidR="00AE5402" w:rsidRPr="007A25F5">
        <w:t>w</w:t>
      </w:r>
      <w:r w:rsidR="00B642D6" w:rsidRPr="007A25F5">
        <w:t>ere</w:t>
      </w:r>
      <w:r w:rsidR="00A97B44" w:rsidRPr="007A25F5">
        <w:t xml:space="preserve"> well calibrated</w:t>
      </w:r>
      <w:r w:rsidR="008C128B" w:rsidRPr="007A25F5">
        <w:t>. T</w:t>
      </w:r>
      <w:r w:rsidR="00A97B44" w:rsidRPr="007A25F5">
        <w:t xml:space="preserve">he outputs from </w:t>
      </w:r>
      <w:r w:rsidR="00EA3422" w:rsidRPr="007A25F5">
        <w:t xml:space="preserve">the </w:t>
      </w:r>
      <w:r w:rsidR="00A97B44" w:rsidRPr="007A25F5">
        <w:t>two models match</w:t>
      </w:r>
      <w:r w:rsidR="00AE5402" w:rsidRPr="007A25F5">
        <w:t>ed</w:t>
      </w:r>
      <w:r w:rsidR="00A97B44" w:rsidRPr="007A25F5">
        <w:t>the observed data reasonably well.</w:t>
      </w:r>
      <w:r w:rsidR="008F5B0A" w:rsidRPr="007A25F5">
        <w:t>T</w:t>
      </w:r>
      <w:r w:rsidR="00A97B44" w:rsidRPr="007A25F5">
        <w:t xml:space="preserve">he </w:t>
      </w:r>
      <w:r w:rsidRPr="007A25F5">
        <w:t xml:space="preserve">boundary condition of </w:t>
      </w:r>
      <w:r w:rsidR="00EA3422" w:rsidRPr="007A25F5">
        <w:t xml:space="preserve">the </w:t>
      </w:r>
      <w:r w:rsidRPr="007A25F5">
        <w:t xml:space="preserve">reservoir water quality model (WASP) was estimated accurately by </w:t>
      </w:r>
      <w:r w:rsidR="00AE5402" w:rsidRPr="007A25F5">
        <w:t xml:space="preserve">the </w:t>
      </w:r>
      <w:r w:rsidR="00BC58A0" w:rsidRPr="007A25F5">
        <w:t>river basin</w:t>
      </w:r>
      <w:r w:rsidRPr="007A25F5">
        <w:t xml:space="preserve"> loading model </w:t>
      </w:r>
      <w:r w:rsidR="00AE5402" w:rsidRPr="007A25F5">
        <w:t xml:space="preserve">of </w:t>
      </w:r>
      <w:r w:rsidRPr="007A25F5">
        <w:t>HSPF</w:t>
      </w:r>
      <w:r w:rsidR="00A97B44" w:rsidRPr="007A25F5">
        <w:t xml:space="preserve">. This result contributed to improve the calibration result of </w:t>
      </w:r>
      <w:r w:rsidR="00EA3422" w:rsidRPr="007A25F5">
        <w:t xml:space="preserve">the </w:t>
      </w:r>
      <w:r w:rsidRPr="007A25F5">
        <w:t>WASP</w:t>
      </w:r>
      <w:r w:rsidR="00A97B44" w:rsidRPr="007A25F5">
        <w:t xml:space="preserve"> model significantly. </w:t>
      </w:r>
      <w:r w:rsidR="00FB0EAE" w:rsidRPr="007A25F5">
        <w:t xml:space="preserve">The results of </w:t>
      </w:r>
      <w:r w:rsidR="00EA3422" w:rsidRPr="007A25F5">
        <w:t xml:space="preserve">the </w:t>
      </w:r>
      <w:r w:rsidR="00FB0EAE" w:rsidRPr="007A25F5">
        <w:t>HSPF and WASP model</w:t>
      </w:r>
      <w:r w:rsidR="00EA3422" w:rsidRPr="007A25F5">
        <w:t>s</w:t>
      </w:r>
      <w:r w:rsidR="00FB0EAE" w:rsidRPr="007A25F5">
        <w:t xml:space="preserve"> show</w:t>
      </w:r>
      <w:r w:rsidR="00AE5402" w:rsidRPr="007A25F5">
        <w:t>ed</w:t>
      </w:r>
      <w:r w:rsidR="00FB0EAE" w:rsidRPr="007A25F5">
        <w:t xml:space="preserve"> that t</w:t>
      </w:r>
      <w:r w:rsidRPr="007A25F5">
        <w:t>he average</w:t>
      </w:r>
      <w:r w:rsidR="00AE5402" w:rsidRPr="007A25F5">
        <w:t xml:space="preserve"> concentration</w:t>
      </w:r>
      <w:r w:rsidR="00CC6D67" w:rsidRPr="007A25F5">
        <w:t>s</w:t>
      </w:r>
      <w:r w:rsidR="00AE5402" w:rsidRPr="007A25F5">
        <w:t xml:space="preserve"> of </w:t>
      </w:r>
      <w:r w:rsidRPr="007A25F5">
        <w:t xml:space="preserve">T-N and T-P in </w:t>
      </w:r>
      <w:r w:rsidR="00394BD2" w:rsidRPr="007A25F5">
        <w:t xml:space="preserve">the </w:t>
      </w:r>
      <w:r w:rsidRPr="007A25F5">
        <w:t xml:space="preserve">Hwaong Reservoir </w:t>
      </w:r>
      <w:r w:rsidR="00B51084" w:rsidRPr="007A25F5">
        <w:t xml:space="preserve">were </w:t>
      </w:r>
      <w:r w:rsidRPr="007A25F5">
        <w:t>0.76 and 0.049 mg L</w:t>
      </w:r>
      <w:r w:rsidRPr="007A25F5">
        <w:rPr>
          <w:vertAlign w:val="superscript"/>
        </w:rPr>
        <w:t>-1</w:t>
      </w:r>
      <w:r w:rsidR="00AE7C20" w:rsidRPr="007A25F5">
        <w:t>, respectively.</w:t>
      </w:r>
    </w:p>
    <w:p w:rsidR="00564480" w:rsidRPr="007A25F5" w:rsidRDefault="00FB0EAE" w:rsidP="00DD2EE6">
      <w:pPr>
        <w:pStyle w:val="PaperFormattext"/>
      </w:pPr>
      <w:r w:rsidRPr="007A25F5">
        <w:t>The water quality in t</w:t>
      </w:r>
      <w:r w:rsidR="00A620D9" w:rsidRPr="007A25F5">
        <w:t>he Hwaong Reservoir was</w:t>
      </w:r>
      <w:r w:rsidRPr="007A25F5">
        <w:t xml:space="preserve"> still </w:t>
      </w:r>
      <w:r w:rsidR="00A620D9" w:rsidRPr="007A25F5">
        <w:t>good in</w:t>
      </w:r>
      <w:r w:rsidR="005C7C71" w:rsidRPr="007A25F5">
        <w:t>20</w:t>
      </w:r>
      <w:r w:rsidR="008F37E6" w:rsidRPr="007A25F5">
        <w:t>12</w:t>
      </w:r>
      <w:r w:rsidR="00A620D9" w:rsidRPr="007A25F5">
        <w:t xml:space="preserve">due to </w:t>
      </w:r>
      <w:r w:rsidR="003E59C4" w:rsidRPr="007A25F5">
        <w:t xml:space="preserve">the dilution effect from </w:t>
      </w:r>
      <w:r w:rsidR="00A620D9" w:rsidRPr="007A25F5">
        <w:t xml:space="preserve">sea </w:t>
      </w:r>
      <w:r w:rsidR="003E59C4" w:rsidRPr="007A25F5">
        <w:t xml:space="preserve">water </w:t>
      </w:r>
      <w:r w:rsidR="00EC0C24" w:rsidRPr="007A25F5">
        <w:t xml:space="preserve">introduced specifically </w:t>
      </w:r>
      <w:r w:rsidR="003E59C4" w:rsidRPr="007A25F5">
        <w:t xml:space="preserve">for </w:t>
      </w:r>
      <w:r w:rsidR="00EC0C24" w:rsidRPr="007A25F5">
        <w:t>this purpose</w:t>
      </w:r>
      <w:r w:rsidR="00A620D9" w:rsidRPr="007A25F5">
        <w:t xml:space="preserve">. Sea water introduction to the reservoir </w:t>
      </w:r>
      <w:r w:rsidRPr="007A25F5">
        <w:t xml:space="preserve">appeared to be </w:t>
      </w:r>
      <w:r w:rsidR="00A620D9" w:rsidRPr="007A25F5">
        <w:t xml:space="preserve">very effective </w:t>
      </w:r>
      <w:r w:rsidRPr="007A25F5">
        <w:t xml:space="preserve">in terms of </w:t>
      </w:r>
      <w:r w:rsidR="00A620D9" w:rsidRPr="007A25F5">
        <w:t xml:space="preserve">reservoir water quality management </w:t>
      </w:r>
      <w:r w:rsidR="00AB6FAB" w:rsidRPr="007A25F5">
        <w:t>measure</w:t>
      </w:r>
      <w:r w:rsidRPr="007A25F5">
        <w:t xml:space="preserve">. However, </w:t>
      </w:r>
      <w:r w:rsidR="00A620D9" w:rsidRPr="007A25F5">
        <w:t xml:space="preserve">the reservoir </w:t>
      </w:r>
      <w:r w:rsidRPr="007A25F5">
        <w:t>is no longer available as</w:t>
      </w:r>
      <w:r w:rsidR="00A620D9" w:rsidRPr="007A25F5">
        <w:t xml:space="preserve"> a freshwater resource until </w:t>
      </w:r>
      <w:r w:rsidR="0026237E" w:rsidRPr="007A25F5">
        <w:t xml:space="preserve">the </w:t>
      </w:r>
      <w:r w:rsidR="00A620D9" w:rsidRPr="007A25F5">
        <w:t>sea water introduction</w:t>
      </w:r>
      <w:r w:rsidR="00236152" w:rsidRPr="007A25F5">
        <w:t xml:space="preserve"> is stopped</w:t>
      </w:r>
      <w:r w:rsidR="00A620D9" w:rsidRPr="007A25F5">
        <w:t>.</w:t>
      </w:r>
    </w:p>
    <w:p w:rsidR="00FD16A1" w:rsidRPr="007A25F5" w:rsidRDefault="00FD16A1" w:rsidP="00DD2EE6">
      <w:pPr>
        <w:pStyle w:val="PaperFormattext"/>
      </w:pPr>
    </w:p>
    <w:p w:rsidR="001641BE" w:rsidRPr="007A25F5" w:rsidRDefault="004A101C" w:rsidP="00DD2EE6">
      <w:pPr>
        <w:pStyle w:val="PaperFormattext"/>
      </w:pPr>
      <w:r w:rsidRPr="007A25F5">
        <w:t xml:space="preserve">Table </w:t>
      </w:r>
      <w:r w:rsidR="00AE7C20" w:rsidRPr="007A25F5">
        <w:t>I</w:t>
      </w:r>
      <w:r w:rsidRPr="007A25F5">
        <w:t xml:space="preserve">. </w:t>
      </w:r>
      <w:r w:rsidR="001C30FC" w:rsidRPr="007A25F5">
        <w:t>A</w:t>
      </w:r>
      <w:r w:rsidR="001641BE" w:rsidRPr="007A25F5">
        <w:t xml:space="preserve">djusted parameters for calibration of </w:t>
      </w:r>
      <w:r w:rsidR="001C30FC" w:rsidRPr="007A25F5">
        <w:t xml:space="preserve">the </w:t>
      </w:r>
      <w:r w:rsidR="001641BE" w:rsidRPr="007A25F5">
        <w:t>HSPF model</w:t>
      </w:r>
    </w:p>
    <w:p w:rsidR="004A101C" w:rsidRPr="007A25F5" w:rsidRDefault="004A101C" w:rsidP="00DD2EE6">
      <w:pPr>
        <w:pStyle w:val="PaperFormattext"/>
      </w:pPr>
    </w:p>
    <w:p w:rsidR="001641BE" w:rsidRPr="007A25F5" w:rsidRDefault="004A101C" w:rsidP="00DD2EE6">
      <w:pPr>
        <w:pStyle w:val="PaperFormattext"/>
      </w:pPr>
      <w:r w:rsidRPr="007A25F5">
        <w:t xml:space="preserve">Table </w:t>
      </w:r>
      <w:r w:rsidR="00AE7C20" w:rsidRPr="007A25F5">
        <w:t>II</w:t>
      </w:r>
      <w:r w:rsidRPr="007A25F5">
        <w:t xml:space="preserve">. </w:t>
      </w:r>
      <w:r w:rsidR="001C30FC" w:rsidRPr="007A25F5">
        <w:t>A</w:t>
      </w:r>
      <w:r w:rsidR="001641BE" w:rsidRPr="007A25F5">
        <w:t xml:space="preserve">djusted parameters for calibration of </w:t>
      </w:r>
      <w:r w:rsidR="001C30FC" w:rsidRPr="007A25F5">
        <w:t xml:space="preserve">the </w:t>
      </w:r>
      <w:r w:rsidR="001641BE" w:rsidRPr="007A25F5">
        <w:t>WASP model</w:t>
      </w:r>
    </w:p>
    <w:p w:rsidR="001641BE" w:rsidRPr="007A25F5" w:rsidRDefault="001641BE" w:rsidP="00DD2EE6">
      <w:pPr>
        <w:pStyle w:val="PaperFormattext"/>
      </w:pPr>
    </w:p>
    <w:p w:rsidR="00A92D37" w:rsidRPr="007A25F5" w:rsidRDefault="00A92D37" w:rsidP="00DD2EE6">
      <w:pPr>
        <w:pStyle w:val="PaperFormattext"/>
      </w:pPr>
      <w:r w:rsidRPr="007A25F5">
        <w:t xml:space="preserve">Figure 3. HSPF calibration result </w:t>
      </w:r>
      <w:r w:rsidR="00C6786C" w:rsidRPr="007A25F5">
        <w:t xml:space="preserve">using </w:t>
      </w:r>
      <w:r w:rsidRPr="007A25F5">
        <w:t xml:space="preserve">observed data from </w:t>
      </w:r>
      <w:r w:rsidR="00C6786C" w:rsidRPr="007A25F5">
        <w:t xml:space="preserve">monitoring station </w:t>
      </w:r>
      <w:r w:rsidRPr="007A25F5">
        <w:t>ST0</w:t>
      </w:r>
    </w:p>
    <w:p w:rsidR="00A92D37" w:rsidRPr="007A25F5" w:rsidRDefault="00A92D37" w:rsidP="00DD2EE6">
      <w:pPr>
        <w:pStyle w:val="PaperFormattext"/>
      </w:pPr>
    </w:p>
    <w:p w:rsidR="00A92D37" w:rsidRPr="007A25F5" w:rsidRDefault="00A92D37" w:rsidP="00DD2EE6">
      <w:pPr>
        <w:pStyle w:val="PaperFormattext"/>
      </w:pPr>
      <w:r w:rsidRPr="007A25F5">
        <w:t xml:space="preserve">Figure 4. WASP calibration result </w:t>
      </w:r>
      <w:r w:rsidR="00C25C34" w:rsidRPr="007A25F5">
        <w:t xml:space="preserve">using </w:t>
      </w:r>
      <w:r w:rsidRPr="007A25F5">
        <w:t>observed data from the Hwaong Reservoir</w:t>
      </w:r>
    </w:p>
    <w:p w:rsidR="00A92D37" w:rsidRPr="007A25F5" w:rsidRDefault="00A92D37" w:rsidP="00DD2EE6">
      <w:pPr>
        <w:pStyle w:val="PaperFormattext"/>
      </w:pPr>
    </w:p>
    <w:p w:rsidR="001641BE" w:rsidRPr="007A25F5" w:rsidRDefault="001641BE" w:rsidP="00DD2EE6">
      <w:pPr>
        <w:pStyle w:val="PaperFormattext"/>
      </w:pPr>
      <w:r w:rsidRPr="007A25F5">
        <w:t xml:space="preserve">Table </w:t>
      </w:r>
      <w:r w:rsidR="00AE7C20" w:rsidRPr="007A25F5">
        <w:t>III</w:t>
      </w:r>
      <w:r w:rsidRPr="007A25F5">
        <w:t>. Comparison of observed and simulated data for calibration</w:t>
      </w:r>
    </w:p>
    <w:p w:rsidR="00FD16A1" w:rsidRPr="007A25F5" w:rsidRDefault="00FD16A1" w:rsidP="00DD2EE6">
      <w:pPr>
        <w:pStyle w:val="PaperFormattext"/>
      </w:pPr>
    </w:p>
    <w:p w:rsidR="00EA3422" w:rsidRPr="007A25F5" w:rsidRDefault="00FB0EAE" w:rsidP="00DD2EE6">
      <w:pPr>
        <w:pStyle w:val="PaperFormattext"/>
      </w:pPr>
      <w:r w:rsidRPr="007A25F5">
        <w:t>The calibrated integrated modelling system was used to predict the future</w:t>
      </w:r>
      <w:r w:rsidR="0057592D" w:rsidRPr="007A25F5">
        <w:t xml:space="preserve"> water quality in the Hwaong Reservoir for the scheduled completion time of 20</w:t>
      </w:r>
      <w:r w:rsidR="00712BDC" w:rsidRPr="007A25F5">
        <w:t>2</w:t>
      </w:r>
      <w:r w:rsidR="0057592D" w:rsidRPr="007A25F5">
        <w:t>2</w:t>
      </w:r>
      <w:r w:rsidRPr="007A25F5">
        <w:t xml:space="preserve">. </w:t>
      </w:r>
      <w:r w:rsidR="00DA6F08" w:rsidRPr="007A25F5">
        <w:t>The</w:t>
      </w:r>
      <w:r w:rsidR="0057592D" w:rsidRPr="007A25F5">
        <w:t xml:space="preserve"> population </w:t>
      </w:r>
      <w:r w:rsidR="00DA6F08" w:rsidRPr="007A25F5">
        <w:t xml:space="preserve">was assumed to increase </w:t>
      </w:r>
      <w:r w:rsidR="0057592D" w:rsidRPr="007A25F5">
        <w:t>at a rate of 1.5%</w:t>
      </w:r>
      <w:r w:rsidR="00302C1E" w:rsidRPr="007A25F5">
        <w:t xml:space="preserve"> based on </w:t>
      </w:r>
      <w:r w:rsidR="0057592D" w:rsidRPr="007A25F5">
        <w:t>the average growth rate in Gyeonggi Province. Pollutant loading</w:t>
      </w:r>
      <w:r w:rsidR="00DA6F08" w:rsidRPr="007A25F5">
        <w:t>,</w:t>
      </w:r>
      <w:r w:rsidR="0057592D" w:rsidRPr="007A25F5">
        <w:t>except additional loadings from new farmland and planned industrial complexes in polder areas</w:t>
      </w:r>
      <w:r w:rsidR="00DA6F08" w:rsidRPr="007A25F5">
        <w:t>,</w:t>
      </w:r>
      <w:r w:rsidR="0057592D" w:rsidRPr="007A25F5">
        <w:t xml:space="preserve"> was assumed to remain at the same level as in 20</w:t>
      </w:r>
      <w:r w:rsidR="008F37E6" w:rsidRPr="007A25F5">
        <w:t>12</w:t>
      </w:r>
      <w:r w:rsidR="0057592D" w:rsidRPr="007A25F5">
        <w:t xml:space="preserve">. </w:t>
      </w:r>
      <w:r w:rsidR="0057592D" w:rsidRPr="007A25F5">
        <w:lastRenderedPageBreak/>
        <w:t xml:space="preserve">The </w:t>
      </w:r>
      <w:r w:rsidR="004E7461" w:rsidRPr="007A25F5">
        <w:t xml:space="preserve">parameters of </w:t>
      </w:r>
      <w:r w:rsidR="00EA3422" w:rsidRPr="007A25F5">
        <w:t>the</w:t>
      </w:r>
      <w:r w:rsidR="00BC58A0" w:rsidRPr="007A25F5">
        <w:t>river basin</w:t>
      </w:r>
      <w:r w:rsidR="004E7461" w:rsidRPr="007A25F5">
        <w:t xml:space="preserve">loading </w:t>
      </w:r>
      <w:r w:rsidR="0057592D" w:rsidRPr="007A25F5">
        <w:t>model</w:t>
      </w:r>
      <w:r w:rsidR="005E53B1" w:rsidRPr="007A25F5">
        <w:t>(</w:t>
      </w:r>
      <w:r w:rsidR="004E7461" w:rsidRPr="007A25F5">
        <w:t xml:space="preserve">HSPF)and receiving water quality model </w:t>
      </w:r>
      <w:r w:rsidR="005E53B1" w:rsidRPr="007A25F5">
        <w:t>(</w:t>
      </w:r>
      <w:r w:rsidR="004E7461" w:rsidRPr="007A25F5">
        <w:t>WASP</w:t>
      </w:r>
      <w:r w:rsidR="005E53B1" w:rsidRPr="007A25F5">
        <w:t>)</w:t>
      </w:r>
      <w:r w:rsidR="0057592D" w:rsidRPr="007A25F5">
        <w:t xml:space="preserve"> were the same as those used for the 20</w:t>
      </w:r>
      <w:r w:rsidR="008F37E6" w:rsidRPr="007A25F5">
        <w:t>12</w:t>
      </w:r>
      <w:r w:rsidR="0057592D" w:rsidRPr="007A25F5">
        <w:t xml:space="preserve"> simulation</w:t>
      </w:r>
      <w:r w:rsidR="00302C1E" w:rsidRPr="007A25F5">
        <w:t>. The c</w:t>
      </w:r>
      <w:r w:rsidR="00B643C7" w:rsidRPr="007A25F5">
        <w:t>limate</w:t>
      </w:r>
      <w:r w:rsidR="0057592D" w:rsidRPr="007A25F5">
        <w:t xml:space="preserve"> data w</w:t>
      </w:r>
      <w:r w:rsidR="00EA3422" w:rsidRPr="007A25F5">
        <w:t>ere</w:t>
      </w:r>
      <w:r w:rsidR="00302C1E" w:rsidRPr="007A25F5">
        <w:t xml:space="preserve">extracted </w:t>
      </w:r>
      <w:r w:rsidR="0057592D" w:rsidRPr="007A25F5">
        <w:t>from the 20</w:t>
      </w:r>
      <w:r w:rsidR="004E7461" w:rsidRPr="007A25F5">
        <w:t>1</w:t>
      </w:r>
      <w:r w:rsidR="0057592D" w:rsidRPr="007A25F5">
        <w:t>2 data set (1</w:t>
      </w:r>
      <w:r w:rsidR="00E01992" w:rsidRPr="007A25F5">
        <w:t>,</w:t>
      </w:r>
      <w:r w:rsidR="005C7C71" w:rsidRPr="007A25F5">
        <w:t xml:space="preserve">220 </w:t>
      </w:r>
      <w:r w:rsidR="0057592D" w:rsidRPr="007A25F5">
        <w:t xml:space="preserve">mm of rainfall) </w:t>
      </w:r>
      <w:r w:rsidR="00AE5402" w:rsidRPr="007A25F5">
        <w:t>as</w:t>
      </w:r>
      <w:r w:rsidR="0057592D" w:rsidRPr="007A25F5">
        <w:t xml:space="preserve"> th</w:t>
      </w:r>
      <w:r w:rsidR="00EA3422" w:rsidRPr="007A25F5">
        <w:t>ese</w:t>
      </w:r>
      <w:r w:rsidR="0057592D" w:rsidRPr="007A25F5">
        <w:t xml:space="preserve"> data w</w:t>
      </w:r>
      <w:r w:rsidR="00EA3422" w:rsidRPr="007A25F5">
        <w:t>ere</w:t>
      </w:r>
      <w:r w:rsidR="0057592D" w:rsidRPr="007A25F5">
        <w:t xml:space="preserve"> similar to the average precipitation pattern for the last 40 years (1</w:t>
      </w:r>
      <w:r w:rsidR="00E01992" w:rsidRPr="007A25F5">
        <w:t>,</w:t>
      </w:r>
      <w:r w:rsidR="0057592D" w:rsidRPr="007A25F5">
        <w:t>270 mm of rainfall). To reduce pollutant loading</w:t>
      </w:r>
      <w:r w:rsidR="00AE5402" w:rsidRPr="007A25F5">
        <w:t>s</w:t>
      </w:r>
      <w:r w:rsidR="0057592D" w:rsidRPr="007A25F5">
        <w:t xml:space="preserve"> from </w:t>
      </w:r>
      <w:r w:rsidR="008C128B" w:rsidRPr="007A25F5">
        <w:t xml:space="preserve">the given </w:t>
      </w:r>
      <w:r w:rsidR="00BC58A0" w:rsidRPr="007A25F5">
        <w:t>river basin</w:t>
      </w:r>
      <w:r w:rsidR="00976200" w:rsidRPr="007A25F5">
        <w:t>,</w:t>
      </w:r>
      <w:r w:rsidR="0057592D" w:rsidRPr="007A25F5">
        <w:t xml:space="preserve"> several </w:t>
      </w:r>
      <w:r w:rsidR="00BC58A0" w:rsidRPr="007A25F5">
        <w:t>river basin</w:t>
      </w:r>
      <w:r w:rsidR="00B671BA" w:rsidRPr="007A25F5">
        <w:t xml:space="preserve"> management measures</w:t>
      </w:r>
      <w:r w:rsidR="00AE5402" w:rsidRPr="007A25F5">
        <w:t>were</w:t>
      </w:r>
      <w:r w:rsidR="0057592D" w:rsidRPr="007A25F5">
        <w:t xml:space="preserve"> planned</w:t>
      </w:r>
      <w:r w:rsidR="00E31038" w:rsidRPr="007A25F5">
        <w:t xml:space="preserve">. </w:t>
      </w:r>
      <w:r w:rsidR="00302C1E" w:rsidRPr="007A25F5">
        <w:t>On</w:t>
      </w:r>
      <w:r w:rsidR="0057592D" w:rsidRPr="007A25F5">
        <w:t xml:space="preserve">ly WWTP </w:t>
      </w:r>
      <w:r w:rsidR="00302C1E" w:rsidRPr="007A25F5">
        <w:t xml:space="preserve">(wastewater treatment plant) </w:t>
      </w:r>
      <w:r w:rsidR="0057592D" w:rsidRPr="007A25F5">
        <w:t>construction was</w:t>
      </w:r>
      <w:r w:rsidR="00AE5402" w:rsidRPr="007A25F5">
        <w:t>,</w:t>
      </w:r>
      <w:r w:rsidR="00302C1E" w:rsidRPr="007A25F5">
        <w:t>however</w:t>
      </w:r>
      <w:r w:rsidR="00AE5402" w:rsidRPr="007A25F5">
        <w:t>,</w:t>
      </w:r>
      <w:r w:rsidR="0057592D" w:rsidRPr="007A25F5">
        <w:t xml:space="preserve">considered </w:t>
      </w:r>
      <w:r w:rsidR="0056606F" w:rsidRPr="007A25F5">
        <w:t xml:space="preserve">as </w:t>
      </w:r>
      <w:r w:rsidR="00DA6F08" w:rsidRPr="007A25F5">
        <w:t xml:space="preserve">a </w:t>
      </w:r>
      <w:r w:rsidR="00BC58A0" w:rsidRPr="007A25F5">
        <w:t>river basin</w:t>
      </w:r>
      <w:r w:rsidR="0056606F" w:rsidRPr="007A25F5">
        <w:t xml:space="preserve"> management measure </w:t>
      </w:r>
      <w:r w:rsidR="0057592D" w:rsidRPr="007A25F5">
        <w:t xml:space="preserve">for the </w:t>
      </w:r>
      <w:r w:rsidR="00DA6F08" w:rsidRPr="007A25F5">
        <w:t xml:space="preserve">prediction of </w:t>
      </w:r>
      <w:r w:rsidR="00E31038" w:rsidRPr="007A25F5">
        <w:t xml:space="preserve">future </w:t>
      </w:r>
      <w:r w:rsidR="0057592D" w:rsidRPr="007A25F5">
        <w:t xml:space="preserve">water quality in this study. Two WWTPs (WWTP-1 in Zone II, </w:t>
      </w:r>
      <w:r w:rsidR="00DA6F08" w:rsidRPr="007A25F5">
        <w:t xml:space="preserve">treating </w:t>
      </w:r>
      <w:r w:rsidR="0057592D" w:rsidRPr="007A25F5">
        <w:t xml:space="preserve">15,000 </w:t>
      </w:r>
      <w:r w:rsidR="00DA6F08" w:rsidRPr="007A25F5">
        <w:t xml:space="preserve">metric </w:t>
      </w:r>
      <w:r w:rsidR="0057592D" w:rsidRPr="007A25F5">
        <w:t>ton</w:t>
      </w:r>
      <w:r w:rsidR="00DA6F08" w:rsidRPr="007A25F5">
        <w:t>s</w:t>
      </w:r>
      <w:r w:rsidR="0057592D" w:rsidRPr="007A25F5">
        <w:t xml:space="preserve"> day</w:t>
      </w:r>
      <w:r w:rsidR="00E01992" w:rsidRPr="007A25F5">
        <w:rPr>
          <w:vertAlign w:val="superscript"/>
        </w:rPr>
        <w:t>-</w:t>
      </w:r>
      <w:r w:rsidR="0057592D" w:rsidRPr="007A25F5">
        <w:rPr>
          <w:vertAlign w:val="superscript"/>
        </w:rPr>
        <w:t>1</w:t>
      </w:r>
      <w:r w:rsidR="0057592D" w:rsidRPr="007A25F5">
        <w:t xml:space="preserve">; WWTP-2 in Zone V, </w:t>
      </w:r>
      <w:r w:rsidR="00DA6F08" w:rsidRPr="007A25F5">
        <w:t xml:space="preserve">treating </w:t>
      </w:r>
      <w:r w:rsidR="0057592D" w:rsidRPr="007A25F5">
        <w:t xml:space="preserve">16,000 </w:t>
      </w:r>
      <w:r w:rsidR="00DA6F08" w:rsidRPr="007A25F5">
        <w:t xml:space="preserve">metric </w:t>
      </w:r>
      <w:r w:rsidR="0057592D" w:rsidRPr="007A25F5">
        <w:t>ton</w:t>
      </w:r>
      <w:r w:rsidR="00DA6F08" w:rsidRPr="007A25F5">
        <w:t>s</w:t>
      </w:r>
      <w:r w:rsidR="0057592D" w:rsidRPr="007A25F5">
        <w:t xml:space="preserve"> day</w:t>
      </w:r>
      <w:r w:rsidR="00E01992" w:rsidRPr="007A25F5">
        <w:rPr>
          <w:vertAlign w:val="superscript"/>
        </w:rPr>
        <w:t>-</w:t>
      </w:r>
      <w:r w:rsidR="0057592D" w:rsidRPr="007A25F5">
        <w:rPr>
          <w:vertAlign w:val="superscript"/>
        </w:rPr>
        <w:t>1</w:t>
      </w:r>
      <w:r w:rsidR="0057592D" w:rsidRPr="007A25F5">
        <w:t xml:space="preserve">) and fifteen small-scale wastewater treatment systems </w:t>
      </w:r>
      <w:r w:rsidR="00DA6F08" w:rsidRPr="007A25F5">
        <w:t xml:space="preserve">(each treating fewer than </w:t>
      </w:r>
      <w:r w:rsidR="0057592D" w:rsidRPr="007A25F5">
        <w:t xml:space="preserve">500 </w:t>
      </w:r>
      <w:r w:rsidR="00DA6F08" w:rsidRPr="007A25F5">
        <w:t xml:space="preserve">metric </w:t>
      </w:r>
      <w:r w:rsidR="0057592D" w:rsidRPr="007A25F5">
        <w:t>ton</w:t>
      </w:r>
      <w:r w:rsidR="00DA6F08" w:rsidRPr="007A25F5">
        <w:t>s</w:t>
      </w:r>
      <w:r w:rsidR="0057592D" w:rsidRPr="007A25F5">
        <w:t xml:space="preserve"> day</w:t>
      </w:r>
      <w:r w:rsidR="00E01992" w:rsidRPr="007A25F5">
        <w:rPr>
          <w:vertAlign w:val="superscript"/>
        </w:rPr>
        <w:t>-</w:t>
      </w:r>
      <w:r w:rsidR="0057592D" w:rsidRPr="007A25F5">
        <w:rPr>
          <w:vertAlign w:val="superscript"/>
        </w:rPr>
        <w:t>1</w:t>
      </w:r>
      <w:r w:rsidR="0057592D" w:rsidRPr="007A25F5">
        <w:t xml:space="preserve">) were planned and are being constructed in </w:t>
      </w:r>
      <w:r w:rsidR="00EA3422" w:rsidRPr="007A25F5">
        <w:t xml:space="preserve">the </w:t>
      </w:r>
      <w:r w:rsidR="00BC58A0" w:rsidRPr="007A25F5">
        <w:t>river basin</w:t>
      </w:r>
      <w:r w:rsidR="0057592D" w:rsidRPr="007A25F5">
        <w:t xml:space="preserve"> to reduce PS pollutant loads from </w:t>
      </w:r>
      <w:r w:rsidR="00EA3422" w:rsidRPr="007A25F5">
        <w:t xml:space="preserve">the </w:t>
      </w:r>
      <w:r w:rsidR="00BC58A0" w:rsidRPr="007A25F5">
        <w:t>river basin</w:t>
      </w:r>
      <w:r w:rsidR="005C7C71" w:rsidRPr="007A25F5">
        <w:t xml:space="preserve"> (Figure 1).</w:t>
      </w:r>
    </w:p>
    <w:p w:rsidR="00E32DB0" w:rsidRPr="007A25F5" w:rsidRDefault="00E31038" w:rsidP="00DD2EE6">
      <w:pPr>
        <w:pStyle w:val="PaperFormattext"/>
      </w:pPr>
      <w:r w:rsidRPr="007A25F5">
        <w:t xml:space="preserve">The </w:t>
      </w:r>
      <w:r w:rsidR="00803D33" w:rsidRPr="007A25F5">
        <w:t xml:space="preserve">simulation </w:t>
      </w:r>
      <w:r w:rsidRPr="007A25F5">
        <w:t>result show that t</w:t>
      </w:r>
      <w:r w:rsidR="0057592D" w:rsidRPr="007A25F5">
        <w:t>he mean concentration</w:t>
      </w:r>
      <w:r w:rsidR="00EB0757" w:rsidRPr="007A25F5">
        <w:t>s</w:t>
      </w:r>
      <w:r w:rsidR="0057592D" w:rsidRPr="007A25F5">
        <w:t xml:space="preserve"> of T-N and T-P in the Hwaong Reservoir in</w:t>
      </w:r>
      <w:r w:rsidR="005C7C71" w:rsidRPr="007A25F5">
        <w:t>20</w:t>
      </w:r>
      <w:r w:rsidR="00712BDC" w:rsidRPr="007A25F5">
        <w:t>2</w:t>
      </w:r>
      <w:r w:rsidR="0057592D" w:rsidRPr="007A25F5">
        <w:t xml:space="preserve">2 (without-WETLAND scenario) </w:t>
      </w:r>
      <w:r w:rsidR="00EB0757" w:rsidRPr="007A25F5">
        <w:t xml:space="preserve">were </w:t>
      </w:r>
      <w:r w:rsidR="0057592D" w:rsidRPr="007A25F5">
        <w:t>predicted</w:t>
      </w:r>
      <w:r w:rsidRPr="007A25F5">
        <w:t xml:space="preserve"> to be</w:t>
      </w:r>
      <w:r w:rsidR="0057592D" w:rsidRPr="007A25F5">
        <w:t xml:space="preserve"> 2.</w:t>
      </w:r>
      <w:r w:rsidR="005B64F1" w:rsidRPr="007A25F5">
        <w:t>14</w:t>
      </w:r>
      <w:r w:rsidR="0057592D" w:rsidRPr="007A25F5">
        <w:t>and 0.1</w:t>
      </w:r>
      <w:r w:rsidR="005B64F1" w:rsidRPr="007A25F5">
        <w:t>11</w:t>
      </w:r>
      <w:r w:rsidR="0057592D" w:rsidRPr="007A25F5">
        <w:t xml:space="preserve"> mg L</w:t>
      </w:r>
      <w:r w:rsidR="00E01992" w:rsidRPr="007A25F5">
        <w:rPr>
          <w:vertAlign w:val="superscript"/>
        </w:rPr>
        <w:t>-</w:t>
      </w:r>
      <w:r w:rsidR="0057592D" w:rsidRPr="007A25F5">
        <w:rPr>
          <w:vertAlign w:val="superscript"/>
        </w:rPr>
        <w:t>1</w:t>
      </w:r>
      <w:r w:rsidR="0057592D" w:rsidRPr="007A25F5">
        <w:t>, respectively</w:t>
      </w:r>
      <w:r w:rsidRPr="007A25F5">
        <w:t xml:space="preserve">. </w:t>
      </w:r>
      <w:r w:rsidR="00C72115" w:rsidRPr="007A25F5">
        <w:t>This result mean</w:t>
      </w:r>
      <w:r w:rsidR="00E32DB0" w:rsidRPr="007A25F5">
        <w:t>s</w:t>
      </w:r>
      <w:r w:rsidR="00C72115" w:rsidRPr="007A25F5">
        <w:t xml:space="preserve"> that t</w:t>
      </w:r>
      <w:r w:rsidR="0057592D" w:rsidRPr="007A25F5">
        <w:t xml:space="preserve">he Hwaong Reservoir was predicted to be in a state of eutrophication, mainly </w:t>
      </w:r>
      <w:r w:rsidR="00C72115" w:rsidRPr="007A25F5">
        <w:t>due to</w:t>
      </w:r>
      <w:r w:rsidR="0057592D" w:rsidRPr="007A25F5">
        <w:t xml:space="preserve"> excessive pollutant loads from the </w:t>
      </w:r>
      <w:r w:rsidR="00BC58A0" w:rsidRPr="007A25F5">
        <w:t>river basin</w:t>
      </w:r>
      <w:r w:rsidR="0057592D" w:rsidRPr="007A25F5">
        <w:t>.</w:t>
      </w:r>
    </w:p>
    <w:p w:rsidR="00FD16A1" w:rsidRPr="007A25F5" w:rsidRDefault="0057592D" w:rsidP="00DD2EE6">
      <w:pPr>
        <w:pStyle w:val="PaperFormattext"/>
      </w:pPr>
      <w:r w:rsidRPr="007A25F5">
        <w:t xml:space="preserve">If 264ha </w:t>
      </w:r>
      <w:r w:rsidR="009F1DE7" w:rsidRPr="007A25F5">
        <w:t xml:space="preserve">of </w:t>
      </w:r>
      <w:r w:rsidR="00441260" w:rsidRPr="007A25F5">
        <w:t xml:space="preserve">treatment </w:t>
      </w:r>
      <w:r w:rsidRPr="007A25F5">
        <w:t xml:space="preserve">wetlands </w:t>
      </w:r>
      <w:r w:rsidR="005E53B1" w:rsidRPr="007A25F5">
        <w:t>were</w:t>
      </w:r>
      <w:r w:rsidRPr="007A25F5">
        <w:t xml:space="preserve"> constructed (</w:t>
      </w:r>
      <w:r w:rsidR="00F667A7" w:rsidRPr="007A25F5">
        <w:t xml:space="preserve">simulated by the </w:t>
      </w:r>
      <w:r w:rsidRPr="007A25F5">
        <w:t>with-WETLAND scenario),</w:t>
      </w:r>
      <w:r w:rsidR="0008130D" w:rsidRPr="007A25F5">
        <w:t xml:space="preserve"> the </w:t>
      </w:r>
      <w:r w:rsidR="00F667A7" w:rsidRPr="007A25F5">
        <w:t>predicted</w:t>
      </w:r>
      <w:r w:rsidR="00337B97" w:rsidRPr="007A25F5">
        <w:t xml:space="preserve"> concentration</w:t>
      </w:r>
      <w:r w:rsidR="00F667A7" w:rsidRPr="007A25F5">
        <w:t>s</w:t>
      </w:r>
      <w:r w:rsidR="00337B97" w:rsidRPr="007A25F5">
        <w:t xml:space="preserve">of </w:t>
      </w:r>
      <w:r w:rsidRPr="007A25F5">
        <w:t xml:space="preserve">T-N and T-P in </w:t>
      </w:r>
      <w:r w:rsidR="00F667A7" w:rsidRPr="007A25F5">
        <w:t xml:space="preserve">the </w:t>
      </w:r>
      <w:r w:rsidRPr="007A25F5">
        <w:t xml:space="preserve">Hwaong Reservoir </w:t>
      </w:r>
      <w:r w:rsidR="0008130D" w:rsidRPr="007A25F5">
        <w:t xml:space="preserve">would </w:t>
      </w:r>
      <w:r w:rsidR="009C28CF" w:rsidRPr="007A25F5">
        <w:t>be 1.</w:t>
      </w:r>
      <w:r w:rsidRPr="007A25F5">
        <w:t>9</w:t>
      </w:r>
      <w:r w:rsidR="009C28CF" w:rsidRPr="007A25F5">
        <w:t>8</w:t>
      </w:r>
      <w:r w:rsidRPr="007A25F5">
        <w:t xml:space="preserve"> and 0.</w:t>
      </w:r>
      <w:r w:rsidR="009C28CF" w:rsidRPr="007A25F5">
        <w:t>094</w:t>
      </w:r>
      <w:r w:rsidRPr="007A25F5">
        <w:t xml:space="preserve"> mgL</w:t>
      </w:r>
      <w:r w:rsidR="00E01992" w:rsidRPr="007A25F5">
        <w:rPr>
          <w:vertAlign w:val="superscript"/>
        </w:rPr>
        <w:t>-</w:t>
      </w:r>
      <w:r w:rsidRPr="007A25F5">
        <w:rPr>
          <w:vertAlign w:val="superscript"/>
        </w:rPr>
        <w:t>1</w:t>
      </w:r>
      <w:r w:rsidRPr="007A25F5">
        <w:t xml:space="preserve">, respectively. </w:t>
      </w:r>
      <w:r w:rsidR="00F667A7" w:rsidRPr="007A25F5">
        <w:t>Thus</w:t>
      </w:r>
      <w:r w:rsidR="00834218" w:rsidRPr="007A25F5">
        <w:t>,</w:t>
      </w:r>
      <w:r w:rsidR="0008130D" w:rsidRPr="007A25F5">
        <w:t xml:space="preserve"> w</w:t>
      </w:r>
      <w:r w:rsidRPr="007A25F5">
        <w:t xml:space="preserve">ater quality </w:t>
      </w:r>
      <w:r w:rsidR="00F667A7" w:rsidRPr="007A25F5">
        <w:t xml:space="preserve">was predicted to improve by </w:t>
      </w:r>
      <w:r w:rsidR="009C28CF" w:rsidRPr="007A25F5">
        <w:t>7.5</w:t>
      </w:r>
      <w:r w:rsidR="00F667A7" w:rsidRPr="007A25F5">
        <w:t xml:space="preserve">%in terms of reduced T-N </w:t>
      </w:r>
      <w:r w:rsidR="009C28CF" w:rsidRPr="007A25F5">
        <w:t xml:space="preserve">and </w:t>
      </w:r>
      <w:r w:rsidR="00F667A7" w:rsidRPr="007A25F5">
        <w:t xml:space="preserve">by </w:t>
      </w:r>
      <w:r w:rsidR="009C28CF" w:rsidRPr="007A25F5">
        <w:t>15.3</w:t>
      </w:r>
      <w:r w:rsidRPr="007A25F5">
        <w:t>%</w:t>
      </w:r>
      <w:r w:rsidR="00F667A7" w:rsidRPr="007A25F5">
        <w:t xml:space="preserve"> in terms of reduced T-P</w:t>
      </w:r>
      <w:r w:rsidR="0008130D" w:rsidRPr="007A25F5">
        <w:t xml:space="preserve"> compared to </w:t>
      </w:r>
      <w:r w:rsidR="00E32DB0" w:rsidRPr="007A25F5">
        <w:t xml:space="preserve">the </w:t>
      </w:r>
      <w:r w:rsidR="0008130D" w:rsidRPr="007A25F5">
        <w:t>without-WETLAND scenario</w:t>
      </w:r>
      <w:r w:rsidRPr="007A25F5">
        <w:t xml:space="preserve">. </w:t>
      </w:r>
      <w:r w:rsidR="00F667A7" w:rsidRPr="007A25F5">
        <w:t>These results</w:t>
      </w:r>
      <w:r w:rsidR="0008130D" w:rsidRPr="007A25F5">
        <w:t xml:space="preserve"> demonstrated that t</w:t>
      </w:r>
      <w:r w:rsidRPr="007A25F5">
        <w:t xml:space="preserve">he deterministic integrated </w:t>
      </w:r>
      <w:r w:rsidR="00E240A8" w:rsidRPr="007A25F5">
        <w:t>modelling</w:t>
      </w:r>
      <w:r w:rsidRPr="007A25F5">
        <w:t xml:space="preserve"> was useful for </w:t>
      </w:r>
      <w:r w:rsidR="0008130D" w:rsidRPr="007A25F5">
        <w:t xml:space="preserve">evaluating </w:t>
      </w:r>
      <w:r w:rsidRPr="007A25F5">
        <w:t xml:space="preserve">the impact of </w:t>
      </w:r>
      <w:r w:rsidR="00BC58A0" w:rsidRPr="007A25F5">
        <w:t>river basin</w:t>
      </w:r>
      <w:r w:rsidRPr="007A25F5">
        <w:t xml:space="preserve"> management scenarios on </w:t>
      </w:r>
      <w:r w:rsidR="0008130D" w:rsidRPr="007A25F5">
        <w:t xml:space="preserve">future </w:t>
      </w:r>
      <w:r w:rsidRPr="007A25F5">
        <w:t xml:space="preserve">water quality </w:t>
      </w:r>
      <w:r w:rsidR="00031564" w:rsidRPr="007A25F5">
        <w:t xml:space="preserve">in </w:t>
      </w:r>
      <w:r w:rsidRPr="007A25F5">
        <w:t xml:space="preserve">a future </w:t>
      </w:r>
      <w:r w:rsidR="00BC58A0" w:rsidRPr="007A25F5">
        <w:t>river basin</w:t>
      </w:r>
      <w:r w:rsidRPr="007A25F5">
        <w:t xml:space="preserve"> condition</w:t>
      </w:r>
      <w:r w:rsidR="00E32DB0" w:rsidRPr="007A25F5">
        <w:t>s</w:t>
      </w:r>
      <w:r w:rsidRPr="007A25F5">
        <w:t xml:space="preserve">. If the goal of a </w:t>
      </w:r>
      <w:r w:rsidR="00E240A8" w:rsidRPr="007A25F5">
        <w:t>modelling</w:t>
      </w:r>
      <w:r w:rsidRPr="007A25F5">
        <w:t xml:space="preserve"> study is to examine the impact of </w:t>
      </w:r>
      <w:r w:rsidR="00BC58A0" w:rsidRPr="007A25F5">
        <w:t>river basin</w:t>
      </w:r>
      <w:r w:rsidRPr="007A25F5">
        <w:t xml:space="preserve"> management scenarios on water quality of a study area, </w:t>
      </w:r>
      <w:r w:rsidR="0008130D" w:rsidRPr="007A25F5">
        <w:t xml:space="preserve">the </w:t>
      </w:r>
      <w:r w:rsidRPr="007A25F5">
        <w:t xml:space="preserve">deterministic integrated </w:t>
      </w:r>
      <w:r w:rsidR="008C128B" w:rsidRPr="007A25F5">
        <w:t>modelling system without the uncertainty analysis</w:t>
      </w:r>
      <w:r w:rsidRPr="007A25F5">
        <w:t xml:space="preserve"> may be practical.In such cases, evaluation of </w:t>
      </w:r>
      <w:r w:rsidR="00C10169" w:rsidRPr="007A25F5">
        <w:t xml:space="preserve">the </w:t>
      </w:r>
      <w:r w:rsidRPr="007A25F5">
        <w:t>impact</w:t>
      </w:r>
      <w:r w:rsidR="00C10169" w:rsidRPr="007A25F5">
        <w:t>s</w:t>
      </w:r>
      <w:r w:rsidRPr="007A25F5">
        <w:t xml:space="preserve"> of management scenarios would not be inhibited by </w:t>
      </w:r>
      <w:r w:rsidR="00C10169" w:rsidRPr="007A25F5">
        <w:t xml:space="preserve">the </w:t>
      </w:r>
      <w:r w:rsidRPr="007A25F5">
        <w:t xml:space="preserve">uncertainty of model output. </w:t>
      </w:r>
    </w:p>
    <w:p w:rsidR="0057592D" w:rsidRPr="007A25F5" w:rsidRDefault="0057592D" w:rsidP="00DD2EE6">
      <w:pPr>
        <w:pStyle w:val="PaperFormattext"/>
      </w:pPr>
    </w:p>
    <w:p w:rsidR="0057592D" w:rsidRPr="007A25F5" w:rsidRDefault="0057592D" w:rsidP="00DD2EE6">
      <w:pPr>
        <w:pStyle w:val="PaperFormattext"/>
      </w:pPr>
      <w:r w:rsidRPr="007A25F5">
        <w:t xml:space="preserve">Figure </w:t>
      </w:r>
      <w:r w:rsidR="00716CB9" w:rsidRPr="007A25F5">
        <w:t>5</w:t>
      </w:r>
      <w:r w:rsidRPr="007A25F5">
        <w:t>. Deterministic reservoir water quality prediction result without- and with-WETLAND scenario</w:t>
      </w:r>
      <w:r w:rsidR="00C040CF" w:rsidRPr="007A25F5">
        <w:t xml:space="preserve"> (i.e., the construction of treatment wetlands)</w:t>
      </w:r>
    </w:p>
    <w:p w:rsidR="0057592D" w:rsidRPr="007A25F5" w:rsidRDefault="0057592D" w:rsidP="00DD2EE6">
      <w:pPr>
        <w:pStyle w:val="PaperFormattext"/>
      </w:pPr>
    </w:p>
    <w:p w:rsidR="003C099C" w:rsidRPr="007A25F5" w:rsidRDefault="0057592D" w:rsidP="00BA3F83">
      <w:pPr>
        <w:pStyle w:val="PaperSubheadings"/>
      </w:pPr>
      <w:r w:rsidRPr="007A25F5">
        <w:t xml:space="preserve">Results of </w:t>
      </w:r>
      <w:r w:rsidR="005747E5" w:rsidRPr="007A25F5">
        <w:t>the GLUE analysis</w:t>
      </w:r>
    </w:p>
    <w:p w:rsidR="003C099C" w:rsidRPr="007A25F5" w:rsidRDefault="0057592D" w:rsidP="00DD2EE6">
      <w:pPr>
        <w:pStyle w:val="PaperFormattext"/>
      </w:pPr>
      <w:r w:rsidRPr="007A25F5">
        <w:t xml:space="preserve">Before </w:t>
      </w:r>
      <w:r w:rsidR="00C446BA" w:rsidRPr="007A25F5">
        <w:t xml:space="preserve">the model </w:t>
      </w:r>
      <w:r w:rsidRPr="007A25F5">
        <w:t>parameter uncertainty analysis</w:t>
      </w:r>
      <w:r w:rsidR="00521B37" w:rsidRPr="007A25F5">
        <w:t xml:space="preserve"> was conducted</w:t>
      </w:r>
      <w:r w:rsidRPr="007A25F5">
        <w:t xml:space="preserve">, the GLUE analysis was conducted </w:t>
      </w:r>
      <w:r w:rsidR="00521B37" w:rsidRPr="007A25F5">
        <w:t xml:space="preserve">using </w:t>
      </w:r>
      <w:r w:rsidRPr="007A25F5">
        <w:t xml:space="preserve">the sensitive parameters </w:t>
      </w:r>
      <w:r w:rsidR="00521B37" w:rsidRPr="007A25F5">
        <w:t xml:space="preserve">identified with </w:t>
      </w:r>
      <w:r w:rsidR="00E32DB0" w:rsidRPr="007A25F5">
        <w:t xml:space="preserve">the </w:t>
      </w:r>
      <w:r w:rsidRPr="007A25F5">
        <w:t>OAT sensitivity analysis technique to estimate GLUE likelihood weights and behavio</w:t>
      </w:r>
      <w:r w:rsidR="00E240A8" w:rsidRPr="007A25F5">
        <w:t>u</w:t>
      </w:r>
      <w:r w:rsidRPr="007A25F5">
        <w:t xml:space="preserve">r parameter sets. The range </w:t>
      </w:r>
      <w:r w:rsidRPr="007A25F5">
        <w:lastRenderedPageBreak/>
        <w:t xml:space="preserve">for each parameter </w:t>
      </w:r>
      <w:r w:rsidR="00C446BA" w:rsidRPr="007A25F5">
        <w:t xml:space="preserve">shown in Table </w:t>
      </w:r>
      <w:r w:rsidR="00AE7C20" w:rsidRPr="007A25F5">
        <w:t>IV</w:t>
      </w:r>
      <w:r w:rsidRPr="007A25F5">
        <w:t xml:space="preserve">was based on the range of appropriate values found in the literaturesuch as </w:t>
      </w:r>
      <w:r w:rsidR="003E5F94" w:rsidRPr="007A25F5">
        <w:t xml:space="preserve">the WASP </w:t>
      </w:r>
      <w:r w:rsidRPr="007A25F5">
        <w:t xml:space="preserve">user manual </w:t>
      </w:r>
      <w:r w:rsidR="005E3A1B" w:rsidRPr="007A25F5">
        <w:t xml:space="preserve">(Ambrose </w:t>
      </w:r>
      <w:r w:rsidR="005E3A1B" w:rsidRPr="007A25F5">
        <w:rPr>
          <w:i/>
        </w:rPr>
        <w:t>et al.</w:t>
      </w:r>
      <w:r w:rsidR="005E3A1B" w:rsidRPr="007A25F5">
        <w:t xml:space="preserve">, 1993) </w:t>
      </w:r>
      <w:r w:rsidRPr="007A25F5">
        <w:t>and other studies</w:t>
      </w:r>
      <w:r w:rsidR="00E86105" w:rsidRPr="007A25F5">
        <w:t>(USEPA, 1985</w:t>
      </w:r>
      <w:r w:rsidR="00153ECF" w:rsidRPr="007A25F5">
        <w:t xml:space="preserve">; Wu </w:t>
      </w:r>
      <w:r w:rsidR="00153ECF" w:rsidRPr="007A25F5">
        <w:rPr>
          <w:i/>
        </w:rPr>
        <w:t>et al.</w:t>
      </w:r>
      <w:r w:rsidR="00153ECF" w:rsidRPr="007A25F5">
        <w:t>, 1996</w:t>
      </w:r>
      <w:r w:rsidR="00E17DF8" w:rsidRPr="007A25F5">
        <w:t>)</w:t>
      </w:r>
      <w:r w:rsidRPr="007A25F5">
        <w:t xml:space="preserve">. A uniform distribution function over a chosen range was used to define </w:t>
      </w:r>
      <w:r w:rsidR="00C446BA" w:rsidRPr="007A25F5">
        <w:t xml:space="preserve">a </w:t>
      </w:r>
      <w:r w:rsidRPr="007A25F5">
        <w:t xml:space="preserve">standard prior distribution, and 20,000 model parameter sets were </w:t>
      </w:r>
      <w:r w:rsidR="00A31261" w:rsidRPr="007A25F5">
        <w:t xml:space="preserve">randomly </w:t>
      </w:r>
      <w:r w:rsidRPr="007A25F5">
        <w:t xml:space="preserve">generated from their specified ranges. </w:t>
      </w:r>
      <w:r w:rsidR="00E32DB0" w:rsidRPr="007A25F5">
        <w:t>By u</w:t>
      </w:r>
      <w:r w:rsidRPr="007A25F5">
        <w:t xml:space="preserve">sing parameter set, model simulations were performed for </w:t>
      </w:r>
      <w:r w:rsidR="005C7C71" w:rsidRPr="007A25F5">
        <w:t>20</w:t>
      </w:r>
      <w:r w:rsidR="008F37E6" w:rsidRPr="007A25F5">
        <w:t>12</w:t>
      </w:r>
      <w:r w:rsidRPr="007A25F5">
        <w:t xml:space="preserve"> when </w:t>
      </w:r>
      <w:r w:rsidR="00C446BA" w:rsidRPr="007A25F5">
        <w:t xml:space="preserve">observed </w:t>
      </w:r>
      <w:r w:rsidRPr="007A25F5">
        <w:t>water quality data were collected. Likelihood weights of the simulation for daily output variables w</w:t>
      </w:r>
      <w:r w:rsidR="00E32DB0" w:rsidRPr="007A25F5">
        <w:t>ere</w:t>
      </w:r>
      <w:r w:rsidRPr="007A25F5">
        <w:t xml:space="preserve"> computed by applying Eq. </w:t>
      </w:r>
      <w:r w:rsidR="00887F05" w:rsidRPr="007A25F5">
        <w:t>3</w:t>
      </w:r>
      <w:r w:rsidR="008E488E" w:rsidRPr="007A25F5">
        <w:t>,resulting in</w:t>
      </w:r>
      <w:r w:rsidRPr="007A25F5">
        <w:t xml:space="preserve">9,100 acceptable parameter sets. Likelihood weights were rescaled by dividing each </w:t>
      </w:r>
      <w:r w:rsidR="00AA3F2E" w:rsidRPr="007A25F5">
        <w:t>individual weight</w:t>
      </w:r>
      <w:r w:rsidRPr="007A25F5">
        <w:t xml:space="preserve"> by their total sum to obtain confidence interval</w:t>
      </w:r>
      <w:r w:rsidR="00E32DB0" w:rsidRPr="007A25F5">
        <w:t>s</w:t>
      </w:r>
      <w:r w:rsidR="00C446BA" w:rsidRPr="007A25F5">
        <w:t xml:space="preserve"> (CI)</w:t>
      </w:r>
      <w:r w:rsidRPr="007A25F5">
        <w:t>.</w:t>
      </w:r>
    </w:p>
    <w:p w:rsidR="0057592D" w:rsidRPr="007A25F5" w:rsidRDefault="0057592D" w:rsidP="00DD2EE6">
      <w:pPr>
        <w:pStyle w:val="PaperFormattext"/>
      </w:pPr>
    </w:p>
    <w:p w:rsidR="0057592D" w:rsidRPr="007A25F5" w:rsidRDefault="0057592D" w:rsidP="00DD2EE6">
      <w:pPr>
        <w:pStyle w:val="PaperFormattext"/>
      </w:pPr>
      <w:r w:rsidRPr="007A25F5">
        <w:t xml:space="preserve">Table </w:t>
      </w:r>
      <w:r w:rsidR="00AE7C20" w:rsidRPr="007A25F5">
        <w:t>IV</w:t>
      </w:r>
      <w:r w:rsidRPr="007A25F5">
        <w:t>. WASP model parameters used in the GLUE analysis</w:t>
      </w:r>
    </w:p>
    <w:p w:rsidR="0057592D" w:rsidRPr="007A25F5" w:rsidRDefault="0057592D" w:rsidP="00DD2EE6">
      <w:pPr>
        <w:pStyle w:val="PaperFormattext"/>
      </w:pPr>
    </w:p>
    <w:p w:rsidR="005C7C71" w:rsidRPr="007A25F5" w:rsidRDefault="00E77D5D" w:rsidP="00DD2EE6">
      <w:pPr>
        <w:pStyle w:val="PaperFormattext"/>
      </w:pPr>
      <w:r w:rsidRPr="007A25F5">
        <w:t>Observed and calibrated data, best-fit data</w:t>
      </w:r>
      <w:r w:rsidR="00CA4922" w:rsidRPr="007A25F5">
        <w:t>, and</w:t>
      </w:r>
      <w:r w:rsidR="00527DD7" w:rsidRPr="007A25F5">
        <w:t xml:space="preserve">the </w:t>
      </w:r>
      <w:r w:rsidRPr="007A25F5">
        <w:t>90% confidence interval bound</w:t>
      </w:r>
      <w:r w:rsidR="00527DD7" w:rsidRPr="007A25F5">
        <w:t>s</w:t>
      </w:r>
      <w:r w:rsidRPr="007A25F5">
        <w:t xml:space="preserve"> from </w:t>
      </w:r>
      <w:r w:rsidR="00527DD7" w:rsidRPr="007A25F5">
        <w:t xml:space="preserve">the </w:t>
      </w:r>
      <w:r w:rsidRPr="007A25F5">
        <w:t xml:space="preserve">GLUE analysis </w:t>
      </w:r>
      <w:r w:rsidR="00527DD7" w:rsidRPr="007A25F5">
        <w:t xml:space="preserve">are </w:t>
      </w:r>
      <w:r w:rsidRPr="007A25F5">
        <w:t xml:space="preserve">shown in Figure </w:t>
      </w:r>
      <w:r w:rsidR="00716CB9" w:rsidRPr="007A25F5">
        <w:t>6</w:t>
      </w:r>
      <w:r w:rsidRPr="007A25F5">
        <w:t xml:space="preserve"> and Table </w:t>
      </w:r>
      <w:r w:rsidR="00AE7C20" w:rsidRPr="007A25F5">
        <w:t>V</w:t>
      </w:r>
      <w:r w:rsidRPr="007A25F5">
        <w:t xml:space="preserve">. </w:t>
      </w:r>
      <w:r w:rsidR="00F054DC" w:rsidRPr="007A25F5">
        <w:t xml:space="preserve">Lower and upper bounds of range (90% CI) in Table </w:t>
      </w:r>
      <w:r w:rsidR="00AE7C20" w:rsidRPr="007A25F5">
        <w:t>V</w:t>
      </w:r>
      <w:r w:rsidR="00F054DC" w:rsidRPr="007A25F5">
        <w:t xml:space="preserve"> refer to </w:t>
      </w:r>
      <w:r w:rsidR="00E32DB0" w:rsidRPr="007A25F5">
        <w:t xml:space="preserve">the </w:t>
      </w:r>
      <w:r w:rsidR="00F054DC" w:rsidRPr="007A25F5">
        <w:t xml:space="preserve">5th and 95th percentiles of the cumulative likelihoods, respectively, while the median represents the 50th percentile. </w:t>
      </w:r>
      <w:r w:rsidR="00527DD7" w:rsidRPr="007A25F5">
        <w:t xml:space="preserve">Data in </w:t>
      </w:r>
      <w:r w:rsidR="00D10D0D" w:rsidRPr="007A25F5">
        <w:t>Table</w:t>
      </w:r>
      <w:r w:rsidR="00AE7C20" w:rsidRPr="007A25F5">
        <w:t>V</w:t>
      </w:r>
      <w:r w:rsidR="00527DD7" w:rsidRPr="007A25F5">
        <w:t xml:space="preserve"> highlight an</w:t>
      </w:r>
      <w:r w:rsidR="00651C21" w:rsidRPr="007A25F5">
        <w:t xml:space="preserve"> interesting </w:t>
      </w:r>
      <w:r w:rsidR="00270CFD" w:rsidRPr="007A25F5">
        <w:t>observation</w:t>
      </w:r>
      <w:r w:rsidR="00651C21" w:rsidRPr="007A25F5">
        <w:t xml:space="preserve"> that</w:t>
      </w:r>
      <w:r w:rsidR="00D10D0D" w:rsidRPr="007A25F5">
        <w:t xml:space="preserve"> the </w:t>
      </w:r>
      <w:r w:rsidR="00270CFD" w:rsidRPr="007A25F5">
        <w:t xml:space="preserve">GLUE </w:t>
      </w:r>
      <w:r w:rsidR="00D10D0D" w:rsidRPr="007A25F5">
        <w:t xml:space="preserve">method estimated the NSE value of best-fit parameter sets </w:t>
      </w:r>
      <w:r w:rsidR="002327A1" w:rsidRPr="007A25F5">
        <w:t>to be</w:t>
      </w:r>
      <w:r w:rsidR="00D10D0D" w:rsidRPr="007A25F5">
        <w:t xml:space="preserve"> higher than the deterministic model estimates for both T-N and T-P concentration. For example, the NSE value of best-fit parameter sets obtained from the GLUE method for the T-N concentration was 0.845</w:t>
      </w:r>
      <w:r w:rsidR="00080B3D" w:rsidRPr="007A25F5">
        <w:t xml:space="preserve"> mg L</w:t>
      </w:r>
      <w:r w:rsidR="00080B3D" w:rsidRPr="007A25F5">
        <w:rPr>
          <w:vertAlign w:val="superscript"/>
        </w:rPr>
        <w:t>-1</w:t>
      </w:r>
      <w:r w:rsidR="00D10D0D" w:rsidRPr="007A25F5">
        <w:t>, compared to 0.832</w:t>
      </w:r>
      <w:r w:rsidR="00080B3D" w:rsidRPr="007A25F5">
        <w:t xml:space="preserve"> mg L</w:t>
      </w:r>
      <w:r w:rsidR="00080B3D" w:rsidRPr="007A25F5">
        <w:rPr>
          <w:vertAlign w:val="superscript"/>
        </w:rPr>
        <w:t>-1</w:t>
      </w:r>
      <w:r w:rsidR="00D10D0D" w:rsidRPr="007A25F5">
        <w:t xml:space="preserve"> from the deterministic model</w:t>
      </w:r>
      <w:r w:rsidR="00081FDF" w:rsidRPr="007A25F5">
        <w:t>ling</w:t>
      </w:r>
      <w:r w:rsidR="00D10D0D" w:rsidRPr="007A25F5">
        <w:t>.</w:t>
      </w:r>
      <w:r w:rsidR="00806A81" w:rsidRPr="007A25F5">
        <w:t>This</w:t>
      </w:r>
      <w:r w:rsidR="00FE1CFE" w:rsidRPr="007A25F5">
        <w:t xml:space="preserve"> result</w:t>
      </w:r>
      <w:r w:rsidR="00651C21" w:rsidRPr="007A25F5">
        <w:t xml:space="preserve"> demonstrat</w:t>
      </w:r>
      <w:r w:rsidR="00B317C8" w:rsidRPr="007A25F5">
        <w:t>e</w:t>
      </w:r>
      <w:r w:rsidR="00E32DB0" w:rsidRPr="007A25F5">
        <w:t>s</w:t>
      </w:r>
      <w:r w:rsidR="00806A81" w:rsidRPr="007A25F5">
        <w:t xml:space="preserve">that even though the model </w:t>
      </w:r>
      <w:r w:rsidR="00C60E97" w:rsidRPr="007A25F5">
        <w:t>was</w:t>
      </w:r>
      <w:r w:rsidR="00806A81" w:rsidRPr="007A25F5">
        <w:t xml:space="preserve"> well calibrated with the observed data set, there </w:t>
      </w:r>
      <w:r w:rsidR="00C60E97" w:rsidRPr="007A25F5">
        <w:t xml:space="preserve">could exist </w:t>
      </w:r>
      <w:r w:rsidR="00806A81" w:rsidRPr="007A25F5">
        <w:t>other better parameter sets</w:t>
      </w:r>
      <w:r w:rsidR="00C60E97" w:rsidRPr="007A25F5">
        <w:t xml:space="preserve"> (i.e., </w:t>
      </w:r>
      <w:r w:rsidR="00024284" w:rsidRPr="007A25F5">
        <w:t xml:space="preserve">sets </w:t>
      </w:r>
      <w:r w:rsidR="00806A81" w:rsidRPr="007A25F5">
        <w:t xml:space="preserve">havinghigher NSE </w:t>
      </w:r>
      <w:r w:rsidR="00A031BA" w:rsidRPr="007A25F5">
        <w:t>value</w:t>
      </w:r>
      <w:r w:rsidR="00C60E97" w:rsidRPr="007A25F5">
        <w:t>s)</w:t>
      </w:r>
      <w:r w:rsidR="00A031BA" w:rsidRPr="007A25F5">
        <w:t xml:space="preserve">, </w:t>
      </w:r>
      <w:r w:rsidR="00651C21" w:rsidRPr="007A25F5">
        <w:t>indicating</w:t>
      </w:r>
      <w:r w:rsidR="00A031BA" w:rsidRPr="007A25F5">
        <w:t xml:space="preserve"> that deterministic model</w:t>
      </w:r>
      <w:r w:rsidR="00081FDF" w:rsidRPr="007A25F5">
        <w:t>ling</w:t>
      </w:r>
      <w:r w:rsidR="00651C21" w:rsidRPr="007A25F5">
        <w:t>can have</w:t>
      </w:r>
      <w:r w:rsidR="001264E5" w:rsidRPr="007A25F5">
        <w:t xml:space="preserve"> possibly</w:t>
      </w:r>
      <w:r w:rsidR="00A031BA" w:rsidRPr="007A25F5">
        <w:t xml:space="preserve"> a risk to over</w:t>
      </w:r>
      <w:r w:rsidR="005E2F24" w:rsidRPr="007A25F5">
        <w:t>-</w:t>
      </w:r>
      <w:r w:rsidR="00A031BA" w:rsidRPr="007A25F5">
        <w:t xml:space="preserve"> or under</w:t>
      </w:r>
      <w:r w:rsidR="005E2F24" w:rsidRPr="007A25F5">
        <w:t>-</w:t>
      </w:r>
      <w:r w:rsidR="00A031BA" w:rsidRPr="007A25F5">
        <w:t>estimat</w:t>
      </w:r>
      <w:r w:rsidR="00E32DB0" w:rsidRPr="007A25F5">
        <w:t>ing</w:t>
      </w:r>
      <w:r w:rsidR="00A031BA" w:rsidRPr="007A25F5">
        <w:t xml:space="preserve"> the future water quality</w:t>
      </w:r>
      <w:r w:rsidR="00C60E97" w:rsidRPr="007A25F5">
        <w:t xml:space="preserve"> in </w:t>
      </w:r>
      <w:r w:rsidR="001264E5" w:rsidRPr="007A25F5">
        <w:t>some</w:t>
      </w:r>
      <w:r w:rsidR="00C60E97" w:rsidRPr="007A25F5">
        <w:t xml:space="preserve"> cases</w:t>
      </w:r>
      <w:r w:rsidR="00A031BA" w:rsidRPr="007A25F5">
        <w:t>.</w:t>
      </w:r>
    </w:p>
    <w:p w:rsidR="00806A81" w:rsidRPr="007A25F5" w:rsidRDefault="00C60E97" w:rsidP="00DD2EE6">
      <w:pPr>
        <w:pStyle w:val="PaperFormattext"/>
        <w:rPr>
          <w:highlight w:val="yellow"/>
        </w:rPr>
      </w:pPr>
      <w:r w:rsidRPr="007A25F5">
        <w:t>The concentration</w:t>
      </w:r>
      <w:r w:rsidR="009A672B" w:rsidRPr="007A25F5">
        <w:t>s</w:t>
      </w:r>
      <w:r w:rsidRPr="007A25F5">
        <w:t xml:space="preserve"> for T-N and T-P </w:t>
      </w:r>
      <w:r w:rsidR="009A672B" w:rsidRPr="007A25F5">
        <w:t xml:space="preserve">reported in </w:t>
      </w:r>
      <w:r w:rsidR="00651C21" w:rsidRPr="007A25F5">
        <w:t xml:space="preserve">Table </w:t>
      </w:r>
      <w:r w:rsidR="00AE7C20" w:rsidRPr="007A25F5">
        <w:t>V</w:t>
      </w:r>
      <w:r w:rsidRPr="007A25F5">
        <w:t>show</w:t>
      </w:r>
      <w:r w:rsidR="00651C21" w:rsidRPr="007A25F5">
        <w:t>ed</w:t>
      </w:r>
      <w:r w:rsidRPr="007A25F5">
        <w:t xml:space="preserve"> that the </w:t>
      </w:r>
      <w:r w:rsidR="00651C21" w:rsidRPr="007A25F5">
        <w:t>predicted</w:t>
      </w:r>
      <w:r w:rsidR="00D86DB3" w:rsidRPr="007A25F5">
        <w:t>concentrations from the GLUE method were</w:t>
      </w:r>
      <w:r w:rsidRPr="007A25F5">
        <w:t xml:space="preserve"> lower than</w:t>
      </w:r>
      <w:r w:rsidR="00D86DB3" w:rsidRPr="007A25F5">
        <w:t xml:space="preserve"> those from the deterministic model</w:t>
      </w:r>
      <w:r w:rsidR="00D953F7" w:rsidRPr="007A25F5">
        <w:t>ling</w:t>
      </w:r>
      <w:r w:rsidR="00D86DB3" w:rsidRPr="007A25F5">
        <w:t>.</w:t>
      </w:r>
      <w:r w:rsidR="00CD0F6F" w:rsidRPr="007A25F5">
        <w:t>The concentration</w:t>
      </w:r>
      <w:r w:rsidR="009A672B" w:rsidRPr="007A25F5">
        <w:t>s</w:t>
      </w:r>
      <w:r w:rsidR="00CD0F6F" w:rsidRPr="007A25F5">
        <w:t xml:space="preserve"> of T-N and T-P from the GLUE method </w:t>
      </w:r>
      <w:r w:rsidR="009A672B" w:rsidRPr="007A25F5">
        <w:t xml:space="preserve">were </w:t>
      </w:r>
      <w:r w:rsidR="00CD0F6F" w:rsidRPr="007A25F5">
        <w:t xml:space="preserve">predicted </w:t>
      </w:r>
      <w:r w:rsidR="009A672B" w:rsidRPr="007A25F5">
        <w:t xml:space="preserve">to be </w:t>
      </w:r>
      <w:r w:rsidR="00CD0F6F" w:rsidRPr="007A25F5">
        <w:t xml:space="preserve">0.67 </w:t>
      </w:r>
      <w:r w:rsidR="00651C21" w:rsidRPr="007A25F5">
        <w:t xml:space="preserve">and </w:t>
      </w:r>
      <w:r w:rsidR="00CD0F6F" w:rsidRPr="007A25F5">
        <w:t>0.045 mg L</w:t>
      </w:r>
      <w:r w:rsidR="00CD0F6F" w:rsidRPr="007A25F5">
        <w:rPr>
          <w:vertAlign w:val="superscript"/>
        </w:rPr>
        <w:t>-1</w:t>
      </w:r>
      <w:r w:rsidR="0004655F" w:rsidRPr="007A25F5">
        <w:t xml:space="preserve"> respectively,</w:t>
      </w:r>
      <w:r w:rsidR="00CD0F6F" w:rsidRPr="007A25F5">
        <w:t>compared to 0.76and 0.049 mg L</w:t>
      </w:r>
      <w:r w:rsidR="00CD0F6F" w:rsidRPr="007A25F5">
        <w:rPr>
          <w:vertAlign w:val="superscript"/>
        </w:rPr>
        <w:t>-1</w:t>
      </w:r>
      <w:r w:rsidR="0015776E" w:rsidRPr="007A25F5">
        <w:t xml:space="preserve">, respectively, </w:t>
      </w:r>
      <w:r w:rsidR="00CD0F6F" w:rsidRPr="007A25F5">
        <w:t>from the deterministic model</w:t>
      </w:r>
      <w:r w:rsidR="00172728" w:rsidRPr="007A25F5">
        <w:t>ling</w:t>
      </w:r>
      <w:r w:rsidR="00CD0F6F" w:rsidRPr="007A25F5">
        <w:t xml:space="preserve">. </w:t>
      </w:r>
      <w:r w:rsidR="00FE1CFE" w:rsidRPr="007A25F5">
        <w:t xml:space="preserve">This result indicates that </w:t>
      </w:r>
      <w:r w:rsidR="00F72602" w:rsidRPr="007A25F5">
        <w:t>deterministic</w:t>
      </w:r>
      <w:r w:rsidR="00FE1CFE" w:rsidRPr="007A25F5">
        <w:t xml:space="preserve"> model</w:t>
      </w:r>
      <w:r w:rsidR="00172728" w:rsidRPr="007A25F5">
        <w:t>ling</w:t>
      </w:r>
      <w:r w:rsidR="00FE1CFE" w:rsidRPr="007A25F5">
        <w:t xml:space="preserve"> can be </w:t>
      </w:r>
      <w:r w:rsidR="004A6828" w:rsidRPr="007A25F5">
        <w:t xml:space="preserve">well fit for the purpose </w:t>
      </w:r>
      <w:r w:rsidR="00540039" w:rsidRPr="007A25F5">
        <w:t>of predicting</w:t>
      </w:r>
      <w:r w:rsidR="00FE1CFE" w:rsidRPr="007A25F5">
        <w:t xml:space="preserve"> future w</w:t>
      </w:r>
      <w:r w:rsidR="00DE16DA" w:rsidRPr="007A25F5">
        <w:t>ater</w:t>
      </w:r>
      <w:r w:rsidR="00FE1CFE" w:rsidRPr="007A25F5">
        <w:t xml:space="preserve"> quality</w:t>
      </w:r>
      <w:r w:rsidR="00DE16DA" w:rsidRPr="007A25F5">
        <w:t>. Due to uncertainty associated with model parameters and other inputs,</w:t>
      </w:r>
      <w:r w:rsidR="00F72602" w:rsidRPr="007A25F5">
        <w:t xml:space="preserve"> however, it is necessary </w:t>
      </w:r>
      <w:r w:rsidR="001D25A3" w:rsidRPr="007A25F5">
        <w:t xml:space="preserve">that </w:t>
      </w:r>
      <w:r w:rsidR="00DE16DA" w:rsidRPr="007A25F5">
        <w:t xml:space="preserve">the </w:t>
      </w:r>
      <w:r w:rsidR="00F72602" w:rsidRPr="007A25F5">
        <w:t xml:space="preserve">model incorporate uncertainty analysis </w:t>
      </w:r>
      <w:r w:rsidR="00C435C9" w:rsidRPr="007A25F5">
        <w:t>when</w:t>
      </w:r>
      <w:r w:rsidR="00DE16DA" w:rsidRPr="007A25F5">
        <w:t xml:space="preserve">the model is applied to </w:t>
      </w:r>
      <w:r w:rsidR="00F72602" w:rsidRPr="007A25F5">
        <w:t>evaluate</w:t>
      </w:r>
      <w:r w:rsidR="00DE16DA" w:rsidRPr="007A25F5">
        <w:t xml:space="preserve"> the</w:t>
      </w:r>
      <w:r w:rsidR="00975D90" w:rsidRPr="007A25F5">
        <w:t xml:space="preserve"> ability of a</w:t>
      </w:r>
      <w:r w:rsidR="00BC58A0" w:rsidRPr="007A25F5">
        <w:t>river basin</w:t>
      </w:r>
      <w:r w:rsidR="00DE16DA" w:rsidRPr="007A25F5">
        <w:t xml:space="preserve"> management plan to meet </w:t>
      </w:r>
      <w:r w:rsidR="002D3ADD" w:rsidRPr="007A25F5">
        <w:t xml:space="preserve">a </w:t>
      </w:r>
      <w:r w:rsidR="00DE16DA" w:rsidRPr="007A25F5">
        <w:t>specific water quality standard.</w:t>
      </w:r>
      <w:r w:rsidR="00F72602" w:rsidRPr="007A25F5">
        <w:t>Therefore</w:t>
      </w:r>
      <w:r w:rsidR="00DE16DA" w:rsidRPr="007A25F5">
        <w:t xml:space="preserve">, estimated GLUE likelihood weights and behaviour parameter sets </w:t>
      </w:r>
      <w:r w:rsidR="00D65889" w:rsidRPr="007A25F5">
        <w:lastRenderedPageBreak/>
        <w:t xml:space="preserve">linked with the integrated modelling system </w:t>
      </w:r>
      <w:r w:rsidR="00DE16DA" w:rsidRPr="007A25F5">
        <w:t>were used for the uncertainty analysis of model parameters</w:t>
      </w:r>
      <w:r w:rsidR="004A6828" w:rsidRPr="007A25F5">
        <w:t xml:space="preserve"> and other inputs</w:t>
      </w:r>
      <w:r w:rsidR="00DE16DA" w:rsidRPr="007A25F5">
        <w:t>.</w:t>
      </w:r>
      <w:r w:rsidR="00A94168" w:rsidRPr="007A25F5">
        <w:t>T</w:t>
      </w:r>
      <w:r w:rsidR="00D86DB3" w:rsidRPr="007A25F5">
        <w:t xml:space="preserve">he </w:t>
      </w:r>
      <w:r w:rsidR="00A94168" w:rsidRPr="007A25F5">
        <w:t>integrated modelling system under uncertainty is</w:t>
      </w:r>
      <w:r w:rsidR="00D86DB3" w:rsidRPr="007A25F5">
        <w:t xml:space="preserve"> possibly more reliable at predicting the future water quality.</w:t>
      </w:r>
    </w:p>
    <w:p w:rsidR="00213ED7" w:rsidRPr="007A25F5" w:rsidRDefault="00213ED7" w:rsidP="00DD2EE6">
      <w:pPr>
        <w:pStyle w:val="PaperFormattext"/>
      </w:pPr>
    </w:p>
    <w:p w:rsidR="00E77D5D" w:rsidRPr="007A25F5" w:rsidRDefault="00E77D5D" w:rsidP="00DD2EE6">
      <w:pPr>
        <w:pStyle w:val="PaperFormattext"/>
      </w:pPr>
      <w:r w:rsidRPr="007A25F5">
        <w:t xml:space="preserve">Figure </w:t>
      </w:r>
      <w:r w:rsidR="00716CB9" w:rsidRPr="007A25F5">
        <w:t>6</w:t>
      </w:r>
      <w:r w:rsidRPr="007A25F5">
        <w:t>. Model output probability distribution resulting from WASP model parameter</w:t>
      </w:r>
      <w:r w:rsidR="004F53FE" w:rsidRPr="007A25F5">
        <w:t>s</w:t>
      </w:r>
    </w:p>
    <w:p w:rsidR="00E77D5D" w:rsidRPr="007A25F5" w:rsidRDefault="00E77D5D" w:rsidP="00DD2EE6">
      <w:pPr>
        <w:pStyle w:val="PaperFormattext"/>
      </w:pPr>
    </w:p>
    <w:p w:rsidR="00E77D5D" w:rsidRPr="007A25F5" w:rsidRDefault="00E77D5D" w:rsidP="00DD2EE6">
      <w:pPr>
        <w:pStyle w:val="PaperFormattext"/>
      </w:pPr>
      <w:r w:rsidRPr="007A25F5">
        <w:t xml:space="preserve">Table </w:t>
      </w:r>
      <w:r w:rsidR="00AE7C20" w:rsidRPr="007A25F5">
        <w:t>V</w:t>
      </w:r>
      <w:r w:rsidR="00936DCF" w:rsidRPr="007A25F5">
        <w:t>.</w:t>
      </w:r>
      <w:r w:rsidRPr="007A25F5">
        <w:t xml:space="preserve"> Summary of the GLUE analysis result</w:t>
      </w:r>
    </w:p>
    <w:p w:rsidR="00E77D5D" w:rsidRPr="007A25F5" w:rsidRDefault="00E77D5D" w:rsidP="00DD2EE6">
      <w:pPr>
        <w:pStyle w:val="PaperFormattext"/>
      </w:pPr>
    </w:p>
    <w:p w:rsidR="00C56A37" w:rsidRPr="007A25F5" w:rsidRDefault="00C56A37" w:rsidP="00BA3F83">
      <w:pPr>
        <w:pStyle w:val="PaperSubheadings"/>
      </w:pPr>
      <w:r w:rsidRPr="007A25F5">
        <w:t xml:space="preserve">Results of </w:t>
      </w:r>
      <w:r w:rsidR="002C2DBE" w:rsidRPr="007A25F5">
        <w:t xml:space="preserve">the </w:t>
      </w:r>
      <w:r w:rsidRPr="007A25F5">
        <w:t>integrated modelling system with the uncertainty analysis</w:t>
      </w:r>
    </w:p>
    <w:p w:rsidR="00F602DD" w:rsidRPr="007A25F5" w:rsidRDefault="00D919C5" w:rsidP="00DD2EE6">
      <w:pPr>
        <w:pStyle w:val="PaperFormattext"/>
        <w:rPr>
          <w:strike/>
        </w:rPr>
      </w:pPr>
      <w:r w:rsidRPr="007A25F5">
        <w:t>GLUE and Monte Carlo simulation</w:t>
      </w:r>
      <w:r w:rsidR="00E32DB0" w:rsidRPr="007A25F5">
        <w:t>s</w:t>
      </w:r>
      <w:r w:rsidRPr="007A25F5">
        <w:t xml:space="preserve"> were performed to evaluate the effects of model parameters and future behaviour uncertainty (particularly climate data and predicted PS pollutant loads) on the output, respectively. </w:t>
      </w:r>
      <w:r w:rsidR="00667EF5" w:rsidRPr="007A25F5">
        <w:t xml:space="preserve">Figure 7 shows cumulative likelihood distributions of three uncertainty sources </w:t>
      </w:r>
      <w:r w:rsidR="005B262C" w:rsidRPr="007A25F5">
        <w:t xml:space="preserve">in simulations </w:t>
      </w:r>
      <w:r w:rsidR="00667EF5" w:rsidRPr="007A25F5">
        <w:t>without the treatment wetland construction scenario (with</w:t>
      </w:r>
      <w:r w:rsidR="00CC7822" w:rsidRPr="007A25F5">
        <w:t>out</w:t>
      </w:r>
      <w:r w:rsidR="00667EF5" w:rsidRPr="007A25F5">
        <w:t xml:space="preserve">-WETLAND) in the integrated modelling system </w:t>
      </w:r>
      <w:r w:rsidR="005E73C2" w:rsidRPr="007A25F5">
        <w:t>(</w:t>
      </w:r>
      <w:r w:rsidR="00667EF5" w:rsidRPr="007A25F5">
        <w:t>Figure 2</w:t>
      </w:r>
      <w:r w:rsidR="005E73C2" w:rsidRPr="007A25F5">
        <w:t>)</w:t>
      </w:r>
      <w:r w:rsidR="00667EF5" w:rsidRPr="007A25F5">
        <w:t xml:space="preserve">. </w:t>
      </w:r>
      <w:r w:rsidR="006826CB" w:rsidRPr="007A25F5">
        <w:t>All</w:t>
      </w:r>
      <w:r w:rsidR="00667EF5" w:rsidRPr="007A25F5">
        <w:t xml:space="preserve"> three uncertainty sources largely affect the model output. Among </w:t>
      </w:r>
      <w:r w:rsidR="001A60D0" w:rsidRPr="007A25F5">
        <w:t xml:space="preserve">the </w:t>
      </w:r>
      <w:r w:rsidR="00667EF5" w:rsidRPr="007A25F5">
        <w:t>three uncertainty sources, the model parameter uncertainty was the most significant contributor to overall output uncertainty, compared to the uncertainty of climate data and predicted PS loads.</w:t>
      </w:r>
    </w:p>
    <w:p w:rsidR="00F602DD" w:rsidRPr="007A25F5" w:rsidRDefault="00F602DD" w:rsidP="00DD2EE6">
      <w:pPr>
        <w:pStyle w:val="PaperFormattext"/>
      </w:pPr>
    </w:p>
    <w:p w:rsidR="00F602DD" w:rsidRPr="007A25F5" w:rsidRDefault="00F602DD" w:rsidP="00DD2EE6">
      <w:pPr>
        <w:pStyle w:val="PaperFormattext"/>
      </w:pPr>
      <w:r w:rsidRPr="007A25F5">
        <w:t xml:space="preserve">Figure </w:t>
      </w:r>
      <w:r w:rsidR="00716CB9" w:rsidRPr="007A25F5">
        <w:t>7</w:t>
      </w:r>
      <w:r w:rsidRPr="007A25F5">
        <w:t>. Model output probability distribution resulting from various uncertainty sources</w:t>
      </w:r>
    </w:p>
    <w:p w:rsidR="00F602DD" w:rsidRPr="007A25F5" w:rsidRDefault="00F602DD" w:rsidP="00DD2EE6">
      <w:pPr>
        <w:pStyle w:val="PaperFormattext"/>
      </w:pPr>
    </w:p>
    <w:p w:rsidR="00F602DD" w:rsidRPr="007A25F5" w:rsidRDefault="00F602DD" w:rsidP="00DD2EE6">
      <w:pPr>
        <w:pStyle w:val="PaperFormattext"/>
      </w:pPr>
      <w:r w:rsidRPr="007A25F5">
        <w:t xml:space="preserve">Figure </w:t>
      </w:r>
      <w:r w:rsidR="00716CB9" w:rsidRPr="007A25F5">
        <w:t>8</w:t>
      </w:r>
      <w:r w:rsidRPr="007A25F5">
        <w:t>. Comparison of confidence intervals among various uncertainty sources</w:t>
      </w:r>
    </w:p>
    <w:p w:rsidR="00F602DD" w:rsidRPr="007A25F5" w:rsidRDefault="00F602DD" w:rsidP="00DD2EE6">
      <w:pPr>
        <w:pStyle w:val="PaperFormattext"/>
      </w:pPr>
    </w:p>
    <w:p w:rsidR="00897436" w:rsidRPr="007A25F5" w:rsidRDefault="00B02E67" w:rsidP="00DD2EE6">
      <w:pPr>
        <w:pStyle w:val="PaperFormattext"/>
      </w:pPr>
      <w:r w:rsidRPr="007A25F5">
        <w:t xml:space="preserve">From the cumulative distribution of each uncertainty source (Figure </w:t>
      </w:r>
      <w:r w:rsidR="00716CB9" w:rsidRPr="007A25F5">
        <w:t>7</w:t>
      </w:r>
      <w:r w:rsidRPr="007A25F5">
        <w:t>), 90% confidence intervals</w:t>
      </w:r>
      <w:r w:rsidR="00630956" w:rsidRPr="007A25F5">
        <w:t xml:space="preserve"> (from 5</w:t>
      </w:r>
      <w:r w:rsidR="002C2DBE" w:rsidRPr="007A25F5">
        <w:t>th</w:t>
      </w:r>
      <w:r w:rsidR="00630956" w:rsidRPr="007A25F5">
        <w:t xml:space="preserve"> to 95</w:t>
      </w:r>
      <w:r w:rsidR="002C2DBE" w:rsidRPr="007A25F5">
        <w:t>th</w:t>
      </w:r>
      <w:r w:rsidR="000B209C" w:rsidRPr="007A25F5">
        <w:t xml:space="preserve">percentiles </w:t>
      </w:r>
      <w:r w:rsidR="00630956" w:rsidRPr="007A25F5">
        <w:t xml:space="preserve">of </w:t>
      </w:r>
      <w:r w:rsidR="000B209C" w:rsidRPr="007A25F5">
        <w:t xml:space="preserve">the </w:t>
      </w:r>
      <w:r w:rsidR="00630956" w:rsidRPr="007A25F5">
        <w:t>cumulative distribution)</w:t>
      </w:r>
      <w:r w:rsidR="000B209C" w:rsidRPr="007A25F5">
        <w:t>were estimated (</w:t>
      </w:r>
      <w:r w:rsidR="007E3BD6" w:rsidRPr="007A25F5">
        <w:t xml:space="preserve">Figure </w:t>
      </w:r>
      <w:r w:rsidR="00716CB9" w:rsidRPr="007A25F5">
        <w:t>8</w:t>
      </w:r>
      <w:r w:rsidR="000B209C" w:rsidRPr="007A25F5">
        <w:t>)</w:t>
      </w:r>
      <w:r w:rsidRPr="007A25F5">
        <w:t>.</w:t>
      </w:r>
      <w:r w:rsidR="007E3BD6" w:rsidRPr="007A25F5">
        <w:t xml:space="preserve">Figure </w:t>
      </w:r>
      <w:r w:rsidR="00716CB9" w:rsidRPr="007A25F5">
        <w:t>8</w:t>
      </w:r>
      <w:r w:rsidR="007E3BD6" w:rsidRPr="007A25F5">
        <w:t xml:space="preserve"> show</w:t>
      </w:r>
      <w:r w:rsidR="00897436" w:rsidRPr="007A25F5">
        <w:t>s</w:t>
      </w:r>
      <w:r w:rsidR="007E3BD6" w:rsidRPr="007A25F5">
        <w:t xml:space="preserve"> that t</w:t>
      </w:r>
      <w:r w:rsidRPr="007A25F5">
        <w:t>he</w:t>
      </w:r>
      <w:r w:rsidR="0027653C" w:rsidRPr="007A25F5">
        <w:t xml:space="preserve"> concentration</w:t>
      </w:r>
      <w:r w:rsidR="00212151" w:rsidRPr="007A25F5">
        <w:t>s</w:t>
      </w:r>
      <w:r w:rsidR="0027653C" w:rsidRPr="007A25F5">
        <w:t xml:space="preserve"> of </w:t>
      </w:r>
      <w:r w:rsidRPr="007A25F5">
        <w:t xml:space="preserve">T-N and T-P </w:t>
      </w:r>
      <w:r w:rsidR="004042DD" w:rsidRPr="007A25F5">
        <w:t>in</w:t>
      </w:r>
      <w:r w:rsidR="00212151" w:rsidRPr="007A25F5">
        <w:t xml:space="preserve">the </w:t>
      </w:r>
      <w:r w:rsidRPr="007A25F5">
        <w:t xml:space="preserve">Hwaong Reservoir </w:t>
      </w:r>
      <w:r w:rsidR="002C52B4" w:rsidRPr="007A25F5">
        <w:t>would be in the range of 1.30</w:t>
      </w:r>
      <w:r w:rsidR="000C3279" w:rsidRPr="007A25F5">
        <w:t>–</w:t>
      </w:r>
      <w:r w:rsidR="002C52B4" w:rsidRPr="007A25F5">
        <w:t>3.16</w:t>
      </w:r>
      <w:r w:rsidR="004C633C" w:rsidRPr="007A25F5">
        <w:t>mg L</w:t>
      </w:r>
      <w:r w:rsidR="004C633C" w:rsidRPr="007A25F5">
        <w:rPr>
          <w:vertAlign w:val="superscript"/>
        </w:rPr>
        <w:t>-1</w:t>
      </w:r>
      <w:r w:rsidR="002C52B4" w:rsidRPr="007A25F5">
        <w:t>and 0.091</w:t>
      </w:r>
      <w:r w:rsidR="000C3279" w:rsidRPr="007A25F5">
        <w:t>–</w:t>
      </w:r>
      <w:r w:rsidR="002C52B4" w:rsidRPr="007A25F5">
        <w:t>0.173</w:t>
      </w:r>
      <w:r w:rsidR="004C633C" w:rsidRPr="007A25F5">
        <w:t xml:space="preserve"> mg L</w:t>
      </w:r>
      <w:r w:rsidR="004C633C" w:rsidRPr="007A25F5">
        <w:rPr>
          <w:vertAlign w:val="superscript"/>
        </w:rPr>
        <w:t>-1</w:t>
      </w:r>
      <w:r w:rsidR="004C633C" w:rsidRPr="007A25F5">
        <w:t>, respectively,</w:t>
      </w:r>
      <w:r w:rsidR="002C52B4" w:rsidRPr="007A25F5">
        <w:t xml:space="preserve"> with a 90% probability without the wetland construction scenario (without-WETLAND)</w:t>
      </w:r>
      <w:r w:rsidR="00FC1E1C" w:rsidRPr="007A25F5">
        <w:t xml:space="preserve"> under combined uncertainty sources</w:t>
      </w:r>
      <w:r w:rsidR="002C52B4" w:rsidRPr="007A25F5">
        <w:t>.</w:t>
      </w:r>
    </w:p>
    <w:p w:rsidR="00213ED7" w:rsidRPr="007A25F5" w:rsidRDefault="00B13B4A" w:rsidP="00DD2EE6">
      <w:pPr>
        <w:pStyle w:val="PaperFormattext"/>
      </w:pPr>
      <w:r w:rsidRPr="007A25F5">
        <w:t>The simulations</w:t>
      </w:r>
      <w:r w:rsidR="007D296B" w:rsidRPr="007A25F5">
        <w:t xml:space="preserve"> predicted that the concentration</w:t>
      </w:r>
      <w:r w:rsidRPr="007A25F5">
        <w:t>s</w:t>
      </w:r>
      <w:r w:rsidR="007D296B" w:rsidRPr="007A25F5">
        <w:t xml:space="preserve"> of T-N and T-P in the Hwaong Reservoir would be less than 2.84 and 0.163 mg L</w:t>
      </w:r>
      <w:r w:rsidR="007D296B" w:rsidRPr="007A25F5">
        <w:rPr>
          <w:vertAlign w:val="superscript"/>
        </w:rPr>
        <w:t>-1</w:t>
      </w:r>
      <w:r w:rsidR="006D365D" w:rsidRPr="007A25F5">
        <w:t xml:space="preserve">, respectively, with 90% confidence </w:t>
      </w:r>
      <w:r w:rsidR="00B90965" w:rsidRPr="007A25F5">
        <w:t xml:space="preserve">and </w:t>
      </w:r>
      <w:r w:rsidR="004F7BD0" w:rsidRPr="007A25F5">
        <w:t xml:space="preserve">only 11% </w:t>
      </w:r>
      <w:r w:rsidR="00906E28" w:rsidRPr="007A25F5">
        <w:t xml:space="preserve">would </w:t>
      </w:r>
      <w:r w:rsidR="004F7BD0" w:rsidRPr="007A25F5">
        <w:t xml:space="preserve">meet </w:t>
      </w:r>
      <w:r w:rsidR="00906E28" w:rsidRPr="007A25F5">
        <w:t xml:space="preserve">the </w:t>
      </w:r>
      <w:r w:rsidR="006D365D" w:rsidRPr="007A25F5">
        <w:t xml:space="preserve">T-P reservoir water quality standard (0.1 mg </w:t>
      </w:r>
      <w:r w:rsidR="009C462F" w:rsidRPr="007A25F5">
        <w:t>L</w:t>
      </w:r>
      <w:r w:rsidR="006D365D" w:rsidRPr="007A25F5">
        <w:rPr>
          <w:vertAlign w:val="superscript"/>
        </w:rPr>
        <w:t>-1</w:t>
      </w:r>
      <w:r w:rsidR="006D365D" w:rsidRPr="007A25F5">
        <w:t xml:space="preserve">) </w:t>
      </w:r>
      <w:r w:rsidR="00B90965" w:rsidRPr="007A25F5">
        <w:t>i</w:t>
      </w:r>
      <w:r w:rsidR="007D296B" w:rsidRPr="007A25F5">
        <w:t>n 2022</w:t>
      </w:r>
      <w:r w:rsidR="00114E01" w:rsidRPr="007A25F5">
        <w:t>under combined uncertainty sources</w:t>
      </w:r>
      <w:r w:rsidR="007D296B" w:rsidRPr="007A25F5">
        <w:t xml:space="preserve"> (Figure </w:t>
      </w:r>
      <w:r w:rsidR="00716CB9" w:rsidRPr="007A25F5">
        <w:t>7</w:t>
      </w:r>
      <w:r w:rsidR="007D296B" w:rsidRPr="007A25F5">
        <w:t xml:space="preserve">). This result </w:t>
      </w:r>
      <w:r w:rsidR="0078778A" w:rsidRPr="007A25F5">
        <w:t>suggests</w:t>
      </w:r>
      <w:r w:rsidR="007D296B" w:rsidRPr="007A25F5">
        <w:t xml:space="preserve"> the conclusion that although WWTPs are constructed in the </w:t>
      </w:r>
      <w:r w:rsidR="00BC58A0" w:rsidRPr="007A25F5">
        <w:t>river basin</w:t>
      </w:r>
      <w:r w:rsidR="007D296B" w:rsidRPr="007A25F5">
        <w:t xml:space="preserve"> to control the point source</w:t>
      </w:r>
      <w:r w:rsidR="00D576DA" w:rsidRPr="007A25F5">
        <w:t xml:space="preserve"> pollutant loads</w:t>
      </w:r>
      <w:r w:rsidR="007D296B" w:rsidRPr="007A25F5">
        <w:t xml:space="preserve">, the Hwaong Reservoir </w:t>
      </w:r>
      <w:r w:rsidR="009B60CC" w:rsidRPr="007A25F5">
        <w:t>will, nevertheless,</w:t>
      </w:r>
      <w:r w:rsidR="007D296B" w:rsidRPr="007A25F5">
        <w:t xml:space="preserve"> be in a state of eutrophication in </w:t>
      </w:r>
      <w:r w:rsidR="005C7C71" w:rsidRPr="007A25F5">
        <w:t>20</w:t>
      </w:r>
      <w:r w:rsidR="007D296B" w:rsidRPr="007A25F5">
        <w:t>22.</w:t>
      </w:r>
    </w:p>
    <w:p w:rsidR="007759E6" w:rsidRPr="007A25F5" w:rsidRDefault="007759E6" w:rsidP="00DD2EE6">
      <w:pPr>
        <w:pStyle w:val="PaperFormattext"/>
      </w:pPr>
    </w:p>
    <w:p w:rsidR="003C099C" w:rsidRPr="007A25F5" w:rsidRDefault="00F602DD" w:rsidP="005C7C71">
      <w:pPr>
        <w:pStyle w:val="PaperSubheadings"/>
        <w:ind w:left="0" w:firstLine="0"/>
      </w:pPr>
      <w:r w:rsidRPr="007A25F5">
        <w:lastRenderedPageBreak/>
        <w:t xml:space="preserve">Evaluation of </w:t>
      </w:r>
      <w:r w:rsidR="002D3EF5" w:rsidRPr="007A25F5">
        <w:t xml:space="preserve">a </w:t>
      </w:r>
      <w:r w:rsidR="00BC58A0" w:rsidRPr="007A25F5">
        <w:t>river basin</w:t>
      </w:r>
      <w:r w:rsidRPr="007A25F5">
        <w:t xml:space="preserve"> management </w:t>
      </w:r>
      <w:r w:rsidR="00AB6FAB" w:rsidRPr="007A25F5">
        <w:t>measure</w:t>
      </w:r>
      <w:r w:rsidR="00C67CF2" w:rsidRPr="007A25F5">
        <w:t>using the integrated modelling system with the uncertainty analysis</w:t>
      </w:r>
    </w:p>
    <w:p w:rsidR="00897436" w:rsidRPr="007A25F5" w:rsidRDefault="00F602DD" w:rsidP="00DD2EE6">
      <w:pPr>
        <w:pStyle w:val="PaperFormattext"/>
      </w:pPr>
      <w:r w:rsidRPr="007A25F5">
        <w:t xml:space="preserve">The </w:t>
      </w:r>
      <w:r w:rsidR="00EE648E" w:rsidRPr="007A25F5">
        <w:t xml:space="preserve">water quality prediction result </w:t>
      </w:r>
      <w:r w:rsidR="00ED7442" w:rsidRPr="007A25F5">
        <w:t xml:space="preserve">for the </w:t>
      </w:r>
      <w:r w:rsidRPr="007A25F5">
        <w:t xml:space="preserve">Hwaong Reservoir using </w:t>
      </w:r>
      <w:r w:rsidR="00EE648E" w:rsidRPr="007A25F5">
        <w:t xml:space="preserve">the </w:t>
      </w:r>
      <w:r w:rsidRPr="007A25F5">
        <w:t>integrated model</w:t>
      </w:r>
      <w:r w:rsidR="00E240A8" w:rsidRPr="007A25F5">
        <w:t>l</w:t>
      </w:r>
      <w:r w:rsidRPr="007A25F5">
        <w:t xml:space="preserve">ing system indicated that </w:t>
      </w:r>
      <w:r w:rsidR="00BC58A0" w:rsidRPr="007A25F5">
        <w:t>river basin</w:t>
      </w:r>
      <w:r w:rsidRPr="007A25F5">
        <w:t xml:space="preserve"> pollutant loads should be reduced to meet </w:t>
      </w:r>
      <w:r w:rsidR="00026EDF" w:rsidRPr="007A25F5">
        <w:t xml:space="preserve">the </w:t>
      </w:r>
      <w:r w:rsidRPr="007A25F5">
        <w:t>specified water quality criteria</w:t>
      </w:r>
      <w:r w:rsidR="00E0272B" w:rsidRPr="007A25F5">
        <w:t xml:space="preserve">;thus, </w:t>
      </w:r>
      <w:r w:rsidR="00026EDF" w:rsidRPr="007A25F5">
        <w:t xml:space="preserve">the </w:t>
      </w:r>
      <w:r w:rsidRPr="007A25F5">
        <w:t xml:space="preserve">construction of treatment wetlands </w:t>
      </w:r>
      <w:r w:rsidR="00E35E17" w:rsidRPr="007A25F5">
        <w:t>wa</w:t>
      </w:r>
      <w:r w:rsidRPr="007A25F5">
        <w:t xml:space="preserve">s considered as an additional </w:t>
      </w:r>
      <w:r w:rsidR="00BC58A0" w:rsidRPr="007A25F5">
        <w:t>river basin</w:t>
      </w:r>
      <w:r w:rsidRPr="007A25F5">
        <w:t xml:space="preserve"> management </w:t>
      </w:r>
      <w:r w:rsidR="00E35E17" w:rsidRPr="007A25F5">
        <w:t>measure</w:t>
      </w:r>
      <w:r w:rsidRPr="007A25F5">
        <w:t>.</w:t>
      </w:r>
      <w:r w:rsidR="00484560" w:rsidRPr="007A25F5">
        <w:t>Treatment w</w:t>
      </w:r>
      <w:r w:rsidRPr="007A25F5">
        <w:t xml:space="preserve">etlands are commonly used for controlling </w:t>
      </w:r>
      <w:r w:rsidR="002639C8" w:rsidRPr="007A25F5">
        <w:t xml:space="preserve">the </w:t>
      </w:r>
      <w:r w:rsidRPr="007A25F5">
        <w:t>pollutant loads</w:t>
      </w:r>
      <w:r w:rsidR="002639C8" w:rsidRPr="007A25F5">
        <w:t xml:space="preserve"> from non-point sources</w:t>
      </w:r>
      <w:r w:rsidR="001E56C7" w:rsidRPr="007A25F5">
        <w:t>; thus,</w:t>
      </w:r>
      <w:r w:rsidR="00B455E0" w:rsidRPr="007A25F5">
        <w:t>constructing</w:t>
      </w:r>
      <w:r w:rsidRPr="007A25F5">
        <w:t xml:space="preserve"> wetlands to abate </w:t>
      </w:r>
      <w:r w:rsidR="007D1EE9" w:rsidRPr="007A25F5">
        <w:t xml:space="preserve">the pollutant loads from non-point sources </w:t>
      </w:r>
      <w:r w:rsidRPr="007A25F5">
        <w:t>has received much attention (e.g., Kadlec and Knight, 1996; Mitsch and Gosselink,</w:t>
      </w:r>
      <w:r w:rsidR="005C7C71" w:rsidRPr="007A25F5">
        <w:t xml:space="preserve"> 2000; Nairn and Mitsch, 2000).</w:t>
      </w:r>
    </w:p>
    <w:p w:rsidR="00897436" w:rsidRPr="007A25F5" w:rsidRDefault="00F602DD" w:rsidP="00DD2EE6">
      <w:pPr>
        <w:pStyle w:val="PaperFormattext"/>
      </w:pPr>
      <w:r w:rsidRPr="007A25F5">
        <w:t>The computational procedure described pre</w:t>
      </w:r>
      <w:r w:rsidR="005C5913" w:rsidRPr="007A25F5">
        <w:t>viously was performed to quantif</w:t>
      </w:r>
      <w:r w:rsidRPr="007A25F5">
        <w:t xml:space="preserve">y the uncertainty associated with both model simulations and </w:t>
      </w:r>
      <w:r w:rsidR="00C02154" w:rsidRPr="007A25F5">
        <w:t xml:space="preserve">the </w:t>
      </w:r>
      <w:r w:rsidRPr="007A25F5">
        <w:t xml:space="preserve">estimated effectiveness of </w:t>
      </w:r>
      <w:r w:rsidR="008464E2" w:rsidRPr="007A25F5">
        <w:t xml:space="preserve">a specific </w:t>
      </w:r>
      <w:r w:rsidR="00BC58A0" w:rsidRPr="007A25F5">
        <w:t>river basin</w:t>
      </w:r>
      <w:r w:rsidR="003B6C92" w:rsidRPr="007A25F5">
        <w:t xml:space="preserve"> management measure</w:t>
      </w:r>
      <w:r w:rsidR="00897436" w:rsidRPr="007A25F5">
        <w:t>s</w:t>
      </w:r>
      <w:r w:rsidRPr="007A25F5">
        <w:t xml:space="preserve">(construction of treatment wetlands). Figure </w:t>
      </w:r>
      <w:r w:rsidR="00716CB9" w:rsidRPr="007A25F5">
        <w:t>9</w:t>
      </w:r>
      <w:r w:rsidRPr="007A25F5">
        <w:t xml:space="preserve"> depicts the cumulative likelihood distribution of average daily T-N and T-P concentration</w:t>
      </w:r>
      <w:r w:rsidR="00BB0307" w:rsidRPr="007A25F5">
        <w:t>s</w:t>
      </w:r>
      <w:r w:rsidRPr="007A25F5">
        <w:t xml:space="preserve">. </w:t>
      </w:r>
    </w:p>
    <w:p w:rsidR="00897436" w:rsidRPr="007A25F5" w:rsidRDefault="00F602DD" w:rsidP="00DD2EE6">
      <w:pPr>
        <w:pStyle w:val="PaperFormattext"/>
      </w:pPr>
      <w:r w:rsidRPr="007A25F5">
        <w:t xml:space="preserve">The with-WETLAND scenario </w:t>
      </w:r>
      <w:r w:rsidR="0098170E" w:rsidRPr="007A25F5">
        <w:t xml:space="preserve">predictedimproved </w:t>
      </w:r>
      <w:r w:rsidRPr="007A25F5">
        <w:t>overall reservoir water quality</w:t>
      </w:r>
      <w:r w:rsidR="006E0883" w:rsidRPr="007A25F5">
        <w:t xml:space="preserve">, compared to </w:t>
      </w:r>
      <w:r w:rsidR="0098170E" w:rsidRPr="007A25F5">
        <w:t xml:space="preserve">that predicted by </w:t>
      </w:r>
      <w:r w:rsidR="006E0883" w:rsidRPr="007A25F5">
        <w:t>the without-WETLAND scenario</w:t>
      </w:r>
      <w:r w:rsidRPr="007A25F5">
        <w:t>.</w:t>
      </w:r>
      <w:r w:rsidR="009235EA" w:rsidRPr="007A25F5">
        <w:t xml:space="preserve">If </w:t>
      </w:r>
      <w:r w:rsidR="0098170E" w:rsidRPr="007A25F5">
        <w:t>treatment wetlands were</w:t>
      </w:r>
      <w:r w:rsidR="009235EA" w:rsidRPr="007A25F5">
        <w:t xml:space="preserve"> applied for the pollution control of non-point source</w:t>
      </w:r>
      <w:r w:rsidR="006332D3" w:rsidRPr="007A25F5">
        <w:t>s</w:t>
      </w:r>
      <w:r w:rsidR="009235EA" w:rsidRPr="007A25F5">
        <w:t xml:space="preserve">, the </w:t>
      </w:r>
      <w:r w:rsidR="0098170E" w:rsidRPr="007A25F5">
        <w:t xml:space="preserve">predicted </w:t>
      </w:r>
      <w:r w:rsidR="009235EA" w:rsidRPr="007A25F5">
        <w:t>T-N and T-P concentration</w:t>
      </w:r>
      <w:r w:rsidR="0098170E" w:rsidRPr="007A25F5">
        <w:t>s</w:t>
      </w:r>
      <w:r w:rsidR="009235EA" w:rsidRPr="007A25F5">
        <w:t xml:space="preserve"> in the Hwaong Reservoir would be</w:t>
      </w:r>
      <w:r w:rsidR="0098170E" w:rsidRPr="007A25F5">
        <w:t xml:space="preserve"> (with 90% probability)</w:t>
      </w:r>
      <w:r w:rsidR="009235EA" w:rsidRPr="007A25F5">
        <w:t xml:space="preserve"> in the range of 1.15</w:t>
      </w:r>
      <w:r w:rsidR="00B759AC" w:rsidRPr="007A25F5">
        <w:t>–</w:t>
      </w:r>
      <w:r w:rsidR="009235EA" w:rsidRPr="007A25F5">
        <w:t>2.82</w:t>
      </w:r>
      <w:r w:rsidR="0098170E" w:rsidRPr="007A25F5">
        <w:t xml:space="preserve"> mg L</w:t>
      </w:r>
      <w:r w:rsidR="0098170E" w:rsidRPr="007A25F5">
        <w:rPr>
          <w:vertAlign w:val="superscript"/>
        </w:rPr>
        <w:t>-1</w:t>
      </w:r>
      <w:r w:rsidR="009235EA" w:rsidRPr="007A25F5">
        <w:t xml:space="preserve"> and 0.079</w:t>
      </w:r>
      <w:r w:rsidR="00B759AC" w:rsidRPr="007A25F5">
        <w:t>–</w:t>
      </w:r>
      <w:r w:rsidR="009235EA" w:rsidRPr="007A25F5">
        <w:t>0.143</w:t>
      </w:r>
      <w:r w:rsidR="0098170E" w:rsidRPr="007A25F5">
        <w:t xml:space="preserve"> mg L</w:t>
      </w:r>
      <w:r w:rsidR="0098170E" w:rsidRPr="007A25F5">
        <w:rPr>
          <w:vertAlign w:val="superscript"/>
        </w:rPr>
        <w:t>-1</w:t>
      </w:r>
      <w:r w:rsidR="0098170E" w:rsidRPr="007A25F5">
        <w:t xml:space="preserve">, respectively, </w:t>
      </w:r>
      <w:r w:rsidR="00EB6CA9" w:rsidRPr="007A25F5">
        <w:t xml:space="preserve">(Table </w:t>
      </w:r>
      <w:r w:rsidR="00AE7C20" w:rsidRPr="007A25F5">
        <w:t>VI</w:t>
      </w:r>
      <w:r w:rsidR="00EB6CA9" w:rsidRPr="007A25F5">
        <w:t>)</w:t>
      </w:r>
      <w:r w:rsidR="009235EA" w:rsidRPr="007A25F5">
        <w:t>, and less than 2.57 and 0.135 mg L</w:t>
      </w:r>
      <w:r w:rsidR="009235EA" w:rsidRPr="007A25F5">
        <w:rPr>
          <w:vertAlign w:val="superscript"/>
        </w:rPr>
        <w:t>-1</w:t>
      </w:r>
      <w:r w:rsidR="00B66EAD" w:rsidRPr="007A25F5">
        <w:t xml:space="preserve">, respectively, </w:t>
      </w:r>
      <w:r w:rsidR="009235EA" w:rsidRPr="007A25F5">
        <w:t xml:space="preserve">with 90% </w:t>
      </w:r>
      <w:r w:rsidR="00EB6CA9" w:rsidRPr="007A25F5">
        <w:t>confidence (Figure 9)</w:t>
      </w:r>
      <w:r w:rsidR="005C7C71" w:rsidRPr="007A25F5">
        <w:t>.</w:t>
      </w:r>
    </w:p>
    <w:p w:rsidR="00297018" w:rsidRPr="007A25F5" w:rsidRDefault="00C03224" w:rsidP="00DD2EE6">
      <w:pPr>
        <w:pStyle w:val="PaperFormattext"/>
      </w:pPr>
      <w:r w:rsidRPr="007A25F5">
        <w:t xml:space="preserve">The </w:t>
      </w:r>
      <w:r w:rsidR="00CE25B6" w:rsidRPr="007A25F5">
        <w:t xml:space="preserve">predicted </w:t>
      </w:r>
      <w:r w:rsidRPr="007A25F5">
        <w:t xml:space="preserve">water quality of </w:t>
      </w:r>
      <w:r w:rsidR="00CE25B6" w:rsidRPr="007A25F5">
        <w:t xml:space="preserve">the </w:t>
      </w:r>
      <w:r w:rsidRPr="007A25F5">
        <w:t xml:space="preserve">Hwaong Reservoir in </w:t>
      </w:r>
      <w:r w:rsidR="005C7C71" w:rsidRPr="007A25F5">
        <w:t>20</w:t>
      </w:r>
      <w:r w:rsidRPr="007A25F5">
        <w:t xml:space="preserve">22 using integrated modelling </w:t>
      </w:r>
      <w:r w:rsidR="00297018" w:rsidRPr="007A25F5">
        <w:t>with the</w:t>
      </w:r>
      <w:r w:rsidRPr="007A25F5">
        <w:t xml:space="preserve"> uncertainty</w:t>
      </w:r>
      <w:r w:rsidR="003E3B56" w:rsidRPr="007A25F5">
        <w:t xml:space="preserve"> anal</w:t>
      </w:r>
      <w:r w:rsidR="00297018" w:rsidRPr="007A25F5">
        <w:t>ysis</w:t>
      </w:r>
      <w:r w:rsidRPr="007A25F5">
        <w:t xml:space="preserve"> showed that only 28% would meet the T-P water quality standard (0.1 mg L</w:t>
      </w:r>
      <w:r w:rsidRPr="007A25F5">
        <w:rPr>
          <w:vertAlign w:val="superscript"/>
        </w:rPr>
        <w:t>-1</w:t>
      </w:r>
      <w:r w:rsidRPr="007A25F5">
        <w:t xml:space="preserve">) for </w:t>
      </w:r>
      <w:r w:rsidR="002F7367" w:rsidRPr="007A25F5">
        <w:t xml:space="preserve">the </w:t>
      </w:r>
      <w:r w:rsidRPr="007A25F5">
        <w:t xml:space="preserve">agricultural reservoir (Figure 9) although 264 ha </w:t>
      </w:r>
      <w:r w:rsidR="002F7367" w:rsidRPr="007A25F5">
        <w:t xml:space="preserve">of </w:t>
      </w:r>
      <w:r w:rsidRPr="007A25F5">
        <w:t>treatment wetlands were constructed (with-WETLAND scenario)</w:t>
      </w:r>
      <w:r w:rsidR="00297018" w:rsidRPr="007A25F5">
        <w:t xml:space="preserve">.In contrast, theresults of </w:t>
      </w:r>
      <w:r w:rsidRPr="007A25F5">
        <w:t xml:space="preserve">deterministic </w:t>
      </w:r>
      <w:r w:rsidR="00297018" w:rsidRPr="007A25F5">
        <w:t>mode</w:t>
      </w:r>
      <w:r w:rsidR="00300F31" w:rsidRPr="007A25F5">
        <w:t>l</w:t>
      </w:r>
      <w:r w:rsidR="00297018" w:rsidRPr="007A25F5">
        <w:t>ling with</w:t>
      </w:r>
      <w:r w:rsidR="00427664" w:rsidRPr="007A25F5">
        <w:t>out</w:t>
      </w:r>
      <w:r w:rsidR="00297018" w:rsidRPr="007A25F5">
        <w:t xml:space="preserve"> the uncertainty analysis</w:t>
      </w:r>
      <w:r w:rsidRPr="007A25F5">
        <w:t xml:space="preserve"> show that </w:t>
      </w:r>
      <w:r w:rsidR="00897436" w:rsidRPr="007A25F5">
        <w:t xml:space="preserve">the </w:t>
      </w:r>
      <w:r w:rsidRPr="007A25F5">
        <w:t>Hwaong</w:t>
      </w:r>
      <w:r w:rsidR="005C7C71" w:rsidRPr="007A25F5">
        <w:t>R</w:t>
      </w:r>
      <w:r w:rsidRPr="007A25F5">
        <w:t>eservoir water quality for T-P (0.094 mg L</w:t>
      </w:r>
      <w:r w:rsidRPr="007A25F5">
        <w:rPr>
          <w:vertAlign w:val="superscript"/>
        </w:rPr>
        <w:t>-1</w:t>
      </w:r>
      <w:r w:rsidRPr="007A25F5">
        <w:t xml:space="preserve">) in </w:t>
      </w:r>
      <w:r w:rsidR="005C7C71" w:rsidRPr="007A25F5">
        <w:t>20</w:t>
      </w:r>
      <w:r w:rsidRPr="007A25F5">
        <w:t>22 would meet the reservoir water quality standard.</w:t>
      </w:r>
      <w:r w:rsidR="00DE5252" w:rsidRPr="007A25F5">
        <w:t xml:space="preserve">This result indicate that in order to meet the water quality standard with a 90% </w:t>
      </w:r>
      <w:r w:rsidR="002F7367" w:rsidRPr="007A25F5">
        <w:t xml:space="preserve">level of </w:t>
      </w:r>
      <w:r w:rsidR="00DE5252" w:rsidRPr="007A25F5">
        <w:t xml:space="preserve">confidence, </w:t>
      </w:r>
      <w:r w:rsidR="002F7367" w:rsidRPr="007A25F5">
        <w:t xml:space="preserve">additional </w:t>
      </w:r>
      <w:r w:rsidR="00BC58A0" w:rsidRPr="007A25F5">
        <w:t>river basin</w:t>
      </w:r>
      <w:r w:rsidR="00DE5252" w:rsidRPr="007A25F5">
        <w:t xml:space="preserve"> management </w:t>
      </w:r>
      <w:r w:rsidR="00E30EE0" w:rsidRPr="007A25F5">
        <w:t>measure</w:t>
      </w:r>
      <w:r w:rsidR="00DE5252" w:rsidRPr="007A25F5">
        <w:t xml:space="preserve">s should be applied </w:t>
      </w:r>
      <w:r w:rsidR="002F7367" w:rsidRPr="007A25F5">
        <w:t>beyond</w:t>
      </w:r>
      <w:r w:rsidR="00DE5252" w:rsidRPr="007A25F5">
        <w:t xml:space="preserve"> the construction of </w:t>
      </w:r>
      <w:r w:rsidR="00E30EE0" w:rsidRPr="007A25F5">
        <w:t xml:space="preserve">treatment </w:t>
      </w:r>
      <w:r w:rsidR="00DE5252" w:rsidRPr="007A25F5">
        <w:t>wetlands</w:t>
      </w:r>
      <w:r w:rsidR="002F7367" w:rsidRPr="007A25F5">
        <w:t xml:space="preserve"> and WWTP</w:t>
      </w:r>
      <w:r w:rsidR="00DE5252" w:rsidRPr="007A25F5">
        <w:t>.</w:t>
      </w:r>
      <w:r w:rsidR="002F7367" w:rsidRPr="007A25F5">
        <w:t>Furthermore,</w:t>
      </w:r>
      <w:r w:rsidR="00297018" w:rsidRPr="007A25F5">
        <w:t xml:space="preserve"> the uncertainty analysis associated with model parameter</w:t>
      </w:r>
      <w:r w:rsidR="00897436" w:rsidRPr="007A25F5">
        <w:t>s</w:t>
      </w:r>
      <w:r w:rsidR="00297018" w:rsidRPr="007A25F5">
        <w:t xml:space="preserve"> and future behaviour can be recommended if the goal of a modelling study is to develop </w:t>
      </w:r>
      <w:r w:rsidR="00BC58A0" w:rsidRPr="007A25F5">
        <w:t>river basin</w:t>
      </w:r>
      <w:r w:rsidR="00297018" w:rsidRPr="007A25F5">
        <w:t xml:space="preserve"> management plans to meet specified water quality criteria.</w:t>
      </w:r>
    </w:p>
    <w:p w:rsidR="00297018" w:rsidRPr="007A25F5" w:rsidRDefault="00297018" w:rsidP="00DD2EE6">
      <w:pPr>
        <w:pStyle w:val="PaperFormattext"/>
      </w:pPr>
    </w:p>
    <w:p w:rsidR="00F602DD" w:rsidRPr="007A25F5" w:rsidRDefault="00F602DD" w:rsidP="00DD2EE6">
      <w:pPr>
        <w:pStyle w:val="PaperFormattext"/>
      </w:pPr>
      <w:r w:rsidRPr="007A25F5">
        <w:t xml:space="preserve">Figure </w:t>
      </w:r>
      <w:r w:rsidR="00716CB9" w:rsidRPr="007A25F5">
        <w:t>9</w:t>
      </w:r>
      <w:r w:rsidRPr="007A25F5">
        <w:t xml:space="preserve">. Cumulative distribution </w:t>
      </w:r>
      <w:r w:rsidR="00F75D2D" w:rsidRPr="007A25F5">
        <w:t xml:space="preserve">of </w:t>
      </w:r>
      <w:r w:rsidR="002F7367" w:rsidRPr="007A25F5">
        <w:t xml:space="preserve">predicted </w:t>
      </w:r>
      <w:r w:rsidR="00960D07" w:rsidRPr="007A25F5">
        <w:t xml:space="preserve">the </w:t>
      </w:r>
      <w:r w:rsidR="002F7367" w:rsidRPr="007A25F5">
        <w:t xml:space="preserve">Hwaong Reservoir water quality simulated using the </w:t>
      </w:r>
      <w:r w:rsidR="00F75D2D" w:rsidRPr="007A25F5">
        <w:t>without</w:t>
      </w:r>
      <w:r w:rsidRPr="007A25F5">
        <w:t>-WETLAND and with-WETLAND scenario</w:t>
      </w:r>
      <w:r w:rsidR="002F7367" w:rsidRPr="007A25F5">
        <w:t>s</w:t>
      </w:r>
    </w:p>
    <w:p w:rsidR="00F602DD" w:rsidRPr="007A25F5" w:rsidRDefault="00F602DD" w:rsidP="00DD2EE6">
      <w:pPr>
        <w:pStyle w:val="PaperFormattext"/>
      </w:pPr>
    </w:p>
    <w:p w:rsidR="005B2D19" w:rsidRPr="007A25F5" w:rsidRDefault="00F602DD" w:rsidP="00DD2EE6">
      <w:pPr>
        <w:pStyle w:val="PaperFormattext"/>
      </w:pPr>
      <w:r w:rsidRPr="007A25F5">
        <w:t xml:space="preserve">Table </w:t>
      </w:r>
      <w:r w:rsidR="00AE7C20" w:rsidRPr="007A25F5">
        <w:t>VI</w:t>
      </w:r>
      <w:r w:rsidRPr="007A25F5">
        <w:t xml:space="preserve">. </w:t>
      </w:r>
      <w:r w:rsidR="00782644" w:rsidRPr="007A25F5">
        <w:t xml:space="preserve">Summary of </w:t>
      </w:r>
      <w:r w:rsidR="00960D07" w:rsidRPr="007A25F5">
        <w:t xml:space="preserve">the </w:t>
      </w:r>
      <w:r w:rsidR="002F7367" w:rsidRPr="007A25F5">
        <w:t>Hwaong Reservoir water quality predicted using the</w:t>
      </w:r>
      <w:r w:rsidR="00782644" w:rsidRPr="007A25F5">
        <w:t xml:space="preserve"> integrated modelling system with the uncertainty analysis</w:t>
      </w:r>
    </w:p>
    <w:p w:rsidR="00F602DD" w:rsidRPr="007A25F5" w:rsidRDefault="00F602DD" w:rsidP="00DD2EE6">
      <w:pPr>
        <w:pStyle w:val="PaperFormattext"/>
      </w:pPr>
    </w:p>
    <w:p w:rsidR="005A25C1" w:rsidRPr="007A25F5" w:rsidRDefault="005A25C1" w:rsidP="00DD2EE6">
      <w:pPr>
        <w:pStyle w:val="PaperFormattext"/>
      </w:pPr>
    </w:p>
    <w:p w:rsidR="00B3637E" w:rsidRPr="007A25F5" w:rsidRDefault="00B37F84" w:rsidP="00BA32F4">
      <w:pPr>
        <w:pStyle w:val="PaperMainheadings"/>
        <w:widowControl w:val="0"/>
        <w:spacing w:line="360" w:lineRule="auto"/>
        <w:jc w:val="center"/>
        <w:rPr>
          <w:b w:val="0"/>
          <w:sz w:val="22"/>
          <w:szCs w:val="22"/>
        </w:rPr>
      </w:pPr>
      <w:r w:rsidRPr="007A25F5">
        <w:rPr>
          <w:b w:val="0"/>
          <w:sz w:val="22"/>
          <w:szCs w:val="22"/>
        </w:rPr>
        <w:t>CONCLUSIONS</w:t>
      </w:r>
    </w:p>
    <w:p w:rsidR="00B3637E" w:rsidRPr="007A25F5" w:rsidRDefault="00B3637E" w:rsidP="00DD2EE6">
      <w:pPr>
        <w:pStyle w:val="PaperFormattext"/>
      </w:pPr>
    </w:p>
    <w:p w:rsidR="00F143E7" w:rsidRPr="007A25F5" w:rsidRDefault="00641CA9" w:rsidP="00DD2EE6">
      <w:pPr>
        <w:pStyle w:val="PaperFormattext"/>
      </w:pPr>
      <w:r w:rsidRPr="007A25F5">
        <w:t xml:space="preserve">An </w:t>
      </w:r>
      <w:r w:rsidR="007C7DC3" w:rsidRPr="007A25F5">
        <w:t xml:space="preserve">integrated modelling system </w:t>
      </w:r>
      <w:r w:rsidRPr="007A25F5">
        <w:t xml:space="preserve">that included </w:t>
      </w:r>
      <w:r w:rsidR="00F143E7" w:rsidRPr="007A25F5">
        <w:t xml:space="preserve">Monte Carlo simulation and </w:t>
      </w:r>
      <w:r w:rsidRPr="007A25F5">
        <w:t xml:space="preserve">a </w:t>
      </w:r>
      <w:r w:rsidR="00F143E7" w:rsidRPr="007A25F5">
        <w:t xml:space="preserve">GLUE-based probabilistic approach was </w:t>
      </w:r>
      <w:r w:rsidRPr="007A25F5">
        <w:t>developed as</w:t>
      </w:r>
      <w:r w:rsidR="00F143E7" w:rsidRPr="007A25F5">
        <w:t xml:space="preserve"> a computational procedure for predicting reservoir water quality </w:t>
      </w:r>
      <w:r w:rsidR="007F5142" w:rsidRPr="007A25F5">
        <w:t xml:space="preserve">by </w:t>
      </w:r>
      <w:r w:rsidR="00F143E7" w:rsidRPr="007A25F5">
        <w:t xml:space="preserve">incorporating uncertainty and </w:t>
      </w:r>
      <w:r w:rsidR="00F1363B" w:rsidRPr="007A25F5">
        <w:t>developing</w:t>
      </w:r>
      <w:r w:rsidR="00BC58A0" w:rsidRPr="007A25F5">
        <w:t>river basin</w:t>
      </w:r>
      <w:r w:rsidR="00F143E7" w:rsidRPr="007A25F5">
        <w:t xml:space="preserve"> management measures to meet </w:t>
      </w:r>
      <w:r w:rsidR="007F5142" w:rsidRPr="007A25F5">
        <w:t xml:space="preserve">the </w:t>
      </w:r>
      <w:r w:rsidR="00F143E7" w:rsidRPr="007A25F5">
        <w:t>specified water quality criteria based on the predicted probability of occurrence.</w:t>
      </w:r>
    </w:p>
    <w:p w:rsidR="00897436" w:rsidRPr="007A25F5" w:rsidRDefault="00F143E7" w:rsidP="00DD2EE6">
      <w:pPr>
        <w:pStyle w:val="PaperFormattext"/>
      </w:pPr>
      <w:r w:rsidRPr="007A25F5">
        <w:t xml:space="preserve">The </w:t>
      </w:r>
      <w:r w:rsidR="000A19FE" w:rsidRPr="007A25F5">
        <w:t xml:space="preserve">deterministic </w:t>
      </w:r>
      <w:r w:rsidRPr="007A25F5">
        <w:t xml:space="preserve">integrated modelling system </w:t>
      </w:r>
      <w:r w:rsidR="000A19FE" w:rsidRPr="007A25F5">
        <w:t xml:space="preserve">without </w:t>
      </w:r>
      <w:r w:rsidR="00AD2137" w:rsidRPr="007A25F5">
        <w:t>uncertainty analysis (</w:t>
      </w:r>
      <w:r w:rsidR="000A19FE" w:rsidRPr="007A25F5">
        <w:t>Monte Carlo simulation and GLUE</w:t>
      </w:r>
      <w:r w:rsidR="00AD2137" w:rsidRPr="007A25F5">
        <w:t>)</w:t>
      </w:r>
      <w:r w:rsidRPr="007A25F5">
        <w:t xml:space="preserve">was used </w:t>
      </w:r>
      <w:r w:rsidR="001D2DEA" w:rsidRPr="007A25F5">
        <w:t>to simulate</w:t>
      </w:r>
      <w:r w:rsidR="00BC58A0" w:rsidRPr="007A25F5">
        <w:t>river basin</w:t>
      </w:r>
      <w:r w:rsidRPr="007A25F5">
        <w:t xml:space="preserve"> loading, receiving water quality and wetland performance to evaluate the effect of </w:t>
      </w:r>
      <w:r w:rsidR="00BC58A0" w:rsidRPr="007A25F5">
        <w:t>river basin</w:t>
      </w:r>
      <w:r w:rsidRPr="007A25F5">
        <w:t xml:space="preserve"> management measures on reservoir water quality. The calibrated integrated modelling system was </w:t>
      </w:r>
      <w:r w:rsidR="001D2DEA" w:rsidRPr="007A25F5">
        <w:t xml:space="preserve">then </w:t>
      </w:r>
      <w:r w:rsidRPr="007A25F5">
        <w:t xml:space="preserve">used to predict the HwaongReservoir water quality. The results show that although wastewater treatment plants were constructed in the reclamation </w:t>
      </w:r>
      <w:r w:rsidR="00BC58A0" w:rsidRPr="007A25F5">
        <w:t>river basin</w:t>
      </w:r>
      <w:r w:rsidRPr="007A25F5">
        <w:t xml:space="preserve"> to control the point source pollutant loads, the Hwaong Reservoir was predicted to be in a state of eutrophication in </w:t>
      </w:r>
      <w:r w:rsidR="005C7C71" w:rsidRPr="007A25F5">
        <w:t>20</w:t>
      </w:r>
      <w:r w:rsidRPr="007A25F5">
        <w:t xml:space="preserve">22. </w:t>
      </w:r>
      <w:r w:rsidR="00E42454" w:rsidRPr="007A25F5">
        <w:t xml:space="preserve">However, if </w:t>
      </w:r>
      <w:r w:rsidRPr="007A25F5">
        <w:t xml:space="preserve">264 ha </w:t>
      </w:r>
      <w:r w:rsidR="00E42454" w:rsidRPr="007A25F5">
        <w:t xml:space="preserve">of </w:t>
      </w:r>
      <w:r w:rsidRPr="007A25F5">
        <w:t xml:space="preserve">treatment wetlands </w:t>
      </w:r>
      <w:r w:rsidR="003D45A9" w:rsidRPr="007A25F5">
        <w:t>were</w:t>
      </w:r>
      <w:r w:rsidR="00E42454" w:rsidRPr="007A25F5">
        <w:t xml:space="preserve">also </w:t>
      </w:r>
      <w:r w:rsidRPr="007A25F5">
        <w:t>constructed (</w:t>
      </w:r>
      <w:r w:rsidR="00E42454" w:rsidRPr="007A25F5">
        <w:t xml:space="preserve">a situation simulated in the </w:t>
      </w:r>
      <w:r w:rsidRPr="007A25F5">
        <w:t xml:space="preserve">with-WETLAND scenario) as a </w:t>
      </w:r>
      <w:r w:rsidR="00BC58A0" w:rsidRPr="007A25F5">
        <w:t>river basin</w:t>
      </w:r>
      <w:r w:rsidRPr="007A25F5">
        <w:t xml:space="preserve"> management measure, </w:t>
      </w:r>
      <w:r w:rsidR="00960D07" w:rsidRPr="007A25F5">
        <w:t xml:space="preserve">the </w:t>
      </w:r>
      <w:r w:rsidRPr="007A25F5">
        <w:t>Hwaong</w:t>
      </w:r>
      <w:r w:rsidR="00897436" w:rsidRPr="007A25F5">
        <w:t>R</w:t>
      </w:r>
      <w:r w:rsidRPr="007A25F5">
        <w:t>eservoir water quality for T-P (0.094 mg L</w:t>
      </w:r>
      <w:r w:rsidRPr="007A25F5">
        <w:rPr>
          <w:vertAlign w:val="superscript"/>
        </w:rPr>
        <w:t>-1</w:t>
      </w:r>
      <w:r w:rsidRPr="007A25F5">
        <w:t xml:space="preserve">) in </w:t>
      </w:r>
      <w:r w:rsidR="005C7C71" w:rsidRPr="007A25F5">
        <w:t>20</w:t>
      </w:r>
      <w:r w:rsidRPr="007A25F5">
        <w:t xml:space="preserve">22 would meet the </w:t>
      </w:r>
      <w:r w:rsidR="00E42454" w:rsidRPr="007A25F5">
        <w:t xml:space="preserve">Korean </w:t>
      </w:r>
      <w:r w:rsidRPr="007A25F5">
        <w:t xml:space="preserve">water quality standard </w:t>
      </w:r>
      <w:r w:rsidR="00E42454" w:rsidRPr="007A25F5">
        <w:t xml:space="preserve">for T-P in reservoirs </w:t>
      </w:r>
      <w:r w:rsidRPr="007A25F5">
        <w:t>(0.1 mg L</w:t>
      </w:r>
      <w:r w:rsidRPr="007A25F5">
        <w:rPr>
          <w:vertAlign w:val="superscript"/>
        </w:rPr>
        <w:t>-1</w:t>
      </w:r>
      <w:r w:rsidRPr="007A25F5">
        <w:t>).</w:t>
      </w:r>
    </w:p>
    <w:p w:rsidR="00BA32F4" w:rsidRPr="007A25F5" w:rsidRDefault="00897436" w:rsidP="00DD2EE6">
      <w:pPr>
        <w:pStyle w:val="PaperFormattext"/>
      </w:pPr>
      <w:r w:rsidRPr="007A25F5">
        <w:t>The i</w:t>
      </w:r>
      <w:r w:rsidR="00F143E7" w:rsidRPr="007A25F5">
        <w:t xml:space="preserve">ntegrated modelling </w:t>
      </w:r>
      <w:r w:rsidR="001A1D1D" w:rsidRPr="007A25F5">
        <w:t xml:space="preserve">systemwith </w:t>
      </w:r>
      <w:r w:rsidR="00AD2137" w:rsidRPr="007A25F5">
        <w:t xml:space="preserve">the uncertainty analysis </w:t>
      </w:r>
      <w:r w:rsidR="005344B3" w:rsidRPr="007A25F5">
        <w:t xml:space="preserve">also </w:t>
      </w:r>
      <w:r w:rsidR="00B243F1" w:rsidRPr="007A25F5">
        <w:t xml:space="preserve">predicted </w:t>
      </w:r>
      <w:r w:rsidR="00F143E7" w:rsidRPr="007A25F5">
        <w:t xml:space="preserve">that the Hwaong Reservoir </w:t>
      </w:r>
      <w:r w:rsidR="00B243F1" w:rsidRPr="007A25F5">
        <w:t>would</w:t>
      </w:r>
      <w:r w:rsidR="00F143E7" w:rsidRPr="007A25F5">
        <w:t xml:space="preserve"> be in a state of eutrophication in </w:t>
      </w:r>
      <w:r w:rsidR="005C7C71" w:rsidRPr="007A25F5">
        <w:t>20</w:t>
      </w:r>
      <w:r w:rsidR="00F143E7" w:rsidRPr="007A25F5">
        <w:t xml:space="preserve">22 although WWTPs </w:t>
      </w:r>
      <w:r w:rsidR="005344B3" w:rsidRPr="007A25F5">
        <w:t>were</w:t>
      </w:r>
      <w:r w:rsidR="00F143E7" w:rsidRPr="007A25F5">
        <w:t xml:space="preserve"> constructed.</w:t>
      </w:r>
      <w:r w:rsidR="005344B3" w:rsidRPr="007A25F5">
        <w:t xml:space="preserve"> I</w:t>
      </w:r>
      <w:r w:rsidR="001A1D1D" w:rsidRPr="007A25F5">
        <w:t xml:space="preserve">f </w:t>
      </w:r>
      <w:r w:rsidR="00F143E7" w:rsidRPr="007A25F5">
        <w:t xml:space="preserve">264 ha </w:t>
      </w:r>
      <w:r w:rsidR="00F35398" w:rsidRPr="007A25F5">
        <w:t xml:space="preserve">of treatment </w:t>
      </w:r>
      <w:r w:rsidR="00F143E7" w:rsidRPr="007A25F5">
        <w:t>wetlands (</w:t>
      </w:r>
      <w:r w:rsidR="00F35398" w:rsidRPr="007A25F5">
        <w:t xml:space="preserve">as simulated in the </w:t>
      </w:r>
      <w:r w:rsidR="00F143E7" w:rsidRPr="007A25F5">
        <w:t xml:space="preserve">with-WETLAND scenario) </w:t>
      </w:r>
      <w:r w:rsidR="001A1D1D" w:rsidRPr="007A25F5">
        <w:t>w</w:t>
      </w:r>
      <w:r w:rsidR="003D45A9" w:rsidRPr="007A25F5">
        <w:t>ere</w:t>
      </w:r>
      <w:r w:rsidR="00F35398" w:rsidRPr="007A25F5">
        <w:t xml:space="preserve">constructed </w:t>
      </w:r>
      <w:r w:rsidR="00F143E7" w:rsidRPr="007A25F5">
        <w:t>for the pollution control of non-point sources, only 28% would meet the T-P water quality standard for agricultural reservoir</w:t>
      </w:r>
      <w:r w:rsidRPr="007A25F5">
        <w:t>s</w:t>
      </w:r>
      <w:r w:rsidR="001A1D1D" w:rsidRPr="007A25F5">
        <w:t xml:space="preserve">.However, </w:t>
      </w:r>
      <w:r w:rsidR="00960D07" w:rsidRPr="007A25F5">
        <w:t xml:space="preserve">the </w:t>
      </w:r>
      <w:r w:rsidR="00F143E7" w:rsidRPr="007A25F5">
        <w:t>Hwaong</w:t>
      </w:r>
      <w:r w:rsidRPr="007A25F5">
        <w:t>R</w:t>
      </w:r>
      <w:r w:rsidR="00F143E7" w:rsidRPr="007A25F5">
        <w:t>eservoir water quality for T-P would meet the reservoir water quality standard</w:t>
      </w:r>
      <w:r w:rsidR="001A1D1D" w:rsidRPr="007A25F5">
        <w:t xml:space="preserve"> when the</w:t>
      </w:r>
      <w:r w:rsidR="00300F31" w:rsidRPr="007A25F5">
        <w:t xml:space="preserve"> deterministic</w:t>
      </w:r>
      <w:r w:rsidR="001A1D1D" w:rsidRPr="007A25F5">
        <w:t xml:space="preserve"> integrated modelling system without the uncertainty analysis was used</w:t>
      </w:r>
      <w:r w:rsidR="00F143E7" w:rsidRPr="007A25F5">
        <w:t xml:space="preserve">. </w:t>
      </w:r>
      <w:r w:rsidR="001A1D1D" w:rsidRPr="007A25F5">
        <w:t>This result indicate</w:t>
      </w:r>
      <w:r w:rsidR="005313B7" w:rsidRPr="007A25F5">
        <w:t>s</w:t>
      </w:r>
      <w:r w:rsidR="001A1D1D" w:rsidRPr="007A25F5">
        <w:t xml:space="preserve"> that </w:t>
      </w:r>
      <w:r w:rsidR="00F143E7" w:rsidRPr="007A25F5">
        <w:t xml:space="preserve">to meet the water quality standard with a 90% </w:t>
      </w:r>
      <w:r w:rsidR="00A83B70" w:rsidRPr="007A25F5">
        <w:t xml:space="preserve">level of </w:t>
      </w:r>
      <w:r w:rsidR="00F143E7" w:rsidRPr="007A25F5">
        <w:t xml:space="preserve">confidence, further </w:t>
      </w:r>
      <w:r w:rsidR="00BC58A0" w:rsidRPr="007A25F5">
        <w:t>river basin</w:t>
      </w:r>
      <w:r w:rsidR="00F143E7" w:rsidRPr="007A25F5">
        <w:t xml:space="preserve"> management measures should be applied in addition to the construction of planned WWTPs and treatment wetlands</w:t>
      </w:r>
      <w:r w:rsidR="00BA32F4" w:rsidRPr="007A25F5">
        <w:t>.</w:t>
      </w:r>
    </w:p>
    <w:p w:rsidR="00F143E7" w:rsidRPr="007A25F5" w:rsidRDefault="001A1D1D" w:rsidP="00DD2EE6">
      <w:pPr>
        <w:pStyle w:val="PaperFormattext"/>
      </w:pPr>
      <w:r w:rsidRPr="007A25F5">
        <w:t>In our study, the proposed integrated modelling system with the uncertainty analysis</w:t>
      </w:r>
      <w:r w:rsidR="00A83B70" w:rsidRPr="007A25F5">
        <w:t xml:space="preserve">was demonstrated to </w:t>
      </w:r>
      <w:r w:rsidR="00F143E7" w:rsidRPr="007A25F5">
        <w:t xml:space="preserve">be very useful for estimating the level of uncertainty and the probability </w:t>
      </w:r>
      <w:r w:rsidR="00F143E7" w:rsidRPr="007A25F5">
        <w:lastRenderedPageBreak/>
        <w:t xml:space="preserve">of occurrence in water quality prediction. </w:t>
      </w:r>
      <w:r w:rsidRPr="007A25F5">
        <w:t xml:space="preserve">The advantage of </w:t>
      </w:r>
      <w:r w:rsidR="005313B7" w:rsidRPr="007A25F5">
        <w:t xml:space="preserve">the </w:t>
      </w:r>
      <w:r w:rsidR="00E27C3C" w:rsidRPr="007A25F5">
        <w:t>i</w:t>
      </w:r>
      <w:r w:rsidRPr="007A25F5">
        <w:t>ntegrated modelling system with uncertainty analysis</w:t>
      </w:r>
      <w:r w:rsidR="00E27C3C" w:rsidRPr="007A25F5">
        <w:t xml:space="preserve"> wa</w:t>
      </w:r>
      <w:r w:rsidRPr="007A25F5">
        <w:t xml:space="preserve">s that it </w:t>
      </w:r>
      <w:r w:rsidR="00F143E7" w:rsidRPr="007A25F5">
        <w:t>can allow model</w:t>
      </w:r>
      <w:r w:rsidR="00E759BD" w:rsidRPr="007A25F5">
        <w:t>l</w:t>
      </w:r>
      <w:r w:rsidR="00F143E7" w:rsidRPr="007A25F5">
        <w:t xml:space="preserve">ers to make useful decisions </w:t>
      </w:r>
      <w:r w:rsidR="00A83B70" w:rsidRPr="007A25F5">
        <w:t xml:space="preserve">about </w:t>
      </w:r>
      <w:r w:rsidR="00F143E7" w:rsidRPr="007A25F5">
        <w:t xml:space="preserve">whether </w:t>
      </w:r>
      <w:r w:rsidR="00A83B70" w:rsidRPr="007A25F5">
        <w:t xml:space="preserve">a </w:t>
      </w:r>
      <w:r w:rsidR="00BC58A0" w:rsidRPr="007A25F5">
        <w:t>river basin</w:t>
      </w:r>
      <w:r w:rsidR="00F143E7" w:rsidRPr="007A25F5">
        <w:t xml:space="preserve"> management plan can meet specified water-quality criteria based on the predicted probability of occurrence.</w:t>
      </w:r>
    </w:p>
    <w:p w:rsidR="00006545" w:rsidRPr="007A25F5" w:rsidRDefault="00006545" w:rsidP="00DD2EE6">
      <w:pPr>
        <w:pStyle w:val="PaperFormattext"/>
      </w:pPr>
    </w:p>
    <w:p w:rsidR="005A25C1" w:rsidRPr="007A25F5" w:rsidRDefault="005A25C1" w:rsidP="00DD2EE6">
      <w:pPr>
        <w:pStyle w:val="PaperFormattext"/>
      </w:pPr>
    </w:p>
    <w:p w:rsidR="006420E1" w:rsidRPr="007A25F5" w:rsidRDefault="006420E1" w:rsidP="00BA32F4">
      <w:pPr>
        <w:pStyle w:val="PaperMainheadings"/>
        <w:widowControl w:val="0"/>
        <w:spacing w:line="360" w:lineRule="auto"/>
        <w:jc w:val="center"/>
        <w:rPr>
          <w:b w:val="0"/>
          <w:sz w:val="22"/>
          <w:szCs w:val="22"/>
        </w:rPr>
      </w:pPr>
      <w:r w:rsidRPr="007A25F5">
        <w:rPr>
          <w:b w:val="0"/>
          <w:sz w:val="22"/>
          <w:szCs w:val="22"/>
        </w:rPr>
        <w:t>REFERENCES</w:t>
      </w:r>
    </w:p>
    <w:p w:rsidR="006420E1" w:rsidRPr="007A25F5" w:rsidRDefault="006420E1" w:rsidP="00DD2EE6">
      <w:pPr>
        <w:pStyle w:val="PaperFormattext"/>
      </w:pPr>
    </w:p>
    <w:p w:rsidR="00E62D97" w:rsidRPr="007A25F5" w:rsidRDefault="00E62D97" w:rsidP="00BA32F4">
      <w:pPr>
        <w:pStyle w:val="PaperReferences"/>
        <w:widowControl w:val="0"/>
        <w:spacing w:after="0" w:line="360" w:lineRule="auto"/>
        <w:ind w:left="567" w:hanging="567"/>
      </w:pPr>
      <w:r w:rsidRPr="007A25F5">
        <w:t>Ambrose RB, Wool TA</w:t>
      </w:r>
      <w:r w:rsidR="001921A9" w:rsidRPr="007A25F5">
        <w:t>,</w:t>
      </w:r>
      <w:r w:rsidRPr="007A25F5">
        <w:t xml:space="preserve"> Martin JL. 1993. </w:t>
      </w:r>
      <w:r w:rsidRPr="007A25F5">
        <w:rPr>
          <w:i/>
        </w:rPr>
        <w:t xml:space="preserve">The Water Quality Analysis Simulation Program, WASP5 version 5.10. Part A: Model </w:t>
      </w:r>
      <w:r w:rsidR="00B7212C" w:rsidRPr="007A25F5">
        <w:rPr>
          <w:i/>
        </w:rPr>
        <w:t>Documentation</w:t>
      </w:r>
      <w:r w:rsidR="00646047" w:rsidRPr="007A25F5">
        <w:t xml:space="preserve">. </w:t>
      </w:r>
      <w:r w:rsidRPr="007A25F5">
        <w:t>Environmental Research Laboratory, U.S. Environmental Protection Agency, Office of Research and Development, Athens, GA, USA.</w:t>
      </w:r>
    </w:p>
    <w:p w:rsidR="005313B7" w:rsidRPr="007A25F5" w:rsidRDefault="005313B7" w:rsidP="005313B7">
      <w:pPr>
        <w:pStyle w:val="PaperReferences"/>
        <w:widowControl w:val="0"/>
        <w:spacing w:after="0" w:line="360" w:lineRule="auto"/>
        <w:ind w:left="567" w:hanging="567"/>
      </w:pPr>
      <w:r w:rsidRPr="007A25F5">
        <w:t xml:space="preserve">American Public Health Association (APHA). 1998. </w:t>
      </w:r>
      <w:r w:rsidRPr="007A25F5">
        <w:rPr>
          <w:i/>
        </w:rPr>
        <w:t>Standard Methods for the Examination of Water and Wastewater (20</w:t>
      </w:r>
      <w:r w:rsidRPr="007A25F5">
        <w:rPr>
          <w:i/>
          <w:vertAlign w:val="superscript"/>
        </w:rPr>
        <w:t>th</w:t>
      </w:r>
      <w:r w:rsidRPr="007A25F5">
        <w:rPr>
          <w:i/>
        </w:rPr>
        <w:t>ed.)</w:t>
      </w:r>
      <w:r w:rsidRPr="007A25F5">
        <w:t>. Washington, DC, USA.</w:t>
      </w:r>
    </w:p>
    <w:p w:rsidR="00E62D97" w:rsidRPr="007A25F5" w:rsidRDefault="00E62D97" w:rsidP="00BA32F4">
      <w:pPr>
        <w:pStyle w:val="PaperReferences"/>
        <w:widowControl w:val="0"/>
        <w:spacing w:after="0" w:line="360" w:lineRule="auto"/>
        <w:ind w:left="567" w:hanging="567"/>
      </w:pPr>
      <w:r w:rsidRPr="007A25F5">
        <w:t>Annan JD</w:t>
      </w:r>
      <w:r w:rsidR="00B133C6" w:rsidRPr="007A25F5">
        <w:t>.</w:t>
      </w:r>
      <w:r w:rsidRPr="007A25F5">
        <w:t xml:space="preserve"> 2001. Modelling under uncertainty: Monte Carlo methods for temporally varying parameters. </w:t>
      </w:r>
      <w:r w:rsidRPr="007A25F5">
        <w:rPr>
          <w:i/>
        </w:rPr>
        <w:t>Ecol</w:t>
      </w:r>
      <w:r w:rsidR="001E2918" w:rsidRPr="007A25F5">
        <w:rPr>
          <w:i/>
        </w:rPr>
        <w:t xml:space="preserve">ogical </w:t>
      </w:r>
      <w:r w:rsidRPr="007A25F5">
        <w:rPr>
          <w:i/>
        </w:rPr>
        <w:t>Modelling</w:t>
      </w:r>
      <w:r w:rsidRPr="007A25F5">
        <w:rPr>
          <w:b/>
        </w:rPr>
        <w:t>136</w:t>
      </w:r>
      <w:r w:rsidR="00534B7E" w:rsidRPr="007A25F5">
        <w:t>:</w:t>
      </w:r>
      <w:r w:rsidRPr="007A25F5">
        <w:t xml:space="preserve"> 297</w:t>
      </w:r>
      <w:r w:rsidR="001E2918" w:rsidRPr="007A25F5">
        <w:t>–</w:t>
      </w:r>
      <w:r w:rsidRPr="007A25F5">
        <w:t>302.</w:t>
      </w:r>
    </w:p>
    <w:p w:rsidR="00302D6F" w:rsidRPr="007A25F5" w:rsidRDefault="00302D6F" w:rsidP="00BA32F4">
      <w:pPr>
        <w:pStyle w:val="PaperReferences"/>
        <w:widowControl w:val="0"/>
        <w:spacing w:after="0" w:line="360" w:lineRule="auto"/>
        <w:ind w:left="567" w:hanging="567"/>
      </w:pPr>
      <w:r w:rsidRPr="007A25F5">
        <w:t xml:space="preserve">Aronica GT, Candela A, Fabio P, Santoro M. 2012. Estimation of flood inundation probabilities using global hazard indexes based on hydrodynamic variables. </w:t>
      </w:r>
      <w:r w:rsidRPr="007A25F5">
        <w:rPr>
          <w:i/>
        </w:rPr>
        <w:t>Physics and Chemistry of the Earth Parts A/B/C</w:t>
      </w:r>
      <w:r w:rsidRPr="007A25F5">
        <w:rPr>
          <w:b/>
        </w:rPr>
        <w:t>42-44</w:t>
      </w:r>
      <w:r w:rsidRPr="007A25F5">
        <w:t>: 119</w:t>
      </w:r>
      <w:r w:rsidR="00690EC3" w:rsidRPr="007A25F5">
        <w:t>–</w:t>
      </w:r>
      <w:r w:rsidRPr="007A25F5">
        <w:t>129. DOI: 10.1016/j.pce.2011.04.001.</w:t>
      </w:r>
    </w:p>
    <w:p w:rsidR="00563130" w:rsidRPr="007A25F5" w:rsidRDefault="00563130" w:rsidP="00BA32F4">
      <w:pPr>
        <w:pStyle w:val="PaperReferences"/>
        <w:widowControl w:val="0"/>
        <w:spacing w:after="0" w:line="360" w:lineRule="auto"/>
        <w:ind w:left="567" w:hanging="567"/>
      </w:pPr>
      <w:r w:rsidRPr="007A25F5">
        <w:t xml:space="preserve">Beck MB. 1987. Water quality modelling: A review of the analysis of uncertainty. </w:t>
      </w:r>
      <w:r w:rsidRPr="007A25F5">
        <w:rPr>
          <w:i/>
        </w:rPr>
        <w:t>Water Resources Research</w:t>
      </w:r>
      <w:r w:rsidRPr="007A25F5">
        <w:rPr>
          <w:b/>
        </w:rPr>
        <w:t>23</w:t>
      </w:r>
      <w:r w:rsidRPr="007A25F5">
        <w:t>(8):1393</w:t>
      </w:r>
      <w:r w:rsidR="00983801" w:rsidRPr="007A25F5">
        <w:t>–</w:t>
      </w:r>
      <w:r w:rsidRPr="007A25F5">
        <w:t>1442</w:t>
      </w:r>
      <w:r w:rsidR="00394EE3" w:rsidRPr="007A25F5">
        <w:t>.</w:t>
      </w:r>
    </w:p>
    <w:p w:rsidR="00302D6F" w:rsidRPr="007A25F5" w:rsidRDefault="00302D6F" w:rsidP="00BA32F4">
      <w:pPr>
        <w:pStyle w:val="PaperReferences"/>
        <w:widowControl w:val="0"/>
        <w:spacing w:after="0" w:line="360" w:lineRule="auto"/>
        <w:ind w:left="567" w:hanging="567"/>
      </w:pPr>
      <w:r w:rsidRPr="007A25F5">
        <w:t>Beven K</w:t>
      </w:r>
      <w:r w:rsidR="00F75BAE" w:rsidRPr="007A25F5">
        <w:t>J</w:t>
      </w:r>
      <w:r w:rsidRPr="007A25F5">
        <w:t xml:space="preserve">, Binley A. 1992. The future of distributed models: model calibration and uncertainty prediction. </w:t>
      </w:r>
      <w:r w:rsidRPr="007A25F5">
        <w:rPr>
          <w:i/>
        </w:rPr>
        <w:t>Hydrol</w:t>
      </w:r>
      <w:r w:rsidR="00671330" w:rsidRPr="007A25F5">
        <w:rPr>
          <w:i/>
        </w:rPr>
        <w:t>ogical</w:t>
      </w:r>
      <w:r w:rsidRPr="007A25F5">
        <w:rPr>
          <w:i/>
        </w:rPr>
        <w:t xml:space="preserve"> Process</w:t>
      </w:r>
      <w:r w:rsidR="00671330" w:rsidRPr="007A25F5">
        <w:rPr>
          <w:i/>
        </w:rPr>
        <w:t>es</w:t>
      </w:r>
      <w:r w:rsidRPr="007A25F5">
        <w:rPr>
          <w:b/>
        </w:rPr>
        <w:t>6</w:t>
      </w:r>
      <w:r w:rsidRPr="007A25F5">
        <w:t>: 279</w:t>
      </w:r>
      <w:r w:rsidR="004F7489" w:rsidRPr="007A25F5">
        <w:t>–</w:t>
      </w:r>
      <w:r w:rsidRPr="007A25F5">
        <w:t>298.</w:t>
      </w:r>
    </w:p>
    <w:p w:rsidR="00302D6F" w:rsidRPr="007A25F5" w:rsidRDefault="00302D6F" w:rsidP="00BA32F4">
      <w:pPr>
        <w:pStyle w:val="PaperReferences"/>
        <w:widowControl w:val="0"/>
        <w:spacing w:after="0" w:line="360" w:lineRule="auto"/>
        <w:ind w:left="567" w:hanging="567"/>
      </w:pPr>
      <w:r w:rsidRPr="007A25F5">
        <w:t>Beven K</w:t>
      </w:r>
      <w:r w:rsidR="00F75BAE" w:rsidRPr="007A25F5">
        <w:t>J</w:t>
      </w:r>
      <w:r w:rsidRPr="007A25F5">
        <w:t>, Binley A. 2013. GLUE: 20 years on</w:t>
      </w:r>
      <w:r w:rsidR="00671330" w:rsidRPr="007A25F5">
        <w:t xml:space="preserve">. </w:t>
      </w:r>
      <w:r w:rsidR="00671330" w:rsidRPr="007A25F5">
        <w:rPr>
          <w:i/>
        </w:rPr>
        <w:t>Hydrological Processes</w:t>
      </w:r>
      <w:r w:rsidRPr="007A25F5">
        <w:rPr>
          <w:b/>
        </w:rPr>
        <w:t>28</w:t>
      </w:r>
      <w:r w:rsidRPr="007A25F5">
        <w:t>(24): 5897</w:t>
      </w:r>
      <w:r w:rsidR="00AB3AC1" w:rsidRPr="007A25F5">
        <w:t>–</w:t>
      </w:r>
      <w:r w:rsidRPr="007A25F5">
        <w:t>5918. DOI: 10.1002/hyp.10082.</w:t>
      </w:r>
    </w:p>
    <w:p w:rsidR="00E62D97" w:rsidRPr="007A25F5" w:rsidRDefault="00E62D97" w:rsidP="00BA32F4">
      <w:pPr>
        <w:pStyle w:val="PaperReferences"/>
        <w:widowControl w:val="0"/>
        <w:spacing w:after="0" w:line="360" w:lineRule="auto"/>
        <w:ind w:left="567" w:hanging="567"/>
      </w:pPr>
      <w:r w:rsidRPr="007A25F5">
        <w:t>Beven KJ</w:t>
      </w:r>
      <w:r w:rsidR="001921A9" w:rsidRPr="007A25F5">
        <w:t>,</w:t>
      </w:r>
      <w:r w:rsidRPr="007A25F5">
        <w:t xml:space="preserve"> Freer J. 2001. Equifinality, data assimilation, and uncertainty estimation in mechanistic modeling of complex environmental systems using the GLUE methodology.</w:t>
      </w:r>
      <w:r w:rsidRPr="007A25F5">
        <w:rPr>
          <w:i/>
        </w:rPr>
        <w:t>J</w:t>
      </w:r>
      <w:r w:rsidR="000F732F" w:rsidRPr="007A25F5">
        <w:rPr>
          <w:i/>
        </w:rPr>
        <w:t>ournal of</w:t>
      </w:r>
      <w:r w:rsidRPr="007A25F5">
        <w:rPr>
          <w:i/>
        </w:rPr>
        <w:t>Hydrol</w:t>
      </w:r>
      <w:r w:rsidR="000F732F" w:rsidRPr="007A25F5">
        <w:rPr>
          <w:i/>
        </w:rPr>
        <w:t>ogy</w:t>
      </w:r>
      <w:r w:rsidRPr="007A25F5">
        <w:rPr>
          <w:b/>
        </w:rPr>
        <w:t>249</w:t>
      </w:r>
      <w:r w:rsidR="00534B7E" w:rsidRPr="007A25F5">
        <w:t>:</w:t>
      </w:r>
      <w:r w:rsidRPr="007A25F5">
        <w:t xml:space="preserve"> 11</w:t>
      </w:r>
      <w:r w:rsidR="00AB3AC1" w:rsidRPr="007A25F5">
        <w:t>–</w:t>
      </w:r>
      <w:r w:rsidRPr="007A25F5">
        <w:t>29.</w:t>
      </w:r>
    </w:p>
    <w:p w:rsidR="00E62D97" w:rsidRPr="007A25F5" w:rsidRDefault="00E62D97" w:rsidP="00BA32F4">
      <w:pPr>
        <w:pStyle w:val="PaperReferences"/>
        <w:widowControl w:val="0"/>
        <w:spacing w:after="0" w:line="360" w:lineRule="auto"/>
        <w:ind w:left="567" w:hanging="567"/>
      </w:pPr>
      <w:r w:rsidRPr="007A25F5">
        <w:t>Bicknell BR, Imhoff JC, Kittle JL, Donigian AS</w:t>
      </w:r>
      <w:r w:rsidR="001921A9" w:rsidRPr="007A25F5">
        <w:t>,</w:t>
      </w:r>
      <w:r w:rsidRPr="007A25F5">
        <w:t xml:space="preserve">Johanson RC. 2001. </w:t>
      </w:r>
      <w:r w:rsidRPr="007A25F5">
        <w:rPr>
          <w:i/>
        </w:rPr>
        <w:t>Hydrological Simulation Program-FORTRAN (HSPF): User</w:t>
      </w:r>
      <w:r w:rsidR="00FA3169" w:rsidRPr="007A25F5">
        <w:rPr>
          <w:i/>
        </w:rPr>
        <w:t>'</w:t>
      </w:r>
      <w:r w:rsidRPr="007A25F5">
        <w:rPr>
          <w:i/>
        </w:rPr>
        <w:t xml:space="preserve">s </w:t>
      </w:r>
      <w:r w:rsidR="00035F36" w:rsidRPr="007A25F5">
        <w:rPr>
          <w:i/>
        </w:rPr>
        <w:t xml:space="preserve">Manual </w:t>
      </w:r>
      <w:r w:rsidRPr="007A25F5">
        <w:rPr>
          <w:i/>
        </w:rPr>
        <w:t xml:space="preserve">for </w:t>
      </w:r>
      <w:r w:rsidR="00CC4A07" w:rsidRPr="007A25F5">
        <w:rPr>
          <w:i/>
        </w:rPr>
        <w:t xml:space="preserve">Release </w:t>
      </w:r>
      <w:r w:rsidRPr="007A25F5">
        <w:rPr>
          <w:i/>
        </w:rPr>
        <w:t>12</w:t>
      </w:r>
      <w:r w:rsidR="00CC4A07" w:rsidRPr="007A25F5">
        <w:t xml:space="preserve">. </w:t>
      </w:r>
      <w:r w:rsidRPr="007A25F5">
        <w:t>Environmental Research Laboratory, U.S. Environmental Protection Agency, Athens, GA, USA.</w:t>
      </w:r>
    </w:p>
    <w:p w:rsidR="00D100AF" w:rsidRPr="007A25F5" w:rsidRDefault="00D100AF" w:rsidP="00BA32F4">
      <w:pPr>
        <w:pStyle w:val="PaperReferences"/>
        <w:widowControl w:val="0"/>
        <w:spacing w:after="0" w:line="360" w:lineRule="auto"/>
        <w:ind w:left="567" w:hanging="567"/>
      </w:pPr>
      <w:r w:rsidRPr="007A25F5">
        <w:rPr>
          <w:lang w:val="nl-NL"/>
        </w:rPr>
        <w:t xml:space="preserve">Cheng QB, Chen X, Xu CY, Reinhardt-Imjela C, Schulte A. 2014. </w:t>
      </w:r>
      <w:r w:rsidRPr="007A25F5">
        <w:t>Improvement and comparison of likelihood functions for model calibration and parameter uncertainty analysis within a Markov chain Monte Carlo scheme.</w:t>
      </w:r>
      <w:r w:rsidRPr="007A25F5">
        <w:rPr>
          <w:i/>
        </w:rPr>
        <w:t>J</w:t>
      </w:r>
      <w:r w:rsidR="002C1CF1" w:rsidRPr="007A25F5">
        <w:rPr>
          <w:i/>
        </w:rPr>
        <w:t>ournal</w:t>
      </w:r>
      <w:r w:rsidR="00E759BD" w:rsidRPr="007A25F5">
        <w:rPr>
          <w:i/>
        </w:rPr>
        <w:t>o</w:t>
      </w:r>
      <w:r w:rsidR="002C1CF1" w:rsidRPr="007A25F5">
        <w:rPr>
          <w:i/>
        </w:rPr>
        <w:t xml:space="preserve">f </w:t>
      </w:r>
      <w:r w:rsidRPr="007A25F5">
        <w:rPr>
          <w:i/>
        </w:rPr>
        <w:t>Hydrol</w:t>
      </w:r>
      <w:r w:rsidR="002C1CF1" w:rsidRPr="007A25F5">
        <w:rPr>
          <w:i/>
        </w:rPr>
        <w:t>ogy</w:t>
      </w:r>
      <w:r w:rsidRPr="007A25F5">
        <w:rPr>
          <w:b/>
        </w:rPr>
        <w:t>519</w:t>
      </w:r>
      <w:r w:rsidRPr="007A25F5">
        <w:t>: 2202</w:t>
      </w:r>
      <w:r w:rsidR="00AB3AC1" w:rsidRPr="007A25F5">
        <w:t>–</w:t>
      </w:r>
      <w:r w:rsidRPr="007A25F5">
        <w:t>2214. DOI: 10.1016/j.jhydrol.2014.10.008.</w:t>
      </w:r>
    </w:p>
    <w:p w:rsidR="00E62D97" w:rsidRPr="007A25F5" w:rsidRDefault="00E62D97" w:rsidP="00BA32F4">
      <w:pPr>
        <w:pStyle w:val="PaperReferences"/>
        <w:widowControl w:val="0"/>
        <w:spacing w:after="0" w:line="360" w:lineRule="auto"/>
        <w:ind w:left="567" w:hanging="567"/>
      </w:pPr>
      <w:r w:rsidRPr="007A25F5">
        <w:lastRenderedPageBreak/>
        <w:t>Cooke GD, Welch EB, Peterson SA</w:t>
      </w:r>
      <w:r w:rsidR="001921A9" w:rsidRPr="007A25F5">
        <w:t>,</w:t>
      </w:r>
      <w:r w:rsidRPr="007A25F5">
        <w:t>Newroth PR. 1993.</w:t>
      </w:r>
      <w:r w:rsidRPr="007A25F5">
        <w:rPr>
          <w:i/>
        </w:rPr>
        <w:t xml:space="preserve">Restoration and </w:t>
      </w:r>
      <w:r w:rsidR="00376251" w:rsidRPr="007A25F5">
        <w:rPr>
          <w:i/>
        </w:rPr>
        <w:t xml:space="preserve">Management </w:t>
      </w:r>
      <w:r w:rsidRPr="007A25F5">
        <w:rPr>
          <w:i/>
        </w:rPr>
        <w:t xml:space="preserve">of </w:t>
      </w:r>
      <w:r w:rsidR="00376251" w:rsidRPr="007A25F5">
        <w:rPr>
          <w:i/>
        </w:rPr>
        <w:t xml:space="preserve">Lakes </w:t>
      </w:r>
      <w:r w:rsidRPr="007A25F5">
        <w:rPr>
          <w:i/>
        </w:rPr>
        <w:t xml:space="preserve">and </w:t>
      </w:r>
      <w:r w:rsidR="00376251" w:rsidRPr="007A25F5">
        <w:rPr>
          <w:i/>
        </w:rPr>
        <w:t>Reservoirs</w:t>
      </w:r>
      <w:r w:rsidRPr="007A25F5">
        <w:rPr>
          <w:i/>
        </w:rPr>
        <w:t>, 2nd edn.</w:t>
      </w:r>
      <w:r w:rsidRPr="007A25F5">
        <w:t>CRC Press, New York, NY, USA.</w:t>
      </w:r>
    </w:p>
    <w:p w:rsidR="00E62D97" w:rsidRPr="007A25F5" w:rsidRDefault="00E62D97" w:rsidP="00BA32F4">
      <w:pPr>
        <w:pStyle w:val="PaperReferences"/>
        <w:widowControl w:val="0"/>
        <w:spacing w:after="0" w:line="360" w:lineRule="auto"/>
        <w:ind w:left="567" w:hanging="567"/>
      </w:pPr>
      <w:r w:rsidRPr="007A25F5">
        <w:t>Crowder BM, Pionke HB, Epp DJ</w:t>
      </w:r>
      <w:r w:rsidR="001921A9" w:rsidRPr="007A25F5">
        <w:t>,</w:t>
      </w:r>
      <w:r w:rsidRPr="007A25F5">
        <w:t xml:space="preserve"> Young CE</w:t>
      </w:r>
      <w:r w:rsidR="006319BF" w:rsidRPr="007A25F5">
        <w:t>.</w:t>
      </w:r>
      <w:r w:rsidRPr="007A25F5">
        <w:t xml:space="preserve"> 1985. Using CREAMS and economic modelling to evaluate conservation practices: An application. </w:t>
      </w:r>
      <w:r w:rsidRPr="007A25F5">
        <w:rPr>
          <w:i/>
        </w:rPr>
        <w:t>J</w:t>
      </w:r>
      <w:r w:rsidR="007369C7" w:rsidRPr="007A25F5">
        <w:rPr>
          <w:i/>
        </w:rPr>
        <w:t>ournal of</w:t>
      </w:r>
      <w:r w:rsidRPr="007A25F5">
        <w:rPr>
          <w:i/>
        </w:rPr>
        <w:t xml:space="preserve"> Environ</w:t>
      </w:r>
      <w:r w:rsidR="007369C7" w:rsidRPr="007A25F5">
        <w:rPr>
          <w:i/>
        </w:rPr>
        <w:t>mental</w:t>
      </w:r>
      <w:r w:rsidRPr="007A25F5">
        <w:rPr>
          <w:i/>
        </w:rPr>
        <w:t xml:space="preserve"> Qual</w:t>
      </w:r>
      <w:r w:rsidR="007369C7" w:rsidRPr="007A25F5">
        <w:rPr>
          <w:i/>
        </w:rPr>
        <w:t>ity</w:t>
      </w:r>
      <w:r w:rsidRPr="007A25F5">
        <w:rPr>
          <w:b/>
        </w:rPr>
        <w:t>14</w:t>
      </w:r>
      <w:r w:rsidR="00534B7E" w:rsidRPr="007A25F5">
        <w:t>:</w:t>
      </w:r>
      <w:r w:rsidRPr="007A25F5">
        <w:t xml:space="preserve"> 428</w:t>
      </w:r>
      <w:r w:rsidR="00AB3AC1" w:rsidRPr="007A25F5">
        <w:t>–</w:t>
      </w:r>
      <w:r w:rsidRPr="007A25F5">
        <w:t>434.</w:t>
      </w:r>
    </w:p>
    <w:p w:rsidR="00E62D97" w:rsidRPr="007A25F5" w:rsidRDefault="00E62D97" w:rsidP="00BA32F4">
      <w:pPr>
        <w:pStyle w:val="PaperReferences"/>
        <w:widowControl w:val="0"/>
        <w:spacing w:after="0" w:line="360" w:lineRule="auto"/>
        <w:ind w:left="567" w:hanging="567"/>
      </w:pPr>
      <w:r w:rsidRPr="007A25F5">
        <w:t>Eckhardt K, Breuer L</w:t>
      </w:r>
      <w:r w:rsidR="001921A9" w:rsidRPr="007A25F5">
        <w:t>,</w:t>
      </w:r>
      <w:r w:rsidRPr="007A25F5">
        <w:t xml:space="preserve">Frede H. 2003. Parameter uncertainty and the significance of simulated land use change effects. </w:t>
      </w:r>
      <w:r w:rsidRPr="007A25F5">
        <w:rPr>
          <w:i/>
        </w:rPr>
        <w:t>J</w:t>
      </w:r>
      <w:r w:rsidR="007369C7" w:rsidRPr="007A25F5">
        <w:rPr>
          <w:i/>
        </w:rPr>
        <w:t>ournal of</w:t>
      </w:r>
      <w:r w:rsidRPr="007A25F5">
        <w:rPr>
          <w:i/>
        </w:rPr>
        <w:t xml:space="preserve"> Hydrol</w:t>
      </w:r>
      <w:r w:rsidR="007369C7" w:rsidRPr="007A25F5">
        <w:rPr>
          <w:i/>
        </w:rPr>
        <w:t>ogy</w:t>
      </w:r>
      <w:r w:rsidRPr="007A25F5">
        <w:rPr>
          <w:b/>
        </w:rPr>
        <w:t>273</w:t>
      </w:r>
      <w:r w:rsidR="00534B7E" w:rsidRPr="007A25F5">
        <w:t>:</w:t>
      </w:r>
      <w:r w:rsidRPr="007A25F5">
        <w:t xml:space="preserve"> 164</w:t>
      </w:r>
      <w:r w:rsidR="00AB3AC1" w:rsidRPr="007A25F5">
        <w:t>–</w:t>
      </w:r>
      <w:r w:rsidRPr="007A25F5">
        <w:t>176.</w:t>
      </w:r>
    </w:p>
    <w:p w:rsidR="00E62D97" w:rsidRPr="007A25F5" w:rsidRDefault="00E62D97" w:rsidP="00BA32F4">
      <w:pPr>
        <w:pStyle w:val="PaperReferences"/>
        <w:widowControl w:val="0"/>
        <w:spacing w:after="0" w:line="360" w:lineRule="auto"/>
        <w:ind w:left="567" w:hanging="567"/>
      </w:pPr>
      <w:r w:rsidRPr="007A25F5">
        <w:t>Freer J</w:t>
      </w:r>
      <w:r w:rsidR="001921A9" w:rsidRPr="007A25F5">
        <w:t>,</w:t>
      </w:r>
      <w:r w:rsidRPr="007A25F5">
        <w:t xml:space="preserve">Beven KJ. 1996. Bayesian estimation of uncertainty in runoff prediction and the value of data: an application of the GLUE approach. </w:t>
      </w:r>
      <w:r w:rsidRPr="007A25F5">
        <w:rPr>
          <w:i/>
        </w:rPr>
        <w:t>Water Resources Research</w:t>
      </w:r>
      <w:r w:rsidRPr="007A25F5">
        <w:rPr>
          <w:b/>
        </w:rPr>
        <w:t>32</w:t>
      </w:r>
      <w:r w:rsidRPr="007A25F5">
        <w:t>(7)</w:t>
      </w:r>
      <w:r w:rsidR="00534B7E" w:rsidRPr="007A25F5">
        <w:t>:</w:t>
      </w:r>
      <w:r w:rsidRPr="007A25F5">
        <w:t xml:space="preserve"> 2161</w:t>
      </w:r>
      <w:r w:rsidR="00AB3AC1" w:rsidRPr="007A25F5">
        <w:t>–</w:t>
      </w:r>
      <w:r w:rsidRPr="007A25F5">
        <w:t>2173.</w:t>
      </w:r>
    </w:p>
    <w:p w:rsidR="00E62D97" w:rsidRPr="007A25F5" w:rsidRDefault="00E62D97" w:rsidP="00BA32F4">
      <w:pPr>
        <w:pStyle w:val="PaperReferences"/>
        <w:widowControl w:val="0"/>
        <w:spacing w:after="0" w:line="360" w:lineRule="auto"/>
        <w:ind w:left="567" w:hanging="567"/>
      </w:pPr>
      <w:r w:rsidRPr="007A25F5">
        <w:t xml:space="preserve">Ham JH. 2005. </w:t>
      </w:r>
      <w:r w:rsidRPr="007A25F5">
        <w:rPr>
          <w:i/>
        </w:rPr>
        <w:t xml:space="preserve">Nonpoint </w:t>
      </w:r>
      <w:r w:rsidR="007369C7" w:rsidRPr="007A25F5">
        <w:rPr>
          <w:i/>
        </w:rPr>
        <w:t xml:space="preserve">Source Pollution </w:t>
      </w:r>
      <w:r w:rsidR="00B62260" w:rsidRPr="007A25F5">
        <w:rPr>
          <w:i/>
        </w:rPr>
        <w:t xml:space="preserve">Control </w:t>
      </w:r>
      <w:r w:rsidRPr="007A25F5">
        <w:rPr>
          <w:i/>
        </w:rPr>
        <w:t xml:space="preserve">using </w:t>
      </w:r>
      <w:r w:rsidR="00B62260" w:rsidRPr="007A25F5">
        <w:rPr>
          <w:i/>
        </w:rPr>
        <w:t xml:space="preserve">Constructed Wetlands </w:t>
      </w:r>
      <w:r w:rsidRPr="007A25F5">
        <w:rPr>
          <w:i/>
        </w:rPr>
        <w:t xml:space="preserve">and </w:t>
      </w:r>
      <w:r w:rsidR="00E759BD" w:rsidRPr="007A25F5">
        <w:rPr>
          <w:i/>
        </w:rPr>
        <w:t>I</w:t>
      </w:r>
      <w:r w:rsidR="00B62260" w:rsidRPr="007A25F5">
        <w:rPr>
          <w:i/>
        </w:rPr>
        <w:t>ntegrated Watershed Modelling</w:t>
      </w:r>
      <w:r w:rsidRPr="007A25F5">
        <w:t>. PhD thesis, Department of Rural Engineering, Konkuk University, Seoul, Korea.</w:t>
      </w:r>
    </w:p>
    <w:p w:rsidR="00D100AF" w:rsidRPr="007A25F5" w:rsidRDefault="00EB4E76" w:rsidP="00BA32F4">
      <w:pPr>
        <w:pStyle w:val="PaperReferences"/>
        <w:widowControl w:val="0"/>
        <w:spacing w:after="0" w:line="360" w:lineRule="auto"/>
        <w:ind w:left="567" w:hanging="567"/>
      </w:pPr>
      <w:r w:rsidRPr="007A25F5">
        <w:t>Jung Y,</w:t>
      </w:r>
      <w:r w:rsidR="00D100AF" w:rsidRPr="007A25F5">
        <w:t xml:space="preserve">Merwade V. 2012. Uncertainty Quantification in Flood Inundation Mapping Using Generalized Likelihood Uncertainty Estimate and Sensitivity Analysis. </w:t>
      </w:r>
      <w:r w:rsidR="00D100AF" w:rsidRPr="007A25F5">
        <w:rPr>
          <w:i/>
        </w:rPr>
        <w:t>J</w:t>
      </w:r>
      <w:r w:rsidR="00C845E7" w:rsidRPr="007A25F5">
        <w:rPr>
          <w:i/>
        </w:rPr>
        <w:t>ournal of</w:t>
      </w:r>
      <w:r w:rsidR="00D100AF" w:rsidRPr="007A25F5">
        <w:rPr>
          <w:i/>
        </w:rPr>
        <w:t xml:space="preserve"> Hydrologic Engineering</w:t>
      </w:r>
      <w:r w:rsidR="00D100AF" w:rsidRPr="007A25F5">
        <w:rPr>
          <w:b/>
        </w:rPr>
        <w:t>17</w:t>
      </w:r>
      <w:r w:rsidR="00D100AF" w:rsidRPr="007A25F5">
        <w:t>(4): 507</w:t>
      </w:r>
      <w:r w:rsidR="00AB3AC1" w:rsidRPr="007A25F5">
        <w:t>–</w:t>
      </w:r>
      <w:r w:rsidR="00D100AF" w:rsidRPr="007A25F5">
        <w:t>520. DOI: 10.1061/(ASCE)HE.1943-5584.0000476.</w:t>
      </w:r>
    </w:p>
    <w:p w:rsidR="00E62D97" w:rsidRPr="007A25F5" w:rsidRDefault="00E62D97" w:rsidP="00BA32F4">
      <w:pPr>
        <w:pStyle w:val="PaperReferences"/>
        <w:widowControl w:val="0"/>
        <w:spacing w:after="0" w:line="360" w:lineRule="auto"/>
        <w:ind w:left="567" w:hanging="567"/>
      </w:pPr>
      <w:r w:rsidRPr="007A25F5">
        <w:t>Kadlec RH</w:t>
      </w:r>
      <w:r w:rsidR="001921A9" w:rsidRPr="007A25F5">
        <w:t>,</w:t>
      </w:r>
      <w:r w:rsidRPr="007A25F5">
        <w:t xml:space="preserve"> Knight RL. 1996. </w:t>
      </w:r>
      <w:r w:rsidRPr="007A25F5">
        <w:rPr>
          <w:i/>
        </w:rPr>
        <w:t>Treatment wetlands</w:t>
      </w:r>
      <w:r w:rsidRPr="007A25F5">
        <w:t>. CRC Press</w:t>
      </w:r>
      <w:r w:rsidR="002315FB" w:rsidRPr="007A25F5">
        <w:t xml:space="preserve">: </w:t>
      </w:r>
      <w:r w:rsidRPr="007A25F5">
        <w:t>Boca Raton, FL, USA.</w:t>
      </w:r>
    </w:p>
    <w:p w:rsidR="003432A4" w:rsidRPr="007A25F5" w:rsidRDefault="003432A4" w:rsidP="00BA32F4">
      <w:pPr>
        <w:pStyle w:val="PaperReferences"/>
        <w:widowControl w:val="0"/>
        <w:spacing w:after="0" w:line="360" w:lineRule="auto"/>
        <w:ind w:left="567" w:hanging="567"/>
      </w:pPr>
      <w:r w:rsidRPr="007A25F5">
        <w:t xml:space="preserve">Lee CH, Lee BY, Chang WK, Hong SG, Song SJ, Park JS, Kwon BO, </w:t>
      </w:r>
      <w:r w:rsidR="00F10988" w:rsidRPr="007A25F5">
        <w:t>Khim</w:t>
      </w:r>
      <w:r w:rsidRPr="007A25F5">
        <w:t xml:space="preserve">JS. 2014. Environmental and ecological effects of Lake Shihwa reclamation project in South Korea: A review. </w:t>
      </w:r>
      <w:r w:rsidRPr="007A25F5">
        <w:rPr>
          <w:i/>
        </w:rPr>
        <w:t>Ocean &amp; Coastal Management</w:t>
      </w:r>
      <w:r w:rsidRPr="007A25F5">
        <w:rPr>
          <w:b/>
        </w:rPr>
        <w:t>102</w:t>
      </w:r>
      <w:r w:rsidRPr="007A25F5">
        <w:t>(B): 545</w:t>
      </w:r>
      <w:r w:rsidR="00660803" w:rsidRPr="007A25F5">
        <w:t>–</w:t>
      </w:r>
      <w:r w:rsidRPr="007A25F5">
        <w:t>558.</w:t>
      </w:r>
    </w:p>
    <w:p w:rsidR="00D100AF" w:rsidRPr="007A25F5" w:rsidRDefault="00D100AF" w:rsidP="00BA32F4">
      <w:pPr>
        <w:pStyle w:val="PaperReferences"/>
        <w:widowControl w:val="0"/>
        <w:spacing w:after="0" w:line="360" w:lineRule="auto"/>
        <w:ind w:left="567" w:hanging="567"/>
      </w:pPr>
      <w:r w:rsidRPr="007A25F5">
        <w:t>Leta OT, Nossent J, Velez C, Shrestha NK, Griensven A, Bauwens W. 2015. Assessment of the different sources of uncertainty in a SWAT model of the River Senne (Belgium).</w:t>
      </w:r>
      <w:r w:rsidRPr="007A25F5">
        <w:rPr>
          <w:i/>
        </w:rPr>
        <w:t>Environmental Modelling &amp; Software</w:t>
      </w:r>
      <w:r w:rsidRPr="007A25F5">
        <w:rPr>
          <w:b/>
        </w:rPr>
        <w:t>68</w:t>
      </w:r>
      <w:r w:rsidRPr="007A25F5">
        <w:t>: 129</w:t>
      </w:r>
      <w:r w:rsidR="00F85B24" w:rsidRPr="007A25F5">
        <w:t>–</w:t>
      </w:r>
      <w:r w:rsidRPr="007A25F5">
        <w:t>146. DOI: 10.1016/j.envsoft.2015.02.010.</w:t>
      </w:r>
    </w:p>
    <w:p w:rsidR="00D100AF" w:rsidRPr="007A25F5" w:rsidRDefault="00EB4E76" w:rsidP="00BA32F4">
      <w:pPr>
        <w:pStyle w:val="PaperReferences"/>
        <w:widowControl w:val="0"/>
        <w:spacing w:after="0" w:line="360" w:lineRule="auto"/>
        <w:ind w:left="567" w:hanging="567"/>
      </w:pPr>
      <w:r w:rsidRPr="007A25F5">
        <w:t>Lin K, Liu P, He Y,</w:t>
      </w:r>
      <w:r w:rsidR="00D100AF" w:rsidRPr="007A25F5">
        <w:t>Guo S. 2014. Multi-site evaluation to reduce parameter uncertainty in a conceptual hydrological modeling within the GLUE framework.</w:t>
      </w:r>
      <w:r w:rsidR="00D100AF" w:rsidRPr="007A25F5">
        <w:rPr>
          <w:i/>
        </w:rPr>
        <w:t>J</w:t>
      </w:r>
      <w:r w:rsidR="002B7B22" w:rsidRPr="007A25F5">
        <w:rPr>
          <w:i/>
        </w:rPr>
        <w:t>ournal of</w:t>
      </w:r>
      <w:r w:rsidR="00D100AF" w:rsidRPr="007A25F5">
        <w:rPr>
          <w:i/>
        </w:rPr>
        <w:t>Hydroinform</w:t>
      </w:r>
      <w:r w:rsidR="002B7B22" w:rsidRPr="007A25F5">
        <w:rPr>
          <w:i/>
        </w:rPr>
        <w:t>atics</w:t>
      </w:r>
      <w:r w:rsidR="00D100AF" w:rsidRPr="007A25F5">
        <w:rPr>
          <w:b/>
        </w:rPr>
        <w:t>16</w:t>
      </w:r>
      <w:r w:rsidR="00D100AF" w:rsidRPr="007A25F5">
        <w:t>(1): 60</w:t>
      </w:r>
      <w:r w:rsidR="00F85B24" w:rsidRPr="007A25F5">
        <w:t>–</w:t>
      </w:r>
      <w:r w:rsidR="00D100AF" w:rsidRPr="007A25F5">
        <w:t>73. DOI: 10.2166/hydro.2013.204.</w:t>
      </w:r>
    </w:p>
    <w:p w:rsidR="00D100AF" w:rsidRPr="007A25F5" w:rsidRDefault="00D100AF" w:rsidP="00BA32F4">
      <w:pPr>
        <w:pStyle w:val="PaperReferences"/>
        <w:widowControl w:val="0"/>
        <w:spacing w:after="0" w:line="360" w:lineRule="auto"/>
        <w:ind w:left="567" w:hanging="567"/>
      </w:pPr>
      <w:r w:rsidRPr="007A25F5">
        <w:t>Li S, Xiong L, Li HY, Leung R, Demissie Y. 2015. Attributing runoff changes to climate variability and human activities: uncertainty analysis using four monthly water balance models.</w:t>
      </w:r>
      <w:r w:rsidRPr="007A25F5">
        <w:rPr>
          <w:i/>
        </w:rPr>
        <w:t>Stoch</w:t>
      </w:r>
      <w:r w:rsidR="00696484" w:rsidRPr="007A25F5">
        <w:rPr>
          <w:i/>
        </w:rPr>
        <w:t>astic</w:t>
      </w:r>
      <w:r w:rsidRPr="007A25F5">
        <w:rPr>
          <w:i/>
        </w:rPr>
        <w:t xml:space="preserve"> Environ</w:t>
      </w:r>
      <w:r w:rsidR="00696484" w:rsidRPr="007A25F5">
        <w:rPr>
          <w:i/>
        </w:rPr>
        <w:t>mental</w:t>
      </w:r>
      <w:r w:rsidRPr="007A25F5">
        <w:rPr>
          <w:i/>
        </w:rPr>
        <w:t xml:space="preserve"> Res</w:t>
      </w:r>
      <w:r w:rsidR="00696484" w:rsidRPr="007A25F5">
        <w:rPr>
          <w:i/>
        </w:rPr>
        <w:t xml:space="preserve">earchAnd </w:t>
      </w:r>
      <w:r w:rsidRPr="007A25F5">
        <w:rPr>
          <w:i/>
        </w:rPr>
        <w:t>Risk Assess</w:t>
      </w:r>
      <w:r w:rsidR="00696484" w:rsidRPr="007A25F5">
        <w:rPr>
          <w:i/>
        </w:rPr>
        <w:t>ment</w:t>
      </w:r>
      <w:r w:rsidRPr="007A25F5">
        <w:t xml:space="preserve"> DOI: 10.1007/s00477-015-1083-8.</w:t>
      </w:r>
    </w:p>
    <w:p w:rsidR="00057E1B" w:rsidRPr="007A25F5" w:rsidRDefault="00057E1B" w:rsidP="00BA32F4">
      <w:pPr>
        <w:pStyle w:val="PaperReferences"/>
        <w:widowControl w:val="0"/>
        <w:spacing w:after="0" w:line="360" w:lineRule="auto"/>
        <w:ind w:left="567" w:hanging="567"/>
      </w:pPr>
      <w:r w:rsidRPr="007A25F5">
        <w:t>Mirzaei M, Huang YF, El-Shafie A, Chimeh T, Lee J, Vaizadeh N, Adamowski J. 2015. Uncertainty analysis for extreme flood events in a semi-arid region.</w:t>
      </w:r>
      <w:r w:rsidRPr="007A25F5">
        <w:rPr>
          <w:i/>
        </w:rPr>
        <w:t>Nat</w:t>
      </w:r>
      <w:r w:rsidR="00CC3B1B" w:rsidRPr="007A25F5">
        <w:rPr>
          <w:i/>
        </w:rPr>
        <w:t>ural</w:t>
      </w:r>
      <w:r w:rsidRPr="007A25F5">
        <w:rPr>
          <w:i/>
        </w:rPr>
        <w:t xml:space="preserve"> Hazards</w:t>
      </w:r>
      <w:r w:rsidR="00CC3B1B" w:rsidRPr="007A25F5">
        <w:rPr>
          <w:b/>
        </w:rPr>
        <w:t xml:space="preserve">78 </w:t>
      </w:r>
      <w:r w:rsidR="00CC3B1B" w:rsidRPr="007A25F5">
        <w:t>(3): 1947–1960</w:t>
      </w:r>
      <w:r w:rsidRPr="007A25F5">
        <w:t xml:space="preserve"> DOI: 10.1007/s11069-015-1812-9.</w:t>
      </w:r>
    </w:p>
    <w:p w:rsidR="00E62D97" w:rsidRPr="007A25F5" w:rsidRDefault="00624D37" w:rsidP="00BA32F4">
      <w:pPr>
        <w:pStyle w:val="PaperReferences"/>
        <w:widowControl w:val="0"/>
        <w:spacing w:after="0" w:line="360" w:lineRule="auto"/>
        <w:ind w:left="567" w:hanging="567"/>
      </w:pPr>
      <w:r w:rsidRPr="007A25F5">
        <w:t xml:space="preserve">Mitsch WJ, Gosselink JG. 2000. </w:t>
      </w:r>
      <w:r w:rsidRPr="007A25F5">
        <w:rPr>
          <w:i/>
        </w:rPr>
        <w:t>Wetlands</w:t>
      </w:r>
      <w:r w:rsidRPr="007A25F5">
        <w:t xml:space="preserve">. </w:t>
      </w:r>
      <w:r w:rsidR="00E62D97" w:rsidRPr="007A25F5">
        <w:t>John Wiley &amp; Sons</w:t>
      </w:r>
      <w:r w:rsidR="002315FB" w:rsidRPr="007A25F5">
        <w:t>:</w:t>
      </w:r>
      <w:r w:rsidR="00E62D97" w:rsidRPr="007A25F5">
        <w:t xml:space="preserve"> New York, NY, USA.</w:t>
      </w:r>
    </w:p>
    <w:p w:rsidR="00F16ECC" w:rsidRPr="007A25F5" w:rsidRDefault="00F16ECC" w:rsidP="00BA32F4">
      <w:pPr>
        <w:pStyle w:val="PaperReferences"/>
        <w:widowControl w:val="0"/>
        <w:spacing w:after="0" w:line="360" w:lineRule="auto"/>
        <w:ind w:left="567" w:hanging="567"/>
      </w:pPr>
      <w:r w:rsidRPr="007A25F5">
        <w:t xml:space="preserve">Mu J, Khan S, Gao Z. 2008. Integrated water assessment model for water budgeting under </w:t>
      </w:r>
      <w:r w:rsidRPr="007A25F5">
        <w:lastRenderedPageBreak/>
        <w:t>future development scenarios in Qiantang river basin of China.</w:t>
      </w:r>
      <w:r w:rsidRPr="007A25F5">
        <w:rPr>
          <w:i/>
        </w:rPr>
        <w:t>Irrigation and Drainage</w:t>
      </w:r>
      <w:r w:rsidRPr="007A25F5">
        <w:rPr>
          <w:b/>
        </w:rPr>
        <w:t>57</w:t>
      </w:r>
      <w:r w:rsidRPr="007A25F5">
        <w:t>(4): 369</w:t>
      </w:r>
      <w:r w:rsidR="00FD750B" w:rsidRPr="007A25F5">
        <w:t>–</w:t>
      </w:r>
      <w:r w:rsidRPr="007A25F5">
        <w:t>384. DOI: 10.1002/ird.366.</w:t>
      </w:r>
    </w:p>
    <w:p w:rsidR="00783D2F" w:rsidRPr="007A25F5" w:rsidRDefault="00783D2F" w:rsidP="00BA32F4">
      <w:pPr>
        <w:pStyle w:val="PaperReferences"/>
        <w:widowControl w:val="0"/>
        <w:spacing w:after="0" w:line="360" w:lineRule="auto"/>
        <w:ind w:left="567" w:hanging="567"/>
      </w:pPr>
      <w:r w:rsidRPr="007A25F5">
        <w:t>Mu J, Khan S, Liu Q, Xu D, Xu J, Wang W. 201</w:t>
      </w:r>
      <w:r w:rsidR="00F16ECC" w:rsidRPr="007A25F5">
        <w:t>3</w:t>
      </w:r>
      <w:r w:rsidRPr="007A25F5">
        <w:t>. A stochastic approach to analyse water management scenarios at the river basin level.</w:t>
      </w:r>
      <w:r w:rsidRPr="007A25F5">
        <w:rPr>
          <w:i/>
        </w:rPr>
        <w:t>Irrigation and Drainage</w:t>
      </w:r>
      <w:r w:rsidRPr="007A25F5">
        <w:rPr>
          <w:b/>
        </w:rPr>
        <w:t>62</w:t>
      </w:r>
      <w:r w:rsidR="003B4BCD" w:rsidRPr="007A25F5">
        <w:t>(4):</w:t>
      </w:r>
      <w:r w:rsidRPr="007A25F5">
        <w:t xml:space="preserve"> 379</w:t>
      </w:r>
      <w:r w:rsidR="005F2CD2" w:rsidRPr="007A25F5">
        <w:t>–</w:t>
      </w:r>
      <w:r w:rsidRPr="007A25F5">
        <w:t>395.</w:t>
      </w:r>
      <w:r w:rsidR="00F16ECC" w:rsidRPr="007A25F5">
        <w:t xml:space="preserve"> DOI: 10.1002/ird.1753</w:t>
      </w:r>
    </w:p>
    <w:p w:rsidR="00E62D97" w:rsidRPr="007A25F5" w:rsidRDefault="00E62D97" w:rsidP="00BA32F4">
      <w:pPr>
        <w:pStyle w:val="PaperReferences"/>
        <w:widowControl w:val="0"/>
        <w:spacing w:after="0" w:line="360" w:lineRule="auto"/>
        <w:ind w:left="567" w:hanging="567"/>
      </w:pPr>
      <w:r w:rsidRPr="007A25F5">
        <w:t>Nairn RW</w:t>
      </w:r>
      <w:r w:rsidR="001921A9" w:rsidRPr="007A25F5">
        <w:t>,</w:t>
      </w:r>
      <w:r w:rsidRPr="007A25F5">
        <w:t xml:space="preserve">Mitsch WJ. 2000. Phosphorus removal in created wetland ponds receiving river overflow. </w:t>
      </w:r>
      <w:r w:rsidRPr="007A25F5">
        <w:rPr>
          <w:i/>
        </w:rPr>
        <w:t>Ecol</w:t>
      </w:r>
      <w:r w:rsidR="000D631F" w:rsidRPr="007A25F5">
        <w:rPr>
          <w:i/>
        </w:rPr>
        <w:t>ogical</w:t>
      </w:r>
      <w:r w:rsidRPr="007A25F5">
        <w:rPr>
          <w:i/>
        </w:rPr>
        <w:t xml:space="preserve"> Eng</w:t>
      </w:r>
      <w:r w:rsidR="000D631F" w:rsidRPr="007A25F5">
        <w:rPr>
          <w:i/>
        </w:rPr>
        <w:t>ineering</w:t>
      </w:r>
      <w:r w:rsidRPr="007A25F5">
        <w:rPr>
          <w:b/>
        </w:rPr>
        <w:t>14</w:t>
      </w:r>
      <w:r w:rsidR="00534B7E" w:rsidRPr="007A25F5">
        <w:t>:</w:t>
      </w:r>
      <w:r w:rsidRPr="007A25F5">
        <w:t xml:space="preserve"> 107</w:t>
      </w:r>
      <w:r w:rsidR="005F2CD2" w:rsidRPr="007A25F5">
        <w:t>–</w:t>
      </w:r>
      <w:r w:rsidRPr="007A25F5">
        <w:t>126.</w:t>
      </w:r>
    </w:p>
    <w:p w:rsidR="00057E1B" w:rsidRPr="007A25F5" w:rsidRDefault="00EB4E76" w:rsidP="00BA32F4">
      <w:pPr>
        <w:pStyle w:val="PaperReferences"/>
        <w:widowControl w:val="0"/>
        <w:spacing w:after="0" w:line="360" w:lineRule="auto"/>
        <w:ind w:left="567" w:hanging="567"/>
      </w:pPr>
      <w:r w:rsidRPr="007A25F5">
        <w:t>Nash JE,</w:t>
      </w:r>
      <w:r w:rsidR="00057E1B" w:rsidRPr="007A25F5">
        <w:t xml:space="preserve"> Sutcliffe JV. 1970. River flow forecasting through conceptual models part I- A discussion of principles. </w:t>
      </w:r>
      <w:r w:rsidR="00057E1B" w:rsidRPr="007A25F5">
        <w:rPr>
          <w:i/>
        </w:rPr>
        <w:t>J</w:t>
      </w:r>
      <w:r w:rsidR="00D578C7" w:rsidRPr="007A25F5">
        <w:rPr>
          <w:i/>
        </w:rPr>
        <w:t>ournal</w:t>
      </w:r>
      <w:r w:rsidR="00FB70DC" w:rsidRPr="007A25F5">
        <w:rPr>
          <w:i/>
        </w:rPr>
        <w:t>o</w:t>
      </w:r>
      <w:r w:rsidR="00D578C7" w:rsidRPr="007A25F5">
        <w:rPr>
          <w:i/>
        </w:rPr>
        <w:t xml:space="preserve">f </w:t>
      </w:r>
      <w:r w:rsidR="00057E1B" w:rsidRPr="007A25F5">
        <w:rPr>
          <w:i/>
        </w:rPr>
        <w:t>Hydrol</w:t>
      </w:r>
      <w:r w:rsidR="00D578C7" w:rsidRPr="007A25F5">
        <w:rPr>
          <w:i/>
        </w:rPr>
        <w:t>ogy</w:t>
      </w:r>
      <w:r w:rsidR="00057E1B" w:rsidRPr="007A25F5">
        <w:rPr>
          <w:b/>
        </w:rPr>
        <w:t>10</w:t>
      </w:r>
      <w:r w:rsidR="00057E1B" w:rsidRPr="007A25F5">
        <w:t>(3): 282</w:t>
      </w:r>
      <w:r w:rsidR="005F2CD2" w:rsidRPr="007A25F5">
        <w:t>–</w:t>
      </w:r>
      <w:r w:rsidR="00057E1B" w:rsidRPr="007A25F5">
        <w:t>290.</w:t>
      </w:r>
    </w:p>
    <w:p w:rsidR="00E62D97" w:rsidRPr="007A25F5" w:rsidRDefault="00BA3F83" w:rsidP="00BA32F4">
      <w:pPr>
        <w:pStyle w:val="PaperReferences"/>
        <w:widowControl w:val="0"/>
        <w:spacing w:after="0" w:line="360" w:lineRule="auto"/>
        <w:ind w:left="567" w:hanging="567"/>
      </w:pPr>
      <w:r w:rsidRPr="007A25F5">
        <w:t>National Research Council (</w:t>
      </w:r>
      <w:r w:rsidR="00E62D97" w:rsidRPr="007A25F5">
        <w:t>NRC</w:t>
      </w:r>
      <w:r w:rsidRPr="007A25F5">
        <w:t>)</w:t>
      </w:r>
      <w:r w:rsidR="006319BF" w:rsidRPr="007A25F5">
        <w:t>.</w:t>
      </w:r>
      <w:r w:rsidR="00E62D97" w:rsidRPr="007A25F5">
        <w:t xml:space="preserve"> 2001. </w:t>
      </w:r>
      <w:r w:rsidR="00E62D97" w:rsidRPr="007A25F5">
        <w:rPr>
          <w:i/>
        </w:rPr>
        <w:t>Assessing the TMDL approach to water quality management. Committee to access the Scientific Basis of the Total Maximum Daily Load Approach to Water Pollution Reduction</w:t>
      </w:r>
      <w:r w:rsidR="008714DA" w:rsidRPr="007A25F5">
        <w:t xml:space="preserve">. </w:t>
      </w:r>
      <w:r w:rsidR="00E62D97" w:rsidRPr="007A25F5">
        <w:t>Water Science and Technology Board, Div</w:t>
      </w:r>
      <w:r w:rsidRPr="007A25F5">
        <w:t>ision of Earth and Life Studies</w:t>
      </w:r>
      <w:r w:rsidR="00E62D97" w:rsidRPr="007A25F5">
        <w:t>. Washington, DC.</w:t>
      </w:r>
    </w:p>
    <w:p w:rsidR="007B545D" w:rsidRPr="007A25F5" w:rsidRDefault="007B545D" w:rsidP="00BA32F4">
      <w:pPr>
        <w:pStyle w:val="PaperReferences"/>
        <w:widowControl w:val="0"/>
        <w:spacing w:after="0" w:line="360" w:lineRule="auto"/>
        <w:ind w:left="567" w:hanging="567"/>
      </w:pPr>
      <w:r w:rsidRPr="007A25F5">
        <w:t>Shojaei M</w:t>
      </w:r>
      <w:r w:rsidR="00E91431" w:rsidRPr="007A25F5">
        <w:t>,</w:t>
      </w:r>
      <w:r w:rsidRPr="007A25F5">
        <w:t>Nazif S</w:t>
      </w:r>
      <w:r w:rsidR="00E91431" w:rsidRPr="007A25F5">
        <w:t>,</w:t>
      </w:r>
      <w:r w:rsidRPr="007A25F5">
        <w:t>Kerachian R. 2015. Joint uncertainty analysis in river water quality simulation: a case study of the Karoon River in Iran</w:t>
      </w:r>
      <w:r w:rsidR="00A2439E" w:rsidRPr="007A25F5">
        <w:t xml:space="preserve">. </w:t>
      </w:r>
      <w:r w:rsidR="00A2439E" w:rsidRPr="007A25F5">
        <w:rPr>
          <w:i/>
        </w:rPr>
        <w:t>Environ</w:t>
      </w:r>
      <w:r w:rsidR="00ED67E9" w:rsidRPr="007A25F5">
        <w:rPr>
          <w:i/>
        </w:rPr>
        <w:t>mental</w:t>
      </w:r>
      <w:r w:rsidR="00A2439E" w:rsidRPr="007A25F5">
        <w:rPr>
          <w:i/>
        </w:rPr>
        <w:t xml:space="preserve"> Earth Sci</w:t>
      </w:r>
      <w:r w:rsidR="00ED67E9" w:rsidRPr="007A25F5">
        <w:rPr>
          <w:i/>
        </w:rPr>
        <w:t>ences</w:t>
      </w:r>
      <w:r w:rsidR="00A2439E" w:rsidRPr="007A25F5">
        <w:rPr>
          <w:b/>
        </w:rPr>
        <w:t>73</w:t>
      </w:r>
      <w:r w:rsidR="00A2439E" w:rsidRPr="007A25F5">
        <w:t>: 3819</w:t>
      </w:r>
      <w:r w:rsidR="005F2CD2" w:rsidRPr="007A25F5">
        <w:t>–</w:t>
      </w:r>
      <w:r w:rsidR="00A2439E" w:rsidRPr="007A25F5">
        <w:t>3831. DOI: 10.1007/s12665-014-3667-x.</w:t>
      </w:r>
    </w:p>
    <w:p w:rsidR="00057E1B" w:rsidRPr="007A25F5" w:rsidRDefault="00057E1B" w:rsidP="00BA32F4">
      <w:pPr>
        <w:pStyle w:val="PaperReferences"/>
        <w:widowControl w:val="0"/>
        <w:spacing w:after="0" w:line="360" w:lineRule="auto"/>
        <w:ind w:left="567" w:hanging="567"/>
      </w:pPr>
      <w:r w:rsidRPr="007A25F5">
        <w:t>Singh A, Mishra S, Ruskauff G. 2010. Model averaging techniques for quantifying conceptual model uncertainty.</w:t>
      </w:r>
      <w:r w:rsidRPr="007A25F5">
        <w:rPr>
          <w:i/>
        </w:rPr>
        <w:t>Ground Water</w:t>
      </w:r>
      <w:r w:rsidRPr="007A25F5">
        <w:rPr>
          <w:b/>
        </w:rPr>
        <w:t>48</w:t>
      </w:r>
      <w:r w:rsidRPr="007A25F5">
        <w:t>: 701</w:t>
      </w:r>
      <w:r w:rsidR="005F2CD2" w:rsidRPr="007A25F5">
        <w:t>–</w:t>
      </w:r>
      <w:r w:rsidRPr="007A25F5">
        <w:t>715.</w:t>
      </w:r>
    </w:p>
    <w:p w:rsidR="00E62D97" w:rsidRPr="007A25F5" w:rsidRDefault="00E62D97" w:rsidP="00BA32F4">
      <w:pPr>
        <w:pStyle w:val="PaperReferences"/>
        <w:widowControl w:val="0"/>
        <w:spacing w:after="0" w:line="360" w:lineRule="auto"/>
        <w:ind w:left="567" w:hanging="567"/>
      </w:pPr>
      <w:r w:rsidRPr="007A25F5">
        <w:t>Somlyody L</w:t>
      </w:r>
      <w:r w:rsidR="001921A9" w:rsidRPr="007A25F5">
        <w:t>,</w:t>
      </w:r>
      <w:r w:rsidRPr="007A25F5">
        <w:t xml:space="preserve"> Wets R. 1988. Stochastic optimization models for lake eutrophication management. </w:t>
      </w:r>
      <w:r w:rsidRPr="007A25F5">
        <w:rPr>
          <w:i/>
        </w:rPr>
        <w:t>Oper</w:t>
      </w:r>
      <w:r w:rsidR="00C425CA" w:rsidRPr="007A25F5">
        <w:rPr>
          <w:i/>
        </w:rPr>
        <w:t>ations</w:t>
      </w:r>
      <w:r w:rsidRPr="007A25F5">
        <w:rPr>
          <w:i/>
        </w:rPr>
        <w:t xml:space="preserve"> Res</w:t>
      </w:r>
      <w:r w:rsidR="00C425CA" w:rsidRPr="007A25F5">
        <w:rPr>
          <w:i/>
        </w:rPr>
        <w:t>earch</w:t>
      </w:r>
      <w:r w:rsidRPr="007A25F5">
        <w:rPr>
          <w:b/>
        </w:rPr>
        <w:t>36</w:t>
      </w:r>
      <w:r w:rsidRPr="007A25F5">
        <w:t>(5)</w:t>
      </w:r>
      <w:r w:rsidR="00534B7E" w:rsidRPr="007A25F5">
        <w:t>:</w:t>
      </w:r>
      <w:r w:rsidRPr="007A25F5">
        <w:t xml:space="preserve"> 660</w:t>
      </w:r>
      <w:r w:rsidR="005F2CD2" w:rsidRPr="007A25F5">
        <w:t>–</w:t>
      </w:r>
      <w:r w:rsidRPr="007A25F5">
        <w:t>681.</w:t>
      </w:r>
    </w:p>
    <w:p w:rsidR="00057E1B" w:rsidRPr="007A25F5" w:rsidRDefault="00057E1B" w:rsidP="00BA32F4">
      <w:pPr>
        <w:pStyle w:val="PaperReferences"/>
        <w:widowControl w:val="0"/>
        <w:spacing w:after="0" w:line="360" w:lineRule="auto"/>
        <w:ind w:left="567" w:hanging="567"/>
      </w:pPr>
      <w:r w:rsidRPr="007A25F5">
        <w:t>Starrfelt J, Kaste O. 2014. Bayesian uncertainty assessment of a semi-distributed integrated catchment model of phosphorus transport.</w:t>
      </w:r>
      <w:r w:rsidRPr="007A25F5">
        <w:rPr>
          <w:i/>
        </w:rPr>
        <w:t>Environ</w:t>
      </w:r>
      <w:r w:rsidR="00C425CA" w:rsidRPr="007A25F5">
        <w:rPr>
          <w:i/>
        </w:rPr>
        <w:t>mental</w:t>
      </w:r>
      <w:r w:rsidRPr="007A25F5">
        <w:rPr>
          <w:i/>
        </w:rPr>
        <w:t xml:space="preserve"> Sci</w:t>
      </w:r>
      <w:r w:rsidR="00C425CA" w:rsidRPr="007A25F5">
        <w:rPr>
          <w:i/>
        </w:rPr>
        <w:t>ence</w:t>
      </w:r>
      <w:r w:rsidRPr="007A25F5">
        <w:rPr>
          <w:i/>
        </w:rPr>
        <w:t xml:space="preserve">: Processes </w:t>
      </w:r>
      <w:r w:rsidR="00C425CA" w:rsidRPr="007A25F5">
        <w:rPr>
          <w:i/>
        </w:rPr>
        <w:t>&amp;</w:t>
      </w:r>
      <w:r w:rsidRPr="007A25F5">
        <w:rPr>
          <w:i/>
        </w:rPr>
        <w:t xml:space="preserve">Impacts </w:t>
      </w:r>
      <w:r w:rsidRPr="007A25F5">
        <w:rPr>
          <w:b/>
        </w:rPr>
        <w:t>16</w:t>
      </w:r>
      <w:r w:rsidRPr="007A25F5">
        <w:t>: 1578</w:t>
      </w:r>
      <w:r w:rsidR="005F2CD2" w:rsidRPr="007A25F5">
        <w:t>–</w:t>
      </w:r>
      <w:r w:rsidRPr="007A25F5">
        <w:t>1587. DOI: 10.1039/C3EM00619K.</w:t>
      </w:r>
    </w:p>
    <w:p w:rsidR="00057E1B" w:rsidRPr="007A25F5" w:rsidRDefault="00057E1B" w:rsidP="00BA32F4">
      <w:pPr>
        <w:pStyle w:val="PaperReferences"/>
        <w:widowControl w:val="0"/>
        <w:spacing w:after="0" w:line="360" w:lineRule="auto"/>
        <w:ind w:left="567" w:hanging="567"/>
      </w:pPr>
      <w:r w:rsidRPr="007A25F5">
        <w:t>Todini E. 2008. A model conditional processor to assess predictive uncertainty in flood forecasting.</w:t>
      </w:r>
      <w:r w:rsidRPr="007A25F5">
        <w:rPr>
          <w:i/>
        </w:rPr>
        <w:t>International Journal of River Basin Management</w:t>
      </w:r>
      <w:r w:rsidRPr="007A25F5">
        <w:rPr>
          <w:b/>
        </w:rPr>
        <w:t>6</w:t>
      </w:r>
      <w:r w:rsidRPr="007A25F5">
        <w:t>: 123</w:t>
      </w:r>
      <w:r w:rsidR="005F2CD2" w:rsidRPr="007A25F5">
        <w:t>–</w:t>
      </w:r>
      <w:r w:rsidRPr="007A25F5">
        <w:t>137.</w:t>
      </w:r>
    </w:p>
    <w:p w:rsidR="00057E1B" w:rsidRPr="007A25F5" w:rsidRDefault="00057E1B" w:rsidP="00BA32F4">
      <w:pPr>
        <w:pStyle w:val="PaperReferences"/>
        <w:widowControl w:val="0"/>
        <w:spacing w:after="0" w:line="360" w:lineRule="auto"/>
        <w:ind w:left="567" w:hanging="567"/>
      </w:pPr>
      <w:r w:rsidRPr="007A25F5">
        <w:t xml:space="preserve">Uniyal B, Jha MK, Verma AK. 2015. Parameter Identification and Uncertainty Analysis for Simulating Streamflow in a River Basin of Eastern India. </w:t>
      </w:r>
      <w:r w:rsidRPr="007A25F5">
        <w:rPr>
          <w:i/>
        </w:rPr>
        <w:t>Hydrological Processes</w:t>
      </w:r>
      <w:r w:rsidR="00DF3A85" w:rsidRPr="007A25F5">
        <w:rPr>
          <w:b/>
        </w:rPr>
        <w:t xml:space="preserve">29 </w:t>
      </w:r>
      <w:r w:rsidR="00DF3A85" w:rsidRPr="007A25F5">
        <w:t xml:space="preserve">(17): 3744–3766. </w:t>
      </w:r>
      <w:r w:rsidRPr="007A25F5">
        <w:t>DOI: 10.1002/hyp.10446.</w:t>
      </w:r>
    </w:p>
    <w:p w:rsidR="00C268D8" w:rsidRPr="007A25F5" w:rsidRDefault="00BA3F83" w:rsidP="00BA32F4">
      <w:pPr>
        <w:pStyle w:val="PaperReferences"/>
        <w:widowControl w:val="0"/>
        <w:spacing w:after="0" w:line="360" w:lineRule="auto"/>
        <w:ind w:left="567" w:hanging="567"/>
      </w:pPr>
      <w:r w:rsidRPr="007A25F5">
        <w:t>U.S. Environmental Protection Agency (</w:t>
      </w:r>
      <w:r w:rsidR="00C268D8" w:rsidRPr="007A25F5">
        <w:t>USEPA</w:t>
      </w:r>
      <w:r w:rsidRPr="007A25F5">
        <w:t>)</w:t>
      </w:r>
      <w:r w:rsidR="00C268D8" w:rsidRPr="007A25F5">
        <w:t xml:space="preserve">. 1985. </w:t>
      </w:r>
      <w:r w:rsidR="00C268D8" w:rsidRPr="007A25F5">
        <w:rPr>
          <w:i/>
        </w:rPr>
        <w:t xml:space="preserve">Rates, </w:t>
      </w:r>
      <w:r w:rsidR="00444A62" w:rsidRPr="007A25F5">
        <w:rPr>
          <w:i/>
        </w:rPr>
        <w:t>Constants</w:t>
      </w:r>
      <w:r w:rsidR="00C268D8" w:rsidRPr="007A25F5">
        <w:rPr>
          <w:i/>
        </w:rPr>
        <w:t xml:space="preserve">, and </w:t>
      </w:r>
      <w:r w:rsidR="00444A62" w:rsidRPr="007A25F5">
        <w:rPr>
          <w:i/>
        </w:rPr>
        <w:t xml:space="preserve">Kinetics Formulations </w:t>
      </w:r>
      <w:r w:rsidR="00C268D8" w:rsidRPr="007A25F5">
        <w:rPr>
          <w:i/>
        </w:rPr>
        <w:t xml:space="preserve">in </w:t>
      </w:r>
      <w:r w:rsidR="00444A62" w:rsidRPr="007A25F5">
        <w:rPr>
          <w:i/>
        </w:rPr>
        <w:t>Surface Water Quality Modelling</w:t>
      </w:r>
      <w:r w:rsidR="00C268D8" w:rsidRPr="007A25F5">
        <w:rPr>
          <w:i/>
        </w:rPr>
        <w:t>(second edition)</w:t>
      </w:r>
      <w:r w:rsidR="00C268D8" w:rsidRPr="007A25F5">
        <w:t>, EPA/600/3-85/040</w:t>
      </w:r>
      <w:r w:rsidR="00F44BAD" w:rsidRPr="007A25F5">
        <w:t xml:space="preserve">. </w:t>
      </w:r>
      <w:r w:rsidR="00C268D8" w:rsidRPr="007A25F5">
        <w:t xml:space="preserve">Office of </w:t>
      </w:r>
      <w:r w:rsidR="00F44BAD" w:rsidRPr="007A25F5">
        <w:t xml:space="preserve">Research </w:t>
      </w:r>
      <w:r w:rsidR="00C268D8" w:rsidRPr="007A25F5">
        <w:t xml:space="preserve">and </w:t>
      </w:r>
      <w:r w:rsidR="00F44BAD" w:rsidRPr="007A25F5">
        <w:t>Development</w:t>
      </w:r>
      <w:r w:rsidR="00C268D8" w:rsidRPr="007A25F5">
        <w:t>, Athens, Georgia, USA.</w:t>
      </w:r>
    </w:p>
    <w:p w:rsidR="00E62D97" w:rsidRPr="007A25F5" w:rsidRDefault="005313B7" w:rsidP="00BA32F4">
      <w:pPr>
        <w:pStyle w:val="PaperReferences"/>
        <w:widowControl w:val="0"/>
        <w:spacing w:after="0" w:line="360" w:lineRule="auto"/>
        <w:ind w:left="567" w:hanging="567"/>
      </w:pPr>
      <w:r w:rsidRPr="007A25F5">
        <w:t>U.S. Environmental Protection Agency (</w:t>
      </w:r>
      <w:r w:rsidR="00E62D97" w:rsidRPr="007A25F5">
        <w:t>USEPA</w:t>
      </w:r>
      <w:r w:rsidRPr="007A25F5">
        <w:t>)</w:t>
      </w:r>
      <w:r w:rsidR="00E62D97" w:rsidRPr="007A25F5">
        <w:t xml:space="preserve">. 2001. </w:t>
      </w:r>
      <w:r w:rsidR="00E62D97" w:rsidRPr="007A25F5">
        <w:rPr>
          <w:i/>
        </w:rPr>
        <w:t xml:space="preserve">Better Assessment Science Integrating Point and Nonpoint Sources (BASINS) </w:t>
      </w:r>
      <w:r w:rsidR="00D76200" w:rsidRPr="007A25F5">
        <w:rPr>
          <w:i/>
        </w:rPr>
        <w:t xml:space="preserve">Version </w:t>
      </w:r>
      <w:r w:rsidR="00E62D97" w:rsidRPr="007A25F5">
        <w:rPr>
          <w:i/>
        </w:rPr>
        <w:t xml:space="preserve">3.0 </w:t>
      </w:r>
      <w:r w:rsidR="00D76200" w:rsidRPr="007A25F5">
        <w:rPr>
          <w:i/>
        </w:rPr>
        <w:t>User's Manual</w:t>
      </w:r>
      <w:r w:rsidR="00E62D97" w:rsidRPr="007A25F5">
        <w:t>, EPA 823-8-01-001</w:t>
      </w:r>
      <w:r w:rsidR="00D76200" w:rsidRPr="007A25F5">
        <w:t xml:space="preserve">. </w:t>
      </w:r>
      <w:r w:rsidR="00E62D97" w:rsidRPr="007A25F5">
        <w:t>Office of Water , Washington, D.C., USA.</w:t>
      </w:r>
    </w:p>
    <w:p w:rsidR="00057E1B" w:rsidRPr="007A25F5" w:rsidRDefault="00057E1B" w:rsidP="00BA32F4">
      <w:pPr>
        <w:pStyle w:val="PaperReferences"/>
        <w:widowControl w:val="0"/>
        <w:spacing w:after="0" w:line="360" w:lineRule="auto"/>
        <w:ind w:left="567" w:hanging="567"/>
      </w:pPr>
      <w:r w:rsidRPr="007A25F5">
        <w:t xml:space="preserve">Wellen C, Arhonditsis GB, Long T, Boyd D. 2014. Quantifying the uncertainty of nonpoint </w:t>
      </w:r>
      <w:r w:rsidRPr="007A25F5">
        <w:lastRenderedPageBreak/>
        <w:t>source attribution in distributed water quality models: A Bayesian assessment of SWAT</w:t>
      </w:r>
      <w:r w:rsidR="00FA3169" w:rsidRPr="007A25F5">
        <w:t>'</w:t>
      </w:r>
      <w:r w:rsidRPr="007A25F5">
        <w:t>s sediment export predictions.</w:t>
      </w:r>
      <w:r w:rsidRPr="007A25F5">
        <w:rPr>
          <w:i/>
        </w:rPr>
        <w:t>J</w:t>
      </w:r>
      <w:r w:rsidR="001A1C2A" w:rsidRPr="007A25F5">
        <w:rPr>
          <w:i/>
        </w:rPr>
        <w:t>ournal of</w:t>
      </w:r>
      <w:r w:rsidRPr="007A25F5">
        <w:rPr>
          <w:i/>
        </w:rPr>
        <w:t xml:space="preserve"> Hydrol</w:t>
      </w:r>
      <w:r w:rsidR="001A1C2A" w:rsidRPr="007A25F5">
        <w:rPr>
          <w:i/>
        </w:rPr>
        <w:t>ogy</w:t>
      </w:r>
      <w:r w:rsidRPr="007A25F5">
        <w:rPr>
          <w:b/>
        </w:rPr>
        <w:t>519</w:t>
      </w:r>
      <w:r w:rsidRPr="007A25F5">
        <w:t>: 3353</w:t>
      </w:r>
      <w:r w:rsidR="005F2CD2" w:rsidRPr="007A25F5">
        <w:t>–</w:t>
      </w:r>
      <w:r w:rsidRPr="007A25F5">
        <w:t>3368. DOI: 10.1016/j.jhydrol.2014.10.007.</w:t>
      </w:r>
    </w:p>
    <w:p w:rsidR="005557F4" w:rsidRPr="007A25F5" w:rsidRDefault="00E17DF8" w:rsidP="00BA32F4">
      <w:pPr>
        <w:pStyle w:val="PaperReferences"/>
        <w:widowControl w:val="0"/>
        <w:spacing w:after="0" w:line="360" w:lineRule="auto"/>
        <w:ind w:left="567" w:hanging="567"/>
      </w:pPr>
      <w:r w:rsidRPr="007A25F5">
        <w:t>Wu RS, Sue WR, Chen CH, Liaw SL. 1996.Simulation model for investigation effect of reservoir operation on water quality.</w:t>
      </w:r>
      <w:r w:rsidRPr="007A25F5">
        <w:rPr>
          <w:i/>
        </w:rPr>
        <w:t>Environmental Software</w:t>
      </w:r>
      <w:r w:rsidRPr="007A25F5">
        <w:rPr>
          <w:b/>
        </w:rPr>
        <w:t>11</w:t>
      </w:r>
      <w:r w:rsidRPr="007A25F5">
        <w:t>(1-3): 143</w:t>
      </w:r>
      <w:r w:rsidR="005F2CD2" w:rsidRPr="007A25F5">
        <w:t>–</w:t>
      </w:r>
      <w:r w:rsidRPr="007A25F5">
        <w:t>150.</w:t>
      </w:r>
    </w:p>
    <w:p w:rsidR="005557F4" w:rsidRPr="007A25F5" w:rsidRDefault="005B3375" w:rsidP="00BA32F4">
      <w:pPr>
        <w:pStyle w:val="PaperReferences"/>
        <w:widowControl w:val="0"/>
        <w:spacing w:after="0" w:line="360" w:lineRule="auto"/>
        <w:ind w:left="567" w:hanging="567"/>
      </w:pPr>
      <w:r w:rsidRPr="001E52E2">
        <w:rPr>
          <w:lang w:val="fr-FR"/>
        </w:rPr>
        <w:t>Xue C,</w:t>
      </w:r>
      <w:r w:rsidR="005557F4" w:rsidRPr="001E52E2">
        <w:rPr>
          <w:lang w:val="fr-FR"/>
        </w:rPr>
        <w:t xml:space="preserve"> Chen B, Wu H. 2014. </w:t>
      </w:r>
      <w:r w:rsidR="005557F4" w:rsidRPr="007A25F5">
        <w:t xml:space="preserve">Parameter Uncertainty Analysis of Surface Flow and Sediment Yield in the Huolin Basin, China. </w:t>
      </w:r>
      <w:r w:rsidR="005557F4" w:rsidRPr="007A25F5">
        <w:rPr>
          <w:i/>
        </w:rPr>
        <w:t>J</w:t>
      </w:r>
      <w:r w:rsidR="005B0689" w:rsidRPr="007A25F5">
        <w:rPr>
          <w:i/>
        </w:rPr>
        <w:t>ournal of</w:t>
      </w:r>
      <w:r w:rsidR="005557F4" w:rsidRPr="007A25F5">
        <w:rPr>
          <w:i/>
        </w:rPr>
        <w:t xml:space="preserve"> Hydrol</w:t>
      </w:r>
      <w:r w:rsidR="005B0689" w:rsidRPr="007A25F5">
        <w:rPr>
          <w:i/>
        </w:rPr>
        <w:t>ogy</w:t>
      </w:r>
      <w:r w:rsidR="005557F4" w:rsidRPr="007A25F5">
        <w:rPr>
          <w:i/>
        </w:rPr>
        <w:t xml:space="preserve"> Eng</w:t>
      </w:r>
      <w:r w:rsidR="005B0689" w:rsidRPr="007A25F5">
        <w:rPr>
          <w:i/>
        </w:rPr>
        <w:t>ineering</w:t>
      </w:r>
      <w:r w:rsidR="005557F4" w:rsidRPr="007A25F5">
        <w:rPr>
          <w:b/>
        </w:rPr>
        <w:t>19</w:t>
      </w:r>
      <w:r w:rsidR="005557F4" w:rsidRPr="007A25F5">
        <w:t>(6): 1224</w:t>
      </w:r>
      <w:r w:rsidR="005F2CD2" w:rsidRPr="007A25F5">
        <w:t>–</w:t>
      </w:r>
      <w:r w:rsidR="005557F4" w:rsidRPr="007A25F5">
        <w:t>1236. DOI: 10.1061/(ASCE)HE.1943-5584.0000909.</w:t>
      </w:r>
    </w:p>
    <w:p w:rsidR="005557F4" w:rsidRPr="007A25F5" w:rsidRDefault="005557F4" w:rsidP="00BA32F4">
      <w:pPr>
        <w:pStyle w:val="PaperReferences"/>
        <w:widowControl w:val="0"/>
        <w:spacing w:after="0" w:line="360" w:lineRule="auto"/>
        <w:ind w:left="567" w:hanging="567"/>
      </w:pPr>
      <w:r w:rsidRPr="007A25F5">
        <w:t>Yang J, Reichert P, Abbaspour KC, Xia J, Yang H. 2008.Comparing uncertainty analysis techniques for a SWAT application to the Chaohe Basin in China.</w:t>
      </w:r>
      <w:r w:rsidRPr="007A25F5">
        <w:rPr>
          <w:i/>
        </w:rPr>
        <w:t>J</w:t>
      </w:r>
      <w:r w:rsidR="005B0689" w:rsidRPr="007A25F5">
        <w:rPr>
          <w:i/>
        </w:rPr>
        <w:t>ournal of</w:t>
      </w:r>
      <w:r w:rsidRPr="007A25F5">
        <w:rPr>
          <w:i/>
        </w:rPr>
        <w:t xml:space="preserve"> Hydrol</w:t>
      </w:r>
      <w:r w:rsidR="005B0689" w:rsidRPr="007A25F5">
        <w:rPr>
          <w:i/>
        </w:rPr>
        <w:t>ogy</w:t>
      </w:r>
      <w:r w:rsidRPr="007A25F5">
        <w:rPr>
          <w:b/>
        </w:rPr>
        <w:t>358</w:t>
      </w:r>
      <w:r w:rsidRPr="007A25F5">
        <w:t>: 1</w:t>
      </w:r>
      <w:r w:rsidR="005F2CD2" w:rsidRPr="007A25F5">
        <w:t>–</w:t>
      </w:r>
      <w:r w:rsidRPr="007A25F5">
        <w:t>23. DOI: 10.1016/j.jhydrol.2008.05.012.</w:t>
      </w:r>
    </w:p>
    <w:p w:rsidR="005557F4" w:rsidRPr="007A25F5" w:rsidRDefault="005557F4" w:rsidP="00BA32F4">
      <w:pPr>
        <w:pStyle w:val="PaperReferences"/>
        <w:widowControl w:val="0"/>
        <w:spacing w:after="0" w:line="360" w:lineRule="auto"/>
        <w:ind w:left="567" w:hanging="567"/>
      </w:pPr>
      <w:r w:rsidRPr="007A25F5">
        <w:t xml:space="preserve">Yu JJ, Qin XS, Larsen O. 2014. Uncertainty analysis of flood inundation modelling using GLUE with surrogate models in stochastic sampling. </w:t>
      </w:r>
      <w:r w:rsidRPr="007A25F5">
        <w:rPr>
          <w:i/>
        </w:rPr>
        <w:t>Hydrol</w:t>
      </w:r>
      <w:r w:rsidR="000010BF" w:rsidRPr="007A25F5">
        <w:rPr>
          <w:i/>
        </w:rPr>
        <w:t>ogical</w:t>
      </w:r>
      <w:r w:rsidRPr="007A25F5">
        <w:rPr>
          <w:i/>
        </w:rPr>
        <w:t xml:space="preserve"> Process</w:t>
      </w:r>
      <w:r w:rsidR="000010BF" w:rsidRPr="007A25F5">
        <w:rPr>
          <w:i/>
        </w:rPr>
        <w:t>es</w:t>
      </w:r>
      <w:r w:rsidR="00131433" w:rsidRPr="007A25F5">
        <w:rPr>
          <w:b/>
        </w:rPr>
        <w:t xml:space="preserve">29 </w:t>
      </w:r>
      <w:r w:rsidR="00131433" w:rsidRPr="007A25F5">
        <w:t xml:space="preserve">(6): 1267–1279. </w:t>
      </w:r>
      <w:r w:rsidRPr="007A25F5">
        <w:t>DOI: 10.1002yhyp.10249.</w:t>
      </w:r>
    </w:p>
    <w:p w:rsidR="005557F4" w:rsidRPr="007A25F5" w:rsidRDefault="005557F4" w:rsidP="00BA32F4">
      <w:pPr>
        <w:pStyle w:val="PaperReferences"/>
        <w:widowControl w:val="0"/>
        <w:spacing w:after="0" w:line="360" w:lineRule="auto"/>
        <w:ind w:left="567" w:hanging="567"/>
      </w:pPr>
      <w:r w:rsidRPr="007A25F5">
        <w:t xml:space="preserve">Zheng Y, Han F. 2015. Markov Chain Monte Carlo (MCMC) uncertainty analysis for watershed water quality modeling and management. </w:t>
      </w:r>
      <w:r w:rsidRPr="007A25F5">
        <w:rPr>
          <w:i/>
        </w:rPr>
        <w:t>Stoch</w:t>
      </w:r>
      <w:r w:rsidR="00507EBB" w:rsidRPr="007A25F5">
        <w:rPr>
          <w:i/>
        </w:rPr>
        <w:t>astic</w:t>
      </w:r>
      <w:r w:rsidRPr="007A25F5">
        <w:rPr>
          <w:i/>
        </w:rPr>
        <w:t xml:space="preserve"> Environ</w:t>
      </w:r>
      <w:r w:rsidR="00507EBB" w:rsidRPr="007A25F5">
        <w:rPr>
          <w:i/>
        </w:rPr>
        <w:t>mental</w:t>
      </w:r>
      <w:r w:rsidRPr="007A25F5">
        <w:rPr>
          <w:i/>
        </w:rPr>
        <w:t xml:space="preserve"> Res</w:t>
      </w:r>
      <w:r w:rsidR="00507EBB" w:rsidRPr="007A25F5">
        <w:rPr>
          <w:i/>
        </w:rPr>
        <w:t xml:space="preserve">earchAnd </w:t>
      </w:r>
      <w:r w:rsidRPr="007A25F5">
        <w:rPr>
          <w:i/>
        </w:rPr>
        <w:t>Risk Assess</w:t>
      </w:r>
      <w:r w:rsidR="00507EBB" w:rsidRPr="007A25F5">
        <w:rPr>
          <w:i/>
        </w:rPr>
        <w:t>essment</w:t>
      </w:r>
      <w:r w:rsidRPr="007A25F5">
        <w:t xml:space="preserve"> DOI: 10.1007/s00477-015-1091-8.</w:t>
      </w:r>
    </w:p>
    <w:p w:rsidR="003D3DFE" w:rsidRPr="007A25F5" w:rsidRDefault="003D3DFE" w:rsidP="00BC58A0">
      <w:pPr>
        <w:widowControl w:val="0"/>
        <w:suppressAutoHyphens/>
        <w:spacing w:after="0" w:line="360" w:lineRule="auto"/>
        <w:rPr>
          <w:rFonts w:ascii="Times New Roman" w:hAnsi="Times New Roman" w:cs="Times New Roman"/>
          <w:color w:val="auto"/>
          <w:sz w:val="22"/>
          <w:szCs w:val="22"/>
        </w:rPr>
      </w:pPr>
      <w:r w:rsidRPr="007A25F5">
        <w:rPr>
          <w:rFonts w:ascii="Times New Roman" w:hAnsi="Times New Roman" w:cs="Times New Roman"/>
          <w:color w:val="auto"/>
          <w:sz w:val="22"/>
          <w:szCs w:val="22"/>
          <w:lang w:eastAsia="ko-KR"/>
        </w:rPr>
        <w:br w:type="page"/>
      </w:r>
    </w:p>
    <w:p w:rsidR="001A4111" w:rsidRPr="007A25F5" w:rsidRDefault="001A4111" w:rsidP="00DD2EE6">
      <w:pPr>
        <w:pStyle w:val="PaperFormattext"/>
      </w:pPr>
      <w:r w:rsidRPr="007A25F5">
        <w:lastRenderedPageBreak/>
        <w:t xml:space="preserve">Table </w:t>
      </w:r>
      <w:r w:rsidR="00AE7C20" w:rsidRPr="007A25F5">
        <w:t>I</w:t>
      </w:r>
      <w:r w:rsidRPr="007A25F5">
        <w:t xml:space="preserve">. </w:t>
      </w:r>
      <w:r w:rsidR="00700852" w:rsidRPr="007A25F5">
        <w:t>A</w:t>
      </w:r>
      <w:r w:rsidRPr="007A25F5">
        <w:t xml:space="preserve">djusted parameters for calibration of </w:t>
      </w:r>
      <w:r w:rsidR="00700852" w:rsidRPr="007A25F5">
        <w:t xml:space="preserve">the </w:t>
      </w:r>
      <w:r w:rsidRPr="007A25F5">
        <w:t>HSPF model</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06"/>
        <w:gridCol w:w="236"/>
        <w:gridCol w:w="2314"/>
        <w:gridCol w:w="599"/>
        <w:gridCol w:w="1559"/>
      </w:tblGrid>
      <w:tr w:rsidR="001A4111" w:rsidRPr="007A25F5" w:rsidTr="00BA32F4">
        <w:trPr>
          <w:cantSplit/>
          <w:trHeight w:val="227"/>
          <w:jc w:val="center"/>
        </w:trPr>
        <w:tc>
          <w:tcPr>
            <w:tcW w:w="1908" w:type="dxa"/>
            <w:tcBorders>
              <w:left w:val="nil"/>
              <w:right w:val="nil"/>
            </w:tcBorders>
            <w:noWrap/>
          </w:tcPr>
          <w:p w:rsidR="001A4111" w:rsidRPr="007A25F5" w:rsidRDefault="001A4111" w:rsidP="00DD2EE6">
            <w:pPr>
              <w:pStyle w:val="PaperFormattext"/>
            </w:pPr>
            <w:r w:rsidRPr="007A25F5">
              <w:t>Parameter (Units)</w:t>
            </w:r>
          </w:p>
        </w:tc>
        <w:tc>
          <w:tcPr>
            <w:tcW w:w="1606" w:type="dxa"/>
            <w:tcBorders>
              <w:left w:val="nil"/>
            </w:tcBorders>
            <w:noWrap/>
          </w:tcPr>
          <w:p w:rsidR="001A4111" w:rsidRPr="007A25F5" w:rsidRDefault="001A4111" w:rsidP="00DD2EE6">
            <w:pPr>
              <w:pStyle w:val="PaperFormattext"/>
              <w:rPr>
                <w:vertAlign w:val="superscript"/>
              </w:rPr>
            </w:pPr>
            <w:r w:rsidRPr="007A25F5">
              <w:t>Calibrated value</w:t>
            </w:r>
          </w:p>
        </w:tc>
        <w:tc>
          <w:tcPr>
            <w:tcW w:w="236" w:type="dxa"/>
            <w:tcBorders>
              <w:right w:val="nil"/>
            </w:tcBorders>
            <w:noWrap/>
          </w:tcPr>
          <w:p w:rsidR="001A4111" w:rsidRPr="007A25F5" w:rsidRDefault="001A4111" w:rsidP="00DD2EE6">
            <w:pPr>
              <w:pStyle w:val="PaperFormattext"/>
              <w:rPr>
                <w:vertAlign w:val="superscript"/>
              </w:rPr>
            </w:pPr>
          </w:p>
        </w:tc>
        <w:tc>
          <w:tcPr>
            <w:tcW w:w="2913" w:type="dxa"/>
            <w:gridSpan w:val="2"/>
            <w:tcBorders>
              <w:left w:val="nil"/>
              <w:right w:val="nil"/>
            </w:tcBorders>
            <w:noWrap/>
          </w:tcPr>
          <w:p w:rsidR="001A4111" w:rsidRPr="007A25F5" w:rsidRDefault="001A4111" w:rsidP="00DD2EE6">
            <w:pPr>
              <w:pStyle w:val="PaperFormattext"/>
            </w:pPr>
            <w:r w:rsidRPr="007A25F5">
              <w:t>Parameter (Units)</w:t>
            </w:r>
          </w:p>
        </w:tc>
        <w:tc>
          <w:tcPr>
            <w:tcW w:w="1559" w:type="dxa"/>
            <w:tcBorders>
              <w:left w:val="nil"/>
              <w:right w:val="nil"/>
            </w:tcBorders>
            <w:noWrap/>
          </w:tcPr>
          <w:p w:rsidR="001A4111" w:rsidRPr="007A25F5" w:rsidRDefault="001A4111" w:rsidP="00DD2EE6">
            <w:pPr>
              <w:pStyle w:val="PaperFormattext"/>
            </w:pPr>
            <w:r w:rsidRPr="007A25F5">
              <w:t>Calibrated value</w:t>
            </w:r>
          </w:p>
        </w:tc>
      </w:tr>
      <w:tr w:rsidR="001A4111" w:rsidRPr="007A25F5" w:rsidTr="00BA32F4">
        <w:trPr>
          <w:cantSplit/>
          <w:trHeight w:val="227"/>
          <w:jc w:val="center"/>
        </w:trPr>
        <w:tc>
          <w:tcPr>
            <w:tcW w:w="1908" w:type="dxa"/>
            <w:tcBorders>
              <w:left w:val="nil"/>
              <w:right w:val="nil"/>
            </w:tcBorders>
            <w:noWrap/>
          </w:tcPr>
          <w:p w:rsidR="001A4111" w:rsidRPr="007A25F5" w:rsidRDefault="001A4111" w:rsidP="00DD2EE6">
            <w:pPr>
              <w:pStyle w:val="PaperFormattext"/>
            </w:pPr>
            <w:r w:rsidRPr="007A25F5">
              <w:t>Hydrology</w:t>
            </w:r>
          </w:p>
        </w:tc>
        <w:tc>
          <w:tcPr>
            <w:tcW w:w="1606" w:type="dxa"/>
            <w:tcBorders>
              <w:left w:val="nil"/>
              <w:bottom w:val="nil"/>
            </w:tcBorders>
            <w:noWrap/>
          </w:tcPr>
          <w:p w:rsidR="001A4111" w:rsidRPr="007A25F5" w:rsidRDefault="001A4111" w:rsidP="00DD2EE6">
            <w:pPr>
              <w:pStyle w:val="PaperFormattext"/>
            </w:pPr>
          </w:p>
        </w:tc>
        <w:tc>
          <w:tcPr>
            <w:tcW w:w="236" w:type="dxa"/>
            <w:tcBorders>
              <w:right w:val="nil"/>
            </w:tcBorders>
            <w:noWrap/>
          </w:tcPr>
          <w:p w:rsidR="001A4111" w:rsidRPr="007A25F5" w:rsidRDefault="001A4111" w:rsidP="00DD2EE6">
            <w:pPr>
              <w:pStyle w:val="PaperFormattext"/>
            </w:pPr>
          </w:p>
        </w:tc>
        <w:tc>
          <w:tcPr>
            <w:tcW w:w="2314" w:type="dxa"/>
            <w:tcBorders>
              <w:left w:val="nil"/>
              <w:right w:val="nil"/>
            </w:tcBorders>
            <w:noWrap/>
          </w:tcPr>
          <w:p w:rsidR="001A4111" w:rsidRPr="007A25F5" w:rsidRDefault="001A4111" w:rsidP="00DD2EE6">
            <w:pPr>
              <w:pStyle w:val="PaperFormattext"/>
            </w:pPr>
            <w:r w:rsidRPr="007A25F5">
              <w:t>Nutrients</w:t>
            </w:r>
          </w:p>
        </w:tc>
        <w:tc>
          <w:tcPr>
            <w:tcW w:w="599" w:type="dxa"/>
            <w:tcBorders>
              <w:left w:val="nil"/>
              <w:right w:val="nil"/>
            </w:tcBorders>
          </w:tcPr>
          <w:p w:rsidR="001A4111" w:rsidRPr="007A25F5" w:rsidRDefault="001A4111" w:rsidP="00DD2EE6">
            <w:pPr>
              <w:pStyle w:val="PaperFormattext"/>
            </w:pPr>
          </w:p>
        </w:tc>
        <w:tc>
          <w:tcPr>
            <w:tcW w:w="1559" w:type="dxa"/>
            <w:tcBorders>
              <w:left w:val="nil"/>
              <w:bottom w:val="nil"/>
              <w:right w:val="nil"/>
            </w:tcBorders>
            <w:noWrap/>
          </w:tcPr>
          <w:p w:rsidR="001A4111" w:rsidRPr="007A25F5" w:rsidRDefault="001A4111" w:rsidP="00DD2EE6">
            <w:pPr>
              <w:pStyle w:val="PaperFormattext"/>
            </w:pPr>
          </w:p>
        </w:tc>
      </w:tr>
      <w:tr w:rsidR="001A4111" w:rsidRPr="007A25F5" w:rsidTr="00BA32F4">
        <w:trPr>
          <w:cantSplit/>
          <w:trHeight w:val="227"/>
          <w:jc w:val="center"/>
        </w:trPr>
        <w:tc>
          <w:tcPr>
            <w:tcW w:w="1908" w:type="dxa"/>
            <w:tcBorders>
              <w:left w:val="nil"/>
              <w:bottom w:val="nil"/>
              <w:right w:val="nil"/>
            </w:tcBorders>
            <w:noWrap/>
          </w:tcPr>
          <w:p w:rsidR="001A4111" w:rsidRPr="007A25F5" w:rsidRDefault="001A4111" w:rsidP="00DD2EE6">
            <w:pPr>
              <w:pStyle w:val="PaperFormattext"/>
            </w:pPr>
            <w:r w:rsidRPr="007A25F5">
              <w:t>LASN (in)</w:t>
            </w:r>
          </w:p>
          <w:p w:rsidR="001A4111" w:rsidRPr="007A25F5" w:rsidRDefault="001A4111" w:rsidP="00DD2EE6">
            <w:pPr>
              <w:pStyle w:val="PaperFormattext"/>
            </w:pPr>
            <w:r w:rsidRPr="007A25F5">
              <w:t>INFILT (in h</w:t>
            </w:r>
            <w:r w:rsidRPr="007A25F5">
              <w:rPr>
                <w:vertAlign w:val="superscript"/>
              </w:rPr>
              <w:t>-1</w:t>
            </w:r>
            <w:r w:rsidRPr="007A25F5">
              <w:t>)</w:t>
            </w:r>
          </w:p>
          <w:p w:rsidR="001A4111" w:rsidRPr="007A25F5" w:rsidRDefault="001A4111" w:rsidP="00DD2EE6">
            <w:pPr>
              <w:pStyle w:val="PaperFormattext"/>
              <w:rPr>
                <w:u w:val="single"/>
              </w:rPr>
            </w:pPr>
            <w:r w:rsidRPr="007A25F5">
              <w:t>AGWRC (day</w:t>
            </w:r>
            <w:r w:rsidRPr="007A25F5">
              <w:rPr>
                <w:vertAlign w:val="superscript"/>
              </w:rPr>
              <w:t>-1</w:t>
            </w:r>
            <w:r w:rsidRPr="007A25F5">
              <w:t>)</w:t>
            </w:r>
          </w:p>
        </w:tc>
        <w:tc>
          <w:tcPr>
            <w:tcW w:w="1606" w:type="dxa"/>
            <w:tcBorders>
              <w:top w:val="nil"/>
              <w:left w:val="nil"/>
              <w:bottom w:val="nil"/>
            </w:tcBorders>
            <w:noWrap/>
          </w:tcPr>
          <w:p w:rsidR="001A4111" w:rsidRPr="007A25F5" w:rsidRDefault="001A4111" w:rsidP="00DD2EE6">
            <w:pPr>
              <w:pStyle w:val="PaperFormattext"/>
            </w:pPr>
            <w:r w:rsidRPr="007A25F5">
              <w:t>6.74</w:t>
            </w:r>
          </w:p>
          <w:p w:rsidR="001A4111" w:rsidRPr="007A25F5" w:rsidRDefault="001A4111" w:rsidP="00DD2EE6">
            <w:pPr>
              <w:pStyle w:val="PaperFormattext"/>
            </w:pPr>
            <w:r w:rsidRPr="007A25F5">
              <w:t>0.47</w:t>
            </w:r>
          </w:p>
          <w:p w:rsidR="001A4111" w:rsidRPr="007A25F5" w:rsidRDefault="001A4111" w:rsidP="00DD2EE6">
            <w:pPr>
              <w:pStyle w:val="PaperFormattext"/>
            </w:pPr>
            <w:r w:rsidRPr="007A25F5">
              <w:t>0.069</w:t>
            </w:r>
          </w:p>
        </w:tc>
        <w:tc>
          <w:tcPr>
            <w:tcW w:w="236" w:type="dxa"/>
            <w:tcBorders>
              <w:bottom w:val="nil"/>
              <w:right w:val="nil"/>
            </w:tcBorders>
            <w:noWrap/>
          </w:tcPr>
          <w:p w:rsidR="001A4111" w:rsidRPr="007A25F5" w:rsidRDefault="001A4111" w:rsidP="00DD2EE6">
            <w:pPr>
              <w:pStyle w:val="PaperFormattext"/>
            </w:pPr>
          </w:p>
        </w:tc>
        <w:tc>
          <w:tcPr>
            <w:tcW w:w="2314" w:type="dxa"/>
            <w:tcBorders>
              <w:left w:val="nil"/>
              <w:bottom w:val="nil"/>
              <w:right w:val="nil"/>
            </w:tcBorders>
            <w:noWrap/>
          </w:tcPr>
          <w:p w:rsidR="001A4111" w:rsidRPr="007A25F5" w:rsidRDefault="001A4111" w:rsidP="00DD2EE6">
            <w:pPr>
              <w:pStyle w:val="PaperFormattext"/>
            </w:pPr>
            <w:r w:rsidRPr="007A25F5">
              <w:t>SQO (qty ac</w:t>
            </w:r>
            <w:r w:rsidRPr="007A25F5">
              <w:rPr>
                <w:vertAlign w:val="superscript"/>
              </w:rPr>
              <w:t>-1</w:t>
            </w:r>
            <w:r w:rsidRPr="007A25F5">
              <w:t>)</w:t>
            </w:r>
          </w:p>
        </w:tc>
        <w:tc>
          <w:tcPr>
            <w:tcW w:w="599" w:type="dxa"/>
            <w:tcBorders>
              <w:left w:val="nil"/>
              <w:bottom w:val="nil"/>
              <w:right w:val="nil"/>
            </w:tcBorders>
          </w:tcPr>
          <w:p w:rsidR="001A4111" w:rsidRPr="007A25F5" w:rsidRDefault="001A4111" w:rsidP="00DD2EE6">
            <w:pPr>
              <w:pStyle w:val="PaperFormattext"/>
            </w:pPr>
            <w:r w:rsidRPr="007A25F5">
              <w:t>NH</w:t>
            </w:r>
            <w:r w:rsidRPr="007A25F5">
              <w:rPr>
                <w:vertAlign w:val="subscript"/>
              </w:rPr>
              <w:t>3</w:t>
            </w:r>
          </w:p>
          <w:p w:rsidR="001A4111" w:rsidRPr="007A25F5" w:rsidRDefault="001A4111" w:rsidP="00DD2EE6">
            <w:pPr>
              <w:pStyle w:val="PaperFormattext"/>
            </w:pPr>
            <w:r w:rsidRPr="007A25F5">
              <w:t>NO</w:t>
            </w:r>
            <w:r w:rsidRPr="007A25F5">
              <w:rPr>
                <w:vertAlign w:val="subscript"/>
              </w:rPr>
              <w:t>3</w:t>
            </w:r>
          </w:p>
          <w:p w:rsidR="001A4111" w:rsidRPr="007A25F5" w:rsidRDefault="001A4111" w:rsidP="00DD2EE6">
            <w:pPr>
              <w:pStyle w:val="PaperFormattext"/>
            </w:pPr>
            <w:r w:rsidRPr="007A25F5">
              <w:t>PO</w:t>
            </w:r>
            <w:r w:rsidRPr="007A25F5">
              <w:rPr>
                <w:vertAlign w:val="subscript"/>
              </w:rPr>
              <w:t>4</w:t>
            </w:r>
          </w:p>
        </w:tc>
        <w:tc>
          <w:tcPr>
            <w:tcW w:w="1559" w:type="dxa"/>
            <w:tcBorders>
              <w:top w:val="nil"/>
              <w:left w:val="nil"/>
              <w:bottom w:val="nil"/>
              <w:right w:val="nil"/>
            </w:tcBorders>
            <w:noWrap/>
          </w:tcPr>
          <w:p w:rsidR="001A4111" w:rsidRPr="007A25F5" w:rsidRDefault="001A4111" w:rsidP="00DD2EE6">
            <w:pPr>
              <w:pStyle w:val="PaperFormattext"/>
            </w:pPr>
            <w:r w:rsidRPr="007A25F5">
              <w:t>0.03</w:t>
            </w:r>
          </w:p>
          <w:p w:rsidR="001A4111" w:rsidRPr="007A25F5" w:rsidRDefault="001A4111" w:rsidP="00DD2EE6">
            <w:pPr>
              <w:pStyle w:val="PaperFormattext"/>
            </w:pPr>
            <w:r w:rsidRPr="007A25F5">
              <w:t>1.4</w:t>
            </w:r>
          </w:p>
          <w:p w:rsidR="001A4111" w:rsidRPr="007A25F5" w:rsidRDefault="001A4111" w:rsidP="00DD2EE6">
            <w:pPr>
              <w:pStyle w:val="PaperFormattext"/>
            </w:pPr>
            <w:r w:rsidRPr="007A25F5">
              <w:t>0.38</w:t>
            </w:r>
          </w:p>
        </w:tc>
      </w:tr>
      <w:tr w:rsidR="001A4111" w:rsidRPr="007A25F5" w:rsidTr="00BA32F4">
        <w:trPr>
          <w:cantSplit/>
          <w:trHeight w:val="227"/>
          <w:jc w:val="center"/>
        </w:trPr>
        <w:tc>
          <w:tcPr>
            <w:tcW w:w="1908" w:type="dxa"/>
            <w:tcBorders>
              <w:top w:val="nil"/>
              <w:left w:val="nil"/>
              <w:bottom w:val="nil"/>
              <w:right w:val="nil"/>
            </w:tcBorders>
            <w:noWrap/>
          </w:tcPr>
          <w:p w:rsidR="001A4111" w:rsidRPr="007A25F5" w:rsidRDefault="001A4111" w:rsidP="00DD2EE6">
            <w:pPr>
              <w:pStyle w:val="PaperFormattext"/>
            </w:pPr>
            <w:r w:rsidRPr="007A25F5">
              <w:t>UZSN (in)</w:t>
            </w:r>
          </w:p>
          <w:p w:rsidR="001A4111" w:rsidRPr="007A25F5" w:rsidRDefault="001A4111" w:rsidP="00DD2EE6">
            <w:pPr>
              <w:pStyle w:val="PaperFormattext"/>
            </w:pPr>
            <w:r w:rsidRPr="007A25F5">
              <w:t>KVARY (in</w:t>
            </w:r>
            <w:r w:rsidRPr="007A25F5">
              <w:rPr>
                <w:vertAlign w:val="superscript"/>
              </w:rPr>
              <w:t>-1</w:t>
            </w:r>
            <w:r w:rsidRPr="007A25F5">
              <w:t>)</w:t>
            </w:r>
          </w:p>
          <w:p w:rsidR="001A4111" w:rsidRPr="007A25F5" w:rsidRDefault="001A4111" w:rsidP="00DD2EE6">
            <w:pPr>
              <w:pStyle w:val="PaperFormattext"/>
            </w:pPr>
            <w:r w:rsidRPr="007A25F5">
              <w:t>INFEXP</w:t>
            </w:r>
          </w:p>
        </w:tc>
        <w:tc>
          <w:tcPr>
            <w:tcW w:w="1606" w:type="dxa"/>
            <w:tcBorders>
              <w:top w:val="nil"/>
              <w:left w:val="nil"/>
              <w:bottom w:val="nil"/>
            </w:tcBorders>
            <w:noWrap/>
          </w:tcPr>
          <w:p w:rsidR="001A4111" w:rsidRPr="007A25F5" w:rsidRDefault="001A4111" w:rsidP="00DD2EE6">
            <w:pPr>
              <w:pStyle w:val="PaperFormattext"/>
            </w:pPr>
            <w:r w:rsidRPr="007A25F5">
              <w:t>0.010</w:t>
            </w:r>
          </w:p>
          <w:p w:rsidR="001A4111" w:rsidRPr="007A25F5" w:rsidRDefault="001A4111" w:rsidP="00DD2EE6">
            <w:pPr>
              <w:pStyle w:val="PaperFormattext"/>
            </w:pPr>
            <w:r w:rsidRPr="007A25F5">
              <w:t>0.004</w:t>
            </w:r>
          </w:p>
          <w:p w:rsidR="001A4111" w:rsidRPr="007A25F5" w:rsidRDefault="001A4111" w:rsidP="00DD2EE6">
            <w:pPr>
              <w:pStyle w:val="PaperFormattext"/>
            </w:pPr>
            <w:r w:rsidRPr="007A25F5">
              <w:t>3.40</w:t>
            </w:r>
          </w:p>
        </w:tc>
        <w:tc>
          <w:tcPr>
            <w:tcW w:w="236" w:type="dxa"/>
            <w:tcBorders>
              <w:top w:val="nil"/>
              <w:bottom w:val="nil"/>
              <w:right w:val="nil"/>
            </w:tcBorders>
            <w:noWrap/>
          </w:tcPr>
          <w:p w:rsidR="001A4111" w:rsidRPr="007A25F5" w:rsidRDefault="001A4111" w:rsidP="00DD2EE6">
            <w:pPr>
              <w:pStyle w:val="PaperFormattext"/>
            </w:pPr>
          </w:p>
        </w:tc>
        <w:tc>
          <w:tcPr>
            <w:tcW w:w="2314" w:type="dxa"/>
            <w:tcBorders>
              <w:top w:val="nil"/>
              <w:left w:val="nil"/>
              <w:bottom w:val="nil"/>
              <w:right w:val="nil"/>
            </w:tcBorders>
            <w:noWrap/>
          </w:tcPr>
          <w:p w:rsidR="001A4111" w:rsidRPr="007A25F5" w:rsidRDefault="001A4111" w:rsidP="00DD2EE6">
            <w:pPr>
              <w:pStyle w:val="PaperFormattext"/>
            </w:pPr>
            <w:r w:rsidRPr="007A25F5">
              <w:t>POTFW (qty ton</w:t>
            </w:r>
            <w:r w:rsidRPr="007A25F5">
              <w:rPr>
                <w:vertAlign w:val="superscript"/>
              </w:rPr>
              <w:t>-1</w:t>
            </w:r>
            <w:r w:rsidRPr="007A25F5">
              <w:t>)</w:t>
            </w:r>
          </w:p>
        </w:tc>
        <w:tc>
          <w:tcPr>
            <w:tcW w:w="599" w:type="dxa"/>
            <w:tcBorders>
              <w:top w:val="nil"/>
              <w:left w:val="nil"/>
              <w:bottom w:val="nil"/>
              <w:right w:val="nil"/>
            </w:tcBorders>
          </w:tcPr>
          <w:p w:rsidR="001A4111" w:rsidRPr="007A25F5" w:rsidRDefault="001A4111" w:rsidP="00DD2EE6">
            <w:pPr>
              <w:pStyle w:val="PaperFormattext"/>
            </w:pPr>
            <w:r w:rsidRPr="007A25F5">
              <w:t>NH</w:t>
            </w:r>
            <w:r w:rsidRPr="007A25F5">
              <w:rPr>
                <w:vertAlign w:val="subscript"/>
              </w:rPr>
              <w:t>3</w:t>
            </w:r>
          </w:p>
          <w:p w:rsidR="001A4111" w:rsidRPr="007A25F5" w:rsidRDefault="001A4111" w:rsidP="00DD2EE6">
            <w:pPr>
              <w:pStyle w:val="PaperFormattext"/>
            </w:pPr>
            <w:r w:rsidRPr="007A25F5">
              <w:t>NO</w:t>
            </w:r>
            <w:r w:rsidRPr="007A25F5">
              <w:rPr>
                <w:vertAlign w:val="subscript"/>
              </w:rPr>
              <w:t>3</w:t>
            </w:r>
          </w:p>
          <w:p w:rsidR="001A4111" w:rsidRPr="007A25F5" w:rsidRDefault="001A4111" w:rsidP="00DD2EE6">
            <w:pPr>
              <w:pStyle w:val="PaperFormattext"/>
            </w:pPr>
            <w:r w:rsidRPr="007A25F5">
              <w:t>PO</w:t>
            </w:r>
            <w:r w:rsidRPr="007A25F5">
              <w:rPr>
                <w:vertAlign w:val="subscript"/>
              </w:rPr>
              <w:t>4</w:t>
            </w:r>
          </w:p>
        </w:tc>
        <w:tc>
          <w:tcPr>
            <w:tcW w:w="1559" w:type="dxa"/>
            <w:tcBorders>
              <w:top w:val="nil"/>
              <w:left w:val="nil"/>
              <w:bottom w:val="nil"/>
              <w:right w:val="nil"/>
            </w:tcBorders>
            <w:noWrap/>
          </w:tcPr>
          <w:p w:rsidR="001A4111" w:rsidRPr="007A25F5" w:rsidRDefault="001A4111" w:rsidP="00DD2EE6">
            <w:pPr>
              <w:pStyle w:val="PaperFormattext"/>
            </w:pPr>
            <w:r w:rsidRPr="007A25F5">
              <w:t>0.01</w:t>
            </w:r>
          </w:p>
          <w:p w:rsidR="001A4111" w:rsidRPr="007A25F5" w:rsidRDefault="001A4111" w:rsidP="00DD2EE6">
            <w:pPr>
              <w:pStyle w:val="PaperFormattext"/>
            </w:pPr>
            <w:r w:rsidRPr="007A25F5">
              <w:t>0.01</w:t>
            </w:r>
          </w:p>
          <w:p w:rsidR="001A4111" w:rsidRPr="007A25F5" w:rsidRDefault="001A4111" w:rsidP="00DD2EE6">
            <w:pPr>
              <w:pStyle w:val="PaperFormattext"/>
            </w:pPr>
            <w:r w:rsidRPr="007A25F5">
              <w:t>0.02</w:t>
            </w:r>
          </w:p>
        </w:tc>
      </w:tr>
      <w:tr w:rsidR="001A4111" w:rsidRPr="007A25F5" w:rsidTr="00BA32F4">
        <w:trPr>
          <w:cantSplit/>
          <w:trHeight w:val="227"/>
          <w:jc w:val="center"/>
        </w:trPr>
        <w:tc>
          <w:tcPr>
            <w:tcW w:w="1908" w:type="dxa"/>
            <w:tcBorders>
              <w:top w:val="nil"/>
              <w:left w:val="nil"/>
              <w:bottom w:val="nil"/>
              <w:right w:val="nil"/>
            </w:tcBorders>
            <w:noWrap/>
          </w:tcPr>
          <w:p w:rsidR="001A4111" w:rsidRPr="007A25F5" w:rsidRDefault="001A4111" w:rsidP="00DD2EE6">
            <w:pPr>
              <w:pStyle w:val="PaperFormattext"/>
            </w:pPr>
            <w:r w:rsidRPr="007A25F5">
              <w:t>INFILD (in)</w:t>
            </w:r>
          </w:p>
          <w:p w:rsidR="001A4111" w:rsidRPr="007A25F5" w:rsidRDefault="001A4111" w:rsidP="00DD2EE6">
            <w:pPr>
              <w:pStyle w:val="PaperFormattext"/>
            </w:pPr>
            <w:r w:rsidRPr="007A25F5">
              <w:t>INTFW</w:t>
            </w:r>
          </w:p>
          <w:p w:rsidR="001A4111" w:rsidRPr="007A25F5" w:rsidRDefault="001A4111" w:rsidP="00DD2EE6">
            <w:pPr>
              <w:pStyle w:val="PaperFormattext"/>
            </w:pPr>
            <w:r w:rsidRPr="007A25F5">
              <w:t>IRC (day</w:t>
            </w:r>
            <w:r w:rsidRPr="007A25F5">
              <w:rPr>
                <w:vertAlign w:val="superscript"/>
              </w:rPr>
              <w:t>-1</w:t>
            </w:r>
            <w:r w:rsidRPr="007A25F5">
              <w:t>)</w:t>
            </w:r>
          </w:p>
        </w:tc>
        <w:tc>
          <w:tcPr>
            <w:tcW w:w="1606" w:type="dxa"/>
            <w:tcBorders>
              <w:top w:val="nil"/>
              <w:left w:val="nil"/>
              <w:bottom w:val="nil"/>
            </w:tcBorders>
            <w:noWrap/>
          </w:tcPr>
          <w:p w:rsidR="001A4111" w:rsidRPr="007A25F5" w:rsidRDefault="001A4111" w:rsidP="00DD2EE6">
            <w:pPr>
              <w:pStyle w:val="PaperFormattext"/>
            </w:pPr>
            <w:r w:rsidRPr="007A25F5">
              <w:t>0.77</w:t>
            </w:r>
          </w:p>
          <w:p w:rsidR="001A4111" w:rsidRPr="007A25F5" w:rsidRDefault="001A4111" w:rsidP="00DD2EE6">
            <w:pPr>
              <w:pStyle w:val="PaperFormattext"/>
            </w:pPr>
            <w:r w:rsidRPr="007A25F5">
              <w:t>0.995</w:t>
            </w:r>
          </w:p>
          <w:p w:rsidR="001A4111" w:rsidRPr="007A25F5" w:rsidRDefault="001A4111" w:rsidP="00DD2EE6">
            <w:pPr>
              <w:pStyle w:val="PaperFormattext"/>
            </w:pPr>
            <w:r w:rsidRPr="007A25F5">
              <w:t>0.002</w:t>
            </w:r>
          </w:p>
        </w:tc>
        <w:tc>
          <w:tcPr>
            <w:tcW w:w="236" w:type="dxa"/>
            <w:tcBorders>
              <w:top w:val="nil"/>
              <w:bottom w:val="nil"/>
              <w:right w:val="nil"/>
            </w:tcBorders>
            <w:noWrap/>
          </w:tcPr>
          <w:p w:rsidR="001A4111" w:rsidRPr="007A25F5" w:rsidRDefault="001A4111" w:rsidP="00DD2EE6">
            <w:pPr>
              <w:pStyle w:val="PaperFormattext"/>
            </w:pPr>
          </w:p>
        </w:tc>
        <w:tc>
          <w:tcPr>
            <w:tcW w:w="2314" w:type="dxa"/>
            <w:tcBorders>
              <w:top w:val="nil"/>
              <w:left w:val="nil"/>
              <w:bottom w:val="nil"/>
              <w:right w:val="nil"/>
            </w:tcBorders>
            <w:noWrap/>
          </w:tcPr>
          <w:p w:rsidR="001A4111" w:rsidRPr="007A25F5" w:rsidRDefault="001A4111" w:rsidP="00DD2EE6">
            <w:pPr>
              <w:pStyle w:val="PaperFormattext"/>
            </w:pPr>
            <w:r w:rsidRPr="007A25F5">
              <w:t>POTFS (qty ton</w:t>
            </w:r>
            <w:r w:rsidRPr="007A25F5">
              <w:rPr>
                <w:vertAlign w:val="superscript"/>
              </w:rPr>
              <w:t>-1</w:t>
            </w:r>
            <w:r w:rsidRPr="007A25F5">
              <w:t>)</w:t>
            </w:r>
          </w:p>
        </w:tc>
        <w:tc>
          <w:tcPr>
            <w:tcW w:w="599" w:type="dxa"/>
            <w:tcBorders>
              <w:top w:val="nil"/>
              <w:left w:val="nil"/>
              <w:bottom w:val="nil"/>
              <w:right w:val="nil"/>
            </w:tcBorders>
          </w:tcPr>
          <w:p w:rsidR="001A4111" w:rsidRPr="007A25F5" w:rsidRDefault="001A4111" w:rsidP="00DD2EE6">
            <w:pPr>
              <w:pStyle w:val="PaperFormattext"/>
            </w:pPr>
            <w:r w:rsidRPr="007A25F5">
              <w:t>NH</w:t>
            </w:r>
            <w:r w:rsidRPr="007A25F5">
              <w:rPr>
                <w:vertAlign w:val="subscript"/>
              </w:rPr>
              <w:t>3</w:t>
            </w:r>
          </w:p>
          <w:p w:rsidR="001A4111" w:rsidRPr="007A25F5" w:rsidRDefault="001A4111" w:rsidP="00DD2EE6">
            <w:pPr>
              <w:pStyle w:val="PaperFormattext"/>
            </w:pPr>
            <w:r w:rsidRPr="007A25F5">
              <w:t>NO</w:t>
            </w:r>
            <w:r w:rsidRPr="007A25F5">
              <w:rPr>
                <w:vertAlign w:val="subscript"/>
              </w:rPr>
              <w:t>3</w:t>
            </w:r>
          </w:p>
          <w:p w:rsidR="001A4111" w:rsidRPr="007A25F5" w:rsidRDefault="001A4111" w:rsidP="00DD2EE6">
            <w:pPr>
              <w:pStyle w:val="PaperFormattext"/>
            </w:pPr>
            <w:r w:rsidRPr="007A25F5">
              <w:t>PO</w:t>
            </w:r>
            <w:r w:rsidRPr="007A25F5">
              <w:rPr>
                <w:vertAlign w:val="subscript"/>
              </w:rPr>
              <w:t>4</w:t>
            </w:r>
          </w:p>
        </w:tc>
        <w:tc>
          <w:tcPr>
            <w:tcW w:w="1559" w:type="dxa"/>
            <w:tcBorders>
              <w:top w:val="nil"/>
              <w:left w:val="nil"/>
              <w:bottom w:val="nil"/>
              <w:right w:val="nil"/>
            </w:tcBorders>
            <w:noWrap/>
          </w:tcPr>
          <w:p w:rsidR="001A4111" w:rsidRPr="007A25F5" w:rsidRDefault="001A4111" w:rsidP="00DD2EE6">
            <w:pPr>
              <w:pStyle w:val="PaperFormattext"/>
            </w:pPr>
            <w:r w:rsidRPr="007A25F5">
              <w:t>0.1</w:t>
            </w:r>
          </w:p>
          <w:p w:rsidR="001A4111" w:rsidRPr="007A25F5" w:rsidRDefault="001A4111" w:rsidP="00DD2EE6">
            <w:pPr>
              <w:pStyle w:val="PaperFormattext"/>
            </w:pPr>
            <w:r w:rsidRPr="007A25F5">
              <w:t>0.1</w:t>
            </w:r>
          </w:p>
          <w:p w:rsidR="001A4111" w:rsidRPr="007A25F5" w:rsidRDefault="001A4111" w:rsidP="00DD2EE6">
            <w:pPr>
              <w:pStyle w:val="PaperFormattext"/>
            </w:pPr>
            <w:r w:rsidRPr="007A25F5">
              <w:t>0.01</w:t>
            </w:r>
          </w:p>
        </w:tc>
      </w:tr>
      <w:tr w:rsidR="001A4111" w:rsidRPr="007A25F5" w:rsidTr="00BA32F4">
        <w:trPr>
          <w:cantSplit/>
          <w:trHeight w:val="227"/>
          <w:jc w:val="center"/>
        </w:trPr>
        <w:tc>
          <w:tcPr>
            <w:tcW w:w="1908" w:type="dxa"/>
            <w:tcBorders>
              <w:top w:val="nil"/>
              <w:left w:val="nil"/>
              <w:bottom w:val="nil"/>
              <w:right w:val="nil"/>
            </w:tcBorders>
            <w:noWrap/>
          </w:tcPr>
          <w:p w:rsidR="001A4111" w:rsidRPr="007A25F5" w:rsidRDefault="001A4111" w:rsidP="00DD2EE6">
            <w:pPr>
              <w:pStyle w:val="PaperFormattext"/>
            </w:pPr>
            <w:r w:rsidRPr="007A25F5">
              <w:t>LZETP</w:t>
            </w:r>
          </w:p>
          <w:p w:rsidR="001A4111" w:rsidRPr="007A25F5" w:rsidRDefault="001A4111" w:rsidP="00DD2EE6">
            <w:pPr>
              <w:pStyle w:val="PaperFormattext"/>
            </w:pPr>
            <w:r w:rsidRPr="007A25F5">
              <w:t>DEEPFR</w:t>
            </w:r>
          </w:p>
          <w:p w:rsidR="001A4111" w:rsidRPr="007A25F5" w:rsidRDefault="001A4111" w:rsidP="00DD2EE6">
            <w:pPr>
              <w:pStyle w:val="PaperFormattext"/>
            </w:pPr>
            <w:r w:rsidRPr="007A25F5">
              <w:t>BASETP</w:t>
            </w:r>
          </w:p>
        </w:tc>
        <w:tc>
          <w:tcPr>
            <w:tcW w:w="1606" w:type="dxa"/>
            <w:tcBorders>
              <w:top w:val="nil"/>
              <w:left w:val="nil"/>
              <w:bottom w:val="nil"/>
            </w:tcBorders>
            <w:noWrap/>
          </w:tcPr>
          <w:p w:rsidR="001A4111" w:rsidRPr="007A25F5" w:rsidRDefault="001A4111" w:rsidP="00DD2EE6">
            <w:pPr>
              <w:pStyle w:val="PaperFormattext"/>
            </w:pPr>
            <w:r w:rsidRPr="007A25F5">
              <w:t>0.77</w:t>
            </w:r>
          </w:p>
          <w:p w:rsidR="001A4111" w:rsidRPr="007A25F5" w:rsidRDefault="001A4111" w:rsidP="00DD2EE6">
            <w:pPr>
              <w:pStyle w:val="PaperFormattext"/>
            </w:pPr>
            <w:r w:rsidRPr="007A25F5">
              <w:t>0.995</w:t>
            </w:r>
          </w:p>
          <w:p w:rsidR="001A4111" w:rsidRPr="007A25F5" w:rsidRDefault="001A4111" w:rsidP="00DD2EE6">
            <w:pPr>
              <w:pStyle w:val="PaperFormattext"/>
            </w:pPr>
            <w:r w:rsidRPr="007A25F5">
              <w:t>0.002</w:t>
            </w:r>
          </w:p>
        </w:tc>
        <w:tc>
          <w:tcPr>
            <w:tcW w:w="236" w:type="dxa"/>
            <w:tcBorders>
              <w:top w:val="nil"/>
              <w:bottom w:val="nil"/>
              <w:right w:val="nil"/>
            </w:tcBorders>
            <w:noWrap/>
          </w:tcPr>
          <w:p w:rsidR="001A4111" w:rsidRPr="007A25F5" w:rsidRDefault="001A4111" w:rsidP="00DD2EE6">
            <w:pPr>
              <w:pStyle w:val="PaperFormattext"/>
            </w:pPr>
          </w:p>
        </w:tc>
        <w:tc>
          <w:tcPr>
            <w:tcW w:w="2314" w:type="dxa"/>
            <w:tcBorders>
              <w:top w:val="nil"/>
              <w:left w:val="nil"/>
              <w:bottom w:val="nil"/>
              <w:right w:val="nil"/>
            </w:tcBorders>
            <w:noWrap/>
          </w:tcPr>
          <w:p w:rsidR="001A4111" w:rsidRPr="007A25F5" w:rsidRDefault="001A4111" w:rsidP="00DD2EE6">
            <w:pPr>
              <w:pStyle w:val="PaperFormattext"/>
            </w:pPr>
            <w:r w:rsidRPr="007A25F5">
              <w:t>ACQOP (qty ac</w:t>
            </w:r>
            <w:r w:rsidRPr="007A25F5">
              <w:rPr>
                <w:vertAlign w:val="superscript"/>
              </w:rPr>
              <w:t>-1</w:t>
            </w:r>
            <w:r w:rsidRPr="007A25F5">
              <w:t xml:space="preserve"> d</w:t>
            </w:r>
            <w:r w:rsidRPr="007A25F5">
              <w:rPr>
                <w:vertAlign w:val="superscript"/>
              </w:rPr>
              <w:t>-1</w:t>
            </w:r>
            <w:r w:rsidRPr="007A25F5">
              <w:t>)</w:t>
            </w:r>
          </w:p>
        </w:tc>
        <w:tc>
          <w:tcPr>
            <w:tcW w:w="599" w:type="dxa"/>
            <w:tcBorders>
              <w:top w:val="nil"/>
              <w:left w:val="nil"/>
              <w:bottom w:val="nil"/>
              <w:right w:val="nil"/>
            </w:tcBorders>
          </w:tcPr>
          <w:p w:rsidR="001A4111" w:rsidRPr="007A25F5" w:rsidRDefault="001A4111" w:rsidP="00DD2EE6">
            <w:pPr>
              <w:pStyle w:val="PaperFormattext"/>
            </w:pPr>
            <w:r w:rsidRPr="007A25F5">
              <w:t>NH</w:t>
            </w:r>
            <w:r w:rsidRPr="007A25F5">
              <w:rPr>
                <w:vertAlign w:val="subscript"/>
              </w:rPr>
              <w:t>3</w:t>
            </w:r>
          </w:p>
          <w:p w:rsidR="001A4111" w:rsidRPr="007A25F5" w:rsidRDefault="001A4111" w:rsidP="00DD2EE6">
            <w:pPr>
              <w:pStyle w:val="PaperFormattext"/>
            </w:pPr>
            <w:r w:rsidRPr="007A25F5">
              <w:t>NO</w:t>
            </w:r>
            <w:r w:rsidRPr="007A25F5">
              <w:rPr>
                <w:vertAlign w:val="subscript"/>
              </w:rPr>
              <w:t>3</w:t>
            </w:r>
          </w:p>
          <w:p w:rsidR="001A4111" w:rsidRPr="007A25F5" w:rsidRDefault="001A4111" w:rsidP="00DD2EE6">
            <w:pPr>
              <w:pStyle w:val="PaperFormattext"/>
            </w:pPr>
            <w:r w:rsidRPr="007A25F5">
              <w:t>PO</w:t>
            </w:r>
            <w:r w:rsidRPr="007A25F5">
              <w:rPr>
                <w:vertAlign w:val="subscript"/>
              </w:rPr>
              <w:t>4</w:t>
            </w:r>
          </w:p>
        </w:tc>
        <w:tc>
          <w:tcPr>
            <w:tcW w:w="1559" w:type="dxa"/>
            <w:tcBorders>
              <w:top w:val="nil"/>
              <w:left w:val="nil"/>
              <w:bottom w:val="nil"/>
              <w:right w:val="nil"/>
            </w:tcBorders>
            <w:noWrap/>
          </w:tcPr>
          <w:p w:rsidR="001A4111" w:rsidRPr="007A25F5" w:rsidRDefault="001A4111" w:rsidP="00DD2EE6">
            <w:pPr>
              <w:pStyle w:val="PaperFormattext"/>
            </w:pPr>
            <w:r w:rsidRPr="007A25F5">
              <w:t>0.00</w:t>
            </w:r>
          </w:p>
          <w:p w:rsidR="001A4111" w:rsidRPr="007A25F5" w:rsidRDefault="001A4111" w:rsidP="00DD2EE6">
            <w:pPr>
              <w:pStyle w:val="PaperFormattext"/>
            </w:pPr>
            <w:r w:rsidRPr="007A25F5">
              <w:t>0.01</w:t>
            </w:r>
          </w:p>
          <w:p w:rsidR="001A4111" w:rsidRPr="007A25F5" w:rsidRDefault="001A4111" w:rsidP="00DD2EE6">
            <w:pPr>
              <w:pStyle w:val="PaperFormattext"/>
            </w:pPr>
            <w:r w:rsidRPr="007A25F5">
              <w:t>0.0008</w:t>
            </w:r>
          </w:p>
        </w:tc>
      </w:tr>
      <w:tr w:rsidR="001A4111" w:rsidRPr="007A25F5" w:rsidTr="00BA32F4">
        <w:trPr>
          <w:cantSplit/>
          <w:trHeight w:val="227"/>
          <w:jc w:val="center"/>
        </w:trPr>
        <w:tc>
          <w:tcPr>
            <w:tcW w:w="1908" w:type="dxa"/>
            <w:tcBorders>
              <w:top w:val="nil"/>
              <w:left w:val="nil"/>
              <w:bottom w:val="nil"/>
              <w:right w:val="nil"/>
            </w:tcBorders>
            <w:noWrap/>
          </w:tcPr>
          <w:p w:rsidR="001A4111" w:rsidRPr="007A25F5" w:rsidRDefault="001A4111" w:rsidP="00DD2EE6">
            <w:pPr>
              <w:pStyle w:val="PaperFormattext"/>
            </w:pPr>
            <w:r w:rsidRPr="007A25F5">
              <w:t>AGWETP</w:t>
            </w:r>
          </w:p>
          <w:p w:rsidR="001A4111" w:rsidRPr="007A25F5" w:rsidRDefault="001A4111" w:rsidP="00DD2EE6">
            <w:pPr>
              <w:pStyle w:val="PaperFormattext"/>
            </w:pPr>
            <w:r w:rsidRPr="007A25F5">
              <w:t>CEPSC (in)</w:t>
            </w:r>
          </w:p>
          <w:p w:rsidR="001A4111" w:rsidRPr="007A25F5" w:rsidRDefault="001A4111" w:rsidP="00DD2EE6">
            <w:pPr>
              <w:pStyle w:val="PaperFormattext"/>
            </w:pPr>
            <w:r w:rsidRPr="007A25F5">
              <w:t>PLS NSUR</w:t>
            </w:r>
          </w:p>
        </w:tc>
        <w:tc>
          <w:tcPr>
            <w:tcW w:w="1606" w:type="dxa"/>
            <w:tcBorders>
              <w:top w:val="nil"/>
              <w:left w:val="nil"/>
              <w:bottom w:val="nil"/>
            </w:tcBorders>
            <w:noWrap/>
          </w:tcPr>
          <w:p w:rsidR="001A4111" w:rsidRPr="007A25F5" w:rsidRDefault="001A4111" w:rsidP="00DD2EE6">
            <w:pPr>
              <w:pStyle w:val="PaperFormattext"/>
            </w:pPr>
            <w:r w:rsidRPr="007A25F5">
              <w:t>0.77</w:t>
            </w:r>
          </w:p>
          <w:p w:rsidR="001A4111" w:rsidRPr="007A25F5" w:rsidRDefault="001A4111" w:rsidP="00DD2EE6">
            <w:pPr>
              <w:pStyle w:val="PaperFormattext"/>
            </w:pPr>
            <w:r w:rsidRPr="007A25F5">
              <w:t>0.995</w:t>
            </w:r>
          </w:p>
          <w:p w:rsidR="001A4111" w:rsidRPr="007A25F5" w:rsidRDefault="001A4111" w:rsidP="00DD2EE6">
            <w:pPr>
              <w:pStyle w:val="PaperFormattext"/>
            </w:pPr>
            <w:r w:rsidRPr="007A25F5">
              <w:t>0.002</w:t>
            </w:r>
          </w:p>
        </w:tc>
        <w:tc>
          <w:tcPr>
            <w:tcW w:w="236" w:type="dxa"/>
            <w:tcBorders>
              <w:top w:val="nil"/>
              <w:bottom w:val="nil"/>
              <w:right w:val="nil"/>
            </w:tcBorders>
            <w:noWrap/>
          </w:tcPr>
          <w:p w:rsidR="001A4111" w:rsidRPr="007A25F5" w:rsidRDefault="001A4111" w:rsidP="00DD2EE6">
            <w:pPr>
              <w:pStyle w:val="PaperFormattext"/>
            </w:pPr>
          </w:p>
        </w:tc>
        <w:tc>
          <w:tcPr>
            <w:tcW w:w="2314" w:type="dxa"/>
            <w:tcBorders>
              <w:top w:val="nil"/>
              <w:left w:val="nil"/>
              <w:bottom w:val="nil"/>
              <w:right w:val="nil"/>
            </w:tcBorders>
            <w:noWrap/>
          </w:tcPr>
          <w:p w:rsidR="001A4111" w:rsidRPr="007A25F5" w:rsidRDefault="001A4111" w:rsidP="00DD2EE6">
            <w:pPr>
              <w:pStyle w:val="PaperFormattext"/>
            </w:pPr>
            <w:r w:rsidRPr="007A25F5">
              <w:t>SQOLIM (qty ac</w:t>
            </w:r>
            <w:r w:rsidRPr="007A25F5">
              <w:rPr>
                <w:vertAlign w:val="superscript"/>
              </w:rPr>
              <w:t>-1</w:t>
            </w:r>
            <w:r w:rsidRPr="007A25F5">
              <w:t>)</w:t>
            </w:r>
          </w:p>
        </w:tc>
        <w:tc>
          <w:tcPr>
            <w:tcW w:w="599" w:type="dxa"/>
            <w:tcBorders>
              <w:top w:val="nil"/>
              <w:left w:val="nil"/>
              <w:bottom w:val="nil"/>
              <w:right w:val="nil"/>
            </w:tcBorders>
          </w:tcPr>
          <w:p w:rsidR="001A4111" w:rsidRPr="007A25F5" w:rsidRDefault="001A4111" w:rsidP="00DD2EE6">
            <w:pPr>
              <w:pStyle w:val="PaperFormattext"/>
            </w:pPr>
            <w:r w:rsidRPr="007A25F5">
              <w:t>NH</w:t>
            </w:r>
            <w:r w:rsidRPr="007A25F5">
              <w:rPr>
                <w:vertAlign w:val="subscript"/>
              </w:rPr>
              <w:t>3</w:t>
            </w:r>
          </w:p>
          <w:p w:rsidR="001A4111" w:rsidRPr="007A25F5" w:rsidRDefault="001A4111" w:rsidP="00DD2EE6">
            <w:pPr>
              <w:pStyle w:val="PaperFormattext"/>
            </w:pPr>
            <w:r w:rsidRPr="007A25F5">
              <w:t>NO</w:t>
            </w:r>
            <w:r w:rsidRPr="007A25F5">
              <w:rPr>
                <w:vertAlign w:val="subscript"/>
              </w:rPr>
              <w:t>3</w:t>
            </w:r>
          </w:p>
          <w:p w:rsidR="001A4111" w:rsidRPr="007A25F5" w:rsidRDefault="001A4111" w:rsidP="00DD2EE6">
            <w:pPr>
              <w:pStyle w:val="PaperFormattext"/>
            </w:pPr>
            <w:r w:rsidRPr="007A25F5">
              <w:t>PO</w:t>
            </w:r>
            <w:r w:rsidRPr="007A25F5">
              <w:rPr>
                <w:vertAlign w:val="subscript"/>
              </w:rPr>
              <w:t>4</w:t>
            </w:r>
          </w:p>
        </w:tc>
        <w:tc>
          <w:tcPr>
            <w:tcW w:w="1559" w:type="dxa"/>
            <w:tcBorders>
              <w:top w:val="nil"/>
              <w:left w:val="nil"/>
              <w:bottom w:val="nil"/>
              <w:right w:val="nil"/>
            </w:tcBorders>
            <w:noWrap/>
          </w:tcPr>
          <w:p w:rsidR="001A4111" w:rsidRPr="007A25F5" w:rsidRDefault="001A4111" w:rsidP="00DD2EE6">
            <w:pPr>
              <w:pStyle w:val="PaperFormattext"/>
            </w:pPr>
            <w:r w:rsidRPr="007A25F5">
              <w:t>0.02</w:t>
            </w:r>
          </w:p>
          <w:p w:rsidR="001A4111" w:rsidRPr="007A25F5" w:rsidRDefault="001A4111" w:rsidP="00DD2EE6">
            <w:pPr>
              <w:pStyle w:val="PaperFormattext"/>
            </w:pPr>
            <w:r w:rsidRPr="007A25F5">
              <w:t>1.98</w:t>
            </w:r>
          </w:p>
          <w:p w:rsidR="001A4111" w:rsidRPr="007A25F5" w:rsidRDefault="001A4111" w:rsidP="00DD2EE6">
            <w:pPr>
              <w:pStyle w:val="PaperFormattext"/>
            </w:pPr>
            <w:r w:rsidRPr="007A25F5">
              <w:t>0.02</w:t>
            </w:r>
          </w:p>
        </w:tc>
      </w:tr>
      <w:tr w:rsidR="001A4111" w:rsidRPr="007A25F5" w:rsidTr="00BA32F4">
        <w:trPr>
          <w:cantSplit/>
          <w:trHeight w:val="227"/>
          <w:jc w:val="center"/>
        </w:trPr>
        <w:tc>
          <w:tcPr>
            <w:tcW w:w="1908" w:type="dxa"/>
            <w:tcBorders>
              <w:top w:val="nil"/>
              <w:left w:val="nil"/>
              <w:right w:val="nil"/>
            </w:tcBorders>
            <w:noWrap/>
          </w:tcPr>
          <w:p w:rsidR="001A4111" w:rsidRPr="007A25F5" w:rsidRDefault="001A4111" w:rsidP="00DD2EE6">
            <w:pPr>
              <w:pStyle w:val="PaperFormattext"/>
            </w:pPr>
            <w:r w:rsidRPr="007A25F5">
              <w:t>Sediment</w:t>
            </w:r>
          </w:p>
        </w:tc>
        <w:tc>
          <w:tcPr>
            <w:tcW w:w="1606" w:type="dxa"/>
            <w:tcBorders>
              <w:top w:val="nil"/>
              <w:left w:val="nil"/>
              <w:bottom w:val="nil"/>
            </w:tcBorders>
            <w:noWrap/>
          </w:tcPr>
          <w:p w:rsidR="001A4111" w:rsidRPr="007A25F5" w:rsidRDefault="001A4111" w:rsidP="00DD2EE6">
            <w:pPr>
              <w:pStyle w:val="PaperFormattext"/>
            </w:pPr>
          </w:p>
        </w:tc>
        <w:tc>
          <w:tcPr>
            <w:tcW w:w="236" w:type="dxa"/>
            <w:vMerge w:val="restart"/>
            <w:tcBorders>
              <w:top w:val="nil"/>
              <w:right w:val="nil"/>
            </w:tcBorders>
            <w:noWrap/>
          </w:tcPr>
          <w:p w:rsidR="001A4111" w:rsidRPr="007A25F5" w:rsidRDefault="001A4111" w:rsidP="00DD2EE6">
            <w:pPr>
              <w:pStyle w:val="PaperFormattext"/>
            </w:pPr>
          </w:p>
        </w:tc>
        <w:tc>
          <w:tcPr>
            <w:tcW w:w="2314" w:type="dxa"/>
            <w:vMerge w:val="restart"/>
            <w:tcBorders>
              <w:top w:val="nil"/>
              <w:left w:val="nil"/>
              <w:right w:val="nil"/>
            </w:tcBorders>
            <w:noWrap/>
          </w:tcPr>
          <w:p w:rsidR="001A4111" w:rsidRPr="007A25F5" w:rsidRDefault="001A4111" w:rsidP="00DD2EE6">
            <w:pPr>
              <w:pStyle w:val="PaperFormattext"/>
            </w:pPr>
            <w:r w:rsidRPr="007A25F5">
              <w:t>WSQOP (in hr</w:t>
            </w:r>
            <w:r w:rsidRPr="007A25F5">
              <w:rPr>
                <w:vertAlign w:val="superscript"/>
              </w:rPr>
              <w:t>-1</w:t>
            </w:r>
            <w:r w:rsidRPr="007A25F5">
              <w:t>)</w:t>
            </w:r>
          </w:p>
        </w:tc>
        <w:tc>
          <w:tcPr>
            <w:tcW w:w="599" w:type="dxa"/>
            <w:vMerge w:val="restart"/>
            <w:tcBorders>
              <w:top w:val="nil"/>
              <w:left w:val="nil"/>
              <w:right w:val="nil"/>
            </w:tcBorders>
          </w:tcPr>
          <w:p w:rsidR="001A4111" w:rsidRPr="007A25F5" w:rsidRDefault="001A4111" w:rsidP="00DD2EE6">
            <w:pPr>
              <w:pStyle w:val="PaperFormattext"/>
            </w:pPr>
            <w:r w:rsidRPr="007A25F5">
              <w:t>NH</w:t>
            </w:r>
            <w:r w:rsidRPr="007A25F5">
              <w:rPr>
                <w:vertAlign w:val="subscript"/>
              </w:rPr>
              <w:t>3</w:t>
            </w:r>
          </w:p>
          <w:p w:rsidR="001A4111" w:rsidRPr="007A25F5" w:rsidRDefault="001A4111" w:rsidP="00DD2EE6">
            <w:pPr>
              <w:pStyle w:val="PaperFormattext"/>
            </w:pPr>
            <w:r w:rsidRPr="007A25F5">
              <w:t>NO</w:t>
            </w:r>
            <w:r w:rsidRPr="007A25F5">
              <w:rPr>
                <w:vertAlign w:val="subscript"/>
              </w:rPr>
              <w:t>3</w:t>
            </w:r>
          </w:p>
          <w:p w:rsidR="001A4111" w:rsidRPr="007A25F5" w:rsidRDefault="001A4111" w:rsidP="00DD2EE6">
            <w:pPr>
              <w:pStyle w:val="PaperFormattext"/>
            </w:pPr>
            <w:r w:rsidRPr="007A25F5">
              <w:t>PO</w:t>
            </w:r>
            <w:r w:rsidRPr="007A25F5">
              <w:rPr>
                <w:vertAlign w:val="subscript"/>
              </w:rPr>
              <w:t>4</w:t>
            </w:r>
          </w:p>
        </w:tc>
        <w:tc>
          <w:tcPr>
            <w:tcW w:w="1559" w:type="dxa"/>
            <w:vMerge w:val="restart"/>
            <w:tcBorders>
              <w:top w:val="nil"/>
              <w:left w:val="nil"/>
              <w:right w:val="nil"/>
            </w:tcBorders>
            <w:noWrap/>
          </w:tcPr>
          <w:p w:rsidR="001A4111" w:rsidRPr="007A25F5" w:rsidRDefault="001A4111" w:rsidP="00DD2EE6">
            <w:pPr>
              <w:pStyle w:val="PaperFormattext"/>
            </w:pPr>
            <w:r w:rsidRPr="007A25F5">
              <w:t>0.5</w:t>
            </w:r>
          </w:p>
          <w:p w:rsidR="001A4111" w:rsidRPr="007A25F5" w:rsidRDefault="001A4111" w:rsidP="00DD2EE6">
            <w:pPr>
              <w:pStyle w:val="PaperFormattext"/>
            </w:pPr>
            <w:r w:rsidRPr="007A25F5">
              <w:t>0.5</w:t>
            </w:r>
          </w:p>
          <w:p w:rsidR="001A4111" w:rsidRPr="007A25F5" w:rsidRDefault="001A4111" w:rsidP="00DD2EE6">
            <w:pPr>
              <w:pStyle w:val="PaperFormattext"/>
            </w:pPr>
            <w:r w:rsidRPr="007A25F5">
              <w:t>0.5</w:t>
            </w:r>
          </w:p>
        </w:tc>
      </w:tr>
      <w:tr w:rsidR="001A4111" w:rsidRPr="007A25F5" w:rsidTr="00BA32F4">
        <w:trPr>
          <w:cantSplit/>
          <w:trHeight w:val="227"/>
          <w:jc w:val="center"/>
        </w:trPr>
        <w:tc>
          <w:tcPr>
            <w:tcW w:w="1908" w:type="dxa"/>
            <w:tcBorders>
              <w:left w:val="nil"/>
              <w:bottom w:val="single" w:sz="4" w:space="0" w:color="auto"/>
              <w:right w:val="nil"/>
            </w:tcBorders>
            <w:noWrap/>
          </w:tcPr>
          <w:p w:rsidR="001A4111" w:rsidRPr="007A25F5" w:rsidRDefault="001A4111" w:rsidP="00DD2EE6">
            <w:pPr>
              <w:pStyle w:val="PaperFormattext"/>
            </w:pPr>
            <w:r w:rsidRPr="007A25F5">
              <w:t>JSER (day</w:t>
            </w:r>
            <w:r w:rsidRPr="007A25F5">
              <w:rPr>
                <w:vertAlign w:val="superscript"/>
              </w:rPr>
              <w:t>-1</w:t>
            </w:r>
            <w:r w:rsidRPr="007A25F5">
              <w:t>)</w:t>
            </w:r>
          </w:p>
          <w:p w:rsidR="001A4111" w:rsidRPr="007A25F5" w:rsidRDefault="001A4111" w:rsidP="00DD2EE6">
            <w:pPr>
              <w:pStyle w:val="PaperFormattext"/>
            </w:pPr>
            <w:r w:rsidRPr="007A25F5">
              <w:t>KSER (day</w:t>
            </w:r>
            <w:r w:rsidRPr="007A25F5">
              <w:rPr>
                <w:vertAlign w:val="superscript"/>
              </w:rPr>
              <w:t>-1</w:t>
            </w:r>
            <w:r w:rsidRPr="007A25F5">
              <w:t>)</w:t>
            </w:r>
          </w:p>
          <w:p w:rsidR="001A4111" w:rsidRPr="007A25F5" w:rsidRDefault="001A4111" w:rsidP="00DD2EE6">
            <w:pPr>
              <w:pStyle w:val="PaperFormattext"/>
            </w:pPr>
            <w:r w:rsidRPr="007A25F5">
              <w:t>KGER (day</w:t>
            </w:r>
            <w:r w:rsidRPr="007A25F5">
              <w:rPr>
                <w:vertAlign w:val="superscript"/>
              </w:rPr>
              <w:t>-1</w:t>
            </w:r>
            <w:r w:rsidRPr="007A25F5">
              <w:t>)</w:t>
            </w:r>
          </w:p>
          <w:p w:rsidR="001A4111" w:rsidRPr="007A25F5" w:rsidRDefault="001A4111" w:rsidP="00DD2EE6">
            <w:pPr>
              <w:pStyle w:val="PaperFormattext"/>
            </w:pPr>
            <w:r w:rsidRPr="007A25F5">
              <w:t>KRER (day</w:t>
            </w:r>
            <w:r w:rsidRPr="007A25F5">
              <w:rPr>
                <w:vertAlign w:val="superscript"/>
              </w:rPr>
              <w:t>-1</w:t>
            </w:r>
            <w:r w:rsidRPr="007A25F5">
              <w:t>)</w:t>
            </w:r>
          </w:p>
          <w:p w:rsidR="001A4111" w:rsidRPr="007A25F5" w:rsidRDefault="001A4111" w:rsidP="00DD2EE6">
            <w:pPr>
              <w:pStyle w:val="PaperFormattext"/>
            </w:pPr>
            <w:r w:rsidRPr="007A25F5">
              <w:t>JGER (day</w:t>
            </w:r>
            <w:r w:rsidRPr="007A25F5">
              <w:rPr>
                <w:vertAlign w:val="superscript"/>
              </w:rPr>
              <w:t>-1</w:t>
            </w:r>
            <w:r w:rsidRPr="007A25F5">
              <w:t>)</w:t>
            </w:r>
          </w:p>
        </w:tc>
        <w:tc>
          <w:tcPr>
            <w:tcW w:w="1606" w:type="dxa"/>
            <w:tcBorders>
              <w:top w:val="nil"/>
              <w:left w:val="nil"/>
              <w:bottom w:val="single" w:sz="4" w:space="0" w:color="auto"/>
            </w:tcBorders>
            <w:noWrap/>
          </w:tcPr>
          <w:p w:rsidR="001A4111" w:rsidRPr="007A25F5" w:rsidRDefault="001A4111" w:rsidP="00DD2EE6">
            <w:pPr>
              <w:pStyle w:val="PaperFormattext"/>
            </w:pPr>
            <w:r w:rsidRPr="007A25F5">
              <w:t>2.0</w:t>
            </w:r>
          </w:p>
          <w:p w:rsidR="001A4111" w:rsidRPr="007A25F5" w:rsidRDefault="001A4111" w:rsidP="00DD2EE6">
            <w:pPr>
              <w:pStyle w:val="PaperFormattext"/>
            </w:pPr>
            <w:r w:rsidRPr="007A25F5">
              <w:t>5.0</w:t>
            </w:r>
          </w:p>
          <w:p w:rsidR="001A4111" w:rsidRPr="007A25F5" w:rsidRDefault="001A4111" w:rsidP="00DD2EE6">
            <w:pPr>
              <w:pStyle w:val="PaperFormattext"/>
            </w:pPr>
            <w:r w:rsidRPr="007A25F5">
              <w:t>2.0</w:t>
            </w:r>
          </w:p>
          <w:p w:rsidR="001A4111" w:rsidRPr="007A25F5" w:rsidRDefault="001A4111" w:rsidP="00DD2EE6">
            <w:pPr>
              <w:pStyle w:val="PaperFormattext"/>
            </w:pPr>
            <w:r w:rsidRPr="007A25F5">
              <w:t>6.0</w:t>
            </w:r>
          </w:p>
          <w:p w:rsidR="001A4111" w:rsidRPr="007A25F5" w:rsidRDefault="001A4111" w:rsidP="00DD2EE6">
            <w:pPr>
              <w:pStyle w:val="PaperFormattext"/>
            </w:pPr>
            <w:r w:rsidRPr="007A25F5">
              <w:t>2.0</w:t>
            </w:r>
          </w:p>
        </w:tc>
        <w:tc>
          <w:tcPr>
            <w:tcW w:w="236" w:type="dxa"/>
            <w:vMerge/>
            <w:tcBorders>
              <w:right w:val="nil"/>
            </w:tcBorders>
            <w:noWrap/>
          </w:tcPr>
          <w:p w:rsidR="001A4111" w:rsidRPr="007A25F5" w:rsidRDefault="001A4111" w:rsidP="00DD2EE6">
            <w:pPr>
              <w:pStyle w:val="PaperFormattext"/>
            </w:pPr>
          </w:p>
        </w:tc>
        <w:tc>
          <w:tcPr>
            <w:tcW w:w="2314" w:type="dxa"/>
            <w:vMerge/>
            <w:tcBorders>
              <w:left w:val="nil"/>
              <w:right w:val="nil"/>
            </w:tcBorders>
            <w:noWrap/>
          </w:tcPr>
          <w:p w:rsidR="001A4111" w:rsidRPr="007A25F5" w:rsidRDefault="001A4111" w:rsidP="00DD2EE6">
            <w:pPr>
              <w:pStyle w:val="PaperFormattext"/>
            </w:pPr>
          </w:p>
        </w:tc>
        <w:tc>
          <w:tcPr>
            <w:tcW w:w="599" w:type="dxa"/>
            <w:vMerge/>
            <w:tcBorders>
              <w:left w:val="nil"/>
              <w:right w:val="nil"/>
            </w:tcBorders>
          </w:tcPr>
          <w:p w:rsidR="001A4111" w:rsidRPr="007A25F5" w:rsidRDefault="001A4111" w:rsidP="00DD2EE6">
            <w:pPr>
              <w:pStyle w:val="PaperFormattext"/>
            </w:pPr>
          </w:p>
        </w:tc>
        <w:tc>
          <w:tcPr>
            <w:tcW w:w="1559" w:type="dxa"/>
            <w:vMerge/>
            <w:tcBorders>
              <w:left w:val="nil"/>
              <w:right w:val="nil"/>
            </w:tcBorders>
            <w:noWrap/>
          </w:tcPr>
          <w:p w:rsidR="001A4111" w:rsidRPr="007A25F5" w:rsidRDefault="001A4111" w:rsidP="00DD2EE6">
            <w:pPr>
              <w:pStyle w:val="PaperFormattext"/>
            </w:pPr>
          </w:p>
        </w:tc>
      </w:tr>
    </w:tbl>
    <w:p w:rsidR="001A4111" w:rsidRPr="007A25F5" w:rsidRDefault="001A4111" w:rsidP="00DD2EE6">
      <w:pPr>
        <w:pStyle w:val="PaperFormattext"/>
      </w:pPr>
    </w:p>
    <w:p w:rsidR="00BA32F4" w:rsidRPr="007A25F5" w:rsidRDefault="00BA32F4" w:rsidP="00DD2EE6">
      <w:pPr>
        <w:pStyle w:val="PaperFormattext"/>
      </w:pPr>
    </w:p>
    <w:p w:rsidR="001A4111" w:rsidRPr="007A25F5" w:rsidRDefault="001A4111" w:rsidP="00DD2EE6">
      <w:pPr>
        <w:pStyle w:val="PaperFormattext"/>
      </w:pPr>
      <w:r w:rsidRPr="007A25F5">
        <w:t xml:space="preserve">Table </w:t>
      </w:r>
      <w:r w:rsidR="00AE7C20" w:rsidRPr="007A25F5">
        <w:t>II</w:t>
      </w:r>
      <w:r w:rsidRPr="007A25F5">
        <w:t xml:space="preserve">. </w:t>
      </w:r>
      <w:r w:rsidR="00FF37C8" w:rsidRPr="007A25F5">
        <w:t>A</w:t>
      </w:r>
      <w:r w:rsidRPr="007A25F5">
        <w:t xml:space="preserve">djusted parameters for calibration of </w:t>
      </w:r>
      <w:r w:rsidR="00FF37C8" w:rsidRPr="007A25F5">
        <w:t xml:space="preserve">the </w:t>
      </w:r>
      <w:r w:rsidRPr="007A25F5">
        <w:t>WASP model</w:t>
      </w:r>
    </w:p>
    <w:tbl>
      <w:tblPr>
        <w:tblW w:w="7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417"/>
        <w:gridCol w:w="284"/>
        <w:gridCol w:w="2268"/>
        <w:gridCol w:w="1501"/>
      </w:tblGrid>
      <w:tr w:rsidR="001A4111" w:rsidRPr="007A25F5" w:rsidTr="007447F1">
        <w:trPr>
          <w:cantSplit/>
          <w:trHeight w:val="20"/>
          <w:jc w:val="center"/>
        </w:trPr>
        <w:tc>
          <w:tcPr>
            <w:tcW w:w="1844" w:type="dxa"/>
            <w:tcBorders>
              <w:left w:val="nil"/>
              <w:right w:val="nil"/>
            </w:tcBorders>
            <w:noWrap/>
            <w:vAlign w:val="center"/>
          </w:tcPr>
          <w:p w:rsidR="001A4111" w:rsidRPr="007A25F5" w:rsidRDefault="001A4111" w:rsidP="00DD2EE6">
            <w:pPr>
              <w:pStyle w:val="PaperFormattext"/>
            </w:pPr>
            <w:r w:rsidRPr="007A25F5">
              <w:t>Parameter (Units)</w:t>
            </w:r>
          </w:p>
        </w:tc>
        <w:tc>
          <w:tcPr>
            <w:tcW w:w="1417" w:type="dxa"/>
            <w:tcBorders>
              <w:left w:val="nil"/>
            </w:tcBorders>
            <w:noWrap/>
            <w:vAlign w:val="center"/>
          </w:tcPr>
          <w:p w:rsidR="001A4111" w:rsidRPr="007A25F5" w:rsidRDefault="001A4111" w:rsidP="00DD2EE6">
            <w:pPr>
              <w:pStyle w:val="PaperFormattext"/>
              <w:rPr>
                <w:vertAlign w:val="superscript"/>
              </w:rPr>
            </w:pPr>
            <w:r w:rsidRPr="007A25F5">
              <w:t xml:space="preserve">Calibrated </w:t>
            </w:r>
            <w:r w:rsidR="008168F3" w:rsidRPr="007A25F5">
              <w:t>value</w:t>
            </w:r>
          </w:p>
        </w:tc>
        <w:tc>
          <w:tcPr>
            <w:tcW w:w="284" w:type="dxa"/>
            <w:tcBorders>
              <w:right w:val="nil"/>
            </w:tcBorders>
            <w:noWrap/>
            <w:vAlign w:val="center"/>
          </w:tcPr>
          <w:p w:rsidR="001A4111" w:rsidRPr="007A25F5" w:rsidRDefault="001A4111" w:rsidP="00DD2EE6">
            <w:pPr>
              <w:pStyle w:val="PaperFormattext"/>
              <w:rPr>
                <w:vertAlign w:val="superscript"/>
              </w:rPr>
            </w:pPr>
          </w:p>
        </w:tc>
        <w:tc>
          <w:tcPr>
            <w:tcW w:w="2268" w:type="dxa"/>
            <w:tcBorders>
              <w:left w:val="nil"/>
              <w:right w:val="nil"/>
            </w:tcBorders>
            <w:noWrap/>
            <w:vAlign w:val="center"/>
          </w:tcPr>
          <w:p w:rsidR="001A4111" w:rsidRPr="007A25F5" w:rsidRDefault="001A4111" w:rsidP="00DD2EE6">
            <w:pPr>
              <w:pStyle w:val="PaperFormattext"/>
            </w:pPr>
            <w:r w:rsidRPr="007A25F5">
              <w:t>Parameter (Units)</w:t>
            </w:r>
          </w:p>
        </w:tc>
        <w:tc>
          <w:tcPr>
            <w:tcW w:w="1501" w:type="dxa"/>
            <w:tcBorders>
              <w:left w:val="nil"/>
              <w:right w:val="nil"/>
            </w:tcBorders>
            <w:noWrap/>
            <w:vAlign w:val="center"/>
          </w:tcPr>
          <w:p w:rsidR="001A4111" w:rsidRPr="007A25F5" w:rsidRDefault="001A4111" w:rsidP="00DD2EE6">
            <w:pPr>
              <w:pStyle w:val="PaperFormattext"/>
            </w:pPr>
            <w:r w:rsidRPr="007A25F5">
              <w:t>Calibrated value</w:t>
            </w:r>
          </w:p>
        </w:tc>
      </w:tr>
      <w:tr w:rsidR="001A4111" w:rsidRPr="007A25F5" w:rsidTr="007447F1">
        <w:trPr>
          <w:cantSplit/>
          <w:trHeight w:val="1831"/>
          <w:jc w:val="center"/>
        </w:trPr>
        <w:tc>
          <w:tcPr>
            <w:tcW w:w="1844" w:type="dxa"/>
            <w:tcBorders>
              <w:left w:val="nil"/>
              <w:right w:val="nil"/>
            </w:tcBorders>
            <w:noWrap/>
            <w:vAlign w:val="center"/>
          </w:tcPr>
          <w:p w:rsidR="001A4111" w:rsidRPr="007A25F5" w:rsidRDefault="001A4111" w:rsidP="00DD2EE6">
            <w:pPr>
              <w:pStyle w:val="PaperFormattext"/>
            </w:pPr>
            <w:r w:rsidRPr="007A25F5">
              <w:t>K12C (day</w:t>
            </w:r>
            <w:r w:rsidRPr="007A25F5">
              <w:rPr>
                <w:vertAlign w:val="superscript"/>
              </w:rPr>
              <w:t>-1</w:t>
            </w:r>
            <w:r w:rsidRPr="007A25F5">
              <w:t>)</w:t>
            </w:r>
          </w:p>
          <w:p w:rsidR="001A4111" w:rsidRPr="007A25F5" w:rsidRDefault="001A4111" w:rsidP="00DD2EE6">
            <w:pPr>
              <w:pStyle w:val="PaperFormattext"/>
            </w:pPr>
            <w:r w:rsidRPr="007A25F5">
              <w:t>K12T (-)</w:t>
            </w:r>
          </w:p>
          <w:p w:rsidR="001A4111" w:rsidRPr="007A25F5" w:rsidRDefault="001A4111" w:rsidP="00DD2EE6">
            <w:pPr>
              <w:pStyle w:val="PaperFormattext"/>
            </w:pPr>
            <w:r w:rsidRPr="007A25F5">
              <w:t>KNIT (mg O</w:t>
            </w:r>
            <w:r w:rsidRPr="007A25F5">
              <w:rPr>
                <w:vertAlign w:val="subscript"/>
              </w:rPr>
              <w:t>2</w:t>
            </w:r>
            <w:r w:rsidRPr="007A25F5">
              <w:t>/L)</w:t>
            </w:r>
          </w:p>
          <w:p w:rsidR="001A4111" w:rsidRPr="007A25F5" w:rsidRDefault="001A4111" w:rsidP="00DD2EE6">
            <w:pPr>
              <w:pStyle w:val="PaperFormattext"/>
            </w:pPr>
            <w:r w:rsidRPr="007A25F5">
              <w:t>K20C (day</w:t>
            </w:r>
            <w:r w:rsidRPr="007A25F5">
              <w:rPr>
                <w:vertAlign w:val="superscript"/>
              </w:rPr>
              <w:t>-1</w:t>
            </w:r>
            <w:r w:rsidRPr="007A25F5">
              <w:t>)</w:t>
            </w:r>
          </w:p>
          <w:p w:rsidR="001A4111" w:rsidRPr="007A25F5" w:rsidRDefault="001A4111" w:rsidP="00DD2EE6">
            <w:pPr>
              <w:pStyle w:val="PaperFormattext"/>
            </w:pPr>
            <w:r w:rsidRPr="007A25F5">
              <w:t>K20T (-)</w:t>
            </w:r>
          </w:p>
          <w:p w:rsidR="001A4111" w:rsidRPr="007A25F5" w:rsidRDefault="001A4111" w:rsidP="00DD2EE6">
            <w:pPr>
              <w:pStyle w:val="PaperFormattext"/>
            </w:pPr>
            <w:r w:rsidRPr="007A25F5">
              <w:t>KNO3 (mg O</w:t>
            </w:r>
            <w:r w:rsidRPr="007A25F5">
              <w:rPr>
                <w:vertAlign w:val="subscript"/>
              </w:rPr>
              <w:t>2</w:t>
            </w:r>
            <w:r w:rsidRPr="007A25F5">
              <w:t>/L)</w:t>
            </w:r>
          </w:p>
          <w:p w:rsidR="001A4111" w:rsidRPr="007A25F5" w:rsidRDefault="001A4111" w:rsidP="00DD2EE6">
            <w:pPr>
              <w:pStyle w:val="PaperFormattext"/>
            </w:pPr>
            <w:r w:rsidRPr="007A25F5">
              <w:t>K1C (day</w:t>
            </w:r>
            <w:r w:rsidRPr="007A25F5">
              <w:rPr>
                <w:vertAlign w:val="superscript"/>
              </w:rPr>
              <w:t>-1</w:t>
            </w:r>
            <w:r w:rsidRPr="007A25F5">
              <w:t>)</w:t>
            </w:r>
          </w:p>
        </w:tc>
        <w:tc>
          <w:tcPr>
            <w:tcW w:w="1417" w:type="dxa"/>
            <w:tcBorders>
              <w:left w:val="nil"/>
            </w:tcBorders>
            <w:noWrap/>
            <w:vAlign w:val="center"/>
          </w:tcPr>
          <w:p w:rsidR="001A4111" w:rsidRPr="007A25F5" w:rsidRDefault="001A4111" w:rsidP="00DD2EE6">
            <w:pPr>
              <w:pStyle w:val="PaperFormattext"/>
            </w:pPr>
            <w:r w:rsidRPr="007A25F5">
              <w:t>0.113</w:t>
            </w:r>
          </w:p>
          <w:p w:rsidR="001A4111" w:rsidRPr="007A25F5" w:rsidRDefault="001A4111" w:rsidP="00DD2EE6">
            <w:pPr>
              <w:pStyle w:val="PaperFormattext"/>
            </w:pPr>
            <w:r w:rsidRPr="007A25F5">
              <w:t>1.</w:t>
            </w:r>
            <w:r w:rsidR="00BA32F4" w:rsidRPr="007A25F5">
              <w:t>04</w:t>
            </w:r>
          </w:p>
          <w:p w:rsidR="001A4111" w:rsidRPr="007A25F5" w:rsidRDefault="001A4111" w:rsidP="00DD2EE6">
            <w:pPr>
              <w:pStyle w:val="PaperFormattext"/>
            </w:pPr>
            <w:r w:rsidRPr="007A25F5">
              <w:t>1.12</w:t>
            </w:r>
          </w:p>
          <w:p w:rsidR="001A4111" w:rsidRPr="007A25F5" w:rsidRDefault="001A4111" w:rsidP="00DD2EE6">
            <w:pPr>
              <w:pStyle w:val="PaperFormattext"/>
            </w:pPr>
            <w:r w:rsidRPr="007A25F5">
              <w:t>0.247</w:t>
            </w:r>
          </w:p>
          <w:p w:rsidR="001A4111" w:rsidRPr="007A25F5" w:rsidRDefault="001A4111" w:rsidP="00DD2EE6">
            <w:pPr>
              <w:pStyle w:val="PaperFormattext"/>
            </w:pPr>
            <w:r w:rsidRPr="007A25F5">
              <w:t>1.01</w:t>
            </w:r>
          </w:p>
          <w:p w:rsidR="001A4111" w:rsidRPr="007A25F5" w:rsidRDefault="001A4111" w:rsidP="00DD2EE6">
            <w:pPr>
              <w:pStyle w:val="PaperFormattext"/>
            </w:pPr>
            <w:r w:rsidRPr="007A25F5">
              <w:t>1.</w:t>
            </w:r>
            <w:r w:rsidR="00BA32F4" w:rsidRPr="007A25F5">
              <w:t>93</w:t>
            </w:r>
          </w:p>
          <w:p w:rsidR="001A4111" w:rsidRPr="007A25F5" w:rsidRDefault="001A4111" w:rsidP="00DD2EE6">
            <w:pPr>
              <w:pStyle w:val="PaperFormattext"/>
            </w:pPr>
            <w:r w:rsidRPr="007A25F5">
              <w:t>2.</w:t>
            </w:r>
            <w:r w:rsidR="00BA32F4" w:rsidRPr="007A25F5">
              <w:t>41</w:t>
            </w:r>
          </w:p>
        </w:tc>
        <w:tc>
          <w:tcPr>
            <w:tcW w:w="284" w:type="dxa"/>
            <w:tcBorders>
              <w:right w:val="nil"/>
            </w:tcBorders>
            <w:noWrap/>
            <w:vAlign w:val="center"/>
          </w:tcPr>
          <w:p w:rsidR="001A4111" w:rsidRPr="007A25F5" w:rsidRDefault="001A4111" w:rsidP="00DD2EE6">
            <w:pPr>
              <w:pStyle w:val="PaperFormattext"/>
            </w:pPr>
          </w:p>
        </w:tc>
        <w:tc>
          <w:tcPr>
            <w:tcW w:w="2268" w:type="dxa"/>
            <w:tcBorders>
              <w:left w:val="nil"/>
              <w:right w:val="nil"/>
            </w:tcBorders>
            <w:noWrap/>
            <w:vAlign w:val="center"/>
          </w:tcPr>
          <w:p w:rsidR="001A4111" w:rsidRPr="007A25F5" w:rsidRDefault="001A4111" w:rsidP="00DD2EE6">
            <w:pPr>
              <w:pStyle w:val="PaperFormattext"/>
            </w:pPr>
            <w:r w:rsidRPr="007A25F5">
              <w:t>IS1 (ly/day)</w:t>
            </w:r>
          </w:p>
          <w:p w:rsidR="001A4111" w:rsidRPr="007A25F5" w:rsidRDefault="001A4111" w:rsidP="00DD2EE6">
            <w:pPr>
              <w:pStyle w:val="PaperFormattext"/>
            </w:pPr>
            <w:r w:rsidRPr="007A25F5">
              <w:t>KMNG1 (mg-N/L)</w:t>
            </w:r>
          </w:p>
          <w:p w:rsidR="001A4111" w:rsidRPr="007A25F5" w:rsidRDefault="001A4111" w:rsidP="00DD2EE6">
            <w:pPr>
              <w:pStyle w:val="PaperFormattext"/>
            </w:pPr>
            <w:r w:rsidRPr="007A25F5">
              <w:t>KMPG1 (mg PO</w:t>
            </w:r>
            <w:r w:rsidRPr="007A25F5">
              <w:rPr>
                <w:vertAlign w:val="subscript"/>
              </w:rPr>
              <w:t>4</w:t>
            </w:r>
            <w:r w:rsidRPr="007A25F5">
              <w:t>-P/L)</w:t>
            </w:r>
          </w:p>
          <w:p w:rsidR="001A4111" w:rsidRPr="007A25F5" w:rsidRDefault="001A4111" w:rsidP="00DD2EE6">
            <w:pPr>
              <w:pStyle w:val="PaperFormattext"/>
            </w:pPr>
            <w:r w:rsidRPr="007A25F5">
              <w:t>K1D (day</w:t>
            </w:r>
            <w:r w:rsidRPr="007A25F5">
              <w:rPr>
                <w:vertAlign w:val="superscript"/>
              </w:rPr>
              <w:t>-1</w:t>
            </w:r>
            <w:r w:rsidRPr="007A25F5">
              <w:t>)</w:t>
            </w:r>
          </w:p>
          <w:p w:rsidR="001A4111" w:rsidRPr="007A25F5" w:rsidRDefault="001A4111" w:rsidP="00DD2EE6">
            <w:pPr>
              <w:pStyle w:val="PaperFormattext"/>
              <w:rPr>
                <w:lang w:val="nl-NL"/>
              </w:rPr>
            </w:pPr>
            <w:r w:rsidRPr="007A25F5">
              <w:rPr>
                <w:lang w:val="nl-NL"/>
              </w:rPr>
              <w:t>NCRB (mg N/ mg C)</w:t>
            </w:r>
          </w:p>
          <w:p w:rsidR="001A4111" w:rsidRPr="007A25F5" w:rsidRDefault="001A4111" w:rsidP="00DD2EE6">
            <w:pPr>
              <w:pStyle w:val="PaperFormattext"/>
            </w:pPr>
            <w:r w:rsidRPr="007A25F5">
              <w:t>K71C (day</w:t>
            </w:r>
            <w:r w:rsidRPr="007A25F5">
              <w:rPr>
                <w:vertAlign w:val="superscript"/>
              </w:rPr>
              <w:t>-1</w:t>
            </w:r>
            <w:r w:rsidRPr="007A25F5">
              <w:t>)</w:t>
            </w:r>
          </w:p>
          <w:p w:rsidR="001A4111" w:rsidRPr="007A25F5" w:rsidRDefault="001A4111" w:rsidP="00DD2EE6">
            <w:pPr>
              <w:pStyle w:val="PaperFormattext"/>
            </w:pPr>
            <w:r w:rsidRPr="007A25F5">
              <w:t>K83C (day</w:t>
            </w:r>
            <w:r w:rsidRPr="007A25F5">
              <w:rPr>
                <w:vertAlign w:val="superscript"/>
              </w:rPr>
              <w:t>-1</w:t>
            </w:r>
            <w:r w:rsidRPr="007A25F5">
              <w:t>)</w:t>
            </w:r>
          </w:p>
        </w:tc>
        <w:tc>
          <w:tcPr>
            <w:tcW w:w="1501" w:type="dxa"/>
            <w:tcBorders>
              <w:left w:val="nil"/>
              <w:right w:val="nil"/>
            </w:tcBorders>
            <w:noWrap/>
            <w:vAlign w:val="center"/>
          </w:tcPr>
          <w:p w:rsidR="001A4111" w:rsidRPr="007A25F5" w:rsidRDefault="001A4111" w:rsidP="00DD2EE6">
            <w:pPr>
              <w:pStyle w:val="PaperFormattext"/>
            </w:pPr>
            <w:r w:rsidRPr="007A25F5">
              <w:t>219</w:t>
            </w:r>
          </w:p>
          <w:p w:rsidR="001A4111" w:rsidRPr="007A25F5" w:rsidRDefault="001A4111" w:rsidP="00DD2EE6">
            <w:pPr>
              <w:pStyle w:val="PaperFormattext"/>
            </w:pPr>
            <w:r w:rsidRPr="007A25F5">
              <w:t>0.112</w:t>
            </w:r>
          </w:p>
          <w:p w:rsidR="001A4111" w:rsidRPr="007A25F5" w:rsidRDefault="001A4111" w:rsidP="00DD2EE6">
            <w:pPr>
              <w:pStyle w:val="PaperFormattext"/>
            </w:pPr>
            <w:r w:rsidRPr="007A25F5">
              <w:t>0.053</w:t>
            </w:r>
          </w:p>
          <w:p w:rsidR="001A4111" w:rsidRPr="007A25F5" w:rsidRDefault="001A4111" w:rsidP="00DD2EE6">
            <w:pPr>
              <w:pStyle w:val="PaperFormattext"/>
            </w:pPr>
            <w:r w:rsidRPr="007A25F5">
              <w:t>0.089</w:t>
            </w:r>
          </w:p>
          <w:p w:rsidR="001A4111" w:rsidRPr="007A25F5" w:rsidRDefault="001A4111" w:rsidP="00DD2EE6">
            <w:pPr>
              <w:pStyle w:val="PaperFormattext"/>
            </w:pPr>
            <w:r w:rsidRPr="007A25F5">
              <w:t>0.134</w:t>
            </w:r>
          </w:p>
          <w:p w:rsidR="001A4111" w:rsidRPr="007A25F5" w:rsidRDefault="001A4111" w:rsidP="00DD2EE6">
            <w:pPr>
              <w:pStyle w:val="PaperFormattext"/>
            </w:pPr>
            <w:r w:rsidRPr="007A25F5">
              <w:t>0.119</w:t>
            </w:r>
          </w:p>
          <w:p w:rsidR="001A4111" w:rsidRPr="007A25F5" w:rsidRDefault="001A4111" w:rsidP="00DD2EE6">
            <w:pPr>
              <w:pStyle w:val="PaperFormattext"/>
            </w:pPr>
            <w:r w:rsidRPr="007A25F5">
              <w:t>0.315</w:t>
            </w:r>
          </w:p>
        </w:tc>
      </w:tr>
    </w:tbl>
    <w:p w:rsidR="001A4111" w:rsidRPr="007A25F5" w:rsidRDefault="001A4111" w:rsidP="00DD2EE6">
      <w:pPr>
        <w:pStyle w:val="PaperFormattext"/>
      </w:pPr>
    </w:p>
    <w:p w:rsidR="001A4111" w:rsidRPr="007A25F5" w:rsidRDefault="001A4111" w:rsidP="00DD2EE6">
      <w:pPr>
        <w:pStyle w:val="PaperFormattext"/>
      </w:pPr>
    </w:p>
    <w:p w:rsidR="001A4111" w:rsidRPr="007A25F5" w:rsidRDefault="001A4111" w:rsidP="00DD2EE6">
      <w:pPr>
        <w:pStyle w:val="PaperFormattext"/>
      </w:pPr>
      <w:r w:rsidRPr="007A25F5">
        <w:t xml:space="preserve">Table </w:t>
      </w:r>
      <w:r w:rsidR="00AE7C20" w:rsidRPr="007A25F5">
        <w:t>III</w:t>
      </w:r>
      <w:r w:rsidRPr="007A25F5">
        <w:t>. Comparison of observed and simulated data for calibration</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032"/>
        <w:gridCol w:w="751"/>
        <w:gridCol w:w="1413"/>
        <w:gridCol w:w="1439"/>
        <w:gridCol w:w="1167"/>
        <w:gridCol w:w="1115"/>
        <w:gridCol w:w="1021"/>
      </w:tblGrid>
      <w:tr w:rsidR="001A4111" w:rsidRPr="007A25F5" w:rsidTr="00BA32F4">
        <w:trPr>
          <w:trHeight w:val="227"/>
          <w:jc w:val="center"/>
        </w:trPr>
        <w:tc>
          <w:tcPr>
            <w:tcW w:w="1684" w:type="dxa"/>
            <w:gridSpan w:val="2"/>
            <w:tcBorders>
              <w:left w:val="nil"/>
              <w:bottom w:val="single" w:sz="4" w:space="0" w:color="auto"/>
              <w:right w:val="nil"/>
            </w:tcBorders>
            <w:shd w:val="clear" w:color="auto" w:fill="auto"/>
            <w:noWrap/>
          </w:tcPr>
          <w:p w:rsidR="001A4111" w:rsidRPr="007A25F5" w:rsidRDefault="001A4111" w:rsidP="00DD2EE6">
            <w:pPr>
              <w:pStyle w:val="PaperFormattext"/>
            </w:pPr>
            <w:r w:rsidRPr="007A25F5">
              <w:t>Constituent</w:t>
            </w:r>
          </w:p>
        </w:tc>
        <w:tc>
          <w:tcPr>
            <w:tcW w:w="1334" w:type="dxa"/>
            <w:tcBorders>
              <w:left w:val="nil"/>
              <w:right w:val="nil"/>
            </w:tcBorders>
            <w:shd w:val="clear" w:color="auto" w:fill="auto"/>
          </w:tcPr>
          <w:p w:rsidR="00BA32F4" w:rsidRPr="007A25F5" w:rsidRDefault="001A4111" w:rsidP="00DD2EE6">
            <w:pPr>
              <w:pStyle w:val="PaperFormattext"/>
            </w:pPr>
            <w:r w:rsidRPr="007A25F5">
              <w:t>Mean</w:t>
            </w:r>
          </w:p>
          <w:p w:rsidR="001A4111" w:rsidRPr="007A25F5" w:rsidRDefault="001A4111" w:rsidP="00DD2EE6">
            <w:pPr>
              <w:pStyle w:val="PaperFormattext"/>
            </w:pPr>
            <w:r w:rsidRPr="007A25F5">
              <w:t>observed</w:t>
            </w:r>
          </w:p>
          <w:p w:rsidR="001A4111" w:rsidRPr="007A25F5" w:rsidRDefault="001A4111" w:rsidP="00DD2EE6">
            <w:pPr>
              <w:pStyle w:val="PaperFormattext"/>
            </w:pPr>
            <w:r w:rsidRPr="007A25F5">
              <w:t>(m</w:t>
            </w:r>
            <w:r w:rsidRPr="007A25F5">
              <w:rPr>
                <w:vertAlign w:val="superscript"/>
              </w:rPr>
              <w:t>3</w:t>
            </w:r>
            <w:r w:rsidRPr="007A25F5">
              <w:t>/s, mg/L)</w:t>
            </w:r>
          </w:p>
        </w:tc>
        <w:tc>
          <w:tcPr>
            <w:tcW w:w="1359" w:type="dxa"/>
            <w:tcBorders>
              <w:left w:val="nil"/>
              <w:right w:val="nil"/>
            </w:tcBorders>
            <w:shd w:val="clear" w:color="auto" w:fill="auto"/>
          </w:tcPr>
          <w:p w:rsidR="00BA32F4" w:rsidRPr="007A25F5" w:rsidRDefault="001A4111" w:rsidP="00DD2EE6">
            <w:pPr>
              <w:pStyle w:val="PaperFormattext"/>
            </w:pPr>
            <w:r w:rsidRPr="007A25F5">
              <w:t>Mean</w:t>
            </w:r>
          </w:p>
          <w:p w:rsidR="001A4111" w:rsidRPr="007A25F5" w:rsidRDefault="001A4111" w:rsidP="00DD2EE6">
            <w:pPr>
              <w:pStyle w:val="PaperFormattext"/>
            </w:pPr>
            <w:r w:rsidRPr="007A25F5">
              <w:t>simulated</w:t>
            </w:r>
          </w:p>
          <w:p w:rsidR="001A4111" w:rsidRPr="007A25F5" w:rsidRDefault="001A4111" w:rsidP="00DD2EE6">
            <w:pPr>
              <w:pStyle w:val="PaperFormattext"/>
            </w:pPr>
            <w:r w:rsidRPr="007A25F5">
              <w:t>(m</w:t>
            </w:r>
            <w:r w:rsidRPr="007A25F5">
              <w:rPr>
                <w:vertAlign w:val="superscript"/>
              </w:rPr>
              <w:t>3</w:t>
            </w:r>
            <w:r w:rsidRPr="007A25F5">
              <w:t>/s, mg/L)</w:t>
            </w:r>
          </w:p>
        </w:tc>
        <w:tc>
          <w:tcPr>
            <w:tcW w:w="1102" w:type="dxa"/>
            <w:tcBorders>
              <w:left w:val="nil"/>
              <w:right w:val="nil"/>
            </w:tcBorders>
            <w:shd w:val="clear" w:color="auto" w:fill="auto"/>
          </w:tcPr>
          <w:p w:rsidR="001A4111" w:rsidRPr="007A25F5" w:rsidRDefault="001A4111" w:rsidP="00DD2EE6">
            <w:pPr>
              <w:pStyle w:val="PaperFormattext"/>
            </w:pPr>
            <w:r w:rsidRPr="007A25F5">
              <w:t>R</w:t>
            </w:r>
            <w:r w:rsidRPr="007A25F5">
              <w:rPr>
                <w:vertAlign w:val="superscript"/>
              </w:rPr>
              <w:t>2</w:t>
            </w:r>
          </w:p>
        </w:tc>
        <w:tc>
          <w:tcPr>
            <w:tcW w:w="1053" w:type="dxa"/>
            <w:tcBorders>
              <w:left w:val="nil"/>
              <w:right w:val="nil"/>
            </w:tcBorders>
            <w:shd w:val="clear" w:color="auto" w:fill="auto"/>
          </w:tcPr>
          <w:p w:rsidR="001A4111" w:rsidRPr="007A25F5" w:rsidRDefault="001A4111" w:rsidP="00DD2EE6">
            <w:pPr>
              <w:pStyle w:val="PaperFormattext"/>
            </w:pPr>
            <w:r w:rsidRPr="007A25F5">
              <w:t>RMSE</w:t>
            </w:r>
          </w:p>
        </w:tc>
        <w:tc>
          <w:tcPr>
            <w:tcW w:w="964" w:type="dxa"/>
            <w:tcBorders>
              <w:left w:val="nil"/>
              <w:right w:val="nil"/>
            </w:tcBorders>
            <w:shd w:val="clear" w:color="auto" w:fill="auto"/>
          </w:tcPr>
          <w:p w:rsidR="001A4111" w:rsidRPr="007A25F5" w:rsidRDefault="001A4111" w:rsidP="00DD2EE6">
            <w:pPr>
              <w:pStyle w:val="PaperFormattext"/>
            </w:pPr>
            <w:r w:rsidRPr="007A25F5">
              <w:t>NSE</w:t>
            </w:r>
          </w:p>
        </w:tc>
      </w:tr>
      <w:tr w:rsidR="001A4111" w:rsidRPr="007A25F5" w:rsidTr="00BA32F4">
        <w:trPr>
          <w:trHeight w:val="227"/>
          <w:jc w:val="center"/>
        </w:trPr>
        <w:tc>
          <w:tcPr>
            <w:tcW w:w="975" w:type="dxa"/>
            <w:tcBorders>
              <w:left w:val="nil"/>
              <w:right w:val="nil"/>
            </w:tcBorders>
            <w:shd w:val="clear" w:color="auto" w:fill="auto"/>
          </w:tcPr>
          <w:p w:rsidR="001A4111" w:rsidRPr="007A25F5" w:rsidRDefault="001A4111" w:rsidP="00DD2EE6">
            <w:pPr>
              <w:pStyle w:val="PaperFormattext"/>
            </w:pPr>
            <w:r w:rsidRPr="007A25F5">
              <w:t>HSPF</w:t>
            </w:r>
          </w:p>
        </w:tc>
        <w:tc>
          <w:tcPr>
            <w:tcW w:w="709" w:type="dxa"/>
            <w:tcBorders>
              <w:left w:val="nil"/>
              <w:right w:val="nil"/>
            </w:tcBorders>
            <w:shd w:val="clear" w:color="auto" w:fill="auto"/>
            <w:noWrap/>
          </w:tcPr>
          <w:p w:rsidR="001A4111" w:rsidRPr="007A25F5" w:rsidRDefault="001A4111" w:rsidP="00DD2EE6">
            <w:pPr>
              <w:pStyle w:val="PaperFormattext"/>
            </w:pPr>
            <w:r w:rsidRPr="007A25F5">
              <w:t>Flow</w:t>
            </w:r>
          </w:p>
          <w:p w:rsidR="001A4111" w:rsidRPr="007A25F5" w:rsidRDefault="001A4111" w:rsidP="00DD2EE6">
            <w:pPr>
              <w:pStyle w:val="PaperFormattext"/>
            </w:pPr>
            <w:r w:rsidRPr="007A25F5">
              <w:t>T-N</w:t>
            </w:r>
          </w:p>
          <w:p w:rsidR="001A4111" w:rsidRPr="007A25F5" w:rsidRDefault="001A4111" w:rsidP="00DD2EE6">
            <w:pPr>
              <w:pStyle w:val="PaperFormattext"/>
            </w:pPr>
            <w:r w:rsidRPr="007A25F5">
              <w:t>T-P</w:t>
            </w:r>
          </w:p>
        </w:tc>
        <w:tc>
          <w:tcPr>
            <w:tcW w:w="1334" w:type="dxa"/>
            <w:tcBorders>
              <w:left w:val="nil"/>
              <w:right w:val="nil"/>
            </w:tcBorders>
            <w:shd w:val="clear" w:color="auto" w:fill="auto"/>
          </w:tcPr>
          <w:p w:rsidR="001A4111" w:rsidRPr="007A25F5" w:rsidRDefault="001A4111" w:rsidP="00DD2EE6">
            <w:pPr>
              <w:pStyle w:val="PaperFormattext"/>
            </w:pPr>
            <w:r w:rsidRPr="007A25F5">
              <w:t>3.08</w:t>
            </w:r>
          </w:p>
          <w:p w:rsidR="001A4111" w:rsidRPr="007A25F5" w:rsidRDefault="001A4111" w:rsidP="00DD2EE6">
            <w:pPr>
              <w:pStyle w:val="PaperFormattext"/>
            </w:pPr>
            <w:r w:rsidRPr="007A25F5">
              <w:t>9.90</w:t>
            </w:r>
          </w:p>
          <w:p w:rsidR="001A4111" w:rsidRPr="007A25F5" w:rsidRDefault="001A4111" w:rsidP="00DD2EE6">
            <w:pPr>
              <w:pStyle w:val="PaperFormattext"/>
            </w:pPr>
            <w:r w:rsidRPr="007A25F5">
              <w:t>0.644</w:t>
            </w:r>
          </w:p>
        </w:tc>
        <w:tc>
          <w:tcPr>
            <w:tcW w:w="1359" w:type="dxa"/>
            <w:tcBorders>
              <w:left w:val="nil"/>
              <w:right w:val="nil"/>
            </w:tcBorders>
            <w:shd w:val="clear" w:color="auto" w:fill="auto"/>
          </w:tcPr>
          <w:p w:rsidR="001A4111" w:rsidRPr="007A25F5" w:rsidRDefault="001A4111" w:rsidP="00DD2EE6">
            <w:pPr>
              <w:pStyle w:val="PaperFormattext"/>
            </w:pPr>
            <w:r w:rsidRPr="007A25F5">
              <w:t>2.87</w:t>
            </w:r>
          </w:p>
          <w:p w:rsidR="001A4111" w:rsidRPr="007A25F5" w:rsidRDefault="001A4111" w:rsidP="00DD2EE6">
            <w:pPr>
              <w:pStyle w:val="PaperFormattext"/>
            </w:pPr>
            <w:r w:rsidRPr="007A25F5">
              <w:t>10.40</w:t>
            </w:r>
          </w:p>
          <w:p w:rsidR="001A4111" w:rsidRPr="007A25F5" w:rsidRDefault="001A4111" w:rsidP="00DD2EE6">
            <w:pPr>
              <w:pStyle w:val="PaperFormattext"/>
            </w:pPr>
            <w:r w:rsidRPr="007A25F5">
              <w:t>0.691</w:t>
            </w:r>
          </w:p>
        </w:tc>
        <w:tc>
          <w:tcPr>
            <w:tcW w:w="1102" w:type="dxa"/>
            <w:tcBorders>
              <w:left w:val="nil"/>
              <w:right w:val="nil"/>
            </w:tcBorders>
            <w:shd w:val="clear" w:color="auto" w:fill="auto"/>
          </w:tcPr>
          <w:p w:rsidR="001A4111" w:rsidRPr="007A25F5" w:rsidRDefault="001A4111" w:rsidP="00DD2EE6">
            <w:pPr>
              <w:pStyle w:val="PaperFormattext"/>
            </w:pPr>
            <w:r w:rsidRPr="007A25F5">
              <w:t>0.96</w:t>
            </w:r>
          </w:p>
          <w:p w:rsidR="001A4111" w:rsidRPr="007A25F5" w:rsidRDefault="001A4111" w:rsidP="00DD2EE6">
            <w:pPr>
              <w:pStyle w:val="PaperFormattext"/>
            </w:pPr>
            <w:r w:rsidRPr="007A25F5">
              <w:t>0.86</w:t>
            </w:r>
          </w:p>
          <w:p w:rsidR="001A4111" w:rsidRPr="007A25F5" w:rsidRDefault="001A4111" w:rsidP="00DD2EE6">
            <w:pPr>
              <w:pStyle w:val="PaperFormattext"/>
            </w:pPr>
            <w:r w:rsidRPr="007A25F5">
              <w:t>0.92</w:t>
            </w:r>
          </w:p>
        </w:tc>
        <w:tc>
          <w:tcPr>
            <w:tcW w:w="1053" w:type="dxa"/>
            <w:tcBorders>
              <w:left w:val="nil"/>
              <w:right w:val="nil"/>
            </w:tcBorders>
            <w:shd w:val="clear" w:color="auto" w:fill="auto"/>
          </w:tcPr>
          <w:p w:rsidR="001A4111" w:rsidRPr="007A25F5" w:rsidRDefault="001A4111" w:rsidP="00DD2EE6">
            <w:pPr>
              <w:pStyle w:val="PaperFormattext"/>
            </w:pPr>
            <w:r w:rsidRPr="007A25F5">
              <w:t>0.74</w:t>
            </w:r>
          </w:p>
          <w:p w:rsidR="001A4111" w:rsidRPr="007A25F5" w:rsidRDefault="001A4111" w:rsidP="00DD2EE6">
            <w:pPr>
              <w:pStyle w:val="PaperFormattext"/>
            </w:pPr>
            <w:r w:rsidRPr="007A25F5">
              <w:t>1.57</w:t>
            </w:r>
          </w:p>
          <w:p w:rsidR="001A4111" w:rsidRPr="007A25F5" w:rsidRDefault="001A4111" w:rsidP="00DD2EE6">
            <w:pPr>
              <w:pStyle w:val="PaperFormattext"/>
            </w:pPr>
            <w:r w:rsidRPr="007A25F5">
              <w:t>0.126</w:t>
            </w:r>
          </w:p>
        </w:tc>
        <w:tc>
          <w:tcPr>
            <w:tcW w:w="964" w:type="dxa"/>
            <w:tcBorders>
              <w:left w:val="nil"/>
              <w:right w:val="nil"/>
            </w:tcBorders>
            <w:shd w:val="clear" w:color="auto" w:fill="auto"/>
          </w:tcPr>
          <w:p w:rsidR="001A4111" w:rsidRPr="007A25F5" w:rsidRDefault="001A4111" w:rsidP="00DD2EE6">
            <w:pPr>
              <w:pStyle w:val="PaperFormattext"/>
            </w:pPr>
            <w:r w:rsidRPr="007A25F5">
              <w:t>0.92</w:t>
            </w:r>
          </w:p>
          <w:p w:rsidR="001A4111" w:rsidRPr="007A25F5" w:rsidRDefault="001A4111" w:rsidP="00DD2EE6">
            <w:pPr>
              <w:pStyle w:val="PaperFormattext"/>
            </w:pPr>
            <w:r w:rsidRPr="007A25F5">
              <w:t>0.63</w:t>
            </w:r>
          </w:p>
          <w:p w:rsidR="001A4111" w:rsidRPr="007A25F5" w:rsidRDefault="001A4111" w:rsidP="00DD2EE6">
            <w:pPr>
              <w:pStyle w:val="PaperFormattext"/>
            </w:pPr>
            <w:r w:rsidRPr="007A25F5">
              <w:t>0.71</w:t>
            </w:r>
          </w:p>
        </w:tc>
      </w:tr>
      <w:tr w:rsidR="001A4111" w:rsidRPr="007A25F5" w:rsidTr="00BA32F4">
        <w:trPr>
          <w:trHeight w:val="227"/>
          <w:jc w:val="center"/>
        </w:trPr>
        <w:tc>
          <w:tcPr>
            <w:tcW w:w="975" w:type="dxa"/>
            <w:vMerge w:val="restart"/>
            <w:tcBorders>
              <w:left w:val="nil"/>
              <w:right w:val="nil"/>
            </w:tcBorders>
            <w:shd w:val="clear" w:color="auto" w:fill="auto"/>
          </w:tcPr>
          <w:p w:rsidR="001A4111" w:rsidRPr="007A25F5" w:rsidRDefault="001A4111" w:rsidP="00DD2EE6">
            <w:pPr>
              <w:pStyle w:val="PaperFormattext"/>
            </w:pPr>
            <w:r w:rsidRPr="007A25F5">
              <w:t>WASP</w:t>
            </w:r>
          </w:p>
        </w:tc>
        <w:tc>
          <w:tcPr>
            <w:tcW w:w="709" w:type="dxa"/>
            <w:tcBorders>
              <w:left w:val="nil"/>
              <w:bottom w:val="nil"/>
              <w:right w:val="nil"/>
            </w:tcBorders>
            <w:shd w:val="clear" w:color="auto" w:fill="auto"/>
            <w:noWrap/>
          </w:tcPr>
          <w:p w:rsidR="001A4111" w:rsidRPr="007A25F5" w:rsidRDefault="001A4111" w:rsidP="00DD2EE6">
            <w:pPr>
              <w:pStyle w:val="PaperFormattext"/>
            </w:pPr>
            <w:r w:rsidRPr="007A25F5">
              <w:t>T-N</w:t>
            </w:r>
          </w:p>
        </w:tc>
        <w:tc>
          <w:tcPr>
            <w:tcW w:w="1334" w:type="dxa"/>
            <w:vMerge w:val="restart"/>
            <w:tcBorders>
              <w:left w:val="nil"/>
              <w:right w:val="nil"/>
            </w:tcBorders>
            <w:shd w:val="clear" w:color="auto" w:fill="auto"/>
          </w:tcPr>
          <w:p w:rsidR="001A4111" w:rsidRPr="007A25F5" w:rsidRDefault="001A4111" w:rsidP="00DD2EE6">
            <w:pPr>
              <w:pStyle w:val="PaperFormattext"/>
            </w:pPr>
            <w:r w:rsidRPr="007A25F5">
              <w:t>0.60</w:t>
            </w:r>
          </w:p>
          <w:p w:rsidR="001A4111" w:rsidRPr="007A25F5" w:rsidRDefault="001A4111" w:rsidP="00DD2EE6">
            <w:pPr>
              <w:pStyle w:val="PaperFormattext"/>
            </w:pPr>
            <w:r w:rsidRPr="007A25F5">
              <w:t>0.041</w:t>
            </w:r>
          </w:p>
        </w:tc>
        <w:tc>
          <w:tcPr>
            <w:tcW w:w="1359" w:type="dxa"/>
            <w:vMerge w:val="restart"/>
            <w:tcBorders>
              <w:left w:val="nil"/>
              <w:right w:val="nil"/>
            </w:tcBorders>
            <w:shd w:val="clear" w:color="auto" w:fill="auto"/>
          </w:tcPr>
          <w:p w:rsidR="001A4111" w:rsidRPr="007A25F5" w:rsidRDefault="001A4111" w:rsidP="00DD2EE6">
            <w:pPr>
              <w:pStyle w:val="PaperFormattext"/>
            </w:pPr>
            <w:r w:rsidRPr="007A25F5">
              <w:t>0.66</w:t>
            </w:r>
          </w:p>
          <w:p w:rsidR="001A4111" w:rsidRPr="007A25F5" w:rsidRDefault="001A4111" w:rsidP="00DD2EE6">
            <w:pPr>
              <w:pStyle w:val="PaperFormattext"/>
            </w:pPr>
            <w:r w:rsidRPr="007A25F5">
              <w:t>0.045</w:t>
            </w:r>
          </w:p>
        </w:tc>
        <w:tc>
          <w:tcPr>
            <w:tcW w:w="1102" w:type="dxa"/>
            <w:vMerge w:val="restart"/>
            <w:tcBorders>
              <w:left w:val="nil"/>
              <w:right w:val="nil"/>
            </w:tcBorders>
            <w:shd w:val="clear" w:color="auto" w:fill="auto"/>
          </w:tcPr>
          <w:p w:rsidR="001A4111" w:rsidRPr="007A25F5" w:rsidRDefault="001A4111" w:rsidP="00DD2EE6">
            <w:pPr>
              <w:pStyle w:val="PaperFormattext"/>
            </w:pPr>
            <w:r w:rsidRPr="007A25F5">
              <w:t>0.94</w:t>
            </w:r>
          </w:p>
          <w:p w:rsidR="001A4111" w:rsidRPr="007A25F5" w:rsidRDefault="001A4111" w:rsidP="00DD2EE6">
            <w:pPr>
              <w:pStyle w:val="PaperFormattext"/>
            </w:pPr>
            <w:r w:rsidRPr="007A25F5">
              <w:t>0.95</w:t>
            </w:r>
          </w:p>
        </w:tc>
        <w:tc>
          <w:tcPr>
            <w:tcW w:w="1053" w:type="dxa"/>
            <w:vMerge w:val="restart"/>
            <w:tcBorders>
              <w:left w:val="nil"/>
              <w:right w:val="nil"/>
            </w:tcBorders>
            <w:shd w:val="clear" w:color="auto" w:fill="auto"/>
          </w:tcPr>
          <w:p w:rsidR="001A4111" w:rsidRPr="007A25F5" w:rsidRDefault="001A4111" w:rsidP="00DD2EE6">
            <w:pPr>
              <w:pStyle w:val="PaperFormattext"/>
            </w:pPr>
            <w:r w:rsidRPr="007A25F5">
              <w:t>0.15</w:t>
            </w:r>
          </w:p>
          <w:p w:rsidR="001A4111" w:rsidRPr="007A25F5" w:rsidRDefault="001A4111" w:rsidP="00DD2EE6">
            <w:pPr>
              <w:pStyle w:val="PaperFormattext"/>
            </w:pPr>
            <w:r w:rsidRPr="007A25F5">
              <w:t>0.008</w:t>
            </w:r>
          </w:p>
        </w:tc>
        <w:tc>
          <w:tcPr>
            <w:tcW w:w="964" w:type="dxa"/>
            <w:vMerge w:val="restart"/>
            <w:tcBorders>
              <w:left w:val="nil"/>
              <w:right w:val="nil"/>
            </w:tcBorders>
            <w:shd w:val="clear" w:color="auto" w:fill="auto"/>
          </w:tcPr>
          <w:p w:rsidR="001A4111" w:rsidRPr="007A25F5" w:rsidRDefault="001A4111" w:rsidP="00DD2EE6">
            <w:pPr>
              <w:pStyle w:val="PaperFormattext"/>
            </w:pPr>
            <w:r w:rsidRPr="007A25F5">
              <w:t>0.83</w:t>
            </w:r>
          </w:p>
          <w:p w:rsidR="001A4111" w:rsidRPr="007A25F5" w:rsidRDefault="001A4111" w:rsidP="00DD2EE6">
            <w:pPr>
              <w:pStyle w:val="PaperFormattext"/>
            </w:pPr>
            <w:r w:rsidRPr="007A25F5">
              <w:t>0.85</w:t>
            </w:r>
          </w:p>
        </w:tc>
      </w:tr>
      <w:tr w:rsidR="001A4111" w:rsidRPr="007A25F5" w:rsidTr="00BA32F4">
        <w:trPr>
          <w:trHeight w:val="227"/>
          <w:jc w:val="center"/>
        </w:trPr>
        <w:tc>
          <w:tcPr>
            <w:tcW w:w="975" w:type="dxa"/>
            <w:vMerge/>
            <w:tcBorders>
              <w:left w:val="nil"/>
              <w:bottom w:val="single" w:sz="4" w:space="0" w:color="auto"/>
              <w:right w:val="nil"/>
            </w:tcBorders>
          </w:tcPr>
          <w:p w:rsidR="001A4111" w:rsidRPr="007A25F5" w:rsidRDefault="001A4111" w:rsidP="00DD2EE6">
            <w:pPr>
              <w:pStyle w:val="PaperFormattext"/>
            </w:pPr>
          </w:p>
        </w:tc>
        <w:tc>
          <w:tcPr>
            <w:tcW w:w="709" w:type="dxa"/>
            <w:tcBorders>
              <w:top w:val="nil"/>
              <w:left w:val="nil"/>
              <w:bottom w:val="single" w:sz="4" w:space="0" w:color="auto"/>
              <w:right w:val="nil"/>
            </w:tcBorders>
            <w:shd w:val="clear" w:color="auto" w:fill="auto"/>
            <w:noWrap/>
          </w:tcPr>
          <w:p w:rsidR="001A4111" w:rsidRPr="007A25F5" w:rsidRDefault="001A4111" w:rsidP="00DD2EE6">
            <w:pPr>
              <w:pStyle w:val="PaperFormattext"/>
            </w:pPr>
            <w:r w:rsidRPr="007A25F5">
              <w:t>T-P</w:t>
            </w:r>
          </w:p>
        </w:tc>
        <w:tc>
          <w:tcPr>
            <w:tcW w:w="1334" w:type="dxa"/>
            <w:vMerge/>
            <w:tcBorders>
              <w:left w:val="nil"/>
              <w:bottom w:val="single" w:sz="4" w:space="0" w:color="auto"/>
              <w:right w:val="nil"/>
            </w:tcBorders>
            <w:shd w:val="clear" w:color="auto" w:fill="auto"/>
          </w:tcPr>
          <w:p w:rsidR="001A4111" w:rsidRPr="007A25F5" w:rsidRDefault="001A4111" w:rsidP="00DD2EE6">
            <w:pPr>
              <w:pStyle w:val="PaperFormattext"/>
            </w:pPr>
          </w:p>
        </w:tc>
        <w:tc>
          <w:tcPr>
            <w:tcW w:w="1359" w:type="dxa"/>
            <w:vMerge/>
            <w:tcBorders>
              <w:left w:val="nil"/>
              <w:bottom w:val="single" w:sz="4" w:space="0" w:color="auto"/>
              <w:right w:val="nil"/>
            </w:tcBorders>
            <w:shd w:val="clear" w:color="auto" w:fill="auto"/>
          </w:tcPr>
          <w:p w:rsidR="001A4111" w:rsidRPr="007A25F5" w:rsidRDefault="001A4111" w:rsidP="00DD2EE6">
            <w:pPr>
              <w:pStyle w:val="PaperFormattext"/>
            </w:pPr>
          </w:p>
        </w:tc>
        <w:tc>
          <w:tcPr>
            <w:tcW w:w="1102" w:type="dxa"/>
            <w:vMerge/>
            <w:tcBorders>
              <w:left w:val="nil"/>
              <w:bottom w:val="single" w:sz="4" w:space="0" w:color="auto"/>
              <w:right w:val="nil"/>
            </w:tcBorders>
            <w:shd w:val="clear" w:color="auto" w:fill="auto"/>
          </w:tcPr>
          <w:p w:rsidR="001A4111" w:rsidRPr="007A25F5" w:rsidRDefault="001A4111" w:rsidP="00DD2EE6">
            <w:pPr>
              <w:pStyle w:val="PaperFormattext"/>
            </w:pPr>
          </w:p>
        </w:tc>
        <w:tc>
          <w:tcPr>
            <w:tcW w:w="1053" w:type="dxa"/>
            <w:vMerge/>
            <w:tcBorders>
              <w:left w:val="nil"/>
              <w:bottom w:val="single" w:sz="4" w:space="0" w:color="auto"/>
              <w:right w:val="nil"/>
            </w:tcBorders>
            <w:shd w:val="clear" w:color="auto" w:fill="auto"/>
          </w:tcPr>
          <w:p w:rsidR="001A4111" w:rsidRPr="007A25F5" w:rsidRDefault="001A4111" w:rsidP="00DD2EE6">
            <w:pPr>
              <w:pStyle w:val="PaperFormattext"/>
            </w:pPr>
          </w:p>
        </w:tc>
        <w:tc>
          <w:tcPr>
            <w:tcW w:w="964" w:type="dxa"/>
            <w:vMerge/>
            <w:tcBorders>
              <w:left w:val="nil"/>
              <w:bottom w:val="single" w:sz="4" w:space="0" w:color="auto"/>
              <w:right w:val="nil"/>
            </w:tcBorders>
            <w:shd w:val="clear" w:color="auto" w:fill="auto"/>
          </w:tcPr>
          <w:p w:rsidR="001A4111" w:rsidRPr="007A25F5" w:rsidRDefault="001A4111" w:rsidP="00DD2EE6">
            <w:pPr>
              <w:pStyle w:val="PaperFormattext"/>
            </w:pPr>
          </w:p>
        </w:tc>
      </w:tr>
    </w:tbl>
    <w:p w:rsidR="001A4111" w:rsidRPr="007A25F5" w:rsidRDefault="001A4111" w:rsidP="00DD2EE6">
      <w:pPr>
        <w:pStyle w:val="PaperFormattext"/>
      </w:pPr>
    </w:p>
    <w:p w:rsidR="001A4111" w:rsidRPr="007A25F5" w:rsidRDefault="001A4111" w:rsidP="00DD2EE6">
      <w:pPr>
        <w:pStyle w:val="PaperFormattext"/>
      </w:pPr>
    </w:p>
    <w:p w:rsidR="003D3DFE" w:rsidRPr="007A25F5" w:rsidRDefault="003D3DFE" w:rsidP="00DD2EE6">
      <w:pPr>
        <w:pStyle w:val="PaperFormattext"/>
      </w:pPr>
      <w:r w:rsidRPr="007A25F5">
        <w:t xml:space="preserve">Table </w:t>
      </w:r>
      <w:r w:rsidR="00AE7C20" w:rsidRPr="007A25F5">
        <w:t>IV</w:t>
      </w:r>
      <w:r w:rsidRPr="007A25F5">
        <w:t>. WASP model parameters used in the GLUE analysis</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8"/>
        <w:gridCol w:w="1428"/>
        <w:gridCol w:w="286"/>
        <w:gridCol w:w="2286"/>
        <w:gridCol w:w="1513"/>
      </w:tblGrid>
      <w:tr w:rsidR="003D3DFE" w:rsidRPr="007A25F5" w:rsidTr="00BA32F4">
        <w:trPr>
          <w:cantSplit/>
          <w:trHeight w:val="20"/>
          <w:jc w:val="center"/>
        </w:trPr>
        <w:tc>
          <w:tcPr>
            <w:tcW w:w="1844" w:type="dxa"/>
            <w:tcBorders>
              <w:left w:val="nil"/>
              <w:right w:val="nil"/>
            </w:tcBorders>
            <w:noWrap/>
            <w:vAlign w:val="center"/>
          </w:tcPr>
          <w:p w:rsidR="003D3DFE" w:rsidRPr="007A25F5" w:rsidRDefault="006B0B57" w:rsidP="00DD2EE6">
            <w:pPr>
              <w:pStyle w:val="PaperFormattext"/>
            </w:pPr>
            <w:r w:rsidRPr="007A25F5">
              <w:t>Parameter (Units)</w:t>
            </w:r>
          </w:p>
        </w:tc>
        <w:tc>
          <w:tcPr>
            <w:tcW w:w="1417" w:type="dxa"/>
            <w:tcBorders>
              <w:left w:val="nil"/>
            </w:tcBorders>
            <w:noWrap/>
            <w:vAlign w:val="center"/>
          </w:tcPr>
          <w:p w:rsidR="003D3DFE" w:rsidRPr="007A25F5" w:rsidRDefault="003D3DFE" w:rsidP="00DD2EE6">
            <w:pPr>
              <w:pStyle w:val="PaperFormattext"/>
              <w:rPr>
                <w:vertAlign w:val="superscript"/>
              </w:rPr>
            </w:pPr>
            <w:r w:rsidRPr="007A25F5">
              <w:t>Range</w:t>
            </w:r>
          </w:p>
        </w:tc>
        <w:tc>
          <w:tcPr>
            <w:tcW w:w="284" w:type="dxa"/>
            <w:tcBorders>
              <w:right w:val="nil"/>
            </w:tcBorders>
            <w:noWrap/>
            <w:vAlign w:val="center"/>
          </w:tcPr>
          <w:p w:rsidR="003D3DFE" w:rsidRPr="007A25F5" w:rsidRDefault="003D3DFE" w:rsidP="00DD2EE6">
            <w:pPr>
              <w:pStyle w:val="PaperFormattext"/>
              <w:rPr>
                <w:vertAlign w:val="superscript"/>
              </w:rPr>
            </w:pPr>
          </w:p>
        </w:tc>
        <w:tc>
          <w:tcPr>
            <w:tcW w:w="2268" w:type="dxa"/>
            <w:tcBorders>
              <w:left w:val="nil"/>
              <w:right w:val="nil"/>
            </w:tcBorders>
            <w:noWrap/>
            <w:vAlign w:val="center"/>
          </w:tcPr>
          <w:p w:rsidR="003D3DFE" w:rsidRPr="007A25F5" w:rsidRDefault="006B0B57" w:rsidP="00DD2EE6">
            <w:pPr>
              <w:pStyle w:val="PaperFormattext"/>
            </w:pPr>
            <w:r w:rsidRPr="007A25F5">
              <w:t>Parameter (Units)</w:t>
            </w:r>
          </w:p>
        </w:tc>
        <w:tc>
          <w:tcPr>
            <w:tcW w:w="1501" w:type="dxa"/>
            <w:tcBorders>
              <w:left w:val="nil"/>
              <w:right w:val="nil"/>
            </w:tcBorders>
            <w:noWrap/>
            <w:vAlign w:val="center"/>
          </w:tcPr>
          <w:p w:rsidR="003D3DFE" w:rsidRPr="007A25F5" w:rsidRDefault="003D3DFE" w:rsidP="00DD2EE6">
            <w:pPr>
              <w:pStyle w:val="PaperFormattext"/>
            </w:pPr>
            <w:r w:rsidRPr="007A25F5">
              <w:t>Range</w:t>
            </w:r>
          </w:p>
        </w:tc>
      </w:tr>
      <w:tr w:rsidR="003D3DFE" w:rsidRPr="007A25F5" w:rsidTr="00BA32F4">
        <w:trPr>
          <w:cantSplit/>
          <w:trHeight w:val="20"/>
          <w:jc w:val="center"/>
        </w:trPr>
        <w:tc>
          <w:tcPr>
            <w:tcW w:w="1844" w:type="dxa"/>
            <w:tcBorders>
              <w:left w:val="nil"/>
              <w:bottom w:val="nil"/>
              <w:right w:val="nil"/>
            </w:tcBorders>
            <w:noWrap/>
            <w:vAlign w:val="center"/>
          </w:tcPr>
          <w:p w:rsidR="003D3DFE" w:rsidRPr="007A25F5" w:rsidRDefault="003D3DFE" w:rsidP="00DD2EE6">
            <w:pPr>
              <w:pStyle w:val="PaperFormattext"/>
            </w:pPr>
            <w:r w:rsidRPr="007A25F5">
              <w:t>K12C (day</w:t>
            </w:r>
            <w:r w:rsidRPr="007A25F5">
              <w:rPr>
                <w:vertAlign w:val="superscript"/>
              </w:rPr>
              <w:t>-1</w:t>
            </w:r>
            <w:r w:rsidRPr="007A25F5">
              <w:t>)</w:t>
            </w:r>
          </w:p>
        </w:tc>
        <w:tc>
          <w:tcPr>
            <w:tcW w:w="1417" w:type="dxa"/>
            <w:tcBorders>
              <w:left w:val="nil"/>
              <w:bottom w:val="nil"/>
            </w:tcBorders>
            <w:noWrap/>
            <w:vAlign w:val="center"/>
          </w:tcPr>
          <w:p w:rsidR="003D3DFE" w:rsidRPr="007A25F5" w:rsidRDefault="003D3DFE" w:rsidP="00DD2EE6">
            <w:pPr>
              <w:pStyle w:val="PaperFormattext"/>
            </w:pPr>
            <w:r w:rsidRPr="007A25F5">
              <w:t>0.020 -0.340</w:t>
            </w:r>
          </w:p>
        </w:tc>
        <w:tc>
          <w:tcPr>
            <w:tcW w:w="284" w:type="dxa"/>
            <w:tcBorders>
              <w:bottom w:val="nil"/>
              <w:right w:val="nil"/>
            </w:tcBorders>
            <w:noWrap/>
            <w:vAlign w:val="center"/>
          </w:tcPr>
          <w:p w:rsidR="003D3DFE" w:rsidRPr="007A25F5" w:rsidRDefault="003D3DFE" w:rsidP="00DD2EE6">
            <w:pPr>
              <w:pStyle w:val="PaperFormattext"/>
            </w:pPr>
          </w:p>
        </w:tc>
        <w:tc>
          <w:tcPr>
            <w:tcW w:w="2268" w:type="dxa"/>
            <w:tcBorders>
              <w:left w:val="nil"/>
              <w:bottom w:val="nil"/>
              <w:right w:val="nil"/>
            </w:tcBorders>
            <w:noWrap/>
            <w:vAlign w:val="center"/>
          </w:tcPr>
          <w:p w:rsidR="003D3DFE" w:rsidRPr="007A25F5" w:rsidRDefault="003D3DFE" w:rsidP="00DD2EE6">
            <w:pPr>
              <w:pStyle w:val="PaperFormattext"/>
            </w:pPr>
            <w:r w:rsidRPr="007A25F5">
              <w:t>IS1 (ly/day)</w:t>
            </w:r>
          </w:p>
        </w:tc>
        <w:tc>
          <w:tcPr>
            <w:tcW w:w="1501" w:type="dxa"/>
            <w:tcBorders>
              <w:left w:val="nil"/>
              <w:bottom w:val="nil"/>
              <w:right w:val="nil"/>
            </w:tcBorders>
            <w:noWrap/>
            <w:vAlign w:val="center"/>
          </w:tcPr>
          <w:p w:rsidR="003D3DFE" w:rsidRPr="007A25F5" w:rsidRDefault="003D3DFE" w:rsidP="00DD2EE6">
            <w:pPr>
              <w:pStyle w:val="PaperFormattext"/>
            </w:pPr>
            <w:r w:rsidRPr="007A25F5">
              <w:t>200.0 -</w:t>
            </w:r>
            <w:r w:rsidRPr="007A25F5">
              <w:rPr>
                <w:rFonts w:eastAsia="Gulim"/>
              </w:rPr>
              <w:t xml:space="preserve"> 500.0</w:t>
            </w:r>
          </w:p>
        </w:tc>
      </w:tr>
      <w:tr w:rsidR="003D3DFE" w:rsidRPr="007A25F5" w:rsidTr="00BA32F4">
        <w:trPr>
          <w:cantSplit/>
          <w:trHeight w:val="20"/>
          <w:jc w:val="center"/>
        </w:trPr>
        <w:tc>
          <w:tcPr>
            <w:tcW w:w="1844" w:type="dxa"/>
            <w:tcBorders>
              <w:top w:val="nil"/>
              <w:left w:val="nil"/>
              <w:bottom w:val="nil"/>
              <w:right w:val="nil"/>
            </w:tcBorders>
            <w:noWrap/>
            <w:vAlign w:val="center"/>
          </w:tcPr>
          <w:p w:rsidR="003D3DFE" w:rsidRPr="007A25F5" w:rsidRDefault="003D3DFE" w:rsidP="00DD2EE6">
            <w:pPr>
              <w:pStyle w:val="PaperFormattext"/>
            </w:pPr>
            <w:r w:rsidRPr="007A25F5">
              <w:t>K12T (-)</w:t>
            </w:r>
          </w:p>
        </w:tc>
        <w:tc>
          <w:tcPr>
            <w:tcW w:w="1417" w:type="dxa"/>
            <w:tcBorders>
              <w:top w:val="nil"/>
              <w:left w:val="nil"/>
              <w:bottom w:val="nil"/>
            </w:tcBorders>
            <w:noWrap/>
            <w:vAlign w:val="center"/>
          </w:tcPr>
          <w:p w:rsidR="003D3DFE" w:rsidRPr="007A25F5" w:rsidRDefault="003D3DFE" w:rsidP="00DD2EE6">
            <w:pPr>
              <w:pStyle w:val="PaperFormattext"/>
            </w:pPr>
            <w:r w:rsidRPr="007A25F5">
              <w:t>1.000 -</w:t>
            </w:r>
            <w:r w:rsidRPr="007A25F5">
              <w:rPr>
                <w:rFonts w:eastAsia="Gulim"/>
              </w:rPr>
              <w:t xml:space="preserve"> 1</w:t>
            </w:r>
            <w:r w:rsidRPr="007A25F5">
              <w:t>.080</w:t>
            </w:r>
          </w:p>
        </w:tc>
        <w:tc>
          <w:tcPr>
            <w:tcW w:w="284" w:type="dxa"/>
            <w:tcBorders>
              <w:top w:val="nil"/>
              <w:bottom w:val="nil"/>
              <w:right w:val="nil"/>
            </w:tcBorders>
            <w:noWrap/>
            <w:vAlign w:val="center"/>
          </w:tcPr>
          <w:p w:rsidR="003D3DFE" w:rsidRPr="007A25F5" w:rsidRDefault="003D3DFE" w:rsidP="00DD2EE6">
            <w:pPr>
              <w:pStyle w:val="PaperFormattext"/>
            </w:pPr>
          </w:p>
        </w:tc>
        <w:tc>
          <w:tcPr>
            <w:tcW w:w="2268" w:type="dxa"/>
            <w:tcBorders>
              <w:top w:val="nil"/>
              <w:left w:val="nil"/>
              <w:bottom w:val="nil"/>
              <w:right w:val="nil"/>
            </w:tcBorders>
            <w:noWrap/>
            <w:vAlign w:val="center"/>
          </w:tcPr>
          <w:p w:rsidR="003D3DFE" w:rsidRPr="007A25F5" w:rsidRDefault="003D3DFE" w:rsidP="00DD2EE6">
            <w:pPr>
              <w:pStyle w:val="PaperFormattext"/>
            </w:pPr>
            <w:r w:rsidRPr="007A25F5">
              <w:t>KMNG1 (mg-N/L)</w:t>
            </w:r>
          </w:p>
        </w:tc>
        <w:tc>
          <w:tcPr>
            <w:tcW w:w="1501" w:type="dxa"/>
            <w:tcBorders>
              <w:top w:val="nil"/>
              <w:left w:val="nil"/>
              <w:bottom w:val="nil"/>
              <w:right w:val="nil"/>
            </w:tcBorders>
            <w:noWrap/>
            <w:vAlign w:val="center"/>
          </w:tcPr>
          <w:p w:rsidR="003D3DFE" w:rsidRPr="007A25F5" w:rsidRDefault="003D3DFE" w:rsidP="00DD2EE6">
            <w:pPr>
              <w:pStyle w:val="PaperFormattext"/>
            </w:pPr>
            <w:r w:rsidRPr="007A25F5">
              <w:t>0.008 -0.235</w:t>
            </w:r>
          </w:p>
        </w:tc>
      </w:tr>
      <w:tr w:rsidR="003D3DFE" w:rsidRPr="007A25F5" w:rsidTr="00BA32F4">
        <w:trPr>
          <w:cantSplit/>
          <w:trHeight w:val="20"/>
          <w:jc w:val="center"/>
        </w:trPr>
        <w:tc>
          <w:tcPr>
            <w:tcW w:w="1844" w:type="dxa"/>
            <w:tcBorders>
              <w:top w:val="nil"/>
              <w:left w:val="nil"/>
              <w:bottom w:val="nil"/>
              <w:right w:val="nil"/>
            </w:tcBorders>
            <w:noWrap/>
            <w:vAlign w:val="center"/>
          </w:tcPr>
          <w:p w:rsidR="003D3DFE" w:rsidRPr="007A25F5" w:rsidRDefault="003D3DFE" w:rsidP="00DD2EE6">
            <w:pPr>
              <w:pStyle w:val="PaperFormattext"/>
            </w:pPr>
            <w:r w:rsidRPr="007A25F5">
              <w:t>KNIT (mg O</w:t>
            </w:r>
            <w:r w:rsidRPr="007A25F5">
              <w:rPr>
                <w:vertAlign w:val="subscript"/>
              </w:rPr>
              <w:t>2</w:t>
            </w:r>
            <w:r w:rsidRPr="007A25F5">
              <w:t>/L)</w:t>
            </w:r>
          </w:p>
        </w:tc>
        <w:tc>
          <w:tcPr>
            <w:tcW w:w="1417" w:type="dxa"/>
            <w:tcBorders>
              <w:top w:val="nil"/>
              <w:left w:val="nil"/>
              <w:bottom w:val="nil"/>
            </w:tcBorders>
            <w:noWrap/>
            <w:vAlign w:val="center"/>
          </w:tcPr>
          <w:p w:rsidR="003D3DFE" w:rsidRPr="007A25F5" w:rsidRDefault="003D3DFE" w:rsidP="00DD2EE6">
            <w:pPr>
              <w:pStyle w:val="PaperFormattext"/>
            </w:pPr>
            <w:r w:rsidRPr="007A25F5">
              <w:t>0.100 -</w:t>
            </w:r>
            <w:r w:rsidRPr="007A25F5">
              <w:rPr>
                <w:rFonts w:eastAsia="Gulim"/>
              </w:rPr>
              <w:t xml:space="preserve"> 4</w:t>
            </w:r>
            <w:r w:rsidRPr="007A25F5">
              <w:t>.000</w:t>
            </w:r>
          </w:p>
        </w:tc>
        <w:tc>
          <w:tcPr>
            <w:tcW w:w="284" w:type="dxa"/>
            <w:tcBorders>
              <w:top w:val="nil"/>
              <w:bottom w:val="nil"/>
              <w:right w:val="nil"/>
            </w:tcBorders>
            <w:noWrap/>
            <w:vAlign w:val="center"/>
          </w:tcPr>
          <w:p w:rsidR="003D3DFE" w:rsidRPr="007A25F5" w:rsidRDefault="003D3DFE" w:rsidP="00DD2EE6">
            <w:pPr>
              <w:pStyle w:val="PaperFormattext"/>
            </w:pPr>
          </w:p>
        </w:tc>
        <w:tc>
          <w:tcPr>
            <w:tcW w:w="2268" w:type="dxa"/>
            <w:tcBorders>
              <w:top w:val="nil"/>
              <w:left w:val="nil"/>
              <w:bottom w:val="nil"/>
              <w:right w:val="nil"/>
            </w:tcBorders>
            <w:noWrap/>
            <w:vAlign w:val="center"/>
          </w:tcPr>
          <w:p w:rsidR="003D3DFE" w:rsidRPr="007A25F5" w:rsidRDefault="003D3DFE" w:rsidP="00DD2EE6">
            <w:pPr>
              <w:pStyle w:val="PaperFormattext"/>
            </w:pPr>
            <w:r w:rsidRPr="007A25F5">
              <w:t>KMPG1 (mg PO</w:t>
            </w:r>
            <w:r w:rsidRPr="007A25F5">
              <w:rPr>
                <w:vertAlign w:val="subscript"/>
              </w:rPr>
              <w:t>4</w:t>
            </w:r>
            <w:r w:rsidRPr="007A25F5">
              <w:t>-P/L)</w:t>
            </w:r>
          </w:p>
        </w:tc>
        <w:tc>
          <w:tcPr>
            <w:tcW w:w="1501" w:type="dxa"/>
            <w:tcBorders>
              <w:top w:val="nil"/>
              <w:left w:val="nil"/>
              <w:bottom w:val="nil"/>
              <w:right w:val="nil"/>
            </w:tcBorders>
            <w:noWrap/>
            <w:vAlign w:val="center"/>
          </w:tcPr>
          <w:p w:rsidR="003D3DFE" w:rsidRPr="007A25F5" w:rsidRDefault="003D3DFE" w:rsidP="00DD2EE6">
            <w:pPr>
              <w:pStyle w:val="PaperFormattext"/>
            </w:pPr>
            <w:r w:rsidRPr="007A25F5">
              <w:t>0.002 -0.053</w:t>
            </w:r>
          </w:p>
        </w:tc>
      </w:tr>
      <w:tr w:rsidR="003D3DFE" w:rsidRPr="007A25F5" w:rsidTr="00BA32F4">
        <w:trPr>
          <w:cantSplit/>
          <w:trHeight w:val="20"/>
          <w:jc w:val="center"/>
        </w:trPr>
        <w:tc>
          <w:tcPr>
            <w:tcW w:w="1844" w:type="dxa"/>
            <w:tcBorders>
              <w:top w:val="nil"/>
              <w:left w:val="nil"/>
              <w:bottom w:val="nil"/>
              <w:right w:val="nil"/>
            </w:tcBorders>
            <w:noWrap/>
            <w:vAlign w:val="center"/>
          </w:tcPr>
          <w:p w:rsidR="003D3DFE" w:rsidRPr="007A25F5" w:rsidRDefault="003D3DFE" w:rsidP="00DD2EE6">
            <w:pPr>
              <w:pStyle w:val="PaperFormattext"/>
            </w:pPr>
            <w:r w:rsidRPr="007A25F5">
              <w:t>K20C (day</w:t>
            </w:r>
            <w:r w:rsidRPr="007A25F5">
              <w:rPr>
                <w:vertAlign w:val="superscript"/>
              </w:rPr>
              <w:t>-1</w:t>
            </w:r>
            <w:r w:rsidRPr="007A25F5">
              <w:t>)</w:t>
            </w:r>
          </w:p>
        </w:tc>
        <w:tc>
          <w:tcPr>
            <w:tcW w:w="1417" w:type="dxa"/>
            <w:tcBorders>
              <w:top w:val="nil"/>
              <w:left w:val="nil"/>
              <w:bottom w:val="nil"/>
            </w:tcBorders>
            <w:noWrap/>
            <w:vAlign w:val="center"/>
          </w:tcPr>
          <w:p w:rsidR="003D3DFE" w:rsidRPr="007A25F5" w:rsidRDefault="003D3DFE" w:rsidP="00DD2EE6">
            <w:pPr>
              <w:pStyle w:val="PaperFormattext"/>
            </w:pPr>
            <w:r w:rsidRPr="007A25F5">
              <w:t>0.020 -0.400</w:t>
            </w:r>
          </w:p>
        </w:tc>
        <w:tc>
          <w:tcPr>
            <w:tcW w:w="284" w:type="dxa"/>
            <w:tcBorders>
              <w:top w:val="nil"/>
              <w:bottom w:val="nil"/>
              <w:right w:val="nil"/>
            </w:tcBorders>
            <w:noWrap/>
            <w:vAlign w:val="center"/>
          </w:tcPr>
          <w:p w:rsidR="003D3DFE" w:rsidRPr="007A25F5" w:rsidRDefault="003D3DFE" w:rsidP="00DD2EE6">
            <w:pPr>
              <w:pStyle w:val="PaperFormattext"/>
            </w:pPr>
          </w:p>
        </w:tc>
        <w:tc>
          <w:tcPr>
            <w:tcW w:w="2268" w:type="dxa"/>
            <w:tcBorders>
              <w:top w:val="nil"/>
              <w:left w:val="nil"/>
              <w:bottom w:val="nil"/>
              <w:right w:val="nil"/>
            </w:tcBorders>
            <w:noWrap/>
            <w:vAlign w:val="center"/>
          </w:tcPr>
          <w:p w:rsidR="003D3DFE" w:rsidRPr="007A25F5" w:rsidRDefault="003D3DFE" w:rsidP="00DD2EE6">
            <w:pPr>
              <w:pStyle w:val="PaperFormattext"/>
            </w:pPr>
            <w:r w:rsidRPr="007A25F5">
              <w:t>K1D (day</w:t>
            </w:r>
            <w:r w:rsidRPr="007A25F5">
              <w:rPr>
                <w:vertAlign w:val="superscript"/>
              </w:rPr>
              <w:t>-1</w:t>
            </w:r>
            <w:r w:rsidRPr="007A25F5">
              <w:t>)</w:t>
            </w:r>
          </w:p>
        </w:tc>
        <w:tc>
          <w:tcPr>
            <w:tcW w:w="1501" w:type="dxa"/>
            <w:tcBorders>
              <w:top w:val="nil"/>
              <w:left w:val="nil"/>
              <w:bottom w:val="nil"/>
              <w:right w:val="nil"/>
            </w:tcBorders>
            <w:noWrap/>
            <w:vAlign w:val="center"/>
          </w:tcPr>
          <w:p w:rsidR="003D3DFE" w:rsidRPr="007A25F5" w:rsidRDefault="003D3DFE" w:rsidP="00DD2EE6">
            <w:pPr>
              <w:pStyle w:val="PaperFormattext"/>
            </w:pPr>
            <w:r w:rsidRPr="007A25F5">
              <w:t>0.010 -0.200</w:t>
            </w:r>
          </w:p>
        </w:tc>
      </w:tr>
      <w:tr w:rsidR="003D3DFE" w:rsidRPr="007A25F5" w:rsidTr="00BA32F4">
        <w:trPr>
          <w:cantSplit/>
          <w:trHeight w:val="20"/>
          <w:jc w:val="center"/>
        </w:trPr>
        <w:tc>
          <w:tcPr>
            <w:tcW w:w="1844" w:type="dxa"/>
            <w:tcBorders>
              <w:top w:val="nil"/>
              <w:left w:val="nil"/>
              <w:bottom w:val="nil"/>
              <w:right w:val="nil"/>
            </w:tcBorders>
            <w:noWrap/>
            <w:vAlign w:val="center"/>
          </w:tcPr>
          <w:p w:rsidR="003D3DFE" w:rsidRPr="007A25F5" w:rsidRDefault="003D3DFE" w:rsidP="00DD2EE6">
            <w:pPr>
              <w:pStyle w:val="PaperFormattext"/>
            </w:pPr>
            <w:r w:rsidRPr="007A25F5">
              <w:t>K20T (-)</w:t>
            </w:r>
          </w:p>
        </w:tc>
        <w:tc>
          <w:tcPr>
            <w:tcW w:w="1417" w:type="dxa"/>
            <w:tcBorders>
              <w:top w:val="nil"/>
              <w:left w:val="nil"/>
              <w:bottom w:val="nil"/>
            </w:tcBorders>
            <w:noWrap/>
            <w:vAlign w:val="center"/>
          </w:tcPr>
          <w:p w:rsidR="003D3DFE" w:rsidRPr="007A25F5" w:rsidRDefault="003D3DFE" w:rsidP="00DD2EE6">
            <w:pPr>
              <w:pStyle w:val="PaperFormattext"/>
            </w:pPr>
            <w:r w:rsidRPr="007A25F5">
              <w:t>1.000 -</w:t>
            </w:r>
            <w:r w:rsidRPr="007A25F5">
              <w:rPr>
                <w:rFonts w:eastAsia="Gulim"/>
              </w:rPr>
              <w:t xml:space="preserve"> 1</w:t>
            </w:r>
            <w:r w:rsidRPr="007A25F5">
              <w:t>.090</w:t>
            </w:r>
          </w:p>
        </w:tc>
        <w:tc>
          <w:tcPr>
            <w:tcW w:w="284" w:type="dxa"/>
            <w:tcBorders>
              <w:top w:val="nil"/>
              <w:bottom w:val="nil"/>
              <w:right w:val="nil"/>
            </w:tcBorders>
            <w:noWrap/>
            <w:vAlign w:val="center"/>
          </w:tcPr>
          <w:p w:rsidR="003D3DFE" w:rsidRPr="007A25F5" w:rsidRDefault="003D3DFE" w:rsidP="00DD2EE6">
            <w:pPr>
              <w:pStyle w:val="PaperFormattext"/>
            </w:pPr>
          </w:p>
        </w:tc>
        <w:tc>
          <w:tcPr>
            <w:tcW w:w="2268" w:type="dxa"/>
            <w:tcBorders>
              <w:top w:val="nil"/>
              <w:left w:val="nil"/>
              <w:bottom w:val="nil"/>
              <w:right w:val="nil"/>
            </w:tcBorders>
            <w:noWrap/>
            <w:vAlign w:val="center"/>
          </w:tcPr>
          <w:p w:rsidR="003D3DFE" w:rsidRPr="007A25F5" w:rsidRDefault="003D3DFE" w:rsidP="00DD2EE6">
            <w:pPr>
              <w:pStyle w:val="PaperFormattext"/>
              <w:rPr>
                <w:lang w:val="nl-NL"/>
              </w:rPr>
            </w:pPr>
            <w:r w:rsidRPr="007A25F5">
              <w:rPr>
                <w:lang w:val="nl-NL"/>
              </w:rPr>
              <w:t>NCRB (mg N/ mg C)</w:t>
            </w:r>
          </w:p>
        </w:tc>
        <w:tc>
          <w:tcPr>
            <w:tcW w:w="1501" w:type="dxa"/>
            <w:tcBorders>
              <w:top w:val="nil"/>
              <w:left w:val="nil"/>
              <w:bottom w:val="nil"/>
              <w:right w:val="nil"/>
            </w:tcBorders>
            <w:noWrap/>
            <w:vAlign w:val="center"/>
          </w:tcPr>
          <w:p w:rsidR="003D3DFE" w:rsidRPr="007A25F5" w:rsidRDefault="003D3DFE" w:rsidP="00DD2EE6">
            <w:pPr>
              <w:pStyle w:val="PaperFormattext"/>
            </w:pPr>
            <w:r w:rsidRPr="007A25F5">
              <w:t>0.020 -0.320</w:t>
            </w:r>
          </w:p>
        </w:tc>
      </w:tr>
      <w:tr w:rsidR="003D3DFE" w:rsidRPr="007A25F5" w:rsidTr="00BA32F4">
        <w:trPr>
          <w:cantSplit/>
          <w:trHeight w:val="20"/>
          <w:jc w:val="center"/>
        </w:trPr>
        <w:tc>
          <w:tcPr>
            <w:tcW w:w="1844" w:type="dxa"/>
            <w:tcBorders>
              <w:top w:val="nil"/>
              <w:left w:val="nil"/>
              <w:bottom w:val="nil"/>
              <w:right w:val="nil"/>
            </w:tcBorders>
            <w:noWrap/>
            <w:vAlign w:val="center"/>
          </w:tcPr>
          <w:p w:rsidR="003D3DFE" w:rsidRPr="007A25F5" w:rsidRDefault="003D3DFE" w:rsidP="00DD2EE6">
            <w:pPr>
              <w:pStyle w:val="PaperFormattext"/>
            </w:pPr>
            <w:r w:rsidRPr="007A25F5">
              <w:lastRenderedPageBreak/>
              <w:t>KNO3 (mg O</w:t>
            </w:r>
            <w:r w:rsidRPr="007A25F5">
              <w:rPr>
                <w:vertAlign w:val="subscript"/>
              </w:rPr>
              <w:t>2</w:t>
            </w:r>
            <w:r w:rsidRPr="007A25F5">
              <w:t>/L)</w:t>
            </w:r>
          </w:p>
        </w:tc>
        <w:tc>
          <w:tcPr>
            <w:tcW w:w="1417" w:type="dxa"/>
            <w:tcBorders>
              <w:top w:val="nil"/>
              <w:left w:val="nil"/>
              <w:bottom w:val="nil"/>
            </w:tcBorders>
            <w:noWrap/>
            <w:vAlign w:val="center"/>
          </w:tcPr>
          <w:p w:rsidR="003D3DFE" w:rsidRPr="007A25F5" w:rsidRDefault="003D3DFE" w:rsidP="00DD2EE6">
            <w:pPr>
              <w:pStyle w:val="PaperFormattext"/>
            </w:pPr>
            <w:r w:rsidRPr="007A25F5">
              <w:t>0.050 -2.000</w:t>
            </w:r>
          </w:p>
        </w:tc>
        <w:tc>
          <w:tcPr>
            <w:tcW w:w="284" w:type="dxa"/>
            <w:tcBorders>
              <w:top w:val="nil"/>
              <w:bottom w:val="nil"/>
              <w:right w:val="nil"/>
            </w:tcBorders>
            <w:noWrap/>
            <w:vAlign w:val="center"/>
          </w:tcPr>
          <w:p w:rsidR="003D3DFE" w:rsidRPr="007A25F5" w:rsidRDefault="003D3DFE" w:rsidP="00DD2EE6">
            <w:pPr>
              <w:pStyle w:val="PaperFormattext"/>
            </w:pPr>
          </w:p>
        </w:tc>
        <w:tc>
          <w:tcPr>
            <w:tcW w:w="2268" w:type="dxa"/>
            <w:tcBorders>
              <w:top w:val="nil"/>
              <w:left w:val="nil"/>
              <w:bottom w:val="nil"/>
              <w:right w:val="nil"/>
            </w:tcBorders>
            <w:noWrap/>
            <w:vAlign w:val="center"/>
          </w:tcPr>
          <w:p w:rsidR="003D3DFE" w:rsidRPr="007A25F5" w:rsidRDefault="003D3DFE" w:rsidP="00DD2EE6">
            <w:pPr>
              <w:pStyle w:val="PaperFormattext"/>
            </w:pPr>
            <w:r w:rsidRPr="007A25F5">
              <w:t>K71C (day</w:t>
            </w:r>
            <w:r w:rsidRPr="007A25F5">
              <w:rPr>
                <w:vertAlign w:val="superscript"/>
              </w:rPr>
              <w:t>-1</w:t>
            </w:r>
            <w:r w:rsidRPr="007A25F5">
              <w:t>)</w:t>
            </w:r>
          </w:p>
        </w:tc>
        <w:tc>
          <w:tcPr>
            <w:tcW w:w="1501" w:type="dxa"/>
            <w:tcBorders>
              <w:top w:val="nil"/>
              <w:left w:val="nil"/>
              <w:bottom w:val="nil"/>
              <w:right w:val="nil"/>
            </w:tcBorders>
            <w:noWrap/>
            <w:vAlign w:val="center"/>
          </w:tcPr>
          <w:p w:rsidR="003D3DFE" w:rsidRPr="007A25F5" w:rsidRDefault="003D3DFE" w:rsidP="00DD2EE6">
            <w:pPr>
              <w:pStyle w:val="PaperFormattext"/>
            </w:pPr>
            <w:r w:rsidRPr="007A25F5">
              <w:t>0.010 -0.140</w:t>
            </w:r>
          </w:p>
        </w:tc>
      </w:tr>
      <w:tr w:rsidR="003D3DFE" w:rsidRPr="007A25F5" w:rsidTr="00BA32F4">
        <w:trPr>
          <w:cantSplit/>
          <w:trHeight w:val="20"/>
          <w:jc w:val="center"/>
        </w:trPr>
        <w:tc>
          <w:tcPr>
            <w:tcW w:w="1844" w:type="dxa"/>
            <w:tcBorders>
              <w:top w:val="nil"/>
              <w:left w:val="nil"/>
              <w:right w:val="nil"/>
            </w:tcBorders>
            <w:noWrap/>
            <w:vAlign w:val="center"/>
          </w:tcPr>
          <w:p w:rsidR="003D3DFE" w:rsidRPr="007A25F5" w:rsidRDefault="003D3DFE" w:rsidP="00DD2EE6">
            <w:pPr>
              <w:pStyle w:val="PaperFormattext"/>
            </w:pPr>
            <w:r w:rsidRPr="007A25F5">
              <w:t>K1C (day</w:t>
            </w:r>
            <w:r w:rsidRPr="007A25F5">
              <w:rPr>
                <w:vertAlign w:val="superscript"/>
              </w:rPr>
              <w:t>-1</w:t>
            </w:r>
            <w:r w:rsidRPr="007A25F5">
              <w:t>)</w:t>
            </w:r>
          </w:p>
        </w:tc>
        <w:tc>
          <w:tcPr>
            <w:tcW w:w="1417" w:type="dxa"/>
            <w:tcBorders>
              <w:top w:val="nil"/>
              <w:left w:val="nil"/>
            </w:tcBorders>
            <w:noWrap/>
            <w:vAlign w:val="center"/>
          </w:tcPr>
          <w:p w:rsidR="003D3DFE" w:rsidRPr="007A25F5" w:rsidRDefault="003D3DFE" w:rsidP="00DD2EE6">
            <w:pPr>
              <w:pStyle w:val="PaperFormattext"/>
            </w:pPr>
            <w:r w:rsidRPr="007A25F5">
              <w:t>0.500 -3.600</w:t>
            </w:r>
          </w:p>
        </w:tc>
        <w:tc>
          <w:tcPr>
            <w:tcW w:w="284" w:type="dxa"/>
            <w:tcBorders>
              <w:top w:val="nil"/>
              <w:right w:val="nil"/>
            </w:tcBorders>
            <w:noWrap/>
            <w:vAlign w:val="center"/>
          </w:tcPr>
          <w:p w:rsidR="003D3DFE" w:rsidRPr="007A25F5" w:rsidRDefault="003D3DFE" w:rsidP="00DD2EE6">
            <w:pPr>
              <w:pStyle w:val="PaperFormattext"/>
            </w:pPr>
          </w:p>
        </w:tc>
        <w:tc>
          <w:tcPr>
            <w:tcW w:w="2268" w:type="dxa"/>
            <w:tcBorders>
              <w:top w:val="nil"/>
              <w:left w:val="nil"/>
              <w:right w:val="nil"/>
            </w:tcBorders>
            <w:noWrap/>
            <w:vAlign w:val="center"/>
          </w:tcPr>
          <w:p w:rsidR="003D3DFE" w:rsidRPr="007A25F5" w:rsidRDefault="003D3DFE" w:rsidP="00DD2EE6">
            <w:pPr>
              <w:pStyle w:val="PaperFormattext"/>
            </w:pPr>
            <w:r w:rsidRPr="007A25F5">
              <w:t>K83C (day</w:t>
            </w:r>
            <w:r w:rsidRPr="007A25F5">
              <w:rPr>
                <w:vertAlign w:val="superscript"/>
              </w:rPr>
              <w:t>-1</w:t>
            </w:r>
            <w:r w:rsidRPr="007A25F5">
              <w:t>)</w:t>
            </w:r>
          </w:p>
        </w:tc>
        <w:tc>
          <w:tcPr>
            <w:tcW w:w="1501" w:type="dxa"/>
            <w:tcBorders>
              <w:top w:val="nil"/>
              <w:left w:val="nil"/>
              <w:right w:val="nil"/>
            </w:tcBorders>
            <w:noWrap/>
            <w:vAlign w:val="center"/>
          </w:tcPr>
          <w:p w:rsidR="003D3DFE" w:rsidRPr="007A25F5" w:rsidRDefault="003D3DFE" w:rsidP="00DD2EE6">
            <w:pPr>
              <w:pStyle w:val="PaperFormattext"/>
            </w:pPr>
            <w:r w:rsidRPr="007A25F5">
              <w:t>0.010 -0.350</w:t>
            </w:r>
          </w:p>
        </w:tc>
      </w:tr>
    </w:tbl>
    <w:p w:rsidR="003D3DFE" w:rsidRPr="007A25F5" w:rsidRDefault="003D3DFE" w:rsidP="00DD2EE6">
      <w:pPr>
        <w:pStyle w:val="PaperFormattext"/>
      </w:pPr>
    </w:p>
    <w:p w:rsidR="005E3A1B" w:rsidRPr="007A25F5" w:rsidRDefault="005E3A1B" w:rsidP="00DD2EE6">
      <w:pPr>
        <w:pStyle w:val="PaperFormattext"/>
      </w:pPr>
    </w:p>
    <w:p w:rsidR="0049010C" w:rsidRPr="007A25F5" w:rsidRDefault="0049010C" w:rsidP="00DD2EE6">
      <w:pPr>
        <w:pStyle w:val="PaperFormattext"/>
      </w:pPr>
      <w:r w:rsidRPr="007A25F5">
        <w:t xml:space="preserve">Table </w:t>
      </w:r>
      <w:r w:rsidR="00AE7C20" w:rsidRPr="007A25F5">
        <w:t>V</w:t>
      </w:r>
      <w:r w:rsidRPr="007A25F5">
        <w:t>. Summary of the GLUE analysis result</w:t>
      </w:r>
    </w:p>
    <w:tbl>
      <w:tblPr>
        <w:tblW w:w="7570" w:type="dxa"/>
        <w:jc w:val="center"/>
        <w:tblCellMar>
          <w:left w:w="99" w:type="dxa"/>
          <w:right w:w="99" w:type="dxa"/>
        </w:tblCellMar>
        <w:tblLook w:val="04A0"/>
      </w:tblPr>
      <w:tblGrid>
        <w:gridCol w:w="1344"/>
        <w:gridCol w:w="609"/>
        <w:gridCol w:w="1385"/>
        <w:gridCol w:w="204"/>
        <w:gridCol w:w="1260"/>
        <w:gridCol w:w="1212"/>
        <w:gridCol w:w="1629"/>
      </w:tblGrid>
      <w:tr w:rsidR="0049010C" w:rsidRPr="007A25F5" w:rsidTr="00146B4E">
        <w:trPr>
          <w:trHeight w:val="103"/>
          <w:jc w:val="center"/>
        </w:trPr>
        <w:tc>
          <w:tcPr>
            <w:tcW w:w="1344" w:type="dxa"/>
            <w:vMerge w:val="restart"/>
            <w:tcBorders>
              <w:top w:val="single" w:sz="8" w:space="0" w:color="auto"/>
              <w:left w:val="nil"/>
              <w:bottom w:val="single" w:sz="8" w:space="0" w:color="000000"/>
              <w:right w:val="nil"/>
            </w:tcBorders>
            <w:shd w:val="clear" w:color="auto" w:fill="auto"/>
            <w:noWrap/>
            <w:tcMar>
              <w:left w:w="57" w:type="dxa"/>
              <w:right w:w="57" w:type="dxa"/>
            </w:tcMar>
            <w:vAlign w:val="center"/>
          </w:tcPr>
          <w:p w:rsidR="0049010C" w:rsidRPr="007A25F5" w:rsidRDefault="0049010C" w:rsidP="00DD2EE6">
            <w:pPr>
              <w:pStyle w:val="PaperFormattext"/>
            </w:pPr>
            <w:r w:rsidRPr="007A25F5">
              <w:t>Constituent</w:t>
            </w:r>
          </w:p>
        </w:tc>
        <w:tc>
          <w:tcPr>
            <w:tcW w:w="609" w:type="dxa"/>
            <w:vMerge w:val="restart"/>
            <w:tcBorders>
              <w:top w:val="single" w:sz="8" w:space="0" w:color="auto"/>
              <w:left w:val="nil"/>
              <w:right w:val="nil"/>
            </w:tcBorders>
            <w:noWrap/>
            <w:tcMar>
              <w:left w:w="57" w:type="dxa"/>
              <w:right w:w="57" w:type="dxa"/>
            </w:tcMar>
            <w:vAlign w:val="center"/>
          </w:tcPr>
          <w:p w:rsidR="0049010C" w:rsidRPr="007A25F5" w:rsidRDefault="0049010C" w:rsidP="00DD2EE6">
            <w:pPr>
              <w:pStyle w:val="PaperFormattext"/>
            </w:pPr>
            <w:r w:rsidRPr="007A25F5">
              <w:t>Obs.</w:t>
            </w:r>
          </w:p>
        </w:tc>
        <w:tc>
          <w:tcPr>
            <w:tcW w:w="1312" w:type="dxa"/>
            <w:tcBorders>
              <w:top w:val="single" w:sz="8" w:space="0" w:color="auto"/>
              <w:left w:val="nil"/>
              <w:bottom w:val="single" w:sz="8" w:space="0" w:color="auto"/>
            </w:tcBorders>
            <w:shd w:val="clear" w:color="auto" w:fill="auto"/>
            <w:noWrap/>
            <w:tcMar>
              <w:left w:w="57" w:type="dxa"/>
              <w:right w:w="57" w:type="dxa"/>
            </w:tcMar>
            <w:vAlign w:val="center"/>
          </w:tcPr>
          <w:p w:rsidR="0049010C" w:rsidRPr="007A25F5" w:rsidRDefault="0049010C" w:rsidP="00DD2EE6">
            <w:pPr>
              <w:pStyle w:val="PaperFormattext"/>
            </w:pPr>
            <w:r w:rsidRPr="007A25F5">
              <w:t>Deterministic</w:t>
            </w:r>
          </w:p>
          <w:p w:rsidR="0049010C" w:rsidRPr="007A25F5" w:rsidRDefault="0049010C" w:rsidP="00DD2EE6">
            <w:pPr>
              <w:pStyle w:val="PaperFormattext"/>
            </w:pPr>
            <w:r w:rsidRPr="007A25F5">
              <w:t>mode</w:t>
            </w:r>
            <w:r w:rsidR="00385BE1" w:rsidRPr="007A25F5">
              <w:t>l</w:t>
            </w:r>
            <w:r w:rsidRPr="007A25F5">
              <w:t>ling</w:t>
            </w:r>
          </w:p>
        </w:tc>
        <w:tc>
          <w:tcPr>
            <w:tcW w:w="204" w:type="dxa"/>
            <w:tcBorders>
              <w:top w:val="single" w:sz="8" w:space="0" w:color="auto"/>
              <w:left w:val="nil"/>
            </w:tcBorders>
            <w:shd w:val="clear" w:color="auto" w:fill="auto"/>
            <w:vAlign w:val="center"/>
          </w:tcPr>
          <w:p w:rsidR="0049010C" w:rsidRPr="007A25F5" w:rsidRDefault="0049010C" w:rsidP="00DD2EE6">
            <w:pPr>
              <w:pStyle w:val="PaperFormattext"/>
            </w:pPr>
          </w:p>
        </w:tc>
        <w:tc>
          <w:tcPr>
            <w:tcW w:w="4101" w:type="dxa"/>
            <w:gridSpan w:val="3"/>
            <w:tcBorders>
              <w:top w:val="single" w:sz="8" w:space="0" w:color="auto"/>
              <w:left w:val="nil"/>
              <w:bottom w:val="single" w:sz="8" w:space="0" w:color="auto"/>
              <w:right w:val="nil"/>
            </w:tcBorders>
            <w:shd w:val="clear" w:color="auto" w:fill="auto"/>
            <w:noWrap/>
            <w:tcMar>
              <w:left w:w="57" w:type="dxa"/>
              <w:right w:w="57" w:type="dxa"/>
            </w:tcMar>
            <w:vAlign w:val="center"/>
          </w:tcPr>
          <w:p w:rsidR="0049010C" w:rsidRPr="007A25F5" w:rsidRDefault="0049010C" w:rsidP="00DD2EE6">
            <w:pPr>
              <w:pStyle w:val="PaperFormattext"/>
            </w:pPr>
            <w:r w:rsidRPr="007A25F5">
              <w:t>GLUE</w:t>
            </w:r>
          </w:p>
        </w:tc>
      </w:tr>
      <w:tr w:rsidR="0049010C" w:rsidRPr="007A25F5" w:rsidTr="00146B4E">
        <w:trPr>
          <w:trHeight w:val="42"/>
          <w:jc w:val="center"/>
        </w:trPr>
        <w:tc>
          <w:tcPr>
            <w:tcW w:w="1344" w:type="dxa"/>
            <w:vMerge/>
            <w:tcBorders>
              <w:top w:val="single" w:sz="8" w:space="0" w:color="auto"/>
              <w:left w:val="nil"/>
              <w:bottom w:val="single" w:sz="8" w:space="0" w:color="000000"/>
              <w:right w:val="nil"/>
            </w:tcBorders>
            <w:noWrap/>
            <w:tcMar>
              <w:left w:w="57" w:type="dxa"/>
              <w:right w:w="57" w:type="dxa"/>
            </w:tcMar>
            <w:vAlign w:val="center"/>
          </w:tcPr>
          <w:p w:rsidR="0049010C" w:rsidRPr="007A25F5" w:rsidRDefault="0049010C" w:rsidP="00DD2EE6">
            <w:pPr>
              <w:pStyle w:val="PaperFormattext"/>
            </w:pPr>
          </w:p>
        </w:tc>
        <w:tc>
          <w:tcPr>
            <w:tcW w:w="609" w:type="dxa"/>
            <w:vMerge/>
            <w:tcBorders>
              <w:left w:val="nil"/>
              <w:bottom w:val="single" w:sz="8" w:space="0" w:color="000000"/>
              <w:right w:val="nil"/>
            </w:tcBorders>
            <w:noWrap/>
            <w:tcMar>
              <w:left w:w="57" w:type="dxa"/>
              <w:right w:w="57" w:type="dxa"/>
            </w:tcMar>
            <w:vAlign w:val="center"/>
          </w:tcPr>
          <w:p w:rsidR="0049010C" w:rsidRPr="007A25F5" w:rsidRDefault="0049010C" w:rsidP="00DD2EE6">
            <w:pPr>
              <w:pStyle w:val="PaperFormattext"/>
            </w:pPr>
          </w:p>
        </w:tc>
        <w:tc>
          <w:tcPr>
            <w:tcW w:w="1312" w:type="dxa"/>
            <w:tcBorders>
              <w:top w:val="single" w:sz="8" w:space="0" w:color="auto"/>
              <w:left w:val="nil"/>
              <w:bottom w:val="single" w:sz="8" w:space="0" w:color="000000"/>
            </w:tcBorders>
            <w:noWrap/>
            <w:tcMar>
              <w:left w:w="57" w:type="dxa"/>
              <w:right w:w="57" w:type="dxa"/>
            </w:tcMar>
            <w:vAlign w:val="center"/>
          </w:tcPr>
          <w:p w:rsidR="0049010C" w:rsidRPr="007A25F5" w:rsidRDefault="0049010C" w:rsidP="00DD2EE6">
            <w:pPr>
              <w:pStyle w:val="PaperFormattext"/>
            </w:pPr>
            <w:r w:rsidRPr="007A25F5">
              <w:t>Calibration</w:t>
            </w:r>
          </w:p>
        </w:tc>
        <w:tc>
          <w:tcPr>
            <w:tcW w:w="204" w:type="dxa"/>
            <w:tcBorders>
              <w:left w:val="nil"/>
              <w:bottom w:val="single" w:sz="8" w:space="0" w:color="000000"/>
            </w:tcBorders>
            <w:tcMar>
              <w:left w:w="57" w:type="dxa"/>
              <w:right w:w="57" w:type="dxa"/>
            </w:tcMar>
            <w:vAlign w:val="center"/>
          </w:tcPr>
          <w:p w:rsidR="0049010C" w:rsidRPr="007A25F5" w:rsidRDefault="0049010C" w:rsidP="00DD2EE6">
            <w:pPr>
              <w:pStyle w:val="PaperFormattext"/>
            </w:pPr>
          </w:p>
        </w:tc>
        <w:tc>
          <w:tcPr>
            <w:tcW w:w="1260" w:type="dxa"/>
            <w:tcBorders>
              <w:top w:val="nil"/>
              <w:left w:val="nil"/>
              <w:bottom w:val="single" w:sz="8" w:space="0" w:color="auto"/>
              <w:right w:val="nil"/>
            </w:tcBorders>
            <w:shd w:val="clear" w:color="auto" w:fill="auto"/>
            <w:noWrap/>
            <w:tcMar>
              <w:left w:w="57" w:type="dxa"/>
              <w:right w:w="57" w:type="dxa"/>
            </w:tcMar>
            <w:vAlign w:val="center"/>
          </w:tcPr>
          <w:p w:rsidR="0049010C" w:rsidRPr="007A25F5" w:rsidRDefault="0049010C" w:rsidP="00DD2EE6">
            <w:pPr>
              <w:pStyle w:val="PaperFormattext"/>
            </w:pPr>
            <w:r w:rsidRPr="007A25F5">
              <w:t>Best-fit</w:t>
            </w:r>
          </w:p>
        </w:tc>
        <w:tc>
          <w:tcPr>
            <w:tcW w:w="1212" w:type="dxa"/>
            <w:tcBorders>
              <w:top w:val="nil"/>
              <w:left w:val="nil"/>
              <w:bottom w:val="single" w:sz="8" w:space="0" w:color="auto"/>
              <w:right w:val="nil"/>
            </w:tcBorders>
            <w:shd w:val="clear" w:color="auto" w:fill="auto"/>
            <w:noWrap/>
            <w:tcMar>
              <w:left w:w="57" w:type="dxa"/>
              <w:right w:w="57" w:type="dxa"/>
            </w:tcMar>
            <w:vAlign w:val="center"/>
          </w:tcPr>
          <w:p w:rsidR="0049010C" w:rsidRPr="007A25F5" w:rsidRDefault="00146B4E" w:rsidP="00DD2EE6">
            <w:pPr>
              <w:pStyle w:val="PaperFormattext"/>
            </w:pPr>
            <w:r w:rsidRPr="007A25F5">
              <w:t>Median</w:t>
            </w:r>
          </w:p>
        </w:tc>
        <w:tc>
          <w:tcPr>
            <w:tcW w:w="1629" w:type="dxa"/>
            <w:tcBorders>
              <w:top w:val="nil"/>
              <w:left w:val="nil"/>
              <w:bottom w:val="single" w:sz="8" w:space="0" w:color="auto"/>
              <w:right w:val="nil"/>
            </w:tcBorders>
            <w:shd w:val="clear" w:color="auto" w:fill="auto"/>
            <w:noWrap/>
            <w:tcMar>
              <w:left w:w="57" w:type="dxa"/>
              <w:right w:w="57" w:type="dxa"/>
            </w:tcMar>
            <w:vAlign w:val="center"/>
          </w:tcPr>
          <w:p w:rsidR="0049010C" w:rsidRPr="007A25F5" w:rsidRDefault="00146B4E" w:rsidP="00DD2EE6">
            <w:pPr>
              <w:pStyle w:val="PaperFormattext"/>
            </w:pPr>
            <w:r w:rsidRPr="007A25F5">
              <w:t>Range (</w:t>
            </w:r>
            <w:r w:rsidR="0049010C" w:rsidRPr="007A25F5">
              <w:t>90% CI</w:t>
            </w:r>
            <w:r w:rsidRPr="007A25F5">
              <w:t>)</w:t>
            </w:r>
          </w:p>
        </w:tc>
      </w:tr>
      <w:tr w:rsidR="0049010C" w:rsidRPr="007A25F5" w:rsidTr="00146B4E">
        <w:trPr>
          <w:trHeight w:val="42"/>
          <w:jc w:val="center"/>
        </w:trPr>
        <w:tc>
          <w:tcPr>
            <w:tcW w:w="1344" w:type="dxa"/>
            <w:tcBorders>
              <w:top w:val="nil"/>
              <w:left w:val="nil"/>
              <w:bottom w:val="nil"/>
              <w:right w:val="nil"/>
            </w:tcBorders>
            <w:shd w:val="clear" w:color="auto" w:fill="auto"/>
            <w:noWrap/>
            <w:tcMar>
              <w:left w:w="57" w:type="dxa"/>
              <w:right w:w="57" w:type="dxa"/>
            </w:tcMar>
            <w:vAlign w:val="center"/>
          </w:tcPr>
          <w:p w:rsidR="0049010C" w:rsidRPr="007A25F5" w:rsidRDefault="0049010C" w:rsidP="00DD2EE6">
            <w:pPr>
              <w:pStyle w:val="PaperFormattext"/>
            </w:pPr>
            <w:r w:rsidRPr="007A25F5">
              <w:t>T-N (mg L</w:t>
            </w:r>
            <w:r w:rsidRPr="007A25F5">
              <w:rPr>
                <w:vertAlign w:val="superscript"/>
              </w:rPr>
              <w:t>-1</w:t>
            </w:r>
            <w:r w:rsidRPr="007A25F5">
              <w:t>)</w:t>
            </w:r>
          </w:p>
        </w:tc>
        <w:tc>
          <w:tcPr>
            <w:tcW w:w="609" w:type="dxa"/>
            <w:tcBorders>
              <w:top w:val="nil"/>
              <w:left w:val="nil"/>
              <w:bottom w:val="nil"/>
              <w:right w:val="nil"/>
            </w:tcBorders>
            <w:noWrap/>
            <w:tcMar>
              <w:left w:w="57" w:type="dxa"/>
              <w:right w:w="57" w:type="dxa"/>
            </w:tcMar>
            <w:vAlign w:val="center"/>
          </w:tcPr>
          <w:p w:rsidR="0049010C" w:rsidRPr="007A25F5" w:rsidRDefault="0049010C" w:rsidP="00DD2EE6">
            <w:pPr>
              <w:pStyle w:val="PaperFormattext"/>
            </w:pPr>
            <w:r w:rsidRPr="007A25F5">
              <w:t>0.60</w:t>
            </w:r>
          </w:p>
        </w:tc>
        <w:tc>
          <w:tcPr>
            <w:tcW w:w="1312" w:type="dxa"/>
            <w:tcBorders>
              <w:top w:val="nil"/>
              <w:left w:val="nil"/>
              <w:bottom w:val="nil"/>
            </w:tcBorders>
            <w:shd w:val="clear" w:color="auto" w:fill="auto"/>
            <w:noWrap/>
            <w:tcMar>
              <w:left w:w="57" w:type="dxa"/>
              <w:right w:w="57" w:type="dxa"/>
            </w:tcMar>
            <w:vAlign w:val="center"/>
          </w:tcPr>
          <w:p w:rsidR="0049010C" w:rsidRPr="007A25F5" w:rsidRDefault="0049010C" w:rsidP="00DD2EE6">
            <w:pPr>
              <w:pStyle w:val="PaperFormattext"/>
            </w:pPr>
            <w:r w:rsidRPr="007A25F5">
              <w:t>0.76 (0.832)</w:t>
            </w:r>
            <w:r w:rsidRPr="007A25F5">
              <w:rPr>
                <w:vertAlign w:val="superscript"/>
              </w:rPr>
              <w:t>a</w:t>
            </w:r>
          </w:p>
        </w:tc>
        <w:tc>
          <w:tcPr>
            <w:tcW w:w="204" w:type="dxa"/>
            <w:tcBorders>
              <w:top w:val="nil"/>
              <w:left w:val="nil"/>
              <w:bottom w:val="nil"/>
            </w:tcBorders>
            <w:shd w:val="clear" w:color="auto" w:fill="auto"/>
            <w:tcMar>
              <w:left w:w="57" w:type="dxa"/>
              <w:right w:w="57" w:type="dxa"/>
            </w:tcMar>
            <w:vAlign w:val="center"/>
          </w:tcPr>
          <w:p w:rsidR="0049010C" w:rsidRPr="007A25F5" w:rsidRDefault="0049010C" w:rsidP="00DD2EE6">
            <w:pPr>
              <w:pStyle w:val="PaperFormattext"/>
            </w:pPr>
          </w:p>
        </w:tc>
        <w:tc>
          <w:tcPr>
            <w:tcW w:w="1260" w:type="dxa"/>
            <w:tcBorders>
              <w:top w:val="nil"/>
              <w:left w:val="nil"/>
              <w:bottom w:val="nil"/>
              <w:right w:val="nil"/>
            </w:tcBorders>
            <w:shd w:val="clear" w:color="auto" w:fill="auto"/>
            <w:noWrap/>
            <w:tcMar>
              <w:left w:w="57" w:type="dxa"/>
              <w:right w:w="57" w:type="dxa"/>
            </w:tcMar>
            <w:vAlign w:val="center"/>
          </w:tcPr>
          <w:p w:rsidR="0049010C" w:rsidRPr="007A25F5" w:rsidRDefault="0049010C" w:rsidP="00DD2EE6">
            <w:pPr>
              <w:pStyle w:val="PaperFormattext"/>
            </w:pPr>
            <w:r w:rsidRPr="007A25F5">
              <w:t>0.67(0.845)</w:t>
            </w:r>
            <w:r w:rsidRPr="007A25F5">
              <w:rPr>
                <w:vertAlign w:val="superscript"/>
              </w:rPr>
              <w:t>a</w:t>
            </w:r>
          </w:p>
        </w:tc>
        <w:tc>
          <w:tcPr>
            <w:tcW w:w="1212" w:type="dxa"/>
            <w:tcBorders>
              <w:top w:val="nil"/>
              <w:left w:val="nil"/>
              <w:bottom w:val="nil"/>
              <w:right w:val="nil"/>
            </w:tcBorders>
            <w:shd w:val="clear" w:color="auto" w:fill="auto"/>
            <w:noWrap/>
            <w:tcMar>
              <w:left w:w="57" w:type="dxa"/>
              <w:right w:w="57" w:type="dxa"/>
            </w:tcMar>
            <w:vAlign w:val="center"/>
          </w:tcPr>
          <w:p w:rsidR="0049010C" w:rsidRPr="007A25F5" w:rsidRDefault="0049010C" w:rsidP="00DD2EE6">
            <w:pPr>
              <w:pStyle w:val="PaperFormattext"/>
            </w:pPr>
            <w:r w:rsidRPr="007A25F5">
              <w:t>0.73</w:t>
            </w:r>
          </w:p>
        </w:tc>
        <w:tc>
          <w:tcPr>
            <w:tcW w:w="1629" w:type="dxa"/>
            <w:tcBorders>
              <w:top w:val="nil"/>
              <w:left w:val="nil"/>
              <w:bottom w:val="nil"/>
              <w:right w:val="nil"/>
            </w:tcBorders>
            <w:shd w:val="clear" w:color="auto" w:fill="auto"/>
            <w:noWrap/>
            <w:tcMar>
              <w:left w:w="57" w:type="dxa"/>
              <w:right w:w="57" w:type="dxa"/>
            </w:tcMar>
            <w:vAlign w:val="center"/>
          </w:tcPr>
          <w:p w:rsidR="0049010C" w:rsidRPr="007A25F5" w:rsidRDefault="0049010C" w:rsidP="00DD2EE6">
            <w:pPr>
              <w:pStyle w:val="PaperFormattext"/>
            </w:pPr>
            <w:r w:rsidRPr="007A25F5">
              <w:t>[0.59, 0.87]</w:t>
            </w:r>
          </w:p>
        </w:tc>
      </w:tr>
      <w:tr w:rsidR="0049010C" w:rsidRPr="007A25F5" w:rsidTr="00146B4E">
        <w:trPr>
          <w:trHeight w:val="62"/>
          <w:jc w:val="center"/>
        </w:trPr>
        <w:tc>
          <w:tcPr>
            <w:tcW w:w="1344" w:type="dxa"/>
            <w:tcBorders>
              <w:top w:val="nil"/>
              <w:left w:val="nil"/>
              <w:bottom w:val="single" w:sz="8" w:space="0" w:color="auto"/>
              <w:right w:val="nil"/>
            </w:tcBorders>
            <w:shd w:val="clear" w:color="auto" w:fill="auto"/>
            <w:noWrap/>
            <w:tcMar>
              <w:left w:w="57" w:type="dxa"/>
              <w:right w:w="57" w:type="dxa"/>
            </w:tcMar>
            <w:vAlign w:val="center"/>
          </w:tcPr>
          <w:p w:rsidR="0049010C" w:rsidRPr="007A25F5" w:rsidRDefault="0049010C" w:rsidP="00DD2EE6">
            <w:pPr>
              <w:pStyle w:val="PaperFormattext"/>
            </w:pPr>
            <w:r w:rsidRPr="007A25F5">
              <w:t>T-P (mg L</w:t>
            </w:r>
            <w:r w:rsidRPr="007A25F5">
              <w:rPr>
                <w:vertAlign w:val="superscript"/>
              </w:rPr>
              <w:t>-1</w:t>
            </w:r>
            <w:r w:rsidRPr="007A25F5">
              <w:t>)</w:t>
            </w:r>
          </w:p>
        </w:tc>
        <w:tc>
          <w:tcPr>
            <w:tcW w:w="609" w:type="dxa"/>
            <w:tcBorders>
              <w:top w:val="nil"/>
              <w:left w:val="nil"/>
              <w:bottom w:val="single" w:sz="8" w:space="0" w:color="auto"/>
              <w:right w:val="nil"/>
            </w:tcBorders>
            <w:noWrap/>
            <w:tcMar>
              <w:left w:w="57" w:type="dxa"/>
              <w:right w:w="57" w:type="dxa"/>
            </w:tcMar>
            <w:vAlign w:val="center"/>
          </w:tcPr>
          <w:p w:rsidR="0049010C" w:rsidRPr="007A25F5" w:rsidRDefault="0049010C" w:rsidP="00DD2EE6">
            <w:pPr>
              <w:pStyle w:val="PaperFormattext"/>
            </w:pPr>
            <w:r w:rsidRPr="007A25F5">
              <w:t>0.041</w:t>
            </w:r>
          </w:p>
        </w:tc>
        <w:tc>
          <w:tcPr>
            <w:tcW w:w="1312" w:type="dxa"/>
            <w:tcBorders>
              <w:top w:val="nil"/>
              <w:left w:val="nil"/>
              <w:bottom w:val="single" w:sz="8" w:space="0" w:color="auto"/>
            </w:tcBorders>
            <w:shd w:val="clear" w:color="auto" w:fill="auto"/>
            <w:noWrap/>
            <w:tcMar>
              <w:left w:w="57" w:type="dxa"/>
              <w:right w:w="57" w:type="dxa"/>
            </w:tcMar>
            <w:vAlign w:val="center"/>
          </w:tcPr>
          <w:p w:rsidR="0049010C" w:rsidRPr="007A25F5" w:rsidRDefault="0049010C" w:rsidP="00DD2EE6">
            <w:pPr>
              <w:pStyle w:val="PaperFormattext"/>
            </w:pPr>
            <w:r w:rsidRPr="007A25F5">
              <w:t>0.049(0.834)</w:t>
            </w:r>
          </w:p>
        </w:tc>
        <w:tc>
          <w:tcPr>
            <w:tcW w:w="204" w:type="dxa"/>
            <w:tcBorders>
              <w:top w:val="nil"/>
              <w:left w:val="nil"/>
              <w:bottom w:val="single" w:sz="8" w:space="0" w:color="auto"/>
            </w:tcBorders>
            <w:shd w:val="clear" w:color="auto" w:fill="auto"/>
            <w:tcMar>
              <w:left w:w="57" w:type="dxa"/>
              <w:right w:w="57" w:type="dxa"/>
            </w:tcMar>
            <w:vAlign w:val="center"/>
          </w:tcPr>
          <w:p w:rsidR="0049010C" w:rsidRPr="007A25F5" w:rsidRDefault="0049010C" w:rsidP="00DD2EE6">
            <w:pPr>
              <w:pStyle w:val="PaperFormattext"/>
            </w:pPr>
          </w:p>
        </w:tc>
        <w:tc>
          <w:tcPr>
            <w:tcW w:w="1260" w:type="dxa"/>
            <w:tcBorders>
              <w:top w:val="nil"/>
              <w:left w:val="nil"/>
              <w:bottom w:val="single" w:sz="8" w:space="0" w:color="auto"/>
              <w:right w:val="nil"/>
            </w:tcBorders>
            <w:shd w:val="clear" w:color="auto" w:fill="auto"/>
            <w:noWrap/>
            <w:tcMar>
              <w:left w:w="57" w:type="dxa"/>
              <w:right w:w="57" w:type="dxa"/>
            </w:tcMar>
            <w:vAlign w:val="center"/>
          </w:tcPr>
          <w:p w:rsidR="0049010C" w:rsidRPr="007A25F5" w:rsidRDefault="0049010C" w:rsidP="00DD2EE6">
            <w:pPr>
              <w:pStyle w:val="PaperFormattext"/>
            </w:pPr>
            <w:r w:rsidRPr="007A25F5">
              <w:t>0.045(0.916)</w:t>
            </w:r>
          </w:p>
        </w:tc>
        <w:tc>
          <w:tcPr>
            <w:tcW w:w="1212" w:type="dxa"/>
            <w:tcBorders>
              <w:top w:val="nil"/>
              <w:left w:val="nil"/>
              <w:bottom w:val="single" w:sz="8" w:space="0" w:color="auto"/>
              <w:right w:val="nil"/>
            </w:tcBorders>
            <w:shd w:val="clear" w:color="auto" w:fill="auto"/>
            <w:noWrap/>
            <w:tcMar>
              <w:left w:w="57" w:type="dxa"/>
              <w:right w:w="57" w:type="dxa"/>
            </w:tcMar>
            <w:vAlign w:val="center"/>
          </w:tcPr>
          <w:p w:rsidR="0049010C" w:rsidRPr="007A25F5" w:rsidRDefault="0049010C" w:rsidP="00DD2EE6">
            <w:pPr>
              <w:pStyle w:val="PaperFormattext"/>
            </w:pPr>
            <w:r w:rsidRPr="007A25F5">
              <w:t>0.054</w:t>
            </w:r>
          </w:p>
        </w:tc>
        <w:tc>
          <w:tcPr>
            <w:tcW w:w="1629" w:type="dxa"/>
            <w:tcBorders>
              <w:top w:val="nil"/>
              <w:left w:val="nil"/>
              <w:bottom w:val="single" w:sz="8" w:space="0" w:color="auto"/>
              <w:right w:val="nil"/>
            </w:tcBorders>
            <w:shd w:val="clear" w:color="auto" w:fill="auto"/>
            <w:noWrap/>
            <w:tcMar>
              <w:left w:w="57" w:type="dxa"/>
              <w:right w:w="57" w:type="dxa"/>
            </w:tcMar>
            <w:vAlign w:val="center"/>
          </w:tcPr>
          <w:p w:rsidR="0049010C" w:rsidRPr="007A25F5" w:rsidRDefault="0049010C" w:rsidP="00DD2EE6">
            <w:pPr>
              <w:pStyle w:val="PaperFormattext"/>
            </w:pPr>
            <w:r w:rsidRPr="007A25F5">
              <w:t>[0.046, 0.060]</w:t>
            </w:r>
          </w:p>
        </w:tc>
      </w:tr>
    </w:tbl>
    <w:p w:rsidR="0049010C" w:rsidRPr="007A25F5" w:rsidRDefault="0049010C" w:rsidP="00DD2EE6">
      <w:pPr>
        <w:pStyle w:val="PaperFormattext"/>
      </w:pPr>
      <w:r w:rsidRPr="007A25F5">
        <w:rPr>
          <w:vertAlign w:val="superscript"/>
        </w:rPr>
        <w:t>a</w:t>
      </w:r>
      <w:r w:rsidRPr="007A25F5">
        <w:t xml:space="preserve"> concentration (NSE : Nash</w:t>
      </w:r>
      <w:r w:rsidR="000B25DA" w:rsidRPr="007A25F5">
        <w:t>-</w:t>
      </w:r>
      <w:r w:rsidRPr="007A25F5">
        <w:t>Sutcliff efficiency coefficient)</w:t>
      </w:r>
    </w:p>
    <w:p w:rsidR="00C008ED" w:rsidRPr="007A25F5" w:rsidRDefault="00C008ED" w:rsidP="00DD2EE6">
      <w:pPr>
        <w:pStyle w:val="PaperFormattext"/>
      </w:pPr>
    </w:p>
    <w:p w:rsidR="00BA32F4" w:rsidRPr="007A25F5" w:rsidRDefault="00BA32F4" w:rsidP="00DD2EE6">
      <w:pPr>
        <w:pStyle w:val="PaperFormattext"/>
        <w:sectPr w:rsidR="00BA32F4" w:rsidRPr="007A25F5" w:rsidSect="00AE7C20">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39" w:code="9"/>
          <w:pgMar w:top="1701" w:right="1701" w:bottom="1701" w:left="1701" w:header="1134" w:footer="851" w:gutter="0"/>
          <w:cols w:space="708"/>
          <w:docGrid w:linePitch="381"/>
        </w:sectPr>
      </w:pPr>
    </w:p>
    <w:p w:rsidR="003D3DFE" w:rsidRPr="007A25F5" w:rsidRDefault="003D3DFE" w:rsidP="00DD2EE6">
      <w:pPr>
        <w:pStyle w:val="PaperFormattext"/>
      </w:pPr>
      <w:r w:rsidRPr="007A25F5">
        <w:lastRenderedPageBreak/>
        <w:t xml:space="preserve">Table </w:t>
      </w:r>
      <w:r w:rsidR="00AE7C20" w:rsidRPr="007A25F5">
        <w:t>VI</w:t>
      </w:r>
      <w:r w:rsidRPr="007A25F5">
        <w:t xml:space="preserve">. Summary of </w:t>
      </w:r>
      <w:r w:rsidR="00960D07" w:rsidRPr="007A25F5">
        <w:t xml:space="preserve">the </w:t>
      </w:r>
      <w:r w:rsidR="007E26E1" w:rsidRPr="007A25F5">
        <w:t>Hwaong Reservoir water quality predicted using the</w:t>
      </w:r>
      <w:r w:rsidR="007D70EC" w:rsidRPr="007A25F5">
        <w:t>integrated modelling system with the uncertainty analysis</w:t>
      </w:r>
    </w:p>
    <w:tbl>
      <w:tblPr>
        <w:tblW w:w="7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905"/>
        <w:gridCol w:w="1299"/>
        <w:gridCol w:w="1469"/>
        <w:gridCol w:w="937"/>
        <w:gridCol w:w="1758"/>
      </w:tblGrid>
      <w:tr w:rsidR="003D3DFE" w:rsidRPr="007A25F5" w:rsidTr="0050748F">
        <w:trPr>
          <w:trHeight w:val="213"/>
          <w:jc w:val="center"/>
        </w:trPr>
        <w:tc>
          <w:tcPr>
            <w:tcW w:w="1905" w:type="dxa"/>
            <w:vMerge w:val="restart"/>
            <w:tcBorders>
              <w:left w:val="nil"/>
              <w:right w:val="nil"/>
            </w:tcBorders>
            <w:shd w:val="clear" w:color="auto" w:fill="auto"/>
            <w:noWrap/>
            <w:vAlign w:val="center"/>
          </w:tcPr>
          <w:p w:rsidR="003D3DFE" w:rsidRPr="007A25F5" w:rsidRDefault="00BA32F4" w:rsidP="00DD2EE6">
            <w:pPr>
              <w:pStyle w:val="PaperFormattext"/>
            </w:pPr>
            <w:r w:rsidRPr="007A25F5">
              <w:t>River basin</w:t>
            </w:r>
          </w:p>
          <w:p w:rsidR="003D3DFE" w:rsidRPr="007A25F5" w:rsidRDefault="003D3DFE" w:rsidP="00DD2EE6">
            <w:pPr>
              <w:pStyle w:val="PaperFormattext"/>
            </w:pPr>
            <w:r w:rsidRPr="007A25F5">
              <w:t>management</w:t>
            </w:r>
          </w:p>
        </w:tc>
        <w:tc>
          <w:tcPr>
            <w:tcW w:w="1213" w:type="dxa"/>
            <w:vMerge w:val="restart"/>
            <w:tcBorders>
              <w:left w:val="nil"/>
              <w:right w:val="nil"/>
            </w:tcBorders>
            <w:shd w:val="clear" w:color="auto" w:fill="auto"/>
            <w:noWrap/>
            <w:vAlign w:val="center"/>
          </w:tcPr>
          <w:p w:rsidR="003D3DFE" w:rsidRPr="007A25F5" w:rsidRDefault="003D3DFE" w:rsidP="00DD2EE6">
            <w:pPr>
              <w:pStyle w:val="PaperFormattext"/>
            </w:pPr>
            <w:r w:rsidRPr="007A25F5">
              <w:t>Constituent</w:t>
            </w:r>
          </w:p>
        </w:tc>
        <w:tc>
          <w:tcPr>
            <w:tcW w:w="1399" w:type="dxa"/>
            <w:vMerge w:val="restart"/>
            <w:tcBorders>
              <w:left w:val="nil"/>
              <w:right w:val="nil"/>
            </w:tcBorders>
            <w:shd w:val="clear" w:color="auto" w:fill="auto"/>
            <w:vAlign w:val="center"/>
          </w:tcPr>
          <w:p w:rsidR="00BA32F4" w:rsidRPr="007A25F5" w:rsidRDefault="003D3DFE" w:rsidP="00DD2EE6">
            <w:pPr>
              <w:pStyle w:val="PaperFormattext"/>
            </w:pPr>
            <w:r w:rsidRPr="007A25F5">
              <w:t>Deterministic</w:t>
            </w:r>
          </w:p>
          <w:p w:rsidR="003D3DFE" w:rsidRPr="007A25F5" w:rsidRDefault="003D3DFE" w:rsidP="00DD2EE6">
            <w:pPr>
              <w:pStyle w:val="PaperFormattext"/>
            </w:pPr>
            <w:r w:rsidRPr="007A25F5">
              <w:t>mode</w:t>
            </w:r>
            <w:r w:rsidR="00385BE1" w:rsidRPr="007A25F5">
              <w:t>l</w:t>
            </w:r>
            <w:r w:rsidRPr="007A25F5">
              <w:t>ling</w:t>
            </w:r>
          </w:p>
        </w:tc>
        <w:tc>
          <w:tcPr>
            <w:tcW w:w="2695" w:type="dxa"/>
            <w:gridSpan w:val="2"/>
            <w:tcBorders>
              <w:left w:val="nil"/>
              <w:right w:val="nil"/>
            </w:tcBorders>
            <w:shd w:val="clear" w:color="auto" w:fill="auto"/>
            <w:noWrap/>
            <w:vAlign w:val="center"/>
          </w:tcPr>
          <w:p w:rsidR="003D3DFE" w:rsidRPr="007A25F5" w:rsidRDefault="003D3DFE" w:rsidP="00DD2EE6">
            <w:pPr>
              <w:pStyle w:val="PaperFormattext"/>
            </w:pPr>
            <w:r w:rsidRPr="007A25F5">
              <w:t>Uncertainty analysis</w:t>
            </w:r>
          </w:p>
        </w:tc>
      </w:tr>
      <w:tr w:rsidR="003D3DFE" w:rsidRPr="007A25F5" w:rsidTr="0050748F">
        <w:trPr>
          <w:trHeight w:val="52"/>
          <w:jc w:val="center"/>
        </w:trPr>
        <w:tc>
          <w:tcPr>
            <w:tcW w:w="1905" w:type="dxa"/>
            <w:vMerge/>
            <w:tcBorders>
              <w:left w:val="nil"/>
              <w:right w:val="nil"/>
            </w:tcBorders>
            <w:shd w:val="clear" w:color="auto" w:fill="auto"/>
            <w:noWrap/>
            <w:vAlign w:val="center"/>
          </w:tcPr>
          <w:p w:rsidR="003D3DFE" w:rsidRPr="007A25F5" w:rsidRDefault="003D3DFE" w:rsidP="00DD2EE6">
            <w:pPr>
              <w:pStyle w:val="PaperFormattext"/>
            </w:pPr>
          </w:p>
        </w:tc>
        <w:tc>
          <w:tcPr>
            <w:tcW w:w="1213" w:type="dxa"/>
            <w:vMerge/>
            <w:tcBorders>
              <w:left w:val="nil"/>
              <w:right w:val="nil"/>
            </w:tcBorders>
            <w:shd w:val="clear" w:color="auto" w:fill="auto"/>
            <w:noWrap/>
            <w:vAlign w:val="center"/>
          </w:tcPr>
          <w:p w:rsidR="003D3DFE" w:rsidRPr="007A25F5" w:rsidRDefault="003D3DFE" w:rsidP="00DD2EE6">
            <w:pPr>
              <w:pStyle w:val="PaperFormattext"/>
            </w:pPr>
          </w:p>
        </w:tc>
        <w:tc>
          <w:tcPr>
            <w:tcW w:w="1399" w:type="dxa"/>
            <w:vMerge/>
            <w:tcBorders>
              <w:left w:val="nil"/>
              <w:right w:val="nil"/>
            </w:tcBorders>
            <w:shd w:val="clear" w:color="auto" w:fill="auto"/>
            <w:noWrap/>
            <w:vAlign w:val="center"/>
          </w:tcPr>
          <w:p w:rsidR="003D3DFE" w:rsidRPr="007A25F5" w:rsidRDefault="003D3DFE" w:rsidP="00DD2EE6">
            <w:pPr>
              <w:pStyle w:val="PaperFormattext"/>
            </w:pPr>
          </w:p>
        </w:tc>
        <w:tc>
          <w:tcPr>
            <w:tcW w:w="937" w:type="dxa"/>
            <w:tcBorders>
              <w:left w:val="nil"/>
              <w:right w:val="nil"/>
            </w:tcBorders>
            <w:shd w:val="clear" w:color="auto" w:fill="auto"/>
            <w:noWrap/>
            <w:vAlign w:val="center"/>
          </w:tcPr>
          <w:p w:rsidR="003D3DFE" w:rsidRPr="007A25F5" w:rsidRDefault="00D808D5" w:rsidP="00DD2EE6">
            <w:pPr>
              <w:pStyle w:val="PaperFormattext"/>
            </w:pPr>
            <w:r w:rsidRPr="007A25F5">
              <w:t>M</w:t>
            </w:r>
            <w:r w:rsidR="003D3DFE" w:rsidRPr="007A25F5">
              <w:t>edian</w:t>
            </w:r>
          </w:p>
        </w:tc>
        <w:tc>
          <w:tcPr>
            <w:tcW w:w="1758" w:type="dxa"/>
            <w:tcBorders>
              <w:left w:val="nil"/>
              <w:right w:val="nil"/>
            </w:tcBorders>
            <w:shd w:val="clear" w:color="auto" w:fill="auto"/>
            <w:noWrap/>
            <w:vAlign w:val="center"/>
          </w:tcPr>
          <w:p w:rsidR="003D3DFE" w:rsidRPr="007A25F5" w:rsidRDefault="003D3DFE" w:rsidP="00DD2EE6">
            <w:pPr>
              <w:pStyle w:val="PaperFormattext"/>
            </w:pPr>
            <w:r w:rsidRPr="007A25F5">
              <w:t>Range</w:t>
            </w:r>
            <w:r w:rsidR="0050748F" w:rsidRPr="007A25F5">
              <w:t xml:space="preserve"> (90% CI)</w:t>
            </w:r>
          </w:p>
        </w:tc>
      </w:tr>
      <w:tr w:rsidR="003D3DFE" w:rsidRPr="007A25F5" w:rsidTr="0050748F">
        <w:trPr>
          <w:trHeight w:val="65"/>
          <w:jc w:val="center"/>
        </w:trPr>
        <w:tc>
          <w:tcPr>
            <w:tcW w:w="1905" w:type="dxa"/>
            <w:vMerge w:val="restart"/>
            <w:tcBorders>
              <w:left w:val="nil"/>
              <w:right w:val="nil"/>
            </w:tcBorders>
            <w:shd w:val="clear" w:color="auto" w:fill="auto"/>
            <w:vAlign w:val="center"/>
          </w:tcPr>
          <w:p w:rsidR="003D3DFE" w:rsidRPr="007A25F5" w:rsidRDefault="003D3DFE" w:rsidP="00DD2EE6">
            <w:pPr>
              <w:pStyle w:val="PaperFormattext"/>
            </w:pPr>
            <w:r w:rsidRPr="007A25F5">
              <w:t>without WETLAND</w:t>
            </w:r>
          </w:p>
          <w:p w:rsidR="003D3DFE" w:rsidRPr="007A25F5" w:rsidRDefault="003D3DFE" w:rsidP="00DD2EE6">
            <w:pPr>
              <w:pStyle w:val="PaperFormattext"/>
            </w:pPr>
            <w:r w:rsidRPr="007A25F5">
              <w:t>(mg L</w:t>
            </w:r>
            <w:r w:rsidRPr="007A25F5">
              <w:rPr>
                <w:vertAlign w:val="superscript"/>
              </w:rPr>
              <w:t>-1</w:t>
            </w:r>
            <w:r w:rsidRPr="007A25F5">
              <w:t>)</w:t>
            </w:r>
          </w:p>
        </w:tc>
        <w:tc>
          <w:tcPr>
            <w:tcW w:w="1213" w:type="dxa"/>
            <w:tcBorders>
              <w:left w:val="nil"/>
              <w:bottom w:val="nil"/>
              <w:right w:val="nil"/>
            </w:tcBorders>
            <w:shd w:val="clear" w:color="auto" w:fill="auto"/>
            <w:noWrap/>
            <w:vAlign w:val="center"/>
          </w:tcPr>
          <w:p w:rsidR="003D3DFE" w:rsidRPr="007A25F5" w:rsidRDefault="003D3DFE" w:rsidP="00DD2EE6">
            <w:pPr>
              <w:pStyle w:val="PaperFormattext"/>
            </w:pPr>
            <w:r w:rsidRPr="007A25F5">
              <w:t>T-N</w:t>
            </w:r>
          </w:p>
        </w:tc>
        <w:tc>
          <w:tcPr>
            <w:tcW w:w="1399" w:type="dxa"/>
            <w:tcBorders>
              <w:left w:val="nil"/>
              <w:bottom w:val="nil"/>
              <w:right w:val="nil"/>
            </w:tcBorders>
            <w:shd w:val="clear" w:color="auto" w:fill="auto"/>
            <w:noWrap/>
            <w:vAlign w:val="center"/>
          </w:tcPr>
          <w:p w:rsidR="003D3DFE" w:rsidRPr="007A25F5" w:rsidRDefault="00FA4D41" w:rsidP="00DD2EE6">
            <w:pPr>
              <w:pStyle w:val="PaperFormattext"/>
            </w:pPr>
            <w:r w:rsidRPr="007A25F5">
              <w:t>2.14</w:t>
            </w:r>
          </w:p>
        </w:tc>
        <w:tc>
          <w:tcPr>
            <w:tcW w:w="937" w:type="dxa"/>
            <w:tcBorders>
              <w:left w:val="nil"/>
              <w:bottom w:val="nil"/>
              <w:right w:val="nil"/>
            </w:tcBorders>
            <w:shd w:val="clear" w:color="auto" w:fill="auto"/>
            <w:noWrap/>
            <w:vAlign w:val="center"/>
          </w:tcPr>
          <w:p w:rsidR="003D3DFE" w:rsidRPr="007A25F5" w:rsidRDefault="003D3DFE" w:rsidP="00DD2EE6">
            <w:pPr>
              <w:pStyle w:val="PaperFormattext"/>
            </w:pPr>
            <w:r w:rsidRPr="007A25F5">
              <w:t>1.95</w:t>
            </w:r>
          </w:p>
        </w:tc>
        <w:tc>
          <w:tcPr>
            <w:tcW w:w="1758" w:type="dxa"/>
            <w:tcBorders>
              <w:left w:val="nil"/>
              <w:bottom w:val="nil"/>
              <w:right w:val="nil"/>
            </w:tcBorders>
            <w:shd w:val="clear" w:color="auto" w:fill="auto"/>
            <w:noWrap/>
            <w:vAlign w:val="center"/>
          </w:tcPr>
          <w:p w:rsidR="003D3DFE" w:rsidRPr="007A25F5" w:rsidRDefault="003D3DFE" w:rsidP="00DD2EE6">
            <w:pPr>
              <w:pStyle w:val="PaperFormattext"/>
            </w:pPr>
            <w:r w:rsidRPr="007A25F5">
              <w:t>[1.30, 3.16]</w:t>
            </w:r>
          </w:p>
        </w:tc>
      </w:tr>
      <w:tr w:rsidR="003D3DFE" w:rsidRPr="007A25F5" w:rsidTr="0050748F">
        <w:trPr>
          <w:trHeight w:val="69"/>
          <w:jc w:val="center"/>
        </w:trPr>
        <w:tc>
          <w:tcPr>
            <w:tcW w:w="1905" w:type="dxa"/>
            <w:vMerge/>
            <w:tcBorders>
              <w:left w:val="nil"/>
              <w:right w:val="nil"/>
            </w:tcBorders>
            <w:vAlign w:val="center"/>
          </w:tcPr>
          <w:p w:rsidR="003D3DFE" w:rsidRPr="007A25F5" w:rsidRDefault="003D3DFE" w:rsidP="00DD2EE6">
            <w:pPr>
              <w:pStyle w:val="PaperFormattext"/>
            </w:pPr>
          </w:p>
        </w:tc>
        <w:tc>
          <w:tcPr>
            <w:tcW w:w="1213" w:type="dxa"/>
            <w:tcBorders>
              <w:top w:val="nil"/>
              <w:left w:val="nil"/>
              <w:right w:val="nil"/>
            </w:tcBorders>
            <w:shd w:val="clear" w:color="auto" w:fill="auto"/>
            <w:noWrap/>
            <w:vAlign w:val="center"/>
          </w:tcPr>
          <w:p w:rsidR="003D3DFE" w:rsidRPr="007A25F5" w:rsidRDefault="003D3DFE" w:rsidP="00DD2EE6">
            <w:pPr>
              <w:pStyle w:val="PaperFormattext"/>
            </w:pPr>
            <w:r w:rsidRPr="007A25F5">
              <w:t>T-P</w:t>
            </w:r>
          </w:p>
        </w:tc>
        <w:tc>
          <w:tcPr>
            <w:tcW w:w="1399" w:type="dxa"/>
            <w:tcBorders>
              <w:top w:val="nil"/>
              <w:left w:val="nil"/>
              <w:right w:val="nil"/>
            </w:tcBorders>
            <w:shd w:val="clear" w:color="auto" w:fill="auto"/>
            <w:noWrap/>
            <w:vAlign w:val="center"/>
          </w:tcPr>
          <w:p w:rsidR="003D3DFE" w:rsidRPr="007A25F5" w:rsidRDefault="003D3DFE" w:rsidP="00DD2EE6">
            <w:pPr>
              <w:pStyle w:val="PaperFormattext"/>
            </w:pPr>
            <w:r w:rsidRPr="007A25F5">
              <w:t>0.1</w:t>
            </w:r>
            <w:r w:rsidR="00FA4D41" w:rsidRPr="007A25F5">
              <w:t>11</w:t>
            </w:r>
          </w:p>
        </w:tc>
        <w:tc>
          <w:tcPr>
            <w:tcW w:w="937" w:type="dxa"/>
            <w:tcBorders>
              <w:top w:val="nil"/>
              <w:left w:val="nil"/>
              <w:right w:val="nil"/>
            </w:tcBorders>
            <w:shd w:val="clear" w:color="auto" w:fill="auto"/>
            <w:noWrap/>
            <w:vAlign w:val="center"/>
          </w:tcPr>
          <w:p w:rsidR="003D3DFE" w:rsidRPr="007A25F5" w:rsidRDefault="003D3DFE" w:rsidP="00DD2EE6">
            <w:pPr>
              <w:pStyle w:val="PaperFormattext"/>
            </w:pPr>
            <w:r w:rsidRPr="007A25F5">
              <w:t>0.130</w:t>
            </w:r>
          </w:p>
        </w:tc>
        <w:tc>
          <w:tcPr>
            <w:tcW w:w="1758" w:type="dxa"/>
            <w:tcBorders>
              <w:top w:val="nil"/>
              <w:left w:val="nil"/>
              <w:right w:val="nil"/>
            </w:tcBorders>
            <w:shd w:val="clear" w:color="auto" w:fill="auto"/>
            <w:noWrap/>
            <w:vAlign w:val="center"/>
          </w:tcPr>
          <w:p w:rsidR="003D3DFE" w:rsidRPr="007A25F5" w:rsidRDefault="003D3DFE" w:rsidP="00DD2EE6">
            <w:pPr>
              <w:pStyle w:val="PaperFormattext"/>
            </w:pPr>
            <w:r w:rsidRPr="007A25F5">
              <w:t>[0.091, 0.173]</w:t>
            </w:r>
          </w:p>
        </w:tc>
      </w:tr>
      <w:tr w:rsidR="003D3DFE" w:rsidRPr="007A25F5" w:rsidTr="0050748F">
        <w:trPr>
          <w:trHeight w:val="60"/>
          <w:jc w:val="center"/>
        </w:trPr>
        <w:tc>
          <w:tcPr>
            <w:tcW w:w="1905" w:type="dxa"/>
            <w:vMerge w:val="restart"/>
            <w:tcBorders>
              <w:left w:val="nil"/>
              <w:right w:val="nil"/>
            </w:tcBorders>
            <w:shd w:val="clear" w:color="auto" w:fill="auto"/>
            <w:vAlign w:val="center"/>
          </w:tcPr>
          <w:p w:rsidR="003D3DFE" w:rsidRPr="007A25F5" w:rsidRDefault="003D3DFE" w:rsidP="00DD2EE6">
            <w:pPr>
              <w:pStyle w:val="PaperFormattext"/>
            </w:pPr>
            <w:r w:rsidRPr="007A25F5">
              <w:t>with WETLAND</w:t>
            </w:r>
          </w:p>
          <w:p w:rsidR="003D3DFE" w:rsidRPr="007A25F5" w:rsidRDefault="003D3DFE" w:rsidP="00DD2EE6">
            <w:pPr>
              <w:pStyle w:val="PaperFormattext"/>
            </w:pPr>
            <w:r w:rsidRPr="007A25F5">
              <w:t>(mg L</w:t>
            </w:r>
            <w:r w:rsidRPr="007A25F5">
              <w:rPr>
                <w:vertAlign w:val="superscript"/>
              </w:rPr>
              <w:t>-1</w:t>
            </w:r>
            <w:r w:rsidRPr="007A25F5">
              <w:t>)</w:t>
            </w:r>
          </w:p>
        </w:tc>
        <w:tc>
          <w:tcPr>
            <w:tcW w:w="1213" w:type="dxa"/>
            <w:tcBorders>
              <w:left w:val="nil"/>
              <w:bottom w:val="nil"/>
              <w:right w:val="nil"/>
            </w:tcBorders>
            <w:shd w:val="clear" w:color="auto" w:fill="auto"/>
            <w:noWrap/>
            <w:vAlign w:val="center"/>
          </w:tcPr>
          <w:p w:rsidR="003D3DFE" w:rsidRPr="007A25F5" w:rsidRDefault="003D3DFE" w:rsidP="00DD2EE6">
            <w:pPr>
              <w:pStyle w:val="PaperFormattext"/>
            </w:pPr>
            <w:r w:rsidRPr="007A25F5">
              <w:t>T-N</w:t>
            </w:r>
          </w:p>
        </w:tc>
        <w:tc>
          <w:tcPr>
            <w:tcW w:w="1399" w:type="dxa"/>
            <w:tcBorders>
              <w:left w:val="nil"/>
              <w:bottom w:val="nil"/>
              <w:right w:val="nil"/>
            </w:tcBorders>
            <w:shd w:val="clear" w:color="auto" w:fill="auto"/>
            <w:noWrap/>
            <w:vAlign w:val="center"/>
          </w:tcPr>
          <w:p w:rsidR="003D3DFE" w:rsidRPr="007A25F5" w:rsidRDefault="00FA4D41" w:rsidP="00DD2EE6">
            <w:pPr>
              <w:pStyle w:val="PaperFormattext"/>
            </w:pPr>
            <w:r w:rsidRPr="007A25F5">
              <w:t>1.98</w:t>
            </w:r>
          </w:p>
        </w:tc>
        <w:tc>
          <w:tcPr>
            <w:tcW w:w="937" w:type="dxa"/>
            <w:tcBorders>
              <w:left w:val="nil"/>
              <w:bottom w:val="nil"/>
              <w:right w:val="nil"/>
            </w:tcBorders>
            <w:shd w:val="clear" w:color="auto" w:fill="auto"/>
            <w:noWrap/>
            <w:vAlign w:val="center"/>
          </w:tcPr>
          <w:p w:rsidR="003D3DFE" w:rsidRPr="007A25F5" w:rsidRDefault="003D3DFE" w:rsidP="00DD2EE6">
            <w:pPr>
              <w:pStyle w:val="PaperFormattext"/>
            </w:pPr>
            <w:r w:rsidRPr="007A25F5">
              <w:t>1.74</w:t>
            </w:r>
          </w:p>
        </w:tc>
        <w:tc>
          <w:tcPr>
            <w:tcW w:w="1758" w:type="dxa"/>
            <w:tcBorders>
              <w:left w:val="nil"/>
              <w:bottom w:val="nil"/>
              <w:right w:val="nil"/>
            </w:tcBorders>
            <w:shd w:val="clear" w:color="auto" w:fill="auto"/>
            <w:noWrap/>
            <w:vAlign w:val="center"/>
          </w:tcPr>
          <w:p w:rsidR="003D3DFE" w:rsidRPr="007A25F5" w:rsidRDefault="003D3DFE" w:rsidP="00DD2EE6">
            <w:pPr>
              <w:pStyle w:val="PaperFormattext"/>
            </w:pPr>
            <w:r w:rsidRPr="007A25F5">
              <w:t>[1.15, 2.82]</w:t>
            </w:r>
          </w:p>
        </w:tc>
      </w:tr>
      <w:tr w:rsidR="003D3DFE" w:rsidRPr="007A25F5" w:rsidTr="0050748F">
        <w:trPr>
          <w:trHeight w:val="52"/>
          <w:jc w:val="center"/>
        </w:trPr>
        <w:tc>
          <w:tcPr>
            <w:tcW w:w="1905" w:type="dxa"/>
            <w:vMerge/>
            <w:tcBorders>
              <w:left w:val="nil"/>
              <w:bottom w:val="single" w:sz="4" w:space="0" w:color="auto"/>
              <w:right w:val="nil"/>
            </w:tcBorders>
            <w:vAlign w:val="center"/>
          </w:tcPr>
          <w:p w:rsidR="003D3DFE" w:rsidRPr="007A25F5" w:rsidRDefault="003D3DFE" w:rsidP="00DD2EE6">
            <w:pPr>
              <w:pStyle w:val="PaperFormattext"/>
            </w:pPr>
          </w:p>
        </w:tc>
        <w:tc>
          <w:tcPr>
            <w:tcW w:w="1213" w:type="dxa"/>
            <w:tcBorders>
              <w:top w:val="nil"/>
              <w:left w:val="nil"/>
              <w:bottom w:val="single" w:sz="4" w:space="0" w:color="auto"/>
              <w:right w:val="nil"/>
            </w:tcBorders>
            <w:shd w:val="clear" w:color="auto" w:fill="auto"/>
            <w:noWrap/>
            <w:vAlign w:val="center"/>
          </w:tcPr>
          <w:p w:rsidR="003D3DFE" w:rsidRPr="007A25F5" w:rsidRDefault="003D3DFE" w:rsidP="00DD2EE6">
            <w:pPr>
              <w:pStyle w:val="PaperFormattext"/>
            </w:pPr>
            <w:r w:rsidRPr="007A25F5">
              <w:t>T-P</w:t>
            </w:r>
          </w:p>
        </w:tc>
        <w:tc>
          <w:tcPr>
            <w:tcW w:w="1399" w:type="dxa"/>
            <w:tcBorders>
              <w:top w:val="nil"/>
              <w:left w:val="nil"/>
              <w:bottom w:val="single" w:sz="4" w:space="0" w:color="auto"/>
              <w:right w:val="nil"/>
            </w:tcBorders>
            <w:shd w:val="clear" w:color="auto" w:fill="auto"/>
            <w:noWrap/>
            <w:vAlign w:val="center"/>
          </w:tcPr>
          <w:p w:rsidR="003D3DFE" w:rsidRPr="007A25F5" w:rsidRDefault="00FA4D41" w:rsidP="00DD2EE6">
            <w:pPr>
              <w:pStyle w:val="PaperFormattext"/>
            </w:pPr>
            <w:r w:rsidRPr="007A25F5">
              <w:t>0.094</w:t>
            </w:r>
          </w:p>
        </w:tc>
        <w:tc>
          <w:tcPr>
            <w:tcW w:w="937" w:type="dxa"/>
            <w:tcBorders>
              <w:top w:val="nil"/>
              <w:left w:val="nil"/>
              <w:bottom w:val="single" w:sz="4" w:space="0" w:color="auto"/>
              <w:right w:val="nil"/>
            </w:tcBorders>
            <w:shd w:val="clear" w:color="auto" w:fill="auto"/>
            <w:noWrap/>
            <w:vAlign w:val="center"/>
          </w:tcPr>
          <w:p w:rsidR="003D3DFE" w:rsidRPr="007A25F5" w:rsidRDefault="003D3DFE" w:rsidP="00DD2EE6">
            <w:pPr>
              <w:pStyle w:val="PaperFormattext"/>
            </w:pPr>
            <w:r w:rsidRPr="007A25F5">
              <w:t>0.110</w:t>
            </w:r>
          </w:p>
        </w:tc>
        <w:tc>
          <w:tcPr>
            <w:tcW w:w="1758" w:type="dxa"/>
            <w:tcBorders>
              <w:top w:val="nil"/>
              <w:left w:val="nil"/>
              <w:bottom w:val="single" w:sz="4" w:space="0" w:color="auto"/>
              <w:right w:val="nil"/>
            </w:tcBorders>
            <w:shd w:val="clear" w:color="auto" w:fill="auto"/>
            <w:noWrap/>
            <w:vAlign w:val="center"/>
          </w:tcPr>
          <w:p w:rsidR="003D3DFE" w:rsidRPr="007A25F5" w:rsidRDefault="003D3DFE" w:rsidP="00DD2EE6">
            <w:pPr>
              <w:pStyle w:val="PaperFormattext"/>
            </w:pPr>
            <w:r w:rsidRPr="007A25F5">
              <w:t>[0.079, 0.143]</w:t>
            </w:r>
          </w:p>
        </w:tc>
      </w:tr>
      <w:tr w:rsidR="003D3DFE" w:rsidRPr="007A25F5" w:rsidTr="0050748F">
        <w:trPr>
          <w:trHeight w:val="54"/>
          <w:jc w:val="center"/>
        </w:trPr>
        <w:tc>
          <w:tcPr>
            <w:tcW w:w="1905" w:type="dxa"/>
            <w:vMerge w:val="restart"/>
            <w:tcBorders>
              <w:top w:val="single" w:sz="4" w:space="0" w:color="auto"/>
              <w:left w:val="nil"/>
              <w:right w:val="nil"/>
            </w:tcBorders>
            <w:vAlign w:val="center"/>
          </w:tcPr>
          <w:p w:rsidR="003D3DFE" w:rsidRPr="007A25F5" w:rsidRDefault="003D3DFE" w:rsidP="00DD2EE6">
            <w:pPr>
              <w:pStyle w:val="PaperFormattext"/>
            </w:pPr>
            <w:r w:rsidRPr="007A25F5">
              <w:t>Reduction</w:t>
            </w:r>
          </w:p>
          <w:p w:rsidR="003D3DFE" w:rsidRPr="007A25F5" w:rsidRDefault="003D3DFE" w:rsidP="00DD2EE6">
            <w:pPr>
              <w:pStyle w:val="PaperFormattext"/>
            </w:pPr>
            <w:r w:rsidRPr="007A25F5">
              <w:t>(%)</w:t>
            </w:r>
          </w:p>
        </w:tc>
        <w:tc>
          <w:tcPr>
            <w:tcW w:w="1213" w:type="dxa"/>
            <w:tcBorders>
              <w:top w:val="single" w:sz="4" w:space="0" w:color="auto"/>
              <w:left w:val="nil"/>
              <w:bottom w:val="nil"/>
              <w:right w:val="nil"/>
            </w:tcBorders>
            <w:shd w:val="clear" w:color="auto" w:fill="auto"/>
            <w:noWrap/>
            <w:vAlign w:val="center"/>
          </w:tcPr>
          <w:p w:rsidR="003D3DFE" w:rsidRPr="007A25F5" w:rsidRDefault="003D3DFE" w:rsidP="00DD2EE6">
            <w:pPr>
              <w:pStyle w:val="PaperFormattext"/>
            </w:pPr>
            <w:r w:rsidRPr="007A25F5">
              <w:t>T-N</w:t>
            </w:r>
          </w:p>
        </w:tc>
        <w:tc>
          <w:tcPr>
            <w:tcW w:w="1399" w:type="dxa"/>
            <w:tcBorders>
              <w:top w:val="single" w:sz="4" w:space="0" w:color="auto"/>
              <w:left w:val="nil"/>
              <w:bottom w:val="nil"/>
              <w:right w:val="nil"/>
            </w:tcBorders>
            <w:shd w:val="clear" w:color="auto" w:fill="auto"/>
            <w:noWrap/>
            <w:vAlign w:val="center"/>
          </w:tcPr>
          <w:p w:rsidR="003D3DFE" w:rsidRPr="007A25F5" w:rsidRDefault="00B438AE" w:rsidP="00DD2EE6">
            <w:pPr>
              <w:pStyle w:val="PaperFormattext"/>
            </w:pPr>
            <w:r w:rsidRPr="007A25F5">
              <w:t>7.5</w:t>
            </w:r>
          </w:p>
        </w:tc>
        <w:tc>
          <w:tcPr>
            <w:tcW w:w="937" w:type="dxa"/>
            <w:tcBorders>
              <w:top w:val="single" w:sz="4" w:space="0" w:color="auto"/>
              <w:left w:val="nil"/>
              <w:bottom w:val="nil"/>
              <w:right w:val="nil"/>
            </w:tcBorders>
            <w:shd w:val="clear" w:color="auto" w:fill="auto"/>
            <w:noWrap/>
            <w:vAlign w:val="center"/>
          </w:tcPr>
          <w:p w:rsidR="003D3DFE" w:rsidRPr="007A25F5" w:rsidRDefault="003D3DFE" w:rsidP="00DD2EE6">
            <w:pPr>
              <w:pStyle w:val="PaperFormattext"/>
            </w:pPr>
            <w:r w:rsidRPr="007A25F5">
              <w:t>10.8</w:t>
            </w:r>
          </w:p>
        </w:tc>
        <w:tc>
          <w:tcPr>
            <w:tcW w:w="1758" w:type="dxa"/>
            <w:tcBorders>
              <w:top w:val="single" w:sz="4" w:space="0" w:color="auto"/>
              <w:left w:val="nil"/>
              <w:bottom w:val="nil"/>
              <w:right w:val="nil"/>
            </w:tcBorders>
            <w:shd w:val="clear" w:color="auto" w:fill="auto"/>
            <w:noWrap/>
            <w:vAlign w:val="center"/>
          </w:tcPr>
          <w:p w:rsidR="003D3DFE" w:rsidRPr="007A25F5" w:rsidRDefault="004E1EC1" w:rsidP="00DD2EE6">
            <w:pPr>
              <w:pStyle w:val="PaperFormattext"/>
            </w:pPr>
            <w:r w:rsidRPr="007A25F5">
              <w:t>-</w:t>
            </w:r>
          </w:p>
        </w:tc>
      </w:tr>
      <w:tr w:rsidR="003D3DFE" w:rsidRPr="007A25F5" w:rsidTr="0050748F">
        <w:trPr>
          <w:trHeight w:val="57"/>
          <w:jc w:val="center"/>
        </w:trPr>
        <w:tc>
          <w:tcPr>
            <w:tcW w:w="1905" w:type="dxa"/>
            <w:vMerge/>
            <w:tcBorders>
              <w:left w:val="nil"/>
              <w:right w:val="nil"/>
            </w:tcBorders>
            <w:vAlign w:val="center"/>
          </w:tcPr>
          <w:p w:rsidR="003D3DFE" w:rsidRPr="007A25F5" w:rsidRDefault="003D3DFE" w:rsidP="00DD2EE6">
            <w:pPr>
              <w:pStyle w:val="PaperFormattext"/>
            </w:pPr>
          </w:p>
        </w:tc>
        <w:tc>
          <w:tcPr>
            <w:tcW w:w="1213" w:type="dxa"/>
            <w:tcBorders>
              <w:top w:val="nil"/>
              <w:left w:val="nil"/>
              <w:right w:val="nil"/>
            </w:tcBorders>
            <w:shd w:val="clear" w:color="auto" w:fill="auto"/>
            <w:noWrap/>
            <w:vAlign w:val="center"/>
          </w:tcPr>
          <w:p w:rsidR="003D3DFE" w:rsidRPr="007A25F5" w:rsidRDefault="003D3DFE" w:rsidP="00DD2EE6">
            <w:pPr>
              <w:pStyle w:val="PaperFormattext"/>
            </w:pPr>
            <w:r w:rsidRPr="007A25F5">
              <w:t>T-P</w:t>
            </w:r>
          </w:p>
        </w:tc>
        <w:tc>
          <w:tcPr>
            <w:tcW w:w="1399" w:type="dxa"/>
            <w:tcBorders>
              <w:top w:val="nil"/>
              <w:left w:val="nil"/>
              <w:right w:val="nil"/>
            </w:tcBorders>
            <w:shd w:val="clear" w:color="auto" w:fill="auto"/>
            <w:noWrap/>
            <w:vAlign w:val="center"/>
          </w:tcPr>
          <w:p w:rsidR="003D3DFE" w:rsidRPr="007A25F5" w:rsidRDefault="003D3DFE" w:rsidP="00DD2EE6">
            <w:pPr>
              <w:pStyle w:val="PaperFormattext"/>
            </w:pPr>
            <w:r w:rsidRPr="007A25F5">
              <w:t>1</w:t>
            </w:r>
            <w:r w:rsidR="00B438AE" w:rsidRPr="007A25F5">
              <w:t>5.3</w:t>
            </w:r>
          </w:p>
        </w:tc>
        <w:tc>
          <w:tcPr>
            <w:tcW w:w="937" w:type="dxa"/>
            <w:tcBorders>
              <w:top w:val="nil"/>
              <w:left w:val="nil"/>
              <w:right w:val="nil"/>
            </w:tcBorders>
            <w:shd w:val="clear" w:color="auto" w:fill="auto"/>
            <w:noWrap/>
            <w:vAlign w:val="center"/>
          </w:tcPr>
          <w:p w:rsidR="003D3DFE" w:rsidRPr="007A25F5" w:rsidRDefault="003D3DFE" w:rsidP="00DD2EE6">
            <w:pPr>
              <w:pStyle w:val="PaperFormattext"/>
            </w:pPr>
            <w:r w:rsidRPr="007A25F5">
              <w:t>15.4</w:t>
            </w:r>
          </w:p>
        </w:tc>
        <w:tc>
          <w:tcPr>
            <w:tcW w:w="1758" w:type="dxa"/>
            <w:tcBorders>
              <w:top w:val="nil"/>
              <w:left w:val="nil"/>
              <w:right w:val="nil"/>
            </w:tcBorders>
            <w:shd w:val="clear" w:color="auto" w:fill="auto"/>
            <w:noWrap/>
            <w:vAlign w:val="center"/>
          </w:tcPr>
          <w:p w:rsidR="003D3DFE" w:rsidRPr="007A25F5" w:rsidRDefault="00D526EC" w:rsidP="00DD2EE6">
            <w:pPr>
              <w:pStyle w:val="PaperFormattext"/>
            </w:pPr>
            <w:r w:rsidRPr="007A25F5">
              <w:t>-</w:t>
            </w:r>
          </w:p>
        </w:tc>
      </w:tr>
    </w:tbl>
    <w:p w:rsidR="009B03D2" w:rsidRDefault="009B03D2"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r>
        <w:rPr>
          <w:noProof/>
        </w:rPr>
        <w:drawing>
          <wp:inline distT="0" distB="0" distL="0" distR="0">
            <wp:extent cx="3985260" cy="4912995"/>
            <wp:effectExtent l="19050" t="0" r="0" b="0"/>
            <wp:docPr id="2" name="Picture 2" descr="C:\Documents and Settings\Timothy Hong\Local Settings\Temp\wz7679\Ham_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imothy Hong\Local Settings\Temp\wz7679\Ham_Figure 1.tif"/>
                    <pic:cNvPicPr>
                      <a:picLocks noChangeAspect="1" noChangeArrowheads="1"/>
                    </pic:cNvPicPr>
                  </pic:nvPicPr>
                  <pic:blipFill>
                    <a:blip r:embed="rId16"/>
                    <a:srcRect/>
                    <a:stretch>
                      <a:fillRect/>
                    </a:stretch>
                  </pic:blipFill>
                  <pic:spPr bwMode="auto">
                    <a:xfrm>
                      <a:off x="0" y="0"/>
                      <a:ext cx="3985260" cy="4912995"/>
                    </a:xfrm>
                    <a:prstGeom prst="rect">
                      <a:avLst/>
                    </a:prstGeom>
                    <a:noFill/>
                    <a:ln w="9525">
                      <a:noFill/>
                      <a:miter lim="800000"/>
                      <a:headEnd/>
                      <a:tailEnd/>
                    </a:ln>
                  </pic:spPr>
                </pic:pic>
              </a:graphicData>
            </a:graphic>
          </wp:inline>
        </w:drawing>
      </w:r>
    </w:p>
    <w:p w:rsidR="00DD2EE6" w:rsidRDefault="00DD2EE6" w:rsidP="00DD2EE6">
      <w:pPr>
        <w:pStyle w:val="PaperFormattext"/>
        <w:rPr>
          <w:rFonts w:hint="eastAsia"/>
        </w:rPr>
      </w:pPr>
    </w:p>
    <w:p w:rsidR="00DD2EE6" w:rsidRPr="00DD2EE6" w:rsidRDefault="00DD2EE6" w:rsidP="00DD2EE6">
      <w:pPr>
        <w:pStyle w:val="PaperFormattext"/>
        <w:rPr>
          <w:rFonts w:hint="eastAsia"/>
        </w:rPr>
      </w:pPr>
      <w:r w:rsidRPr="00DD2EE6">
        <w:rPr>
          <w:rFonts w:hint="eastAsia"/>
        </w:rPr>
        <w:t>Figure 1</w:t>
      </w: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r>
        <w:rPr>
          <w:noProof/>
          <w:lang w:val="en-US"/>
        </w:rPr>
        <w:drawing>
          <wp:inline distT="0" distB="0" distL="0" distR="0">
            <wp:extent cx="5400675" cy="3774243"/>
            <wp:effectExtent l="19050" t="0" r="9525" b="0"/>
            <wp:docPr id="4" name="Picture 4" descr="C:\Documents and Settings\Timothy Hong\Local Settings\Temp\wz30a1\Ham_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imothy Hong\Local Settings\Temp\wz30a1\Ham_Figure 2.tif"/>
                    <pic:cNvPicPr>
                      <a:picLocks noChangeAspect="1" noChangeArrowheads="1"/>
                    </pic:cNvPicPr>
                  </pic:nvPicPr>
                  <pic:blipFill>
                    <a:blip r:embed="rId17"/>
                    <a:srcRect/>
                    <a:stretch>
                      <a:fillRect/>
                    </a:stretch>
                  </pic:blipFill>
                  <pic:spPr bwMode="auto">
                    <a:xfrm>
                      <a:off x="0" y="0"/>
                      <a:ext cx="5400675" cy="3774243"/>
                    </a:xfrm>
                    <a:prstGeom prst="rect">
                      <a:avLst/>
                    </a:prstGeom>
                    <a:noFill/>
                    <a:ln w="9525">
                      <a:noFill/>
                      <a:miter lim="800000"/>
                      <a:headEnd/>
                      <a:tailEnd/>
                    </a:ln>
                  </pic:spPr>
                </pic:pic>
              </a:graphicData>
            </a:graphic>
          </wp:inline>
        </w:drawing>
      </w:r>
    </w:p>
    <w:p w:rsidR="00DD2EE6" w:rsidRDefault="00DD2EE6" w:rsidP="00DD2EE6">
      <w:pPr>
        <w:pStyle w:val="PaperFormattext"/>
        <w:rPr>
          <w:rFonts w:hint="eastAsia"/>
        </w:rPr>
      </w:pPr>
    </w:p>
    <w:p w:rsidR="00DD2EE6" w:rsidRPr="00DD2EE6" w:rsidRDefault="00DD2EE6" w:rsidP="00DD2EE6">
      <w:pPr>
        <w:pStyle w:val="PaperFormattext"/>
        <w:rPr>
          <w:rFonts w:hint="eastAsia"/>
        </w:rPr>
      </w:pPr>
      <w:r w:rsidRPr="00DD2EE6">
        <w:rPr>
          <w:rFonts w:hint="eastAsia"/>
        </w:rPr>
        <w:t xml:space="preserve">Figure </w:t>
      </w:r>
      <w:r>
        <w:rPr>
          <w:rFonts w:hint="eastAsia"/>
        </w:rPr>
        <w:t>2</w:t>
      </w: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r>
        <w:rPr>
          <w:noProof/>
          <w:lang w:val="en-US"/>
        </w:rPr>
        <w:drawing>
          <wp:inline distT="0" distB="0" distL="0" distR="0">
            <wp:extent cx="5400675" cy="1797284"/>
            <wp:effectExtent l="19050" t="0" r="9525" b="0"/>
            <wp:docPr id="5" name="Picture 5" descr="C:\Documents and Settings\Timothy Hong\Local Settings\Temp\wz96ae\Ham_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imothy Hong\Local Settings\Temp\wz96ae\Ham_Figure 3.TIF"/>
                    <pic:cNvPicPr>
                      <a:picLocks noChangeAspect="1" noChangeArrowheads="1"/>
                    </pic:cNvPicPr>
                  </pic:nvPicPr>
                  <pic:blipFill>
                    <a:blip r:embed="rId18" cstate="print"/>
                    <a:srcRect/>
                    <a:stretch>
                      <a:fillRect/>
                    </a:stretch>
                  </pic:blipFill>
                  <pic:spPr bwMode="auto">
                    <a:xfrm>
                      <a:off x="0" y="0"/>
                      <a:ext cx="5400675" cy="1797284"/>
                    </a:xfrm>
                    <a:prstGeom prst="rect">
                      <a:avLst/>
                    </a:prstGeom>
                    <a:noFill/>
                    <a:ln w="9525">
                      <a:noFill/>
                      <a:miter lim="800000"/>
                      <a:headEnd/>
                      <a:tailEnd/>
                    </a:ln>
                  </pic:spPr>
                </pic:pic>
              </a:graphicData>
            </a:graphic>
          </wp:inline>
        </w:drawing>
      </w:r>
    </w:p>
    <w:p w:rsidR="00DD2EE6" w:rsidRDefault="00DD2EE6" w:rsidP="00DD2EE6">
      <w:pPr>
        <w:pStyle w:val="PaperFormattext"/>
        <w:rPr>
          <w:rFonts w:hint="eastAsia"/>
        </w:rPr>
      </w:pPr>
    </w:p>
    <w:p w:rsidR="00DD2EE6" w:rsidRDefault="00DD2EE6" w:rsidP="00DD2EE6">
      <w:pPr>
        <w:pStyle w:val="PaperFormattext"/>
        <w:rPr>
          <w:rFonts w:hint="eastAsia"/>
        </w:rPr>
      </w:pPr>
      <w:r>
        <w:rPr>
          <w:rFonts w:hint="eastAsia"/>
        </w:rPr>
        <w:t>Figure 3</w:t>
      </w: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r>
        <w:rPr>
          <w:noProof/>
          <w:lang w:val="en-US"/>
        </w:rPr>
        <w:drawing>
          <wp:inline distT="0" distB="0" distL="0" distR="0">
            <wp:extent cx="5400675" cy="2338464"/>
            <wp:effectExtent l="19050" t="0" r="9525" b="0"/>
            <wp:docPr id="6" name="Picture 6" descr="C:\Documents and Settings\Timothy Hong\Local Settings\Temp\wz0cd8\Ham_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imothy Hong\Local Settings\Temp\wz0cd8\Ham_Figure 4.TIF"/>
                    <pic:cNvPicPr>
                      <a:picLocks noChangeAspect="1" noChangeArrowheads="1"/>
                    </pic:cNvPicPr>
                  </pic:nvPicPr>
                  <pic:blipFill>
                    <a:blip r:embed="rId19" cstate="print"/>
                    <a:srcRect/>
                    <a:stretch>
                      <a:fillRect/>
                    </a:stretch>
                  </pic:blipFill>
                  <pic:spPr bwMode="auto">
                    <a:xfrm>
                      <a:off x="0" y="0"/>
                      <a:ext cx="5400675" cy="2338464"/>
                    </a:xfrm>
                    <a:prstGeom prst="rect">
                      <a:avLst/>
                    </a:prstGeom>
                    <a:noFill/>
                    <a:ln w="9525">
                      <a:noFill/>
                      <a:miter lim="800000"/>
                      <a:headEnd/>
                      <a:tailEnd/>
                    </a:ln>
                  </pic:spPr>
                </pic:pic>
              </a:graphicData>
            </a:graphic>
          </wp:inline>
        </w:drawing>
      </w:r>
    </w:p>
    <w:p w:rsidR="00DD2EE6" w:rsidRDefault="00DD2EE6" w:rsidP="00DD2EE6">
      <w:pPr>
        <w:pStyle w:val="PaperFormattext"/>
        <w:rPr>
          <w:rFonts w:hint="eastAsia"/>
        </w:rPr>
      </w:pPr>
    </w:p>
    <w:p w:rsidR="00DD2EE6" w:rsidRDefault="00DD2EE6" w:rsidP="00DD2EE6">
      <w:pPr>
        <w:pStyle w:val="PaperFormattext"/>
        <w:rPr>
          <w:rFonts w:hint="eastAsia"/>
        </w:rPr>
      </w:pPr>
      <w:r>
        <w:rPr>
          <w:rFonts w:hint="eastAsia"/>
        </w:rPr>
        <w:t>Figure 4</w:t>
      </w: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r>
        <w:rPr>
          <w:noProof/>
          <w:lang w:val="en-US"/>
        </w:rPr>
        <w:drawing>
          <wp:inline distT="0" distB="0" distL="0" distR="0">
            <wp:extent cx="5400675" cy="2389504"/>
            <wp:effectExtent l="19050" t="0" r="9525" b="0"/>
            <wp:docPr id="7" name="Picture 7" descr="C:\Documents and Settings\Timothy Hong\Local Settings\Temp\wz73d0\Ham_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imothy Hong\Local Settings\Temp\wz73d0\Ham_Figure 5.TIF"/>
                    <pic:cNvPicPr>
                      <a:picLocks noChangeAspect="1" noChangeArrowheads="1"/>
                    </pic:cNvPicPr>
                  </pic:nvPicPr>
                  <pic:blipFill>
                    <a:blip r:embed="rId20" cstate="print"/>
                    <a:srcRect/>
                    <a:stretch>
                      <a:fillRect/>
                    </a:stretch>
                  </pic:blipFill>
                  <pic:spPr bwMode="auto">
                    <a:xfrm>
                      <a:off x="0" y="0"/>
                      <a:ext cx="5400675" cy="2389504"/>
                    </a:xfrm>
                    <a:prstGeom prst="rect">
                      <a:avLst/>
                    </a:prstGeom>
                    <a:noFill/>
                    <a:ln w="9525">
                      <a:noFill/>
                      <a:miter lim="800000"/>
                      <a:headEnd/>
                      <a:tailEnd/>
                    </a:ln>
                  </pic:spPr>
                </pic:pic>
              </a:graphicData>
            </a:graphic>
          </wp:inline>
        </w:drawing>
      </w:r>
    </w:p>
    <w:p w:rsidR="00DD2EE6" w:rsidRDefault="00DD2EE6" w:rsidP="00DD2EE6">
      <w:pPr>
        <w:pStyle w:val="PaperFormattext"/>
        <w:rPr>
          <w:rFonts w:hint="eastAsia"/>
        </w:rPr>
      </w:pPr>
    </w:p>
    <w:p w:rsidR="00DD2EE6" w:rsidRDefault="00DD2EE6" w:rsidP="00DD2EE6">
      <w:pPr>
        <w:pStyle w:val="PaperFormattext"/>
        <w:rPr>
          <w:rFonts w:hint="eastAsia"/>
        </w:rPr>
      </w:pPr>
      <w:r>
        <w:rPr>
          <w:rFonts w:hint="eastAsia"/>
        </w:rPr>
        <w:t>Figure 5</w:t>
      </w: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DD2EE6" w:rsidRDefault="00DD2EE6"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r>
        <w:rPr>
          <w:noProof/>
          <w:lang w:val="en-US"/>
        </w:rPr>
        <w:drawing>
          <wp:inline distT="0" distB="0" distL="0" distR="0">
            <wp:extent cx="5400675" cy="2401150"/>
            <wp:effectExtent l="19050" t="0" r="9525" b="0"/>
            <wp:docPr id="8" name="Picture 8" descr="C:\Documents and Settings\Timothy Hong\Local Settings\Temp\wz901d\Ham_Figure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Timothy Hong\Local Settings\Temp\wz901d\Ham_Figure 6.TIF"/>
                    <pic:cNvPicPr>
                      <a:picLocks noChangeAspect="1" noChangeArrowheads="1"/>
                    </pic:cNvPicPr>
                  </pic:nvPicPr>
                  <pic:blipFill>
                    <a:blip r:embed="rId21" cstate="print"/>
                    <a:srcRect/>
                    <a:stretch>
                      <a:fillRect/>
                    </a:stretch>
                  </pic:blipFill>
                  <pic:spPr bwMode="auto">
                    <a:xfrm>
                      <a:off x="0" y="0"/>
                      <a:ext cx="5400675" cy="2401150"/>
                    </a:xfrm>
                    <a:prstGeom prst="rect">
                      <a:avLst/>
                    </a:prstGeom>
                    <a:noFill/>
                    <a:ln w="9525">
                      <a:noFill/>
                      <a:miter lim="800000"/>
                      <a:headEnd/>
                      <a:tailEnd/>
                    </a:ln>
                  </pic:spPr>
                </pic:pic>
              </a:graphicData>
            </a:graphic>
          </wp:inline>
        </w:drawing>
      </w:r>
    </w:p>
    <w:p w:rsidR="00CF3631" w:rsidRDefault="00CF3631" w:rsidP="00DD2EE6">
      <w:pPr>
        <w:pStyle w:val="PaperFormattext"/>
        <w:rPr>
          <w:rFonts w:hint="eastAsia"/>
        </w:rPr>
      </w:pPr>
    </w:p>
    <w:p w:rsidR="00CF3631" w:rsidRDefault="00CF3631" w:rsidP="00CF3631">
      <w:pPr>
        <w:pStyle w:val="PaperFormattext"/>
        <w:rPr>
          <w:rFonts w:hint="eastAsia"/>
        </w:rPr>
      </w:pPr>
      <w:r>
        <w:rPr>
          <w:rFonts w:hint="eastAsia"/>
        </w:rPr>
        <w:t>Figure 6</w:t>
      </w: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r>
        <w:rPr>
          <w:noProof/>
          <w:lang w:val="en-US"/>
        </w:rPr>
        <w:drawing>
          <wp:inline distT="0" distB="0" distL="0" distR="0">
            <wp:extent cx="5400675" cy="1916467"/>
            <wp:effectExtent l="19050" t="0" r="9525" b="0"/>
            <wp:docPr id="9" name="Picture 9" descr="C:\Documents and Settings\Timothy Hong\Local Settings\Temp\wz568a\Ham_Figure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Timothy Hong\Local Settings\Temp\wz568a\Ham_Figure 7.TIF"/>
                    <pic:cNvPicPr>
                      <a:picLocks noChangeAspect="1" noChangeArrowheads="1"/>
                    </pic:cNvPicPr>
                  </pic:nvPicPr>
                  <pic:blipFill>
                    <a:blip r:embed="rId22" cstate="print"/>
                    <a:srcRect/>
                    <a:stretch>
                      <a:fillRect/>
                    </a:stretch>
                  </pic:blipFill>
                  <pic:spPr bwMode="auto">
                    <a:xfrm>
                      <a:off x="0" y="0"/>
                      <a:ext cx="5400675" cy="1916467"/>
                    </a:xfrm>
                    <a:prstGeom prst="rect">
                      <a:avLst/>
                    </a:prstGeom>
                    <a:noFill/>
                    <a:ln w="9525">
                      <a:noFill/>
                      <a:miter lim="800000"/>
                      <a:headEnd/>
                      <a:tailEnd/>
                    </a:ln>
                  </pic:spPr>
                </pic:pic>
              </a:graphicData>
            </a:graphic>
          </wp:inline>
        </w:drawing>
      </w:r>
    </w:p>
    <w:p w:rsidR="00CF3631" w:rsidRDefault="00CF3631" w:rsidP="00DD2EE6">
      <w:pPr>
        <w:pStyle w:val="PaperFormattext"/>
        <w:rPr>
          <w:rFonts w:hint="eastAsia"/>
        </w:rPr>
      </w:pPr>
    </w:p>
    <w:p w:rsidR="00CF3631" w:rsidRDefault="00CF3631" w:rsidP="00CF3631">
      <w:pPr>
        <w:pStyle w:val="PaperFormattext"/>
        <w:rPr>
          <w:rFonts w:hint="eastAsia"/>
        </w:rPr>
      </w:pPr>
      <w:r>
        <w:rPr>
          <w:rFonts w:hint="eastAsia"/>
        </w:rPr>
        <w:t>Figure 7</w:t>
      </w: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CF3631" w:rsidP="00DD2EE6">
      <w:pPr>
        <w:pStyle w:val="PaperFormattext"/>
        <w:rPr>
          <w:rFonts w:hint="eastAsia"/>
        </w:rPr>
      </w:pPr>
    </w:p>
    <w:p w:rsidR="00CF3631" w:rsidRDefault="001F209E" w:rsidP="00DD2EE6">
      <w:pPr>
        <w:pStyle w:val="PaperFormattext"/>
        <w:rPr>
          <w:rFonts w:hint="eastAsia"/>
        </w:rPr>
      </w:pPr>
      <w:r>
        <w:rPr>
          <w:noProof/>
          <w:lang w:val="en-US"/>
        </w:rPr>
        <w:drawing>
          <wp:inline distT="0" distB="0" distL="0" distR="0">
            <wp:extent cx="5400675" cy="1785012"/>
            <wp:effectExtent l="19050" t="0" r="9525" b="0"/>
            <wp:docPr id="10" name="Picture 10" descr="C:\Documents and Settings\Timothy Hong\Local Settings\Temp\wzebf4\Ham_Figure 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Timothy Hong\Local Settings\Temp\wzebf4\Ham_Figure 8.TIF"/>
                    <pic:cNvPicPr>
                      <a:picLocks noChangeAspect="1" noChangeArrowheads="1"/>
                    </pic:cNvPicPr>
                  </pic:nvPicPr>
                  <pic:blipFill>
                    <a:blip r:embed="rId23" cstate="print"/>
                    <a:srcRect/>
                    <a:stretch>
                      <a:fillRect/>
                    </a:stretch>
                  </pic:blipFill>
                  <pic:spPr bwMode="auto">
                    <a:xfrm>
                      <a:off x="0" y="0"/>
                      <a:ext cx="5400675" cy="1785012"/>
                    </a:xfrm>
                    <a:prstGeom prst="rect">
                      <a:avLst/>
                    </a:prstGeom>
                    <a:noFill/>
                    <a:ln w="9525">
                      <a:noFill/>
                      <a:miter lim="800000"/>
                      <a:headEnd/>
                      <a:tailEnd/>
                    </a:ln>
                  </pic:spPr>
                </pic:pic>
              </a:graphicData>
            </a:graphic>
          </wp:inline>
        </w:drawing>
      </w:r>
    </w:p>
    <w:p w:rsidR="00DD2EE6" w:rsidRDefault="00DD2EE6" w:rsidP="00DD2EE6">
      <w:pPr>
        <w:pStyle w:val="PaperFormattext"/>
        <w:rPr>
          <w:rFonts w:hint="eastAsia"/>
        </w:rPr>
      </w:pPr>
    </w:p>
    <w:p w:rsidR="001F209E" w:rsidRDefault="001F209E" w:rsidP="001F209E">
      <w:pPr>
        <w:pStyle w:val="PaperFormattext"/>
        <w:rPr>
          <w:rFonts w:hint="eastAsia"/>
        </w:rPr>
      </w:pPr>
      <w:r>
        <w:rPr>
          <w:rFonts w:hint="eastAsia"/>
        </w:rPr>
        <w:t>Figure 8</w:t>
      </w:r>
    </w:p>
    <w:p w:rsidR="00DD2EE6" w:rsidRDefault="00DD2EE6" w:rsidP="00DD2EE6">
      <w:pPr>
        <w:pStyle w:val="PaperFormattext"/>
        <w:rPr>
          <w:rFonts w:hint="eastAsia"/>
        </w:rPr>
      </w:pPr>
    </w:p>
    <w:p w:rsidR="00DD2EE6" w:rsidRDefault="00DD2EE6"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r>
        <w:rPr>
          <w:noProof/>
          <w:lang w:val="en-US"/>
        </w:rPr>
        <w:drawing>
          <wp:inline distT="0" distB="0" distL="0" distR="0">
            <wp:extent cx="5400675" cy="2072794"/>
            <wp:effectExtent l="19050" t="0" r="9525" b="0"/>
            <wp:docPr id="11" name="Picture 11" descr="C:\Documents and Settings\Timothy Hong\Local Settings\Temp\wz3f25\Ham_Figure 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imothy Hong\Local Settings\Temp\wz3f25\Ham_Figure 9.TIF"/>
                    <pic:cNvPicPr>
                      <a:picLocks noChangeAspect="1" noChangeArrowheads="1"/>
                    </pic:cNvPicPr>
                  </pic:nvPicPr>
                  <pic:blipFill>
                    <a:blip r:embed="rId24" cstate="print"/>
                    <a:srcRect/>
                    <a:stretch>
                      <a:fillRect/>
                    </a:stretch>
                  </pic:blipFill>
                  <pic:spPr bwMode="auto">
                    <a:xfrm>
                      <a:off x="0" y="0"/>
                      <a:ext cx="5400675" cy="2072794"/>
                    </a:xfrm>
                    <a:prstGeom prst="rect">
                      <a:avLst/>
                    </a:prstGeom>
                    <a:noFill/>
                    <a:ln w="9525">
                      <a:noFill/>
                      <a:miter lim="800000"/>
                      <a:headEnd/>
                      <a:tailEnd/>
                    </a:ln>
                  </pic:spPr>
                </pic:pic>
              </a:graphicData>
            </a:graphic>
          </wp:inline>
        </w:drawing>
      </w:r>
    </w:p>
    <w:p w:rsidR="001F209E" w:rsidRDefault="001F209E" w:rsidP="00DD2EE6">
      <w:pPr>
        <w:pStyle w:val="PaperFormattext"/>
        <w:rPr>
          <w:rFonts w:hint="eastAsia"/>
        </w:rPr>
      </w:pPr>
    </w:p>
    <w:p w:rsidR="001F209E" w:rsidRDefault="001F209E" w:rsidP="001F209E">
      <w:pPr>
        <w:pStyle w:val="PaperFormattext"/>
        <w:rPr>
          <w:rFonts w:hint="eastAsia"/>
        </w:rPr>
      </w:pPr>
      <w:r>
        <w:rPr>
          <w:rFonts w:hint="eastAsia"/>
        </w:rPr>
        <w:t>Figure 9</w:t>
      </w: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Default="001F209E" w:rsidP="00DD2EE6">
      <w:pPr>
        <w:pStyle w:val="PaperFormattext"/>
        <w:rPr>
          <w:rFonts w:hint="eastAsia"/>
        </w:rPr>
      </w:pPr>
    </w:p>
    <w:p w:rsidR="001F209E" w:rsidRPr="007A25F5" w:rsidRDefault="001F209E" w:rsidP="00DD2EE6">
      <w:pPr>
        <w:pStyle w:val="PaperFormattext"/>
      </w:pPr>
    </w:p>
    <w:sectPr w:rsidR="001F209E" w:rsidRPr="007A25F5" w:rsidSect="00AE7C20">
      <w:footnotePr>
        <w:numFmt w:val="chicago"/>
      </w:footnotePr>
      <w:pgSz w:w="11907" w:h="16839" w:code="9"/>
      <w:pgMar w:top="1701" w:right="1701" w:bottom="1701" w:left="1701" w:header="1134" w:footer="8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631" w:rsidRDefault="00CF3631" w:rsidP="000B6A27">
      <w:pPr>
        <w:spacing w:after="0" w:line="240" w:lineRule="auto"/>
      </w:pPr>
      <w:r>
        <w:separator/>
      </w:r>
    </w:p>
  </w:endnote>
  <w:endnote w:type="continuationSeparator" w:id="1">
    <w:p w:rsidR="00CF3631" w:rsidRDefault="00CF3631" w:rsidP="000B6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altName w:val="바탕"/>
    <w:panose1 w:val="00000000000000000000"/>
    <w:charset w:val="81"/>
    <w:family w:val="roman"/>
    <w:notTrueType/>
    <w:pitch w:val="default"/>
    <w:sig w:usb0="00000000" w:usb1="00000000" w:usb2="00000000" w:usb3="00000000" w:csb0="00000000" w:csb1="00000000"/>
  </w:font>
  <w:font w:name="Minion Pro">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Batang">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Gulim">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31" w:rsidRDefault="00CF3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49101"/>
      <w:docPartObj>
        <w:docPartGallery w:val="Page Numbers (Bottom of Page)"/>
        <w:docPartUnique/>
      </w:docPartObj>
    </w:sdtPr>
    <w:sdtEndPr>
      <w:rPr>
        <w:rFonts w:ascii="Times New Roman" w:hAnsi="Times New Roman" w:cs="Times New Roman"/>
        <w:sz w:val="22"/>
        <w:szCs w:val="22"/>
      </w:rPr>
    </w:sdtEndPr>
    <w:sdtContent>
      <w:p w:rsidR="00CF3631" w:rsidRPr="005C436E" w:rsidRDefault="00CF3631">
        <w:pPr>
          <w:pStyle w:val="Footer"/>
          <w:jc w:val="center"/>
          <w:rPr>
            <w:rFonts w:ascii="Times New Roman" w:hAnsi="Times New Roman" w:cs="Times New Roman"/>
            <w:sz w:val="22"/>
            <w:szCs w:val="22"/>
          </w:rPr>
        </w:pPr>
        <w:r w:rsidRPr="005C436E">
          <w:rPr>
            <w:rFonts w:ascii="Times New Roman" w:hAnsi="Times New Roman" w:cs="Times New Roman"/>
            <w:sz w:val="22"/>
            <w:szCs w:val="22"/>
          </w:rPr>
          <w:fldChar w:fldCharType="begin"/>
        </w:r>
        <w:r w:rsidRPr="005C436E">
          <w:rPr>
            <w:rFonts w:ascii="Times New Roman" w:hAnsi="Times New Roman" w:cs="Times New Roman"/>
            <w:sz w:val="22"/>
            <w:szCs w:val="22"/>
          </w:rPr>
          <w:instrText xml:space="preserve"> PAGE   \* MERGEFORMAT </w:instrText>
        </w:r>
        <w:r w:rsidRPr="005C436E">
          <w:rPr>
            <w:rFonts w:ascii="Times New Roman" w:hAnsi="Times New Roman" w:cs="Times New Roman"/>
            <w:sz w:val="22"/>
            <w:szCs w:val="22"/>
          </w:rPr>
          <w:fldChar w:fldCharType="separate"/>
        </w:r>
        <w:r w:rsidR="001F209E">
          <w:rPr>
            <w:rFonts w:ascii="Times New Roman" w:hAnsi="Times New Roman" w:cs="Times New Roman"/>
            <w:noProof/>
            <w:sz w:val="22"/>
            <w:szCs w:val="22"/>
          </w:rPr>
          <w:t>31</w:t>
        </w:r>
        <w:r w:rsidRPr="005C436E">
          <w:rPr>
            <w:rFonts w:ascii="Times New Roman" w:hAnsi="Times New Roman" w:cs="Times New Roman"/>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31" w:rsidRDefault="00CF3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631" w:rsidRDefault="00CF3631" w:rsidP="000B6A27">
      <w:pPr>
        <w:spacing w:after="0" w:line="240" w:lineRule="auto"/>
      </w:pPr>
      <w:r>
        <w:separator/>
      </w:r>
    </w:p>
  </w:footnote>
  <w:footnote w:type="continuationSeparator" w:id="1">
    <w:p w:rsidR="00CF3631" w:rsidRDefault="00CF3631" w:rsidP="000B6A27">
      <w:pPr>
        <w:spacing w:after="0" w:line="240" w:lineRule="auto"/>
      </w:pPr>
      <w:r>
        <w:continuationSeparator/>
      </w:r>
    </w:p>
  </w:footnote>
  <w:footnote w:id="2">
    <w:p w:rsidR="00CF3631" w:rsidRPr="00D5168D" w:rsidRDefault="00CF3631" w:rsidP="00D5168D">
      <w:pPr>
        <w:pStyle w:val="FootnoteText"/>
        <w:widowControl w:val="0"/>
        <w:suppressAutoHyphens/>
        <w:spacing w:line="360" w:lineRule="auto"/>
        <w:jc w:val="both"/>
        <w:rPr>
          <w:rFonts w:ascii="Times New Roman" w:hAnsi="Times New Roman" w:cs="Times New Roman"/>
          <w:lang w:val="fr-FR"/>
        </w:rPr>
      </w:pPr>
      <w:r w:rsidRPr="00D5168D">
        <w:rPr>
          <w:rStyle w:val="FootnoteReference"/>
          <w:rFonts w:ascii="Times New Roman" w:hAnsi="Times New Roman" w:cs="Times New Roman"/>
          <w:lang w:val="fr-FR"/>
        </w:rPr>
        <w:t>†</w:t>
      </w:r>
      <w:r w:rsidRPr="00D5168D">
        <w:rPr>
          <w:rStyle w:val="hps"/>
          <w:rFonts w:ascii="Times New Roman" w:hAnsi="Times New Roman" w:cs="Times New Roman"/>
          <w:color w:val="222222"/>
          <w:lang w:val="fr-FR"/>
        </w:rPr>
        <w:t>Système de modélisationintégrée avec l'</w:t>
      </w:r>
      <w:r w:rsidRPr="00D5168D">
        <w:rPr>
          <w:rFonts w:ascii="Times New Roman" w:hAnsi="Times New Roman" w:cs="Times New Roman"/>
          <w:color w:val="222222"/>
          <w:lang w:val="fr-FR"/>
        </w:rPr>
        <w:t xml:space="preserve">analyse de l'incertitude </w:t>
      </w:r>
      <w:r w:rsidRPr="00D5168D">
        <w:rPr>
          <w:rStyle w:val="hps"/>
          <w:rFonts w:ascii="Times New Roman" w:hAnsi="Times New Roman" w:cs="Times New Roman"/>
          <w:color w:val="222222"/>
          <w:lang w:val="fr-FR"/>
        </w:rPr>
        <w:t>pou</w:t>
      </w:r>
      <w:r>
        <w:rPr>
          <w:rStyle w:val="hps"/>
          <w:rFonts w:ascii="Times New Roman" w:hAnsi="Times New Roman" w:cs="Times New Roman"/>
          <w:color w:val="222222"/>
          <w:lang w:val="fr-FR"/>
        </w:rPr>
        <w:t xml:space="preserve">r gestion de </w:t>
      </w:r>
      <w:r w:rsidRPr="00D5168D">
        <w:rPr>
          <w:rFonts w:ascii="Times New Roman" w:hAnsi="Times New Roman" w:cs="Times New Roman"/>
          <w:color w:val="222222"/>
          <w:lang w:val="fr-FR"/>
        </w:rPr>
        <w:t>la qualité de l'eau</w:t>
      </w:r>
      <w:r>
        <w:rPr>
          <w:rStyle w:val="hps"/>
          <w:rFonts w:ascii="Times New Roman" w:hAnsi="Times New Roman" w:cs="Times New Roman"/>
          <w:color w:val="222222"/>
          <w:lang w:val="fr-FR"/>
        </w:rPr>
        <w:t>d’un</w:t>
      </w:r>
      <w:r w:rsidRPr="00D5168D">
        <w:rPr>
          <w:rStyle w:val="hps"/>
          <w:rFonts w:ascii="Times New Roman" w:hAnsi="Times New Roman" w:cs="Times New Roman"/>
          <w:color w:val="222222"/>
          <w:lang w:val="fr-FR"/>
        </w:rPr>
        <w:t xml:space="preserve"> réservoir</w:t>
      </w:r>
      <w:r w:rsidRPr="00D5168D">
        <w:rPr>
          <w:rFonts w:ascii="Times New Roman" w:hAnsi="Times New Roman" w:cs="Times New Roman"/>
          <w:color w:val="222222"/>
          <w:lang w:val="fr-FR"/>
        </w:rPr>
        <w:t>dans</w:t>
      </w:r>
      <w:r>
        <w:rPr>
          <w:rFonts w:ascii="Times New Roman" w:hAnsi="Times New Roman" w:cs="Times New Roman"/>
          <w:color w:val="222222"/>
          <w:lang w:val="fr-FR"/>
        </w:rPr>
        <w:t xml:space="preserve"> le cadre de l’aménagement </w:t>
      </w:r>
      <w:r w:rsidRPr="00D5168D">
        <w:rPr>
          <w:rFonts w:ascii="Times New Roman" w:hAnsi="Times New Roman" w:cs="Times New Roman"/>
          <w:color w:val="222222"/>
          <w:lang w:val="fr-FR"/>
        </w:rPr>
        <w:t>d</w:t>
      </w:r>
      <w:r>
        <w:rPr>
          <w:rFonts w:ascii="Times New Roman" w:hAnsi="Times New Roman" w:cs="Times New Roman"/>
          <w:color w:val="222222"/>
          <w:lang w:val="fr-FR"/>
        </w:rPr>
        <w:t>’</w:t>
      </w:r>
      <w:r w:rsidRPr="00D5168D">
        <w:rPr>
          <w:rFonts w:ascii="Times New Roman" w:hAnsi="Times New Roman" w:cs="Times New Roman"/>
          <w:color w:val="222222"/>
          <w:lang w:val="fr-FR"/>
        </w:rPr>
        <w:t>u</w:t>
      </w:r>
      <w:r>
        <w:rPr>
          <w:rFonts w:ascii="Times New Roman" w:hAnsi="Times New Roman" w:cs="Times New Roman"/>
          <w:color w:val="222222"/>
          <w:lang w:val="fr-FR"/>
        </w:rPr>
        <w:t>n</w:t>
      </w:r>
      <w:r w:rsidRPr="00D5168D">
        <w:rPr>
          <w:rFonts w:ascii="Times New Roman" w:hAnsi="Times New Roman" w:cs="Times New Roman"/>
          <w:color w:val="222222"/>
          <w:lang w:val="fr-FR"/>
        </w:rPr>
        <w:t xml:space="preserve"> bassin</w:t>
      </w:r>
      <w:r>
        <w:rPr>
          <w:rFonts w:ascii="Times New Roman" w:hAnsi="Times New Roman" w:cs="Times New Roman"/>
          <w:color w:val="222222"/>
          <w:lang w:val="fr-FR"/>
        </w:rPr>
        <w:t xml:space="preserve"> versant.</w:t>
      </w:r>
    </w:p>
  </w:footnote>
  <w:footnote w:id="3">
    <w:p w:rsidR="00CF3631" w:rsidRPr="00D5168D" w:rsidRDefault="00CF3631" w:rsidP="00D5168D">
      <w:pPr>
        <w:pStyle w:val="FootnoteText"/>
        <w:widowControl w:val="0"/>
        <w:suppressAutoHyphens/>
        <w:spacing w:line="360" w:lineRule="auto"/>
        <w:jc w:val="both"/>
        <w:rPr>
          <w:rFonts w:ascii="Times New Roman" w:hAnsi="Times New Roman" w:cs="Times New Roman"/>
          <w:lang w:eastAsia="ko-KR"/>
        </w:rPr>
      </w:pPr>
      <w:r w:rsidRPr="00D5168D">
        <w:rPr>
          <w:rStyle w:val="FootnoteReference"/>
          <w:rFonts w:ascii="Times New Roman" w:hAnsi="Times New Roman" w:cs="Times New Roman"/>
        </w:rPr>
        <w:footnoteRef/>
      </w:r>
      <w:r w:rsidRPr="00D5168D">
        <w:rPr>
          <w:rFonts w:ascii="Times New Roman" w:hAnsi="Times New Roman" w:cs="Times New Roman"/>
          <w:lang w:eastAsia="ko-KR"/>
        </w:rPr>
        <w:t>Correspondence to: Jonghwa Ham, Rural</w:t>
      </w:r>
      <w:r w:rsidRPr="00D5168D">
        <w:rPr>
          <w:rFonts w:ascii="Times New Roman" w:hAnsi="Times New Roman" w:cs="Times New Roman"/>
        </w:rPr>
        <w:t xml:space="preserve"> Research Institute, Korea Rural Community Corporation, 1031-7 Sa-dong, Sangrok-gu, Ansan-si, Rep</w:t>
      </w:r>
      <w:r>
        <w:rPr>
          <w:rFonts w:ascii="Times New Roman" w:hAnsi="Times New Roman" w:cs="Times New Roman"/>
        </w:rPr>
        <w:t>ublic</w:t>
      </w:r>
      <w:r w:rsidRPr="00D5168D">
        <w:rPr>
          <w:rFonts w:ascii="Times New Roman" w:hAnsi="Times New Roman" w:cs="Times New Roman"/>
        </w:rPr>
        <w:t xml:space="preserve"> of Korea</w:t>
      </w:r>
      <w:r w:rsidRPr="00D5168D">
        <w:rPr>
          <w:rFonts w:ascii="Times New Roman" w:hAnsi="Times New Roman" w:cs="Times New Roman"/>
          <w:lang w:eastAsia="ko-KR"/>
        </w:rPr>
        <w:t xml:space="preserve">. Tel.: +821048513931, </w:t>
      </w:r>
      <w:r w:rsidRPr="00D5168D">
        <w:rPr>
          <w:rFonts w:ascii="Times New Roman" w:hAnsi="Times New Roman" w:cs="Times New Roman"/>
        </w:rPr>
        <w:t>E-mail: drhaam@ekr.or.kr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31" w:rsidRDefault="00CF36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31" w:rsidRDefault="00CF36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31" w:rsidRDefault="00CF36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DD5"/>
    <w:multiLevelType w:val="hybridMultilevel"/>
    <w:tmpl w:val="52086B52"/>
    <w:lvl w:ilvl="0" w:tplc="856E34AA">
      <w:start w:val="1"/>
      <w:numFmt w:val="decimal"/>
      <w:pStyle w:val="PaperText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B86F41"/>
    <w:multiLevelType w:val="hybridMultilevel"/>
    <w:tmpl w:val="2E8C31A8"/>
    <w:lvl w:ilvl="0" w:tplc="ED9E8A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165564"/>
    <w:multiLevelType w:val="hybridMultilevel"/>
    <w:tmpl w:val="33DA9A5E"/>
    <w:lvl w:ilvl="0" w:tplc="82B62310">
      <w:numFmt w:val="bullet"/>
      <w:pStyle w:val="PaperTextbullets"/>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0578E4"/>
    <w:multiLevelType w:val="hybridMultilevel"/>
    <w:tmpl w:val="F2F6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34FFE"/>
    <w:multiLevelType w:val="hybridMultilevel"/>
    <w:tmpl w:val="1AB0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ttachedTemplate r:id="rId1"/>
  <w:stylePaneFormatFilter w:val="1021"/>
  <w:stylePaneSortMethod w:val="0003"/>
  <w:defaultTabStop w:val="567"/>
  <w:hyphenationZone w:val="425"/>
  <w:drawingGridHorizontalSpacing w:val="140"/>
  <w:displayHorizontalDrawingGridEvery w:val="2"/>
  <w:displayVerticalDrawingGridEvery w:val="2"/>
  <w:characterSpacingControl w:val="doNotCompress"/>
  <w:hdrShapeDefaults>
    <o:shapedefaults v:ext="edit" spidmax="4097"/>
  </w:hdrShapeDefaults>
  <w:footnotePr>
    <w:numFmt w:val="chicago"/>
    <w:footnote w:id="0"/>
    <w:footnote w:id="1"/>
  </w:footnotePr>
  <w:endnotePr>
    <w:endnote w:id="0"/>
    <w:endnote w:id="1"/>
  </w:endnotePr>
  <w:compat>
    <w:useFELayout/>
  </w:compat>
  <w:rsids>
    <w:rsidRoot w:val="002514E1"/>
    <w:rsid w:val="000010BF"/>
    <w:rsid w:val="000021AD"/>
    <w:rsid w:val="00003DF2"/>
    <w:rsid w:val="00004D34"/>
    <w:rsid w:val="00006454"/>
    <w:rsid w:val="00006545"/>
    <w:rsid w:val="0000729E"/>
    <w:rsid w:val="00011CF7"/>
    <w:rsid w:val="000123FA"/>
    <w:rsid w:val="00012EA9"/>
    <w:rsid w:val="00013613"/>
    <w:rsid w:val="00014BFD"/>
    <w:rsid w:val="00020695"/>
    <w:rsid w:val="00023546"/>
    <w:rsid w:val="00024284"/>
    <w:rsid w:val="00026EDF"/>
    <w:rsid w:val="0003047B"/>
    <w:rsid w:val="00031564"/>
    <w:rsid w:val="00033F8F"/>
    <w:rsid w:val="00035101"/>
    <w:rsid w:val="00035AD2"/>
    <w:rsid w:val="00035F36"/>
    <w:rsid w:val="00036096"/>
    <w:rsid w:val="00037872"/>
    <w:rsid w:val="0004331D"/>
    <w:rsid w:val="000438F0"/>
    <w:rsid w:val="00045A2F"/>
    <w:rsid w:val="0004655F"/>
    <w:rsid w:val="00050240"/>
    <w:rsid w:val="000503A6"/>
    <w:rsid w:val="000508F4"/>
    <w:rsid w:val="0005213F"/>
    <w:rsid w:val="00053669"/>
    <w:rsid w:val="00057348"/>
    <w:rsid w:val="00057E1B"/>
    <w:rsid w:val="000651A1"/>
    <w:rsid w:val="00065AB2"/>
    <w:rsid w:val="00077D8D"/>
    <w:rsid w:val="00080B3D"/>
    <w:rsid w:val="0008130D"/>
    <w:rsid w:val="00081AFE"/>
    <w:rsid w:val="00081FDF"/>
    <w:rsid w:val="00087AC9"/>
    <w:rsid w:val="000914FB"/>
    <w:rsid w:val="0009478D"/>
    <w:rsid w:val="00097E88"/>
    <w:rsid w:val="000A11B2"/>
    <w:rsid w:val="000A19FE"/>
    <w:rsid w:val="000A56CE"/>
    <w:rsid w:val="000A61E0"/>
    <w:rsid w:val="000A7A1C"/>
    <w:rsid w:val="000B209C"/>
    <w:rsid w:val="000B25DA"/>
    <w:rsid w:val="000B5297"/>
    <w:rsid w:val="000B52F7"/>
    <w:rsid w:val="000B5809"/>
    <w:rsid w:val="000B5A63"/>
    <w:rsid w:val="000B5D92"/>
    <w:rsid w:val="000B6A27"/>
    <w:rsid w:val="000B7DB8"/>
    <w:rsid w:val="000C0378"/>
    <w:rsid w:val="000C3279"/>
    <w:rsid w:val="000C34E2"/>
    <w:rsid w:val="000C400B"/>
    <w:rsid w:val="000C590E"/>
    <w:rsid w:val="000C63B5"/>
    <w:rsid w:val="000C773B"/>
    <w:rsid w:val="000C7899"/>
    <w:rsid w:val="000D32EF"/>
    <w:rsid w:val="000D5D5F"/>
    <w:rsid w:val="000D6157"/>
    <w:rsid w:val="000D631F"/>
    <w:rsid w:val="000D74F0"/>
    <w:rsid w:val="000E2C51"/>
    <w:rsid w:val="000E56B9"/>
    <w:rsid w:val="000E7005"/>
    <w:rsid w:val="000F2563"/>
    <w:rsid w:val="000F6804"/>
    <w:rsid w:val="000F732F"/>
    <w:rsid w:val="00104FA1"/>
    <w:rsid w:val="001103E8"/>
    <w:rsid w:val="00112046"/>
    <w:rsid w:val="00114E01"/>
    <w:rsid w:val="00116B1F"/>
    <w:rsid w:val="00117B04"/>
    <w:rsid w:val="00120083"/>
    <w:rsid w:val="00122B0E"/>
    <w:rsid w:val="001264E5"/>
    <w:rsid w:val="00131433"/>
    <w:rsid w:val="00133558"/>
    <w:rsid w:val="00137D83"/>
    <w:rsid w:val="00141254"/>
    <w:rsid w:val="00146B4E"/>
    <w:rsid w:val="00147DBD"/>
    <w:rsid w:val="001526AF"/>
    <w:rsid w:val="00152864"/>
    <w:rsid w:val="00153ECF"/>
    <w:rsid w:val="00156740"/>
    <w:rsid w:val="0015776E"/>
    <w:rsid w:val="001641BE"/>
    <w:rsid w:val="00164721"/>
    <w:rsid w:val="00165014"/>
    <w:rsid w:val="00170E70"/>
    <w:rsid w:val="0017119D"/>
    <w:rsid w:val="00172728"/>
    <w:rsid w:val="001747F2"/>
    <w:rsid w:val="00176E2D"/>
    <w:rsid w:val="00183D6F"/>
    <w:rsid w:val="0019029A"/>
    <w:rsid w:val="00190B33"/>
    <w:rsid w:val="001917E0"/>
    <w:rsid w:val="001921A9"/>
    <w:rsid w:val="00193B86"/>
    <w:rsid w:val="001961FE"/>
    <w:rsid w:val="001A06A1"/>
    <w:rsid w:val="001A1C2A"/>
    <w:rsid w:val="001A1C34"/>
    <w:rsid w:val="001A1D1D"/>
    <w:rsid w:val="001A2F95"/>
    <w:rsid w:val="001A4111"/>
    <w:rsid w:val="001A449D"/>
    <w:rsid w:val="001A60D0"/>
    <w:rsid w:val="001B36A1"/>
    <w:rsid w:val="001B42B9"/>
    <w:rsid w:val="001B4A54"/>
    <w:rsid w:val="001C30FC"/>
    <w:rsid w:val="001C3DF9"/>
    <w:rsid w:val="001C7AC0"/>
    <w:rsid w:val="001D07C6"/>
    <w:rsid w:val="001D25A3"/>
    <w:rsid w:val="001D2DB5"/>
    <w:rsid w:val="001D2DEA"/>
    <w:rsid w:val="001D3AB4"/>
    <w:rsid w:val="001D73F7"/>
    <w:rsid w:val="001E189D"/>
    <w:rsid w:val="001E224B"/>
    <w:rsid w:val="001E2918"/>
    <w:rsid w:val="001E52E2"/>
    <w:rsid w:val="001E56C7"/>
    <w:rsid w:val="001F1391"/>
    <w:rsid w:val="001F1EE4"/>
    <w:rsid w:val="001F209E"/>
    <w:rsid w:val="001F7BE7"/>
    <w:rsid w:val="002003D4"/>
    <w:rsid w:val="00200A2C"/>
    <w:rsid w:val="00206D42"/>
    <w:rsid w:val="00212151"/>
    <w:rsid w:val="002125C1"/>
    <w:rsid w:val="0021267B"/>
    <w:rsid w:val="00213ED7"/>
    <w:rsid w:val="00222103"/>
    <w:rsid w:val="00223761"/>
    <w:rsid w:val="00224207"/>
    <w:rsid w:val="002265A7"/>
    <w:rsid w:val="002315FB"/>
    <w:rsid w:val="0023263F"/>
    <w:rsid w:val="002327A1"/>
    <w:rsid w:val="00236152"/>
    <w:rsid w:val="00236801"/>
    <w:rsid w:val="0023742B"/>
    <w:rsid w:val="00237652"/>
    <w:rsid w:val="0024003D"/>
    <w:rsid w:val="002405F5"/>
    <w:rsid w:val="00241DA8"/>
    <w:rsid w:val="00242E6F"/>
    <w:rsid w:val="002453E6"/>
    <w:rsid w:val="00246562"/>
    <w:rsid w:val="00246774"/>
    <w:rsid w:val="0024749B"/>
    <w:rsid w:val="002514E1"/>
    <w:rsid w:val="00252A5F"/>
    <w:rsid w:val="00253967"/>
    <w:rsid w:val="00255381"/>
    <w:rsid w:val="002574FF"/>
    <w:rsid w:val="00260CE8"/>
    <w:rsid w:val="00261E63"/>
    <w:rsid w:val="00261F34"/>
    <w:rsid w:val="0026237E"/>
    <w:rsid w:val="00262FF1"/>
    <w:rsid w:val="002639C8"/>
    <w:rsid w:val="002649E6"/>
    <w:rsid w:val="00270CFD"/>
    <w:rsid w:val="00273DCA"/>
    <w:rsid w:val="0027653C"/>
    <w:rsid w:val="00283109"/>
    <w:rsid w:val="002847A8"/>
    <w:rsid w:val="002872CD"/>
    <w:rsid w:val="0028736D"/>
    <w:rsid w:val="0028792D"/>
    <w:rsid w:val="0029115C"/>
    <w:rsid w:val="00291D0E"/>
    <w:rsid w:val="0029264A"/>
    <w:rsid w:val="00294AFC"/>
    <w:rsid w:val="00297018"/>
    <w:rsid w:val="00297AFE"/>
    <w:rsid w:val="00297B87"/>
    <w:rsid w:val="002A15D5"/>
    <w:rsid w:val="002A4396"/>
    <w:rsid w:val="002A56BA"/>
    <w:rsid w:val="002B169F"/>
    <w:rsid w:val="002B1B60"/>
    <w:rsid w:val="002B1E2E"/>
    <w:rsid w:val="002B39C2"/>
    <w:rsid w:val="002B498E"/>
    <w:rsid w:val="002B5C0C"/>
    <w:rsid w:val="002B6374"/>
    <w:rsid w:val="002B7B22"/>
    <w:rsid w:val="002C11F7"/>
    <w:rsid w:val="002C1CF1"/>
    <w:rsid w:val="002C2DBE"/>
    <w:rsid w:val="002C4193"/>
    <w:rsid w:val="002C52B4"/>
    <w:rsid w:val="002D1FE4"/>
    <w:rsid w:val="002D3ADD"/>
    <w:rsid w:val="002D3EF5"/>
    <w:rsid w:val="002D4412"/>
    <w:rsid w:val="002D4474"/>
    <w:rsid w:val="002D531C"/>
    <w:rsid w:val="002D5F5A"/>
    <w:rsid w:val="002D6F0A"/>
    <w:rsid w:val="002E4F4B"/>
    <w:rsid w:val="002E7B5F"/>
    <w:rsid w:val="002F1C90"/>
    <w:rsid w:val="002F1FA3"/>
    <w:rsid w:val="002F33F0"/>
    <w:rsid w:val="002F492A"/>
    <w:rsid w:val="002F6903"/>
    <w:rsid w:val="002F7367"/>
    <w:rsid w:val="002F7A64"/>
    <w:rsid w:val="00300F31"/>
    <w:rsid w:val="00302C1E"/>
    <w:rsid w:val="00302D6F"/>
    <w:rsid w:val="0031137E"/>
    <w:rsid w:val="003145D5"/>
    <w:rsid w:val="0031568B"/>
    <w:rsid w:val="00317592"/>
    <w:rsid w:val="00317D44"/>
    <w:rsid w:val="00324FA0"/>
    <w:rsid w:val="003263FB"/>
    <w:rsid w:val="003272F6"/>
    <w:rsid w:val="0033047A"/>
    <w:rsid w:val="00330A6B"/>
    <w:rsid w:val="00331B8E"/>
    <w:rsid w:val="00332434"/>
    <w:rsid w:val="00333B4C"/>
    <w:rsid w:val="00335926"/>
    <w:rsid w:val="00335CC4"/>
    <w:rsid w:val="00336392"/>
    <w:rsid w:val="00336B8A"/>
    <w:rsid w:val="00336D8A"/>
    <w:rsid w:val="00337B97"/>
    <w:rsid w:val="003408AF"/>
    <w:rsid w:val="003432A4"/>
    <w:rsid w:val="00344B4E"/>
    <w:rsid w:val="003471A4"/>
    <w:rsid w:val="0034760B"/>
    <w:rsid w:val="00347ABB"/>
    <w:rsid w:val="00351E05"/>
    <w:rsid w:val="00356E57"/>
    <w:rsid w:val="00357159"/>
    <w:rsid w:val="0036282C"/>
    <w:rsid w:val="00362842"/>
    <w:rsid w:val="00363256"/>
    <w:rsid w:val="003643C3"/>
    <w:rsid w:val="00365C03"/>
    <w:rsid w:val="00373747"/>
    <w:rsid w:val="00373E3C"/>
    <w:rsid w:val="00376251"/>
    <w:rsid w:val="00376907"/>
    <w:rsid w:val="0037771C"/>
    <w:rsid w:val="003820DD"/>
    <w:rsid w:val="003830BE"/>
    <w:rsid w:val="00384289"/>
    <w:rsid w:val="00385BE1"/>
    <w:rsid w:val="00386192"/>
    <w:rsid w:val="00393674"/>
    <w:rsid w:val="00394BD2"/>
    <w:rsid w:val="00394EE3"/>
    <w:rsid w:val="00397D13"/>
    <w:rsid w:val="003A1A01"/>
    <w:rsid w:val="003A2569"/>
    <w:rsid w:val="003A279A"/>
    <w:rsid w:val="003B05CE"/>
    <w:rsid w:val="003B09C0"/>
    <w:rsid w:val="003B1B1A"/>
    <w:rsid w:val="003B2030"/>
    <w:rsid w:val="003B32B5"/>
    <w:rsid w:val="003B4735"/>
    <w:rsid w:val="003B4BCD"/>
    <w:rsid w:val="003B4E7E"/>
    <w:rsid w:val="003B5093"/>
    <w:rsid w:val="003B6C92"/>
    <w:rsid w:val="003C037D"/>
    <w:rsid w:val="003C099C"/>
    <w:rsid w:val="003C1F3C"/>
    <w:rsid w:val="003C40A9"/>
    <w:rsid w:val="003D012D"/>
    <w:rsid w:val="003D3C99"/>
    <w:rsid w:val="003D3DFE"/>
    <w:rsid w:val="003D45A9"/>
    <w:rsid w:val="003D49D9"/>
    <w:rsid w:val="003D6F24"/>
    <w:rsid w:val="003D7A37"/>
    <w:rsid w:val="003E0461"/>
    <w:rsid w:val="003E1F6F"/>
    <w:rsid w:val="003E3B56"/>
    <w:rsid w:val="003E59C4"/>
    <w:rsid w:val="003E5F94"/>
    <w:rsid w:val="003F1F0A"/>
    <w:rsid w:val="003F2AC8"/>
    <w:rsid w:val="003F3AEE"/>
    <w:rsid w:val="0040081F"/>
    <w:rsid w:val="004009DA"/>
    <w:rsid w:val="004023B4"/>
    <w:rsid w:val="00403ADD"/>
    <w:rsid w:val="004042DD"/>
    <w:rsid w:val="00405358"/>
    <w:rsid w:val="004059B5"/>
    <w:rsid w:val="004074BD"/>
    <w:rsid w:val="004115EB"/>
    <w:rsid w:val="0041398F"/>
    <w:rsid w:val="00416745"/>
    <w:rsid w:val="00420D32"/>
    <w:rsid w:val="004239B5"/>
    <w:rsid w:val="00427664"/>
    <w:rsid w:val="00432CB0"/>
    <w:rsid w:val="00441260"/>
    <w:rsid w:val="0044150D"/>
    <w:rsid w:val="00443A9B"/>
    <w:rsid w:val="00443E42"/>
    <w:rsid w:val="00444274"/>
    <w:rsid w:val="00444A62"/>
    <w:rsid w:val="00466E1B"/>
    <w:rsid w:val="00473318"/>
    <w:rsid w:val="00475008"/>
    <w:rsid w:val="0047574E"/>
    <w:rsid w:val="00475DD0"/>
    <w:rsid w:val="004762D2"/>
    <w:rsid w:val="00480CBD"/>
    <w:rsid w:val="00484560"/>
    <w:rsid w:val="004865F1"/>
    <w:rsid w:val="00486A73"/>
    <w:rsid w:val="004870CB"/>
    <w:rsid w:val="0049010C"/>
    <w:rsid w:val="004913D3"/>
    <w:rsid w:val="00494941"/>
    <w:rsid w:val="00495A63"/>
    <w:rsid w:val="00496E67"/>
    <w:rsid w:val="00497116"/>
    <w:rsid w:val="00497BA8"/>
    <w:rsid w:val="004A0AB6"/>
    <w:rsid w:val="004A101C"/>
    <w:rsid w:val="004A3161"/>
    <w:rsid w:val="004A4ADB"/>
    <w:rsid w:val="004A5B98"/>
    <w:rsid w:val="004A626D"/>
    <w:rsid w:val="004A6828"/>
    <w:rsid w:val="004A6E47"/>
    <w:rsid w:val="004B2082"/>
    <w:rsid w:val="004B360E"/>
    <w:rsid w:val="004B49C4"/>
    <w:rsid w:val="004B6D89"/>
    <w:rsid w:val="004C32EB"/>
    <w:rsid w:val="004C633C"/>
    <w:rsid w:val="004C68FD"/>
    <w:rsid w:val="004D0803"/>
    <w:rsid w:val="004D124B"/>
    <w:rsid w:val="004D2B49"/>
    <w:rsid w:val="004D60CF"/>
    <w:rsid w:val="004E1E42"/>
    <w:rsid w:val="004E1EC1"/>
    <w:rsid w:val="004E2A43"/>
    <w:rsid w:val="004E3530"/>
    <w:rsid w:val="004E7461"/>
    <w:rsid w:val="004F40A5"/>
    <w:rsid w:val="004F53FE"/>
    <w:rsid w:val="004F5F78"/>
    <w:rsid w:val="004F7489"/>
    <w:rsid w:val="004F7BD0"/>
    <w:rsid w:val="00500DD3"/>
    <w:rsid w:val="00502191"/>
    <w:rsid w:val="00504750"/>
    <w:rsid w:val="0050748F"/>
    <w:rsid w:val="00507EBB"/>
    <w:rsid w:val="0051004A"/>
    <w:rsid w:val="00512717"/>
    <w:rsid w:val="00514E67"/>
    <w:rsid w:val="00516761"/>
    <w:rsid w:val="00521B37"/>
    <w:rsid w:val="00522DCD"/>
    <w:rsid w:val="00527DD7"/>
    <w:rsid w:val="005313B7"/>
    <w:rsid w:val="0053238A"/>
    <w:rsid w:val="005333D1"/>
    <w:rsid w:val="00533B70"/>
    <w:rsid w:val="005343EC"/>
    <w:rsid w:val="005344B3"/>
    <w:rsid w:val="00534B7E"/>
    <w:rsid w:val="00535B78"/>
    <w:rsid w:val="00540039"/>
    <w:rsid w:val="00546217"/>
    <w:rsid w:val="005477A9"/>
    <w:rsid w:val="00551A9C"/>
    <w:rsid w:val="00552457"/>
    <w:rsid w:val="0055362D"/>
    <w:rsid w:val="00554E1D"/>
    <w:rsid w:val="005557F4"/>
    <w:rsid w:val="0055719A"/>
    <w:rsid w:val="00557DC2"/>
    <w:rsid w:val="00563130"/>
    <w:rsid w:val="00564480"/>
    <w:rsid w:val="0056606F"/>
    <w:rsid w:val="005669B4"/>
    <w:rsid w:val="00567E86"/>
    <w:rsid w:val="005747E5"/>
    <w:rsid w:val="0057592D"/>
    <w:rsid w:val="00576651"/>
    <w:rsid w:val="00576F36"/>
    <w:rsid w:val="00585601"/>
    <w:rsid w:val="00587A77"/>
    <w:rsid w:val="005907B3"/>
    <w:rsid w:val="00590BEC"/>
    <w:rsid w:val="00593A6F"/>
    <w:rsid w:val="00593CE1"/>
    <w:rsid w:val="0059655B"/>
    <w:rsid w:val="00596F9A"/>
    <w:rsid w:val="005A25C1"/>
    <w:rsid w:val="005A2A7E"/>
    <w:rsid w:val="005A62BD"/>
    <w:rsid w:val="005A6A94"/>
    <w:rsid w:val="005B0689"/>
    <w:rsid w:val="005B23A5"/>
    <w:rsid w:val="005B262C"/>
    <w:rsid w:val="005B2B2D"/>
    <w:rsid w:val="005B2B50"/>
    <w:rsid w:val="005B2D19"/>
    <w:rsid w:val="005B3375"/>
    <w:rsid w:val="005B3DFE"/>
    <w:rsid w:val="005B4D23"/>
    <w:rsid w:val="005B64EE"/>
    <w:rsid w:val="005B64F1"/>
    <w:rsid w:val="005C26B0"/>
    <w:rsid w:val="005C30EF"/>
    <w:rsid w:val="005C436E"/>
    <w:rsid w:val="005C54A5"/>
    <w:rsid w:val="005C5913"/>
    <w:rsid w:val="005C7C71"/>
    <w:rsid w:val="005D028E"/>
    <w:rsid w:val="005D26A3"/>
    <w:rsid w:val="005D421D"/>
    <w:rsid w:val="005D7DD8"/>
    <w:rsid w:val="005E135B"/>
    <w:rsid w:val="005E2F24"/>
    <w:rsid w:val="005E3A1B"/>
    <w:rsid w:val="005E53B1"/>
    <w:rsid w:val="005E7391"/>
    <w:rsid w:val="005E73C2"/>
    <w:rsid w:val="005F042C"/>
    <w:rsid w:val="005F2CD2"/>
    <w:rsid w:val="005F3AED"/>
    <w:rsid w:val="005F6E26"/>
    <w:rsid w:val="005F705A"/>
    <w:rsid w:val="005F7198"/>
    <w:rsid w:val="005F7BAB"/>
    <w:rsid w:val="00602075"/>
    <w:rsid w:val="006028F3"/>
    <w:rsid w:val="006052CD"/>
    <w:rsid w:val="0060619E"/>
    <w:rsid w:val="0061071C"/>
    <w:rsid w:val="0061107F"/>
    <w:rsid w:val="00615881"/>
    <w:rsid w:val="006205EE"/>
    <w:rsid w:val="0062179D"/>
    <w:rsid w:val="00623041"/>
    <w:rsid w:val="00624D37"/>
    <w:rsid w:val="006257AE"/>
    <w:rsid w:val="00627036"/>
    <w:rsid w:val="00627706"/>
    <w:rsid w:val="00630956"/>
    <w:rsid w:val="006309D4"/>
    <w:rsid w:val="006316B9"/>
    <w:rsid w:val="006319BF"/>
    <w:rsid w:val="006332D3"/>
    <w:rsid w:val="00634632"/>
    <w:rsid w:val="00636BC1"/>
    <w:rsid w:val="006374F7"/>
    <w:rsid w:val="006408A6"/>
    <w:rsid w:val="00641CA9"/>
    <w:rsid w:val="006420E1"/>
    <w:rsid w:val="00645800"/>
    <w:rsid w:val="00646047"/>
    <w:rsid w:val="006502B1"/>
    <w:rsid w:val="006503CC"/>
    <w:rsid w:val="00651C21"/>
    <w:rsid w:val="00654072"/>
    <w:rsid w:val="0066004F"/>
    <w:rsid w:val="00660803"/>
    <w:rsid w:val="00660E4F"/>
    <w:rsid w:val="00663210"/>
    <w:rsid w:val="006647C7"/>
    <w:rsid w:val="00666DA2"/>
    <w:rsid w:val="00666F25"/>
    <w:rsid w:val="00667EF5"/>
    <w:rsid w:val="00670CEF"/>
    <w:rsid w:val="00671330"/>
    <w:rsid w:val="00674DC4"/>
    <w:rsid w:val="00677E77"/>
    <w:rsid w:val="006806BB"/>
    <w:rsid w:val="0068143B"/>
    <w:rsid w:val="006826CB"/>
    <w:rsid w:val="00684B04"/>
    <w:rsid w:val="00684E5B"/>
    <w:rsid w:val="00686625"/>
    <w:rsid w:val="00686D6D"/>
    <w:rsid w:val="00687DA1"/>
    <w:rsid w:val="006905BE"/>
    <w:rsid w:val="00690EC3"/>
    <w:rsid w:val="00692186"/>
    <w:rsid w:val="00694B5B"/>
    <w:rsid w:val="00696484"/>
    <w:rsid w:val="00697F06"/>
    <w:rsid w:val="006A3642"/>
    <w:rsid w:val="006A3967"/>
    <w:rsid w:val="006A430D"/>
    <w:rsid w:val="006A5819"/>
    <w:rsid w:val="006A5B24"/>
    <w:rsid w:val="006B0B57"/>
    <w:rsid w:val="006B14B2"/>
    <w:rsid w:val="006B4EEE"/>
    <w:rsid w:val="006C77BD"/>
    <w:rsid w:val="006D0147"/>
    <w:rsid w:val="006D17A4"/>
    <w:rsid w:val="006D365D"/>
    <w:rsid w:val="006D3DD7"/>
    <w:rsid w:val="006D4CA4"/>
    <w:rsid w:val="006D7D99"/>
    <w:rsid w:val="006E0883"/>
    <w:rsid w:val="006F0F36"/>
    <w:rsid w:val="006F3B5F"/>
    <w:rsid w:val="00700852"/>
    <w:rsid w:val="007024FD"/>
    <w:rsid w:val="0070351A"/>
    <w:rsid w:val="00705301"/>
    <w:rsid w:val="0070537F"/>
    <w:rsid w:val="00711968"/>
    <w:rsid w:val="007126A8"/>
    <w:rsid w:val="00712A38"/>
    <w:rsid w:val="00712BDC"/>
    <w:rsid w:val="007134A1"/>
    <w:rsid w:val="00716CB9"/>
    <w:rsid w:val="007245CF"/>
    <w:rsid w:val="00725C1C"/>
    <w:rsid w:val="00726712"/>
    <w:rsid w:val="00735C88"/>
    <w:rsid w:val="007369C7"/>
    <w:rsid w:val="007447F1"/>
    <w:rsid w:val="00745846"/>
    <w:rsid w:val="007530A5"/>
    <w:rsid w:val="00754E8C"/>
    <w:rsid w:val="00755E5B"/>
    <w:rsid w:val="00761CC4"/>
    <w:rsid w:val="00763EF2"/>
    <w:rsid w:val="00764750"/>
    <w:rsid w:val="0077379D"/>
    <w:rsid w:val="00774207"/>
    <w:rsid w:val="007759E6"/>
    <w:rsid w:val="00777A60"/>
    <w:rsid w:val="00777D93"/>
    <w:rsid w:val="007810A7"/>
    <w:rsid w:val="00782644"/>
    <w:rsid w:val="0078330D"/>
    <w:rsid w:val="00783D2F"/>
    <w:rsid w:val="00785127"/>
    <w:rsid w:val="0078778A"/>
    <w:rsid w:val="007909C5"/>
    <w:rsid w:val="00793838"/>
    <w:rsid w:val="00797102"/>
    <w:rsid w:val="007A0474"/>
    <w:rsid w:val="007A25F5"/>
    <w:rsid w:val="007A3DED"/>
    <w:rsid w:val="007A4A0A"/>
    <w:rsid w:val="007A6380"/>
    <w:rsid w:val="007B2EB7"/>
    <w:rsid w:val="007B51DF"/>
    <w:rsid w:val="007B545D"/>
    <w:rsid w:val="007C2182"/>
    <w:rsid w:val="007C29E9"/>
    <w:rsid w:val="007C3EF9"/>
    <w:rsid w:val="007C4DB4"/>
    <w:rsid w:val="007C4F41"/>
    <w:rsid w:val="007C7DC3"/>
    <w:rsid w:val="007D1EE9"/>
    <w:rsid w:val="007D230E"/>
    <w:rsid w:val="007D296B"/>
    <w:rsid w:val="007D44A4"/>
    <w:rsid w:val="007D5B9E"/>
    <w:rsid w:val="007D70EC"/>
    <w:rsid w:val="007D78E7"/>
    <w:rsid w:val="007E26E1"/>
    <w:rsid w:val="007E3BD6"/>
    <w:rsid w:val="007E557A"/>
    <w:rsid w:val="007E6639"/>
    <w:rsid w:val="007E77D1"/>
    <w:rsid w:val="007F04D1"/>
    <w:rsid w:val="007F07C2"/>
    <w:rsid w:val="007F0A82"/>
    <w:rsid w:val="007F1ADF"/>
    <w:rsid w:val="007F257C"/>
    <w:rsid w:val="007F30B9"/>
    <w:rsid w:val="007F5142"/>
    <w:rsid w:val="007F6601"/>
    <w:rsid w:val="007F6EF4"/>
    <w:rsid w:val="007F76F4"/>
    <w:rsid w:val="00801670"/>
    <w:rsid w:val="00803D33"/>
    <w:rsid w:val="0080557D"/>
    <w:rsid w:val="00806A81"/>
    <w:rsid w:val="008111BA"/>
    <w:rsid w:val="00813DC7"/>
    <w:rsid w:val="008168F3"/>
    <w:rsid w:val="008203F2"/>
    <w:rsid w:val="00821765"/>
    <w:rsid w:val="00822E7D"/>
    <w:rsid w:val="008270F2"/>
    <w:rsid w:val="00831B0E"/>
    <w:rsid w:val="00832CC0"/>
    <w:rsid w:val="00832DE3"/>
    <w:rsid w:val="00834218"/>
    <w:rsid w:val="008421EE"/>
    <w:rsid w:val="00843D32"/>
    <w:rsid w:val="00844790"/>
    <w:rsid w:val="00845E73"/>
    <w:rsid w:val="008464E2"/>
    <w:rsid w:val="008464EC"/>
    <w:rsid w:val="00850BE0"/>
    <w:rsid w:val="008512CB"/>
    <w:rsid w:val="00851EEA"/>
    <w:rsid w:val="00855946"/>
    <w:rsid w:val="00856038"/>
    <w:rsid w:val="0085637C"/>
    <w:rsid w:val="008619E6"/>
    <w:rsid w:val="008626DD"/>
    <w:rsid w:val="00863AE3"/>
    <w:rsid w:val="00864C8C"/>
    <w:rsid w:val="00867AB7"/>
    <w:rsid w:val="008714DA"/>
    <w:rsid w:val="008750DB"/>
    <w:rsid w:val="008752D5"/>
    <w:rsid w:val="00876C4F"/>
    <w:rsid w:val="00880CD6"/>
    <w:rsid w:val="00881CAA"/>
    <w:rsid w:val="00884400"/>
    <w:rsid w:val="0088480C"/>
    <w:rsid w:val="008861D7"/>
    <w:rsid w:val="00887F05"/>
    <w:rsid w:val="008945E0"/>
    <w:rsid w:val="00897436"/>
    <w:rsid w:val="008A4131"/>
    <w:rsid w:val="008A72FC"/>
    <w:rsid w:val="008B00D0"/>
    <w:rsid w:val="008B3150"/>
    <w:rsid w:val="008B72B0"/>
    <w:rsid w:val="008C028E"/>
    <w:rsid w:val="008C128B"/>
    <w:rsid w:val="008C417D"/>
    <w:rsid w:val="008C7FAD"/>
    <w:rsid w:val="008D15CA"/>
    <w:rsid w:val="008D5FFE"/>
    <w:rsid w:val="008D7F7A"/>
    <w:rsid w:val="008E38E7"/>
    <w:rsid w:val="008E4113"/>
    <w:rsid w:val="008E42A6"/>
    <w:rsid w:val="008E488E"/>
    <w:rsid w:val="008E63B5"/>
    <w:rsid w:val="008F37E6"/>
    <w:rsid w:val="008F5B0A"/>
    <w:rsid w:val="008F632E"/>
    <w:rsid w:val="00900F7B"/>
    <w:rsid w:val="009019FF"/>
    <w:rsid w:val="00901B3D"/>
    <w:rsid w:val="00902E9E"/>
    <w:rsid w:val="00903C16"/>
    <w:rsid w:val="0090404A"/>
    <w:rsid w:val="00906159"/>
    <w:rsid w:val="00906261"/>
    <w:rsid w:val="00906995"/>
    <w:rsid w:val="00906E05"/>
    <w:rsid w:val="00906E28"/>
    <w:rsid w:val="00916FD7"/>
    <w:rsid w:val="0092075A"/>
    <w:rsid w:val="00921F42"/>
    <w:rsid w:val="009221DE"/>
    <w:rsid w:val="009235EA"/>
    <w:rsid w:val="009249BF"/>
    <w:rsid w:val="0092510C"/>
    <w:rsid w:val="00926C52"/>
    <w:rsid w:val="00932806"/>
    <w:rsid w:val="00933390"/>
    <w:rsid w:val="0093457F"/>
    <w:rsid w:val="0093560E"/>
    <w:rsid w:val="00935A74"/>
    <w:rsid w:val="00936DCF"/>
    <w:rsid w:val="0093735D"/>
    <w:rsid w:val="0093746A"/>
    <w:rsid w:val="00937965"/>
    <w:rsid w:val="0094545F"/>
    <w:rsid w:val="00945CFE"/>
    <w:rsid w:val="009460D6"/>
    <w:rsid w:val="009502EF"/>
    <w:rsid w:val="009503CC"/>
    <w:rsid w:val="00956191"/>
    <w:rsid w:val="00960ACC"/>
    <w:rsid w:val="00960D07"/>
    <w:rsid w:val="00965417"/>
    <w:rsid w:val="00966A0B"/>
    <w:rsid w:val="0096776E"/>
    <w:rsid w:val="00971E5A"/>
    <w:rsid w:val="009734C5"/>
    <w:rsid w:val="0097561E"/>
    <w:rsid w:val="009757D7"/>
    <w:rsid w:val="00975D90"/>
    <w:rsid w:val="00976200"/>
    <w:rsid w:val="00977AA0"/>
    <w:rsid w:val="0098170E"/>
    <w:rsid w:val="00982588"/>
    <w:rsid w:val="00983497"/>
    <w:rsid w:val="00983711"/>
    <w:rsid w:val="00983801"/>
    <w:rsid w:val="00990025"/>
    <w:rsid w:val="009A0F35"/>
    <w:rsid w:val="009A212F"/>
    <w:rsid w:val="009A545B"/>
    <w:rsid w:val="009A5A63"/>
    <w:rsid w:val="009A5E49"/>
    <w:rsid w:val="009A60EE"/>
    <w:rsid w:val="009A6229"/>
    <w:rsid w:val="009A672B"/>
    <w:rsid w:val="009A78AB"/>
    <w:rsid w:val="009B03D2"/>
    <w:rsid w:val="009B1802"/>
    <w:rsid w:val="009B28D0"/>
    <w:rsid w:val="009B5AD6"/>
    <w:rsid w:val="009B5AFA"/>
    <w:rsid w:val="009B608E"/>
    <w:rsid w:val="009B60CC"/>
    <w:rsid w:val="009C28CF"/>
    <w:rsid w:val="009C462F"/>
    <w:rsid w:val="009C5ED2"/>
    <w:rsid w:val="009C6180"/>
    <w:rsid w:val="009D1ED7"/>
    <w:rsid w:val="009D27F5"/>
    <w:rsid w:val="009D6074"/>
    <w:rsid w:val="009E02DE"/>
    <w:rsid w:val="009E672D"/>
    <w:rsid w:val="009E74D3"/>
    <w:rsid w:val="009E7AD1"/>
    <w:rsid w:val="009F167B"/>
    <w:rsid w:val="009F1DE7"/>
    <w:rsid w:val="009F2610"/>
    <w:rsid w:val="009F3813"/>
    <w:rsid w:val="009F4042"/>
    <w:rsid w:val="00A031BA"/>
    <w:rsid w:val="00A0396F"/>
    <w:rsid w:val="00A0568C"/>
    <w:rsid w:val="00A150AD"/>
    <w:rsid w:val="00A158EE"/>
    <w:rsid w:val="00A15F1E"/>
    <w:rsid w:val="00A20B28"/>
    <w:rsid w:val="00A21582"/>
    <w:rsid w:val="00A2439E"/>
    <w:rsid w:val="00A25161"/>
    <w:rsid w:val="00A279CA"/>
    <w:rsid w:val="00A31261"/>
    <w:rsid w:val="00A338D0"/>
    <w:rsid w:val="00A36569"/>
    <w:rsid w:val="00A36E72"/>
    <w:rsid w:val="00A37D76"/>
    <w:rsid w:val="00A42858"/>
    <w:rsid w:val="00A429FD"/>
    <w:rsid w:val="00A43EEF"/>
    <w:rsid w:val="00A44F12"/>
    <w:rsid w:val="00A45AC6"/>
    <w:rsid w:val="00A51A0D"/>
    <w:rsid w:val="00A53792"/>
    <w:rsid w:val="00A54D31"/>
    <w:rsid w:val="00A56AD1"/>
    <w:rsid w:val="00A57DAC"/>
    <w:rsid w:val="00A60671"/>
    <w:rsid w:val="00A61BD4"/>
    <w:rsid w:val="00A620D9"/>
    <w:rsid w:val="00A634F2"/>
    <w:rsid w:val="00A63AFB"/>
    <w:rsid w:val="00A645EB"/>
    <w:rsid w:val="00A64B3E"/>
    <w:rsid w:val="00A70A43"/>
    <w:rsid w:val="00A70FA1"/>
    <w:rsid w:val="00A77F35"/>
    <w:rsid w:val="00A80084"/>
    <w:rsid w:val="00A83B70"/>
    <w:rsid w:val="00A84F78"/>
    <w:rsid w:val="00A8691E"/>
    <w:rsid w:val="00A91E69"/>
    <w:rsid w:val="00A92D37"/>
    <w:rsid w:val="00A94168"/>
    <w:rsid w:val="00A95FB0"/>
    <w:rsid w:val="00A9632C"/>
    <w:rsid w:val="00A97B44"/>
    <w:rsid w:val="00A97BD3"/>
    <w:rsid w:val="00AA1FB0"/>
    <w:rsid w:val="00AA2DF6"/>
    <w:rsid w:val="00AA3F2E"/>
    <w:rsid w:val="00AA427F"/>
    <w:rsid w:val="00AA6F1C"/>
    <w:rsid w:val="00AB1284"/>
    <w:rsid w:val="00AB33DA"/>
    <w:rsid w:val="00AB3AC1"/>
    <w:rsid w:val="00AB58B0"/>
    <w:rsid w:val="00AB66EB"/>
    <w:rsid w:val="00AB6FAB"/>
    <w:rsid w:val="00AB7E76"/>
    <w:rsid w:val="00AC0ED2"/>
    <w:rsid w:val="00AC1AEA"/>
    <w:rsid w:val="00AC3120"/>
    <w:rsid w:val="00AC457A"/>
    <w:rsid w:val="00AC6CF5"/>
    <w:rsid w:val="00AD03D2"/>
    <w:rsid w:val="00AD0FDA"/>
    <w:rsid w:val="00AD1922"/>
    <w:rsid w:val="00AD2137"/>
    <w:rsid w:val="00AD5AE4"/>
    <w:rsid w:val="00AD7642"/>
    <w:rsid w:val="00AE229D"/>
    <w:rsid w:val="00AE2B6D"/>
    <w:rsid w:val="00AE5402"/>
    <w:rsid w:val="00AE5D98"/>
    <w:rsid w:val="00AE732B"/>
    <w:rsid w:val="00AE7596"/>
    <w:rsid w:val="00AE7C20"/>
    <w:rsid w:val="00AE7EFA"/>
    <w:rsid w:val="00AF6864"/>
    <w:rsid w:val="00B0232A"/>
    <w:rsid w:val="00B02E67"/>
    <w:rsid w:val="00B05166"/>
    <w:rsid w:val="00B0559B"/>
    <w:rsid w:val="00B133C6"/>
    <w:rsid w:val="00B13B4A"/>
    <w:rsid w:val="00B17341"/>
    <w:rsid w:val="00B20732"/>
    <w:rsid w:val="00B242E8"/>
    <w:rsid w:val="00B243F1"/>
    <w:rsid w:val="00B2487E"/>
    <w:rsid w:val="00B263CD"/>
    <w:rsid w:val="00B3146A"/>
    <w:rsid w:val="00B317C8"/>
    <w:rsid w:val="00B33351"/>
    <w:rsid w:val="00B36237"/>
    <w:rsid w:val="00B3637E"/>
    <w:rsid w:val="00B37A90"/>
    <w:rsid w:val="00B37F84"/>
    <w:rsid w:val="00B4051D"/>
    <w:rsid w:val="00B4237A"/>
    <w:rsid w:val="00B438AE"/>
    <w:rsid w:val="00B45160"/>
    <w:rsid w:val="00B455E0"/>
    <w:rsid w:val="00B47883"/>
    <w:rsid w:val="00B51084"/>
    <w:rsid w:val="00B51B93"/>
    <w:rsid w:val="00B53780"/>
    <w:rsid w:val="00B60557"/>
    <w:rsid w:val="00B605DF"/>
    <w:rsid w:val="00B60DE4"/>
    <w:rsid w:val="00B62260"/>
    <w:rsid w:val="00B62664"/>
    <w:rsid w:val="00B642D6"/>
    <w:rsid w:val="00B643C7"/>
    <w:rsid w:val="00B661BD"/>
    <w:rsid w:val="00B66EAD"/>
    <w:rsid w:val="00B671BA"/>
    <w:rsid w:val="00B705F1"/>
    <w:rsid w:val="00B7212C"/>
    <w:rsid w:val="00B7247F"/>
    <w:rsid w:val="00B74A2B"/>
    <w:rsid w:val="00B759AC"/>
    <w:rsid w:val="00B77B3E"/>
    <w:rsid w:val="00B77B8D"/>
    <w:rsid w:val="00B77CEC"/>
    <w:rsid w:val="00B806E8"/>
    <w:rsid w:val="00B80CE1"/>
    <w:rsid w:val="00B82E8F"/>
    <w:rsid w:val="00B83620"/>
    <w:rsid w:val="00B90965"/>
    <w:rsid w:val="00B94730"/>
    <w:rsid w:val="00B96DC8"/>
    <w:rsid w:val="00BA16C9"/>
    <w:rsid w:val="00BA32F4"/>
    <w:rsid w:val="00BA3D08"/>
    <w:rsid w:val="00BA3F83"/>
    <w:rsid w:val="00BB0307"/>
    <w:rsid w:val="00BB1321"/>
    <w:rsid w:val="00BB2F7C"/>
    <w:rsid w:val="00BB6F73"/>
    <w:rsid w:val="00BB7B44"/>
    <w:rsid w:val="00BC58A0"/>
    <w:rsid w:val="00BD01EF"/>
    <w:rsid w:val="00BD1100"/>
    <w:rsid w:val="00BD3E0B"/>
    <w:rsid w:val="00BE0C97"/>
    <w:rsid w:val="00BE25C9"/>
    <w:rsid w:val="00BE29BB"/>
    <w:rsid w:val="00BE5FCC"/>
    <w:rsid w:val="00BE70A1"/>
    <w:rsid w:val="00BF2AF5"/>
    <w:rsid w:val="00BF3333"/>
    <w:rsid w:val="00C008ED"/>
    <w:rsid w:val="00C01358"/>
    <w:rsid w:val="00C02154"/>
    <w:rsid w:val="00C031A9"/>
    <w:rsid w:val="00C03224"/>
    <w:rsid w:val="00C040CF"/>
    <w:rsid w:val="00C0439B"/>
    <w:rsid w:val="00C10169"/>
    <w:rsid w:val="00C10271"/>
    <w:rsid w:val="00C11CA4"/>
    <w:rsid w:val="00C12EAA"/>
    <w:rsid w:val="00C15021"/>
    <w:rsid w:val="00C16D08"/>
    <w:rsid w:val="00C179D8"/>
    <w:rsid w:val="00C20906"/>
    <w:rsid w:val="00C25971"/>
    <w:rsid w:val="00C25C34"/>
    <w:rsid w:val="00C268D8"/>
    <w:rsid w:val="00C3000F"/>
    <w:rsid w:val="00C32091"/>
    <w:rsid w:val="00C320E7"/>
    <w:rsid w:val="00C32626"/>
    <w:rsid w:val="00C366DD"/>
    <w:rsid w:val="00C36B66"/>
    <w:rsid w:val="00C371AD"/>
    <w:rsid w:val="00C37A71"/>
    <w:rsid w:val="00C4227F"/>
    <w:rsid w:val="00C425CA"/>
    <w:rsid w:val="00C435C9"/>
    <w:rsid w:val="00C441F9"/>
    <w:rsid w:val="00C446BA"/>
    <w:rsid w:val="00C53A17"/>
    <w:rsid w:val="00C53A23"/>
    <w:rsid w:val="00C53C51"/>
    <w:rsid w:val="00C5645C"/>
    <w:rsid w:val="00C56A37"/>
    <w:rsid w:val="00C56F20"/>
    <w:rsid w:val="00C60E97"/>
    <w:rsid w:val="00C62D7A"/>
    <w:rsid w:val="00C62F8F"/>
    <w:rsid w:val="00C656CE"/>
    <w:rsid w:val="00C65D45"/>
    <w:rsid w:val="00C6779B"/>
    <w:rsid w:val="00C6786C"/>
    <w:rsid w:val="00C67CF2"/>
    <w:rsid w:val="00C72115"/>
    <w:rsid w:val="00C72565"/>
    <w:rsid w:val="00C77CA1"/>
    <w:rsid w:val="00C83409"/>
    <w:rsid w:val="00C845E7"/>
    <w:rsid w:val="00C86E88"/>
    <w:rsid w:val="00C905A1"/>
    <w:rsid w:val="00C92DD2"/>
    <w:rsid w:val="00C93BB8"/>
    <w:rsid w:val="00C93FEA"/>
    <w:rsid w:val="00CA0E45"/>
    <w:rsid w:val="00CA0F2E"/>
    <w:rsid w:val="00CA4922"/>
    <w:rsid w:val="00CB02EF"/>
    <w:rsid w:val="00CB0F84"/>
    <w:rsid w:val="00CB5C6E"/>
    <w:rsid w:val="00CB6140"/>
    <w:rsid w:val="00CB6A84"/>
    <w:rsid w:val="00CC3B1B"/>
    <w:rsid w:val="00CC4A07"/>
    <w:rsid w:val="00CC6D67"/>
    <w:rsid w:val="00CC7421"/>
    <w:rsid w:val="00CC7822"/>
    <w:rsid w:val="00CC7844"/>
    <w:rsid w:val="00CD0E8C"/>
    <w:rsid w:val="00CD0F6F"/>
    <w:rsid w:val="00CD41A2"/>
    <w:rsid w:val="00CD5AE4"/>
    <w:rsid w:val="00CE0CFC"/>
    <w:rsid w:val="00CE25B6"/>
    <w:rsid w:val="00CE5E74"/>
    <w:rsid w:val="00CE6241"/>
    <w:rsid w:val="00CF3631"/>
    <w:rsid w:val="00CF3AFC"/>
    <w:rsid w:val="00CF650E"/>
    <w:rsid w:val="00CF6ACB"/>
    <w:rsid w:val="00D01FB9"/>
    <w:rsid w:val="00D033A8"/>
    <w:rsid w:val="00D05164"/>
    <w:rsid w:val="00D06D85"/>
    <w:rsid w:val="00D06F59"/>
    <w:rsid w:val="00D100AF"/>
    <w:rsid w:val="00D10D0D"/>
    <w:rsid w:val="00D14C57"/>
    <w:rsid w:val="00D16654"/>
    <w:rsid w:val="00D21992"/>
    <w:rsid w:val="00D2223F"/>
    <w:rsid w:val="00D228A4"/>
    <w:rsid w:val="00D22E9F"/>
    <w:rsid w:val="00D230D1"/>
    <w:rsid w:val="00D24FC1"/>
    <w:rsid w:val="00D2712A"/>
    <w:rsid w:val="00D27F61"/>
    <w:rsid w:val="00D30840"/>
    <w:rsid w:val="00D344A1"/>
    <w:rsid w:val="00D3564B"/>
    <w:rsid w:val="00D36CB4"/>
    <w:rsid w:val="00D41E8C"/>
    <w:rsid w:val="00D42759"/>
    <w:rsid w:val="00D47EBC"/>
    <w:rsid w:val="00D5168D"/>
    <w:rsid w:val="00D526EC"/>
    <w:rsid w:val="00D52762"/>
    <w:rsid w:val="00D576DA"/>
    <w:rsid w:val="00D578C7"/>
    <w:rsid w:val="00D6358D"/>
    <w:rsid w:val="00D65889"/>
    <w:rsid w:val="00D66C47"/>
    <w:rsid w:val="00D7099E"/>
    <w:rsid w:val="00D713F6"/>
    <w:rsid w:val="00D71DE4"/>
    <w:rsid w:val="00D758DD"/>
    <w:rsid w:val="00D76200"/>
    <w:rsid w:val="00D808D5"/>
    <w:rsid w:val="00D808EA"/>
    <w:rsid w:val="00D8106C"/>
    <w:rsid w:val="00D841CA"/>
    <w:rsid w:val="00D86DB3"/>
    <w:rsid w:val="00D919C5"/>
    <w:rsid w:val="00D953F7"/>
    <w:rsid w:val="00D96B97"/>
    <w:rsid w:val="00DA0FC9"/>
    <w:rsid w:val="00DA4B91"/>
    <w:rsid w:val="00DA6260"/>
    <w:rsid w:val="00DA6F08"/>
    <w:rsid w:val="00DA7145"/>
    <w:rsid w:val="00DB03FE"/>
    <w:rsid w:val="00DB0B11"/>
    <w:rsid w:val="00DB160D"/>
    <w:rsid w:val="00DB1AF9"/>
    <w:rsid w:val="00DB1DEB"/>
    <w:rsid w:val="00DB6C53"/>
    <w:rsid w:val="00DC1292"/>
    <w:rsid w:val="00DC27F6"/>
    <w:rsid w:val="00DC2845"/>
    <w:rsid w:val="00DC2AF9"/>
    <w:rsid w:val="00DD170E"/>
    <w:rsid w:val="00DD2D8F"/>
    <w:rsid w:val="00DD2EE6"/>
    <w:rsid w:val="00DE09B6"/>
    <w:rsid w:val="00DE16DA"/>
    <w:rsid w:val="00DE241A"/>
    <w:rsid w:val="00DE3D30"/>
    <w:rsid w:val="00DE4182"/>
    <w:rsid w:val="00DE48B4"/>
    <w:rsid w:val="00DE5252"/>
    <w:rsid w:val="00DE5E0F"/>
    <w:rsid w:val="00DE66BC"/>
    <w:rsid w:val="00DE6F2C"/>
    <w:rsid w:val="00DF031A"/>
    <w:rsid w:val="00DF1B94"/>
    <w:rsid w:val="00DF2BC4"/>
    <w:rsid w:val="00DF2CE6"/>
    <w:rsid w:val="00DF2EB4"/>
    <w:rsid w:val="00DF3A85"/>
    <w:rsid w:val="00DF4C4E"/>
    <w:rsid w:val="00DF4F66"/>
    <w:rsid w:val="00E0061C"/>
    <w:rsid w:val="00E0192D"/>
    <w:rsid w:val="00E01992"/>
    <w:rsid w:val="00E01D7D"/>
    <w:rsid w:val="00E0272B"/>
    <w:rsid w:val="00E065F2"/>
    <w:rsid w:val="00E06A1B"/>
    <w:rsid w:val="00E06CBE"/>
    <w:rsid w:val="00E06CDC"/>
    <w:rsid w:val="00E14EF2"/>
    <w:rsid w:val="00E16608"/>
    <w:rsid w:val="00E170AD"/>
    <w:rsid w:val="00E170DB"/>
    <w:rsid w:val="00E175E3"/>
    <w:rsid w:val="00E17DF8"/>
    <w:rsid w:val="00E208EE"/>
    <w:rsid w:val="00E2097E"/>
    <w:rsid w:val="00E22551"/>
    <w:rsid w:val="00E22705"/>
    <w:rsid w:val="00E240A8"/>
    <w:rsid w:val="00E25A69"/>
    <w:rsid w:val="00E27C3C"/>
    <w:rsid w:val="00E30EE0"/>
    <w:rsid w:val="00E31038"/>
    <w:rsid w:val="00E32DB0"/>
    <w:rsid w:val="00E33197"/>
    <w:rsid w:val="00E34193"/>
    <w:rsid w:val="00E35925"/>
    <w:rsid w:val="00E35E17"/>
    <w:rsid w:val="00E369B3"/>
    <w:rsid w:val="00E410EC"/>
    <w:rsid w:val="00E41D70"/>
    <w:rsid w:val="00E42454"/>
    <w:rsid w:val="00E47714"/>
    <w:rsid w:val="00E507DE"/>
    <w:rsid w:val="00E52ECF"/>
    <w:rsid w:val="00E55CF2"/>
    <w:rsid w:val="00E56609"/>
    <w:rsid w:val="00E62D97"/>
    <w:rsid w:val="00E65DBD"/>
    <w:rsid w:val="00E67075"/>
    <w:rsid w:val="00E71861"/>
    <w:rsid w:val="00E7284B"/>
    <w:rsid w:val="00E7346F"/>
    <w:rsid w:val="00E759BD"/>
    <w:rsid w:val="00E77D5D"/>
    <w:rsid w:val="00E823A6"/>
    <w:rsid w:val="00E86105"/>
    <w:rsid w:val="00E872FE"/>
    <w:rsid w:val="00E91431"/>
    <w:rsid w:val="00EA3422"/>
    <w:rsid w:val="00EA7414"/>
    <w:rsid w:val="00EB0757"/>
    <w:rsid w:val="00EB271F"/>
    <w:rsid w:val="00EB4E76"/>
    <w:rsid w:val="00EB5785"/>
    <w:rsid w:val="00EB6CA9"/>
    <w:rsid w:val="00EC0C24"/>
    <w:rsid w:val="00EC1E57"/>
    <w:rsid w:val="00EC592E"/>
    <w:rsid w:val="00EC6C77"/>
    <w:rsid w:val="00EC7411"/>
    <w:rsid w:val="00ED1095"/>
    <w:rsid w:val="00ED3AE2"/>
    <w:rsid w:val="00ED5968"/>
    <w:rsid w:val="00ED66CE"/>
    <w:rsid w:val="00ED67E9"/>
    <w:rsid w:val="00ED7442"/>
    <w:rsid w:val="00EE0655"/>
    <w:rsid w:val="00EE39A0"/>
    <w:rsid w:val="00EE3A62"/>
    <w:rsid w:val="00EE4303"/>
    <w:rsid w:val="00EE467B"/>
    <w:rsid w:val="00EE5E9B"/>
    <w:rsid w:val="00EE648E"/>
    <w:rsid w:val="00EE70FE"/>
    <w:rsid w:val="00EF0E67"/>
    <w:rsid w:val="00EF342C"/>
    <w:rsid w:val="00EF641B"/>
    <w:rsid w:val="00EF7B44"/>
    <w:rsid w:val="00F0041A"/>
    <w:rsid w:val="00F054DC"/>
    <w:rsid w:val="00F06CC1"/>
    <w:rsid w:val="00F07D42"/>
    <w:rsid w:val="00F10988"/>
    <w:rsid w:val="00F116C2"/>
    <w:rsid w:val="00F132AD"/>
    <w:rsid w:val="00F1363B"/>
    <w:rsid w:val="00F143E7"/>
    <w:rsid w:val="00F16ECC"/>
    <w:rsid w:val="00F206B2"/>
    <w:rsid w:val="00F20986"/>
    <w:rsid w:val="00F20BDE"/>
    <w:rsid w:val="00F273E9"/>
    <w:rsid w:val="00F31BA6"/>
    <w:rsid w:val="00F321DD"/>
    <w:rsid w:val="00F335B8"/>
    <w:rsid w:val="00F33DEB"/>
    <w:rsid w:val="00F35398"/>
    <w:rsid w:val="00F3607B"/>
    <w:rsid w:val="00F37049"/>
    <w:rsid w:val="00F40B0E"/>
    <w:rsid w:val="00F420FD"/>
    <w:rsid w:val="00F44BAD"/>
    <w:rsid w:val="00F4513B"/>
    <w:rsid w:val="00F52D38"/>
    <w:rsid w:val="00F55FCD"/>
    <w:rsid w:val="00F56916"/>
    <w:rsid w:val="00F56B0A"/>
    <w:rsid w:val="00F602DD"/>
    <w:rsid w:val="00F634AC"/>
    <w:rsid w:val="00F667A7"/>
    <w:rsid w:val="00F67FC1"/>
    <w:rsid w:val="00F71E43"/>
    <w:rsid w:val="00F72602"/>
    <w:rsid w:val="00F7586D"/>
    <w:rsid w:val="00F75BAE"/>
    <w:rsid w:val="00F75D2D"/>
    <w:rsid w:val="00F80860"/>
    <w:rsid w:val="00F855D0"/>
    <w:rsid w:val="00F85B24"/>
    <w:rsid w:val="00F861DC"/>
    <w:rsid w:val="00F90735"/>
    <w:rsid w:val="00F91D75"/>
    <w:rsid w:val="00F944B7"/>
    <w:rsid w:val="00F97EF9"/>
    <w:rsid w:val="00FA0AEB"/>
    <w:rsid w:val="00FA161A"/>
    <w:rsid w:val="00FA3169"/>
    <w:rsid w:val="00FA4D41"/>
    <w:rsid w:val="00FB0EAE"/>
    <w:rsid w:val="00FB351E"/>
    <w:rsid w:val="00FB557A"/>
    <w:rsid w:val="00FB70DC"/>
    <w:rsid w:val="00FB7DCC"/>
    <w:rsid w:val="00FC00D2"/>
    <w:rsid w:val="00FC1E1C"/>
    <w:rsid w:val="00FC40CE"/>
    <w:rsid w:val="00FC4BFC"/>
    <w:rsid w:val="00FC4E6A"/>
    <w:rsid w:val="00FC76B4"/>
    <w:rsid w:val="00FD16A1"/>
    <w:rsid w:val="00FD750B"/>
    <w:rsid w:val="00FE00CB"/>
    <w:rsid w:val="00FE0759"/>
    <w:rsid w:val="00FE0A4B"/>
    <w:rsid w:val="00FE196D"/>
    <w:rsid w:val="00FE1CFE"/>
    <w:rsid w:val="00FE720B"/>
    <w:rsid w:val="00FF008F"/>
    <w:rsid w:val="00FF0D9C"/>
    <w:rsid w:val="00FF2359"/>
    <w:rsid w:val="00FF37C8"/>
    <w:rsid w:val="00FF398F"/>
    <w:rsid w:val="00FF3CF4"/>
    <w:rsid w:val="00FF7118"/>
  </w:rsids>
  <m:mathPr>
    <m:mathFont m:val="Cambria Math"/>
    <m:brkBin m:val="before"/>
    <m:brkBinSub m:val="--"/>
    <m:smallFrac/>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00000" w:themeColor="text1"/>
        <w:sz w:val="28"/>
        <w:szCs w:val="28"/>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English">
    <w:name w:val="Paper_Title (English)"/>
    <w:basedOn w:val="Normal"/>
    <w:autoRedefine/>
    <w:qFormat/>
    <w:rsid w:val="00D5168D"/>
    <w:pPr>
      <w:widowControl w:val="0"/>
      <w:suppressAutoHyphens/>
      <w:spacing w:after="0" w:line="360" w:lineRule="auto"/>
      <w:jc w:val="center"/>
    </w:pPr>
    <w:rPr>
      <w:rFonts w:ascii="Times New Roman" w:hAnsi="Times New Roman" w:cs="Times New Roman"/>
      <w:b/>
      <w:bCs/>
      <w:caps/>
      <w:color w:val="auto"/>
      <w:sz w:val="24"/>
      <w:szCs w:val="24"/>
      <w:lang w:val="en-US" w:eastAsia="ko-KR"/>
    </w:rPr>
  </w:style>
  <w:style w:type="paragraph" w:styleId="Header">
    <w:name w:val="header"/>
    <w:basedOn w:val="Normal"/>
    <w:link w:val="HeaderChar"/>
    <w:uiPriority w:val="99"/>
    <w:unhideWhenUsed/>
    <w:rsid w:val="00B05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166"/>
  </w:style>
  <w:style w:type="paragraph" w:styleId="Footer">
    <w:name w:val="footer"/>
    <w:basedOn w:val="Normal"/>
    <w:link w:val="FooterChar"/>
    <w:uiPriority w:val="99"/>
    <w:unhideWhenUsed/>
    <w:rsid w:val="000B6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27"/>
  </w:style>
  <w:style w:type="paragraph" w:customStyle="1" w:styleId="BasicParagraph">
    <w:name w:val="[Basic Paragraph]"/>
    <w:basedOn w:val="Normal"/>
    <w:uiPriority w:val="99"/>
    <w:rsid w:val="000B6A2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perFormattext">
    <w:name w:val="Paper_Format text"/>
    <w:autoRedefine/>
    <w:qFormat/>
    <w:rsid w:val="00DD2EE6"/>
    <w:pPr>
      <w:suppressAutoHyphens/>
      <w:spacing w:after="0" w:line="360" w:lineRule="auto"/>
      <w:jc w:val="both"/>
    </w:pPr>
    <w:rPr>
      <w:rFonts w:ascii="Times New Roman" w:hAnsi="Times New Roman" w:cs="Times New Roman"/>
      <w:b/>
      <w:color w:val="auto"/>
      <w:sz w:val="22"/>
      <w:szCs w:val="22"/>
      <w:lang w:eastAsia="ko-KR"/>
    </w:rPr>
  </w:style>
  <w:style w:type="paragraph" w:customStyle="1" w:styleId="PaperMainheadings">
    <w:name w:val="Paper_Main headings"/>
    <w:autoRedefine/>
    <w:qFormat/>
    <w:rsid w:val="00906995"/>
    <w:pPr>
      <w:suppressAutoHyphens/>
      <w:spacing w:after="0" w:line="240" w:lineRule="auto"/>
      <w:ind w:left="454" w:hanging="454"/>
      <w:jc w:val="both"/>
    </w:pPr>
    <w:rPr>
      <w:rFonts w:ascii="Times New Roman" w:hAnsi="Times New Roman" w:cs="Times New Roman"/>
      <w:b/>
      <w:bCs/>
      <w:color w:val="auto"/>
      <w:sz w:val="24"/>
      <w:szCs w:val="24"/>
      <w:lang w:eastAsia="ko-KR"/>
    </w:rPr>
  </w:style>
  <w:style w:type="paragraph" w:styleId="NoSpacing">
    <w:name w:val="No Spacing"/>
    <w:uiPriority w:val="1"/>
    <w:qFormat/>
    <w:rsid w:val="0061071C"/>
    <w:pPr>
      <w:spacing w:after="0" w:line="240" w:lineRule="auto"/>
    </w:pPr>
  </w:style>
  <w:style w:type="paragraph" w:customStyle="1" w:styleId="PaperTitleFrench">
    <w:name w:val="Paper_Title (French)"/>
    <w:basedOn w:val="PaperTitleEnglish"/>
    <w:autoRedefine/>
    <w:qFormat/>
    <w:rsid w:val="00D27F61"/>
    <w:pPr>
      <w:spacing w:before="240"/>
    </w:pPr>
    <w:rPr>
      <w:b w:val="0"/>
    </w:rPr>
  </w:style>
  <w:style w:type="paragraph" w:customStyle="1" w:styleId="PaperAuthorNames">
    <w:name w:val="Paper_Author Names"/>
    <w:autoRedefine/>
    <w:qFormat/>
    <w:rsid w:val="00494941"/>
    <w:pPr>
      <w:suppressAutoHyphens/>
      <w:spacing w:before="240" w:after="0" w:line="240" w:lineRule="auto"/>
      <w:jc w:val="center"/>
    </w:pPr>
    <w:rPr>
      <w:rFonts w:ascii="Arial" w:hAnsi="Arial" w:cs="Arial"/>
      <w:color w:val="000000"/>
      <w:sz w:val="20"/>
      <w:szCs w:val="20"/>
    </w:rPr>
  </w:style>
  <w:style w:type="paragraph" w:customStyle="1" w:styleId="PaperAbstractTitle">
    <w:name w:val="Paper_Abstract (Title)"/>
    <w:basedOn w:val="PaperAuthorNames"/>
    <w:autoRedefine/>
    <w:qFormat/>
    <w:rsid w:val="00906995"/>
    <w:pPr>
      <w:spacing w:before="360"/>
    </w:pPr>
    <w:rPr>
      <w:rFonts w:ascii="Times New Roman" w:hAnsi="Times New Roman" w:cs="Times New Roman"/>
      <w:b/>
      <w:sz w:val="24"/>
      <w:szCs w:val="24"/>
    </w:rPr>
  </w:style>
  <w:style w:type="paragraph" w:customStyle="1" w:styleId="PaperResumeFrench">
    <w:name w:val="Paper_Resume (French)"/>
    <w:basedOn w:val="PaperAbstractTitle"/>
    <w:autoRedefine/>
    <w:qFormat/>
    <w:rsid w:val="004D60CF"/>
    <w:pPr>
      <w:spacing w:before="240"/>
    </w:pPr>
    <w:rPr>
      <w:bCs/>
    </w:rPr>
  </w:style>
  <w:style w:type="paragraph" w:customStyle="1" w:styleId="PaperSubheadings">
    <w:name w:val="Paper_Subheadings"/>
    <w:basedOn w:val="PaperMainheadings"/>
    <w:autoRedefine/>
    <w:qFormat/>
    <w:rsid w:val="00BA3F83"/>
    <w:pPr>
      <w:widowControl w:val="0"/>
      <w:spacing w:line="360" w:lineRule="auto"/>
      <w:ind w:left="567" w:hanging="567"/>
    </w:pPr>
    <w:rPr>
      <w:b w:val="0"/>
      <w:bCs w:val="0"/>
      <w:i/>
      <w:sz w:val="22"/>
      <w:szCs w:val="22"/>
    </w:rPr>
  </w:style>
  <w:style w:type="paragraph" w:customStyle="1" w:styleId="PaperReferences">
    <w:name w:val="Paper_References"/>
    <w:autoRedefine/>
    <w:qFormat/>
    <w:rsid w:val="005557F4"/>
    <w:pPr>
      <w:suppressAutoHyphens/>
      <w:spacing w:after="60" w:line="240" w:lineRule="auto"/>
      <w:ind w:left="284" w:hanging="284"/>
      <w:jc w:val="both"/>
    </w:pPr>
    <w:rPr>
      <w:rFonts w:ascii="Times New Roman" w:hAnsi="Times New Roman" w:cs="Times New Roman"/>
      <w:color w:val="auto"/>
      <w:sz w:val="22"/>
      <w:szCs w:val="22"/>
      <w:lang w:eastAsia="ko-KR"/>
    </w:rPr>
  </w:style>
  <w:style w:type="paragraph" w:customStyle="1" w:styleId="PaperTextnumbered">
    <w:name w:val="Paper_Text numbered"/>
    <w:basedOn w:val="BasicParagraph"/>
    <w:autoRedefine/>
    <w:qFormat/>
    <w:rsid w:val="000123FA"/>
    <w:pPr>
      <w:numPr>
        <w:numId w:val="1"/>
      </w:numPr>
      <w:suppressAutoHyphens/>
      <w:spacing w:after="60" w:line="240" w:lineRule="auto"/>
      <w:ind w:left="340" w:hanging="340"/>
      <w:jc w:val="both"/>
    </w:pPr>
    <w:rPr>
      <w:rFonts w:ascii="Arial" w:hAnsi="Arial" w:cs="Arial"/>
      <w:sz w:val="20"/>
      <w:szCs w:val="20"/>
    </w:rPr>
  </w:style>
  <w:style w:type="paragraph" w:customStyle="1" w:styleId="PaperTextbullets">
    <w:name w:val="Paper_Text bullets"/>
    <w:basedOn w:val="BasicParagraph"/>
    <w:autoRedefine/>
    <w:qFormat/>
    <w:rsid w:val="00AC457A"/>
    <w:pPr>
      <w:numPr>
        <w:numId w:val="3"/>
      </w:numPr>
      <w:suppressAutoHyphens/>
      <w:spacing w:after="60" w:line="240" w:lineRule="auto"/>
      <w:ind w:left="284" w:hanging="284"/>
      <w:jc w:val="both"/>
    </w:pPr>
    <w:rPr>
      <w:rFonts w:ascii="Arial" w:hAnsi="Arial" w:cs="Arial"/>
      <w:sz w:val="20"/>
      <w:szCs w:val="20"/>
    </w:rPr>
  </w:style>
  <w:style w:type="paragraph" w:styleId="FootnoteText">
    <w:name w:val="footnote text"/>
    <w:basedOn w:val="Normal"/>
    <w:link w:val="FootnoteTextChar"/>
    <w:uiPriority w:val="99"/>
    <w:semiHidden/>
    <w:unhideWhenUsed/>
    <w:rsid w:val="00E73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46F"/>
    <w:rPr>
      <w:sz w:val="20"/>
      <w:szCs w:val="20"/>
    </w:rPr>
  </w:style>
  <w:style w:type="character" w:styleId="FootnoteReference">
    <w:name w:val="footnote reference"/>
    <w:basedOn w:val="DefaultParagraphFont"/>
    <w:uiPriority w:val="99"/>
    <w:semiHidden/>
    <w:unhideWhenUsed/>
    <w:rsid w:val="00E7346F"/>
    <w:rPr>
      <w:vertAlign w:val="superscript"/>
    </w:rPr>
  </w:style>
  <w:style w:type="paragraph" w:customStyle="1" w:styleId="PaperAuthorsContact">
    <w:name w:val="Paper_Authors (Contact)"/>
    <w:basedOn w:val="PaperFormattext"/>
    <w:autoRedefine/>
    <w:qFormat/>
    <w:rsid w:val="00176E2D"/>
    <w:pPr>
      <w:spacing w:after="60"/>
      <w:ind w:left="170" w:hanging="170"/>
    </w:pPr>
    <w:rPr>
      <w:sz w:val="16"/>
    </w:rPr>
  </w:style>
  <w:style w:type="paragraph" w:customStyle="1" w:styleId="NoParagraphStyle">
    <w:name w:val="[No Paragraph Style]"/>
    <w:rsid w:val="008464EC"/>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Papertabletext">
    <w:name w:val="Paper_table text"/>
    <w:basedOn w:val="Normal"/>
    <w:autoRedefine/>
    <w:qFormat/>
    <w:rsid w:val="0023263F"/>
    <w:pPr>
      <w:autoSpaceDE w:val="0"/>
      <w:autoSpaceDN w:val="0"/>
      <w:adjustRightInd w:val="0"/>
      <w:spacing w:after="0" w:line="240" w:lineRule="auto"/>
      <w:jc w:val="center"/>
      <w:textAlignment w:val="center"/>
    </w:pPr>
    <w:rPr>
      <w:rFonts w:ascii="Arial" w:hAnsi="Arial" w:cs="Arial"/>
      <w:color w:val="000000"/>
      <w:sz w:val="16"/>
      <w:szCs w:val="16"/>
    </w:rPr>
  </w:style>
  <w:style w:type="character" w:styleId="Strong">
    <w:name w:val="Strong"/>
    <w:basedOn w:val="DefaultParagraphFont"/>
    <w:uiPriority w:val="22"/>
    <w:qFormat/>
    <w:rsid w:val="00DC1292"/>
    <w:rPr>
      <w:b/>
      <w:bCs/>
    </w:rPr>
  </w:style>
  <w:style w:type="paragraph" w:customStyle="1" w:styleId="style54">
    <w:name w:val="style54"/>
    <w:basedOn w:val="Normal"/>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bodytextblk">
    <w:name w:val="bodytextblk"/>
    <w:basedOn w:val="DefaultParagraphFont"/>
    <w:rsid w:val="00DC1292"/>
  </w:style>
  <w:style w:type="paragraph" w:customStyle="1" w:styleId="bodytextblk1">
    <w:name w:val="bodytextblk1"/>
    <w:basedOn w:val="Normal"/>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Style1">
    <w:name w:val="Style1"/>
    <w:basedOn w:val="PaperAbstractTitle"/>
    <w:next w:val="PaperMainheadings"/>
    <w:autoRedefine/>
    <w:qFormat/>
    <w:rsid w:val="009249BF"/>
  </w:style>
  <w:style w:type="character" w:styleId="CommentReference">
    <w:name w:val="annotation reference"/>
    <w:basedOn w:val="DefaultParagraphFont"/>
    <w:uiPriority w:val="99"/>
    <w:semiHidden/>
    <w:unhideWhenUsed/>
    <w:rsid w:val="009249BF"/>
    <w:rPr>
      <w:sz w:val="16"/>
      <w:szCs w:val="16"/>
    </w:rPr>
  </w:style>
  <w:style w:type="paragraph" w:styleId="CommentText">
    <w:name w:val="annotation text"/>
    <w:basedOn w:val="Normal"/>
    <w:link w:val="CommentTextChar"/>
    <w:uiPriority w:val="99"/>
    <w:semiHidden/>
    <w:unhideWhenUsed/>
    <w:rsid w:val="009249BF"/>
    <w:pPr>
      <w:spacing w:line="240" w:lineRule="auto"/>
    </w:pPr>
    <w:rPr>
      <w:sz w:val="20"/>
      <w:szCs w:val="20"/>
    </w:rPr>
  </w:style>
  <w:style w:type="character" w:customStyle="1" w:styleId="CommentTextChar">
    <w:name w:val="Comment Text Char"/>
    <w:basedOn w:val="DefaultParagraphFont"/>
    <w:link w:val="CommentText"/>
    <w:uiPriority w:val="99"/>
    <w:semiHidden/>
    <w:rsid w:val="009249BF"/>
    <w:rPr>
      <w:sz w:val="20"/>
      <w:szCs w:val="20"/>
    </w:rPr>
  </w:style>
  <w:style w:type="paragraph" w:styleId="CommentSubject">
    <w:name w:val="annotation subject"/>
    <w:basedOn w:val="CommentText"/>
    <w:next w:val="CommentText"/>
    <w:link w:val="CommentSubjectChar"/>
    <w:uiPriority w:val="99"/>
    <w:semiHidden/>
    <w:unhideWhenUsed/>
    <w:rsid w:val="009249BF"/>
    <w:rPr>
      <w:b/>
      <w:bCs/>
    </w:rPr>
  </w:style>
  <w:style w:type="character" w:customStyle="1" w:styleId="CommentSubjectChar">
    <w:name w:val="Comment Subject Char"/>
    <w:basedOn w:val="CommentTextChar"/>
    <w:link w:val="CommentSubject"/>
    <w:uiPriority w:val="99"/>
    <w:semiHidden/>
    <w:rsid w:val="009249BF"/>
    <w:rPr>
      <w:b/>
      <w:bCs/>
      <w:sz w:val="20"/>
      <w:szCs w:val="20"/>
    </w:rPr>
  </w:style>
  <w:style w:type="paragraph" w:styleId="BalloonText">
    <w:name w:val="Balloon Text"/>
    <w:basedOn w:val="Normal"/>
    <w:link w:val="BalloonTextChar"/>
    <w:uiPriority w:val="99"/>
    <w:semiHidden/>
    <w:unhideWhenUsed/>
    <w:rsid w:val="00924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BF"/>
    <w:rPr>
      <w:rFonts w:ascii="Segoe UI" w:hAnsi="Segoe UI" w:cs="Segoe UI"/>
      <w:sz w:val="18"/>
      <w:szCs w:val="18"/>
    </w:rPr>
  </w:style>
  <w:style w:type="table" w:styleId="TableGrid">
    <w:name w:val="Table Grid"/>
    <w:basedOn w:val="TableNormal"/>
    <w:uiPriority w:val="39"/>
    <w:rsid w:val="00E17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D93"/>
    <w:pPr>
      <w:ind w:left="720"/>
      <w:contextualSpacing/>
    </w:pPr>
  </w:style>
  <w:style w:type="paragraph" w:styleId="EndnoteText">
    <w:name w:val="endnote text"/>
    <w:basedOn w:val="Normal"/>
    <w:link w:val="EndnoteTextChar"/>
    <w:uiPriority w:val="99"/>
    <w:semiHidden/>
    <w:unhideWhenUsed/>
    <w:rsid w:val="00EF342C"/>
    <w:pPr>
      <w:snapToGrid w:val="0"/>
    </w:pPr>
  </w:style>
  <w:style w:type="character" w:customStyle="1" w:styleId="EndnoteTextChar">
    <w:name w:val="Endnote Text Char"/>
    <w:basedOn w:val="DefaultParagraphFont"/>
    <w:link w:val="EndnoteText"/>
    <w:uiPriority w:val="99"/>
    <w:semiHidden/>
    <w:rsid w:val="00EF342C"/>
  </w:style>
  <w:style w:type="character" w:styleId="EndnoteReference">
    <w:name w:val="endnote reference"/>
    <w:basedOn w:val="DefaultParagraphFont"/>
    <w:uiPriority w:val="99"/>
    <w:semiHidden/>
    <w:unhideWhenUsed/>
    <w:rsid w:val="00EF342C"/>
    <w:rPr>
      <w:vertAlign w:val="superscript"/>
    </w:rPr>
  </w:style>
  <w:style w:type="paragraph" w:styleId="Revision">
    <w:name w:val="Revision"/>
    <w:hidden/>
    <w:uiPriority w:val="99"/>
    <w:semiHidden/>
    <w:rsid w:val="00B705F1"/>
    <w:pPr>
      <w:spacing w:after="0" w:line="240" w:lineRule="auto"/>
    </w:pPr>
  </w:style>
  <w:style w:type="paragraph" w:customStyle="1" w:styleId="Clientbody">
    <w:name w:val="Clientbody"/>
    <w:basedOn w:val="Normal"/>
    <w:link w:val="ClientbodyChar"/>
    <w:rsid w:val="00CD0F6F"/>
    <w:pPr>
      <w:widowControl w:val="0"/>
      <w:spacing w:after="0" w:line="280" w:lineRule="atLeast"/>
      <w:jc w:val="both"/>
    </w:pPr>
    <w:rPr>
      <w:rFonts w:ascii="Arial" w:eastAsia="Batang" w:hAnsi="Arial" w:cs="Times New Roman"/>
      <w:color w:val="auto"/>
      <w:sz w:val="22"/>
      <w:szCs w:val="24"/>
      <w:lang w:eastAsia="en-AU"/>
    </w:rPr>
  </w:style>
  <w:style w:type="character" w:customStyle="1" w:styleId="ClientbodyChar">
    <w:name w:val="Clientbody Char"/>
    <w:basedOn w:val="DefaultParagraphFont"/>
    <w:link w:val="Clientbody"/>
    <w:rsid w:val="00CD0F6F"/>
    <w:rPr>
      <w:rFonts w:ascii="Arial" w:eastAsia="Batang" w:hAnsi="Arial" w:cs="Times New Roman"/>
      <w:color w:val="auto"/>
      <w:sz w:val="22"/>
      <w:szCs w:val="24"/>
      <w:lang w:eastAsia="en-AU"/>
    </w:rPr>
  </w:style>
  <w:style w:type="paragraph" w:customStyle="1" w:styleId="CharChar1CharCharChar">
    <w:name w:val="Char Char1 Char Char Char"/>
    <w:basedOn w:val="Normal"/>
    <w:rsid w:val="00CD0F6F"/>
    <w:pPr>
      <w:spacing w:after="160" w:line="240" w:lineRule="exact"/>
      <w:jc w:val="both"/>
    </w:pPr>
    <w:rPr>
      <w:rFonts w:ascii="Tahoma" w:eastAsia="Times New Roman" w:hAnsi="Tahoma" w:cs="Times New Roman"/>
      <w:bCs/>
      <w:color w:val="auto"/>
      <w:sz w:val="22"/>
      <w:szCs w:val="22"/>
      <w:lang w:val="en-US"/>
    </w:rPr>
  </w:style>
  <w:style w:type="character" w:styleId="LineNumber">
    <w:name w:val="line number"/>
    <w:basedOn w:val="DefaultParagraphFont"/>
    <w:uiPriority w:val="99"/>
    <w:semiHidden/>
    <w:unhideWhenUsed/>
    <w:rsid w:val="00373E3C"/>
  </w:style>
  <w:style w:type="character" w:customStyle="1" w:styleId="hps">
    <w:name w:val="hps"/>
    <w:basedOn w:val="DefaultParagraphFont"/>
    <w:rsid w:val="00D51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8"/>
        <w:szCs w:val="28"/>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B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perTitleEnglish">
    <w:name w:val="Paper_Title (English)"/>
    <w:basedOn w:val="Normal"/>
    <w:autoRedefine/>
    <w:qFormat/>
    <w:rsid w:val="00D5168D"/>
    <w:pPr>
      <w:widowControl w:val="0"/>
      <w:suppressAutoHyphens/>
      <w:spacing w:after="0" w:line="360" w:lineRule="auto"/>
      <w:jc w:val="center"/>
    </w:pPr>
    <w:rPr>
      <w:rFonts w:ascii="Times New Roman" w:hAnsi="Times New Roman" w:cs="Times New Roman"/>
      <w:b/>
      <w:bCs/>
      <w:caps/>
      <w:color w:val="auto"/>
      <w:sz w:val="24"/>
      <w:szCs w:val="24"/>
      <w:lang w:val="en-US" w:eastAsia="ko-KR"/>
    </w:rPr>
  </w:style>
  <w:style w:type="paragraph" w:styleId="En-tte">
    <w:name w:val="header"/>
    <w:basedOn w:val="Normal"/>
    <w:link w:val="Char"/>
    <w:uiPriority w:val="99"/>
    <w:unhideWhenUsed/>
    <w:rsid w:val="00B05166"/>
    <w:pPr>
      <w:tabs>
        <w:tab w:val="center" w:pos="4513"/>
        <w:tab w:val="right" w:pos="9026"/>
      </w:tabs>
      <w:spacing w:after="0" w:line="240" w:lineRule="auto"/>
    </w:pPr>
  </w:style>
  <w:style w:type="character" w:customStyle="1" w:styleId="Char">
    <w:name w:val="머리글 Char"/>
    <w:basedOn w:val="Policepardfaut"/>
    <w:link w:val="En-tte"/>
    <w:uiPriority w:val="99"/>
    <w:rsid w:val="00B05166"/>
  </w:style>
  <w:style w:type="paragraph" w:styleId="Pieddepage">
    <w:name w:val="footer"/>
    <w:basedOn w:val="Normal"/>
    <w:link w:val="Char0"/>
    <w:uiPriority w:val="99"/>
    <w:unhideWhenUsed/>
    <w:rsid w:val="000B6A27"/>
    <w:pPr>
      <w:tabs>
        <w:tab w:val="center" w:pos="4513"/>
        <w:tab w:val="right" w:pos="9026"/>
      </w:tabs>
      <w:spacing w:after="0" w:line="240" w:lineRule="auto"/>
    </w:pPr>
  </w:style>
  <w:style w:type="character" w:customStyle="1" w:styleId="Char0">
    <w:name w:val="바닥글 Char"/>
    <w:basedOn w:val="Policepardfaut"/>
    <w:link w:val="Pieddepage"/>
    <w:uiPriority w:val="99"/>
    <w:rsid w:val="000B6A27"/>
  </w:style>
  <w:style w:type="paragraph" w:customStyle="1" w:styleId="BasicParagraph">
    <w:name w:val="[Basic Paragraph]"/>
    <w:basedOn w:val="Normal"/>
    <w:uiPriority w:val="99"/>
    <w:rsid w:val="000B6A2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perFormattext">
    <w:name w:val="Paper_Format text"/>
    <w:autoRedefine/>
    <w:qFormat/>
    <w:rsid w:val="00CD0E8C"/>
    <w:pPr>
      <w:suppressAutoHyphens/>
      <w:spacing w:after="0" w:line="360" w:lineRule="auto"/>
      <w:jc w:val="both"/>
    </w:pPr>
    <w:rPr>
      <w:rFonts w:ascii="Times New Roman" w:hAnsi="Times New Roman" w:cs="Times New Roman"/>
      <w:color w:val="auto"/>
      <w:sz w:val="22"/>
      <w:szCs w:val="22"/>
      <w:lang w:val="en-US" w:eastAsia="ko-KR"/>
    </w:rPr>
  </w:style>
  <w:style w:type="paragraph" w:customStyle="1" w:styleId="PaperMainheadings">
    <w:name w:val="Paper_Main headings"/>
    <w:autoRedefine/>
    <w:qFormat/>
    <w:rsid w:val="00906995"/>
    <w:pPr>
      <w:suppressAutoHyphens/>
      <w:spacing w:after="0" w:line="240" w:lineRule="auto"/>
      <w:ind w:left="454" w:hanging="454"/>
      <w:jc w:val="both"/>
    </w:pPr>
    <w:rPr>
      <w:rFonts w:ascii="Times New Roman" w:hAnsi="Times New Roman" w:cs="Times New Roman"/>
      <w:b/>
      <w:bCs/>
      <w:color w:val="auto"/>
      <w:sz w:val="24"/>
      <w:szCs w:val="24"/>
      <w:lang w:eastAsia="ko-KR"/>
    </w:rPr>
  </w:style>
  <w:style w:type="paragraph" w:styleId="Sansinterligne">
    <w:name w:val="No Spacing"/>
    <w:uiPriority w:val="1"/>
    <w:qFormat/>
    <w:rsid w:val="0061071C"/>
    <w:pPr>
      <w:spacing w:after="0" w:line="240" w:lineRule="auto"/>
    </w:pPr>
  </w:style>
  <w:style w:type="paragraph" w:customStyle="1" w:styleId="PaperTitleFrench">
    <w:name w:val="Paper_Title (French)"/>
    <w:basedOn w:val="PaperTitleEnglish"/>
    <w:autoRedefine/>
    <w:qFormat/>
    <w:rsid w:val="00D27F61"/>
    <w:pPr>
      <w:spacing w:before="240"/>
    </w:pPr>
    <w:rPr>
      <w:b w:val="0"/>
    </w:rPr>
  </w:style>
  <w:style w:type="paragraph" w:customStyle="1" w:styleId="PaperAuthorNames">
    <w:name w:val="Paper_Author Names"/>
    <w:autoRedefine/>
    <w:qFormat/>
    <w:rsid w:val="00494941"/>
    <w:pPr>
      <w:suppressAutoHyphens/>
      <w:spacing w:before="240" w:after="0" w:line="240" w:lineRule="auto"/>
      <w:jc w:val="center"/>
    </w:pPr>
    <w:rPr>
      <w:rFonts w:ascii="Arial" w:hAnsi="Arial" w:cs="Arial"/>
      <w:color w:val="000000"/>
      <w:sz w:val="20"/>
      <w:szCs w:val="20"/>
    </w:rPr>
  </w:style>
  <w:style w:type="paragraph" w:customStyle="1" w:styleId="PaperAbstractTitle">
    <w:name w:val="Paper_Abstract (Title)"/>
    <w:basedOn w:val="PaperAuthorNames"/>
    <w:autoRedefine/>
    <w:qFormat/>
    <w:rsid w:val="00906995"/>
    <w:pPr>
      <w:spacing w:before="360"/>
    </w:pPr>
    <w:rPr>
      <w:rFonts w:ascii="Times New Roman" w:hAnsi="Times New Roman" w:cs="Times New Roman"/>
      <w:b/>
      <w:sz w:val="24"/>
      <w:szCs w:val="24"/>
    </w:rPr>
  </w:style>
  <w:style w:type="paragraph" w:customStyle="1" w:styleId="PaperResumeFrench">
    <w:name w:val="Paper_Resume (French)"/>
    <w:basedOn w:val="PaperAbstractTitle"/>
    <w:autoRedefine/>
    <w:qFormat/>
    <w:rsid w:val="004D60CF"/>
    <w:pPr>
      <w:spacing w:before="240"/>
    </w:pPr>
    <w:rPr>
      <w:bCs/>
    </w:rPr>
  </w:style>
  <w:style w:type="paragraph" w:customStyle="1" w:styleId="PaperSubheadings">
    <w:name w:val="Paper_Subheadings"/>
    <w:basedOn w:val="PaperMainheadings"/>
    <w:autoRedefine/>
    <w:qFormat/>
    <w:rsid w:val="00BA3F83"/>
    <w:pPr>
      <w:widowControl w:val="0"/>
      <w:spacing w:line="360" w:lineRule="auto"/>
      <w:ind w:left="567" w:hanging="567"/>
    </w:pPr>
    <w:rPr>
      <w:b w:val="0"/>
      <w:bCs w:val="0"/>
      <w:i/>
      <w:sz w:val="22"/>
      <w:szCs w:val="22"/>
    </w:rPr>
  </w:style>
  <w:style w:type="paragraph" w:customStyle="1" w:styleId="PaperReferences">
    <w:name w:val="Paper_References"/>
    <w:autoRedefine/>
    <w:qFormat/>
    <w:rsid w:val="005557F4"/>
    <w:pPr>
      <w:suppressAutoHyphens/>
      <w:spacing w:after="60" w:line="240" w:lineRule="auto"/>
      <w:ind w:left="284" w:hanging="284"/>
      <w:jc w:val="both"/>
    </w:pPr>
    <w:rPr>
      <w:rFonts w:ascii="Times New Roman" w:hAnsi="Times New Roman" w:cs="Times New Roman"/>
      <w:color w:val="auto"/>
      <w:sz w:val="22"/>
      <w:szCs w:val="22"/>
      <w:lang w:eastAsia="ko-KR"/>
    </w:rPr>
  </w:style>
  <w:style w:type="paragraph" w:customStyle="1" w:styleId="PaperTextnumbered">
    <w:name w:val="Paper_Text numbered"/>
    <w:basedOn w:val="BasicParagraph"/>
    <w:autoRedefine/>
    <w:qFormat/>
    <w:rsid w:val="000123FA"/>
    <w:pPr>
      <w:numPr>
        <w:numId w:val="1"/>
      </w:numPr>
      <w:suppressAutoHyphens/>
      <w:spacing w:after="60" w:line="240" w:lineRule="auto"/>
      <w:ind w:left="340" w:hanging="340"/>
      <w:jc w:val="both"/>
    </w:pPr>
    <w:rPr>
      <w:rFonts w:ascii="Arial" w:hAnsi="Arial" w:cs="Arial"/>
      <w:sz w:val="20"/>
      <w:szCs w:val="20"/>
    </w:rPr>
  </w:style>
  <w:style w:type="paragraph" w:customStyle="1" w:styleId="PaperTextbullets">
    <w:name w:val="Paper_Text bullets"/>
    <w:basedOn w:val="BasicParagraph"/>
    <w:autoRedefine/>
    <w:qFormat/>
    <w:rsid w:val="00AC457A"/>
    <w:pPr>
      <w:numPr>
        <w:numId w:val="3"/>
      </w:numPr>
      <w:suppressAutoHyphens/>
      <w:spacing w:after="60" w:line="240" w:lineRule="auto"/>
      <w:ind w:left="284" w:hanging="284"/>
      <w:jc w:val="both"/>
    </w:pPr>
    <w:rPr>
      <w:rFonts w:ascii="Arial" w:hAnsi="Arial" w:cs="Arial"/>
      <w:sz w:val="20"/>
      <w:szCs w:val="20"/>
    </w:rPr>
  </w:style>
  <w:style w:type="paragraph" w:styleId="Notedebasdepage">
    <w:name w:val="footnote text"/>
    <w:basedOn w:val="Normal"/>
    <w:link w:val="Char1"/>
    <w:uiPriority w:val="99"/>
    <w:semiHidden/>
    <w:unhideWhenUsed/>
    <w:rsid w:val="00E7346F"/>
    <w:pPr>
      <w:spacing w:after="0" w:line="240" w:lineRule="auto"/>
    </w:pPr>
    <w:rPr>
      <w:sz w:val="20"/>
      <w:szCs w:val="20"/>
    </w:rPr>
  </w:style>
  <w:style w:type="character" w:customStyle="1" w:styleId="Char1">
    <w:name w:val="각주 텍스트 Char"/>
    <w:basedOn w:val="Policepardfaut"/>
    <w:link w:val="Notedebasdepage"/>
    <w:uiPriority w:val="99"/>
    <w:semiHidden/>
    <w:rsid w:val="00E7346F"/>
    <w:rPr>
      <w:sz w:val="20"/>
      <w:szCs w:val="20"/>
    </w:rPr>
  </w:style>
  <w:style w:type="character" w:styleId="Appelnotedebasdep">
    <w:name w:val="footnote reference"/>
    <w:basedOn w:val="Policepardfaut"/>
    <w:uiPriority w:val="99"/>
    <w:semiHidden/>
    <w:unhideWhenUsed/>
    <w:rsid w:val="00E7346F"/>
    <w:rPr>
      <w:vertAlign w:val="superscript"/>
    </w:rPr>
  </w:style>
  <w:style w:type="paragraph" w:customStyle="1" w:styleId="PaperAuthorsContact">
    <w:name w:val="Paper_Authors (Contact)"/>
    <w:basedOn w:val="PaperFormattext"/>
    <w:autoRedefine/>
    <w:qFormat/>
    <w:rsid w:val="00176E2D"/>
    <w:pPr>
      <w:spacing w:after="60"/>
      <w:ind w:left="170" w:hanging="170"/>
    </w:pPr>
    <w:rPr>
      <w:sz w:val="16"/>
    </w:rPr>
  </w:style>
  <w:style w:type="paragraph" w:customStyle="1" w:styleId="NoParagraphStyle">
    <w:name w:val="[No Paragraph Style]"/>
    <w:rsid w:val="008464EC"/>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Papertabletext">
    <w:name w:val="Paper_table text"/>
    <w:basedOn w:val="Normal"/>
    <w:autoRedefine/>
    <w:qFormat/>
    <w:rsid w:val="0023263F"/>
    <w:pPr>
      <w:autoSpaceDE w:val="0"/>
      <w:autoSpaceDN w:val="0"/>
      <w:adjustRightInd w:val="0"/>
      <w:spacing w:after="0" w:line="240" w:lineRule="auto"/>
      <w:jc w:val="center"/>
      <w:textAlignment w:val="center"/>
    </w:pPr>
    <w:rPr>
      <w:rFonts w:ascii="Arial" w:hAnsi="Arial" w:cs="Arial"/>
      <w:color w:val="000000"/>
      <w:sz w:val="16"/>
      <w:szCs w:val="16"/>
    </w:rPr>
  </w:style>
  <w:style w:type="character" w:styleId="lev">
    <w:name w:val="Strong"/>
    <w:basedOn w:val="Policepardfaut"/>
    <w:uiPriority w:val="22"/>
    <w:qFormat/>
    <w:rsid w:val="00DC1292"/>
    <w:rPr>
      <w:b/>
      <w:bCs/>
    </w:rPr>
  </w:style>
  <w:style w:type="paragraph" w:customStyle="1" w:styleId="style54">
    <w:name w:val="style54"/>
    <w:basedOn w:val="Normal"/>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bodytextblk">
    <w:name w:val="bodytextblk"/>
    <w:basedOn w:val="Policepardfaut"/>
    <w:rsid w:val="00DC1292"/>
  </w:style>
  <w:style w:type="paragraph" w:customStyle="1" w:styleId="bodytextblk1">
    <w:name w:val="bodytextblk1"/>
    <w:basedOn w:val="Normal"/>
    <w:rsid w:val="00DC129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Style1">
    <w:name w:val="Style1"/>
    <w:basedOn w:val="PaperAbstractTitle"/>
    <w:next w:val="PaperMainheadings"/>
    <w:autoRedefine/>
    <w:qFormat/>
    <w:rsid w:val="009249BF"/>
  </w:style>
  <w:style w:type="character" w:styleId="Marquedecommentaire">
    <w:name w:val="annotation reference"/>
    <w:basedOn w:val="Policepardfaut"/>
    <w:uiPriority w:val="99"/>
    <w:semiHidden/>
    <w:unhideWhenUsed/>
    <w:rsid w:val="009249BF"/>
    <w:rPr>
      <w:sz w:val="16"/>
      <w:szCs w:val="16"/>
    </w:rPr>
  </w:style>
  <w:style w:type="paragraph" w:styleId="Commentaire">
    <w:name w:val="annotation text"/>
    <w:basedOn w:val="Normal"/>
    <w:link w:val="Char2"/>
    <w:uiPriority w:val="99"/>
    <w:semiHidden/>
    <w:unhideWhenUsed/>
    <w:rsid w:val="009249BF"/>
    <w:pPr>
      <w:spacing w:line="240" w:lineRule="auto"/>
    </w:pPr>
    <w:rPr>
      <w:sz w:val="20"/>
      <w:szCs w:val="20"/>
    </w:rPr>
  </w:style>
  <w:style w:type="character" w:customStyle="1" w:styleId="Char2">
    <w:name w:val="메모 텍스트 Char"/>
    <w:basedOn w:val="Policepardfaut"/>
    <w:link w:val="Commentaire"/>
    <w:uiPriority w:val="99"/>
    <w:semiHidden/>
    <w:rsid w:val="009249BF"/>
    <w:rPr>
      <w:sz w:val="20"/>
      <w:szCs w:val="20"/>
    </w:rPr>
  </w:style>
  <w:style w:type="paragraph" w:styleId="Objetducommentaire">
    <w:name w:val="annotation subject"/>
    <w:basedOn w:val="Commentaire"/>
    <w:next w:val="Commentaire"/>
    <w:link w:val="Char3"/>
    <w:uiPriority w:val="99"/>
    <w:semiHidden/>
    <w:unhideWhenUsed/>
    <w:rsid w:val="009249BF"/>
    <w:rPr>
      <w:b/>
      <w:bCs/>
    </w:rPr>
  </w:style>
  <w:style w:type="character" w:customStyle="1" w:styleId="Char3">
    <w:name w:val="메모 주제 Char"/>
    <w:basedOn w:val="Char2"/>
    <w:link w:val="Objetducommentaire"/>
    <w:uiPriority w:val="99"/>
    <w:semiHidden/>
    <w:rsid w:val="009249BF"/>
    <w:rPr>
      <w:b/>
      <w:bCs/>
      <w:sz w:val="20"/>
      <w:szCs w:val="20"/>
    </w:rPr>
  </w:style>
  <w:style w:type="paragraph" w:styleId="Textedebulles">
    <w:name w:val="Balloon Text"/>
    <w:basedOn w:val="Normal"/>
    <w:link w:val="Char4"/>
    <w:uiPriority w:val="99"/>
    <w:semiHidden/>
    <w:unhideWhenUsed/>
    <w:rsid w:val="009249BF"/>
    <w:pPr>
      <w:spacing w:after="0" w:line="240" w:lineRule="auto"/>
    </w:pPr>
    <w:rPr>
      <w:rFonts w:ascii="Segoe UI" w:hAnsi="Segoe UI" w:cs="Segoe UI"/>
      <w:sz w:val="18"/>
      <w:szCs w:val="18"/>
    </w:rPr>
  </w:style>
  <w:style w:type="character" w:customStyle="1" w:styleId="Char4">
    <w:name w:val="풍선 도움말 텍스트 Char"/>
    <w:basedOn w:val="Policepardfaut"/>
    <w:link w:val="Textedebulles"/>
    <w:uiPriority w:val="99"/>
    <w:semiHidden/>
    <w:rsid w:val="009249BF"/>
    <w:rPr>
      <w:rFonts w:ascii="Segoe UI" w:hAnsi="Segoe UI" w:cs="Segoe UI"/>
      <w:sz w:val="18"/>
      <w:szCs w:val="18"/>
    </w:rPr>
  </w:style>
  <w:style w:type="table" w:styleId="Grilledutableau">
    <w:name w:val="Table Grid"/>
    <w:basedOn w:val="TableauNormal"/>
    <w:uiPriority w:val="39"/>
    <w:rsid w:val="00E1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7D93"/>
    <w:pPr>
      <w:ind w:left="720"/>
      <w:contextualSpacing/>
    </w:pPr>
  </w:style>
  <w:style w:type="paragraph" w:styleId="Notedefin">
    <w:name w:val="endnote text"/>
    <w:basedOn w:val="Normal"/>
    <w:link w:val="Char5"/>
    <w:uiPriority w:val="99"/>
    <w:semiHidden/>
    <w:unhideWhenUsed/>
    <w:rsid w:val="00EF342C"/>
    <w:pPr>
      <w:snapToGrid w:val="0"/>
    </w:pPr>
  </w:style>
  <w:style w:type="character" w:customStyle="1" w:styleId="Char5">
    <w:name w:val="미주 텍스트 Char"/>
    <w:basedOn w:val="Policepardfaut"/>
    <w:link w:val="Notedefin"/>
    <w:uiPriority w:val="99"/>
    <w:semiHidden/>
    <w:rsid w:val="00EF342C"/>
  </w:style>
  <w:style w:type="character" w:styleId="Appeldenotedefin">
    <w:name w:val="endnote reference"/>
    <w:basedOn w:val="Policepardfaut"/>
    <w:uiPriority w:val="99"/>
    <w:semiHidden/>
    <w:unhideWhenUsed/>
    <w:rsid w:val="00EF342C"/>
    <w:rPr>
      <w:vertAlign w:val="superscript"/>
    </w:rPr>
  </w:style>
  <w:style w:type="paragraph" w:styleId="Rvision">
    <w:name w:val="Revision"/>
    <w:hidden/>
    <w:uiPriority w:val="99"/>
    <w:semiHidden/>
    <w:rsid w:val="00B705F1"/>
    <w:pPr>
      <w:spacing w:after="0" w:line="240" w:lineRule="auto"/>
    </w:pPr>
  </w:style>
  <w:style w:type="paragraph" w:customStyle="1" w:styleId="Clientbody">
    <w:name w:val="Clientbody"/>
    <w:basedOn w:val="Normal"/>
    <w:link w:val="ClientbodyChar"/>
    <w:rsid w:val="00CD0F6F"/>
    <w:pPr>
      <w:widowControl w:val="0"/>
      <w:spacing w:after="0" w:line="280" w:lineRule="atLeast"/>
      <w:jc w:val="both"/>
    </w:pPr>
    <w:rPr>
      <w:rFonts w:ascii="Arial" w:eastAsia="Batang" w:hAnsi="Arial" w:cs="Times New Roman"/>
      <w:color w:val="auto"/>
      <w:sz w:val="22"/>
      <w:szCs w:val="24"/>
      <w:lang w:eastAsia="en-AU"/>
    </w:rPr>
  </w:style>
  <w:style w:type="character" w:customStyle="1" w:styleId="ClientbodyChar">
    <w:name w:val="Clientbody Char"/>
    <w:basedOn w:val="Policepardfaut"/>
    <w:link w:val="Clientbody"/>
    <w:rsid w:val="00CD0F6F"/>
    <w:rPr>
      <w:rFonts w:ascii="Arial" w:eastAsia="Batang" w:hAnsi="Arial" w:cs="Times New Roman"/>
      <w:color w:val="auto"/>
      <w:sz w:val="22"/>
      <w:szCs w:val="24"/>
      <w:lang w:eastAsia="en-AU"/>
    </w:rPr>
  </w:style>
  <w:style w:type="paragraph" w:customStyle="1" w:styleId="CharChar1CharCharChar">
    <w:name w:val="Char Char1 Char Char Char"/>
    <w:basedOn w:val="Normal"/>
    <w:rsid w:val="00CD0F6F"/>
    <w:pPr>
      <w:spacing w:after="160" w:line="240" w:lineRule="exact"/>
      <w:jc w:val="both"/>
    </w:pPr>
    <w:rPr>
      <w:rFonts w:ascii="Tahoma" w:eastAsia="Times New Roman" w:hAnsi="Tahoma" w:cs="Times New Roman"/>
      <w:bCs/>
      <w:color w:val="auto"/>
      <w:sz w:val="22"/>
      <w:szCs w:val="22"/>
      <w:lang w:val="en-US"/>
    </w:rPr>
  </w:style>
  <w:style w:type="character" w:styleId="Numrodeligne">
    <w:name w:val="line number"/>
    <w:basedOn w:val="Policepardfaut"/>
    <w:uiPriority w:val="99"/>
    <w:semiHidden/>
    <w:unhideWhenUsed/>
    <w:rsid w:val="00373E3C"/>
  </w:style>
  <w:style w:type="character" w:customStyle="1" w:styleId="hps">
    <w:name w:val="hps"/>
    <w:basedOn w:val="Policepardfaut"/>
    <w:rsid w:val="00D5168D"/>
  </w:style>
</w:styles>
</file>

<file path=word/webSettings.xml><?xml version="1.0" encoding="utf-8"?>
<w:webSettings xmlns:r="http://schemas.openxmlformats.org/officeDocument/2006/relationships" xmlns:w="http://schemas.openxmlformats.org/wordprocessingml/2006/main">
  <w:divs>
    <w:div w:id="627006359">
      <w:bodyDiv w:val="1"/>
      <w:marLeft w:val="0"/>
      <w:marRight w:val="0"/>
      <w:marTop w:val="0"/>
      <w:marBottom w:val="0"/>
      <w:divBdr>
        <w:top w:val="none" w:sz="0" w:space="0" w:color="auto"/>
        <w:left w:val="none" w:sz="0" w:space="0" w:color="auto"/>
        <w:bottom w:val="none" w:sz="0" w:space="0" w:color="auto"/>
        <w:right w:val="none" w:sz="0" w:space="0" w:color="auto"/>
      </w:divBdr>
      <w:divsChild>
        <w:div w:id="74672186">
          <w:marLeft w:val="0"/>
          <w:marRight w:val="0"/>
          <w:marTop w:val="0"/>
          <w:marBottom w:val="0"/>
          <w:divBdr>
            <w:top w:val="none" w:sz="0" w:space="0" w:color="auto"/>
            <w:left w:val="none" w:sz="0" w:space="0" w:color="auto"/>
            <w:bottom w:val="none" w:sz="0" w:space="0" w:color="auto"/>
            <w:right w:val="none" w:sz="0" w:space="0" w:color="auto"/>
          </w:divBdr>
          <w:divsChild>
            <w:div w:id="13379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4.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tif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tif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tif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tiff"/><Relationship Id="rId10" Type="http://schemas.openxmlformats.org/officeDocument/2006/relationships/header" Target="header1.xml"/><Relationship Id="rId19"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8.tiff"/><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terEnv\My%20Documents\Dropbox\00_&#51089;&#50629;\ICID_symposium\2_full%20paper&#51228;&#52636;\22Congress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858D-571F-4890-90D9-92E12B23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22Congress_template2</Template>
  <TotalTime>2</TotalTime>
  <Pages>31</Pages>
  <Words>6702</Words>
  <Characters>38202</Characters>
  <Application>Microsoft Office Word</Application>
  <DocSecurity>0</DocSecurity>
  <Lines>318</Lines>
  <Paragraphs>89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London Southbank University</Company>
  <LinksUpToDate>false</LinksUpToDate>
  <CharactersWithSpaces>44815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hongt</cp:lastModifiedBy>
  <cp:revision>2</cp:revision>
  <cp:lastPrinted>2016-01-06T08:41:00Z</cp:lastPrinted>
  <dcterms:created xsi:type="dcterms:W3CDTF">2017-10-18T13:32:00Z</dcterms:created>
  <dcterms:modified xsi:type="dcterms:W3CDTF">2017-10-18T13:32:00Z</dcterms:modified>
</cp:coreProperties>
</file>