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386" w:rsidRPr="004F7386" w:rsidRDefault="004F7386" w:rsidP="00D2527D">
      <w:pPr>
        <w:shd w:val="clear" w:color="auto" w:fill="FFFFFF"/>
        <w:jc w:val="both"/>
        <w:rPr>
          <w:rFonts w:ascii="Verdana" w:hAnsi="Verdana" w:cs="Arial"/>
          <w:b/>
          <w:bCs/>
          <w:color w:val="000000"/>
          <w:sz w:val="28"/>
          <w:szCs w:val="28"/>
        </w:rPr>
      </w:pPr>
      <w:r w:rsidRPr="00C05BEE">
        <w:rPr>
          <w:rFonts w:ascii="Verdana" w:hAnsi="Verdana" w:cs="Arial"/>
          <w:b/>
          <w:bCs/>
          <w:color w:val="000000"/>
          <w:sz w:val="28"/>
          <w:szCs w:val="28"/>
        </w:rPr>
        <w:t>Combining cooling of underground railways with heat recovery and reuse</w:t>
      </w:r>
    </w:p>
    <w:p w:rsidR="00EE2CC0" w:rsidRPr="00235979" w:rsidRDefault="00EE2CC0" w:rsidP="00C93041">
      <w:pPr>
        <w:pStyle w:val="02AuthorName"/>
        <w:rPr>
          <w:b w:val="0"/>
        </w:rPr>
      </w:pPr>
    </w:p>
    <w:p w:rsidR="004F7386" w:rsidRPr="004F7386" w:rsidRDefault="004F7386" w:rsidP="009134BE">
      <w:pPr>
        <w:pStyle w:val="02AuthorName"/>
      </w:pPr>
      <w:r w:rsidRPr="004F7386">
        <w:t>Abstract</w:t>
      </w:r>
    </w:p>
    <w:p w:rsidR="00EE2CC0" w:rsidRPr="00C415ED" w:rsidRDefault="00E82532" w:rsidP="00EE2CC0">
      <w:pPr>
        <w:spacing w:line="288" w:lineRule="auto"/>
        <w:jc w:val="both"/>
      </w:pPr>
      <w:bookmarkStart w:id="0" w:name="_GoBack"/>
      <w:r>
        <w:t xml:space="preserve">The paper concerns the recovery and use of secondary/waste heat and identifies secondary heat sources in London of 71TWh i.e. c10% more than demand.  London Underground (LU) railway tunnels generate significant quantities of low grade heat. There is also a requirement for active cooling to reverse the long term trend of rising tunnel temperatures. A novel combined cooling and heat recovery scheme for LU tunnels, utilising existing ventilation shafts, was proposed. Recovered heat was upgraded using a heat pump, for reuse in a local district heating network (DHN). A new model was developed to investigate the thermodynamic performance, economic feasibility and potential carbon savings available. It was concluded that the system could simultaneously provide 900 kW of cooling to the tunnel, and after upgrading to 70°C, </w:t>
      </w:r>
      <w:r w:rsidR="00321D04">
        <w:t xml:space="preserve">approximately 1.1 MW of heat, which </w:t>
      </w:r>
      <w:r>
        <w:t xml:space="preserve">could be used as a source for a DHN. The model predicted that this could be carried out economically and could deliver massive carbon and cost savings. With 200 ventilation shafts in London, &gt;360,000 tonnes of carbon could be saved annually, while generating revenues of £40,000,000. Applying this technology to 50% of 150 metro systems worldwide would enable more than 27 million tonnes of carbon savings. </w:t>
      </w:r>
    </w:p>
    <w:bookmarkEnd w:id="0"/>
    <w:p w:rsidR="00EE2CC0" w:rsidRPr="00C415ED" w:rsidRDefault="00EE2CC0" w:rsidP="00EE2CC0">
      <w:pPr>
        <w:pStyle w:val="02AuthorName"/>
      </w:pPr>
      <w:r w:rsidRPr="00C415ED">
        <w:t>Key words</w:t>
      </w:r>
    </w:p>
    <w:p w:rsidR="00EE2CC0" w:rsidRPr="00235979" w:rsidRDefault="00EE2CC0" w:rsidP="00EE2CC0">
      <w:pPr>
        <w:pStyle w:val="02AuthorName"/>
        <w:rPr>
          <w:b w:val="0"/>
        </w:rPr>
      </w:pPr>
      <w:r>
        <w:rPr>
          <w:b w:val="0"/>
        </w:rPr>
        <w:t>Cooling; waste heat recovery; heat pump; heat reuse; district heating;</w:t>
      </w:r>
      <w:r w:rsidRPr="00235979">
        <w:rPr>
          <w:b w:val="0"/>
        </w:rPr>
        <w:t xml:space="preserve"> </w:t>
      </w:r>
      <w:r>
        <w:rPr>
          <w:b w:val="0"/>
        </w:rPr>
        <w:t xml:space="preserve">energy, </w:t>
      </w:r>
      <w:r w:rsidRPr="00235979">
        <w:rPr>
          <w:b w:val="0"/>
        </w:rPr>
        <w:t>cost and carbon savings</w:t>
      </w:r>
    </w:p>
    <w:p w:rsidR="00EE2CC0" w:rsidRDefault="00EE2CC0" w:rsidP="00D2527D">
      <w:pPr>
        <w:jc w:val="both"/>
        <w:rPr>
          <w:b/>
        </w:rPr>
      </w:pPr>
    </w:p>
    <w:p w:rsidR="00E82532" w:rsidRDefault="00E82532" w:rsidP="00D2527D">
      <w:pPr>
        <w:jc w:val="both"/>
        <w:rPr>
          <w:b/>
        </w:rPr>
      </w:pPr>
    </w:p>
    <w:p w:rsidR="00086C80" w:rsidRDefault="00086C80" w:rsidP="00D2527D">
      <w:pPr>
        <w:jc w:val="both"/>
        <w:rPr>
          <w:b/>
        </w:rPr>
      </w:pPr>
    </w:p>
    <w:p w:rsidR="00086C80" w:rsidRDefault="00086C80" w:rsidP="00D2527D">
      <w:pPr>
        <w:jc w:val="both"/>
        <w:rPr>
          <w:b/>
        </w:rPr>
      </w:pPr>
    </w:p>
    <w:p w:rsidR="00086C80" w:rsidRDefault="00086C80" w:rsidP="00D2527D">
      <w:pPr>
        <w:jc w:val="both"/>
        <w:rPr>
          <w:b/>
        </w:rPr>
      </w:pPr>
    </w:p>
    <w:p w:rsidR="00EE2CC0" w:rsidRDefault="00EE2CC0" w:rsidP="00D2527D">
      <w:pPr>
        <w:jc w:val="both"/>
        <w:rPr>
          <w:b/>
        </w:rPr>
      </w:pPr>
    </w:p>
    <w:p w:rsidR="00EE2CC0" w:rsidRDefault="00EE2CC0" w:rsidP="00D2527D">
      <w:pPr>
        <w:jc w:val="both"/>
        <w:rPr>
          <w:b/>
        </w:rPr>
      </w:pPr>
    </w:p>
    <w:p w:rsidR="00EE2CC0" w:rsidRDefault="00EE2CC0" w:rsidP="00D2527D">
      <w:pPr>
        <w:jc w:val="both"/>
        <w:rPr>
          <w:b/>
        </w:rPr>
      </w:pPr>
    </w:p>
    <w:p w:rsidR="00EE2CC0" w:rsidRDefault="00EE2CC0" w:rsidP="00D2527D">
      <w:pPr>
        <w:jc w:val="both"/>
        <w:rPr>
          <w:b/>
        </w:rPr>
      </w:pPr>
    </w:p>
    <w:p w:rsidR="00EE2CC0" w:rsidRDefault="00EE2CC0" w:rsidP="00D2527D">
      <w:pPr>
        <w:jc w:val="both"/>
        <w:rPr>
          <w:b/>
        </w:rPr>
      </w:pPr>
    </w:p>
    <w:p w:rsidR="00EE2CC0" w:rsidRDefault="00EE2CC0" w:rsidP="00D2527D">
      <w:pPr>
        <w:jc w:val="both"/>
        <w:rPr>
          <w:b/>
        </w:rPr>
      </w:pPr>
    </w:p>
    <w:p w:rsidR="00086C80" w:rsidRDefault="00086C80" w:rsidP="00D2527D">
      <w:pPr>
        <w:jc w:val="both"/>
        <w:rPr>
          <w:b/>
        </w:rPr>
      </w:pPr>
    </w:p>
    <w:p w:rsidR="008C1235" w:rsidRDefault="008C1235">
      <w:pPr>
        <w:rPr>
          <w:b/>
        </w:rPr>
      </w:pPr>
      <w:r>
        <w:rPr>
          <w:b/>
        </w:rPr>
        <w:lastRenderedPageBreak/>
        <w:t>1.</w:t>
      </w:r>
      <w:r>
        <w:rPr>
          <w:b/>
        </w:rPr>
        <w:tab/>
        <w:t>Introduction</w:t>
      </w:r>
    </w:p>
    <w:p w:rsidR="009134BE" w:rsidRDefault="008C1235" w:rsidP="00D2527D">
      <w:pPr>
        <w:jc w:val="both"/>
      </w:pPr>
      <w:r w:rsidRPr="008C1235">
        <w:t>1.1</w:t>
      </w:r>
      <w:r w:rsidRPr="008C1235">
        <w:tab/>
      </w:r>
      <w:r w:rsidR="00D30A6F" w:rsidRPr="008C1235">
        <w:t>Background</w:t>
      </w:r>
    </w:p>
    <w:p w:rsidR="00994AE0" w:rsidRDefault="002D19D5" w:rsidP="00D2527D">
      <w:pPr>
        <w:jc w:val="both"/>
      </w:pPr>
      <w:r w:rsidRPr="00DD269C">
        <w:t>Climate change is one of the greates</w:t>
      </w:r>
      <w:r w:rsidR="00321D04">
        <w:t>t challenges faced by mankind over</w:t>
      </w:r>
      <w:r w:rsidRPr="00DD269C">
        <w:t xml:space="preserve"> recent years and </w:t>
      </w:r>
      <w:r w:rsidR="00E00E0C">
        <w:t xml:space="preserve">is generally </w:t>
      </w:r>
      <w:r w:rsidRPr="00DD269C">
        <w:t>attributed to human actions on the env</w:t>
      </w:r>
      <w:r w:rsidR="00E00E0C">
        <w:t>ironment,</w:t>
      </w:r>
      <w:r w:rsidR="00836C12" w:rsidRPr="00DD269C">
        <w:t xml:space="preserve"> such</w:t>
      </w:r>
      <w:r w:rsidRPr="00DD269C">
        <w:t xml:space="preserve"> as burning fossil fuels, intensive farming and deforestation, all of which increase the emiss</w:t>
      </w:r>
      <w:r w:rsidR="00321D04">
        <w:t>ion of greenhouse gases</w:t>
      </w:r>
      <w:r w:rsidR="00E00E0C">
        <w:t xml:space="preserve"> (GHGs)</w:t>
      </w:r>
      <w:r w:rsidR="00321D04">
        <w:t xml:space="preserve"> into the</w:t>
      </w:r>
      <w:r w:rsidRPr="00DD269C">
        <w:t xml:space="preserve"> atmosphere </w:t>
      </w:r>
      <w:r w:rsidR="00321D04">
        <w:t>(WWF, 2018). The United Kingdom</w:t>
      </w:r>
      <w:r w:rsidRPr="00DD269C">
        <w:t xml:space="preserve"> </w:t>
      </w:r>
      <w:r w:rsidR="00321D04">
        <w:t>is</w:t>
      </w:r>
      <w:r w:rsidR="009F3A6D" w:rsidRPr="00DD269C">
        <w:t xml:space="preserve"> </w:t>
      </w:r>
      <w:r w:rsidRPr="00DD269C">
        <w:t>the 5</w:t>
      </w:r>
      <w:r w:rsidRPr="00DD269C">
        <w:rPr>
          <w:vertAlign w:val="superscript"/>
        </w:rPr>
        <w:t>th</w:t>
      </w:r>
      <w:r w:rsidRPr="00DD269C">
        <w:t xml:space="preserve"> largest</w:t>
      </w:r>
      <w:r w:rsidR="00E00E0C">
        <w:t xml:space="preserve"> national economy in the world </w:t>
      </w:r>
      <w:r w:rsidRPr="00DD269C">
        <w:t xml:space="preserve">(World Bank, 2017), </w:t>
      </w:r>
      <w:r w:rsidR="00E00E0C">
        <w:t>but</w:t>
      </w:r>
      <w:r w:rsidR="00321D04">
        <w:t xml:space="preserve"> only</w:t>
      </w:r>
      <w:r w:rsidRPr="00DD269C">
        <w:t xml:space="preserve"> the 17</w:t>
      </w:r>
      <w:r w:rsidRPr="00DD269C">
        <w:rPr>
          <w:vertAlign w:val="superscript"/>
        </w:rPr>
        <w:t>th</w:t>
      </w:r>
      <w:r w:rsidRPr="00DD269C">
        <w:t xml:space="preserve"> largest </w:t>
      </w:r>
      <w:r w:rsidR="000C019E" w:rsidRPr="00DD269C">
        <w:t xml:space="preserve">global </w:t>
      </w:r>
      <w:r w:rsidRPr="00DD269C">
        <w:t xml:space="preserve">carbon emitter </w:t>
      </w:r>
      <w:r w:rsidR="00E00E0C">
        <w:t>(</w:t>
      </w:r>
      <w:r w:rsidRPr="00DD269C">
        <w:t>in 2016</w:t>
      </w:r>
      <w:r w:rsidR="00E00E0C">
        <w:t>)</w:t>
      </w:r>
      <w:r w:rsidR="001C70E6" w:rsidRPr="00DD269C">
        <w:t>,</w:t>
      </w:r>
      <w:r w:rsidRPr="00DD269C">
        <w:t xml:space="preserve"> with carbon dioxide </w:t>
      </w:r>
      <w:r w:rsidR="00E00E0C">
        <w:t>equivalent (CO</w:t>
      </w:r>
      <w:r w:rsidR="00E00E0C" w:rsidRPr="00E00E0C">
        <w:rPr>
          <w:vertAlign w:val="subscript"/>
        </w:rPr>
        <w:t>2</w:t>
      </w:r>
      <w:r w:rsidR="00E00E0C">
        <w:t xml:space="preserve">e) </w:t>
      </w:r>
      <w:r w:rsidRPr="00DD269C">
        <w:t>emission</w:t>
      </w:r>
      <w:r w:rsidR="000C019E" w:rsidRPr="00DD269C">
        <w:t>s</w:t>
      </w:r>
      <w:r w:rsidRPr="00DD269C">
        <w:t xml:space="preserve"> of 389 Mt (Global Carbon Project, </w:t>
      </w:r>
      <w:r w:rsidR="00AE7F85" w:rsidRPr="00DD269C">
        <w:t>2017</w:t>
      </w:r>
      <w:r w:rsidRPr="00DD269C">
        <w:t xml:space="preserve">). </w:t>
      </w:r>
      <w:r w:rsidR="000C019E" w:rsidRPr="00DD269C">
        <w:t xml:space="preserve">In the UK there has been significant focus </w:t>
      </w:r>
      <w:r w:rsidRPr="00DD269C">
        <w:t>on sustainable development</w:t>
      </w:r>
      <w:r w:rsidR="00321D04">
        <w:t>,</w:t>
      </w:r>
      <w:r w:rsidRPr="00DD269C">
        <w:t xml:space="preserve"> </w:t>
      </w:r>
      <w:r w:rsidR="00321D04">
        <w:t>in order</w:t>
      </w:r>
      <w:r w:rsidRPr="00DD269C">
        <w:t xml:space="preserve"> to cut carbon emissions and stimulate the use of renewable energy sources</w:t>
      </w:r>
      <w:r w:rsidR="00E00E0C">
        <w:t>, and c</w:t>
      </w:r>
      <w:r w:rsidR="00321D04">
        <w:t xml:space="preserve">ontinued adoption of sustainable development measures </w:t>
      </w:r>
      <w:r w:rsidR="00E00E0C">
        <w:t>should</w:t>
      </w:r>
      <w:r w:rsidR="00056662" w:rsidRPr="00DD269C">
        <w:t xml:space="preserve"> make a progressive contribution to</w:t>
      </w:r>
      <w:r w:rsidR="00321D04">
        <w:t>wards</w:t>
      </w:r>
      <w:r w:rsidR="00056662" w:rsidRPr="00DD269C">
        <w:t xml:space="preserve"> meeting the UK Climate Change Act (2008) </w:t>
      </w:r>
      <w:r w:rsidRPr="00DD269C">
        <w:t xml:space="preserve">target </w:t>
      </w:r>
      <w:r w:rsidR="008E60C9" w:rsidRPr="00DD269C">
        <w:t>of</w:t>
      </w:r>
      <w:r w:rsidRPr="00DD269C">
        <w:t xml:space="preserve"> </w:t>
      </w:r>
      <w:r w:rsidR="00321D04">
        <w:t xml:space="preserve">reducing </w:t>
      </w:r>
      <w:r w:rsidRPr="00DD269C">
        <w:t xml:space="preserve">carbon emissions by 80% of </w:t>
      </w:r>
      <w:r w:rsidR="00E00E0C">
        <w:t>its 1990 baseline level by 2050. The Climate Change Act</w:t>
      </w:r>
      <w:r w:rsidRPr="00DD269C">
        <w:t xml:space="preserve"> </w:t>
      </w:r>
      <w:r w:rsidR="00E00E0C">
        <w:t>(2008)</w:t>
      </w:r>
      <w:r w:rsidRPr="00DD269C">
        <w:t xml:space="preserve"> was established </w:t>
      </w:r>
      <w:r w:rsidR="00994AE0" w:rsidRPr="00DD269C">
        <w:t xml:space="preserve">to meet the </w:t>
      </w:r>
      <w:r w:rsidR="00321D04">
        <w:t xml:space="preserve">UK’s obligations under </w:t>
      </w:r>
      <w:r w:rsidR="00E00E0C">
        <w:t>the Kyoto Protocol (1998). C</w:t>
      </w:r>
      <w:r w:rsidR="00994AE0" w:rsidRPr="00DD269C">
        <w:t>arbon reduction measures adopted to date</w:t>
      </w:r>
      <w:r w:rsidR="001C70E6" w:rsidRPr="00DD269C">
        <w:t xml:space="preserve"> include</w:t>
      </w:r>
      <w:r w:rsidR="00E00E0C">
        <w:t xml:space="preserve">: </w:t>
      </w:r>
      <w:r w:rsidR="00994AE0" w:rsidRPr="00DD269C">
        <w:t>phasing out of coal f</w:t>
      </w:r>
      <w:r w:rsidR="00E00E0C">
        <w:t xml:space="preserve">ired power stations; </w:t>
      </w:r>
      <w:r w:rsidR="00994AE0" w:rsidRPr="00DD269C">
        <w:t>increased us</w:t>
      </w:r>
      <w:r w:rsidR="00E00E0C">
        <w:t xml:space="preserve">e of renewable energy resources; </w:t>
      </w:r>
      <w:r w:rsidR="00994AE0" w:rsidRPr="00DD269C">
        <w:t>improvements in the efficiency of vehicles, electrical and electronic equipment</w:t>
      </w:r>
      <w:r w:rsidR="00E00E0C">
        <w:t>;</w:t>
      </w:r>
      <w:r w:rsidR="00994AE0" w:rsidRPr="00DD269C">
        <w:t xml:space="preserve"> and new building performance requirements. </w:t>
      </w:r>
      <w:r w:rsidR="00E00E0C">
        <w:t xml:space="preserve">A recent </w:t>
      </w:r>
      <w:r w:rsidR="00E00E0C" w:rsidRPr="00DD269C">
        <w:t xml:space="preserve">Committee on Climate Change, </w:t>
      </w:r>
      <w:r w:rsidR="00E00E0C">
        <w:t>(</w:t>
      </w:r>
      <w:r w:rsidR="00E00E0C" w:rsidRPr="00DD269C">
        <w:t>2018</w:t>
      </w:r>
      <w:r w:rsidR="00E00E0C">
        <w:t xml:space="preserve">) report </w:t>
      </w:r>
      <w:r w:rsidR="00994AE0" w:rsidRPr="00DD269C">
        <w:t>suggest</w:t>
      </w:r>
      <w:r w:rsidR="00E00E0C">
        <w:t>s</w:t>
      </w:r>
      <w:r w:rsidR="00994AE0" w:rsidRPr="00DD269C">
        <w:t xml:space="preserve"> that the UK is on track to achieve the interim </w:t>
      </w:r>
      <w:r w:rsidR="00E00E0C">
        <w:t>2020 carbon reduction target</w:t>
      </w:r>
      <w:r w:rsidR="00994AE0" w:rsidRPr="00DD269C">
        <w:t>. However, achieving the UK’s 2050 carbon emissions target is likely to be more difficult and will require significantly more radical solutions than the measures and technologies considered to date.</w:t>
      </w:r>
    </w:p>
    <w:p w:rsidR="00D9134C" w:rsidRPr="002214C4" w:rsidRDefault="00D9134C" w:rsidP="00321D04">
      <w:pPr>
        <w:pStyle w:val="06BodyMaintext"/>
      </w:pPr>
      <w:r w:rsidRPr="00212ADB">
        <w:t>Urban environments represent the main sourc</w:t>
      </w:r>
      <w:r w:rsidR="00321D04" w:rsidRPr="00212ADB">
        <w:t>e of carbon emissions but also have the</w:t>
      </w:r>
      <w:r w:rsidRPr="00212ADB">
        <w:t xml:space="preserve"> potential to host a</w:t>
      </w:r>
      <w:r w:rsidR="00321D04" w:rsidRPr="00212ADB">
        <w:t xml:space="preserve"> paradigm shift i</w:t>
      </w:r>
      <w:r w:rsidRPr="00212ADB">
        <w:t xml:space="preserve">n the way energy is </w:t>
      </w:r>
      <w:r w:rsidR="00212ADB">
        <w:t xml:space="preserve">utilized. </w:t>
      </w:r>
      <w:r w:rsidRPr="00212ADB">
        <w:t>C</w:t>
      </w:r>
      <w:r w:rsidRPr="00212ADB">
        <w:rPr>
          <w:rFonts w:ascii="Calibri" w:eastAsia="Times New Roman" w:hAnsi="Calibri" w:cs="Arial"/>
          <w:color w:val="000000"/>
        </w:rPr>
        <w:t>ities consume about 70% of the world’s resources and are major consumers of energy and signiﬁcant contributors to GHG emissions. This is due to the urban population</w:t>
      </w:r>
      <w:r w:rsidR="00A806D3" w:rsidRPr="00212ADB">
        <w:rPr>
          <w:rFonts w:ascii="Calibri" w:eastAsia="Times New Roman" w:hAnsi="Calibri" w:cs="Arial"/>
          <w:color w:val="000000"/>
        </w:rPr>
        <w:t xml:space="preserve"> density</w:t>
      </w:r>
      <w:r w:rsidRPr="00212ADB">
        <w:rPr>
          <w:rFonts w:ascii="Calibri" w:eastAsia="Times New Roman" w:hAnsi="Calibri" w:cs="Arial"/>
          <w:color w:val="000000"/>
        </w:rPr>
        <w:t xml:space="preserve">, the intensity of related economic and social activities, and also to the inefﬁciency of the built environment (Bibri and Krogstie, 2017). </w:t>
      </w:r>
      <w:r w:rsidR="00E00E0C" w:rsidRPr="00212ADB">
        <w:t>In the UK, 83% of the population live in urban areas (UK Government, 2016)</w:t>
      </w:r>
      <w:r w:rsidR="0038199C" w:rsidRPr="00212ADB">
        <w:t xml:space="preserve"> a</w:t>
      </w:r>
      <w:r w:rsidRPr="00212ADB">
        <w:t xml:space="preserve">nd the United Nations </w:t>
      </w:r>
      <w:r w:rsidR="0038199C" w:rsidRPr="00212ADB">
        <w:t>has estimated that</w:t>
      </w:r>
      <w:r w:rsidRPr="00212ADB">
        <w:t xml:space="preserve"> by 2050, 66% </w:t>
      </w:r>
      <w:r w:rsidR="00A806D3" w:rsidRPr="00212ADB">
        <w:t>of the global population</w:t>
      </w:r>
      <w:r w:rsidR="0038199C" w:rsidRPr="00212ADB">
        <w:t xml:space="preserve"> will live in cities</w:t>
      </w:r>
      <w:r w:rsidRPr="00212ADB">
        <w:t xml:space="preserve">. Therefore, cities should adapt governance instruments to support low carbon energy transition and stimulate urban transformation to achieve sustainable and resilient cities (Carter et al., 2015). </w:t>
      </w:r>
      <w:r w:rsidR="0038199C" w:rsidRPr="00212ADB">
        <w:t xml:space="preserve">There have been many reviews of </w:t>
      </w:r>
      <w:r w:rsidR="00A806D3" w:rsidRPr="00212ADB">
        <w:t>the</w:t>
      </w:r>
      <w:r w:rsidRPr="00212ADB">
        <w:t xml:space="preserve"> characteristics of smart sustainable cities and </w:t>
      </w:r>
      <w:r w:rsidR="00A806D3" w:rsidRPr="00212ADB">
        <w:t xml:space="preserve">the </w:t>
      </w:r>
      <w:r w:rsidRPr="00212ADB">
        <w:t xml:space="preserve">measures </w:t>
      </w:r>
      <w:r w:rsidR="00A806D3" w:rsidRPr="00212ADB">
        <w:t xml:space="preserve">that need </w:t>
      </w:r>
      <w:r w:rsidRPr="00212ADB">
        <w:t xml:space="preserve">to be implemented </w:t>
      </w:r>
      <w:r w:rsidR="00A806D3" w:rsidRPr="00212ADB">
        <w:t xml:space="preserve">for </w:t>
      </w:r>
      <w:r w:rsidRPr="00212ADB">
        <w:t>their successful deployment (</w:t>
      </w:r>
      <w:r w:rsidR="0038199C" w:rsidRPr="00212ADB">
        <w:t xml:space="preserve">e.g. </w:t>
      </w:r>
      <w:r w:rsidRPr="00212ADB">
        <w:t xml:space="preserve">Bibri and Krogstie, 2017, Bonafoni et al, 2017, Addanki and Venkataraman, 2017). </w:t>
      </w:r>
      <w:r w:rsidR="00A806D3" w:rsidRPr="00212ADB">
        <w:t>An</w:t>
      </w:r>
      <w:r w:rsidRPr="00212ADB">
        <w:t xml:space="preserve"> overarching conclusion </w:t>
      </w:r>
      <w:r w:rsidR="00A806D3" w:rsidRPr="00212ADB">
        <w:t>reached from these</w:t>
      </w:r>
      <w:r w:rsidR="0038199C" w:rsidRPr="00212ADB">
        <w:t xml:space="preserve"> studies i</w:t>
      </w:r>
      <w:r w:rsidR="00A806D3" w:rsidRPr="00212ADB">
        <w:t>s that</w:t>
      </w:r>
      <w:r w:rsidRPr="00212ADB">
        <w:t xml:space="preserve"> in order to improve and maintain sustainability, future energy systems and technologies </w:t>
      </w:r>
      <w:r w:rsidR="0038199C" w:rsidRPr="00212ADB">
        <w:t xml:space="preserve">will </w:t>
      </w:r>
      <w:r w:rsidRPr="00212ADB">
        <w:t>need to be smart, integrated, reliable and resource efficient.</w:t>
      </w:r>
    </w:p>
    <w:p w:rsidR="00994AE0" w:rsidRPr="00D2527D" w:rsidRDefault="00994AE0" w:rsidP="00D2527D">
      <w:pPr>
        <w:jc w:val="both"/>
      </w:pPr>
      <w:r w:rsidRPr="00DD269C">
        <w:t>A key contributor to the UK’s carbon emissions</w:t>
      </w:r>
      <w:r w:rsidR="00A806D3">
        <w:t xml:space="preserve">, </w:t>
      </w:r>
      <w:r w:rsidR="00D9134C">
        <w:t>particularly in cities</w:t>
      </w:r>
      <w:r w:rsidR="00A806D3">
        <w:t>,</w:t>
      </w:r>
      <w:r w:rsidRPr="00DD269C">
        <w:t xml:space="preserve"> is </w:t>
      </w:r>
      <w:r w:rsidR="00A806D3">
        <w:t xml:space="preserve">the supply of </w:t>
      </w:r>
      <w:r w:rsidRPr="00DD269C">
        <w:t>heating and cooling</w:t>
      </w:r>
      <w:r w:rsidR="00EB5BD2" w:rsidRPr="00DD269C">
        <w:t xml:space="preserve">. </w:t>
      </w:r>
      <w:r w:rsidR="00FA5DCE" w:rsidRPr="00DD269C">
        <w:t xml:space="preserve">Approximately </w:t>
      </w:r>
      <w:r w:rsidR="00A806D3">
        <w:t>one</w:t>
      </w:r>
      <w:r w:rsidR="00C67DD5" w:rsidRPr="00DD269C">
        <w:t xml:space="preserve"> third of</w:t>
      </w:r>
      <w:r w:rsidR="00FA5DCE" w:rsidRPr="00DD269C">
        <w:t xml:space="preserve"> carbon e</w:t>
      </w:r>
      <w:r w:rsidR="00A806D3">
        <w:t>missions in the UK arise</w:t>
      </w:r>
      <w:r w:rsidR="00FA5DCE" w:rsidRPr="00DD269C">
        <w:t xml:space="preserve"> from heating </w:t>
      </w:r>
      <w:r w:rsidR="00C67DD5" w:rsidRPr="00DD269C">
        <w:t>and cooling</w:t>
      </w:r>
      <w:r w:rsidR="00A806D3">
        <w:t>, with</w:t>
      </w:r>
      <w:r w:rsidR="009F3A6D" w:rsidRPr="00DD269C">
        <w:t xml:space="preserve"> these </w:t>
      </w:r>
      <w:r w:rsidR="00A806D3">
        <w:t>services accounting</w:t>
      </w:r>
      <w:r w:rsidR="00FA5DCE" w:rsidRPr="00DD269C">
        <w:t xml:space="preserve"> for the discharge of 182 Mt of CO</w:t>
      </w:r>
      <w:r w:rsidR="00FA5DCE" w:rsidRPr="00DD269C">
        <w:rPr>
          <w:vertAlign w:val="subscript"/>
        </w:rPr>
        <w:t>2</w:t>
      </w:r>
      <w:r w:rsidR="00A806D3">
        <w:t xml:space="preserve"> equivalent</w:t>
      </w:r>
      <w:r w:rsidR="00FA5DCE" w:rsidRPr="00DD269C">
        <w:t xml:space="preserve"> in</w:t>
      </w:r>
      <w:r w:rsidR="00A806D3">
        <w:t>to</w:t>
      </w:r>
      <w:r w:rsidR="00FA5DCE" w:rsidRPr="00DD269C">
        <w:t xml:space="preserve"> the atmosphere in 2014</w:t>
      </w:r>
      <w:r w:rsidR="001C70E6" w:rsidRPr="00DD269C">
        <w:t xml:space="preserve"> (Gebrail, 2014). </w:t>
      </w:r>
      <w:r w:rsidR="0038199C">
        <w:t>S</w:t>
      </w:r>
      <w:r w:rsidR="00FC7EBD" w:rsidRPr="00DD269C">
        <w:t xml:space="preserve">pace heating and hot water for buildings </w:t>
      </w:r>
      <w:r w:rsidR="00A806D3">
        <w:t xml:space="preserve">alone </w:t>
      </w:r>
      <w:r w:rsidR="000A4E33" w:rsidRPr="00DD269C">
        <w:t>make up</w:t>
      </w:r>
      <w:r w:rsidR="0038199C">
        <w:t xml:space="preserve"> 20% of</w:t>
      </w:r>
      <w:r w:rsidR="00FC7EBD" w:rsidRPr="00DD269C">
        <w:t xml:space="preserve"> </w:t>
      </w:r>
      <w:r w:rsidR="00BB0107" w:rsidRPr="00DD269C">
        <w:t>GHG</w:t>
      </w:r>
      <w:r w:rsidR="0038199C">
        <w:t xml:space="preserve"> emissions and 40% of </w:t>
      </w:r>
      <w:r w:rsidR="00FC7EBD" w:rsidRPr="00DD269C">
        <w:t>energy consumption in the UK</w:t>
      </w:r>
      <w:r w:rsidR="00774EEE" w:rsidRPr="00DD269C">
        <w:t xml:space="preserve"> (Committee on Climate Change, 2016).</w:t>
      </w:r>
      <w:r w:rsidR="00211291" w:rsidRPr="00DD269C">
        <w:t xml:space="preserve"> </w:t>
      </w:r>
      <w:r w:rsidR="00BF7219" w:rsidRPr="00DD269C">
        <w:t>Although</w:t>
      </w:r>
      <w:r w:rsidR="00B20E72" w:rsidRPr="00DD269C">
        <w:t xml:space="preserve"> </w:t>
      </w:r>
      <w:r w:rsidR="003506BB" w:rsidRPr="00DD269C">
        <w:t xml:space="preserve">heating and cooling </w:t>
      </w:r>
      <w:r w:rsidR="00BF7219" w:rsidRPr="00DD269C">
        <w:t xml:space="preserve">have a </w:t>
      </w:r>
      <w:r w:rsidR="000A4E33" w:rsidRPr="00DD269C">
        <w:t>considerable</w:t>
      </w:r>
      <w:r w:rsidR="00BF7219" w:rsidRPr="00DD269C">
        <w:t xml:space="preserve"> influence </w:t>
      </w:r>
      <w:r w:rsidR="0038199C">
        <w:t>o</w:t>
      </w:r>
      <w:r w:rsidR="00292FAE" w:rsidRPr="00DD269C">
        <w:t xml:space="preserve">n </w:t>
      </w:r>
      <w:r w:rsidR="000A4E33" w:rsidRPr="00DD269C">
        <w:t>how</w:t>
      </w:r>
      <w:r w:rsidR="00292FAE" w:rsidRPr="00DD269C">
        <w:t xml:space="preserve"> energy is consumed</w:t>
      </w:r>
      <w:r w:rsidR="00A806D3">
        <w:t>,</w:t>
      </w:r>
      <w:r w:rsidR="00292FAE" w:rsidRPr="00DD269C">
        <w:t xml:space="preserve"> </w:t>
      </w:r>
      <w:r w:rsidR="00A806D3">
        <w:t xml:space="preserve">only a small proportion </w:t>
      </w:r>
      <w:r w:rsidR="00292FAE" w:rsidRPr="00DD269C">
        <w:t xml:space="preserve">of </w:t>
      </w:r>
      <w:r w:rsidR="00A806D3">
        <w:t xml:space="preserve">their supply </w:t>
      </w:r>
      <w:r w:rsidR="00010FA6" w:rsidRPr="00DD269C">
        <w:t>com</w:t>
      </w:r>
      <w:r w:rsidR="008E72E7" w:rsidRPr="00DD269C">
        <w:t>e</w:t>
      </w:r>
      <w:r w:rsidR="00A806D3">
        <w:t>s</w:t>
      </w:r>
      <w:r w:rsidR="008E72E7" w:rsidRPr="00DD269C">
        <w:t xml:space="preserve"> from renewable energy sources</w:t>
      </w:r>
      <w:r w:rsidR="00A806D3">
        <w:t xml:space="preserve"> at present</w:t>
      </w:r>
      <w:r w:rsidR="002579E7" w:rsidRPr="00DD269C">
        <w:t>.</w:t>
      </w:r>
      <w:r w:rsidR="008E72E7" w:rsidRPr="00DD269C">
        <w:t xml:space="preserve"> </w:t>
      </w:r>
      <w:r w:rsidR="002579E7" w:rsidRPr="00DD269C">
        <w:t>W</w:t>
      </w:r>
      <w:r w:rsidR="008E72E7" w:rsidRPr="00DD269C">
        <w:t>hen compared to other European Union countries, the UK has the lowest share of renewable sources providin</w:t>
      </w:r>
      <w:r w:rsidR="00575B60" w:rsidRPr="00DD269C">
        <w:t>g heat</w:t>
      </w:r>
      <w:r w:rsidR="00D24EB6" w:rsidRPr="00DD269C">
        <w:t>ing</w:t>
      </w:r>
      <w:r w:rsidR="00575B60" w:rsidRPr="00DD269C">
        <w:t xml:space="preserve"> and</w:t>
      </w:r>
      <w:r w:rsidR="00A806D3">
        <w:t xml:space="preserve"> refrigeration,</w:t>
      </w:r>
      <w:r w:rsidR="00A92E50" w:rsidRPr="00DD269C">
        <w:t xml:space="preserve"> represent</w:t>
      </w:r>
      <w:r w:rsidR="00A806D3">
        <w:t>ing</w:t>
      </w:r>
      <w:r w:rsidR="00575B60" w:rsidRPr="00DD269C">
        <w:t xml:space="preserve"> only 5.5% </w:t>
      </w:r>
      <w:r w:rsidR="0038199C">
        <w:t xml:space="preserve">of the </w:t>
      </w:r>
      <w:r w:rsidR="000A4E33" w:rsidRPr="00DD269C">
        <w:t>energy</w:t>
      </w:r>
      <w:r w:rsidR="00423E6D" w:rsidRPr="00DD269C">
        <w:t xml:space="preserve"> </w:t>
      </w:r>
      <w:r w:rsidR="003D684C" w:rsidRPr="00DD269C">
        <w:t>used</w:t>
      </w:r>
      <w:r w:rsidR="0038199C">
        <w:t xml:space="preserve"> </w:t>
      </w:r>
      <w:r w:rsidR="003D684C" w:rsidRPr="00DD269C">
        <w:t>(EEA, 2017).</w:t>
      </w:r>
    </w:p>
    <w:p w:rsidR="00994AE0" w:rsidRPr="00212ADB" w:rsidRDefault="00994AE0" w:rsidP="00786F85">
      <w:pPr>
        <w:pStyle w:val="12FigureFormatSelectafigureandclickonthisstyle"/>
      </w:pPr>
      <w:r w:rsidRPr="00212ADB">
        <w:t xml:space="preserve">In order to meet its </w:t>
      </w:r>
      <w:r w:rsidR="00A806D3" w:rsidRPr="00212ADB">
        <w:t xml:space="preserve">future </w:t>
      </w:r>
      <w:r w:rsidRPr="00212ADB">
        <w:t>emission</w:t>
      </w:r>
      <w:r w:rsidR="00A806D3" w:rsidRPr="00212ADB">
        <w:t>s</w:t>
      </w:r>
      <w:r w:rsidRPr="00212ADB">
        <w:t xml:space="preserve"> targets</w:t>
      </w:r>
      <w:r w:rsidR="0048318D" w:rsidRPr="00212ADB">
        <w:t>,</w:t>
      </w:r>
      <w:r w:rsidRPr="00212ADB">
        <w:t xml:space="preserve"> </w:t>
      </w:r>
      <w:r w:rsidR="0048318D" w:rsidRPr="00212ADB">
        <w:t>t</w:t>
      </w:r>
      <w:r w:rsidR="00DD269C" w:rsidRPr="00212ADB">
        <w:t>he UK g</w:t>
      </w:r>
      <w:r w:rsidRPr="00212ADB">
        <w:t xml:space="preserve">overnment has put forward a strategy for </w:t>
      </w:r>
      <w:r w:rsidRPr="00212ADB">
        <w:lastRenderedPageBreak/>
        <w:t xml:space="preserve">mitigating future carbon emissions from heating and cooling, as described in, for example, the 2050 Pathways Analysis (DECC, 2010) and The Future of Heating: Meeting the Challenge (DECC, 2013). Key areas for reducing carbon emissions are summarized in Table 1 below. </w:t>
      </w:r>
    </w:p>
    <w:p w:rsidR="00AF0CA8" w:rsidRDefault="00AF0CA8" w:rsidP="00786F85">
      <w:pPr>
        <w:pStyle w:val="12FigureFormatSelectafigureandclickonthisstyle"/>
      </w:pPr>
    </w:p>
    <w:p w:rsidR="001C212E" w:rsidRPr="00565E4F" w:rsidRDefault="00E21A51" w:rsidP="00786F85">
      <w:pPr>
        <w:pStyle w:val="12FigureFormatSelectafigureandclickonthisstyle"/>
      </w:pPr>
      <w:r w:rsidRPr="00565E4F">
        <w:t>Table 1</w:t>
      </w:r>
      <w:r w:rsidR="00E13289" w:rsidRPr="00565E4F">
        <w:t xml:space="preserve"> – </w:t>
      </w:r>
      <w:r w:rsidR="001C212E" w:rsidRPr="00565E4F">
        <w:t>Key areas for reducing UK carbon emissions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070"/>
      </w:tblGrid>
      <w:tr w:rsidR="001C212E" w:rsidRPr="00323264" w:rsidTr="00DD269C">
        <w:trPr>
          <w:trHeight w:val="315"/>
        </w:trPr>
        <w:tc>
          <w:tcPr>
            <w:tcW w:w="3936" w:type="dxa"/>
            <w:tcBorders>
              <w:top w:val="single" w:sz="18" w:space="0" w:color="auto"/>
              <w:bottom w:val="single" w:sz="12" w:space="0" w:color="auto"/>
            </w:tcBorders>
            <w:shd w:val="clear" w:color="auto" w:fill="auto"/>
          </w:tcPr>
          <w:p w:rsidR="001C212E" w:rsidRPr="00D2527D" w:rsidRDefault="001C212E" w:rsidP="00786F85">
            <w:pPr>
              <w:pStyle w:val="12FigureFormatSelectafigureandclickonthisstyle"/>
            </w:pPr>
            <w:r w:rsidRPr="00D2527D">
              <w:t>Key areas for reducing carbon emissions</w:t>
            </w:r>
          </w:p>
        </w:tc>
        <w:tc>
          <w:tcPr>
            <w:tcW w:w="5070" w:type="dxa"/>
            <w:tcBorders>
              <w:top w:val="single" w:sz="18" w:space="0" w:color="auto"/>
              <w:bottom w:val="single" w:sz="12" w:space="0" w:color="auto"/>
            </w:tcBorders>
            <w:shd w:val="clear" w:color="auto" w:fill="auto"/>
          </w:tcPr>
          <w:p w:rsidR="001C212E" w:rsidRPr="00D2527D" w:rsidRDefault="001C212E" w:rsidP="00786F85">
            <w:pPr>
              <w:pStyle w:val="12FigureFormatSelectafigureandclickonthisstyle"/>
            </w:pPr>
            <w:r w:rsidRPr="00D2527D">
              <w:t>Details/technologies</w:t>
            </w:r>
          </w:p>
        </w:tc>
      </w:tr>
      <w:tr w:rsidR="001C212E" w:rsidTr="00DD269C">
        <w:tc>
          <w:tcPr>
            <w:tcW w:w="3936" w:type="dxa"/>
            <w:tcBorders>
              <w:top w:val="single" w:sz="12" w:space="0" w:color="auto"/>
              <w:bottom w:val="single" w:sz="2" w:space="0" w:color="000000"/>
            </w:tcBorders>
          </w:tcPr>
          <w:p w:rsidR="001C212E" w:rsidRPr="00212ADB" w:rsidRDefault="00292978" w:rsidP="00786F85">
            <w:pPr>
              <w:pStyle w:val="12FigureFormatSelectafigureandclickonthisstyle"/>
            </w:pPr>
            <w:r w:rsidRPr="00212ADB">
              <w:t>Decarbonisation of energy supply grids</w:t>
            </w:r>
          </w:p>
        </w:tc>
        <w:tc>
          <w:tcPr>
            <w:tcW w:w="5070" w:type="dxa"/>
            <w:tcBorders>
              <w:top w:val="single" w:sz="12" w:space="0" w:color="auto"/>
              <w:bottom w:val="single" w:sz="2" w:space="0" w:color="000000"/>
            </w:tcBorders>
          </w:tcPr>
          <w:p w:rsidR="001C212E" w:rsidRPr="00212ADB" w:rsidRDefault="00323264" w:rsidP="00786F85">
            <w:pPr>
              <w:pStyle w:val="12FigureFormatSelectafigureandclickonthisstyle"/>
            </w:pPr>
            <w:r w:rsidRPr="00212ADB">
              <w:t>Reduce carbon emissions associated with both</w:t>
            </w:r>
            <w:r w:rsidR="00292978" w:rsidRPr="00212ADB">
              <w:t xml:space="preserve"> electricity and gas </w:t>
            </w:r>
            <w:r w:rsidR="00E467AA" w:rsidRPr="00212ADB">
              <w:t>use, including</w:t>
            </w:r>
            <w:r w:rsidRPr="00212ADB">
              <w:t xml:space="preserve"> </w:t>
            </w:r>
            <w:r w:rsidR="00D106F6" w:rsidRPr="00212ADB">
              <w:t>switch</w:t>
            </w:r>
            <w:r w:rsidR="00E467AA" w:rsidRPr="00212ADB">
              <w:t>ing</w:t>
            </w:r>
            <w:r w:rsidR="00D106F6" w:rsidRPr="00212ADB">
              <w:t xml:space="preserve"> to </w:t>
            </w:r>
            <w:r w:rsidRPr="00212ADB">
              <w:t>biogas and hydrogen</w:t>
            </w:r>
          </w:p>
        </w:tc>
      </w:tr>
      <w:tr w:rsidR="001C212E" w:rsidTr="00DD269C">
        <w:tc>
          <w:tcPr>
            <w:tcW w:w="3936" w:type="dxa"/>
            <w:tcBorders>
              <w:top w:val="single" w:sz="2" w:space="0" w:color="000000"/>
              <w:bottom w:val="single" w:sz="2" w:space="0" w:color="000000"/>
            </w:tcBorders>
          </w:tcPr>
          <w:p w:rsidR="001C212E" w:rsidRPr="00212ADB" w:rsidRDefault="00292978" w:rsidP="00786F85">
            <w:pPr>
              <w:pStyle w:val="12FigureFormatSelectafigureandclickonthisstyle"/>
            </w:pPr>
            <w:r w:rsidRPr="00212ADB">
              <w:t>Managing heating and cooling demand for buildings</w:t>
            </w:r>
          </w:p>
        </w:tc>
        <w:tc>
          <w:tcPr>
            <w:tcW w:w="5070" w:type="dxa"/>
            <w:tcBorders>
              <w:top w:val="single" w:sz="2" w:space="0" w:color="000000"/>
              <w:bottom w:val="single" w:sz="2" w:space="0" w:color="000000"/>
            </w:tcBorders>
          </w:tcPr>
          <w:p w:rsidR="001C212E" w:rsidRPr="00212ADB" w:rsidRDefault="00292978" w:rsidP="00786F85">
            <w:pPr>
              <w:pStyle w:val="12FigureFormatSelectafigureandclickonthisstyle"/>
            </w:pPr>
            <w:r w:rsidRPr="00212ADB">
              <w:t xml:space="preserve">Reduce building heat losses e.g. wall and loft insulation, triple glazing; reduce internal temperatures in buildings; use of smart meters; </w:t>
            </w:r>
            <w:r w:rsidR="00CD3ECF" w:rsidRPr="00212ADB">
              <w:t>improv</w:t>
            </w:r>
            <w:r w:rsidR="00E467AA" w:rsidRPr="00212ADB">
              <w:t>ed controls</w:t>
            </w:r>
            <w:r w:rsidR="00F61771" w:rsidRPr="00212ADB">
              <w:t xml:space="preserve">; </w:t>
            </w:r>
            <w:r w:rsidR="00CD3ECF" w:rsidRPr="00212ADB">
              <w:t>reduce hot water demand</w:t>
            </w:r>
          </w:p>
        </w:tc>
      </w:tr>
      <w:tr w:rsidR="001C212E" w:rsidTr="00DD269C">
        <w:tc>
          <w:tcPr>
            <w:tcW w:w="3936" w:type="dxa"/>
            <w:tcBorders>
              <w:top w:val="single" w:sz="2" w:space="0" w:color="000000"/>
              <w:bottom w:val="single" w:sz="2" w:space="0" w:color="000000"/>
            </w:tcBorders>
          </w:tcPr>
          <w:p w:rsidR="001C212E" w:rsidRPr="00212ADB" w:rsidRDefault="00CD3ECF" w:rsidP="00786F85">
            <w:pPr>
              <w:pStyle w:val="12FigureFormatSelectafigureandclickonthisstyle"/>
            </w:pPr>
            <w:r w:rsidRPr="00212ADB">
              <w:t>Transforming building heating and cooling</w:t>
            </w:r>
            <w:r w:rsidR="00D106F6" w:rsidRPr="00212ADB">
              <w:t xml:space="preserve"> systems</w:t>
            </w:r>
          </w:p>
        </w:tc>
        <w:tc>
          <w:tcPr>
            <w:tcW w:w="5070" w:type="dxa"/>
            <w:tcBorders>
              <w:top w:val="single" w:sz="2" w:space="0" w:color="000000"/>
              <w:bottom w:val="single" w:sz="2" w:space="0" w:color="000000"/>
            </w:tcBorders>
          </w:tcPr>
          <w:p w:rsidR="001C212E" w:rsidRPr="00212ADB" w:rsidRDefault="00CD3ECF" w:rsidP="00786F85">
            <w:pPr>
              <w:pStyle w:val="12FigureFormatSelectafigureandclickonthisstyle"/>
            </w:pPr>
            <w:r w:rsidRPr="00212ADB">
              <w:t>High efficiency condensing gas boilers; micro CHP; air source and ground source heat pumps; solar PV and solar thermal</w:t>
            </w:r>
            <w:r w:rsidR="00E467AA" w:rsidRPr="00212ADB">
              <w:t>; bioenergy</w:t>
            </w:r>
            <w:r w:rsidRPr="00212ADB">
              <w:t>; use of heat storage</w:t>
            </w:r>
          </w:p>
        </w:tc>
      </w:tr>
      <w:tr w:rsidR="001C212E" w:rsidTr="00DD269C">
        <w:tc>
          <w:tcPr>
            <w:tcW w:w="3936" w:type="dxa"/>
            <w:tcBorders>
              <w:top w:val="single" w:sz="2" w:space="0" w:color="000000"/>
              <w:bottom w:val="single" w:sz="2" w:space="0" w:color="000000"/>
            </w:tcBorders>
          </w:tcPr>
          <w:p w:rsidR="001C212E" w:rsidRPr="00212ADB" w:rsidRDefault="00CD3ECF" w:rsidP="00786F85">
            <w:pPr>
              <w:pStyle w:val="12FigureFormatSelectafigureandclickonthisstyle"/>
            </w:pPr>
            <w:r w:rsidRPr="00212ADB">
              <w:t>Developing heating and cooling networks in the UK</w:t>
            </w:r>
          </w:p>
        </w:tc>
        <w:tc>
          <w:tcPr>
            <w:tcW w:w="5070" w:type="dxa"/>
            <w:tcBorders>
              <w:top w:val="single" w:sz="2" w:space="0" w:color="000000"/>
              <w:bottom w:val="single" w:sz="2" w:space="0" w:color="000000"/>
            </w:tcBorders>
          </w:tcPr>
          <w:p w:rsidR="001C212E" w:rsidRPr="00212ADB" w:rsidRDefault="00CD3ECF" w:rsidP="00786F85">
            <w:pPr>
              <w:pStyle w:val="12FigureFormatSelectafigureandclickonthisstyle"/>
            </w:pPr>
            <w:r w:rsidRPr="00212ADB">
              <w:t>Low carbon heating and cooling networks, especially in cities; for heating networks, heat sources to inc</w:t>
            </w:r>
            <w:r w:rsidR="00E467AA" w:rsidRPr="00212ADB">
              <w:t xml:space="preserve">lude CHP, renewable energy; </w:t>
            </w:r>
            <w:r w:rsidRPr="00212ADB">
              <w:t>bioenergy; recovered waste heat</w:t>
            </w:r>
            <w:r w:rsidR="00E467AA" w:rsidRPr="00212ADB">
              <w:t>; deep geothermal;</w:t>
            </w:r>
            <w:r w:rsidRPr="00212ADB">
              <w:t xml:space="preserve"> large heat pumps. For cooling networks, cold sources include CCHP</w:t>
            </w:r>
            <w:r w:rsidR="00F61771" w:rsidRPr="00212ADB">
              <w:t xml:space="preserve"> and cold water drawn from a central loca</w:t>
            </w:r>
            <w:r w:rsidR="00E467AA" w:rsidRPr="00212ADB">
              <w:t>tion</w:t>
            </w:r>
          </w:p>
        </w:tc>
      </w:tr>
      <w:tr w:rsidR="001C212E" w:rsidTr="00DD269C">
        <w:tc>
          <w:tcPr>
            <w:tcW w:w="3936" w:type="dxa"/>
            <w:tcBorders>
              <w:top w:val="single" w:sz="2" w:space="0" w:color="000000"/>
              <w:bottom w:val="single" w:sz="18" w:space="0" w:color="000000"/>
            </w:tcBorders>
          </w:tcPr>
          <w:p w:rsidR="001C212E" w:rsidRPr="00212ADB" w:rsidRDefault="00F61771" w:rsidP="00786F85">
            <w:pPr>
              <w:pStyle w:val="12FigureFormatSelectafigureandclickonthisstyle"/>
            </w:pPr>
            <w:r w:rsidRPr="00212ADB">
              <w:t>Transforming industrial heat</w:t>
            </w:r>
          </w:p>
        </w:tc>
        <w:tc>
          <w:tcPr>
            <w:tcW w:w="5070" w:type="dxa"/>
            <w:tcBorders>
              <w:top w:val="single" w:sz="2" w:space="0" w:color="000000"/>
              <w:bottom w:val="single" w:sz="18" w:space="0" w:color="000000"/>
            </w:tcBorders>
          </w:tcPr>
          <w:p w:rsidR="001C212E" w:rsidRPr="00212ADB" w:rsidRDefault="00F61771" w:rsidP="00786F85">
            <w:pPr>
              <w:pStyle w:val="12FigureFormatSelectafigureandclickonthisstyle"/>
            </w:pPr>
            <w:r w:rsidRPr="00212ADB">
              <w:t xml:space="preserve">Reduce energy intensity of manufacturing; change energy sources to low carbon types or </w:t>
            </w:r>
            <w:r w:rsidR="00323264" w:rsidRPr="00212ADB">
              <w:t>renewables</w:t>
            </w:r>
            <w:r w:rsidR="00E467AA" w:rsidRPr="00212ADB">
              <w:t xml:space="preserve">; adopt innovative technologies, </w:t>
            </w:r>
            <w:r w:rsidR="00323264" w:rsidRPr="00212ADB">
              <w:t>chemistries and materials and/or use carbon capture and storage.</w:t>
            </w:r>
          </w:p>
        </w:tc>
      </w:tr>
    </w:tbl>
    <w:p w:rsidR="001C212E" w:rsidRPr="001C212E" w:rsidRDefault="001C212E" w:rsidP="00786F85">
      <w:pPr>
        <w:pStyle w:val="12FigureFormatSelectafigureandclickonthisstyle"/>
      </w:pPr>
    </w:p>
    <w:p w:rsidR="00854C26" w:rsidRDefault="00A806D3" w:rsidP="00D2527D">
      <w:pPr>
        <w:jc w:val="both"/>
      </w:pPr>
      <w:r w:rsidRPr="00212ADB">
        <w:t>Since</w:t>
      </w:r>
      <w:r w:rsidR="00E13289" w:rsidRPr="00212ADB">
        <w:t xml:space="preserve"> 83% of the population of the UK</w:t>
      </w:r>
      <w:r w:rsidR="0038199C" w:rsidRPr="00212ADB">
        <w:t xml:space="preserve"> live in urban areas</w:t>
      </w:r>
      <w:r w:rsidR="00E13289" w:rsidRPr="00212ADB">
        <w:t xml:space="preserve">, </w:t>
      </w:r>
      <w:r w:rsidRPr="00212ADB">
        <w:t>it is clear that</w:t>
      </w:r>
      <w:r w:rsidR="006D0DA9" w:rsidRPr="00212ADB">
        <w:t xml:space="preserve"> </w:t>
      </w:r>
      <w:r w:rsidR="00854C26" w:rsidRPr="00212ADB">
        <w:t>UK</w:t>
      </w:r>
      <w:r w:rsidR="006D0DA9" w:rsidRPr="00212ADB">
        <w:t xml:space="preserve"> cities have</w:t>
      </w:r>
      <w:r w:rsidR="00E13289" w:rsidRPr="00212ADB">
        <w:t xml:space="preserve"> </w:t>
      </w:r>
      <w:r w:rsidRPr="00212ADB">
        <w:t xml:space="preserve">a </w:t>
      </w:r>
      <w:r w:rsidR="00E13289" w:rsidRPr="00212ADB">
        <w:t xml:space="preserve">considerable </w:t>
      </w:r>
      <w:r w:rsidR="00D53C16" w:rsidRPr="00212ADB">
        <w:t>impact on the carbon footprint</w:t>
      </w:r>
      <w:r w:rsidR="00E13289" w:rsidRPr="00212ADB">
        <w:t xml:space="preserve"> of </w:t>
      </w:r>
      <w:r w:rsidR="00D352F8" w:rsidRPr="00212ADB">
        <w:t>the United Kingdom</w:t>
      </w:r>
      <w:r w:rsidR="00E13289" w:rsidRPr="00212ADB">
        <w:t xml:space="preserve">. </w:t>
      </w:r>
      <w:r w:rsidR="0038199C" w:rsidRPr="00212ADB">
        <w:t>Therefore</w:t>
      </w:r>
      <w:r w:rsidRPr="00212ADB">
        <w:t xml:space="preserve"> </w:t>
      </w:r>
      <w:r w:rsidR="00E13289" w:rsidRPr="00212ADB">
        <w:t>London, as a global and capital city, with an estimated</w:t>
      </w:r>
      <w:r w:rsidRPr="00212ADB">
        <w:t xml:space="preserve"> population of 8.83</w:t>
      </w:r>
      <w:r w:rsidR="00E13289" w:rsidRPr="00212ADB">
        <w:t xml:space="preserve"> million (13.4% of UK’s population) (ONS, 2017),</w:t>
      </w:r>
      <w:r w:rsidR="00CA41FB" w:rsidRPr="00212ADB">
        <w:t xml:space="preserve"> </w:t>
      </w:r>
      <w:r w:rsidR="0038199C" w:rsidRPr="00212ADB">
        <w:t>can provide</w:t>
      </w:r>
      <w:r w:rsidR="00CA41FB" w:rsidRPr="00212ADB">
        <w:t xml:space="preserve"> an important vanguard role in confronting climate change, setting an example not only for the UK</w:t>
      </w:r>
      <w:r w:rsidRPr="00212ADB">
        <w:t>,</w:t>
      </w:r>
      <w:r w:rsidR="00CA41FB" w:rsidRPr="00212ADB">
        <w:t xml:space="preserve"> but also for other cities worldwide.</w:t>
      </w:r>
      <w:r w:rsidR="00212ADB" w:rsidRPr="00212ADB">
        <w:t xml:space="preserve"> In fact,</w:t>
      </w:r>
      <w:r w:rsidR="00B92496" w:rsidRPr="00212ADB">
        <w:t xml:space="preserve"> London</w:t>
      </w:r>
      <w:r w:rsidR="00CA41FB" w:rsidRPr="00212ADB">
        <w:t xml:space="preserve"> has already started promoting the use of renewable energy sources</w:t>
      </w:r>
      <w:r w:rsidR="00212ADB" w:rsidRPr="00212ADB">
        <w:t>,</w:t>
      </w:r>
      <w:r w:rsidR="00613FD5" w:rsidRPr="00212ADB">
        <w:t xml:space="preserve"> </w:t>
      </w:r>
      <w:r w:rsidR="00212ADB">
        <w:t>f</w:t>
      </w:r>
      <w:r w:rsidR="00613FD5" w:rsidRPr="00FA68A8">
        <w:t xml:space="preserve">or example, </w:t>
      </w:r>
      <w:r w:rsidR="008E505E">
        <w:t>t</w:t>
      </w:r>
      <w:r w:rsidR="00613FD5" w:rsidRPr="00FA68A8">
        <w:t>he London Plan (2004) focuses</w:t>
      </w:r>
      <w:r w:rsidR="00613FD5" w:rsidRPr="00FA68A8">
        <w:rPr>
          <w:spacing w:val="5"/>
        </w:rPr>
        <w:t xml:space="preserve"> </w:t>
      </w:r>
      <w:r w:rsidR="00613FD5" w:rsidRPr="00FA68A8">
        <w:t>on</w:t>
      </w:r>
      <w:r w:rsidR="00613FD5" w:rsidRPr="00FA68A8">
        <w:rPr>
          <w:spacing w:val="5"/>
        </w:rPr>
        <w:t xml:space="preserve"> </w:t>
      </w:r>
      <w:r w:rsidR="00613FD5" w:rsidRPr="00FA68A8">
        <w:t>secur</w:t>
      </w:r>
      <w:r w:rsidR="00613FD5" w:rsidRPr="00FA68A8">
        <w:rPr>
          <w:spacing w:val="1"/>
        </w:rPr>
        <w:t>i</w:t>
      </w:r>
      <w:r w:rsidR="00613FD5" w:rsidRPr="00FA68A8">
        <w:rPr>
          <w:spacing w:val="2"/>
        </w:rPr>
        <w:t>n</w:t>
      </w:r>
      <w:r w:rsidR="00613FD5" w:rsidRPr="00FA68A8">
        <w:t>g</w:t>
      </w:r>
      <w:r w:rsidR="00613FD5" w:rsidRPr="00FA68A8">
        <w:rPr>
          <w:spacing w:val="3"/>
        </w:rPr>
        <w:t xml:space="preserve"> </w:t>
      </w:r>
      <w:r w:rsidR="00613FD5" w:rsidRPr="00FA68A8">
        <w:t>a</w:t>
      </w:r>
      <w:r w:rsidR="00613FD5" w:rsidRPr="00FA68A8">
        <w:rPr>
          <w:spacing w:val="4"/>
        </w:rPr>
        <w:t xml:space="preserve"> </w:t>
      </w:r>
      <w:r w:rsidR="00613FD5" w:rsidRPr="00FA68A8">
        <w:rPr>
          <w:spacing w:val="1"/>
        </w:rPr>
        <w:t>l</w:t>
      </w:r>
      <w:r w:rsidR="00613FD5" w:rsidRPr="00FA68A8">
        <w:t>ow</w:t>
      </w:r>
      <w:r w:rsidR="00613FD5" w:rsidRPr="00FA68A8">
        <w:rPr>
          <w:spacing w:val="5"/>
        </w:rPr>
        <w:t xml:space="preserve"> </w:t>
      </w:r>
      <w:r w:rsidR="00613FD5" w:rsidRPr="00FA68A8">
        <w:t>carbon ene</w:t>
      </w:r>
      <w:r w:rsidR="00613FD5" w:rsidRPr="00FA68A8">
        <w:rPr>
          <w:spacing w:val="2"/>
        </w:rPr>
        <w:t>rg</w:t>
      </w:r>
      <w:r w:rsidR="00613FD5" w:rsidRPr="00FA68A8">
        <w:t>y</w:t>
      </w:r>
      <w:r w:rsidR="00613FD5" w:rsidRPr="00FA68A8">
        <w:rPr>
          <w:spacing w:val="-6"/>
        </w:rPr>
        <w:t xml:space="preserve"> </w:t>
      </w:r>
      <w:r w:rsidR="00613FD5" w:rsidRPr="00FA68A8">
        <w:t>supp</w:t>
      </w:r>
      <w:r w:rsidR="00613FD5" w:rsidRPr="00FA68A8">
        <w:rPr>
          <w:spacing w:val="5"/>
        </w:rPr>
        <w:t>l</w:t>
      </w:r>
      <w:r w:rsidR="00613FD5" w:rsidRPr="00FA68A8">
        <w:t>y</w:t>
      </w:r>
      <w:r w:rsidR="00613FD5" w:rsidRPr="00FA68A8">
        <w:rPr>
          <w:spacing w:val="-8"/>
        </w:rPr>
        <w:t xml:space="preserve"> </w:t>
      </w:r>
      <w:r w:rsidR="00613FD5" w:rsidRPr="00FA68A8">
        <w:t>for</w:t>
      </w:r>
      <w:r w:rsidR="00613FD5" w:rsidRPr="00FA68A8">
        <w:rPr>
          <w:spacing w:val="1"/>
        </w:rPr>
        <w:t xml:space="preserve"> </w:t>
      </w:r>
      <w:r w:rsidR="00613FD5" w:rsidRPr="00FA68A8">
        <w:rPr>
          <w:spacing w:val="-3"/>
        </w:rPr>
        <w:t>L</w:t>
      </w:r>
      <w:r w:rsidR="00613FD5" w:rsidRPr="00FA68A8">
        <w:t>ond</w:t>
      </w:r>
      <w:r w:rsidR="00613FD5" w:rsidRPr="00FA68A8">
        <w:rPr>
          <w:spacing w:val="2"/>
        </w:rPr>
        <w:t>o</w:t>
      </w:r>
      <w:r w:rsidR="00613FD5" w:rsidRPr="00FA68A8">
        <w:t>n</w:t>
      </w:r>
      <w:r w:rsidR="00613FD5" w:rsidRPr="00FA68A8">
        <w:rPr>
          <w:spacing w:val="-4"/>
        </w:rPr>
        <w:t xml:space="preserve"> </w:t>
      </w:r>
      <w:r w:rsidR="00613FD5" w:rsidRPr="00FA68A8">
        <w:t xml:space="preserve">and sets a </w:t>
      </w:r>
      <w:r w:rsidR="00613FD5" w:rsidRPr="00FA68A8">
        <w:rPr>
          <w:spacing w:val="1"/>
        </w:rPr>
        <w:t>t</w:t>
      </w:r>
      <w:r w:rsidR="00613FD5" w:rsidRPr="00FA68A8">
        <w:t>a</w:t>
      </w:r>
      <w:r w:rsidR="00613FD5" w:rsidRPr="00FA68A8">
        <w:rPr>
          <w:spacing w:val="2"/>
        </w:rPr>
        <w:t>r</w:t>
      </w:r>
      <w:r w:rsidR="00613FD5" w:rsidRPr="00FA68A8">
        <w:rPr>
          <w:spacing w:val="-2"/>
        </w:rPr>
        <w:t>g</w:t>
      </w:r>
      <w:r w:rsidR="00613FD5" w:rsidRPr="00FA68A8">
        <w:t>e</w:t>
      </w:r>
      <w:r w:rsidR="00613FD5" w:rsidRPr="00FA68A8">
        <w:rPr>
          <w:spacing w:val="1"/>
        </w:rPr>
        <w:t>t</w:t>
      </w:r>
      <w:r w:rsidR="00613FD5" w:rsidRPr="00FA68A8">
        <w:t xml:space="preserve"> of</w:t>
      </w:r>
      <w:r w:rsidR="00613FD5" w:rsidRPr="00FA68A8">
        <w:rPr>
          <w:spacing w:val="1"/>
        </w:rPr>
        <w:t xml:space="preserve"> </w:t>
      </w:r>
      <w:r w:rsidR="00613FD5" w:rsidRPr="00FA68A8">
        <w:t>ach</w:t>
      </w:r>
      <w:r w:rsidR="00613FD5" w:rsidRPr="00FA68A8">
        <w:rPr>
          <w:spacing w:val="3"/>
        </w:rPr>
        <w:t>i</w:t>
      </w:r>
      <w:r w:rsidR="00613FD5" w:rsidRPr="00FA68A8">
        <w:t>eving</w:t>
      </w:r>
      <w:r w:rsidR="00613FD5" w:rsidRPr="00FA68A8">
        <w:rPr>
          <w:spacing w:val="2"/>
        </w:rPr>
        <w:t xml:space="preserve"> </w:t>
      </w:r>
      <w:r w:rsidR="00613FD5" w:rsidRPr="00FA68A8">
        <w:t>25%</w:t>
      </w:r>
      <w:r w:rsidR="00613FD5" w:rsidRPr="00FA68A8">
        <w:rPr>
          <w:spacing w:val="-2"/>
        </w:rPr>
        <w:t xml:space="preserve"> </w:t>
      </w:r>
      <w:r w:rsidR="00613FD5" w:rsidRPr="00FA68A8">
        <w:t>of</w:t>
      </w:r>
      <w:r w:rsidR="00613FD5" w:rsidRPr="00FA68A8">
        <w:rPr>
          <w:spacing w:val="2"/>
        </w:rPr>
        <w:t xml:space="preserve"> </w:t>
      </w:r>
      <w:r w:rsidR="00613FD5" w:rsidRPr="00FA68A8">
        <w:rPr>
          <w:spacing w:val="-3"/>
        </w:rPr>
        <w:t>L</w:t>
      </w:r>
      <w:r w:rsidR="00613FD5" w:rsidRPr="00FA68A8">
        <w:t>ondon’s</w:t>
      </w:r>
      <w:r w:rsidR="00613FD5" w:rsidRPr="00FA68A8">
        <w:rPr>
          <w:spacing w:val="-4"/>
        </w:rPr>
        <w:t xml:space="preserve"> heat </w:t>
      </w:r>
      <w:r w:rsidR="00613FD5" w:rsidRPr="00FA68A8">
        <w:t>en</w:t>
      </w:r>
      <w:r w:rsidR="00613FD5" w:rsidRPr="00FA68A8">
        <w:rPr>
          <w:spacing w:val="2"/>
        </w:rPr>
        <w:t>erg</w:t>
      </w:r>
      <w:r w:rsidR="00613FD5" w:rsidRPr="00FA68A8">
        <w:t>y</w:t>
      </w:r>
      <w:r w:rsidR="00613FD5" w:rsidRPr="00FA68A8">
        <w:rPr>
          <w:spacing w:val="-6"/>
        </w:rPr>
        <w:t xml:space="preserve"> </w:t>
      </w:r>
      <w:r w:rsidR="00613FD5" w:rsidRPr="00FA68A8">
        <w:rPr>
          <w:spacing w:val="3"/>
        </w:rPr>
        <w:t>s</w:t>
      </w:r>
      <w:r w:rsidR="00613FD5" w:rsidRPr="00FA68A8">
        <w:t>upp</w:t>
      </w:r>
      <w:r w:rsidR="00613FD5" w:rsidRPr="00FA68A8">
        <w:rPr>
          <w:spacing w:val="3"/>
        </w:rPr>
        <w:t>l</w:t>
      </w:r>
      <w:r w:rsidR="00613FD5" w:rsidRPr="00FA68A8">
        <w:t>y from</w:t>
      </w:r>
      <w:r w:rsidR="00613FD5" w:rsidRPr="00FA68A8">
        <w:rPr>
          <w:spacing w:val="-2"/>
        </w:rPr>
        <w:t xml:space="preserve"> </w:t>
      </w:r>
      <w:r w:rsidR="00613FD5" w:rsidRPr="00FA68A8">
        <w:t>decentralized or district energy schemes</w:t>
      </w:r>
      <w:r w:rsidR="00613FD5" w:rsidRPr="00FA68A8">
        <w:rPr>
          <w:spacing w:val="-5"/>
        </w:rPr>
        <w:t xml:space="preserve">, </w:t>
      </w:r>
      <w:r w:rsidR="00613FD5" w:rsidRPr="00FA68A8">
        <w:rPr>
          <w:spacing w:val="3"/>
        </w:rPr>
        <w:t>b</w:t>
      </w:r>
      <w:r w:rsidR="00613FD5" w:rsidRPr="00FA68A8">
        <w:t>y</w:t>
      </w:r>
      <w:r w:rsidR="00613FD5" w:rsidRPr="00FA68A8">
        <w:rPr>
          <w:spacing w:val="-7"/>
        </w:rPr>
        <w:t xml:space="preserve"> </w:t>
      </w:r>
      <w:r w:rsidR="00613FD5" w:rsidRPr="00FA68A8">
        <w:t>2025.</w:t>
      </w:r>
      <w:r w:rsidR="00FA68A8" w:rsidRPr="00FA68A8">
        <w:t xml:space="preserve"> </w:t>
      </w:r>
      <w:r w:rsidR="00FA68A8">
        <w:t xml:space="preserve">A particular advantage of </w:t>
      </w:r>
      <w:r w:rsidR="00212ADB">
        <w:t xml:space="preserve">district </w:t>
      </w:r>
      <w:r w:rsidR="00FA68A8">
        <w:t>heat</w:t>
      </w:r>
      <w:r w:rsidR="00212ADB">
        <w:t>ing</w:t>
      </w:r>
      <w:r w:rsidR="00FA68A8">
        <w:t xml:space="preserve"> networks</w:t>
      </w:r>
      <w:r w:rsidR="00212ADB">
        <w:t xml:space="preserve"> (DHNs)</w:t>
      </w:r>
      <w:r w:rsidR="00FA68A8">
        <w:t xml:space="preserve"> is that they</w:t>
      </w:r>
      <w:r w:rsidR="00FA68A8" w:rsidRPr="00FA68A8">
        <w:t xml:space="preserve"> </w:t>
      </w:r>
      <w:r w:rsidR="00516D97">
        <w:t xml:space="preserve">also </w:t>
      </w:r>
      <w:r w:rsidR="00FA68A8" w:rsidRPr="00FA68A8">
        <w:t>facilitate the capture and reuse of waste heat.</w:t>
      </w:r>
      <w:r w:rsidR="00854C26">
        <w:t xml:space="preserve"> </w:t>
      </w:r>
      <w:r w:rsidR="00854C26" w:rsidRPr="00212ADB">
        <w:t xml:space="preserve">There are many opportunities for recovering </w:t>
      </w:r>
      <w:r w:rsidR="00516D97" w:rsidRPr="00212ADB">
        <w:t>and reusing</w:t>
      </w:r>
      <w:r w:rsidR="00854C26" w:rsidRPr="00212ADB">
        <w:t xml:space="preserve"> heat in cities and </w:t>
      </w:r>
      <w:r w:rsidR="00516D97" w:rsidRPr="00212ADB">
        <w:t>a range of these</w:t>
      </w:r>
      <w:r w:rsidR="00854C26" w:rsidRPr="00212ADB">
        <w:t xml:space="preserve"> will be discussed in the </w:t>
      </w:r>
      <w:r w:rsidR="00212ADB" w:rsidRPr="00212ADB">
        <w:t>next section</w:t>
      </w:r>
      <w:r w:rsidR="00854C26" w:rsidRPr="00212ADB">
        <w:t>, highlighting how waste heat sources can be connected to DHNs in order to meet the heating requirements of a world with ever-growing cities</w:t>
      </w:r>
      <w:r w:rsidR="00516D97" w:rsidRPr="00212ADB">
        <w:t xml:space="preserve"> and populations</w:t>
      </w:r>
      <w:r w:rsidR="00854C26" w:rsidRPr="00212ADB">
        <w:t>.</w:t>
      </w:r>
      <w:r w:rsidR="003B67F2">
        <w:t xml:space="preserve"> </w:t>
      </w:r>
      <w:r w:rsidR="00516D97">
        <w:t>In section</w:t>
      </w:r>
      <w:r w:rsidR="00212ADB">
        <w:t xml:space="preserve"> 1.2</w:t>
      </w:r>
      <w:r w:rsidR="00FE0482">
        <w:t>,</w:t>
      </w:r>
      <w:r w:rsidR="00516D97">
        <w:t xml:space="preserve"> a range of</w:t>
      </w:r>
      <w:r w:rsidR="003B67F2">
        <w:t xml:space="preserve"> potential sources of heat in cities</w:t>
      </w:r>
      <w:r w:rsidR="00FE0482">
        <w:t xml:space="preserve"> are discussed</w:t>
      </w:r>
      <w:r w:rsidR="003B67F2">
        <w:t xml:space="preserve">, </w:t>
      </w:r>
      <w:r w:rsidR="00FE0482">
        <w:t>and in section 1.3, the need for cooling London’s underground railways together with the large quantities of waste heat generated, are highlight</w:t>
      </w:r>
      <w:r w:rsidR="00516D97">
        <w:t>ed</w:t>
      </w:r>
      <w:r w:rsidR="003B67F2">
        <w:t>.</w:t>
      </w:r>
      <w:r w:rsidR="00516D97">
        <w:t xml:space="preserve"> The remainder of the paper</w:t>
      </w:r>
      <w:r w:rsidR="003B67F2">
        <w:t xml:space="preserve"> then </w:t>
      </w:r>
      <w:r w:rsidR="00516D97">
        <w:t xml:space="preserve">provides </w:t>
      </w:r>
      <w:r w:rsidR="003B67F2">
        <w:t xml:space="preserve">details </w:t>
      </w:r>
      <w:r w:rsidR="00516D97">
        <w:t xml:space="preserve">of </w:t>
      </w:r>
      <w:r w:rsidR="003B67F2">
        <w:t xml:space="preserve">a study carried out to </w:t>
      </w:r>
      <w:r w:rsidR="00516D97">
        <w:t xml:space="preserve">investigate </w:t>
      </w:r>
      <w:r w:rsidR="00FE0482">
        <w:t xml:space="preserve">cooling combined with heat </w:t>
      </w:r>
      <w:r w:rsidR="00516D97">
        <w:t xml:space="preserve">recovery and </w:t>
      </w:r>
      <w:r w:rsidR="003B67F2">
        <w:t>from underground railways</w:t>
      </w:r>
      <w:r w:rsidR="00516D97">
        <w:t>,</w:t>
      </w:r>
      <w:r w:rsidR="003B67F2">
        <w:t xml:space="preserve"> and how </w:t>
      </w:r>
      <w:r w:rsidR="00CF0E32">
        <w:t xml:space="preserve">the performance of this system </w:t>
      </w:r>
      <w:r w:rsidR="003B67F2">
        <w:t xml:space="preserve">compares with </w:t>
      </w:r>
      <w:r w:rsidR="00FE0482">
        <w:t>conventional heating and cooling</w:t>
      </w:r>
      <w:r w:rsidR="00CF0E32">
        <w:t>.</w:t>
      </w:r>
    </w:p>
    <w:p w:rsidR="00212ADB" w:rsidRDefault="00212ADB" w:rsidP="00D2527D">
      <w:pPr>
        <w:jc w:val="both"/>
      </w:pPr>
    </w:p>
    <w:p w:rsidR="004F7386" w:rsidRDefault="008C1235" w:rsidP="00321D04">
      <w:pPr>
        <w:pStyle w:val="06BodyMaintext"/>
      </w:pPr>
      <w:r w:rsidRPr="008C1235">
        <w:lastRenderedPageBreak/>
        <w:t>1.2</w:t>
      </w:r>
      <w:r w:rsidRPr="008C1235">
        <w:tab/>
      </w:r>
      <w:r w:rsidR="008E505E" w:rsidRPr="008C1235">
        <w:t>Potential</w:t>
      </w:r>
      <w:r w:rsidR="00E467AA">
        <w:t xml:space="preserve"> sources of waste heat in cities</w:t>
      </w:r>
    </w:p>
    <w:p w:rsidR="00E467AA" w:rsidRDefault="008E505E" w:rsidP="00321D04">
      <w:pPr>
        <w:pStyle w:val="06BodyMaintext"/>
      </w:pPr>
      <w:r>
        <w:t>Characteristics that may be used to evaluate</w:t>
      </w:r>
      <w:r w:rsidRPr="008E505E">
        <w:t xml:space="preserve"> these waste heat sources include the quantity </w:t>
      </w:r>
      <w:r>
        <w:t>of waste heat available for the particular</w:t>
      </w:r>
      <w:r w:rsidRPr="008E505E">
        <w:t xml:space="preserve"> source</w:t>
      </w:r>
      <w:r w:rsidR="00E467AA">
        <w:t xml:space="preserve">, </w:t>
      </w:r>
      <w:r w:rsidRPr="008E505E">
        <w:t>its temperature, and whether it is constant or varying</w:t>
      </w:r>
      <w:r>
        <w:t>. Table 2</w:t>
      </w:r>
      <w:r w:rsidRPr="008E505E">
        <w:t xml:space="preserve"> provides brief details of these characteristics for a range of heat sources.</w:t>
      </w:r>
    </w:p>
    <w:p w:rsidR="00683CAA" w:rsidRPr="00933A73" w:rsidRDefault="008E505E" w:rsidP="00516D97">
      <w:pPr>
        <w:pStyle w:val="15TableTitle"/>
      </w:pPr>
      <w:r w:rsidRPr="00516D97">
        <w:t>Table 2</w:t>
      </w:r>
      <w:r w:rsidR="00683CAA" w:rsidRPr="00516D97">
        <w:t xml:space="preserve"> - </w:t>
      </w:r>
      <w:r w:rsidRPr="00516D97">
        <w:t>Potential sources of waste heat</w:t>
      </w:r>
      <w:r w:rsidR="00E467AA" w:rsidRPr="00516D97">
        <w:t xml:space="preserve"> in London</w:t>
      </w:r>
      <w:r w:rsidRPr="00516D97">
        <w:t xml:space="preserve"> </w:t>
      </w:r>
    </w:p>
    <w:tbl>
      <w:tblPr>
        <w:tblW w:w="9477" w:type="dxa"/>
        <w:jc w:val="center"/>
        <w:tblBorders>
          <w:top w:val="single" w:sz="18" w:space="0" w:color="000000"/>
          <w:bottom w:val="single" w:sz="18" w:space="0" w:color="000000"/>
        </w:tblBorders>
        <w:tblLayout w:type="fixed"/>
        <w:tblCellMar>
          <w:left w:w="28" w:type="dxa"/>
          <w:bottom w:w="57" w:type="dxa"/>
          <w:right w:w="28" w:type="dxa"/>
        </w:tblCellMar>
        <w:tblLook w:val="04A0" w:firstRow="1" w:lastRow="0" w:firstColumn="1" w:lastColumn="0" w:noHBand="0" w:noVBand="1"/>
      </w:tblPr>
      <w:tblGrid>
        <w:gridCol w:w="1336"/>
        <w:gridCol w:w="1005"/>
        <w:gridCol w:w="993"/>
        <w:gridCol w:w="1120"/>
        <w:gridCol w:w="845"/>
        <w:gridCol w:w="2335"/>
        <w:gridCol w:w="1843"/>
      </w:tblGrid>
      <w:tr w:rsidR="00AF0CA8" w:rsidRPr="008E505E" w:rsidTr="00786F85">
        <w:trPr>
          <w:trHeight w:val="893"/>
          <w:jc w:val="center"/>
        </w:trPr>
        <w:tc>
          <w:tcPr>
            <w:tcW w:w="1336" w:type="dxa"/>
            <w:tcBorders>
              <w:top w:val="single" w:sz="18" w:space="0" w:color="000000"/>
              <w:left w:val="nil"/>
              <w:bottom w:val="single" w:sz="12" w:space="0" w:color="000000"/>
              <w:right w:val="nil"/>
            </w:tcBorders>
            <w:tcMar>
              <w:top w:w="0" w:type="dxa"/>
              <w:left w:w="57" w:type="dxa"/>
              <w:bottom w:w="57" w:type="dxa"/>
              <w:right w:w="57" w:type="dxa"/>
            </w:tcMar>
            <w:vAlign w:val="center"/>
            <w:hideMark/>
          </w:tcPr>
          <w:p w:rsidR="00AF0CA8" w:rsidRPr="008E505E" w:rsidRDefault="00AF0CA8" w:rsidP="00AF0CA8">
            <w:pPr>
              <w:pStyle w:val="14TableHeading"/>
            </w:pPr>
            <w:r w:rsidRPr="008E505E">
              <w:t>Specific</w:t>
            </w:r>
          </w:p>
          <w:p w:rsidR="00AF0CA8" w:rsidRPr="008E505E" w:rsidRDefault="00AF0CA8" w:rsidP="00AF0CA8">
            <w:pPr>
              <w:pStyle w:val="14TableHeading"/>
            </w:pPr>
            <w:r w:rsidRPr="008E505E">
              <w:t>Application</w:t>
            </w:r>
          </w:p>
        </w:tc>
        <w:tc>
          <w:tcPr>
            <w:tcW w:w="1005" w:type="dxa"/>
            <w:tcBorders>
              <w:top w:val="single" w:sz="18" w:space="0" w:color="000000"/>
              <w:left w:val="nil"/>
              <w:bottom w:val="single" w:sz="12" w:space="0" w:color="000000"/>
              <w:right w:val="nil"/>
            </w:tcBorders>
            <w:tcMar>
              <w:top w:w="0" w:type="dxa"/>
              <w:left w:w="28" w:type="dxa"/>
              <w:bottom w:w="57" w:type="dxa"/>
              <w:right w:w="28" w:type="dxa"/>
            </w:tcMar>
            <w:vAlign w:val="center"/>
            <w:hideMark/>
          </w:tcPr>
          <w:p w:rsidR="00AF0CA8" w:rsidRPr="008E505E" w:rsidRDefault="00AF0CA8" w:rsidP="00994AE0">
            <w:pPr>
              <w:pStyle w:val="14TableHeading"/>
            </w:pPr>
            <w:r w:rsidRPr="008E505E">
              <w:t xml:space="preserve">Individual Heat Source MW </w:t>
            </w:r>
          </w:p>
        </w:tc>
        <w:tc>
          <w:tcPr>
            <w:tcW w:w="993" w:type="dxa"/>
            <w:tcBorders>
              <w:top w:val="single" w:sz="18" w:space="0" w:color="000000"/>
              <w:left w:val="nil"/>
              <w:bottom w:val="single" w:sz="12" w:space="0" w:color="000000"/>
              <w:right w:val="nil"/>
            </w:tcBorders>
            <w:tcMar>
              <w:top w:w="0" w:type="dxa"/>
              <w:left w:w="57" w:type="dxa"/>
              <w:bottom w:w="57" w:type="dxa"/>
              <w:right w:w="57" w:type="dxa"/>
            </w:tcMar>
            <w:vAlign w:val="center"/>
            <w:hideMark/>
          </w:tcPr>
          <w:p w:rsidR="00AF0CA8" w:rsidRPr="008E505E" w:rsidRDefault="00AF0CA8" w:rsidP="00AF0CA8">
            <w:pPr>
              <w:pStyle w:val="14TableHeading"/>
            </w:pPr>
            <w:r w:rsidRPr="008E505E">
              <w:t>Total Heat</w:t>
            </w:r>
          </w:p>
          <w:p w:rsidR="00AF0CA8" w:rsidRPr="008E505E" w:rsidRDefault="00AF0CA8" w:rsidP="00AF0CA8">
            <w:pPr>
              <w:pStyle w:val="14TableHeading"/>
            </w:pPr>
            <w:r w:rsidRPr="008E505E">
              <w:t>Output of Sector MW</w:t>
            </w:r>
          </w:p>
        </w:tc>
        <w:tc>
          <w:tcPr>
            <w:tcW w:w="1120" w:type="dxa"/>
            <w:tcBorders>
              <w:top w:val="single" w:sz="18" w:space="0" w:color="000000"/>
              <w:left w:val="nil"/>
              <w:bottom w:val="single" w:sz="12" w:space="0" w:color="000000"/>
              <w:right w:val="nil"/>
            </w:tcBorders>
            <w:tcMar>
              <w:top w:w="0" w:type="dxa"/>
              <w:left w:w="28" w:type="dxa"/>
              <w:bottom w:w="57" w:type="dxa"/>
              <w:right w:w="28" w:type="dxa"/>
            </w:tcMar>
            <w:vAlign w:val="center"/>
            <w:hideMark/>
          </w:tcPr>
          <w:p w:rsidR="00AF0CA8" w:rsidRPr="008E505E" w:rsidRDefault="00AF0CA8" w:rsidP="00AF0CA8">
            <w:pPr>
              <w:pStyle w:val="14TableHeading"/>
            </w:pPr>
            <w:r w:rsidRPr="008E505E">
              <w:t>Seasonal</w:t>
            </w:r>
          </w:p>
        </w:tc>
        <w:tc>
          <w:tcPr>
            <w:tcW w:w="845" w:type="dxa"/>
            <w:tcBorders>
              <w:top w:val="single" w:sz="18" w:space="0" w:color="auto"/>
              <w:left w:val="nil"/>
              <w:bottom w:val="single" w:sz="12" w:space="0" w:color="000000"/>
              <w:right w:val="nil"/>
            </w:tcBorders>
            <w:tcMar>
              <w:top w:w="0" w:type="dxa"/>
              <w:left w:w="57" w:type="dxa"/>
              <w:bottom w:w="57" w:type="dxa"/>
              <w:right w:w="57" w:type="dxa"/>
            </w:tcMar>
            <w:vAlign w:val="center"/>
            <w:hideMark/>
          </w:tcPr>
          <w:p w:rsidR="00AF0CA8" w:rsidRPr="008E505E" w:rsidRDefault="00AF0CA8" w:rsidP="00AF0CA8">
            <w:pPr>
              <w:pStyle w:val="14TableHeading"/>
            </w:pPr>
            <w:r w:rsidRPr="008E505E">
              <w:t>Waste Heat</w:t>
            </w:r>
          </w:p>
          <w:p w:rsidR="00AF0CA8" w:rsidRPr="008E505E" w:rsidRDefault="00AF0CA8" w:rsidP="00AF0CA8">
            <w:pPr>
              <w:pStyle w:val="14TableHeading"/>
            </w:pPr>
            <w:r w:rsidRPr="008E505E">
              <w:t>Temp</w:t>
            </w:r>
            <w:r w:rsidR="00786F85">
              <w:t>-</w:t>
            </w:r>
            <w:r w:rsidRPr="008E505E">
              <w:t xml:space="preserve">erature </w:t>
            </w:r>
          </w:p>
          <w:p w:rsidR="00AF0CA8" w:rsidRPr="008E505E" w:rsidRDefault="00AF0CA8" w:rsidP="00AF0CA8">
            <w:pPr>
              <w:pStyle w:val="14TableHeading"/>
            </w:pPr>
            <w:r w:rsidRPr="008E505E">
              <w:t xml:space="preserve">°C </w:t>
            </w:r>
          </w:p>
        </w:tc>
        <w:tc>
          <w:tcPr>
            <w:tcW w:w="2335" w:type="dxa"/>
            <w:tcBorders>
              <w:top w:val="single" w:sz="18" w:space="0" w:color="000000"/>
              <w:left w:val="nil"/>
              <w:bottom w:val="single" w:sz="12" w:space="0" w:color="000000"/>
              <w:right w:val="nil"/>
            </w:tcBorders>
            <w:tcMar>
              <w:top w:w="0" w:type="dxa"/>
              <w:left w:w="57" w:type="dxa"/>
              <w:bottom w:w="57" w:type="dxa"/>
              <w:right w:w="57" w:type="dxa"/>
            </w:tcMar>
            <w:vAlign w:val="center"/>
            <w:hideMark/>
          </w:tcPr>
          <w:p w:rsidR="00AF0CA8" w:rsidRDefault="00AF0CA8" w:rsidP="00AF0CA8">
            <w:pPr>
              <w:pStyle w:val="14TableHeading"/>
            </w:pPr>
            <w:r w:rsidRPr="008E505E">
              <w:t>W</w:t>
            </w:r>
            <w:r w:rsidR="0090190E">
              <w:t>aste Heat</w:t>
            </w:r>
          </w:p>
          <w:p w:rsidR="0090190E" w:rsidRPr="008E505E" w:rsidRDefault="0090190E" w:rsidP="00AF0CA8">
            <w:pPr>
              <w:pStyle w:val="14TableHeading"/>
            </w:pPr>
            <w:r>
              <w:t>Characteristics</w:t>
            </w:r>
          </w:p>
        </w:tc>
        <w:tc>
          <w:tcPr>
            <w:tcW w:w="1843" w:type="dxa"/>
            <w:tcBorders>
              <w:top w:val="single" w:sz="18" w:space="0" w:color="000000"/>
              <w:left w:val="nil"/>
              <w:bottom w:val="single" w:sz="12" w:space="0" w:color="000000"/>
              <w:right w:val="nil"/>
            </w:tcBorders>
            <w:vAlign w:val="center"/>
          </w:tcPr>
          <w:p w:rsidR="00AF0CA8" w:rsidRPr="008E505E" w:rsidRDefault="00AF0CA8" w:rsidP="00AF0CA8">
            <w:pPr>
              <w:pStyle w:val="14TableHeading"/>
            </w:pPr>
            <w:r>
              <w:t>References</w:t>
            </w:r>
          </w:p>
        </w:tc>
      </w:tr>
      <w:tr w:rsidR="00AF0CA8" w:rsidRPr="008E505E" w:rsidTr="00786F85">
        <w:trPr>
          <w:jc w:val="center"/>
        </w:trPr>
        <w:tc>
          <w:tcPr>
            <w:tcW w:w="1336" w:type="dxa"/>
            <w:tcBorders>
              <w:top w:val="single" w:sz="1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ind w:left="0" w:firstLine="0"/>
              <w:rPr>
                <w:rFonts w:asciiTheme="minorHAnsi" w:hAnsiTheme="minorHAnsi"/>
              </w:rPr>
            </w:pPr>
            <w:r w:rsidRPr="008E505E">
              <w:rPr>
                <w:rFonts w:asciiTheme="minorHAnsi" w:hAnsiTheme="minorHAnsi"/>
              </w:rPr>
              <w:t>Underground railway infrastructure</w:t>
            </w:r>
          </w:p>
        </w:tc>
        <w:tc>
          <w:tcPr>
            <w:tcW w:w="1005" w:type="dxa"/>
            <w:tcBorders>
              <w:top w:val="single" w:sz="12" w:space="0" w:color="000000"/>
              <w:left w:val="nil"/>
              <w:bottom w:val="single" w:sz="2"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0.6</w:t>
            </w:r>
          </w:p>
        </w:tc>
        <w:tc>
          <w:tcPr>
            <w:tcW w:w="993" w:type="dxa"/>
            <w:tcBorders>
              <w:top w:val="single" w:sz="1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15</w:t>
            </w:r>
          </w:p>
        </w:tc>
        <w:tc>
          <w:tcPr>
            <w:tcW w:w="1120" w:type="dxa"/>
            <w:tcBorders>
              <w:top w:val="single" w:sz="12" w:space="0" w:color="000000"/>
              <w:left w:val="nil"/>
              <w:bottom w:val="single" w:sz="2"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ind w:left="0" w:firstLine="0"/>
              <w:rPr>
                <w:rFonts w:asciiTheme="minorHAnsi" w:hAnsiTheme="minorHAnsi"/>
              </w:rPr>
            </w:pPr>
            <w:r w:rsidRPr="008E505E">
              <w:rPr>
                <w:rFonts w:asciiTheme="minorHAnsi" w:hAnsiTheme="minorHAnsi"/>
              </w:rPr>
              <w:t>More heat generated in</w:t>
            </w:r>
          </w:p>
          <w:p w:rsidR="00AF0CA8" w:rsidRPr="008E505E" w:rsidRDefault="00AF0CA8" w:rsidP="00AF0CA8">
            <w:pPr>
              <w:pStyle w:val="16TableText"/>
              <w:ind w:left="0" w:firstLine="0"/>
              <w:rPr>
                <w:rFonts w:asciiTheme="minorHAnsi" w:hAnsiTheme="minorHAnsi"/>
              </w:rPr>
            </w:pPr>
            <w:r w:rsidRPr="008E505E">
              <w:rPr>
                <w:rFonts w:asciiTheme="minorHAnsi" w:hAnsiTheme="minorHAnsi"/>
              </w:rPr>
              <w:t>summer</w:t>
            </w:r>
          </w:p>
        </w:tc>
        <w:tc>
          <w:tcPr>
            <w:tcW w:w="845" w:type="dxa"/>
            <w:tcBorders>
              <w:top w:val="single" w:sz="1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25-30</w:t>
            </w:r>
          </w:p>
        </w:tc>
        <w:tc>
          <w:tcPr>
            <w:tcW w:w="2335" w:type="dxa"/>
            <w:tcBorders>
              <w:top w:val="single" w:sz="1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Low air temperatures;</w:t>
            </w:r>
          </w:p>
          <w:p w:rsidR="00AF0CA8" w:rsidRPr="008E505E" w:rsidRDefault="00AF0CA8" w:rsidP="00AF0CA8">
            <w:pPr>
              <w:pStyle w:val="16TableText"/>
              <w:rPr>
                <w:rFonts w:asciiTheme="minorHAnsi" w:hAnsiTheme="minorHAnsi"/>
              </w:rPr>
            </w:pPr>
            <w:r w:rsidRPr="008E505E">
              <w:rPr>
                <w:rFonts w:asciiTheme="minorHAnsi" w:hAnsiTheme="minorHAnsi"/>
              </w:rPr>
              <w:t>moderate quantity of heat;</w:t>
            </w:r>
          </w:p>
          <w:p w:rsidR="00AF0CA8" w:rsidRPr="008E505E" w:rsidRDefault="00AF0CA8" w:rsidP="00AF0CA8">
            <w:pPr>
              <w:pStyle w:val="16TableText"/>
              <w:rPr>
                <w:rFonts w:asciiTheme="minorHAnsi" w:hAnsiTheme="minorHAnsi"/>
              </w:rPr>
            </w:pPr>
            <w:r w:rsidRPr="008E505E">
              <w:rPr>
                <w:rFonts w:asciiTheme="minorHAnsi" w:hAnsiTheme="minorHAnsi"/>
              </w:rPr>
              <w:t>large number of sources</w:t>
            </w:r>
          </w:p>
        </w:tc>
        <w:tc>
          <w:tcPr>
            <w:tcW w:w="1843" w:type="dxa"/>
            <w:tcBorders>
              <w:top w:val="single" w:sz="12" w:space="0" w:color="000000"/>
              <w:left w:val="nil"/>
              <w:bottom w:val="single" w:sz="2" w:space="0" w:color="000000"/>
              <w:right w:val="nil"/>
            </w:tcBorders>
          </w:tcPr>
          <w:p w:rsidR="00AF0CA8" w:rsidRDefault="005A2772" w:rsidP="00AF0CA8">
            <w:pPr>
              <w:pStyle w:val="16TableText"/>
              <w:rPr>
                <w:rFonts w:asciiTheme="minorHAnsi" w:hAnsiTheme="minorHAnsi"/>
              </w:rPr>
            </w:pPr>
            <w:r>
              <w:rPr>
                <w:rFonts w:asciiTheme="minorHAnsi" w:hAnsiTheme="minorHAnsi"/>
              </w:rPr>
              <w:t>Ninikas et al (2016)</w:t>
            </w:r>
          </w:p>
          <w:p w:rsidR="005A2772" w:rsidRDefault="005A2772" w:rsidP="00AF0CA8">
            <w:pPr>
              <w:pStyle w:val="16TableText"/>
              <w:rPr>
                <w:rFonts w:asciiTheme="minorHAnsi" w:hAnsiTheme="minorHAnsi"/>
              </w:rPr>
            </w:pPr>
            <w:r>
              <w:rPr>
                <w:rFonts w:asciiTheme="minorHAnsi" w:hAnsiTheme="minorHAnsi"/>
              </w:rPr>
              <w:t>Chai et al (2017)</w:t>
            </w:r>
          </w:p>
          <w:p w:rsidR="005A2772" w:rsidRPr="008E505E" w:rsidRDefault="005A2772" w:rsidP="00AF0CA8">
            <w:pPr>
              <w:pStyle w:val="16TableText"/>
              <w:rPr>
                <w:rFonts w:asciiTheme="minorHAnsi" w:hAnsiTheme="minorHAnsi"/>
              </w:rPr>
            </w:pPr>
            <w:r>
              <w:rPr>
                <w:rFonts w:asciiTheme="minorHAnsi" w:hAnsiTheme="minorHAnsi"/>
              </w:rPr>
              <w:t>Liu et al (2018)</w:t>
            </w:r>
          </w:p>
        </w:tc>
      </w:tr>
      <w:tr w:rsidR="00AF0CA8" w:rsidRPr="008E505E" w:rsidTr="00786F85">
        <w:trPr>
          <w:trHeight w:val="936"/>
          <w:jc w:val="center"/>
        </w:trPr>
        <w:tc>
          <w:tcPr>
            <w:tcW w:w="1336"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ind w:left="0" w:firstLine="0"/>
              <w:rPr>
                <w:rFonts w:asciiTheme="minorHAnsi" w:hAnsiTheme="minorHAnsi"/>
              </w:rPr>
            </w:pPr>
            <w:r w:rsidRPr="008E505E">
              <w:rPr>
                <w:rFonts w:asciiTheme="minorHAnsi" w:hAnsiTheme="minorHAnsi"/>
              </w:rPr>
              <w:t>UKPN</w:t>
            </w:r>
          </w:p>
          <w:p w:rsidR="00AF0CA8" w:rsidRPr="008E505E" w:rsidRDefault="00AF0CA8" w:rsidP="00AF0CA8">
            <w:pPr>
              <w:pStyle w:val="16TableText"/>
              <w:ind w:left="0" w:firstLine="0"/>
              <w:rPr>
                <w:rFonts w:asciiTheme="minorHAnsi" w:hAnsiTheme="minorHAnsi"/>
              </w:rPr>
            </w:pPr>
            <w:r w:rsidRPr="008E505E">
              <w:rPr>
                <w:rFonts w:asciiTheme="minorHAnsi" w:hAnsiTheme="minorHAnsi"/>
              </w:rPr>
              <w:t>Substation infrastructure</w:t>
            </w:r>
          </w:p>
        </w:tc>
        <w:tc>
          <w:tcPr>
            <w:tcW w:w="1005" w:type="dxa"/>
            <w:tcBorders>
              <w:top w:val="single" w:sz="2" w:space="0" w:color="000000"/>
              <w:left w:val="nil"/>
              <w:bottom w:val="single" w:sz="2"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1.63</w:t>
            </w:r>
          </w:p>
        </w:tc>
        <w:tc>
          <w:tcPr>
            <w:tcW w:w="993"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N/A</w:t>
            </w:r>
          </w:p>
        </w:tc>
        <w:tc>
          <w:tcPr>
            <w:tcW w:w="1120" w:type="dxa"/>
            <w:tcBorders>
              <w:top w:val="single" w:sz="2" w:space="0" w:color="000000"/>
              <w:left w:val="nil"/>
              <w:bottom w:val="single" w:sz="2"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ind w:left="0" w:firstLine="0"/>
              <w:rPr>
                <w:rFonts w:asciiTheme="minorHAnsi" w:hAnsiTheme="minorHAnsi"/>
              </w:rPr>
            </w:pPr>
            <w:r w:rsidRPr="008E505E">
              <w:rPr>
                <w:rFonts w:asciiTheme="minorHAnsi" w:hAnsiTheme="minorHAnsi"/>
              </w:rPr>
              <w:t>High heat output all year round</w:t>
            </w:r>
          </w:p>
        </w:tc>
        <w:tc>
          <w:tcPr>
            <w:tcW w:w="845"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N/A</w:t>
            </w:r>
          </w:p>
        </w:tc>
        <w:tc>
          <w:tcPr>
            <w:tcW w:w="2335"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Moderate temperatures;</w:t>
            </w:r>
          </w:p>
          <w:p w:rsidR="00AF0CA8" w:rsidRPr="008E505E" w:rsidRDefault="00AF0CA8" w:rsidP="00AF0CA8">
            <w:pPr>
              <w:pStyle w:val="16TableText"/>
              <w:rPr>
                <w:rFonts w:asciiTheme="minorHAnsi" w:hAnsiTheme="minorHAnsi"/>
              </w:rPr>
            </w:pPr>
            <w:r w:rsidRPr="008E505E">
              <w:rPr>
                <w:rFonts w:asciiTheme="minorHAnsi" w:hAnsiTheme="minorHAnsi"/>
              </w:rPr>
              <w:t>moderate quantity of heat;</w:t>
            </w:r>
          </w:p>
          <w:p w:rsidR="00AF0CA8" w:rsidRPr="008E505E" w:rsidRDefault="00AF0CA8" w:rsidP="00AF0CA8">
            <w:pPr>
              <w:pStyle w:val="16TableText"/>
              <w:rPr>
                <w:rFonts w:asciiTheme="minorHAnsi" w:hAnsiTheme="minorHAnsi"/>
              </w:rPr>
            </w:pPr>
            <w:r w:rsidRPr="008E505E">
              <w:rPr>
                <w:rFonts w:asciiTheme="minorHAnsi" w:hAnsiTheme="minorHAnsi"/>
              </w:rPr>
              <w:t>small number of sources</w:t>
            </w:r>
          </w:p>
        </w:tc>
        <w:tc>
          <w:tcPr>
            <w:tcW w:w="1843" w:type="dxa"/>
            <w:tcBorders>
              <w:top w:val="single" w:sz="2" w:space="0" w:color="000000"/>
              <w:left w:val="nil"/>
              <w:bottom w:val="single" w:sz="2" w:space="0" w:color="000000"/>
              <w:right w:val="nil"/>
            </w:tcBorders>
            <w:vAlign w:val="center"/>
          </w:tcPr>
          <w:p w:rsidR="00AF0CA8" w:rsidRDefault="005A2772" w:rsidP="00994AE0">
            <w:pPr>
              <w:pStyle w:val="16TableText"/>
              <w:ind w:left="0" w:firstLine="0"/>
              <w:rPr>
                <w:rFonts w:asciiTheme="minorHAnsi" w:hAnsiTheme="minorHAnsi"/>
              </w:rPr>
            </w:pPr>
            <w:r>
              <w:rPr>
                <w:rFonts w:asciiTheme="minorHAnsi" w:hAnsiTheme="minorHAnsi"/>
              </w:rPr>
              <w:t>Zhao et al (1995)</w:t>
            </w:r>
          </w:p>
          <w:p w:rsidR="005A2772" w:rsidRPr="008E505E" w:rsidRDefault="00936830" w:rsidP="00994AE0">
            <w:pPr>
              <w:pStyle w:val="16TableText"/>
              <w:rPr>
                <w:rFonts w:asciiTheme="minorHAnsi" w:hAnsiTheme="minorHAnsi"/>
              </w:rPr>
            </w:pPr>
            <w:r>
              <w:rPr>
                <w:rFonts w:asciiTheme="minorHAnsi" w:hAnsiTheme="minorHAnsi"/>
              </w:rPr>
              <w:t>Shrestha</w:t>
            </w:r>
            <w:r w:rsidR="005A2772">
              <w:rPr>
                <w:rFonts w:asciiTheme="minorHAnsi" w:hAnsiTheme="minorHAnsi"/>
              </w:rPr>
              <w:t xml:space="preserve"> (2013)</w:t>
            </w:r>
          </w:p>
        </w:tc>
      </w:tr>
      <w:tr w:rsidR="00AF0CA8" w:rsidRPr="008E505E" w:rsidTr="00786F85">
        <w:trPr>
          <w:trHeight w:val="708"/>
          <w:jc w:val="center"/>
        </w:trPr>
        <w:tc>
          <w:tcPr>
            <w:tcW w:w="1336"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ind w:left="-21" w:firstLine="21"/>
              <w:rPr>
                <w:rFonts w:asciiTheme="minorHAnsi" w:hAnsiTheme="minorHAnsi"/>
              </w:rPr>
            </w:pPr>
            <w:r w:rsidRPr="008E505E">
              <w:rPr>
                <w:rFonts w:asciiTheme="minorHAnsi" w:hAnsiTheme="minorHAnsi"/>
              </w:rPr>
              <w:t>National Grid</w:t>
            </w:r>
          </w:p>
          <w:p w:rsidR="00AF0CA8" w:rsidRPr="008E505E" w:rsidRDefault="00AF0CA8" w:rsidP="00AF0CA8">
            <w:pPr>
              <w:pStyle w:val="16TableText"/>
              <w:ind w:left="-21" w:firstLine="21"/>
              <w:rPr>
                <w:rFonts w:asciiTheme="minorHAnsi" w:hAnsiTheme="minorHAnsi"/>
              </w:rPr>
            </w:pPr>
            <w:r w:rsidRPr="008E505E">
              <w:rPr>
                <w:rFonts w:asciiTheme="minorHAnsi" w:hAnsiTheme="minorHAnsi"/>
              </w:rPr>
              <w:t>electrical</w:t>
            </w:r>
          </w:p>
          <w:p w:rsidR="00AF0CA8" w:rsidRPr="008E505E" w:rsidRDefault="00AF0CA8" w:rsidP="00AF0CA8">
            <w:pPr>
              <w:pStyle w:val="16TableText"/>
              <w:ind w:left="0" w:firstLine="0"/>
              <w:rPr>
                <w:rFonts w:asciiTheme="minorHAnsi" w:hAnsiTheme="minorHAnsi"/>
              </w:rPr>
            </w:pPr>
            <w:r w:rsidRPr="008E505E">
              <w:rPr>
                <w:rFonts w:asciiTheme="minorHAnsi" w:hAnsiTheme="minorHAnsi"/>
              </w:rPr>
              <w:t>infrastructure</w:t>
            </w:r>
          </w:p>
        </w:tc>
        <w:tc>
          <w:tcPr>
            <w:tcW w:w="1005" w:type="dxa"/>
            <w:tcBorders>
              <w:top w:val="nil"/>
              <w:left w:val="nil"/>
              <w:bottom w:val="single" w:sz="2"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6.8</w:t>
            </w:r>
          </w:p>
        </w:tc>
        <w:tc>
          <w:tcPr>
            <w:tcW w:w="993" w:type="dxa"/>
            <w:tcBorders>
              <w:top w:val="nil"/>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40</w:t>
            </w:r>
          </w:p>
        </w:tc>
        <w:tc>
          <w:tcPr>
            <w:tcW w:w="1120" w:type="dxa"/>
            <w:tcBorders>
              <w:top w:val="nil"/>
              <w:left w:val="nil"/>
              <w:bottom w:val="single" w:sz="2"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ind w:left="0" w:firstLine="0"/>
              <w:rPr>
                <w:rFonts w:asciiTheme="minorHAnsi" w:hAnsiTheme="minorHAnsi"/>
              </w:rPr>
            </w:pPr>
            <w:r w:rsidRPr="008E505E">
              <w:rPr>
                <w:rFonts w:asciiTheme="minorHAnsi" w:hAnsiTheme="minorHAnsi"/>
              </w:rPr>
              <w:t>High heat output all year round</w:t>
            </w:r>
          </w:p>
        </w:tc>
        <w:tc>
          <w:tcPr>
            <w:tcW w:w="845" w:type="dxa"/>
            <w:tcBorders>
              <w:top w:val="nil"/>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55</w:t>
            </w:r>
          </w:p>
        </w:tc>
        <w:tc>
          <w:tcPr>
            <w:tcW w:w="2335" w:type="dxa"/>
            <w:tcBorders>
              <w:top w:val="nil"/>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Moderate temperatures;</w:t>
            </w:r>
          </w:p>
          <w:p w:rsidR="00AF0CA8" w:rsidRPr="008E505E" w:rsidRDefault="00AF0CA8" w:rsidP="00AF0CA8">
            <w:pPr>
              <w:pStyle w:val="16TableText"/>
              <w:rPr>
                <w:rFonts w:asciiTheme="minorHAnsi" w:hAnsiTheme="minorHAnsi"/>
              </w:rPr>
            </w:pPr>
            <w:r w:rsidRPr="008E505E">
              <w:rPr>
                <w:rFonts w:asciiTheme="minorHAnsi" w:hAnsiTheme="minorHAnsi"/>
              </w:rPr>
              <w:t>moderate quantity of heat;</w:t>
            </w:r>
          </w:p>
          <w:p w:rsidR="00AF0CA8" w:rsidRPr="008E505E" w:rsidRDefault="00AF0CA8" w:rsidP="00AF0CA8">
            <w:pPr>
              <w:pStyle w:val="16TableText"/>
              <w:rPr>
                <w:rFonts w:asciiTheme="minorHAnsi" w:hAnsiTheme="minorHAnsi"/>
              </w:rPr>
            </w:pPr>
            <w:r w:rsidRPr="008E505E">
              <w:rPr>
                <w:rFonts w:asciiTheme="minorHAnsi" w:hAnsiTheme="minorHAnsi"/>
              </w:rPr>
              <w:t>small number of sources</w:t>
            </w:r>
          </w:p>
        </w:tc>
        <w:tc>
          <w:tcPr>
            <w:tcW w:w="1843" w:type="dxa"/>
            <w:tcBorders>
              <w:top w:val="nil"/>
              <w:left w:val="nil"/>
              <w:bottom w:val="single" w:sz="2" w:space="0" w:color="000000"/>
              <w:right w:val="nil"/>
            </w:tcBorders>
          </w:tcPr>
          <w:p w:rsidR="00994AE0" w:rsidRDefault="00994AE0" w:rsidP="00AF0CA8">
            <w:pPr>
              <w:pStyle w:val="16TableText"/>
              <w:rPr>
                <w:rFonts w:asciiTheme="minorHAnsi" w:hAnsiTheme="minorHAnsi"/>
              </w:rPr>
            </w:pPr>
          </w:p>
          <w:p w:rsidR="00AF0CA8" w:rsidRPr="008E505E" w:rsidRDefault="0067015D" w:rsidP="00AF0CA8">
            <w:pPr>
              <w:pStyle w:val="16TableText"/>
              <w:rPr>
                <w:rFonts w:asciiTheme="minorHAnsi" w:hAnsiTheme="minorHAnsi"/>
              </w:rPr>
            </w:pPr>
            <w:r>
              <w:rPr>
                <w:rFonts w:asciiTheme="minorHAnsi" w:hAnsiTheme="minorHAnsi"/>
              </w:rPr>
              <w:t xml:space="preserve">National Grid </w:t>
            </w:r>
            <w:r w:rsidR="001036BE">
              <w:rPr>
                <w:rFonts w:asciiTheme="minorHAnsi" w:hAnsiTheme="minorHAnsi"/>
              </w:rPr>
              <w:t>(2018</w:t>
            </w:r>
            <w:r w:rsidR="005A2772">
              <w:rPr>
                <w:rFonts w:asciiTheme="minorHAnsi" w:hAnsiTheme="minorHAnsi"/>
              </w:rPr>
              <w:t>)</w:t>
            </w:r>
          </w:p>
        </w:tc>
      </w:tr>
      <w:tr w:rsidR="00AF0CA8" w:rsidRPr="008E505E" w:rsidTr="00786F85">
        <w:trPr>
          <w:trHeight w:val="848"/>
          <w:jc w:val="center"/>
        </w:trPr>
        <w:tc>
          <w:tcPr>
            <w:tcW w:w="1336"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ind w:left="0" w:firstLine="0"/>
              <w:rPr>
                <w:rFonts w:asciiTheme="minorHAnsi" w:hAnsiTheme="minorHAnsi"/>
              </w:rPr>
            </w:pPr>
            <w:r w:rsidRPr="008E505E">
              <w:rPr>
                <w:rFonts w:asciiTheme="minorHAnsi" w:hAnsiTheme="minorHAnsi"/>
              </w:rPr>
              <w:t>Office buildings</w:t>
            </w:r>
          </w:p>
        </w:tc>
        <w:tc>
          <w:tcPr>
            <w:tcW w:w="1005" w:type="dxa"/>
            <w:tcBorders>
              <w:top w:val="single" w:sz="2" w:space="0" w:color="000000"/>
              <w:left w:val="nil"/>
              <w:bottom w:val="single" w:sz="2"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N/A</w:t>
            </w:r>
          </w:p>
        </w:tc>
        <w:tc>
          <w:tcPr>
            <w:tcW w:w="993"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308</w:t>
            </w:r>
          </w:p>
        </w:tc>
        <w:tc>
          <w:tcPr>
            <w:tcW w:w="1120" w:type="dxa"/>
            <w:tcBorders>
              <w:top w:val="single" w:sz="2" w:space="0" w:color="000000"/>
              <w:left w:val="nil"/>
              <w:bottom w:val="single" w:sz="2"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ind w:left="0" w:firstLine="0"/>
              <w:rPr>
                <w:rFonts w:asciiTheme="minorHAnsi" w:hAnsiTheme="minorHAnsi"/>
              </w:rPr>
            </w:pPr>
            <w:r w:rsidRPr="008E505E">
              <w:rPr>
                <w:rFonts w:asciiTheme="minorHAnsi" w:hAnsiTheme="minorHAnsi"/>
              </w:rPr>
              <w:t>More heat generated in</w:t>
            </w:r>
          </w:p>
          <w:p w:rsidR="00AF0CA8" w:rsidRPr="008E505E" w:rsidRDefault="00AF0CA8" w:rsidP="00AF0CA8">
            <w:pPr>
              <w:pStyle w:val="16TableText"/>
              <w:rPr>
                <w:rFonts w:asciiTheme="minorHAnsi" w:hAnsiTheme="minorHAnsi"/>
              </w:rPr>
            </w:pPr>
            <w:r w:rsidRPr="008E505E">
              <w:rPr>
                <w:rFonts w:asciiTheme="minorHAnsi" w:hAnsiTheme="minorHAnsi"/>
              </w:rPr>
              <w:t>summer</w:t>
            </w:r>
          </w:p>
        </w:tc>
        <w:tc>
          <w:tcPr>
            <w:tcW w:w="845"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28</w:t>
            </w:r>
          </w:p>
        </w:tc>
        <w:tc>
          <w:tcPr>
            <w:tcW w:w="2335"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Low air temperatures;</w:t>
            </w:r>
          </w:p>
          <w:p w:rsidR="00AF0CA8" w:rsidRPr="008E505E" w:rsidRDefault="00AF0CA8" w:rsidP="00AF0CA8">
            <w:pPr>
              <w:pStyle w:val="16TableText"/>
              <w:rPr>
                <w:rFonts w:asciiTheme="minorHAnsi" w:hAnsiTheme="minorHAnsi"/>
              </w:rPr>
            </w:pPr>
            <w:r w:rsidRPr="008E505E">
              <w:rPr>
                <w:rFonts w:asciiTheme="minorHAnsi" w:hAnsiTheme="minorHAnsi"/>
              </w:rPr>
              <w:t>large quantity of heat;</w:t>
            </w:r>
          </w:p>
          <w:p w:rsidR="00AF0CA8" w:rsidRPr="008E505E" w:rsidRDefault="00AF0CA8" w:rsidP="00AF0CA8">
            <w:pPr>
              <w:pStyle w:val="16TableText"/>
              <w:rPr>
                <w:rFonts w:asciiTheme="minorHAnsi" w:hAnsiTheme="minorHAnsi"/>
              </w:rPr>
            </w:pPr>
            <w:r w:rsidRPr="008E505E">
              <w:rPr>
                <w:rFonts w:asciiTheme="minorHAnsi" w:hAnsiTheme="minorHAnsi"/>
              </w:rPr>
              <w:t>large number of sources</w:t>
            </w:r>
          </w:p>
        </w:tc>
        <w:tc>
          <w:tcPr>
            <w:tcW w:w="1843" w:type="dxa"/>
            <w:tcBorders>
              <w:top w:val="single" w:sz="2" w:space="0" w:color="000000"/>
              <w:left w:val="nil"/>
              <w:bottom w:val="single" w:sz="2" w:space="0" w:color="000000"/>
              <w:right w:val="nil"/>
            </w:tcBorders>
          </w:tcPr>
          <w:p w:rsidR="00AF0CA8" w:rsidRPr="008E505E" w:rsidRDefault="00AF0CA8" w:rsidP="00AF0CA8">
            <w:pPr>
              <w:pStyle w:val="16TableText"/>
              <w:rPr>
                <w:rFonts w:asciiTheme="minorHAnsi" w:hAnsiTheme="minorHAnsi"/>
              </w:rPr>
            </w:pPr>
          </w:p>
        </w:tc>
      </w:tr>
      <w:tr w:rsidR="00AF0CA8" w:rsidRPr="008E505E" w:rsidTr="00786F85">
        <w:trPr>
          <w:trHeight w:val="932"/>
          <w:jc w:val="center"/>
        </w:trPr>
        <w:tc>
          <w:tcPr>
            <w:tcW w:w="1336"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ind w:left="0" w:firstLine="0"/>
              <w:rPr>
                <w:rFonts w:asciiTheme="minorHAnsi" w:hAnsiTheme="minorHAnsi"/>
              </w:rPr>
            </w:pPr>
            <w:r w:rsidRPr="008E505E">
              <w:rPr>
                <w:rFonts w:asciiTheme="minorHAnsi" w:hAnsiTheme="minorHAnsi"/>
              </w:rPr>
              <w:t>Retail buildings</w:t>
            </w:r>
          </w:p>
        </w:tc>
        <w:tc>
          <w:tcPr>
            <w:tcW w:w="1005" w:type="dxa"/>
            <w:tcBorders>
              <w:top w:val="single" w:sz="2" w:space="0" w:color="000000"/>
              <w:left w:val="nil"/>
              <w:bottom w:val="single" w:sz="2"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N/A</w:t>
            </w:r>
          </w:p>
        </w:tc>
        <w:tc>
          <w:tcPr>
            <w:tcW w:w="993"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616</w:t>
            </w:r>
          </w:p>
        </w:tc>
        <w:tc>
          <w:tcPr>
            <w:tcW w:w="1120" w:type="dxa"/>
            <w:tcBorders>
              <w:top w:val="single" w:sz="2" w:space="0" w:color="000000"/>
              <w:left w:val="nil"/>
              <w:bottom w:val="single" w:sz="2"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ind w:left="0" w:firstLine="0"/>
              <w:rPr>
                <w:rFonts w:asciiTheme="minorHAnsi" w:hAnsiTheme="minorHAnsi"/>
              </w:rPr>
            </w:pPr>
            <w:r w:rsidRPr="008E505E">
              <w:rPr>
                <w:rFonts w:asciiTheme="minorHAnsi" w:hAnsiTheme="minorHAnsi"/>
              </w:rPr>
              <w:t>More heat generated in</w:t>
            </w:r>
          </w:p>
          <w:p w:rsidR="00AF0CA8" w:rsidRPr="008E505E" w:rsidRDefault="00AF0CA8" w:rsidP="00AF0CA8">
            <w:pPr>
              <w:pStyle w:val="16TableText"/>
              <w:rPr>
                <w:rFonts w:asciiTheme="minorHAnsi" w:hAnsiTheme="minorHAnsi"/>
              </w:rPr>
            </w:pPr>
            <w:r w:rsidRPr="008E505E">
              <w:rPr>
                <w:rFonts w:asciiTheme="minorHAnsi" w:hAnsiTheme="minorHAnsi"/>
              </w:rPr>
              <w:t>summer</w:t>
            </w:r>
          </w:p>
        </w:tc>
        <w:tc>
          <w:tcPr>
            <w:tcW w:w="845"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28</w:t>
            </w:r>
          </w:p>
        </w:tc>
        <w:tc>
          <w:tcPr>
            <w:tcW w:w="2335"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Low air temperatures;</w:t>
            </w:r>
          </w:p>
          <w:p w:rsidR="00AF0CA8" w:rsidRPr="008E505E" w:rsidRDefault="00AF0CA8" w:rsidP="00AF0CA8">
            <w:pPr>
              <w:pStyle w:val="16TableText"/>
              <w:rPr>
                <w:rFonts w:asciiTheme="minorHAnsi" w:hAnsiTheme="minorHAnsi"/>
              </w:rPr>
            </w:pPr>
            <w:r w:rsidRPr="008E505E">
              <w:rPr>
                <w:rFonts w:asciiTheme="minorHAnsi" w:hAnsiTheme="minorHAnsi"/>
              </w:rPr>
              <w:t>large quantity of heat;</w:t>
            </w:r>
          </w:p>
          <w:p w:rsidR="00AF0CA8" w:rsidRPr="008E505E" w:rsidRDefault="00AF0CA8" w:rsidP="00AF0CA8">
            <w:pPr>
              <w:pStyle w:val="16TableText"/>
              <w:rPr>
                <w:rFonts w:asciiTheme="minorHAnsi" w:hAnsiTheme="minorHAnsi"/>
              </w:rPr>
            </w:pPr>
            <w:r w:rsidRPr="008E505E">
              <w:rPr>
                <w:rFonts w:asciiTheme="minorHAnsi" w:hAnsiTheme="minorHAnsi"/>
              </w:rPr>
              <w:t>large number of sources</w:t>
            </w:r>
          </w:p>
        </w:tc>
        <w:tc>
          <w:tcPr>
            <w:tcW w:w="1843" w:type="dxa"/>
            <w:tcBorders>
              <w:top w:val="single" w:sz="2" w:space="0" w:color="000000"/>
              <w:left w:val="nil"/>
              <w:bottom w:val="single" w:sz="2" w:space="0" w:color="000000"/>
              <w:right w:val="nil"/>
            </w:tcBorders>
          </w:tcPr>
          <w:p w:rsidR="00AF0CA8" w:rsidRPr="008E505E" w:rsidRDefault="00AF0CA8" w:rsidP="00AF0CA8">
            <w:pPr>
              <w:pStyle w:val="16TableText"/>
              <w:rPr>
                <w:rFonts w:asciiTheme="minorHAnsi" w:hAnsiTheme="minorHAnsi"/>
              </w:rPr>
            </w:pPr>
          </w:p>
        </w:tc>
      </w:tr>
      <w:tr w:rsidR="00AF0CA8" w:rsidRPr="008E505E" w:rsidTr="00786F85">
        <w:trPr>
          <w:trHeight w:val="932"/>
          <w:jc w:val="center"/>
        </w:trPr>
        <w:tc>
          <w:tcPr>
            <w:tcW w:w="1336"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ind w:left="0" w:firstLine="0"/>
              <w:rPr>
                <w:rFonts w:asciiTheme="minorHAnsi" w:hAnsiTheme="minorHAnsi"/>
              </w:rPr>
            </w:pPr>
            <w:r w:rsidRPr="008E505E">
              <w:rPr>
                <w:rFonts w:asciiTheme="minorHAnsi" w:hAnsiTheme="minorHAnsi"/>
              </w:rPr>
              <w:t>Supermarkets (commercial refrigeration)</w:t>
            </w:r>
          </w:p>
        </w:tc>
        <w:tc>
          <w:tcPr>
            <w:tcW w:w="1005" w:type="dxa"/>
            <w:tcBorders>
              <w:top w:val="single" w:sz="2" w:space="0" w:color="000000"/>
              <w:left w:val="nil"/>
              <w:bottom w:val="single" w:sz="2"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0.5-1.0</w:t>
            </w:r>
          </w:p>
        </w:tc>
        <w:tc>
          <w:tcPr>
            <w:tcW w:w="993"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32</w:t>
            </w:r>
          </w:p>
        </w:tc>
        <w:tc>
          <w:tcPr>
            <w:tcW w:w="1120" w:type="dxa"/>
            <w:tcBorders>
              <w:top w:val="single" w:sz="2" w:space="0" w:color="000000"/>
              <w:left w:val="nil"/>
              <w:bottom w:val="single" w:sz="2"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ind w:left="0" w:firstLine="0"/>
              <w:rPr>
                <w:rFonts w:asciiTheme="minorHAnsi" w:hAnsiTheme="minorHAnsi"/>
              </w:rPr>
            </w:pPr>
            <w:r w:rsidRPr="008E505E">
              <w:rPr>
                <w:rFonts w:asciiTheme="minorHAnsi" w:hAnsiTheme="minorHAnsi"/>
              </w:rPr>
              <w:t>High heat output all year round</w:t>
            </w:r>
          </w:p>
        </w:tc>
        <w:tc>
          <w:tcPr>
            <w:tcW w:w="845"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32</w:t>
            </w:r>
          </w:p>
        </w:tc>
        <w:tc>
          <w:tcPr>
            <w:tcW w:w="2335"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Low air temperatures;</w:t>
            </w:r>
          </w:p>
          <w:p w:rsidR="00AF0CA8" w:rsidRPr="008E505E" w:rsidRDefault="00AF0CA8" w:rsidP="00AF0CA8">
            <w:pPr>
              <w:pStyle w:val="16TableText"/>
              <w:rPr>
                <w:rFonts w:asciiTheme="minorHAnsi" w:hAnsiTheme="minorHAnsi"/>
              </w:rPr>
            </w:pPr>
            <w:r w:rsidRPr="008E505E">
              <w:rPr>
                <w:rFonts w:asciiTheme="minorHAnsi" w:hAnsiTheme="minorHAnsi"/>
              </w:rPr>
              <w:t>moderate quantity of heat;</w:t>
            </w:r>
          </w:p>
          <w:p w:rsidR="00AF0CA8" w:rsidRPr="008E505E" w:rsidRDefault="00AF0CA8" w:rsidP="00AF0CA8">
            <w:pPr>
              <w:pStyle w:val="16TableText"/>
              <w:rPr>
                <w:rFonts w:asciiTheme="minorHAnsi" w:hAnsiTheme="minorHAnsi"/>
              </w:rPr>
            </w:pPr>
            <w:r w:rsidRPr="008E505E">
              <w:rPr>
                <w:rFonts w:asciiTheme="minorHAnsi" w:hAnsiTheme="minorHAnsi"/>
              </w:rPr>
              <w:t>large number of sources</w:t>
            </w:r>
          </w:p>
        </w:tc>
        <w:tc>
          <w:tcPr>
            <w:tcW w:w="1843" w:type="dxa"/>
            <w:tcBorders>
              <w:top w:val="single" w:sz="2" w:space="0" w:color="000000"/>
              <w:left w:val="nil"/>
              <w:bottom w:val="single" w:sz="2" w:space="0" w:color="000000"/>
              <w:right w:val="nil"/>
            </w:tcBorders>
            <w:vAlign w:val="center"/>
          </w:tcPr>
          <w:p w:rsidR="00AF0CA8" w:rsidRPr="008E505E" w:rsidRDefault="005A2772" w:rsidP="00994AE0">
            <w:pPr>
              <w:pStyle w:val="16TableText"/>
              <w:ind w:left="0" w:firstLine="0"/>
              <w:rPr>
                <w:rFonts w:asciiTheme="minorHAnsi" w:hAnsiTheme="minorHAnsi"/>
              </w:rPr>
            </w:pPr>
            <w:r>
              <w:rPr>
                <w:rFonts w:asciiTheme="minorHAnsi" w:hAnsiTheme="minorHAnsi"/>
              </w:rPr>
              <w:t>Ge and Tassou (2014)</w:t>
            </w:r>
          </w:p>
        </w:tc>
      </w:tr>
      <w:tr w:rsidR="00AF0CA8" w:rsidRPr="008E505E" w:rsidTr="00786F85">
        <w:trPr>
          <w:trHeight w:val="745"/>
          <w:jc w:val="center"/>
        </w:trPr>
        <w:tc>
          <w:tcPr>
            <w:tcW w:w="1336"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ind w:left="0" w:firstLine="0"/>
              <w:rPr>
                <w:rFonts w:asciiTheme="minorHAnsi" w:hAnsiTheme="minorHAnsi"/>
              </w:rPr>
            </w:pPr>
            <w:r w:rsidRPr="008E505E">
              <w:rPr>
                <w:rFonts w:asciiTheme="minorHAnsi" w:hAnsiTheme="minorHAnsi"/>
              </w:rPr>
              <w:t>Data centers (commercial refrigeration)</w:t>
            </w:r>
          </w:p>
        </w:tc>
        <w:tc>
          <w:tcPr>
            <w:tcW w:w="1005" w:type="dxa"/>
            <w:tcBorders>
              <w:top w:val="single" w:sz="2" w:space="0" w:color="000000"/>
              <w:left w:val="nil"/>
              <w:bottom w:val="single" w:sz="2"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3.5</w:t>
            </w:r>
          </w:p>
        </w:tc>
        <w:tc>
          <w:tcPr>
            <w:tcW w:w="993"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86</w:t>
            </w:r>
          </w:p>
        </w:tc>
        <w:tc>
          <w:tcPr>
            <w:tcW w:w="1120" w:type="dxa"/>
            <w:tcBorders>
              <w:top w:val="single" w:sz="2" w:space="0" w:color="000000"/>
              <w:left w:val="nil"/>
              <w:bottom w:val="single" w:sz="2"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ind w:left="0" w:firstLine="0"/>
              <w:rPr>
                <w:rFonts w:asciiTheme="minorHAnsi" w:hAnsiTheme="minorHAnsi"/>
              </w:rPr>
            </w:pPr>
            <w:r w:rsidRPr="008E505E">
              <w:rPr>
                <w:rFonts w:asciiTheme="minorHAnsi" w:hAnsiTheme="minorHAnsi"/>
              </w:rPr>
              <w:t>High heat output all year round</w:t>
            </w:r>
          </w:p>
        </w:tc>
        <w:tc>
          <w:tcPr>
            <w:tcW w:w="845"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25-35</w:t>
            </w:r>
          </w:p>
        </w:tc>
        <w:tc>
          <w:tcPr>
            <w:tcW w:w="2335"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Low air temperatures;</w:t>
            </w:r>
          </w:p>
          <w:p w:rsidR="00AF0CA8" w:rsidRPr="008E505E" w:rsidRDefault="00AF0CA8" w:rsidP="00AF0CA8">
            <w:pPr>
              <w:pStyle w:val="16TableText"/>
              <w:rPr>
                <w:rFonts w:asciiTheme="minorHAnsi" w:hAnsiTheme="minorHAnsi"/>
              </w:rPr>
            </w:pPr>
            <w:r w:rsidRPr="008E505E">
              <w:rPr>
                <w:rFonts w:asciiTheme="minorHAnsi" w:hAnsiTheme="minorHAnsi"/>
              </w:rPr>
              <w:t>moderate quantity of heat;</w:t>
            </w:r>
          </w:p>
          <w:p w:rsidR="00AF0CA8" w:rsidRPr="008E505E" w:rsidRDefault="00AF0CA8" w:rsidP="00AF0CA8">
            <w:pPr>
              <w:pStyle w:val="16TableText"/>
              <w:rPr>
                <w:rFonts w:asciiTheme="minorHAnsi" w:hAnsiTheme="minorHAnsi"/>
              </w:rPr>
            </w:pPr>
            <w:r w:rsidRPr="008E505E">
              <w:rPr>
                <w:rFonts w:asciiTheme="minorHAnsi" w:hAnsiTheme="minorHAnsi"/>
              </w:rPr>
              <w:t>large number of sources</w:t>
            </w:r>
          </w:p>
        </w:tc>
        <w:tc>
          <w:tcPr>
            <w:tcW w:w="1843" w:type="dxa"/>
            <w:tcBorders>
              <w:top w:val="single" w:sz="2" w:space="0" w:color="000000"/>
              <w:left w:val="nil"/>
              <w:bottom w:val="single" w:sz="2" w:space="0" w:color="000000"/>
              <w:right w:val="nil"/>
            </w:tcBorders>
            <w:vAlign w:val="center"/>
          </w:tcPr>
          <w:p w:rsidR="00AF0CA8" w:rsidRPr="008E505E" w:rsidRDefault="005A2772" w:rsidP="00994AE0">
            <w:pPr>
              <w:pStyle w:val="16TableText"/>
              <w:ind w:left="0" w:firstLine="0"/>
              <w:rPr>
                <w:rFonts w:asciiTheme="minorHAnsi" w:hAnsiTheme="minorHAnsi"/>
              </w:rPr>
            </w:pPr>
            <w:r>
              <w:rPr>
                <w:rFonts w:asciiTheme="minorHAnsi" w:hAnsiTheme="minorHAnsi"/>
              </w:rPr>
              <w:t>Ebrahimi et al (2014)</w:t>
            </w:r>
          </w:p>
        </w:tc>
      </w:tr>
      <w:tr w:rsidR="00AF0CA8" w:rsidRPr="008E505E" w:rsidTr="00786F85">
        <w:trPr>
          <w:trHeight w:val="33"/>
          <w:jc w:val="center"/>
        </w:trPr>
        <w:tc>
          <w:tcPr>
            <w:tcW w:w="1336" w:type="dxa"/>
            <w:tcBorders>
              <w:top w:val="single" w:sz="2" w:space="0" w:color="auto"/>
              <w:left w:val="nil"/>
              <w:bottom w:val="single" w:sz="2" w:space="0" w:color="000000"/>
              <w:right w:val="nil"/>
            </w:tcBorders>
            <w:tcMar>
              <w:top w:w="0" w:type="dxa"/>
              <w:left w:w="57" w:type="dxa"/>
              <w:bottom w:w="57" w:type="dxa"/>
              <w:right w:w="57" w:type="dxa"/>
            </w:tcMar>
            <w:vAlign w:val="center"/>
          </w:tcPr>
          <w:p w:rsidR="00AF0CA8" w:rsidRPr="008E505E" w:rsidRDefault="00AF0CA8" w:rsidP="00AF0CA8">
            <w:pPr>
              <w:pStyle w:val="16TableText"/>
              <w:ind w:left="0" w:firstLine="0"/>
              <w:rPr>
                <w:rFonts w:asciiTheme="minorHAnsi" w:hAnsiTheme="minorHAnsi"/>
              </w:rPr>
            </w:pPr>
            <w:r w:rsidRPr="008E505E">
              <w:rPr>
                <w:rFonts w:asciiTheme="minorHAnsi" w:hAnsiTheme="minorHAnsi"/>
              </w:rPr>
              <w:t>Food</w:t>
            </w:r>
          </w:p>
          <w:p w:rsidR="00AF0CA8" w:rsidRPr="008E505E" w:rsidRDefault="00AF0CA8" w:rsidP="00AF0CA8">
            <w:pPr>
              <w:pStyle w:val="16TableText"/>
              <w:ind w:left="-21" w:firstLine="21"/>
              <w:rPr>
                <w:rFonts w:asciiTheme="minorHAnsi" w:hAnsiTheme="minorHAnsi"/>
              </w:rPr>
            </w:pPr>
            <w:r w:rsidRPr="008E505E">
              <w:rPr>
                <w:rFonts w:asciiTheme="minorHAnsi" w:hAnsiTheme="minorHAnsi"/>
              </w:rPr>
              <w:t>manufacture</w:t>
            </w:r>
          </w:p>
          <w:p w:rsidR="00AF0CA8" w:rsidRPr="008E505E" w:rsidRDefault="00AF0CA8" w:rsidP="00D2527D">
            <w:pPr>
              <w:pStyle w:val="16TableText"/>
              <w:ind w:left="-21" w:firstLine="21"/>
              <w:rPr>
                <w:rFonts w:asciiTheme="minorHAnsi" w:hAnsiTheme="minorHAnsi"/>
              </w:rPr>
            </w:pPr>
            <w:r w:rsidRPr="008E505E">
              <w:rPr>
                <w:rFonts w:asciiTheme="minorHAnsi" w:hAnsiTheme="minorHAnsi"/>
              </w:rPr>
              <w:t>and chemical</w:t>
            </w:r>
            <w:r w:rsidR="008C11BE">
              <w:rPr>
                <w:rFonts w:asciiTheme="minorHAnsi" w:hAnsiTheme="minorHAnsi"/>
              </w:rPr>
              <w:t xml:space="preserve"> </w:t>
            </w:r>
            <w:r w:rsidRPr="008E505E">
              <w:rPr>
                <w:rFonts w:asciiTheme="minorHAnsi" w:hAnsiTheme="minorHAnsi"/>
              </w:rPr>
              <w:t>processing (industrial heat)</w:t>
            </w:r>
          </w:p>
        </w:tc>
        <w:tc>
          <w:tcPr>
            <w:tcW w:w="1005" w:type="dxa"/>
            <w:tcBorders>
              <w:top w:val="single" w:sz="2" w:space="0" w:color="auto"/>
              <w:left w:val="nil"/>
              <w:bottom w:val="single" w:sz="2" w:space="0" w:color="auto"/>
              <w:right w:val="nil"/>
            </w:tcBorders>
            <w:tcMar>
              <w:top w:w="0" w:type="dxa"/>
              <w:left w:w="28" w:type="dxa"/>
              <w:bottom w:w="57" w:type="dxa"/>
              <w:right w:w="28" w:type="dxa"/>
            </w:tcMar>
            <w:vAlign w:val="center"/>
          </w:tcPr>
          <w:p w:rsidR="00AF0CA8" w:rsidRPr="008E505E" w:rsidRDefault="00AF0CA8" w:rsidP="00D2527D">
            <w:pPr>
              <w:pStyle w:val="16TableText"/>
              <w:ind w:left="0" w:firstLine="0"/>
              <w:jc w:val="left"/>
              <w:rPr>
                <w:rFonts w:asciiTheme="minorHAnsi" w:hAnsiTheme="minorHAnsi"/>
              </w:rPr>
            </w:pPr>
            <w:r w:rsidRPr="008E505E">
              <w:rPr>
                <w:rFonts w:asciiTheme="minorHAnsi" w:hAnsiTheme="minorHAnsi"/>
              </w:rPr>
              <w:t>N/A</w:t>
            </w:r>
          </w:p>
        </w:tc>
        <w:tc>
          <w:tcPr>
            <w:tcW w:w="993" w:type="dxa"/>
            <w:tcBorders>
              <w:top w:val="single" w:sz="2" w:space="0" w:color="auto"/>
              <w:left w:val="nil"/>
              <w:bottom w:val="single" w:sz="2" w:space="0" w:color="auto"/>
              <w:right w:val="nil"/>
            </w:tcBorders>
            <w:tcMar>
              <w:top w:w="0" w:type="dxa"/>
              <w:left w:w="57" w:type="dxa"/>
              <w:bottom w:w="57" w:type="dxa"/>
              <w:right w:w="57" w:type="dxa"/>
            </w:tcMar>
            <w:vAlign w:val="center"/>
          </w:tcPr>
          <w:p w:rsidR="00AF0CA8" w:rsidRPr="008E505E" w:rsidRDefault="00AF0CA8" w:rsidP="00AF0CA8">
            <w:pPr>
              <w:pStyle w:val="16TableText"/>
              <w:rPr>
                <w:rFonts w:asciiTheme="minorHAnsi" w:hAnsiTheme="minorHAnsi"/>
              </w:rPr>
            </w:pPr>
            <w:r w:rsidRPr="008E505E">
              <w:rPr>
                <w:rFonts w:asciiTheme="minorHAnsi" w:hAnsiTheme="minorHAnsi"/>
              </w:rPr>
              <w:t>11.4</w:t>
            </w:r>
          </w:p>
        </w:tc>
        <w:tc>
          <w:tcPr>
            <w:tcW w:w="1120" w:type="dxa"/>
            <w:tcBorders>
              <w:top w:val="single" w:sz="2" w:space="0" w:color="auto"/>
              <w:left w:val="nil"/>
              <w:bottom w:val="single" w:sz="2" w:space="0" w:color="auto"/>
              <w:right w:val="nil"/>
            </w:tcBorders>
            <w:tcMar>
              <w:top w:w="0" w:type="dxa"/>
              <w:left w:w="28" w:type="dxa"/>
              <w:bottom w:w="57" w:type="dxa"/>
              <w:right w:w="28" w:type="dxa"/>
            </w:tcMar>
            <w:vAlign w:val="center"/>
          </w:tcPr>
          <w:p w:rsidR="00AF0CA8" w:rsidRPr="008E505E" w:rsidRDefault="00AF0CA8" w:rsidP="00D2527D">
            <w:pPr>
              <w:pStyle w:val="16TableText"/>
              <w:ind w:left="0" w:firstLine="0"/>
              <w:jc w:val="left"/>
              <w:rPr>
                <w:rFonts w:asciiTheme="minorHAnsi" w:hAnsiTheme="minorHAnsi"/>
              </w:rPr>
            </w:pPr>
            <w:r w:rsidRPr="008E505E">
              <w:rPr>
                <w:rFonts w:asciiTheme="minorHAnsi" w:hAnsiTheme="minorHAnsi"/>
              </w:rPr>
              <w:t>High heat output all year round</w:t>
            </w:r>
          </w:p>
        </w:tc>
        <w:tc>
          <w:tcPr>
            <w:tcW w:w="845" w:type="dxa"/>
            <w:tcBorders>
              <w:top w:val="single" w:sz="2" w:space="0" w:color="000000"/>
              <w:left w:val="nil"/>
              <w:bottom w:val="single" w:sz="2" w:space="0" w:color="000000"/>
              <w:right w:val="nil"/>
            </w:tcBorders>
            <w:tcMar>
              <w:top w:w="0" w:type="dxa"/>
              <w:left w:w="57" w:type="dxa"/>
              <w:bottom w:w="57" w:type="dxa"/>
              <w:right w:w="57" w:type="dxa"/>
            </w:tcMar>
            <w:vAlign w:val="center"/>
          </w:tcPr>
          <w:p w:rsidR="00AF0CA8" w:rsidRPr="008E505E" w:rsidRDefault="00AF0CA8" w:rsidP="00AF0CA8">
            <w:pPr>
              <w:pStyle w:val="16TableText"/>
              <w:rPr>
                <w:rFonts w:asciiTheme="minorHAnsi" w:hAnsiTheme="minorHAnsi"/>
              </w:rPr>
            </w:pPr>
            <w:r w:rsidRPr="008E505E">
              <w:rPr>
                <w:rFonts w:asciiTheme="minorHAnsi" w:hAnsiTheme="minorHAnsi"/>
              </w:rPr>
              <w:t>35-70</w:t>
            </w:r>
          </w:p>
        </w:tc>
        <w:tc>
          <w:tcPr>
            <w:tcW w:w="2335" w:type="dxa"/>
            <w:tcBorders>
              <w:top w:val="single" w:sz="2" w:space="0" w:color="000000"/>
              <w:left w:val="nil"/>
              <w:bottom w:val="single" w:sz="2" w:space="0" w:color="000000"/>
              <w:right w:val="nil"/>
            </w:tcBorders>
            <w:tcMar>
              <w:top w:w="0" w:type="dxa"/>
              <w:left w:w="57" w:type="dxa"/>
              <w:bottom w:w="57" w:type="dxa"/>
              <w:right w:w="57" w:type="dxa"/>
            </w:tcMar>
            <w:vAlign w:val="center"/>
          </w:tcPr>
          <w:p w:rsidR="00AF0CA8" w:rsidRPr="008E505E" w:rsidRDefault="00AF0CA8" w:rsidP="00AF0CA8">
            <w:pPr>
              <w:pStyle w:val="16TableText"/>
              <w:rPr>
                <w:rFonts w:asciiTheme="minorHAnsi" w:hAnsiTheme="minorHAnsi"/>
              </w:rPr>
            </w:pPr>
            <w:r w:rsidRPr="008E505E">
              <w:rPr>
                <w:rFonts w:asciiTheme="minorHAnsi" w:hAnsiTheme="minorHAnsi"/>
              </w:rPr>
              <w:t>Low-moderate air</w:t>
            </w:r>
          </w:p>
          <w:p w:rsidR="00AF0CA8" w:rsidRPr="008E505E" w:rsidRDefault="00AF0CA8" w:rsidP="00AF0CA8">
            <w:pPr>
              <w:pStyle w:val="16TableText"/>
              <w:rPr>
                <w:rFonts w:asciiTheme="minorHAnsi" w:hAnsiTheme="minorHAnsi"/>
              </w:rPr>
            </w:pPr>
            <w:r w:rsidRPr="008E505E">
              <w:rPr>
                <w:rFonts w:asciiTheme="minorHAnsi" w:hAnsiTheme="minorHAnsi"/>
              </w:rPr>
              <w:t>temperatures;</w:t>
            </w:r>
          </w:p>
          <w:p w:rsidR="00AF0CA8" w:rsidRPr="008E505E" w:rsidRDefault="00AF0CA8" w:rsidP="00AF0CA8">
            <w:pPr>
              <w:pStyle w:val="16TableText"/>
              <w:rPr>
                <w:rFonts w:asciiTheme="minorHAnsi" w:hAnsiTheme="minorHAnsi"/>
              </w:rPr>
            </w:pPr>
            <w:r w:rsidRPr="008E505E">
              <w:rPr>
                <w:rFonts w:asciiTheme="minorHAnsi" w:hAnsiTheme="minorHAnsi"/>
              </w:rPr>
              <w:t>moderate quantity of heat;</w:t>
            </w:r>
          </w:p>
          <w:p w:rsidR="00AF0CA8" w:rsidRPr="008E505E" w:rsidRDefault="00AF0CA8" w:rsidP="00AF0CA8">
            <w:pPr>
              <w:pStyle w:val="16TableText"/>
              <w:rPr>
                <w:rFonts w:asciiTheme="minorHAnsi" w:hAnsiTheme="minorHAnsi"/>
              </w:rPr>
            </w:pPr>
            <w:r w:rsidRPr="008E505E">
              <w:rPr>
                <w:rFonts w:asciiTheme="minorHAnsi" w:hAnsiTheme="minorHAnsi"/>
              </w:rPr>
              <w:t>small number of sources</w:t>
            </w:r>
          </w:p>
        </w:tc>
        <w:tc>
          <w:tcPr>
            <w:tcW w:w="1843" w:type="dxa"/>
            <w:tcBorders>
              <w:top w:val="single" w:sz="2" w:space="0" w:color="000000"/>
              <w:left w:val="nil"/>
              <w:bottom w:val="single" w:sz="2" w:space="0" w:color="000000"/>
              <w:right w:val="nil"/>
            </w:tcBorders>
          </w:tcPr>
          <w:p w:rsidR="005A2772" w:rsidRDefault="005A2772" w:rsidP="00AF0CA8">
            <w:pPr>
              <w:pStyle w:val="16TableText"/>
              <w:rPr>
                <w:rFonts w:asciiTheme="minorHAnsi" w:hAnsiTheme="minorHAnsi"/>
              </w:rPr>
            </w:pPr>
          </w:p>
          <w:p w:rsidR="008C11BE" w:rsidRDefault="005A2772" w:rsidP="008C11BE">
            <w:pPr>
              <w:pStyle w:val="16TableText"/>
              <w:ind w:left="0"/>
              <w:rPr>
                <w:rFonts w:asciiTheme="minorHAnsi" w:hAnsiTheme="minorHAnsi"/>
              </w:rPr>
            </w:pPr>
            <w:r>
              <w:rPr>
                <w:rFonts w:asciiTheme="minorHAnsi" w:hAnsiTheme="minorHAnsi"/>
              </w:rPr>
              <w:t>Muk</w:t>
            </w:r>
            <w:r w:rsidR="001036BE">
              <w:rPr>
                <w:rFonts w:asciiTheme="minorHAnsi" w:hAnsiTheme="minorHAnsi"/>
              </w:rPr>
              <w:t>h</w:t>
            </w:r>
            <w:r>
              <w:rPr>
                <w:rFonts w:asciiTheme="minorHAnsi" w:hAnsiTheme="minorHAnsi"/>
              </w:rPr>
              <w:t xml:space="preserve">erjee et al </w:t>
            </w:r>
          </w:p>
          <w:p w:rsidR="00AF0CA8" w:rsidRPr="008E505E" w:rsidRDefault="005A2772" w:rsidP="00D2527D">
            <w:pPr>
              <w:pStyle w:val="16TableText"/>
              <w:ind w:left="0"/>
              <w:rPr>
                <w:rFonts w:asciiTheme="minorHAnsi" w:hAnsiTheme="minorHAnsi"/>
              </w:rPr>
            </w:pPr>
            <w:r>
              <w:rPr>
                <w:rFonts w:asciiTheme="minorHAnsi" w:hAnsiTheme="minorHAnsi"/>
              </w:rPr>
              <w:t>(2017)</w:t>
            </w:r>
          </w:p>
        </w:tc>
      </w:tr>
      <w:tr w:rsidR="00AF0CA8" w:rsidRPr="008E505E" w:rsidTr="00786F85">
        <w:trPr>
          <w:trHeight w:val="1073"/>
          <w:jc w:val="center"/>
        </w:trPr>
        <w:tc>
          <w:tcPr>
            <w:tcW w:w="1336"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ind w:left="0" w:firstLine="0"/>
              <w:rPr>
                <w:rFonts w:asciiTheme="minorHAnsi" w:hAnsiTheme="minorHAnsi"/>
              </w:rPr>
            </w:pPr>
            <w:r w:rsidRPr="008E505E">
              <w:rPr>
                <w:rFonts w:asciiTheme="minorHAnsi" w:hAnsiTheme="minorHAnsi"/>
              </w:rPr>
              <w:t>Power</w:t>
            </w:r>
          </w:p>
          <w:p w:rsidR="00AF0CA8" w:rsidRPr="008E505E" w:rsidRDefault="00AF0CA8" w:rsidP="00D2527D">
            <w:pPr>
              <w:pStyle w:val="16TableText"/>
              <w:ind w:left="0" w:firstLine="0"/>
              <w:rPr>
                <w:rFonts w:asciiTheme="minorHAnsi" w:hAnsiTheme="minorHAnsi"/>
              </w:rPr>
            </w:pPr>
            <w:r w:rsidRPr="008E505E">
              <w:rPr>
                <w:rFonts w:asciiTheme="minorHAnsi" w:hAnsiTheme="minorHAnsi"/>
              </w:rPr>
              <w:t>stations (electricity generation)</w:t>
            </w:r>
          </w:p>
        </w:tc>
        <w:tc>
          <w:tcPr>
            <w:tcW w:w="1005" w:type="dxa"/>
            <w:tcBorders>
              <w:top w:val="single" w:sz="2" w:space="0" w:color="auto"/>
              <w:left w:val="nil"/>
              <w:bottom w:val="single" w:sz="2"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N/A</w:t>
            </w:r>
          </w:p>
        </w:tc>
        <w:tc>
          <w:tcPr>
            <w:tcW w:w="993" w:type="dxa"/>
            <w:tcBorders>
              <w:top w:val="single" w:sz="2" w:space="0" w:color="auto"/>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945</w:t>
            </w:r>
          </w:p>
        </w:tc>
        <w:tc>
          <w:tcPr>
            <w:tcW w:w="1120" w:type="dxa"/>
            <w:tcBorders>
              <w:top w:val="single" w:sz="2" w:space="0" w:color="auto"/>
              <w:left w:val="nil"/>
              <w:bottom w:val="single" w:sz="2"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ind w:left="0" w:firstLine="0"/>
              <w:rPr>
                <w:rFonts w:asciiTheme="minorHAnsi" w:hAnsiTheme="minorHAnsi"/>
              </w:rPr>
            </w:pPr>
            <w:r w:rsidRPr="008E505E">
              <w:rPr>
                <w:rFonts w:asciiTheme="minorHAnsi" w:hAnsiTheme="minorHAnsi"/>
              </w:rPr>
              <w:t>High heat output all year round</w:t>
            </w:r>
          </w:p>
        </w:tc>
        <w:tc>
          <w:tcPr>
            <w:tcW w:w="845"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&gt; 35</w:t>
            </w:r>
          </w:p>
        </w:tc>
        <w:tc>
          <w:tcPr>
            <w:tcW w:w="2335" w:type="dxa"/>
            <w:tcBorders>
              <w:top w:val="single" w:sz="2" w:space="0" w:color="000000"/>
              <w:left w:val="nil"/>
              <w:bottom w:val="single" w:sz="2"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Moderate temperatures;</w:t>
            </w:r>
          </w:p>
          <w:p w:rsidR="00AF0CA8" w:rsidRPr="008E505E" w:rsidRDefault="00AF0CA8" w:rsidP="00AF0CA8">
            <w:pPr>
              <w:pStyle w:val="16TableText"/>
              <w:rPr>
                <w:rFonts w:asciiTheme="minorHAnsi" w:hAnsiTheme="minorHAnsi"/>
              </w:rPr>
            </w:pPr>
            <w:r w:rsidRPr="008E505E">
              <w:rPr>
                <w:rFonts w:asciiTheme="minorHAnsi" w:hAnsiTheme="minorHAnsi"/>
              </w:rPr>
              <w:t>large quantity of heat;</w:t>
            </w:r>
          </w:p>
          <w:p w:rsidR="00AF0CA8" w:rsidRPr="008E505E" w:rsidRDefault="00AF0CA8" w:rsidP="00AF0CA8">
            <w:pPr>
              <w:pStyle w:val="16TableText"/>
              <w:rPr>
                <w:rFonts w:asciiTheme="minorHAnsi" w:hAnsiTheme="minorHAnsi"/>
              </w:rPr>
            </w:pPr>
            <w:r w:rsidRPr="008E505E">
              <w:rPr>
                <w:rFonts w:asciiTheme="minorHAnsi" w:hAnsiTheme="minorHAnsi"/>
              </w:rPr>
              <w:t>small number of sources</w:t>
            </w:r>
          </w:p>
        </w:tc>
        <w:tc>
          <w:tcPr>
            <w:tcW w:w="1843" w:type="dxa"/>
            <w:tcBorders>
              <w:top w:val="single" w:sz="2" w:space="0" w:color="000000"/>
              <w:left w:val="nil"/>
              <w:bottom w:val="single" w:sz="2" w:space="0" w:color="000000"/>
              <w:right w:val="nil"/>
            </w:tcBorders>
          </w:tcPr>
          <w:p w:rsidR="005A2772" w:rsidRDefault="005A2772" w:rsidP="00AF0CA8">
            <w:pPr>
              <w:pStyle w:val="16TableText"/>
              <w:rPr>
                <w:rFonts w:asciiTheme="minorHAnsi" w:hAnsiTheme="minorHAnsi"/>
              </w:rPr>
            </w:pPr>
          </w:p>
          <w:p w:rsidR="00AF0CA8" w:rsidRPr="00C20C75" w:rsidRDefault="00C20C75" w:rsidP="00AF0CA8">
            <w:pPr>
              <w:pStyle w:val="16TableText"/>
              <w:rPr>
                <w:rFonts w:asciiTheme="minorHAnsi" w:hAnsiTheme="minorHAnsi"/>
              </w:rPr>
            </w:pPr>
            <w:r>
              <w:rPr>
                <w:rFonts w:asciiTheme="minorHAnsi" w:hAnsiTheme="minorHAnsi"/>
              </w:rPr>
              <w:t>Safa (2012</w:t>
            </w:r>
            <w:r w:rsidR="005A2772" w:rsidRPr="00C20C75">
              <w:rPr>
                <w:rFonts w:asciiTheme="minorHAnsi" w:hAnsiTheme="minorHAnsi"/>
              </w:rPr>
              <w:t>)</w:t>
            </w:r>
          </w:p>
        </w:tc>
      </w:tr>
      <w:tr w:rsidR="00AF0CA8" w:rsidRPr="008E505E" w:rsidTr="00786F85">
        <w:trPr>
          <w:jc w:val="center"/>
        </w:trPr>
        <w:tc>
          <w:tcPr>
            <w:tcW w:w="1336" w:type="dxa"/>
            <w:tcBorders>
              <w:top w:val="single" w:sz="2" w:space="0" w:color="000000"/>
              <w:left w:val="nil"/>
              <w:bottom w:val="single" w:sz="18" w:space="0" w:color="000000"/>
              <w:right w:val="nil"/>
            </w:tcBorders>
            <w:tcMar>
              <w:top w:w="0" w:type="dxa"/>
              <w:left w:w="57" w:type="dxa"/>
              <w:bottom w:w="57" w:type="dxa"/>
              <w:right w:w="57" w:type="dxa"/>
            </w:tcMar>
            <w:vAlign w:val="center"/>
            <w:hideMark/>
          </w:tcPr>
          <w:p w:rsidR="00AF0CA8" w:rsidRPr="008E505E" w:rsidRDefault="00AF0CA8" w:rsidP="00D2527D">
            <w:pPr>
              <w:pStyle w:val="16TableText"/>
              <w:ind w:left="-21" w:firstLine="0"/>
              <w:rPr>
                <w:rFonts w:asciiTheme="minorHAnsi" w:hAnsiTheme="minorHAnsi"/>
              </w:rPr>
            </w:pPr>
            <w:r w:rsidRPr="008E505E">
              <w:rPr>
                <w:rFonts w:asciiTheme="minorHAnsi" w:hAnsiTheme="minorHAnsi"/>
              </w:rPr>
              <w:t>CHP (electricity generation)</w:t>
            </w:r>
          </w:p>
        </w:tc>
        <w:tc>
          <w:tcPr>
            <w:tcW w:w="1005" w:type="dxa"/>
            <w:tcBorders>
              <w:top w:val="single" w:sz="2" w:space="0" w:color="000000"/>
              <w:left w:val="nil"/>
              <w:bottom w:val="single" w:sz="18"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0.7</w:t>
            </w:r>
          </w:p>
        </w:tc>
        <w:tc>
          <w:tcPr>
            <w:tcW w:w="993" w:type="dxa"/>
            <w:tcBorders>
              <w:top w:val="single" w:sz="2" w:space="0" w:color="000000"/>
              <w:left w:val="nil"/>
              <w:bottom w:val="single" w:sz="18"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10.3</w:t>
            </w:r>
          </w:p>
        </w:tc>
        <w:tc>
          <w:tcPr>
            <w:tcW w:w="1120" w:type="dxa"/>
            <w:tcBorders>
              <w:top w:val="single" w:sz="2" w:space="0" w:color="000000"/>
              <w:left w:val="nil"/>
              <w:bottom w:val="single" w:sz="18" w:space="0" w:color="000000"/>
              <w:right w:val="nil"/>
            </w:tcBorders>
            <w:tcMar>
              <w:top w:w="0" w:type="dxa"/>
              <w:left w:w="28" w:type="dxa"/>
              <w:bottom w:w="57" w:type="dxa"/>
              <w:right w:w="28"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More heat</w:t>
            </w:r>
          </w:p>
          <w:p w:rsidR="00AF0CA8" w:rsidRPr="008E505E" w:rsidRDefault="00AF0CA8" w:rsidP="00AF0CA8">
            <w:pPr>
              <w:pStyle w:val="16TableText"/>
              <w:rPr>
                <w:rFonts w:asciiTheme="minorHAnsi" w:hAnsiTheme="minorHAnsi"/>
              </w:rPr>
            </w:pPr>
            <w:r w:rsidRPr="008E505E">
              <w:rPr>
                <w:rFonts w:asciiTheme="minorHAnsi" w:hAnsiTheme="minorHAnsi"/>
              </w:rPr>
              <w:t>generated in</w:t>
            </w:r>
          </w:p>
          <w:p w:rsidR="00AF0CA8" w:rsidRPr="008E505E" w:rsidRDefault="00AF0CA8" w:rsidP="00D2527D">
            <w:pPr>
              <w:pStyle w:val="16TableText"/>
              <w:ind w:left="0" w:firstLine="0"/>
              <w:rPr>
                <w:rFonts w:asciiTheme="minorHAnsi" w:hAnsiTheme="minorHAnsi"/>
              </w:rPr>
            </w:pPr>
            <w:r w:rsidRPr="008E505E">
              <w:rPr>
                <w:rFonts w:asciiTheme="minorHAnsi" w:hAnsiTheme="minorHAnsi"/>
              </w:rPr>
              <w:t>winter</w:t>
            </w:r>
          </w:p>
        </w:tc>
        <w:tc>
          <w:tcPr>
            <w:tcW w:w="845" w:type="dxa"/>
            <w:tcBorders>
              <w:top w:val="single" w:sz="2" w:space="0" w:color="000000"/>
              <w:left w:val="nil"/>
              <w:bottom w:val="single" w:sz="18"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45</w:t>
            </w:r>
          </w:p>
        </w:tc>
        <w:tc>
          <w:tcPr>
            <w:tcW w:w="2335" w:type="dxa"/>
            <w:tcBorders>
              <w:top w:val="single" w:sz="2" w:space="0" w:color="000000"/>
              <w:left w:val="nil"/>
              <w:bottom w:val="single" w:sz="18" w:space="0" w:color="000000"/>
              <w:right w:val="nil"/>
            </w:tcBorders>
            <w:tcMar>
              <w:top w:w="0" w:type="dxa"/>
              <w:left w:w="57" w:type="dxa"/>
              <w:bottom w:w="57" w:type="dxa"/>
              <w:right w:w="57" w:type="dxa"/>
            </w:tcMar>
            <w:vAlign w:val="center"/>
            <w:hideMark/>
          </w:tcPr>
          <w:p w:rsidR="00AF0CA8" w:rsidRPr="008E505E" w:rsidRDefault="00AF0CA8" w:rsidP="00AF0CA8">
            <w:pPr>
              <w:pStyle w:val="16TableText"/>
              <w:rPr>
                <w:rFonts w:asciiTheme="minorHAnsi" w:hAnsiTheme="minorHAnsi"/>
              </w:rPr>
            </w:pPr>
            <w:r w:rsidRPr="008E505E">
              <w:rPr>
                <w:rFonts w:asciiTheme="minorHAnsi" w:hAnsiTheme="minorHAnsi"/>
              </w:rPr>
              <w:t>Moderate temperatures;</w:t>
            </w:r>
          </w:p>
          <w:p w:rsidR="00AF0CA8" w:rsidRPr="008E505E" w:rsidRDefault="00AF0CA8" w:rsidP="00AF0CA8">
            <w:pPr>
              <w:pStyle w:val="16TableText"/>
              <w:rPr>
                <w:rFonts w:asciiTheme="minorHAnsi" w:hAnsiTheme="minorHAnsi"/>
              </w:rPr>
            </w:pPr>
            <w:r w:rsidRPr="008E505E">
              <w:rPr>
                <w:rFonts w:asciiTheme="minorHAnsi" w:hAnsiTheme="minorHAnsi"/>
              </w:rPr>
              <w:t>moderate quantity of heat;</w:t>
            </w:r>
          </w:p>
          <w:p w:rsidR="00AF0CA8" w:rsidRPr="008E505E" w:rsidRDefault="00AF0CA8" w:rsidP="00AF0CA8">
            <w:pPr>
              <w:pStyle w:val="16TableText"/>
              <w:rPr>
                <w:rFonts w:asciiTheme="minorHAnsi" w:hAnsiTheme="minorHAnsi"/>
              </w:rPr>
            </w:pPr>
            <w:r w:rsidRPr="008E505E">
              <w:rPr>
                <w:rFonts w:asciiTheme="minorHAnsi" w:hAnsiTheme="minorHAnsi"/>
              </w:rPr>
              <w:t>small number of sources</w:t>
            </w:r>
          </w:p>
        </w:tc>
        <w:tc>
          <w:tcPr>
            <w:tcW w:w="1843" w:type="dxa"/>
            <w:tcBorders>
              <w:top w:val="single" w:sz="2" w:space="0" w:color="000000"/>
              <w:left w:val="nil"/>
              <w:bottom w:val="single" w:sz="18" w:space="0" w:color="000000"/>
              <w:right w:val="nil"/>
            </w:tcBorders>
          </w:tcPr>
          <w:p w:rsidR="005A2772" w:rsidRDefault="005A2772" w:rsidP="00AF0CA8">
            <w:pPr>
              <w:pStyle w:val="16TableText"/>
              <w:rPr>
                <w:rFonts w:asciiTheme="minorHAnsi" w:hAnsiTheme="minorHAnsi"/>
              </w:rPr>
            </w:pPr>
          </w:p>
          <w:p w:rsidR="00AF0CA8" w:rsidRPr="008E505E" w:rsidRDefault="006039C3" w:rsidP="00AF0CA8">
            <w:pPr>
              <w:pStyle w:val="16TableText"/>
              <w:rPr>
                <w:rFonts w:asciiTheme="minorHAnsi" w:hAnsiTheme="minorHAnsi"/>
              </w:rPr>
            </w:pPr>
            <w:r>
              <w:rPr>
                <w:rFonts w:asciiTheme="minorHAnsi" w:hAnsiTheme="minorHAnsi"/>
              </w:rPr>
              <w:t>Ka</w:t>
            </w:r>
            <w:r w:rsidR="005A2772">
              <w:rPr>
                <w:rFonts w:asciiTheme="minorHAnsi" w:hAnsiTheme="minorHAnsi"/>
              </w:rPr>
              <w:t>ng et al (2015)</w:t>
            </w:r>
          </w:p>
        </w:tc>
      </w:tr>
    </w:tbl>
    <w:p w:rsidR="008E505E" w:rsidRDefault="008E505E" w:rsidP="009134BE">
      <w:pPr>
        <w:pStyle w:val="10Level1Heading"/>
      </w:pPr>
      <w:r w:rsidRPr="008E505E">
        <w:t>N/A = Not available; temps = temperatures; * = heat output identified to date</w:t>
      </w:r>
    </w:p>
    <w:p w:rsidR="003419E6" w:rsidRPr="00CF0E32" w:rsidRDefault="00482052" w:rsidP="00C93041">
      <w:pPr>
        <w:pStyle w:val="10Level1Heading"/>
        <w:jc w:val="both"/>
        <w:rPr>
          <w:color w:val="auto"/>
        </w:rPr>
      </w:pPr>
      <w:r w:rsidRPr="00CF0E32">
        <w:rPr>
          <w:color w:val="auto"/>
        </w:rPr>
        <w:lastRenderedPageBreak/>
        <w:t>With a wide variety of heat sources available in the urban environment, as see</w:t>
      </w:r>
      <w:r w:rsidR="00516D97">
        <w:rPr>
          <w:color w:val="auto"/>
        </w:rPr>
        <w:t>n i</w:t>
      </w:r>
      <w:r w:rsidRPr="00CF0E32">
        <w:rPr>
          <w:color w:val="auto"/>
        </w:rPr>
        <w:t xml:space="preserve">n Table 2, some cities have decided to </w:t>
      </w:r>
      <w:r w:rsidR="00553E79" w:rsidRPr="00CF0E32">
        <w:rPr>
          <w:color w:val="auto"/>
        </w:rPr>
        <w:t>invest in waste heat recovery from</w:t>
      </w:r>
      <w:r w:rsidRPr="00CF0E32">
        <w:rPr>
          <w:color w:val="auto"/>
        </w:rPr>
        <w:t xml:space="preserve"> their own infrastructure as a means to provide</w:t>
      </w:r>
      <w:r w:rsidR="00553E79" w:rsidRPr="00CF0E32">
        <w:rPr>
          <w:color w:val="auto"/>
        </w:rPr>
        <w:t xml:space="preserve"> greener and cheaper</w:t>
      </w:r>
      <w:r w:rsidRPr="00CF0E32">
        <w:rPr>
          <w:color w:val="auto"/>
        </w:rPr>
        <w:t xml:space="preserve"> heat</w:t>
      </w:r>
      <w:r w:rsidR="00553E79" w:rsidRPr="00CF0E32">
        <w:rPr>
          <w:color w:val="auto"/>
        </w:rPr>
        <w:t>ing</w:t>
      </w:r>
      <w:r w:rsidRPr="00CF0E32">
        <w:rPr>
          <w:color w:val="auto"/>
        </w:rPr>
        <w:t xml:space="preserve"> for their populations.</w:t>
      </w:r>
      <w:r w:rsidR="00F13C9D" w:rsidRPr="00CF0E32">
        <w:rPr>
          <w:color w:val="auto"/>
        </w:rPr>
        <w:t xml:space="preserve"> The Heat Roadmap Europe</w:t>
      </w:r>
      <w:r w:rsidR="003141CB" w:rsidRPr="00CF0E32">
        <w:rPr>
          <w:color w:val="auto"/>
        </w:rPr>
        <w:t xml:space="preserve"> (HRE)</w:t>
      </w:r>
      <w:r w:rsidR="00F13C9D" w:rsidRPr="00CF0E32">
        <w:rPr>
          <w:color w:val="auto"/>
        </w:rPr>
        <w:t xml:space="preserve"> (David et al, 2017), </w:t>
      </w:r>
      <w:r w:rsidR="009A4591" w:rsidRPr="00CF0E32">
        <w:rPr>
          <w:color w:val="auto"/>
        </w:rPr>
        <w:t xml:space="preserve">which analysed the use of large-scale heat pumps in district heating systems, </w:t>
      </w:r>
      <w:r w:rsidR="00516D97">
        <w:rPr>
          <w:color w:val="auto"/>
        </w:rPr>
        <w:t>predicted substantial</w:t>
      </w:r>
      <w:r w:rsidR="003419E6" w:rsidRPr="00CF0E32">
        <w:rPr>
          <w:color w:val="auto"/>
        </w:rPr>
        <w:t xml:space="preserve"> </w:t>
      </w:r>
      <w:r w:rsidR="00A3078C" w:rsidRPr="00CF0E32">
        <w:rPr>
          <w:color w:val="auto"/>
        </w:rPr>
        <w:t>future</w:t>
      </w:r>
      <w:r w:rsidR="003419E6" w:rsidRPr="00CF0E32">
        <w:rPr>
          <w:color w:val="auto"/>
        </w:rPr>
        <w:t xml:space="preserve"> </w:t>
      </w:r>
      <w:r w:rsidR="00516D97">
        <w:rPr>
          <w:color w:val="auto"/>
        </w:rPr>
        <w:t>growth</w:t>
      </w:r>
      <w:r w:rsidR="003419E6" w:rsidRPr="00CF0E32">
        <w:rPr>
          <w:color w:val="auto"/>
        </w:rPr>
        <w:t xml:space="preserve"> in </w:t>
      </w:r>
      <w:r w:rsidR="005233CF" w:rsidRPr="00CF0E32">
        <w:rPr>
          <w:color w:val="auto"/>
        </w:rPr>
        <w:t>DHNs</w:t>
      </w:r>
      <w:r w:rsidR="00516D97">
        <w:rPr>
          <w:color w:val="auto"/>
        </w:rPr>
        <w:t>, such as</w:t>
      </w:r>
      <w:r w:rsidR="003419E6" w:rsidRPr="00CF0E32">
        <w:rPr>
          <w:color w:val="auto"/>
        </w:rPr>
        <w:t xml:space="preserve"> to supply 50% of Europe’s entire heat demand by 2050</w:t>
      </w:r>
      <w:r w:rsidR="00E82263" w:rsidRPr="00CF0E32">
        <w:rPr>
          <w:color w:val="auto"/>
        </w:rPr>
        <w:t xml:space="preserve">, with approximately 25-30% of </w:t>
      </w:r>
      <w:r w:rsidR="00516D97">
        <w:rPr>
          <w:color w:val="auto"/>
        </w:rPr>
        <w:t>the heat delivered</w:t>
      </w:r>
      <w:r w:rsidR="003419E6" w:rsidRPr="00CF0E32">
        <w:rPr>
          <w:color w:val="auto"/>
        </w:rPr>
        <w:t xml:space="preserve"> being supplied using heat pumps.</w:t>
      </w:r>
      <w:r w:rsidR="008B75FE" w:rsidRPr="00CF0E32">
        <w:rPr>
          <w:color w:val="auto"/>
        </w:rPr>
        <w:t xml:space="preserve"> The</w:t>
      </w:r>
      <w:r w:rsidR="003141CB" w:rsidRPr="00CF0E32">
        <w:rPr>
          <w:color w:val="auto"/>
        </w:rPr>
        <w:t xml:space="preserve"> HRE</w:t>
      </w:r>
      <w:r w:rsidR="008B75FE" w:rsidRPr="00CF0E32">
        <w:rPr>
          <w:color w:val="auto"/>
        </w:rPr>
        <w:t xml:space="preserve"> also</w:t>
      </w:r>
      <w:r w:rsidR="003141CB" w:rsidRPr="00CF0E32">
        <w:rPr>
          <w:color w:val="auto"/>
        </w:rPr>
        <w:t xml:space="preserve"> analysed various </w:t>
      </w:r>
      <w:r w:rsidR="00516D97">
        <w:rPr>
          <w:color w:val="auto"/>
        </w:rPr>
        <w:t>current</w:t>
      </w:r>
      <w:r w:rsidR="003141CB" w:rsidRPr="00CF0E32">
        <w:rPr>
          <w:color w:val="auto"/>
        </w:rPr>
        <w:t xml:space="preserve"> </w:t>
      </w:r>
      <w:r w:rsidR="00516D97">
        <w:rPr>
          <w:color w:val="auto"/>
        </w:rPr>
        <w:t>DHNs</w:t>
      </w:r>
      <w:r w:rsidR="003141CB" w:rsidRPr="00CF0E32">
        <w:rPr>
          <w:color w:val="auto"/>
        </w:rPr>
        <w:t xml:space="preserve"> that rely on heat pumps</w:t>
      </w:r>
      <w:r w:rsidR="008B75FE" w:rsidRPr="00CF0E32">
        <w:rPr>
          <w:color w:val="auto"/>
        </w:rPr>
        <w:t xml:space="preserve"> across Europe</w:t>
      </w:r>
      <w:r w:rsidR="003141CB" w:rsidRPr="00CF0E32">
        <w:rPr>
          <w:color w:val="auto"/>
        </w:rPr>
        <w:t>.</w:t>
      </w:r>
      <w:r w:rsidR="005233CF" w:rsidRPr="00CF0E32">
        <w:rPr>
          <w:color w:val="auto"/>
        </w:rPr>
        <w:t xml:space="preserve"> </w:t>
      </w:r>
      <w:r w:rsidR="003141CB" w:rsidRPr="00CF0E32">
        <w:rPr>
          <w:color w:val="auto"/>
        </w:rPr>
        <w:t xml:space="preserve">Results showed </w:t>
      </w:r>
      <w:r w:rsidR="00516D97">
        <w:rPr>
          <w:color w:val="auto"/>
        </w:rPr>
        <w:t>that</w:t>
      </w:r>
      <w:r w:rsidR="003141CB" w:rsidRPr="00CF0E32">
        <w:rPr>
          <w:color w:val="auto"/>
        </w:rPr>
        <w:t xml:space="preserve"> these </w:t>
      </w:r>
      <w:r w:rsidR="00CF0E32" w:rsidRPr="00CF0E32">
        <w:rPr>
          <w:color w:val="auto"/>
        </w:rPr>
        <w:t>DHNs</w:t>
      </w:r>
      <w:r w:rsidR="003141CB" w:rsidRPr="00CF0E32">
        <w:rPr>
          <w:color w:val="auto"/>
        </w:rPr>
        <w:t xml:space="preserve"> use </w:t>
      </w:r>
      <w:r w:rsidR="00516D97">
        <w:rPr>
          <w:color w:val="auto"/>
        </w:rPr>
        <w:t xml:space="preserve">a range of </w:t>
      </w:r>
      <w:r w:rsidR="00D03175" w:rsidRPr="00CF0E32">
        <w:rPr>
          <w:color w:val="auto"/>
        </w:rPr>
        <w:t>different</w:t>
      </w:r>
      <w:r w:rsidR="003141CB" w:rsidRPr="00CF0E32">
        <w:rPr>
          <w:color w:val="auto"/>
        </w:rPr>
        <w:t xml:space="preserve"> types of heat sources, including</w:t>
      </w:r>
      <w:r w:rsidR="008B5814" w:rsidRPr="00CF0E32">
        <w:rPr>
          <w:color w:val="auto"/>
        </w:rPr>
        <w:t xml:space="preserve"> waste heat recovery from</w:t>
      </w:r>
      <w:r w:rsidR="003141CB" w:rsidRPr="00CF0E32">
        <w:rPr>
          <w:color w:val="auto"/>
        </w:rPr>
        <w:t xml:space="preserve"> sewage and </w:t>
      </w:r>
      <w:r w:rsidR="00516D97">
        <w:rPr>
          <w:color w:val="auto"/>
        </w:rPr>
        <w:t xml:space="preserve">waste heat from </w:t>
      </w:r>
      <w:r w:rsidR="008B5814" w:rsidRPr="00CF0E32">
        <w:rPr>
          <w:color w:val="auto"/>
        </w:rPr>
        <w:t>industrial plants.</w:t>
      </w:r>
      <w:r w:rsidR="005233CF" w:rsidRPr="00CF0E32">
        <w:rPr>
          <w:color w:val="auto"/>
        </w:rPr>
        <w:t xml:space="preserve"> DHNs allow the waste heat </w:t>
      </w:r>
      <w:r w:rsidR="00FE0482">
        <w:rPr>
          <w:color w:val="auto"/>
        </w:rPr>
        <w:t xml:space="preserve">energy, which would otherwise be lost, </w:t>
      </w:r>
      <w:r w:rsidR="005233CF" w:rsidRPr="00CF0E32">
        <w:rPr>
          <w:color w:val="auto"/>
        </w:rPr>
        <w:t xml:space="preserve">to be </w:t>
      </w:r>
      <w:r w:rsidR="00FE0482">
        <w:rPr>
          <w:color w:val="auto"/>
        </w:rPr>
        <w:t>distributed to local heat users</w:t>
      </w:r>
      <w:r w:rsidR="005233CF" w:rsidRPr="00CF0E32">
        <w:rPr>
          <w:color w:val="auto"/>
        </w:rPr>
        <w:t>.</w:t>
      </w:r>
      <w:r w:rsidR="008B75FE" w:rsidRPr="00CF0E32">
        <w:rPr>
          <w:color w:val="auto"/>
        </w:rPr>
        <w:t xml:space="preserve"> Since not all </w:t>
      </w:r>
      <w:r w:rsidR="008C6B46">
        <w:rPr>
          <w:color w:val="auto"/>
        </w:rPr>
        <w:t xml:space="preserve">of </w:t>
      </w:r>
      <w:r w:rsidR="008B75FE" w:rsidRPr="00CF0E32">
        <w:rPr>
          <w:color w:val="auto"/>
        </w:rPr>
        <w:t xml:space="preserve">the heat </w:t>
      </w:r>
      <w:r w:rsidR="008C6B46">
        <w:rPr>
          <w:color w:val="auto"/>
        </w:rPr>
        <w:t>is at the required temperature level</w:t>
      </w:r>
      <w:r w:rsidR="008B75FE" w:rsidRPr="00CF0E32">
        <w:rPr>
          <w:color w:val="auto"/>
        </w:rPr>
        <w:t>, heat pumps are used to upgrade it accordingly.</w:t>
      </w:r>
    </w:p>
    <w:p w:rsidR="00FE64F3" w:rsidRPr="00CF0E32" w:rsidRDefault="008C6B46" w:rsidP="00CA6776">
      <w:pPr>
        <w:pStyle w:val="10Level1Heading"/>
        <w:jc w:val="both"/>
        <w:rPr>
          <w:color w:val="auto"/>
        </w:rPr>
      </w:pPr>
      <w:r>
        <w:rPr>
          <w:color w:val="auto"/>
        </w:rPr>
        <w:t>T</w:t>
      </w:r>
      <w:r w:rsidR="008B75FE" w:rsidRPr="00CF0E32">
        <w:rPr>
          <w:color w:val="auto"/>
        </w:rPr>
        <w:t xml:space="preserve">he </w:t>
      </w:r>
      <w:r>
        <w:rPr>
          <w:color w:val="auto"/>
        </w:rPr>
        <w:t xml:space="preserve">HRE </w:t>
      </w:r>
      <w:r w:rsidR="008B75FE" w:rsidRPr="00CF0E32">
        <w:rPr>
          <w:color w:val="auto"/>
        </w:rPr>
        <w:t xml:space="preserve">research </w:t>
      </w:r>
      <w:r>
        <w:rPr>
          <w:color w:val="auto"/>
        </w:rPr>
        <w:t xml:space="preserve">also </w:t>
      </w:r>
      <w:r w:rsidR="008B75FE" w:rsidRPr="00CF0E32">
        <w:rPr>
          <w:color w:val="auto"/>
        </w:rPr>
        <w:t xml:space="preserve">showed </w:t>
      </w:r>
      <w:r>
        <w:rPr>
          <w:color w:val="auto"/>
        </w:rPr>
        <w:t>that</w:t>
      </w:r>
      <w:r w:rsidR="008B75FE" w:rsidRPr="00CF0E32">
        <w:rPr>
          <w:color w:val="auto"/>
        </w:rPr>
        <w:t xml:space="preserve"> sewage systems are widely used</w:t>
      </w:r>
      <w:r w:rsidR="00CA6776" w:rsidRPr="00CF0E32">
        <w:rPr>
          <w:color w:val="auto"/>
        </w:rPr>
        <w:t xml:space="preserve"> in Europe as a heat source, </w:t>
      </w:r>
      <w:r>
        <w:rPr>
          <w:color w:val="auto"/>
        </w:rPr>
        <w:t xml:space="preserve">and have the advantage of providing a </w:t>
      </w:r>
      <w:r w:rsidR="0007742D" w:rsidRPr="00CF0E32">
        <w:rPr>
          <w:color w:val="auto"/>
        </w:rPr>
        <w:t>stable long-term</w:t>
      </w:r>
      <w:r>
        <w:rPr>
          <w:color w:val="auto"/>
        </w:rPr>
        <w:t xml:space="preserve"> resource</w:t>
      </w:r>
      <w:r w:rsidR="00CA6776" w:rsidRPr="00CF0E32">
        <w:rPr>
          <w:color w:val="auto"/>
        </w:rPr>
        <w:t xml:space="preserve">. </w:t>
      </w:r>
      <w:r w:rsidR="0007742D" w:rsidRPr="00CF0E32">
        <w:rPr>
          <w:color w:val="auto"/>
        </w:rPr>
        <w:t xml:space="preserve">Heat pump systems </w:t>
      </w:r>
      <w:r w:rsidR="00CA6776" w:rsidRPr="00CF0E32">
        <w:rPr>
          <w:color w:val="auto"/>
        </w:rPr>
        <w:t>using sewage</w:t>
      </w:r>
      <w:r w:rsidR="0007742D" w:rsidRPr="00CF0E32">
        <w:rPr>
          <w:color w:val="auto"/>
        </w:rPr>
        <w:t xml:space="preserve"> heat </w:t>
      </w:r>
      <w:r>
        <w:rPr>
          <w:color w:val="auto"/>
        </w:rPr>
        <w:t>recovery have been</w:t>
      </w:r>
      <w:r w:rsidR="00FD65FD" w:rsidRPr="00CF0E32">
        <w:rPr>
          <w:color w:val="auto"/>
        </w:rPr>
        <w:t xml:space="preserve"> installed</w:t>
      </w:r>
      <w:r w:rsidR="00CA6776" w:rsidRPr="00CF0E32">
        <w:rPr>
          <w:color w:val="auto"/>
        </w:rPr>
        <w:t xml:space="preserve"> in</w:t>
      </w:r>
      <w:r w:rsidR="0007742D" w:rsidRPr="00CF0E32">
        <w:rPr>
          <w:color w:val="auto"/>
        </w:rPr>
        <w:t xml:space="preserve"> some</w:t>
      </w:r>
      <w:r w:rsidR="00CA6776" w:rsidRPr="00CF0E32">
        <w:rPr>
          <w:color w:val="auto"/>
        </w:rPr>
        <w:t xml:space="preserve"> cities</w:t>
      </w:r>
      <w:r>
        <w:rPr>
          <w:color w:val="auto"/>
        </w:rPr>
        <w:t>, including those with very large heating capacity requirement</w:t>
      </w:r>
      <w:r w:rsidR="0007742D" w:rsidRPr="00CF0E32">
        <w:rPr>
          <w:color w:val="auto"/>
        </w:rPr>
        <w:t xml:space="preserve">s, </w:t>
      </w:r>
      <w:r>
        <w:rPr>
          <w:color w:val="auto"/>
        </w:rPr>
        <w:t>for example</w:t>
      </w:r>
      <w:r w:rsidR="0007742D" w:rsidRPr="00CF0E32">
        <w:rPr>
          <w:color w:val="auto"/>
        </w:rPr>
        <w:t xml:space="preserve"> in</w:t>
      </w:r>
      <w:r w:rsidR="00CA6776" w:rsidRPr="00CF0E32">
        <w:rPr>
          <w:color w:val="auto"/>
        </w:rPr>
        <w:t xml:space="preserve"> Stockholm (230 MW), Gothenburg (160 MW), Helsinki (90 MW) and Oslo (40 MW). </w:t>
      </w:r>
      <w:r w:rsidR="00E61682" w:rsidRPr="00CF0E32">
        <w:rPr>
          <w:color w:val="auto"/>
        </w:rPr>
        <w:t>In Finland, another waste heat recovery scheme has been</w:t>
      </w:r>
      <w:r>
        <w:rPr>
          <w:color w:val="auto"/>
        </w:rPr>
        <w:t xml:space="preserve"> taking heat exhausted from data c</w:t>
      </w:r>
      <w:r w:rsidR="00E61682" w:rsidRPr="00CF0E32">
        <w:rPr>
          <w:color w:val="auto"/>
        </w:rPr>
        <w:t>entres</w:t>
      </w:r>
      <w:r>
        <w:rPr>
          <w:color w:val="auto"/>
        </w:rPr>
        <w:t>,</w:t>
      </w:r>
      <w:r w:rsidR="00E61682" w:rsidRPr="00CF0E32">
        <w:rPr>
          <w:color w:val="auto"/>
        </w:rPr>
        <w:t xml:space="preserve"> and </w:t>
      </w:r>
      <w:r w:rsidR="00FE0482">
        <w:rPr>
          <w:color w:val="auto"/>
        </w:rPr>
        <w:t>after upgrading</w:t>
      </w:r>
      <w:r>
        <w:rPr>
          <w:color w:val="auto"/>
        </w:rPr>
        <w:t xml:space="preserve">, </w:t>
      </w:r>
      <w:r w:rsidR="00FE0482">
        <w:rPr>
          <w:color w:val="auto"/>
        </w:rPr>
        <w:t>it is distributed</w:t>
      </w:r>
      <w:r>
        <w:rPr>
          <w:color w:val="auto"/>
        </w:rPr>
        <w:t xml:space="preserve"> to heat</w:t>
      </w:r>
      <w:r w:rsidR="00E61682" w:rsidRPr="00CF0E32">
        <w:rPr>
          <w:color w:val="auto"/>
        </w:rPr>
        <w:t xml:space="preserve"> homes in the city of M</w:t>
      </w:r>
      <w:r w:rsidR="00BF3FDA" w:rsidRPr="00CF0E32">
        <w:rPr>
          <w:color w:val="auto"/>
        </w:rPr>
        <w:t>ä</w:t>
      </w:r>
      <w:r w:rsidR="00E400E4" w:rsidRPr="00CF0E32">
        <w:rPr>
          <w:color w:val="auto"/>
        </w:rPr>
        <w:t>nt</w:t>
      </w:r>
      <w:r w:rsidR="00BF3FDA" w:rsidRPr="00CF0E32">
        <w:rPr>
          <w:color w:val="auto"/>
        </w:rPr>
        <w:t>sä</w:t>
      </w:r>
      <w:r w:rsidR="00E61682" w:rsidRPr="00CF0E32">
        <w:rPr>
          <w:color w:val="auto"/>
        </w:rPr>
        <w:t>l</w:t>
      </w:r>
      <w:r w:rsidR="00BF3FDA" w:rsidRPr="00CF0E32">
        <w:rPr>
          <w:color w:val="auto"/>
        </w:rPr>
        <w:t>ä</w:t>
      </w:r>
      <w:r w:rsidR="00E61682" w:rsidRPr="00CF0E32">
        <w:rPr>
          <w:color w:val="auto"/>
        </w:rPr>
        <w:t xml:space="preserve">. </w:t>
      </w:r>
      <w:r w:rsidR="009F2D01" w:rsidRPr="00CF0E32">
        <w:rPr>
          <w:color w:val="auto"/>
        </w:rPr>
        <w:t xml:space="preserve">A </w:t>
      </w:r>
      <w:r>
        <w:rPr>
          <w:color w:val="auto"/>
        </w:rPr>
        <w:t>single data c</w:t>
      </w:r>
      <w:r w:rsidR="009F2D01" w:rsidRPr="00CF0E32">
        <w:rPr>
          <w:color w:val="auto"/>
        </w:rPr>
        <w:t xml:space="preserve">entre, operating at a capacity of 10 MW, is estimated to </w:t>
      </w:r>
      <w:r>
        <w:rPr>
          <w:color w:val="auto"/>
        </w:rPr>
        <w:t xml:space="preserve">supply </w:t>
      </w:r>
      <w:r w:rsidR="009F2D01" w:rsidRPr="00CF0E32">
        <w:rPr>
          <w:color w:val="auto"/>
        </w:rPr>
        <w:t>3.6 MW of</w:t>
      </w:r>
      <w:r w:rsidR="004B109A" w:rsidRPr="00CF0E32">
        <w:rPr>
          <w:color w:val="auto"/>
        </w:rPr>
        <w:t xml:space="preserve"> recovered</w:t>
      </w:r>
      <w:r w:rsidR="009F2D01" w:rsidRPr="00CF0E32">
        <w:rPr>
          <w:color w:val="auto"/>
        </w:rPr>
        <w:t xml:space="preserve"> waste heat to the local DHN. </w:t>
      </w:r>
      <w:r w:rsidR="005D3719" w:rsidRPr="00CF0E32">
        <w:rPr>
          <w:color w:val="auto"/>
        </w:rPr>
        <w:t>Tel</w:t>
      </w:r>
      <w:r w:rsidR="007B6095">
        <w:rPr>
          <w:color w:val="auto"/>
        </w:rPr>
        <w:t>ecityGroup also operates 5</w:t>
      </w:r>
      <w:r>
        <w:rPr>
          <w:color w:val="auto"/>
        </w:rPr>
        <w:t xml:space="preserve"> d</w:t>
      </w:r>
      <w:r w:rsidR="005D3719" w:rsidRPr="00CF0E32">
        <w:rPr>
          <w:color w:val="auto"/>
        </w:rPr>
        <w:t xml:space="preserve">ata </w:t>
      </w:r>
      <w:r>
        <w:rPr>
          <w:color w:val="auto"/>
        </w:rPr>
        <w:t>c</w:t>
      </w:r>
      <w:r w:rsidR="005D3719" w:rsidRPr="00CF0E32">
        <w:rPr>
          <w:color w:val="auto"/>
        </w:rPr>
        <w:t>entres</w:t>
      </w:r>
      <w:r w:rsidR="007B6095">
        <w:rPr>
          <w:color w:val="FF0000"/>
        </w:rPr>
        <w:t xml:space="preserve"> </w:t>
      </w:r>
      <w:r w:rsidR="007B6095" w:rsidRPr="007B6095">
        <w:rPr>
          <w:color w:val="auto"/>
        </w:rPr>
        <w:t>in Finland</w:t>
      </w:r>
      <w:r w:rsidR="00E143D3" w:rsidRPr="007B6095">
        <w:rPr>
          <w:color w:val="auto"/>
        </w:rPr>
        <w:t>,</w:t>
      </w:r>
      <w:r w:rsidR="005D3719" w:rsidRPr="00CF0E32">
        <w:rPr>
          <w:color w:val="auto"/>
        </w:rPr>
        <w:t xml:space="preserve"> </w:t>
      </w:r>
      <w:r w:rsidR="00E143D3" w:rsidRPr="00CF0E32">
        <w:rPr>
          <w:color w:val="auto"/>
        </w:rPr>
        <w:t>producing</w:t>
      </w:r>
      <w:r w:rsidR="005D3719" w:rsidRPr="00CF0E32">
        <w:rPr>
          <w:color w:val="auto"/>
        </w:rPr>
        <w:t xml:space="preserve"> district heating for a total of 4500 block apartments and 500 detached houses</w:t>
      </w:r>
      <w:r w:rsidR="00E143D3" w:rsidRPr="00CF0E32">
        <w:rPr>
          <w:color w:val="auto"/>
        </w:rPr>
        <w:t xml:space="preserve"> every year</w:t>
      </w:r>
      <w:r w:rsidR="005D3719" w:rsidRPr="00CF0E32">
        <w:rPr>
          <w:color w:val="auto"/>
        </w:rPr>
        <w:t xml:space="preserve"> (Wahlroos et al, 2018).</w:t>
      </w:r>
      <w:r w:rsidR="00CF0E32" w:rsidRPr="00CF0E32">
        <w:rPr>
          <w:color w:val="auto"/>
        </w:rPr>
        <w:t xml:space="preserve"> </w:t>
      </w:r>
    </w:p>
    <w:p w:rsidR="008247B3" w:rsidRDefault="00A47E5D" w:rsidP="00D2527D">
      <w:pPr>
        <w:pStyle w:val="10Level1Heading"/>
        <w:jc w:val="both"/>
      </w:pPr>
      <w:r w:rsidRPr="00CF0E32">
        <w:t xml:space="preserve">In London, local authorities </w:t>
      </w:r>
      <w:r w:rsidR="008C6B46">
        <w:t>are</w:t>
      </w:r>
      <w:r w:rsidRPr="00CF0E32">
        <w:t xml:space="preserve"> keen to foster waste heat recovery initiatives.</w:t>
      </w:r>
      <w:r w:rsidR="003F68A7" w:rsidRPr="00CF0E32">
        <w:t xml:space="preserve"> </w:t>
      </w:r>
      <w:r w:rsidR="00820F05" w:rsidRPr="00CF0E32">
        <w:t xml:space="preserve">The London Mayor’s office has produced a number of reports investigating the potential for using secondary waste heat in London. </w:t>
      </w:r>
      <w:r w:rsidR="006942E4" w:rsidRPr="00CF0E32">
        <w:t xml:space="preserve">It </w:t>
      </w:r>
      <w:r w:rsidR="008C6B46">
        <w:t>has been estimated</w:t>
      </w:r>
      <w:r w:rsidR="00820F05" w:rsidRPr="00CF0E32">
        <w:t xml:space="preserve"> that the total waste heat that could be delivered from secondary sources in London is of the order of 71 TWh/year</w:t>
      </w:r>
      <w:r w:rsidR="006942E4" w:rsidRPr="00CF0E32">
        <w:t xml:space="preserve"> (Mayor of London, 2013)</w:t>
      </w:r>
      <w:r w:rsidR="00820F05" w:rsidRPr="00CF0E32">
        <w:t xml:space="preserve">. This is greater than the city’s total heat demand which was estimated to be 66 TWh/year in 2010. However, some of the heat sources that </w:t>
      </w:r>
      <w:r w:rsidR="00B47E30" w:rsidRPr="00CF0E32">
        <w:t>were</w:t>
      </w:r>
      <w:r w:rsidR="00820F05" w:rsidRPr="00CF0E32">
        <w:t xml:space="preserve"> identified are only available at a particular period of the year, or they are located too far awa</w:t>
      </w:r>
      <w:r w:rsidR="008C6B46">
        <w:t>y from where the heat is needed</w:t>
      </w:r>
      <w:r w:rsidR="00820F05" w:rsidRPr="00CF0E32">
        <w:t xml:space="preserve"> to be useful. One of the waste heat sources listed in Table 2 above is underground railways. As indicated in </w:t>
      </w:r>
      <w:r w:rsidR="00747458" w:rsidRPr="00CF0E32">
        <w:t>the table</w:t>
      </w:r>
      <w:r w:rsidR="00820F05" w:rsidRPr="00CF0E32">
        <w:t>, underground railways produce mo</w:t>
      </w:r>
      <w:r w:rsidR="000F3416" w:rsidRPr="00CF0E32">
        <w:t>re</w:t>
      </w:r>
      <w:r w:rsidR="00820F05" w:rsidRPr="00CF0E32">
        <w:t xml:space="preserve"> heat in summe</w:t>
      </w:r>
      <w:r w:rsidR="000F3416" w:rsidRPr="00CF0E32">
        <w:t>r</w:t>
      </w:r>
      <w:r w:rsidR="00820F05" w:rsidRPr="00CF0E32">
        <w:t xml:space="preserve">, however, they do </w:t>
      </w:r>
      <w:r w:rsidR="000F3416" w:rsidRPr="00CF0E32">
        <w:t xml:space="preserve">generate significant quantities of heat throughout the year.  They also have the advantages of being well distributed across London, with many stations and ventilation shafts </w:t>
      </w:r>
      <w:r w:rsidR="008C6B46">
        <w:t xml:space="preserve">across the city </w:t>
      </w:r>
      <w:r w:rsidR="000F3416" w:rsidRPr="00CF0E32">
        <w:t>providing access to the underground heat. In addition to pr</w:t>
      </w:r>
      <w:r w:rsidR="008C6B46">
        <w:t>oviding a potential heat source</w:t>
      </w:r>
      <w:r w:rsidR="000F3416" w:rsidRPr="00CF0E32">
        <w:t xml:space="preserve"> which could be recovered and reused, underground railways also have a requirement for </w:t>
      </w:r>
      <w:r w:rsidR="00C85DF2" w:rsidRPr="00CF0E32">
        <w:t>increased cooling.</w:t>
      </w:r>
    </w:p>
    <w:p w:rsidR="008247B3" w:rsidRPr="00C415ED" w:rsidRDefault="008C1235" w:rsidP="00D2527D">
      <w:pPr>
        <w:jc w:val="both"/>
      </w:pPr>
      <w:r w:rsidRPr="008C1235">
        <w:t xml:space="preserve">1.3 </w:t>
      </w:r>
      <w:r w:rsidRPr="008C1235">
        <w:tab/>
        <w:t>Waste heat and</w:t>
      </w:r>
      <w:r w:rsidR="008247B3" w:rsidRPr="008C1235">
        <w:t xml:space="preserve"> cooling of London Underground</w:t>
      </w:r>
      <w:r w:rsidR="00933A73">
        <w:t xml:space="preserve"> (LU)</w:t>
      </w:r>
    </w:p>
    <w:p w:rsidR="008247B3" w:rsidRDefault="008247B3" w:rsidP="00321D04">
      <w:pPr>
        <w:pStyle w:val="06BodyMaintext"/>
      </w:pPr>
      <w:r>
        <w:t>Underground railways generate significant quantities of waste heat. It has been estimated that up to 15 MW of heat could potentially be recovered from London’s underground networ</w:t>
      </w:r>
      <w:r w:rsidR="001036BE">
        <w:t>k and reused (Davies et al, 2017</w:t>
      </w:r>
      <w:r>
        <w:t xml:space="preserve">). This heat is mainly generated by the braking systems of trains, although with significant contributions from aerodynamic friction and the electric motors driving the trains. Some of the heat is also generated by the passengers. The main method used at present to dissipate this heat, and maintain tunnel temperatures within a safe range, is the use of ventilation shafts, which are located at intervals of e.g. 1 to 2 kilometres, along the tunnels. The ventilation shafts, which </w:t>
      </w:r>
      <w:r>
        <w:lastRenderedPageBreak/>
        <w:t xml:space="preserve">incorporate fans, may be operated </w:t>
      </w:r>
      <w:r w:rsidR="000972FF">
        <w:t>in either forced ventilation (</w:t>
      </w:r>
      <w:r w:rsidR="00EE2CC0">
        <w:t xml:space="preserve">or </w:t>
      </w:r>
      <w:r>
        <w:t>supply) mode, whereby ambient air is supplied to the tu</w:t>
      </w:r>
      <w:r w:rsidR="000972FF">
        <w:t>nnels, or in draught relief (</w:t>
      </w:r>
      <w:r w:rsidR="00EE2CC0">
        <w:t xml:space="preserve">or </w:t>
      </w:r>
      <w:r>
        <w:t xml:space="preserve">exhaust) mode, whereby the heated air is exhausted from the tunnels. The movement of air through the tunnels is enhanced by the piston effect of the trains. The local tunnel air distribution requirements dictate whether a particular ventilation shaft is operated in supply or exhaust mode. </w:t>
      </w:r>
    </w:p>
    <w:p w:rsidR="008247B3" w:rsidRPr="00CF0E32" w:rsidRDefault="008247B3" w:rsidP="00D2527D">
      <w:pPr>
        <w:jc w:val="both"/>
      </w:pPr>
      <w:r>
        <w:t>Traditionally, these methods have been sufficient to control the tunnel air temperatures, however, there is a long</w:t>
      </w:r>
      <w:r w:rsidR="00E85656">
        <w:t>-</w:t>
      </w:r>
      <w:r>
        <w:t xml:space="preserve">term trend for these temperatures to rise. Consequently, </w:t>
      </w:r>
      <w:r w:rsidR="00933A73">
        <w:t>LU</w:t>
      </w:r>
      <w:r>
        <w:t xml:space="preserve"> is investigating a number of active cooling methods aimed at halting or reversing the long</w:t>
      </w:r>
      <w:r w:rsidR="00B03174">
        <w:t>-</w:t>
      </w:r>
      <w:r>
        <w:t>term trend. These include the introduction of chilled air at stations e.g. using platform air handling units (PAHUs) (</w:t>
      </w:r>
      <w:r w:rsidR="007F775E">
        <w:t>Dragoni et al, 2016</w:t>
      </w:r>
      <w:r w:rsidRPr="00CF0E32">
        <w:t>), and the supply of chilled air through ventilation shafts, which is discussed below.</w:t>
      </w:r>
    </w:p>
    <w:p w:rsidR="00317618" w:rsidRPr="00CF0E32" w:rsidRDefault="00BD4D1D" w:rsidP="00C93041">
      <w:pPr>
        <w:pStyle w:val="10Level1Heading"/>
        <w:jc w:val="both"/>
      </w:pPr>
      <w:r w:rsidRPr="00CF0E32">
        <w:t xml:space="preserve">A scheme to recover waste heat from London Underground is currently being developed in the London Borough of Islington. The project is an extension of </w:t>
      </w:r>
      <w:r w:rsidR="00E8452B" w:rsidRPr="00CF0E32">
        <w:t xml:space="preserve">the existing Bunhill </w:t>
      </w:r>
      <w:r w:rsidR="008E5FE1" w:rsidRPr="00CF0E32">
        <w:t>Heat N</w:t>
      </w:r>
      <w:r w:rsidR="00E8452B" w:rsidRPr="00CF0E32">
        <w:t>etwork,</w:t>
      </w:r>
      <w:r w:rsidR="00F26670" w:rsidRPr="00CF0E32">
        <w:t xml:space="preserve"> which uses a gas fired CHP in order to provide heating to over 850 local households</w:t>
      </w:r>
      <w:r w:rsidR="00153217" w:rsidRPr="00CF0E32">
        <w:t xml:space="preserve"> via district heating</w:t>
      </w:r>
      <w:r w:rsidR="00F26670" w:rsidRPr="00CF0E32">
        <w:t>.</w:t>
      </w:r>
      <w:r w:rsidRPr="00CF0E32">
        <w:t xml:space="preserve"> </w:t>
      </w:r>
      <w:r w:rsidR="00F26670" w:rsidRPr="00CF0E32">
        <w:t xml:space="preserve">The </w:t>
      </w:r>
      <w:r w:rsidR="008717E7" w:rsidRPr="00CF0E32">
        <w:t xml:space="preserve">extension, also referred to as Bunhill II, </w:t>
      </w:r>
      <w:r w:rsidR="00153217" w:rsidRPr="00CF0E32">
        <w:t xml:space="preserve">will </w:t>
      </w:r>
      <w:r w:rsidRPr="00CF0E32">
        <w:t>capture heat from a ventilation shaft, which will then be upgraded by a heat pump and delivered to around 500 households</w:t>
      </w:r>
      <w:r w:rsidR="008717E7" w:rsidRPr="00CF0E32">
        <w:t xml:space="preserve"> (Islington</w:t>
      </w:r>
      <w:r w:rsidR="00E8452B" w:rsidRPr="00CF0E32">
        <w:t xml:space="preserve"> Council</w:t>
      </w:r>
      <w:r w:rsidR="008717E7" w:rsidRPr="00CF0E32">
        <w:t>,</w:t>
      </w:r>
      <w:r w:rsidR="00E8452B" w:rsidRPr="00CF0E32">
        <w:t xml:space="preserve"> 2018). </w:t>
      </w:r>
    </w:p>
    <w:p w:rsidR="0040401B" w:rsidRDefault="008E5FE1" w:rsidP="00D2527D">
      <w:pPr>
        <w:pStyle w:val="10Level1Heading"/>
        <w:jc w:val="both"/>
      </w:pPr>
      <w:r w:rsidRPr="00CF0E32">
        <w:t xml:space="preserve">As </w:t>
      </w:r>
      <w:r w:rsidR="00736C36" w:rsidRPr="00CF0E32">
        <w:t>a large-scale trial, there is no evidence</w:t>
      </w:r>
      <w:r w:rsidR="008C6B46">
        <w:t xml:space="preserve"> at present</w:t>
      </w:r>
      <w:r w:rsidR="00736C36" w:rsidRPr="00CF0E32">
        <w:t xml:space="preserve"> supporting the performance of the Bunhill II scheme</w:t>
      </w:r>
      <w:r w:rsidR="000277E6">
        <w:t xml:space="preserve">, </w:t>
      </w:r>
      <w:r w:rsidR="00736C36" w:rsidRPr="00CF0E32">
        <w:t xml:space="preserve">and thus </w:t>
      </w:r>
      <w:r w:rsidR="000277E6">
        <w:t xml:space="preserve">further </w:t>
      </w:r>
      <w:r w:rsidR="00736C36" w:rsidRPr="00CF0E32">
        <w:t xml:space="preserve">research </w:t>
      </w:r>
      <w:r w:rsidR="000277E6">
        <w:t xml:space="preserve">and analysis </w:t>
      </w:r>
      <w:r w:rsidR="00736C36" w:rsidRPr="00CF0E32">
        <w:t xml:space="preserve">on this </w:t>
      </w:r>
      <w:r w:rsidR="000277E6">
        <w:t xml:space="preserve">type of </w:t>
      </w:r>
      <w:r w:rsidR="00736C36" w:rsidRPr="00CF0E32">
        <w:t>waste heat recovery</w:t>
      </w:r>
      <w:r w:rsidR="005C47ED" w:rsidRPr="00CF0E32">
        <w:t xml:space="preserve"> system</w:t>
      </w:r>
      <w:r w:rsidR="00736C36" w:rsidRPr="00CF0E32">
        <w:t xml:space="preserve"> needs to be conducted in order to fully estimate its benefits, challenges and expected outcomes. With</w:t>
      </w:r>
      <w:r w:rsidR="00736C36">
        <w:t xml:space="preserve"> that in mind,</w:t>
      </w:r>
      <w:r w:rsidR="009702F9">
        <w:t xml:space="preserve"> a</w:t>
      </w:r>
      <w:r w:rsidR="008247B3" w:rsidRPr="008247B3">
        <w:t xml:space="preserve"> project has been undertaken to evaluate the feasibility of combining both cooling and heat recovery from underground railways. The Metropolitan Integrated Cooling and Heating (MICAH) project, has involved investigating the potential benefits and barriers</w:t>
      </w:r>
      <w:r w:rsidR="008C6B46">
        <w:t xml:space="preserve"> involved in</w:t>
      </w:r>
      <w:r w:rsidR="008247B3" w:rsidRPr="008247B3">
        <w:t xml:space="preserve"> implementing a system for combining cooling of a LU site with waste heat recovery. The recovered heat would then be distributed through a </w:t>
      </w:r>
      <w:r w:rsidR="005233CF">
        <w:t>DHN</w:t>
      </w:r>
      <w:r w:rsidR="00CF0E32">
        <w:t>.</w:t>
      </w:r>
      <w:r w:rsidR="008247B3" w:rsidRPr="008247B3">
        <w:t xml:space="preserve"> </w:t>
      </w:r>
      <w:r w:rsidR="002C4CBC">
        <w:t>This paper provides details of the MIC</w:t>
      </w:r>
      <w:r w:rsidR="008247B3" w:rsidRPr="008247B3">
        <w:t>A</w:t>
      </w:r>
      <w:r w:rsidR="002C4CBC">
        <w:t xml:space="preserve">H study, including a </w:t>
      </w:r>
      <w:r w:rsidR="008247B3" w:rsidRPr="008247B3">
        <w:t>detailed description of the MICAH system</w:t>
      </w:r>
      <w:r w:rsidR="002C4CBC">
        <w:t xml:space="preserve"> and the model developed to evaluate its performance. The results from the model are also presented</w:t>
      </w:r>
      <w:r w:rsidR="008247B3" w:rsidRPr="008247B3">
        <w:t xml:space="preserve"> </w:t>
      </w:r>
      <w:r w:rsidR="000C52CC">
        <w:t xml:space="preserve">and discussed, and conclusions drawn regarding the </w:t>
      </w:r>
      <w:r w:rsidR="00561873">
        <w:t xml:space="preserve">next steps for </w:t>
      </w:r>
      <w:r w:rsidR="000C52CC">
        <w:t>the MICAH system.</w:t>
      </w:r>
    </w:p>
    <w:p w:rsidR="008C1235" w:rsidRPr="00D2527D" w:rsidRDefault="008C1235" w:rsidP="00D2527D">
      <w:pPr>
        <w:pStyle w:val="10Level1Heading"/>
        <w:jc w:val="both"/>
        <w:rPr>
          <w:b/>
        </w:rPr>
      </w:pPr>
      <w:r w:rsidRPr="00D2527D">
        <w:rPr>
          <w:b/>
        </w:rPr>
        <w:t xml:space="preserve">2.0 </w:t>
      </w:r>
      <w:r w:rsidR="00BA5E72" w:rsidRPr="00D2527D">
        <w:rPr>
          <w:b/>
        </w:rPr>
        <w:tab/>
      </w:r>
      <w:r w:rsidRPr="00D2527D">
        <w:rPr>
          <w:b/>
        </w:rPr>
        <w:t>The MICAH study</w:t>
      </w:r>
    </w:p>
    <w:p w:rsidR="00B47E30" w:rsidRPr="008C1235" w:rsidRDefault="008C1235" w:rsidP="00D2527D">
      <w:pPr>
        <w:pStyle w:val="10Level1Heading"/>
        <w:jc w:val="both"/>
      </w:pPr>
      <w:r w:rsidRPr="008C1235">
        <w:t>2.1</w:t>
      </w:r>
      <w:r w:rsidRPr="008C1235">
        <w:tab/>
      </w:r>
      <w:r w:rsidR="00B47E30" w:rsidRPr="008C1235">
        <w:t>Description of MICAH system</w:t>
      </w:r>
    </w:p>
    <w:p w:rsidR="00895E3B" w:rsidRDefault="00B47E30" w:rsidP="00321D04">
      <w:pPr>
        <w:pStyle w:val="06BodyMaintext"/>
      </w:pPr>
      <w:r>
        <w:t xml:space="preserve">For MICAH, it is proposed to install a combined cooling and </w:t>
      </w:r>
      <w:r w:rsidR="001036BE">
        <w:t xml:space="preserve">waste heat recovery system at a </w:t>
      </w:r>
      <w:r>
        <w:t>ventilation shaft s</w:t>
      </w:r>
      <w:r w:rsidR="00F033D8">
        <w:t xml:space="preserve">ite on the Piccadilly line. This </w:t>
      </w:r>
      <w:r>
        <w:t>involves the use of a fan coil heat exchanger located close to the head of the shaft</w:t>
      </w:r>
      <w:r w:rsidR="00F033D8">
        <w:t>, incorporating a</w:t>
      </w:r>
      <w:r>
        <w:t xml:space="preserve"> reversible</w:t>
      </w:r>
      <w:r w:rsidR="00F033D8">
        <w:t xml:space="preserve"> fan</w:t>
      </w:r>
      <w:r>
        <w:t xml:space="preserve">, enabling its use in </w:t>
      </w:r>
      <w:r w:rsidR="00FB15AF">
        <w:t xml:space="preserve">both </w:t>
      </w:r>
      <w:r>
        <w:t>supply</w:t>
      </w:r>
      <w:r w:rsidR="00F033D8">
        <w:t xml:space="preserve"> </w:t>
      </w:r>
      <w:r w:rsidR="00FB15AF">
        <w:t>and</w:t>
      </w:r>
      <w:r w:rsidR="00F033D8">
        <w:t xml:space="preserve"> </w:t>
      </w:r>
      <w:r w:rsidR="00FB15AF">
        <w:t>exhaust</w:t>
      </w:r>
      <w:r w:rsidR="00F033D8">
        <w:t xml:space="preserve"> mode</w:t>
      </w:r>
      <w:r w:rsidR="00FB15AF">
        <w:t>s.</w:t>
      </w:r>
      <w:r>
        <w:t xml:space="preserve">  In </w:t>
      </w:r>
      <w:r w:rsidR="00FB15AF">
        <w:t>each</w:t>
      </w:r>
      <w:r>
        <w:t xml:space="preserve"> case</w:t>
      </w:r>
      <w:r w:rsidR="00FB15AF">
        <w:t>,</w:t>
      </w:r>
      <w:r>
        <w:t xml:space="preserve"> heat </w:t>
      </w:r>
      <w:r w:rsidR="00E6052A">
        <w:t xml:space="preserve">is </w:t>
      </w:r>
      <w:r>
        <w:t xml:space="preserve">extracted from the air </w:t>
      </w:r>
      <w:r w:rsidR="000972FF">
        <w:t>passing over a</w:t>
      </w:r>
      <w:r w:rsidR="00FB15AF">
        <w:t xml:space="preserve"> </w:t>
      </w:r>
      <w:r w:rsidR="00E6052A">
        <w:t xml:space="preserve">cold water, heat exchanger coil, </w:t>
      </w:r>
      <w:r w:rsidR="00FB15AF">
        <w:t>whereby</w:t>
      </w:r>
      <w:r w:rsidR="00E6052A">
        <w:t xml:space="preserve"> the heat </w:t>
      </w:r>
      <w:r>
        <w:t xml:space="preserve">is transferred </w:t>
      </w:r>
      <w:r w:rsidR="00124663">
        <w:t xml:space="preserve">to </w:t>
      </w:r>
      <w:r w:rsidR="00E6052A">
        <w:t>the</w:t>
      </w:r>
      <w:r>
        <w:t xml:space="preserve"> water</w:t>
      </w:r>
      <w:r w:rsidR="00E6052A">
        <w:t>, raising its temperature. T</w:t>
      </w:r>
      <w:r>
        <w:t xml:space="preserve">he </w:t>
      </w:r>
      <w:r w:rsidR="00E6052A">
        <w:t xml:space="preserve">design </w:t>
      </w:r>
      <w:r>
        <w:t xml:space="preserve">capacity </w:t>
      </w:r>
      <w:r w:rsidR="00E6052A">
        <w:t>for</w:t>
      </w:r>
      <w:r>
        <w:t xml:space="preserve"> the heat exchanger, </w:t>
      </w:r>
      <w:r w:rsidR="00DD4E53">
        <w:t>whether operating</w:t>
      </w:r>
      <w:r w:rsidR="00FB15AF">
        <w:t xml:space="preserve"> in supply or exhaust</w:t>
      </w:r>
      <w:r>
        <w:t xml:space="preserve"> mo</w:t>
      </w:r>
      <w:r w:rsidR="004F7386">
        <w:t xml:space="preserve">de, </w:t>
      </w:r>
      <w:r w:rsidR="00DD4E53">
        <w:t>is</w:t>
      </w:r>
      <w:r w:rsidR="004F7386">
        <w:t xml:space="preserve"> 900 kW</w:t>
      </w:r>
      <w:r w:rsidR="00895E3B">
        <w:t>, providing a total annual heat supply of 7.88 GWh.</w:t>
      </w:r>
    </w:p>
    <w:p w:rsidR="00124663" w:rsidRDefault="00CE509B" w:rsidP="00321D04">
      <w:pPr>
        <w:pStyle w:val="06BodyMaintext"/>
      </w:pPr>
      <w:r>
        <w:t xml:space="preserve">The tunnel air temperature </w:t>
      </w:r>
      <w:r w:rsidR="00B47E30">
        <w:t>typically varies b</w:t>
      </w:r>
      <w:r w:rsidR="000972FF">
        <w:t>etween 16 and 27</w:t>
      </w:r>
      <w:r w:rsidR="004F7386">
        <w:t>°C</w:t>
      </w:r>
      <w:r w:rsidR="00B47E30">
        <w:t xml:space="preserve"> during the year, while the ambient air </w:t>
      </w:r>
      <w:r>
        <w:t>passing over the heat exchanger coil</w:t>
      </w:r>
      <w:r w:rsidR="00FB15AF">
        <w:t xml:space="preserve"> when</w:t>
      </w:r>
      <w:r>
        <w:t xml:space="preserve"> in supply mode, </w:t>
      </w:r>
      <w:r w:rsidR="00B47E30">
        <w:t xml:space="preserve">varies between </w:t>
      </w:r>
      <w:r w:rsidR="000972FF">
        <w:t>3</w:t>
      </w:r>
      <w:r w:rsidR="004F7386">
        <w:t xml:space="preserve"> an</w:t>
      </w:r>
      <w:r w:rsidR="000972FF">
        <w:t>d 23</w:t>
      </w:r>
      <w:r w:rsidR="004F7386">
        <w:t>°C</w:t>
      </w:r>
      <w:r w:rsidR="00B47E30">
        <w:t xml:space="preserve"> du</w:t>
      </w:r>
      <w:r w:rsidR="00FB15AF">
        <w:t>ring the year. S</w:t>
      </w:r>
      <w:r w:rsidR="00B47E30">
        <w:t>ince the fan is reversible, the heat exchanger can be oper</w:t>
      </w:r>
      <w:r w:rsidR="00FB15AF">
        <w:t>ated in either supply or exhaust</w:t>
      </w:r>
      <w:r w:rsidR="00B47E30">
        <w:t xml:space="preserve"> mode</w:t>
      </w:r>
      <w:r w:rsidR="00933A73">
        <w:t>, as required</w:t>
      </w:r>
      <w:r w:rsidR="00B47E30">
        <w:t xml:space="preserve">.  The effects of operating the system in </w:t>
      </w:r>
      <w:r w:rsidR="00FB15AF">
        <w:t xml:space="preserve">the different </w:t>
      </w:r>
      <w:r w:rsidR="00B47E30">
        <w:t>modes for different periods of the year will be presented later.</w:t>
      </w:r>
      <w:r w:rsidR="00124663">
        <w:t xml:space="preserve"> </w:t>
      </w:r>
    </w:p>
    <w:p w:rsidR="00B47E30" w:rsidRDefault="00124663" w:rsidP="00321D04">
      <w:pPr>
        <w:pStyle w:val="06BodyMaintext"/>
      </w:pPr>
      <w:r w:rsidRPr="00124663">
        <w:lastRenderedPageBreak/>
        <w:t xml:space="preserve">The </w:t>
      </w:r>
      <w:r w:rsidR="00FB15AF">
        <w:t xml:space="preserve">next stage of the heat recovery process involves the </w:t>
      </w:r>
      <w:r w:rsidRPr="00124663">
        <w:t xml:space="preserve">heated water </w:t>
      </w:r>
      <w:r w:rsidR="005809F9">
        <w:t>which exits</w:t>
      </w:r>
      <w:r w:rsidRPr="00124663">
        <w:t xml:space="preserve"> the heat exchanger</w:t>
      </w:r>
      <w:r w:rsidR="00FB15AF">
        <w:t xml:space="preserve"> being</w:t>
      </w:r>
      <w:r w:rsidRPr="00124663">
        <w:t xml:space="preserve"> transported through a pipe</w:t>
      </w:r>
      <w:r w:rsidR="000B37FE">
        <w:t xml:space="preserve"> </w:t>
      </w:r>
      <w:r w:rsidRPr="00124663">
        <w:t>work system to a heat pump, where its temperature is upgraded to th</w:t>
      </w:r>
      <w:r w:rsidR="000B37FE">
        <w:t>e level required for reuse e.g. of the order of 70°C for a low temperature heat network.</w:t>
      </w:r>
    </w:p>
    <w:p w:rsidR="009828E8" w:rsidRDefault="000B37FE" w:rsidP="00321D04">
      <w:pPr>
        <w:pStyle w:val="06BodyMaintext"/>
      </w:pPr>
      <w:r>
        <w:t>The recovered, upgraded heat will be delivered to the DHN through an energy centre</w:t>
      </w:r>
      <w:r w:rsidR="00B47E30">
        <w:t xml:space="preserve"> acting as a hub</w:t>
      </w:r>
      <w:r>
        <w:t xml:space="preserve"> for the network. The energy centre</w:t>
      </w:r>
      <w:r w:rsidR="00B47E30">
        <w:t xml:space="preserve"> will be located at a site adjacent to a public swimming pool in the </w:t>
      </w:r>
      <w:r w:rsidR="005809F9">
        <w:t>London</w:t>
      </w:r>
      <w:r w:rsidR="00DC6129">
        <w:t xml:space="preserve"> B</w:t>
      </w:r>
      <w:r w:rsidR="000277E6">
        <w:t>orough of Islington</w:t>
      </w:r>
      <w:r w:rsidR="005809F9">
        <w:t>. T</w:t>
      </w:r>
      <w:r w:rsidR="000A598D">
        <w:t>he energy cent</w:t>
      </w:r>
      <w:r w:rsidR="00B47E30">
        <w:t>r</w:t>
      </w:r>
      <w:r w:rsidR="000A598D">
        <w:t>e</w:t>
      </w:r>
      <w:r w:rsidR="00B47E30">
        <w:t xml:space="preserve"> will </w:t>
      </w:r>
      <w:r w:rsidR="005809F9">
        <w:t>also house</w:t>
      </w:r>
      <w:r w:rsidR="00B47E30">
        <w:t xml:space="preserve"> a gas fired combined heat </w:t>
      </w:r>
      <w:r w:rsidR="005809F9">
        <w:t>and power (CHP) system, with sufficient</w:t>
      </w:r>
      <w:r w:rsidR="00B47E30">
        <w:t xml:space="preserve"> capacity to supply the whole DHN, as a back-up </w:t>
      </w:r>
      <w:r w:rsidR="005809F9">
        <w:t>for</w:t>
      </w:r>
      <w:r w:rsidR="00B47E30">
        <w:t xml:space="preserve"> the waste heat recovery system.  </w:t>
      </w:r>
      <w:r w:rsidR="005809F9">
        <w:t xml:space="preserve">The </w:t>
      </w:r>
      <w:r w:rsidR="006E0894">
        <w:t xml:space="preserve">planned </w:t>
      </w:r>
      <w:r w:rsidR="005809F9">
        <w:t xml:space="preserve">DHN is expected to have a total heat requirement of the order </w:t>
      </w:r>
      <w:r w:rsidR="00895E3B" w:rsidRPr="001367F8">
        <w:t>of 9.06 GWh (</w:t>
      </w:r>
      <w:r w:rsidR="00895E3B">
        <w:t>Ramboll, 2016</w:t>
      </w:r>
      <w:r w:rsidR="00895E3B" w:rsidRPr="001367F8">
        <w:t>)</w:t>
      </w:r>
      <w:r w:rsidR="00895E3B">
        <w:t xml:space="preserve"> so the CHP system will generally be used to top up the</w:t>
      </w:r>
      <w:r w:rsidR="001036BE">
        <w:t xml:space="preserve"> </w:t>
      </w:r>
      <w:r w:rsidR="00895E3B">
        <w:t xml:space="preserve">7.88 GWh </w:t>
      </w:r>
      <w:r w:rsidR="006E0894">
        <w:t xml:space="preserve">of </w:t>
      </w:r>
      <w:r w:rsidR="00B47E30">
        <w:t xml:space="preserve">heat supplied by the waste heat recovery system </w:t>
      </w:r>
      <w:r w:rsidR="006E0894">
        <w:t>in order</w:t>
      </w:r>
      <w:r w:rsidR="00B47E30">
        <w:t xml:space="preserve"> to meet the DHN demand.  </w:t>
      </w:r>
    </w:p>
    <w:p w:rsidR="00F57985" w:rsidRDefault="00B47E30" w:rsidP="00321D04">
      <w:pPr>
        <w:pStyle w:val="06BodyMaintext"/>
      </w:pPr>
      <w:r>
        <w:t>The direct distance between the L</w:t>
      </w:r>
      <w:r w:rsidR="00365193">
        <w:t>U site and the DHN energy centre</w:t>
      </w:r>
      <w:r>
        <w:t xml:space="preserve"> is appr</w:t>
      </w:r>
      <w:r w:rsidR="004F7386">
        <w:t xml:space="preserve">oximately 350 m, </w:t>
      </w:r>
      <w:r>
        <w:t xml:space="preserve">however, the pipe work </w:t>
      </w:r>
      <w:r w:rsidR="00365193">
        <w:t xml:space="preserve">needs to be </w:t>
      </w:r>
      <w:r w:rsidR="001002EF">
        <w:t xml:space="preserve">routed </w:t>
      </w:r>
      <w:r>
        <w:t xml:space="preserve">through the roads, </w:t>
      </w:r>
      <w:r w:rsidR="001002EF">
        <w:t xml:space="preserve">so </w:t>
      </w:r>
      <w:r>
        <w:t xml:space="preserve">the actual distance </w:t>
      </w:r>
      <w:r w:rsidR="001002EF">
        <w:t xml:space="preserve">for transporting the heated water </w:t>
      </w:r>
      <w:r>
        <w:t>will be of</w:t>
      </w:r>
      <w:r w:rsidR="004F7386">
        <w:t xml:space="preserve"> the order of 420 m</w:t>
      </w:r>
      <w:r>
        <w:t xml:space="preserve">. </w:t>
      </w:r>
      <w:r w:rsidR="00A84D10">
        <w:t>Figure 1</w:t>
      </w:r>
      <w:r>
        <w:t xml:space="preserve"> provides an aerial vi</w:t>
      </w:r>
      <w:r w:rsidR="001002EF">
        <w:t>ew</w:t>
      </w:r>
      <w:r w:rsidR="00F57985">
        <w:t xml:space="preserve"> </w:t>
      </w:r>
      <w:r w:rsidR="000C52CC">
        <w:t>of the proposed DHN</w:t>
      </w:r>
      <w:r w:rsidR="00036301">
        <w:t>.</w:t>
      </w:r>
    </w:p>
    <w:p w:rsidR="00B47E30" w:rsidRDefault="008733C2" w:rsidP="00786F85">
      <w:pPr>
        <w:pStyle w:val="12FigureFormatSelectafigureandclickonthisstyle"/>
        <w:jc w:val="center"/>
      </w:pPr>
      <w:r>
        <w:rPr>
          <w:noProof/>
          <w:lang w:val="en-GB" w:eastAsia="en-GB"/>
        </w:rPr>
        <w:drawing>
          <wp:inline distT="0" distB="0" distL="0" distR="0">
            <wp:extent cx="4543200" cy="222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3200" cy="2228400"/>
                    </a:xfrm>
                    <a:prstGeom prst="rect">
                      <a:avLst/>
                    </a:prstGeom>
                  </pic:spPr>
                </pic:pic>
              </a:graphicData>
            </a:graphic>
          </wp:inline>
        </w:drawing>
      </w:r>
    </w:p>
    <w:p w:rsidR="00B47E30" w:rsidRPr="00786F85" w:rsidRDefault="00B47E30" w:rsidP="00786F85">
      <w:pPr>
        <w:pStyle w:val="12FigureFormatSelectafigureandclickonthisstyle"/>
        <w:jc w:val="center"/>
        <w:rPr>
          <w:b/>
        </w:rPr>
      </w:pPr>
      <w:r w:rsidRPr="00786F85">
        <w:rPr>
          <w:b/>
        </w:rPr>
        <w:t xml:space="preserve">Figure </w:t>
      </w:r>
      <w:r w:rsidR="00A84D10" w:rsidRPr="00786F85">
        <w:rPr>
          <w:b/>
        </w:rPr>
        <w:t>1</w:t>
      </w:r>
      <w:r w:rsidRPr="00786F85">
        <w:rPr>
          <w:b/>
        </w:rPr>
        <w:tab/>
        <w:t xml:space="preserve">Aerial view showing </w:t>
      </w:r>
      <w:r w:rsidR="00365193" w:rsidRPr="00786F85">
        <w:rPr>
          <w:b/>
        </w:rPr>
        <w:t>location of</w:t>
      </w:r>
      <w:r w:rsidRPr="00786F85">
        <w:rPr>
          <w:b/>
        </w:rPr>
        <w:t xml:space="preserve"> DHN</w:t>
      </w:r>
    </w:p>
    <w:p w:rsidR="00B47E30" w:rsidRPr="003E2288" w:rsidRDefault="00B47E30" w:rsidP="00786F85">
      <w:pPr>
        <w:pStyle w:val="12FigureFormatSelectafigureandclickonthisstyle"/>
      </w:pPr>
    </w:p>
    <w:p w:rsidR="00B47E30" w:rsidRPr="000972FF" w:rsidRDefault="00A84D10" w:rsidP="00786F85">
      <w:pPr>
        <w:pStyle w:val="12FigureFormatSelectafigureandclickonthisstyle"/>
      </w:pPr>
      <w:r w:rsidRPr="000972FF">
        <w:t>Figure 1</w:t>
      </w:r>
      <w:r w:rsidR="001C5110" w:rsidRPr="000972FF">
        <w:t xml:space="preserve"> shows the area to be supplied with heat by t</w:t>
      </w:r>
      <w:r w:rsidR="00B47E30" w:rsidRPr="000972FF">
        <w:t>he proposed DHN</w:t>
      </w:r>
      <w:r w:rsidR="001C5110" w:rsidRPr="000972FF">
        <w:t>, which</w:t>
      </w:r>
      <w:r w:rsidR="00B47E30" w:rsidRPr="000972FF">
        <w:t xml:space="preserve"> </w:t>
      </w:r>
      <w:r w:rsidR="001002EF" w:rsidRPr="000972FF">
        <w:t xml:space="preserve">will </w:t>
      </w:r>
      <w:r w:rsidR="001C5110" w:rsidRPr="000972FF">
        <w:t xml:space="preserve">chiefly </w:t>
      </w:r>
      <w:r w:rsidR="001002EF" w:rsidRPr="000972FF">
        <w:t>consist of</w:t>
      </w:r>
      <w:r w:rsidR="00B47E30" w:rsidRPr="000972FF">
        <w:t xml:space="preserve"> </w:t>
      </w:r>
      <w:r w:rsidR="000277E6">
        <w:t>a</w:t>
      </w:r>
      <w:r w:rsidR="00B47E30" w:rsidRPr="000972FF">
        <w:t xml:space="preserve"> swimming pool and two nearby social housing estates, all owned and operated by Islington Borough Council (IBC).  The gas fi</w:t>
      </w:r>
      <w:r w:rsidR="00365193" w:rsidRPr="000972FF">
        <w:t xml:space="preserve">red CHP </w:t>
      </w:r>
      <w:r w:rsidR="001C5110" w:rsidRPr="000972FF">
        <w:t xml:space="preserve">will be located </w:t>
      </w:r>
      <w:r w:rsidR="00365193" w:rsidRPr="000972FF">
        <w:t>at the DHN energy centre</w:t>
      </w:r>
      <w:r w:rsidR="00B47E30" w:rsidRPr="000972FF">
        <w:t xml:space="preserve"> (i.e. swimming pool) site </w:t>
      </w:r>
      <w:r w:rsidR="001C5110" w:rsidRPr="000972FF">
        <w:t>and</w:t>
      </w:r>
      <w:r w:rsidR="00B47E30" w:rsidRPr="000972FF">
        <w:t xml:space="preserve"> provide both electricity and heat. Some of the electricity generated will be used to </w:t>
      </w:r>
      <w:r w:rsidR="001C5110" w:rsidRPr="000972FF">
        <w:t>power</w:t>
      </w:r>
      <w:r w:rsidR="00B47E30" w:rsidRPr="000972FF">
        <w:t xml:space="preserve"> the heat pump</w:t>
      </w:r>
      <w:r w:rsidR="001C5110" w:rsidRPr="000972FF">
        <w:t xml:space="preserve">, while </w:t>
      </w:r>
      <w:r w:rsidR="00B47E30" w:rsidRPr="000972FF">
        <w:t xml:space="preserve">the heat will be used to </w:t>
      </w:r>
      <w:r w:rsidR="001C5110" w:rsidRPr="000972FF">
        <w:t xml:space="preserve">balance the total quantity of </w:t>
      </w:r>
      <w:r w:rsidR="00B47E30" w:rsidRPr="000972FF">
        <w:t>heat s</w:t>
      </w:r>
      <w:r w:rsidR="001C5110" w:rsidRPr="000972FF">
        <w:t>upplied to</w:t>
      </w:r>
      <w:r w:rsidR="00B47E30" w:rsidRPr="000972FF">
        <w:t xml:space="preserve"> the DHN. A schematic </w:t>
      </w:r>
      <w:r w:rsidR="001C5110" w:rsidRPr="000972FF">
        <w:t xml:space="preserve">showing the overall MICAH system </w:t>
      </w:r>
      <w:r w:rsidRPr="000972FF">
        <w:t>is shown in Figure 2</w:t>
      </w:r>
      <w:r w:rsidR="00B47E30" w:rsidRPr="000972FF">
        <w:t>.</w:t>
      </w:r>
    </w:p>
    <w:p w:rsidR="00365193" w:rsidRDefault="00365193" w:rsidP="00786F85">
      <w:pPr>
        <w:pStyle w:val="12FigureFormatSelectafigureandclickonthisstyle"/>
      </w:pPr>
    </w:p>
    <w:p w:rsidR="00B47E30" w:rsidRDefault="00B47E30" w:rsidP="00786F85">
      <w:pPr>
        <w:pStyle w:val="12FigureFormatSelectafigureandclickonthisstyle"/>
      </w:pPr>
    </w:p>
    <w:p w:rsidR="00776360" w:rsidRDefault="00776360" w:rsidP="00786F85">
      <w:pPr>
        <w:pStyle w:val="12FigureFormatSelectafigureandclickonthisstyle"/>
      </w:pPr>
    </w:p>
    <w:p w:rsidR="001C429E" w:rsidRPr="00973408" w:rsidRDefault="00CB44DA" w:rsidP="00786F85">
      <w:pPr>
        <w:pStyle w:val="12FigureFormatSelectafigureandclickonthisstyle"/>
        <w:jc w:val="center"/>
      </w:pPr>
      <w:r>
        <w:rPr>
          <w:noProof/>
          <w:lang w:val="en-GB" w:eastAsia="en-GB"/>
        </w:rPr>
        <w:lastRenderedPageBreak/>
        <w:drawing>
          <wp:inline distT="0" distB="0" distL="0" distR="0">
            <wp:extent cx="3931200" cy="26136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1200" cy="2613600"/>
                    </a:xfrm>
                    <a:prstGeom prst="rect">
                      <a:avLst/>
                    </a:prstGeom>
                    <a:ln>
                      <a:solidFill>
                        <a:schemeClr val="tx1"/>
                      </a:solidFill>
                    </a:ln>
                  </pic:spPr>
                </pic:pic>
              </a:graphicData>
            </a:graphic>
          </wp:inline>
        </w:drawing>
      </w:r>
    </w:p>
    <w:p w:rsidR="00B47E30" w:rsidRPr="00786F85" w:rsidRDefault="00B47E30" w:rsidP="00786F85">
      <w:pPr>
        <w:pStyle w:val="12FigureFormatSelectafigureandclickonthisstyle"/>
        <w:jc w:val="center"/>
        <w:rPr>
          <w:b/>
        </w:rPr>
      </w:pPr>
      <w:r w:rsidRPr="00786F85">
        <w:rPr>
          <w:b/>
        </w:rPr>
        <w:t xml:space="preserve">Figure </w:t>
      </w:r>
      <w:r w:rsidR="00A84D10" w:rsidRPr="00786F85">
        <w:rPr>
          <w:b/>
        </w:rPr>
        <w:t>2</w:t>
      </w:r>
      <w:r w:rsidRPr="00786F85">
        <w:rPr>
          <w:b/>
        </w:rPr>
        <w:tab/>
        <w:t>Schematic of MICAH system</w:t>
      </w:r>
    </w:p>
    <w:p w:rsidR="00F57985" w:rsidRPr="00D2527D" w:rsidRDefault="00F57985" w:rsidP="00786F85">
      <w:pPr>
        <w:pStyle w:val="12FigureFormatSelectafigureandclickonthisstyle"/>
      </w:pPr>
    </w:p>
    <w:p w:rsidR="007D4BA2" w:rsidRDefault="001C5110" w:rsidP="00321D04">
      <w:pPr>
        <w:pStyle w:val="06BodyMaintext"/>
      </w:pPr>
      <w:r>
        <w:t>It can be seen in</w:t>
      </w:r>
      <w:r w:rsidR="00A84D10">
        <w:t xml:space="preserve"> Figure 2</w:t>
      </w:r>
      <w:r>
        <w:t>,</w:t>
      </w:r>
      <w:r w:rsidR="00B47E30">
        <w:t xml:space="preserve"> that the heat exchanger </w:t>
      </w:r>
      <w:r>
        <w:t xml:space="preserve">continually </w:t>
      </w:r>
      <w:r w:rsidR="00B47E30">
        <w:t xml:space="preserve">extracts heat from air (whether </w:t>
      </w:r>
      <w:r>
        <w:t>the ventilation shaft is operating in e</w:t>
      </w:r>
      <w:r w:rsidR="00D1123D">
        <w:t>x</w:t>
      </w:r>
      <w:r>
        <w:t>haust</w:t>
      </w:r>
      <w:r w:rsidR="00B47E30">
        <w:t xml:space="preserve"> or supply mode) and transfers the heat to water. The water </w:t>
      </w:r>
      <w:r>
        <w:t>is then recirculated</w:t>
      </w:r>
      <w:r w:rsidR="00B47E30">
        <w:t xml:space="preserve"> in a loop </w:t>
      </w:r>
      <w:r>
        <w:t>transporting</w:t>
      </w:r>
      <w:r w:rsidR="00B47E30">
        <w:t xml:space="preserve"> the heat </w:t>
      </w:r>
      <w:r>
        <w:t xml:space="preserve">from the fan coil, heat recovery heat exchanger </w:t>
      </w:r>
      <w:r w:rsidR="00B47E30">
        <w:t>to the heat pump</w:t>
      </w:r>
      <w:r>
        <w:t>’s</w:t>
      </w:r>
      <w:r w:rsidR="00B47E30">
        <w:t xml:space="preserve"> evaporator heat exchanger, where </w:t>
      </w:r>
      <w:r w:rsidR="00D1123D">
        <w:t xml:space="preserve">the heat is absorbed. The heat pump then upgrades the heat to the required temperature, before delivering it </w:t>
      </w:r>
      <w:r w:rsidR="00B47E30">
        <w:t>to the DHN.  T</w:t>
      </w:r>
      <w:r w:rsidR="00E438CC">
        <w:t>he efficiency of the heat pump i</w:t>
      </w:r>
      <w:r w:rsidR="00B47E30">
        <w:t xml:space="preserve">s </w:t>
      </w:r>
      <w:r w:rsidR="00E438CC">
        <w:t>represented by</w:t>
      </w:r>
      <w:r w:rsidR="00B47E30">
        <w:t xml:space="preserve"> its coefficient of performance (CoP)</w:t>
      </w:r>
      <w:r w:rsidR="00E438CC">
        <w:t>, which</w:t>
      </w:r>
      <w:r w:rsidR="00B47E30">
        <w:t xml:space="preserve"> varies with the temperature of the water transported to the heat pump evaporator heat exchanger, </w:t>
      </w:r>
      <w:r w:rsidR="00E438CC">
        <w:t>and this</w:t>
      </w:r>
      <w:r w:rsidR="00B47E30">
        <w:t xml:space="preserve"> in turn depends on the air on temperature for the (fan coil) hea</w:t>
      </w:r>
      <w:r w:rsidR="00D1123D">
        <w:t>t recovery heat exchanger</w:t>
      </w:r>
      <w:r w:rsidR="00E438CC">
        <w:t xml:space="preserve"> (HRHX)</w:t>
      </w:r>
      <w:r w:rsidR="00B47E30">
        <w:t>.</w:t>
      </w:r>
      <w:r w:rsidR="00D1123D">
        <w:t xml:space="preserve"> In general, the water transported to the heat pump evaporator is at a lower temperature when the sys</w:t>
      </w:r>
      <w:r w:rsidR="00B526B9">
        <w:t>tem is operating in supply mode i.e.</w:t>
      </w:r>
      <w:r w:rsidR="00D1123D">
        <w:t xml:space="preserve"> when heat is recovered from ambient air, than when the system is operated in exhaust mode, with heat recovered from the exhausted (i.e. heated) tunnel air. Consequently, heat pump CoPs are generally lower when operating the system in supply</w:t>
      </w:r>
      <w:r w:rsidR="007D4BA2">
        <w:t>.</w:t>
      </w:r>
    </w:p>
    <w:p w:rsidR="00F57985" w:rsidRDefault="007D4BA2" w:rsidP="00321D04">
      <w:pPr>
        <w:pStyle w:val="06BodyMaintext"/>
      </w:pPr>
      <w:r>
        <w:t>S</w:t>
      </w:r>
      <w:r w:rsidR="00D1123D">
        <w:t>ince the ventilation shaft fan is reversible, it can be operated in either supply or exhaust, in response to operationa</w:t>
      </w:r>
      <w:r w:rsidR="00FD50C7">
        <w:t>l</w:t>
      </w:r>
      <w:r w:rsidR="00D1123D">
        <w:t xml:space="preserve"> requirements.</w:t>
      </w:r>
      <w:r w:rsidR="00FD50C7">
        <w:t xml:space="preserve"> In exhaust mode, no cooling is provided, although heat is still recovered from the tunnel air. </w:t>
      </w:r>
    </w:p>
    <w:p w:rsidR="00F57985" w:rsidRDefault="00F57985" w:rsidP="00321D04">
      <w:pPr>
        <w:pStyle w:val="06BodyMaintext"/>
      </w:pPr>
      <w:r>
        <w:t>The heat pump used to upgrade the recovered heat may be located at either the energy centre i.e. at the swimming pool site (layout option 1), or at the LU heat recovery site (layout option 2).  The two design layout opti</w:t>
      </w:r>
      <w:r w:rsidR="00A84D10">
        <w:t>ons are shown in Figure 3</w:t>
      </w:r>
      <w:r>
        <w:t xml:space="preserve"> below.</w:t>
      </w:r>
    </w:p>
    <w:p w:rsidR="00F57985" w:rsidRDefault="00F57985" w:rsidP="00321D04">
      <w:pPr>
        <w:pStyle w:val="06BodyMaintext"/>
      </w:pPr>
    </w:p>
    <w:p w:rsidR="00F57985" w:rsidRDefault="00F57985" w:rsidP="00321D04">
      <w:pPr>
        <w:pStyle w:val="06BodyMaintext"/>
      </w:pPr>
    </w:p>
    <w:p w:rsidR="007403AA" w:rsidRDefault="002D1997" w:rsidP="007403AA">
      <w:pPr>
        <w:pStyle w:val="06BodyMaintext"/>
        <w:spacing w:after="0"/>
        <w:jc w:val="center"/>
        <w:rPr>
          <w:noProof/>
        </w:rPr>
      </w:pPr>
      <w:r>
        <w:rPr>
          <w:noProof/>
          <w:lang w:val="en-GB" w:eastAsia="en-GB"/>
        </w:rPr>
        <w:lastRenderedPageBreak/>
        <w:drawing>
          <wp:inline distT="0" distB="0" distL="0" distR="0">
            <wp:extent cx="3258000" cy="146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yout - option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8000" cy="1465200"/>
                    </a:xfrm>
                    <a:prstGeom prst="rect">
                      <a:avLst/>
                    </a:prstGeom>
                  </pic:spPr>
                </pic:pic>
              </a:graphicData>
            </a:graphic>
          </wp:inline>
        </w:drawing>
      </w:r>
    </w:p>
    <w:p w:rsidR="007403AA" w:rsidRDefault="007403AA" w:rsidP="007403AA">
      <w:pPr>
        <w:pStyle w:val="06BodyMaintext"/>
        <w:jc w:val="center"/>
        <w:rPr>
          <w:noProof/>
        </w:rPr>
      </w:pPr>
      <w:r>
        <w:t>(a) Layout option 1</w:t>
      </w:r>
    </w:p>
    <w:p w:rsidR="00FE7447" w:rsidRDefault="00143095" w:rsidP="007403AA">
      <w:pPr>
        <w:pStyle w:val="06BodyMaintext"/>
        <w:spacing w:after="0"/>
        <w:jc w:val="center"/>
      </w:pPr>
      <w:r>
        <w:rPr>
          <w:noProof/>
          <w:lang w:val="en-GB" w:eastAsia="en-GB"/>
        </w:rPr>
        <w:drawing>
          <wp:inline distT="0" distB="0" distL="0" distR="0">
            <wp:extent cx="3243600" cy="1303200"/>
            <wp:effectExtent l="0" t="0" r="0" b="0"/>
            <wp:docPr id="11" name="Picture 10" descr="Figure 3b - Layout - opti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 - Layout - option2.tif"/>
                    <pic:cNvPicPr/>
                  </pic:nvPicPr>
                  <pic:blipFill>
                    <a:blip r:embed="rId11" cstate="print"/>
                    <a:stretch>
                      <a:fillRect/>
                    </a:stretch>
                  </pic:blipFill>
                  <pic:spPr>
                    <a:xfrm>
                      <a:off x="0" y="0"/>
                      <a:ext cx="3243600" cy="1303200"/>
                    </a:xfrm>
                    <a:prstGeom prst="rect">
                      <a:avLst/>
                    </a:prstGeom>
                  </pic:spPr>
                </pic:pic>
              </a:graphicData>
            </a:graphic>
          </wp:inline>
        </w:drawing>
      </w:r>
    </w:p>
    <w:p w:rsidR="002D1997" w:rsidRDefault="002D1997" w:rsidP="007403AA">
      <w:pPr>
        <w:pStyle w:val="06BodyMaintext"/>
        <w:jc w:val="center"/>
      </w:pPr>
      <w:r>
        <w:t>(b) Layout option 2</w:t>
      </w:r>
    </w:p>
    <w:p w:rsidR="002D1997" w:rsidRPr="007403AA" w:rsidRDefault="00A84D10" w:rsidP="007403AA">
      <w:pPr>
        <w:pStyle w:val="06BodyMaintext"/>
        <w:jc w:val="center"/>
        <w:rPr>
          <w:b/>
        </w:rPr>
      </w:pPr>
      <w:r w:rsidRPr="007403AA">
        <w:rPr>
          <w:b/>
        </w:rPr>
        <w:t>Figure 3</w:t>
      </w:r>
      <w:r w:rsidR="00F57985" w:rsidRPr="007403AA">
        <w:rPr>
          <w:b/>
        </w:rPr>
        <w:t xml:space="preserve"> </w:t>
      </w:r>
      <w:r w:rsidR="00F57985" w:rsidRPr="007403AA">
        <w:rPr>
          <w:b/>
        </w:rPr>
        <w:tab/>
        <w:t>Design layout options for MICAH system</w:t>
      </w:r>
    </w:p>
    <w:p w:rsidR="00036301" w:rsidRDefault="00F57985" w:rsidP="00321D04">
      <w:pPr>
        <w:pStyle w:val="06BodyMaintext"/>
      </w:pPr>
      <w:r>
        <w:t>Both layout options have been evaluated using a model</w:t>
      </w:r>
      <w:r w:rsidR="00933A73">
        <w:t>, described below.</w:t>
      </w:r>
      <w:r>
        <w:t xml:space="preserve"> </w:t>
      </w:r>
    </w:p>
    <w:p w:rsidR="00830446" w:rsidRPr="00036301" w:rsidRDefault="00036301" w:rsidP="00D2527D">
      <w:pPr>
        <w:pStyle w:val="10Level1Heading"/>
        <w:jc w:val="both"/>
      </w:pPr>
      <w:r w:rsidRPr="00036301">
        <w:t>2.2</w:t>
      </w:r>
      <w:r w:rsidRPr="00036301">
        <w:tab/>
      </w:r>
      <w:r w:rsidR="001D4E02" w:rsidRPr="00036301">
        <w:t>Description of MICAH model</w:t>
      </w:r>
    </w:p>
    <w:p w:rsidR="001D4E02" w:rsidRDefault="00E438CC" w:rsidP="00D2527D">
      <w:pPr>
        <w:pStyle w:val="10Level1Heading"/>
        <w:jc w:val="both"/>
      </w:pPr>
      <w:r>
        <w:t>A Microsoft Excel spreadsheet model has been developed which simulates the heat transfer processes comprising the MICAH system, and links the key input parameters to the performance output parameters.  A schematic o</w:t>
      </w:r>
      <w:r w:rsidR="00A84D10">
        <w:t>f the model is shown in Figure 4</w:t>
      </w:r>
      <w:r>
        <w:t>.</w:t>
      </w:r>
    </w:p>
    <w:p w:rsidR="001D4E02" w:rsidRDefault="00CB44DA" w:rsidP="00D2527D">
      <w:pPr>
        <w:pStyle w:val="10Level1Heading"/>
      </w:pPr>
      <w:r>
        <w:rPr>
          <w:noProof/>
          <w:lang w:eastAsia="en-GB"/>
        </w:rPr>
        <w:drawing>
          <wp:inline distT="0" distB="0" distL="0" distR="0">
            <wp:extent cx="3859200" cy="175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9200" cy="1756800"/>
                    </a:xfrm>
                    <a:prstGeom prst="rect">
                      <a:avLst/>
                    </a:prstGeom>
                    <a:ln>
                      <a:noFill/>
                    </a:ln>
                  </pic:spPr>
                </pic:pic>
              </a:graphicData>
            </a:graphic>
          </wp:inline>
        </w:drawing>
      </w:r>
    </w:p>
    <w:p w:rsidR="00C93041" w:rsidRPr="007403AA" w:rsidRDefault="00A84D10" w:rsidP="007403AA">
      <w:pPr>
        <w:pStyle w:val="10Level1Heading"/>
        <w:rPr>
          <w:b/>
        </w:rPr>
      </w:pPr>
      <w:r w:rsidRPr="00D2527D">
        <w:rPr>
          <w:b/>
        </w:rPr>
        <w:t>Figure 4</w:t>
      </w:r>
      <w:r w:rsidR="00E438CC" w:rsidRPr="00D2527D">
        <w:rPr>
          <w:b/>
        </w:rPr>
        <w:t xml:space="preserve"> </w:t>
      </w:r>
      <w:r w:rsidR="00E438CC" w:rsidRPr="00D2527D">
        <w:rPr>
          <w:b/>
        </w:rPr>
        <w:tab/>
        <w:t>Schematic of MICAH model</w:t>
      </w:r>
    </w:p>
    <w:p w:rsidR="002C4CBD" w:rsidRPr="004B5956" w:rsidRDefault="00A84D10" w:rsidP="004B5956">
      <w:pPr>
        <w:pStyle w:val="10Level1Heading"/>
        <w:jc w:val="both"/>
      </w:pPr>
      <w:r>
        <w:t>It is seen in Figure 4</w:t>
      </w:r>
      <w:r w:rsidR="00E438CC">
        <w:t xml:space="preserve"> that the key processes simulated by the model are: (1) the recovery of heat from the air passing over the fan coil </w:t>
      </w:r>
      <w:r w:rsidR="007F7C64">
        <w:t>HRHX; (2) a primary water loop which pumps the heated water exiting the HRHX and transports it to the heat pump evaporator; (3) upgrading the temperature of the recovered heat using a heat pump; (4) a secondary water loop for transferring the upgraded heat to the DHN.  The process is effectively the same f</w:t>
      </w:r>
      <w:r w:rsidR="00933A73">
        <w:t xml:space="preserve">or both design layouts 1 and 2. </w:t>
      </w:r>
      <w:r w:rsidR="0016598A">
        <w:t xml:space="preserve">Key design parameters for the MICAH model, for </w:t>
      </w:r>
      <w:r w:rsidR="000972FF">
        <w:t xml:space="preserve">each of the four processes comprising the model </w:t>
      </w:r>
      <w:r w:rsidR="0016598A">
        <w:t>are shown in Table 3</w:t>
      </w:r>
      <w:r w:rsidR="00036301">
        <w:t>.</w:t>
      </w:r>
      <w:r w:rsidR="002C4CBD">
        <w:rPr>
          <w:b/>
        </w:rPr>
        <w:br w:type="page"/>
      </w:r>
    </w:p>
    <w:p w:rsidR="0016598A" w:rsidRDefault="0016598A" w:rsidP="002C4CBD">
      <w:pPr>
        <w:pStyle w:val="10Level1Heading"/>
        <w:spacing w:after="0" w:line="240" w:lineRule="auto"/>
        <w:rPr>
          <w:b/>
        </w:rPr>
      </w:pPr>
      <w:r w:rsidRPr="00D2527D">
        <w:rPr>
          <w:b/>
        </w:rPr>
        <w:lastRenderedPageBreak/>
        <w:t>Table 3</w:t>
      </w:r>
      <w:r w:rsidRPr="00D2527D">
        <w:rPr>
          <w:b/>
        </w:rPr>
        <w:tab/>
        <w:t>Key design parameters</w:t>
      </w:r>
    </w:p>
    <w:tbl>
      <w:tblPr>
        <w:tblStyle w:val="TableGrid"/>
        <w:tblW w:w="10008" w:type="dxa"/>
        <w:jc w:val="center"/>
        <w:tblLayout w:type="fixed"/>
        <w:tblCellMar>
          <w:left w:w="28" w:type="dxa"/>
          <w:right w:w="28" w:type="dxa"/>
        </w:tblCellMar>
        <w:tblLook w:val="04A0" w:firstRow="1" w:lastRow="0" w:firstColumn="1" w:lastColumn="0" w:noHBand="0" w:noVBand="1"/>
      </w:tblPr>
      <w:tblGrid>
        <w:gridCol w:w="917"/>
        <w:gridCol w:w="2551"/>
        <w:gridCol w:w="1134"/>
        <w:gridCol w:w="1276"/>
        <w:gridCol w:w="1134"/>
        <w:gridCol w:w="2996"/>
      </w:tblGrid>
      <w:tr w:rsidR="00184620" w:rsidRPr="00402848" w:rsidTr="002C4CBD">
        <w:trPr>
          <w:jc w:val="center"/>
        </w:trPr>
        <w:tc>
          <w:tcPr>
            <w:tcW w:w="917" w:type="dxa"/>
            <w:vAlign w:val="center"/>
          </w:tcPr>
          <w:p w:rsidR="00184620" w:rsidRPr="00D80FB5" w:rsidRDefault="00184620" w:rsidP="002C4CBD">
            <w:pPr>
              <w:jc w:val="center"/>
              <w:rPr>
                <w:b/>
                <w:sz w:val="19"/>
                <w:szCs w:val="19"/>
              </w:rPr>
            </w:pPr>
            <w:r w:rsidRPr="00D80FB5">
              <w:rPr>
                <w:b/>
                <w:sz w:val="19"/>
                <w:szCs w:val="19"/>
              </w:rPr>
              <w:t>System part</w:t>
            </w:r>
          </w:p>
        </w:tc>
        <w:tc>
          <w:tcPr>
            <w:tcW w:w="2551" w:type="dxa"/>
            <w:vAlign w:val="center"/>
          </w:tcPr>
          <w:p w:rsidR="00184620" w:rsidRPr="00D80FB5" w:rsidRDefault="00184620" w:rsidP="002C4CBD">
            <w:pPr>
              <w:jc w:val="center"/>
              <w:rPr>
                <w:b/>
                <w:sz w:val="19"/>
                <w:szCs w:val="19"/>
              </w:rPr>
            </w:pPr>
            <w:r w:rsidRPr="00D80FB5">
              <w:rPr>
                <w:b/>
                <w:sz w:val="19"/>
                <w:szCs w:val="19"/>
              </w:rPr>
              <w:t>Parameter</w:t>
            </w:r>
          </w:p>
        </w:tc>
        <w:tc>
          <w:tcPr>
            <w:tcW w:w="1134" w:type="dxa"/>
            <w:vAlign w:val="center"/>
          </w:tcPr>
          <w:p w:rsidR="00184620" w:rsidRPr="00D80FB5" w:rsidRDefault="00184620" w:rsidP="002C4CBD">
            <w:pPr>
              <w:jc w:val="center"/>
              <w:rPr>
                <w:b/>
                <w:sz w:val="19"/>
                <w:szCs w:val="19"/>
              </w:rPr>
            </w:pPr>
            <w:r w:rsidRPr="00D80FB5">
              <w:rPr>
                <w:b/>
                <w:sz w:val="19"/>
                <w:szCs w:val="19"/>
              </w:rPr>
              <w:t>Total heat demand (MWh)</w:t>
            </w:r>
          </w:p>
        </w:tc>
        <w:tc>
          <w:tcPr>
            <w:tcW w:w="1276" w:type="dxa"/>
            <w:vAlign w:val="center"/>
          </w:tcPr>
          <w:p w:rsidR="00184620" w:rsidRPr="00D80FB5" w:rsidRDefault="00184620" w:rsidP="002C4CBD">
            <w:pPr>
              <w:jc w:val="center"/>
              <w:rPr>
                <w:b/>
                <w:sz w:val="19"/>
                <w:szCs w:val="19"/>
              </w:rPr>
            </w:pPr>
            <w:r>
              <w:rPr>
                <w:b/>
                <w:sz w:val="19"/>
                <w:szCs w:val="19"/>
              </w:rPr>
              <w:t>H</w:t>
            </w:r>
            <w:r w:rsidRPr="00D80FB5">
              <w:rPr>
                <w:b/>
                <w:sz w:val="19"/>
                <w:szCs w:val="19"/>
              </w:rPr>
              <w:t>ot water Base demand (MWh)</w:t>
            </w:r>
          </w:p>
        </w:tc>
        <w:tc>
          <w:tcPr>
            <w:tcW w:w="1134" w:type="dxa"/>
            <w:vAlign w:val="center"/>
          </w:tcPr>
          <w:p w:rsidR="00184620" w:rsidRPr="00D80FB5" w:rsidRDefault="00184620" w:rsidP="002C4CBD">
            <w:pPr>
              <w:jc w:val="center"/>
              <w:rPr>
                <w:b/>
                <w:sz w:val="19"/>
                <w:szCs w:val="19"/>
              </w:rPr>
            </w:pPr>
            <w:r w:rsidRPr="00D80FB5">
              <w:rPr>
                <w:b/>
                <w:sz w:val="19"/>
                <w:szCs w:val="19"/>
              </w:rPr>
              <w:t>Base heating rate (MW</w:t>
            </w:r>
            <w:r>
              <w:rPr>
                <w:b/>
                <w:sz w:val="19"/>
                <w:szCs w:val="19"/>
              </w:rPr>
              <w:t>h</w:t>
            </w:r>
            <w:r w:rsidRPr="00D80FB5">
              <w:rPr>
                <w:b/>
                <w:sz w:val="19"/>
                <w:szCs w:val="19"/>
              </w:rPr>
              <w:t>)</w:t>
            </w:r>
          </w:p>
        </w:tc>
        <w:tc>
          <w:tcPr>
            <w:tcW w:w="2996" w:type="dxa"/>
            <w:vAlign w:val="center"/>
          </w:tcPr>
          <w:p w:rsidR="00184620" w:rsidRPr="00D80FB5" w:rsidRDefault="00184620" w:rsidP="002C4CBD">
            <w:pPr>
              <w:jc w:val="center"/>
              <w:rPr>
                <w:b/>
                <w:sz w:val="19"/>
                <w:szCs w:val="19"/>
              </w:rPr>
            </w:pPr>
            <w:r w:rsidRPr="00D80FB5">
              <w:rPr>
                <w:b/>
                <w:sz w:val="19"/>
                <w:szCs w:val="19"/>
              </w:rPr>
              <w:t>Source of data</w:t>
            </w:r>
          </w:p>
        </w:tc>
      </w:tr>
      <w:tr w:rsidR="00184620" w:rsidRPr="00402848" w:rsidTr="002C4CBD">
        <w:trPr>
          <w:jc w:val="center"/>
        </w:trPr>
        <w:tc>
          <w:tcPr>
            <w:tcW w:w="917" w:type="dxa"/>
            <w:vMerge w:val="restart"/>
            <w:vAlign w:val="center"/>
          </w:tcPr>
          <w:p w:rsidR="00184620" w:rsidRPr="00D80FB5" w:rsidRDefault="00184620" w:rsidP="002C4CBD">
            <w:pPr>
              <w:jc w:val="center"/>
              <w:rPr>
                <w:sz w:val="19"/>
                <w:szCs w:val="19"/>
              </w:rPr>
            </w:pPr>
            <w:r w:rsidRPr="00D80FB5">
              <w:rPr>
                <w:sz w:val="19"/>
                <w:szCs w:val="19"/>
              </w:rPr>
              <w:t>Heat loads</w:t>
            </w:r>
          </w:p>
        </w:tc>
        <w:tc>
          <w:tcPr>
            <w:tcW w:w="2551" w:type="dxa"/>
            <w:vAlign w:val="center"/>
          </w:tcPr>
          <w:p w:rsidR="00184620" w:rsidRPr="00D80FB5" w:rsidRDefault="00184620" w:rsidP="002C4CBD">
            <w:pPr>
              <w:rPr>
                <w:sz w:val="19"/>
                <w:szCs w:val="19"/>
              </w:rPr>
            </w:pPr>
            <w:r w:rsidRPr="00D80FB5">
              <w:rPr>
                <w:sz w:val="19"/>
                <w:szCs w:val="19"/>
              </w:rPr>
              <w:t>Social h</w:t>
            </w:r>
            <w:r>
              <w:rPr>
                <w:sz w:val="19"/>
                <w:szCs w:val="19"/>
              </w:rPr>
              <w:t>ousing e</w:t>
            </w:r>
            <w:r w:rsidRPr="00D80FB5">
              <w:rPr>
                <w:sz w:val="19"/>
                <w:szCs w:val="19"/>
              </w:rPr>
              <w:t>state 1</w:t>
            </w:r>
          </w:p>
        </w:tc>
        <w:tc>
          <w:tcPr>
            <w:tcW w:w="1134" w:type="dxa"/>
            <w:vAlign w:val="center"/>
          </w:tcPr>
          <w:p w:rsidR="00184620" w:rsidRPr="00D80FB5" w:rsidRDefault="00184620" w:rsidP="002C4CBD">
            <w:pPr>
              <w:jc w:val="center"/>
              <w:rPr>
                <w:sz w:val="19"/>
                <w:szCs w:val="19"/>
              </w:rPr>
            </w:pPr>
            <w:r w:rsidRPr="00D80FB5">
              <w:rPr>
                <w:sz w:val="19"/>
                <w:szCs w:val="19"/>
              </w:rPr>
              <w:t>4653</w:t>
            </w:r>
          </w:p>
        </w:tc>
        <w:tc>
          <w:tcPr>
            <w:tcW w:w="1276" w:type="dxa"/>
            <w:vAlign w:val="center"/>
          </w:tcPr>
          <w:p w:rsidR="00184620" w:rsidRPr="00D80FB5" w:rsidRDefault="00184620" w:rsidP="002C4CBD">
            <w:pPr>
              <w:jc w:val="center"/>
              <w:rPr>
                <w:sz w:val="19"/>
                <w:szCs w:val="19"/>
              </w:rPr>
            </w:pPr>
            <w:r w:rsidRPr="00D80FB5">
              <w:rPr>
                <w:sz w:val="19"/>
                <w:szCs w:val="19"/>
              </w:rPr>
              <w:t>2860</w:t>
            </w:r>
          </w:p>
        </w:tc>
        <w:tc>
          <w:tcPr>
            <w:tcW w:w="1134" w:type="dxa"/>
            <w:vAlign w:val="center"/>
          </w:tcPr>
          <w:p w:rsidR="00184620" w:rsidRPr="00D80FB5" w:rsidRDefault="00184620" w:rsidP="002C4CBD">
            <w:pPr>
              <w:jc w:val="center"/>
              <w:rPr>
                <w:sz w:val="19"/>
                <w:szCs w:val="19"/>
              </w:rPr>
            </w:pPr>
            <w:r w:rsidRPr="00D80FB5">
              <w:rPr>
                <w:sz w:val="19"/>
                <w:szCs w:val="19"/>
              </w:rPr>
              <w:t>0.326</w:t>
            </w:r>
          </w:p>
        </w:tc>
        <w:tc>
          <w:tcPr>
            <w:tcW w:w="2996" w:type="dxa"/>
            <w:vAlign w:val="center"/>
          </w:tcPr>
          <w:p w:rsidR="00184620" w:rsidRPr="00D80FB5" w:rsidRDefault="008733C2" w:rsidP="002C4CBD">
            <w:pPr>
              <w:jc w:val="center"/>
              <w:rPr>
                <w:sz w:val="19"/>
                <w:szCs w:val="19"/>
              </w:rPr>
            </w:pPr>
            <w:r>
              <w:rPr>
                <w:sz w:val="19"/>
                <w:szCs w:val="19"/>
              </w:rPr>
              <w:t>Unpublished l</w:t>
            </w:r>
            <w:r w:rsidR="00184620" w:rsidRPr="00D80FB5">
              <w:rPr>
                <w:sz w:val="19"/>
                <w:szCs w:val="19"/>
              </w:rPr>
              <w:t>ocal government report</w:t>
            </w:r>
          </w:p>
        </w:tc>
      </w:tr>
      <w:tr w:rsidR="00184620" w:rsidRPr="00402848" w:rsidTr="002C4CBD">
        <w:trPr>
          <w:jc w:val="center"/>
        </w:trPr>
        <w:tc>
          <w:tcPr>
            <w:tcW w:w="917" w:type="dxa"/>
            <w:vMerge/>
            <w:vAlign w:val="center"/>
          </w:tcPr>
          <w:p w:rsidR="00184620" w:rsidRPr="00D80FB5" w:rsidRDefault="00184620" w:rsidP="002C4CBD">
            <w:pPr>
              <w:jc w:val="center"/>
              <w:rPr>
                <w:sz w:val="19"/>
                <w:szCs w:val="19"/>
              </w:rPr>
            </w:pPr>
          </w:p>
        </w:tc>
        <w:tc>
          <w:tcPr>
            <w:tcW w:w="2551" w:type="dxa"/>
            <w:vAlign w:val="center"/>
          </w:tcPr>
          <w:p w:rsidR="00184620" w:rsidRPr="00D80FB5" w:rsidRDefault="00184620" w:rsidP="002C4CBD">
            <w:pPr>
              <w:rPr>
                <w:sz w:val="19"/>
                <w:szCs w:val="19"/>
              </w:rPr>
            </w:pPr>
            <w:r>
              <w:rPr>
                <w:sz w:val="19"/>
                <w:szCs w:val="19"/>
              </w:rPr>
              <w:t>Social housing e</w:t>
            </w:r>
            <w:r w:rsidRPr="00D80FB5">
              <w:rPr>
                <w:sz w:val="19"/>
                <w:szCs w:val="19"/>
              </w:rPr>
              <w:t>state 2</w:t>
            </w:r>
          </w:p>
        </w:tc>
        <w:tc>
          <w:tcPr>
            <w:tcW w:w="1134" w:type="dxa"/>
            <w:vAlign w:val="center"/>
          </w:tcPr>
          <w:p w:rsidR="00184620" w:rsidRPr="00D80FB5" w:rsidRDefault="00184620" w:rsidP="002C4CBD">
            <w:pPr>
              <w:jc w:val="center"/>
              <w:rPr>
                <w:sz w:val="19"/>
                <w:szCs w:val="19"/>
              </w:rPr>
            </w:pPr>
            <w:r w:rsidRPr="00D80FB5">
              <w:rPr>
                <w:sz w:val="19"/>
                <w:szCs w:val="19"/>
              </w:rPr>
              <w:t>2403</w:t>
            </w:r>
          </w:p>
        </w:tc>
        <w:tc>
          <w:tcPr>
            <w:tcW w:w="1276" w:type="dxa"/>
            <w:vAlign w:val="center"/>
          </w:tcPr>
          <w:p w:rsidR="00184620" w:rsidRPr="00D80FB5" w:rsidRDefault="00184620" w:rsidP="002C4CBD">
            <w:pPr>
              <w:jc w:val="center"/>
              <w:rPr>
                <w:sz w:val="19"/>
                <w:szCs w:val="19"/>
              </w:rPr>
            </w:pPr>
            <w:r w:rsidRPr="00D80FB5">
              <w:rPr>
                <w:sz w:val="19"/>
                <w:szCs w:val="19"/>
              </w:rPr>
              <w:t>1548</w:t>
            </w:r>
          </w:p>
        </w:tc>
        <w:tc>
          <w:tcPr>
            <w:tcW w:w="1134" w:type="dxa"/>
            <w:vAlign w:val="center"/>
          </w:tcPr>
          <w:p w:rsidR="00184620" w:rsidRPr="00D80FB5" w:rsidRDefault="00184620" w:rsidP="002C4CBD">
            <w:pPr>
              <w:jc w:val="center"/>
              <w:rPr>
                <w:sz w:val="19"/>
                <w:szCs w:val="19"/>
              </w:rPr>
            </w:pPr>
            <w:r w:rsidRPr="00D80FB5">
              <w:rPr>
                <w:sz w:val="19"/>
                <w:szCs w:val="19"/>
              </w:rPr>
              <w:t>0.176</w:t>
            </w:r>
          </w:p>
        </w:tc>
        <w:tc>
          <w:tcPr>
            <w:tcW w:w="2996" w:type="dxa"/>
            <w:vAlign w:val="center"/>
          </w:tcPr>
          <w:p w:rsidR="00184620" w:rsidRPr="00D80FB5" w:rsidRDefault="008733C2" w:rsidP="002C4CBD">
            <w:pPr>
              <w:jc w:val="center"/>
              <w:rPr>
                <w:sz w:val="19"/>
                <w:szCs w:val="19"/>
              </w:rPr>
            </w:pPr>
            <w:r>
              <w:rPr>
                <w:sz w:val="19"/>
                <w:szCs w:val="19"/>
              </w:rPr>
              <w:t>Unpublished l</w:t>
            </w:r>
            <w:r w:rsidR="00184620" w:rsidRPr="00D80FB5">
              <w:rPr>
                <w:sz w:val="19"/>
                <w:szCs w:val="19"/>
              </w:rPr>
              <w:t>ocal government report</w:t>
            </w:r>
          </w:p>
        </w:tc>
      </w:tr>
      <w:tr w:rsidR="00184620" w:rsidRPr="00402848" w:rsidTr="002C4CBD">
        <w:trPr>
          <w:jc w:val="center"/>
        </w:trPr>
        <w:tc>
          <w:tcPr>
            <w:tcW w:w="917" w:type="dxa"/>
            <w:vMerge/>
            <w:vAlign w:val="center"/>
          </w:tcPr>
          <w:p w:rsidR="00184620" w:rsidRPr="00D80FB5" w:rsidRDefault="00184620" w:rsidP="002C4CBD">
            <w:pPr>
              <w:jc w:val="center"/>
              <w:rPr>
                <w:sz w:val="19"/>
                <w:szCs w:val="19"/>
              </w:rPr>
            </w:pPr>
          </w:p>
        </w:tc>
        <w:tc>
          <w:tcPr>
            <w:tcW w:w="2551" w:type="dxa"/>
            <w:vAlign w:val="center"/>
          </w:tcPr>
          <w:p w:rsidR="00184620" w:rsidRPr="00D80FB5" w:rsidRDefault="00184620" w:rsidP="002C4CBD">
            <w:pPr>
              <w:rPr>
                <w:sz w:val="19"/>
                <w:szCs w:val="19"/>
              </w:rPr>
            </w:pPr>
            <w:r>
              <w:rPr>
                <w:sz w:val="19"/>
                <w:szCs w:val="19"/>
              </w:rPr>
              <w:t>Swimming p</w:t>
            </w:r>
            <w:r w:rsidRPr="00D80FB5">
              <w:rPr>
                <w:sz w:val="19"/>
                <w:szCs w:val="19"/>
              </w:rPr>
              <w:t>ool</w:t>
            </w:r>
          </w:p>
        </w:tc>
        <w:tc>
          <w:tcPr>
            <w:tcW w:w="1134" w:type="dxa"/>
            <w:vAlign w:val="center"/>
          </w:tcPr>
          <w:p w:rsidR="00184620" w:rsidRPr="00D80FB5" w:rsidRDefault="00184620" w:rsidP="002C4CBD">
            <w:pPr>
              <w:jc w:val="center"/>
              <w:rPr>
                <w:sz w:val="19"/>
                <w:szCs w:val="19"/>
              </w:rPr>
            </w:pPr>
            <w:r>
              <w:rPr>
                <w:sz w:val="19"/>
                <w:szCs w:val="19"/>
              </w:rPr>
              <w:t>1405</w:t>
            </w:r>
          </w:p>
        </w:tc>
        <w:tc>
          <w:tcPr>
            <w:tcW w:w="1276" w:type="dxa"/>
            <w:vAlign w:val="center"/>
          </w:tcPr>
          <w:p w:rsidR="00184620" w:rsidRPr="00D80FB5" w:rsidRDefault="00184620" w:rsidP="002C4CBD">
            <w:pPr>
              <w:jc w:val="center"/>
              <w:rPr>
                <w:sz w:val="19"/>
                <w:szCs w:val="19"/>
              </w:rPr>
            </w:pPr>
            <w:r>
              <w:rPr>
                <w:sz w:val="19"/>
                <w:szCs w:val="19"/>
              </w:rPr>
              <w:t>987</w:t>
            </w:r>
          </w:p>
        </w:tc>
        <w:tc>
          <w:tcPr>
            <w:tcW w:w="1134" w:type="dxa"/>
            <w:vAlign w:val="center"/>
          </w:tcPr>
          <w:p w:rsidR="00184620" w:rsidRPr="00D80FB5" w:rsidRDefault="00184620" w:rsidP="002C4CBD">
            <w:pPr>
              <w:jc w:val="center"/>
              <w:rPr>
                <w:sz w:val="19"/>
                <w:szCs w:val="19"/>
              </w:rPr>
            </w:pPr>
            <w:r>
              <w:rPr>
                <w:sz w:val="19"/>
                <w:szCs w:val="19"/>
              </w:rPr>
              <w:t>0.113</w:t>
            </w:r>
          </w:p>
        </w:tc>
        <w:tc>
          <w:tcPr>
            <w:tcW w:w="2996" w:type="dxa"/>
            <w:vAlign w:val="center"/>
          </w:tcPr>
          <w:p w:rsidR="00184620" w:rsidRPr="00D80FB5" w:rsidRDefault="008733C2" w:rsidP="002C4CBD">
            <w:pPr>
              <w:jc w:val="center"/>
              <w:rPr>
                <w:sz w:val="19"/>
                <w:szCs w:val="19"/>
              </w:rPr>
            </w:pPr>
            <w:r>
              <w:rPr>
                <w:sz w:val="19"/>
                <w:szCs w:val="19"/>
              </w:rPr>
              <w:t>Unpublished l</w:t>
            </w:r>
            <w:r w:rsidR="00184620" w:rsidRPr="00D80FB5">
              <w:rPr>
                <w:sz w:val="19"/>
                <w:szCs w:val="19"/>
              </w:rPr>
              <w:t>ocal government report</w:t>
            </w:r>
          </w:p>
        </w:tc>
      </w:tr>
      <w:tr w:rsidR="00184620" w:rsidRPr="00402848" w:rsidTr="002C4CBD">
        <w:trPr>
          <w:jc w:val="center"/>
        </w:trPr>
        <w:tc>
          <w:tcPr>
            <w:tcW w:w="917" w:type="dxa"/>
            <w:vMerge/>
            <w:vAlign w:val="center"/>
          </w:tcPr>
          <w:p w:rsidR="00184620" w:rsidRPr="00D80FB5" w:rsidRDefault="00184620" w:rsidP="002C4CBD">
            <w:pPr>
              <w:jc w:val="center"/>
              <w:rPr>
                <w:sz w:val="19"/>
                <w:szCs w:val="19"/>
              </w:rPr>
            </w:pPr>
          </w:p>
        </w:tc>
        <w:tc>
          <w:tcPr>
            <w:tcW w:w="2551" w:type="dxa"/>
            <w:vAlign w:val="center"/>
          </w:tcPr>
          <w:p w:rsidR="00184620" w:rsidRPr="00D80FB5" w:rsidRDefault="00184620" w:rsidP="002C4CBD">
            <w:pPr>
              <w:rPr>
                <w:sz w:val="19"/>
                <w:szCs w:val="19"/>
              </w:rPr>
            </w:pPr>
            <w:r>
              <w:rPr>
                <w:sz w:val="19"/>
                <w:szCs w:val="19"/>
              </w:rPr>
              <w:t>Misc. - library, school, offices</w:t>
            </w:r>
          </w:p>
        </w:tc>
        <w:tc>
          <w:tcPr>
            <w:tcW w:w="1134" w:type="dxa"/>
            <w:vAlign w:val="center"/>
          </w:tcPr>
          <w:p w:rsidR="00184620" w:rsidRPr="00D80FB5" w:rsidRDefault="00184620" w:rsidP="002C4CBD">
            <w:pPr>
              <w:jc w:val="center"/>
              <w:rPr>
                <w:sz w:val="19"/>
                <w:szCs w:val="19"/>
              </w:rPr>
            </w:pPr>
            <w:r w:rsidRPr="00D80FB5">
              <w:rPr>
                <w:sz w:val="19"/>
                <w:szCs w:val="19"/>
              </w:rPr>
              <w:t>4453</w:t>
            </w:r>
          </w:p>
        </w:tc>
        <w:tc>
          <w:tcPr>
            <w:tcW w:w="1276" w:type="dxa"/>
            <w:vAlign w:val="center"/>
          </w:tcPr>
          <w:p w:rsidR="00184620" w:rsidRPr="00D80FB5" w:rsidRDefault="00184620" w:rsidP="002C4CBD">
            <w:pPr>
              <w:jc w:val="center"/>
              <w:rPr>
                <w:sz w:val="19"/>
                <w:szCs w:val="19"/>
              </w:rPr>
            </w:pPr>
            <w:r w:rsidRPr="00D80FB5">
              <w:rPr>
                <w:sz w:val="19"/>
                <w:szCs w:val="19"/>
              </w:rPr>
              <w:t>2438</w:t>
            </w:r>
          </w:p>
        </w:tc>
        <w:tc>
          <w:tcPr>
            <w:tcW w:w="1134" w:type="dxa"/>
            <w:vAlign w:val="center"/>
          </w:tcPr>
          <w:p w:rsidR="00184620" w:rsidRPr="00D80FB5" w:rsidRDefault="00184620" w:rsidP="002C4CBD">
            <w:pPr>
              <w:jc w:val="center"/>
              <w:rPr>
                <w:sz w:val="19"/>
                <w:szCs w:val="19"/>
              </w:rPr>
            </w:pPr>
            <w:r w:rsidRPr="00D80FB5">
              <w:rPr>
                <w:sz w:val="19"/>
                <w:szCs w:val="19"/>
              </w:rPr>
              <w:t>0.278</w:t>
            </w:r>
          </w:p>
        </w:tc>
        <w:tc>
          <w:tcPr>
            <w:tcW w:w="2996" w:type="dxa"/>
            <w:vAlign w:val="center"/>
          </w:tcPr>
          <w:p w:rsidR="00184620" w:rsidRPr="00D80FB5" w:rsidRDefault="008733C2" w:rsidP="002C4CBD">
            <w:pPr>
              <w:jc w:val="center"/>
              <w:rPr>
                <w:sz w:val="19"/>
                <w:szCs w:val="19"/>
              </w:rPr>
            </w:pPr>
            <w:r>
              <w:rPr>
                <w:sz w:val="19"/>
                <w:szCs w:val="19"/>
              </w:rPr>
              <w:t>Unpublished l</w:t>
            </w:r>
            <w:r w:rsidR="00184620" w:rsidRPr="00D80FB5">
              <w:rPr>
                <w:sz w:val="19"/>
                <w:szCs w:val="19"/>
              </w:rPr>
              <w:t>ocal government report</w:t>
            </w:r>
          </w:p>
        </w:tc>
      </w:tr>
      <w:tr w:rsidR="00184620" w:rsidRPr="00402848" w:rsidTr="002C4CBD">
        <w:trPr>
          <w:jc w:val="center"/>
        </w:trPr>
        <w:tc>
          <w:tcPr>
            <w:tcW w:w="917" w:type="dxa"/>
            <w:vMerge/>
            <w:vAlign w:val="center"/>
          </w:tcPr>
          <w:p w:rsidR="00184620" w:rsidRPr="00D80FB5" w:rsidRDefault="00184620" w:rsidP="002C4CBD">
            <w:pPr>
              <w:jc w:val="center"/>
              <w:rPr>
                <w:sz w:val="19"/>
                <w:szCs w:val="19"/>
              </w:rPr>
            </w:pPr>
          </w:p>
        </w:tc>
        <w:tc>
          <w:tcPr>
            <w:tcW w:w="2551" w:type="dxa"/>
            <w:vAlign w:val="center"/>
          </w:tcPr>
          <w:p w:rsidR="00184620" w:rsidRPr="00D80FB5" w:rsidRDefault="00184620" w:rsidP="002C4CBD">
            <w:pPr>
              <w:rPr>
                <w:sz w:val="19"/>
                <w:szCs w:val="19"/>
              </w:rPr>
            </w:pPr>
            <w:r w:rsidRPr="00D80FB5">
              <w:rPr>
                <w:sz w:val="19"/>
                <w:szCs w:val="19"/>
              </w:rPr>
              <w:t>Total</w:t>
            </w:r>
          </w:p>
        </w:tc>
        <w:tc>
          <w:tcPr>
            <w:tcW w:w="1134" w:type="dxa"/>
            <w:vAlign w:val="center"/>
          </w:tcPr>
          <w:p w:rsidR="00184620" w:rsidRPr="00D80FB5" w:rsidRDefault="00184620" w:rsidP="002C4CBD">
            <w:pPr>
              <w:jc w:val="center"/>
              <w:rPr>
                <w:sz w:val="19"/>
                <w:szCs w:val="19"/>
              </w:rPr>
            </w:pPr>
            <w:r w:rsidRPr="00D80FB5">
              <w:rPr>
                <w:sz w:val="19"/>
                <w:szCs w:val="19"/>
              </w:rPr>
              <w:t>12914</w:t>
            </w:r>
          </w:p>
        </w:tc>
        <w:tc>
          <w:tcPr>
            <w:tcW w:w="1276" w:type="dxa"/>
            <w:vAlign w:val="center"/>
          </w:tcPr>
          <w:p w:rsidR="00184620" w:rsidRPr="00D80FB5" w:rsidRDefault="00184620" w:rsidP="002C4CBD">
            <w:pPr>
              <w:jc w:val="center"/>
              <w:rPr>
                <w:sz w:val="19"/>
                <w:szCs w:val="19"/>
              </w:rPr>
            </w:pPr>
            <w:r w:rsidRPr="00D80FB5">
              <w:rPr>
                <w:sz w:val="19"/>
                <w:szCs w:val="19"/>
              </w:rPr>
              <w:t>7833</w:t>
            </w:r>
          </w:p>
        </w:tc>
        <w:tc>
          <w:tcPr>
            <w:tcW w:w="1134" w:type="dxa"/>
            <w:vAlign w:val="center"/>
          </w:tcPr>
          <w:p w:rsidR="00184620" w:rsidRPr="00D80FB5" w:rsidRDefault="00184620" w:rsidP="002C4CBD">
            <w:pPr>
              <w:jc w:val="center"/>
              <w:rPr>
                <w:sz w:val="19"/>
                <w:szCs w:val="19"/>
              </w:rPr>
            </w:pPr>
            <w:r w:rsidRPr="00D80FB5">
              <w:rPr>
                <w:sz w:val="19"/>
                <w:szCs w:val="19"/>
              </w:rPr>
              <w:t>0.893</w:t>
            </w:r>
          </w:p>
        </w:tc>
        <w:tc>
          <w:tcPr>
            <w:tcW w:w="2996" w:type="dxa"/>
            <w:vAlign w:val="center"/>
          </w:tcPr>
          <w:p w:rsidR="00184620" w:rsidRPr="00D80FB5" w:rsidRDefault="00184620" w:rsidP="002C4CBD">
            <w:pPr>
              <w:jc w:val="center"/>
              <w:rPr>
                <w:sz w:val="19"/>
                <w:szCs w:val="19"/>
              </w:rPr>
            </w:pPr>
          </w:p>
        </w:tc>
      </w:tr>
      <w:tr w:rsidR="00184620" w:rsidRPr="00402848" w:rsidTr="002C4CBD">
        <w:trPr>
          <w:jc w:val="center"/>
        </w:trPr>
        <w:tc>
          <w:tcPr>
            <w:tcW w:w="917" w:type="dxa"/>
            <w:vMerge w:val="restart"/>
            <w:vAlign w:val="center"/>
          </w:tcPr>
          <w:p w:rsidR="00184620" w:rsidRPr="00D80FB5" w:rsidRDefault="00184620" w:rsidP="002C4CBD">
            <w:pPr>
              <w:jc w:val="center"/>
              <w:rPr>
                <w:sz w:val="19"/>
                <w:szCs w:val="19"/>
              </w:rPr>
            </w:pPr>
            <w:r w:rsidRPr="00D80FB5">
              <w:rPr>
                <w:sz w:val="19"/>
                <w:szCs w:val="19"/>
              </w:rPr>
              <w:t>Vent-ilation shaft</w:t>
            </w:r>
          </w:p>
        </w:tc>
        <w:tc>
          <w:tcPr>
            <w:tcW w:w="2551" w:type="dxa"/>
            <w:vAlign w:val="bottom"/>
          </w:tcPr>
          <w:p w:rsidR="00184620" w:rsidRPr="00D80FB5" w:rsidRDefault="00184620" w:rsidP="002C4CBD">
            <w:pPr>
              <w:rPr>
                <w:sz w:val="19"/>
                <w:szCs w:val="19"/>
              </w:rPr>
            </w:pPr>
            <w:r w:rsidRPr="00D80FB5">
              <w:rPr>
                <w:sz w:val="19"/>
                <w:szCs w:val="19"/>
              </w:rPr>
              <w:t>Airflow rate</w:t>
            </w:r>
          </w:p>
        </w:tc>
        <w:tc>
          <w:tcPr>
            <w:tcW w:w="3544" w:type="dxa"/>
            <w:gridSpan w:val="3"/>
            <w:vAlign w:val="center"/>
          </w:tcPr>
          <w:p w:rsidR="00184620" w:rsidRPr="00D80FB5" w:rsidRDefault="00184620" w:rsidP="002C4CBD">
            <w:pPr>
              <w:jc w:val="center"/>
              <w:rPr>
                <w:sz w:val="19"/>
                <w:szCs w:val="19"/>
              </w:rPr>
            </w:pPr>
            <w:r w:rsidRPr="00D80FB5">
              <w:rPr>
                <w:sz w:val="19"/>
                <w:szCs w:val="19"/>
              </w:rPr>
              <w:t>75 m³ s</w:t>
            </w:r>
            <w:r w:rsidRPr="00D80FB5">
              <w:rPr>
                <w:sz w:val="19"/>
                <w:szCs w:val="19"/>
                <w:vertAlign w:val="superscript"/>
              </w:rPr>
              <w:t>-1</w:t>
            </w:r>
          </w:p>
        </w:tc>
        <w:tc>
          <w:tcPr>
            <w:tcW w:w="2996" w:type="dxa"/>
            <w:vAlign w:val="center"/>
          </w:tcPr>
          <w:p w:rsidR="00184620" w:rsidRPr="00D80FB5" w:rsidRDefault="00184620" w:rsidP="002C4CBD">
            <w:pPr>
              <w:jc w:val="center"/>
              <w:rPr>
                <w:sz w:val="19"/>
                <w:szCs w:val="19"/>
              </w:rPr>
            </w:pPr>
            <w:r w:rsidRPr="00D80FB5">
              <w:rPr>
                <w:sz w:val="19"/>
                <w:szCs w:val="19"/>
              </w:rPr>
              <w:t>Design specification (TfL)</w:t>
            </w:r>
          </w:p>
        </w:tc>
      </w:tr>
      <w:tr w:rsidR="00184620" w:rsidRPr="00402848" w:rsidTr="002C4CBD">
        <w:trPr>
          <w:jc w:val="center"/>
        </w:trPr>
        <w:tc>
          <w:tcPr>
            <w:tcW w:w="917" w:type="dxa"/>
            <w:vMerge/>
            <w:vAlign w:val="center"/>
          </w:tcPr>
          <w:p w:rsidR="00184620" w:rsidRPr="00D80FB5" w:rsidRDefault="00184620" w:rsidP="002C4CBD">
            <w:pPr>
              <w:jc w:val="center"/>
              <w:rPr>
                <w:sz w:val="19"/>
                <w:szCs w:val="19"/>
              </w:rPr>
            </w:pPr>
          </w:p>
        </w:tc>
        <w:tc>
          <w:tcPr>
            <w:tcW w:w="2551" w:type="dxa"/>
            <w:vAlign w:val="center"/>
          </w:tcPr>
          <w:p w:rsidR="00184620" w:rsidRPr="00D80FB5" w:rsidRDefault="00184620" w:rsidP="002C4CBD">
            <w:pPr>
              <w:rPr>
                <w:sz w:val="19"/>
                <w:szCs w:val="19"/>
              </w:rPr>
            </w:pPr>
            <w:r w:rsidRPr="00D80FB5">
              <w:rPr>
                <w:sz w:val="19"/>
                <w:szCs w:val="19"/>
              </w:rPr>
              <w:t>Fan power</w:t>
            </w:r>
          </w:p>
        </w:tc>
        <w:tc>
          <w:tcPr>
            <w:tcW w:w="3544" w:type="dxa"/>
            <w:gridSpan w:val="3"/>
            <w:vAlign w:val="center"/>
          </w:tcPr>
          <w:p w:rsidR="00184620" w:rsidRPr="00D80FB5" w:rsidRDefault="00184620" w:rsidP="002C4CBD">
            <w:pPr>
              <w:jc w:val="center"/>
              <w:rPr>
                <w:sz w:val="19"/>
                <w:szCs w:val="19"/>
              </w:rPr>
            </w:pPr>
            <w:r w:rsidRPr="00D80FB5">
              <w:rPr>
                <w:sz w:val="19"/>
                <w:szCs w:val="19"/>
              </w:rPr>
              <w:t>15.63 kW</w:t>
            </w:r>
          </w:p>
        </w:tc>
        <w:tc>
          <w:tcPr>
            <w:tcW w:w="2996" w:type="dxa"/>
            <w:vAlign w:val="center"/>
          </w:tcPr>
          <w:p w:rsidR="00184620" w:rsidRPr="00D80FB5" w:rsidRDefault="00184620" w:rsidP="002C4CBD">
            <w:pPr>
              <w:jc w:val="center"/>
              <w:rPr>
                <w:sz w:val="19"/>
                <w:szCs w:val="19"/>
              </w:rPr>
            </w:pPr>
            <w:r w:rsidRPr="00D80FB5">
              <w:rPr>
                <w:sz w:val="19"/>
                <w:szCs w:val="19"/>
              </w:rPr>
              <w:t xml:space="preserve">Design specification </w:t>
            </w:r>
          </w:p>
        </w:tc>
      </w:tr>
      <w:tr w:rsidR="00184620" w:rsidRPr="00402848" w:rsidTr="002C4CBD">
        <w:trPr>
          <w:jc w:val="center"/>
        </w:trPr>
        <w:tc>
          <w:tcPr>
            <w:tcW w:w="917" w:type="dxa"/>
            <w:vMerge/>
            <w:vAlign w:val="center"/>
          </w:tcPr>
          <w:p w:rsidR="00184620" w:rsidRPr="00D80FB5" w:rsidRDefault="00184620" w:rsidP="002C4CBD">
            <w:pPr>
              <w:jc w:val="center"/>
              <w:rPr>
                <w:sz w:val="19"/>
                <w:szCs w:val="19"/>
              </w:rPr>
            </w:pPr>
          </w:p>
        </w:tc>
        <w:tc>
          <w:tcPr>
            <w:tcW w:w="2551" w:type="dxa"/>
            <w:vAlign w:val="center"/>
          </w:tcPr>
          <w:p w:rsidR="00184620" w:rsidRPr="00D80FB5" w:rsidRDefault="00184620" w:rsidP="002C4CBD">
            <w:pPr>
              <w:rPr>
                <w:sz w:val="19"/>
                <w:szCs w:val="19"/>
              </w:rPr>
            </w:pPr>
            <w:r>
              <w:rPr>
                <w:sz w:val="19"/>
                <w:szCs w:val="19"/>
              </w:rPr>
              <w:t>Vent shaft temperature</w:t>
            </w:r>
          </w:p>
        </w:tc>
        <w:tc>
          <w:tcPr>
            <w:tcW w:w="3544" w:type="dxa"/>
            <w:gridSpan w:val="3"/>
            <w:vAlign w:val="center"/>
          </w:tcPr>
          <w:p w:rsidR="00184620" w:rsidRPr="00D80FB5" w:rsidRDefault="00184620" w:rsidP="002C4CBD">
            <w:pPr>
              <w:jc w:val="center"/>
              <w:rPr>
                <w:sz w:val="19"/>
                <w:szCs w:val="19"/>
              </w:rPr>
            </w:pPr>
            <w:r>
              <w:rPr>
                <w:sz w:val="19"/>
                <w:szCs w:val="19"/>
              </w:rPr>
              <w:t>R</w:t>
            </w:r>
            <w:r w:rsidRPr="00D80FB5">
              <w:rPr>
                <w:sz w:val="19"/>
                <w:szCs w:val="19"/>
              </w:rPr>
              <w:t>ange 16° C to 27° C</w:t>
            </w:r>
          </w:p>
        </w:tc>
        <w:tc>
          <w:tcPr>
            <w:tcW w:w="2996" w:type="dxa"/>
            <w:vAlign w:val="center"/>
          </w:tcPr>
          <w:p w:rsidR="00184620" w:rsidRPr="00D80FB5" w:rsidRDefault="00184620" w:rsidP="002C4CBD">
            <w:pPr>
              <w:jc w:val="center"/>
              <w:rPr>
                <w:sz w:val="19"/>
                <w:szCs w:val="19"/>
              </w:rPr>
            </w:pPr>
            <w:r>
              <w:rPr>
                <w:sz w:val="19"/>
                <w:szCs w:val="19"/>
              </w:rPr>
              <w:t>Experimental measurements</w:t>
            </w:r>
          </w:p>
        </w:tc>
      </w:tr>
      <w:tr w:rsidR="00184620" w:rsidRPr="00402848" w:rsidTr="002C4CBD">
        <w:trPr>
          <w:jc w:val="center"/>
        </w:trPr>
        <w:tc>
          <w:tcPr>
            <w:tcW w:w="917" w:type="dxa"/>
            <w:vMerge/>
            <w:vAlign w:val="center"/>
          </w:tcPr>
          <w:p w:rsidR="00184620" w:rsidRPr="00D80FB5" w:rsidRDefault="00184620" w:rsidP="002C4CBD">
            <w:pPr>
              <w:jc w:val="center"/>
              <w:rPr>
                <w:sz w:val="19"/>
                <w:szCs w:val="19"/>
              </w:rPr>
            </w:pPr>
          </w:p>
        </w:tc>
        <w:tc>
          <w:tcPr>
            <w:tcW w:w="2551" w:type="dxa"/>
            <w:vAlign w:val="center"/>
          </w:tcPr>
          <w:p w:rsidR="00184620" w:rsidRPr="00D80FB5" w:rsidRDefault="00184620" w:rsidP="002C4CBD">
            <w:pPr>
              <w:rPr>
                <w:sz w:val="19"/>
                <w:szCs w:val="19"/>
              </w:rPr>
            </w:pPr>
            <w:r>
              <w:rPr>
                <w:sz w:val="19"/>
                <w:szCs w:val="19"/>
              </w:rPr>
              <w:t>Ambient air temperature</w:t>
            </w:r>
          </w:p>
        </w:tc>
        <w:tc>
          <w:tcPr>
            <w:tcW w:w="3544" w:type="dxa"/>
            <w:gridSpan w:val="3"/>
            <w:vAlign w:val="center"/>
          </w:tcPr>
          <w:p w:rsidR="00184620" w:rsidRPr="00D80FB5" w:rsidRDefault="00184620" w:rsidP="002C4CBD">
            <w:pPr>
              <w:jc w:val="center"/>
              <w:rPr>
                <w:sz w:val="19"/>
                <w:szCs w:val="19"/>
              </w:rPr>
            </w:pPr>
            <w:r w:rsidRPr="00D80FB5">
              <w:rPr>
                <w:sz w:val="19"/>
                <w:szCs w:val="19"/>
              </w:rPr>
              <w:t xml:space="preserve">Monthly </w:t>
            </w:r>
            <w:r>
              <w:rPr>
                <w:sz w:val="19"/>
                <w:szCs w:val="19"/>
              </w:rPr>
              <w:t>range</w:t>
            </w:r>
            <w:r w:rsidRPr="00D80FB5">
              <w:rPr>
                <w:sz w:val="19"/>
                <w:szCs w:val="19"/>
              </w:rPr>
              <w:t xml:space="preserve"> from 3 to 23° C.</w:t>
            </w:r>
          </w:p>
        </w:tc>
        <w:tc>
          <w:tcPr>
            <w:tcW w:w="2996" w:type="dxa"/>
            <w:vAlign w:val="center"/>
          </w:tcPr>
          <w:p w:rsidR="00184620" w:rsidRPr="00D80FB5" w:rsidRDefault="00184620" w:rsidP="002C4CBD">
            <w:pPr>
              <w:jc w:val="center"/>
              <w:rPr>
                <w:sz w:val="19"/>
                <w:szCs w:val="19"/>
              </w:rPr>
            </w:pPr>
            <w:r>
              <w:rPr>
                <w:sz w:val="19"/>
                <w:szCs w:val="19"/>
              </w:rPr>
              <w:t>UK Met Office data (for London)</w:t>
            </w:r>
          </w:p>
        </w:tc>
      </w:tr>
      <w:tr w:rsidR="00184620" w:rsidRPr="00402848" w:rsidTr="002C4CBD">
        <w:trPr>
          <w:jc w:val="center"/>
        </w:trPr>
        <w:tc>
          <w:tcPr>
            <w:tcW w:w="917" w:type="dxa"/>
            <w:vMerge w:val="restart"/>
            <w:vAlign w:val="center"/>
          </w:tcPr>
          <w:p w:rsidR="00184620" w:rsidRPr="00D80FB5" w:rsidRDefault="00184620" w:rsidP="002C4CBD">
            <w:pPr>
              <w:jc w:val="center"/>
              <w:rPr>
                <w:sz w:val="19"/>
                <w:szCs w:val="19"/>
              </w:rPr>
            </w:pPr>
            <w:r w:rsidRPr="00D80FB5">
              <w:rPr>
                <w:sz w:val="19"/>
                <w:szCs w:val="19"/>
              </w:rPr>
              <w:t>Heat recovery</w:t>
            </w:r>
          </w:p>
          <w:p w:rsidR="00184620" w:rsidRPr="00D80FB5" w:rsidRDefault="00184620" w:rsidP="002C4CBD">
            <w:pPr>
              <w:jc w:val="center"/>
              <w:rPr>
                <w:sz w:val="19"/>
                <w:szCs w:val="19"/>
              </w:rPr>
            </w:pPr>
            <w:r>
              <w:rPr>
                <w:sz w:val="19"/>
                <w:szCs w:val="19"/>
              </w:rPr>
              <w:t xml:space="preserve"> for air-liquid</w:t>
            </w:r>
            <w:r w:rsidRPr="00D80FB5">
              <w:rPr>
                <w:sz w:val="19"/>
                <w:szCs w:val="19"/>
              </w:rPr>
              <w:t xml:space="preserve"> heat exchanger (HRHX)</w:t>
            </w:r>
          </w:p>
        </w:tc>
        <w:tc>
          <w:tcPr>
            <w:tcW w:w="2551" w:type="dxa"/>
            <w:vAlign w:val="center"/>
          </w:tcPr>
          <w:p w:rsidR="00184620" w:rsidRPr="00D80FB5" w:rsidRDefault="00184620" w:rsidP="002C4CBD">
            <w:pPr>
              <w:rPr>
                <w:sz w:val="19"/>
                <w:szCs w:val="19"/>
              </w:rPr>
            </w:pPr>
            <w:r w:rsidRPr="00D80FB5">
              <w:rPr>
                <w:sz w:val="19"/>
                <w:szCs w:val="19"/>
              </w:rPr>
              <w:t>Type of heat exchanger</w:t>
            </w:r>
          </w:p>
        </w:tc>
        <w:tc>
          <w:tcPr>
            <w:tcW w:w="3544" w:type="dxa"/>
            <w:gridSpan w:val="3"/>
            <w:vAlign w:val="center"/>
          </w:tcPr>
          <w:p w:rsidR="00184620" w:rsidRPr="00D80FB5" w:rsidRDefault="00184620" w:rsidP="002C4CBD">
            <w:pPr>
              <w:jc w:val="center"/>
              <w:rPr>
                <w:sz w:val="19"/>
                <w:szCs w:val="19"/>
              </w:rPr>
            </w:pPr>
            <w:r w:rsidRPr="00D80FB5">
              <w:rPr>
                <w:sz w:val="19"/>
                <w:szCs w:val="19"/>
              </w:rPr>
              <w:t>Counterflow</w:t>
            </w:r>
          </w:p>
        </w:tc>
        <w:tc>
          <w:tcPr>
            <w:tcW w:w="2996" w:type="dxa"/>
            <w:vMerge w:val="restart"/>
            <w:vAlign w:val="center"/>
          </w:tcPr>
          <w:p w:rsidR="00184620" w:rsidRPr="00D80FB5" w:rsidRDefault="00184620" w:rsidP="002C4CBD">
            <w:pPr>
              <w:jc w:val="center"/>
              <w:rPr>
                <w:sz w:val="19"/>
                <w:szCs w:val="19"/>
              </w:rPr>
            </w:pPr>
            <w:r w:rsidRPr="00D80FB5">
              <w:rPr>
                <w:sz w:val="19"/>
                <w:szCs w:val="19"/>
              </w:rPr>
              <w:t>Manufacturer design specification</w:t>
            </w:r>
          </w:p>
          <w:p w:rsidR="00184620" w:rsidRPr="00D80FB5" w:rsidRDefault="00184620" w:rsidP="002C4CBD">
            <w:pPr>
              <w:jc w:val="center"/>
              <w:rPr>
                <w:sz w:val="19"/>
                <w:szCs w:val="19"/>
              </w:rPr>
            </w:pPr>
            <w:r w:rsidRPr="00D80FB5">
              <w:rPr>
                <w:sz w:val="19"/>
                <w:szCs w:val="19"/>
              </w:rPr>
              <w:t xml:space="preserve"> (HC Coils)</w:t>
            </w:r>
          </w:p>
          <w:p w:rsidR="00184620" w:rsidRPr="00D80FB5" w:rsidRDefault="00184620" w:rsidP="002C4CBD">
            <w:pPr>
              <w:jc w:val="center"/>
              <w:rPr>
                <w:sz w:val="19"/>
                <w:szCs w:val="19"/>
              </w:rPr>
            </w:pPr>
          </w:p>
        </w:tc>
      </w:tr>
      <w:tr w:rsidR="00184620" w:rsidRPr="00402848" w:rsidTr="002C4CBD">
        <w:trPr>
          <w:jc w:val="center"/>
        </w:trPr>
        <w:tc>
          <w:tcPr>
            <w:tcW w:w="917" w:type="dxa"/>
            <w:vMerge/>
            <w:vAlign w:val="center"/>
          </w:tcPr>
          <w:p w:rsidR="00184620" w:rsidRPr="00D80FB5" w:rsidRDefault="00184620" w:rsidP="002C4CBD">
            <w:pPr>
              <w:jc w:val="center"/>
              <w:rPr>
                <w:sz w:val="19"/>
                <w:szCs w:val="19"/>
              </w:rPr>
            </w:pPr>
          </w:p>
        </w:tc>
        <w:tc>
          <w:tcPr>
            <w:tcW w:w="2551" w:type="dxa"/>
            <w:vAlign w:val="center"/>
          </w:tcPr>
          <w:p w:rsidR="00184620" w:rsidRPr="00D80FB5" w:rsidRDefault="00184620" w:rsidP="002C4CBD">
            <w:pPr>
              <w:rPr>
                <w:sz w:val="19"/>
                <w:szCs w:val="19"/>
              </w:rPr>
            </w:pPr>
            <w:r w:rsidRPr="00D80FB5">
              <w:rPr>
                <w:sz w:val="19"/>
                <w:szCs w:val="19"/>
              </w:rPr>
              <w:t xml:space="preserve">Heat exchanger construction </w:t>
            </w:r>
          </w:p>
        </w:tc>
        <w:tc>
          <w:tcPr>
            <w:tcW w:w="3544" w:type="dxa"/>
            <w:gridSpan w:val="3"/>
            <w:vAlign w:val="center"/>
          </w:tcPr>
          <w:p w:rsidR="00184620" w:rsidRPr="00D80FB5" w:rsidRDefault="00184620" w:rsidP="002C4CBD">
            <w:pPr>
              <w:jc w:val="center"/>
              <w:rPr>
                <w:sz w:val="19"/>
                <w:szCs w:val="19"/>
              </w:rPr>
            </w:pPr>
            <w:r w:rsidRPr="00D80FB5">
              <w:rPr>
                <w:sz w:val="19"/>
                <w:szCs w:val="19"/>
              </w:rPr>
              <w:t>Aluminium fins &amp; copper tubes</w:t>
            </w:r>
          </w:p>
        </w:tc>
        <w:tc>
          <w:tcPr>
            <w:tcW w:w="2996" w:type="dxa"/>
            <w:vMerge/>
            <w:vAlign w:val="center"/>
          </w:tcPr>
          <w:p w:rsidR="00184620" w:rsidRPr="00D80FB5" w:rsidRDefault="00184620" w:rsidP="002C4CBD">
            <w:pPr>
              <w:jc w:val="center"/>
              <w:rPr>
                <w:sz w:val="19"/>
                <w:szCs w:val="19"/>
              </w:rPr>
            </w:pPr>
          </w:p>
        </w:tc>
      </w:tr>
      <w:tr w:rsidR="00184620" w:rsidRPr="00402848" w:rsidTr="002C4CBD">
        <w:trPr>
          <w:jc w:val="center"/>
        </w:trPr>
        <w:tc>
          <w:tcPr>
            <w:tcW w:w="917" w:type="dxa"/>
            <w:vMerge/>
            <w:vAlign w:val="center"/>
          </w:tcPr>
          <w:p w:rsidR="00184620" w:rsidRPr="00D80FB5" w:rsidRDefault="00184620" w:rsidP="002C4CBD">
            <w:pPr>
              <w:jc w:val="center"/>
              <w:rPr>
                <w:sz w:val="19"/>
                <w:szCs w:val="19"/>
              </w:rPr>
            </w:pPr>
          </w:p>
        </w:tc>
        <w:tc>
          <w:tcPr>
            <w:tcW w:w="2551" w:type="dxa"/>
            <w:vAlign w:val="center"/>
          </w:tcPr>
          <w:p w:rsidR="00184620" w:rsidRPr="00D80FB5" w:rsidRDefault="00184620" w:rsidP="002C4CBD">
            <w:pPr>
              <w:rPr>
                <w:sz w:val="19"/>
                <w:szCs w:val="19"/>
              </w:rPr>
            </w:pPr>
            <w:r w:rsidRPr="00D80FB5">
              <w:rPr>
                <w:sz w:val="19"/>
                <w:szCs w:val="19"/>
              </w:rPr>
              <w:t>Capacity</w:t>
            </w:r>
          </w:p>
        </w:tc>
        <w:tc>
          <w:tcPr>
            <w:tcW w:w="3544" w:type="dxa"/>
            <w:gridSpan w:val="3"/>
            <w:vAlign w:val="center"/>
          </w:tcPr>
          <w:p w:rsidR="00184620" w:rsidRPr="00D80FB5" w:rsidRDefault="00184620" w:rsidP="002C4CBD">
            <w:pPr>
              <w:jc w:val="center"/>
              <w:rPr>
                <w:sz w:val="19"/>
                <w:szCs w:val="19"/>
              </w:rPr>
            </w:pPr>
            <w:r w:rsidRPr="00D80FB5">
              <w:rPr>
                <w:sz w:val="19"/>
                <w:szCs w:val="19"/>
              </w:rPr>
              <w:t>900 kW (i.e. 4 x 225 kW)</w:t>
            </w:r>
          </w:p>
        </w:tc>
        <w:tc>
          <w:tcPr>
            <w:tcW w:w="2996" w:type="dxa"/>
            <w:vMerge/>
            <w:vAlign w:val="center"/>
          </w:tcPr>
          <w:p w:rsidR="00184620" w:rsidRPr="00D80FB5" w:rsidRDefault="00184620" w:rsidP="002C4CBD">
            <w:pPr>
              <w:jc w:val="center"/>
              <w:rPr>
                <w:sz w:val="19"/>
                <w:szCs w:val="19"/>
              </w:rPr>
            </w:pP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UA value</w:t>
            </w:r>
          </w:p>
        </w:tc>
        <w:tc>
          <w:tcPr>
            <w:tcW w:w="3544" w:type="dxa"/>
            <w:gridSpan w:val="3"/>
            <w:vAlign w:val="center"/>
          </w:tcPr>
          <w:p w:rsidR="00184620" w:rsidRPr="00D80FB5" w:rsidRDefault="00184620" w:rsidP="002C4CBD">
            <w:pPr>
              <w:jc w:val="center"/>
              <w:rPr>
                <w:sz w:val="19"/>
                <w:szCs w:val="19"/>
              </w:rPr>
            </w:pPr>
            <w:r w:rsidRPr="00D80FB5">
              <w:rPr>
                <w:sz w:val="19"/>
                <w:szCs w:val="19"/>
              </w:rPr>
              <w:t>125.5 kW/K (i.e. 4 x 31.375 kW/K)</w:t>
            </w:r>
          </w:p>
        </w:tc>
        <w:tc>
          <w:tcPr>
            <w:tcW w:w="2996" w:type="dxa"/>
            <w:vMerge/>
            <w:vAlign w:val="center"/>
          </w:tcPr>
          <w:p w:rsidR="00184620" w:rsidRPr="00D80FB5" w:rsidRDefault="00184620" w:rsidP="002C4CBD">
            <w:pPr>
              <w:jc w:val="center"/>
              <w:rPr>
                <w:sz w:val="19"/>
                <w:szCs w:val="19"/>
              </w:rPr>
            </w:pP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 xml:space="preserve">Air side </w:t>
            </w:r>
            <w:r w:rsidRPr="00D80FB5">
              <w:rPr>
                <w:sz w:val="19"/>
                <w:szCs w:val="19"/>
              </w:rPr>
              <w:sym w:font="Symbol" w:char="F044"/>
            </w:r>
            <w:r w:rsidRPr="00D80FB5">
              <w:rPr>
                <w:sz w:val="19"/>
                <w:szCs w:val="19"/>
              </w:rPr>
              <w:t xml:space="preserve">P </w:t>
            </w:r>
          </w:p>
        </w:tc>
        <w:tc>
          <w:tcPr>
            <w:tcW w:w="3544" w:type="dxa"/>
            <w:gridSpan w:val="3"/>
            <w:vAlign w:val="center"/>
          </w:tcPr>
          <w:p w:rsidR="00184620" w:rsidRPr="00D80FB5" w:rsidRDefault="00184620" w:rsidP="002C4CBD">
            <w:pPr>
              <w:jc w:val="center"/>
              <w:rPr>
                <w:sz w:val="19"/>
                <w:szCs w:val="19"/>
              </w:rPr>
            </w:pPr>
            <w:r w:rsidRPr="00D80FB5">
              <w:rPr>
                <w:sz w:val="19"/>
                <w:szCs w:val="19"/>
              </w:rPr>
              <w:t>49 Pa</w:t>
            </w:r>
          </w:p>
        </w:tc>
        <w:tc>
          <w:tcPr>
            <w:tcW w:w="2996" w:type="dxa"/>
            <w:vMerge/>
            <w:vAlign w:val="center"/>
          </w:tcPr>
          <w:p w:rsidR="00184620" w:rsidRPr="00D80FB5" w:rsidRDefault="00184620" w:rsidP="002C4CBD">
            <w:pPr>
              <w:jc w:val="center"/>
              <w:rPr>
                <w:sz w:val="19"/>
                <w:szCs w:val="19"/>
              </w:rPr>
            </w:pP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Air-side ∆T</w:t>
            </w:r>
          </w:p>
        </w:tc>
        <w:tc>
          <w:tcPr>
            <w:tcW w:w="3544" w:type="dxa"/>
            <w:gridSpan w:val="3"/>
            <w:vAlign w:val="center"/>
          </w:tcPr>
          <w:p w:rsidR="00184620" w:rsidRPr="00D80FB5" w:rsidRDefault="00184620" w:rsidP="002C4CBD">
            <w:pPr>
              <w:jc w:val="center"/>
              <w:rPr>
                <w:sz w:val="19"/>
                <w:szCs w:val="19"/>
              </w:rPr>
            </w:pPr>
            <w:r w:rsidRPr="00D80FB5">
              <w:rPr>
                <w:sz w:val="19"/>
                <w:szCs w:val="19"/>
              </w:rPr>
              <w:t>10K</w:t>
            </w:r>
          </w:p>
        </w:tc>
        <w:tc>
          <w:tcPr>
            <w:tcW w:w="2996" w:type="dxa"/>
            <w:vMerge w:val="restart"/>
            <w:vAlign w:val="center"/>
          </w:tcPr>
          <w:p w:rsidR="00184620" w:rsidRPr="00D80FB5" w:rsidRDefault="00184620" w:rsidP="002C4CBD">
            <w:pPr>
              <w:jc w:val="center"/>
              <w:rPr>
                <w:sz w:val="19"/>
                <w:szCs w:val="19"/>
              </w:rPr>
            </w:pPr>
            <w:r w:rsidRPr="00D80FB5">
              <w:rPr>
                <w:sz w:val="19"/>
                <w:szCs w:val="19"/>
              </w:rPr>
              <w:t>Design data</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 xml:space="preserve">Liquid </w:t>
            </w:r>
          </w:p>
        </w:tc>
        <w:tc>
          <w:tcPr>
            <w:tcW w:w="3544" w:type="dxa"/>
            <w:gridSpan w:val="3"/>
            <w:vAlign w:val="center"/>
          </w:tcPr>
          <w:p w:rsidR="00184620" w:rsidRPr="00D80FB5" w:rsidRDefault="00184620" w:rsidP="002C4CBD">
            <w:pPr>
              <w:jc w:val="center"/>
              <w:rPr>
                <w:sz w:val="19"/>
                <w:szCs w:val="19"/>
              </w:rPr>
            </w:pPr>
            <w:r w:rsidRPr="00D80FB5">
              <w:rPr>
                <w:sz w:val="19"/>
                <w:szCs w:val="19"/>
              </w:rPr>
              <w:t>30% propylene glycol /water mix</w:t>
            </w:r>
          </w:p>
        </w:tc>
        <w:tc>
          <w:tcPr>
            <w:tcW w:w="2996" w:type="dxa"/>
            <w:vMerge/>
            <w:vAlign w:val="center"/>
          </w:tcPr>
          <w:p w:rsidR="00184620" w:rsidRPr="00D80FB5" w:rsidRDefault="00184620" w:rsidP="002C4CBD">
            <w:pPr>
              <w:jc w:val="center"/>
              <w:rPr>
                <w:sz w:val="19"/>
                <w:szCs w:val="19"/>
              </w:rPr>
            </w:pP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Liquid-side ∆T</w:t>
            </w:r>
          </w:p>
        </w:tc>
        <w:tc>
          <w:tcPr>
            <w:tcW w:w="3544" w:type="dxa"/>
            <w:gridSpan w:val="3"/>
            <w:vAlign w:val="center"/>
          </w:tcPr>
          <w:p w:rsidR="00184620" w:rsidRPr="00D80FB5" w:rsidRDefault="00184620" w:rsidP="002C4CBD">
            <w:pPr>
              <w:jc w:val="center"/>
              <w:rPr>
                <w:sz w:val="19"/>
                <w:szCs w:val="19"/>
              </w:rPr>
            </w:pPr>
            <w:r w:rsidRPr="00D80FB5">
              <w:rPr>
                <w:sz w:val="19"/>
                <w:szCs w:val="19"/>
              </w:rPr>
              <w:t>5K</w:t>
            </w:r>
          </w:p>
        </w:tc>
        <w:tc>
          <w:tcPr>
            <w:tcW w:w="2996" w:type="dxa"/>
            <w:vMerge/>
            <w:vAlign w:val="center"/>
          </w:tcPr>
          <w:p w:rsidR="00184620" w:rsidRPr="00D80FB5" w:rsidRDefault="00184620" w:rsidP="002C4CBD">
            <w:pPr>
              <w:jc w:val="center"/>
              <w:rPr>
                <w:sz w:val="19"/>
                <w:szCs w:val="19"/>
              </w:rPr>
            </w:pP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 xml:space="preserve">HRHX </w:t>
            </w:r>
            <w:r>
              <w:rPr>
                <w:sz w:val="19"/>
                <w:szCs w:val="19"/>
              </w:rPr>
              <w:t>a</w:t>
            </w:r>
            <w:r w:rsidRPr="00D80FB5">
              <w:rPr>
                <w:sz w:val="19"/>
                <w:szCs w:val="19"/>
              </w:rPr>
              <w:t xml:space="preserve">pproach temperature </w:t>
            </w:r>
          </w:p>
        </w:tc>
        <w:tc>
          <w:tcPr>
            <w:tcW w:w="3544" w:type="dxa"/>
            <w:gridSpan w:val="3"/>
            <w:vAlign w:val="center"/>
          </w:tcPr>
          <w:p w:rsidR="00184620" w:rsidRPr="00D80FB5" w:rsidRDefault="00184620" w:rsidP="002C4CBD">
            <w:pPr>
              <w:jc w:val="center"/>
              <w:rPr>
                <w:sz w:val="19"/>
                <w:szCs w:val="19"/>
              </w:rPr>
            </w:pPr>
            <w:r w:rsidRPr="00D80FB5">
              <w:rPr>
                <w:sz w:val="19"/>
                <w:szCs w:val="19"/>
              </w:rPr>
              <w:t>0.1K</w:t>
            </w:r>
          </w:p>
        </w:tc>
        <w:tc>
          <w:tcPr>
            <w:tcW w:w="2996" w:type="dxa"/>
            <w:vMerge/>
            <w:vAlign w:val="center"/>
          </w:tcPr>
          <w:p w:rsidR="00184620" w:rsidRPr="00D80FB5" w:rsidRDefault="00184620" w:rsidP="002C4CBD">
            <w:pPr>
              <w:jc w:val="center"/>
              <w:rPr>
                <w:sz w:val="19"/>
                <w:szCs w:val="19"/>
              </w:rPr>
            </w:pPr>
          </w:p>
        </w:tc>
      </w:tr>
      <w:tr w:rsidR="00184620" w:rsidRPr="00402848" w:rsidTr="002C4CBD">
        <w:trPr>
          <w:jc w:val="center"/>
        </w:trPr>
        <w:tc>
          <w:tcPr>
            <w:tcW w:w="917" w:type="dxa"/>
            <w:vMerge w:val="restart"/>
            <w:vAlign w:val="center"/>
          </w:tcPr>
          <w:p w:rsidR="00184620" w:rsidRPr="00D80FB5" w:rsidRDefault="00184620" w:rsidP="002C4CBD">
            <w:pPr>
              <w:rPr>
                <w:sz w:val="19"/>
                <w:szCs w:val="19"/>
              </w:rPr>
            </w:pPr>
            <w:r w:rsidRPr="00D80FB5">
              <w:rPr>
                <w:sz w:val="19"/>
                <w:szCs w:val="19"/>
              </w:rPr>
              <w:t>Pipe work for primary water loop</w:t>
            </w:r>
          </w:p>
        </w:tc>
        <w:tc>
          <w:tcPr>
            <w:tcW w:w="2551" w:type="dxa"/>
            <w:vAlign w:val="center"/>
          </w:tcPr>
          <w:p w:rsidR="00184620" w:rsidRPr="00D80FB5" w:rsidRDefault="00184620" w:rsidP="002C4CBD">
            <w:pPr>
              <w:rPr>
                <w:sz w:val="19"/>
                <w:szCs w:val="19"/>
              </w:rPr>
            </w:pPr>
            <w:r w:rsidRPr="00D80FB5">
              <w:rPr>
                <w:sz w:val="19"/>
                <w:szCs w:val="19"/>
              </w:rPr>
              <w:t>Pipe diameter</w:t>
            </w:r>
          </w:p>
        </w:tc>
        <w:tc>
          <w:tcPr>
            <w:tcW w:w="3544" w:type="dxa"/>
            <w:gridSpan w:val="3"/>
            <w:vAlign w:val="center"/>
          </w:tcPr>
          <w:p w:rsidR="00184620" w:rsidRPr="00D80FB5" w:rsidRDefault="00184620" w:rsidP="002C4CBD">
            <w:pPr>
              <w:jc w:val="center"/>
              <w:rPr>
                <w:sz w:val="19"/>
                <w:szCs w:val="19"/>
              </w:rPr>
            </w:pPr>
            <w:r w:rsidRPr="00D80FB5">
              <w:rPr>
                <w:sz w:val="19"/>
                <w:szCs w:val="19"/>
              </w:rPr>
              <w:t>10 inch (273 mm OD, 254 mm ID)</w:t>
            </w:r>
          </w:p>
        </w:tc>
        <w:tc>
          <w:tcPr>
            <w:tcW w:w="2996" w:type="dxa"/>
            <w:vAlign w:val="center"/>
          </w:tcPr>
          <w:p w:rsidR="00184620" w:rsidRPr="00D80FB5" w:rsidRDefault="00184620" w:rsidP="002C4CBD">
            <w:pPr>
              <w:jc w:val="center"/>
              <w:rPr>
                <w:sz w:val="19"/>
                <w:szCs w:val="19"/>
              </w:rPr>
            </w:pPr>
            <w:r w:rsidRPr="00D80FB5">
              <w:rPr>
                <w:sz w:val="19"/>
                <w:szCs w:val="19"/>
              </w:rPr>
              <w:t>Design specification</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Liquid</w:t>
            </w:r>
          </w:p>
        </w:tc>
        <w:tc>
          <w:tcPr>
            <w:tcW w:w="3544" w:type="dxa"/>
            <w:gridSpan w:val="3"/>
            <w:vAlign w:val="center"/>
          </w:tcPr>
          <w:p w:rsidR="00184620" w:rsidRPr="00D80FB5" w:rsidRDefault="00184620" w:rsidP="002C4CBD">
            <w:pPr>
              <w:jc w:val="center"/>
              <w:rPr>
                <w:sz w:val="19"/>
                <w:szCs w:val="19"/>
              </w:rPr>
            </w:pPr>
            <w:r w:rsidRPr="00D80FB5">
              <w:rPr>
                <w:sz w:val="19"/>
                <w:szCs w:val="19"/>
              </w:rPr>
              <w:t>30% propylene glycol /water mix</w:t>
            </w:r>
          </w:p>
        </w:tc>
        <w:tc>
          <w:tcPr>
            <w:tcW w:w="2996" w:type="dxa"/>
            <w:vAlign w:val="center"/>
          </w:tcPr>
          <w:p w:rsidR="00184620" w:rsidRPr="00D80FB5" w:rsidRDefault="00184620" w:rsidP="002C4CBD">
            <w:pPr>
              <w:jc w:val="center"/>
              <w:rPr>
                <w:sz w:val="19"/>
                <w:szCs w:val="19"/>
              </w:rPr>
            </w:pPr>
            <w:r w:rsidRPr="00D80FB5">
              <w:rPr>
                <w:sz w:val="19"/>
                <w:szCs w:val="19"/>
              </w:rPr>
              <w:t>Design specification</w:t>
            </w:r>
          </w:p>
        </w:tc>
      </w:tr>
      <w:tr w:rsidR="00184620" w:rsidRPr="00402848" w:rsidTr="002C4CBD">
        <w:trPr>
          <w:trHeight w:val="157"/>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 xml:space="preserve">Liquid volumetric flow rate </w:t>
            </w:r>
          </w:p>
        </w:tc>
        <w:tc>
          <w:tcPr>
            <w:tcW w:w="3544" w:type="dxa"/>
            <w:gridSpan w:val="3"/>
            <w:vAlign w:val="center"/>
          </w:tcPr>
          <w:p w:rsidR="00184620" w:rsidRPr="00D80FB5" w:rsidRDefault="00184620" w:rsidP="002C4CBD">
            <w:pPr>
              <w:jc w:val="center"/>
              <w:rPr>
                <w:sz w:val="19"/>
                <w:szCs w:val="19"/>
              </w:rPr>
            </w:pPr>
            <w:r w:rsidRPr="00D80FB5">
              <w:rPr>
                <w:sz w:val="19"/>
                <w:szCs w:val="19"/>
              </w:rPr>
              <w:t>0.043 m</w:t>
            </w:r>
            <w:r w:rsidRPr="00D80FB5">
              <w:rPr>
                <w:sz w:val="19"/>
                <w:szCs w:val="19"/>
                <w:vertAlign w:val="superscript"/>
              </w:rPr>
              <w:t>3</w:t>
            </w:r>
            <w:r w:rsidRPr="00D80FB5">
              <w:rPr>
                <w:sz w:val="19"/>
                <w:szCs w:val="19"/>
              </w:rPr>
              <w:t xml:space="preserve"> s</w:t>
            </w:r>
            <w:r w:rsidRPr="00D80FB5">
              <w:rPr>
                <w:sz w:val="19"/>
                <w:szCs w:val="19"/>
                <w:vertAlign w:val="superscript"/>
              </w:rPr>
              <w:t>-1</w:t>
            </w:r>
          </w:p>
        </w:tc>
        <w:tc>
          <w:tcPr>
            <w:tcW w:w="2996" w:type="dxa"/>
            <w:vAlign w:val="center"/>
          </w:tcPr>
          <w:p w:rsidR="00184620" w:rsidRPr="00D80FB5" w:rsidRDefault="00184620" w:rsidP="002C4CBD">
            <w:pPr>
              <w:jc w:val="center"/>
              <w:rPr>
                <w:sz w:val="19"/>
                <w:szCs w:val="19"/>
              </w:rPr>
            </w:pPr>
            <w:r w:rsidRPr="00D80FB5">
              <w:rPr>
                <w:sz w:val="19"/>
                <w:szCs w:val="19"/>
              </w:rPr>
              <w:t>Design specification</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Pr>
                <w:sz w:val="19"/>
                <w:szCs w:val="19"/>
              </w:rPr>
              <w:t>P</w:t>
            </w:r>
            <w:r w:rsidRPr="00D80FB5">
              <w:rPr>
                <w:sz w:val="19"/>
                <w:szCs w:val="19"/>
              </w:rPr>
              <w:t xml:space="preserve">ipe work </w:t>
            </w:r>
            <w:r>
              <w:rPr>
                <w:sz w:val="19"/>
                <w:szCs w:val="19"/>
              </w:rPr>
              <w:t xml:space="preserve">length </w:t>
            </w:r>
            <w:r w:rsidRPr="00D80FB5">
              <w:rPr>
                <w:sz w:val="19"/>
                <w:szCs w:val="19"/>
              </w:rPr>
              <w:t>(option 1)</w:t>
            </w:r>
          </w:p>
        </w:tc>
        <w:tc>
          <w:tcPr>
            <w:tcW w:w="3544" w:type="dxa"/>
            <w:gridSpan w:val="3"/>
            <w:vAlign w:val="center"/>
          </w:tcPr>
          <w:p w:rsidR="00184620" w:rsidRPr="00D80FB5" w:rsidRDefault="00184620" w:rsidP="002C4CBD">
            <w:pPr>
              <w:jc w:val="center"/>
              <w:rPr>
                <w:sz w:val="19"/>
                <w:szCs w:val="19"/>
              </w:rPr>
            </w:pPr>
            <w:r w:rsidRPr="00D80FB5">
              <w:rPr>
                <w:sz w:val="19"/>
                <w:szCs w:val="19"/>
              </w:rPr>
              <w:t>840 m</w:t>
            </w:r>
          </w:p>
        </w:tc>
        <w:tc>
          <w:tcPr>
            <w:tcW w:w="2996" w:type="dxa"/>
            <w:vAlign w:val="center"/>
          </w:tcPr>
          <w:p w:rsidR="00184620" w:rsidRPr="00D80FB5" w:rsidRDefault="00184620" w:rsidP="002C4CBD">
            <w:pPr>
              <w:jc w:val="center"/>
              <w:rPr>
                <w:sz w:val="19"/>
                <w:szCs w:val="19"/>
              </w:rPr>
            </w:pPr>
            <w:r w:rsidRPr="00D80FB5">
              <w:rPr>
                <w:sz w:val="19"/>
                <w:szCs w:val="19"/>
              </w:rPr>
              <w:t>Design specification</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sym w:font="Symbol" w:char="F044"/>
            </w:r>
            <w:r w:rsidRPr="00D80FB5">
              <w:rPr>
                <w:sz w:val="19"/>
                <w:szCs w:val="19"/>
              </w:rPr>
              <w:t>P through pipes</w:t>
            </w:r>
          </w:p>
        </w:tc>
        <w:tc>
          <w:tcPr>
            <w:tcW w:w="3544" w:type="dxa"/>
            <w:gridSpan w:val="3"/>
            <w:vAlign w:val="center"/>
          </w:tcPr>
          <w:p w:rsidR="00184620" w:rsidRPr="00D80FB5" w:rsidRDefault="00184620" w:rsidP="002C4CBD">
            <w:pPr>
              <w:jc w:val="center"/>
              <w:rPr>
                <w:sz w:val="19"/>
                <w:szCs w:val="19"/>
              </w:rPr>
            </w:pPr>
            <w:r w:rsidRPr="00D80FB5">
              <w:rPr>
                <w:sz w:val="19"/>
                <w:szCs w:val="19"/>
              </w:rPr>
              <w:t>43 kPa</w:t>
            </w:r>
          </w:p>
        </w:tc>
        <w:tc>
          <w:tcPr>
            <w:tcW w:w="2996" w:type="dxa"/>
            <w:vAlign w:val="center"/>
          </w:tcPr>
          <w:p w:rsidR="00184620" w:rsidRPr="00D80FB5" w:rsidRDefault="00184620" w:rsidP="002C4CBD">
            <w:pPr>
              <w:jc w:val="center"/>
              <w:rPr>
                <w:sz w:val="19"/>
                <w:szCs w:val="19"/>
              </w:rPr>
            </w:pPr>
            <w:r w:rsidRPr="00D80FB5">
              <w:rPr>
                <w:sz w:val="19"/>
                <w:szCs w:val="19"/>
              </w:rPr>
              <w:t>Calculated</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sym w:font="Symbol" w:char="F044"/>
            </w:r>
            <w:r w:rsidRPr="00D80FB5">
              <w:rPr>
                <w:sz w:val="19"/>
                <w:szCs w:val="19"/>
              </w:rPr>
              <w:t xml:space="preserve">P </w:t>
            </w:r>
            <w:r>
              <w:rPr>
                <w:sz w:val="19"/>
                <w:szCs w:val="19"/>
              </w:rPr>
              <w:t>across</w:t>
            </w:r>
            <w:r w:rsidRPr="00D80FB5">
              <w:rPr>
                <w:sz w:val="19"/>
                <w:szCs w:val="19"/>
              </w:rPr>
              <w:t xml:space="preserve"> HRHX</w:t>
            </w:r>
          </w:p>
        </w:tc>
        <w:tc>
          <w:tcPr>
            <w:tcW w:w="3544" w:type="dxa"/>
            <w:gridSpan w:val="3"/>
            <w:vAlign w:val="center"/>
          </w:tcPr>
          <w:p w:rsidR="00184620" w:rsidRPr="00D80FB5" w:rsidRDefault="00184620" w:rsidP="002C4CBD">
            <w:pPr>
              <w:jc w:val="center"/>
              <w:rPr>
                <w:sz w:val="19"/>
                <w:szCs w:val="19"/>
              </w:rPr>
            </w:pPr>
            <w:r w:rsidRPr="00D80FB5">
              <w:rPr>
                <w:sz w:val="19"/>
                <w:szCs w:val="19"/>
              </w:rPr>
              <w:t>55 kPa</w:t>
            </w:r>
          </w:p>
        </w:tc>
        <w:tc>
          <w:tcPr>
            <w:tcW w:w="2996" w:type="dxa"/>
            <w:vAlign w:val="center"/>
          </w:tcPr>
          <w:p w:rsidR="00184620" w:rsidRPr="00D80FB5" w:rsidRDefault="00184620" w:rsidP="002C4CBD">
            <w:pPr>
              <w:jc w:val="center"/>
              <w:rPr>
                <w:sz w:val="19"/>
                <w:szCs w:val="19"/>
              </w:rPr>
            </w:pPr>
            <w:r w:rsidRPr="00D80FB5">
              <w:rPr>
                <w:sz w:val="19"/>
                <w:szCs w:val="19"/>
              </w:rPr>
              <w:t>Design specification (HC Coils)</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sym w:font="Symbol" w:char="F044"/>
            </w:r>
            <w:r w:rsidRPr="00D80FB5">
              <w:rPr>
                <w:sz w:val="19"/>
                <w:szCs w:val="19"/>
              </w:rPr>
              <w:t xml:space="preserve">P </w:t>
            </w:r>
            <w:r>
              <w:rPr>
                <w:sz w:val="19"/>
                <w:szCs w:val="19"/>
              </w:rPr>
              <w:t>across</w:t>
            </w:r>
            <w:r w:rsidRPr="00D80FB5">
              <w:rPr>
                <w:sz w:val="19"/>
                <w:szCs w:val="19"/>
              </w:rPr>
              <w:t xml:space="preserve"> HP evaporator HX</w:t>
            </w:r>
          </w:p>
        </w:tc>
        <w:tc>
          <w:tcPr>
            <w:tcW w:w="3544" w:type="dxa"/>
            <w:gridSpan w:val="3"/>
            <w:vAlign w:val="center"/>
          </w:tcPr>
          <w:p w:rsidR="00184620" w:rsidRPr="00D80FB5" w:rsidRDefault="00184620" w:rsidP="002C4CBD">
            <w:pPr>
              <w:jc w:val="center"/>
              <w:rPr>
                <w:sz w:val="19"/>
                <w:szCs w:val="19"/>
              </w:rPr>
            </w:pPr>
            <w:r w:rsidRPr="00D80FB5">
              <w:rPr>
                <w:sz w:val="19"/>
                <w:szCs w:val="19"/>
              </w:rPr>
              <w:t>55 kPa</w:t>
            </w:r>
          </w:p>
        </w:tc>
        <w:tc>
          <w:tcPr>
            <w:tcW w:w="2996" w:type="dxa"/>
            <w:vAlign w:val="center"/>
          </w:tcPr>
          <w:p w:rsidR="00184620" w:rsidRPr="00D80FB5" w:rsidRDefault="00184620" w:rsidP="002C4CBD">
            <w:pPr>
              <w:jc w:val="center"/>
              <w:rPr>
                <w:sz w:val="19"/>
                <w:szCs w:val="19"/>
              </w:rPr>
            </w:pPr>
            <w:r w:rsidRPr="00D80FB5">
              <w:rPr>
                <w:sz w:val="19"/>
                <w:szCs w:val="19"/>
              </w:rPr>
              <w:t>Design specification (assumed)</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sym w:font="Symbol" w:char="F044"/>
            </w:r>
            <w:r w:rsidRPr="00D80FB5">
              <w:rPr>
                <w:sz w:val="19"/>
                <w:szCs w:val="19"/>
              </w:rPr>
              <w:t xml:space="preserve">P </w:t>
            </w:r>
            <w:r>
              <w:rPr>
                <w:sz w:val="19"/>
                <w:szCs w:val="19"/>
              </w:rPr>
              <w:t xml:space="preserve">- </w:t>
            </w:r>
            <w:r w:rsidRPr="00D80FB5">
              <w:rPr>
                <w:sz w:val="19"/>
                <w:szCs w:val="19"/>
              </w:rPr>
              <w:t>fittings, bends, valves</w:t>
            </w:r>
          </w:p>
        </w:tc>
        <w:tc>
          <w:tcPr>
            <w:tcW w:w="3544" w:type="dxa"/>
            <w:gridSpan w:val="3"/>
            <w:vAlign w:val="center"/>
          </w:tcPr>
          <w:p w:rsidR="00184620" w:rsidRPr="00D80FB5" w:rsidRDefault="00184620" w:rsidP="002C4CBD">
            <w:pPr>
              <w:jc w:val="center"/>
              <w:rPr>
                <w:sz w:val="19"/>
                <w:szCs w:val="19"/>
              </w:rPr>
            </w:pPr>
            <w:r w:rsidRPr="00D80FB5">
              <w:rPr>
                <w:sz w:val="19"/>
                <w:szCs w:val="19"/>
              </w:rPr>
              <w:t>280 kPa</w:t>
            </w:r>
          </w:p>
        </w:tc>
        <w:tc>
          <w:tcPr>
            <w:tcW w:w="2996" w:type="dxa"/>
            <w:vAlign w:val="center"/>
          </w:tcPr>
          <w:p w:rsidR="00184620" w:rsidRPr="00D80FB5" w:rsidRDefault="00184620" w:rsidP="002C4CBD">
            <w:pPr>
              <w:jc w:val="center"/>
              <w:rPr>
                <w:sz w:val="19"/>
                <w:szCs w:val="19"/>
              </w:rPr>
            </w:pPr>
            <w:r w:rsidRPr="00D80FB5">
              <w:rPr>
                <w:sz w:val="19"/>
                <w:szCs w:val="19"/>
              </w:rPr>
              <w:t>Design specification (calculated)</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 xml:space="preserve">Total </w:t>
            </w:r>
            <w:r w:rsidRPr="00D80FB5">
              <w:rPr>
                <w:sz w:val="19"/>
                <w:szCs w:val="19"/>
              </w:rPr>
              <w:sym w:font="Symbol" w:char="F044"/>
            </w:r>
            <w:r w:rsidRPr="00D80FB5">
              <w:rPr>
                <w:sz w:val="19"/>
                <w:szCs w:val="19"/>
              </w:rPr>
              <w:t>P (option 1)</w:t>
            </w:r>
          </w:p>
        </w:tc>
        <w:tc>
          <w:tcPr>
            <w:tcW w:w="3544" w:type="dxa"/>
            <w:gridSpan w:val="3"/>
            <w:vAlign w:val="center"/>
          </w:tcPr>
          <w:p w:rsidR="00184620" w:rsidRPr="00D80FB5" w:rsidRDefault="00184620" w:rsidP="002C4CBD">
            <w:pPr>
              <w:jc w:val="center"/>
              <w:rPr>
                <w:sz w:val="19"/>
                <w:szCs w:val="19"/>
              </w:rPr>
            </w:pPr>
            <w:r w:rsidRPr="00D80FB5">
              <w:rPr>
                <w:sz w:val="19"/>
                <w:szCs w:val="19"/>
              </w:rPr>
              <w:t>433 kPa</w:t>
            </w:r>
          </w:p>
        </w:tc>
        <w:tc>
          <w:tcPr>
            <w:tcW w:w="2996" w:type="dxa"/>
            <w:vAlign w:val="center"/>
          </w:tcPr>
          <w:p w:rsidR="00184620" w:rsidRPr="00D80FB5" w:rsidRDefault="00184620" w:rsidP="002C4CBD">
            <w:pPr>
              <w:jc w:val="center"/>
              <w:rPr>
                <w:sz w:val="19"/>
                <w:szCs w:val="19"/>
              </w:rPr>
            </w:pPr>
            <w:r w:rsidRPr="00D80FB5">
              <w:rPr>
                <w:sz w:val="19"/>
                <w:szCs w:val="19"/>
              </w:rPr>
              <w:t>Calculated</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 xml:space="preserve">Pump efficiency </w:t>
            </w:r>
          </w:p>
        </w:tc>
        <w:tc>
          <w:tcPr>
            <w:tcW w:w="3544" w:type="dxa"/>
            <w:gridSpan w:val="3"/>
            <w:vAlign w:val="center"/>
          </w:tcPr>
          <w:p w:rsidR="00184620" w:rsidRPr="00D80FB5" w:rsidRDefault="00184620" w:rsidP="002C4CBD">
            <w:pPr>
              <w:jc w:val="center"/>
              <w:rPr>
                <w:sz w:val="19"/>
                <w:szCs w:val="19"/>
              </w:rPr>
            </w:pPr>
            <w:r w:rsidRPr="00D80FB5">
              <w:rPr>
                <w:sz w:val="19"/>
                <w:szCs w:val="19"/>
              </w:rPr>
              <w:t>0.5</w:t>
            </w:r>
          </w:p>
        </w:tc>
        <w:tc>
          <w:tcPr>
            <w:tcW w:w="2996" w:type="dxa"/>
            <w:vAlign w:val="center"/>
          </w:tcPr>
          <w:p w:rsidR="00184620" w:rsidRPr="00D80FB5" w:rsidRDefault="00184620" w:rsidP="002C4CBD">
            <w:pPr>
              <w:jc w:val="center"/>
              <w:rPr>
                <w:sz w:val="19"/>
                <w:szCs w:val="19"/>
              </w:rPr>
            </w:pPr>
            <w:r w:rsidRPr="00D80FB5">
              <w:rPr>
                <w:sz w:val="19"/>
                <w:szCs w:val="19"/>
              </w:rPr>
              <w:t>Design specification (assumed)</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Pumping power (option 1)</w:t>
            </w:r>
          </w:p>
        </w:tc>
        <w:tc>
          <w:tcPr>
            <w:tcW w:w="3544" w:type="dxa"/>
            <w:gridSpan w:val="3"/>
            <w:vAlign w:val="center"/>
          </w:tcPr>
          <w:p w:rsidR="00184620" w:rsidRPr="00D80FB5" w:rsidRDefault="00184620" w:rsidP="002C4CBD">
            <w:pPr>
              <w:jc w:val="center"/>
              <w:rPr>
                <w:sz w:val="19"/>
                <w:szCs w:val="19"/>
              </w:rPr>
            </w:pPr>
            <w:r w:rsidRPr="00D80FB5">
              <w:rPr>
                <w:sz w:val="19"/>
                <w:szCs w:val="19"/>
              </w:rPr>
              <w:t>37.3 kW</w:t>
            </w:r>
          </w:p>
        </w:tc>
        <w:tc>
          <w:tcPr>
            <w:tcW w:w="2996" w:type="dxa"/>
            <w:vAlign w:val="center"/>
          </w:tcPr>
          <w:p w:rsidR="00184620" w:rsidRPr="00D80FB5" w:rsidRDefault="00184620" w:rsidP="002C4CBD">
            <w:pPr>
              <w:jc w:val="center"/>
              <w:rPr>
                <w:sz w:val="19"/>
                <w:szCs w:val="19"/>
              </w:rPr>
            </w:pPr>
            <w:r w:rsidRPr="00D80FB5">
              <w:rPr>
                <w:sz w:val="19"/>
                <w:szCs w:val="19"/>
              </w:rPr>
              <w:t>Calculated</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Pr>
                <w:sz w:val="19"/>
                <w:szCs w:val="19"/>
              </w:rPr>
              <w:t>P</w:t>
            </w:r>
            <w:r w:rsidRPr="00D80FB5">
              <w:rPr>
                <w:sz w:val="19"/>
                <w:szCs w:val="19"/>
              </w:rPr>
              <w:t xml:space="preserve">ipe work </w:t>
            </w:r>
            <w:r>
              <w:rPr>
                <w:sz w:val="19"/>
                <w:szCs w:val="19"/>
              </w:rPr>
              <w:t xml:space="preserve">length </w:t>
            </w:r>
            <w:r w:rsidRPr="00D80FB5">
              <w:rPr>
                <w:sz w:val="19"/>
                <w:szCs w:val="19"/>
              </w:rPr>
              <w:t>(option 2)</w:t>
            </w:r>
          </w:p>
        </w:tc>
        <w:tc>
          <w:tcPr>
            <w:tcW w:w="3544" w:type="dxa"/>
            <w:gridSpan w:val="3"/>
            <w:vAlign w:val="center"/>
          </w:tcPr>
          <w:p w:rsidR="00184620" w:rsidRPr="00D80FB5" w:rsidRDefault="00184620" w:rsidP="002C4CBD">
            <w:pPr>
              <w:jc w:val="center"/>
              <w:rPr>
                <w:sz w:val="19"/>
                <w:szCs w:val="19"/>
              </w:rPr>
            </w:pPr>
            <w:r w:rsidRPr="00D80FB5">
              <w:rPr>
                <w:sz w:val="19"/>
                <w:szCs w:val="19"/>
              </w:rPr>
              <w:t>30 m</w:t>
            </w:r>
          </w:p>
        </w:tc>
        <w:tc>
          <w:tcPr>
            <w:tcW w:w="2996" w:type="dxa"/>
            <w:vAlign w:val="center"/>
          </w:tcPr>
          <w:p w:rsidR="00184620" w:rsidRPr="00D80FB5" w:rsidRDefault="00184620" w:rsidP="002C4CBD">
            <w:pPr>
              <w:jc w:val="center"/>
              <w:rPr>
                <w:sz w:val="19"/>
                <w:szCs w:val="19"/>
              </w:rPr>
            </w:pPr>
            <w:r w:rsidRPr="00D80FB5">
              <w:rPr>
                <w:sz w:val="19"/>
                <w:szCs w:val="19"/>
              </w:rPr>
              <w:t>Design specification</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 xml:space="preserve">Pumping power </w:t>
            </w:r>
            <w:r>
              <w:rPr>
                <w:sz w:val="19"/>
                <w:szCs w:val="19"/>
              </w:rPr>
              <w:t xml:space="preserve">1 </w:t>
            </w:r>
            <w:r w:rsidRPr="00D80FB5">
              <w:rPr>
                <w:sz w:val="19"/>
                <w:szCs w:val="19"/>
              </w:rPr>
              <w:t>(option 2)</w:t>
            </w:r>
          </w:p>
        </w:tc>
        <w:tc>
          <w:tcPr>
            <w:tcW w:w="3544" w:type="dxa"/>
            <w:gridSpan w:val="3"/>
            <w:vAlign w:val="center"/>
          </w:tcPr>
          <w:p w:rsidR="00184620" w:rsidRPr="00D80FB5" w:rsidRDefault="00184620" w:rsidP="002C4CBD">
            <w:pPr>
              <w:jc w:val="center"/>
              <w:rPr>
                <w:sz w:val="19"/>
                <w:szCs w:val="19"/>
              </w:rPr>
            </w:pPr>
            <w:r w:rsidRPr="00D80FB5">
              <w:rPr>
                <w:sz w:val="19"/>
                <w:szCs w:val="19"/>
              </w:rPr>
              <w:t>34.0 kW</w:t>
            </w:r>
          </w:p>
        </w:tc>
        <w:tc>
          <w:tcPr>
            <w:tcW w:w="2996" w:type="dxa"/>
            <w:vAlign w:val="center"/>
          </w:tcPr>
          <w:p w:rsidR="00184620" w:rsidRPr="00D80FB5" w:rsidRDefault="00184620" w:rsidP="002C4CBD">
            <w:pPr>
              <w:jc w:val="center"/>
              <w:rPr>
                <w:sz w:val="19"/>
                <w:szCs w:val="19"/>
              </w:rPr>
            </w:pPr>
            <w:r w:rsidRPr="00D80FB5">
              <w:rPr>
                <w:sz w:val="19"/>
                <w:szCs w:val="19"/>
              </w:rPr>
              <w:t>Calculated</w:t>
            </w:r>
          </w:p>
        </w:tc>
      </w:tr>
      <w:tr w:rsidR="00184620" w:rsidRPr="00402848" w:rsidTr="002C4CBD">
        <w:trPr>
          <w:jc w:val="center"/>
        </w:trPr>
        <w:tc>
          <w:tcPr>
            <w:tcW w:w="917" w:type="dxa"/>
            <w:vMerge w:val="restart"/>
            <w:vAlign w:val="center"/>
          </w:tcPr>
          <w:p w:rsidR="00184620" w:rsidRPr="00D80FB5" w:rsidRDefault="00184620" w:rsidP="002C4CBD">
            <w:pPr>
              <w:rPr>
                <w:sz w:val="19"/>
                <w:szCs w:val="19"/>
              </w:rPr>
            </w:pPr>
            <w:r>
              <w:rPr>
                <w:sz w:val="19"/>
                <w:szCs w:val="19"/>
              </w:rPr>
              <w:t>P</w:t>
            </w:r>
            <w:r w:rsidRPr="00D80FB5">
              <w:rPr>
                <w:sz w:val="19"/>
                <w:szCs w:val="19"/>
              </w:rPr>
              <w:t>ipe work for secondary water loop</w:t>
            </w:r>
          </w:p>
        </w:tc>
        <w:tc>
          <w:tcPr>
            <w:tcW w:w="2551" w:type="dxa"/>
            <w:vAlign w:val="center"/>
          </w:tcPr>
          <w:p w:rsidR="00184620" w:rsidRPr="00D80FB5" w:rsidRDefault="00184620" w:rsidP="002C4CBD">
            <w:pPr>
              <w:rPr>
                <w:sz w:val="19"/>
                <w:szCs w:val="19"/>
              </w:rPr>
            </w:pPr>
            <w:r>
              <w:rPr>
                <w:sz w:val="19"/>
                <w:szCs w:val="19"/>
              </w:rPr>
              <w:t>P</w:t>
            </w:r>
            <w:r w:rsidRPr="00D80FB5">
              <w:rPr>
                <w:sz w:val="19"/>
                <w:szCs w:val="19"/>
              </w:rPr>
              <w:t xml:space="preserve">ipe work </w:t>
            </w:r>
            <w:r>
              <w:rPr>
                <w:sz w:val="19"/>
                <w:szCs w:val="19"/>
              </w:rPr>
              <w:t xml:space="preserve">length </w:t>
            </w:r>
            <w:r w:rsidRPr="00D80FB5">
              <w:rPr>
                <w:sz w:val="19"/>
                <w:szCs w:val="19"/>
              </w:rPr>
              <w:t>(option 1)</w:t>
            </w:r>
          </w:p>
        </w:tc>
        <w:tc>
          <w:tcPr>
            <w:tcW w:w="3544" w:type="dxa"/>
            <w:gridSpan w:val="3"/>
            <w:vAlign w:val="center"/>
          </w:tcPr>
          <w:p w:rsidR="00184620" w:rsidRPr="00D80FB5" w:rsidRDefault="00184620" w:rsidP="002C4CBD">
            <w:pPr>
              <w:jc w:val="center"/>
              <w:rPr>
                <w:sz w:val="19"/>
                <w:szCs w:val="19"/>
              </w:rPr>
            </w:pPr>
            <w:r>
              <w:rPr>
                <w:sz w:val="19"/>
                <w:szCs w:val="19"/>
              </w:rPr>
              <w:t>N/A</w:t>
            </w:r>
            <w:r w:rsidRPr="00D80FB5">
              <w:rPr>
                <w:sz w:val="19"/>
                <w:szCs w:val="19"/>
              </w:rPr>
              <w:t xml:space="preserve"> </w:t>
            </w:r>
          </w:p>
        </w:tc>
        <w:tc>
          <w:tcPr>
            <w:tcW w:w="2996" w:type="dxa"/>
            <w:vAlign w:val="center"/>
          </w:tcPr>
          <w:p w:rsidR="00184620" w:rsidRPr="00D80FB5" w:rsidRDefault="00184620" w:rsidP="002C4CBD">
            <w:pPr>
              <w:jc w:val="center"/>
              <w:rPr>
                <w:sz w:val="19"/>
                <w:szCs w:val="19"/>
              </w:rPr>
            </w:pPr>
            <w:r>
              <w:rPr>
                <w:sz w:val="19"/>
                <w:szCs w:val="19"/>
              </w:rPr>
              <w:t>Assumed incorporated into DHN</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Pumping power (option 1)</w:t>
            </w:r>
          </w:p>
        </w:tc>
        <w:tc>
          <w:tcPr>
            <w:tcW w:w="3544" w:type="dxa"/>
            <w:gridSpan w:val="3"/>
            <w:vAlign w:val="center"/>
          </w:tcPr>
          <w:p w:rsidR="00184620" w:rsidRPr="00D80FB5" w:rsidRDefault="00184620" w:rsidP="002C4CBD">
            <w:pPr>
              <w:jc w:val="center"/>
              <w:rPr>
                <w:sz w:val="19"/>
                <w:szCs w:val="19"/>
              </w:rPr>
            </w:pPr>
            <w:r>
              <w:rPr>
                <w:sz w:val="19"/>
                <w:szCs w:val="19"/>
              </w:rPr>
              <w:t>N/A</w:t>
            </w:r>
          </w:p>
        </w:tc>
        <w:tc>
          <w:tcPr>
            <w:tcW w:w="2996" w:type="dxa"/>
            <w:vAlign w:val="center"/>
          </w:tcPr>
          <w:p w:rsidR="00184620" w:rsidRPr="00D80FB5" w:rsidRDefault="00184620" w:rsidP="002C4CBD">
            <w:pPr>
              <w:jc w:val="center"/>
              <w:rPr>
                <w:sz w:val="19"/>
                <w:szCs w:val="19"/>
              </w:rPr>
            </w:pPr>
            <w:r w:rsidRPr="00D80FB5">
              <w:rPr>
                <w:sz w:val="19"/>
                <w:szCs w:val="19"/>
              </w:rPr>
              <w:t>Assumed no pumping needed</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Pipe diameter</w:t>
            </w:r>
          </w:p>
        </w:tc>
        <w:tc>
          <w:tcPr>
            <w:tcW w:w="3544" w:type="dxa"/>
            <w:gridSpan w:val="3"/>
            <w:vAlign w:val="center"/>
          </w:tcPr>
          <w:p w:rsidR="00184620" w:rsidRPr="00D80FB5" w:rsidRDefault="00184620" w:rsidP="002C4CBD">
            <w:pPr>
              <w:jc w:val="center"/>
              <w:rPr>
                <w:sz w:val="19"/>
                <w:szCs w:val="19"/>
              </w:rPr>
            </w:pPr>
            <w:r w:rsidRPr="00D80FB5">
              <w:rPr>
                <w:sz w:val="19"/>
                <w:szCs w:val="19"/>
              </w:rPr>
              <w:t>6 inch (168.3 mm OD, 154 mm ID)</w:t>
            </w:r>
          </w:p>
        </w:tc>
        <w:tc>
          <w:tcPr>
            <w:tcW w:w="2996" w:type="dxa"/>
            <w:vAlign w:val="center"/>
          </w:tcPr>
          <w:p w:rsidR="00184620" w:rsidRPr="00D80FB5" w:rsidRDefault="00184620" w:rsidP="002C4CBD">
            <w:pPr>
              <w:jc w:val="center"/>
              <w:rPr>
                <w:sz w:val="19"/>
                <w:szCs w:val="19"/>
              </w:rPr>
            </w:pPr>
            <w:r w:rsidRPr="00D80FB5">
              <w:rPr>
                <w:sz w:val="19"/>
                <w:szCs w:val="19"/>
              </w:rPr>
              <w:t>Design specification</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Secondary loop liquid</w:t>
            </w:r>
          </w:p>
        </w:tc>
        <w:tc>
          <w:tcPr>
            <w:tcW w:w="3544" w:type="dxa"/>
            <w:gridSpan w:val="3"/>
            <w:vAlign w:val="center"/>
          </w:tcPr>
          <w:p w:rsidR="00184620" w:rsidRPr="00D80FB5" w:rsidRDefault="00184620" w:rsidP="002C4CBD">
            <w:pPr>
              <w:jc w:val="center"/>
              <w:rPr>
                <w:sz w:val="19"/>
                <w:szCs w:val="19"/>
              </w:rPr>
            </w:pPr>
            <w:r w:rsidRPr="00D80FB5">
              <w:rPr>
                <w:sz w:val="19"/>
                <w:szCs w:val="19"/>
              </w:rPr>
              <w:t>Water</w:t>
            </w:r>
          </w:p>
        </w:tc>
        <w:tc>
          <w:tcPr>
            <w:tcW w:w="2996" w:type="dxa"/>
            <w:vAlign w:val="center"/>
          </w:tcPr>
          <w:p w:rsidR="00184620" w:rsidRPr="00D80FB5" w:rsidRDefault="00184620" w:rsidP="002C4CBD">
            <w:pPr>
              <w:jc w:val="center"/>
              <w:rPr>
                <w:sz w:val="19"/>
                <w:szCs w:val="19"/>
              </w:rPr>
            </w:pPr>
            <w:r w:rsidRPr="00D80FB5">
              <w:rPr>
                <w:sz w:val="19"/>
                <w:szCs w:val="19"/>
              </w:rPr>
              <w:t>Design specification</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Temperatures</w:t>
            </w:r>
          </w:p>
        </w:tc>
        <w:tc>
          <w:tcPr>
            <w:tcW w:w="3544" w:type="dxa"/>
            <w:gridSpan w:val="3"/>
            <w:vAlign w:val="center"/>
          </w:tcPr>
          <w:p w:rsidR="00184620" w:rsidRPr="00D80FB5" w:rsidRDefault="00184620" w:rsidP="002C4CBD">
            <w:pPr>
              <w:jc w:val="center"/>
              <w:rPr>
                <w:sz w:val="19"/>
                <w:szCs w:val="19"/>
              </w:rPr>
            </w:pPr>
            <w:r w:rsidRPr="00D80FB5">
              <w:rPr>
                <w:sz w:val="19"/>
                <w:szCs w:val="19"/>
              </w:rPr>
              <w:t>70°C/40°C</w:t>
            </w:r>
          </w:p>
        </w:tc>
        <w:tc>
          <w:tcPr>
            <w:tcW w:w="2996" w:type="dxa"/>
            <w:vAlign w:val="center"/>
          </w:tcPr>
          <w:p w:rsidR="00184620" w:rsidRPr="00D80FB5" w:rsidRDefault="00184620" w:rsidP="002C4CBD">
            <w:pPr>
              <w:jc w:val="center"/>
              <w:rPr>
                <w:sz w:val="19"/>
                <w:szCs w:val="19"/>
              </w:rPr>
            </w:pPr>
            <w:r w:rsidRPr="00D80FB5">
              <w:rPr>
                <w:sz w:val="19"/>
                <w:szCs w:val="19"/>
              </w:rPr>
              <w:t>Flow / return temperatures for DHN</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 xml:space="preserve">Liquid volumetric flow rate </w:t>
            </w:r>
          </w:p>
        </w:tc>
        <w:tc>
          <w:tcPr>
            <w:tcW w:w="3544" w:type="dxa"/>
            <w:gridSpan w:val="3"/>
            <w:vAlign w:val="center"/>
          </w:tcPr>
          <w:p w:rsidR="00184620" w:rsidRPr="00D80FB5" w:rsidRDefault="00184620" w:rsidP="002C4CBD">
            <w:pPr>
              <w:jc w:val="center"/>
              <w:rPr>
                <w:sz w:val="19"/>
                <w:szCs w:val="19"/>
              </w:rPr>
            </w:pPr>
            <w:r w:rsidRPr="00D80FB5">
              <w:rPr>
                <w:sz w:val="19"/>
                <w:szCs w:val="19"/>
              </w:rPr>
              <w:t>0.010 m</w:t>
            </w:r>
            <w:r w:rsidRPr="00D80FB5">
              <w:rPr>
                <w:sz w:val="19"/>
                <w:szCs w:val="19"/>
                <w:vertAlign w:val="superscript"/>
              </w:rPr>
              <w:t>3</w:t>
            </w:r>
            <w:r w:rsidRPr="00D80FB5">
              <w:rPr>
                <w:sz w:val="19"/>
                <w:szCs w:val="19"/>
              </w:rPr>
              <w:t xml:space="preserve"> s</w:t>
            </w:r>
            <w:r w:rsidRPr="00D80FB5">
              <w:rPr>
                <w:sz w:val="19"/>
                <w:szCs w:val="19"/>
                <w:vertAlign w:val="superscript"/>
              </w:rPr>
              <w:t>-1</w:t>
            </w:r>
          </w:p>
        </w:tc>
        <w:tc>
          <w:tcPr>
            <w:tcW w:w="2996" w:type="dxa"/>
            <w:vAlign w:val="center"/>
          </w:tcPr>
          <w:p w:rsidR="00184620" w:rsidRPr="00D80FB5" w:rsidRDefault="00184620" w:rsidP="002C4CBD">
            <w:pPr>
              <w:jc w:val="center"/>
              <w:rPr>
                <w:sz w:val="19"/>
                <w:szCs w:val="19"/>
              </w:rPr>
            </w:pPr>
            <w:r w:rsidRPr="00D80FB5">
              <w:rPr>
                <w:sz w:val="19"/>
                <w:szCs w:val="19"/>
              </w:rPr>
              <w:t>Design specification</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Pr>
                <w:sz w:val="19"/>
                <w:szCs w:val="19"/>
              </w:rPr>
              <w:t>P</w:t>
            </w:r>
            <w:r w:rsidRPr="00D80FB5">
              <w:rPr>
                <w:sz w:val="19"/>
                <w:szCs w:val="19"/>
              </w:rPr>
              <w:t xml:space="preserve">ipe work </w:t>
            </w:r>
            <w:r>
              <w:rPr>
                <w:sz w:val="19"/>
                <w:szCs w:val="19"/>
              </w:rPr>
              <w:t xml:space="preserve">length </w:t>
            </w:r>
            <w:r w:rsidRPr="00D80FB5">
              <w:rPr>
                <w:sz w:val="19"/>
                <w:szCs w:val="19"/>
              </w:rPr>
              <w:t>(option 2)</w:t>
            </w:r>
          </w:p>
        </w:tc>
        <w:tc>
          <w:tcPr>
            <w:tcW w:w="3544" w:type="dxa"/>
            <w:gridSpan w:val="3"/>
            <w:vAlign w:val="center"/>
          </w:tcPr>
          <w:p w:rsidR="00184620" w:rsidRPr="00D80FB5" w:rsidRDefault="00184620" w:rsidP="002C4CBD">
            <w:pPr>
              <w:jc w:val="center"/>
              <w:rPr>
                <w:sz w:val="19"/>
                <w:szCs w:val="19"/>
              </w:rPr>
            </w:pPr>
            <w:r w:rsidRPr="00D80FB5">
              <w:rPr>
                <w:sz w:val="19"/>
                <w:szCs w:val="19"/>
              </w:rPr>
              <w:t xml:space="preserve">840 m </w:t>
            </w:r>
          </w:p>
        </w:tc>
        <w:tc>
          <w:tcPr>
            <w:tcW w:w="2996" w:type="dxa"/>
            <w:vAlign w:val="center"/>
          </w:tcPr>
          <w:p w:rsidR="00184620" w:rsidRPr="00D80FB5" w:rsidRDefault="00184620" w:rsidP="002C4CBD">
            <w:pPr>
              <w:jc w:val="center"/>
              <w:rPr>
                <w:sz w:val="19"/>
                <w:szCs w:val="19"/>
              </w:rPr>
            </w:pPr>
            <w:r w:rsidRPr="00D80FB5">
              <w:rPr>
                <w:sz w:val="19"/>
                <w:szCs w:val="19"/>
              </w:rPr>
              <w:t xml:space="preserve">Design </w:t>
            </w:r>
            <w:r>
              <w:rPr>
                <w:sz w:val="19"/>
                <w:szCs w:val="19"/>
              </w:rPr>
              <w:t>specification</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 xml:space="preserve">Total </w:t>
            </w:r>
            <w:r w:rsidRPr="00D80FB5">
              <w:rPr>
                <w:sz w:val="19"/>
                <w:szCs w:val="19"/>
              </w:rPr>
              <w:sym w:font="Symbol" w:char="F044"/>
            </w:r>
            <w:r w:rsidRPr="00D80FB5">
              <w:rPr>
                <w:sz w:val="19"/>
                <w:szCs w:val="19"/>
              </w:rPr>
              <w:t>P (option 2)</w:t>
            </w:r>
          </w:p>
        </w:tc>
        <w:tc>
          <w:tcPr>
            <w:tcW w:w="3544" w:type="dxa"/>
            <w:gridSpan w:val="3"/>
            <w:vAlign w:val="center"/>
          </w:tcPr>
          <w:p w:rsidR="00184620" w:rsidRPr="00D80FB5" w:rsidRDefault="00184620" w:rsidP="002C4CBD">
            <w:pPr>
              <w:jc w:val="center"/>
              <w:rPr>
                <w:sz w:val="19"/>
                <w:szCs w:val="19"/>
              </w:rPr>
            </w:pPr>
            <w:r w:rsidRPr="00D80FB5">
              <w:rPr>
                <w:sz w:val="19"/>
                <w:szCs w:val="19"/>
              </w:rPr>
              <w:t>370 kPa</w:t>
            </w:r>
          </w:p>
        </w:tc>
        <w:tc>
          <w:tcPr>
            <w:tcW w:w="2996" w:type="dxa"/>
            <w:vAlign w:val="center"/>
          </w:tcPr>
          <w:p w:rsidR="00184620" w:rsidRPr="00D80FB5" w:rsidRDefault="00184620" w:rsidP="002C4CBD">
            <w:pPr>
              <w:jc w:val="center"/>
              <w:rPr>
                <w:sz w:val="19"/>
                <w:szCs w:val="19"/>
              </w:rPr>
            </w:pPr>
            <w:r w:rsidRPr="00D80FB5">
              <w:rPr>
                <w:sz w:val="19"/>
                <w:szCs w:val="19"/>
              </w:rPr>
              <w:t>Calculated</w:t>
            </w:r>
          </w:p>
        </w:tc>
      </w:tr>
      <w:tr w:rsidR="00184620" w:rsidRPr="00402848" w:rsidTr="002C4CBD">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 xml:space="preserve">Pumping power </w:t>
            </w:r>
            <w:r>
              <w:rPr>
                <w:sz w:val="19"/>
                <w:szCs w:val="19"/>
              </w:rPr>
              <w:t xml:space="preserve">2 </w:t>
            </w:r>
            <w:r w:rsidRPr="00D80FB5">
              <w:rPr>
                <w:sz w:val="19"/>
                <w:szCs w:val="19"/>
              </w:rPr>
              <w:t>(option 2)</w:t>
            </w:r>
          </w:p>
        </w:tc>
        <w:tc>
          <w:tcPr>
            <w:tcW w:w="3544" w:type="dxa"/>
            <w:gridSpan w:val="3"/>
            <w:vAlign w:val="center"/>
          </w:tcPr>
          <w:p w:rsidR="00184620" w:rsidRPr="00D80FB5" w:rsidRDefault="00184620" w:rsidP="002C4CBD">
            <w:pPr>
              <w:jc w:val="center"/>
              <w:rPr>
                <w:sz w:val="19"/>
                <w:szCs w:val="19"/>
              </w:rPr>
            </w:pPr>
            <w:r w:rsidRPr="00D80FB5">
              <w:rPr>
                <w:sz w:val="19"/>
                <w:szCs w:val="19"/>
              </w:rPr>
              <w:t>7.43 kW</w:t>
            </w:r>
          </w:p>
        </w:tc>
        <w:tc>
          <w:tcPr>
            <w:tcW w:w="2996" w:type="dxa"/>
            <w:vAlign w:val="center"/>
          </w:tcPr>
          <w:p w:rsidR="00184620" w:rsidRPr="00D80FB5" w:rsidRDefault="00184620" w:rsidP="002C4CBD">
            <w:pPr>
              <w:jc w:val="center"/>
              <w:rPr>
                <w:sz w:val="19"/>
                <w:szCs w:val="19"/>
              </w:rPr>
            </w:pPr>
            <w:r w:rsidRPr="00D80FB5">
              <w:rPr>
                <w:sz w:val="19"/>
                <w:szCs w:val="19"/>
              </w:rPr>
              <w:t>Calculated</w:t>
            </w:r>
          </w:p>
        </w:tc>
      </w:tr>
      <w:tr w:rsidR="00184620" w:rsidRPr="00402848" w:rsidTr="002C4CBD">
        <w:tblPrEx>
          <w:tblCellMar>
            <w:left w:w="108" w:type="dxa"/>
            <w:right w:w="108" w:type="dxa"/>
          </w:tblCellMar>
        </w:tblPrEx>
        <w:trPr>
          <w:jc w:val="center"/>
        </w:trPr>
        <w:tc>
          <w:tcPr>
            <w:tcW w:w="917" w:type="dxa"/>
            <w:vMerge w:val="restart"/>
            <w:vAlign w:val="center"/>
          </w:tcPr>
          <w:p w:rsidR="00184620" w:rsidRPr="00D80FB5" w:rsidRDefault="00184620" w:rsidP="002C4CBD">
            <w:pPr>
              <w:rPr>
                <w:sz w:val="19"/>
                <w:szCs w:val="19"/>
              </w:rPr>
            </w:pPr>
            <w:r w:rsidRPr="00D80FB5">
              <w:rPr>
                <w:sz w:val="19"/>
                <w:szCs w:val="19"/>
              </w:rPr>
              <w:t>Heat pump (HP)</w:t>
            </w:r>
          </w:p>
        </w:tc>
        <w:tc>
          <w:tcPr>
            <w:tcW w:w="2551" w:type="dxa"/>
            <w:vAlign w:val="center"/>
          </w:tcPr>
          <w:p w:rsidR="00184620" w:rsidRPr="00D80FB5" w:rsidRDefault="00184620" w:rsidP="002C4CBD">
            <w:pPr>
              <w:rPr>
                <w:sz w:val="19"/>
                <w:szCs w:val="19"/>
              </w:rPr>
            </w:pPr>
            <w:r w:rsidRPr="00D80FB5">
              <w:rPr>
                <w:sz w:val="19"/>
                <w:szCs w:val="19"/>
              </w:rPr>
              <w:t>Evaporator HX type</w:t>
            </w:r>
          </w:p>
        </w:tc>
        <w:tc>
          <w:tcPr>
            <w:tcW w:w="3544" w:type="dxa"/>
            <w:gridSpan w:val="3"/>
            <w:vAlign w:val="center"/>
          </w:tcPr>
          <w:p w:rsidR="00184620" w:rsidRPr="00D80FB5" w:rsidRDefault="00184620" w:rsidP="002C4CBD">
            <w:pPr>
              <w:jc w:val="center"/>
              <w:rPr>
                <w:sz w:val="19"/>
                <w:szCs w:val="19"/>
              </w:rPr>
            </w:pPr>
            <w:r w:rsidRPr="00D80FB5">
              <w:rPr>
                <w:sz w:val="19"/>
                <w:szCs w:val="19"/>
              </w:rPr>
              <w:t>Shell and plate heat exchanger</w:t>
            </w:r>
          </w:p>
        </w:tc>
        <w:tc>
          <w:tcPr>
            <w:tcW w:w="2996" w:type="dxa"/>
            <w:vMerge w:val="restart"/>
            <w:vAlign w:val="center"/>
          </w:tcPr>
          <w:p w:rsidR="00184620" w:rsidRPr="00D80FB5" w:rsidRDefault="00184620" w:rsidP="002C4CBD">
            <w:pPr>
              <w:jc w:val="center"/>
              <w:rPr>
                <w:sz w:val="19"/>
                <w:szCs w:val="19"/>
              </w:rPr>
            </w:pPr>
            <w:r w:rsidRPr="00D80FB5">
              <w:rPr>
                <w:sz w:val="19"/>
                <w:szCs w:val="19"/>
              </w:rPr>
              <w:t>Design specification</w:t>
            </w:r>
          </w:p>
        </w:tc>
      </w:tr>
      <w:tr w:rsidR="00184620" w:rsidRPr="00402848" w:rsidTr="002C4CBD">
        <w:tblPrEx>
          <w:tblCellMar>
            <w:left w:w="108" w:type="dxa"/>
            <w:right w:w="108" w:type="dxa"/>
          </w:tblCellMar>
        </w:tblPrEx>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Capacity</w:t>
            </w:r>
          </w:p>
        </w:tc>
        <w:tc>
          <w:tcPr>
            <w:tcW w:w="3544" w:type="dxa"/>
            <w:gridSpan w:val="3"/>
            <w:vAlign w:val="center"/>
          </w:tcPr>
          <w:p w:rsidR="00184620" w:rsidRPr="00D80FB5" w:rsidRDefault="00184620" w:rsidP="002C4CBD">
            <w:pPr>
              <w:jc w:val="center"/>
              <w:rPr>
                <w:sz w:val="19"/>
                <w:szCs w:val="19"/>
              </w:rPr>
            </w:pPr>
            <w:r w:rsidRPr="00D80FB5">
              <w:rPr>
                <w:sz w:val="19"/>
                <w:szCs w:val="19"/>
              </w:rPr>
              <w:t>900 kW</w:t>
            </w:r>
          </w:p>
        </w:tc>
        <w:tc>
          <w:tcPr>
            <w:tcW w:w="2996" w:type="dxa"/>
            <w:vMerge/>
            <w:vAlign w:val="center"/>
          </w:tcPr>
          <w:p w:rsidR="00184620" w:rsidRPr="00D80FB5" w:rsidRDefault="00184620" w:rsidP="002C4CBD">
            <w:pPr>
              <w:jc w:val="center"/>
              <w:rPr>
                <w:sz w:val="19"/>
                <w:szCs w:val="19"/>
              </w:rPr>
            </w:pPr>
          </w:p>
        </w:tc>
      </w:tr>
      <w:tr w:rsidR="00184620" w:rsidRPr="00402848" w:rsidTr="002C4CBD">
        <w:tblPrEx>
          <w:tblCellMar>
            <w:left w:w="108" w:type="dxa"/>
            <w:right w:w="108" w:type="dxa"/>
          </w:tblCellMar>
        </w:tblPrEx>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UA value</w:t>
            </w:r>
          </w:p>
        </w:tc>
        <w:tc>
          <w:tcPr>
            <w:tcW w:w="3544" w:type="dxa"/>
            <w:gridSpan w:val="3"/>
            <w:vAlign w:val="center"/>
          </w:tcPr>
          <w:p w:rsidR="00184620" w:rsidRPr="00D80FB5" w:rsidRDefault="00184620" w:rsidP="002C4CBD">
            <w:pPr>
              <w:jc w:val="center"/>
              <w:rPr>
                <w:sz w:val="19"/>
                <w:szCs w:val="19"/>
              </w:rPr>
            </w:pPr>
            <w:r w:rsidRPr="00D80FB5">
              <w:rPr>
                <w:sz w:val="19"/>
                <w:szCs w:val="19"/>
              </w:rPr>
              <w:t>199 kW/K</w:t>
            </w:r>
          </w:p>
        </w:tc>
        <w:tc>
          <w:tcPr>
            <w:tcW w:w="2996" w:type="dxa"/>
            <w:vMerge/>
            <w:vAlign w:val="center"/>
          </w:tcPr>
          <w:p w:rsidR="00184620" w:rsidRPr="00D80FB5" w:rsidRDefault="00184620" w:rsidP="002C4CBD">
            <w:pPr>
              <w:jc w:val="center"/>
              <w:rPr>
                <w:sz w:val="19"/>
                <w:szCs w:val="19"/>
              </w:rPr>
            </w:pPr>
          </w:p>
        </w:tc>
      </w:tr>
      <w:tr w:rsidR="00184620" w:rsidRPr="00402848" w:rsidTr="002C4CBD">
        <w:tblPrEx>
          <w:tblCellMar>
            <w:left w:w="108" w:type="dxa"/>
            <w:right w:w="108" w:type="dxa"/>
          </w:tblCellMar>
        </w:tblPrEx>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 xml:space="preserve">Liquid </w:t>
            </w:r>
          </w:p>
        </w:tc>
        <w:tc>
          <w:tcPr>
            <w:tcW w:w="3544" w:type="dxa"/>
            <w:gridSpan w:val="3"/>
            <w:vAlign w:val="center"/>
          </w:tcPr>
          <w:p w:rsidR="00184620" w:rsidRPr="00D80FB5" w:rsidRDefault="00184620" w:rsidP="002C4CBD">
            <w:pPr>
              <w:jc w:val="center"/>
              <w:rPr>
                <w:sz w:val="19"/>
                <w:szCs w:val="19"/>
              </w:rPr>
            </w:pPr>
            <w:r w:rsidRPr="00D80FB5">
              <w:rPr>
                <w:sz w:val="19"/>
                <w:szCs w:val="19"/>
              </w:rPr>
              <w:t>30% propylene glycol /water mix</w:t>
            </w:r>
          </w:p>
        </w:tc>
        <w:tc>
          <w:tcPr>
            <w:tcW w:w="2996" w:type="dxa"/>
            <w:vMerge w:val="restart"/>
            <w:vAlign w:val="center"/>
          </w:tcPr>
          <w:p w:rsidR="00184620" w:rsidRPr="00D80FB5" w:rsidRDefault="00184620" w:rsidP="002C4CBD">
            <w:pPr>
              <w:jc w:val="center"/>
              <w:rPr>
                <w:sz w:val="19"/>
                <w:szCs w:val="19"/>
              </w:rPr>
            </w:pPr>
            <w:r w:rsidRPr="00D80FB5">
              <w:rPr>
                <w:sz w:val="19"/>
                <w:szCs w:val="19"/>
              </w:rPr>
              <w:t>Design data</w:t>
            </w:r>
          </w:p>
        </w:tc>
      </w:tr>
      <w:tr w:rsidR="00184620" w:rsidRPr="00402848" w:rsidTr="002C4CBD">
        <w:tblPrEx>
          <w:tblCellMar>
            <w:left w:w="108" w:type="dxa"/>
            <w:right w:w="108" w:type="dxa"/>
          </w:tblCellMar>
        </w:tblPrEx>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Liquid-side ∆T</w:t>
            </w:r>
          </w:p>
        </w:tc>
        <w:tc>
          <w:tcPr>
            <w:tcW w:w="3544" w:type="dxa"/>
            <w:gridSpan w:val="3"/>
            <w:vAlign w:val="center"/>
          </w:tcPr>
          <w:p w:rsidR="00184620" w:rsidRPr="00D80FB5" w:rsidRDefault="00184620" w:rsidP="002C4CBD">
            <w:pPr>
              <w:jc w:val="center"/>
              <w:rPr>
                <w:sz w:val="19"/>
                <w:szCs w:val="19"/>
              </w:rPr>
            </w:pPr>
            <w:r w:rsidRPr="00D80FB5">
              <w:rPr>
                <w:sz w:val="19"/>
                <w:szCs w:val="19"/>
              </w:rPr>
              <w:t>5K</w:t>
            </w:r>
          </w:p>
        </w:tc>
        <w:tc>
          <w:tcPr>
            <w:tcW w:w="2996" w:type="dxa"/>
            <w:vMerge/>
            <w:vAlign w:val="center"/>
          </w:tcPr>
          <w:p w:rsidR="00184620" w:rsidRPr="00D80FB5" w:rsidRDefault="00184620" w:rsidP="002C4CBD">
            <w:pPr>
              <w:jc w:val="center"/>
              <w:rPr>
                <w:sz w:val="19"/>
                <w:szCs w:val="19"/>
              </w:rPr>
            </w:pPr>
          </w:p>
        </w:tc>
      </w:tr>
      <w:tr w:rsidR="00184620" w:rsidRPr="00402848" w:rsidTr="002C4CBD">
        <w:tblPrEx>
          <w:tblCellMar>
            <w:left w:w="108" w:type="dxa"/>
            <w:right w:w="108" w:type="dxa"/>
          </w:tblCellMar>
        </w:tblPrEx>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 xml:space="preserve">Evap </w:t>
            </w:r>
            <w:r>
              <w:rPr>
                <w:sz w:val="19"/>
                <w:szCs w:val="19"/>
              </w:rPr>
              <w:t>a</w:t>
            </w:r>
            <w:r w:rsidRPr="00D80FB5">
              <w:rPr>
                <w:sz w:val="19"/>
                <w:szCs w:val="19"/>
              </w:rPr>
              <w:t xml:space="preserve">pproach temperature </w:t>
            </w:r>
          </w:p>
        </w:tc>
        <w:tc>
          <w:tcPr>
            <w:tcW w:w="3544" w:type="dxa"/>
            <w:gridSpan w:val="3"/>
            <w:vAlign w:val="center"/>
          </w:tcPr>
          <w:p w:rsidR="00184620" w:rsidRPr="00D80FB5" w:rsidRDefault="00184620" w:rsidP="002C4CBD">
            <w:pPr>
              <w:jc w:val="center"/>
              <w:rPr>
                <w:sz w:val="19"/>
                <w:szCs w:val="19"/>
              </w:rPr>
            </w:pPr>
            <w:r w:rsidRPr="00D80FB5">
              <w:rPr>
                <w:sz w:val="19"/>
                <w:szCs w:val="19"/>
              </w:rPr>
              <w:t>2.5 K</w:t>
            </w:r>
          </w:p>
        </w:tc>
        <w:tc>
          <w:tcPr>
            <w:tcW w:w="2996" w:type="dxa"/>
            <w:vMerge/>
            <w:vAlign w:val="center"/>
          </w:tcPr>
          <w:p w:rsidR="00184620" w:rsidRPr="00D80FB5" w:rsidRDefault="00184620" w:rsidP="002C4CBD">
            <w:pPr>
              <w:jc w:val="center"/>
              <w:rPr>
                <w:sz w:val="19"/>
                <w:szCs w:val="19"/>
              </w:rPr>
            </w:pPr>
          </w:p>
        </w:tc>
      </w:tr>
      <w:tr w:rsidR="00184620" w:rsidRPr="00402848" w:rsidTr="002C4CBD">
        <w:tblPrEx>
          <w:tblCellMar>
            <w:left w:w="108" w:type="dxa"/>
            <w:right w:w="108" w:type="dxa"/>
          </w:tblCellMar>
        </w:tblPrEx>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Heat pump fluid</w:t>
            </w:r>
          </w:p>
        </w:tc>
        <w:tc>
          <w:tcPr>
            <w:tcW w:w="3544" w:type="dxa"/>
            <w:gridSpan w:val="3"/>
            <w:vAlign w:val="center"/>
          </w:tcPr>
          <w:p w:rsidR="00184620" w:rsidRPr="00D80FB5" w:rsidRDefault="00184620" w:rsidP="002C4CBD">
            <w:pPr>
              <w:jc w:val="center"/>
              <w:rPr>
                <w:sz w:val="19"/>
                <w:szCs w:val="19"/>
              </w:rPr>
            </w:pPr>
            <w:r w:rsidRPr="00D80FB5">
              <w:rPr>
                <w:sz w:val="19"/>
                <w:szCs w:val="19"/>
              </w:rPr>
              <w:t>Ammonia</w:t>
            </w:r>
          </w:p>
        </w:tc>
        <w:tc>
          <w:tcPr>
            <w:tcW w:w="2996" w:type="dxa"/>
            <w:vAlign w:val="center"/>
          </w:tcPr>
          <w:p w:rsidR="00184620" w:rsidRPr="00D80FB5" w:rsidRDefault="00184620" w:rsidP="002C4CBD">
            <w:pPr>
              <w:jc w:val="center"/>
              <w:rPr>
                <w:sz w:val="19"/>
                <w:szCs w:val="19"/>
              </w:rPr>
            </w:pPr>
            <w:r w:rsidRPr="00D80FB5">
              <w:rPr>
                <w:sz w:val="19"/>
                <w:szCs w:val="19"/>
              </w:rPr>
              <w:t>Design specification</w:t>
            </w:r>
          </w:p>
        </w:tc>
      </w:tr>
      <w:tr w:rsidR="00184620" w:rsidRPr="00402848" w:rsidTr="002C4CBD">
        <w:tblPrEx>
          <w:tblCellMar>
            <w:left w:w="108" w:type="dxa"/>
            <w:right w:w="108" w:type="dxa"/>
          </w:tblCellMar>
        </w:tblPrEx>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COP</w:t>
            </w:r>
            <w:r w:rsidRPr="00D80FB5">
              <w:rPr>
                <w:sz w:val="19"/>
                <w:szCs w:val="19"/>
                <w:vertAlign w:val="subscript"/>
              </w:rPr>
              <w:t>heating</w:t>
            </w:r>
            <w:r w:rsidRPr="00D80FB5">
              <w:rPr>
                <w:sz w:val="19"/>
                <w:szCs w:val="19"/>
              </w:rPr>
              <w:t xml:space="preserve"> delivery at 70°C</w:t>
            </w:r>
          </w:p>
        </w:tc>
        <w:tc>
          <w:tcPr>
            <w:tcW w:w="3544" w:type="dxa"/>
            <w:gridSpan w:val="3"/>
            <w:vAlign w:val="center"/>
          </w:tcPr>
          <w:p w:rsidR="00184620" w:rsidRPr="00D80FB5" w:rsidRDefault="00184620" w:rsidP="00FE0B8E">
            <w:pPr>
              <w:jc w:val="center"/>
              <w:rPr>
                <w:sz w:val="19"/>
                <w:szCs w:val="19"/>
              </w:rPr>
            </w:pPr>
            <w:r>
              <w:rPr>
                <w:sz w:val="19"/>
                <w:szCs w:val="19"/>
              </w:rPr>
              <w:t xml:space="preserve">Range </w:t>
            </w:r>
            <w:r w:rsidR="00FE0B8E">
              <w:rPr>
                <w:sz w:val="19"/>
                <w:szCs w:val="19"/>
              </w:rPr>
              <w:t>2.8</w:t>
            </w:r>
            <w:r w:rsidRPr="00D80FB5">
              <w:rPr>
                <w:sz w:val="19"/>
                <w:szCs w:val="19"/>
              </w:rPr>
              <w:t xml:space="preserve"> </w:t>
            </w:r>
            <w:r w:rsidR="00FE0B8E">
              <w:rPr>
                <w:sz w:val="19"/>
                <w:szCs w:val="19"/>
              </w:rPr>
              <w:t>–</w:t>
            </w:r>
            <w:r w:rsidRPr="00D80FB5">
              <w:rPr>
                <w:sz w:val="19"/>
                <w:szCs w:val="19"/>
              </w:rPr>
              <w:t xml:space="preserve"> </w:t>
            </w:r>
            <w:r w:rsidR="00FE0B8E">
              <w:rPr>
                <w:sz w:val="19"/>
                <w:szCs w:val="19"/>
              </w:rPr>
              <w:t>3.9</w:t>
            </w:r>
            <w:r w:rsidRPr="00D80FB5">
              <w:rPr>
                <w:sz w:val="19"/>
                <w:szCs w:val="19"/>
              </w:rPr>
              <w:t xml:space="preserve"> </w:t>
            </w:r>
          </w:p>
        </w:tc>
        <w:tc>
          <w:tcPr>
            <w:tcW w:w="2996" w:type="dxa"/>
            <w:vAlign w:val="center"/>
          </w:tcPr>
          <w:p w:rsidR="00184620" w:rsidRPr="00D80FB5" w:rsidRDefault="00184620" w:rsidP="002C4CBD">
            <w:pPr>
              <w:jc w:val="center"/>
              <w:rPr>
                <w:sz w:val="19"/>
                <w:szCs w:val="19"/>
              </w:rPr>
            </w:pPr>
            <w:r w:rsidRPr="00D80FB5">
              <w:rPr>
                <w:sz w:val="19"/>
                <w:szCs w:val="19"/>
              </w:rPr>
              <w:t>Calculated</w:t>
            </w:r>
          </w:p>
        </w:tc>
      </w:tr>
      <w:tr w:rsidR="00184620" w:rsidRPr="00402848" w:rsidTr="002C4CBD">
        <w:tblPrEx>
          <w:tblCellMar>
            <w:left w:w="108" w:type="dxa"/>
            <w:right w:w="108" w:type="dxa"/>
          </w:tblCellMar>
        </w:tblPrEx>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 xml:space="preserve">Condenser heat exchanger </w:t>
            </w:r>
          </w:p>
        </w:tc>
        <w:tc>
          <w:tcPr>
            <w:tcW w:w="3544" w:type="dxa"/>
            <w:gridSpan w:val="3"/>
            <w:vAlign w:val="center"/>
          </w:tcPr>
          <w:p w:rsidR="00184620" w:rsidRPr="00D80FB5" w:rsidRDefault="00184620" w:rsidP="002C4CBD">
            <w:pPr>
              <w:jc w:val="center"/>
              <w:rPr>
                <w:sz w:val="19"/>
                <w:szCs w:val="19"/>
              </w:rPr>
            </w:pPr>
            <w:r w:rsidRPr="00D80FB5">
              <w:rPr>
                <w:sz w:val="19"/>
                <w:szCs w:val="19"/>
              </w:rPr>
              <w:t>Shell and plate heat exchanger</w:t>
            </w:r>
          </w:p>
        </w:tc>
        <w:tc>
          <w:tcPr>
            <w:tcW w:w="2996" w:type="dxa"/>
            <w:vMerge w:val="restart"/>
            <w:vAlign w:val="center"/>
          </w:tcPr>
          <w:p w:rsidR="00184620" w:rsidRPr="00D80FB5" w:rsidRDefault="00184620" w:rsidP="002C4CBD">
            <w:pPr>
              <w:jc w:val="center"/>
              <w:rPr>
                <w:sz w:val="19"/>
                <w:szCs w:val="19"/>
              </w:rPr>
            </w:pPr>
            <w:r w:rsidRPr="00D80FB5">
              <w:rPr>
                <w:sz w:val="19"/>
                <w:szCs w:val="19"/>
              </w:rPr>
              <w:t>Design specification</w:t>
            </w:r>
          </w:p>
        </w:tc>
      </w:tr>
      <w:tr w:rsidR="00184620" w:rsidRPr="00402848" w:rsidTr="002C4CBD">
        <w:tblPrEx>
          <w:tblCellMar>
            <w:left w:w="108" w:type="dxa"/>
            <w:right w:w="108" w:type="dxa"/>
          </w:tblCellMar>
        </w:tblPrEx>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Delivery side liquid</w:t>
            </w:r>
          </w:p>
        </w:tc>
        <w:tc>
          <w:tcPr>
            <w:tcW w:w="3544" w:type="dxa"/>
            <w:gridSpan w:val="3"/>
            <w:vAlign w:val="center"/>
          </w:tcPr>
          <w:p w:rsidR="00184620" w:rsidRPr="00D80FB5" w:rsidRDefault="00184620" w:rsidP="002C4CBD">
            <w:pPr>
              <w:jc w:val="center"/>
              <w:rPr>
                <w:sz w:val="19"/>
                <w:szCs w:val="19"/>
              </w:rPr>
            </w:pPr>
            <w:r w:rsidRPr="00D80FB5">
              <w:rPr>
                <w:sz w:val="19"/>
                <w:szCs w:val="19"/>
              </w:rPr>
              <w:t>Water</w:t>
            </w:r>
          </w:p>
        </w:tc>
        <w:tc>
          <w:tcPr>
            <w:tcW w:w="2996" w:type="dxa"/>
            <w:vMerge/>
            <w:vAlign w:val="center"/>
          </w:tcPr>
          <w:p w:rsidR="00184620" w:rsidRPr="00D80FB5" w:rsidRDefault="00184620" w:rsidP="002C4CBD">
            <w:pPr>
              <w:jc w:val="center"/>
              <w:rPr>
                <w:sz w:val="19"/>
                <w:szCs w:val="19"/>
              </w:rPr>
            </w:pPr>
          </w:p>
        </w:tc>
      </w:tr>
      <w:tr w:rsidR="00184620" w:rsidRPr="00402848" w:rsidTr="002C4CBD">
        <w:tblPrEx>
          <w:tblCellMar>
            <w:left w:w="108" w:type="dxa"/>
            <w:right w:w="108" w:type="dxa"/>
          </w:tblCellMar>
        </w:tblPrEx>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sidRPr="00D80FB5">
              <w:rPr>
                <w:sz w:val="19"/>
                <w:szCs w:val="19"/>
              </w:rPr>
              <w:t>Delivery side ∆T</w:t>
            </w:r>
          </w:p>
        </w:tc>
        <w:tc>
          <w:tcPr>
            <w:tcW w:w="3544" w:type="dxa"/>
            <w:gridSpan w:val="3"/>
            <w:vAlign w:val="center"/>
          </w:tcPr>
          <w:p w:rsidR="00184620" w:rsidRPr="00D80FB5" w:rsidRDefault="00184620" w:rsidP="002C4CBD">
            <w:pPr>
              <w:jc w:val="center"/>
              <w:rPr>
                <w:sz w:val="19"/>
                <w:szCs w:val="19"/>
              </w:rPr>
            </w:pPr>
            <w:r w:rsidRPr="00D80FB5">
              <w:rPr>
                <w:sz w:val="19"/>
                <w:szCs w:val="19"/>
              </w:rPr>
              <w:t>70°C/40°C</w:t>
            </w:r>
          </w:p>
        </w:tc>
        <w:tc>
          <w:tcPr>
            <w:tcW w:w="2996" w:type="dxa"/>
            <w:vMerge/>
            <w:vAlign w:val="center"/>
          </w:tcPr>
          <w:p w:rsidR="00184620" w:rsidRPr="00D80FB5" w:rsidRDefault="00184620" w:rsidP="002C4CBD">
            <w:pPr>
              <w:jc w:val="center"/>
              <w:rPr>
                <w:sz w:val="19"/>
                <w:szCs w:val="19"/>
              </w:rPr>
            </w:pPr>
          </w:p>
        </w:tc>
      </w:tr>
      <w:tr w:rsidR="00184620" w:rsidRPr="00402848" w:rsidTr="002C4CBD">
        <w:tblPrEx>
          <w:tblCellMar>
            <w:left w:w="108" w:type="dxa"/>
            <w:right w:w="108" w:type="dxa"/>
          </w:tblCellMar>
        </w:tblPrEx>
        <w:trPr>
          <w:jc w:val="center"/>
        </w:trPr>
        <w:tc>
          <w:tcPr>
            <w:tcW w:w="917" w:type="dxa"/>
            <w:vMerge/>
          </w:tcPr>
          <w:p w:rsidR="00184620" w:rsidRPr="00D80FB5" w:rsidRDefault="00184620" w:rsidP="002C4CBD">
            <w:pPr>
              <w:rPr>
                <w:sz w:val="19"/>
                <w:szCs w:val="19"/>
              </w:rPr>
            </w:pPr>
          </w:p>
        </w:tc>
        <w:tc>
          <w:tcPr>
            <w:tcW w:w="2551" w:type="dxa"/>
            <w:vAlign w:val="center"/>
          </w:tcPr>
          <w:p w:rsidR="00184620" w:rsidRPr="00D80FB5" w:rsidRDefault="00184620" w:rsidP="002C4CBD">
            <w:pPr>
              <w:rPr>
                <w:sz w:val="19"/>
                <w:szCs w:val="19"/>
              </w:rPr>
            </w:pPr>
            <w:r>
              <w:rPr>
                <w:sz w:val="19"/>
                <w:szCs w:val="19"/>
              </w:rPr>
              <w:t>Cond a</w:t>
            </w:r>
            <w:r w:rsidRPr="00D80FB5">
              <w:rPr>
                <w:sz w:val="19"/>
                <w:szCs w:val="19"/>
              </w:rPr>
              <w:t xml:space="preserve">pproach temperature </w:t>
            </w:r>
          </w:p>
        </w:tc>
        <w:tc>
          <w:tcPr>
            <w:tcW w:w="3544" w:type="dxa"/>
            <w:gridSpan w:val="3"/>
            <w:vAlign w:val="center"/>
          </w:tcPr>
          <w:p w:rsidR="00184620" w:rsidRPr="00D80FB5" w:rsidRDefault="00184620" w:rsidP="002C4CBD">
            <w:pPr>
              <w:jc w:val="center"/>
              <w:rPr>
                <w:sz w:val="19"/>
                <w:szCs w:val="19"/>
              </w:rPr>
            </w:pPr>
            <w:r w:rsidRPr="00D80FB5">
              <w:rPr>
                <w:sz w:val="19"/>
                <w:szCs w:val="19"/>
              </w:rPr>
              <w:t>0.3K</w:t>
            </w:r>
          </w:p>
        </w:tc>
        <w:tc>
          <w:tcPr>
            <w:tcW w:w="2996" w:type="dxa"/>
            <w:vMerge/>
            <w:vAlign w:val="center"/>
          </w:tcPr>
          <w:p w:rsidR="00184620" w:rsidRPr="00D80FB5" w:rsidRDefault="00184620" w:rsidP="002C4CBD">
            <w:pPr>
              <w:jc w:val="center"/>
              <w:rPr>
                <w:sz w:val="19"/>
                <w:szCs w:val="19"/>
              </w:rPr>
            </w:pPr>
          </w:p>
        </w:tc>
      </w:tr>
    </w:tbl>
    <w:p w:rsidR="000972FF" w:rsidRDefault="00184620" w:rsidP="002C4CBD">
      <w:pPr>
        <w:spacing w:after="0" w:line="240" w:lineRule="auto"/>
      </w:pPr>
      <w:r>
        <w:t>N/A = No</w:t>
      </w:r>
      <w:r w:rsidR="007403AA">
        <w:t>t applicable; Misc. = miscellan</w:t>
      </w:r>
      <w:r>
        <w:t>eous</w:t>
      </w:r>
      <w:r w:rsidR="008733C2">
        <w:t>; Evap = evaporator; Cond = condenser</w:t>
      </w:r>
    </w:p>
    <w:p w:rsidR="000972FF" w:rsidRDefault="000972FF" w:rsidP="00D2527D">
      <w:pPr>
        <w:pStyle w:val="10Level1Heading"/>
        <w:jc w:val="both"/>
      </w:pPr>
      <w:r>
        <w:lastRenderedPageBreak/>
        <w:t xml:space="preserve">A graph of coefficient of </w:t>
      </w:r>
      <w:r w:rsidR="00FE0B8E">
        <w:t>performance</w:t>
      </w:r>
      <w:r>
        <w:t xml:space="preserve"> (CoP) for the heat pump at different operating conditions</w:t>
      </w:r>
      <w:r w:rsidR="00482A28">
        <w:t>,</w:t>
      </w:r>
      <w:r>
        <w:t xml:space="preserve"> </w:t>
      </w:r>
      <w:r w:rsidR="00482A28">
        <w:t xml:space="preserve">for a condensing temperature of 70.3°C, </w:t>
      </w:r>
      <w:r>
        <w:t>was constructed from manufacturer</w:t>
      </w:r>
      <w:r w:rsidR="00482A28">
        <w:t>s’</w:t>
      </w:r>
      <w:r>
        <w:t xml:space="preserve"> data, and is shown in Figure 5.</w:t>
      </w:r>
    </w:p>
    <w:p w:rsidR="003C1596" w:rsidRDefault="00482A28" w:rsidP="00482A28">
      <w:pPr>
        <w:pStyle w:val="10Level1Heading"/>
      </w:pPr>
      <w:r>
        <w:rPr>
          <w:noProof/>
          <w:lang w:eastAsia="en-GB"/>
        </w:rPr>
        <w:drawing>
          <wp:inline distT="0" distB="0" distL="0" distR="0">
            <wp:extent cx="3420000" cy="2053884"/>
            <wp:effectExtent l="19050" t="0" r="9000" b="0"/>
            <wp:docPr id="4" name="Picture 3" descr="Figure 5 - ins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 insert.tif"/>
                    <pic:cNvPicPr/>
                  </pic:nvPicPr>
                  <pic:blipFill>
                    <a:blip r:embed="rId13" cstate="print"/>
                    <a:stretch>
                      <a:fillRect/>
                    </a:stretch>
                  </pic:blipFill>
                  <pic:spPr>
                    <a:xfrm>
                      <a:off x="0" y="0"/>
                      <a:ext cx="3420000" cy="2053884"/>
                    </a:xfrm>
                    <a:prstGeom prst="rect">
                      <a:avLst/>
                    </a:prstGeom>
                  </pic:spPr>
                </pic:pic>
              </a:graphicData>
            </a:graphic>
          </wp:inline>
        </w:drawing>
      </w:r>
    </w:p>
    <w:p w:rsidR="000972FF" w:rsidRDefault="003C1596" w:rsidP="003C1596">
      <w:pPr>
        <w:pStyle w:val="10Level1Heading"/>
        <w:rPr>
          <w:b/>
        </w:rPr>
      </w:pPr>
      <w:r w:rsidRPr="003C1596">
        <w:rPr>
          <w:b/>
        </w:rPr>
        <w:t xml:space="preserve">Figure 5 </w:t>
      </w:r>
      <w:r w:rsidR="00482A28">
        <w:rPr>
          <w:b/>
        </w:rPr>
        <w:tab/>
      </w:r>
      <w:r w:rsidRPr="003C1596">
        <w:rPr>
          <w:b/>
        </w:rPr>
        <w:t xml:space="preserve">Graph of CoP versus Evaporator temperature </w:t>
      </w:r>
      <w:r>
        <w:rPr>
          <w:b/>
        </w:rPr>
        <w:t xml:space="preserve">for </w:t>
      </w:r>
      <w:r w:rsidRPr="003C1596">
        <w:rPr>
          <w:b/>
        </w:rPr>
        <w:t>selected heat pump</w:t>
      </w:r>
    </w:p>
    <w:p w:rsidR="00A61F56" w:rsidRDefault="000B2F34" w:rsidP="00D2527D">
      <w:pPr>
        <w:pStyle w:val="10Level1Heading"/>
        <w:jc w:val="both"/>
      </w:pPr>
      <w:r>
        <w:t>A</w:t>
      </w:r>
      <w:r w:rsidR="00CE5F92">
        <w:t xml:space="preserve"> number of assumptions were used for the model, including: </w:t>
      </w:r>
    </w:p>
    <w:p w:rsidR="00507417" w:rsidRDefault="00CE5F92" w:rsidP="00507417">
      <w:pPr>
        <w:pStyle w:val="10Level1Heading"/>
        <w:spacing w:after="0"/>
        <w:jc w:val="both"/>
      </w:pPr>
      <w:r>
        <w:t xml:space="preserve">(i) </w:t>
      </w:r>
      <w:r w:rsidR="00A61F56">
        <w:t xml:space="preserve">a fixed quantity of heat was recovered from the HRHX throughout the year, whether the ventilation shaft was operated in exhaust or supply. This was achieved by allowing the water temperatures to fall in the primary water loop, to maintain the difference between the air on temperature and the water in the heat exchanger coil; </w:t>
      </w:r>
    </w:p>
    <w:p w:rsidR="0016598A" w:rsidRDefault="00A61F56" w:rsidP="00507417">
      <w:pPr>
        <w:pStyle w:val="10Level1Heading"/>
        <w:spacing w:after="0"/>
        <w:jc w:val="both"/>
      </w:pPr>
      <w:r>
        <w:t>(ii) the heat pump was able to deliver heat to the DHN at a temperature of 70°C for all operating conditions;</w:t>
      </w:r>
    </w:p>
    <w:p w:rsidR="00A61F56" w:rsidRDefault="00A61F56" w:rsidP="00507417">
      <w:pPr>
        <w:pStyle w:val="10Level1Heading"/>
        <w:spacing w:after="0"/>
        <w:jc w:val="both"/>
      </w:pPr>
      <w:r>
        <w:t>(iii)</w:t>
      </w:r>
      <w:r w:rsidR="00BD39E7">
        <w:t xml:space="preserve"> the coefficient of performance (C</w:t>
      </w:r>
      <w:r w:rsidR="000D3A5C">
        <w:t>oP) for the heat pump varied</w:t>
      </w:r>
      <w:r w:rsidR="00BD39E7">
        <w:t xml:space="preserve"> </w:t>
      </w:r>
      <w:r w:rsidR="000D3A5C">
        <w:t>with</w:t>
      </w:r>
      <w:r w:rsidR="00BD39E7">
        <w:t xml:space="preserve"> the evaporator temperature. The CoP for the heat pump was calculated from the evaporator temperature using manufacturer data;</w:t>
      </w:r>
    </w:p>
    <w:p w:rsidR="00BD39E7" w:rsidRDefault="00BD39E7" w:rsidP="00507417">
      <w:pPr>
        <w:pStyle w:val="10Level1Heading"/>
        <w:spacing w:after="0"/>
        <w:jc w:val="both"/>
      </w:pPr>
      <w:r>
        <w:t>(iv) the energy input ne</w:t>
      </w:r>
      <w:r w:rsidR="000D3A5C">
        <w:t xml:space="preserve">eded for the heat pump was </w:t>
      </w:r>
      <w:r>
        <w:t>calculated from either the quantity of heat absorbed or rejected and the CoP for these conditions;</w:t>
      </w:r>
    </w:p>
    <w:p w:rsidR="003C1596" w:rsidRDefault="00BD39E7" w:rsidP="00507417">
      <w:pPr>
        <w:pStyle w:val="10Level1Heading"/>
        <w:spacing w:after="0"/>
        <w:jc w:val="both"/>
      </w:pPr>
      <w:r>
        <w:t>(v) the water pump</w:t>
      </w:r>
      <w:r w:rsidR="000D3A5C">
        <w:t xml:space="preserve"> efficiency</w:t>
      </w:r>
      <w:r>
        <w:t xml:space="preserve"> used for both the primary water loop and for the se</w:t>
      </w:r>
      <w:r w:rsidR="000D3A5C">
        <w:t>condary water loop where used</w:t>
      </w:r>
      <w:r w:rsidR="003C1596">
        <w:t>, was assumed to be 0.5. The pump efficiency used is actual efficiency over maximum theoretical flow rate and is a conservative estimate from manufacturers’ data;</w:t>
      </w:r>
    </w:p>
    <w:p w:rsidR="00BD39E7" w:rsidRDefault="00BD39E7" w:rsidP="00507417">
      <w:pPr>
        <w:pStyle w:val="10Level1Heading"/>
        <w:spacing w:after="0"/>
        <w:jc w:val="both"/>
      </w:pPr>
      <w:r>
        <w:t>(vi) cost of electricity £0.098 per kWh (BEIS, 2017);</w:t>
      </w:r>
    </w:p>
    <w:p w:rsidR="00BD39E7" w:rsidRDefault="00BD39E7" w:rsidP="00507417">
      <w:pPr>
        <w:pStyle w:val="10Level1Heading"/>
        <w:spacing w:after="0"/>
        <w:jc w:val="both"/>
      </w:pPr>
      <w:r>
        <w:t>(vii) cost of gas £0.022 per kWh (BEIS, 2017);</w:t>
      </w:r>
    </w:p>
    <w:p w:rsidR="00BD39E7" w:rsidRDefault="00BD39E7" w:rsidP="00507417">
      <w:pPr>
        <w:pStyle w:val="10Level1Heading"/>
        <w:spacing w:after="0"/>
        <w:jc w:val="both"/>
      </w:pPr>
      <w:r>
        <w:t>(viii) carbon factor for electricity 0.41 kg CO</w:t>
      </w:r>
      <w:r w:rsidRPr="00840957">
        <w:rPr>
          <w:vertAlign w:val="subscript"/>
        </w:rPr>
        <w:t>2</w:t>
      </w:r>
      <w:r>
        <w:t>e per kWh (DEFRA, 2016);</w:t>
      </w:r>
    </w:p>
    <w:p w:rsidR="00840957" w:rsidRDefault="00840957" w:rsidP="00507417">
      <w:pPr>
        <w:pStyle w:val="10Level1Heading"/>
        <w:spacing w:after="0"/>
        <w:jc w:val="both"/>
      </w:pPr>
      <w:r>
        <w:t>(ix) carbon factor for gas 0.18 kg CO</w:t>
      </w:r>
      <w:r w:rsidRPr="00840957">
        <w:rPr>
          <w:vertAlign w:val="subscript"/>
        </w:rPr>
        <w:t>2</w:t>
      </w:r>
      <w:r>
        <w:t>e per kWh (DEFRA, 2016);</w:t>
      </w:r>
    </w:p>
    <w:p w:rsidR="00840957" w:rsidRDefault="00840957" w:rsidP="00D2527D">
      <w:pPr>
        <w:pStyle w:val="10Level1Heading"/>
        <w:jc w:val="both"/>
      </w:pPr>
      <w:r>
        <w:t xml:space="preserve">(x) renewable heat incentive (RHI) </w:t>
      </w:r>
      <w:r w:rsidR="000D3A5C">
        <w:t>(UK G</w:t>
      </w:r>
      <w:r>
        <w:t xml:space="preserve">overnment) payment </w:t>
      </w:r>
      <w:r w:rsidR="000D3A5C">
        <w:t xml:space="preserve">for </w:t>
      </w:r>
      <w:r>
        <w:t xml:space="preserve">renewable heat delivered by heat pumps £0.025 per kWh (Ofgem, 2016) </w:t>
      </w:r>
    </w:p>
    <w:p w:rsidR="005F3401" w:rsidRDefault="00840957" w:rsidP="00D2527D">
      <w:pPr>
        <w:pStyle w:val="10Level1Heading"/>
        <w:jc w:val="both"/>
      </w:pPr>
      <w:r>
        <w:t>RHI is currently only applicable to heat pumps delivering heat only (i.e. no simultaneous cooling), for non-domestic installations</w:t>
      </w:r>
      <w:r w:rsidR="005F3401">
        <w:t xml:space="preserve">, </w:t>
      </w:r>
      <w:r w:rsidR="00507417">
        <w:t xml:space="preserve">therefore </w:t>
      </w:r>
      <w:r w:rsidR="005F3401">
        <w:t>RHI has only been applied when operating the ventilation shaft in exhaust mode.</w:t>
      </w:r>
    </w:p>
    <w:p w:rsidR="00507417" w:rsidRDefault="005F3401" w:rsidP="00D2527D">
      <w:pPr>
        <w:pStyle w:val="10Level1Heading"/>
        <w:jc w:val="both"/>
      </w:pPr>
      <w:r>
        <w:lastRenderedPageBreak/>
        <w:t xml:space="preserve">The model was used to investigate the performance of the MICAH system throughout the year, using measured, weekly averaged, tunnel air temperatures and ambient air temperatures, as input data. In addition, the effects of operating the MICAH system in either supply </w:t>
      </w:r>
      <w:r w:rsidR="0079614B">
        <w:t xml:space="preserve">(i.e. integrated cooling and heating) mode </w:t>
      </w:r>
      <w:r>
        <w:t xml:space="preserve">or exhaust </w:t>
      </w:r>
      <w:r w:rsidR="00A664EF">
        <w:t xml:space="preserve">(i.e. heating only) mode </w:t>
      </w:r>
      <w:r>
        <w:t>for different periods through the year was investigated.</w:t>
      </w:r>
      <w:r w:rsidR="005F65CD">
        <w:t xml:space="preserve">  The model is based upon meeting a base load and all of the heat being utilised. If heat is rejected this will reduce the cost benefit accordingly.</w:t>
      </w:r>
    </w:p>
    <w:p w:rsidR="005F65CD" w:rsidRPr="00482A28" w:rsidRDefault="005F65CD" w:rsidP="00D2527D">
      <w:pPr>
        <w:pStyle w:val="10Level1Heading"/>
        <w:jc w:val="both"/>
      </w:pPr>
      <w:r>
        <w:t>When the M</w:t>
      </w:r>
      <w:r w:rsidR="00A64E7C">
        <w:t>ICAH system is operated in supply mode</w:t>
      </w:r>
      <w:r>
        <w:t>, it should be noted that the temperature of air flowing through the HRHX varies with ambient temperature.</w:t>
      </w:r>
    </w:p>
    <w:p w:rsidR="00E2599A" w:rsidRDefault="00036301" w:rsidP="00D2527D">
      <w:pPr>
        <w:pStyle w:val="10Level1Heading"/>
        <w:jc w:val="both"/>
        <w:rPr>
          <w:b/>
        </w:rPr>
      </w:pPr>
      <w:r w:rsidRPr="00D2527D">
        <w:rPr>
          <w:b/>
        </w:rPr>
        <w:t>3.0</w:t>
      </w:r>
      <w:r w:rsidRPr="00D2527D">
        <w:rPr>
          <w:b/>
        </w:rPr>
        <w:tab/>
      </w:r>
      <w:r w:rsidR="00E6052A" w:rsidRPr="00D2527D">
        <w:rPr>
          <w:b/>
        </w:rPr>
        <w:t xml:space="preserve">Results </w:t>
      </w:r>
      <w:r w:rsidR="001D4E02" w:rsidRPr="00D2527D">
        <w:rPr>
          <w:b/>
        </w:rPr>
        <w:t>and discussion</w:t>
      </w:r>
    </w:p>
    <w:p w:rsidR="00A64E7C" w:rsidRPr="00A64E7C" w:rsidRDefault="00A64E7C" w:rsidP="00A64E7C">
      <w:pPr>
        <w:pStyle w:val="10Level1Heading"/>
        <w:jc w:val="both"/>
      </w:pPr>
      <w:r w:rsidRPr="00EF25ED">
        <w:t xml:space="preserve">Some of the results </w:t>
      </w:r>
      <w:r>
        <w:t>from the model are presented in Figures 6 to 13 below. The analysis includes temporal variation in ambient air temperature and is implicit in each of the figures.</w:t>
      </w:r>
    </w:p>
    <w:p w:rsidR="00036301" w:rsidRPr="00036301" w:rsidRDefault="00036301" w:rsidP="00D2527D">
      <w:pPr>
        <w:pStyle w:val="10Level1Heading"/>
        <w:jc w:val="both"/>
      </w:pPr>
      <w:r w:rsidRPr="00036301">
        <w:t xml:space="preserve">3.1 </w:t>
      </w:r>
      <w:r w:rsidRPr="00036301">
        <w:tab/>
      </w:r>
      <w:r w:rsidR="0097489C">
        <w:t>Comparing design layout options</w:t>
      </w:r>
    </w:p>
    <w:p w:rsidR="00E2599A" w:rsidRPr="00EF25ED" w:rsidRDefault="00112AC1" w:rsidP="00D2527D">
      <w:pPr>
        <w:pStyle w:val="10Level1Heading"/>
        <w:jc w:val="both"/>
      </w:pPr>
      <w:r>
        <w:t>A compar</w:t>
      </w:r>
      <w:r w:rsidR="00E2599A" w:rsidRPr="00EF25ED">
        <w:t xml:space="preserve">ison of cooling and heating energy benefits for different </w:t>
      </w:r>
      <w:r w:rsidR="00A664EF">
        <w:t>periods of the year in integrated cooling and heating mode (with the remainder in heating only mode)</w:t>
      </w:r>
      <w:r w:rsidR="00E2599A" w:rsidRPr="00EF25ED">
        <w:t xml:space="preserve">, for design layout options 1 and 2 </w:t>
      </w:r>
      <w:r w:rsidR="00A664EF">
        <w:t>is</w:t>
      </w:r>
      <w:r w:rsidR="00E2599A" w:rsidRPr="00EF25ED">
        <w:t xml:space="preserve"> shown in Figure </w:t>
      </w:r>
      <w:r w:rsidR="00482A28">
        <w:t>6</w:t>
      </w:r>
      <w:r w:rsidR="00E2599A" w:rsidRPr="00EF25ED">
        <w:t xml:space="preserve"> below.</w:t>
      </w:r>
      <w:r w:rsidR="00482A28">
        <w:t xml:space="preserve"> </w:t>
      </w:r>
    </w:p>
    <w:p w:rsidR="00E2599A" w:rsidRDefault="00B6610B" w:rsidP="00D2527D">
      <w:pPr>
        <w:pStyle w:val="10Level1Heading"/>
      </w:pPr>
      <w:r>
        <w:rPr>
          <w:noProof/>
          <w:lang w:eastAsia="en-GB"/>
        </w:rPr>
        <w:drawing>
          <wp:inline distT="0" distB="0" distL="0" distR="0">
            <wp:extent cx="3315600" cy="2165462"/>
            <wp:effectExtent l="19050" t="0" r="0" b="0"/>
            <wp:docPr id="12" name="Picture 11" descr="Figure 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b.tif"/>
                    <pic:cNvPicPr/>
                  </pic:nvPicPr>
                  <pic:blipFill>
                    <a:blip r:embed="rId14" cstate="print"/>
                    <a:stretch>
                      <a:fillRect/>
                    </a:stretch>
                  </pic:blipFill>
                  <pic:spPr>
                    <a:xfrm>
                      <a:off x="0" y="0"/>
                      <a:ext cx="3315600" cy="2165462"/>
                    </a:xfrm>
                    <a:prstGeom prst="rect">
                      <a:avLst/>
                    </a:prstGeom>
                  </pic:spPr>
                </pic:pic>
              </a:graphicData>
            </a:graphic>
          </wp:inline>
        </w:drawing>
      </w:r>
    </w:p>
    <w:p w:rsidR="00966B5E" w:rsidRPr="00482A28" w:rsidRDefault="00482A28" w:rsidP="00482A28">
      <w:pPr>
        <w:pStyle w:val="10Level1Heading"/>
        <w:rPr>
          <w:b/>
        </w:rPr>
      </w:pPr>
      <w:r>
        <w:rPr>
          <w:b/>
        </w:rPr>
        <w:t>Figure 6</w:t>
      </w:r>
      <w:r w:rsidR="00500B2D" w:rsidRPr="00D2527D">
        <w:rPr>
          <w:b/>
        </w:rPr>
        <w:tab/>
      </w:r>
      <w:r w:rsidR="00500B2D" w:rsidRPr="00D2527D">
        <w:rPr>
          <w:b/>
        </w:rPr>
        <w:tab/>
      </w:r>
      <w:r w:rsidR="00E2599A" w:rsidRPr="00D2527D">
        <w:rPr>
          <w:b/>
        </w:rPr>
        <w:t>Cooling and</w:t>
      </w:r>
      <w:r w:rsidR="00500B2D" w:rsidRPr="00D2527D">
        <w:rPr>
          <w:b/>
        </w:rPr>
        <w:t xml:space="preserve"> heating benefits for MICAH </w:t>
      </w:r>
      <w:r w:rsidR="00E2599A" w:rsidRPr="00D2527D">
        <w:rPr>
          <w:b/>
        </w:rPr>
        <w:t>for layout options 1 and 2</w:t>
      </w:r>
    </w:p>
    <w:p w:rsidR="00EF1710" w:rsidRPr="007F5786" w:rsidRDefault="00482A28" w:rsidP="00D2527D">
      <w:pPr>
        <w:pStyle w:val="10Level1Heading"/>
        <w:jc w:val="both"/>
      </w:pPr>
      <w:r>
        <w:t>It is seen from Figure 6</w:t>
      </w:r>
      <w:r w:rsidR="00EF1710" w:rsidRPr="007F5786">
        <w:t xml:space="preserve"> that the cooling and heating benefits are simil</w:t>
      </w:r>
      <w:r w:rsidR="00F57985">
        <w:t>ar for layout options 1 and 2,</w:t>
      </w:r>
      <w:r w:rsidR="00EF1710" w:rsidRPr="007F5786">
        <w:t xml:space="preserve"> although </w:t>
      </w:r>
      <w:r w:rsidR="00500B2D">
        <w:t xml:space="preserve">the heating delivered is </w:t>
      </w:r>
      <w:r w:rsidR="00EF1710" w:rsidRPr="007F5786">
        <w:t xml:space="preserve">marginally </w:t>
      </w:r>
      <w:r w:rsidR="00500B2D">
        <w:t xml:space="preserve">less </w:t>
      </w:r>
      <w:r w:rsidR="00EF1710" w:rsidRPr="007F5786">
        <w:t xml:space="preserve">for option 2. </w:t>
      </w:r>
      <w:r w:rsidR="000A598D">
        <w:t xml:space="preserve">This is due to a small amount of heat loss </w:t>
      </w:r>
      <w:r w:rsidR="001A0E66">
        <w:t>while</w:t>
      </w:r>
      <w:r w:rsidR="000A598D">
        <w:t xml:space="preserve"> transporting the high temperature </w:t>
      </w:r>
      <w:r w:rsidR="001A0E66">
        <w:t xml:space="preserve">i.e. 70°C, water leaving the heat pump for layout option 2. </w:t>
      </w:r>
      <w:r w:rsidR="00500B2D">
        <w:t>Overall, t</w:t>
      </w:r>
      <w:r w:rsidR="00EF1710" w:rsidRPr="007F5786">
        <w:t>he heating delivered to the DHN increase</w:t>
      </w:r>
      <w:r w:rsidR="00D106F6">
        <w:t>s steadily</w:t>
      </w:r>
      <w:r w:rsidR="00EF1710" w:rsidRPr="007F5786">
        <w:t xml:space="preserve"> </w:t>
      </w:r>
      <w:r w:rsidR="00D106F6">
        <w:t xml:space="preserve">for both layouts as the number of months in integrated cooling and heating mode i.e. </w:t>
      </w:r>
      <w:r w:rsidR="00EF1710" w:rsidRPr="007F5786">
        <w:t>supply mode</w:t>
      </w:r>
      <w:r w:rsidR="00D106F6">
        <w:t>,</w:t>
      </w:r>
      <w:r w:rsidR="00EF1710" w:rsidRPr="007F5786">
        <w:t xml:space="preserve"> increases. This is due to the lower air on temperatures in supply mode, which leads to </w:t>
      </w:r>
      <w:r w:rsidR="00500B2D">
        <w:t xml:space="preserve">a </w:t>
      </w:r>
      <w:r w:rsidR="00EF1710" w:rsidRPr="007F5786">
        <w:t xml:space="preserve">small increase in the energy input to the system </w:t>
      </w:r>
      <w:r w:rsidR="00D106F6">
        <w:t xml:space="preserve">being </w:t>
      </w:r>
      <w:r w:rsidR="00EF1710" w:rsidRPr="007F5786">
        <w:t>needed</w:t>
      </w:r>
      <w:r w:rsidR="00D106F6">
        <w:t>, resulting in a corresponding increase in heat output</w:t>
      </w:r>
      <w:r w:rsidR="00EF1710" w:rsidRPr="007F5786">
        <w:t xml:space="preserve">.  The quantity of cooling provided increases steadily </w:t>
      </w:r>
      <w:r w:rsidR="004265B2">
        <w:t>with</w:t>
      </w:r>
      <w:r w:rsidR="00D106F6">
        <w:t xml:space="preserve"> the </w:t>
      </w:r>
      <w:r w:rsidR="005314B0">
        <w:t xml:space="preserve">number of months in integrated cooling and heating </w:t>
      </w:r>
      <w:r w:rsidR="00E61AA3">
        <w:t>mode</w:t>
      </w:r>
      <w:r w:rsidR="00EF1710" w:rsidRPr="007F5786">
        <w:t>.</w:t>
      </w:r>
    </w:p>
    <w:p w:rsidR="004265B2" w:rsidRPr="007F5786" w:rsidRDefault="00EF1710" w:rsidP="008733C2">
      <w:pPr>
        <w:pStyle w:val="10Level1Heading"/>
        <w:jc w:val="both"/>
      </w:pPr>
      <w:r w:rsidRPr="007F5786">
        <w:t>The cost savings for MICAH compared with supplying the same amount of heat by CHP and the same amount of cooling by conventional vapour compression ref</w:t>
      </w:r>
      <w:r w:rsidR="005F3401">
        <w:t xml:space="preserve">rigeration </w:t>
      </w:r>
      <w:r w:rsidR="00F37213">
        <w:t xml:space="preserve">(VCR) </w:t>
      </w:r>
      <w:r w:rsidR="00482A28">
        <w:t>are shown in Figure 7</w:t>
      </w:r>
      <w:r w:rsidRPr="007F5786">
        <w:t xml:space="preserve"> below. Cost savings are shown</w:t>
      </w:r>
      <w:r w:rsidR="00500B2D">
        <w:t xml:space="preserve"> </w:t>
      </w:r>
      <w:r w:rsidRPr="007F5786">
        <w:t>both with and without RHI applied</w:t>
      </w:r>
      <w:r w:rsidR="00500B2D">
        <w:t>, for layout options 1 and 2</w:t>
      </w:r>
      <w:r w:rsidRPr="007F5786">
        <w:t>.</w:t>
      </w:r>
    </w:p>
    <w:p w:rsidR="00EF1710" w:rsidRDefault="00AC403C" w:rsidP="00D2527D">
      <w:pPr>
        <w:pStyle w:val="10Level1Heading"/>
      </w:pPr>
      <w:r>
        <w:rPr>
          <w:noProof/>
          <w:lang w:eastAsia="en-GB"/>
        </w:rPr>
        <w:lastRenderedPageBreak/>
        <w:drawing>
          <wp:inline distT="0" distB="0" distL="0" distR="0">
            <wp:extent cx="3315600" cy="2165462"/>
            <wp:effectExtent l="19050" t="0" r="0" b="0"/>
            <wp:docPr id="3" name="Picture 2" descr="Figure 6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c.tif"/>
                    <pic:cNvPicPr/>
                  </pic:nvPicPr>
                  <pic:blipFill>
                    <a:blip r:embed="rId15" cstate="print"/>
                    <a:stretch>
                      <a:fillRect/>
                    </a:stretch>
                  </pic:blipFill>
                  <pic:spPr>
                    <a:xfrm>
                      <a:off x="0" y="0"/>
                      <a:ext cx="3315600" cy="2165462"/>
                    </a:xfrm>
                    <a:prstGeom prst="rect">
                      <a:avLst/>
                    </a:prstGeom>
                  </pic:spPr>
                </pic:pic>
              </a:graphicData>
            </a:graphic>
          </wp:inline>
        </w:drawing>
      </w:r>
    </w:p>
    <w:p w:rsidR="00EF1710" w:rsidRPr="00C415ED" w:rsidRDefault="00482A28" w:rsidP="00C415ED">
      <w:pPr>
        <w:ind w:left="1440" w:hanging="1440"/>
        <w:jc w:val="center"/>
        <w:rPr>
          <w:rFonts w:cs="Arial"/>
          <w:b/>
        </w:rPr>
      </w:pPr>
      <w:r>
        <w:rPr>
          <w:b/>
        </w:rPr>
        <w:t>Figure 7</w:t>
      </w:r>
      <w:r w:rsidR="002F7539">
        <w:rPr>
          <w:b/>
        </w:rPr>
        <w:t xml:space="preserve"> </w:t>
      </w:r>
      <w:r w:rsidR="002F7539">
        <w:rPr>
          <w:b/>
        </w:rPr>
        <w:tab/>
      </w:r>
      <w:r w:rsidR="002F7539">
        <w:rPr>
          <w:rFonts w:cs="Arial"/>
          <w:b/>
        </w:rPr>
        <w:t>C</w:t>
      </w:r>
      <w:r w:rsidR="002F7539" w:rsidRPr="008706B0">
        <w:rPr>
          <w:rFonts w:cs="Arial"/>
          <w:b/>
        </w:rPr>
        <w:t>ost savings</w:t>
      </w:r>
      <w:r w:rsidR="002F7539">
        <w:rPr>
          <w:rFonts w:cs="Arial"/>
          <w:b/>
        </w:rPr>
        <w:t xml:space="preserve"> (with and without RHI)</w:t>
      </w:r>
      <w:r w:rsidR="002F7539" w:rsidRPr="008706B0">
        <w:rPr>
          <w:rFonts w:cs="Arial"/>
          <w:b/>
        </w:rPr>
        <w:t xml:space="preserve"> </w:t>
      </w:r>
      <w:r w:rsidR="002F7539">
        <w:rPr>
          <w:rFonts w:cs="Arial"/>
          <w:b/>
        </w:rPr>
        <w:t>for MICAH compared with</w:t>
      </w:r>
      <w:r w:rsidR="002F7539" w:rsidRPr="008706B0">
        <w:rPr>
          <w:rFonts w:cs="Arial"/>
          <w:b/>
        </w:rPr>
        <w:t xml:space="preserve"> CHP </w:t>
      </w:r>
      <w:r w:rsidR="002F7539">
        <w:rPr>
          <w:rFonts w:cs="Arial"/>
          <w:b/>
        </w:rPr>
        <w:t xml:space="preserve">heating </w:t>
      </w:r>
      <w:r w:rsidR="002F7539" w:rsidRPr="008706B0">
        <w:rPr>
          <w:rFonts w:cs="Arial"/>
          <w:b/>
        </w:rPr>
        <w:t xml:space="preserve">and </w:t>
      </w:r>
      <w:r w:rsidR="00F37213">
        <w:rPr>
          <w:rFonts w:cs="Arial"/>
          <w:b/>
        </w:rPr>
        <w:t>VCR</w:t>
      </w:r>
      <w:r w:rsidR="002F7539">
        <w:rPr>
          <w:rFonts w:cs="Arial"/>
          <w:b/>
        </w:rPr>
        <w:t xml:space="preserve"> cooling for layout options 1 and 2</w:t>
      </w:r>
    </w:p>
    <w:p w:rsidR="004265B2" w:rsidRDefault="00482A28" w:rsidP="00D2527D">
      <w:pPr>
        <w:pStyle w:val="10Level1Heading"/>
        <w:jc w:val="both"/>
      </w:pPr>
      <w:r>
        <w:t>Figure 7</w:t>
      </w:r>
      <w:r w:rsidR="00EF1710" w:rsidRPr="007F5786">
        <w:t xml:space="preserve"> shows that there is a marginal increase in cost savings f</w:t>
      </w:r>
      <w:r w:rsidR="000A598D">
        <w:t>or design layout option 1 compared to option 2</w:t>
      </w:r>
      <w:r w:rsidR="00EF1710" w:rsidRPr="007F5786">
        <w:t xml:space="preserve">, </w:t>
      </w:r>
      <w:r w:rsidR="00F37213">
        <w:t>both with and without RHI, under all operating conditions</w:t>
      </w:r>
      <w:r w:rsidR="00EF1710" w:rsidRPr="007F5786">
        <w:t xml:space="preserve">.  </w:t>
      </w:r>
      <w:r w:rsidR="006130D0">
        <w:t>I</w:t>
      </w:r>
      <w:r w:rsidR="00EF1710" w:rsidRPr="007F5786">
        <w:t xml:space="preserve">t is seen that with RHI included, the greatest savings are achieved when operating for </w:t>
      </w:r>
      <w:r w:rsidR="00E61AA3">
        <w:t>0 months in cooling and heating mode (</w:t>
      </w:r>
      <w:r w:rsidR="00EF1710" w:rsidRPr="007F5786">
        <w:t xml:space="preserve">12 months in </w:t>
      </w:r>
      <w:r w:rsidR="006130D0">
        <w:t xml:space="preserve">heating only i.e. </w:t>
      </w:r>
      <w:r w:rsidR="00E61AA3">
        <w:t xml:space="preserve">exhaust </w:t>
      </w:r>
      <w:r w:rsidR="00EF1710" w:rsidRPr="007F5786">
        <w:t>mode</w:t>
      </w:r>
      <w:r w:rsidR="00E61AA3">
        <w:t>). H</w:t>
      </w:r>
      <w:r w:rsidR="00EF1710" w:rsidRPr="007F5786">
        <w:t xml:space="preserve">owever, these savings decrease steadily, as the </w:t>
      </w:r>
      <w:r w:rsidR="006130D0">
        <w:t>number of months</w:t>
      </w:r>
      <w:r w:rsidR="00EF1710" w:rsidRPr="007F5786">
        <w:t xml:space="preserve"> operated in </w:t>
      </w:r>
      <w:r w:rsidR="006130D0">
        <w:t xml:space="preserve">integrated cooling and heating i.e. </w:t>
      </w:r>
      <w:r w:rsidR="00EF1710" w:rsidRPr="007F5786">
        <w:t xml:space="preserve">supply mode increases. In contrast, if RHI is not included, cost savings increase steadily, as the proportion of the year operated in </w:t>
      </w:r>
      <w:r w:rsidR="006130D0">
        <w:t xml:space="preserve">integrated cooling and heating </w:t>
      </w:r>
      <w:r w:rsidR="00EF1710" w:rsidRPr="007F5786">
        <w:t>mode increases.  This reflects the fact that under current rules, RHI can only be applied when operating the system in heating only mo</w:t>
      </w:r>
      <w:r w:rsidR="004265B2">
        <w:t xml:space="preserve">de. </w:t>
      </w:r>
    </w:p>
    <w:p w:rsidR="000C7FB4" w:rsidRDefault="000C7FB4" w:rsidP="00D2527D">
      <w:pPr>
        <w:pStyle w:val="10Level1Heading"/>
        <w:jc w:val="both"/>
      </w:pPr>
      <w:r>
        <w:t xml:space="preserve">Capital costs and payback periods for the various systems and scenarios were </w:t>
      </w:r>
      <w:r w:rsidR="00C65EDD">
        <w:t xml:space="preserve">also </w:t>
      </w:r>
      <w:r>
        <w:t>investigated and payback periods of around 20 years were calculated.</w:t>
      </w:r>
    </w:p>
    <w:p w:rsidR="00EF1710" w:rsidRPr="007F5786" w:rsidRDefault="00EF1710" w:rsidP="00D2527D">
      <w:pPr>
        <w:pStyle w:val="10Level1Heading"/>
        <w:jc w:val="both"/>
      </w:pPr>
      <w:r w:rsidRPr="007F5786">
        <w:t>The potential carbon savings available for MICAH compared to conventional cooling and heati</w:t>
      </w:r>
      <w:r w:rsidR="000C7FB4">
        <w:t>ng systems are shown in Figure 8</w:t>
      </w:r>
      <w:r w:rsidRPr="007F5786">
        <w:t xml:space="preserve"> below.</w:t>
      </w:r>
    </w:p>
    <w:p w:rsidR="00EF1710" w:rsidRPr="007032FF" w:rsidRDefault="00AC403C" w:rsidP="00D2527D">
      <w:pPr>
        <w:pStyle w:val="10Level1Heading"/>
      </w:pPr>
      <w:r>
        <w:rPr>
          <w:noProof/>
          <w:lang w:eastAsia="en-GB"/>
        </w:rPr>
        <w:drawing>
          <wp:inline distT="0" distB="0" distL="0" distR="0">
            <wp:extent cx="3315600" cy="2170972"/>
            <wp:effectExtent l="19050" t="0" r="0" b="0"/>
            <wp:docPr id="6" name="Picture 5" descr="Figure 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c.tif"/>
                    <pic:cNvPicPr/>
                  </pic:nvPicPr>
                  <pic:blipFill>
                    <a:blip r:embed="rId16" cstate="print"/>
                    <a:stretch>
                      <a:fillRect/>
                    </a:stretch>
                  </pic:blipFill>
                  <pic:spPr>
                    <a:xfrm>
                      <a:off x="0" y="0"/>
                      <a:ext cx="3315600" cy="2170972"/>
                    </a:xfrm>
                    <a:prstGeom prst="rect">
                      <a:avLst/>
                    </a:prstGeom>
                  </pic:spPr>
                </pic:pic>
              </a:graphicData>
            </a:graphic>
          </wp:inline>
        </w:drawing>
      </w:r>
    </w:p>
    <w:p w:rsidR="00966B5E" w:rsidRPr="002F7539" w:rsidRDefault="000C7FB4" w:rsidP="008733C2">
      <w:pPr>
        <w:ind w:left="1440" w:hanging="1440"/>
        <w:jc w:val="center"/>
        <w:rPr>
          <w:rFonts w:cs="Arial"/>
          <w:b/>
        </w:rPr>
      </w:pPr>
      <w:r>
        <w:rPr>
          <w:b/>
        </w:rPr>
        <w:t>Figure 8</w:t>
      </w:r>
      <w:r w:rsidR="00EF1710" w:rsidRPr="001D4E02">
        <w:rPr>
          <w:b/>
        </w:rPr>
        <w:tab/>
        <w:t xml:space="preserve">Carbon savings for MICAH </w:t>
      </w:r>
      <w:r w:rsidR="002F7539">
        <w:rPr>
          <w:rFonts w:cs="Arial"/>
          <w:b/>
        </w:rPr>
        <w:t>compared with</w:t>
      </w:r>
      <w:r w:rsidR="002F7539" w:rsidRPr="008706B0">
        <w:rPr>
          <w:rFonts w:cs="Arial"/>
          <w:b/>
        </w:rPr>
        <w:t xml:space="preserve"> CHP </w:t>
      </w:r>
      <w:r w:rsidR="002F7539">
        <w:rPr>
          <w:rFonts w:cs="Arial"/>
          <w:b/>
        </w:rPr>
        <w:t xml:space="preserve">heating </w:t>
      </w:r>
      <w:r w:rsidR="002F7539" w:rsidRPr="008706B0">
        <w:rPr>
          <w:rFonts w:cs="Arial"/>
          <w:b/>
        </w:rPr>
        <w:t xml:space="preserve">and </w:t>
      </w:r>
      <w:r w:rsidR="00E61AA3">
        <w:rPr>
          <w:rFonts w:cs="Arial"/>
          <w:b/>
        </w:rPr>
        <w:t xml:space="preserve">VCR </w:t>
      </w:r>
      <w:r w:rsidR="002F7539">
        <w:rPr>
          <w:rFonts w:cs="Arial"/>
          <w:b/>
        </w:rPr>
        <w:t>cooling for layout options 1 and 2</w:t>
      </w:r>
    </w:p>
    <w:p w:rsidR="0079614B" w:rsidRPr="004265B2" w:rsidRDefault="000C7FB4" w:rsidP="00D2527D">
      <w:pPr>
        <w:pStyle w:val="10Level1Heading"/>
        <w:jc w:val="both"/>
        <w:rPr>
          <w:color w:val="FF0000"/>
        </w:rPr>
      </w:pPr>
      <w:r>
        <w:lastRenderedPageBreak/>
        <w:t>Figure 8</w:t>
      </w:r>
      <w:r w:rsidR="0079614B" w:rsidRPr="007032FF">
        <w:t xml:space="preserve"> shows that the carbon savings for MICAH compared to conventional cooling and heat</w:t>
      </w:r>
      <w:r w:rsidR="00E61AA3">
        <w:t>ing systems are substantial,</w:t>
      </w:r>
      <w:r w:rsidR="0079614B" w:rsidRPr="007032FF">
        <w:t xml:space="preserve"> ranging from approximately 1100 to 1800 tonnes CO</w:t>
      </w:r>
      <w:r w:rsidR="0079614B" w:rsidRPr="007032FF">
        <w:rPr>
          <w:vertAlign w:val="subscript"/>
        </w:rPr>
        <w:t>2</w:t>
      </w:r>
      <w:r w:rsidR="0079614B" w:rsidRPr="007032FF">
        <w:t>e saved per year. The quantity of CO</w:t>
      </w:r>
      <w:r w:rsidR="0079614B" w:rsidRPr="007032FF">
        <w:rPr>
          <w:vertAlign w:val="subscript"/>
        </w:rPr>
        <w:t>2</w:t>
      </w:r>
      <w:r w:rsidR="0079614B" w:rsidRPr="007032FF">
        <w:t xml:space="preserve">e saved increases steadily with the </w:t>
      </w:r>
      <w:r w:rsidR="00A30BE1">
        <w:t>number of months</w:t>
      </w:r>
      <w:r w:rsidR="0079614B" w:rsidRPr="007032FF">
        <w:t xml:space="preserve"> that the system is operated in </w:t>
      </w:r>
      <w:r w:rsidR="00A30BE1">
        <w:t>integrated cooling and heating</w:t>
      </w:r>
      <w:r w:rsidR="0079614B" w:rsidRPr="007032FF">
        <w:t xml:space="preserve"> mode. </w:t>
      </w:r>
    </w:p>
    <w:p w:rsidR="00DA1BA8" w:rsidRPr="0097489C" w:rsidRDefault="0097489C" w:rsidP="00D2527D">
      <w:pPr>
        <w:jc w:val="both"/>
      </w:pPr>
      <w:r w:rsidRPr="0097489C">
        <w:t xml:space="preserve">3.2 </w:t>
      </w:r>
      <w:r w:rsidRPr="0097489C">
        <w:tab/>
      </w:r>
      <w:r w:rsidR="00DA1BA8" w:rsidRPr="0097489C">
        <w:t>Sensitivity analysis</w:t>
      </w:r>
    </w:p>
    <w:p w:rsidR="008706B0" w:rsidRPr="008706B0" w:rsidRDefault="008706B0" w:rsidP="00D2527D">
      <w:pPr>
        <w:jc w:val="both"/>
        <w:rPr>
          <w:rFonts w:cs="Arial"/>
        </w:rPr>
      </w:pPr>
      <w:r w:rsidRPr="008706B0">
        <w:rPr>
          <w:rFonts w:cs="Arial"/>
        </w:rPr>
        <w:t xml:space="preserve">A number of factors have been investigated using the model to determine their effects on cost and carbon savings. These include the effect of: (i) the anticipated additional fan power required due to </w:t>
      </w:r>
      <w:r w:rsidR="005E0E07">
        <w:rPr>
          <w:rFonts w:cs="Arial"/>
        </w:rPr>
        <w:t xml:space="preserve">fouling, </w:t>
      </w:r>
      <w:r w:rsidR="00E61AA3">
        <w:rPr>
          <w:rFonts w:cs="Arial"/>
        </w:rPr>
        <w:t xml:space="preserve">on </w:t>
      </w:r>
      <w:r w:rsidRPr="008706B0">
        <w:rPr>
          <w:rFonts w:cs="Arial"/>
        </w:rPr>
        <w:t>cost and carbon savings; (ii) the distance between the ventilation shaft and the DHN, for the heat recovery system considered, on cost savings; (iii) the effect of delivery temperature on the cost savings; (iv) the pric</w:t>
      </w:r>
      <w:r w:rsidR="00E61AA3">
        <w:rPr>
          <w:rFonts w:cs="Arial"/>
        </w:rPr>
        <w:t xml:space="preserve">e of gas on </w:t>
      </w:r>
      <w:r w:rsidRPr="008706B0">
        <w:rPr>
          <w:rFonts w:cs="Arial"/>
        </w:rPr>
        <w:t>cost savings.</w:t>
      </w:r>
      <w:r w:rsidR="00494584">
        <w:rPr>
          <w:rFonts w:cs="Arial"/>
        </w:rPr>
        <w:t xml:space="preserve"> The </w:t>
      </w:r>
      <w:r w:rsidR="003E2259">
        <w:rPr>
          <w:rFonts w:cs="Arial"/>
        </w:rPr>
        <w:t xml:space="preserve">sensitivity analysis </w:t>
      </w:r>
      <w:r w:rsidR="00494584">
        <w:rPr>
          <w:rFonts w:cs="Arial"/>
        </w:rPr>
        <w:t>results shown are for layout option 1 only, however very similar results were found for layout option 2.</w:t>
      </w:r>
    </w:p>
    <w:p w:rsidR="008706B0" w:rsidRPr="00DA1BA8" w:rsidRDefault="00CB5778" w:rsidP="00D2527D">
      <w:pPr>
        <w:jc w:val="both"/>
        <w:rPr>
          <w:rFonts w:cs="Arial"/>
        </w:rPr>
      </w:pPr>
      <w:r>
        <w:rPr>
          <w:rFonts w:cs="Arial"/>
        </w:rPr>
        <w:t>3.2.1</w:t>
      </w:r>
      <w:r w:rsidR="00DA1BA8">
        <w:rPr>
          <w:rFonts w:cs="Arial"/>
        </w:rPr>
        <w:t xml:space="preserve"> </w:t>
      </w:r>
      <w:r>
        <w:rPr>
          <w:rFonts w:cs="Arial"/>
        </w:rPr>
        <w:tab/>
      </w:r>
      <w:r w:rsidR="008706B0" w:rsidRPr="00DA1BA8">
        <w:rPr>
          <w:rFonts w:cs="Arial"/>
        </w:rPr>
        <w:t>Effect of fan power</w:t>
      </w:r>
    </w:p>
    <w:p w:rsidR="00C415ED" w:rsidRPr="008706B0" w:rsidRDefault="008706B0" w:rsidP="00D2527D">
      <w:pPr>
        <w:jc w:val="both"/>
        <w:rPr>
          <w:rFonts w:cs="Arial"/>
        </w:rPr>
      </w:pPr>
      <w:r w:rsidRPr="008706B0">
        <w:rPr>
          <w:rFonts w:cs="Arial"/>
        </w:rPr>
        <w:t xml:space="preserve">The effect of the fan power on the cost savings achieved is shown in Figures </w:t>
      </w:r>
      <w:r w:rsidR="000C7FB4">
        <w:rPr>
          <w:rFonts w:cs="Arial"/>
        </w:rPr>
        <w:t>9</w:t>
      </w:r>
      <w:r w:rsidR="00670D54">
        <w:rPr>
          <w:rFonts w:cs="Arial"/>
        </w:rPr>
        <w:t>.</w:t>
      </w:r>
    </w:p>
    <w:p w:rsidR="008706B0" w:rsidRPr="000E1ADA" w:rsidRDefault="009C3A8C" w:rsidP="000E1ADA">
      <w:pPr>
        <w:spacing w:after="0"/>
        <w:jc w:val="center"/>
        <w:rPr>
          <w:rFonts w:cs="Arial"/>
        </w:rPr>
      </w:pPr>
      <w:r>
        <w:rPr>
          <w:rFonts w:cs="Arial"/>
          <w:noProof/>
        </w:rPr>
        <w:drawing>
          <wp:inline distT="0" distB="0" distL="0" distR="0">
            <wp:extent cx="3315600" cy="2132402"/>
            <wp:effectExtent l="19050" t="0" r="0" b="0"/>
            <wp:docPr id="10" name="Picture 9" descr="Figure 9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d.tif"/>
                    <pic:cNvPicPr/>
                  </pic:nvPicPr>
                  <pic:blipFill>
                    <a:blip r:embed="rId17" cstate="print"/>
                    <a:stretch>
                      <a:fillRect/>
                    </a:stretch>
                  </pic:blipFill>
                  <pic:spPr>
                    <a:xfrm>
                      <a:off x="0" y="0"/>
                      <a:ext cx="3315600" cy="2132402"/>
                    </a:xfrm>
                    <a:prstGeom prst="rect">
                      <a:avLst/>
                    </a:prstGeom>
                  </pic:spPr>
                </pic:pic>
              </a:graphicData>
            </a:graphic>
          </wp:inline>
        </w:drawing>
      </w:r>
    </w:p>
    <w:p w:rsidR="008706B0" w:rsidRPr="008706B0" w:rsidRDefault="008706B0" w:rsidP="006F144F">
      <w:pPr>
        <w:ind w:left="1440" w:hanging="1440"/>
        <w:jc w:val="center"/>
        <w:rPr>
          <w:rFonts w:cs="Arial"/>
          <w:b/>
        </w:rPr>
      </w:pPr>
      <w:r w:rsidRPr="008706B0">
        <w:rPr>
          <w:rFonts w:cs="Arial"/>
          <w:b/>
        </w:rPr>
        <w:t xml:space="preserve">Figure </w:t>
      </w:r>
      <w:r w:rsidR="000C7FB4">
        <w:rPr>
          <w:rFonts w:cs="Arial"/>
          <w:b/>
        </w:rPr>
        <w:t>9</w:t>
      </w:r>
      <w:r w:rsidRPr="008706B0">
        <w:rPr>
          <w:rFonts w:cs="Arial"/>
          <w:b/>
        </w:rPr>
        <w:t xml:space="preserve"> </w:t>
      </w:r>
      <w:r w:rsidRPr="008706B0">
        <w:rPr>
          <w:rFonts w:cs="Arial"/>
          <w:b/>
        </w:rPr>
        <w:tab/>
        <w:t>Effect of fan power on cost savings</w:t>
      </w:r>
      <w:r w:rsidR="006F144F">
        <w:rPr>
          <w:rFonts w:cs="Arial"/>
          <w:b/>
        </w:rPr>
        <w:t xml:space="preserve"> (with and without RHI)</w:t>
      </w:r>
      <w:r w:rsidRPr="008706B0">
        <w:rPr>
          <w:rFonts w:cs="Arial"/>
          <w:b/>
        </w:rPr>
        <w:t xml:space="preserve"> </w:t>
      </w:r>
      <w:r w:rsidR="00064454">
        <w:rPr>
          <w:rFonts w:cs="Arial"/>
          <w:b/>
        </w:rPr>
        <w:t>for MICAH compared with</w:t>
      </w:r>
      <w:r w:rsidRPr="008706B0">
        <w:rPr>
          <w:rFonts w:cs="Arial"/>
          <w:b/>
        </w:rPr>
        <w:t xml:space="preserve"> CHP </w:t>
      </w:r>
      <w:r w:rsidR="00064454">
        <w:rPr>
          <w:rFonts w:cs="Arial"/>
          <w:b/>
        </w:rPr>
        <w:t xml:space="preserve">heating </w:t>
      </w:r>
      <w:r w:rsidRPr="008706B0">
        <w:rPr>
          <w:rFonts w:cs="Arial"/>
          <w:b/>
        </w:rPr>
        <w:t xml:space="preserve">and </w:t>
      </w:r>
      <w:r w:rsidR="00494584">
        <w:rPr>
          <w:rFonts w:cs="Arial"/>
          <w:b/>
        </w:rPr>
        <w:t xml:space="preserve">VCR </w:t>
      </w:r>
      <w:r w:rsidR="00064454">
        <w:rPr>
          <w:rFonts w:cs="Arial"/>
          <w:b/>
        </w:rPr>
        <w:t>cooling</w:t>
      </w:r>
    </w:p>
    <w:p w:rsidR="008706B0" w:rsidRDefault="008706B0" w:rsidP="00D2527D">
      <w:pPr>
        <w:jc w:val="both"/>
        <w:rPr>
          <w:rFonts w:cs="Arial"/>
        </w:rPr>
      </w:pPr>
      <w:r w:rsidRPr="008706B0">
        <w:rPr>
          <w:rFonts w:cs="Arial"/>
        </w:rPr>
        <w:t xml:space="preserve">The 3 different fan powers considered in Figure </w:t>
      </w:r>
      <w:r w:rsidR="000C7FB4">
        <w:rPr>
          <w:rFonts w:cs="Arial"/>
        </w:rPr>
        <w:t>9</w:t>
      </w:r>
      <w:r w:rsidRPr="008706B0">
        <w:rPr>
          <w:rFonts w:cs="Arial"/>
        </w:rPr>
        <w:t xml:space="preserve"> above are: (i) for a clean heat exchanger with a resistance of 49 Pa (based on manufacturer data), which results in a fan</w:t>
      </w:r>
      <w:r w:rsidR="00670D54">
        <w:rPr>
          <w:rFonts w:cs="Arial"/>
        </w:rPr>
        <w:t xml:space="preserve"> power requirement of 6.125 kW;</w:t>
      </w:r>
      <w:r w:rsidRPr="008706B0">
        <w:rPr>
          <w:rFonts w:cs="Arial"/>
        </w:rPr>
        <w:t xml:space="preserve"> (ii) for maximum blockage of the heat exchanger, which from previous trials [Dragoni et al, 2016], could give a resistance of up to 200 Pa, resulting in a fan power requirement of 25 kW; and (iii) an average resistance of 125 Pa, resulting in</w:t>
      </w:r>
      <w:r w:rsidR="001036BE">
        <w:rPr>
          <w:rFonts w:cs="Arial"/>
        </w:rPr>
        <w:t xml:space="preserve"> a fan power requirement of 15.6</w:t>
      </w:r>
      <w:r w:rsidRPr="008706B0">
        <w:rPr>
          <w:rFonts w:cs="Arial"/>
        </w:rPr>
        <w:t xml:space="preserve">3 kW. All of the model results presented </w:t>
      </w:r>
      <w:r w:rsidR="00494584">
        <w:rPr>
          <w:rFonts w:cs="Arial"/>
        </w:rPr>
        <w:t xml:space="preserve">elsewhere </w:t>
      </w:r>
      <w:r w:rsidRPr="008706B0">
        <w:rPr>
          <w:rFonts w:cs="Arial"/>
        </w:rPr>
        <w:t>in this report are based on the inclusion of a fa</w:t>
      </w:r>
      <w:r w:rsidR="005E0E07">
        <w:rPr>
          <w:rFonts w:cs="Arial"/>
        </w:rPr>
        <w:t>n power requirement of 15.63 kW</w:t>
      </w:r>
      <w:r w:rsidRPr="008706B0">
        <w:rPr>
          <w:rFonts w:cs="Arial"/>
        </w:rPr>
        <w:t xml:space="preserve">. It is seen from Figure </w:t>
      </w:r>
      <w:r w:rsidR="000C7FB4">
        <w:rPr>
          <w:rFonts w:cs="Arial"/>
        </w:rPr>
        <w:t>9</w:t>
      </w:r>
      <w:r w:rsidRPr="008706B0">
        <w:rPr>
          <w:rFonts w:cs="Arial"/>
        </w:rPr>
        <w:t>, that the fan power does have some impact on the overall cost savings</w:t>
      </w:r>
      <w:r w:rsidR="005E0E07">
        <w:rPr>
          <w:rFonts w:cs="Arial"/>
        </w:rPr>
        <w:t>, h</w:t>
      </w:r>
      <w:r w:rsidRPr="008706B0">
        <w:rPr>
          <w:rFonts w:cs="Arial"/>
        </w:rPr>
        <w:t xml:space="preserve">owever, for the range of fan powers considered here, </w:t>
      </w:r>
      <w:r w:rsidR="00494584">
        <w:rPr>
          <w:rFonts w:cs="Arial"/>
        </w:rPr>
        <w:t>their</w:t>
      </w:r>
      <w:r w:rsidRPr="008706B0">
        <w:rPr>
          <w:rFonts w:cs="Arial"/>
        </w:rPr>
        <w:t xml:space="preserve"> overall influence </w:t>
      </w:r>
      <w:r w:rsidR="00494584">
        <w:rPr>
          <w:rFonts w:cs="Arial"/>
        </w:rPr>
        <w:t xml:space="preserve">on cost savings </w:t>
      </w:r>
      <w:r w:rsidRPr="008706B0">
        <w:rPr>
          <w:rFonts w:cs="Arial"/>
        </w:rPr>
        <w:t>is relatively small.</w:t>
      </w:r>
    </w:p>
    <w:p w:rsidR="00C415ED" w:rsidRPr="008706B0" w:rsidRDefault="008706B0" w:rsidP="008733C2">
      <w:pPr>
        <w:jc w:val="both"/>
        <w:rPr>
          <w:rFonts w:cs="Arial"/>
        </w:rPr>
      </w:pPr>
      <w:r w:rsidRPr="008706B0">
        <w:rPr>
          <w:rFonts w:cs="Arial"/>
        </w:rPr>
        <w:t>The effect of the three different fan powers on carbon emissio</w:t>
      </w:r>
      <w:r w:rsidR="000C7FB4">
        <w:rPr>
          <w:rFonts w:cs="Arial"/>
        </w:rPr>
        <w:t>ns savings are shown in Figure 10</w:t>
      </w:r>
      <w:r w:rsidRPr="008706B0">
        <w:rPr>
          <w:rFonts w:cs="Arial"/>
        </w:rPr>
        <w:t>.</w:t>
      </w:r>
    </w:p>
    <w:p w:rsidR="008706B0" w:rsidRPr="008706B0" w:rsidRDefault="003953A7" w:rsidP="00B526B9">
      <w:pPr>
        <w:jc w:val="center"/>
        <w:rPr>
          <w:rFonts w:cs="Arial"/>
        </w:rPr>
      </w:pPr>
      <w:r>
        <w:rPr>
          <w:rFonts w:cs="Arial"/>
          <w:noProof/>
        </w:rPr>
        <w:lastRenderedPageBreak/>
        <w:drawing>
          <wp:inline distT="0" distB="0" distL="0" distR="0">
            <wp:extent cx="3315600" cy="2121382"/>
            <wp:effectExtent l="19050" t="0" r="0" b="0"/>
            <wp:docPr id="8" name="Picture 7" descr="Figure 10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f.tif"/>
                    <pic:cNvPicPr/>
                  </pic:nvPicPr>
                  <pic:blipFill>
                    <a:blip r:embed="rId18" cstate="print"/>
                    <a:stretch>
                      <a:fillRect/>
                    </a:stretch>
                  </pic:blipFill>
                  <pic:spPr>
                    <a:xfrm>
                      <a:off x="0" y="0"/>
                      <a:ext cx="3315600" cy="2121382"/>
                    </a:xfrm>
                    <a:prstGeom prst="rect">
                      <a:avLst/>
                    </a:prstGeom>
                  </pic:spPr>
                </pic:pic>
              </a:graphicData>
            </a:graphic>
          </wp:inline>
        </w:drawing>
      </w:r>
    </w:p>
    <w:p w:rsidR="008706B0" w:rsidRPr="008706B0" w:rsidRDefault="000C7FB4" w:rsidP="006F144F">
      <w:pPr>
        <w:ind w:left="1440" w:hanging="1440"/>
        <w:jc w:val="center"/>
        <w:rPr>
          <w:rFonts w:cs="Arial"/>
          <w:b/>
        </w:rPr>
      </w:pPr>
      <w:r>
        <w:rPr>
          <w:rFonts w:cs="Arial"/>
          <w:b/>
        </w:rPr>
        <w:t>Figure 10</w:t>
      </w:r>
      <w:r w:rsidR="008706B0" w:rsidRPr="008706B0">
        <w:rPr>
          <w:rFonts w:cs="Arial"/>
          <w:b/>
        </w:rPr>
        <w:tab/>
        <w:t>Carbon savings for three different fan powers</w:t>
      </w:r>
      <w:r w:rsidR="006F144F">
        <w:rPr>
          <w:rFonts w:cs="Arial"/>
          <w:b/>
        </w:rPr>
        <w:t xml:space="preserve"> for MICAH compared with</w:t>
      </w:r>
      <w:r w:rsidR="006F144F" w:rsidRPr="008706B0">
        <w:rPr>
          <w:rFonts w:cs="Arial"/>
          <w:b/>
        </w:rPr>
        <w:t xml:space="preserve"> CHP </w:t>
      </w:r>
      <w:r w:rsidR="006F144F">
        <w:rPr>
          <w:rFonts w:cs="Arial"/>
          <w:b/>
        </w:rPr>
        <w:t xml:space="preserve">heating </w:t>
      </w:r>
      <w:r w:rsidR="006F144F" w:rsidRPr="008706B0">
        <w:rPr>
          <w:rFonts w:cs="Arial"/>
          <w:b/>
        </w:rPr>
        <w:t xml:space="preserve">and </w:t>
      </w:r>
      <w:r w:rsidR="00494584">
        <w:rPr>
          <w:rFonts w:cs="Arial"/>
          <w:b/>
        </w:rPr>
        <w:t>VCR</w:t>
      </w:r>
      <w:r w:rsidR="006F144F">
        <w:rPr>
          <w:rFonts w:cs="Arial"/>
          <w:b/>
        </w:rPr>
        <w:t xml:space="preserve"> cooling</w:t>
      </w:r>
    </w:p>
    <w:p w:rsidR="008706B0" w:rsidRPr="008706B0" w:rsidRDefault="00CB5778" w:rsidP="00D2527D">
      <w:pPr>
        <w:jc w:val="both"/>
        <w:rPr>
          <w:rFonts w:cs="Arial"/>
        </w:rPr>
      </w:pPr>
      <w:r>
        <w:rPr>
          <w:rFonts w:cs="Arial"/>
        </w:rPr>
        <w:t>3.2.2</w:t>
      </w:r>
      <w:r w:rsidR="00DA1BA8">
        <w:rPr>
          <w:rFonts w:cs="Arial"/>
        </w:rPr>
        <w:t xml:space="preserve"> </w:t>
      </w:r>
      <w:r w:rsidR="008706B0" w:rsidRPr="008706B0">
        <w:rPr>
          <w:rFonts w:cs="Arial"/>
        </w:rPr>
        <w:t>Effect of distance between the ventilation shaft and the DHN</w:t>
      </w:r>
    </w:p>
    <w:p w:rsidR="008706B0" w:rsidRPr="008706B0" w:rsidRDefault="000C7FB4" w:rsidP="00D2527D">
      <w:pPr>
        <w:jc w:val="both"/>
        <w:rPr>
          <w:rFonts w:cs="Arial"/>
        </w:rPr>
      </w:pPr>
      <w:r>
        <w:rPr>
          <w:rFonts w:cs="Arial"/>
        </w:rPr>
        <w:t>Figure 11</w:t>
      </w:r>
      <w:r w:rsidR="008706B0" w:rsidRPr="008706B0">
        <w:rPr>
          <w:rFonts w:cs="Arial"/>
        </w:rPr>
        <w:t xml:space="preserve"> shows the effect of distance between the ventilation shaft and the DHN i.e. distance for heat transfer using water, on the cost savings for MICAH compared with CHP </w:t>
      </w:r>
      <w:r w:rsidR="00494584">
        <w:rPr>
          <w:rFonts w:cs="Arial"/>
        </w:rPr>
        <w:t xml:space="preserve">heating </w:t>
      </w:r>
      <w:r w:rsidR="008706B0" w:rsidRPr="008706B0">
        <w:rPr>
          <w:rFonts w:cs="Arial"/>
        </w:rPr>
        <w:t>and VCR cooling.</w:t>
      </w:r>
    </w:p>
    <w:p w:rsidR="008706B0" w:rsidRPr="008706B0" w:rsidRDefault="00EC2C99" w:rsidP="000E1ADA">
      <w:pPr>
        <w:jc w:val="center"/>
        <w:rPr>
          <w:rFonts w:cs="Arial"/>
        </w:rPr>
      </w:pPr>
      <w:r>
        <w:rPr>
          <w:rFonts w:cs="Arial"/>
          <w:noProof/>
        </w:rPr>
        <w:drawing>
          <wp:inline distT="0" distB="0" distL="0" distR="0">
            <wp:extent cx="3315600" cy="2049750"/>
            <wp:effectExtent l="19050" t="0" r="0" b="0"/>
            <wp:docPr id="13" name="Picture 12" descr="Figure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tif"/>
                    <pic:cNvPicPr/>
                  </pic:nvPicPr>
                  <pic:blipFill>
                    <a:blip r:embed="rId19" cstate="print"/>
                    <a:stretch>
                      <a:fillRect/>
                    </a:stretch>
                  </pic:blipFill>
                  <pic:spPr>
                    <a:xfrm>
                      <a:off x="0" y="0"/>
                      <a:ext cx="3315600" cy="2049750"/>
                    </a:xfrm>
                    <a:prstGeom prst="rect">
                      <a:avLst/>
                    </a:prstGeom>
                  </pic:spPr>
                </pic:pic>
              </a:graphicData>
            </a:graphic>
          </wp:inline>
        </w:drawing>
      </w:r>
    </w:p>
    <w:p w:rsidR="008706B0" w:rsidRPr="008706B0" w:rsidRDefault="000C7FB4" w:rsidP="006B3BE5">
      <w:pPr>
        <w:ind w:left="1440" w:hanging="1440"/>
        <w:jc w:val="center"/>
        <w:rPr>
          <w:rFonts w:cs="Arial"/>
          <w:b/>
        </w:rPr>
      </w:pPr>
      <w:r>
        <w:rPr>
          <w:rFonts w:cs="Arial"/>
          <w:b/>
        </w:rPr>
        <w:t>Figure 11</w:t>
      </w:r>
      <w:r w:rsidR="008706B0" w:rsidRPr="008706B0">
        <w:rPr>
          <w:rFonts w:cs="Arial"/>
          <w:b/>
        </w:rPr>
        <w:tab/>
        <w:t>Effect of distance between ventilation shaft and DHN on cost savings</w:t>
      </w:r>
      <w:r w:rsidR="006B3BE5">
        <w:rPr>
          <w:rFonts w:cs="Arial"/>
          <w:b/>
        </w:rPr>
        <w:t xml:space="preserve"> (with and without RHI)</w:t>
      </w:r>
      <w:r w:rsidR="006B3BE5" w:rsidRPr="008706B0">
        <w:rPr>
          <w:rFonts w:cs="Arial"/>
          <w:b/>
        </w:rPr>
        <w:t xml:space="preserve"> </w:t>
      </w:r>
      <w:r w:rsidR="006B3BE5">
        <w:rPr>
          <w:rFonts w:cs="Arial"/>
          <w:b/>
        </w:rPr>
        <w:t>for MICAH compared with</w:t>
      </w:r>
      <w:r w:rsidR="006B3BE5" w:rsidRPr="008706B0">
        <w:rPr>
          <w:rFonts w:cs="Arial"/>
          <w:b/>
        </w:rPr>
        <w:t xml:space="preserve"> CHP </w:t>
      </w:r>
      <w:r w:rsidR="006B3BE5">
        <w:rPr>
          <w:rFonts w:cs="Arial"/>
          <w:b/>
        </w:rPr>
        <w:t xml:space="preserve">heating </w:t>
      </w:r>
      <w:r w:rsidR="006B3BE5" w:rsidRPr="008706B0">
        <w:rPr>
          <w:rFonts w:cs="Arial"/>
          <w:b/>
        </w:rPr>
        <w:t xml:space="preserve">and </w:t>
      </w:r>
      <w:r w:rsidR="00494584">
        <w:rPr>
          <w:rFonts w:cs="Arial"/>
          <w:b/>
        </w:rPr>
        <w:t xml:space="preserve">VCR </w:t>
      </w:r>
      <w:r w:rsidR="006B3BE5">
        <w:rPr>
          <w:rFonts w:cs="Arial"/>
          <w:b/>
        </w:rPr>
        <w:t>cooling</w:t>
      </w:r>
    </w:p>
    <w:p w:rsidR="008706B0" w:rsidRDefault="000C7FB4" w:rsidP="00D2527D">
      <w:pPr>
        <w:jc w:val="both"/>
        <w:rPr>
          <w:rFonts w:cs="Arial"/>
        </w:rPr>
      </w:pPr>
      <w:r>
        <w:rPr>
          <w:rFonts w:cs="Arial"/>
        </w:rPr>
        <w:t>It is seen from Figure 11</w:t>
      </w:r>
      <w:r w:rsidR="008706B0" w:rsidRPr="008706B0">
        <w:rPr>
          <w:rFonts w:cs="Arial"/>
        </w:rPr>
        <w:t xml:space="preserve"> that the distance between the ventilation shaft and the DHN has only a marginal effect on cost savings, with a slight decrease </w:t>
      </w:r>
      <w:r w:rsidR="00494584">
        <w:rPr>
          <w:rFonts w:cs="Arial"/>
        </w:rPr>
        <w:t xml:space="preserve">in cost savings </w:t>
      </w:r>
      <w:r w:rsidR="008706B0" w:rsidRPr="008706B0">
        <w:rPr>
          <w:rFonts w:cs="Arial"/>
        </w:rPr>
        <w:t>with distance. The reason for this is that the pressure head and pumping costs for moving the water over a distance of 840 m (i.e. 420 m flow and 420 m return) which result from the pipe wall friction are only small proportion of the overall pressure head for the pumping system. The largest influence on the pumping power required is the effect of the heat exchangers, valves and strainers which add a significant pressure drop, and it has been assumed that the same number of these will be needed irrespective of</w:t>
      </w:r>
      <w:r w:rsidR="00DA1BA8">
        <w:rPr>
          <w:rFonts w:cs="Arial"/>
        </w:rPr>
        <w:t xml:space="preserve"> the distance pumped.  Figure 11</w:t>
      </w:r>
      <w:r w:rsidR="008706B0" w:rsidRPr="008706B0">
        <w:rPr>
          <w:rFonts w:cs="Arial"/>
        </w:rPr>
        <w:t xml:space="preserve"> shows the results for the</w:t>
      </w:r>
      <w:r w:rsidR="003E2259">
        <w:rPr>
          <w:rFonts w:cs="Arial"/>
        </w:rPr>
        <w:t xml:space="preserve"> layout</w:t>
      </w:r>
      <w:r w:rsidR="008706B0" w:rsidRPr="008706B0">
        <w:rPr>
          <w:rFonts w:cs="Arial"/>
        </w:rPr>
        <w:t xml:space="preserve"> option 1 configuration</w:t>
      </w:r>
      <w:r w:rsidR="003E2259">
        <w:rPr>
          <w:rFonts w:cs="Arial"/>
        </w:rPr>
        <w:t xml:space="preserve"> only</w:t>
      </w:r>
      <w:r w:rsidR="008706B0" w:rsidRPr="008706B0">
        <w:rPr>
          <w:rFonts w:cs="Arial"/>
        </w:rPr>
        <w:t xml:space="preserve">, however, a </w:t>
      </w:r>
      <w:r w:rsidR="003E2259">
        <w:rPr>
          <w:rFonts w:cs="Arial"/>
        </w:rPr>
        <w:t>similar marginal effect wa</w:t>
      </w:r>
      <w:r w:rsidR="008706B0" w:rsidRPr="008706B0">
        <w:rPr>
          <w:rFonts w:cs="Arial"/>
        </w:rPr>
        <w:t xml:space="preserve">s found for </w:t>
      </w:r>
      <w:r w:rsidR="003E2259">
        <w:rPr>
          <w:rFonts w:cs="Arial"/>
        </w:rPr>
        <w:t xml:space="preserve">layout </w:t>
      </w:r>
      <w:r w:rsidR="008706B0" w:rsidRPr="008706B0">
        <w:rPr>
          <w:rFonts w:cs="Arial"/>
        </w:rPr>
        <w:t>option 2. In fact</w:t>
      </w:r>
      <w:r w:rsidR="001A6DD5">
        <w:rPr>
          <w:rFonts w:cs="Arial"/>
        </w:rPr>
        <w:t>,</w:t>
      </w:r>
      <w:r w:rsidR="008706B0" w:rsidRPr="008706B0">
        <w:rPr>
          <w:rFonts w:cs="Arial"/>
        </w:rPr>
        <w:t xml:space="preserve"> the influence of the distance pumped is even lower for </w:t>
      </w:r>
      <w:r w:rsidR="003E2259">
        <w:rPr>
          <w:rFonts w:cs="Arial"/>
        </w:rPr>
        <w:t xml:space="preserve">layout </w:t>
      </w:r>
      <w:r w:rsidR="008706B0" w:rsidRPr="008706B0">
        <w:rPr>
          <w:rFonts w:cs="Arial"/>
        </w:rPr>
        <w:t xml:space="preserve">option 2, as the water flow rate needed is lower for the secondary water loop, which </w:t>
      </w:r>
      <w:r w:rsidR="003E2259">
        <w:rPr>
          <w:rFonts w:cs="Arial"/>
        </w:rPr>
        <w:t>becomes the main heat transport system for carrying</w:t>
      </w:r>
      <w:r w:rsidR="008706B0" w:rsidRPr="008706B0">
        <w:rPr>
          <w:rFonts w:cs="Arial"/>
        </w:rPr>
        <w:t xml:space="preserve"> the heat between the ventilation shaft and the </w:t>
      </w:r>
      <w:r w:rsidR="008706B0" w:rsidRPr="008706B0">
        <w:rPr>
          <w:rFonts w:cs="Arial"/>
        </w:rPr>
        <w:lastRenderedPageBreak/>
        <w:t xml:space="preserve">DHN for </w:t>
      </w:r>
      <w:r w:rsidR="001036BE">
        <w:rPr>
          <w:rFonts w:cs="Arial"/>
        </w:rPr>
        <w:t xml:space="preserve">layout </w:t>
      </w:r>
      <w:r w:rsidR="008706B0" w:rsidRPr="008706B0">
        <w:rPr>
          <w:rFonts w:cs="Arial"/>
        </w:rPr>
        <w:t xml:space="preserve">option 2. This is in contrast to </w:t>
      </w:r>
      <w:r w:rsidR="003E2259">
        <w:rPr>
          <w:rFonts w:cs="Arial"/>
        </w:rPr>
        <w:t xml:space="preserve">layout </w:t>
      </w:r>
      <w:r w:rsidR="008706B0" w:rsidRPr="008706B0">
        <w:rPr>
          <w:rFonts w:cs="Arial"/>
        </w:rPr>
        <w:t>option 1, where the primary water loop is the main heat tran</w:t>
      </w:r>
      <w:r w:rsidR="003E2259">
        <w:rPr>
          <w:rFonts w:cs="Arial"/>
        </w:rPr>
        <w:t>sport</w:t>
      </w:r>
      <w:r w:rsidR="008706B0" w:rsidRPr="008706B0">
        <w:rPr>
          <w:rFonts w:cs="Arial"/>
        </w:rPr>
        <w:t xml:space="preserve"> system.</w:t>
      </w:r>
    </w:p>
    <w:p w:rsidR="000C7FB4" w:rsidRDefault="000C7FB4" w:rsidP="00D2527D">
      <w:pPr>
        <w:jc w:val="both"/>
        <w:rPr>
          <w:rFonts w:cs="Arial"/>
        </w:rPr>
      </w:pPr>
      <w:r>
        <w:rPr>
          <w:rFonts w:cs="Arial"/>
        </w:rPr>
        <w:t>The reason why distance is not a significant factor is due to the large diameter of pipe used. This was intentional since capital cost is marginally dependent on pipe size due to the controlling cost of the civil works. Whereas pumping costs become prohibitive with smaller pipe sizes.</w:t>
      </w:r>
    </w:p>
    <w:p w:rsidR="008706B0" w:rsidRPr="008706B0" w:rsidRDefault="00CB5778" w:rsidP="00D2527D">
      <w:pPr>
        <w:jc w:val="both"/>
        <w:rPr>
          <w:rFonts w:cs="Arial"/>
        </w:rPr>
      </w:pPr>
      <w:r>
        <w:rPr>
          <w:rFonts w:cs="Arial"/>
        </w:rPr>
        <w:t>3.2.3</w:t>
      </w:r>
      <w:r w:rsidR="00DA1BA8">
        <w:rPr>
          <w:rFonts w:cs="Arial"/>
        </w:rPr>
        <w:t xml:space="preserve"> </w:t>
      </w:r>
      <w:r w:rsidR="008706B0" w:rsidRPr="008706B0">
        <w:rPr>
          <w:rFonts w:cs="Arial"/>
        </w:rPr>
        <w:t>Effect of delivery temperature on cost savings</w:t>
      </w:r>
    </w:p>
    <w:p w:rsidR="008733C2" w:rsidRPr="008706B0" w:rsidRDefault="008706B0" w:rsidP="00D2527D">
      <w:pPr>
        <w:jc w:val="both"/>
        <w:rPr>
          <w:rFonts w:cs="Arial"/>
        </w:rPr>
      </w:pPr>
      <w:r w:rsidRPr="008706B0">
        <w:rPr>
          <w:rFonts w:cs="Arial"/>
        </w:rPr>
        <w:t>The effect of delivery temperature on co</w:t>
      </w:r>
      <w:r w:rsidR="000C7FB4">
        <w:rPr>
          <w:rFonts w:cs="Arial"/>
        </w:rPr>
        <w:t>st savings is shown in Figure 12</w:t>
      </w:r>
      <w:r w:rsidRPr="008706B0">
        <w:rPr>
          <w:rFonts w:cs="Arial"/>
        </w:rPr>
        <w:t>. The effects of delivery temperatures of 60</w:t>
      </w:r>
      <w:r w:rsidR="00B526B9">
        <w:rPr>
          <w:rFonts w:cs="Arial"/>
        </w:rPr>
        <w:t>°C, 65°C and 70°C</w:t>
      </w:r>
      <w:r w:rsidR="009A170B">
        <w:rPr>
          <w:rFonts w:cs="Arial"/>
        </w:rPr>
        <w:t>,</w:t>
      </w:r>
      <w:r w:rsidR="00B526B9">
        <w:rPr>
          <w:rFonts w:cs="Arial"/>
        </w:rPr>
        <w:t xml:space="preserve"> are compared.</w:t>
      </w:r>
    </w:p>
    <w:p w:rsidR="008706B0" w:rsidRPr="008706B0" w:rsidRDefault="004D06DA" w:rsidP="00DA1BA8">
      <w:pPr>
        <w:jc w:val="center"/>
        <w:rPr>
          <w:rFonts w:cs="Arial"/>
        </w:rPr>
      </w:pPr>
      <w:r>
        <w:rPr>
          <w:rFonts w:cs="Arial"/>
          <w:noProof/>
        </w:rPr>
        <w:drawing>
          <wp:inline distT="0" distB="0" distL="0" distR="0">
            <wp:extent cx="3315600" cy="2165462"/>
            <wp:effectExtent l="19050" t="0" r="0" b="0"/>
            <wp:docPr id="1" name="Picture 0" descr="Figure 1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d.tif"/>
                    <pic:cNvPicPr/>
                  </pic:nvPicPr>
                  <pic:blipFill>
                    <a:blip r:embed="rId20" cstate="print"/>
                    <a:stretch>
                      <a:fillRect/>
                    </a:stretch>
                  </pic:blipFill>
                  <pic:spPr>
                    <a:xfrm>
                      <a:off x="0" y="0"/>
                      <a:ext cx="3315600" cy="2165462"/>
                    </a:xfrm>
                    <a:prstGeom prst="rect">
                      <a:avLst/>
                    </a:prstGeom>
                  </pic:spPr>
                </pic:pic>
              </a:graphicData>
            </a:graphic>
          </wp:inline>
        </w:drawing>
      </w:r>
    </w:p>
    <w:p w:rsidR="005D52EC" w:rsidRPr="008706B0" w:rsidRDefault="000C7FB4" w:rsidP="005D52EC">
      <w:pPr>
        <w:ind w:left="1440" w:hanging="1440"/>
        <w:jc w:val="center"/>
        <w:rPr>
          <w:rFonts w:cs="Arial"/>
          <w:b/>
        </w:rPr>
      </w:pPr>
      <w:r>
        <w:rPr>
          <w:rFonts w:cs="Arial"/>
          <w:b/>
        </w:rPr>
        <w:t>Figure 12</w:t>
      </w:r>
      <w:r w:rsidR="008706B0" w:rsidRPr="008706B0">
        <w:rPr>
          <w:rFonts w:cs="Arial"/>
          <w:b/>
        </w:rPr>
        <w:t xml:space="preserve"> </w:t>
      </w:r>
      <w:r w:rsidR="008706B0" w:rsidRPr="008706B0">
        <w:rPr>
          <w:rFonts w:cs="Arial"/>
          <w:b/>
        </w:rPr>
        <w:tab/>
        <w:t>Effect of delive</w:t>
      </w:r>
      <w:r w:rsidR="005D52EC">
        <w:rPr>
          <w:rFonts w:cs="Arial"/>
          <w:b/>
        </w:rPr>
        <w:t>ry temperature on cost savings (with and without RHI)</w:t>
      </w:r>
      <w:r w:rsidR="005D52EC" w:rsidRPr="008706B0">
        <w:rPr>
          <w:rFonts w:cs="Arial"/>
          <w:b/>
        </w:rPr>
        <w:t xml:space="preserve"> </w:t>
      </w:r>
      <w:r w:rsidR="005D52EC">
        <w:rPr>
          <w:rFonts w:cs="Arial"/>
          <w:b/>
        </w:rPr>
        <w:t>for MICAH compared with</w:t>
      </w:r>
      <w:r w:rsidR="005D52EC" w:rsidRPr="008706B0">
        <w:rPr>
          <w:rFonts w:cs="Arial"/>
          <w:b/>
        </w:rPr>
        <w:t xml:space="preserve"> CHP </w:t>
      </w:r>
      <w:r w:rsidR="005D52EC">
        <w:rPr>
          <w:rFonts w:cs="Arial"/>
          <w:b/>
        </w:rPr>
        <w:t xml:space="preserve">heating </w:t>
      </w:r>
      <w:r w:rsidR="005D52EC" w:rsidRPr="008706B0">
        <w:rPr>
          <w:rFonts w:cs="Arial"/>
          <w:b/>
        </w:rPr>
        <w:t xml:space="preserve">and </w:t>
      </w:r>
      <w:r w:rsidR="003E2259">
        <w:rPr>
          <w:rFonts w:cs="Arial"/>
          <w:b/>
        </w:rPr>
        <w:t>VCR</w:t>
      </w:r>
      <w:r w:rsidR="005D52EC">
        <w:rPr>
          <w:rFonts w:cs="Arial"/>
          <w:b/>
        </w:rPr>
        <w:t xml:space="preserve"> cooling</w:t>
      </w:r>
    </w:p>
    <w:p w:rsidR="00004846" w:rsidRPr="00004846" w:rsidRDefault="000C7FB4" w:rsidP="002D3837">
      <w:pPr>
        <w:jc w:val="both"/>
        <w:rPr>
          <w:rFonts w:cs="Arial"/>
          <w:color w:val="BFBFBF" w:themeColor="background1" w:themeShade="BF"/>
        </w:rPr>
      </w:pPr>
      <w:r>
        <w:rPr>
          <w:rFonts w:cs="Arial"/>
        </w:rPr>
        <w:t>Figure 12</w:t>
      </w:r>
      <w:r w:rsidR="008706B0" w:rsidRPr="008706B0">
        <w:rPr>
          <w:rFonts w:cs="Arial"/>
        </w:rPr>
        <w:t xml:space="preserve"> shows that delivery temperature has a marked influence on the cost saving for MICAH compared to CHP heating and </w:t>
      </w:r>
      <w:r w:rsidR="003E2259">
        <w:rPr>
          <w:rFonts w:cs="Arial"/>
        </w:rPr>
        <w:t>VCR</w:t>
      </w:r>
      <w:r w:rsidR="008706B0" w:rsidRPr="008706B0">
        <w:rPr>
          <w:rFonts w:cs="Arial"/>
        </w:rPr>
        <w:t xml:space="preserve"> cooling. Where RHI i</w:t>
      </w:r>
      <w:r w:rsidR="00DA1BA8">
        <w:rPr>
          <w:rFonts w:cs="Arial"/>
        </w:rPr>
        <w:t>s included</w:t>
      </w:r>
      <w:r w:rsidR="003E2259">
        <w:rPr>
          <w:rFonts w:cs="Arial"/>
        </w:rPr>
        <w:t>,</w:t>
      </w:r>
      <w:r w:rsidR="008706B0" w:rsidRPr="008706B0">
        <w:rPr>
          <w:rFonts w:cs="Arial"/>
        </w:rPr>
        <w:t xml:space="preserve"> for </w:t>
      </w:r>
      <w:r w:rsidR="003E2259">
        <w:rPr>
          <w:rFonts w:cs="Arial"/>
        </w:rPr>
        <w:t>0 months in integrated cooling and heating mode</w:t>
      </w:r>
      <w:r w:rsidR="008706B0" w:rsidRPr="008706B0">
        <w:rPr>
          <w:rFonts w:cs="Arial"/>
        </w:rPr>
        <w:t xml:space="preserve">, cost savings of £196,000 are available at a delivery temperature of 60°C, as compared with £154,000 at a delivery temperature of 70°C.  </w:t>
      </w:r>
      <w:r w:rsidR="00DA1BA8">
        <w:rPr>
          <w:rFonts w:cs="Arial"/>
        </w:rPr>
        <w:t>W</w:t>
      </w:r>
      <w:r w:rsidR="008706B0" w:rsidRPr="008706B0">
        <w:rPr>
          <w:rFonts w:cs="Arial"/>
        </w:rPr>
        <w:t>here RHI is not</w:t>
      </w:r>
      <w:r w:rsidR="00DA1BA8">
        <w:rPr>
          <w:rFonts w:cs="Arial"/>
        </w:rPr>
        <w:t xml:space="preserve"> included, </w:t>
      </w:r>
      <w:r w:rsidR="008706B0" w:rsidRPr="008706B0">
        <w:rPr>
          <w:rFonts w:cs="Arial"/>
        </w:rPr>
        <w:t xml:space="preserve">there is a steady increase in cost savings as the </w:t>
      </w:r>
      <w:r w:rsidR="003E2259">
        <w:rPr>
          <w:rFonts w:cs="Arial"/>
        </w:rPr>
        <w:t xml:space="preserve">number of months in integrated cooling and heating i.e. </w:t>
      </w:r>
      <w:r w:rsidR="008706B0" w:rsidRPr="008706B0">
        <w:rPr>
          <w:rFonts w:cs="Arial"/>
        </w:rPr>
        <w:t>supply mode increases. There are greater cost savings at the lowest delivery temperature of 60°C. It may be conclude</w:t>
      </w:r>
      <w:r>
        <w:rPr>
          <w:rFonts w:cs="Arial"/>
        </w:rPr>
        <w:t>d from Figure 12</w:t>
      </w:r>
      <w:r w:rsidR="008706B0" w:rsidRPr="008706B0">
        <w:rPr>
          <w:rFonts w:cs="Arial"/>
        </w:rPr>
        <w:t>, that there is a case for operating MICAH at a reduced delivery</w:t>
      </w:r>
      <w:r>
        <w:rPr>
          <w:rFonts w:cs="Arial"/>
        </w:rPr>
        <w:t xml:space="preserve"> temperature of e.g. 60 or 65°C. </w:t>
      </w:r>
      <w:r w:rsidR="00D916A8">
        <w:rPr>
          <w:rFonts w:cs="Arial"/>
        </w:rPr>
        <w:t xml:space="preserve">However, delivering heat at lower temperatures could have implications for consumers e.g. the need for larger radiators in order to receive the same amount of heat. </w:t>
      </w:r>
    </w:p>
    <w:p w:rsidR="008706B0" w:rsidRPr="008706B0" w:rsidRDefault="002E2E3A" w:rsidP="00D2527D">
      <w:pPr>
        <w:jc w:val="both"/>
        <w:rPr>
          <w:rFonts w:cs="Arial"/>
        </w:rPr>
      </w:pPr>
      <w:r>
        <w:rPr>
          <w:rFonts w:cs="Arial"/>
        </w:rPr>
        <w:t xml:space="preserve">3.2.4 Effect of gas price on </w:t>
      </w:r>
      <w:r w:rsidR="008706B0" w:rsidRPr="008706B0">
        <w:rPr>
          <w:rFonts w:cs="Arial"/>
        </w:rPr>
        <w:t>cost savings</w:t>
      </w:r>
    </w:p>
    <w:p w:rsidR="008706B0" w:rsidRDefault="008706B0" w:rsidP="00D2527D">
      <w:pPr>
        <w:jc w:val="both"/>
        <w:rPr>
          <w:rFonts w:cs="Arial"/>
        </w:rPr>
      </w:pPr>
      <w:r w:rsidRPr="008706B0">
        <w:rPr>
          <w:rFonts w:cs="Arial"/>
        </w:rPr>
        <w:t xml:space="preserve">The model results presented to date are all based on the assumption of a gas price of £0.022 per kWh [DECC, 2016], which is the average industrial gas price at present.  The domestic gas price is currently £0.029 per kWh [DECC, 2016]. Figure </w:t>
      </w:r>
      <w:r w:rsidR="00924479">
        <w:rPr>
          <w:rFonts w:cs="Arial"/>
        </w:rPr>
        <w:t>13</w:t>
      </w:r>
      <w:r w:rsidRPr="008706B0">
        <w:rPr>
          <w:rFonts w:cs="Arial"/>
        </w:rPr>
        <w:t xml:space="preserve"> shows the effect of three different gas prices in relation to the current industrial electricit</w:t>
      </w:r>
      <w:r w:rsidR="001036BE">
        <w:rPr>
          <w:rFonts w:cs="Arial"/>
        </w:rPr>
        <w:t>y price of £0.098 per kWh [DECC</w:t>
      </w:r>
      <w:r w:rsidRPr="008706B0">
        <w:rPr>
          <w:rFonts w:cs="Arial"/>
        </w:rPr>
        <w:t xml:space="preserve">, 2016] on the cost savings available for MICAH compared </w:t>
      </w:r>
      <w:r w:rsidR="00B526B9">
        <w:rPr>
          <w:rFonts w:cs="Arial"/>
        </w:rPr>
        <w:t>to CHP heating and VCR cooling.</w:t>
      </w:r>
    </w:p>
    <w:p w:rsidR="00402576" w:rsidRPr="008706B0" w:rsidRDefault="004D06DA" w:rsidP="00402576">
      <w:pPr>
        <w:jc w:val="center"/>
        <w:rPr>
          <w:rFonts w:cs="Arial"/>
        </w:rPr>
      </w:pPr>
      <w:r>
        <w:rPr>
          <w:rFonts w:cs="Arial"/>
          <w:noProof/>
        </w:rPr>
        <w:lastRenderedPageBreak/>
        <w:drawing>
          <wp:inline distT="0" distB="0" distL="0" distR="0">
            <wp:extent cx="3315600" cy="2165462"/>
            <wp:effectExtent l="19050" t="0" r="0" b="0"/>
            <wp:docPr id="5" name="Picture 4" descr="Figure 12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g.tif"/>
                    <pic:cNvPicPr/>
                  </pic:nvPicPr>
                  <pic:blipFill>
                    <a:blip r:embed="rId21" cstate="print"/>
                    <a:stretch>
                      <a:fillRect/>
                    </a:stretch>
                  </pic:blipFill>
                  <pic:spPr>
                    <a:xfrm>
                      <a:off x="0" y="0"/>
                      <a:ext cx="3315600" cy="2165462"/>
                    </a:xfrm>
                    <a:prstGeom prst="rect">
                      <a:avLst/>
                    </a:prstGeom>
                  </pic:spPr>
                </pic:pic>
              </a:graphicData>
            </a:graphic>
          </wp:inline>
        </w:drawing>
      </w:r>
    </w:p>
    <w:p w:rsidR="008706B0" w:rsidRPr="005D52EC" w:rsidRDefault="008706B0" w:rsidP="005D52EC">
      <w:pPr>
        <w:ind w:left="1440" w:hanging="1440"/>
        <w:jc w:val="center"/>
        <w:rPr>
          <w:rFonts w:cs="Arial"/>
          <w:b/>
        </w:rPr>
      </w:pPr>
      <w:r w:rsidRPr="008706B0">
        <w:rPr>
          <w:rFonts w:cs="Arial"/>
          <w:b/>
        </w:rPr>
        <w:t xml:space="preserve">Figure </w:t>
      </w:r>
      <w:r w:rsidR="00924479">
        <w:rPr>
          <w:rFonts w:cs="Arial"/>
          <w:b/>
        </w:rPr>
        <w:t>13</w:t>
      </w:r>
      <w:r w:rsidRPr="008706B0">
        <w:rPr>
          <w:rFonts w:cs="Arial"/>
          <w:b/>
        </w:rPr>
        <w:t xml:space="preserve"> </w:t>
      </w:r>
      <w:r w:rsidRPr="008706B0">
        <w:rPr>
          <w:rFonts w:cs="Arial"/>
          <w:b/>
        </w:rPr>
        <w:tab/>
        <w:t xml:space="preserve">Effect of gas price on cost savings </w:t>
      </w:r>
      <w:r w:rsidR="005D52EC">
        <w:rPr>
          <w:rFonts w:cs="Arial"/>
          <w:b/>
        </w:rPr>
        <w:t>(with and without RHI)</w:t>
      </w:r>
      <w:r w:rsidR="005D52EC" w:rsidRPr="008706B0">
        <w:rPr>
          <w:rFonts w:cs="Arial"/>
          <w:b/>
        </w:rPr>
        <w:t xml:space="preserve"> </w:t>
      </w:r>
      <w:r w:rsidR="005D52EC">
        <w:rPr>
          <w:rFonts w:cs="Arial"/>
          <w:b/>
        </w:rPr>
        <w:t>for MICAH compared with</w:t>
      </w:r>
      <w:r w:rsidR="005D52EC" w:rsidRPr="008706B0">
        <w:rPr>
          <w:rFonts w:cs="Arial"/>
          <w:b/>
        </w:rPr>
        <w:t xml:space="preserve"> CHP </w:t>
      </w:r>
      <w:r w:rsidR="005D52EC">
        <w:rPr>
          <w:rFonts w:cs="Arial"/>
          <w:b/>
        </w:rPr>
        <w:t xml:space="preserve">heating </w:t>
      </w:r>
      <w:r w:rsidR="005D52EC" w:rsidRPr="008706B0">
        <w:rPr>
          <w:rFonts w:cs="Arial"/>
          <w:b/>
        </w:rPr>
        <w:t xml:space="preserve">and </w:t>
      </w:r>
      <w:r w:rsidR="002E2E3A">
        <w:rPr>
          <w:rFonts w:cs="Arial"/>
          <w:b/>
        </w:rPr>
        <w:t>VCR</w:t>
      </w:r>
      <w:r w:rsidR="005D52EC">
        <w:rPr>
          <w:rFonts w:cs="Arial"/>
          <w:b/>
        </w:rPr>
        <w:t xml:space="preserve"> cooling</w:t>
      </w:r>
    </w:p>
    <w:p w:rsidR="005C6D2A" w:rsidRDefault="00924479" w:rsidP="00D2527D">
      <w:pPr>
        <w:pStyle w:val="ListParagraph"/>
        <w:ind w:left="0"/>
        <w:jc w:val="both"/>
        <w:rPr>
          <w:rFonts w:cs="Arial"/>
          <w:color w:val="000000" w:themeColor="text1"/>
        </w:rPr>
      </w:pPr>
      <w:r>
        <w:rPr>
          <w:rFonts w:cs="Arial"/>
        </w:rPr>
        <w:t>It is seen in Figure 13</w:t>
      </w:r>
      <w:r w:rsidR="008706B0" w:rsidRPr="008706B0">
        <w:rPr>
          <w:rFonts w:cs="Arial"/>
        </w:rPr>
        <w:t xml:space="preserve">, that gas price is a major factor influencing the cost savings for MICAH relative to CHP </w:t>
      </w:r>
      <w:r w:rsidR="002E2E3A">
        <w:rPr>
          <w:rFonts w:cs="Arial"/>
        </w:rPr>
        <w:t xml:space="preserve">heating </w:t>
      </w:r>
      <w:r w:rsidR="008706B0" w:rsidRPr="008706B0">
        <w:rPr>
          <w:rFonts w:cs="Arial"/>
        </w:rPr>
        <w:t xml:space="preserve">and </w:t>
      </w:r>
      <w:r w:rsidR="002E2E3A">
        <w:rPr>
          <w:rFonts w:cs="Arial"/>
        </w:rPr>
        <w:t>VCR cooling.</w:t>
      </w:r>
      <w:r w:rsidR="008706B0" w:rsidRPr="008706B0">
        <w:rPr>
          <w:rFonts w:cs="Arial"/>
        </w:rPr>
        <w:t xml:space="preserve"> Considering the cost savings for </w:t>
      </w:r>
      <w:r w:rsidR="002E2E3A">
        <w:rPr>
          <w:rFonts w:cs="Arial"/>
        </w:rPr>
        <w:t>0 months in integrated cooling and heating mode</w:t>
      </w:r>
      <w:r w:rsidR="005E0E07">
        <w:rPr>
          <w:rFonts w:cs="Arial"/>
        </w:rPr>
        <w:t xml:space="preserve">, </w:t>
      </w:r>
      <w:r w:rsidR="008706B0" w:rsidRPr="008706B0">
        <w:rPr>
          <w:rFonts w:cs="Arial"/>
        </w:rPr>
        <w:t>with RHI, it is seen that for an increase in gas price from its current industrial price of £0.022 per kWh to the current domestic gas price of £0.029 per kW, the cost savings increase from £154,000 to £250,000 per year. The price of gas is expected to increase further in the future, and carbon taxes may be levied on fossil fuels such as gas. The cost of gas e.g. for CHP or gas boilers, can significantly influence the cost of heating using these</w:t>
      </w:r>
      <w:r w:rsidR="005E0E07">
        <w:rPr>
          <w:rFonts w:cs="Arial"/>
        </w:rPr>
        <w:t xml:space="preserve"> methods as compared with MICAH,</w:t>
      </w:r>
      <w:r w:rsidR="005C6D2A" w:rsidRPr="008706B0">
        <w:rPr>
          <w:rFonts w:cs="Arial"/>
          <w:color w:val="000000" w:themeColor="text1"/>
        </w:rPr>
        <w:t xml:space="preserve"> which could substantially increase the cost savings for MICAH.</w:t>
      </w:r>
    </w:p>
    <w:p w:rsidR="005C6D2A" w:rsidRDefault="005C6D2A" w:rsidP="00D2527D">
      <w:pPr>
        <w:jc w:val="both"/>
        <w:rPr>
          <w:rFonts w:cs="Arial"/>
          <w:color w:val="000000" w:themeColor="text1"/>
        </w:rPr>
      </w:pPr>
      <w:r>
        <w:rPr>
          <w:rFonts w:cs="Arial"/>
          <w:color w:val="000000" w:themeColor="text1"/>
        </w:rPr>
        <w:t xml:space="preserve">3.2.5 </w:t>
      </w:r>
      <w:r w:rsidR="00235979">
        <w:rPr>
          <w:rFonts w:cs="Arial"/>
          <w:color w:val="000000" w:themeColor="text1"/>
        </w:rPr>
        <w:t>Effect of Co</w:t>
      </w:r>
      <w:r w:rsidRPr="008706B0">
        <w:rPr>
          <w:rFonts w:cs="Arial"/>
          <w:color w:val="000000" w:themeColor="text1"/>
        </w:rPr>
        <w:t>P of heat pump on cost savings for MICAH</w:t>
      </w:r>
    </w:p>
    <w:p w:rsidR="002D3837" w:rsidRDefault="005C6D2A" w:rsidP="002D3837">
      <w:pPr>
        <w:jc w:val="both"/>
        <w:rPr>
          <w:rFonts w:cs="Arial"/>
          <w:color w:val="000000" w:themeColor="text1"/>
        </w:rPr>
      </w:pPr>
      <w:r w:rsidRPr="008706B0">
        <w:rPr>
          <w:rFonts w:cs="Arial"/>
          <w:color w:val="000000" w:themeColor="text1"/>
        </w:rPr>
        <w:t>Another key factor affecting the cost savings achieved for MICAH is th</w:t>
      </w:r>
      <w:r w:rsidR="00235979">
        <w:rPr>
          <w:rFonts w:cs="Arial"/>
          <w:color w:val="000000" w:themeColor="text1"/>
        </w:rPr>
        <w:t>e coefficient of performance (Co</w:t>
      </w:r>
      <w:r w:rsidRPr="008706B0">
        <w:rPr>
          <w:rFonts w:cs="Arial"/>
          <w:color w:val="000000" w:themeColor="text1"/>
        </w:rPr>
        <w:t xml:space="preserve">P) for the </w:t>
      </w:r>
      <w:r w:rsidR="00235979">
        <w:rPr>
          <w:rFonts w:cs="Arial"/>
          <w:color w:val="000000" w:themeColor="text1"/>
        </w:rPr>
        <w:t>heat pump. Small increases in Co</w:t>
      </w:r>
      <w:r w:rsidRPr="008706B0">
        <w:rPr>
          <w:rFonts w:cs="Arial"/>
          <w:color w:val="000000" w:themeColor="text1"/>
        </w:rPr>
        <w:t>P can provide large increases in energy, carbon and</w:t>
      </w:r>
      <w:r w:rsidR="00235979">
        <w:rPr>
          <w:rFonts w:cs="Arial"/>
          <w:color w:val="000000" w:themeColor="text1"/>
        </w:rPr>
        <w:t xml:space="preserve"> cost savings for MICAH.  The Co</w:t>
      </w:r>
      <w:r w:rsidRPr="008706B0">
        <w:rPr>
          <w:rFonts w:cs="Arial"/>
          <w:color w:val="000000" w:themeColor="text1"/>
        </w:rPr>
        <w:t xml:space="preserve">Ps assumed in the current model were derived from performance data provided by a heat pump manufacturer </w:t>
      </w:r>
      <w:r w:rsidRPr="00137B65">
        <w:rPr>
          <w:rFonts w:cs="Arial"/>
          <w:color w:val="000000" w:themeColor="text1"/>
        </w:rPr>
        <w:t>(</w:t>
      </w:r>
      <w:r w:rsidR="00137B65">
        <w:rPr>
          <w:rFonts w:cs="Arial"/>
          <w:color w:val="000000" w:themeColor="text1"/>
        </w:rPr>
        <w:t>p</w:t>
      </w:r>
      <w:r w:rsidR="00553422" w:rsidRPr="00137B65">
        <w:rPr>
          <w:rFonts w:cs="Arial"/>
          <w:color w:val="000000" w:themeColor="text1"/>
        </w:rPr>
        <w:t>ersonal communication</w:t>
      </w:r>
      <w:r w:rsidR="00137B65" w:rsidRPr="00137B65">
        <w:rPr>
          <w:rFonts w:cs="Arial"/>
          <w:color w:val="000000" w:themeColor="text1"/>
        </w:rPr>
        <w:t xml:space="preserve"> with GEA</w:t>
      </w:r>
      <w:r w:rsidR="00BD62A4" w:rsidRPr="00137B65">
        <w:rPr>
          <w:rFonts w:cs="Arial"/>
          <w:color w:val="000000" w:themeColor="text1"/>
        </w:rPr>
        <w:t>, 2016</w:t>
      </w:r>
      <w:r w:rsidRPr="008706B0">
        <w:rPr>
          <w:rFonts w:cs="Arial"/>
          <w:color w:val="000000" w:themeColor="text1"/>
        </w:rPr>
        <w:t xml:space="preserve">) </w:t>
      </w:r>
      <w:r w:rsidR="00B341CF">
        <w:rPr>
          <w:rFonts w:cs="Arial"/>
          <w:color w:val="000000" w:themeColor="text1"/>
        </w:rPr>
        <w:t>and are based on the use of a 2-</w:t>
      </w:r>
      <w:r w:rsidRPr="008706B0">
        <w:rPr>
          <w:rFonts w:cs="Arial"/>
          <w:color w:val="000000" w:themeColor="text1"/>
        </w:rPr>
        <w:t xml:space="preserve">stage ammonia heat pump. In fact, </w:t>
      </w:r>
      <w:r w:rsidR="001F1B44">
        <w:rPr>
          <w:rFonts w:cs="Arial"/>
          <w:color w:val="000000" w:themeColor="text1"/>
        </w:rPr>
        <w:t>recent information supplied by the</w:t>
      </w:r>
      <w:r w:rsidRPr="008706B0">
        <w:rPr>
          <w:rFonts w:cs="Arial"/>
          <w:color w:val="000000" w:themeColor="text1"/>
        </w:rPr>
        <w:t xml:space="preserve"> heat pump manufacturer sugge</w:t>
      </w:r>
      <w:r w:rsidR="00235979">
        <w:rPr>
          <w:rFonts w:cs="Arial"/>
          <w:color w:val="000000" w:themeColor="text1"/>
        </w:rPr>
        <w:t>sts that significantly higher Co</w:t>
      </w:r>
      <w:r w:rsidRPr="008706B0">
        <w:rPr>
          <w:rFonts w:cs="Arial"/>
          <w:color w:val="000000" w:themeColor="text1"/>
        </w:rPr>
        <w:t>P values i.e. of the order of +0.5 could be achieved with a custom designed heat pump system based on the expected operating conditions, which would provide significantly increased energy</w:t>
      </w:r>
      <w:r w:rsidR="00137B65">
        <w:rPr>
          <w:rFonts w:cs="Arial"/>
          <w:color w:val="000000" w:themeColor="text1"/>
        </w:rPr>
        <w:t>,</w:t>
      </w:r>
      <w:r w:rsidRPr="008706B0">
        <w:rPr>
          <w:rFonts w:cs="Arial"/>
          <w:color w:val="000000" w:themeColor="text1"/>
        </w:rPr>
        <w:t xml:space="preserve"> carbon and cost savings. Other factors which</w:t>
      </w:r>
      <w:r w:rsidR="00235979">
        <w:rPr>
          <w:rFonts w:cs="Arial"/>
          <w:color w:val="000000" w:themeColor="text1"/>
        </w:rPr>
        <w:t xml:space="preserve"> could increase the heat pump Co</w:t>
      </w:r>
      <w:r w:rsidRPr="008706B0">
        <w:rPr>
          <w:rFonts w:cs="Arial"/>
          <w:color w:val="000000" w:themeColor="text1"/>
        </w:rPr>
        <w:t>P include the use of transcritical CO</w:t>
      </w:r>
      <w:r w:rsidRPr="008706B0">
        <w:rPr>
          <w:rFonts w:cs="Arial"/>
          <w:color w:val="000000" w:themeColor="text1"/>
          <w:vertAlign w:val="subscript"/>
        </w:rPr>
        <w:t>2</w:t>
      </w:r>
      <w:r w:rsidRPr="008706B0">
        <w:rPr>
          <w:rFonts w:cs="Arial"/>
          <w:color w:val="000000" w:themeColor="text1"/>
        </w:rPr>
        <w:t xml:space="preserve"> as the primary loop heat transfer fluid to transfer heat from the HRHX to the heat pump evaporator. This would enable the temperature difference to be significantly reduced to e.g. 1-2 K, as compared with a current flow- return temperature difference of 5 K, plus log mean temperature differences (LMTDs) of 7.2 K and 4.5 K for HRHX and heat pump evaporator heat exchangers respectively. As a result, the heat pump evaporator temperature could be increased significantly wit</w:t>
      </w:r>
      <w:r w:rsidR="00235979">
        <w:rPr>
          <w:rFonts w:cs="Arial"/>
          <w:color w:val="000000" w:themeColor="text1"/>
        </w:rPr>
        <w:t>h a corresponding increase in Co</w:t>
      </w:r>
      <w:r w:rsidRPr="008706B0">
        <w:rPr>
          <w:rFonts w:cs="Arial"/>
          <w:color w:val="000000" w:themeColor="text1"/>
        </w:rPr>
        <w:t>P (i.e. of the order of 4% per 1K increase in evaporating temperature). However, an alternative approach would be to simply reduce the LMTD for the HRHX</w:t>
      </w:r>
      <w:r w:rsidR="00B341CF">
        <w:rPr>
          <w:rFonts w:cs="Arial"/>
          <w:color w:val="000000" w:themeColor="text1"/>
        </w:rPr>
        <w:t>,</w:t>
      </w:r>
      <w:r w:rsidRPr="008706B0">
        <w:rPr>
          <w:rFonts w:cs="Arial"/>
          <w:color w:val="000000" w:themeColor="text1"/>
        </w:rPr>
        <w:t xml:space="preserve"> by increasing the HRHX size. This would also permit the evaporator temperature to be increased, thereby increa</w:t>
      </w:r>
      <w:r w:rsidR="00235979">
        <w:rPr>
          <w:rFonts w:cs="Arial"/>
          <w:color w:val="000000" w:themeColor="text1"/>
        </w:rPr>
        <w:t>sing the Co</w:t>
      </w:r>
      <w:r>
        <w:rPr>
          <w:rFonts w:cs="Arial"/>
          <w:color w:val="000000" w:themeColor="text1"/>
        </w:rPr>
        <w:t>P for the heat pump.</w:t>
      </w:r>
    </w:p>
    <w:p w:rsidR="005F65CD" w:rsidRDefault="005F65CD" w:rsidP="00D2527D">
      <w:pPr>
        <w:jc w:val="both"/>
        <w:rPr>
          <w:rFonts w:cs="Arial"/>
          <w:b/>
          <w:color w:val="000000" w:themeColor="text1"/>
        </w:rPr>
      </w:pPr>
    </w:p>
    <w:p w:rsidR="005F65CD" w:rsidRDefault="005F65CD" w:rsidP="00D2527D">
      <w:pPr>
        <w:jc w:val="both"/>
        <w:rPr>
          <w:rFonts w:cs="Arial"/>
          <w:b/>
          <w:color w:val="000000" w:themeColor="text1"/>
        </w:rPr>
      </w:pPr>
    </w:p>
    <w:p w:rsidR="00A6225F" w:rsidRPr="00A6225F" w:rsidRDefault="0097489C" w:rsidP="00D2527D">
      <w:pPr>
        <w:jc w:val="both"/>
        <w:rPr>
          <w:rFonts w:cs="Arial"/>
          <w:b/>
          <w:color w:val="000000" w:themeColor="text1"/>
        </w:rPr>
      </w:pPr>
      <w:r>
        <w:rPr>
          <w:rFonts w:cs="Arial"/>
          <w:b/>
          <w:color w:val="000000" w:themeColor="text1"/>
        </w:rPr>
        <w:lastRenderedPageBreak/>
        <w:t>4.0</w:t>
      </w:r>
      <w:r>
        <w:rPr>
          <w:rFonts w:cs="Arial"/>
          <w:b/>
          <w:color w:val="000000" w:themeColor="text1"/>
        </w:rPr>
        <w:tab/>
      </w:r>
      <w:r w:rsidR="008706B0" w:rsidRPr="00DA1BA8">
        <w:rPr>
          <w:rFonts w:cs="Arial"/>
          <w:b/>
          <w:color w:val="000000" w:themeColor="text1"/>
        </w:rPr>
        <w:t xml:space="preserve">Conclusions </w:t>
      </w:r>
    </w:p>
    <w:p w:rsidR="00A6225F" w:rsidRDefault="00A6225F" w:rsidP="00D2527D">
      <w:pPr>
        <w:spacing w:after="0"/>
        <w:jc w:val="both"/>
        <w:rPr>
          <w:rFonts w:cs="Arial"/>
          <w:color w:val="000000" w:themeColor="text1"/>
        </w:rPr>
      </w:pPr>
      <w:r w:rsidRPr="008706B0">
        <w:rPr>
          <w:rFonts w:cs="Arial"/>
          <w:color w:val="000000" w:themeColor="text1"/>
        </w:rPr>
        <w:t xml:space="preserve">The MICAH system performance has been evaluated in terms of energy use, carbon emissions and costs, and shown to provide significant savings compared with CHP heating and VCR cooling. The performance was similar for both configuration options i.e. </w:t>
      </w:r>
      <w:r>
        <w:rPr>
          <w:rFonts w:cs="Arial"/>
          <w:color w:val="000000" w:themeColor="text1"/>
        </w:rPr>
        <w:t xml:space="preserve">layout </w:t>
      </w:r>
      <w:r w:rsidRPr="008706B0">
        <w:rPr>
          <w:rFonts w:cs="Arial"/>
          <w:color w:val="000000" w:themeColor="text1"/>
        </w:rPr>
        <w:t>options 1 and 2. For example, carbon savings ranging from</w:t>
      </w:r>
      <w:r w:rsidRPr="008706B0">
        <w:rPr>
          <w:rFonts w:cs="Arial"/>
          <w:color w:val="FF0000"/>
        </w:rPr>
        <w:t xml:space="preserve"> </w:t>
      </w:r>
      <w:r w:rsidRPr="008706B0">
        <w:rPr>
          <w:rFonts w:cs="Arial"/>
        </w:rPr>
        <w:t xml:space="preserve">1080 to 1800 </w:t>
      </w:r>
      <w:r w:rsidRPr="008706B0">
        <w:rPr>
          <w:rFonts w:cs="Arial"/>
          <w:color w:val="000000" w:themeColor="text1"/>
        </w:rPr>
        <w:t xml:space="preserve">tonnes per year for the different </w:t>
      </w:r>
      <w:r>
        <w:rPr>
          <w:rFonts w:cs="Arial"/>
          <w:color w:val="000000" w:themeColor="text1"/>
        </w:rPr>
        <w:t xml:space="preserve">operating </w:t>
      </w:r>
      <w:r w:rsidRPr="008706B0">
        <w:rPr>
          <w:rFonts w:cs="Arial"/>
          <w:color w:val="000000" w:themeColor="text1"/>
        </w:rPr>
        <w:t>modes</w:t>
      </w:r>
      <w:r>
        <w:rPr>
          <w:rFonts w:cs="Arial"/>
          <w:color w:val="000000" w:themeColor="text1"/>
        </w:rPr>
        <w:t xml:space="preserve"> (i.e. range of periods operating in either integrated cooling and heating or heating only modes) </w:t>
      </w:r>
      <w:r w:rsidRPr="008706B0">
        <w:rPr>
          <w:rFonts w:cs="Arial"/>
          <w:color w:val="000000" w:themeColor="text1"/>
        </w:rPr>
        <w:t xml:space="preserve">can be achieved with current electricity grid carbon factors. </w:t>
      </w:r>
      <w:r>
        <w:t>The results showed that this system could deliver massive carbon and cost savings. With 200 ventilation shafts in London, it is possible to save annually more than 360,000 tonnes of carbon and generate revenues of £40,000,000, compared to conventional cooling and heating systems. If this technology can be applied in 50% of 150 metro systems worldwide</w:t>
      </w:r>
      <w:r w:rsidR="00924479">
        <w:t xml:space="preserve"> (UITP, 2015)</w:t>
      </w:r>
      <w:r>
        <w:t xml:space="preserve">, more than 27 million tonnes of carbon savings will be achieved. </w:t>
      </w:r>
      <w:r w:rsidRPr="008706B0">
        <w:rPr>
          <w:rFonts w:cs="Arial"/>
          <w:color w:val="000000" w:themeColor="text1"/>
        </w:rPr>
        <w:t xml:space="preserve">This is expected to increase further as the electricity grid continues to be decarbonised, as the proportion of renewable energy sources increases, in the future.  Cost savings vary with a range of factors as discussed </w:t>
      </w:r>
      <w:r>
        <w:rPr>
          <w:rFonts w:cs="Arial"/>
          <w:color w:val="000000" w:themeColor="text1"/>
        </w:rPr>
        <w:t>above</w:t>
      </w:r>
      <w:r w:rsidRPr="008706B0">
        <w:rPr>
          <w:rFonts w:cs="Arial"/>
          <w:color w:val="000000" w:themeColor="text1"/>
        </w:rPr>
        <w:t>, but with optimisation, and with RHI applied, significant savings can be achieved.</w:t>
      </w:r>
    </w:p>
    <w:p w:rsidR="00C415ED" w:rsidRDefault="00C415ED" w:rsidP="00D2527D">
      <w:pPr>
        <w:spacing w:after="0"/>
        <w:jc w:val="both"/>
        <w:rPr>
          <w:rFonts w:cs="Arial"/>
          <w:color w:val="000000" w:themeColor="text1"/>
        </w:rPr>
      </w:pPr>
    </w:p>
    <w:p w:rsidR="00C415ED" w:rsidRDefault="00C415ED" w:rsidP="00D2527D">
      <w:pPr>
        <w:jc w:val="both"/>
        <w:rPr>
          <w:rFonts w:cs="Arial"/>
          <w:b/>
          <w:color w:val="000000" w:themeColor="text1"/>
        </w:rPr>
      </w:pPr>
      <w:r w:rsidRPr="00C415ED">
        <w:rPr>
          <w:rFonts w:cs="Arial"/>
          <w:b/>
          <w:color w:val="000000" w:themeColor="text1"/>
        </w:rPr>
        <w:t>Acknowledgements</w:t>
      </w:r>
    </w:p>
    <w:p w:rsidR="00A6225F" w:rsidRDefault="00235979" w:rsidP="00D2527D">
      <w:pPr>
        <w:spacing w:after="0"/>
        <w:jc w:val="both"/>
        <w:rPr>
          <w:rFonts w:cs="Arial"/>
          <w:color w:val="000000" w:themeColor="text1"/>
        </w:rPr>
      </w:pPr>
      <w:r w:rsidRPr="00235979">
        <w:rPr>
          <w:rFonts w:cs="Arial"/>
          <w:color w:val="000000" w:themeColor="text1"/>
        </w:rPr>
        <w:t xml:space="preserve">This project was funded </w:t>
      </w:r>
      <w:r w:rsidRPr="00B50D81">
        <w:rPr>
          <w:rFonts w:cs="Arial"/>
          <w:color w:val="000000" w:themeColor="text1"/>
        </w:rPr>
        <w:t>by Innovate UK,</w:t>
      </w:r>
      <w:r>
        <w:rPr>
          <w:rFonts w:cs="Arial"/>
          <w:color w:val="000000" w:themeColor="text1"/>
        </w:rPr>
        <w:t xml:space="preserve"> with support from Transport for Lon</w:t>
      </w:r>
      <w:r w:rsidR="00F02498">
        <w:rPr>
          <w:rFonts w:cs="Arial"/>
          <w:color w:val="000000" w:themeColor="text1"/>
        </w:rPr>
        <w:t>don</w:t>
      </w:r>
      <w:r>
        <w:rPr>
          <w:rFonts w:cs="Arial"/>
          <w:color w:val="000000" w:themeColor="text1"/>
        </w:rPr>
        <w:t xml:space="preserve">, Islington </w:t>
      </w:r>
      <w:r w:rsidR="00F02498">
        <w:rPr>
          <w:rFonts w:cs="Arial"/>
          <w:color w:val="000000" w:themeColor="text1"/>
        </w:rPr>
        <w:t xml:space="preserve">Borough </w:t>
      </w:r>
      <w:r>
        <w:rPr>
          <w:rFonts w:cs="Arial"/>
          <w:color w:val="000000" w:themeColor="text1"/>
        </w:rPr>
        <w:t>Council and London South Bank University.</w:t>
      </w:r>
      <w:r w:rsidR="00F02498">
        <w:rPr>
          <w:rFonts w:cs="Arial"/>
          <w:color w:val="000000" w:themeColor="text1"/>
        </w:rPr>
        <w:t xml:space="preserve"> </w:t>
      </w:r>
    </w:p>
    <w:p w:rsidR="00B50D81" w:rsidRPr="00235979" w:rsidRDefault="00B50D81" w:rsidP="00D2527D">
      <w:pPr>
        <w:spacing w:after="0"/>
        <w:jc w:val="both"/>
        <w:rPr>
          <w:rFonts w:cs="Arial"/>
          <w:color w:val="000000" w:themeColor="text1"/>
        </w:rPr>
      </w:pPr>
    </w:p>
    <w:p w:rsidR="00C415ED" w:rsidRPr="00C415ED" w:rsidRDefault="00C415ED" w:rsidP="00D2527D">
      <w:pPr>
        <w:jc w:val="both"/>
        <w:rPr>
          <w:rFonts w:cs="Arial"/>
          <w:b/>
          <w:color w:val="000000" w:themeColor="text1"/>
        </w:rPr>
      </w:pPr>
      <w:r w:rsidRPr="00C415ED">
        <w:rPr>
          <w:rFonts w:cs="Arial"/>
          <w:b/>
          <w:color w:val="000000" w:themeColor="text1"/>
        </w:rPr>
        <w:t>References</w:t>
      </w:r>
    </w:p>
    <w:p w:rsidR="00D01177" w:rsidRPr="000B2F34" w:rsidRDefault="00D01177" w:rsidP="00D01177">
      <w:pPr>
        <w:pBdr>
          <w:top w:val="nil"/>
          <w:left w:val="nil"/>
          <w:bottom w:val="nil"/>
          <w:right w:val="nil"/>
          <w:between w:val="nil"/>
        </w:pBdr>
        <w:spacing w:after="0" w:line="240" w:lineRule="auto"/>
        <w:contextualSpacing/>
        <w:jc w:val="both"/>
      </w:pPr>
      <w:r w:rsidRPr="000B2F34">
        <w:t>Addanki, S. C. and Venkataraman, H. (2017) Greening the economy: A review of urban sustainability measures for developing new cities, Sustainable Cities and Society, 32, pp. 1–8. DOI:10.1016/j.scs.2017.03.009.</w:t>
      </w:r>
    </w:p>
    <w:p w:rsidR="000E1D07" w:rsidRPr="000B2F34" w:rsidRDefault="000E1D07" w:rsidP="00D2527D">
      <w:pPr>
        <w:pStyle w:val="Heading2"/>
        <w:numPr>
          <w:ilvl w:val="0"/>
          <w:numId w:val="0"/>
        </w:numPr>
        <w:shd w:val="clear" w:color="auto" w:fill="FFFFFF"/>
        <w:spacing w:before="0" w:after="0"/>
        <w:jc w:val="both"/>
        <w:textAlignment w:val="baseline"/>
        <w:rPr>
          <w:rFonts w:asciiTheme="minorHAnsi" w:hAnsiTheme="minorHAnsi" w:cs="Arial"/>
          <w:b w:val="0"/>
          <w:bCs w:val="0"/>
          <w:i w:val="0"/>
          <w:sz w:val="22"/>
          <w:szCs w:val="22"/>
          <w:bdr w:val="none" w:sz="0" w:space="0" w:color="auto" w:frame="1"/>
        </w:rPr>
      </w:pPr>
      <w:r w:rsidRPr="000B2F34">
        <w:rPr>
          <w:rFonts w:asciiTheme="minorHAnsi" w:hAnsiTheme="minorHAnsi" w:cs="Arial"/>
          <w:b w:val="0"/>
          <w:bCs w:val="0"/>
          <w:i w:val="0"/>
          <w:color w:val="0B0C0C"/>
          <w:sz w:val="22"/>
          <w:szCs w:val="22"/>
        </w:rPr>
        <w:t xml:space="preserve">BEIS (2017) </w:t>
      </w:r>
      <w:r w:rsidRPr="000B2F34">
        <w:rPr>
          <w:rFonts w:asciiTheme="minorHAnsi" w:hAnsiTheme="minorHAnsi" w:cs="Arial"/>
          <w:b w:val="0"/>
          <w:bCs w:val="0"/>
          <w:i w:val="0"/>
          <w:sz w:val="22"/>
          <w:szCs w:val="22"/>
          <w:bdr w:val="none" w:sz="0" w:space="0" w:color="auto" w:frame="1"/>
        </w:rPr>
        <w:t>Prices of fuels purchased by non-domestic consumers</w:t>
      </w:r>
      <w:r w:rsidR="00936830" w:rsidRPr="000B2F34">
        <w:rPr>
          <w:rFonts w:asciiTheme="minorHAnsi" w:hAnsiTheme="minorHAnsi" w:cs="Arial"/>
          <w:b w:val="0"/>
          <w:bCs w:val="0"/>
          <w:i w:val="0"/>
          <w:sz w:val="22"/>
          <w:szCs w:val="22"/>
          <w:bdr w:val="none" w:sz="0" w:space="0" w:color="auto" w:frame="1"/>
        </w:rPr>
        <w:t xml:space="preserve"> in the United Kingdom. Online: </w:t>
      </w:r>
      <w:hyperlink r:id="rId22" w:history="1">
        <w:r w:rsidR="00936830" w:rsidRPr="000B2F34">
          <w:rPr>
            <w:rStyle w:val="Hyperlink"/>
            <w:rFonts w:asciiTheme="minorHAnsi" w:hAnsiTheme="minorHAnsi" w:cs="Arial"/>
            <w:b w:val="0"/>
            <w:bCs w:val="0"/>
            <w:i w:val="0"/>
            <w:sz w:val="22"/>
            <w:szCs w:val="22"/>
            <w:bdr w:val="none" w:sz="0" w:space="0" w:color="auto" w:frame="1"/>
          </w:rPr>
          <w:t>https://www.gov.uk/government/statistical-data-sets/gas-and-electricity-prices-in-the-non-domestic-sector</w:t>
        </w:r>
      </w:hyperlink>
      <w:r w:rsidR="00936830" w:rsidRPr="000B2F34">
        <w:rPr>
          <w:rFonts w:asciiTheme="minorHAnsi" w:hAnsiTheme="minorHAnsi" w:cs="Arial"/>
          <w:b w:val="0"/>
          <w:bCs w:val="0"/>
          <w:i w:val="0"/>
          <w:sz w:val="22"/>
          <w:szCs w:val="22"/>
          <w:bdr w:val="none" w:sz="0" w:space="0" w:color="auto" w:frame="1"/>
        </w:rPr>
        <w:t xml:space="preserve"> </w:t>
      </w:r>
      <w:r w:rsidRPr="000B2F34">
        <w:rPr>
          <w:rFonts w:asciiTheme="minorHAnsi" w:hAnsiTheme="minorHAnsi" w:cs="Arial"/>
          <w:b w:val="0"/>
          <w:bCs w:val="0"/>
          <w:i w:val="0"/>
          <w:sz w:val="22"/>
          <w:szCs w:val="22"/>
          <w:bdr w:val="none" w:sz="0" w:space="0" w:color="auto" w:frame="1"/>
        </w:rPr>
        <w:t xml:space="preserve">Accessed: 7-7-17 </w:t>
      </w:r>
    </w:p>
    <w:p w:rsidR="00D01177" w:rsidRPr="000B2F34" w:rsidRDefault="00D01177" w:rsidP="00D01177">
      <w:pPr>
        <w:pBdr>
          <w:top w:val="nil"/>
          <w:left w:val="nil"/>
          <w:bottom w:val="nil"/>
          <w:right w:val="nil"/>
          <w:between w:val="nil"/>
        </w:pBdr>
        <w:spacing w:after="0" w:line="240" w:lineRule="auto"/>
        <w:contextualSpacing/>
        <w:jc w:val="both"/>
      </w:pPr>
      <w:r w:rsidRPr="000B2F34">
        <w:t>Bibri, S. E. and Krogstie, J. (2017) Smart sustainable cities of the future: An extensive interdisciplinary literature review, Sustainable Cities and Society, 31, pp. 183–212. DOI:10.1016/j.scs.2017.02.016.</w:t>
      </w:r>
    </w:p>
    <w:p w:rsidR="00D01177" w:rsidRPr="000B2F34" w:rsidRDefault="00D01177" w:rsidP="00D01177">
      <w:pPr>
        <w:pBdr>
          <w:top w:val="nil"/>
          <w:left w:val="nil"/>
          <w:bottom w:val="nil"/>
          <w:right w:val="nil"/>
          <w:between w:val="nil"/>
        </w:pBdr>
        <w:spacing w:after="0" w:line="240" w:lineRule="auto"/>
        <w:contextualSpacing/>
        <w:jc w:val="both"/>
      </w:pPr>
      <w:r w:rsidRPr="000B2F34">
        <w:t>Bonafoni, S., Baldinelli, G. and Verducci, P. (2017) Sustainable strategies for smart cities: Analysis of the town development effect on surface urban heat island through remote sensing methodologies, Sustainable Cities and Society, 29, pp. 211–218. DOI:10.1016/j.scs.2016.11.005.</w:t>
      </w:r>
    </w:p>
    <w:p w:rsidR="00D01177" w:rsidRPr="000B2F34" w:rsidRDefault="00D01177" w:rsidP="00D01177">
      <w:pPr>
        <w:pBdr>
          <w:top w:val="nil"/>
          <w:left w:val="nil"/>
          <w:bottom w:val="nil"/>
          <w:right w:val="nil"/>
          <w:between w:val="nil"/>
        </w:pBdr>
        <w:spacing w:after="0" w:line="240" w:lineRule="auto"/>
        <w:contextualSpacing/>
        <w:jc w:val="both"/>
      </w:pPr>
      <w:r w:rsidRPr="000B2F34">
        <w:t>Carter, J. G., Cavan, G., Connelly, A., Guy, S., Handley, J. and Kazmierczak, A. (2015) Climate change and the city: Building capacity for urban adaptation, Progress in Planning, 95, pp. 1–66. DOI:10.1016/j.progress.2013.08.001.</w:t>
      </w:r>
    </w:p>
    <w:p w:rsidR="0072552F" w:rsidRPr="000B2F34" w:rsidRDefault="0072552F" w:rsidP="00D2527D">
      <w:pPr>
        <w:spacing w:after="0"/>
        <w:jc w:val="both"/>
        <w:rPr>
          <w:i/>
          <w:lang w:val="en-US"/>
        </w:rPr>
      </w:pPr>
      <w:r w:rsidRPr="000B2F34">
        <w:rPr>
          <w:lang w:val="en-US"/>
        </w:rPr>
        <w:t xml:space="preserve">Chai, Y., Sun, T., Han, H., Cao, F. and Liu, Y. (2017) Modularly Design for Waste Heat Recovery System in Subway Based on Air Source Heat Pump. </w:t>
      </w:r>
      <w:r w:rsidRPr="000B2F34">
        <w:rPr>
          <w:i/>
          <w:lang w:val="en-US"/>
        </w:rPr>
        <w:t>Procedia Engineering 205 pp 273-280</w:t>
      </w:r>
    </w:p>
    <w:p w:rsidR="000C45C3" w:rsidRPr="000B2F34" w:rsidRDefault="000C45C3" w:rsidP="000C45C3">
      <w:pPr>
        <w:pStyle w:val="18References"/>
        <w:rPr>
          <w:rFonts w:asciiTheme="minorHAnsi" w:hAnsiTheme="minorHAnsi"/>
          <w:sz w:val="22"/>
          <w:szCs w:val="22"/>
        </w:rPr>
      </w:pPr>
      <w:r w:rsidRPr="000B2F34">
        <w:rPr>
          <w:rFonts w:asciiTheme="minorHAnsi" w:hAnsiTheme="minorHAnsi"/>
          <w:sz w:val="22"/>
          <w:szCs w:val="22"/>
        </w:rPr>
        <w:t>Climate Change Act 2008: Elizabeth II. (2008) London, Stationery Office.</w:t>
      </w:r>
    </w:p>
    <w:p w:rsidR="00D01177" w:rsidRPr="000B2F34" w:rsidRDefault="00D01177" w:rsidP="00D01177">
      <w:pPr>
        <w:autoSpaceDE w:val="0"/>
        <w:autoSpaceDN w:val="0"/>
        <w:adjustRightInd w:val="0"/>
        <w:spacing w:after="0" w:line="240" w:lineRule="auto"/>
        <w:jc w:val="both"/>
      </w:pPr>
      <w:r w:rsidRPr="000B2F34">
        <w:t>Committee on Climate Change (2016). Next Steps for UK Heat Policy. Online: https://www.theccc.org.uk/wp-content/uploads/2016/10/Next-steps-for-UK-heat-policy-Committee-on-Climate-Change-October-2016.pdf. Accessed: 16-10-18.</w:t>
      </w:r>
    </w:p>
    <w:p w:rsidR="00515733" w:rsidRPr="000B2F34" w:rsidRDefault="00515733" w:rsidP="004E09FF">
      <w:pPr>
        <w:pStyle w:val="18References"/>
        <w:tabs>
          <w:tab w:val="clear" w:pos="360"/>
        </w:tabs>
        <w:ind w:left="0" w:firstLine="0"/>
        <w:jc w:val="left"/>
        <w:rPr>
          <w:rFonts w:asciiTheme="minorHAnsi" w:hAnsiTheme="minorHAnsi"/>
          <w:sz w:val="22"/>
          <w:szCs w:val="22"/>
        </w:rPr>
      </w:pPr>
      <w:r w:rsidRPr="000B2F34">
        <w:rPr>
          <w:rFonts w:asciiTheme="minorHAnsi" w:hAnsiTheme="minorHAnsi"/>
          <w:sz w:val="22"/>
          <w:szCs w:val="22"/>
        </w:rPr>
        <w:t xml:space="preserve">Committee on Climate Change (2018) Reducing carbon emissions: How the UK is progressing. Online at: </w:t>
      </w:r>
      <w:hyperlink r:id="rId23" w:history="1">
        <w:r w:rsidRPr="000B2F34">
          <w:rPr>
            <w:rStyle w:val="Hyperlink"/>
            <w:rFonts w:asciiTheme="minorHAnsi" w:hAnsiTheme="minorHAnsi"/>
            <w:sz w:val="22"/>
            <w:szCs w:val="22"/>
          </w:rPr>
          <w:t>https://www.theccc.org.uk/tackling-climate-change/reducing-carbon-emissions/how-the-uk-is-progressing/</w:t>
        </w:r>
      </w:hyperlink>
      <w:r w:rsidRPr="000B2F34">
        <w:rPr>
          <w:rFonts w:asciiTheme="minorHAnsi" w:hAnsiTheme="minorHAnsi"/>
          <w:sz w:val="22"/>
          <w:szCs w:val="22"/>
        </w:rPr>
        <w:t xml:space="preserve"> Accessed 21-8-18</w:t>
      </w:r>
    </w:p>
    <w:p w:rsidR="00DC6129" w:rsidRDefault="00DC6129" w:rsidP="00DC6129">
      <w:pPr>
        <w:pBdr>
          <w:top w:val="nil"/>
          <w:left w:val="nil"/>
          <w:bottom w:val="nil"/>
          <w:right w:val="nil"/>
          <w:between w:val="nil"/>
        </w:pBdr>
        <w:spacing w:after="0" w:line="240" w:lineRule="auto"/>
        <w:contextualSpacing/>
      </w:pPr>
      <w:r w:rsidRPr="000B2F34">
        <w:t>David, A., Mathiesen, B.V., Aver</w:t>
      </w:r>
      <w:r>
        <w:t>falk, H., Werner, S., Lund, H.</w:t>
      </w:r>
      <w:r w:rsidRPr="000B2F34">
        <w:t xml:space="preserve">, 2017. Heat Roadmap Europe: Large-Scale Electric Heat Pumps in District Heating Systems. Energies 10, 578. </w:t>
      </w:r>
      <w:hyperlink r:id="rId24" w:history="1">
        <w:r w:rsidRPr="006A461A">
          <w:rPr>
            <w:rStyle w:val="Hyperlink"/>
          </w:rPr>
          <w:t>https://doi.org/10.3390/en10040578</w:t>
        </w:r>
      </w:hyperlink>
    </w:p>
    <w:p w:rsidR="000E1D07" w:rsidRPr="000B2F34" w:rsidRDefault="000E1D07" w:rsidP="00DC6129">
      <w:pPr>
        <w:pBdr>
          <w:top w:val="nil"/>
          <w:left w:val="nil"/>
          <w:bottom w:val="nil"/>
          <w:right w:val="nil"/>
          <w:between w:val="nil"/>
        </w:pBdr>
        <w:spacing w:after="0" w:line="240" w:lineRule="auto"/>
        <w:contextualSpacing/>
      </w:pPr>
      <w:r w:rsidRPr="000B2F34">
        <w:lastRenderedPageBreak/>
        <w:t>Davies, G., Boot-Handford, N., Grice, J. Dennis, W., Rami, R., Nicholls, A. and Maidment, G. (2017) Metropolitan Integrated Cooling and Heating. Presented at ASHRAE Winter Conference, Las Vegas, USA, Jan 28th - Feb 1st 2017</w:t>
      </w:r>
    </w:p>
    <w:p w:rsidR="00FE2435" w:rsidRPr="000B2F34" w:rsidRDefault="00FE2435" w:rsidP="00FE2435">
      <w:pPr>
        <w:pStyle w:val="18References"/>
        <w:rPr>
          <w:rFonts w:asciiTheme="minorHAnsi" w:hAnsiTheme="minorHAnsi"/>
          <w:sz w:val="22"/>
          <w:szCs w:val="22"/>
        </w:rPr>
      </w:pPr>
      <w:r w:rsidRPr="000B2F34">
        <w:rPr>
          <w:rFonts w:asciiTheme="minorHAnsi" w:hAnsiTheme="minorHAnsi"/>
          <w:sz w:val="22"/>
          <w:szCs w:val="22"/>
        </w:rPr>
        <w:t>DECC (2010) 2050 Pathways Analysis, Department of Energy and Climate Change, UK</w:t>
      </w:r>
    </w:p>
    <w:p w:rsidR="00FE2435" w:rsidRPr="000B2F34" w:rsidRDefault="00FE2435" w:rsidP="00FE2435">
      <w:pPr>
        <w:pStyle w:val="18References"/>
        <w:tabs>
          <w:tab w:val="clear" w:pos="360"/>
        </w:tabs>
        <w:ind w:left="0" w:firstLine="0"/>
        <w:rPr>
          <w:rFonts w:asciiTheme="minorHAnsi" w:hAnsiTheme="minorHAnsi"/>
          <w:sz w:val="22"/>
          <w:szCs w:val="22"/>
        </w:rPr>
      </w:pPr>
      <w:r w:rsidRPr="000B2F34">
        <w:rPr>
          <w:rFonts w:asciiTheme="minorHAnsi" w:hAnsiTheme="minorHAnsi"/>
          <w:sz w:val="22"/>
          <w:szCs w:val="22"/>
        </w:rPr>
        <w:t>DECC (2013) The Future of Heating: Meeting the Challenge, Department of Energy and Climate Change, UK.</w:t>
      </w:r>
    </w:p>
    <w:p w:rsidR="000E1D07" w:rsidRPr="000B2F34" w:rsidRDefault="000E1D07" w:rsidP="00924479">
      <w:pPr>
        <w:pStyle w:val="18References"/>
        <w:tabs>
          <w:tab w:val="clear" w:pos="360"/>
          <w:tab w:val="left" w:pos="284"/>
        </w:tabs>
        <w:ind w:left="0" w:firstLine="0"/>
        <w:jc w:val="left"/>
        <w:rPr>
          <w:rFonts w:asciiTheme="minorHAnsi" w:hAnsiTheme="minorHAnsi"/>
          <w:sz w:val="22"/>
          <w:szCs w:val="22"/>
        </w:rPr>
      </w:pPr>
      <w:r w:rsidRPr="000B2F34">
        <w:rPr>
          <w:rFonts w:asciiTheme="minorHAnsi" w:hAnsiTheme="minorHAnsi"/>
          <w:sz w:val="22"/>
          <w:szCs w:val="22"/>
        </w:rPr>
        <w:t xml:space="preserve">DEFRA (2016) UK Government GHG Conversion Factors for Company Reporting Department for Environment, </w:t>
      </w:r>
      <w:r w:rsidR="00936830" w:rsidRPr="000B2F34">
        <w:rPr>
          <w:rFonts w:asciiTheme="minorHAnsi" w:hAnsiTheme="minorHAnsi"/>
          <w:sz w:val="22"/>
          <w:szCs w:val="22"/>
        </w:rPr>
        <w:t xml:space="preserve">Food and Rural Affairs. Online: </w:t>
      </w:r>
      <w:hyperlink r:id="rId25" w:history="1">
        <w:r w:rsidR="00936830" w:rsidRPr="000B2F34">
          <w:rPr>
            <w:rStyle w:val="Hyperlink"/>
            <w:rFonts w:asciiTheme="minorHAnsi" w:hAnsiTheme="minorHAnsi"/>
            <w:sz w:val="22"/>
            <w:szCs w:val="22"/>
          </w:rPr>
          <w:t>https://www.gov.uk/government/publications/greenhouse-gas-reporting-conversion-factors-2016</w:t>
        </w:r>
      </w:hyperlink>
      <w:r w:rsidR="00936830" w:rsidRPr="000B2F34">
        <w:rPr>
          <w:rFonts w:asciiTheme="minorHAnsi" w:hAnsiTheme="minorHAnsi"/>
          <w:sz w:val="22"/>
          <w:szCs w:val="22"/>
        </w:rPr>
        <w:t xml:space="preserve"> Accessed 7-7-17</w:t>
      </w:r>
    </w:p>
    <w:p w:rsidR="00056640" w:rsidRPr="000B2F34" w:rsidRDefault="00056640" w:rsidP="00D2527D">
      <w:pPr>
        <w:spacing w:after="0"/>
        <w:jc w:val="both"/>
        <w:rPr>
          <w:rFonts w:cs="Arial"/>
        </w:rPr>
      </w:pPr>
      <w:r w:rsidRPr="000B2F34">
        <w:rPr>
          <w:rFonts w:cs="Arial"/>
        </w:rPr>
        <w:t>Dragoni, F., Baig, S., Perris, D., Boot-Handford, N., Paurine, A., Gilbey, M., Wegner, M. And Maidment, G. (2016) An investigation of Cooling Unit Performance on the London Underground Railway Network. Presented at CIBSE Technical Symposium, Edinburgh, April 2016</w:t>
      </w:r>
    </w:p>
    <w:p w:rsidR="0067015D" w:rsidRDefault="00D62CD9" w:rsidP="00D2527D">
      <w:pPr>
        <w:spacing w:after="0"/>
        <w:jc w:val="both"/>
        <w:rPr>
          <w:rFonts w:cs="Arial"/>
          <w:i/>
        </w:rPr>
      </w:pPr>
      <w:r w:rsidRPr="000B2F34">
        <w:rPr>
          <w:rFonts w:cs="Arial"/>
        </w:rPr>
        <w:t>Ebrahimi, K., Jones, G.F. and Fleischer, A.</w:t>
      </w:r>
      <w:r w:rsidR="0067015D" w:rsidRPr="000B2F34">
        <w:rPr>
          <w:rFonts w:cs="Arial"/>
        </w:rPr>
        <w:t xml:space="preserve"> (2014)</w:t>
      </w:r>
      <w:r w:rsidRPr="000B2F34">
        <w:rPr>
          <w:rFonts w:cs="Arial"/>
        </w:rPr>
        <w:t xml:space="preserve"> </w:t>
      </w:r>
      <w:r w:rsidR="00D0359F" w:rsidRPr="000B2F34">
        <w:rPr>
          <w:rFonts w:cs="Arial"/>
        </w:rPr>
        <w:t>A review of data center cooling technology, operating conditions and the corresponding low-grade waste heat recovery opportunities</w:t>
      </w:r>
      <w:r w:rsidR="00D0359F" w:rsidRPr="000B2F34">
        <w:rPr>
          <w:rFonts w:cs="Arial"/>
          <w:i/>
        </w:rPr>
        <w:t>. Renewable and Sustainable Energy Reviews 31 (C) pp 622-638</w:t>
      </w:r>
    </w:p>
    <w:p w:rsidR="00753CFF" w:rsidRPr="00753CFF" w:rsidRDefault="00753CFF" w:rsidP="00753CFF">
      <w:pPr>
        <w:pBdr>
          <w:top w:val="nil"/>
          <w:left w:val="nil"/>
          <w:bottom w:val="nil"/>
          <w:right w:val="nil"/>
          <w:between w:val="nil"/>
        </w:pBdr>
        <w:spacing w:after="0" w:line="240" w:lineRule="auto"/>
        <w:contextualSpacing/>
        <w:jc w:val="both"/>
        <w:rPr>
          <w:color w:val="000000"/>
        </w:rPr>
      </w:pPr>
      <w:r w:rsidRPr="000B2F34">
        <w:rPr>
          <w:color w:val="000000"/>
        </w:rPr>
        <w:t>EEA (2017). Renewable energy in Europe 2017, European Environment Agency, Europe.</w:t>
      </w:r>
    </w:p>
    <w:p w:rsidR="00D01177" w:rsidRPr="000B2F34" w:rsidRDefault="00D01177" w:rsidP="00D01177">
      <w:pPr>
        <w:autoSpaceDE w:val="0"/>
        <w:autoSpaceDN w:val="0"/>
        <w:adjustRightInd w:val="0"/>
        <w:spacing w:after="0" w:line="240" w:lineRule="auto"/>
        <w:jc w:val="both"/>
      </w:pPr>
      <w:r w:rsidRPr="000B2F34">
        <w:rPr>
          <w:rFonts w:cstheme="minorHAnsi"/>
        </w:rPr>
        <w:t xml:space="preserve">Gebrail, G. (2014). The Future of Heating: Meeting the Challenge. Presented at i-STUTE Breakfast Forum, London, UK, June 2104, on behalf of Department of Energy &amp; Climate Change, UK. Online: </w:t>
      </w:r>
      <w:r w:rsidRPr="000B2F34">
        <w:t>http://www.i-stute.org/Other%20files/Presentations%20Breakfast%20Forum/Presentation%20Greg%20Gebrail.pdf. Accessed 6-7-16</w:t>
      </w:r>
    </w:p>
    <w:p w:rsidR="006039C3" w:rsidRPr="000B2F34" w:rsidRDefault="0067015D" w:rsidP="00D2527D">
      <w:pPr>
        <w:autoSpaceDE w:val="0"/>
        <w:autoSpaceDN w:val="0"/>
        <w:adjustRightInd w:val="0"/>
        <w:spacing w:after="0" w:line="240" w:lineRule="auto"/>
        <w:jc w:val="both"/>
        <w:rPr>
          <w:rFonts w:cstheme="minorHAnsi"/>
          <w:i/>
        </w:rPr>
      </w:pPr>
      <w:r w:rsidRPr="000B2F34">
        <w:rPr>
          <w:rFonts w:cs="Arial"/>
        </w:rPr>
        <w:t>Ge</w:t>
      </w:r>
      <w:r w:rsidR="006039C3" w:rsidRPr="000B2F34">
        <w:rPr>
          <w:rFonts w:cs="Arial"/>
        </w:rPr>
        <w:t>, Y. T.</w:t>
      </w:r>
      <w:r w:rsidRPr="000B2F34">
        <w:rPr>
          <w:rFonts w:cs="Arial"/>
        </w:rPr>
        <w:t xml:space="preserve"> and Tassou</w:t>
      </w:r>
      <w:r w:rsidR="006039C3" w:rsidRPr="000B2F34">
        <w:rPr>
          <w:rFonts w:cs="Arial"/>
        </w:rPr>
        <w:t>, S.A.</w:t>
      </w:r>
      <w:r w:rsidRPr="000B2F34">
        <w:rPr>
          <w:rFonts w:cs="Arial"/>
        </w:rPr>
        <w:t xml:space="preserve"> (2014)</w:t>
      </w:r>
      <w:r w:rsidR="006039C3" w:rsidRPr="000B2F34">
        <w:rPr>
          <w:rFonts w:cs="Arial"/>
        </w:rPr>
        <w:t xml:space="preserve"> </w:t>
      </w:r>
      <w:r w:rsidR="006039C3" w:rsidRPr="000B2F34">
        <w:rPr>
          <w:rFonts w:cstheme="minorHAnsi"/>
        </w:rPr>
        <w:t>Control optimizations for heat recovery from CO</w:t>
      </w:r>
      <w:r w:rsidR="006039C3" w:rsidRPr="000B2F34">
        <w:rPr>
          <w:rFonts w:cstheme="minorHAnsi"/>
          <w:vertAlign w:val="subscript"/>
        </w:rPr>
        <w:t>2</w:t>
      </w:r>
      <w:r w:rsidR="006039C3" w:rsidRPr="000B2F34">
        <w:rPr>
          <w:rFonts w:cstheme="minorHAnsi"/>
        </w:rPr>
        <w:t xml:space="preserve"> refrigeration systems. </w:t>
      </w:r>
      <w:r w:rsidR="006039C3" w:rsidRPr="000B2F34">
        <w:rPr>
          <w:rFonts w:cstheme="minorHAnsi"/>
          <w:i/>
        </w:rPr>
        <w:t>Energy Conversion and Management 78 pp 245-252</w:t>
      </w:r>
    </w:p>
    <w:p w:rsidR="00D01177" w:rsidRPr="000B2F34" w:rsidRDefault="00D01177" w:rsidP="00D01177">
      <w:pPr>
        <w:autoSpaceDE w:val="0"/>
        <w:autoSpaceDN w:val="0"/>
        <w:adjustRightInd w:val="0"/>
        <w:spacing w:after="0" w:line="240" w:lineRule="auto"/>
        <w:jc w:val="both"/>
      </w:pPr>
      <w:r w:rsidRPr="000B2F34">
        <w:t xml:space="preserve">Global Carbon Project (2017). Global Carbon Atlas. Online: http://globalcarbonatlas.org/en/CO2-emissions. Accessed: 1-10-18. </w:t>
      </w:r>
    </w:p>
    <w:p w:rsidR="00D01177" w:rsidRPr="000B2F34" w:rsidRDefault="00D01177" w:rsidP="00D01177">
      <w:pPr>
        <w:autoSpaceDE w:val="0"/>
        <w:autoSpaceDN w:val="0"/>
        <w:adjustRightInd w:val="0"/>
        <w:spacing w:after="0" w:line="240" w:lineRule="auto"/>
        <w:jc w:val="both"/>
      </w:pPr>
      <w:r w:rsidRPr="000B2F34">
        <w:t>Is</w:t>
      </w:r>
      <w:r w:rsidR="004E09FF">
        <w:t>lington Council. 2018. Bunhill H</w:t>
      </w:r>
      <w:r w:rsidRPr="000B2F34">
        <w:t>eat Network. Available from: https://www.islington.gov.uk/energy-and-pollution/energy/bunhill-heat-network. Ac</w:t>
      </w:r>
      <w:r w:rsidR="004E09FF">
        <w:t>c</w:t>
      </w:r>
      <w:r w:rsidRPr="000B2F34">
        <w:t>essed 5-10-18.</w:t>
      </w:r>
    </w:p>
    <w:p w:rsidR="0067015D" w:rsidRPr="000B2F34" w:rsidRDefault="006039C3" w:rsidP="00D2527D">
      <w:pPr>
        <w:autoSpaceDE w:val="0"/>
        <w:autoSpaceDN w:val="0"/>
        <w:adjustRightInd w:val="0"/>
        <w:spacing w:after="0" w:line="240" w:lineRule="auto"/>
        <w:jc w:val="both"/>
        <w:rPr>
          <w:rFonts w:cstheme="minorHAnsi"/>
        </w:rPr>
      </w:pPr>
      <w:r w:rsidRPr="000B2F34">
        <w:rPr>
          <w:rFonts w:cs="Arial"/>
        </w:rPr>
        <w:t>Ka</w:t>
      </w:r>
      <w:r w:rsidR="0067015D" w:rsidRPr="000B2F34">
        <w:rPr>
          <w:rFonts w:cs="Arial"/>
        </w:rPr>
        <w:t>ng</w:t>
      </w:r>
      <w:r w:rsidRPr="000B2F34">
        <w:rPr>
          <w:rFonts w:cs="Arial"/>
        </w:rPr>
        <w:t>, S., Li, H., Lei, J.,</w:t>
      </w:r>
      <w:r w:rsidR="0067015D" w:rsidRPr="000B2F34">
        <w:rPr>
          <w:rFonts w:cs="Arial"/>
        </w:rPr>
        <w:t xml:space="preserve"> </w:t>
      </w:r>
      <w:r w:rsidRPr="000B2F34">
        <w:rPr>
          <w:rFonts w:cs="Arial"/>
        </w:rPr>
        <w:t>Liu, L., Cai, B. and Zhang, G. (2015</w:t>
      </w:r>
      <w:r w:rsidRPr="000B2F34">
        <w:rPr>
          <w:rFonts w:cstheme="minorHAnsi"/>
        </w:rPr>
        <w:t xml:space="preserve">) </w:t>
      </w:r>
      <w:r w:rsidR="0072552F" w:rsidRPr="000B2F34">
        <w:rPr>
          <w:rFonts w:cstheme="minorHAnsi"/>
        </w:rPr>
        <w:t xml:space="preserve">A new utilization approach of the waste heat with mid-low temperature in the combined heating and power system integrating heat pump </w:t>
      </w:r>
      <w:r w:rsidRPr="000B2F34">
        <w:rPr>
          <w:rFonts w:cs="Arial"/>
          <w:i/>
        </w:rPr>
        <w:t xml:space="preserve">Applied Energy 160 pp </w:t>
      </w:r>
      <w:r w:rsidR="0072552F" w:rsidRPr="000B2F34">
        <w:rPr>
          <w:rFonts w:cs="Arial"/>
          <w:i/>
        </w:rPr>
        <w:t>185</w:t>
      </w:r>
      <w:r w:rsidRPr="000B2F34">
        <w:rPr>
          <w:rFonts w:cs="Arial"/>
          <w:i/>
        </w:rPr>
        <w:t>-193</w:t>
      </w:r>
    </w:p>
    <w:p w:rsidR="000C45C3" w:rsidRPr="000B2F34" w:rsidRDefault="000C45C3" w:rsidP="00D2527D">
      <w:pPr>
        <w:pStyle w:val="18References"/>
        <w:tabs>
          <w:tab w:val="clear" w:pos="360"/>
        </w:tabs>
        <w:ind w:left="0" w:firstLine="0"/>
        <w:rPr>
          <w:rFonts w:asciiTheme="minorHAnsi" w:hAnsiTheme="minorHAnsi"/>
          <w:sz w:val="22"/>
          <w:szCs w:val="22"/>
        </w:rPr>
      </w:pPr>
      <w:r w:rsidRPr="000B2F34">
        <w:rPr>
          <w:rFonts w:asciiTheme="minorHAnsi" w:hAnsiTheme="minorHAnsi"/>
          <w:sz w:val="22"/>
          <w:szCs w:val="22"/>
        </w:rPr>
        <w:t xml:space="preserve">Kyoto Protocol (1998) Kyoto Protocol to the United Nations Framework Convention on Climate Change 2303 UNTS 148/[2008] ATS 2/37 ILM 22 (1998) </w:t>
      </w:r>
    </w:p>
    <w:p w:rsidR="000E1D07" w:rsidRPr="000B2F34" w:rsidRDefault="000E1D07" w:rsidP="00D2527D">
      <w:pPr>
        <w:pStyle w:val="18References"/>
        <w:tabs>
          <w:tab w:val="clear" w:pos="360"/>
          <w:tab w:val="left" w:pos="284"/>
        </w:tabs>
        <w:ind w:left="0" w:firstLine="0"/>
        <w:rPr>
          <w:rFonts w:asciiTheme="minorHAnsi" w:hAnsiTheme="minorHAnsi"/>
          <w:sz w:val="22"/>
          <w:szCs w:val="22"/>
        </w:rPr>
      </w:pPr>
      <w:r w:rsidRPr="000B2F34">
        <w:rPr>
          <w:rFonts w:asciiTheme="minorHAnsi" w:hAnsiTheme="minorHAnsi"/>
          <w:sz w:val="22"/>
          <w:szCs w:val="22"/>
        </w:rPr>
        <w:t>London Plan (2004) Mayor of London. The London Plan. Spatial Development Strategy for London. Greater London Authority, London, UK</w:t>
      </w:r>
    </w:p>
    <w:p w:rsidR="004534C8" w:rsidRPr="000B2F34" w:rsidRDefault="004534C8" w:rsidP="00D2527D">
      <w:pPr>
        <w:pStyle w:val="18References"/>
        <w:tabs>
          <w:tab w:val="clear" w:pos="360"/>
          <w:tab w:val="left" w:pos="284"/>
        </w:tabs>
        <w:ind w:left="0" w:firstLine="0"/>
        <w:rPr>
          <w:rFonts w:asciiTheme="minorHAnsi" w:hAnsiTheme="minorHAnsi"/>
          <w:i/>
          <w:sz w:val="22"/>
          <w:szCs w:val="22"/>
        </w:rPr>
      </w:pPr>
      <w:r w:rsidRPr="000B2F34">
        <w:rPr>
          <w:rFonts w:asciiTheme="minorHAnsi" w:hAnsiTheme="minorHAnsi"/>
          <w:sz w:val="22"/>
          <w:szCs w:val="22"/>
        </w:rPr>
        <w:t>Liu, J., Liu, J., Wang, F., Wang, C. (2018) Investigation</w:t>
      </w:r>
      <w:r w:rsidR="00190050" w:rsidRPr="000B2F34">
        <w:rPr>
          <w:rFonts w:asciiTheme="minorHAnsi" w:hAnsiTheme="minorHAnsi"/>
          <w:sz w:val="22"/>
          <w:szCs w:val="22"/>
        </w:rPr>
        <w:t xml:space="preserve"> on thermal environment improvement by waste heat recovery in the underground station in Qindao metro. </w:t>
      </w:r>
      <w:r w:rsidR="00190050" w:rsidRPr="000B2F34">
        <w:rPr>
          <w:rFonts w:asciiTheme="minorHAnsi" w:hAnsiTheme="minorHAnsi"/>
          <w:i/>
          <w:sz w:val="22"/>
          <w:szCs w:val="22"/>
        </w:rPr>
        <w:t>IOP Conference Series: Earth and Environmental Science 127 012005</w:t>
      </w:r>
    </w:p>
    <w:p w:rsidR="00C746D9" w:rsidRPr="000B2F34" w:rsidRDefault="00C746D9" w:rsidP="00924479">
      <w:pPr>
        <w:pStyle w:val="18References"/>
        <w:tabs>
          <w:tab w:val="clear" w:pos="0"/>
          <w:tab w:val="clear" w:pos="360"/>
        </w:tabs>
        <w:ind w:left="0" w:firstLine="0"/>
        <w:jc w:val="left"/>
        <w:rPr>
          <w:rFonts w:ascii="Calibri" w:hAnsi="Calibri" w:cs="Arial"/>
          <w:sz w:val="22"/>
          <w:szCs w:val="22"/>
        </w:rPr>
      </w:pPr>
      <w:r w:rsidRPr="000B2F34">
        <w:rPr>
          <w:rFonts w:asciiTheme="minorHAnsi" w:hAnsiTheme="minorHAnsi"/>
          <w:sz w:val="22"/>
          <w:szCs w:val="22"/>
        </w:rPr>
        <w:t xml:space="preserve">Mayor of London (2013) </w:t>
      </w:r>
      <w:r w:rsidRPr="000B2F34">
        <w:rPr>
          <w:rFonts w:ascii="Calibri" w:hAnsi="Calibri" w:cs="Arial"/>
          <w:sz w:val="22"/>
          <w:szCs w:val="22"/>
        </w:rPr>
        <w:t>London’s Zero Carbon Energy Resource: Secondar</w:t>
      </w:r>
      <w:r w:rsidR="00924479">
        <w:rPr>
          <w:rFonts w:ascii="Calibri" w:hAnsi="Calibri" w:cs="Arial"/>
          <w:sz w:val="22"/>
          <w:szCs w:val="22"/>
        </w:rPr>
        <w:t xml:space="preserve">y Heat. Mayor of London Report. </w:t>
      </w:r>
      <w:r w:rsidRPr="000B2F34">
        <w:rPr>
          <w:rFonts w:ascii="Calibri" w:hAnsi="Calibri" w:cs="Arial"/>
          <w:sz w:val="22"/>
          <w:szCs w:val="22"/>
        </w:rPr>
        <w:t xml:space="preserve">Online: </w:t>
      </w:r>
      <w:hyperlink r:id="rId26" w:history="1">
        <w:r w:rsidRPr="000B2F34">
          <w:rPr>
            <w:rStyle w:val="Hyperlink"/>
            <w:rFonts w:ascii="Calibri" w:hAnsi="Calibri" w:cs="Arial"/>
            <w:sz w:val="22"/>
            <w:szCs w:val="22"/>
          </w:rPr>
          <w:t>https://www.london.gov.uk/sites/default/files/gla_migrate_files_destination/031250%20GLA%20Secondary%20Heat%20-%20Summary%20Report_0.pdf</w:t>
        </w:r>
      </w:hyperlink>
      <w:r w:rsidR="00936830" w:rsidRPr="000B2F34">
        <w:rPr>
          <w:rFonts w:ascii="Calibri" w:hAnsi="Calibri" w:cs="Arial"/>
          <w:sz w:val="22"/>
          <w:szCs w:val="22"/>
        </w:rPr>
        <w:t xml:space="preserve"> Accessed 4-9-18</w:t>
      </w:r>
    </w:p>
    <w:p w:rsidR="0067015D" w:rsidRPr="000B2F34" w:rsidRDefault="0067015D" w:rsidP="00D2527D">
      <w:pPr>
        <w:pStyle w:val="18References"/>
        <w:tabs>
          <w:tab w:val="clear" w:pos="0"/>
          <w:tab w:val="clear" w:pos="360"/>
        </w:tabs>
        <w:ind w:left="0" w:firstLine="0"/>
        <w:rPr>
          <w:rFonts w:ascii="Calibri" w:hAnsi="Calibri" w:cs="Arial"/>
          <w:sz w:val="22"/>
          <w:szCs w:val="22"/>
        </w:rPr>
      </w:pPr>
      <w:r w:rsidRPr="000B2F34">
        <w:rPr>
          <w:rFonts w:ascii="Calibri" w:hAnsi="Calibri" w:cs="Arial"/>
          <w:sz w:val="22"/>
          <w:szCs w:val="22"/>
        </w:rPr>
        <w:t>Mukherjee</w:t>
      </w:r>
      <w:r w:rsidR="0072552F" w:rsidRPr="000B2F34">
        <w:rPr>
          <w:rFonts w:ascii="Calibri" w:hAnsi="Calibri" w:cs="Arial"/>
          <w:sz w:val="22"/>
          <w:szCs w:val="22"/>
        </w:rPr>
        <w:t xml:space="preserve">, S., Asthana, A., Howarth, M. and Mcniell, R. (2017) Waste heat recovery from industrial baking ovens. </w:t>
      </w:r>
      <w:r w:rsidR="0072552F" w:rsidRPr="000B2F34">
        <w:rPr>
          <w:rFonts w:ascii="Calibri" w:hAnsi="Calibri" w:cs="Arial"/>
          <w:i/>
          <w:sz w:val="22"/>
          <w:szCs w:val="22"/>
        </w:rPr>
        <w:t>Energy Procedia 123 pp 321-328</w:t>
      </w:r>
    </w:p>
    <w:p w:rsidR="0067015D" w:rsidRPr="000B2F34" w:rsidRDefault="0072552F" w:rsidP="00D2527D">
      <w:pPr>
        <w:pStyle w:val="18References"/>
        <w:tabs>
          <w:tab w:val="clear" w:pos="0"/>
          <w:tab w:val="clear" w:pos="360"/>
        </w:tabs>
        <w:ind w:left="0" w:firstLine="0"/>
        <w:rPr>
          <w:rFonts w:ascii="Calibri" w:hAnsi="Calibri" w:cs="Arial"/>
          <w:sz w:val="22"/>
          <w:szCs w:val="22"/>
        </w:rPr>
      </w:pPr>
      <w:r w:rsidRPr="000B2F34">
        <w:rPr>
          <w:rFonts w:ascii="Calibri" w:hAnsi="Calibri" w:cs="Arial"/>
          <w:sz w:val="22"/>
          <w:szCs w:val="22"/>
        </w:rPr>
        <w:t>National Grid (2018</w:t>
      </w:r>
      <w:r w:rsidR="0067015D" w:rsidRPr="000B2F34">
        <w:rPr>
          <w:rFonts w:ascii="Calibri" w:hAnsi="Calibri" w:cs="Arial"/>
          <w:sz w:val="22"/>
          <w:szCs w:val="22"/>
        </w:rPr>
        <w:t>)</w:t>
      </w:r>
      <w:r w:rsidR="00803B90" w:rsidRPr="000B2F34">
        <w:rPr>
          <w:rFonts w:ascii="Calibri" w:hAnsi="Calibri" w:cs="Arial"/>
          <w:sz w:val="22"/>
          <w:szCs w:val="22"/>
        </w:rPr>
        <w:t xml:space="preserve"> London Power Tunnels. Online: </w:t>
      </w:r>
      <w:hyperlink r:id="rId27" w:history="1">
        <w:r w:rsidR="00803B90" w:rsidRPr="000B2F34">
          <w:rPr>
            <w:rStyle w:val="Hyperlink"/>
            <w:rFonts w:ascii="Calibri" w:hAnsi="Calibri" w:cs="Arial"/>
            <w:sz w:val="22"/>
            <w:szCs w:val="22"/>
          </w:rPr>
          <w:t>http://londonpowertunnels.co.uk/project-summary/</w:t>
        </w:r>
      </w:hyperlink>
      <w:r w:rsidR="00803B90" w:rsidRPr="000B2F34">
        <w:rPr>
          <w:rFonts w:ascii="Calibri" w:hAnsi="Calibri" w:cs="Arial"/>
          <w:sz w:val="22"/>
          <w:szCs w:val="22"/>
        </w:rPr>
        <w:t xml:space="preserve"> Accessed: 4-9-18</w:t>
      </w:r>
    </w:p>
    <w:p w:rsidR="004534C8" w:rsidRPr="000B2F34" w:rsidRDefault="004534C8" w:rsidP="00D2527D">
      <w:pPr>
        <w:pStyle w:val="18References"/>
        <w:tabs>
          <w:tab w:val="clear" w:pos="0"/>
          <w:tab w:val="clear" w:pos="360"/>
        </w:tabs>
        <w:ind w:left="0" w:firstLine="0"/>
        <w:rPr>
          <w:rFonts w:ascii="Calibri" w:hAnsi="Calibri" w:cs="Arial"/>
          <w:sz w:val="22"/>
          <w:szCs w:val="22"/>
        </w:rPr>
      </w:pPr>
      <w:r w:rsidRPr="000B2F34">
        <w:rPr>
          <w:rFonts w:ascii="Calibri" w:hAnsi="Calibri" w:cs="Arial"/>
          <w:sz w:val="22"/>
          <w:szCs w:val="22"/>
        </w:rPr>
        <w:t xml:space="preserve">Ninikas, K., Hytiris, N., Emmanuel, R., Aaen, B. and Younger, P.L. (2016) Heat recovery from air in underground transport tunnels. </w:t>
      </w:r>
      <w:r w:rsidRPr="000B2F34">
        <w:rPr>
          <w:rFonts w:ascii="Calibri" w:hAnsi="Calibri" w:cs="Arial"/>
          <w:i/>
          <w:sz w:val="22"/>
          <w:szCs w:val="22"/>
        </w:rPr>
        <w:t>Renewable Energy 96(A) pp 843-849</w:t>
      </w:r>
    </w:p>
    <w:p w:rsidR="00BD62A4" w:rsidRPr="000B2F34" w:rsidRDefault="001036BE" w:rsidP="00924479">
      <w:pPr>
        <w:pStyle w:val="18References"/>
        <w:tabs>
          <w:tab w:val="clear" w:pos="360"/>
          <w:tab w:val="left" w:pos="284"/>
        </w:tabs>
        <w:ind w:left="0" w:firstLine="0"/>
        <w:jc w:val="left"/>
        <w:rPr>
          <w:rFonts w:asciiTheme="minorHAnsi" w:hAnsiTheme="minorHAnsi"/>
          <w:sz w:val="22"/>
          <w:szCs w:val="22"/>
        </w:rPr>
      </w:pPr>
      <w:r w:rsidRPr="000B2F34">
        <w:rPr>
          <w:rFonts w:asciiTheme="minorHAnsi" w:hAnsiTheme="minorHAnsi"/>
          <w:sz w:val="22"/>
          <w:szCs w:val="22"/>
        </w:rPr>
        <w:t>Ofgem (2016</w:t>
      </w:r>
      <w:r w:rsidR="000E1D07" w:rsidRPr="000B2F34">
        <w:rPr>
          <w:rFonts w:asciiTheme="minorHAnsi" w:hAnsiTheme="minorHAnsi"/>
          <w:sz w:val="22"/>
          <w:szCs w:val="22"/>
        </w:rPr>
        <w:t>) Tariffs and paym</w:t>
      </w:r>
      <w:r w:rsidR="00936830" w:rsidRPr="000B2F34">
        <w:rPr>
          <w:rFonts w:asciiTheme="minorHAnsi" w:hAnsiTheme="minorHAnsi"/>
          <w:sz w:val="22"/>
          <w:szCs w:val="22"/>
        </w:rPr>
        <w:t xml:space="preserve">ents: Non-Domestic RHI. Online: </w:t>
      </w:r>
      <w:hyperlink r:id="rId28" w:history="1">
        <w:r w:rsidR="00936830" w:rsidRPr="000B2F34">
          <w:rPr>
            <w:rStyle w:val="Hyperlink"/>
            <w:rFonts w:asciiTheme="minorHAnsi" w:hAnsiTheme="minorHAnsi"/>
            <w:sz w:val="22"/>
            <w:szCs w:val="22"/>
          </w:rPr>
          <w:t>https://www.ofgem.gov.uk/environmental-programmes/non-domestic-rhi/contacts-guidance-and-resources/tariffs-and-payments-non-domestic-rhi</w:t>
        </w:r>
      </w:hyperlink>
      <w:r w:rsidRPr="000B2F34">
        <w:rPr>
          <w:rFonts w:asciiTheme="minorHAnsi" w:hAnsiTheme="minorHAnsi"/>
          <w:sz w:val="22"/>
          <w:szCs w:val="22"/>
        </w:rPr>
        <w:t xml:space="preserve">  Accessed: 7-7-17</w:t>
      </w:r>
    </w:p>
    <w:p w:rsidR="00D01177" w:rsidRPr="000B2F34" w:rsidRDefault="00D01177" w:rsidP="004E09FF">
      <w:pPr>
        <w:autoSpaceDE w:val="0"/>
        <w:autoSpaceDN w:val="0"/>
        <w:adjustRightInd w:val="0"/>
        <w:spacing w:after="0" w:line="240" w:lineRule="auto"/>
      </w:pPr>
      <w:r w:rsidRPr="000B2F34">
        <w:lastRenderedPageBreak/>
        <w:t>ONS (2017). Estimates of the population for the UK, England and Wales, Scotland and Northern Ireland. Office for National Statistics, UK.</w:t>
      </w:r>
      <w:r w:rsidR="004E09FF">
        <w:t xml:space="preserve"> Online: </w:t>
      </w:r>
      <w:hyperlink r:id="rId29" w:history="1">
        <w:r w:rsidR="004E09FF" w:rsidRPr="006A461A">
          <w:rPr>
            <w:rStyle w:val="Hyperlink"/>
          </w:rPr>
          <w:t>https://www.ons.gov.uk/aboutus/transparencyandgovernance/freedomofinformationfoi/ukpopulation2017</w:t>
        </w:r>
      </w:hyperlink>
      <w:r w:rsidR="004E09FF">
        <w:t xml:space="preserve"> Accessed 10-10-18</w:t>
      </w:r>
    </w:p>
    <w:p w:rsidR="008706B0" w:rsidRPr="000B2F34" w:rsidRDefault="000E1D07" w:rsidP="00D2527D">
      <w:pPr>
        <w:spacing w:after="0"/>
        <w:jc w:val="both"/>
      </w:pPr>
      <w:r w:rsidRPr="000B2F34">
        <w:t>Ramboll (2016</w:t>
      </w:r>
      <w:r w:rsidR="000E2AE7" w:rsidRPr="000B2F34">
        <w:t>)</w:t>
      </w:r>
      <w:r w:rsidRPr="000B2F34">
        <w:t xml:space="preserve"> Islington Heat Networks – Caledonian Road Heat Network Feasibility Study</w:t>
      </w:r>
      <w:r w:rsidR="00FE2435" w:rsidRPr="000B2F34">
        <w:t>. Report for Islington Borough Council.</w:t>
      </w:r>
    </w:p>
    <w:p w:rsidR="00C20C75" w:rsidRPr="000B2F34" w:rsidRDefault="00C20C75" w:rsidP="00D2527D">
      <w:pPr>
        <w:spacing w:after="0"/>
        <w:jc w:val="both"/>
        <w:rPr>
          <w:i/>
        </w:rPr>
      </w:pPr>
      <w:r w:rsidRPr="000B2F34">
        <w:t xml:space="preserve">Safa, H. (2012) Heat recovery from nuclear power plants. </w:t>
      </w:r>
      <w:r w:rsidRPr="000B2F34">
        <w:rPr>
          <w:i/>
        </w:rPr>
        <w:t>Electrical Power and Energy Systems 42 pp 553-559</w:t>
      </w:r>
    </w:p>
    <w:p w:rsidR="00936830" w:rsidRPr="000B2F34" w:rsidRDefault="00936830" w:rsidP="00D2527D">
      <w:pPr>
        <w:spacing w:after="0"/>
        <w:jc w:val="both"/>
      </w:pPr>
      <w:r w:rsidRPr="000B2F34">
        <w:t>Shrestha, P. (2013) Energy Live News. Tate Modern uses waste heat from electricity substation. Online:</w:t>
      </w:r>
      <w:hyperlink r:id="rId30" w:history="1">
        <w:r w:rsidRPr="000B2F34">
          <w:rPr>
            <w:rStyle w:val="Hyperlink"/>
          </w:rPr>
          <w:t>https://www.energylivenews.com/2013/05/17/tate-modern-uses-waste-heat-from-electricity-substation/</w:t>
        </w:r>
      </w:hyperlink>
      <w:r w:rsidRPr="000B2F34">
        <w:t xml:space="preserve"> Accessed: 4-9-18</w:t>
      </w:r>
    </w:p>
    <w:p w:rsidR="00924479" w:rsidRDefault="00924479" w:rsidP="001C11C0">
      <w:pPr>
        <w:pBdr>
          <w:top w:val="nil"/>
          <w:left w:val="nil"/>
          <w:bottom w:val="nil"/>
          <w:right w:val="nil"/>
          <w:between w:val="nil"/>
        </w:pBdr>
        <w:spacing w:after="0" w:line="240" w:lineRule="auto"/>
        <w:contextualSpacing/>
      </w:pPr>
      <w:r>
        <w:t xml:space="preserve">UITP (2015) </w:t>
      </w:r>
      <w:r w:rsidR="001C11C0">
        <w:t xml:space="preserve">Online: </w:t>
      </w:r>
      <w:hyperlink r:id="rId31" w:history="1">
        <w:r w:rsidR="001C11C0" w:rsidRPr="00431EC3">
          <w:rPr>
            <w:rStyle w:val="Hyperlink"/>
          </w:rPr>
          <w:t>https://www.uitp.org/sites/default/files/cck-focus-papers-files/UITP-Statistic%20Brief-Metro-A4-WEB_0.pdf</w:t>
        </w:r>
      </w:hyperlink>
      <w:r w:rsidR="001C11C0">
        <w:t xml:space="preserve"> Accessed 5 October 2018</w:t>
      </w:r>
    </w:p>
    <w:p w:rsidR="00D01177" w:rsidRPr="000B2F34" w:rsidRDefault="00D01177" w:rsidP="00D01177">
      <w:pPr>
        <w:pBdr>
          <w:top w:val="nil"/>
          <w:left w:val="nil"/>
          <w:bottom w:val="nil"/>
          <w:right w:val="nil"/>
          <w:between w:val="nil"/>
        </w:pBdr>
        <w:spacing w:after="0" w:line="240" w:lineRule="auto"/>
        <w:contextualSpacing/>
        <w:jc w:val="both"/>
      </w:pPr>
      <w:r w:rsidRPr="000B2F34">
        <w:t>United Nations, Department of Economic and Social Affairs and Population Division (2014) World urbanization prospects: the 2014 revision.</w:t>
      </w:r>
    </w:p>
    <w:p w:rsidR="00D01177" w:rsidRPr="000B2F34" w:rsidRDefault="00D01177" w:rsidP="00D01177">
      <w:pPr>
        <w:autoSpaceDE w:val="0"/>
        <w:autoSpaceDN w:val="0"/>
        <w:adjustRightInd w:val="0"/>
        <w:spacing w:after="0" w:line="240" w:lineRule="auto"/>
        <w:jc w:val="both"/>
      </w:pPr>
      <w:r w:rsidRPr="000B2F34">
        <w:t>UK Government (2016). Population and migration statistics for rural and urban areas. Online: https://www.gov.uk/government/statistics/rural-population-and-migration. Accessed 17-10-18</w:t>
      </w:r>
    </w:p>
    <w:p w:rsidR="00767E81" w:rsidRPr="000B2F34" w:rsidRDefault="00415022" w:rsidP="00415022">
      <w:pPr>
        <w:autoSpaceDE w:val="0"/>
        <w:autoSpaceDN w:val="0"/>
        <w:adjustRightInd w:val="0"/>
        <w:spacing w:after="0" w:line="240" w:lineRule="auto"/>
        <w:jc w:val="both"/>
      </w:pPr>
      <w:r w:rsidRPr="000B2F34">
        <w:t>WWF</w:t>
      </w:r>
      <w:r w:rsidR="00767E81" w:rsidRPr="000B2F34">
        <w:t xml:space="preserve"> </w:t>
      </w:r>
      <w:r w:rsidRPr="000B2F34">
        <w:t>(</w:t>
      </w:r>
      <w:r w:rsidR="00767E81" w:rsidRPr="000B2F34">
        <w:t>2018</w:t>
      </w:r>
      <w:r w:rsidRPr="000B2F34">
        <w:t>)</w:t>
      </w:r>
      <w:r w:rsidR="00436321" w:rsidRPr="000B2F34">
        <w:t>.</w:t>
      </w:r>
      <w:r w:rsidR="00767E81" w:rsidRPr="000B2F34">
        <w:t xml:space="preserve"> Effects of Climate Change. Online: https://www.wwf.org.uk/effectsofclimatechange Accessed: 1-10-18.</w:t>
      </w:r>
    </w:p>
    <w:p w:rsidR="00924479" w:rsidRDefault="00767E81" w:rsidP="00924479">
      <w:pPr>
        <w:autoSpaceDE w:val="0"/>
        <w:autoSpaceDN w:val="0"/>
        <w:adjustRightInd w:val="0"/>
        <w:spacing w:after="0" w:line="240" w:lineRule="auto"/>
      </w:pPr>
      <w:r w:rsidRPr="000B2F34">
        <w:t>World Bank</w:t>
      </w:r>
      <w:r w:rsidR="00415022" w:rsidRPr="000B2F34">
        <w:t xml:space="preserve"> (2017)</w:t>
      </w:r>
      <w:r w:rsidR="00436321" w:rsidRPr="000B2F34">
        <w:t>.</w:t>
      </w:r>
      <w:r w:rsidRPr="000B2F34">
        <w:t xml:space="preserve"> United Kingdom’s GD</w:t>
      </w:r>
      <w:r w:rsidR="00924479">
        <w:t xml:space="preserve">P (current US$). Online: </w:t>
      </w:r>
      <w:hyperlink r:id="rId32" w:history="1">
        <w:r w:rsidR="00924479" w:rsidRPr="00E37A48">
          <w:rPr>
            <w:rStyle w:val="Hyperlink"/>
          </w:rPr>
          <w:t>https://data.worldbank.org/indicator/NY.GDP.MKTP.CD?locations=GB&amp;year_high_desc=true</w:t>
        </w:r>
      </w:hyperlink>
      <w:r w:rsidR="00436321" w:rsidRPr="000B2F34">
        <w:t xml:space="preserve">. </w:t>
      </w:r>
    </w:p>
    <w:p w:rsidR="00767E81" w:rsidRPr="000B2F34" w:rsidRDefault="00767E81" w:rsidP="00924479">
      <w:pPr>
        <w:autoSpaceDE w:val="0"/>
        <w:autoSpaceDN w:val="0"/>
        <w:adjustRightInd w:val="0"/>
        <w:spacing w:after="0" w:line="240" w:lineRule="auto"/>
      </w:pPr>
      <w:r w:rsidRPr="000B2F34">
        <w:t>Accessed: 1-10-18.</w:t>
      </w:r>
    </w:p>
    <w:p w:rsidR="001C2742" w:rsidRDefault="001C2742" w:rsidP="006454E9">
      <w:pPr>
        <w:pBdr>
          <w:top w:val="nil"/>
          <w:left w:val="nil"/>
          <w:bottom w:val="nil"/>
          <w:right w:val="nil"/>
          <w:between w:val="nil"/>
        </w:pBdr>
        <w:spacing w:after="0" w:line="240" w:lineRule="auto"/>
        <w:contextualSpacing/>
        <w:jc w:val="both"/>
      </w:pPr>
      <w:r w:rsidRPr="000B2F34">
        <w:t xml:space="preserve">Wahlroos, M., Pärssinen, M., Rinne, S., Syri, S., Manner, J., 2018. Future views on waste heat utilization – Case of data centers in Northern Europe. Renewable and Sustainable Energy Reviews 82, 1749–1764. </w:t>
      </w:r>
      <w:hyperlink r:id="rId33" w:history="1">
        <w:r w:rsidR="00924479" w:rsidRPr="00E37A48">
          <w:rPr>
            <w:rStyle w:val="Hyperlink"/>
          </w:rPr>
          <w:t>https://doi.org/10.1016/j.rser.2017.10.058</w:t>
        </w:r>
      </w:hyperlink>
    </w:p>
    <w:p w:rsidR="00D01177" w:rsidRPr="00924479" w:rsidRDefault="00D01177" w:rsidP="00924479">
      <w:pPr>
        <w:autoSpaceDE w:val="0"/>
        <w:autoSpaceDN w:val="0"/>
        <w:adjustRightInd w:val="0"/>
        <w:spacing w:after="0" w:line="240" w:lineRule="auto"/>
        <w:jc w:val="both"/>
        <w:rPr>
          <w:rFonts w:cstheme="minorHAnsi"/>
        </w:rPr>
      </w:pPr>
      <w:r w:rsidRPr="000B2F34">
        <w:t xml:space="preserve">Zhao, Y., Yitai, M. and Canren, L. (1995) </w:t>
      </w:r>
      <w:r w:rsidRPr="000B2F34">
        <w:rPr>
          <w:rFonts w:cstheme="minorHAnsi"/>
        </w:rPr>
        <w:t>A Heat-Pump System for Heat Recovery at a</w:t>
      </w:r>
      <w:r w:rsidR="00924479">
        <w:rPr>
          <w:rFonts w:cstheme="minorHAnsi"/>
        </w:rPr>
        <w:t xml:space="preserve"> </w:t>
      </w:r>
      <w:r w:rsidRPr="000B2F34">
        <w:rPr>
          <w:rFonts w:cstheme="minorHAnsi"/>
        </w:rPr>
        <w:t xml:space="preserve">Substation. </w:t>
      </w:r>
      <w:r w:rsidRPr="000B2F34">
        <w:rPr>
          <w:rFonts w:cstheme="minorHAnsi"/>
          <w:i/>
        </w:rPr>
        <w:t>Energy 20(3) pp 243-245</w:t>
      </w:r>
    </w:p>
    <w:p w:rsidR="001C2742" w:rsidRPr="000B2F34" w:rsidRDefault="001C2742" w:rsidP="0079171A">
      <w:pPr>
        <w:rPr>
          <w:rFonts w:eastAsia="Times New Roman"/>
          <w:sz w:val="24"/>
          <w:szCs w:val="24"/>
        </w:rPr>
      </w:pPr>
    </w:p>
    <w:p w:rsidR="0079171A" w:rsidRPr="000B2F34" w:rsidRDefault="0079171A" w:rsidP="007F343D">
      <w:pPr>
        <w:pBdr>
          <w:top w:val="nil"/>
          <w:left w:val="nil"/>
          <w:bottom w:val="nil"/>
          <w:right w:val="nil"/>
          <w:between w:val="nil"/>
        </w:pBdr>
        <w:spacing w:after="0" w:line="240" w:lineRule="auto"/>
        <w:contextualSpacing/>
        <w:jc w:val="both"/>
      </w:pPr>
    </w:p>
    <w:p w:rsidR="007C4E67" w:rsidRPr="000B2F34" w:rsidRDefault="007C4E67" w:rsidP="00572DD3">
      <w:pPr>
        <w:autoSpaceDE w:val="0"/>
        <w:autoSpaceDN w:val="0"/>
        <w:adjustRightInd w:val="0"/>
        <w:spacing w:after="0" w:line="240" w:lineRule="auto"/>
        <w:jc w:val="both"/>
      </w:pPr>
    </w:p>
    <w:p w:rsidR="001F1B44" w:rsidRPr="00D2527D" w:rsidRDefault="001F1B44" w:rsidP="00D2527D">
      <w:pPr>
        <w:autoSpaceDE w:val="0"/>
        <w:autoSpaceDN w:val="0"/>
        <w:adjustRightInd w:val="0"/>
        <w:spacing w:after="0" w:line="240" w:lineRule="auto"/>
        <w:jc w:val="both"/>
        <w:rPr>
          <w:highlight w:val="yellow"/>
        </w:rPr>
      </w:pPr>
    </w:p>
    <w:sectPr w:rsidR="001F1B44" w:rsidRPr="00D2527D" w:rsidSect="00B30868">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03F" w:rsidRDefault="00EB703F" w:rsidP="00D30A6F">
      <w:pPr>
        <w:spacing w:after="0" w:line="240" w:lineRule="auto"/>
      </w:pPr>
      <w:r>
        <w:separator/>
      </w:r>
    </w:p>
  </w:endnote>
  <w:endnote w:type="continuationSeparator" w:id="0">
    <w:p w:rsidR="00EB703F" w:rsidRDefault="00EB703F" w:rsidP="00D30A6F">
      <w:pPr>
        <w:spacing w:after="0" w:line="240" w:lineRule="auto"/>
      </w:pPr>
      <w:r>
        <w:continuationSeparator/>
      </w:r>
    </w:p>
  </w:endnote>
  <w:endnote w:type="continuationNotice" w:id="1">
    <w:p w:rsidR="00EB703F" w:rsidRDefault="00EB70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altName w:val="Calibri Light"/>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altName w:val="Palatino Linotype"/>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New Roman PS MT">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90563"/>
      <w:docPartObj>
        <w:docPartGallery w:val="Page Numbers (Bottom of Page)"/>
        <w:docPartUnique/>
      </w:docPartObj>
    </w:sdtPr>
    <w:sdtEndPr/>
    <w:sdtContent>
      <w:p w:rsidR="000277E6" w:rsidRDefault="000277E6">
        <w:pPr>
          <w:pStyle w:val="Footer"/>
          <w:jc w:val="center"/>
        </w:pPr>
        <w:r>
          <w:fldChar w:fldCharType="begin"/>
        </w:r>
        <w:r>
          <w:instrText xml:space="preserve"> PAGE   \* MERGEFORMAT </w:instrText>
        </w:r>
        <w:r>
          <w:fldChar w:fldCharType="separate"/>
        </w:r>
        <w:r w:rsidR="009D5E11">
          <w:rPr>
            <w:noProof/>
          </w:rPr>
          <w:t>1</w:t>
        </w:r>
        <w:r>
          <w:rPr>
            <w:noProof/>
          </w:rPr>
          <w:fldChar w:fldCharType="end"/>
        </w:r>
      </w:p>
    </w:sdtContent>
  </w:sdt>
  <w:p w:rsidR="000277E6" w:rsidRDefault="000277E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03F" w:rsidRDefault="00EB703F" w:rsidP="00D30A6F">
      <w:pPr>
        <w:spacing w:after="0" w:line="240" w:lineRule="auto"/>
      </w:pPr>
      <w:r>
        <w:separator/>
      </w:r>
    </w:p>
  </w:footnote>
  <w:footnote w:type="continuationSeparator" w:id="0">
    <w:p w:rsidR="00EB703F" w:rsidRDefault="00EB703F" w:rsidP="00D30A6F">
      <w:pPr>
        <w:spacing w:after="0" w:line="240" w:lineRule="auto"/>
      </w:pPr>
      <w:r>
        <w:continuationSeparator/>
      </w:r>
    </w:p>
  </w:footnote>
  <w:footnote w:type="continuationNotice" w:id="1">
    <w:p w:rsidR="00EB703F" w:rsidRDefault="00EB703F">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7E6" w:rsidRDefault="000277E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6440"/>
    <w:multiLevelType w:val="multilevel"/>
    <w:tmpl w:val="673861A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03DB26FD"/>
    <w:multiLevelType w:val="hybridMultilevel"/>
    <w:tmpl w:val="914EC98A"/>
    <w:lvl w:ilvl="0" w:tplc="6DC6C274">
      <w:numFmt w:val="bullet"/>
      <w:lvlText w:val=""/>
      <w:lvlJc w:val="left"/>
      <w:pPr>
        <w:ind w:left="644" w:hanging="360"/>
      </w:pPr>
      <w:rPr>
        <w:rFonts w:ascii="Symbol" w:eastAsia="Calibri" w:hAnsi="Symbol"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4FA296F"/>
    <w:multiLevelType w:val="hybridMultilevel"/>
    <w:tmpl w:val="ECC02CB0"/>
    <w:lvl w:ilvl="0" w:tplc="120497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BF2D50"/>
    <w:multiLevelType w:val="multilevel"/>
    <w:tmpl w:val="1F5EE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6907DB"/>
    <w:multiLevelType w:val="hybridMultilevel"/>
    <w:tmpl w:val="0C3A4A02"/>
    <w:lvl w:ilvl="0" w:tplc="0A9C5C5E">
      <w:numFmt w:val="bullet"/>
      <w:lvlText w:val=""/>
      <w:lvlJc w:val="left"/>
      <w:pPr>
        <w:ind w:left="644" w:hanging="360"/>
      </w:pPr>
      <w:rPr>
        <w:rFonts w:ascii="Symbol" w:eastAsia="Calibri" w:hAnsi="Symbol"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085D0E62"/>
    <w:multiLevelType w:val="hybridMultilevel"/>
    <w:tmpl w:val="9D7C42DE"/>
    <w:lvl w:ilvl="0" w:tplc="8DAEF3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B212D4D"/>
    <w:multiLevelType w:val="hybridMultilevel"/>
    <w:tmpl w:val="FD7648A8"/>
    <w:lvl w:ilvl="0" w:tplc="1E0AE3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AE11F9"/>
    <w:multiLevelType w:val="hybridMultilevel"/>
    <w:tmpl w:val="514660BE"/>
    <w:lvl w:ilvl="0" w:tplc="43FC72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F67956"/>
    <w:multiLevelType w:val="hybridMultilevel"/>
    <w:tmpl w:val="A43ACF46"/>
    <w:lvl w:ilvl="0" w:tplc="4CE8F5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976317"/>
    <w:multiLevelType w:val="hybridMultilevel"/>
    <w:tmpl w:val="0D84F590"/>
    <w:lvl w:ilvl="0" w:tplc="9D4AC0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1C3682"/>
    <w:multiLevelType w:val="hybridMultilevel"/>
    <w:tmpl w:val="AEBAB9D0"/>
    <w:lvl w:ilvl="0" w:tplc="DA3233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953F75"/>
    <w:multiLevelType w:val="hybridMultilevel"/>
    <w:tmpl w:val="FF4E0218"/>
    <w:lvl w:ilvl="0" w:tplc="7C6E2F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334788"/>
    <w:multiLevelType w:val="hybridMultilevel"/>
    <w:tmpl w:val="2E721B34"/>
    <w:lvl w:ilvl="0" w:tplc="B74C9324">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F67F41"/>
    <w:multiLevelType w:val="hybridMultilevel"/>
    <w:tmpl w:val="9F38D386"/>
    <w:lvl w:ilvl="0" w:tplc="17C08C9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BFC42D1"/>
    <w:multiLevelType w:val="hybridMultilevel"/>
    <w:tmpl w:val="8806B020"/>
    <w:lvl w:ilvl="0" w:tplc="2C308B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7A3470"/>
    <w:multiLevelType w:val="hybridMultilevel"/>
    <w:tmpl w:val="171C0662"/>
    <w:lvl w:ilvl="0" w:tplc="06589E5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0A84BDC"/>
    <w:multiLevelType w:val="hybridMultilevel"/>
    <w:tmpl w:val="0DCC8C1E"/>
    <w:lvl w:ilvl="0" w:tplc="1F7ADFF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5D1B9A"/>
    <w:multiLevelType w:val="hybridMultilevel"/>
    <w:tmpl w:val="B484D84A"/>
    <w:lvl w:ilvl="0" w:tplc="FFD42ED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C3677D"/>
    <w:multiLevelType w:val="hybridMultilevel"/>
    <w:tmpl w:val="AAD06490"/>
    <w:lvl w:ilvl="0" w:tplc="19EA78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5"/>
  </w:num>
  <w:num w:numId="3">
    <w:abstractNumId w:val="9"/>
  </w:num>
  <w:num w:numId="4">
    <w:abstractNumId w:val="6"/>
  </w:num>
  <w:num w:numId="5">
    <w:abstractNumId w:val="15"/>
  </w:num>
  <w:num w:numId="6">
    <w:abstractNumId w:val="13"/>
  </w:num>
  <w:num w:numId="7">
    <w:abstractNumId w:val="14"/>
  </w:num>
  <w:num w:numId="8">
    <w:abstractNumId w:val="11"/>
  </w:num>
  <w:num w:numId="9">
    <w:abstractNumId w:val="7"/>
  </w:num>
  <w:num w:numId="10">
    <w:abstractNumId w:val="10"/>
  </w:num>
  <w:num w:numId="11">
    <w:abstractNumId w:val="2"/>
  </w:num>
  <w:num w:numId="12">
    <w:abstractNumId w:val="12"/>
  </w:num>
  <w:num w:numId="13">
    <w:abstractNumId w:val="8"/>
  </w:num>
  <w:num w:numId="14">
    <w:abstractNumId w:val="17"/>
  </w:num>
  <w:num w:numId="15">
    <w:abstractNumId w:val="1"/>
  </w:num>
  <w:num w:numId="16">
    <w:abstractNumId w:val="4"/>
  </w:num>
  <w:num w:numId="17">
    <w:abstractNumId w:val="0"/>
  </w:num>
  <w:num w:numId="18">
    <w:abstractNumId w:val="1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2"/>
  </w:compat>
  <w:rsids>
    <w:rsidRoot w:val="00D30A6F"/>
    <w:rsid w:val="00004846"/>
    <w:rsid w:val="00010FA6"/>
    <w:rsid w:val="00012FA9"/>
    <w:rsid w:val="00013A09"/>
    <w:rsid w:val="000277E6"/>
    <w:rsid w:val="00036301"/>
    <w:rsid w:val="00036F5B"/>
    <w:rsid w:val="0003788D"/>
    <w:rsid w:val="00056640"/>
    <w:rsid w:val="00056662"/>
    <w:rsid w:val="00056983"/>
    <w:rsid w:val="00064454"/>
    <w:rsid w:val="00066D51"/>
    <w:rsid w:val="00070D55"/>
    <w:rsid w:val="00071C2F"/>
    <w:rsid w:val="0007742D"/>
    <w:rsid w:val="00077DA7"/>
    <w:rsid w:val="00084FED"/>
    <w:rsid w:val="00086C80"/>
    <w:rsid w:val="00093869"/>
    <w:rsid w:val="000972FF"/>
    <w:rsid w:val="000A4E33"/>
    <w:rsid w:val="000A598D"/>
    <w:rsid w:val="000B0612"/>
    <w:rsid w:val="000B28D0"/>
    <w:rsid w:val="000B2F34"/>
    <w:rsid w:val="000B37FE"/>
    <w:rsid w:val="000B579B"/>
    <w:rsid w:val="000B5ABA"/>
    <w:rsid w:val="000B663E"/>
    <w:rsid w:val="000C019E"/>
    <w:rsid w:val="000C0746"/>
    <w:rsid w:val="000C3D1E"/>
    <w:rsid w:val="000C45C3"/>
    <w:rsid w:val="000C52CC"/>
    <w:rsid w:val="000C7FB4"/>
    <w:rsid w:val="000D3A5C"/>
    <w:rsid w:val="000E1ADA"/>
    <w:rsid w:val="000E1D07"/>
    <w:rsid w:val="000E2AE7"/>
    <w:rsid w:val="000F3416"/>
    <w:rsid w:val="001002EF"/>
    <w:rsid w:val="001036BE"/>
    <w:rsid w:val="0010663A"/>
    <w:rsid w:val="00112AC1"/>
    <w:rsid w:val="0012396A"/>
    <w:rsid w:val="00124663"/>
    <w:rsid w:val="00137B65"/>
    <w:rsid w:val="00141CA8"/>
    <w:rsid w:val="00143095"/>
    <w:rsid w:val="00153217"/>
    <w:rsid w:val="001545B3"/>
    <w:rsid w:val="0016598A"/>
    <w:rsid w:val="00181299"/>
    <w:rsid w:val="0018373E"/>
    <w:rsid w:val="00183B6B"/>
    <w:rsid w:val="00184620"/>
    <w:rsid w:val="0018748B"/>
    <w:rsid w:val="00190050"/>
    <w:rsid w:val="001943D0"/>
    <w:rsid w:val="001A0E66"/>
    <w:rsid w:val="001A6DD5"/>
    <w:rsid w:val="001B012A"/>
    <w:rsid w:val="001B176F"/>
    <w:rsid w:val="001C11C0"/>
    <w:rsid w:val="001C212E"/>
    <w:rsid w:val="001C2742"/>
    <w:rsid w:val="001C429E"/>
    <w:rsid w:val="001C5110"/>
    <w:rsid w:val="001C70E6"/>
    <w:rsid w:val="001D2CA5"/>
    <w:rsid w:val="001D4E02"/>
    <w:rsid w:val="001E267B"/>
    <w:rsid w:val="001E6A7F"/>
    <w:rsid w:val="001F0255"/>
    <w:rsid w:val="001F105F"/>
    <w:rsid w:val="001F14F2"/>
    <w:rsid w:val="001F1B44"/>
    <w:rsid w:val="001F5070"/>
    <w:rsid w:val="00202C3F"/>
    <w:rsid w:val="00211291"/>
    <w:rsid w:val="00212ADB"/>
    <w:rsid w:val="002154C6"/>
    <w:rsid w:val="002214C4"/>
    <w:rsid w:val="00222045"/>
    <w:rsid w:val="0023504B"/>
    <w:rsid w:val="00235979"/>
    <w:rsid w:val="002469EA"/>
    <w:rsid w:val="00253F12"/>
    <w:rsid w:val="00254DEF"/>
    <w:rsid w:val="002579E7"/>
    <w:rsid w:val="00263D1E"/>
    <w:rsid w:val="002709AD"/>
    <w:rsid w:val="002736F4"/>
    <w:rsid w:val="002764F7"/>
    <w:rsid w:val="00277DC6"/>
    <w:rsid w:val="002827AA"/>
    <w:rsid w:val="00292978"/>
    <w:rsid w:val="00292FAE"/>
    <w:rsid w:val="002946C3"/>
    <w:rsid w:val="002A23DD"/>
    <w:rsid w:val="002B1079"/>
    <w:rsid w:val="002C1CC4"/>
    <w:rsid w:val="002C4CBC"/>
    <w:rsid w:val="002C4CBD"/>
    <w:rsid w:val="002D1514"/>
    <w:rsid w:val="002D1997"/>
    <w:rsid w:val="002D19D5"/>
    <w:rsid w:val="002D2FCF"/>
    <w:rsid w:val="002D3837"/>
    <w:rsid w:val="002D4ABE"/>
    <w:rsid w:val="002E036A"/>
    <w:rsid w:val="002E2E3A"/>
    <w:rsid w:val="002F7539"/>
    <w:rsid w:val="003100D4"/>
    <w:rsid w:val="00310D72"/>
    <w:rsid w:val="00312AC4"/>
    <w:rsid w:val="00313DFE"/>
    <w:rsid w:val="003141CB"/>
    <w:rsid w:val="0031584A"/>
    <w:rsid w:val="003162CA"/>
    <w:rsid w:val="00317618"/>
    <w:rsid w:val="00321D04"/>
    <w:rsid w:val="00322AAD"/>
    <w:rsid w:val="00323264"/>
    <w:rsid w:val="00331670"/>
    <w:rsid w:val="003419E6"/>
    <w:rsid w:val="00344C36"/>
    <w:rsid w:val="003506BB"/>
    <w:rsid w:val="0035340E"/>
    <w:rsid w:val="003536A8"/>
    <w:rsid w:val="00355754"/>
    <w:rsid w:val="0036231C"/>
    <w:rsid w:val="00365193"/>
    <w:rsid w:val="00367C59"/>
    <w:rsid w:val="00373F7C"/>
    <w:rsid w:val="00374300"/>
    <w:rsid w:val="0038199C"/>
    <w:rsid w:val="003953A7"/>
    <w:rsid w:val="00397C12"/>
    <w:rsid w:val="003A1123"/>
    <w:rsid w:val="003A444D"/>
    <w:rsid w:val="003B67F2"/>
    <w:rsid w:val="003B6830"/>
    <w:rsid w:val="003B6BE3"/>
    <w:rsid w:val="003C1596"/>
    <w:rsid w:val="003D1251"/>
    <w:rsid w:val="003D684C"/>
    <w:rsid w:val="003E11FD"/>
    <w:rsid w:val="003E2259"/>
    <w:rsid w:val="003E2288"/>
    <w:rsid w:val="003E631C"/>
    <w:rsid w:val="003E7AFF"/>
    <w:rsid w:val="003F68A7"/>
    <w:rsid w:val="00402576"/>
    <w:rsid w:val="0040401B"/>
    <w:rsid w:val="00415022"/>
    <w:rsid w:val="00423E6D"/>
    <w:rsid w:val="004265B2"/>
    <w:rsid w:val="00436321"/>
    <w:rsid w:val="00437C92"/>
    <w:rsid w:val="004534C8"/>
    <w:rsid w:val="00456A4E"/>
    <w:rsid w:val="0046243E"/>
    <w:rsid w:val="004630CB"/>
    <w:rsid w:val="00482052"/>
    <w:rsid w:val="00482A28"/>
    <w:rsid w:val="0048318D"/>
    <w:rsid w:val="00492DC3"/>
    <w:rsid w:val="00494584"/>
    <w:rsid w:val="004A4BB4"/>
    <w:rsid w:val="004B109A"/>
    <w:rsid w:val="004B2613"/>
    <w:rsid w:val="004B5956"/>
    <w:rsid w:val="004C4827"/>
    <w:rsid w:val="004C61FD"/>
    <w:rsid w:val="004D06DA"/>
    <w:rsid w:val="004D2524"/>
    <w:rsid w:val="004D5AE0"/>
    <w:rsid w:val="004E09FF"/>
    <w:rsid w:val="004E527B"/>
    <w:rsid w:val="004F21C1"/>
    <w:rsid w:val="004F2CBB"/>
    <w:rsid w:val="004F7386"/>
    <w:rsid w:val="00500B2D"/>
    <w:rsid w:val="0050194B"/>
    <w:rsid w:val="00503685"/>
    <w:rsid w:val="00507417"/>
    <w:rsid w:val="00514218"/>
    <w:rsid w:val="00515733"/>
    <w:rsid w:val="0051585E"/>
    <w:rsid w:val="00516D97"/>
    <w:rsid w:val="0052230A"/>
    <w:rsid w:val="005233CF"/>
    <w:rsid w:val="00523493"/>
    <w:rsid w:val="00523F13"/>
    <w:rsid w:val="005314B0"/>
    <w:rsid w:val="0053535D"/>
    <w:rsid w:val="005413C7"/>
    <w:rsid w:val="005419B5"/>
    <w:rsid w:val="00553422"/>
    <w:rsid w:val="00553E79"/>
    <w:rsid w:val="005547EB"/>
    <w:rsid w:val="00557170"/>
    <w:rsid w:val="00561873"/>
    <w:rsid w:val="00565E4F"/>
    <w:rsid w:val="00572DD3"/>
    <w:rsid w:val="00575B60"/>
    <w:rsid w:val="005773FB"/>
    <w:rsid w:val="005809F9"/>
    <w:rsid w:val="00592B0F"/>
    <w:rsid w:val="00592CE5"/>
    <w:rsid w:val="00594FF9"/>
    <w:rsid w:val="0059593B"/>
    <w:rsid w:val="005A2772"/>
    <w:rsid w:val="005A7624"/>
    <w:rsid w:val="005C47ED"/>
    <w:rsid w:val="005C6D2A"/>
    <w:rsid w:val="005D3719"/>
    <w:rsid w:val="005D41E3"/>
    <w:rsid w:val="005D52EC"/>
    <w:rsid w:val="005E0E07"/>
    <w:rsid w:val="005F2691"/>
    <w:rsid w:val="005F3401"/>
    <w:rsid w:val="005F65CD"/>
    <w:rsid w:val="00601B6A"/>
    <w:rsid w:val="006039C3"/>
    <w:rsid w:val="006071BC"/>
    <w:rsid w:val="006130D0"/>
    <w:rsid w:val="00613FD5"/>
    <w:rsid w:val="00627DE2"/>
    <w:rsid w:val="00631BCC"/>
    <w:rsid w:val="006324CA"/>
    <w:rsid w:val="00633C9E"/>
    <w:rsid w:val="00634EE6"/>
    <w:rsid w:val="006454E9"/>
    <w:rsid w:val="00645874"/>
    <w:rsid w:val="00656BEF"/>
    <w:rsid w:val="0066493A"/>
    <w:rsid w:val="00665C46"/>
    <w:rsid w:val="0067015D"/>
    <w:rsid w:val="00670D54"/>
    <w:rsid w:val="00683CAA"/>
    <w:rsid w:val="0069058C"/>
    <w:rsid w:val="006925D3"/>
    <w:rsid w:val="006942E4"/>
    <w:rsid w:val="006A0E82"/>
    <w:rsid w:val="006A4314"/>
    <w:rsid w:val="006A4C38"/>
    <w:rsid w:val="006B1B36"/>
    <w:rsid w:val="006B3BE5"/>
    <w:rsid w:val="006D0DA9"/>
    <w:rsid w:val="006E0894"/>
    <w:rsid w:val="006E7621"/>
    <w:rsid w:val="006E7763"/>
    <w:rsid w:val="006F144F"/>
    <w:rsid w:val="006F3FB9"/>
    <w:rsid w:val="007104AC"/>
    <w:rsid w:val="007141AD"/>
    <w:rsid w:val="0072552F"/>
    <w:rsid w:val="00736C36"/>
    <w:rsid w:val="007403AA"/>
    <w:rsid w:val="0074227B"/>
    <w:rsid w:val="007432D2"/>
    <w:rsid w:val="00747458"/>
    <w:rsid w:val="00753CFF"/>
    <w:rsid w:val="00767E81"/>
    <w:rsid w:val="00774EEE"/>
    <w:rsid w:val="00776360"/>
    <w:rsid w:val="0078001D"/>
    <w:rsid w:val="00786F85"/>
    <w:rsid w:val="0079171A"/>
    <w:rsid w:val="0079614B"/>
    <w:rsid w:val="007A42BF"/>
    <w:rsid w:val="007B6095"/>
    <w:rsid w:val="007C1EC5"/>
    <w:rsid w:val="007C4E67"/>
    <w:rsid w:val="007D4BA2"/>
    <w:rsid w:val="007E4680"/>
    <w:rsid w:val="007E50AC"/>
    <w:rsid w:val="007F0DD6"/>
    <w:rsid w:val="007F2834"/>
    <w:rsid w:val="007F343D"/>
    <w:rsid w:val="007F775E"/>
    <w:rsid w:val="007F7C64"/>
    <w:rsid w:val="00803B90"/>
    <w:rsid w:val="008051EF"/>
    <w:rsid w:val="00810783"/>
    <w:rsid w:val="008143E1"/>
    <w:rsid w:val="00815A0F"/>
    <w:rsid w:val="00820150"/>
    <w:rsid w:val="00820F05"/>
    <w:rsid w:val="008247B3"/>
    <w:rsid w:val="00830446"/>
    <w:rsid w:val="00835D66"/>
    <w:rsid w:val="00836768"/>
    <w:rsid w:val="00836C12"/>
    <w:rsid w:val="00840957"/>
    <w:rsid w:val="008425DF"/>
    <w:rsid w:val="00854C26"/>
    <w:rsid w:val="008577BF"/>
    <w:rsid w:val="00866D08"/>
    <w:rsid w:val="008706B0"/>
    <w:rsid w:val="008717E7"/>
    <w:rsid w:val="008733C2"/>
    <w:rsid w:val="00894CAE"/>
    <w:rsid w:val="00895E3B"/>
    <w:rsid w:val="008A07D8"/>
    <w:rsid w:val="008B568C"/>
    <w:rsid w:val="008B5814"/>
    <w:rsid w:val="008B75FE"/>
    <w:rsid w:val="008B7624"/>
    <w:rsid w:val="008C11BE"/>
    <w:rsid w:val="008C1235"/>
    <w:rsid w:val="008C6A22"/>
    <w:rsid w:val="008C6B46"/>
    <w:rsid w:val="008C743E"/>
    <w:rsid w:val="008D4808"/>
    <w:rsid w:val="008E505E"/>
    <w:rsid w:val="008E5FE1"/>
    <w:rsid w:val="008E60C9"/>
    <w:rsid w:val="008E63F8"/>
    <w:rsid w:val="008E72E7"/>
    <w:rsid w:val="008E75B6"/>
    <w:rsid w:val="0090190E"/>
    <w:rsid w:val="009134BE"/>
    <w:rsid w:val="00923708"/>
    <w:rsid w:val="00924479"/>
    <w:rsid w:val="00926BED"/>
    <w:rsid w:val="00933184"/>
    <w:rsid w:val="00933981"/>
    <w:rsid w:val="00933A73"/>
    <w:rsid w:val="00936830"/>
    <w:rsid w:val="009440D0"/>
    <w:rsid w:val="00966B5E"/>
    <w:rsid w:val="009702F9"/>
    <w:rsid w:val="0097489C"/>
    <w:rsid w:val="009765A2"/>
    <w:rsid w:val="009828E8"/>
    <w:rsid w:val="00982FE6"/>
    <w:rsid w:val="009923C9"/>
    <w:rsid w:val="00994AE0"/>
    <w:rsid w:val="009A0552"/>
    <w:rsid w:val="009A170B"/>
    <w:rsid w:val="009A1DEF"/>
    <w:rsid w:val="009A4591"/>
    <w:rsid w:val="009B0789"/>
    <w:rsid w:val="009B41F6"/>
    <w:rsid w:val="009C231D"/>
    <w:rsid w:val="009C37EB"/>
    <w:rsid w:val="009C3A8C"/>
    <w:rsid w:val="009D5E11"/>
    <w:rsid w:val="009E561A"/>
    <w:rsid w:val="009E7FA9"/>
    <w:rsid w:val="009F2D01"/>
    <w:rsid w:val="009F3A6D"/>
    <w:rsid w:val="00A20ED6"/>
    <w:rsid w:val="00A3078C"/>
    <w:rsid w:val="00A30BE1"/>
    <w:rsid w:val="00A35597"/>
    <w:rsid w:val="00A41893"/>
    <w:rsid w:val="00A47E5D"/>
    <w:rsid w:val="00A526B1"/>
    <w:rsid w:val="00A61F56"/>
    <w:rsid w:val="00A6225F"/>
    <w:rsid w:val="00A630C9"/>
    <w:rsid w:val="00A64E7C"/>
    <w:rsid w:val="00A664EF"/>
    <w:rsid w:val="00A806D3"/>
    <w:rsid w:val="00A84D10"/>
    <w:rsid w:val="00A86222"/>
    <w:rsid w:val="00A87895"/>
    <w:rsid w:val="00A917EC"/>
    <w:rsid w:val="00A92E50"/>
    <w:rsid w:val="00AA1BEC"/>
    <w:rsid w:val="00AA5F4B"/>
    <w:rsid w:val="00AB1974"/>
    <w:rsid w:val="00AB6A21"/>
    <w:rsid w:val="00AC403C"/>
    <w:rsid w:val="00AC64F0"/>
    <w:rsid w:val="00AD05B2"/>
    <w:rsid w:val="00AD5103"/>
    <w:rsid w:val="00AE7F85"/>
    <w:rsid w:val="00AF0CA8"/>
    <w:rsid w:val="00AF2252"/>
    <w:rsid w:val="00B02615"/>
    <w:rsid w:val="00B03174"/>
    <w:rsid w:val="00B11A70"/>
    <w:rsid w:val="00B20E72"/>
    <w:rsid w:val="00B30614"/>
    <w:rsid w:val="00B30868"/>
    <w:rsid w:val="00B341CF"/>
    <w:rsid w:val="00B42177"/>
    <w:rsid w:val="00B47E30"/>
    <w:rsid w:val="00B50D81"/>
    <w:rsid w:val="00B526B9"/>
    <w:rsid w:val="00B53AE7"/>
    <w:rsid w:val="00B6610B"/>
    <w:rsid w:val="00B7296C"/>
    <w:rsid w:val="00B77F79"/>
    <w:rsid w:val="00B81300"/>
    <w:rsid w:val="00B81A96"/>
    <w:rsid w:val="00B92496"/>
    <w:rsid w:val="00B949EF"/>
    <w:rsid w:val="00BA4E76"/>
    <w:rsid w:val="00BA5E72"/>
    <w:rsid w:val="00BB0107"/>
    <w:rsid w:val="00BB14B4"/>
    <w:rsid w:val="00BB76BF"/>
    <w:rsid w:val="00BC6CC7"/>
    <w:rsid w:val="00BD3357"/>
    <w:rsid w:val="00BD39E7"/>
    <w:rsid w:val="00BD4D1D"/>
    <w:rsid w:val="00BD62A4"/>
    <w:rsid w:val="00BD75C6"/>
    <w:rsid w:val="00BE51AD"/>
    <w:rsid w:val="00BE6E34"/>
    <w:rsid w:val="00BF3FDA"/>
    <w:rsid w:val="00BF7219"/>
    <w:rsid w:val="00C01E2A"/>
    <w:rsid w:val="00C04EDE"/>
    <w:rsid w:val="00C072A3"/>
    <w:rsid w:val="00C20C75"/>
    <w:rsid w:val="00C20D41"/>
    <w:rsid w:val="00C415ED"/>
    <w:rsid w:val="00C5395D"/>
    <w:rsid w:val="00C53F08"/>
    <w:rsid w:val="00C55A0C"/>
    <w:rsid w:val="00C65EDD"/>
    <w:rsid w:val="00C67DD5"/>
    <w:rsid w:val="00C746D9"/>
    <w:rsid w:val="00C85DF2"/>
    <w:rsid w:val="00C93041"/>
    <w:rsid w:val="00CA41FB"/>
    <w:rsid w:val="00CA6776"/>
    <w:rsid w:val="00CA779C"/>
    <w:rsid w:val="00CB162B"/>
    <w:rsid w:val="00CB1FBC"/>
    <w:rsid w:val="00CB29E3"/>
    <w:rsid w:val="00CB44DA"/>
    <w:rsid w:val="00CB5395"/>
    <w:rsid w:val="00CB5778"/>
    <w:rsid w:val="00CB756B"/>
    <w:rsid w:val="00CC700F"/>
    <w:rsid w:val="00CC71FA"/>
    <w:rsid w:val="00CD2BB5"/>
    <w:rsid w:val="00CD3431"/>
    <w:rsid w:val="00CD3ECF"/>
    <w:rsid w:val="00CE509B"/>
    <w:rsid w:val="00CE5F92"/>
    <w:rsid w:val="00CF0E32"/>
    <w:rsid w:val="00CF3DEB"/>
    <w:rsid w:val="00CF4848"/>
    <w:rsid w:val="00D01177"/>
    <w:rsid w:val="00D03175"/>
    <w:rsid w:val="00D0359F"/>
    <w:rsid w:val="00D03985"/>
    <w:rsid w:val="00D106F6"/>
    <w:rsid w:val="00D1123D"/>
    <w:rsid w:val="00D14217"/>
    <w:rsid w:val="00D24EB6"/>
    <w:rsid w:val="00D2527D"/>
    <w:rsid w:val="00D271D0"/>
    <w:rsid w:val="00D30A6F"/>
    <w:rsid w:val="00D33F80"/>
    <w:rsid w:val="00D352F8"/>
    <w:rsid w:val="00D5053D"/>
    <w:rsid w:val="00D52816"/>
    <w:rsid w:val="00D53C16"/>
    <w:rsid w:val="00D57A9C"/>
    <w:rsid w:val="00D62B03"/>
    <w:rsid w:val="00D62CD9"/>
    <w:rsid w:val="00D71729"/>
    <w:rsid w:val="00D71DFA"/>
    <w:rsid w:val="00D90D24"/>
    <w:rsid w:val="00D9134C"/>
    <w:rsid w:val="00D916A8"/>
    <w:rsid w:val="00D9338B"/>
    <w:rsid w:val="00D96E87"/>
    <w:rsid w:val="00DA09FD"/>
    <w:rsid w:val="00DA1BA8"/>
    <w:rsid w:val="00DA3CE7"/>
    <w:rsid w:val="00DA3FD2"/>
    <w:rsid w:val="00DA7BA6"/>
    <w:rsid w:val="00DC6129"/>
    <w:rsid w:val="00DC6D3C"/>
    <w:rsid w:val="00DC6FF6"/>
    <w:rsid w:val="00DD269C"/>
    <w:rsid w:val="00DD4E53"/>
    <w:rsid w:val="00DD518A"/>
    <w:rsid w:val="00DD679C"/>
    <w:rsid w:val="00DF520F"/>
    <w:rsid w:val="00DF6F38"/>
    <w:rsid w:val="00E002B9"/>
    <w:rsid w:val="00E00E0C"/>
    <w:rsid w:val="00E10FC8"/>
    <w:rsid w:val="00E11593"/>
    <w:rsid w:val="00E13289"/>
    <w:rsid w:val="00E143D3"/>
    <w:rsid w:val="00E15952"/>
    <w:rsid w:val="00E21A51"/>
    <w:rsid w:val="00E255F1"/>
    <w:rsid w:val="00E2599A"/>
    <w:rsid w:val="00E25E8B"/>
    <w:rsid w:val="00E400E4"/>
    <w:rsid w:val="00E40462"/>
    <w:rsid w:val="00E41E16"/>
    <w:rsid w:val="00E438CC"/>
    <w:rsid w:val="00E467AA"/>
    <w:rsid w:val="00E51BBD"/>
    <w:rsid w:val="00E521E2"/>
    <w:rsid w:val="00E6052A"/>
    <w:rsid w:val="00E61682"/>
    <w:rsid w:val="00E61AA3"/>
    <w:rsid w:val="00E65BFB"/>
    <w:rsid w:val="00E7400E"/>
    <w:rsid w:val="00E82263"/>
    <w:rsid w:val="00E82532"/>
    <w:rsid w:val="00E8452B"/>
    <w:rsid w:val="00E85656"/>
    <w:rsid w:val="00E92C05"/>
    <w:rsid w:val="00E93408"/>
    <w:rsid w:val="00E9791A"/>
    <w:rsid w:val="00EA17C7"/>
    <w:rsid w:val="00EA2BA4"/>
    <w:rsid w:val="00EB0BD2"/>
    <w:rsid w:val="00EB146B"/>
    <w:rsid w:val="00EB5BD2"/>
    <w:rsid w:val="00EB703F"/>
    <w:rsid w:val="00EB753E"/>
    <w:rsid w:val="00EC2C99"/>
    <w:rsid w:val="00EC344C"/>
    <w:rsid w:val="00EC45F5"/>
    <w:rsid w:val="00EE2428"/>
    <w:rsid w:val="00EE2CC0"/>
    <w:rsid w:val="00EF0A16"/>
    <w:rsid w:val="00EF10C2"/>
    <w:rsid w:val="00EF1710"/>
    <w:rsid w:val="00F02498"/>
    <w:rsid w:val="00F028E4"/>
    <w:rsid w:val="00F033D8"/>
    <w:rsid w:val="00F05648"/>
    <w:rsid w:val="00F065D5"/>
    <w:rsid w:val="00F13C9D"/>
    <w:rsid w:val="00F26670"/>
    <w:rsid w:val="00F37213"/>
    <w:rsid w:val="00F42C49"/>
    <w:rsid w:val="00F50559"/>
    <w:rsid w:val="00F514AC"/>
    <w:rsid w:val="00F57985"/>
    <w:rsid w:val="00F607B9"/>
    <w:rsid w:val="00F61771"/>
    <w:rsid w:val="00F71A7F"/>
    <w:rsid w:val="00F925CD"/>
    <w:rsid w:val="00F96607"/>
    <w:rsid w:val="00FA0D64"/>
    <w:rsid w:val="00FA0E09"/>
    <w:rsid w:val="00FA5DCE"/>
    <w:rsid w:val="00FA68A8"/>
    <w:rsid w:val="00FA7501"/>
    <w:rsid w:val="00FB15AF"/>
    <w:rsid w:val="00FB5C63"/>
    <w:rsid w:val="00FB6D00"/>
    <w:rsid w:val="00FC39B7"/>
    <w:rsid w:val="00FC3D14"/>
    <w:rsid w:val="00FC58F9"/>
    <w:rsid w:val="00FC7E6C"/>
    <w:rsid w:val="00FC7EBD"/>
    <w:rsid w:val="00FD50C7"/>
    <w:rsid w:val="00FD65FD"/>
    <w:rsid w:val="00FD72DD"/>
    <w:rsid w:val="00FD7F1A"/>
    <w:rsid w:val="00FE0482"/>
    <w:rsid w:val="00FE0B8E"/>
    <w:rsid w:val="00FE2435"/>
    <w:rsid w:val="00FE625F"/>
    <w:rsid w:val="00FE64F3"/>
    <w:rsid w:val="00FE7447"/>
    <w:rsid w:val="00FF1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CBE0E-1710-4795-B7C0-B3E7AB61E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A09"/>
  </w:style>
  <w:style w:type="paragraph" w:styleId="Heading1">
    <w:name w:val="heading 1"/>
    <w:basedOn w:val="Normal"/>
    <w:next w:val="Normal"/>
    <w:link w:val="Heading1Char"/>
    <w:uiPriority w:val="9"/>
    <w:qFormat/>
    <w:rsid w:val="000E1D07"/>
    <w:pPr>
      <w:keepNext/>
      <w:numPr>
        <w:numId w:val="17"/>
      </w:numPr>
      <w:spacing w:before="240" w:after="60" w:line="240" w:lineRule="auto"/>
      <w:outlineLvl w:val="0"/>
    </w:pPr>
    <w:rPr>
      <w:rFonts w:ascii="Cambria" w:eastAsia="Times New Roman" w:hAnsi="Cambria" w:cs="Times New Roman"/>
      <w:b/>
      <w:bCs/>
      <w:kern w:val="32"/>
      <w:sz w:val="32"/>
      <w:szCs w:val="32"/>
      <w:lang w:val="en-US"/>
    </w:rPr>
  </w:style>
  <w:style w:type="paragraph" w:styleId="Heading2">
    <w:name w:val="heading 2"/>
    <w:basedOn w:val="Normal"/>
    <w:next w:val="Normal"/>
    <w:link w:val="Heading2Char"/>
    <w:uiPriority w:val="9"/>
    <w:unhideWhenUsed/>
    <w:qFormat/>
    <w:rsid w:val="000E1D07"/>
    <w:pPr>
      <w:keepNext/>
      <w:numPr>
        <w:ilvl w:val="1"/>
        <w:numId w:val="17"/>
      </w:numPr>
      <w:spacing w:before="240" w:after="60" w:line="240" w:lineRule="auto"/>
      <w:outlineLvl w:val="1"/>
    </w:pPr>
    <w:rPr>
      <w:rFonts w:ascii="Cambria" w:eastAsia="Times New Roman" w:hAnsi="Cambria" w:cs="Times New Roman"/>
      <w:b/>
      <w:bCs/>
      <w:i/>
      <w:iCs/>
      <w:sz w:val="28"/>
      <w:szCs w:val="28"/>
      <w:lang w:val="en-US"/>
    </w:rPr>
  </w:style>
  <w:style w:type="paragraph" w:styleId="Heading3">
    <w:name w:val="heading 3"/>
    <w:basedOn w:val="Normal"/>
    <w:next w:val="Normal"/>
    <w:link w:val="Heading3Char"/>
    <w:uiPriority w:val="9"/>
    <w:semiHidden/>
    <w:unhideWhenUsed/>
    <w:qFormat/>
    <w:rsid w:val="000E1D07"/>
    <w:pPr>
      <w:keepNext/>
      <w:numPr>
        <w:ilvl w:val="2"/>
        <w:numId w:val="17"/>
      </w:numPr>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iPriority w:val="9"/>
    <w:semiHidden/>
    <w:unhideWhenUsed/>
    <w:qFormat/>
    <w:rsid w:val="000E1D07"/>
    <w:pPr>
      <w:keepNext/>
      <w:numPr>
        <w:ilvl w:val="3"/>
        <w:numId w:val="17"/>
      </w:numPr>
      <w:spacing w:before="240" w:after="60" w:line="240" w:lineRule="auto"/>
      <w:outlineLvl w:val="3"/>
    </w:pPr>
    <w:rPr>
      <w:rFonts w:ascii="Calibri" w:eastAsia="Times New Roman" w:hAnsi="Calibri" w:cs="Times New Roman"/>
      <w:b/>
      <w:bCs/>
      <w:sz w:val="28"/>
      <w:szCs w:val="28"/>
      <w:lang w:val="en-US"/>
    </w:rPr>
  </w:style>
  <w:style w:type="paragraph" w:styleId="Heading5">
    <w:name w:val="heading 5"/>
    <w:basedOn w:val="Normal"/>
    <w:next w:val="Normal"/>
    <w:link w:val="Heading5Char"/>
    <w:uiPriority w:val="9"/>
    <w:semiHidden/>
    <w:unhideWhenUsed/>
    <w:qFormat/>
    <w:rsid w:val="000E1D07"/>
    <w:pPr>
      <w:numPr>
        <w:ilvl w:val="4"/>
        <w:numId w:val="17"/>
      </w:numPr>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next w:val="Normal"/>
    <w:link w:val="Heading6Char"/>
    <w:semiHidden/>
    <w:unhideWhenUsed/>
    <w:qFormat/>
    <w:rsid w:val="000E1D07"/>
    <w:pPr>
      <w:numPr>
        <w:ilvl w:val="5"/>
        <w:numId w:val="17"/>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0E1D07"/>
    <w:pPr>
      <w:numPr>
        <w:ilvl w:val="6"/>
        <w:numId w:val="17"/>
      </w:numPr>
      <w:spacing w:before="240" w:after="60" w:line="240" w:lineRule="auto"/>
      <w:outlineLvl w:val="6"/>
    </w:pPr>
    <w:rPr>
      <w:rFonts w:ascii="Calibri" w:eastAsia="Times New Roman" w:hAnsi="Calibri" w:cs="Times New Roman"/>
      <w:sz w:val="24"/>
      <w:szCs w:val="24"/>
      <w:lang w:val="en-US"/>
    </w:rPr>
  </w:style>
  <w:style w:type="paragraph" w:styleId="Heading8">
    <w:name w:val="heading 8"/>
    <w:basedOn w:val="Normal"/>
    <w:next w:val="Normal"/>
    <w:link w:val="Heading8Char"/>
    <w:uiPriority w:val="9"/>
    <w:semiHidden/>
    <w:unhideWhenUsed/>
    <w:qFormat/>
    <w:rsid w:val="000E1D07"/>
    <w:pPr>
      <w:numPr>
        <w:ilvl w:val="7"/>
        <w:numId w:val="17"/>
      </w:numPr>
      <w:spacing w:before="240" w:after="60" w:line="240" w:lineRule="auto"/>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uiPriority w:val="9"/>
    <w:semiHidden/>
    <w:unhideWhenUsed/>
    <w:qFormat/>
    <w:rsid w:val="000E1D07"/>
    <w:pPr>
      <w:numPr>
        <w:ilvl w:val="8"/>
        <w:numId w:val="17"/>
      </w:numPr>
      <w:spacing w:before="240" w:after="60" w:line="240" w:lineRule="auto"/>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0A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A6F"/>
  </w:style>
  <w:style w:type="paragraph" w:styleId="Footer">
    <w:name w:val="footer"/>
    <w:basedOn w:val="Normal"/>
    <w:link w:val="FooterChar"/>
    <w:uiPriority w:val="99"/>
    <w:unhideWhenUsed/>
    <w:rsid w:val="00D30A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A6F"/>
  </w:style>
  <w:style w:type="paragraph" w:customStyle="1" w:styleId="12FigureFormatSelectafigureandclickonthisstyle">
    <w:name w:val="12. Figure Format [Select a figure and click on this style]"/>
    <w:basedOn w:val="Normal"/>
    <w:autoRedefine/>
    <w:qFormat/>
    <w:rsid w:val="00786F85"/>
    <w:pPr>
      <w:widowControl w:val="0"/>
      <w:tabs>
        <w:tab w:val="left" w:pos="993"/>
      </w:tabs>
      <w:autoSpaceDE w:val="0"/>
      <w:autoSpaceDN w:val="0"/>
      <w:adjustRightInd w:val="0"/>
      <w:spacing w:after="0" w:line="264" w:lineRule="auto"/>
      <w:jc w:val="both"/>
      <w:textAlignment w:val="center"/>
    </w:pPr>
    <w:rPr>
      <w:rFonts w:eastAsia="Calibri" w:cs="Times New Roman"/>
      <w:lang w:val="en-US" w:eastAsia="en-US"/>
    </w:rPr>
  </w:style>
  <w:style w:type="paragraph" w:styleId="BalloonText">
    <w:name w:val="Balloon Text"/>
    <w:basedOn w:val="Normal"/>
    <w:link w:val="BalloonTextChar"/>
    <w:uiPriority w:val="99"/>
    <w:semiHidden/>
    <w:unhideWhenUsed/>
    <w:rsid w:val="00592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CE5"/>
    <w:rPr>
      <w:rFonts w:ascii="Tahoma" w:hAnsi="Tahoma" w:cs="Tahoma"/>
      <w:sz w:val="16"/>
      <w:szCs w:val="16"/>
    </w:rPr>
  </w:style>
  <w:style w:type="table" w:styleId="TableGrid">
    <w:name w:val="Table Grid"/>
    <w:basedOn w:val="TableNormal"/>
    <w:uiPriority w:val="59"/>
    <w:rsid w:val="001C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BodyMaintext">
    <w:name w:val="06. Body [Main text]"/>
    <w:basedOn w:val="Normal"/>
    <w:autoRedefine/>
    <w:qFormat/>
    <w:rsid w:val="00321D04"/>
    <w:pPr>
      <w:widowControl w:val="0"/>
      <w:autoSpaceDE w:val="0"/>
      <w:autoSpaceDN w:val="0"/>
      <w:adjustRightInd w:val="0"/>
      <w:spacing w:line="264" w:lineRule="auto"/>
      <w:jc w:val="both"/>
      <w:textAlignment w:val="center"/>
    </w:pPr>
    <w:rPr>
      <w:rFonts w:eastAsia="Calibri" w:cs="Times New Roman"/>
      <w:szCs w:val="20"/>
      <w:lang w:val="en-US" w:eastAsia="en-US"/>
    </w:rPr>
  </w:style>
  <w:style w:type="paragraph" w:customStyle="1" w:styleId="10Level1Heading">
    <w:name w:val="10. Level 1 Heading"/>
    <w:basedOn w:val="Normal"/>
    <w:autoRedefine/>
    <w:qFormat/>
    <w:rsid w:val="00966B5E"/>
    <w:pPr>
      <w:autoSpaceDE w:val="0"/>
      <w:autoSpaceDN w:val="0"/>
      <w:adjustRightInd w:val="0"/>
      <w:spacing w:line="288" w:lineRule="auto"/>
      <w:jc w:val="center"/>
      <w:textAlignment w:val="center"/>
    </w:pPr>
    <w:rPr>
      <w:rFonts w:eastAsia="Calibri" w:cs="Times New Roman"/>
      <w:iCs/>
      <w:color w:val="000000"/>
      <w:lang w:eastAsia="en-US"/>
    </w:rPr>
  </w:style>
  <w:style w:type="paragraph" w:customStyle="1" w:styleId="15TableTitle">
    <w:name w:val="15. Table Title"/>
    <w:basedOn w:val="Normal"/>
    <w:autoRedefine/>
    <w:qFormat/>
    <w:rsid w:val="00516D97"/>
    <w:pPr>
      <w:spacing w:after="0" w:line="240" w:lineRule="auto"/>
      <w:ind w:left="360" w:hanging="360"/>
    </w:pPr>
    <w:rPr>
      <w:rFonts w:eastAsia="Calibri" w:cs="Times New Roman"/>
      <w:b/>
      <w:lang w:val="en-US" w:eastAsia="en-US"/>
    </w:rPr>
  </w:style>
  <w:style w:type="paragraph" w:customStyle="1" w:styleId="14TableHeading">
    <w:name w:val="14. Table Heading"/>
    <w:basedOn w:val="Normal"/>
    <w:autoRedefine/>
    <w:qFormat/>
    <w:rsid w:val="00AF0CA8"/>
    <w:pPr>
      <w:spacing w:after="0" w:line="240" w:lineRule="auto"/>
      <w:jc w:val="center"/>
    </w:pPr>
    <w:rPr>
      <w:rFonts w:ascii="Garamond" w:eastAsia="Calibri" w:hAnsi="Garamond" w:cs="Times New Roman"/>
      <w:b/>
      <w:sz w:val="20"/>
      <w:szCs w:val="20"/>
      <w:lang w:val="en-US"/>
    </w:rPr>
  </w:style>
  <w:style w:type="paragraph" w:customStyle="1" w:styleId="16TableText">
    <w:name w:val="16. Table Text"/>
    <w:basedOn w:val="Normal"/>
    <w:qFormat/>
    <w:rsid w:val="008E505E"/>
    <w:pPr>
      <w:spacing w:after="0" w:line="240" w:lineRule="auto"/>
      <w:ind w:left="360" w:hanging="360"/>
      <w:jc w:val="center"/>
    </w:pPr>
    <w:rPr>
      <w:rFonts w:ascii="Garamond" w:eastAsia="Calibri" w:hAnsi="Garamond" w:cs="Times New Roman"/>
      <w:sz w:val="20"/>
      <w:szCs w:val="20"/>
      <w:lang w:val="en-US"/>
    </w:rPr>
  </w:style>
  <w:style w:type="paragraph" w:customStyle="1" w:styleId="02AuthorName">
    <w:name w:val="02. Author Name"/>
    <w:basedOn w:val="Normal"/>
    <w:autoRedefine/>
    <w:qFormat/>
    <w:rsid w:val="009134BE"/>
    <w:pPr>
      <w:spacing w:line="240" w:lineRule="auto"/>
      <w:jc w:val="both"/>
    </w:pPr>
    <w:rPr>
      <w:rFonts w:eastAsia="Calibri" w:cs="Times New Roman"/>
      <w:b/>
      <w:lang w:val="en-US"/>
    </w:rPr>
  </w:style>
  <w:style w:type="paragraph" w:customStyle="1" w:styleId="04AbstractHeading">
    <w:name w:val="04. Abstract Heading"/>
    <w:basedOn w:val="Normal"/>
    <w:autoRedefine/>
    <w:qFormat/>
    <w:rsid w:val="004F7386"/>
    <w:pPr>
      <w:tabs>
        <w:tab w:val="left" w:pos="3960"/>
        <w:tab w:val="left" w:pos="7560"/>
      </w:tabs>
      <w:spacing w:before="480" w:after="120" w:line="240" w:lineRule="auto"/>
    </w:pPr>
    <w:rPr>
      <w:rFonts w:ascii="Verdana" w:eastAsia="Calibri" w:hAnsi="Verdana" w:cs="Times New Roman"/>
      <w:b/>
      <w:caps/>
      <w:sz w:val="20"/>
      <w:szCs w:val="20"/>
      <w:lang w:val="en-US"/>
    </w:rPr>
  </w:style>
  <w:style w:type="paragraph" w:styleId="ListParagraph">
    <w:name w:val="List Paragraph"/>
    <w:basedOn w:val="Normal"/>
    <w:uiPriority w:val="34"/>
    <w:qFormat/>
    <w:rsid w:val="008706B0"/>
    <w:pPr>
      <w:ind w:left="720"/>
      <w:contextualSpacing/>
    </w:pPr>
  </w:style>
  <w:style w:type="paragraph" w:customStyle="1" w:styleId="18References">
    <w:name w:val="18. References"/>
    <w:basedOn w:val="Normal"/>
    <w:qFormat/>
    <w:rsid w:val="000C45C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s>
      <w:autoSpaceDE w:val="0"/>
      <w:autoSpaceDN w:val="0"/>
      <w:adjustRightInd w:val="0"/>
      <w:spacing w:after="0" w:line="240" w:lineRule="atLeast"/>
      <w:ind w:left="360" w:hanging="360"/>
      <w:jc w:val="both"/>
    </w:pPr>
    <w:rPr>
      <w:rFonts w:ascii="Garamond" w:eastAsia="Calibri" w:hAnsi="Garamond" w:cs="Times New Roman PS MT"/>
      <w:color w:val="000000"/>
      <w:sz w:val="21"/>
      <w:szCs w:val="20"/>
      <w:lang w:val="en-US"/>
    </w:rPr>
  </w:style>
  <w:style w:type="character" w:styleId="Hyperlink">
    <w:name w:val="Hyperlink"/>
    <w:basedOn w:val="DefaultParagraphFont"/>
    <w:uiPriority w:val="99"/>
    <w:unhideWhenUsed/>
    <w:rsid w:val="00515733"/>
    <w:rPr>
      <w:color w:val="0000FF" w:themeColor="hyperlink"/>
      <w:u w:val="single"/>
    </w:rPr>
  </w:style>
  <w:style w:type="character" w:customStyle="1" w:styleId="Heading1Char">
    <w:name w:val="Heading 1 Char"/>
    <w:basedOn w:val="DefaultParagraphFont"/>
    <w:link w:val="Heading1"/>
    <w:uiPriority w:val="9"/>
    <w:rsid w:val="000E1D07"/>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0E1D07"/>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semiHidden/>
    <w:rsid w:val="000E1D07"/>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semiHidden/>
    <w:rsid w:val="000E1D07"/>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uiPriority w:val="9"/>
    <w:semiHidden/>
    <w:rsid w:val="000E1D07"/>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semiHidden/>
    <w:rsid w:val="000E1D07"/>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0E1D07"/>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0E1D07"/>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0E1D07"/>
    <w:rPr>
      <w:rFonts w:ascii="Cambria" w:eastAsia="Times New Roman" w:hAnsi="Cambria" w:cs="Times New Roman"/>
      <w:lang w:val="en-US"/>
    </w:rPr>
  </w:style>
  <w:style w:type="character" w:styleId="FollowedHyperlink">
    <w:name w:val="FollowedHyperlink"/>
    <w:basedOn w:val="DefaultParagraphFont"/>
    <w:uiPriority w:val="99"/>
    <w:semiHidden/>
    <w:unhideWhenUsed/>
    <w:rsid w:val="00D2527D"/>
    <w:rPr>
      <w:color w:val="800080" w:themeColor="followedHyperlink"/>
      <w:u w:val="single"/>
    </w:rPr>
  </w:style>
  <w:style w:type="character" w:styleId="CommentReference">
    <w:name w:val="annotation reference"/>
    <w:basedOn w:val="DefaultParagraphFont"/>
    <w:uiPriority w:val="99"/>
    <w:semiHidden/>
    <w:unhideWhenUsed/>
    <w:rsid w:val="00CF0E32"/>
    <w:rPr>
      <w:sz w:val="16"/>
      <w:szCs w:val="16"/>
    </w:rPr>
  </w:style>
  <w:style w:type="paragraph" w:styleId="CommentText">
    <w:name w:val="annotation text"/>
    <w:basedOn w:val="Normal"/>
    <w:link w:val="CommentTextChar"/>
    <w:uiPriority w:val="99"/>
    <w:semiHidden/>
    <w:unhideWhenUsed/>
    <w:rsid w:val="00CF0E32"/>
    <w:pPr>
      <w:spacing w:line="240" w:lineRule="auto"/>
    </w:pPr>
    <w:rPr>
      <w:sz w:val="20"/>
      <w:szCs w:val="20"/>
    </w:rPr>
  </w:style>
  <w:style w:type="character" w:customStyle="1" w:styleId="CommentTextChar">
    <w:name w:val="Comment Text Char"/>
    <w:basedOn w:val="DefaultParagraphFont"/>
    <w:link w:val="CommentText"/>
    <w:uiPriority w:val="99"/>
    <w:semiHidden/>
    <w:rsid w:val="00CF0E32"/>
    <w:rPr>
      <w:sz w:val="20"/>
      <w:szCs w:val="20"/>
    </w:rPr>
  </w:style>
  <w:style w:type="paragraph" w:styleId="CommentSubject">
    <w:name w:val="annotation subject"/>
    <w:basedOn w:val="CommentText"/>
    <w:next w:val="CommentText"/>
    <w:link w:val="CommentSubjectChar"/>
    <w:uiPriority w:val="99"/>
    <w:semiHidden/>
    <w:unhideWhenUsed/>
    <w:rsid w:val="00CF0E32"/>
    <w:rPr>
      <w:b/>
      <w:bCs/>
    </w:rPr>
  </w:style>
  <w:style w:type="character" w:customStyle="1" w:styleId="CommentSubjectChar">
    <w:name w:val="Comment Subject Char"/>
    <w:basedOn w:val="CommentTextChar"/>
    <w:link w:val="CommentSubject"/>
    <w:uiPriority w:val="99"/>
    <w:semiHidden/>
    <w:rsid w:val="00CF0E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521456">
      <w:bodyDiv w:val="1"/>
      <w:marLeft w:val="0"/>
      <w:marRight w:val="0"/>
      <w:marTop w:val="0"/>
      <w:marBottom w:val="0"/>
      <w:divBdr>
        <w:top w:val="none" w:sz="0" w:space="0" w:color="auto"/>
        <w:left w:val="none" w:sz="0" w:space="0" w:color="auto"/>
        <w:bottom w:val="none" w:sz="0" w:space="0" w:color="auto"/>
        <w:right w:val="none" w:sz="0" w:space="0" w:color="auto"/>
      </w:divBdr>
      <w:divsChild>
        <w:div w:id="1303846251">
          <w:marLeft w:val="0"/>
          <w:marRight w:val="0"/>
          <w:marTop w:val="0"/>
          <w:marBottom w:val="0"/>
          <w:divBdr>
            <w:top w:val="none" w:sz="0" w:space="0" w:color="auto"/>
            <w:left w:val="none" w:sz="0" w:space="0" w:color="auto"/>
            <w:bottom w:val="none" w:sz="0" w:space="0" w:color="auto"/>
            <w:right w:val="none" w:sz="0" w:space="0" w:color="auto"/>
          </w:divBdr>
        </w:div>
      </w:divsChild>
    </w:div>
    <w:div w:id="1493060644">
      <w:bodyDiv w:val="1"/>
      <w:marLeft w:val="0"/>
      <w:marRight w:val="0"/>
      <w:marTop w:val="0"/>
      <w:marBottom w:val="0"/>
      <w:divBdr>
        <w:top w:val="none" w:sz="0" w:space="0" w:color="auto"/>
        <w:left w:val="none" w:sz="0" w:space="0" w:color="auto"/>
        <w:bottom w:val="none" w:sz="0" w:space="0" w:color="auto"/>
        <w:right w:val="none" w:sz="0" w:space="0" w:color="auto"/>
      </w:divBdr>
    </w:div>
    <w:div w:id="1591936141">
      <w:bodyDiv w:val="1"/>
      <w:marLeft w:val="0"/>
      <w:marRight w:val="0"/>
      <w:marTop w:val="0"/>
      <w:marBottom w:val="0"/>
      <w:divBdr>
        <w:top w:val="none" w:sz="0" w:space="0" w:color="auto"/>
        <w:left w:val="none" w:sz="0" w:space="0" w:color="auto"/>
        <w:bottom w:val="none" w:sz="0" w:space="0" w:color="auto"/>
        <w:right w:val="none" w:sz="0" w:space="0" w:color="auto"/>
      </w:divBdr>
      <w:divsChild>
        <w:div w:id="871963082">
          <w:marLeft w:val="480"/>
          <w:marRight w:val="0"/>
          <w:marTop w:val="0"/>
          <w:marBottom w:val="0"/>
          <w:divBdr>
            <w:top w:val="none" w:sz="0" w:space="0" w:color="auto"/>
            <w:left w:val="none" w:sz="0" w:space="0" w:color="auto"/>
            <w:bottom w:val="none" w:sz="0" w:space="0" w:color="auto"/>
            <w:right w:val="none" w:sz="0" w:space="0" w:color="auto"/>
          </w:divBdr>
          <w:divsChild>
            <w:div w:id="208791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98420">
      <w:bodyDiv w:val="1"/>
      <w:marLeft w:val="0"/>
      <w:marRight w:val="0"/>
      <w:marTop w:val="0"/>
      <w:marBottom w:val="0"/>
      <w:divBdr>
        <w:top w:val="none" w:sz="0" w:space="0" w:color="auto"/>
        <w:left w:val="none" w:sz="0" w:space="0" w:color="auto"/>
        <w:bottom w:val="none" w:sz="0" w:space="0" w:color="auto"/>
        <w:right w:val="none" w:sz="0" w:space="0" w:color="auto"/>
      </w:divBdr>
      <w:divsChild>
        <w:div w:id="57942615">
          <w:marLeft w:val="480"/>
          <w:marRight w:val="0"/>
          <w:marTop w:val="0"/>
          <w:marBottom w:val="0"/>
          <w:divBdr>
            <w:top w:val="none" w:sz="0" w:space="0" w:color="auto"/>
            <w:left w:val="none" w:sz="0" w:space="0" w:color="auto"/>
            <w:bottom w:val="none" w:sz="0" w:space="0" w:color="auto"/>
            <w:right w:val="none" w:sz="0" w:space="0" w:color="auto"/>
          </w:divBdr>
          <w:divsChild>
            <w:div w:id="13853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1897">
      <w:bodyDiv w:val="1"/>
      <w:marLeft w:val="0"/>
      <w:marRight w:val="0"/>
      <w:marTop w:val="0"/>
      <w:marBottom w:val="0"/>
      <w:divBdr>
        <w:top w:val="none" w:sz="0" w:space="0" w:color="auto"/>
        <w:left w:val="none" w:sz="0" w:space="0" w:color="auto"/>
        <w:bottom w:val="none" w:sz="0" w:space="0" w:color="auto"/>
        <w:right w:val="none" w:sz="0" w:space="0" w:color="auto"/>
      </w:divBdr>
      <w:divsChild>
        <w:div w:id="70540851">
          <w:marLeft w:val="480"/>
          <w:marRight w:val="0"/>
          <w:marTop w:val="0"/>
          <w:marBottom w:val="0"/>
          <w:divBdr>
            <w:top w:val="none" w:sz="0" w:space="0" w:color="auto"/>
            <w:left w:val="none" w:sz="0" w:space="0" w:color="auto"/>
            <w:bottom w:val="none" w:sz="0" w:space="0" w:color="auto"/>
            <w:right w:val="none" w:sz="0" w:space="0" w:color="auto"/>
          </w:divBdr>
          <w:divsChild>
            <w:div w:id="54336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6677">
      <w:bodyDiv w:val="1"/>
      <w:marLeft w:val="0"/>
      <w:marRight w:val="0"/>
      <w:marTop w:val="0"/>
      <w:marBottom w:val="0"/>
      <w:divBdr>
        <w:top w:val="none" w:sz="0" w:space="0" w:color="auto"/>
        <w:left w:val="none" w:sz="0" w:space="0" w:color="auto"/>
        <w:bottom w:val="none" w:sz="0" w:space="0" w:color="auto"/>
        <w:right w:val="none" w:sz="0" w:space="0" w:color="auto"/>
      </w:divBdr>
      <w:divsChild>
        <w:div w:id="1697349591">
          <w:marLeft w:val="480"/>
          <w:marRight w:val="0"/>
          <w:marTop w:val="0"/>
          <w:marBottom w:val="0"/>
          <w:divBdr>
            <w:top w:val="none" w:sz="0" w:space="0" w:color="auto"/>
            <w:left w:val="none" w:sz="0" w:space="0" w:color="auto"/>
            <w:bottom w:val="none" w:sz="0" w:space="0" w:color="auto"/>
            <w:right w:val="none" w:sz="0" w:space="0" w:color="auto"/>
          </w:divBdr>
          <w:divsChild>
            <w:div w:id="1945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hyperlink" Target="https://www.london.gov.uk/sites/default/files/gla_migrate_files_destination/031250%20GLA%20Secondary%20Heat%20-%20Summary%20Report_0.pdf" TargetMode="External"/><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hyperlink" Target="https://www.gov.uk/government/publications/greenhouse-gas-reporting-conversion-factors-2016" TargetMode="External"/><Relationship Id="rId33" Type="http://schemas.openxmlformats.org/officeDocument/2006/relationships/hyperlink" Target="https://doi.org/10.1016/j.rser.2017.10.058" TargetMode="Externa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hyperlink" Target="https://www.ons.gov.uk/aboutus/transparencyandgovernance/freedomofinformationfoi/ukpopulation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doi.org/10.3390/en10040578" TargetMode="External"/><Relationship Id="rId32" Type="http://schemas.openxmlformats.org/officeDocument/2006/relationships/hyperlink" Target="https://data.worldbank.org/indicator/NY.GDP.MKTP.CD?locations=GB&amp;year_high_desc=tru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s://www.theccc.org.uk/tackling-climate-change/reducing-carbon-emissions/how-the-uk-is-progressing/" TargetMode="External"/><Relationship Id="rId28" Type="http://schemas.openxmlformats.org/officeDocument/2006/relationships/hyperlink" Target="https://www.ofgem.gov.uk/environmental-programmes/non-domestic-rhi/contacts-guidance-and-resources/tariffs-and-payments-non-domestic-rhi" TargetMode="External"/><Relationship Id="rId36"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hyperlink" Target="https://www.uitp.org/sites/default/files/cck-focus-papers-files/UITP-Statistic%20Brief-Metro-A4-WEB_0.pdf"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yperlink" Target="https://www.gov.uk/government/statistical-data-sets/gas-and-electricity-prices-in-the-non-domestic-sector" TargetMode="External"/><Relationship Id="rId27" Type="http://schemas.openxmlformats.org/officeDocument/2006/relationships/hyperlink" Target="http://londonpowertunnels.co.uk/project-summary/" TargetMode="External"/><Relationship Id="rId30" Type="http://schemas.openxmlformats.org/officeDocument/2006/relationships/hyperlink" Target="https://www.energylivenews.com/2013/05/17/tate-modern-uses-waste-heat-from-electricity-substation/"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94CF89-F912-4BAC-997D-97E1B4B16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7511</Words>
  <Characters>42815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50226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Gareth</dc:creator>
  <cp:lastModifiedBy>Davies, Gareth</cp:lastModifiedBy>
  <cp:revision>2</cp:revision>
  <cp:lastPrinted>2018-08-22T10:39:00Z</cp:lastPrinted>
  <dcterms:created xsi:type="dcterms:W3CDTF">2018-11-29T15:50:00Z</dcterms:created>
  <dcterms:modified xsi:type="dcterms:W3CDTF">2018-11-29T15:50:00Z</dcterms:modified>
</cp:coreProperties>
</file>