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8B" w:rsidRPr="00270DD5" w:rsidRDefault="000F3A41" w:rsidP="004C531E">
      <w:pPr>
        <w:pStyle w:val="RSCM01ReceivedAccepted"/>
      </w:pPr>
      <w:r w:rsidRPr="00270DD5">
        <mc:AlternateContent>
          <mc:Choice Requires="wps">
            <w:drawing>
              <wp:anchor distT="180340" distB="0" distL="114300" distR="114300" simplePos="0" relativeHeight="251658752" behindDoc="1" locked="1" layoutInCell="0" allowOverlap="0" wp14:anchorId="697AF1AC" wp14:editId="2C964467">
                <wp:simplePos x="0" y="0"/>
                <wp:positionH relativeFrom="margin">
                  <wp:align>left</wp:align>
                </wp:positionH>
                <wp:positionV relativeFrom="margin">
                  <wp:align>bottom</wp:align>
                </wp:positionV>
                <wp:extent cx="3158837" cy="1627909"/>
                <wp:effectExtent l="0" t="0" r="3810" b="9525"/>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rsidR="00ED2862" w:rsidRPr="003E28C9" w:rsidRDefault="00ED2862" w:rsidP="00853CA1">
                            <w:pPr>
                              <w:pStyle w:val="RSCF01FootnoteAuthorAddress"/>
                            </w:pPr>
                            <w:r w:rsidRPr="003E28C9">
                              <w:t>Organic Semiconductor Centre, SUPA, School of Physics &amp; Astronomy, North Haugh, St Andrews, KY16 9SS, United Kingdom</w:t>
                            </w:r>
                          </w:p>
                          <w:p w:rsidR="00ED2862" w:rsidRPr="00C23039" w:rsidRDefault="00ED2862" w:rsidP="003066D4">
                            <w:pPr>
                              <w:pStyle w:val="RSCF01FootnoteAuthorAddress"/>
                              <w:rPr>
                                <w:color w:val="000000" w:themeColor="text1"/>
                              </w:rPr>
                            </w:pPr>
                            <w:r>
                              <w:rPr>
                                <w:color w:val="000000" w:themeColor="text1"/>
                              </w:rPr>
                              <w:t>School of Chemistry, Bio21 Institute, University of Melbourne, Parkville, Victoria, Australia, 3010.</w:t>
                            </w:r>
                          </w:p>
                          <w:p w:rsidR="00ED2862" w:rsidRDefault="00ED2862" w:rsidP="00241ACD">
                            <w:pPr>
                              <w:pStyle w:val="RSCF02FootnotestoTitleAuthors"/>
                            </w:pPr>
                            <w:r w:rsidRPr="00241ACD">
                              <w:t xml:space="preserve">Electronic Supplementary Information (ESI) available: </w:t>
                            </w:r>
                            <w:r>
                              <w:t>E</w:t>
                            </w:r>
                            <w:r w:rsidRPr="00C41B41">
                              <w:t xml:space="preserve">xciton-exciton annihilation </w:t>
                            </w:r>
                            <w:r>
                              <w:t>data such as intensity dependent time-resolved PL decays of neat donor films before and after annealing and GIWAXS analysis to determine the crystallite size and crystallite coherence length</w:t>
                            </w:r>
                            <w:r w:rsidRPr="00241ACD">
                              <w:t>. See DOI: 10.1039/x0xx00000x</w:t>
                            </w:r>
                          </w:p>
                          <w:p w:rsidR="00FF2166" w:rsidRPr="00241ACD" w:rsidRDefault="00FF2166" w:rsidP="00241ACD">
                            <w:pPr>
                              <w:pStyle w:val="RSCF02FootnotestoTitleAuthors"/>
                            </w:pPr>
                            <w:r>
                              <w:t>† These authors contributed equally</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97AF1AC" id="_x0000_t202" coordsize="21600,21600" o:spt="202" path="m,l,21600r21600,l21600,xe">
                <v:stroke joinstyle="miter"/>
                <v:path gradientshapeok="t" o:connecttype="rect"/>
              </v:shapetype>
              <v:shape id="Text Box 2" o:spid="_x0000_s1026" type="#_x0000_t202" style="position:absolute;margin-left:0;margin-top:0;width:248.75pt;height:128.2pt;z-index:-251657728;visibility:visible;mso-wrap-style:square;mso-width-percent:0;mso-height-percent:200;mso-wrap-distance-left:9pt;mso-wrap-distance-top:14.2pt;mso-wrap-distance-right:9pt;mso-wrap-distance-bottom:0;mso-position-horizontal:left;mso-position-horizontal-relative:margin;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A95rfA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ED2862" w:rsidRPr="003E28C9" w:rsidRDefault="00ED2862" w:rsidP="00853CA1">
                      <w:pPr>
                        <w:pStyle w:val="RSCF01FootnoteAuthorAddress"/>
                      </w:pPr>
                      <w:r w:rsidRPr="003E28C9">
                        <w:t>Organic Semiconductor Centre, SUPA, School of Physics &amp; Astronomy, North Haugh, St Andrews, KY16 9SS, United Kingdom</w:t>
                      </w:r>
                    </w:p>
                    <w:p w:rsidR="00ED2862" w:rsidRPr="00C23039" w:rsidRDefault="00ED2862" w:rsidP="003066D4">
                      <w:pPr>
                        <w:pStyle w:val="RSCF01FootnoteAuthorAddress"/>
                        <w:rPr>
                          <w:color w:val="000000" w:themeColor="text1"/>
                        </w:rPr>
                      </w:pPr>
                      <w:r>
                        <w:rPr>
                          <w:color w:val="000000" w:themeColor="text1"/>
                        </w:rPr>
                        <w:t>School of Chemistry, Bio21 Institute, University of Melbourne, Parkville, Victoria, Australia, 3010.</w:t>
                      </w:r>
                    </w:p>
                    <w:p w:rsidR="00ED2862" w:rsidRDefault="00ED2862" w:rsidP="00241ACD">
                      <w:pPr>
                        <w:pStyle w:val="RSCF02FootnotestoTitleAuthors"/>
                      </w:pPr>
                      <w:r w:rsidRPr="00241ACD">
                        <w:t xml:space="preserve">Electronic Supplementary Information (ESI) available: </w:t>
                      </w:r>
                      <w:r>
                        <w:t>E</w:t>
                      </w:r>
                      <w:r w:rsidRPr="00C41B41">
                        <w:t xml:space="preserve">xciton-exciton annihilation </w:t>
                      </w:r>
                      <w:r>
                        <w:t>data such as intensity dependent time-resolved PL decays of neat donor films before and after annealing and GIWAXS analysis to determine the crystallite size and crystallite coherence length</w:t>
                      </w:r>
                      <w:r w:rsidRPr="00241ACD">
                        <w:t>. See DOI: 10.1039/x0xx00000x</w:t>
                      </w:r>
                    </w:p>
                    <w:p w:rsidR="00FF2166" w:rsidRPr="00241ACD" w:rsidRDefault="00FF2166" w:rsidP="00241ACD">
                      <w:pPr>
                        <w:pStyle w:val="RSCF02FootnotestoTitleAuthors"/>
                      </w:pPr>
                      <w:r>
                        <w:t>† These authors contributed equally</w:t>
                      </w:r>
                    </w:p>
                  </w:txbxContent>
                </v:textbox>
                <w10:wrap type="topAndBottom" anchorx="margin"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55427B" w:rsidRDefault="00F62C8B" w:rsidP="004C531E">
      <w:pPr>
        <w:pStyle w:val="RSCM02DOI"/>
        <w:rPr>
          <w:lang w:val="fr-FR"/>
        </w:rPr>
      </w:pPr>
      <w:r w:rsidRPr="0028138C">
        <w:rPr>
          <w:lang w:val="fr-FR"/>
        </w:rPr>
        <w:t xml:space="preserve">DOI: </w:t>
      </w:r>
    </w:p>
    <w:p w:rsidR="00A9649E" w:rsidRPr="0028138C" w:rsidRDefault="00A9649E" w:rsidP="004C531E">
      <w:pPr>
        <w:pStyle w:val="RSCM03Website"/>
        <w:rPr>
          <w:lang w:val="fr-FR"/>
        </w:rPr>
      </w:pPr>
      <w:r w:rsidRPr="0028138C">
        <w:rPr>
          <w:lang w:val="fr-FR"/>
        </w:rPr>
        <w:t>www.rsc.org/</w:t>
      </w:r>
    </w:p>
    <w:p w:rsidR="004414A5" w:rsidRPr="00C32EDF" w:rsidRDefault="00F62C8B" w:rsidP="00C32EDF">
      <w:pPr>
        <w:pStyle w:val="RSCH01PaperTitle"/>
      </w:pPr>
      <w:r w:rsidRPr="0028138C">
        <w:br w:type="column"/>
      </w:r>
      <w:r w:rsidR="00A606AC">
        <w:t>Tailoring exciton diffusion</w:t>
      </w:r>
      <w:r w:rsidR="00E438F1">
        <w:t xml:space="preserve"> and domain size</w:t>
      </w:r>
      <w:r w:rsidR="00A606AC">
        <w:t xml:space="preserve"> in </w:t>
      </w:r>
      <w:r w:rsidR="00F72FF3">
        <w:t>photovoltaic</w:t>
      </w:r>
      <w:r w:rsidR="001A5A7B">
        <w:t xml:space="preserve"> </w:t>
      </w:r>
      <w:r w:rsidR="00E1431D">
        <w:t xml:space="preserve">small molecules by </w:t>
      </w:r>
      <w:r w:rsidR="00D332DE">
        <w:t>annealing</w:t>
      </w:r>
      <w:r w:rsidR="00A606AC">
        <w:t xml:space="preserve"> </w:t>
      </w:r>
    </w:p>
    <w:p w:rsidR="008125A0" w:rsidRPr="008125A0" w:rsidRDefault="00C46CB3" w:rsidP="008125A0">
      <w:pPr>
        <w:pStyle w:val="RSCB01ARTAbstract"/>
        <w:rPr>
          <w:rFonts w:cs="Times New Roman"/>
          <w:sz w:val="20"/>
          <w:vertAlign w:val="superscript"/>
        </w:rPr>
      </w:pPr>
      <w:r>
        <w:rPr>
          <w:rFonts w:cs="Times New Roman"/>
          <w:sz w:val="20"/>
        </w:rPr>
        <w:t>Muhammad T. Sajjad</w:t>
      </w:r>
      <w:r w:rsidR="008125A0" w:rsidRPr="008125A0">
        <w:rPr>
          <w:rFonts w:cs="Times New Roman"/>
          <w:sz w:val="20"/>
        </w:rPr>
        <w:t>,</w:t>
      </w:r>
      <w:r w:rsidR="008125A0" w:rsidRPr="008125A0">
        <w:rPr>
          <w:rFonts w:cs="Times New Roman"/>
          <w:sz w:val="20"/>
          <w:vertAlign w:val="superscript"/>
        </w:rPr>
        <w:t>a</w:t>
      </w:r>
      <w:r w:rsidR="00FF2166">
        <w:rPr>
          <w:rFonts w:cs="Times New Roman"/>
          <w:sz w:val="20"/>
          <w:vertAlign w:val="superscript"/>
        </w:rPr>
        <w:t>†</w:t>
      </w:r>
      <w:r w:rsidR="008125A0" w:rsidRPr="008125A0">
        <w:rPr>
          <w:rFonts w:cs="Times New Roman"/>
          <w:sz w:val="20"/>
        </w:rPr>
        <w:t xml:space="preserve"> </w:t>
      </w:r>
      <w:r>
        <w:rPr>
          <w:rFonts w:cs="Times New Roman"/>
          <w:sz w:val="20"/>
        </w:rPr>
        <w:t>Yiwei Zhang,</w:t>
      </w:r>
      <w:r>
        <w:rPr>
          <w:rFonts w:cs="Times New Roman"/>
          <w:sz w:val="20"/>
          <w:vertAlign w:val="superscript"/>
        </w:rPr>
        <w:t>a</w:t>
      </w:r>
      <w:r w:rsidR="00FF2166">
        <w:rPr>
          <w:rFonts w:cs="Times New Roman"/>
          <w:sz w:val="20"/>
          <w:vertAlign w:val="superscript"/>
        </w:rPr>
        <w:t>†</w:t>
      </w:r>
      <w:r>
        <w:rPr>
          <w:rFonts w:cs="Times New Roman"/>
          <w:sz w:val="20"/>
        </w:rPr>
        <w:t xml:space="preserve"> </w:t>
      </w:r>
      <w:r w:rsidR="00E1431D" w:rsidRPr="00C23039">
        <w:rPr>
          <w:rStyle w:val="RSCH02PaperAuthorsandBylineChar"/>
        </w:rPr>
        <w:t>Paul B. Geraghty,</w:t>
      </w:r>
      <w:r w:rsidR="00E1431D" w:rsidRPr="00C23039">
        <w:rPr>
          <w:rStyle w:val="RSCH02PaperAuthorsandBylineChar"/>
          <w:vertAlign w:val="superscript"/>
        </w:rPr>
        <w:t>b</w:t>
      </w:r>
      <w:r w:rsidR="00E1431D" w:rsidRPr="00C23039">
        <w:rPr>
          <w:rStyle w:val="RSCH02PaperAuthorsandBylineChar"/>
        </w:rPr>
        <w:t xml:space="preserve"> Valerie D. Mitchel</w:t>
      </w:r>
      <w:r w:rsidR="00E1431D">
        <w:rPr>
          <w:rStyle w:val="RSCH02PaperAuthorsandBylineChar"/>
        </w:rPr>
        <w:t>l</w:t>
      </w:r>
      <w:r w:rsidR="00E1431D" w:rsidRPr="00C23039">
        <w:rPr>
          <w:rStyle w:val="RSCH02PaperAuthorsandBylineChar"/>
        </w:rPr>
        <w:t>,</w:t>
      </w:r>
      <w:r w:rsidR="00E1431D" w:rsidRPr="00C23039">
        <w:rPr>
          <w:rStyle w:val="RSCH02PaperAuthorsandBylineChar"/>
          <w:vertAlign w:val="superscript"/>
        </w:rPr>
        <w:t>b</w:t>
      </w:r>
      <w:r w:rsidR="00E1431D">
        <w:rPr>
          <w:rFonts w:cs="Times New Roman"/>
          <w:sz w:val="20"/>
        </w:rPr>
        <w:t xml:space="preserve"> </w:t>
      </w:r>
      <w:r>
        <w:rPr>
          <w:rFonts w:cs="Times New Roman"/>
          <w:sz w:val="20"/>
        </w:rPr>
        <w:t>Arvydas Ruseckas</w:t>
      </w:r>
      <w:r>
        <w:rPr>
          <w:rFonts w:cs="Times New Roman"/>
          <w:sz w:val="20"/>
          <w:vertAlign w:val="superscript"/>
        </w:rPr>
        <w:t>a</w:t>
      </w:r>
      <w:r>
        <w:rPr>
          <w:rFonts w:cs="Times New Roman"/>
          <w:sz w:val="20"/>
        </w:rPr>
        <w:t>, Oskar Blaszczyk</w:t>
      </w:r>
      <w:r>
        <w:rPr>
          <w:rFonts w:cs="Times New Roman"/>
          <w:sz w:val="20"/>
          <w:vertAlign w:val="superscript"/>
        </w:rPr>
        <w:t>a</w:t>
      </w:r>
      <w:r w:rsidR="00F72FF3">
        <w:rPr>
          <w:rFonts w:cs="Times New Roman"/>
          <w:sz w:val="20"/>
        </w:rPr>
        <w:t xml:space="preserve">, </w:t>
      </w:r>
      <w:r w:rsidR="00F72FF3" w:rsidRPr="00C23039">
        <w:rPr>
          <w:rStyle w:val="RSCH02PaperAuthorsandBylineChar"/>
        </w:rPr>
        <w:t>David J. Jones*</w:t>
      </w:r>
      <w:r w:rsidR="00F72FF3" w:rsidRPr="00C23039">
        <w:rPr>
          <w:rStyle w:val="RSCH02PaperAuthorsandBylineChar"/>
          <w:vertAlign w:val="superscript"/>
        </w:rPr>
        <w:t>b</w:t>
      </w:r>
      <w:r>
        <w:rPr>
          <w:rFonts w:cs="Times New Roman"/>
          <w:sz w:val="20"/>
        </w:rPr>
        <w:t xml:space="preserve"> </w:t>
      </w:r>
      <w:r w:rsidR="008125A0" w:rsidRPr="008125A0">
        <w:rPr>
          <w:rFonts w:cs="Times New Roman"/>
          <w:sz w:val="20"/>
        </w:rPr>
        <w:t xml:space="preserve">and </w:t>
      </w:r>
      <w:r>
        <w:rPr>
          <w:rFonts w:cs="Times New Roman"/>
          <w:sz w:val="20"/>
        </w:rPr>
        <w:t>Ifor D. W. Samuel</w:t>
      </w:r>
      <w:r w:rsidR="008125A0" w:rsidRPr="008125A0">
        <w:rPr>
          <w:rFonts w:cs="Times New Roman"/>
          <w:sz w:val="20"/>
          <w:vertAlign w:val="superscript"/>
        </w:rPr>
        <w:t xml:space="preserve"> </w:t>
      </w:r>
      <w:r w:rsidRPr="008125A0">
        <w:rPr>
          <w:rFonts w:cs="Times New Roman"/>
          <w:sz w:val="20"/>
        </w:rPr>
        <w:t>*</w:t>
      </w:r>
      <w:r w:rsidRPr="00C46CB3">
        <w:rPr>
          <w:rFonts w:cs="Times New Roman"/>
          <w:sz w:val="20"/>
          <w:vertAlign w:val="superscript"/>
        </w:rPr>
        <w:t>a</w:t>
      </w:r>
    </w:p>
    <w:p w:rsidR="00C70939" w:rsidRDefault="00F72FF3" w:rsidP="00FA2DA2">
      <w:pPr>
        <w:pStyle w:val="RSCB01ARTAbstract"/>
      </w:pPr>
      <w:bookmarkStart w:id="0" w:name="_GoBack"/>
      <w:r>
        <w:rPr>
          <w:szCs w:val="16"/>
        </w:rPr>
        <w:t xml:space="preserve">Exciton diffusion is an important part </w:t>
      </w:r>
      <w:r w:rsidR="00E438F1">
        <w:rPr>
          <w:szCs w:val="16"/>
        </w:rPr>
        <w:t>of lig</w:t>
      </w:r>
      <w:r w:rsidR="00E1431D">
        <w:rPr>
          <w:szCs w:val="16"/>
        </w:rPr>
        <w:t>h</w:t>
      </w:r>
      <w:r w:rsidR="00E438F1">
        <w:rPr>
          <w:szCs w:val="16"/>
        </w:rPr>
        <w:t>t harvesting in organic photovoltaics (OPVs)</w:t>
      </w:r>
      <w:r w:rsidR="001A5A7B">
        <w:rPr>
          <w:szCs w:val="16"/>
        </w:rPr>
        <w:t xml:space="preserve"> because it</w:t>
      </w:r>
      <w:r w:rsidR="003C64FF">
        <w:rPr>
          <w:szCs w:val="16"/>
        </w:rPr>
        <w:t xml:space="preserve"> </w:t>
      </w:r>
      <w:r w:rsidR="00E1431D">
        <w:rPr>
          <w:szCs w:val="16"/>
        </w:rPr>
        <w:t xml:space="preserve">enables </w:t>
      </w:r>
      <w:r w:rsidR="006336CC" w:rsidRPr="006336CC">
        <w:rPr>
          <w:szCs w:val="16"/>
        </w:rPr>
        <w:t xml:space="preserve">excitons </w:t>
      </w:r>
      <w:r w:rsidR="00E1431D">
        <w:rPr>
          <w:szCs w:val="16"/>
        </w:rPr>
        <w:t>to</w:t>
      </w:r>
      <w:r w:rsidR="006336CC" w:rsidRPr="006336CC">
        <w:rPr>
          <w:szCs w:val="16"/>
        </w:rPr>
        <w:t xml:space="preserve"> reach the interface</w:t>
      </w:r>
      <w:r w:rsidR="00E438F1">
        <w:rPr>
          <w:szCs w:val="16"/>
        </w:rPr>
        <w:t xml:space="preserve"> betweeen donor and acceptor</w:t>
      </w:r>
      <w:r w:rsidR="00E00728">
        <w:rPr>
          <w:szCs w:val="16"/>
        </w:rPr>
        <w:t xml:space="preserve"> and contribute to </w:t>
      </w:r>
      <w:r w:rsidR="00360301">
        <w:rPr>
          <w:szCs w:val="16"/>
        </w:rPr>
        <w:t xml:space="preserve">the </w:t>
      </w:r>
      <w:r w:rsidR="00E00728">
        <w:rPr>
          <w:szCs w:val="16"/>
        </w:rPr>
        <w:t>photocurrent</w:t>
      </w:r>
      <w:r w:rsidR="006336CC" w:rsidRPr="006336CC">
        <w:rPr>
          <w:szCs w:val="16"/>
        </w:rPr>
        <w:t xml:space="preserve">. </w:t>
      </w:r>
      <w:r w:rsidR="00E00728">
        <w:rPr>
          <w:szCs w:val="16"/>
        </w:rPr>
        <w:t xml:space="preserve"> Here we used simple</w:t>
      </w:r>
      <w:r w:rsidR="00C66422">
        <w:rPr>
          <w:szCs w:val="16"/>
        </w:rPr>
        <w:t xml:space="preserve"> and</w:t>
      </w:r>
      <w:r w:rsidR="00E00728">
        <w:rPr>
          <w:szCs w:val="16"/>
        </w:rPr>
        <w:t xml:space="preserve"> cost-effective techniques of thermal annealing</w:t>
      </w:r>
      <w:r w:rsidR="00DC31FF">
        <w:rPr>
          <w:szCs w:val="16"/>
        </w:rPr>
        <w:t xml:space="preserve"> </w:t>
      </w:r>
      <w:r w:rsidR="00E00728">
        <w:rPr>
          <w:szCs w:val="16"/>
        </w:rPr>
        <w:t>and solvent vapour annealing</w:t>
      </w:r>
      <w:r w:rsidR="00DC31FF">
        <w:rPr>
          <w:szCs w:val="16"/>
        </w:rPr>
        <w:t xml:space="preserve"> </w:t>
      </w:r>
      <w:r w:rsidR="00E00728">
        <w:rPr>
          <w:szCs w:val="16"/>
        </w:rPr>
        <w:t xml:space="preserve">to </w:t>
      </w:r>
      <w:r w:rsidR="00994D14">
        <w:rPr>
          <w:szCs w:val="16"/>
        </w:rPr>
        <w:t>increase</w:t>
      </w:r>
      <w:r w:rsidR="00E00728">
        <w:rPr>
          <w:szCs w:val="16"/>
        </w:rPr>
        <w:t xml:space="preserve"> the exciton diffusion coefficient and exciton diffusion length in two </w:t>
      </w:r>
      <w:r w:rsidR="00CD678B">
        <w:rPr>
          <w:szCs w:val="16"/>
        </w:rPr>
        <w:t>liquid crystalline</w:t>
      </w:r>
      <w:r w:rsidR="00E00728">
        <w:rPr>
          <w:szCs w:val="16"/>
        </w:rPr>
        <w:t xml:space="preserve"> </w:t>
      </w:r>
      <w:r w:rsidR="00C66422">
        <w:rPr>
          <w:szCs w:val="16"/>
        </w:rPr>
        <w:t>electron donor</w:t>
      </w:r>
      <w:r w:rsidR="00E00728">
        <w:rPr>
          <w:szCs w:val="16"/>
        </w:rPr>
        <w:t xml:space="preserve"> materials</w:t>
      </w:r>
      <w:r w:rsidR="00C66422">
        <w:rPr>
          <w:szCs w:val="16"/>
        </w:rPr>
        <w:t xml:space="preserve"> BQR and BTR</w:t>
      </w:r>
      <w:r w:rsidR="00E00728">
        <w:rPr>
          <w:szCs w:val="16"/>
        </w:rPr>
        <w:t xml:space="preserve">. </w:t>
      </w:r>
      <w:r w:rsidR="00E73FCA">
        <w:rPr>
          <w:szCs w:val="16"/>
        </w:rPr>
        <w:t xml:space="preserve"> </w:t>
      </w:r>
      <w:r w:rsidR="00C66422">
        <w:rPr>
          <w:szCs w:val="16"/>
        </w:rPr>
        <w:t>We found that the three-dimensional exciton diffusion length increased to ~40 nm upon annealing in both materials. G</w:t>
      </w:r>
      <w:r w:rsidR="00C66422" w:rsidRPr="00EE5F2F">
        <w:rPr>
          <w:szCs w:val="16"/>
        </w:rPr>
        <w:t xml:space="preserve">razing-incidence </w:t>
      </w:r>
      <w:r w:rsidR="00112392">
        <w:rPr>
          <w:szCs w:val="16"/>
        </w:rPr>
        <w:t xml:space="preserve">wide angle </w:t>
      </w:r>
      <w:r w:rsidR="00C66422">
        <w:rPr>
          <w:szCs w:val="16"/>
        </w:rPr>
        <w:t>X-ray scattering (GI</w:t>
      </w:r>
      <w:r w:rsidR="00112392">
        <w:rPr>
          <w:szCs w:val="16"/>
        </w:rPr>
        <w:t>WA</w:t>
      </w:r>
      <w:r w:rsidR="00C66422">
        <w:rPr>
          <w:szCs w:val="16"/>
        </w:rPr>
        <w:t xml:space="preserve">XS) measurements show an increase of </w:t>
      </w:r>
      <w:r w:rsidR="00C66422" w:rsidRPr="00EE5F2F">
        <w:rPr>
          <w:szCs w:val="16"/>
        </w:rPr>
        <w:t>crystallite</w:t>
      </w:r>
      <w:r w:rsidR="00C66422">
        <w:rPr>
          <w:szCs w:val="16"/>
        </w:rPr>
        <w:t xml:space="preserve"> size to ~37 nm in both materials after thermal annealing. We determined an average domain size </w:t>
      </w:r>
      <w:r w:rsidR="00C66422">
        <w:t>of these materials in the blends with PC</w:t>
      </w:r>
      <w:r w:rsidR="00C66422">
        <w:rPr>
          <w:vertAlign w:val="subscript"/>
        </w:rPr>
        <w:t>71</w:t>
      </w:r>
      <w:r w:rsidR="00C66422">
        <w:t>BM using diffusion-limited fluorescence quenching and found that it increased to 31 nm in BTR</w:t>
      </w:r>
      <w:r w:rsidR="00C66422" w:rsidRPr="00FD729C">
        <w:t xml:space="preserve"> </w:t>
      </w:r>
      <w:r w:rsidR="00C66422">
        <w:t>PC</w:t>
      </w:r>
      <w:r w:rsidR="00C66422">
        <w:rPr>
          <w:vertAlign w:val="subscript"/>
        </w:rPr>
        <w:t>71</w:t>
      </w:r>
      <w:r w:rsidR="00C66422">
        <w:t>BM blends and to 60 nm in BQR</w:t>
      </w:r>
      <w:r w:rsidR="00C66422" w:rsidRPr="00FD729C">
        <w:t xml:space="preserve"> </w:t>
      </w:r>
      <w:r w:rsidR="00C66422">
        <w:t>PC</w:t>
      </w:r>
      <w:r w:rsidR="00C66422">
        <w:rPr>
          <w:vertAlign w:val="subscript"/>
        </w:rPr>
        <w:t>71</w:t>
      </w:r>
      <w:r w:rsidR="00C66422">
        <w:t xml:space="preserve">BM blends. </w:t>
      </w:r>
      <w:r w:rsidR="00F51074">
        <w:t xml:space="preserve">Our </w:t>
      </w:r>
      <w:r w:rsidR="00E1431D">
        <w:t>results provide understanding of how annealing improves device efficiency</w:t>
      </w:r>
      <w:r w:rsidR="00C66422">
        <w:t xml:space="preserve">. </w:t>
      </w:r>
    </w:p>
    <w:bookmarkEnd w:id="0"/>
    <w:p w:rsidR="00FA2DA2" w:rsidRPr="00DC31FF" w:rsidRDefault="00FA2DA2" w:rsidP="00FA2DA2">
      <w:pPr>
        <w:pStyle w:val="RSCB01ARTAbstract"/>
        <w:rPr>
          <w:szCs w:val="16"/>
        </w:rPr>
        <w:sectPr w:rsidR="00FA2DA2" w:rsidRPr="00DC31FF"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rsidR="00C46CB3" w:rsidRDefault="00FA2DA2" w:rsidP="00FA2DA2">
      <w:pPr>
        <w:pStyle w:val="RSCB04AHeadingSection"/>
      </w:pPr>
      <w:r w:rsidRPr="00017239">
        <w:t xml:space="preserve">Introduction, </w:t>
      </w:r>
    </w:p>
    <w:p w:rsidR="0046187F" w:rsidRDefault="00A43852" w:rsidP="00F51074">
      <w:pPr>
        <w:pStyle w:val="BGKeywords"/>
        <w:spacing w:after="120" w:line="240" w:lineRule="auto"/>
        <w:rPr>
          <w:rFonts w:asciiTheme="minorHAnsi" w:hAnsiTheme="minorHAnsi"/>
          <w:sz w:val="18"/>
          <w:szCs w:val="18"/>
        </w:rPr>
      </w:pPr>
      <w:r w:rsidRPr="00A43852">
        <w:rPr>
          <w:rFonts w:asciiTheme="minorHAnsi" w:hAnsiTheme="minorHAnsi"/>
          <w:sz w:val="18"/>
          <w:szCs w:val="18"/>
        </w:rPr>
        <w:t xml:space="preserve">Organic photovoltaics (OPVs) </w:t>
      </w:r>
      <w:r w:rsidR="007578C1">
        <w:rPr>
          <w:rFonts w:asciiTheme="minorHAnsi" w:hAnsiTheme="minorHAnsi"/>
          <w:sz w:val="18"/>
          <w:szCs w:val="18"/>
        </w:rPr>
        <w:t xml:space="preserve">is a very active field of research because </w:t>
      </w:r>
      <w:r w:rsidR="00F2209C">
        <w:rPr>
          <w:rFonts w:asciiTheme="minorHAnsi" w:hAnsiTheme="minorHAnsi"/>
          <w:sz w:val="18"/>
          <w:szCs w:val="18"/>
        </w:rPr>
        <w:t xml:space="preserve">of </w:t>
      </w:r>
      <w:r w:rsidR="0028138C">
        <w:rPr>
          <w:rFonts w:asciiTheme="minorHAnsi" w:hAnsiTheme="minorHAnsi"/>
          <w:sz w:val="18"/>
          <w:szCs w:val="18"/>
        </w:rPr>
        <w:t>its</w:t>
      </w:r>
      <w:r w:rsidR="00F2209C">
        <w:rPr>
          <w:rFonts w:asciiTheme="minorHAnsi" w:hAnsiTheme="minorHAnsi"/>
          <w:sz w:val="18"/>
          <w:szCs w:val="18"/>
        </w:rPr>
        <w:t xml:space="preserve"> potential </w:t>
      </w:r>
      <w:r w:rsidR="0028138C">
        <w:rPr>
          <w:rFonts w:asciiTheme="minorHAnsi" w:hAnsiTheme="minorHAnsi"/>
          <w:sz w:val="18"/>
          <w:szCs w:val="18"/>
        </w:rPr>
        <w:t>to give a</w:t>
      </w:r>
      <w:r w:rsidR="00E1431D">
        <w:rPr>
          <w:rFonts w:asciiTheme="minorHAnsi" w:hAnsiTheme="minorHAnsi"/>
          <w:sz w:val="18"/>
          <w:szCs w:val="18"/>
        </w:rPr>
        <w:t xml:space="preserve"> </w:t>
      </w:r>
      <w:r w:rsidRPr="00A43852">
        <w:rPr>
          <w:rFonts w:asciiTheme="minorHAnsi" w:hAnsiTheme="minorHAnsi"/>
          <w:sz w:val="18"/>
          <w:szCs w:val="18"/>
        </w:rPr>
        <w:t xml:space="preserve">lightweight, flexible and low-cost source of renewable energy. The </w:t>
      </w:r>
      <w:r w:rsidR="000512A9">
        <w:rPr>
          <w:rFonts w:asciiTheme="minorHAnsi" w:hAnsiTheme="minorHAnsi"/>
          <w:sz w:val="18"/>
          <w:szCs w:val="18"/>
        </w:rPr>
        <w:t xml:space="preserve">development of </w:t>
      </w:r>
      <w:r w:rsidR="000652D6">
        <w:rPr>
          <w:rFonts w:asciiTheme="minorHAnsi" w:hAnsiTheme="minorHAnsi"/>
          <w:sz w:val="18"/>
          <w:szCs w:val="18"/>
        </w:rPr>
        <w:t xml:space="preserve">narrow bandgap </w:t>
      </w:r>
      <w:r w:rsidR="003E2C3D">
        <w:rPr>
          <w:rFonts w:asciiTheme="minorHAnsi" w:hAnsiTheme="minorHAnsi"/>
          <w:sz w:val="18"/>
          <w:szCs w:val="18"/>
        </w:rPr>
        <w:t xml:space="preserve">electron </w:t>
      </w:r>
      <w:r w:rsidR="000512A9">
        <w:rPr>
          <w:rFonts w:asciiTheme="minorHAnsi" w:hAnsiTheme="minorHAnsi"/>
          <w:sz w:val="18"/>
          <w:szCs w:val="18"/>
        </w:rPr>
        <w:t>donor materials and non-fullerene acceptors</w:t>
      </w:r>
      <w:r w:rsidR="00F76236" w:rsidRPr="00F76236">
        <w:rPr>
          <w:rFonts w:asciiTheme="minorHAnsi" w:hAnsiTheme="minorHAnsi"/>
          <w:noProof/>
          <w:sz w:val="18"/>
          <w:szCs w:val="18"/>
          <w:vertAlign w:val="superscript"/>
        </w:rPr>
        <w:t>1-4</w:t>
      </w:r>
      <w:r w:rsidR="00F76236">
        <w:rPr>
          <w:rFonts w:asciiTheme="minorHAnsi" w:hAnsiTheme="minorHAnsi"/>
          <w:sz w:val="18"/>
          <w:szCs w:val="18"/>
        </w:rPr>
        <w:t xml:space="preserve"> </w:t>
      </w:r>
      <w:r w:rsidR="000512A9">
        <w:rPr>
          <w:rFonts w:asciiTheme="minorHAnsi" w:hAnsiTheme="minorHAnsi"/>
          <w:sz w:val="18"/>
          <w:szCs w:val="18"/>
        </w:rPr>
        <w:t>has pushed the power conversion efficiency (PCE) of single junction solar cell</w:t>
      </w:r>
      <w:r w:rsidR="00112392">
        <w:rPr>
          <w:rFonts w:asciiTheme="minorHAnsi" w:hAnsiTheme="minorHAnsi"/>
          <w:sz w:val="18"/>
          <w:szCs w:val="18"/>
        </w:rPr>
        <w:t>s</w:t>
      </w:r>
      <w:r w:rsidR="000512A9">
        <w:rPr>
          <w:rFonts w:asciiTheme="minorHAnsi" w:hAnsiTheme="minorHAnsi"/>
          <w:sz w:val="18"/>
          <w:szCs w:val="18"/>
        </w:rPr>
        <w:t xml:space="preserve"> to</w:t>
      </w:r>
      <w:r w:rsidR="003066D4">
        <w:rPr>
          <w:rFonts w:asciiTheme="minorHAnsi" w:hAnsiTheme="minorHAnsi"/>
          <w:sz w:val="18"/>
          <w:szCs w:val="18"/>
        </w:rPr>
        <w:t xml:space="preserve"> more than</w:t>
      </w:r>
      <w:r w:rsidR="000512A9">
        <w:rPr>
          <w:rFonts w:asciiTheme="minorHAnsi" w:hAnsiTheme="minorHAnsi"/>
          <w:sz w:val="18"/>
          <w:szCs w:val="18"/>
        </w:rPr>
        <w:t xml:space="preserve"> </w:t>
      </w:r>
      <w:r w:rsidRPr="00A43852">
        <w:rPr>
          <w:rFonts w:asciiTheme="minorHAnsi" w:hAnsiTheme="minorHAnsi"/>
          <w:sz w:val="18"/>
          <w:szCs w:val="18"/>
        </w:rPr>
        <w:t>1</w:t>
      </w:r>
      <w:r w:rsidR="003066D4">
        <w:rPr>
          <w:rFonts w:asciiTheme="minorHAnsi" w:hAnsiTheme="minorHAnsi"/>
          <w:sz w:val="18"/>
          <w:szCs w:val="18"/>
        </w:rPr>
        <w:t>5</w:t>
      </w:r>
      <w:r w:rsidR="000512A9">
        <w:rPr>
          <w:rFonts w:asciiTheme="minorHAnsi" w:hAnsiTheme="minorHAnsi"/>
          <w:sz w:val="18"/>
          <w:szCs w:val="18"/>
        </w:rPr>
        <w:t>%,</w:t>
      </w:r>
      <w:r w:rsidR="00ED2862" w:rsidRPr="00ED2862">
        <w:rPr>
          <w:rFonts w:asciiTheme="minorHAnsi" w:hAnsiTheme="minorHAnsi"/>
          <w:noProof/>
          <w:sz w:val="18"/>
          <w:szCs w:val="18"/>
          <w:vertAlign w:val="superscript"/>
        </w:rPr>
        <w:t>5</w:t>
      </w:r>
      <w:r w:rsidR="00F76236">
        <w:rPr>
          <w:rFonts w:asciiTheme="minorHAnsi" w:hAnsiTheme="minorHAnsi"/>
          <w:sz w:val="18"/>
          <w:szCs w:val="18"/>
        </w:rPr>
        <w:t xml:space="preserve"> </w:t>
      </w:r>
      <w:r w:rsidR="000A3EEE">
        <w:rPr>
          <w:rFonts w:asciiTheme="minorHAnsi" w:hAnsiTheme="minorHAnsi"/>
          <w:sz w:val="18"/>
          <w:szCs w:val="18"/>
        </w:rPr>
        <w:t>which</w:t>
      </w:r>
      <w:r w:rsidR="000512A9">
        <w:rPr>
          <w:rFonts w:asciiTheme="minorHAnsi" w:hAnsiTheme="minorHAnsi"/>
          <w:sz w:val="18"/>
          <w:szCs w:val="18"/>
        </w:rPr>
        <w:t xml:space="preserve"> is good enough</w:t>
      </w:r>
      <w:r w:rsidR="000A3EEE">
        <w:rPr>
          <w:rFonts w:asciiTheme="minorHAnsi" w:hAnsiTheme="minorHAnsi"/>
          <w:sz w:val="18"/>
          <w:szCs w:val="18"/>
        </w:rPr>
        <w:t xml:space="preserve"> for</w:t>
      </w:r>
      <w:r w:rsidR="000512A9">
        <w:rPr>
          <w:rFonts w:asciiTheme="minorHAnsi" w:hAnsiTheme="minorHAnsi"/>
          <w:sz w:val="18"/>
          <w:szCs w:val="18"/>
        </w:rPr>
        <w:t xml:space="preserve"> their practical applications</w:t>
      </w:r>
      <w:r w:rsidRPr="00A43852">
        <w:rPr>
          <w:rFonts w:asciiTheme="minorHAnsi" w:hAnsiTheme="minorHAnsi"/>
          <w:sz w:val="18"/>
          <w:szCs w:val="18"/>
        </w:rPr>
        <w:t xml:space="preserve">. </w:t>
      </w:r>
      <w:r w:rsidR="007578C1">
        <w:rPr>
          <w:rFonts w:asciiTheme="minorHAnsi" w:hAnsiTheme="minorHAnsi"/>
          <w:sz w:val="18"/>
          <w:szCs w:val="18"/>
        </w:rPr>
        <w:t>F</w:t>
      </w:r>
      <w:r w:rsidRPr="00A43852">
        <w:rPr>
          <w:rFonts w:asciiTheme="minorHAnsi" w:hAnsiTheme="minorHAnsi"/>
          <w:sz w:val="18"/>
          <w:szCs w:val="18"/>
        </w:rPr>
        <w:t>urther improvement of the devices</w:t>
      </w:r>
      <w:r w:rsidR="00E438F1">
        <w:rPr>
          <w:rFonts w:asciiTheme="minorHAnsi" w:hAnsiTheme="minorHAnsi"/>
          <w:sz w:val="18"/>
          <w:szCs w:val="18"/>
        </w:rPr>
        <w:t xml:space="preserve"> requires </w:t>
      </w:r>
      <w:r w:rsidR="007578C1">
        <w:rPr>
          <w:rFonts w:asciiTheme="minorHAnsi" w:hAnsiTheme="minorHAnsi"/>
          <w:sz w:val="18"/>
          <w:szCs w:val="18"/>
        </w:rPr>
        <w:t>optimisation of every step of operation from photon absorption to charge extraction.</w:t>
      </w:r>
      <w:r w:rsidR="0046187F">
        <w:rPr>
          <w:rFonts w:asciiTheme="minorHAnsi" w:hAnsiTheme="minorHAnsi"/>
          <w:sz w:val="18"/>
          <w:szCs w:val="18"/>
        </w:rPr>
        <w:t xml:space="preserve"> Annealing is extensively used in the fabrication of OPVs devices. Here we explore its effect on exciton diffusion, crystallinity and domain size to understand how it improves devices.</w:t>
      </w:r>
    </w:p>
    <w:p w:rsidR="000512A9" w:rsidRDefault="0046187F" w:rsidP="00F51074">
      <w:pPr>
        <w:pStyle w:val="BGKeywords"/>
        <w:spacing w:after="120" w:line="240" w:lineRule="auto"/>
        <w:ind w:firstLine="284"/>
        <w:rPr>
          <w:rFonts w:asciiTheme="minorHAnsi" w:hAnsiTheme="minorHAnsi"/>
          <w:sz w:val="18"/>
          <w:szCs w:val="18"/>
        </w:rPr>
      </w:pPr>
      <w:r>
        <w:rPr>
          <w:rFonts w:asciiTheme="minorHAnsi" w:hAnsiTheme="minorHAnsi"/>
          <w:sz w:val="18"/>
          <w:szCs w:val="18"/>
        </w:rPr>
        <w:t xml:space="preserve"> Exciton diffusion is an important part of light harvesting as it enables</w:t>
      </w:r>
      <w:r w:rsidR="00D7543A">
        <w:rPr>
          <w:rFonts w:asciiTheme="minorHAnsi" w:hAnsiTheme="minorHAnsi"/>
          <w:sz w:val="18"/>
          <w:szCs w:val="18"/>
        </w:rPr>
        <w:t xml:space="preserve"> excitons</w:t>
      </w:r>
      <w:r w:rsidR="007578C1">
        <w:rPr>
          <w:rFonts w:asciiTheme="minorHAnsi" w:hAnsiTheme="minorHAnsi"/>
          <w:sz w:val="18"/>
          <w:szCs w:val="18"/>
        </w:rPr>
        <w:t xml:space="preserve"> </w:t>
      </w:r>
      <w:r w:rsidR="003E2C3D">
        <w:rPr>
          <w:rFonts w:asciiTheme="minorHAnsi" w:hAnsiTheme="minorHAnsi"/>
          <w:sz w:val="18"/>
          <w:szCs w:val="18"/>
        </w:rPr>
        <w:t xml:space="preserve">to diffuse to </w:t>
      </w:r>
      <w:r w:rsidR="00F2209C" w:rsidRPr="00A43852">
        <w:rPr>
          <w:rFonts w:asciiTheme="minorHAnsi" w:hAnsiTheme="minorHAnsi"/>
          <w:sz w:val="18"/>
          <w:szCs w:val="18"/>
        </w:rPr>
        <w:t>t</w:t>
      </w:r>
      <w:r w:rsidR="00112392">
        <w:rPr>
          <w:rFonts w:asciiTheme="minorHAnsi" w:hAnsiTheme="minorHAnsi"/>
          <w:sz w:val="18"/>
          <w:szCs w:val="18"/>
        </w:rPr>
        <w:t>he</w:t>
      </w:r>
      <w:r w:rsidR="00F2209C" w:rsidRPr="00A43852">
        <w:rPr>
          <w:rFonts w:asciiTheme="minorHAnsi" w:hAnsiTheme="minorHAnsi"/>
          <w:sz w:val="18"/>
          <w:szCs w:val="18"/>
        </w:rPr>
        <w:t xml:space="preserve"> </w:t>
      </w:r>
      <w:r w:rsidR="00D33CF6">
        <w:rPr>
          <w:rFonts w:asciiTheme="minorHAnsi" w:hAnsiTheme="minorHAnsi"/>
          <w:sz w:val="18"/>
          <w:szCs w:val="18"/>
        </w:rPr>
        <w:t xml:space="preserve">heterojunction of electron </w:t>
      </w:r>
      <w:r w:rsidR="00F2209C" w:rsidRPr="00A43852">
        <w:rPr>
          <w:rFonts w:asciiTheme="minorHAnsi" w:hAnsiTheme="minorHAnsi"/>
          <w:sz w:val="18"/>
          <w:szCs w:val="18"/>
        </w:rPr>
        <w:t xml:space="preserve">donor and acceptor in order to </w:t>
      </w:r>
      <w:r w:rsidR="000652D6">
        <w:rPr>
          <w:rFonts w:asciiTheme="minorHAnsi" w:hAnsiTheme="minorHAnsi"/>
          <w:sz w:val="18"/>
          <w:szCs w:val="18"/>
        </w:rPr>
        <w:t xml:space="preserve">generate </w:t>
      </w:r>
      <w:r w:rsidR="009D4D8B">
        <w:rPr>
          <w:rFonts w:asciiTheme="minorHAnsi" w:hAnsiTheme="minorHAnsi"/>
          <w:sz w:val="18"/>
          <w:szCs w:val="18"/>
        </w:rPr>
        <w:t xml:space="preserve">electron-hole pairs. These pairs have to dissociate into free </w:t>
      </w:r>
      <w:r w:rsidR="00F2209C" w:rsidRPr="00A43852">
        <w:rPr>
          <w:rFonts w:asciiTheme="minorHAnsi" w:hAnsiTheme="minorHAnsi"/>
          <w:sz w:val="18"/>
          <w:szCs w:val="18"/>
        </w:rPr>
        <w:t>carriers</w:t>
      </w:r>
      <w:r w:rsidR="009D4D8B">
        <w:rPr>
          <w:rFonts w:asciiTheme="minorHAnsi" w:hAnsiTheme="minorHAnsi"/>
          <w:sz w:val="18"/>
          <w:szCs w:val="18"/>
        </w:rPr>
        <w:t xml:space="preserve"> and </w:t>
      </w:r>
      <w:r w:rsidR="00EA4D44">
        <w:rPr>
          <w:rFonts w:asciiTheme="minorHAnsi" w:hAnsiTheme="minorHAnsi"/>
          <w:sz w:val="18"/>
          <w:szCs w:val="18"/>
        </w:rPr>
        <w:t xml:space="preserve">get </w:t>
      </w:r>
      <w:r w:rsidR="009D4D8B">
        <w:rPr>
          <w:rFonts w:asciiTheme="minorHAnsi" w:hAnsiTheme="minorHAnsi"/>
          <w:sz w:val="18"/>
          <w:szCs w:val="18"/>
        </w:rPr>
        <w:t>extracted to the right electrodes</w:t>
      </w:r>
      <w:r w:rsidR="00F2209C" w:rsidRPr="00A43852">
        <w:rPr>
          <w:rFonts w:asciiTheme="minorHAnsi" w:hAnsiTheme="minorHAnsi"/>
          <w:sz w:val="18"/>
          <w:szCs w:val="18"/>
        </w:rPr>
        <w:t xml:space="preserve">. </w:t>
      </w:r>
      <w:r w:rsidR="00EF4466">
        <w:rPr>
          <w:rFonts w:asciiTheme="minorHAnsi" w:hAnsiTheme="minorHAnsi"/>
          <w:sz w:val="18"/>
          <w:szCs w:val="18"/>
        </w:rPr>
        <w:t>Large donor and acceptor domains are beneficial for dissociation of bound pairs and charge extraction</w:t>
      </w:r>
      <w:r>
        <w:rPr>
          <w:rFonts w:asciiTheme="minorHAnsi" w:hAnsiTheme="minorHAnsi"/>
          <w:sz w:val="18"/>
          <w:szCs w:val="18"/>
        </w:rPr>
        <w:t>,</w:t>
      </w:r>
      <w:r w:rsidR="00EF4466">
        <w:rPr>
          <w:rFonts w:asciiTheme="minorHAnsi" w:hAnsiTheme="minorHAnsi"/>
          <w:sz w:val="18"/>
          <w:szCs w:val="18"/>
        </w:rPr>
        <w:t xml:space="preserve"> but </w:t>
      </w:r>
      <w:r>
        <w:rPr>
          <w:rFonts w:asciiTheme="minorHAnsi" w:hAnsiTheme="minorHAnsi"/>
          <w:sz w:val="18"/>
          <w:szCs w:val="18"/>
        </w:rPr>
        <w:t xml:space="preserve">can </w:t>
      </w:r>
      <w:r w:rsidR="00EF4466">
        <w:rPr>
          <w:rFonts w:asciiTheme="minorHAnsi" w:hAnsiTheme="minorHAnsi"/>
          <w:sz w:val="18"/>
          <w:szCs w:val="18"/>
        </w:rPr>
        <w:t xml:space="preserve">be detrimental to charge pair generation </w:t>
      </w:r>
      <w:r w:rsidR="003C0198">
        <w:rPr>
          <w:rFonts w:asciiTheme="minorHAnsi" w:hAnsiTheme="minorHAnsi"/>
          <w:sz w:val="18"/>
          <w:szCs w:val="18"/>
        </w:rPr>
        <w:t xml:space="preserve">as excitons need to diffuse longer distance to a heterojunction </w:t>
      </w:r>
      <w:r w:rsidR="00D33CF6">
        <w:rPr>
          <w:rFonts w:asciiTheme="minorHAnsi" w:hAnsiTheme="minorHAnsi"/>
          <w:sz w:val="18"/>
          <w:szCs w:val="18"/>
        </w:rPr>
        <w:t xml:space="preserve">to be harvested. </w:t>
      </w:r>
      <w:r w:rsidR="005B043F">
        <w:rPr>
          <w:rFonts w:asciiTheme="minorHAnsi" w:hAnsiTheme="minorHAnsi"/>
          <w:sz w:val="18"/>
          <w:szCs w:val="18"/>
        </w:rPr>
        <w:t xml:space="preserve">Short </w:t>
      </w:r>
      <w:r w:rsidR="008428EB">
        <w:rPr>
          <w:rFonts w:asciiTheme="minorHAnsi" w:hAnsiTheme="minorHAnsi"/>
          <w:sz w:val="18"/>
          <w:szCs w:val="18"/>
        </w:rPr>
        <w:t>e</w:t>
      </w:r>
      <w:r w:rsidR="00F2209C" w:rsidRPr="00A43852">
        <w:rPr>
          <w:rFonts w:asciiTheme="minorHAnsi" w:hAnsiTheme="minorHAnsi"/>
          <w:sz w:val="18"/>
          <w:szCs w:val="18"/>
        </w:rPr>
        <w:t xml:space="preserve">xciton diffusion </w:t>
      </w:r>
      <w:r w:rsidR="008428EB">
        <w:rPr>
          <w:rFonts w:asciiTheme="minorHAnsi" w:hAnsiTheme="minorHAnsi"/>
          <w:sz w:val="18"/>
          <w:szCs w:val="18"/>
        </w:rPr>
        <w:t xml:space="preserve">length </w:t>
      </w:r>
      <w:r w:rsidR="005B043F">
        <w:rPr>
          <w:rFonts w:asciiTheme="minorHAnsi" w:hAnsiTheme="minorHAnsi"/>
          <w:sz w:val="18"/>
          <w:szCs w:val="18"/>
        </w:rPr>
        <w:t xml:space="preserve">has been a severe limitation to </w:t>
      </w:r>
      <w:r w:rsidR="00773BA8">
        <w:rPr>
          <w:rFonts w:asciiTheme="minorHAnsi" w:hAnsiTheme="minorHAnsi"/>
          <w:sz w:val="18"/>
          <w:szCs w:val="18"/>
        </w:rPr>
        <w:t xml:space="preserve">the </w:t>
      </w:r>
      <w:r w:rsidR="007534FE">
        <w:rPr>
          <w:rFonts w:asciiTheme="minorHAnsi" w:hAnsiTheme="minorHAnsi"/>
          <w:sz w:val="18"/>
          <w:szCs w:val="18"/>
        </w:rPr>
        <w:t>optimum morphology of bulk heterojunctions</w:t>
      </w:r>
      <w:r w:rsidR="00850DF3">
        <w:rPr>
          <w:rFonts w:asciiTheme="minorHAnsi" w:hAnsiTheme="minorHAnsi"/>
          <w:sz w:val="18"/>
          <w:szCs w:val="18"/>
        </w:rPr>
        <w:t>.</w:t>
      </w:r>
      <w:r w:rsidR="00ED2862" w:rsidRPr="00ED2862">
        <w:rPr>
          <w:rFonts w:asciiTheme="minorHAnsi" w:hAnsiTheme="minorHAnsi"/>
          <w:noProof/>
          <w:sz w:val="18"/>
          <w:szCs w:val="18"/>
          <w:vertAlign w:val="superscript"/>
        </w:rPr>
        <w:t>6-11</w:t>
      </w:r>
    </w:p>
    <w:p w:rsidR="002474AD" w:rsidRPr="0043147E" w:rsidRDefault="00E1431D" w:rsidP="00F51074">
      <w:pPr>
        <w:pStyle w:val="BGKeywords"/>
        <w:spacing w:after="120" w:line="240" w:lineRule="auto"/>
        <w:ind w:firstLine="284"/>
        <w:rPr>
          <w:rFonts w:asciiTheme="minorHAnsi" w:hAnsiTheme="minorHAnsi"/>
          <w:sz w:val="18"/>
          <w:szCs w:val="18"/>
        </w:rPr>
      </w:pPr>
      <w:r>
        <w:rPr>
          <w:rFonts w:asciiTheme="minorHAnsi" w:hAnsiTheme="minorHAnsi"/>
          <w:sz w:val="18"/>
          <w:szCs w:val="18"/>
        </w:rPr>
        <w:t>Approaches</w:t>
      </w:r>
      <w:r w:rsidR="00850DF3">
        <w:rPr>
          <w:rFonts w:asciiTheme="minorHAnsi" w:hAnsiTheme="minorHAnsi"/>
          <w:sz w:val="18"/>
          <w:szCs w:val="18"/>
        </w:rPr>
        <w:t xml:space="preserve"> to </w:t>
      </w:r>
      <w:r>
        <w:rPr>
          <w:rFonts w:asciiTheme="minorHAnsi" w:hAnsiTheme="minorHAnsi"/>
          <w:sz w:val="18"/>
          <w:szCs w:val="18"/>
        </w:rPr>
        <w:t xml:space="preserve">increasing </w:t>
      </w:r>
      <w:r w:rsidR="00850DF3" w:rsidRPr="002474AD">
        <w:rPr>
          <w:rFonts w:asciiTheme="minorHAnsi" w:hAnsiTheme="minorHAnsi"/>
          <w:sz w:val="18"/>
          <w:szCs w:val="18"/>
        </w:rPr>
        <w:t>exciton diffusion</w:t>
      </w:r>
      <w:r w:rsidR="00850DF3">
        <w:rPr>
          <w:rFonts w:asciiTheme="minorHAnsi" w:hAnsiTheme="minorHAnsi"/>
          <w:sz w:val="18"/>
          <w:szCs w:val="18"/>
        </w:rPr>
        <w:t xml:space="preserve"> length include </w:t>
      </w:r>
      <w:r>
        <w:rPr>
          <w:rFonts w:asciiTheme="minorHAnsi" w:hAnsiTheme="minorHAnsi"/>
          <w:sz w:val="18"/>
          <w:szCs w:val="18"/>
        </w:rPr>
        <w:t xml:space="preserve">enhancing the lifetime of excited state, </w:t>
      </w:r>
      <w:r w:rsidR="00850DF3">
        <w:rPr>
          <w:rFonts w:asciiTheme="minorHAnsi" w:hAnsiTheme="minorHAnsi"/>
          <w:sz w:val="18"/>
          <w:szCs w:val="18"/>
        </w:rPr>
        <w:t xml:space="preserve">suppression non-radiative </w:t>
      </w:r>
      <w:r w:rsidR="00850DF3">
        <w:rPr>
          <w:rFonts w:asciiTheme="minorHAnsi" w:hAnsiTheme="minorHAnsi"/>
          <w:sz w:val="18"/>
          <w:szCs w:val="18"/>
        </w:rPr>
        <w:t xml:space="preserve">decay </w:t>
      </w:r>
      <w:r w:rsidR="000A628E">
        <w:rPr>
          <w:rFonts w:asciiTheme="minorHAnsi" w:hAnsiTheme="minorHAnsi"/>
          <w:sz w:val="18"/>
          <w:szCs w:val="18"/>
        </w:rPr>
        <w:t>and reducing energetic and positional disorder.</w:t>
      </w:r>
      <w:r w:rsidR="00ED2862" w:rsidRPr="00ED2862">
        <w:rPr>
          <w:rFonts w:asciiTheme="minorHAnsi" w:hAnsiTheme="minorHAnsi"/>
          <w:noProof/>
          <w:sz w:val="18"/>
          <w:szCs w:val="18"/>
          <w:vertAlign w:val="superscript"/>
        </w:rPr>
        <w:t>7, 12, 13</w:t>
      </w:r>
      <w:r w:rsidR="000A628E">
        <w:rPr>
          <w:rFonts w:asciiTheme="minorHAnsi" w:hAnsiTheme="minorHAnsi"/>
          <w:sz w:val="18"/>
          <w:szCs w:val="18"/>
        </w:rPr>
        <w:t xml:space="preserve"> </w:t>
      </w:r>
      <w:r w:rsidR="00D80624">
        <w:rPr>
          <w:rFonts w:asciiTheme="minorHAnsi" w:hAnsiTheme="minorHAnsi"/>
          <w:sz w:val="18"/>
          <w:szCs w:val="18"/>
        </w:rPr>
        <w:t xml:space="preserve">Thermal </w:t>
      </w:r>
      <w:r w:rsidR="00500B36" w:rsidRPr="002474AD">
        <w:rPr>
          <w:rFonts w:asciiTheme="minorHAnsi" w:hAnsiTheme="minorHAnsi"/>
          <w:sz w:val="18"/>
          <w:szCs w:val="18"/>
        </w:rPr>
        <w:t>annealing</w:t>
      </w:r>
      <w:r w:rsidR="00D80624">
        <w:rPr>
          <w:rFonts w:asciiTheme="minorHAnsi" w:hAnsiTheme="minorHAnsi"/>
          <w:sz w:val="18"/>
          <w:szCs w:val="18"/>
        </w:rPr>
        <w:t xml:space="preserve"> and exposure to </w:t>
      </w:r>
      <w:r w:rsidR="00500B36" w:rsidRPr="002474AD">
        <w:rPr>
          <w:rFonts w:asciiTheme="minorHAnsi" w:hAnsiTheme="minorHAnsi"/>
          <w:sz w:val="18"/>
          <w:szCs w:val="18"/>
        </w:rPr>
        <w:t xml:space="preserve">solvent </w:t>
      </w:r>
      <w:r w:rsidR="00EE5F2F" w:rsidRPr="002474AD">
        <w:rPr>
          <w:rFonts w:asciiTheme="minorHAnsi" w:hAnsiTheme="minorHAnsi"/>
          <w:sz w:val="18"/>
          <w:szCs w:val="18"/>
        </w:rPr>
        <w:t>vapo</w:t>
      </w:r>
      <w:r w:rsidR="00EE5F2F">
        <w:rPr>
          <w:rFonts w:asciiTheme="minorHAnsi" w:hAnsiTheme="minorHAnsi"/>
          <w:sz w:val="18"/>
          <w:szCs w:val="18"/>
        </w:rPr>
        <w:t>r</w:t>
      </w:r>
      <w:r w:rsidR="00D80624">
        <w:rPr>
          <w:rFonts w:asciiTheme="minorHAnsi" w:hAnsiTheme="minorHAnsi"/>
          <w:sz w:val="18"/>
          <w:szCs w:val="18"/>
        </w:rPr>
        <w:t xml:space="preserve"> ha</w:t>
      </w:r>
      <w:r w:rsidR="009955D1">
        <w:rPr>
          <w:rFonts w:asciiTheme="minorHAnsi" w:hAnsiTheme="minorHAnsi"/>
          <w:sz w:val="18"/>
          <w:szCs w:val="18"/>
        </w:rPr>
        <w:t xml:space="preserve">ve </w:t>
      </w:r>
      <w:r w:rsidR="00D80624">
        <w:rPr>
          <w:rFonts w:asciiTheme="minorHAnsi" w:hAnsiTheme="minorHAnsi"/>
          <w:sz w:val="18"/>
          <w:szCs w:val="18"/>
        </w:rPr>
        <w:t xml:space="preserve">been </w:t>
      </w:r>
      <w:r w:rsidR="009955D1">
        <w:rPr>
          <w:rFonts w:asciiTheme="minorHAnsi" w:hAnsiTheme="minorHAnsi"/>
          <w:sz w:val="18"/>
          <w:szCs w:val="18"/>
        </w:rPr>
        <w:t xml:space="preserve">shown to be </w:t>
      </w:r>
      <w:r w:rsidR="000D3D9B" w:rsidRPr="002474AD">
        <w:rPr>
          <w:rFonts w:asciiTheme="minorHAnsi" w:hAnsiTheme="minorHAnsi"/>
          <w:sz w:val="18"/>
          <w:szCs w:val="18"/>
        </w:rPr>
        <w:t>simple and effective</w:t>
      </w:r>
      <w:r w:rsidR="001E5987">
        <w:rPr>
          <w:rFonts w:asciiTheme="minorHAnsi" w:hAnsiTheme="minorHAnsi"/>
          <w:sz w:val="18"/>
          <w:szCs w:val="18"/>
        </w:rPr>
        <w:t xml:space="preserve"> way</w:t>
      </w:r>
      <w:r w:rsidR="009955D1">
        <w:rPr>
          <w:rFonts w:asciiTheme="minorHAnsi" w:hAnsiTheme="minorHAnsi"/>
          <w:sz w:val="18"/>
          <w:szCs w:val="18"/>
        </w:rPr>
        <w:t>s</w:t>
      </w:r>
      <w:r w:rsidR="001E5987">
        <w:rPr>
          <w:rFonts w:asciiTheme="minorHAnsi" w:hAnsiTheme="minorHAnsi"/>
          <w:sz w:val="18"/>
          <w:szCs w:val="18"/>
        </w:rPr>
        <w:t xml:space="preserve"> of</w:t>
      </w:r>
      <w:r w:rsidR="000D3D9B" w:rsidRPr="002474AD">
        <w:rPr>
          <w:rFonts w:asciiTheme="minorHAnsi" w:hAnsiTheme="minorHAnsi"/>
          <w:sz w:val="18"/>
          <w:szCs w:val="18"/>
        </w:rPr>
        <w:t xml:space="preserve"> control</w:t>
      </w:r>
      <w:r w:rsidR="001E5987">
        <w:rPr>
          <w:rFonts w:asciiTheme="minorHAnsi" w:hAnsiTheme="minorHAnsi"/>
          <w:sz w:val="18"/>
          <w:szCs w:val="18"/>
        </w:rPr>
        <w:t>ling</w:t>
      </w:r>
      <w:r w:rsidR="000D3D9B" w:rsidRPr="002474AD">
        <w:rPr>
          <w:rFonts w:asciiTheme="minorHAnsi" w:hAnsiTheme="minorHAnsi"/>
          <w:sz w:val="18"/>
          <w:szCs w:val="18"/>
        </w:rPr>
        <w:t xml:space="preserve"> the exciton diffusion and crystallinity of </w:t>
      </w:r>
      <w:r w:rsidR="001E5987">
        <w:rPr>
          <w:rFonts w:asciiTheme="minorHAnsi" w:hAnsiTheme="minorHAnsi"/>
          <w:sz w:val="18"/>
          <w:szCs w:val="18"/>
        </w:rPr>
        <w:t>a</w:t>
      </w:r>
      <w:r w:rsidR="001E5987" w:rsidRPr="002474AD">
        <w:rPr>
          <w:rFonts w:asciiTheme="minorHAnsi" w:hAnsiTheme="minorHAnsi"/>
          <w:sz w:val="18"/>
          <w:szCs w:val="18"/>
        </w:rPr>
        <w:t xml:space="preserve"> </w:t>
      </w:r>
      <w:r w:rsidR="000D3D9B" w:rsidRPr="002474AD">
        <w:rPr>
          <w:rFonts w:asciiTheme="minorHAnsi" w:hAnsiTheme="minorHAnsi"/>
          <w:sz w:val="18"/>
          <w:szCs w:val="18"/>
        </w:rPr>
        <w:t xml:space="preserve">film. We have previously </w:t>
      </w:r>
      <w:r w:rsidR="000A3EEE">
        <w:rPr>
          <w:rFonts w:asciiTheme="minorHAnsi" w:hAnsiTheme="minorHAnsi"/>
          <w:sz w:val="18"/>
          <w:szCs w:val="18"/>
        </w:rPr>
        <w:t>used</w:t>
      </w:r>
      <w:r w:rsidR="000D3D9B" w:rsidRPr="002474AD">
        <w:rPr>
          <w:rFonts w:asciiTheme="minorHAnsi" w:hAnsiTheme="minorHAnsi"/>
          <w:sz w:val="18"/>
          <w:szCs w:val="18"/>
        </w:rPr>
        <w:t xml:space="preserve"> </w:t>
      </w:r>
      <w:r w:rsidR="004C59C4">
        <w:rPr>
          <w:rFonts w:asciiTheme="minorHAnsi" w:hAnsiTheme="minorHAnsi"/>
          <w:sz w:val="18"/>
          <w:szCs w:val="18"/>
        </w:rPr>
        <w:t>these</w:t>
      </w:r>
      <w:r w:rsidR="000A3EEE">
        <w:rPr>
          <w:rFonts w:asciiTheme="minorHAnsi" w:hAnsiTheme="minorHAnsi"/>
          <w:sz w:val="18"/>
          <w:szCs w:val="18"/>
        </w:rPr>
        <w:t xml:space="preserve"> </w:t>
      </w:r>
      <w:r w:rsidR="001E5987">
        <w:rPr>
          <w:rFonts w:asciiTheme="minorHAnsi" w:hAnsiTheme="minorHAnsi"/>
          <w:sz w:val="18"/>
          <w:szCs w:val="18"/>
        </w:rPr>
        <w:t xml:space="preserve">methods </w:t>
      </w:r>
      <w:r w:rsidR="000D3D9B" w:rsidRPr="002474AD">
        <w:rPr>
          <w:rFonts w:asciiTheme="minorHAnsi" w:hAnsiTheme="minorHAnsi"/>
          <w:sz w:val="18"/>
          <w:szCs w:val="18"/>
        </w:rPr>
        <w:t xml:space="preserve">to </w:t>
      </w:r>
      <w:r w:rsidR="004C59C4">
        <w:rPr>
          <w:rFonts w:asciiTheme="minorHAnsi" w:hAnsiTheme="minorHAnsi"/>
          <w:sz w:val="18"/>
          <w:szCs w:val="18"/>
        </w:rPr>
        <w:t>improve the</w:t>
      </w:r>
      <w:r w:rsidR="000D3D9B" w:rsidRPr="002474AD">
        <w:rPr>
          <w:rFonts w:asciiTheme="minorHAnsi" w:hAnsiTheme="minorHAnsi"/>
          <w:sz w:val="18"/>
          <w:szCs w:val="18"/>
        </w:rPr>
        <w:t xml:space="preserve"> </w:t>
      </w:r>
      <w:r w:rsidR="002474AD" w:rsidRPr="002474AD">
        <w:rPr>
          <w:rFonts w:asciiTheme="minorHAnsi" w:hAnsiTheme="minorHAnsi"/>
          <w:sz w:val="18"/>
          <w:szCs w:val="18"/>
        </w:rPr>
        <w:t xml:space="preserve">exciton </w:t>
      </w:r>
      <w:r w:rsidR="004C59C4" w:rsidRPr="002474AD">
        <w:rPr>
          <w:rFonts w:asciiTheme="minorHAnsi" w:hAnsiTheme="minorHAnsi"/>
          <w:sz w:val="18"/>
          <w:szCs w:val="18"/>
        </w:rPr>
        <w:t xml:space="preserve">diffusion </w:t>
      </w:r>
      <w:r w:rsidR="004C59C4">
        <w:rPr>
          <w:rFonts w:asciiTheme="minorHAnsi" w:hAnsiTheme="minorHAnsi"/>
          <w:sz w:val="18"/>
          <w:szCs w:val="18"/>
        </w:rPr>
        <w:t>and crystallinity of polymer film</w:t>
      </w:r>
      <w:r w:rsidR="001E5987">
        <w:rPr>
          <w:rFonts w:asciiTheme="minorHAnsi" w:hAnsiTheme="minorHAnsi"/>
          <w:sz w:val="18"/>
          <w:szCs w:val="18"/>
        </w:rPr>
        <w:t>s</w:t>
      </w:r>
      <w:r w:rsidR="004C59C4">
        <w:rPr>
          <w:rFonts w:asciiTheme="minorHAnsi" w:hAnsiTheme="minorHAnsi"/>
          <w:sz w:val="18"/>
          <w:szCs w:val="18"/>
        </w:rPr>
        <w:t>,</w:t>
      </w:r>
      <w:r w:rsidR="00ED2862" w:rsidRPr="00ED2862">
        <w:rPr>
          <w:rFonts w:asciiTheme="minorHAnsi" w:hAnsiTheme="minorHAnsi"/>
          <w:noProof/>
          <w:sz w:val="18"/>
          <w:szCs w:val="18"/>
          <w:vertAlign w:val="superscript"/>
        </w:rPr>
        <w:t>14</w:t>
      </w:r>
      <w:r w:rsidR="004C59C4">
        <w:rPr>
          <w:rFonts w:asciiTheme="minorHAnsi" w:hAnsiTheme="minorHAnsi"/>
          <w:sz w:val="18"/>
          <w:szCs w:val="18"/>
        </w:rPr>
        <w:t xml:space="preserve"> and recently to enhance the exciton diffusion </w:t>
      </w:r>
      <w:r w:rsidR="002474AD" w:rsidRPr="002474AD">
        <w:rPr>
          <w:rFonts w:asciiTheme="minorHAnsi" w:hAnsiTheme="minorHAnsi"/>
          <w:sz w:val="18"/>
          <w:szCs w:val="18"/>
        </w:rPr>
        <w:t>length and domain sizes</w:t>
      </w:r>
      <w:r w:rsidR="004C59C4">
        <w:rPr>
          <w:rFonts w:asciiTheme="minorHAnsi" w:hAnsiTheme="minorHAnsi"/>
          <w:sz w:val="18"/>
          <w:szCs w:val="18"/>
        </w:rPr>
        <w:t xml:space="preserve"> of small molecule OPV blends</w:t>
      </w:r>
      <w:r w:rsidR="002474AD" w:rsidRPr="002474AD">
        <w:rPr>
          <w:rFonts w:asciiTheme="minorHAnsi" w:hAnsiTheme="minorHAnsi"/>
          <w:sz w:val="18"/>
          <w:szCs w:val="18"/>
        </w:rPr>
        <w:t>.</w:t>
      </w:r>
      <w:r w:rsidR="00ED2862" w:rsidRPr="00ED2862">
        <w:rPr>
          <w:rFonts w:asciiTheme="minorHAnsi" w:hAnsiTheme="minorHAnsi"/>
          <w:noProof/>
          <w:sz w:val="18"/>
          <w:szCs w:val="18"/>
          <w:vertAlign w:val="superscript"/>
        </w:rPr>
        <w:t>15</w:t>
      </w:r>
      <w:r w:rsidR="004C59C4">
        <w:rPr>
          <w:rFonts w:asciiTheme="minorHAnsi" w:hAnsiTheme="minorHAnsi"/>
          <w:sz w:val="18"/>
          <w:szCs w:val="18"/>
        </w:rPr>
        <w:t xml:space="preserve"> However, t</w:t>
      </w:r>
      <w:r w:rsidR="002474AD" w:rsidRPr="002474AD">
        <w:rPr>
          <w:rFonts w:asciiTheme="minorHAnsi" w:hAnsiTheme="minorHAnsi"/>
          <w:sz w:val="18"/>
          <w:szCs w:val="18"/>
        </w:rPr>
        <w:t>here are also reports where the exciton diffusion length was reported to decrease upon thermal annealing in small molecules</w:t>
      </w:r>
      <w:r w:rsidR="004C59C4">
        <w:rPr>
          <w:rFonts w:asciiTheme="minorHAnsi" w:hAnsiTheme="minorHAnsi"/>
          <w:sz w:val="18"/>
          <w:szCs w:val="18"/>
        </w:rPr>
        <w:t>.</w:t>
      </w:r>
      <w:r w:rsidR="00ED2862" w:rsidRPr="00ED2862">
        <w:rPr>
          <w:rFonts w:asciiTheme="minorHAnsi" w:hAnsiTheme="minorHAnsi"/>
          <w:noProof/>
          <w:sz w:val="18"/>
          <w:szCs w:val="18"/>
          <w:vertAlign w:val="superscript"/>
        </w:rPr>
        <w:t>16</w:t>
      </w:r>
      <w:r w:rsidR="002474AD" w:rsidRPr="002474AD">
        <w:rPr>
          <w:rFonts w:asciiTheme="minorHAnsi" w:hAnsiTheme="minorHAnsi"/>
          <w:sz w:val="18"/>
          <w:szCs w:val="18"/>
        </w:rPr>
        <w:t xml:space="preserve"> </w:t>
      </w:r>
      <w:r w:rsidR="001E5987" w:rsidRPr="0043147E">
        <w:rPr>
          <w:rFonts w:asciiTheme="minorHAnsi" w:hAnsiTheme="minorHAnsi"/>
          <w:sz w:val="18"/>
          <w:szCs w:val="18"/>
        </w:rPr>
        <w:t xml:space="preserve">Every class of materials required different processing methods and optimised conditions. </w:t>
      </w:r>
      <w:r w:rsidR="002474AD" w:rsidRPr="0043147E">
        <w:rPr>
          <w:rFonts w:asciiTheme="minorHAnsi" w:hAnsiTheme="minorHAnsi"/>
          <w:sz w:val="18"/>
          <w:szCs w:val="18"/>
        </w:rPr>
        <w:t>Therefore, a detailed investigation is required to understand the effect of processing on exciton diffusion</w:t>
      </w:r>
      <w:r w:rsidR="00A7562B" w:rsidRPr="0043147E">
        <w:rPr>
          <w:rFonts w:asciiTheme="minorHAnsi" w:hAnsiTheme="minorHAnsi"/>
          <w:sz w:val="18"/>
          <w:szCs w:val="18"/>
        </w:rPr>
        <w:t xml:space="preserve"> and domain size</w:t>
      </w:r>
      <w:r w:rsidR="002474AD" w:rsidRPr="0043147E">
        <w:rPr>
          <w:rFonts w:asciiTheme="minorHAnsi" w:hAnsiTheme="minorHAnsi"/>
          <w:sz w:val="18"/>
          <w:szCs w:val="18"/>
        </w:rPr>
        <w:t xml:space="preserve"> in </w:t>
      </w:r>
      <w:r w:rsidR="004C59C4" w:rsidRPr="0043147E">
        <w:rPr>
          <w:rFonts w:asciiTheme="minorHAnsi" w:hAnsiTheme="minorHAnsi"/>
          <w:sz w:val="18"/>
          <w:szCs w:val="18"/>
        </w:rPr>
        <w:t>organic semiconductors</w:t>
      </w:r>
      <w:r w:rsidR="002474AD" w:rsidRPr="0043147E">
        <w:rPr>
          <w:rFonts w:asciiTheme="minorHAnsi" w:hAnsiTheme="minorHAnsi"/>
          <w:sz w:val="18"/>
          <w:szCs w:val="18"/>
        </w:rPr>
        <w:t>.</w:t>
      </w:r>
    </w:p>
    <w:p w:rsidR="007F6204" w:rsidRDefault="007F6204" w:rsidP="007F6204">
      <w:pPr>
        <w:autoSpaceDE w:val="0"/>
        <w:autoSpaceDN w:val="0"/>
        <w:adjustRightInd w:val="0"/>
        <w:spacing w:after="120" w:line="240" w:lineRule="auto"/>
        <w:ind w:firstLine="284"/>
        <w:jc w:val="both"/>
        <w:rPr>
          <w:sz w:val="18"/>
          <w:szCs w:val="18"/>
        </w:rPr>
      </w:pPr>
      <w:r>
        <w:rPr>
          <w:rFonts w:cs="Arial"/>
          <w:sz w:val="18"/>
          <w:szCs w:val="18"/>
        </w:rPr>
        <w:t xml:space="preserve">Two </w:t>
      </w:r>
      <w:r w:rsidRPr="00E60FEF">
        <w:rPr>
          <w:sz w:val="18"/>
          <w:szCs w:val="18"/>
        </w:rPr>
        <w:t>electron donor materials</w:t>
      </w:r>
      <w:r>
        <w:rPr>
          <w:sz w:val="18"/>
          <w:szCs w:val="18"/>
        </w:rPr>
        <w:t xml:space="preserve"> </w:t>
      </w:r>
      <w:r w:rsidRPr="00E60FEF">
        <w:rPr>
          <w:rFonts w:cs="Arial"/>
          <w:sz w:val="18"/>
          <w:szCs w:val="18"/>
        </w:rPr>
        <w:t xml:space="preserve">benzodithiophene-terthiophene-rhodanine (BTR) and </w:t>
      </w:r>
      <w:r w:rsidRPr="00E60FEF">
        <w:rPr>
          <w:sz w:val="18"/>
          <w:szCs w:val="18"/>
        </w:rPr>
        <w:t>benzodithiophene-quaterthiophene-rhodanine (BQR) have been shown to make efficient solar cells.</w:t>
      </w:r>
      <w:r w:rsidR="00ED2862" w:rsidRPr="00ED2862">
        <w:rPr>
          <w:noProof/>
          <w:sz w:val="18"/>
          <w:szCs w:val="18"/>
          <w:vertAlign w:val="superscript"/>
        </w:rPr>
        <w:t>17</w:t>
      </w:r>
      <w:r w:rsidRPr="00E60FEF">
        <w:rPr>
          <w:sz w:val="18"/>
          <w:szCs w:val="18"/>
        </w:rPr>
        <w:t xml:space="preserve"> </w:t>
      </w:r>
      <w:r>
        <w:rPr>
          <w:sz w:val="18"/>
          <w:szCs w:val="18"/>
        </w:rPr>
        <w:t xml:space="preserve"> The molecular structure of BTR and BQR are shown in Figure 1. </w:t>
      </w:r>
      <w:r w:rsidRPr="00E60FEF">
        <w:rPr>
          <w:sz w:val="18"/>
          <w:szCs w:val="18"/>
        </w:rPr>
        <w:t xml:space="preserve">The efficiency of solar cells have been </w:t>
      </w:r>
      <w:r>
        <w:rPr>
          <w:sz w:val="18"/>
          <w:szCs w:val="18"/>
        </w:rPr>
        <w:t>used as e</w:t>
      </w:r>
      <w:r w:rsidRPr="00E60FEF">
        <w:rPr>
          <w:sz w:val="18"/>
          <w:szCs w:val="18"/>
        </w:rPr>
        <w:t xml:space="preserve">lectron donor materials </w:t>
      </w:r>
      <w:r>
        <w:rPr>
          <w:sz w:val="18"/>
          <w:szCs w:val="18"/>
        </w:rPr>
        <w:t xml:space="preserve">in binary </w:t>
      </w:r>
      <w:r w:rsidRPr="00E60FEF">
        <w:rPr>
          <w:sz w:val="18"/>
          <w:szCs w:val="18"/>
        </w:rPr>
        <w:t>solar cells</w:t>
      </w:r>
      <w:r>
        <w:rPr>
          <w:sz w:val="18"/>
          <w:szCs w:val="18"/>
        </w:rPr>
        <w:t xml:space="preserve"> with </w:t>
      </w:r>
      <w:r w:rsidRPr="00E60FEF">
        <w:rPr>
          <w:sz w:val="18"/>
          <w:szCs w:val="18"/>
        </w:rPr>
        <w:t>9%</w:t>
      </w:r>
      <w:r>
        <w:rPr>
          <w:sz w:val="18"/>
          <w:szCs w:val="18"/>
        </w:rPr>
        <w:t xml:space="preserve"> efficiency</w:t>
      </w:r>
      <w:r w:rsidRPr="00E60FEF">
        <w:rPr>
          <w:sz w:val="18"/>
          <w:szCs w:val="18"/>
        </w:rPr>
        <w:t>.</w:t>
      </w:r>
      <w:r w:rsidR="00ED2862" w:rsidRPr="00ED2862">
        <w:rPr>
          <w:noProof/>
          <w:sz w:val="18"/>
          <w:szCs w:val="18"/>
          <w:vertAlign w:val="superscript"/>
        </w:rPr>
        <w:t>17</w:t>
      </w:r>
      <w:r w:rsidRPr="00E60FEF">
        <w:rPr>
          <w:sz w:val="18"/>
          <w:szCs w:val="18"/>
        </w:rPr>
        <w:t xml:space="preserve"> </w:t>
      </w:r>
      <w:r>
        <w:rPr>
          <w:sz w:val="18"/>
          <w:szCs w:val="18"/>
        </w:rPr>
        <w:t>BTR has also been used as a secondary donor material in ternary blends to make more stable solar cells and to achieve 10.8% efficiency.</w:t>
      </w:r>
      <w:r w:rsidR="00ED2862" w:rsidRPr="00ED2862">
        <w:rPr>
          <w:noProof/>
          <w:sz w:val="18"/>
          <w:szCs w:val="18"/>
          <w:vertAlign w:val="superscript"/>
        </w:rPr>
        <w:t>18</w:t>
      </w:r>
      <w:r>
        <w:rPr>
          <w:sz w:val="18"/>
          <w:szCs w:val="18"/>
        </w:rPr>
        <w:t xml:space="preserve"> </w:t>
      </w:r>
      <w:r w:rsidRPr="00E60FEF">
        <w:rPr>
          <w:sz w:val="18"/>
          <w:szCs w:val="18"/>
        </w:rPr>
        <w:t>BTR blends</w:t>
      </w:r>
      <w:r>
        <w:rPr>
          <w:sz w:val="18"/>
          <w:szCs w:val="18"/>
        </w:rPr>
        <w:t xml:space="preserve"> with fullerene showed </w:t>
      </w:r>
      <w:r w:rsidRPr="00E60FEF">
        <w:rPr>
          <w:sz w:val="18"/>
          <w:szCs w:val="18"/>
        </w:rPr>
        <w:t>improvement</w:t>
      </w:r>
      <w:r>
        <w:rPr>
          <w:sz w:val="18"/>
          <w:szCs w:val="18"/>
        </w:rPr>
        <w:t xml:space="preserve"> with solvent vapour annealing </w:t>
      </w:r>
      <w:r w:rsidRPr="00E60FEF">
        <w:rPr>
          <w:sz w:val="18"/>
          <w:szCs w:val="18"/>
        </w:rPr>
        <w:t xml:space="preserve"> </w:t>
      </w:r>
      <w:r>
        <w:rPr>
          <w:sz w:val="18"/>
          <w:szCs w:val="18"/>
        </w:rPr>
        <w:t xml:space="preserve">which also increased the </w:t>
      </w:r>
      <w:r w:rsidRPr="00E60FEF">
        <w:rPr>
          <w:sz w:val="18"/>
          <w:szCs w:val="18"/>
        </w:rPr>
        <w:t>phase purity and domain</w:t>
      </w:r>
      <w:r>
        <w:rPr>
          <w:sz w:val="18"/>
          <w:szCs w:val="18"/>
        </w:rPr>
        <w:t xml:space="preserve"> size as evident </w:t>
      </w:r>
      <w:r w:rsidRPr="00E60FEF">
        <w:rPr>
          <w:sz w:val="18"/>
          <w:szCs w:val="18"/>
        </w:rPr>
        <w:t xml:space="preserve"> </w:t>
      </w:r>
      <w:r>
        <w:rPr>
          <w:sz w:val="18"/>
          <w:szCs w:val="18"/>
        </w:rPr>
        <w:t xml:space="preserve">from </w:t>
      </w:r>
      <w:r w:rsidRPr="00E60FEF">
        <w:rPr>
          <w:rFonts w:cs="AdvOT9b12cd41"/>
          <w:sz w:val="18"/>
          <w:szCs w:val="18"/>
        </w:rPr>
        <w:t>grazing incidence X-ray di</w:t>
      </w:r>
      <w:r w:rsidRPr="00E60FEF">
        <w:rPr>
          <w:rFonts w:cs="AdvOT9b12cd41+fb"/>
          <w:sz w:val="18"/>
          <w:szCs w:val="18"/>
        </w:rPr>
        <w:t>ff</w:t>
      </w:r>
      <w:r w:rsidRPr="00E60FEF">
        <w:rPr>
          <w:rFonts w:cs="AdvOT9b12cd41"/>
          <w:sz w:val="18"/>
          <w:szCs w:val="18"/>
        </w:rPr>
        <w:t>raction (GIXD) and grazing incidence small angle X-ray scattering</w:t>
      </w:r>
      <w:r>
        <w:rPr>
          <w:rFonts w:cs="AdvOT9b12cd41"/>
          <w:sz w:val="18"/>
          <w:szCs w:val="18"/>
        </w:rPr>
        <w:t xml:space="preserve"> </w:t>
      </w:r>
      <w:r w:rsidRPr="00E60FEF">
        <w:rPr>
          <w:rFonts w:cs="AdvOT9b12cd41"/>
          <w:sz w:val="18"/>
          <w:szCs w:val="18"/>
        </w:rPr>
        <w:t>(GISAXS)</w:t>
      </w:r>
      <w:r>
        <w:rPr>
          <w:rFonts w:cs="AdvOT9b12cd41"/>
          <w:sz w:val="18"/>
          <w:szCs w:val="18"/>
        </w:rPr>
        <w:t xml:space="preserve"> images.</w:t>
      </w:r>
      <w:r w:rsidR="00ED2862" w:rsidRPr="00ED2862">
        <w:rPr>
          <w:rFonts w:cs="AdvOT9b12cd41"/>
          <w:noProof/>
          <w:sz w:val="18"/>
          <w:szCs w:val="18"/>
          <w:vertAlign w:val="superscript"/>
        </w:rPr>
        <w:t>19</w:t>
      </w:r>
      <w:r>
        <w:rPr>
          <w:rFonts w:cs="AdvOT9b12cd41"/>
          <w:sz w:val="18"/>
          <w:szCs w:val="18"/>
        </w:rPr>
        <w:t xml:space="preserve"> </w:t>
      </w:r>
      <w:r w:rsidRPr="004B10A0">
        <w:rPr>
          <w:sz w:val="18"/>
          <w:szCs w:val="18"/>
        </w:rPr>
        <w:t>H</w:t>
      </w:r>
      <w:r>
        <w:rPr>
          <w:sz w:val="18"/>
          <w:szCs w:val="18"/>
        </w:rPr>
        <w:t xml:space="preserve">owever, large domains affect both light harvesting and charge extraction. Therefore it is necessary to understand the effect of annealing on light harvesting especially on exciton diffusion.   </w:t>
      </w:r>
    </w:p>
    <w:p w:rsidR="007F6204" w:rsidRDefault="007F6204" w:rsidP="007F6204">
      <w:pPr>
        <w:pStyle w:val="BGKeywords"/>
        <w:spacing w:after="120" w:line="240" w:lineRule="auto"/>
        <w:ind w:firstLine="284"/>
        <w:rPr>
          <w:rFonts w:asciiTheme="minorHAnsi" w:hAnsiTheme="minorHAnsi"/>
          <w:color w:val="FF0000"/>
          <w:sz w:val="18"/>
          <w:szCs w:val="18"/>
        </w:rPr>
      </w:pPr>
      <w:r w:rsidRPr="004C59C4">
        <w:rPr>
          <w:rFonts w:asciiTheme="minorHAnsi" w:hAnsiTheme="minorHAnsi"/>
          <w:sz w:val="18"/>
          <w:szCs w:val="18"/>
        </w:rPr>
        <w:t>Here we investigated the effect of thermal and solvent vapo</w:t>
      </w:r>
      <w:r>
        <w:rPr>
          <w:rFonts w:asciiTheme="minorHAnsi" w:hAnsiTheme="minorHAnsi"/>
          <w:sz w:val="18"/>
          <w:szCs w:val="18"/>
        </w:rPr>
        <w:t>u</w:t>
      </w:r>
      <w:r w:rsidRPr="004C59C4">
        <w:rPr>
          <w:rFonts w:asciiTheme="minorHAnsi" w:hAnsiTheme="minorHAnsi"/>
          <w:sz w:val="18"/>
          <w:szCs w:val="18"/>
        </w:rPr>
        <w:t xml:space="preserve">r annealing on the exciton diffusion and on the crystallinity of </w:t>
      </w:r>
      <w:r>
        <w:rPr>
          <w:rFonts w:asciiTheme="minorHAnsi" w:hAnsiTheme="minorHAnsi"/>
          <w:sz w:val="18"/>
          <w:szCs w:val="18"/>
        </w:rPr>
        <w:t>these</w:t>
      </w:r>
      <w:r w:rsidRPr="004C59C4">
        <w:rPr>
          <w:rFonts w:asciiTheme="minorHAnsi" w:hAnsiTheme="minorHAnsi"/>
          <w:sz w:val="18"/>
          <w:szCs w:val="18"/>
        </w:rPr>
        <w:t xml:space="preserve"> small molecules BQR and BTR films. In both molecules, we find that </w:t>
      </w:r>
      <w:r>
        <w:rPr>
          <w:rFonts w:asciiTheme="minorHAnsi" w:hAnsiTheme="minorHAnsi"/>
          <w:sz w:val="18"/>
          <w:szCs w:val="18"/>
        </w:rPr>
        <w:t xml:space="preserve">the </w:t>
      </w:r>
      <w:r w:rsidRPr="004C59C4">
        <w:rPr>
          <w:rFonts w:asciiTheme="minorHAnsi" w:hAnsiTheme="minorHAnsi"/>
          <w:sz w:val="18"/>
          <w:szCs w:val="18"/>
        </w:rPr>
        <w:t xml:space="preserve">exciton diffusion coefficient (D) increases </w:t>
      </w:r>
      <w:r>
        <w:rPr>
          <w:rFonts w:asciiTheme="minorHAnsi" w:hAnsiTheme="minorHAnsi"/>
          <w:sz w:val="18"/>
          <w:szCs w:val="18"/>
        </w:rPr>
        <w:t>upon annealing. The h</w:t>
      </w:r>
      <w:r w:rsidRPr="004C59C4">
        <w:rPr>
          <w:rFonts w:asciiTheme="minorHAnsi" w:hAnsiTheme="minorHAnsi"/>
          <w:sz w:val="18"/>
          <w:szCs w:val="18"/>
        </w:rPr>
        <w:t xml:space="preserve">ighest increase in D (~ 4 times i.e. from </w:t>
      </w:r>
      <m:oMath>
        <m:r>
          <w:rPr>
            <w:rFonts w:ascii="Cambria Math" w:hAnsi="Cambria Math"/>
            <w:sz w:val="18"/>
            <w:szCs w:val="18"/>
            <w:lang w:eastAsia="en-GB"/>
          </w:rPr>
          <m:t>1.1×</m:t>
        </m:r>
        <m:sSup>
          <m:sSupPr>
            <m:ctrlPr>
              <w:rPr>
                <w:rFonts w:ascii="Cambria Math" w:hAnsi="Cambria Math"/>
                <w:i/>
                <w:sz w:val="18"/>
                <w:szCs w:val="18"/>
                <w:lang w:eastAsia="en-GB"/>
              </w:rPr>
            </m:ctrlPr>
          </m:sSupPr>
          <m:e>
            <m:r>
              <w:rPr>
                <w:rFonts w:ascii="Cambria Math" w:hAnsi="Cambria Math"/>
                <w:sz w:val="18"/>
                <w:szCs w:val="18"/>
                <w:lang w:eastAsia="en-GB"/>
              </w:rPr>
              <m:t>10</m:t>
            </m:r>
          </m:e>
          <m:sup>
            <m:r>
              <w:rPr>
                <w:rFonts w:ascii="Cambria Math" w:hAnsi="Cambria Math"/>
                <w:sz w:val="18"/>
                <w:szCs w:val="18"/>
                <w:lang w:eastAsia="en-GB"/>
              </w:rPr>
              <m:t>-3</m:t>
            </m:r>
          </m:sup>
        </m:sSup>
        <m:sSup>
          <m:sSupPr>
            <m:ctrlPr>
              <w:rPr>
                <w:rFonts w:ascii="Cambria Math" w:hAnsi="Cambria Math"/>
                <w:i/>
                <w:sz w:val="18"/>
                <w:szCs w:val="18"/>
                <w:lang w:eastAsia="en-GB"/>
              </w:rPr>
            </m:ctrlPr>
          </m:sSupPr>
          <m:e>
            <m:r>
              <w:rPr>
                <w:rFonts w:ascii="Cambria Math" w:hAnsi="Cambria Math"/>
                <w:sz w:val="18"/>
                <w:szCs w:val="18"/>
                <w:lang w:eastAsia="en-GB"/>
              </w:rPr>
              <m:t>cm</m:t>
            </m:r>
          </m:e>
          <m:sup>
            <m:r>
              <w:rPr>
                <w:rFonts w:ascii="Cambria Math" w:hAnsi="Cambria Math"/>
                <w:sz w:val="18"/>
                <w:szCs w:val="18"/>
                <w:lang w:eastAsia="en-GB"/>
              </w:rPr>
              <m:t>2</m:t>
            </m:r>
          </m:sup>
        </m:sSup>
        <m:r>
          <w:rPr>
            <w:rFonts w:ascii="Cambria Math" w:hAnsi="Cambria Math"/>
            <w:sz w:val="18"/>
            <w:szCs w:val="18"/>
            <w:lang w:eastAsia="en-GB"/>
          </w:rPr>
          <m:t>/s</m:t>
        </m:r>
      </m:oMath>
      <w:r w:rsidRPr="004C59C4">
        <w:rPr>
          <w:rFonts w:asciiTheme="minorHAnsi" w:hAnsiTheme="minorHAnsi"/>
          <w:sz w:val="18"/>
          <w:szCs w:val="18"/>
        </w:rPr>
        <w:t xml:space="preserve">  to </w:t>
      </w:r>
      <m:oMath>
        <m:r>
          <w:rPr>
            <w:rFonts w:ascii="Cambria Math" w:hAnsi="Cambria Math"/>
            <w:sz w:val="18"/>
            <w:szCs w:val="18"/>
            <w:lang w:eastAsia="en-GB"/>
          </w:rPr>
          <m:t>4.0×</m:t>
        </m:r>
        <m:sSup>
          <m:sSupPr>
            <m:ctrlPr>
              <w:rPr>
                <w:rFonts w:ascii="Cambria Math" w:hAnsi="Cambria Math"/>
                <w:i/>
                <w:sz w:val="18"/>
                <w:szCs w:val="18"/>
                <w:lang w:eastAsia="en-GB"/>
              </w:rPr>
            </m:ctrlPr>
          </m:sSupPr>
          <m:e>
            <m:r>
              <w:rPr>
                <w:rFonts w:ascii="Cambria Math" w:hAnsi="Cambria Math"/>
                <w:sz w:val="18"/>
                <w:szCs w:val="18"/>
                <w:lang w:eastAsia="en-GB"/>
              </w:rPr>
              <m:t>10</m:t>
            </m:r>
          </m:e>
          <m:sup>
            <m:r>
              <w:rPr>
                <w:rFonts w:ascii="Cambria Math" w:hAnsi="Cambria Math"/>
                <w:sz w:val="18"/>
                <w:szCs w:val="18"/>
                <w:lang w:eastAsia="en-GB"/>
              </w:rPr>
              <m:t>-3</m:t>
            </m:r>
          </m:sup>
        </m:sSup>
        <m:sSup>
          <m:sSupPr>
            <m:ctrlPr>
              <w:rPr>
                <w:rFonts w:ascii="Cambria Math" w:hAnsi="Cambria Math"/>
                <w:i/>
                <w:sz w:val="18"/>
                <w:szCs w:val="18"/>
                <w:lang w:eastAsia="en-GB"/>
              </w:rPr>
            </m:ctrlPr>
          </m:sSupPr>
          <m:e>
            <m:r>
              <w:rPr>
                <w:rFonts w:ascii="Cambria Math" w:hAnsi="Cambria Math"/>
                <w:sz w:val="18"/>
                <w:szCs w:val="18"/>
                <w:lang w:eastAsia="en-GB"/>
              </w:rPr>
              <m:t>cm</m:t>
            </m:r>
          </m:e>
          <m:sup>
            <m:r>
              <w:rPr>
                <w:rFonts w:ascii="Cambria Math" w:hAnsi="Cambria Math"/>
                <w:sz w:val="18"/>
                <w:szCs w:val="18"/>
                <w:lang w:eastAsia="en-GB"/>
              </w:rPr>
              <m:t>2</m:t>
            </m:r>
          </m:sup>
        </m:sSup>
        <m:r>
          <w:rPr>
            <w:rFonts w:ascii="Cambria Math" w:hAnsi="Cambria Math"/>
            <w:sz w:val="18"/>
            <w:szCs w:val="18"/>
            <w:lang w:eastAsia="en-GB"/>
          </w:rPr>
          <m:t>/s</m:t>
        </m:r>
      </m:oMath>
      <w:r w:rsidRPr="004C59C4">
        <w:rPr>
          <w:rFonts w:asciiTheme="minorHAnsi" w:hAnsiTheme="minorHAnsi"/>
          <w:sz w:val="18"/>
          <w:szCs w:val="18"/>
          <w:lang w:eastAsia="en-GB"/>
        </w:rPr>
        <w:t>)</w:t>
      </w:r>
      <w:r w:rsidRPr="004C59C4">
        <w:rPr>
          <w:rFonts w:asciiTheme="minorHAnsi" w:hAnsiTheme="minorHAnsi"/>
          <w:sz w:val="18"/>
          <w:szCs w:val="18"/>
        </w:rPr>
        <w:t xml:space="preserve"> is observed for BTR when the film is annealed using </w:t>
      </w:r>
      <w:r>
        <w:rPr>
          <w:rFonts w:asciiTheme="minorHAnsi" w:hAnsiTheme="minorHAnsi"/>
          <w:sz w:val="18"/>
          <w:szCs w:val="18"/>
        </w:rPr>
        <w:t xml:space="preserve">the </w:t>
      </w:r>
      <w:r w:rsidRPr="004C59C4">
        <w:rPr>
          <w:rFonts w:asciiTheme="minorHAnsi" w:hAnsiTheme="minorHAnsi"/>
          <w:sz w:val="18"/>
          <w:szCs w:val="18"/>
        </w:rPr>
        <w:t xml:space="preserve"> solvent</w:t>
      </w:r>
      <w:r>
        <w:rPr>
          <w:rFonts w:asciiTheme="minorHAnsi" w:hAnsiTheme="minorHAnsi"/>
          <w:sz w:val="18"/>
          <w:szCs w:val="18"/>
        </w:rPr>
        <w:t xml:space="preserve"> tetrahydrofuran</w:t>
      </w:r>
      <w:r w:rsidRPr="004C59C4">
        <w:rPr>
          <w:rFonts w:asciiTheme="minorHAnsi" w:hAnsiTheme="minorHAnsi"/>
          <w:sz w:val="18"/>
          <w:szCs w:val="18"/>
        </w:rPr>
        <w:t>, which then led to almost doubling of L</w:t>
      </w:r>
      <w:r w:rsidRPr="004C59C4">
        <w:rPr>
          <w:rFonts w:asciiTheme="minorHAnsi" w:hAnsiTheme="minorHAnsi"/>
          <w:sz w:val="18"/>
          <w:szCs w:val="18"/>
          <w:vertAlign w:val="subscript"/>
        </w:rPr>
        <w:t>D</w:t>
      </w:r>
      <w:r w:rsidRPr="004C59C4">
        <w:rPr>
          <w:rFonts w:asciiTheme="minorHAnsi" w:hAnsiTheme="minorHAnsi"/>
          <w:sz w:val="18"/>
          <w:szCs w:val="18"/>
        </w:rPr>
        <w:t xml:space="preserve"> </w:t>
      </w:r>
      <w:r w:rsidRPr="004C59C4">
        <w:rPr>
          <w:rFonts w:asciiTheme="minorHAnsi" w:hAnsiTheme="minorHAnsi"/>
          <w:sz w:val="18"/>
          <w:szCs w:val="18"/>
        </w:rPr>
        <w:lastRenderedPageBreak/>
        <w:t>from ~2</w:t>
      </w:r>
      <w:r>
        <w:rPr>
          <w:rFonts w:asciiTheme="minorHAnsi" w:hAnsiTheme="minorHAnsi"/>
          <w:sz w:val="18"/>
          <w:szCs w:val="18"/>
        </w:rPr>
        <w:t>3</w:t>
      </w:r>
      <w:r w:rsidRPr="004C59C4">
        <w:rPr>
          <w:rFonts w:asciiTheme="minorHAnsi" w:hAnsiTheme="minorHAnsi"/>
          <w:sz w:val="18"/>
          <w:szCs w:val="18"/>
        </w:rPr>
        <w:t xml:space="preserve"> nm to ~4</w:t>
      </w:r>
      <w:r>
        <w:rPr>
          <w:rFonts w:asciiTheme="minorHAnsi" w:hAnsiTheme="minorHAnsi"/>
          <w:sz w:val="18"/>
          <w:szCs w:val="18"/>
        </w:rPr>
        <w:t>0</w:t>
      </w:r>
      <w:r w:rsidRPr="004C59C4">
        <w:rPr>
          <w:rFonts w:asciiTheme="minorHAnsi" w:hAnsiTheme="minorHAnsi"/>
          <w:sz w:val="18"/>
          <w:szCs w:val="18"/>
        </w:rPr>
        <w:t xml:space="preserve"> nm.  </w:t>
      </w:r>
      <w:r>
        <w:rPr>
          <w:rFonts w:asciiTheme="minorHAnsi" w:hAnsiTheme="minorHAnsi"/>
          <w:sz w:val="18"/>
          <w:szCs w:val="18"/>
        </w:rPr>
        <w:t>We measured crystallite size using GIWAXS and found an increase in the crystallite size after annealing.</w:t>
      </w:r>
      <w:r w:rsidRPr="004C59C4">
        <w:rPr>
          <w:rFonts w:asciiTheme="minorHAnsi" w:hAnsiTheme="minorHAnsi"/>
          <w:sz w:val="18"/>
          <w:szCs w:val="18"/>
        </w:rPr>
        <w:t xml:space="preserve"> </w:t>
      </w:r>
    </w:p>
    <w:p w:rsidR="007F6204" w:rsidRPr="00FE33E9" w:rsidRDefault="007F6204" w:rsidP="007F6204">
      <w:pPr>
        <w:pStyle w:val="BGKeywords"/>
        <w:spacing w:after="120" w:line="240" w:lineRule="auto"/>
        <w:ind w:firstLine="284"/>
        <w:rPr>
          <w:rFonts w:asciiTheme="minorHAnsi" w:hAnsiTheme="minorHAnsi"/>
          <w:sz w:val="18"/>
          <w:szCs w:val="18"/>
        </w:rPr>
      </w:pPr>
      <w:r w:rsidRPr="00FE33E9">
        <w:rPr>
          <w:rFonts w:asciiTheme="minorHAnsi" w:hAnsiTheme="minorHAnsi"/>
          <w:sz w:val="18"/>
          <w:szCs w:val="18"/>
        </w:rPr>
        <w:t xml:space="preserve">We also </w:t>
      </w:r>
      <w:r>
        <w:rPr>
          <w:rFonts w:asciiTheme="minorHAnsi" w:hAnsiTheme="minorHAnsi"/>
          <w:sz w:val="18"/>
          <w:szCs w:val="18"/>
        </w:rPr>
        <w:t xml:space="preserve">used time-resolved fluorescence measurements to investigate </w:t>
      </w:r>
      <w:r w:rsidRPr="00FE33E9">
        <w:rPr>
          <w:rFonts w:asciiTheme="minorHAnsi" w:hAnsiTheme="minorHAnsi"/>
          <w:sz w:val="18"/>
          <w:szCs w:val="18"/>
        </w:rPr>
        <w:t>the effect of annealing on domain size</w:t>
      </w:r>
      <w:r>
        <w:rPr>
          <w:rFonts w:asciiTheme="minorHAnsi" w:hAnsiTheme="minorHAnsi"/>
          <w:sz w:val="18"/>
          <w:szCs w:val="18"/>
        </w:rPr>
        <w:t xml:space="preserve"> of the donor molecules in the blends with PC</w:t>
      </w:r>
      <w:r w:rsidRPr="00BB5768">
        <w:rPr>
          <w:rFonts w:asciiTheme="minorHAnsi" w:hAnsiTheme="minorHAnsi"/>
          <w:sz w:val="18"/>
          <w:szCs w:val="18"/>
          <w:vertAlign w:val="subscript"/>
        </w:rPr>
        <w:t>71</w:t>
      </w:r>
      <w:r>
        <w:rPr>
          <w:rFonts w:asciiTheme="minorHAnsi" w:hAnsiTheme="minorHAnsi"/>
          <w:sz w:val="18"/>
          <w:szCs w:val="18"/>
        </w:rPr>
        <w:t>BM</w:t>
      </w:r>
      <w:r w:rsidRPr="00FE33E9">
        <w:rPr>
          <w:rFonts w:asciiTheme="minorHAnsi" w:hAnsiTheme="minorHAnsi"/>
          <w:sz w:val="18"/>
          <w:szCs w:val="18"/>
        </w:rPr>
        <w:t xml:space="preserve"> and found that </w:t>
      </w:r>
      <w:r>
        <w:rPr>
          <w:rFonts w:asciiTheme="minorHAnsi" w:hAnsiTheme="minorHAnsi"/>
          <w:sz w:val="18"/>
          <w:szCs w:val="18"/>
        </w:rPr>
        <w:t>in</w:t>
      </w:r>
      <w:r w:rsidRPr="00FE33E9">
        <w:rPr>
          <w:rFonts w:asciiTheme="minorHAnsi" w:hAnsiTheme="minorHAnsi"/>
          <w:sz w:val="18"/>
          <w:szCs w:val="18"/>
        </w:rPr>
        <w:t xml:space="preserve"> BTR </w:t>
      </w:r>
      <w:r>
        <w:rPr>
          <w:rFonts w:asciiTheme="minorHAnsi" w:hAnsiTheme="minorHAnsi"/>
          <w:sz w:val="18"/>
          <w:szCs w:val="18"/>
        </w:rPr>
        <w:t xml:space="preserve">it </w:t>
      </w:r>
      <w:r w:rsidRPr="00FE33E9">
        <w:rPr>
          <w:rFonts w:asciiTheme="minorHAnsi" w:hAnsiTheme="minorHAnsi"/>
          <w:sz w:val="18"/>
          <w:szCs w:val="18"/>
        </w:rPr>
        <w:t>increases by more than</w:t>
      </w:r>
      <w:r>
        <w:rPr>
          <w:rFonts w:asciiTheme="minorHAnsi" w:hAnsiTheme="minorHAnsi"/>
          <w:sz w:val="18"/>
          <w:szCs w:val="18"/>
        </w:rPr>
        <w:t xml:space="preserve"> a factor of</w:t>
      </w:r>
      <w:r w:rsidRPr="00FE33E9">
        <w:rPr>
          <w:rFonts w:asciiTheme="minorHAnsi" w:hAnsiTheme="minorHAnsi"/>
          <w:sz w:val="18"/>
          <w:szCs w:val="18"/>
        </w:rPr>
        <w:t xml:space="preserve"> 3 from 7 nm to 25 nm, whereas BQR domains </w:t>
      </w:r>
      <w:r>
        <w:rPr>
          <w:rFonts w:asciiTheme="minorHAnsi" w:hAnsiTheme="minorHAnsi"/>
          <w:sz w:val="18"/>
          <w:szCs w:val="18"/>
        </w:rPr>
        <w:t xml:space="preserve">increase in size </w:t>
      </w:r>
      <w:r w:rsidRPr="00FE33E9">
        <w:rPr>
          <w:rFonts w:asciiTheme="minorHAnsi" w:hAnsiTheme="minorHAnsi"/>
          <w:sz w:val="18"/>
          <w:szCs w:val="18"/>
        </w:rPr>
        <w:t xml:space="preserve">by </w:t>
      </w:r>
      <w:r>
        <w:rPr>
          <w:rFonts w:asciiTheme="minorHAnsi" w:hAnsiTheme="minorHAnsi"/>
          <w:sz w:val="18"/>
          <w:szCs w:val="18"/>
        </w:rPr>
        <w:t xml:space="preserve">a factor of </w:t>
      </w:r>
      <w:r w:rsidRPr="00FE33E9">
        <w:rPr>
          <w:rFonts w:asciiTheme="minorHAnsi" w:hAnsiTheme="minorHAnsi"/>
          <w:sz w:val="18"/>
          <w:szCs w:val="18"/>
        </w:rPr>
        <w:t xml:space="preserve">4 from ~15 nm to 60 nm after SVA. This is normally too large for efficient charge separation. However, </w:t>
      </w:r>
      <w:r>
        <w:rPr>
          <w:rFonts w:asciiTheme="minorHAnsi" w:hAnsiTheme="minorHAnsi"/>
          <w:sz w:val="18"/>
          <w:szCs w:val="18"/>
        </w:rPr>
        <w:t xml:space="preserve">the </w:t>
      </w:r>
      <w:r w:rsidRPr="00FE33E9">
        <w:rPr>
          <w:rFonts w:asciiTheme="minorHAnsi" w:hAnsiTheme="minorHAnsi"/>
          <w:sz w:val="18"/>
          <w:szCs w:val="18"/>
        </w:rPr>
        <w:t>large L</w:t>
      </w:r>
      <w:r w:rsidRPr="00FE33E9">
        <w:rPr>
          <w:rFonts w:asciiTheme="minorHAnsi" w:hAnsiTheme="minorHAnsi"/>
          <w:sz w:val="18"/>
          <w:szCs w:val="18"/>
          <w:vertAlign w:val="subscript"/>
        </w:rPr>
        <w:t>D</w:t>
      </w:r>
      <w:r w:rsidRPr="00FE33E9">
        <w:rPr>
          <w:rFonts w:asciiTheme="minorHAnsi" w:hAnsiTheme="minorHAnsi"/>
          <w:sz w:val="18"/>
          <w:szCs w:val="18"/>
        </w:rPr>
        <w:t xml:space="preserve"> (&gt;40 nm) </w:t>
      </w:r>
      <w:r>
        <w:rPr>
          <w:rFonts w:asciiTheme="minorHAnsi" w:hAnsiTheme="minorHAnsi"/>
          <w:sz w:val="18"/>
          <w:szCs w:val="18"/>
        </w:rPr>
        <w:t>means that efficient exciton harvesting still occur.</w:t>
      </w:r>
    </w:p>
    <w:p w:rsidR="007F6204" w:rsidRDefault="007F6204" w:rsidP="00F51074">
      <w:pPr>
        <w:pStyle w:val="BGKeywords"/>
        <w:spacing w:after="120" w:line="240" w:lineRule="auto"/>
        <w:ind w:firstLine="284"/>
        <w:rPr>
          <w:rFonts w:asciiTheme="minorHAnsi" w:hAnsiTheme="minorHAnsi"/>
          <w:sz w:val="18"/>
          <w:szCs w:val="18"/>
        </w:rPr>
      </w:pPr>
    </w:p>
    <w:p w:rsidR="000D42A8" w:rsidRPr="000F61F3" w:rsidRDefault="000F61F3" w:rsidP="000F61F3">
      <w:pPr>
        <w:autoSpaceDE w:val="0"/>
        <w:autoSpaceDN w:val="0"/>
        <w:adjustRightInd w:val="0"/>
        <w:spacing w:after="120" w:line="240" w:lineRule="auto"/>
        <w:jc w:val="center"/>
        <w:rPr>
          <w:b/>
          <w:sz w:val="18"/>
          <w:szCs w:val="18"/>
        </w:rPr>
      </w:pPr>
      <w:r w:rsidRPr="000F61F3">
        <w:rPr>
          <w:b/>
          <w:sz w:val="18"/>
          <w:szCs w:val="18"/>
        </w:rPr>
        <w:t>BTR</w:t>
      </w:r>
    </w:p>
    <w:p w:rsidR="000F61F3" w:rsidRDefault="000F61F3" w:rsidP="000F61F3">
      <w:pPr>
        <w:autoSpaceDE w:val="0"/>
        <w:autoSpaceDN w:val="0"/>
        <w:adjustRightInd w:val="0"/>
        <w:spacing w:after="0" w:line="240" w:lineRule="auto"/>
        <w:jc w:val="both"/>
        <w:rPr>
          <w:rFonts w:cs="Arial"/>
          <w:sz w:val="18"/>
          <w:szCs w:val="18"/>
        </w:rPr>
      </w:pPr>
      <w:r>
        <w:rPr>
          <w:rFonts w:cs="Arial"/>
          <w:noProof/>
          <w:sz w:val="18"/>
          <w:szCs w:val="18"/>
          <w:lang w:eastAsia="en-GB"/>
        </w:rPr>
        <w:drawing>
          <wp:inline distT="0" distB="0" distL="0" distR="0">
            <wp:extent cx="3168015" cy="1627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TR.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8015" cy="1627505"/>
                    </a:xfrm>
                    <a:prstGeom prst="rect">
                      <a:avLst/>
                    </a:prstGeom>
                  </pic:spPr>
                </pic:pic>
              </a:graphicData>
            </a:graphic>
          </wp:inline>
        </w:drawing>
      </w:r>
    </w:p>
    <w:p w:rsidR="000F61F3" w:rsidRDefault="000F61F3" w:rsidP="000F61F3">
      <w:pPr>
        <w:autoSpaceDE w:val="0"/>
        <w:autoSpaceDN w:val="0"/>
        <w:adjustRightInd w:val="0"/>
        <w:spacing w:after="120" w:line="240" w:lineRule="auto"/>
        <w:jc w:val="center"/>
        <w:rPr>
          <w:rFonts w:cs="Arial"/>
          <w:b/>
          <w:sz w:val="18"/>
          <w:szCs w:val="18"/>
        </w:rPr>
      </w:pPr>
      <w:r w:rsidRPr="000F61F3">
        <w:rPr>
          <w:rFonts w:cs="Arial"/>
          <w:b/>
          <w:sz w:val="18"/>
          <w:szCs w:val="18"/>
        </w:rPr>
        <w:t>BQR</w:t>
      </w:r>
    </w:p>
    <w:p w:rsidR="000F61F3" w:rsidRPr="000F61F3" w:rsidRDefault="000F61F3" w:rsidP="000F61F3">
      <w:pPr>
        <w:autoSpaceDE w:val="0"/>
        <w:autoSpaceDN w:val="0"/>
        <w:adjustRightInd w:val="0"/>
        <w:spacing w:after="120" w:line="240" w:lineRule="auto"/>
        <w:jc w:val="center"/>
        <w:rPr>
          <w:rFonts w:cs="Arial"/>
          <w:b/>
          <w:sz w:val="18"/>
          <w:szCs w:val="18"/>
        </w:rPr>
      </w:pPr>
      <w:r>
        <w:rPr>
          <w:rFonts w:cs="Arial"/>
          <w:b/>
          <w:noProof/>
          <w:sz w:val="18"/>
          <w:szCs w:val="18"/>
          <w:lang w:eastAsia="en-GB"/>
        </w:rPr>
        <w:drawing>
          <wp:inline distT="0" distB="0" distL="0" distR="0">
            <wp:extent cx="3168015" cy="14027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QR.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8015" cy="1402715"/>
                    </a:xfrm>
                    <a:prstGeom prst="rect">
                      <a:avLst/>
                    </a:prstGeom>
                  </pic:spPr>
                </pic:pic>
              </a:graphicData>
            </a:graphic>
          </wp:inline>
        </w:drawing>
      </w:r>
    </w:p>
    <w:p w:rsidR="000F61F3" w:rsidRDefault="00994D14" w:rsidP="00A43852">
      <w:pPr>
        <w:pStyle w:val="BGKeywords"/>
        <w:spacing w:after="0" w:line="240" w:lineRule="auto"/>
        <w:rPr>
          <w:i/>
          <w:sz w:val="16"/>
          <w:szCs w:val="16"/>
        </w:rPr>
      </w:pPr>
      <w:r>
        <w:rPr>
          <w:rFonts w:asciiTheme="minorHAnsi" w:hAnsiTheme="minorHAnsi"/>
          <w:color w:val="FF0000"/>
          <w:sz w:val="18"/>
          <w:szCs w:val="18"/>
        </w:rPr>
        <w:t xml:space="preserve"> </w:t>
      </w:r>
      <w:r w:rsidR="000F61F3" w:rsidRPr="00360301">
        <w:rPr>
          <w:b/>
          <w:sz w:val="16"/>
          <w:szCs w:val="16"/>
        </w:rPr>
        <w:t xml:space="preserve">Figure </w:t>
      </w:r>
      <w:r w:rsidR="00525649">
        <w:rPr>
          <w:b/>
          <w:noProof/>
          <w:sz w:val="16"/>
          <w:szCs w:val="16"/>
        </w:rPr>
        <w:t>1</w:t>
      </w:r>
      <w:r w:rsidR="000F61F3" w:rsidRPr="00360301">
        <w:rPr>
          <w:b/>
          <w:sz w:val="16"/>
          <w:szCs w:val="16"/>
        </w:rPr>
        <w:t>:</w:t>
      </w:r>
      <w:r w:rsidR="000F61F3" w:rsidRPr="00360301">
        <w:rPr>
          <w:sz w:val="16"/>
          <w:szCs w:val="16"/>
        </w:rPr>
        <w:t xml:space="preserve">  </w:t>
      </w:r>
      <w:r w:rsidR="000F61F3" w:rsidRPr="00360301">
        <w:rPr>
          <w:i/>
          <w:sz w:val="16"/>
          <w:szCs w:val="16"/>
        </w:rPr>
        <w:t xml:space="preserve">Molecular structure of BTR and BQR. </w:t>
      </w:r>
    </w:p>
    <w:p w:rsidR="00B26E3C" w:rsidRDefault="00B26E3C" w:rsidP="00A43852">
      <w:pPr>
        <w:pStyle w:val="BGKeywords"/>
        <w:spacing w:after="0" w:line="240" w:lineRule="auto"/>
        <w:rPr>
          <w:i/>
          <w:sz w:val="16"/>
          <w:szCs w:val="16"/>
        </w:rPr>
      </w:pPr>
    </w:p>
    <w:p w:rsidR="0047539E" w:rsidRDefault="00BE3C07" w:rsidP="007F6204">
      <w:pPr>
        <w:pStyle w:val="RSCB04AHeadingSection"/>
        <w:spacing w:before="240"/>
      </w:pPr>
      <w:r>
        <w:t>Results and discussion</w:t>
      </w:r>
    </w:p>
    <w:p w:rsidR="00331F74" w:rsidRPr="00071908" w:rsidRDefault="00331F74" w:rsidP="00F51074">
      <w:pPr>
        <w:pStyle w:val="RSCB04AHeadingSection"/>
        <w:spacing w:before="120" w:after="120"/>
        <w:ind w:firstLine="284"/>
        <w:jc w:val="both"/>
        <w:rPr>
          <w:b w:val="0"/>
          <w:sz w:val="18"/>
          <w:szCs w:val="18"/>
        </w:rPr>
      </w:pPr>
      <w:r w:rsidRPr="00071908">
        <w:rPr>
          <w:b w:val="0"/>
          <w:sz w:val="18"/>
          <w:szCs w:val="18"/>
        </w:rPr>
        <w:t>The absorption spectra of as-cast films of similar thickness are shown in</w:t>
      </w:r>
      <w:r w:rsidRPr="00071908">
        <w:rPr>
          <w:sz w:val="18"/>
          <w:szCs w:val="18"/>
        </w:rPr>
        <w:t xml:space="preserve"> </w:t>
      </w:r>
      <w:r w:rsidR="00525649" w:rsidRPr="00071908">
        <w:rPr>
          <w:sz w:val="18"/>
          <w:szCs w:val="18"/>
        </w:rPr>
        <w:t xml:space="preserve">Figure </w:t>
      </w:r>
      <w:r w:rsidR="00525649" w:rsidRPr="00071908">
        <w:rPr>
          <w:noProof/>
          <w:sz w:val="18"/>
          <w:szCs w:val="18"/>
        </w:rPr>
        <w:t>2</w:t>
      </w:r>
      <w:r w:rsidR="00C06B0D" w:rsidRPr="00071908">
        <w:rPr>
          <w:sz w:val="18"/>
          <w:szCs w:val="18"/>
        </w:rPr>
        <w:t>a</w:t>
      </w:r>
      <w:r w:rsidR="00792A58" w:rsidRPr="00071908">
        <w:rPr>
          <w:sz w:val="18"/>
          <w:szCs w:val="18"/>
        </w:rPr>
        <w:t xml:space="preserve">. </w:t>
      </w:r>
      <w:r w:rsidR="00EE5F2F" w:rsidRPr="00071908">
        <w:rPr>
          <w:b w:val="0"/>
          <w:sz w:val="18"/>
          <w:szCs w:val="18"/>
        </w:rPr>
        <w:t>Absorption spectra show</w:t>
      </w:r>
      <w:r w:rsidR="00792A58" w:rsidRPr="00071908">
        <w:rPr>
          <w:b w:val="0"/>
          <w:sz w:val="18"/>
          <w:szCs w:val="18"/>
        </w:rPr>
        <w:t xml:space="preserve"> that BQR films have a dominant peak around 644 nm (A</w:t>
      </w:r>
      <w:r w:rsidR="00792A58" w:rsidRPr="00071908">
        <w:rPr>
          <w:b w:val="0"/>
          <w:sz w:val="18"/>
          <w:szCs w:val="18"/>
          <w:vertAlign w:val="subscript"/>
        </w:rPr>
        <w:t>0-0</w:t>
      </w:r>
      <w:r w:rsidR="00792A58" w:rsidRPr="00071908">
        <w:rPr>
          <w:b w:val="0"/>
          <w:sz w:val="18"/>
          <w:szCs w:val="18"/>
        </w:rPr>
        <w:t>) and a shoulder around 594 nm (A</w:t>
      </w:r>
      <w:r w:rsidR="00792A58" w:rsidRPr="00071908">
        <w:rPr>
          <w:b w:val="0"/>
          <w:sz w:val="18"/>
          <w:szCs w:val="18"/>
          <w:vertAlign w:val="subscript"/>
        </w:rPr>
        <w:t>0-1</w:t>
      </w:r>
      <w:r w:rsidR="00792A58" w:rsidRPr="00071908">
        <w:rPr>
          <w:b w:val="0"/>
          <w:sz w:val="18"/>
          <w:szCs w:val="18"/>
        </w:rPr>
        <w:t>), whereas BTR has two peaks around 620 nm (A</w:t>
      </w:r>
      <w:r w:rsidR="00792A58" w:rsidRPr="00071908">
        <w:rPr>
          <w:b w:val="0"/>
          <w:sz w:val="18"/>
          <w:szCs w:val="18"/>
          <w:vertAlign w:val="subscript"/>
        </w:rPr>
        <w:t>0-0</w:t>
      </w:r>
      <w:r w:rsidR="00792A58" w:rsidRPr="00071908">
        <w:rPr>
          <w:b w:val="0"/>
          <w:sz w:val="18"/>
          <w:szCs w:val="18"/>
        </w:rPr>
        <w:t>) and around 576 nm (A</w:t>
      </w:r>
      <w:r w:rsidR="00792A58" w:rsidRPr="00071908">
        <w:rPr>
          <w:b w:val="0"/>
          <w:sz w:val="18"/>
          <w:szCs w:val="18"/>
          <w:vertAlign w:val="subscript"/>
        </w:rPr>
        <w:t>0-1</w:t>
      </w:r>
      <w:r w:rsidR="00792A58" w:rsidRPr="00071908">
        <w:rPr>
          <w:b w:val="0"/>
          <w:sz w:val="18"/>
          <w:szCs w:val="18"/>
        </w:rPr>
        <w:t xml:space="preserve">).  Absorption spectra of BQR </w:t>
      </w:r>
      <w:r w:rsidR="00EE5F2F" w:rsidRPr="00071908">
        <w:rPr>
          <w:b w:val="0"/>
          <w:sz w:val="18"/>
          <w:szCs w:val="18"/>
        </w:rPr>
        <w:t>are red-</w:t>
      </w:r>
      <w:r w:rsidR="00792A58" w:rsidRPr="00071908">
        <w:rPr>
          <w:b w:val="0"/>
          <w:sz w:val="18"/>
          <w:szCs w:val="18"/>
        </w:rPr>
        <w:t>shifted compared to BTR</w:t>
      </w:r>
      <w:r w:rsidR="000F61F3" w:rsidRPr="00071908">
        <w:rPr>
          <w:b w:val="0"/>
          <w:sz w:val="18"/>
          <w:szCs w:val="18"/>
        </w:rPr>
        <w:t xml:space="preserve"> and this has been assigned to</w:t>
      </w:r>
      <w:r w:rsidR="00792A58" w:rsidRPr="00071908">
        <w:rPr>
          <w:b w:val="0"/>
          <w:sz w:val="18"/>
          <w:szCs w:val="18"/>
        </w:rPr>
        <w:t xml:space="preserve"> increased conjugation length and more ordering</w:t>
      </w:r>
      <w:r w:rsidR="002A6DB5" w:rsidRPr="00071908">
        <w:rPr>
          <w:b w:val="0"/>
          <w:sz w:val="18"/>
          <w:szCs w:val="18"/>
        </w:rPr>
        <w:t xml:space="preserve"> compared to BTR</w:t>
      </w:r>
      <w:r w:rsidR="00792A58" w:rsidRPr="00071908">
        <w:rPr>
          <w:b w:val="0"/>
          <w:sz w:val="18"/>
          <w:szCs w:val="18"/>
        </w:rPr>
        <w:t>.</w:t>
      </w:r>
      <w:r w:rsidR="00ED2862" w:rsidRPr="00071908">
        <w:rPr>
          <w:b w:val="0"/>
          <w:noProof/>
          <w:sz w:val="18"/>
          <w:szCs w:val="18"/>
          <w:vertAlign w:val="superscript"/>
        </w:rPr>
        <w:t>17</w:t>
      </w:r>
      <w:r w:rsidR="002A6DB5" w:rsidRPr="00071908">
        <w:rPr>
          <w:b w:val="0"/>
          <w:sz w:val="18"/>
          <w:szCs w:val="18"/>
        </w:rPr>
        <w:t xml:space="preserve"> </w:t>
      </w:r>
    </w:p>
    <w:p w:rsidR="00F51074" w:rsidRDefault="002A6DB5" w:rsidP="00F51074">
      <w:pPr>
        <w:pStyle w:val="RSCB04AHeadingSection"/>
        <w:spacing w:before="0" w:after="120"/>
        <w:ind w:firstLine="284"/>
        <w:jc w:val="both"/>
        <w:rPr>
          <w:sz w:val="18"/>
          <w:szCs w:val="18"/>
        </w:rPr>
      </w:pPr>
      <w:r>
        <w:rPr>
          <w:b w:val="0"/>
          <w:sz w:val="18"/>
          <w:szCs w:val="18"/>
        </w:rPr>
        <w:t xml:space="preserve">To investigate the effect of annealing on the absorption, we have </w:t>
      </w:r>
      <w:r w:rsidR="00FE33E9">
        <w:rPr>
          <w:b w:val="0"/>
          <w:sz w:val="18"/>
          <w:szCs w:val="18"/>
        </w:rPr>
        <w:t>measured absorption spectra of thermal and solvent vapour annealed films</w:t>
      </w:r>
      <w:r>
        <w:rPr>
          <w:b w:val="0"/>
          <w:sz w:val="18"/>
          <w:szCs w:val="18"/>
        </w:rPr>
        <w:t xml:space="preserve">. For thermal annealing, a temperature of 120 </w:t>
      </w:r>
      <w:r>
        <w:rPr>
          <w:b w:val="0"/>
          <w:sz w:val="18"/>
          <w:szCs w:val="18"/>
          <w:vertAlign w:val="superscript"/>
        </w:rPr>
        <w:t>0</w:t>
      </w:r>
      <w:r>
        <w:rPr>
          <w:b w:val="0"/>
          <w:sz w:val="18"/>
          <w:szCs w:val="18"/>
        </w:rPr>
        <w:t>C was used for 10 min and for solvent vapour annealing, two solvents; tetrahydrofuran (THF) and chloroform (CHCl</w:t>
      </w:r>
      <w:r>
        <w:rPr>
          <w:b w:val="0"/>
          <w:sz w:val="18"/>
          <w:szCs w:val="18"/>
          <w:vertAlign w:val="subscript"/>
        </w:rPr>
        <w:t>3</w:t>
      </w:r>
      <w:r>
        <w:rPr>
          <w:b w:val="0"/>
          <w:sz w:val="18"/>
          <w:szCs w:val="18"/>
        </w:rPr>
        <w:t xml:space="preserve">) were used. After optimisation of conditions for annealing, we measured the absorption </w:t>
      </w:r>
      <w:r w:rsidR="00C76CFF">
        <w:rPr>
          <w:b w:val="0"/>
          <w:sz w:val="18"/>
          <w:szCs w:val="18"/>
        </w:rPr>
        <w:t xml:space="preserve">of all the films of BQR </w:t>
      </w:r>
      <w:r w:rsidR="00FE33E9">
        <w:rPr>
          <w:b w:val="0"/>
          <w:sz w:val="18"/>
          <w:szCs w:val="18"/>
        </w:rPr>
        <w:t>and the</w:t>
      </w:r>
      <w:r>
        <w:rPr>
          <w:b w:val="0"/>
          <w:sz w:val="18"/>
          <w:szCs w:val="18"/>
        </w:rPr>
        <w:t xml:space="preserve"> result</w:t>
      </w:r>
      <w:r w:rsidR="0036778B">
        <w:rPr>
          <w:b w:val="0"/>
          <w:sz w:val="18"/>
          <w:szCs w:val="18"/>
        </w:rPr>
        <w:t>ing</w:t>
      </w:r>
      <w:r>
        <w:rPr>
          <w:b w:val="0"/>
          <w:sz w:val="18"/>
          <w:szCs w:val="18"/>
        </w:rPr>
        <w:t xml:space="preserve"> normalised absorption spectra are shown in</w:t>
      </w:r>
      <w:r>
        <w:rPr>
          <w:sz w:val="18"/>
          <w:szCs w:val="18"/>
        </w:rPr>
        <w:t xml:space="preserve"> </w:t>
      </w:r>
      <w:r w:rsidR="00525649" w:rsidRPr="00525649">
        <w:rPr>
          <w:b w:val="0"/>
          <w:sz w:val="18"/>
          <w:szCs w:val="18"/>
        </w:rPr>
        <w:t xml:space="preserve">Figure </w:t>
      </w:r>
      <w:r w:rsidR="00525649" w:rsidRPr="00525649">
        <w:rPr>
          <w:b w:val="0"/>
          <w:noProof/>
          <w:sz w:val="18"/>
          <w:szCs w:val="18"/>
        </w:rPr>
        <w:t>2</w:t>
      </w:r>
      <w:r w:rsidR="00C06B0D" w:rsidRPr="00C76CFF">
        <w:rPr>
          <w:b w:val="0"/>
          <w:sz w:val="18"/>
          <w:szCs w:val="18"/>
        </w:rPr>
        <w:t>b</w:t>
      </w:r>
      <w:r w:rsidR="00692D0E" w:rsidRPr="00C06B0D">
        <w:rPr>
          <w:b w:val="0"/>
          <w:sz w:val="18"/>
          <w:szCs w:val="18"/>
        </w:rPr>
        <w:t>.</w:t>
      </w:r>
      <w:r>
        <w:rPr>
          <w:b w:val="0"/>
          <w:sz w:val="18"/>
          <w:szCs w:val="18"/>
        </w:rPr>
        <w:t xml:space="preserve"> </w:t>
      </w:r>
      <w:r w:rsidR="00C06B0D">
        <w:rPr>
          <w:sz w:val="18"/>
          <w:szCs w:val="18"/>
        </w:rPr>
        <w:t xml:space="preserve">  </w:t>
      </w:r>
    </w:p>
    <w:p w:rsidR="00331F74" w:rsidRDefault="00C06B0D" w:rsidP="00F51074">
      <w:pPr>
        <w:pStyle w:val="RSCB04AHeadingSection"/>
        <w:spacing w:before="0" w:after="120"/>
        <w:ind w:firstLine="284"/>
        <w:jc w:val="both"/>
      </w:pPr>
      <w:r>
        <w:rPr>
          <w:sz w:val="18"/>
          <w:szCs w:val="18"/>
        </w:rPr>
        <w:t xml:space="preserve">                   </w:t>
      </w:r>
      <w:r w:rsidR="005F5E8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1pt;height:156.1pt">
            <v:imagedata r:id="rId16" o:title=""/>
          </v:shape>
        </w:pict>
      </w:r>
    </w:p>
    <w:p w:rsidR="00BA37ED" w:rsidRDefault="004259C9" w:rsidP="00360301">
      <w:pPr>
        <w:pStyle w:val="RSCB04AHeadingSection"/>
        <w:spacing w:before="0" w:after="0"/>
        <w:jc w:val="both"/>
      </w:pPr>
      <w:r w:rsidRPr="004259C9">
        <w:t xml:space="preserve"> </w:t>
      </w:r>
      <w:r w:rsidR="005F5E82">
        <w:pict>
          <v:shape id="_x0000_i1026" type="#_x0000_t75" style="width:253.55pt;height:192.9pt">
            <v:imagedata r:id="rId17" o:title=""/>
          </v:shape>
        </w:pict>
      </w:r>
      <w:r w:rsidR="00033252" w:rsidRPr="00033252">
        <w:t xml:space="preserve"> </w:t>
      </w:r>
      <w:r w:rsidR="0064727F">
        <w:pict>
          <v:shape id="_x0000_i1027" type="#_x0000_t75" style="width:256.3pt;height:195.25pt">
            <v:imagedata r:id="rId18" o:title=""/>
          </v:shape>
        </w:pict>
      </w:r>
    </w:p>
    <w:p w:rsidR="00331F74" w:rsidRPr="00360301" w:rsidRDefault="00331F74" w:rsidP="00075E6F">
      <w:pPr>
        <w:pStyle w:val="Caption"/>
        <w:spacing w:after="120" w:line="240" w:lineRule="auto"/>
        <w:jc w:val="both"/>
        <w:rPr>
          <w:b/>
          <w:i/>
          <w:sz w:val="16"/>
          <w:szCs w:val="16"/>
        </w:rPr>
      </w:pPr>
      <w:bookmarkStart w:id="1" w:name="_Ref174890"/>
      <w:r w:rsidRPr="00360301">
        <w:rPr>
          <w:b/>
          <w:sz w:val="16"/>
          <w:szCs w:val="16"/>
        </w:rPr>
        <w:t xml:space="preserve">Figure </w:t>
      </w:r>
      <w:r w:rsidR="00525649">
        <w:rPr>
          <w:b/>
          <w:noProof/>
          <w:sz w:val="16"/>
          <w:szCs w:val="16"/>
        </w:rPr>
        <w:t>2</w:t>
      </w:r>
      <w:bookmarkEnd w:id="1"/>
      <w:r w:rsidRPr="00360301">
        <w:rPr>
          <w:b/>
          <w:sz w:val="16"/>
          <w:szCs w:val="16"/>
        </w:rPr>
        <w:t>:</w:t>
      </w:r>
      <w:r w:rsidRPr="00360301">
        <w:rPr>
          <w:sz w:val="16"/>
          <w:szCs w:val="16"/>
        </w:rPr>
        <w:t xml:space="preserve">  </w:t>
      </w:r>
      <w:r w:rsidR="000F61F3">
        <w:rPr>
          <w:i/>
          <w:sz w:val="16"/>
          <w:szCs w:val="16"/>
        </w:rPr>
        <w:t>T</w:t>
      </w:r>
      <w:r w:rsidR="00AE2562" w:rsidRPr="00360301">
        <w:rPr>
          <w:i/>
          <w:sz w:val="16"/>
          <w:szCs w:val="16"/>
        </w:rPr>
        <w:t xml:space="preserve">he </w:t>
      </w:r>
      <w:r w:rsidR="006B6557" w:rsidRPr="00360301">
        <w:rPr>
          <w:i/>
          <w:sz w:val="16"/>
          <w:szCs w:val="16"/>
        </w:rPr>
        <w:t>a</w:t>
      </w:r>
      <w:r w:rsidR="00AE2562" w:rsidRPr="00360301">
        <w:rPr>
          <w:i/>
          <w:sz w:val="16"/>
          <w:szCs w:val="16"/>
        </w:rPr>
        <w:t>bsorption spectra of thin</w:t>
      </w:r>
      <w:r w:rsidRPr="00360301">
        <w:rPr>
          <w:i/>
          <w:sz w:val="16"/>
          <w:szCs w:val="16"/>
        </w:rPr>
        <w:t xml:space="preserve"> films of BTR and BQR. (a) </w:t>
      </w:r>
      <w:r w:rsidR="00257633" w:rsidRPr="00360301">
        <w:rPr>
          <w:i/>
          <w:sz w:val="16"/>
          <w:szCs w:val="16"/>
        </w:rPr>
        <w:t>as</w:t>
      </w:r>
      <w:r w:rsidRPr="00360301">
        <w:rPr>
          <w:i/>
          <w:sz w:val="16"/>
          <w:szCs w:val="16"/>
        </w:rPr>
        <w:t>- cast films of BTR (65.4 nm)</w:t>
      </w:r>
      <w:r w:rsidR="00AE2562" w:rsidRPr="00360301">
        <w:rPr>
          <w:i/>
          <w:sz w:val="16"/>
          <w:szCs w:val="16"/>
        </w:rPr>
        <w:t xml:space="preserve"> and BQR (64.7 nm). (b) </w:t>
      </w:r>
      <w:r w:rsidRPr="00360301">
        <w:rPr>
          <w:i/>
          <w:sz w:val="16"/>
          <w:szCs w:val="16"/>
        </w:rPr>
        <w:t xml:space="preserve"> </w:t>
      </w:r>
      <w:r w:rsidR="006B6557" w:rsidRPr="00360301">
        <w:rPr>
          <w:i/>
          <w:sz w:val="16"/>
          <w:szCs w:val="16"/>
        </w:rPr>
        <w:t xml:space="preserve">BQR films before and after annealing. (c) Absorption spectra of BTR films before and after annealing. Inset is </w:t>
      </w:r>
      <w:r w:rsidR="006020EB" w:rsidRPr="006020EB">
        <w:rPr>
          <w:i/>
          <w:sz w:val="16"/>
          <w:szCs w:val="16"/>
        </w:rPr>
        <w:t>an enhanced</w:t>
      </w:r>
      <w:r w:rsidR="006B6557" w:rsidRPr="00360301">
        <w:rPr>
          <w:i/>
          <w:sz w:val="16"/>
          <w:szCs w:val="16"/>
        </w:rPr>
        <w:t xml:space="preserve"> area to show increased π-π stacking. Thermally annealed film: 120 </w:t>
      </w:r>
      <w:r w:rsidR="006B6557" w:rsidRPr="00360301">
        <w:rPr>
          <w:i/>
          <w:sz w:val="16"/>
          <w:szCs w:val="16"/>
          <w:vertAlign w:val="superscript"/>
        </w:rPr>
        <w:t>0</w:t>
      </w:r>
      <w:r w:rsidR="006B6557" w:rsidRPr="00360301">
        <w:rPr>
          <w:i/>
          <w:sz w:val="16"/>
          <w:szCs w:val="16"/>
        </w:rPr>
        <w:t>C for 10 min and SVA with THF and CHCl</w:t>
      </w:r>
      <w:r w:rsidR="006B6557" w:rsidRPr="00360301">
        <w:rPr>
          <w:i/>
          <w:sz w:val="16"/>
          <w:szCs w:val="16"/>
          <w:vertAlign w:val="subscript"/>
        </w:rPr>
        <w:t>3</w:t>
      </w:r>
      <w:r w:rsidR="006B6557" w:rsidRPr="00360301">
        <w:rPr>
          <w:i/>
          <w:sz w:val="16"/>
          <w:szCs w:val="16"/>
        </w:rPr>
        <w:t xml:space="preserve"> for 10 s</w:t>
      </w:r>
      <w:r w:rsidR="00360301">
        <w:rPr>
          <w:i/>
          <w:sz w:val="16"/>
          <w:szCs w:val="16"/>
        </w:rPr>
        <w:t>.</w:t>
      </w:r>
    </w:p>
    <w:p w:rsidR="008F40D6" w:rsidRDefault="008F40D6" w:rsidP="00F51074">
      <w:pPr>
        <w:pStyle w:val="RSCB04AHeadingSection"/>
        <w:spacing w:before="0" w:after="120"/>
        <w:ind w:firstLine="284"/>
        <w:jc w:val="both"/>
        <w:rPr>
          <w:b w:val="0"/>
          <w:sz w:val="18"/>
          <w:szCs w:val="18"/>
        </w:rPr>
      </w:pPr>
      <w:r>
        <w:rPr>
          <w:b w:val="0"/>
          <w:sz w:val="18"/>
          <w:szCs w:val="18"/>
        </w:rPr>
        <w:t>After thermal or solvent vapour annealing, the dominant peak around 644 nm increases (an expansion of area around that peak is given in inset). This suggests an increase in conjugation length due to better π-π stacking of the chains after annealing which develops the crystalline order further.</w:t>
      </w:r>
      <w:r w:rsidR="00ED2862" w:rsidRPr="00ED2862">
        <w:rPr>
          <w:b w:val="0"/>
          <w:noProof/>
          <w:sz w:val="18"/>
          <w:szCs w:val="18"/>
          <w:vertAlign w:val="superscript"/>
        </w:rPr>
        <w:t>14, 17</w:t>
      </w:r>
      <w:r>
        <w:rPr>
          <w:b w:val="0"/>
          <w:sz w:val="18"/>
          <w:szCs w:val="18"/>
        </w:rPr>
        <w:t xml:space="preserve">  </w:t>
      </w:r>
      <w:r w:rsidRPr="00C76CFF">
        <w:rPr>
          <w:b w:val="0"/>
          <w:sz w:val="18"/>
          <w:szCs w:val="18"/>
        </w:rPr>
        <w:t xml:space="preserve">The results for BTR are shown in </w:t>
      </w:r>
      <w:r w:rsidR="00525649" w:rsidRPr="00525649">
        <w:rPr>
          <w:b w:val="0"/>
          <w:sz w:val="18"/>
          <w:szCs w:val="18"/>
        </w:rPr>
        <w:t xml:space="preserve">Figure </w:t>
      </w:r>
      <w:r w:rsidR="00525649" w:rsidRPr="00525649">
        <w:rPr>
          <w:b w:val="0"/>
          <w:noProof/>
          <w:sz w:val="18"/>
          <w:szCs w:val="18"/>
        </w:rPr>
        <w:lastRenderedPageBreak/>
        <w:t>2</w:t>
      </w:r>
      <w:r w:rsidRPr="00C76CFF">
        <w:rPr>
          <w:b w:val="0"/>
          <w:sz w:val="18"/>
          <w:szCs w:val="18"/>
        </w:rPr>
        <w:t xml:space="preserve">c. </w:t>
      </w:r>
      <w:r>
        <w:rPr>
          <w:b w:val="0"/>
          <w:sz w:val="18"/>
          <w:szCs w:val="18"/>
        </w:rPr>
        <w:t>The peak at 620 nm is increased by solvent vapour annealing but not by thermal annealing. In both molecules, a red-shift of more than 10 nm is observed in the absorption spectra after thermal annealing compared to as-cast film.</w:t>
      </w:r>
    </w:p>
    <w:p w:rsidR="00C76CFF" w:rsidRDefault="00C76CFF" w:rsidP="00F51074">
      <w:pPr>
        <w:pStyle w:val="RSCB04AHeadingSection"/>
        <w:spacing w:before="0" w:after="120"/>
        <w:ind w:firstLine="284"/>
        <w:jc w:val="both"/>
        <w:rPr>
          <w:b w:val="0"/>
          <w:sz w:val="18"/>
          <w:szCs w:val="18"/>
        </w:rPr>
      </w:pPr>
      <w:r w:rsidRPr="00F54B35">
        <w:rPr>
          <w:b w:val="0"/>
          <w:sz w:val="18"/>
          <w:szCs w:val="18"/>
        </w:rPr>
        <w:t xml:space="preserve">We measured the exciton diffusion using exciton-exciton annihilation. In this method time-resolved PL decays are measured </w:t>
      </w:r>
      <w:r>
        <w:rPr>
          <w:b w:val="0"/>
          <w:sz w:val="18"/>
          <w:szCs w:val="18"/>
        </w:rPr>
        <w:t xml:space="preserve">at different initial excitation densities. The resulting PL decays are shown in </w:t>
      </w:r>
      <w:r w:rsidRPr="00380858">
        <w:rPr>
          <w:sz w:val="18"/>
          <w:szCs w:val="18"/>
        </w:rPr>
        <w:t xml:space="preserve">Figure </w:t>
      </w:r>
      <w:r>
        <w:rPr>
          <w:sz w:val="18"/>
          <w:szCs w:val="18"/>
        </w:rPr>
        <w:t>S1 and S2</w:t>
      </w:r>
      <w:r>
        <w:rPr>
          <w:b w:val="0"/>
          <w:sz w:val="18"/>
          <w:szCs w:val="18"/>
        </w:rPr>
        <w:t>. At high initial excitation density, the PL decays are faster because a large number of excitons are created which are close to each other, therefore annihilate faster. The density of singlet excitons created is proportional to time-resolved PL intensity and can be described by the rate equation.</w:t>
      </w:r>
    </w:p>
    <w:p w:rsidR="00C76CFF" w:rsidRPr="00071908" w:rsidRDefault="0064727F" w:rsidP="00F51074">
      <w:pPr>
        <w:pStyle w:val="RSCB04AHeadingSection"/>
        <w:spacing w:before="0" w:after="120"/>
        <w:ind w:firstLine="284"/>
        <w:jc w:val="both"/>
        <w:rPr>
          <w:b w:val="0"/>
          <w:sz w:val="18"/>
          <w:szCs w:val="18"/>
        </w:rPr>
      </w:pPr>
      <m:oMathPara>
        <m:oMath>
          <m:f>
            <m:fPr>
              <m:ctrlPr>
                <w:rPr>
                  <w:rFonts w:ascii="Cambria Math" w:hAnsi="Cambria Math"/>
                  <w:b w:val="0"/>
                  <w:i/>
                  <w:sz w:val="18"/>
                  <w:szCs w:val="18"/>
                  <w:lang w:eastAsia="en-GB"/>
                </w:rPr>
              </m:ctrlPr>
            </m:fPr>
            <m:num>
              <m:r>
                <m:rPr>
                  <m:sty m:val="bi"/>
                </m:rPr>
                <w:rPr>
                  <w:rFonts w:ascii="Cambria Math" w:hAnsi="Cambria Math"/>
                  <w:sz w:val="18"/>
                  <w:szCs w:val="18"/>
                  <w:lang w:eastAsia="en-GB"/>
                </w:rPr>
                <m:t>dN</m:t>
              </m:r>
            </m:num>
            <m:den>
              <m:r>
                <m:rPr>
                  <m:sty m:val="bi"/>
                </m:rPr>
                <w:rPr>
                  <w:rFonts w:ascii="Cambria Math" w:hAnsi="Cambria Math"/>
                  <w:sz w:val="18"/>
                  <w:szCs w:val="18"/>
                  <w:lang w:eastAsia="en-GB"/>
                </w:rPr>
                <m:t>dt</m:t>
              </m:r>
            </m:den>
          </m:f>
          <m:r>
            <m:rPr>
              <m:sty m:val="bi"/>
            </m:rPr>
            <w:rPr>
              <w:rFonts w:ascii="Cambria Math" w:hAnsi="Cambria Math"/>
              <w:sz w:val="18"/>
              <w:szCs w:val="18"/>
              <w:lang w:eastAsia="en-GB"/>
            </w:rPr>
            <m:t>=G-k(t)N-γ</m:t>
          </m:r>
          <m:sSup>
            <m:sSupPr>
              <m:ctrlPr>
                <w:rPr>
                  <w:rFonts w:ascii="Cambria Math" w:hAnsi="Cambria Math"/>
                  <w:b w:val="0"/>
                  <w:i/>
                  <w:sz w:val="18"/>
                  <w:szCs w:val="18"/>
                  <w:lang w:eastAsia="en-GB"/>
                </w:rPr>
              </m:ctrlPr>
            </m:sSupPr>
            <m:e>
              <m:r>
                <m:rPr>
                  <m:sty m:val="bi"/>
                </m:rPr>
                <w:rPr>
                  <w:rFonts w:ascii="Cambria Math" w:hAnsi="Cambria Math"/>
                  <w:sz w:val="18"/>
                  <w:szCs w:val="18"/>
                  <w:lang w:eastAsia="en-GB"/>
                </w:rPr>
                <m:t>(t)N</m:t>
              </m:r>
            </m:e>
            <m:sup>
              <m:r>
                <m:rPr>
                  <m:sty m:val="bi"/>
                </m:rPr>
                <w:rPr>
                  <w:rFonts w:ascii="Cambria Math" w:hAnsi="Cambria Math" w:hint="eastAsia"/>
                  <w:sz w:val="18"/>
                  <w:szCs w:val="18"/>
                  <w:lang w:eastAsia="en-GB"/>
                </w:rPr>
                <m:t>2</m:t>
              </m:r>
            </m:sup>
          </m:sSup>
          <m:r>
            <m:rPr>
              <m:sty m:val="bi"/>
            </m:rPr>
            <w:rPr>
              <w:rFonts w:ascii="Cambria Math" w:hAnsi="Cambria Math"/>
              <w:sz w:val="18"/>
              <w:szCs w:val="18"/>
              <w:lang w:eastAsia="en-GB"/>
            </w:rPr>
            <m:t xml:space="preserve">                         (1)</m:t>
          </m:r>
        </m:oMath>
      </m:oMathPara>
    </w:p>
    <w:p w:rsidR="00C76CFF" w:rsidRPr="00071908" w:rsidRDefault="00C76CFF" w:rsidP="00F51074">
      <w:pPr>
        <w:pStyle w:val="RSCB04AHeadingSection"/>
        <w:spacing w:before="0" w:after="120"/>
        <w:ind w:firstLine="284"/>
        <w:jc w:val="both"/>
        <w:rPr>
          <w:rFonts w:eastAsiaTheme="minorEastAsia"/>
          <w:b w:val="0"/>
          <w:sz w:val="18"/>
          <w:szCs w:val="18"/>
          <w:lang w:eastAsia="en-GB"/>
        </w:rPr>
      </w:pPr>
      <w:r w:rsidRPr="00071908">
        <w:rPr>
          <w:b w:val="0"/>
          <w:sz w:val="18"/>
          <w:szCs w:val="18"/>
        </w:rPr>
        <w:t xml:space="preserve">Here </w:t>
      </w:r>
      <w:r w:rsidRPr="00071908">
        <w:rPr>
          <w:b w:val="0"/>
          <w:i/>
          <w:sz w:val="18"/>
          <w:szCs w:val="18"/>
          <w:lang w:eastAsia="en-GB"/>
        </w:rPr>
        <w:t>G</w:t>
      </w:r>
      <w:r w:rsidRPr="00071908">
        <w:rPr>
          <w:b w:val="0"/>
          <w:sz w:val="18"/>
          <w:szCs w:val="18"/>
          <w:lang w:eastAsia="en-GB"/>
        </w:rPr>
        <w:t xml:space="preserve"> corresponds to exciton generation which is instantaneous in this case (i.e. generation is within the 200 fs duration of the excitation pulse), </w:t>
      </w:r>
      <w:r w:rsidRPr="00071908">
        <w:rPr>
          <w:b w:val="0"/>
          <w:i/>
          <w:sz w:val="18"/>
          <w:szCs w:val="18"/>
          <w:lang w:eastAsia="en-GB"/>
        </w:rPr>
        <w:t>k(t)</w:t>
      </w:r>
      <w:r w:rsidRPr="00071908">
        <w:rPr>
          <w:b w:val="0"/>
          <w:sz w:val="18"/>
          <w:szCs w:val="18"/>
          <w:lang w:eastAsia="en-GB"/>
        </w:rPr>
        <w:t xml:space="preserve"> is the natural decay rate constant in the absence of annihilation</w:t>
      </w:r>
      <w:r w:rsidR="00B11479" w:rsidRPr="00071908">
        <w:rPr>
          <w:b w:val="0"/>
          <w:sz w:val="18"/>
          <w:szCs w:val="18"/>
          <w:lang w:eastAsia="en-GB"/>
        </w:rPr>
        <w:t xml:space="preserve"> </w:t>
      </w:r>
      <w:r w:rsidR="00B11479" w:rsidRPr="00071908">
        <w:rPr>
          <w:rFonts w:eastAsiaTheme="minorEastAsia"/>
          <w:b w:val="0"/>
          <w:sz w:val="18"/>
          <w:szCs w:val="18"/>
        </w:rPr>
        <w:t xml:space="preserve">and </w:t>
      </w:r>
      <m:oMath>
        <m:r>
          <m:rPr>
            <m:sty m:val="b"/>
          </m:rPr>
          <w:rPr>
            <w:rFonts w:ascii="Cambria Math" w:hAnsi="Cambria Math"/>
            <w:sz w:val="18"/>
            <w:szCs w:val="18"/>
            <w:lang w:eastAsia="en-GB"/>
          </w:rPr>
          <m:t>γ</m:t>
        </m:r>
        <m:d>
          <m:dPr>
            <m:ctrlPr>
              <w:rPr>
                <w:rFonts w:ascii="Cambria Math" w:hAnsi="Cambria Math" w:cs="Times New Roman"/>
                <w:b w:val="0"/>
                <w:sz w:val="18"/>
                <w:szCs w:val="18"/>
              </w:rPr>
            </m:ctrlPr>
          </m:dPr>
          <m:e>
            <m:r>
              <m:rPr>
                <m:sty m:val="b"/>
              </m:rPr>
              <w:rPr>
                <w:rFonts w:ascii="Cambria Math" w:hAnsi="Cambria Math"/>
                <w:sz w:val="18"/>
                <w:szCs w:val="18"/>
                <w:lang w:eastAsia="en-GB"/>
              </w:rPr>
              <m:t>t</m:t>
            </m:r>
          </m:e>
        </m:d>
      </m:oMath>
      <w:r w:rsidR="00B11479" w:rsidRPr="00071908">
        <w:rPr>
          <w:b w:val="0"/>
          <w:sz w:val="18"/>
          <w:szCs w:val="18"/>
          <w:lang w:eastAsia="en-GB"/>
        </w:rPr>
        <w:t xml:space="preserve"> is the annihilation rate constant. </w:t>
      </w:r>
      <w:r w:rsidR="00B11479" w:rsidRPr="00071908">
        <w:rPr>
          <w:b w:val="0"/>
          <w:sz w:val="18"/>
          <w:szCs w:val="18"/>
        </w:rPr>
        <w:t>At low excitation density (&lt;10</w:t>
      </w:r>
      <w:r w:rsidR="00B11479" w:rsidRPr="00071908">
        <w:rPr>
          <w:b w:val="0"/>
          <w:sz w:val="18"/>
          <w:szCs w:val="18"/>
          <w:vertAlign w:val="superscript"/>
        </w:rPr>
        <w:t>15</w:t>
      </w:r>
      <w:r w:rsidR="00FA60E5" w:rsidRPr="00071908">
        <w:rPr>
          <w:b w:val="0"/>
          <w:sz w:val="18"/>
          <w:szCs w:val="18"/>
          <w:vertAlign w:val="superscript"/>
        </w:rPr>
        <w:t xml:space="preserve"> </w:t>
      </w:r>
      <w:r w:rsidR="00B11479" w:rsidRPr="00071908">
        <w:rPr>
          <w:b w:val="0"/>
          <w:sz w:val="18"/>
          <w:szCs w:val="18"/>
        </w:rPr>
        <w:t>cm</w:t>
      </w:r>
      <w:r w:rsidR="00B11479" w:rsidRPr="00071908">
        <w:rPr>
          <w:b w:val="0"/>
          <w:sz w:val="18"/>
          <w:szCs w:val="18"/>
          <w:vertAlign w:val="superscript"/>
        </w:rPr>
        <w:t>-3</w:t>
      </w:r>
      <w:r w:rsidR="00B11479" w:rsidRPr="00071908">
        <w:rPr>
          <w:b w:val="0"/>
          <w:sz w:val="18"/>
          <w:szCs w:val="18"/>
        </w:rPr>
        <w:t>) the annihilation term is negligible and so fitting the low excitation density data gives us k(t)</w:t>
      </w:r>
      <w:r w:rsidR="00B11479" w:rsidRPr="00071908">
        <w:rPr>
          <w:b w:val="0"/>
          <w:sz w:val="18"/>
          <w:szCs w:val="18"/>
          <w:lang w:eastAsia="en-GB"/>
        </w:rPr>
        <w:t xml:space="preserve">. As the decay is non-exponential, we used a sum of three exponentials to obtain k(t). </w:t>
      </w:r>
      <w:r w:rsidR="00B11479" w:rsidRPr="00071908">
        <w:rPr>
          <w:b w:val="0"/>
          <w:sz w:val="18"/>
          <w:szCs w:val="18"/>
        </w:rPr>
        <w:t>We then fit all the decays at high excitation densities (&gt;10</w:t>
      </w:r>
      <w:r w:rsidR="00B11479" w:rsidRPr="00071908">
        <w:rPr>
          <w:b w:val="0"/>
          <w:sz w:val="18"/>
          <w:szCs w:val="18"/>
          <w:vertAlign w:val="superscript"/>
        </w:rPr>
        <w:t>16</w:t>
      </w:r>
      <w:r w:rsidR="00FA60E5" w:rsidRPr="00071908">
        <w:rPr>
          <w:b w:val="0"/>
          <w:sz w:val="18"/>
          <w:szCs w:val="18"/>
          <w:vertAlign w:val="superscript"/>
        </w:rPr>
        <w:t xml:space="preserve"> </w:t>
      </w:r>
      <w:r w:rsidR="00B11479" w:rsidRPr="00071908">
        <w:rPr>
          <w:b w:val="0"/>
          <w:sz w:val="18"/>
          <w:szCs w:val="18"/>
        </w:rPr>
        <w:t>cm</w:t>
      </w:r>
      <w:r w:rsidR="00B11479" w:rsidRPr="00071908">
        <w:rPr>
          <w:b w:val="0"/>
          <w:sz w:val="18"/>
          <w:szCs w:val="18"/>
          <w:vertAlign w:val="superscript"/>
        </w:rPr>
        <w:t>-3</w:t>
      </w:r>
      <w:r w:rsidR="00B11479" w:rsidRPr="00071908">
        <w:rPr>
          <w:b w:val="0"/>
          <w:sz w:val="18"/>
          <w:szCs w:val="18"/>
        </w:rPr>
        <w:t>) to obtain</w:t>
      </w:r>
      <m:oMath>
        <m:r>
          <m:rPr>
            <m:sty m:val="b"/>
          </m:rPr>
          <w:rPr>
            <w:rFonts w:ascii="Cambria Math" w:hAnsi="Cambria Math"/>
            <w:sz w:val="18"/>
            <w:szCs w:val="18"/>
            <w:lang w:eastAsia="en-GB"/>
          </w:rPr>
          <m:t xml:space="preserve"> γ</m:t>
        </m:r>
        <m:d>
          <m:dPr>
            <m:ctrlPr>
              <w:rPr>
                <w:rFonts w:ascii="Cambria Math" w:hAnsi="Cambria Math" w:cs="Times New Roman"/>
                <w:b w:val="0"/>
                <w:sz w:val="18"/>
                <w:szCs w:val="18"/>
              </w:rPr>
            </m:ctrlPr>
          </m:dPr>
          <m:e>
            <m:r>
              <m:rPr>
                <m:sty m:val="b"/>
              </m:rPr>
              <w:rPr>
                <w:rFonts w:ascii="Cambria Math" w:hAnsi="Cambria Math"/>
                <w:sz w:val="18"/>
                <w:szCs w:val="18"/>
                <w:lang w:eastAsia="en-GB"/>
              </w:rPr>
              <m:t>t</m:t>
            </m:r>
          </m:e>
        </m:d>
      </m:oMath>
      <w:r w:rsidR="00B11479" w:rsidRPr="00071908">
        <w:rPr>
          <w:rFonts w:eastAsiaTheme="minorEastAsia"/>
          <w:b w:val="0"/>
          <w:sz w:val="18"/>
          <w:szCs w:val="18"/>
        </w:rPr>
        <w:t xml:space="preserve">. </w:t>
      </w:r>
      <w:r w:rsidRPr="00071908">
        <w:rPr>
          <w:b w:val="0"/>
          <w:sz w:val="18"/>
          <w:szCs w:val="18"/>
          <w:lang w:eastAsia="en-GB"/>
        </w:rPr>
        <w:t>The</w:t>
      </w:r>
      <w:r w:rsidRPr="00071908">
        <w:rPr>
          <w:b w:val="0"/>
          <w:sz w:val="18"/>
          <w:szCs w:val="18"/>
        </w:rPr>
        <w:t xml:space="preserve"> annihilation rate constant</w:t>
      </w:r>
      <w:r w:rsidRPr="00071908">
        <w:rPr>
          <w:rFonts w:eastAsiaTheme="minorEastAsia"/>
          <w:b w:val="0"/>
          <w:sz w:val="18"/>
          <w:szCs w:val="18"/>
        </w:rPr>
        <w:t>s</w:t>
      </w:r>
      <m:oMath>
        <m:r>
          <m:rPr>
            <m:sty m:val="bi"/>
          </m:rPr>
          <w:rPr>
            <w:rFonts w:ascii="Cambria Math" w:hAnsi="Cambria Math"/>
            <w:sz w:val="18"/>
            <w:szCs w:val="18"/>
            <w:lang w:eastAsia="en-GB"/>
          </w:rPr>
          <m:t xml:space="preserve"> γ</m:t>
        </m:r>
        <m:d>
          <m:dPr>
            <m:ctrlPr>
              <w:rPr>
                <w:rFonts w:ascii="Cambria Math" w:hAnsi="Cambria Math"/>
                <w:b w:val="0"/>
                <w:i/>
                <w:sz w:val="18"/>
                <w:szCs w:val="18"/>
                <w:lang w:eastAsia="en-GB"/>
              </w:rPr>
            </m:ctrlPr>
          </m:dPr>
          <m:e>
            <m:r>
              <m:rPr>
                <m:sty m:val="bi"/>
              </m:rPr>
              <w:rPr>
                <w:rFonts w:ascii="Cambria Math" w:hAnsi="Cambria Math"/>
                <w:sz w:val="18"/>
                <w:szCs w:val="18"/>
                <w:lang w:eastAsia="en-GB"/>
              </w:rPr>
              <m:t>t</m:t>
            </m:r>
          </m:e>
        </m:d>
      </m:oMath>
      <w:r w:rsidRPr="00071908">
        <w:rPr>
          <w:b w:val="0"/>
          <w:sz w:val="18"/>
          <w:szCs w:val="18"/>
        </w:rPr>
        <w:t xml:space="preserve"> obtained for both molecules before and after annealing are shown in </w:t>
      </w:r>
      <w:r w:rsidR="00525649" w:rsidRPr="00071908">
        <w:rPr>
          <w:b w:val="0"/>
          <w:sz w:val="18"/>
          <w:szCs w:val="18"/>
        </w:rPr>
        <w:t xml:space="preserve">Figure </w:t>
      </w:r>
      <w:r w:rsidR="00525649" w:rsidRPr="00071908">
        <w:rPr>
          <w:b w:val="0"/>
          <w:noProof/>
          <w:sz w:val="18"/>
          <w:szCs w:val="18"/>
        </w:rPr>
        <w:t>3</w:t>
      </w:r>
      <w:r w:rsidRPr="00071908">
        <w:rPr>
          <w:b w:val="0"/>
          <w:sz w:val="18"/>
          <w:szCs w:val="18"/>
        </w:rPr>
        <w:t xml:space="preserve">a and 3b. </w:t>
      </w:r>
      <w:r w:rsidRPr="00071908">
        <w:rPr>
          <w:rFonts w:eastAsiaTheme="minorEastAsia"/>
          <w:b w:val="0"/>
          <w:sz w:val="18"/>
          <w:szCs w:val="18"/>
        </w:rPr>
        <w:t xml:space="preserve">In both molecules, </w:t>
      </w:r>
      <m:oMath>
        <m:r>
          <m:rPr>
            <m:sty m:val="bi"/>
          </m:rPr>
          <w:rPr>
            <w:rFonts w:ascii="Cambria Math" w:hAnsi="Cambria Math"/>
            <w:sz w:val="18"/>
            <w:szCs w:val="18"/>
            <w:lang w:eastAsia="en-GB"/>
          </w:rPr>
          <m:t>γ</m:t>
        </m:r>
        <m:d>
          <m:dPr>
            <m:ctrlPr>
              <w:rPr>
                <w:rFonts w:ascii="Cambria Math" w:hAnsi="Cambria Math"/>
                <w:b w:val="0"/>
                <w:i/>
                <w:sz w:val="18"/>
                <w:szCs w:val="18"/>
                <w:lang w:eastAsia="en-GB"/>
              </w:rPr>
            </m:ctrlPr>
          </m:dPr>
          <m:e>
            <m:r>
              <m:rPr>
                <m:sty m:val="bi"/>
              </m:rPr>
              <w:rPr>
                <w:rFonts w:ascii="Cambria Math" w:hAnsi="Cambria Math"/>
                <w:sz w:val="18"/>
                <w:szCs w:val="18"/>
                <w:lang w:eastAsia="en-GB"/>
              </w:rPr>
              <m:t>t</m:t>
            </m:r>
          </m:e>
        </m:d>
      </m:oMath>
      <w:r w:rsidRPr="00071908">
        <w:rPr>
          <w:b w:val="0"/>
          <w:sz w:val="18"/>
          <w:szCs w:val="18"/>
          <w:lang w:eastAsia="en-GB"/>
        </w:rPr>
        <w:t xml:space="preserve"> is strongly time-dependent at early times and becomes time-independent at longer time (&gt; 200ps). This is similar to</w:t>
      </w:r>
      <w:r w:rsidR="00774B08" w:rsidRPr="00071908">
        <w:rPr>
          <w:b w:val="0"/>
          <w:sz w:val="18"/>
          <w:szCs w:val="18"/>
          <w:lang w:eastAsia="en-GB"/>
        </w:rPr>
        <w:t xml:space="preserve"> the</w:t>
      </w:r>
      <w:r w:rsidRPr="00071908">
        <w:rPr>
          <w:b w:val="0"/>
          <w:sz w:val="18"/>
          <w:szCs w:val="18"/>
          <w:lang w:eastAsia="en-GB"/>
        </w:rPr>
        <w:t xml:space="preserve"> behaviour observed previously in organic semiconductors, where early time annihilation is controlled by direct transfer and longer time annihilation is controlled by exciton diffusion. </w:t>
      </w:r>
      <w:r w:rsidR="00ED2862" w:rsidRPr="00071908">
        <w:rPr>
          <w:b w:val="0"/>
          <w:noProof/>
          <w:sz w:val="18"/>
          <w:szCs w:val="18"/>
          <w:vertAlign w:val="superscript"/>
          <w:lang w:eastAsia="en-GB"/>
        </w:rPr>
        <w:t>14, 15, 20, 21</w:t>
      </w:r>
      <w:r w:rsidRPr="00071908">
        <w:rPr>
          <w:b w:val="0"/>
          <w:sz w:val="18"/>
          <w:szCs w:val="18"/>
          <w:lang w:eastAsia="en-GB"/>
        </w:rPr>
        <w:t xml:space="preserve"> The comparison of </w:t>
      </w:r>
      <m:oMath>
        <m:r>
          <m:rPr>
            <m:sty m:val="bi"/>
          </m:rPr>
          <w:rPr>
            <w:rFonts w:ascii="Cambria Math" w:hAnsi="Cambria Math"/>
            <w:sz w:val="18"/>
            <w:szCs w:val="18"/>
            <w:lang w:eastAsia="en-GB"/>
          </w:rPr>
          <m:t>γ</m:t>
        </m:r>
        <m:d>
          <m:dPr>
            <m:ctrlPr>
              <w:rPr>
                <w:rFonts w:ascii="Cambria Math" w:hAnsi="Cambria Math"/>
                <w:b w:val="0"/>
                <w:i/>
                <w:sz w:val="18"/>
                <w:szCs w:val="18"/>
                <w:lang w:eastAsia="en-GB"/>
              </w:rPr>
            </m:ctrlPr>
          </m:dPr>
          <m:e>
            <m:r>
              <m:rPr>
                <m:sty m:val="bi"/>
              </m:rPr>
              <w:rPr>
                <w:rFonts w:ascii="Cambria Math" w:hAnsi="Cambria Math"/>
                <w:sz w:val="18"/>
                <w:szCs w:val="18"/>
                <w:lang w:eastAsia="en-GB"/>
              </w:rPr>
              <m:t>t</m:t>
            </m:r>
          </m:e>
        </m:d>
        <m:r>
          <m:rPr>
            <m:sty m:val="bi"/>
          </m:rPr>
          <w:rPr>
            <w:rFonts w:ascii="Cambria Math" w:hAnsi="Cambria Math"/>
            <w:sz w:val="18"/>
            <w:szCs w:val="18"/>
            <w:lang w:eastAsia="en-GB"/>
          </w:rPr>
          <m:t xml:space="preserve"> </m:t>
        </m:r>
      </m:oMath>
      <w:r w:rsidRPr="00071908">
        <w:rPr>
          <w:rFonts w:eastAsiaTheme="minorEastAsia"/>
          <w:b w:val="0"/>
          <w:sz w:val="18"/>
          <w:szCs w:val="18"/>
          <w:lang w:eastAsia="en-GB"/>
        </w:rPr>
        <w:t xml:space="preserve">at longer time (&gt; 200ps) indicates that films annealed (either thermally or by solvent vapour) have higher exciton diffusion compared to as-cast film in both molecules.  </w:t>
      </w:r>
      <w:r w:rsidR="00B11479" w:rsidRPr="00071908">
        <w:rPr>
          <w:b w:val="0"/>
          <w:sz w:val="18"/>
          <w:szCs w:val="18"/>
        </w:rPr>
        <w:t>The highest</w:t>
      </w:r>
      <m:oMath>
        <m:r>
          <m:rPr>
            <m:sty m:val="b"/>
          </m:rPr>
          <w:rPr>
            <w:rFonts w:ascii="Cambria Math" w:hAnsi="Cambria Math"/>
            <w:sz w:val="18"/>
            <w:szCs w:val="18"/>
            <w:lang w:eastAsia="en-GB"/>
          </w:rPr>
          <m:t xml:space="preserve"> γ</m:t>
        </m:r>
        <m:d>
          <m:dPr>
            <m:ctrlPr>
              <w:rPr>
                <w:rFonts w:ascii="Cambria Math" w:hAnsi="Cambria Math" w:cs="Times New Roman"/>
                <w:b w:val="0"/>
                <w:sz w:val="18"/>
                <w:szCs w:val="18"/>
              </w:rPr>
            </m:ctrlPr>
          </m:dPr>
          <m:e>
            <m:r>
              <m:rPr>
                <m:sty m:val="b"/>
              </m:rPr>
              <w:rPr>
                <w:rFonts w:ascii="Cambria Math" w:hAnsi="Cambria Math"/>
                <w:sz w:val="18"/>
                <w:szCs w:val="18"/>
                <w:lang w:eastAsia="en-GB"/>
              </w:rPr>
              <m:t>t</m:t>
            </m:r>
          </m:e>
        </m:d>
      </m:oMath>
      <w:r w:rsidR="00B11479" w:rsidRPr="00071908">
        <w:rPr>
          <w:rFonts w:eastAsiaTheme="minorEastAsia"/>
          <w:b w:val="0"/>
          <w:sz w:val="18"/>
          <w:szCs w:val="18"/>
          <w:lang w:eastAsia="en-GB"/>
        </w:rPr>
        <w:t xml:space="preserve"> for BTR is for SVA with THF. For BQR the highest </w:t>
      </w:r>
      <m:oMath>
        <m:r>
          <m:rPr>
            <m:sty m:val="b"/>
          </m:rPr>
          <w:rPr>
            <w:rFonts w:ascii="Cambria Math" w:hAnsi="Cambria Math"/>
            <w:sz w:val="18"/>
            <w:szCs w:val="18"/>
            <w:lang w:eastAsia="en-GB"/>
          </w:rPr>
          <m:t>γ</m:t>
        </m:r>
        <m:d>
          <m:dPr>
            <m:ctrlPr>
              <w:rPr>
                <w:rFonts w:ascii="Cambria Math" w:hAnsi="Cambria Math" w:cs="Times New Roman"/>
                <w:b w:val="0"/>
                <w:sz w:val="18"/>
                <w:szCs w:val="18"/>
              </w:rPr>
            </m:ctrlPr>
          </m:dPr>
          <m:e>
            <m:r>
              <m:rPr>
                <m:sty m:val="b"/>
              </m:rPr>
              <w:rPr>
                <w:rFonts w:ascii="Cambria Math" w:hAnsi="Cambria Math"/>
                <w:sz w:val="18"/>
                <w:szCs w:val="18"/>
                <w:lang w:eastAsia="en-GB"/>
              </w:rPr>
              <m:t>t</m:t>
            </m:r>
          </m:e>
        </m:d>
      </m:oMath>
      <w:r w:rsidR="00B11479" w:rsidRPr="00071908">
        <w:rPr>
          <w:rFonts w:eastAsiaTheme="minorEastAsia"/>
          <w:b w:val="0"/>
          <w:sz w:val="18"/>
          <w:szCs w:val="18"/>
          <w:lang w:eastAsia="en-GB"/>
        </w:rPr>
        <w:t xml:space="preserve"> is for CHCl</w:t>
      </w:r>
      <w:r w:rsidR="00B11479" w:rsidRPr="00071908">
        <w:rPr>
          <w:rFonts w:eastAsiaTheme="minorEastAsia"/>
          <w:b w:val="0"/>
          <w:sz w:val="18"/>
          <w:szCs w:val="18"/>
          <w:vertAlign w:val="subscript"/>
          <w:lang w:eastAsia="en-GB"/>
        </w:rPr>
        <w:t>3</w:t>
      </w:r>
      <w:r w:rsidRPr="00071908">
        <w:rPr>
          <w:rFonts w:eastAsiaTheme="minorEastAsia"/>
          <w:b w:val="0"/>
          <w:sz w:val="18"/>
          <w:szCs w:val="18"/>
          <w:lang w:eastAsia="en-GB"/>
        </w:rPr>
        <w:t xml:space="preserve">. </w:t>
      </w:r>
    </w:p>
    <w:p w:rsidR="00BF6F2E" w:rsidRPr="00071908" w:rsidRDefault="00BF6F2E" w:rsidP="00F51074">
      <w:pPr>
        <w:pStyle w:val="RSCB04AHeadingSection"/>
        <w:spacing w:before="0" w:after="120"/>
        <w:ind w:firstLine="284"/>
        <w:jc w:val="both"/>
        <w:rPr>
          <w:rFonts w:eastAsiaTheme="minorEastAsia"/>
          <w:b w:val="0"/>
          <w:sz w:val="18"/>
          <w:szCs w:val="18"/>
          <w:lang w:eastAsia="en-GB"/>
        </w:rPr>
      </w:pPr>
      <w:r w:rsidRPr="00071908">
        <w:rPr>
          <w:rFonts w:eastAsiaTheme="minorEastAsia"/>
          <w:b w:val="0"/>
          <w:sz w:val="18"/>
          <w:szCs w:val="18"/>
          <w:lang w:eastAsia="en-GB"/>
        </w:rPr>
        <w:t xml:space="preserve">The value of exciton diffusion coefficient (D) </w:t>
      </w:r>
      <w:r w:rsidR="00257633" w:rsidRPr="00071908">
        <w:rPr>
          <w:rFonts w:eastAsiaTheme="minorEastAsia"/>
          <w:b w:val="0"/>
          <w:sz w:val="18"/>
          <w:szCs w:val="18"/>
          <w:lang w:eastAsia="en-GB"/>
        </w:rPr>
        <w:t>was</w:t>
      </w:r>
      <w:r w:rsidRPr="00071908">
        <w:rPr>
          <w:rFonts w:eastAsiaTheme="minorEastAsia"/>
          <w:b w:val="0"/>
          <w:sz w:val="18"/>
          <w:szCs w:val="18"/>
          <w:lang w:eastAsia="en-GB"/>
        </w:rPr>
        <w:t xml:space="preserve"> extracted by describing the diffusion-limited annihilation in a three-dimensional isotropic system by the sum of time-dependent and time-independent term</w:t>
      </w:r>
      <w:r w:rsidR="0061067D" w:rsidRPr="00071908">
        <w:rPr>
          <w:rFonts w:eastAsiaTheme="minorEastAsia"/>
          <w:b w:val="0"/>
          <w:sz w:val="18"/>
          <w:szCs w:val="18"/>
          <w:lang w:eastAsia="en-GB"/>
        </w:rPr>
        <w:t>s,</w:t>
      </w:r>
      <w:r w:rsidRPr="00071908">
        <w:rPr>
          <w:rFonts w:eastAsiaTheme="minorEastAsia"/>
          <w:b w:val="0"/>
          <w:sz w:val="18"/>
          <w:szCs w:val="18"/>
          <w:lang w:eastAsia="en-GB"/>
        </w:rPr>
        <w:t xml:space="preserve"> </w:t>
      </w:r>
    </w:p>
    <w:p w:rsidR="00BF6F2E" w:rsidRPr="00071908" w:rsidRDefault="00071908" w:rsidP="00F51074">
      <w:pPr>
        <w:pStyle w:val="RSCB04AHeadingSection"/>
        <w:spacing w:before="0" w:after="120"/>
        <w:ind w:firstLine="284"/>
        <w:jc w:val="both"/>
        <w:rPr>
          <w:rFonts w:eastAsiaTheme="minorEastAsia"/>
          <w:b w:val="0"/>
          <w:sz w:val="18"/>
          <w:szCs w:val="18"/>
          <w:lang w:eastAsia="en-GB"/>
        </w:rPr>
      </w:pPr>
      <m:oMathPara>
        <m:oMath>
          <m:r>
            <m:rPr>
              <m:sty m:val="bi"/>
            </m:rPr>
            <w:rPr>
              <w:rFonts w:ascii="Cambria Math" w:hAnsi="Cambria Math"/>
              <w:sz w:val="18"/>
              <w:szCs w:val="18"/>
              <w:lang w:eastAsia="en-GB"/>
            </w:rPr>
            <m:t>γ</m:t>
          </m:r>
          <m:d>
            <m:dPr>
              <m:ctrlPr>
                <w:rPr>
                  <w:rFonts w:ascii="Cambria Math" w:hAnsi="Cambria Math"/>
                  <w:b w:val="0"/>
                  <w:i/>
                  <w:sz w:val="18"/>
                  <w:szCs w:val="18"/>
                  <w:lang w:eastAsia="en-GB"/>
                </w:rPr>
              </m:ctrlPr>
            </m:dPr>
            <m:e>
              <m:r>
                <m:rPr>
                  <m:sty m:val="bi"/>
                </m:rPr>
                <w:rPr>
                  <w:rFonts w:ascii="Cambria Math" w:hAnsi="Cambria Math"/>
                  <w:sz w:val="18"/>
                  <w:szCs w:val="18"/>
                  <w:lang w:eastAsia="en-GB"/>
                </w:rPr>
                <m:t>t</m:t>
              </m:r>
            </m:e>
          </m:d>
          <m:r>
            <m:rPr>
              <m:sty m:val="bi"/>
            </m:rPr>
            <w:rPr>
              <w:rFonts w:ascii="Cambria Math" w:hAnsi="Cambria Math"/>
              <w:sz w:val="18"/>
              <w:szCs w:val="18"/>
              <w:lang w:eastAsia="en-GB"/>
            </w:rPr>
            <m:t>=4π</m:t>
          </m:r>
          <m:sSub>
            <m:sSubPr>
              <m:ctrlPr>
                <w:rPr>
                  <w:rFonts w:ascii="Cambria Math" w:hAnsi="Cambria Math"/>
                  <w:b w:val="0"/>
                  <w:i/>
                  <w:sz w:val="18"/>
                  <w:szCs w:val="18"/>
                  <w:lang w:eastAsia="en-GB"/>
                </w:rPr>
              </m:ctrlPr>
            </m:sSubPr>
            <m:e>
              <m:r>
                <m:rPr>
                  <m:sty m:val="bi"/>
                </m:rPr>
                <w:rPr>
                  <w:rFonts w:ascii="Cambria Math" w:hAnsi="Cambria Math"/>
                  <w:sz w:val="18"/>
                  <w:szCs w:val="18"/>
                  <w:lang w:eastAsia="en-GB"/>
                </w:rPr>
                <m:t>R</m:t>
              </m:r>
            </m:e>
            <m:sub>
              <m:r>
                <m:rPr>
                  <m:sty m:val="bi"/>
                </m:rPr>
                <w:rPr>
                  <w:rFonts w:ascii="Cambria Math" w:hAnsi="Cambria Math"/>
                  <w:sz w:val="18"/>
                  <w:szCs w:val="18"/>
                  <w:lang w:eastAsia="en-GB"/>
                </w:rPr>
                <m:t>a</m:t>
              </m:r>
            </m:sub>
          </m:sSub>
          <m:r>
            <m:rPr>
              <m:sty m:val="bi"/>
            </m:rPr>
            <w:rPr>
              <w:rFonts w:ascii="Cambria Math" w:hAnsi="Cambria Math"/>
              <w:sz w:val="18"/>
              <w:szCs w:val="18"/>
              <w:lang w:eastAsia="en-GB"/>
            </w:rPr>
            <m:t>D</m:t>
          </m:r>
          <m:d>
            <m:dPr>
              <m:ctrlPr>
                <w:rPr>
                  <w:rFonts w:ascii="Cambria Math" w:hAnsi="Cambria Math"/>
                  <w:b w:val="0"/>
                  <w:i/>
                  <w:sz w:val="18"/>
                  <w:szCs w:val="18"/>
                  <w:lang w:eastAsia="en-GB"/>
                </w:rPr>
              </m:ctrlPr>
            </m:dPr>
            <m:e>
              <m:r>
                <m:rPr>
                  <m:sty m:val="bi"/>
                </m:rPr>
                <w:rPr>
                  <w:rFonts w:ascii="Cambria Math" w:hAnsi="Cambria Math" w:hint="eastAsia"/>
                  <w:sz w:val="18"/>
                  <w:szCs w:val="18"/>
                  <w:lang w:eastAsia="en-GB"/>
                </w:rPr>
                <m:t>1+</m:t>
              </m:r>
              <m:f>
                <m:fPr>
                  <m:ctrlPr>
                    <w:rPr>
                      <w:rFonts w:ascii="Cambria Math" w:hAnsi="Cambria Math"/>
                      <w:b w:val="0"/>
                      <w:i/>
                      <w:sz w:val="18"/>
                      <w:szCs w:val="18"/>
                      <w:lang w:eastAsia="en-GB"/>
                    </w:rPr>
                  </m:ctrlPr>
                </m:fPr>
                <m:num>
                  <m:sSub>
                    <m:sSubPr>
                      <m:ctrlPr>
                        <w:rPr>
                          <w:rFonts w:ascii="Cambria Math" w:hAnsi="Cambria Math"/>
                          <w:b w:val="0"/>
                          <w:i/>
                          <w:sz w:val="18"/>
                          <w:szCs w:val="18"/>
                          <w:lang w:eastAsia="en-GB"/>
                        </w:rPr>
                      </m:ctrlPr>
                    </m:sSubPr>
                    <m:e>
                      <m:r>
                        <m:rPr>
                          <m:sty m:val="bi"/>
                        </m:rPr>
                        <w:rPr>
                          <w:rFonts w:ascii="Cambria Math" w:hAnsi="Cambria Math"/>
                          <w:sz w:val="18"/>
                          <w:szCs w:val="18"/>
                          <w:lang w:eastAsia="en-GB"/>
                        </w:rPr>
                        <m:t>R</m:t>
                      </m:r>
                    </m:e>
                    <m:sub>
                      <m:r>
                        <m:rPr>
                          <m:sty m:val="bi"/>
                        </m:rPr>
                        <w:rPr>
                          <w:rFonts w:ascii="Cambria Math" w:hAnsi="Cambria Math"/>
                          <w:sz w:val="18"/>
                          <w:szCs w:val="18"/>
                          <w:lang w:eastAsia="en-GB"/>
                        </w:rPr>
                        <m:t>a</m:t>
                      </m:r>
                    </m:sub>
                  </m:sSub>
                </m:num>
                <m:den>
                  <m:rad>
                    <m:radPr>
                      <m:degHide m:val="1"/>
                      <m:ctrlPr>
                        <w:rPr>
                          <w:rFonts w:ascii="Cambria Math" w:hAnsi="Cambria Math"/>
                          <w:b w:val="0"/>
                          <w:i/>
                          <w:sz w:val="18"/>
                          <w:szCs w:val="18"/>
                          <w:lang w:eastAsia="en-GB"/>
                        </w:rPr>
                      </m:ctrlPr>
                    </m:radPr>
                    <m:deg/>
                    <m:e>
                      <m:r>
                        <m:rPr>
                          <m:sty m:val="bi"/>
                        </m:rPr>
                        <w:rPr>
                          <w:rFonts w:ascii="Cambria Math" w:hAnsi="Cambria Math"/>
                          <w:sz w:val="18"/>
                          <w:szCs w:val="18"/>
                          <w:lang w:eastAsia="en-GB"/>
                        </w:rPr>
                        <m:t>2πDt</m:t>
                      </m:r>
                    </m:e>
                  </m:rad>
                </m:den>
              </m:f>
            </m:e>
          </m:d>
          <m:r>
            <m:rPr>
              <m:sty m:val="bi"/>
            </m:rPr>
            <w:rPr>
              <w:rFonts w:ascii="Cambria Math" w:hAnsi="Cambria Math" w:hint="eastAsia"/>
              <w:sz w:val="18"/>
              <w:szCs w:val="18"/>
              <w:lang w:eastAsia="en-GB"/>
            </w:rPr>
            <m:t xml:space="preserve">        </m:t>
          </m:r>
          <m:r>
            <m:rPr>
              <m:sty m:val="bi"/>
            </m:rPr>
            <w:rPr>
              <w:rFonts w:ascii="Cambria Math" w:hAnsi="Cambria Math"/>
              <w:sz w:val="18"/>
              <w:szCs w:val="18"/>
              <w:lang w:eastAsia="en-GB"/>
            </w:rPr>
            <m:t xml:space="preserve">  </m:t>
          </m:r>
          <m:r>
            <m:rPr>
              <m:sty m:val="bi"/>
            </m:rPr>
            <w:rPr>
              <w:rFonts w:ascii="Cambria Math" w:hAnsi="Cambria Math" w:hint="eastAsia"/>
              <w:sz w:val="18"/>
              <w:szCs w:val="18"/>
              <w:lang w:eastAsia="en-GB"/>
            </w:rPr>
            <m:t>(2)</m:t>
          </m:r>
        </m:oMath>
      </m:oMathPara>
    </w:p>
    <w:p w:rsidR="002159CD" w:rsidRPr="00071908" w:rsidRDefault="00BF6F2E" w:rsidP="00F51074">
      <w:pPr>
        <w:autoSpaceDE w:val="0"/>
        <w:autoSpaceDN w:val="0"/>
        <w:adjustRightInd w:val="0"/>
        <w:spacing w:after="120" w:line="240" w:lineRule="auto"/>
        <w:ind w:firstLine="284"/>
        <w:jc w:val="both"/>
        <w:rPr>
          <w:sz w:val="18"/>
          <w:szCs w:val="18"/>
          <w:lang w:eastAsia="en-GB"/>
        </w:rPr>
      </w:pPr>
      <w:r w:rsidRPr="00071908">
        <w:rPr>
          <w:sz w:val="18"/>
          <w:szCs w:val="18"/>
          <w:lang w:eastAsia="en-GB"/>
        </w:rPr>
        <w:t xml:space="preserve">where </w:t>
      </w:r>
      <w:r w:rsidRPr="00071908">
        <w:rPr>
          <w:i/>
          <w:sz w:val="18"/>
          <w:szCs w:val="18"/>
          <w:lang w:eastAsia="en-GB"/>
        </w:rPr>
        <w:t>D</w:t>
      </w:r>
      <w:r w:rsidRPr="00071908">
        <w:rPr>
          <w:sz w:val="18"/>
          <w:szCs w:val="18"/>
          <w:lang w:eastAsia="en-GB"/>
        </w:rPr>
        <w:t xml:space="preserve"> is the exciton diffusion coefficient and </w:t>
      </w:r>
      <w:r w:rsidRPr="00071908">
        <w:rPr>
          <w:i/>
          <w:sz w:val="18"/>
          <w:szCs w:val="18"/>
          <w:lang w:eastAsia="en-GB"/>
        </w:rPr>
        <w:t>R</w:t>
      </w:r>
      <w:r w:rsidRPr="00071908">
        <w:rPr>
          <w:sz w:val="18"/>
          <w:szCs w:val="18"/>
          <w:vertAlign w:val="subscript"/>
          <w:lang w:eastAsia="en-GB"/>
        </w:rPr>
        <w:t>a</w:t>
      </w:r>
      <w:r w:rsidRPr="00071908">
        <w:rPr>
          <w:sz w:val="18"/>
          <w:szCs w:val="18"/>
          <w:lang w:eastAsia="en-GB"/>
        </w:rPr>
        <w:t xml:space="preserve"> is the annihilation radius. </w:t>
      </w:r>
      <w:r w:rsidR="00717EC9" w:rsidRPr="00071908">
        <w:rPr>
          <w:rFonts w:cs="Times New Roman"/>
          <w:sz w:val="18"/>
          <w:szCs w:val="18"/>
        </w:rPr>
        <w:t>For Ra, we used the d</w:t>
      </w:r>
      <w:r w:rsidR="00717EC9" w:rsidRPr="00071908">
        <w:rPr>
          <w:rFonts w:cs="Times New Roman"/>
          <w:sz w:val="18"/>
          <w:szCs w:val="18"/>
          <w:vertAlign w:val="subscript"/>
        </w:rPr>
        <w:t>100</w:t>
      </w:r>
      <w:r w:rsidR="00717EC9" w:rsidRPr="00071908">
        <w:rPr>
          <w:rFonts w:cs="Times New Roman"/>
          <w:sz w:val="18"/>
          <w:szCs w:val="18"/>
        </w:rPr>
        <w:t>-spacing values obtained from GIWAXS data. These values are given in Table S1.</w:t>
      </w:r>
      <w:r w:rsidR="00717EC9" w:rsidRPr="00071908">
        <w:rPr>
          <w:rFonts w:ascii="Times New Roman" w:hAnsi="Times New Roman" w:cs="Times New Roman"/>
        </w:rPr>
        <w:t xml:space="preserve"> </w:t>
      </w:r>
      <w:r w:rsidR="00FA3BDD" w:rsidRPr="00071908">
        <w:rPr>
          <w:sz w:val="18"/>
          <w:szCs w:val="18"/>
          <w:lang w:eastAsia="en-GB"/>
        </w:rPr>
        <w:t xml:space="preserve">The resulting values of diffusion coefficients are shown in </w:t>
      </w:r>
      <w:r w:rsidR="00525649" w:rsidRPr="00071908">
        <w:rPr>
          <w:sz w:val="18"/>
          <w:szCs w:val="18"/>
        </w:rPr>
        <w:t xml:space="preserve">Figure </w:t>
      </w:r>
      <w:r w:rsidR="00525649" w:rsidRPr="00071908">
        <w:rPr>
          <w:noProof/>
          <w:sz w:val="18"/>
          <w:szCs w:val="18"/>
        </w:rPr>
        <w:t>4</w:t>
      </w:r>
      <w:r w:rsidR="00FA3BDD" w:rsidRPr="00071908">
        <w:rPr>
          <w:sz w:val="18"/>
          <w:szCs w:val="18"/>
          <w:lang w:eastAsia="en-GB"/>
        </w:rPr>
        <w:t>.</w:t>
      </w:r>
    </w:p>
    <w:p w:rsidR="00FA3BDD" w:rsidRPr="00071908" w:rsidRDefault="002159CD" w:rsidP="00F51074">
      <w:pPr>
        <w:autoSpaceDE w:val="0"/>
        <w:autoSpaceDN w:val="0"/>
        <w:adjustRightInd w:val="0"/>
        <w:spacing w:after="120" w:line="240" w:lineRule="auto"/>
        <w:ind w:firstLine="284"/>
        <w:jc w:val="both"/>
        <w:rPr>
          <w:sz w:val="18"/>
          <w:szCs w:val="18"/>
          <w:lang w:eastAsia="en-GB"/>
        </w:rPr>
      </w:pPr>
      <w:r w:rsidRPr="00071908">
        <w:rPr>
          <w:sz w:val="18"/>
          <w:szCs w:val="18"/>
          <w:lang w:eastAsia="en-GB"/>
        </w:rPr>
        <w:t xml:space="preserve">For the case of BQR, a diffusion coefficient of </w:t>
      </w:r>
      <m:oMath>
        <m:r>
          <w:rPr>
            <w:rFonts w:ascii="Cambria Math" w:hAnsi="Cambria Math"/>
            <w:sz w:val="18"/>
            <w:szCs w:val="18"/>
            <w:lang w:eastAsia="en-GB"/>
          </w:rPr>
          <m:t>3.0×</m:t>
        </m:r>
        <m:sSup>
          <m:sSupPr>
            <m:ctrlPr>
              <w:rPr>
                <w:rFonts w:ascii="Cambria Math" w:hAnsi="Cambria Math"/>
                <w:i/>
                <w:sz w:val="18"/>
                <w:szCs w:val="18"/>
                <w:lang w:eastAsia="en-GB"/>
              </w:rPr>
            </m:ctrlPr>
          </m:sSupPr>
          <m:e>
            <m:r>
              <w:rPr>
                <w:rFonts w:ascii="Cambria Math" w:hAnsi="Cambria Math"/>
                <w:sz w:val="18"/>
                <w:szCs w:val="18"/>
                <w:lang w:eastAsia="en-GB"/>
              </w:rPr>
              <m:t>10</m:t>
            </m:r>
          </m:e>
          <m:sup>
            <m:r>
              <w:rPr>
                <w:rFonts w:ascii="Cambria Math" w:hAnsi="Cambria Math"/>
                <w:sz w:val="18"/>
                <w:szCs w:val="18"/>
                <w:lang w:eastAsia="en-GB"/>
              </w:rPr>
              <m:t>-3</m:t>
            </m:r>
          </m:sup>
        </m:sSup>
        <m:sSup>
          <m:sSupPr>
            <m:ctrlPr>
              <w:rPr>
                <w:rFonts w:ascii="Cambria Math" w:hAnsi="Cambria Math"/>
                <w:i/>
                <w:sz w:val="18"/>
                <w:szCs w:val="18"/>
                <w:lang w:eastAsia="en-GB"/>
              </w:rPr>
            </m:ctrlPr>
          </m:sSupPr>
          <m:e>
            <m:r>
              <w:rPr>
                <w:rFonts w:ascii="Cambria Math" w:hAnsi="Cambria Math"/>
                <w:sz w:val="18"/>
                <w:szCs w:val="18"/>
                <w:lang w:eastAsia="en-GB"/>
              </w:rPr>
              <m:t>cm</m:t>
            </m:r>
          </m:e>
          <m:sup>
            <m:r>
              <w:rPr>
                <w:rFonts w:ascii="Cambria Math" w:hAnsi="Cambria Math"/>
                <w:sz w:val="18"/>
                <w:szCs w:val="18"/>
                <w:lang w:eastAsia="en-GB"/>
              </w:rPr>
              <m:t>2</m:t>
            </m:r>
          </m:sup>
        </m:sSup>
        <m:r>
          <w:rPr>
            <w:rFonts w:ascii="Cambria Math" w:hAnsi="Cambria Math"/>
            <w:sz w:val="18"/>
            <w:szCs w:val="18"/>
            <w:lang w:eastAsia="en-GB"/>
          </w:rPr>
          <m:t>/s</m:t>
        </m:r>
      </m:oMath>
      <w:r w:rsidRPr="00071908">
        <w:rPr>
          <w:sz w:val="18"/>
          <w:szCs w:val="18"/>
          <w:lang w:eastAsia="en-GB"/>
        </w:rPr>
        <w:t xml:space="preserve"> was obtained for the as-cast donor film (without annealing). After thermal annealing the diffusion coefficient increased to </w:t>
      </w:r>
      <m:oMath>
        <m:r>
          <w:rPr>
            <w:rFonts w:ascii="Cambria Math" w:hAnsi="Cambria Math"/>
            <w:sz w:val="18"/>
            <w:szCs w:val="18"/>
            <w:lang w:eastAsia="en-GB"/>
          </w:rPr>
          <m:t>3.8×</m:t>
        </m:r>
        <m:sSup>
          <m:sSupPr>
            <m:ctrlPr>
              <w:rPr>
                <w:rFonts w:ascii="Cambria Math" w:hAnsi="Cambria Math"/>
                <w:i/>
                <w:sz w:val="18"/>
                <w:szCs w:val="18"/>
                <w:lang w:eastAsia="en-GB"/>
              </w:rPr>
            </m:ctrlPr>
          </m:sSupPr>
          <m:e>
            <m:r>
              <w:rPr>
                <w:rFonts w:ascii="Cambria Math" w:hAnsi="Cambria Math"/>
                <w:sz w:val="18"/>
                <w:szCs w:val="18"/>
                <w:lang w:eastAsia="en-GB"/>
              </w:rPr>
              <m:t>10</m:t>
            </m:r>
          </m:e>
          <m:sup>
            <m:r>
              <w:rPr>
                <w:rFonts w:ascii="Cambria Math" w:hAnsi="Cambria Math"/>
                <w:sz w:val="18"/>
                <w:szCs w:val="18"/>
                <w:lang w:eastAsia="en-GB"/>
              </w:rPr>
              <m:t>-3</m:t>
            </m:r>
          </m:sup>
        </m:sSup>
        <m:sSup>
          <m:sSupPr>
            <m:ctrlPr>
              <w:rPr>
                <w:rFonts w:ascii="Cambria Math" w:hAnsi="Cambria Math"/>
                <w:i/>
                <w:sz w:val="18"/>
                <w:szCs w:val="18"/>
                <w:lang w:eastAsia="en-GB"/>
              </w:rPr>
            </m:ctrlPr>
          </m:sSupPr>
          <m:e>
            <m:r>
              <w:rPr>
                <w:rFonts w:ascii="Cambria Math" w:hAnsi="Cambria Math"/>
                <w:sz w:val="18"/>
                <w:szCs w:val="18"/>
                <w:lang w:eastAsia="en-GB"/>
              </w:rPr>
              <m:t>cm</m:t>
            </m:r>
          </m:e>
          <m:sup>
            <m:r>
              <w:rPr>
                <w:rFonts w:ascii="Cambria Math" w:hAnsi="Cambria Math"/>
                <w:sz w:val="18"/>
                <w:szCs w:val="18"/>
                <w:lang w:eastAsia="en-GB"/>
              </w:rPr>
              <m:t>2</m:t>
            </m:r>
          </m:sup>
        </m:sSup>
        <m:r>
          <w:rPr>
            <w:rFonts w:ascii="Cambria Math" w:hAnsi="Cambria Math"/>
            <w:sz w:val="18"/>
            <w:szCs w:val="18"/>
            <w:lang w:eastAsia="en-GB"/>
          </w:rPr>
          <m:t>/s</m:t>
        </m:r>
      </m:oMath>
      <w:r w:rsidRPr="00071908">
        <w:rPr>
          <w:rFonts w:eastAsiaTheme="minorEastAsia"/>
          <w:sz w:val="18"/>
          <w:szCs w:val="18"/>
          <w:lang w:eastAsia="en-GB"/>
        </w:rPr>
        <w:t xml:space="preserve">, and </w:t>
      </w:r>
      <w:r w:rsidRPr="00071908">
        <w:rPr>
          <w:sz w:val="18"/>
          <w:szCs w:val="18"/>
          <w:lang w:eastAsia="en-GB"/>
        </w:rPr>
        <w:t xml:space="preserve">after SVA it was </w:t>
      </w:r>
      <m:oMath>
        <m:r>
          <w:rPr>
            <w:rFonts w:ascii="Cambria Math" w:hAnsi="Cambria Math"/>
            <w:sz w:val="18"/>
            <w:szCs w:val="18"/>
            <w:lang w:eastAsia="en-GB"/>
          </w:rPr>
          <m:t>3.3×</m:t>
        </m:r>
        <m:sSup>
          <m:sSupPr>
            <m:ctrlPr>
              <w:rPr>
                <w:rFonts w:ascii="Cambria Math" w:hAnsi="Cambria Math"/>
                <w:i/>
                <w:sz w:val="18"/>
                <w:szCs w:val="18"/>
                <w:lang w:eastAsia="en-GB"/>
              </w:rPr>
            </m:ctrlPr>
          </m:sSupPr>
          <m:e>
            <m:r>
              <w:rPr>
                <w:rFonts w:ascii="Cambria Math" w:hAnsi="Cambria Math"/>
                <w:sz w:val="18"/>
                <w:szCs w:val="18"/>
                <w:lang w:eastAsia="en-GB"/>
              </w:rPr>
              <m:t>10</m:t>
            </m:r>
          </m:e>
          <m:sup>
            <m:r>
              <w:rPr>
                <w:rFonts w:ascii="Cambria Math" w:hAnsi="Cambria Math"/>
                <w:sz w:val="18"/>
                <w:szCs w:val="18"/>
                <w:lang w:eastAsia="en-GB"/>
              </w:rPr>
              <m:t>-3</m:t>
            </m:r>
          </m:sup>
        </m:sSup>
        <m:sSup>
          <m:sSupPr>
            <m:ctrlPr>
              <w:rPr>
                <w:rFonts w:ascii="Cambria Math" w:hAnsi="Cambria Math"/>
                <w:i/>
                <w:sz w:val="18"/>
                <w:szCs w:val="18"/>
                <w:lang w:eastAsia="en-GB"/>
              </w:rPr>
            </m:ctrlPr>
          </m:sSupPr>
          <m:e>
            <m:r>
              <w:rPr>
                <w:rFonts w:ascii="Cambria Math" w:hAnsi="Cambria Math"/>
                <w:sz w:val="18"/>
                <w:szCs w:val="18"/>
                <w:lang w:eastAsia="en-GB"/>
              </w:rPr>
              <m:t>cm</m:t>
            </m:r>
          </m:e>
          <m:sup>
            <m:r>
              <w:rPr>
                <w:rFonts w:ascii="Cambria Math" w:hAnsi="Cambria Math"/>
                <w:sz w:val="18"/>
                <w:szCs w:val="18"/>
                <w:lang w:eastAsia="en-GB"/>
              </w:rPr>
              <m:t>2</m:t>
            </m:r>
          </m:sup>
        </m:sSup>
        <m:r>
          <w:rPr>
            <w:rFonts w:ascii="Cambria Math" w:hAnsi="Cambria Math"/>
            <w:sz w:val="18"/>
            <w:szCs w:val="18"/>
            <w:lang w:eastAsia="en-GB"/>
          </w:rPr>
          <m:t>/s</m:t>
        </m:r>
      </m:oMath>
      <w:r w:rsidRPr="00071908">
        <w:rPr>
          <w:sz w:val="18"/>
          <w:szCs w:val="18"/>
          <w:lang w:eastAsia="en-GB"/>
        </w:rPr>
        <w:t xml:space="preserve"> for THFand  </w:t>
      </w:r>
      <m:oMath>
        <m:r>
          <w:rPr>
            <w:rFonts w:ascii="Cambria Math" w:hAnsi="Cambria Math"/>
            <w:sz w:val="18"/>
            <w:szCs w:val="18"/>
            <w:lang w:eastAsia="en-GB"/>
          </w:rPr>
          <m:t>5.0×</m:t>
        </m:r>
        <m:sSup>
          <m:sSupPr>
            <m:ctrlPr>
              <w:rPr>
                <w:rFonts w:ascii="Cambria Math" w:hAnsi="Cambria Math"/>
                <w:i/>
                <w:sz w:val="18"/>
                <w:szCs w:val="18"/>
                <w:lang w:eastAsia="en-GB"/>
              </w:rPr>
            </m:ctrlPr>
          </m:sSupPr>
          <m:e>
            <m:r>
              <w:rPr>
                <w:rFonts w:ascii="Cambria Math" w:hAnsi="Cambria Math"/>
                <w:sz w:val="18"/>
                <w:szCs w:val="18"/>
                <w:lang w:eastAsia="en-GB"/>
              </w:rPr>
              <m:t>10</m:t>
            </m:r>
          </m:e>
          <m:sup>
            <m:r>
              <w:rPr>
                <w:rFonts w:ascii="Cambria Math" w:hAnsi="Cambria Math"/>
                <w:sz w:val="18"/>
                <w:szCs w:val="18"/>
                <w:lang w:eastAsia="en-GB"/>
              </w:rPr>
              <m:t>-3</m:t>
            </m:r>
          </m:sup>
        </m:sSup>
        <m:sSup>
          <m:sSupPr>
            <m:ctrlPr>
              <w:rPr>
                <w:rFonts w:ascii="Cambria Math" w:hAnsi="Cambria Math"/>
                <w:i/>
                <w:sz w:val="18"/>
                <w:szCs w:val="18"/>
                <w:lang w:eastAsia="en-GB"/>
              </w:rPr>
            </m:ctrlPr>
          </m:sSupPr>
          <m:e>
            <m:r>
              <w:rPr>
                <w:rFonts w:ascii="Cambria Math" w:hAnsi="Cambria Math"/>
                <w:sz w:val="18"/>
                <w:szCs w:val="18"/>
                <w:lang w:eastAsia="en-GB"/>
              </w:rPr>
              <m:t>cm</m:t>
            </m:r>
          </m:e>
          <m:sup>
            <m:r>
              <w:rPr>
                <w:rFonts w:ascii="Cambria Math" w:hAnsi="Cambria Math"/>
                <w:sz w:val="18"/>
                <w:szCs w:val="18"/>
                <w:lang w:eastAsia="en-GB"/>
              </w:rPr>
              <m:t>2</m:t>
            </m:r>
          </m:sup>
        </m:sSup>
        <m:r>
          <w:rPr>
            <w:rFonts w:ascii="Cambria Math" w:hAnsi="Cambria Math"/>
            <w:sz w:val="18"/>
            <w:szCs w:val="18"/>
            <w:lang w:eastAsia="en-GB"/>
          </w:rPr>
          <m:t>/s</m:t>
        </m:r>
      </m:oMath>
      <w:r w:rsidRPr="00071908">
        <w:rPr>
          <w:sz w:val="18"/>
          <w:szCs w:val="18"/>
          <w:lang w:eastAsia="en-GB"/>
        </w:rPr>
        <w:t xml:space="preserve"> for CHCl</w:t>
      </w:r>
      <w:r w:rsidRPr="00071908">
        <w:rPr>
          <w:sz w:val="18"/>
          <w:szCs w:val="18"/>
          <w:vertAlign w:val="subscript"/>
          <w:lang w:eastAsia="en-GB"/>
        </w:rPr>
        <w:t>3</w:t>
      </w:r>
      <w:r w:rsidRPr="00071908">
        <w:rPr>
          <w:sz w:val="18"/>
          <w:szCs w:val="18"/>
          <w:lang w:eastAsia="en-GB"/>
        </w:rPr>
        <w:t xml:space="preserve">.  In the case of BTR, the as-cast donor film has a diffusion coefficient of </w:t>
      </w:r>
      <m:oMath>
        <m:r>
          <w:rPr>
            <w:rFonts w:ascii="Cambria Math" w:hAnsi="Cambria Math"/>
            <w:sz w:val="18"/>
            <w:szCs w:val="18"/>
            <w:lang w:eastAsia="en-GB"/>
          </w:rPr>
          <m:t>1.1×</m:t>
        </m:r>
        <m:sSup>
          <m:sSupPr>
            <m:ctrlPr>
              <w:rPr>
                <w:rFonts w:ascii="Cambria Math" w:hAnsi="Cambria Math"/>
                <w:i/>
                <w:sz w:val="18"/>
                <w:szCs w:val="18"/>
                <w:lang w:eastAsia="en-GB"/>
              </w:rPr>
            </m:ctrlPr>
          </m:sSupPr>
          <m:e>
            <m:r>
              <w:rPr>
                <w:rFonts w:ascii="Cambria Math" w:hAnsi="Cambria Math"/>
                <w:sz w:val="18"/>
                <w:szCs w:val="18"/>
                <w:lang w:eastAsia="en-GB"/>
              </w:rPr>
              <m:t>10</m:t>
            </m:r>
          </m:e>
          <m:sup>
            <m:r>
              <w:rPr>
                <w:rFonts w:ascii="Cambria Math" w:hAnsi="Cambria Math"/>
                <w:sz w:val="18"/>
                <w:szCs w:val="18"/>
                <w:lang w:eastAsia="en-GB"/>
              </w:rPr>
              <m:t>-3</m:t>
            </m:r>
          </m:sup>
        </m:sSup>
        <m:sSup>
          <m:sSupPr>
            <m:ctrlPr>
              <w:rPr>
                <w:rFonts w:ascii="Cambria Math" w:hAnsi="Cambria Math"/>
                <w:i/>
                <w:sz w:val="18"/>
                <w:szCs w:val="18"/>
                <w:lang w:eastAsia="en-GB"/>
              </w:rPr>
            </m:ctrlPr>
          </m:sSupPr>
          <m:e>
            <m:r>
              <w:rPr>
                <w:rFonts w:ascii="Cambria Math" w:hAnsi="Cambria Math"/>
                <w:sz w:val="18"/>
                <w:szCs w:val="18"/>
                <w:lang w:eastAsia="en-GB"/>
              </w:rPr>
              <m:t>cm</m:t>
            </m:r>
          </m:e>
          <m:sup>
            <m:r>
              <w:rPr>
                <w:rFonts w:ascii="Cambria Math" w:hAnsi="Cambria Math"/>
                <w:sz w:val="18"/>
                <w:szCs w:val="18"/>
                <w:lang w:eastAsia="en-GB"/>
              </w:rPr>
              <m:t>2</m:t>
            </m:r>
          </m:sup>
        </m:sSup>
        <m:r>
          <w:rPr>
            <w:rFonts w:ascii="Cambria Math" w:hAnsi="Cambria Math"/>
            <w:sz w:val="18"/>
            <w:szCs w:val="18"/>
            <w:lang w:eastAsia="en-GB"/>
          </w:rPr>
          <m:t>/s</m:t>
        </m:r>
      </m:oMath>
      <w:r w:rsidRPr="00071908">
        <w:rPr>
          <w:sz w:val="18"/>
          <w:szCs w:val="18"/>
          <w:lang w:eastAsia="en-GB"/>
        </w:rPr>
        <w:t xml:space="preserve">. The diffusion coefficient after thermal annealing was </w:t>
      </w:r>
      <m:oMath>
        <m:r>
          <w:rPr>
            <w:rFonts w:ascii="Cambria Math" w:hAnsi="Cambria Math"/>
            <w:sz w:val="18"/>
            <w:szCs w:val="18"/>
            <w:lang w:eastAsia="en-GB"/>
          </w:rPr>
          <m:t>1.5×</m:t>
        </m:r>
        <m:sSup>
          <m:sSupPr>
            <m:ctrlPr>
              <w:rPr>
                <w:rFonts w:ascii="Cambria Math" w:hAnsi="Cambria Math"/>
                <w:i/>
                <w:sz w:val="18"/>
                <w:szCs w:val="18"/>
                <w:lang w:eastAsia="en-GB"/>
              </w:rPr>
            </m:ctrlPr>
          </m:sSupPr>
          <m:e>
            <m:r>
              <w:rPr>
                <w:rFonts w:ascii="Cambria Math" w:hAnsi="Cambria Math"/>
                <w:sz w:val="18"/>
                <w:szCs w:val="18"/>
                <w:lang w:eastAsia="en-GB"/>
              </w:rPr>
              <m:t>10</m:t>
            </m:r>
          </m:e>
          <m:sup>
            <m:r>
              <w:rPr>
                <w:rFonts w:ascii="Cambria Math" w:hAnsi="Cambria Math"/>
                <w:sz w:val="18"/>
                <w:szCs w:val="18"/>
                <w:lang w:eastAsia="en-GB"/>
              </w:rPr>
              <m:t>-3</m:t>
            </m:r>
          </m:sup>
        </m:sSup>
        <m:sSup>
          <m:sSupPr>
            <m:ctrlPr>
              <w:rPr>
                <w:rFonts w:ascii="Cambria Math" w:hAnsi="Cambria Math"/>
                <w:i/>
                <w:sz w:val="18"/>
                <w:szCs w:val="18"/>
                <w:lang w:eastAsia="en-GB"/>
              </w:rPr>
            </m:ctrlPr>
          </m:sSupPr>
          <m:e>
            <m:r>
              <w:rPr>
                <w:rFonts w:ascii="Cambria Math" w:hAnsi="Cambria Math"/>
                <w:sz w:val="18"/>
                <w:szCs w:val="18"/>
                <w:lang w:eastAsia="en-GB"/>
              </w:rPr>
              <m:t>cm</m:t>
            </m:r>
          </m:e>
          <m:sup>
            <m:r>
              <w:rPr>
                <w:rFonts w:ascii="Cambria Math" w:hAnsi="Cambria Math"/>
                <w:sz w:val="18"/>
                <w:szCs w:val="18"/>
                <w:lang w:eastAsia="en-GB"/>
              </w:rPr>
              <m:t>2</m:t>
            </m:r>
          </m:sup>
        </m:sSup>
        <m:r>
          <w:rPr>
            <w:rFonts w:ascii="Cambria Math" w:hAnsi="Cambria Math"/>
            <w:sz w:val="18"/>
            <w:szCs w:val="18"/>
            <w:lang w:eastAsia="en-GB"/>
          </w:rPr>
          <m:t>/s</m:t>
        </m:r>
      </m:oMath>
      <w:r w:rsidRPr="00071908">
        <w:rPr>
          <w:rFonts w:eastAsiaTheme="minorEastAsia"/>
          <w:sz w:val="18"/>
          <w:szCs w:val="18"/>
          <w:lang w:eastAsia="en-GB"/>
        </w:rPr>
        <w:t xml:space="preserve"> and after </w:t>
      </w:r>
      <w:r w:rsidRPr="00071908">
        <w:rPr>
          <w:sz w:val="18"/>
          <w:szCs w:val="18"/>
          <w:lang w:eastAsia="en-GB"/>
        </w:rPr>
        <w:t xml:space="preserve">SVA was </w:t>
      </w:r>
      <m:oMath>
        <m:r>
          <w:rPr>
            <w:rFonts w:ascii="Cambria Math" w:hAnsi="Cambria Math"/>
            <w:sz w:val="18"/>
            <w:szCs w:val="18"/>
            <w:lang w:eastAsia="en-GB"/>
          </w:rPr>
          <m:t>4.0×</m:t>
        </m:r>
        <m:sSup>
          <m:sSupPr>
            <m:ctrlPr>
              <w:rPr>
                <w:rFonts w:ascii="Cambria Math" w:hAnsi="Cambria Math"/>
                <w:i/>
                <w:sz w:val="18"/>
                <w:szCs w:val="18"/>
                <w:lang w:eastAsia="en-GB"/>
              </w:rPr>
            </m:ctrlPr>
          </m:sSupPr>
          <m:e>
            <m:r>
              <w:rPr>
                <w:rFonts w:ascii="Cambria Math" w:hAnsi="Cambria Math"/>
                <w:sz w:val="18"/>
                <w:szCs w:val="18"/>
                <w:lang w:eastAsia="en-GB"/>
              </w:rPr>
              <m:t>10</m:t>
            </m:r>
          </m:e>
          <m:sup>
            <m:r>
              <w:rPr>
                <w:rFonts w:ascii="Cambria Math" w:hAnsi="Cambria Math"/>
                <w:sz w:val="18"/>
                <w:szCs w:val="18"/>
                <w:lang w:eastAsia="en-GB"/>
              </w:rPr>
              <m:t>-3</m:t>
            </m:r>
          </m:sup>
        </m:sSup>
        <m:sSup>
          <m:sSupPr>
            <m:ctrlPr>
              <w:rPr>
                <w:rFonts w:ascii="Cambria Math" w:hAnsi="Cambria Math"/>
                <w:i/>
                <w:sz w:val="18"/>
                <w:szCs w:val="18"/>
                <w:lang w:eastAsia="en-GB"/>
              </w:rPr>
            </m:ctrlPr>
          </m:sSupPr>
          <m:e>
            <m:r>
              <w:rPr>
                <w:rFonts w:ascii="Cambria Math" w:hAnsi="Cambria Math"/>
                <w:sz w:val="18"/>
                <w:szCs w:val="18"/>
                <w:lang w:eastAsia="en-GB"/>
              </w:rPr>
              <m:t>cm</m:t>
            </m:r>
          </m:e>
          <m:sup>
            <m:r>
              <w:rPr>
                <w:rFonts w:ascii="Cambria Math" w:hAnsi="Cambria Math"/>
                <w:sz w:val="18"/>
                <w:szCs w:val="18"/>
                <w:lang w:eastAsia="en-GB"/>
              </w:rPr>
              <m:t>2</m:t>
            </m:r>
          </m:sup>
        </m:sSup>
        <m:r>
          <w:rPr>
            <w:rFonts w:ascii="Cambria Math" w:hAnsi="Cambria Math"/>
            <w:sz w:val="18"/>
            <w:szCs w:val="18"/>
            <w:lang w:eastAsia="en-GB"/>
          </w:rPr>
          <m:t>/s</m:t>
        </m:r>
      </m:oMath>
      <w:r w:rsidRPr="00071908">
        <w:rPr>
          <w:sz w:val="18"/>
          <w:szCs w:val="18"/>
          <w:lang w:eastAsia="en-GB"/>
        </w:rPr>
        <w:t xml:space="preserve"> for THF and </w:t>
      </w:r>
      <m:oMath>
        <m:r>
          <w:rPr>
            <w:rFonts w:ascii="Cambria Math" w:hAnsi="Cambria Math"/>
            <w:sz w:val="18"/>
            <w:szCs w:val="18"/>
            <w:lang w:eastAsia="en-GB"/>
          </w:rPr>
          <m:t>3.5×</m:t>
        </m:r>
        <m:sSup>
          <m:sSupPr>
            <m:ctrlPr>
              <w:rPr>
                <w:rFonts w:ascii="Cambria Math" w:hAnsi="Cambria Math"/>
                <w:i/>
                <w:sz w:val="18"/>
                <w:szCs w:val="18"/>
                <w:lang w:eastAsia="en-GB"/>
              </w:rPr>
            </m:ctrlPr>
          </m:sSupPr>
          <m:e>
            <m:r>
              <w:rPr>
                <w:rFonts w:ascii="Cambria Math" w:hAnsi="Cambria Math"/>
                <w:sz w:val="18"/>
                <w:szCs w:val="18"/>
                <w:lang w:eastAsia="en-GB"/>
              </w:rPr>
              <m:t>10</m:t>
            </m:r>
          </m:e>
          <m:sup>
            <m:r>
              <w:rPr>
                <w:rFonts w:ascii="Cambria Math" w:hAnsi="Cambria Math"/>
                <w:sz w:val="18"/>
                <w:szCs w:val="18"/>
                <w:lang w:eastAsia="en-GB"/>
              </w:rPr>
              <m:t>-3</m:t>
            </m:r>
          </m:sup>
        </m:sSup>
        <m:sSup>
          <m:sSupPr>
            <m:ctrlPr>
              <w:rPr>
                <w:rFonts w:ascii="Cambria Math" w:hAnsi="Cambria Math"/>
                <w:i/>
                <w:sz w:val="18"/>
                <w:szCs w:val="18"/>
                <w:lang w:eastAsia="en-GB"/>
              </w:rPr>
            </m:ctrlPr>
          </m:sSupPr>
          <m:e>
            <m:r>
              <w:rPr>
                <w:rFonts w:ascii="Cambria Math" w:hAnsi="Cambria Math"/>
                <w:sz w:val="18"/>
                <w:szCs w:val="18"/>
                <w:lang w:eastAsia="en-GB"/>
              </w:rPr>
              <m:t>cm</m:t>
            </m:r>
          </m:e>
          <m:sup>
            <m:r>
              <w:rPr>
                <w:rFonts w:ascii="Cambria Math" w:hAnsi="Cambria Math"/>
                <w:sz w:val="18"/>
                <w:szCs w:val="18"/>
                <w:lang w:eastAsia="en-GB"/>
              </w:rPr>
              <m:t>2</m:t>
            </m:r>
          </m:sup>
        </m:sSup>
        <m:r>
          <w:rPr>
            <w:rFonts w:ascii="Cambria Math" w:hAnsi="Cambria Math"/>
            <w:sz w:val="18"/>
            <w:szCs w:val="18"/>
            <w:lang w:eastAsia="en-GB"/>
          </w:rPr>
          <m:t>/s</m:t>
        </m:r>
      </m:oMath>
      <w:r w:rsidRPr="00071908">
        <w:rPr>
          <w:sz w:val="18"/>
          <w:szCs w:val="18"/>
          <w:lang w:eastAsia="en-GB"/>
        </w:rPr>
        <w:t xml:space="preserve"> for CHCl</w:t>
      </w:r>
      <w:r w:rsidRPr="00071908">
        <w:rPr>
          <w:sz w:val="18"/>
          <w:szCs w:val="18"/>
          <w:vertAlign w:val="subscript"/>
          <w:lang w:eastAsia="en-GB"/>
        </w:rPr>
        <w:t>3</w:t>
      </w:r>
      <w:r w:rsidRPr="00071908">
        <w:rPr>
          <w:sz w:val="18"/>
          <w:szCs w:val="18"/>
          <w:lang w:eastAsia="en-GB"/>
        </w:rPr>
        <w:t>.  Overall, D increases after annealing (both thermal and SVA) in both molecules. In the case of BQR, the largest increase is observed for CHCl</w:t>
      </w:r>
      <w:r w:rsidRPr="00071908">
        <w:rPr>
          <w:sz w:val="18"/>
          <w:szCs w:val="18"/>
          <w:vertAlign w:val="subscript"/>
          <w:lang w:eastAsia="en-GB"/>
        </w:rPr>
        <w:t>3</w:t>
      </w:r>
      <w:r w:rsidRPr="00071908">
        <w:rPr>
          <w:sz w:val="18"/>
          <w:szCs w:val="18"/>
          <w:lang w:eastAsia="en-GB"/>
        </w:rPr>
        <w:t xml:space="preserve"> which leads to an almost doubling of D, whereas a tripling of D for BTR was observed when annealed with SVA THF. </w:t>
      </w:r>
    </w:p>
    <w:p w:rsidR="00C06B0D" w:rsidRPr="00071908" w:rsidRDefault="005F5E82" w:rsidP="00C06B0D">
      <w:pPr>
        <w:autoSpaceDE w:val="0"/>
        <w:autoSpaceDN w:val="0"/>
        <w:adjustRightInd w:val="0"/>
        <w:spacing w:before="120" w:after="120" w:line="240" w:lineRule="auto"/>
        <w:jc w:val="both"/>
      </w:pPr>
      <w:r>
        <w:pict>
          <v:shape id="_x0000_i1028" type="#_x0000_t75" style="width:226.3pt;height:203.4pt">
            <v:imagedata r:id="rId19" o:title=""/>
          </v:shape>
        </w:pict>
      </w:r>
    </w:p>
    <w:p w:rsidR="00C06B0D" w:rsidRPr="00071908" w:rsidRDefault="005F5E82" w:rsidP="00B8216D">
      <w:pPr>
        <w:autoSpaceDE w:val="0"/>
        <w:autoSpaceDN w:val="0"/>
        <w:adjustRightInd w:val="0"/>
        <w:spacing w:after="120" w:line="240" w:lineRule="auto"/>
        <w:jc w:val="both"/>
      </w:pPr>
      <w:r>
        <w:pict>
          <v:shape id="_x0000_i1029" type="#_x0000_t75" style="width:231.05pt;height:208pt">
            <v:imagedata r:id="rId20" o:title=""/>
          </v:shape>
        </w:pict>
      </w:r>
    </w:p>
    <w:p w:rsidR="00AE2562" w:rsidRPr="00071908" w:rsidRDefault="00AE2562" w:rsidP="00AE2562">
      <w:pPr>
        <w:pStyle w:val="Caption"/>
        <w:jc w:val="both"/>
        <w:rPr>
          <w:i/>
          <w:sz w:val="16"/>
          <w:szCs w:val="16"/>
          <w:lang w:eastAsia="en-GB"/>
        </w:rPr>
      </w:pPr>
      <w:bookmarkStart w:id="2" w:name="_Ref193551"/>
      <w:r w:rsidRPr="00071908">
        <w:rPr>
          <w:b/>
          <w:sz w:val="16"/>
          <w:szCs w:val="16"/>
        </w:rPr>
        <w:t xml:space="preserve">Figure </w:t>
      </w:r>
      <w:r w:rsidR="00525649" w:rsidRPr="00071908">
        <w:rPr>
          <w:b/>
          <w:noProof/>
          <w:sz w:val="16"/>
          <w:szCs w:val="16"/>
        </w:rPr>
        <w:t>3</w:t>
      </w:r>
      <w:bookmarkEnd w:id="2"/>
      <w:r w:rsidRPr="00071908">
        <w:rPr>
          <w:b/>
          <w:sz w:val="16"/>
          <w:szCs w:val="16"/>
        </w:rPr>
        <w:t>:</w:t>
      </w:r>
      <w:r w:rsidRPr="00071908">
        <w:rPr>
          <w:sz w:val="16"/>
          <w:szCs w:val="16"/>
        </w:rPr>
        <w:t xml:space="preserve"> </w:t>
      </w:r>
      <w:r w:rsidRPr="00071908">
        <w:rPr>
          <w:i/>
          <w:sz w:val="16"/>
          <w:szCs w:val="16"/>
        </w:rPr>
        <w:t xml:space="preserve">Annihilation rate constant </w:t>
      </w:r>
      <m:oMath>
        <m:r>
          <w:rPr>
            <w:rFonts w:ascii="Cambria Math" w:hAnsi="Cambria Math"/>
            <w:sz w:val="16"/>
            <w:szCs w:val="16"/>
            <w:lang w:eastAsia="en-GB"/>
          </w:rPr>
          <m:t>γ</m:t>
        </m:r>
      </m:oMath>
      <w:r w:rsidRPr="00071908">
        <w:rPr>
          <w:rFonts w:eastAsiaTheme="minorEastAsia"/>
          <w:i/>
          <w:sz w:val="16"/>
          <w:szCs w:val="16"/>
          <w:lang w:eastAsia="en-GB"/>
        </w:rPr>
        <w:t>, obtained from the fitting of the intensity-dependent PL decays (shown in figure S1</w:t>
      </w:r>
      <w:r w:rsidR="00360301" w:rsidRPr="00071908">
        <w:rPr>
          <w:rFonts w:eastAsiaTheme="minorEastAsia"/>
          <w:i/>
          <w:sz w:val="16"/>
          <w:szCs w:val="16"/>
          <w:lang w:eastAsia="en-GB"/>
        </w:rPr>
        <w:t xml:space="preserve"> and S2</w:t>
      </w:r>
      <w:r w:rsidRPr="00071908">
        <w:rPr>
          <w:rFonts w:eastAsiaTheme="minorEastAsia"/>
          <w:i/>
          <w:sz w:val="16"/>
          <w:szCs w:val="16"/>
          <w:lang w:eastAsia="en-GB"/>
        </w:rPr>
        <w:t xml:space="preserve">) using equation 1. (a) BTR b) BQR </w:t>
      </w:r>
    </w:p>
    <w:p w:rsidR="007D5F69" w:rsidRPr="00CB616E" w:rsidRDefault="00991977" w:rsidP="00F51074">
      <w:pPr>
        <w:autoSpaceDE w:val="0"/>
        <w:autoSpaceDN w:val="0"/>
        <w:adjustRightInd w:val="0"/>
        <w:spacing w:after="120" w:line="240" w:lineRule="auto"/>
        <w:ind w:firstLine="284"/>
        <w:jc w:val="both"/>
        <w:rPr>
          <w:rFonts w:eastAsiaTheme="minorEastAsia"/>
          <w:sz w:val="18"/>
          <w:szCs w:val="18"/>
          <w:lang w:eastAsia="en-GB"/>
        </w:rPr>
      </w:pPr>
      <w:r w:rsidRPr="00071908">
        <w:rPr>
          <w:sz w:val="18"/>
          <w:szCs w:val="18"/>
          <w:lang w:eastAsia="en-GB"/>
        </w:rPr>
        <w:t>We calculated the exciton diffusion length (L</w:t>
      </w:r>
      <w:r w:rsidRPr="00071908">
        <w:rPr>
          <w:sz w:val="18"/>
          <w:szCs w:val="18"/>
          <w:vertAlign w:val="subscript"/>
          <w:lang w:eastAsia="en-GB"/>
        </w:rPr>
        <w:t>D</w:t>
      </w:r>
      <w:r w:rsidRPr="00071908">
        <w:rPr>
          <w:sz w:val="18"/>
          <w:szCs w:val="18"/>
          <w:lang w:eastAsia="en-GB"/>
        </w:rPr>
        <w:t>). I</w:t>
      </w:r>
      <w:r w:rsidR="004C51D3" w:rsidRPr="00071908">
        <w:rPr>
          <w:sz w:val="18"/>
          <w:szCs w:val="18"/>
          <w:lang w:eastAsia="en-GB"/>
        </w:rPr>
        <w:t xml:space="preserve">n bulk heterojunction geometry, the </w:t>
      </w:r>
      <w:r w:rsidR="00D97B1B" w:rsidRPr="00071908">
        <w:rPr>
          <w:sz w:val="18"/>
          <w:szCs w:val="18"/>
          <w:lang w:eastAsia="en-GB"/>
        </w:rPr>
        <w:t>three</w:t>
      </w:r>
      <w:r w:rsidR="004C51D3" w:rsidRPr="00071908">
        <w:rPr>
          <w:sz w:val="18"/>
          <w:szCs w:val="18"/>
          <w:lang w:eastAsia="en-GB"/>
        </w:rPr>
        <w:t>-dimensional exciton diffusion is relevant</w:t>
      </w:r>
      <w:r w:rsidRPr="00071908">
        <w:rPr>
          <w:sz w:val="18"/>
          <w:szCs w:val="18"/>
          <w:lang w:eastAsia="en-GB"/>
        </w:rPr>
        <w:t>, therefore we determine the three-dimensional exciton diffusion length (L</w:t>
      </w:r>
      <w:r w:rsidRPr="00071908">
        <w:rPr>
          <w:sz w:val="18"/>
          <w:szCs w:val="18"/>
          <w:vertAlign w:val="subscript"/>
          <w:lang w:eastAsia="en-GB"/>
        </w:rPr>
        <w:t>3D</w:t>
      </w:r>
      <w:r w:rsidRPr="00071908">
        <w:rPr>
          <w:sz w:val="18"/>
          <w:szCs w:val="18"/>
          <w:lang w:eastAsia="en-GB"/>
        </w:rPr>
        <w:t>)</w:t>
      </w:r>
      <w:r w:rsidR="004C51D3" w:rsidRPr="00071908">
        <w:rPr>
          <w:sz w:val="18"/>
          <w:szCs w:val="18"/>
          <w:lang w:eastAsia="en-GB"/>
        </w:rPr>
        <w:t xml:space="preserve"> using</w:t>
      </w:r>
      <w:r w:rsidRPr="00071908">
        <w:rPr>
          <w:sz w:val="18"/>
          <w:szCs w:val="18"/>
          <w:lang w:eastAsia="en-GB"/>
        </w:rPr>
        <w:t xml:space="preserve"> </w:t>
      </w:r>
      <m:oMath>
        <m:sSub>
          <m:sSubPr>
            <m:ctrlPr>
              <w:rPr>
                <w:rFonts w:ascii="Cambria Math" w:hAnsi="Cambria Math"/>
                <w:i/>
                <w:sz w:val="18"/>
                <w:szCs w:val="18"/>
                <w:lang w:eastAsia="en-GB"/>
              </w:rPr>
            </m:ctrlPr>
          </m:sSubPr>
          <m:e>
            <m:r>
              <w:rPr>
                <w:rFonts w:ascii="Cambria Math" w:hAnsi="Cambria Math"/>
                <w:sz w:val="18"/>
                <w:szCs w:val="18"/>
                <w:lang w:eastAsia="en-GB"/>
              </w:rPr>
              <m:t>L</m:t>
            </m:r>
          </m:e>
          <m:sub>
            <m:r>
              <w:rPr>
                <w:rFonts w:ascii="Cambria Math" w:hAnsi="Cambria Math"/>
                <w:sz w:val="18"/>
                <w:szCs w:val="18"/>
                <w:lang w:eastAsia="en-GB"/>
              </w:rPr>
              <m:t>3D</m:t>
            </m:r>
          </m:sub>
        </m:sSub>
        <m:r>
          <w:rPr>
            <w:rFonts w:ascii="Cambria Math" w:hAnsi="Cambria Math"/>
            <w:sz w:val="18"/>
            <w:szCs w:val="18"/>
            <w:lang w:eastAsia="en-GB"/>
          </w:rPr>
          <m:t>=</m:t>
        </m:r>
        <m:rad>
          <m:radPr>
            <m:degHide m:val="1"/>
            <m:ctrlPr>
              <w:rPr>
                <w:rFonts w:ascii="Cambria Math" w:hAnsi="Cambria Math"/>
                <w:i/>
                <w:sz w:val="18"/>
                <w:szCs w:val="18"/>
                <w:lang w:eastAsia="en-GB"/>
              </w:rPr>
            </m:ctrlPr>
          </m:radPr>
          <m:deg/>
          <m:e>
            <m:r>
              <w:rPr>
                <w:rFonts w:ascii="Cambria Math" w:hAnsi="Cambria Math"/>
                <w:sz w:val="18"/>
                <w:szCs w:val="18"/>
                <w:lang w:eastAsia="en-GB"/>
              </w:rPr>
              <m:t>6Dτ</m:t>
            </m:r>
          </m:e>
        </m:rad>
      </m:oMath>
      <w:r w:rsidR="0061067D" w:rsidRPr="00071908">
        <w:rPr>
          <w:rFonts w:eastAsiaTheme="minorEastAsia"/>
          <w:sz w:val="18"/>
          <w:szCs w:val="18"/>
          <w:lang w:eastAsia="en-GB"/>
        </w:rPr>
        <w:t>,</w:t>
      </w:r>
      <w:r w:rsidRPr="00071908">
        <w:rPr>
          <w:rFonts w:eastAsiaTheme="minorEastAsia"/>
          <w:sz w:val="18"/>
          <w:szCs w:val="18"/>
          <w:lang w:eastAsia="en-GB"/>
        </w:rPr>
        <w:t xml:space="preserve">  </w:t>
      </w:r>
      <w:r w:rsidR="004C51D3" w:rsidRPr="00071908">
        <w:rPr>
          <w:sz w:val="18"/>
          <w:szCs w:val="18"/>
          <w:lang w:eastAsia="en-GB"/>
        </w:rPr>
        <w:t xml:space="preserve">where </w:t>
      </w:r>
      <m:oMath>
        <m:r>
          <w:rPr>
            <w:rFonts w:ascii="Cambria Math" w:hAnsi="Cambria Math"/>
            <w:sz w:val="18"/>
            <w:szCs w:val="18"/>
            <w:lang w:eastAsia="en-GB"/>
          </w:rPr>
          <m:t>τ</m:t>
        </m:r>
      </m:oMath>
      <w:r w:rsidR="004C51D3" w:rsidRPr="00071908">
        <w:rPr>
          <w:sz w:val="18"/>
          <w:szCs w:val="18"/>
          <w:lang w:eastAsia="en-GB"/>
        </w:rPr>
        <w:t xml:space="preserve"> is the lifetime in the absence of annihilation. </w:t>
      </w:r>
      <w:r w:rsidR="00D40588" w:rsidRPr="00071908">
        <w:rPr>
          <w:sz w:val="18"/>
          <w:szCs w:val="18"/>
          <w:lang w:eastAsia="en-GB"/>
        </w:rPr>
        <w:t>The</w:t>
      </w:r>
      <w:r w:rsidR="004C51D3" w:rsidRPr="00071908">
        <w:rPr>
          <w:sz w:val="18"/>
          <w:szCs w:val="18"/>
          <w:lang w:eastAsia="en-GB"/>
        </w:rPr>
        <w:t xml:space="preserve"> PL decay</w:t>
      </w:r>
      <w:r w:rsidR="000437F8" w:rsidRPr="00071908">
        <w:rPr>
          <w:sz w:val="18"/>
          <w:szCs w:val="18"/>
          <w:lang w:eastAsia="en-GB"/>
        </w:rPr>
        <w:t>s</w:t>
      </w:r>
      <w:r w:rsidR="004C51D3" w:rsidRPr="00071908">
        <w:rPr>
          <w:sz w:val="18"/>
          <w:szCs w:val="18"/>
          <w:lang w:eastAsia="en-GB"/>
        </w:rPr>
        <w:t xml:space="preserve"> are non-exponential,</w:t>
      </w:r>
      <w:r w:rsidR="00D40588" w:rsidRPr="00071908">
        <w:rPr>
          <w:sz w:val="18"/>
          <w:szCs w:val="18"/>
          <w:lang w:eastAsia="en-GB"/>
        </w:rPr>
        <w:t xml:space="preserve"> so we take</w:t>
      </w:r>
      <w:r w:rsidR="004C51D3" w:rsidRPr="00071908">
        <w:rPr>
          <w:sz w:val="18"/>
          <w:szCs w:val="18"/>
          <w:lang w:eastAsia="en-GB"/>
        </w:rPr>
        <w:t xml:space="preserve"> </w:t>
      </w:r>
      <m:oMath>
        <m:r>
          <w:rPr>
            <w:rFonts w:ascii="Cambria Math" w:hAnsi="Cambria Math"/>
            <w:sz w:val="18"/>
            <w:szCs w:val="18"/>
            <w:lang w:eastAsia="en-GB"/>
          </w:rPr>
          <m:t>τ</m:t>
        </m:r>
      </m:oMath>
      <w:r w:rsidR="00D97B1B" w:rsidRPr="00071908">
        <w:rPr>
          <w:rFonts w:eastAsiaTheme="minorEastAsia"/>
          <w:sz w:val="18"/>
          <w:szCs w:val="18"/>
          <w:lang w:eastAsia="en-GB"/>
        </w:rPr>
        <w:t xml:space="preserve"> </w:t>
      </w:r>
      <w:r w:rsidR="00D40588" w:rsidRPr="00071908">
        <w:rPr>
          <w:rFonts w:eastAsiaTheme="minorEastAsia"/>
          <w:sz w:val="18"/>
          <w:szCs w:val="18"/>
          <w:lang w:eastAsia="en-GB"/>
        </w:rPr>
        <w:t>to be the</w:t>
      </w:r>
      <w:r w:rsidR="006020EB" w:rsidRPr="00071908">
        <w:rPr>
          <w:rFonts w:eastAsiaTheme="minorEastAsia"/>
          <w:sz w:val="18"/>
          <w:szCs w:val="18"/>
          <w:lang w:eastAsia="en-GB"/>
        </w:rPr>
        <w:t xml:space="preserve"> </w:t>
      </w:r>
      <w:r w:rsidR="00D97B1B" w:rsidRPr="00071908">
        <w:rPr>
          <w:rFonts w:eastAsiaTheme="minorEastAsia"/>
          <w:sz w:val="18"/>
          <w:szCs w:val="18"/>
          <w:lang w:eastAsia="en-GB"/>
        </w:rPr>
        <w:t>time when the</w:t>
      </w:r>
      <w:r w:rsidR="00CB616E" w:rsidRPr="00071908">
        <w:rPr>
          <w:rFonts w:eastAsiaTheme="minorEastAsia"/>
          <w:sz w:val="18"/>
          <w:szCs w:val="18"/>
          <w:lang w:eastAsia="en-GB"/>
        </w:rPr>
        <w:t xml:space="preserve"> PL</w:t>
      </w:r>
      <w:r w:rsidR="00D97B1B" w:rsidRPr="00071908">
        <w:rPr>
          <w:rFonts w:eastAsiaTheme="minorEastAsia"/>
          <w:sz w:val="18"/>
          <w:szCs w:val="18"/>
          <w:lang w:eastAsia="en-GB"/>
        </w:rPr>
        <w:t xml:space="preserve"> decay</w:t>
      </w:r>
      <w:r w:rsidR="0061067D" w:rsidRPr="00071908">
        <w:rPr>
          <w:rFonts w:eastAsiaTheme="minorEastAsia"/>
          <w:sz w:val="18"/>
          <w:szCs w:val="18"/>
          <w:lang w:eastAsia="en-GB"/>
        </w:rPr>
        <w:t>s</w:t>
      </w:r>
      <w:r w:rsidR="00D97B1B" w:rsidRPr="00071908">
        <w:rPr>
          <w:rFonts w:eastAsiaTheme="minorEastAsia"/>
          <w:sz w:val="18"/>
          <w:szCs w:val="18"/>
          <w:lang w:eastAsia="en-GB"/>
        </w:rPr>
        <w:t xml:space="preserve"> to 1/e of its initial value.</w:t>
      </w:r>
      <w:r w:rsidR="006E791B" w:rsidRPr="00071908">
        <w:rPr>
          <w:rFonts w:eastAsiaTheme="minorEastAsia"/>
          <w:sz w:val="18"/>
          <w:szCs w:val="18"/>
          <w:lang w:eastAsia="en-GB"/>
        </w:rPr>
        <w:t xml:space="preserve"> The results are summarised in table 1.</w:t>
      </w:r>
      <w:r w:rsidR="00D97B1B" w:rsidRPr="00071908">
        <w:rPr>
          <w:rFonts w:eastAsiaTheme="minorEastAsia"/>
          <w:sz w:val="18"/>
          <w:szCs w:val="18"/>
          <w:lang w:eastAsia="en-GB"/>
        </w:rPr>
        <w:t xml:space="preserve"> </w:t>
      </w:r>
      <w:r w:rsidR="003528FE" w:rsidRPr="00071908">
        <w:rPr>
          <w:rFonts w:eastAsiaTheme="minorEastAsia"/>
          <w:sz w:val="18"/>
          <w:szCs w:val="18"/>
          <w:lang w:eastAsia="en-GB"/>
        </w:rPr>
        <w:t xml:space="preserve"> In the case of BQR, all the films showed a</w:t>
      </w:r>
      <w:r w:rsidR="006020EB" w:rsidRPr="00071908">
        <w:rPr>
          <w:rFonts w:eastAsiaTheme="minorEastAsia"/>
          <w:sz w:val="18"/>
          <w:szCs w:val="18"/>
          <w:lang w:eastAsia="en-GB"/>
        </w:rPr>
        <w:t>n</w:t>
      </w:r>
      <w:r w:rsidR="003528FE" w:rsidRPr="00071908">
        <w:rPr>
          <w:rFonts w:eastAsiaTheme="minorEastAsia"/>
          <w:sz w:val="18"/>
          <w:szCs w:val="18"/>
          <w:lang w:eastAsia="en-GB"/>
        </w:rPr>
        <w:t xml:space="preserve"> </w:t>
      </w:r>
      <m:oMath>
        <m:sSub>
          <m:sSubPr>
            <m:ctrlPr>
              <w:rPr>
                <w:rFonts w:ascii="Cambria Math" w:hAnsi="Cambria Math"/>
                <w:i/>
                <w:sz w:val="18"/>
                <w:szCs w:val="18"/>
                <w:lang w:eastAsia="en-GB"/>
              </w:rPr>
            </m:ctrlPr>
          </m:sSubPr>
          <m:e>
            <m:r>
              <w:rPr>
                <w:rFonts w:ascii="Cambria Math" w:hAnsi="Cambria Math"/>
                <w:sz w:val="18"/>
                <w:szCs w:val="18"/>
                <w:lang w:eastAsia="en-GB"/>
              </w:rPr>
              <m:t>L</m:t>
            </m:r>
          </m:e>
          <m:sub>
            <m:r>
              <w:rPr>
                <w:rFonts w:ascii="Cambria Math" w:hAnsi="Cambria Math"/>
                <w:sz w:val="18"/>
                <w:szCs w:val="18"/>
                <w:lang w:eastAsia="en-GB"/>
              </w:rPr>
              <m:t>3D</m:t>
            </m:r>
          </m:sub>
        </m:sSub>
        <m:r>
          <w:rPr>
            <w:rFonts w:ascii="Cambria Math" w:hAnsi="Cambria Math"/>
            <w:sz w:val="18"/>
            <w:szCs w:val="18"/>
            <w:lang w:eastAsia="en-GB"/>
          </w:rPr>
          <m:t xml:space="preserve"> </m:t>
        </m:r>
      </m:oMath>
      <w:r w:rsidR="003528FE" w:rsidRPr="00071908">
        <w:rPr>
          <w:sz w:val="18"/>
          <w:szCs w:val="18"/>
          <w:lang w:eastAsia="en-GB"/>
        </w:rPr>
        <w:t>between 39 nm and 43 nm, whereas</w:t>
      </w:r>
      <w:r w:rsidR="006020EB" w:rsidRPr="00071908">
        <w:rPr>
          <w:sz w:val="18"/>
          <w:szCs w:val="18"/>
          <w:lang w:eastAsia="en-GB"/>
        </w:rPr>
        <w:t>,</w:t>
      </w:r>
      <w:r w:rsidR="003528FE" w:rsidRPr="00071908">
        <w:rPr>
          <w:sz w:val="18"/>
          <w:szCs w:val="18"/>
          <w:lang w:eastAsia="en-GB"/>
        </w:rPr>
        <w:t xml:space="preserve"> in the case of BTR,</w:t>
      </w:r>
      <w:r w:rsidR="00AB26FF" w:rsidRPr="00071908">
        <w:rPr>
          <w:rFonts w:eastAsiaTheme="minorEastAsia"/>
          <w:sz w:val="18"/>
          <w:szCs w:val="18"/>
          <w:lang w:eastAsia="en-GB"/>
        </w:rPr>
        <w:t xml:space="preserve"> a</w:t>
      </w:r>
      <w:r w:rsidR="006020EB" w:rsidRPr="00071908">
        <w:rPr>
          <w:rFonts w:eastAsiaTheme="minorEastAsia"/>
          <w:sz w:val="18"/>
          <w:szCs w:val="18"/>
          <w:lang w:eastAsia="en-GB"/>
        </w:rPr>
        <w:t>n</w:t>
      </w:r>
      <w:r w:rsidR="00AB26FF" w:rsidRPr="00071908">
        <w:rPr>
          <w:rFonts w:eastAsiaTheme="minorEastAsia"/>
          <w:sz w:val="18"/>
          <w:szCs w:val="18"/>
          <w:lang w:eastAsia="en-GB"/>
        </w:rPr>
        <w:t xml:space="preserve"> </w:t>
      </w:r>
      <m:oMath>
        <m:sSub>
          <m:sSubPr>
            <m:ctrlPr>
              <w:rPr>
                <w:rFonts w:ascii="Cambria Math" w:hAnsi="Cambria Math"/>
                <w:i/>
                <w:sz w:val="18"/>
                <w:szCs w:val="18"/>
                <w:lang w:eastAsia="en-GB"/>
              </w:rPr>
            </m:ctrlPr>
          </m:sSubPr>
          <m:e>
            <m:r>
              <w:rPr>
                <w:rFonts w:ascii="Cambria Math" w:hAnsi="Cambria Math"/>
                <w:sz w:val="18"/>
                <w:szCs w:val="18"/>
                <w:lang w:eastAsia="en-GB"/>
              </w:rPr>
              <m:t>L</m:t>
            </m:r>
          </m:e>
          <m:sub>
            <m:r>
              <w:rPr>
                <w:rFonts w:ascii="Cambria Math" w:hAnsi="Cambria Math"/>
                <w:sz w:val="18"/>
                <w:szCs w:val="18"/>
                <w:lang w:eastAsia="en-GB"/>
              </w:rPr>
              <m:t>3D</m:t>
            </m:r>
          </m:sub>
        </m:sSub>
        <m:r>
          <w:rPr>
            <w:rFonts w:ascii="Cambria Math" w:hAnsi="Cambria Math"/>
            <w:sz w:val="18"/>
            <w:szCs w:val="18"/>
            <w:lang w:eastAsia="en-GB"/>
          </w:rPr>
          <m:t xml:space="preserve"> </m:t>
        </m:r>
      </m:oMath>
      <w:r w:rsidR="00AB26FF" w:rsidRPr="00071908">
        <w:rPr>
          <w:sz w:val="18"/>
          <w:szCs w:val="18"/>
          <w:lang w:eastAsia="en-GB"/>
        </w:rPr>
        <w:t xml:space="preserve">of 24 nm </w:t>
      </w:r>
      <w:r w:rsidR="003528FE" w:rsidRPr="00071908">
        <w:rPr>
          <w:sz w:val="18"/>
          <w:szCs w:val="18"/>
          <w:lang w:eastAsia="en-GB"/>
        </w:rPr>
        <w:t xml:space="preserve">was obtained for </w:t>
      </w:r>
      <w:r w:rsidR="006020EB" w:rsidRPr="00071908">
        <w:rPr>
          <w:sz w:val="18"/>
          <w:szCs w:val="18"/>
          <w:lang w:eastAsia="en-GB"/>
        </w:rPr>
        <w:t xml:space="preserve">the </w:t>
      </w:r>
      <w:r w:rsidR="000437F8" w:rsidRPr="00071908">
        <w:rPr>
          <w:sz w:val="18"/>
          <w:szCs w:val="18"/>
          <w:lang w:eastAsia="en-GB"/>
        </w:rPr>
        <w:t>as-cast</w:t>
      </w:r>
      <w:r w:rsidR="003528FE" w:rsidRPr="00071908">
        <w:rPr>
          <w:sz w:val="18"/>
          <w:szCs w:val="18"/>
          <w:lang w:eastAsia="en-GB"/>
        </w:rPr>
        <w:t xml:space="preserve"> film (without annealing)</w:t>
      </w:r>
      <w:r w:rsidR="00AB26FF" w:rsidRPr="00071908">
        <w:rPr>
          <w:sz w:val="18"/>
          <w:szCs w:val="18"/>
          <w:lang w:eastAsia="en-GB"/>
        </w:rPr>
        <w:t xml:space="preserve"> and for </w:t>
      </w:r>
      <w:r w:rsidR="00D40588" w:rsidRPr="00071908">
        <w:rPr>
          <w:sz w:val="18"/>
          <w:szCs w:val="18"/>
          <w:lang w:eastAsia="en-GB"/>
        </w:rPr>
        <w:t xml:space="preserve">thermally annealed </w:t>
      </w:r>
      <w:r w:rsidR="00AB26FF" w:rsidRPr="00071908">
        <w:rPr>
          <w:sz w:val="18"/>
          <w:szCs w:val="18"/>
          <w:lang w:eastAsia="en-GB"/>
        </w:rPr>
        <w:t>film</w:t>
      </w:r>
      <w:r w:rsidR="003528FE" w:rsidRPr="00071908">
        <w:rPr>
          <w:sz w:val="18"/>
          <w:szCs w:val="18"/>
          <w:lang w:eastAsia="en-GB"/>
        </w:rPr>
        <w:t xml:space="preserve">. </w:t>
      </w:r>
      <w:r w:rsidR="00AB26FF" w:rsidRPr="00071908">
        <w:rPr>
          <w:sz w:val="18"/>
          <w:szCs w:val="18"/>
          <w:lang w:eastAsia="en-GB"/>
        </w:rPr>
        <w:t>However t</w:t>
      </w:r>
      <w:r w:rsidR="003528FE" w:rsidRPr="00071908">
        <w:rPr>
          <w:sz w:val="18"/>
          <w:szCs w:val="18"/>
          <w:lang w:eastAsia="en-GB"/>
        </w:rPr>
        <w:t xml:space="preserve">his </w:t>
      </w:r>
      <m:oMath>
        <m:sSub>
          <m:sSubPr>
            <m:ctrlPr>
              <w:rPr>
                <w:rFonts w:ascii="Cambria Math" w:hAnsi="Cambria Math"/>
                <w:i/>
                <w:sz w:val="18"/>
                <w:szCs w:val="18"/>
                <w:lang w:eastAsia="en-GB"/>
              </w:rPr>
            </m:ctrlPr>
          </m:sSubPr>
          <m:e>
            <m:r>
              <w:rPr>
                <w:rFonts w:ascii="Cambria Math" w:hAnsi="Cambria Math"/>
                <w:sz w:val="18"/>
                <w:szCs w:val="18"/>
                <w:lang w:eastAsia="en-GB"/>
              </w:rPr>
              <m:t>L</m:t>
            </m:r>
          </m:e>
          <m:sub>
            <m:r>
              <w:rPr>
                <w:rFonts w:ascii="Cambria Math" w:hAnsi="Cambria Math"/>
                <w:sz w:val="18"/>
                <w:szCs w:val="18"/>
                <w:lang w:eastAsia="en-GB"/>
              </w:rPr>
              <m:t>3D</m:t>
            </m:r>
          </m:sub>
        </m:sSub>
      </m:oMath>
      <w:r w:rsidR="003528FE" w:rsidRPr="00071908">
        <w:rPr>
          <w:rFonts w:eastAsiaTheme="minorEastAsia"/>
          <w:sz w:val="18"/>
          <w:szCs w:val="18"/>
          <w:lang w:eastAsia="en-GB"/>
        </w:rPr>
        <w:t xml:space="preserve"> increase</w:t>
      </w:r>
      <w:r w:rsidR="000437F8" w:rsidRPr="00071908">
        <w:rPr>
          <w:rFonts w:eastAsiaTheme="minorEastAsia"/>
          <w:sz w:val="18"/>
          <w:szCs w:val="18"/>
          <w:lang w:eastAsia="en-GB"/>
        </w:rPr>
        <w:t>s</w:t>
      </w:r>
      <w:r w:rsidR="003528FE" w:rsidRPr="00071908">
        <w:rPr>
          <w:rFonts w:eastAsiaTheme="minorEastAsia"/>
          <w:sz w:val="18"/>
          <w:szCs w:val="18"/>
          <w:lang w:eastAsia="en-GB"/>
        </w:rPr>
        <w:t xml:space="preserve"> to </w:t>
      </w:r>
      <w:r w:rsidR="000437F8" w:rsidRPr="00071908">
        <w:rPr>
          <w:rFonts w:eastAsiaTheme="minorEastAsia"/>
          <w:sz w:val="18"/>
          <w:szCs w:val="18"/>
          <w:lang w:eastAsia="en-GB"/>
        </w:rPr>
        <w:t xml:space="preserve">33 nm for SVA with </w:t>
      </w:r>
      <w:r w:rsidR="00AB26FF" w:rsidRPr="00071908">
        <w:rPr>
          <w:rFonts w:eastAsiaTheme="minorEastAsia"/>
          <w:sz w:val="18"/>
          <w:szCs w:val="18"/>
          <w:lang w:eastAsia="en-GB"/>
        </w:rPr>
        <w:t>CHCl</w:t>
      </w:r>
      <w:r w:rsidR="00AB26FF" w:rsidRPr="00071908">
        <w:rPr>
          <w:rFonts w:eastAsiaTheme="minorEastAsia"/>
          <w:sz w:val="18"/>
          <w:szCs w:val="18"/>
          <w:vertAlign w:val="subscript"/>
          <w:lang w:eastAsia="en-GB"/>
        </w:rPr>
        <w:t>3</w:t>
      </w:r>
      <w:r w:rsidR="00AB26FF" w:rsidRPr="00071908">
        <w:rPr>
          <w:rFonts w:eastAsiaTheme="minorEastAsia"/>
          <w:sz w:val="18"/>
          <w:szCs w:val="18"/>
          <w:lang w:eastAsia="en-GB"/>
        </w:rPr>
        <w:t xml:space="preserve"> film</w:t>
      </w:r>
      <w:r w:rsidR="003528FE" w:rsidRPr="00071908">
        <w:rPr>
          <w:rFonts w:eastAsiaTheme="minorEastAsia"/>
          <w:sz w:val="18"/>
          <w:szCs w:val="18"/>
          <w:lang w:eastAsia="en-GB"/>
        </w:rPr>
        <w:t xml:space="preserve"> and </w:t>
      </w:r>
      <w:r w:rsidR="00AB26FF" w:rsidRPr="00071908">
        <w:rPr>
          <w:rFonts w:eastAsiaTheme="minorEastAsia"/>
          <w:sz w:val="18"/>
          <w:szCs w:val="18"/>
          <w:lang w:eastAsia="en-GB"/>
        </w:rPr>
        <w:t>to 42 nm fo</w:t>
      </w:r>
      <w:r w:rsidR="000437F8" w:rsidRPr="00071908">
        <w:rPr>
          <w:rFonts w:eastAsiaTheme="minorEastAsia"/>
          <w:sz w:val="18"/>
          <w:szCs w:val="18"/>
          <w:lang w:eastAsia="en-GB"/>
        </w:rPr>
        <w:t xml:space="preserve">r SVA with </w:t>
      </w:r>
      <w:r w:rsidR="00D47C3B" w:rsidRPr="00071908">
        <w:rPr>
          <w:rFonts w:eastAsiaTheme="minorEastAsia"/>
          <w:sz w:val="18"/>
          <w:szCs w:val="18"/>
          <w:lang w:eastAsia="en-GB"/>
        </w:rPr>
        <w:t>THF.</w:t>
      </w:r>
      <w:r w:rsidR="00CB616E" w:rsidRPr="00071908">
        <w:rPr>
          <w:rFonts w:eastAsiaTheme="minorEastAsia"/>
          <w:sz w:val="18"/>
          <w:szCs w:val="18"/>
          <w:lang w:eastAsia="en-GB"/>
        </w:rPr>
        <w:t xml:space="preserve"> </w:t>
      </w:r>
      <w:r w:rsidR="00993A9D" w:rsidRPr="00071908">
        <w:rPr>
          <w:rFonts w:eastAsiaTheme="minorEastAsia"/>
          <w:sz w:val="18"/>
          <w:szCs w:val="18"/>
          <w:lang w:eastAsia="en-GB"/>
        </w:rPr>
        <w:t>The</w:t>
      </w:r>
      <w:r w:rsidR="00FA60E5" w:rsidRPr="00071908">
        <w:rPr>
          <w:rFonts w:eastAsiaTheme="minorEastAsia"/>
          <w:sz w:val="18"/>
          <w:szCs w:val="18"/>
          <w:lang w:eastAsia="en-GB"/>
        </w:rPr>
        <w:t xml:space="preserve"> higher value in both molecules after SVA may be due to the higher crystallinity of the films after SVA. </w:t>
      </w:r>
      <w:r w:rsidR="00CB616E" w:rsidRPr="00071908">
        <w:rPr>
          <w:rFonts w:eastAsiaTheme="minorEastAsia"/>
          <w:sz w:val="18"/>
          <w:szCs w:val="18"/>
          <w:lang w:eastAsia="en-GB"/>
        </w:rPr>
        <w:t>In both molecules, a</w:t>
      </w:r>
      <w:r w:rsidR="006020EB" w:rsidRPr="00071908">
        <w:rPr>
          <w:rFonts w:eastAsiaTheme="minorEastAsia"/>
          <w:sz w:val="18"/>
          <w:szCs w:val="18"/>
          <w:lang w:eastAsia="en-GB"/>
        </w:rPr>
        <w:t>n</w:t>
      </w:r>
      <w:r w:rsidR="00CB616E" w:rsidRPr="00071908">
        <w:rPr>
          <w:rFonts w:eastAsiaTheme="minorEastAsia"/>
          <w:sz w:val="18"/>
          <w:szCs w:val="18"/>
          <w:lang w:eastAsia="en-GB"/>
        </w:rPr>
        <w:t xml:space="preserve"> </w:t>
      </w:r>
      <m:oMath>
        <m:sSub>
          <m:sSubPr>
            <m:ctrlPr>
              <w:rPr>
                <w:rFonts w:ascii="Cambria Math" w:hAnsi="Cambria Math"/>
                <w:i/>
                <w:sz w:val="18"/>
                <w:szCs w:val="18"/>
                <w:lang w:eastAsia="en-GB"/>
              </w:rPr>
            </m:ctrlPr>
          </m:sSubPr>
          <m:e>
            <m:r>
              <w:rPr>
                <w:rFonts w:ascii="Cambria Math" w:hAnsi="Cambria Math"/>
                <w:sz w:val="18"/>
                <w:szCs w:val="18"/>
                <w:lang w:eastAsia="en-GB"/>
              </w:rPr>
              <m:t>L</m:t>
            </m:r>
          </m:e>
          <m:sub>
            <m:r>
              <w:rPr>
                <w:rFonts w:ascii="Cambria Math" w:hAnsi="Cambria Math"/>
                <w:sz w:val="18"/>
                <w:szCs w:val="18"/>
                <w:lang w:eastAsia="en-GB"/>
              </w:rPr>
              <m:t>3D</m:t>
            </m:r>
          </m:sub>
        </m:sSub>
        <m:r>
          <w:rPr>
            <w:rFonts w:ascii="Cambria Math" w:hAnsi="Cambria Math"/>
            <w:sz w:val="18"/>
            <w:szCs w:val="18"/>
            <w:lang w:eastAsia="en-GB"/>
          </w:rPr>
          <m:t xml:space="preserve"> </m:t>
        </m:r>
      </m:oMath>
      <w:r w:rsidR="00CB616E" w:rsidRPr="00071908">
        <w:rPr>
          <w:rFonts w:eastAsiaTheme="minorEastAsia"/>
          <w:sz w:val="18"/>
          <w:szCs w:val="18"/>
          <w:lang w:eastAsia="en-GB"/>
        </w:rPr>
        <w:t xml:space="preserve">of more than 40 nm was obtained after SVA which is </w:t>
      </w:r>
      <w:r w:rsidR="00067AD7" w:rsidRPr="00071908">
        <w:rPr>
          <w:rFonts w:eastAsiaTheme="minorEastAsia"/>
          <w:sz w:val="18"/>
          <w:szCs w:val="18"/>
          <w:lang w:eastAsia="en-GB"/>
        </w:rPr>
        <w:t xml:space="preserve">comparable to the </w:t>
      </w:r>
      <w:r w:rsidR="00D47C3B" w:rsidRPr="00071908">
        <w:rPr>
          <w:rFonts w:eastAsiaTheme="minorEastAsia"/>
          <w:sz w:val="18"/>
          <w:szCs w:val="18"/>
          <w:lang w:eastAsia="en-GB"/>
        </w:rPr>
        <w:t>previously reported</w:t>
      </w:r>
      <w:r w:rsidR="00CB616E" w:rsidRPr="00071908">
        <w:rPr>
          <w:rFonts w:eastAsiaTheme="minorEastAsia"/>
          <w:sz w:val="18"/>
          <w:szCs w:val="18"/>
          <w:lang w:eastAsia="en-GB"/>
        </w:rPr>
        <w:t xml:space="preserve"> value</w:t>
      </w:r>
      <w:r w:rsidR="00D47C3B" w:rsidRPr="00071908">
        <w:rPr>
          <w:rFonts w:eastAsiaTheme="minorEastAsia"/>
          <w:sz w:val="18"/>
          <w:szCs w:val="18"/>
          <w:lang w:eastAsia="en-GB"/>
        </w:rPr>
        <w:t xml:space="preserve"> for </w:t>
      </w:r>
      <w:r w:rsidR="00993A9D" w:rsidRPr="00071908">
        <w:rPr>
          <w:rFonts w:eastAsiaTheme="minorEastAsia"/>
          <w:sz w:val="18"/>
          <w:szCs w:val="18"/>
          <w:lang w:eastAsia="en-GB"/>
        </w:rPr>
        <w:t>the small molecule DR3TBDTT</w:t>
      </w:r>
      <w:r w:rsidR="00D47C3B" w:rsidRPr="00071908">
        <w:rPr>
          <w:rFonts w:eastAsiaTheme="minorEastAsia"/>
          <w:sz w:val="18"/>
          <w:szCs w:val="18"/>
          <w:lang w:eastAsia="en-GB"/>
        </w:rPr>
        <w:t>.</w:t>
      </w:r>
      <w:r w:rsidR="00ED2862" w:rsidRPr="00071908">
        <w:rPr>
          <w:rFonts w:eastAsiaTheme="minorEastAsia"/>
          <w:noProof/>
          <w:sz w:val="18"/>
          <w:szCs w:val="18"/>
          <w:vertAlign w:val="superscript"/>
          <w:lang w:eastAsia="en-GB"/>
        </w:rPr>
        <w:t>15</w:t>
      </w:r>
      <w:r w:rsidR="00D47C3B" w:rsidRPr="00071908">
        <w:rPr>
          <w:rFonts w:eastAsiaTheme="minorEastAsia"/>
          <w:sz w:val="18"/>
          <w:szCs w:val="18"/>
          <w:lang w:eastAsia="en-GB"/>
        </w:rPr>
        <w:t xml:space="preserve"> </w:t>
      </w:r>
      <w:r w:rsidR="00993A9D" w:rsidRPr="00071908">
        <w:rPr>
          <w:rFonts w:eastAsiaTheme="minorEastAsia"/>
          <w:sz w:val="18"/>
          <w:szCs w:val="18"/>
          <w:lang w:eastAsia="en-GB"/>
        </w:rPr>
        <w:t xml:space="preserve"> This shows that with the assistance of SVA substantial exciton diffusion lengths can be achieved in a range of small molecule OPV materials.</w:t>
      </w:r>
    </w:p>
    <w:p w:rsidR="001470C1" w:rsidRDefault="00DF6A83" w:rsidP="00B8216D">
      <w:pPr>
        <w:autoSpaceDE w:val="0"/>
        <w:autoSpaceDN w:val="0"/>
        <w:adjustRightInd w:val="0"/>
        <w:spacing w:after="120" w:line="240" w:lineRule="auto"/>
        <w:jc w:val="center"/>
      </w:pPr>
      <w:r>
        <w:object w:dxaOrig="3403" w:dyaOrig="3231">
          <v:shape id="_x0000_i1030" type="#_x0000_t75" style="width:222.9pt;height:210.8pt" o:ole="">
            <v:imagedata r:id="rId21" o:title=""/>
          </v:shape>
          <o:OLEObject Type="Embed" ProgID="Origin50.Graph" ShapeID="_x0000_i1030" DrawAspect="Content" ObjectID="_1644228481" r:id="rId22"/>
        </w:object>
      </w:r>
      <w:r>
        <w:object w:dxaOrig="3403" w:dyaOrig="3231">
          <v:shape id="_x0000_i1031" type="#_x0000_t75" style="width:222.9pt;height:211.45pt" o:ole="">
            <v:imagedata r:id="rId23" o:title=""/>
          </v:shape>
          <o:OLEObject Type="Embed" ProgID="Origin50.Graph" ShapeID="_x0000_i1031" DrawAspect="Content" ObjectID="_1644228482" r:id="rId24"/>
        </w:object>
      </w:r>
    </w:p>
    <w:p w:rsidR="00606C6A" w:rsidRPr="00360301" w:rsidRDefault="00606C6A" w:rsidP="00606C6A">
      <w:pPr>
        <w:pStyle w:val="Caption"/>
        <w:rPr>
          <w:i/>
          <w:sz w:val="16"/>
          <w:szCs w:val="16"/>
        </w:rPr>
      </w:pPr>
      <w:bookmarkStart w:id="3" w:name="_Ref195618"/>
      <w:r w:rsidRPr="006B6557">
        <w:rPr>
          <w:b/>
          <w:sz w:val="16"/>
          <w:szCs w:val="16"/>
        </w:rPr>
        <w:t xml:space="preserve">Figure </w:t>
      </w:r>
      <w:r w:rsidR="00525649">
        <w:rPr>
          <w:b/>
          <w:noProof/>
          <w:sz w:val="16"/>
          <w:szCs w:val="16"/>
        </w:rPr>
        <w:t>4</w:t>
      </w:r>
      <w:bookmarkEnd w:id="3"/>
      <w:r w:rsidRPr="006B6557">
        <w:rPr>
          <w:b/>
          <w:sz w:val="16"/>
          <w:szCs w:val="16"/>
        </w:rPr>
        <w:t>:</w:t>
      </w:r>
      <w:r w:rsidRPr="006B6557">
        <w:rPr>
          <w:sz w:val="16"/>
          <w:szCs w:val="16"/>
        </w:rPr>
        <w:t xml:space="preserve"> </w:t>
      </w:r>
      <w:r w:rsidRPr="00360301">
        <w:rPr>
          <w:i/>
          <w:sz w:val="16"/>
          <w:szCs w:val="16"/>
        </w:rPr>
        <w:t>Exciton diffusion coefficient (D)</w:t>
      </w:r>
      <w:r w:rsidR="006B6557" w:rsidRPr="00360301">
        <w:rPr>
          <w:i/>
          <w:sz w:val="16"/>
          <w:szCs w:val="16"/>
        </w:rPr>
        <w:t xml:space="preserve"> in all films of both molecules, determined using eq.2.TA is for </w:t>
      </w:r>
      <w:r w:rsidR="006020EB" w:rsidRPr="006020EB">
        <w:rPr>
          <w:i/>
          <w:sz w:val="16"/>
          <w:szCs w:val="16"/>
        </w:rPr>
        <w:t xml:space="preserve">a thermally </w:t>
      </w:r>
      <w:r w:rsidR="006B6557" w:rsidRPr="00360301">
        <w:rPr>
          <w:i/>
          <w:sz w:val="16"/>
          <w:szCs w:val="16"/>
        </w:rPr>
        <w:t xml:space="preserve">annealed film. </w:t>
      </w:r>
    </w:p>
    <w:p w:rsidR="00CB3910" w:rsidRDefault="00774B08" w:rsidP="00F51074">
      <w:pPr>
        <w:autoSpaceDE w:val="0"/>
        <w:autoSpaceDN w:val="0"/>
        <w:adjustRightInd w:val="0"/>
        <w:spacing w:after="120" w:line="240" w:lineRule="auto"/>
        <w:ind w:firstLine="284"/>
        <w:jc w:val="both"/>
        <w:rPr>
          <w:rFonts w:eastAsiaTheme="minorEastAsia"/>
          <w:sz w:val="18"/>
          <w:szCs w:val="18"/>
          <w:lang w:eastAsia="en-GB"/>
        </w:rPr>
      </w:pPr>
      <w:r>
        <w:rPr>
          <w:rFonts w:eastAsiaTheme="minorEastAsia"/>
          <w:sz w:val="18"/>
          <w:szCs w:val="18"/>
          <w:lang w:eastAsia="en-GB"/>
        </w:rPr>
        <w:t xml:space="preserve"> We investigated possible changes in the film by</w:t>
      </w:r>
      <w:r w:rsidR="00EB5842" w:rsidRPr="00261AF5">
        <w:rPr>
          <w:rFonts w:eastAsiaTheme="minorEastAsia"/>
          <w:sz w:val="18"/>
          <w:szCs w:val="18"/>
          <w:lang w:eastAsia="en-GB"/>
        </w:rPr>
        <w:t xml:space="preserve"> Grazing incidence </w:t>
      </w:r>
      <w:r w:rsidR="00112392">
        <w:rPr>
          <w:rFonts w:eastAsiaTheme="minorEastAsia"/>
          <w:sz w:val="18"/>
          <w:szCs w:val="18"/>
          <w:lang w:eastAsia="en-GB"/>
        </w:rPr>
        <w:t xml:space="preserve">Wide Angle </w:t>
      </w:r>
      <w:r w:rsidR="00EB5842" w:rsidRPr="00261AF5">
        <w:rPr>
          <w:rFonts w:eastAsiaTheme="minorEastAsia"/>
          <w:sz w:val="18"/>
          <w:szCs w:val="18"/>
          <w:lang w:eastAsia="en-GB"/>
        </w:rPr>
        <w:t>X-</w:t>
      </w:r>
      <w:r w:rsidR="00CC58C0" w:rsidRPr="00261AF5">
        <w:rPr>
          <w:rFonts w:eastAsiaTheme="minorEastAsia"/>
          <w:sz w:val="18"/>
          <w:szCs w:val="18"/>
          <w:lang w:eastAsia="en-GB"/>
        </w:rPr>
        <w:t>r</w:t>
      </w:r>
      <w:r w:rsidR="00EB5842" w:rsidRPr="00261AF5">
        <w:rPr>
          <w:rFonts w:eastAsiaTheme="minorEastAsia"/>
          <w:sz w:val="18"/>
          <w:szCs w:val="18"/>
          <w:lang w:eastAsia="en-GB"/>
        </w:rPr>
        <w:t>ay scattering</w:t>
      </w:r>
      <w:r w:rsidR="00CC58C0" w:rsidRPr="00261AF5">
        <w:rPr>
          <w:rFonts w:eastAsiaTheme="minorEastAsia"/>
          <w:sz w:val="18"/>
          <w:szCs w:val="18"/>
          <w:lang w:eastAsia="en-GB"/>
        </w:rPr>
        <w:t xml:space="preserve"> (GI</w:t>
      </w:r>
      <w:r w:rsidR="00112392">
        <w:rPr>
          <w:rFonts w:eastAsiaTheme="minorEastAsia"/>
          <w:sz w:val="18"/>
          <w:szCs w:val="18"/>
          <w:lang w:eastAsia="en-GB"/>
        </w:rPr>
        <w:t>WA</w:t>
      </w:r>
      <w:r w:rsidR="00CC58C0" w:rsidRPr="00261AF5">
        <w:rPr>
          <w:rFonts w:eastAsiaTheme="minorEastAsia"/>
          <w:sz w:val="18"/>
          <w:szCs w:val="18"/>
          <w:lang w:eastAsia="en-GB"/>
        </w:rPr>
        <w:t>XS)</w:t>
      </w:r>
      <w:r w:rsidR="00EB5842" w:rsidRPr="00261AF5">
        <w:rPr>
          <w:rFonts w:eastAsiaTheme="minorEastAsia"/>
          <w:sz w:val="18"/>
          <w:szCs w:val="18"/>
          <w:lang w:eastAsia="en-GB"/>
        </w:rPr>
        <w:t xml:space="preserve">. </w:t>
      </w:r>
      <w:r w:rsidR="0061067D">
        <w:rPr>
          <w:rFonts w:eastAsiaTheme="minorEastAsia"/>
          <w:sz w:val="18"/>
          <w:szCs w:val="18"/>
          <w:lang w:eastAsia="en-GB"/>
        </w:rPr>
        <w:t xml:space="preserve">The </w:t>
      </w:r>
      <w:r w:rsidR="004F0FD7" w:rsidRPr="00261AF5">
        <w:rPr>
          <w:rFonts w:eastAsiaTheme="minorEastAsia"/>
          <w:sz w:val="18"/>
          <w:szCs w:val="18"/>
          <w:lang w:eastAsia="en-GB"/>
        </w:rPr>
        <w:t>2D GI</w:t>
      </w:r>
      <w:r w:rsidR="00112392">
        <w:rPr>
          <w:rFonts w:eastAsiaTheme="minorEastAsia"/>
          <w:sz w:val="18"/>
          <w:szCs w:val="18"/>
          <w:lang w:eastAsia="en-GB"/>
        </w:rPr>
        <w:t>WA</w:t>
      </w:r>
      <w:r w:rsidR="004F0FD7" w:rsidRPr="00261AF5">
        <w:rPr>
          <w:rFonts w:eastAsiaTheme="minorEastAsia"/>
          <w:sz w:val="18"/>
          <w:szCs w:val="18"/>
          <w:lang w:eastAsia="en-GB"/>
        </w:rPr>
        <w:t xml:space="preserve">XS image of </w:t>
      </w:r>
      <w:r w:rsidR="0061067D">
        <w:rPr>
          <w:rFonts w:eastAsiaTheme="minorEastAsia"/>
          <w:sz w:val="18"/>
          <w:szCs w:val="18"/>
          <w:lang w:eastAsia="en-GB"/>
        </w:rPr>
        <w:t xml:space="preserve">the </w:t>
      </w:r>
      <w:r w:rsidR="00261AF5">
        <w:rPr>
          <w:rFonts w:eastAsiaTheme="minorEastAsia"/>
          <w:sz w:val="18"/>
          <w:szCs w:val="18"/>
          <w:lang w:eastAsia="en-GB"/>
        </w:rPr>
        <w:t>as-cast</w:t>
      </w:r>
      <w:r w:rsidR="00275733" w:rsidRPr="00261AF5">
        <w:rPr>
          <w:rFonts w:eastAsiaTheme="minorEastAsia"/>
          <w:sz w:val="18"/>
          <w:szCs w:val="18"/>
          <w:lang w:eastAsia="en-GB"/>
        </w:rPr>
        <w:t xml:space="preserve"> </w:t>
      </w:r>
      <w:r w:rsidR="00E35595" w:rsidRPr="00261AF5">
        <w:rPr>
          <w:rFonts w:eastAsiaTheme="minorEastAsia"/>
          <w:sz w:val="18"/>
          <w:szCs w:val="18"/>
          <w:lang w:eastAsia="en-GB"/>
        </w:rPr>
        <w:t xml:space="preserve">BTR </w:t>
      </w:r>
      <w:r w:rsidR="00275733" w:rsidRPr="00261AF5">
        <w:rPr>
          <w:rFonts w:eastAsiaTheme="minorEastAsia"/>
          <w:sz w:val="18"/>
          <w:szCs w:val="18"/>
          <w:lang w:eastAsia="en-GB"/>
        </w:rPr>
        <w:t>film</w:t>
      </w:r>
      <w:r w:rsidR="004F0FD7" w:rsidRPr="00261AF5">
        <w:rPr>
          <w:rFonts w:eastAsiaTheme="minorEastAsia"/>
          <w:sz w:val="18"/>
          <w:szCs w:val="18"/>
          <w:lang w:eastAsia="en-GB"/>
        </w:rPr>
        <w:t xml:space="preserve"> </w:t>
      </w:r>
      <w:r w:rsidR="00275733" w:rsidRPr="00261AF5">
        <w:rPr>
          <w:rFonts w:eastAsiaTheme="minorEastAsia"/>
          <w:sz w:val="18"/>
          <w:szCs w:val="18"/>
          <w:lang w:eastAsia="en-GB"/>
        </w:rPr>
        <w:t xml:space="preserve">is shown in </w:t>
      </w:r>
      <w:r w:rsidR="00525649" w:rsidRPr="00525649">
        <w:rPr>
          <w:sz w:val="18"/>
          <w:szCs w:val="18"/>
        </w:rPr>
        <w:t xml:space="preserve">Figure </w:t>
      </w:r>
      <w:r w:rsidR="00525649" w:rsidRPr="00525649">
        <w:rPr>
          <w:noProof/>
          <w:sz w:val="18"/>
          <w:szCs w:val="18"/>
        </w:rPr>
        <w:t>5</w:t>
      </w:r>
      <w:r w:rsidR="006020EB" w:rsidRPr="00EA5226">
        <w:rPr>
          <w:rFonts w:eastAsiaTheme="minorEastAsia"/>
          <w:sz w:val="18"/>
          <w:szCs w:val="18"/>
          <w:lang w:eastAsia="en-GB"/>
        </w:rPr>
        <w:t>.</w:t>
      </w:r>
      <w:r w:rsidR="006020EB">
        <w:rPr>
          <w:rFonts w:eastAsiaTheme="minorEastAsia"/>
          <w:sz w:val="18"/>
          <w:szCs w:val="18"/>
          <w:lang w:eastAsia="en-GB"/>
        </w:rPr>
        <w:t xml:space="preserve"> </w:t>
      </w:r>
      <w:r w:rsidR="00D40588">
        <w:rPr>
          <w:rFonts w:eastAsiaTheme="minorEastAsia"/>
          <w:sz w:val="18"/>
          <w:szCs w:val="18"/>
          <w:lang w:eastAsia="en-GB"/>
        </w:rPr>
        <w:t>It has two distinct fea</w:t>
      </w:r>
      <w:r w:rsidR="00D40588" w:rsidRPr="00261AF5">
        <w:rPr>
          <w:rFonts w:eastAsiaTheme="minorEastAsia"/>
          <w:sz w:val="18"/>
          <w:szCs w:val="18"/>
          <w:lang w:eastAsia="en-GB"/>
        </w:rPr>
        <w:t xml:space="preserve">tures; the </w:t>
      </w:r>
      <w:r w:rsidR="00D40588">
        <w:rPr>
          <w:rFonts w:eastAsiaTheme="minorEastAsia"/>
          <w:sz w:val="18"/>
          <w:szCs w:val="18"/>
          <w:lang w:eastAsia="en-GB"/>
        </w:rPr>
        <w:t>reflections</w:t>
      </w:r>
      <w:r w:rsidR="00D40588" w:rsidRPr="00261AF5">
        <w:rPr>
          <w:rFonts w:eastAsiaTheme="minorEastAsia"/>
          <w:sz w:val="18"/>
          <w:szCs w:val="18"/>
          <w:lang w:eastAsia="en-GB"/>
        </w:rPr>
        <w:t xml:space="preserve"> around ~ </w:t>
      </w:r>
      <w:r w:rsidR="002127B7">
        <w:rPr>
          <w:rFonts w:eastAsiaTheme="minorEastAsia"/>
          <w:sz w:val="18"/>
          <w:szCs w:val="18"/>
          <w:lang w:eastAsia="en-GB"/>
        </w:rPr>
        <w:t>3</w:t>
      </w:r>
      <w:r w:rsidR="00D40588" w:rsidRPr="00261AF5">
        <w:rPr>
          <w:rFonts w:eastAsiaTheme="minorEastAsia"/>
          <w:sz w:val="18"/>
          <w:szCs w:val="18"/>
          <w:lang w:eastAsia="en-GB"/>
        </w:rPr>
        <w:t xml:space="preserve"> nm</w:t>
      </w:r>
      <w:r w:rsidR="00D40588" w:rsidRPr="00261AF5">
        <w:rPr>
          <w:rFonts w:eastAsiaTheme="minorEastAsia"/>
          <w:sz w:val="18"/>
          <w:szCs w:val="18"/>
          <w:vertAlign w:val="superscript"/>
          <w:lang w:eastAsia="en-GB"/>
        </w:rPr>
        <w:t>-1</w:t>
      </w:r>
      <w:r w:rsidR="00D40588" w:rsidRPr="00261AF5">
        <w:rPr>
          <w:rFonts w:eastAsiaTheme="minorEastAsia"/>
          <w:sz w:val="18"/>
          <w:szCs w:val="18"/>
          <w:lang w:eastAsia="en-GB"/>
        </w:rPr>
        <w:t xml:space="preserve"> and ~ </w:t>
      </w:r>
      <w:r w:rsidR="002127B7">
        <w:rPr>
          <w:rFonts w:eastAsiaTheme="minorEastAsia"/>
          <w:sz w:val="18"/>
          <w:szCs w:val="18"/>
          <w:lang w:eastAsia="en-GB"/>
        </w:rPr>
        <w:t>7</w:t>
      </w:r>
      <w:r w:rsidR="00D40588" w:rsidRPr="00261AF5">
        <w:rPr>
          <w:rFonts w:eastAsiaTheme="minorEastAsia"/>
          <w:sz w:val="18"/>
          <w:szCs w:val="18"/>
          <w:lang w:eastAsia="en-GB"/>
        </w:rPr>
        <w:t xml:space="preserve"> nm</w:t>
      </w:r>
      <w:r w:rsidR="00D40588" w:rsidRPr="00261AF5">
        <w:rPr>
          <w:rFonts w:eastAsiaTheme="minorEastAsia"/>
          <w:sz w:val="18"/>
          <w:szCs w:val="18"/>
          <w:vertAlign w:val="superscript"/>
          <w:lang w:eastAsia="en-GB"/>
        </w:rPr>
        <w:t>-1</w:t>
      </w:r>
      <w:r w:rsidR="00D40588" w:rsidRPr="00261AF5">
        <w:rPr>
          <w:rFonts w:eastAsiaTheme="minorEastAsia"/>
          <w:sz w:val="18"/>
          <w:szCs w:val="18"/>
          <w:lang w:eastAsia="en-GB"/>
        </w:rPr>
        <w:t xml:space="preserve"> are </w:t>
      </w:r>
      <w:r w:rsidR="00D40588">
        <w:rPr>
          <w:rFonts w:eastAsiaTheme="minorEastAsia"/>
          <w:sz w:val="18"/>
          <w:szCs w:val="18"/>
          <w:lang w:eastAsia="en-GB"/>
        </w:rPr>
        <w:t>attributed to the lamellar</w:t>
      </w:r>
      <w:r w:rsidR="00D40588" w:rsidRPr="00261AF5">
        <w:rPr>
          <w:rFonts w:eastAsiaTheme="minorEastAsia"/>
          <w:sz w:val="18"/>
          <w:szCs w:val="18"/>
          <w:lang w:eastAsia="en-GB"/>
        </w:rPr>
        <w:t xml:space="preserve"> (100) and (200) crystalline planes</w:t>
      </w:r>
      <w:r w:rsidR="00275733" w:rsidRPr="00261AF5">
        <w:rPr>
          <w:rFonts w:eastAsiaTheme="minorEastAsia"/>
          <w:sz w:val="18"/>
          <w:szCs w:val="18"/>
          <w:lang w:eastAsia="en-GB"/>
        </w:rPr>
        <w:t>.</w:t>
      </w:r>
      <w:r w:rsidR="00ED2862" w:rsidRPr="00ED2862">
        <w:rPr>
          <w:rFonts w:eastAsiaTheme="minorEastAsia"/>
          <w:noProof/>
          <w:sz w:val="18"/>
          <w:szCs w:val="18"/>
          <w:vertAlign w:val="superscript"/>
          <w:lang w:eastAsia="en-GB"/>
        </w:rPr>
        <w:t>23, 24</w:t>
      </w:r>
      <w:r w:rsidR="006E791B">
        <w:rPr>
          <w:rFonts w:eastAsiaTheme="minorEastAsia"/>
          <w:sz w:val="18"/>
          <w:szCs w:val="18"/>
          <w:lang w:eastAsia="en-GB"/>
        </w:rPr>
        <w:t xml:space="preserve"> </w:t>
      </w:r>
      <w:r w:rsidR="00275733" w:rsidRPr="00261AF5">
        <w:rPr>
          <w:rFonts w:eastAsiaTheme="minorEastAsia"/>
          <w:sz w:val="18"/>
          <w:szCs w:val="18"/>
          <w:lang w:eastAsia="en-GB"/>
        </w:rPr>
        <w:t xml:space="preserve">They are stronger in the out of plane </w:t>
      </w:r>
      <w:r w:rsidR="0061067D">
        <w:rPr>
          <w:rFonts w:eastAsiaTheme="minorEastAsia"/>
          <w:sz w:val="18"/>
          <w:szCs w:val="18"/>
          <w:lang w:eastAsia="en-GB"/>
        </w:rPr>
        <w:t xml:space="preserve">direction </w:t>
      </w:r>
      <w:r w:rsidR="00275733" w:rsidRPr="00261AF5">
        <w:rPr>
          <w:rFonts w:eastAsiaTheme="minorEastAsia"/>
          <w:sz w:val="18"/>
          <w:szCs w:val="18"/>
          <w:lang w:eastAsia="en-GB"/>
        </w:rPr>
        <w:t xml:space="preserve">i.e. </w:t>
      </w:r>
      <w:r w:rsidR="00CC58C0" w:rsidRPr="00261AF5">
        <w:rPr>
          <w:rFonts w:eastAsiaTheme="minorEastAsia"/>
          <w:sz w:val="18"/>
          <w:szCs w:val="18"/>
          <w:lang w:eastAsia="en-GB"/>
        </w:rPr>
        <w:t>in the q</w:t>
      </w:r>
      <w:r w:rsidR="00275733" w:rsidRPr="00261AF5">
        <w:rPr>
          <w:rFonts w:eastAsiaTheme="minorEastAsia"/>
          <w:sz w:val="18"/>
          <w:szCs w:val="18"/>
          <w:vertAlign w:val="subscript"/>
          <w:lang w:eastAsia="en-GB"/>
        </w:rPr>
        <w:t>z</w:t>
      </w:r>
      <w:r w:rsidR="00275733" w:rsidRPr="00261AF5">
        <w:rPr>
          <w:rFonts w:eastAsiaTheme="minorEastAsia"/>
          <w:sz w:val="18"/>
          <w:szCs w:val="18"/>
          <w:lang w:eastAsia="en-GB"/>
        </w:rPr>
        <w:t xml:space="preserve"> direction</w:t>
      </w:r>
      <w:r w:rsidR="0061067D">
        <w:rPr>
          <w:rFonts w:eastAsiaTheme="minorEastAsia"/>
          <w:sz w:val="18"/>
          <w:szCs w:val="18"/>
          <w:lang w:eastAsia="en-GB"/>
        </w:rPr>
        <w:t>,</w:t>
      </w:r>
      <w:r w:rsidR="00275733" w:rsidRPr="00261AF5">
        <w:rPr>
          <w:rFonts w:eastAsiaTheme="minorEastAsia"/>
          <w:sz w:val="18"/>
          <w:szCs w:val="18"/>
          <w:lang w:eastAsia="en-GB"/>
        </w:rPr>
        <w:t xml:space="preserve"> which indicates </w:t>
      </w:r>
      <w:r w:rsidR="00CC58C0" w:rsidRPr="00261AF5">
        <w:rPr>
          <w:rFonts w:eastAsiaTheme="minorEastAsia"/>
          <w:sz w:val="18"/>
          <w:szCs w:val="18"/>
          <w:lang w:eastAsia="en-GB"/>
        </w:rPr>
        <w:t xml:space="preserve">the </w:t>
      </w:r>
      <w:r w:rsidR="00275733" w:rsidRPr="00261AF5">
        <w:rPr>
          <w:rFonts w:eastAsiaTheme="minorEastAsia"/>
          <w:sz w:val="18"/>
          <w:szCs w:val="18"/>
          <w:lang w:eastAsia="en-GB"/>
        </w:rPr>
        <w:t xml:space="preserve">edge on orientation of chains onto </w:t>
      </w:r>
      <w:r w:rsidR="00CC58C0" w:rsidRPr="00261AF5">
        <w:rPr>
          <w:rFonts w:eastAsiaTheme="minorEastAsia"/>
          <w:sz w:val="18"/>
          <w:szCs w:val="18"/>
          <w:lang w:eastAsia="en-GB"/>
        </w:rPr>
        <w:t xml:space="preserve">the </w:t>
      </w:r>
      <w:r w:rsidR="00275733" w:rsidRPr="00261AF5">
        <w:rPr>
          <w:rFonts w:eastAsiaTheme="minorEastAsia"/>
          <w:sz w:val="18"/>
          <w:szCs w:val="18"/>
          <w:lang w:eastAsia="en-GB"/>
        </w:rPr>
        <w:t xml:space="preserve">substrate.  </w:t>
      </w:r>
      <w:r w:rsidR="00CC58C0" w:rsidRPr="00261AF5">
        <w:rPr>
          <w:rFonts w:eastAsiaTheme="minorEastAsia"/>
          <w:sz w:val="18"/>
          <w:szCs w:val="18"/>
          <w:lang w:eastAsia="en-GB"/>
        </w:rPr>
        <w:t>T</w:t>
      </w:r>
      <w:r w:rsidR="00275733" w:rsidRPr="00261AF5">
        <w:rPr>
          <w:rFonts w:eastAsiaTheme="minorEastAsia"/>
          <w:sz w:val="18"/>
          <w:szCs w:val="18"/>
          <w:lang w:eastAsia="en-GB"/>
        </w:rPr>
        <w:t>he Bragg peak around 1</w:t>
      </w:r>
      <w:r w:rsidR="002127B7">
        <w:rPr>
          <w:rFonts w:eastAsiaTheme="minorEastAsia"/>
          <w:sz w:val="18"/>
          <w:szCs w:val="18"/>
          <w:lang w:eastAsia="en-GB"/>
        </w:rPr>
        <w:t>7</w:t>
      </w:r>
      <w:r w:rsidR="00275733" w:rsidRPr="00261AF5">
        <w:rPr>
          <w:rFonts w:eastAsiaTheme="minorEastAsia"/>
          <w:sz w:val="18"/>
          <w:szCs w:val="18"/>
          <w:lang w:eastAsia="en-GB"/>
        </w:rPr>
        <w:t xml:space="preserve"> nm</w:t>
      </w:r>
      <w:r w:rsidR="00275733" w:rsidRPr="00261AF5">
        <w:rPr>
          <w:rFonts w:eastAsiaTheme="minorEastAsia"/>
          <w:sz w:val="18"/>
          <w:szCs w:val="18"/>
          <w:vertAlign w:val="superscript"/>
          <w:lang w:eastAsia="en-GB"/>
        </w:rPr>
        <w:t>-1</w:t>
      </w:r>
      <w:r w:rsidR="00275733" w:rsidRPr="00261AF5">
        <w:rPr>
          <w:rFonts w:eastAsiaTheme="minorEastAsia"/>
          <w:sz w:val="18"/>
          <w:szCs w:val="18"/>
          <w:lang w:eastAsia="en-GB"/>
        </w:rPr>
        <w:t xml:space="preserve"> (010) is </w:t>
      </w:r>
      <w:r w:rsidR="00CC58C0" w:rsidRPr="00261AF5">
        <w:rPr>
          <w:rFonts w:eastAsiaTheme="minorEastAsia"/>
          <w:sz w:val="18"/>
          <w:szCs w:val="18"/>
          <w:lang w:eastAsia="en-GB"/>
        </w:rPr>
        <w:t xml:space="preserve">attributed to </w:t>
      </w:r>
      <w:r w:rsidR="00275733" w:rsidRPr="00261AF5">
        <w:rPr>
          <w:rFonts w:eastAsiaTheme="minorEastAsia"/>
          <w:sz w:val="18"/>
          <w:szCs w:val="18"/>
          <w:lang w:eastAsia="en-GB"/>
        </w:rPr>
        <w:t xml:space="preserve">π-π stacking and </w:t>
      </w:r>
      <w:r w:rsidR="00CB3910" w:rsidRPr="00261AF5">
        <w:rPr>
          <w:rFonts w:eastAsiaTheme="minorEastAsia"/>
          <w:sz w:val="18"/>
          <w:szCs w:val="18"/>
          <w:lang w:eastAsia="en-GB"/>
        </w:rPr>
        <w:t xml:space="preserve">is stronger </w:t>
      </w:r>
      <w:r w:rsidR="00CB3910">
        <w:rPr>
          <w:rFonts w:eastAsiaTheme="minorEastAsia"/>
          <w:sz w:val="18"/>
          <w:szCs w:val="18"/>
          <w:lang w:eastAsia="en-GB"/>
        </w:rPr>
        <w:t>in the in-</w:t>
      </w:r>
      <w:r w:rsidR="00CB3910" w:rsidRPr="00261AF5">
        <w:rPr>
          <w:rFonts w:eastAsiaTheme="minorEastAsia"/>
          <w:sz w:val="18"/>
          <w:szCs w:val="18"/>
          <w:lang w:eastAsia="en-GB"/>
        </w:rPr>
        <w:t xml:space="preserve"> </w:t>
      </w:r>
      <w:r w:rsidR="00CB3910">
        <w:rPr>
          <w:rFonts w:eastAsiaTheme="minorEastAsia"/>
          <w:sz w:val="18"/>
          <w:szCs w:val="18"/>
          <w:lang w:eastAsia="en-GB"/>
        </w:rPr>
        <w:t xml:space="preserve">plane i.e. </w:t>
      </w:r>
      <w:r w:rsidR="00CB3910" w:rsidRPr="00261AF5">
        <w:rPr>
          <w:rFonts w:eastAsiaTheme="minorEastAsia"/>
          <w:sz w:val="18"/>
          <w:szCs w:val="18"/>
          <w:lang w:eastAsia="en-GB"/>
        </w:rPr>
        <w:t>in the q</w:t>
      </w:r>
      <w:r w:rsidR="00CB3910" w:rsidRPr="00261AF5">
        <w:rPr>
          <w:rFonts w:eastAsiaTheme="minorEastAsia"/>
          <w:sz w:val="18"/>
          <w:szCs w:val="18"/>
          <w:vertAlign w:val="subscript"/>
          <w:lang w:eastAsia="en-GB"/>
        </w:rPr>
        <w:t xml:space="preserve">xy </w:t>
      </w:r>
      <w:r w:rsidR="00CB3910" w:rsidRPr="00261AF5">
        <w:rPr>
          <w:rFonts w:eastAsiaTheme="minorEastAsia"/>
          <w:sz w:val="18"/>
          <w:szCs w:val="18"/>
          <w:lang w:eastAsia="en-GB"/>
        </w:rPr>
        <w:t xml:space="preserve">direction. After the </w:t>
      </w:r>
      <w:r w:rsidR="00CB3910">
        <w:rPr>
          <w:rFonts w:eastAsiaTheme="minorEastAsia"/>
          <w:sz w:val="18"/>
          <w:szCs w:val="18"/>
          <w:lang w:eastAsia="en-GB"/>
        </w:rPr>
        <w:t xml:space="preserve">thermal and solvent vapour </w:t>
      </w:r>
      <w:r w:rsidR="00CB3910" w:rsidRPr="00261AF5">
        <w:rPr>
          <w:rFonts w:eastAsiaTheme="minorEastAsia"/>
          <w:sz w:val="18"/>
          <w:szCs w:val="18"/>
          <w:lang w:eastAsia="en-GB"/>
        </w:rPr>
        <w:t xml:space="preserve">annealing, </w:t>
      </w:r>
      <w:r w:rsidR="00CB3910">
        <w:rPr>
          <w:rFonts w:eastAsiaTheme="minorEastAsia"/>
          <w:sz w:val="18"/>
          <w:szCs w:val="18"/>
          <w:lang w:eastAsia="en-GB"/>
        </w:rPr>
        <w:t>the peaks narrow (Figure S3) and increase in intensity</w:t>
      </w:r>
      <w:r w:rsidR="00CB3910" w:rsidRPr="00261AF5">
        <w:rPr>
          <w:rFonts w:eastAsiaTheme="minorEastAsia"/>
          <w:sz w:val="18"/>
          <w:szCs w:val="18"/>
          <w:lang w:eastAsia="en-GB"/>
        </w:rPr>
        <w:t xml:space="preserve"> which indicates better crystallinity</w:t>
      </w:r>
      <w:r w:rsidR="00CB3910">
        <w:rPr>
          <w:rFonts w:eastAsiaTheme="minorEastAsia"/>
          <w:sz w:val="18"/>
          <w:szCs w:val="18"/>
          <w:lang w:eastAsia="en-GB"/>
        </w:rPr>
        <w:t xml:space="preserve"> </w:t>
      </w:r>
      <w:r w:rsidR="00CB3910" w:rsidRPr="00EA5226">
        <w:rPr>
          <w:rFonts w:eastAsiaTheme="minorEastAsia"/>
          <w:sz w:val="18"/>
          <w:szCs w:val="18"/>
          <w:lang w:eastAsia="en-GB"/>
        </w:rPr>
        <w:t>(</w:t>
      </w:r>
      <w:r w:rsidR="00525649" w:rsidRPr="00525649">
        <w:rPr>
          <w:sz w:val="18"/>
          <w:szCs w:val="18"/>
        </w:rPr>
        <w:t xml:space="preserve">Figure </w:t>
      </w:r>
      <w:r w:rsidR="00525649" w:rsidRPr="00525649">
        <w:rPr>
          <w:noProof/>
          <w:sz w:val="18"/>
          <w:szCs w:val="18"/>
        </w:rPr>
        <w:t>5</w:t>
      </w:r>
      <w:r w:rsidR="00CB3910" w:rsidRPr="00EA5226">
        <w:rPr>
          <w:rFonts w:eastAsiaTheme="minorEastAsia"/>
          <w:sz w:val="18"/>
          <w:szCs w:val="18"/>
          <w:lang w:eastAsia="en-GB"/>
        </w:rPr>
        <w:t>).</w:t>
      </w:r>
      <w:r w:rsidR="00CB3910" w:rsidRPr="00261AF5">
        <w:rPr>
          <w:rFonts w:eastAsiaTheme="minorEastAsia"/>
          <w:sz w:val="18"/>
          <w:szCs w:val="18"/>
          <w:lang w:eastAsia="en-GB"/>
        </w:rPr>
        <w:t xml:space="preserve"> There are also additional reflections in </w:t>
      </w:r>
      <w:r w:rsidR="00CB3910">
        <w:rPr>
          <w:rFonts w:eastAsiaTheme="minorEastAsia"/>
          <w:sz w:val="18"/>
          <w:szCs w:val="18"/>
          <w:lang w:eastAsia="en-GB"/>
        </w:rPr>
        <w:t xml:space="preserve">the </w:t>
      </w:r>
      <w:r w:rsidR="00CB3910" w:rsidRPr="00261AF5">
        <w:rPr>
          <w:rFonts w:eastAsiaTheme="minorEastAsia"/>
          <w:sz w:val="18"/>
          <w:szCs w:val="18"/>
          <w:lang w:eastAsia="en-GB"/>
        </w:rPr>
        <w:t>annealed film</w:t>
      </w:r>
      <w:r w:rsidR="00CB3910">
        <w:rPr>
          <w:rFonts w:eastAsiaTheme="minorEastAsia"/>
          <w:sz w:val="18"/>
          <w:szCs w:val="18"/>
          <w:lang w:eastAsia="en-GB"/>
        </w:rPr>
        <w:t>s</w:t>
      </w:r>
      <w:r w:rsidR="00CB3910" w:rsidRPr="00261AF5">
        <w:rPr>
          <w:rFonts w:eastAsiaTheme="minorEastAsia"/>
          <w:sz w:val="18"/>
          <w:szCs w:val="18"/>
          <w:lang w:eastAsia="en-GB"/>
        </w:rPr>
        <w:t xml:space="preserve"> which further suggest </w:t>
      </w:r>
      <w:r w:rsidR="00CB3910">
        <w:rPr>
          <w:rFonts w:eastAsiaTheme="minorEastAsia"/>
          <w:sz w:val="18"/>
          <w:szCs w:val="18"/>
          <w:lang w:eastAsia="en-GB"/>
        </w:rPr>
        <w:t xml:space="preserve">better organized crystallites. </w:t>
      </w:r>
    </w:p>
    <w:p w:rsidR="00BA2E76" w:rsidRDefault="00337FC6" w:rsidP="00F51074">
      <w:pPr>
        <w:autoSpaceDE w:val="0"/>
        <w:autoSpaceDN w:val="0"/>
        <w:adjustRightInd w:val="0"/>
        <w:spacing w:after="120" w:line="240" w:lineRule="auto"/>
        <w:ind w:firstLine="284"/>
        <w:jc w:val="both"/>
        <w:rPr>
          <w:rFonts w:eastAsiaTheme="minorEastAsia"/>
          <w:sz w:val="18"/>
          <w:szCs w:val="18"/>
          <w:lang w:eastAsia="en-GB"/>
        </w:rPr>
      </w:pPr>
      <w:r w:rsidRPr="00873639">
        <w:rPr>
          <w:rFonts w:eastAsiaTheme="minorEastAsia"/>
          <w:sz w:val="18"/>
          <w:szCs w:val="18"/>
          <w:lang w:eastAsia="en-GB"/>
        </w:rPr>
        <w:t xml:space="preserve">The </w:t>
      </w:r>
      <w:r w:rsidR="00185522" w:rsidRPr="00873639">
        <w:rPr>
          <w:rFonts w:eastAsiaTheme="minorEastAsia"/>
          <w:sz w:val="18"/>
          <w:szCs w:val="18"/>
          <w:lang w:eastAsia="en-GB"/>
        </w:rPr>
        <w:t xml:space="preserve">crystallite size was calculated using </w:t>
      </w:r>
      <w:r w:rsidR="002845C6" w:rsidRPr="00873639">
        <w:rPr>
          <w:rFonts w:eastAsiaTheme="minorEastAsia"/>
          <w:sz w:val="18"/>
          <w:szCs w:val="18"/>
          <w:lang w:eastAsia="en-GB"/>
        </w:rPr>
        <w:t xml:space="preserve">Williamson-Hall analysis by considering </w:t>
      </w:r>
      <w:r w:rsidR="005000D7" w:rsidRPr="00873639">
        <w:rPr>
          <w:rFonts w:eastAsiaTheme="minorEastAsia"/>
          <w:sz w:val="18"/>
          <w:szCs w:val="18"/>
          <w:lang w:eastAsia="en-GB"/>
        </w:rPr>
        <w:t>FWHM</w:t>
      </w:r>
      <w:r w:rsidR="00A82E34" w:rsidRPr="00873639">
        <w:rPr>
          <w:rFonts w:eastAsiaTheme="minorEastAsia"/>
          <w:sz w:val="18"/>
          <w:szCs w:val="18"/>
          <w:lang w:eastAsia="en-GB"/>
        </w:rPr>
        <w:t xml:space="preserve"> of (h00) q</w:t>
      </w:r>
      <w:r w:rsidR="00A82E34" w:rsidRPr="00873639">
        <w:rPr>
          <w:rFonts w:eastAsiaTheme="minorEastAsia"/>
          <w:sz w:val="18"/>
          <w:szCs w:val="18"/>
          <w:vertAlign w:val="subscript"/>
          <w:lang w:eastAsia="en-GB"/>
        </w:rPr>
        <w:t>z</w:t>
      </w:r>
      <w:r w:rsidR="00A82E34" w:rsidRPr="00873639">
        <w:rPr>
          <w:rFonts w:eastAsiaTheme="minorEastAsia"/>
          <w:sz w:val="18"/>
          <w:szCs w:val="18"/>
          <w:lang w:eastAsia="en-GB"/>
        </w:rPr>
        <w:t xml:space="preserve"> reflections as a function of the reflection order squared (detail given in the experimental section). </w:t>
      </w:r>
      <w:r w:rsidR="008B43D4" w:rsidRPr="00873639">
        <w:rPr>
          <w:rFonts w:eastAsiaTheme="minorEastAsia"/>
          <w:sz w:val="18"/>
          <w:szCs w:val="18"/>
          <w:lang w:eastAsia="en-GB"/>
        </w:rPr>
        <w:t xml:space="preserve"> The results are given in table </w:t>
      </w:r>
      <w:r w:rsidR="00261AF5" w:rsidRPr="00873639">
        <w:rPr>
          <w:rFonts w:eastAsiaTheme="minorEastAsia"/>
          <w:sz w:val="18"/>
          <w:szCs w:val="18"/>
          <w:lang w:eastAsia="en-GB"/>
        </w:rPr>
        <w:t>1</w:t>
      </w:r>
      <w:r w:rsidR="008B43D4" w:rsidRPr="00873639">
        <w:rPr>
          <w:rFonts w:eastAsiaTheme="minorEastAsia"/>
          <w:sz w:val="18"/>
          <w:szCs w:val="18"/>
          <w:lang w:eastAsia="en-GB"/>
        </w:rPr>
        <w:t xml:space="preserve">. </w:t>
      </w:r>
      <w:r w:rsidR="00B350BA" w:rsidRPr="00873639">
        <w:rPr>
          <w:rFonts w:eastAsiaTheme="minorEastAsia"/>
          <w:sz w:val="18"/>
          <w:szCs w:val="18"/>
          <w:lang w:eastAsia="en-GB"/>
        </w:rPr>
        <w:t xml:space="preserve">Thermally annealed </w:t>
      </w:r>
      <w:r w:rsidR="008B43D4" w:rsidRPr="00873639">
        <w:rPr>
          <w:rFonts w:eastAsiaTheme="minorEastAsia"/>
          <w:sz w:val="18"/>
          <w:szCs w:val="18"/>
          <w:lang w:eastAsia="en-GB"/>
        </w:rPr>
        <w:t>film lead</w:t>
      </w:r>
      <w:r w:rsidR="00261AF5" w:rsidRPr="00873639">
        <w:rPr>
          <w:rFonts w:eastAsiaTheme="minorEastAsia"/>
          <w:sz w:val="18"/>
          <w:szCs w:val="18"/>
          <w:lang w:eastAsia="en-GB"/>
        </w:rPr>
        <w:t>s</w:t>
      </w:r>
      <w:r w:rsidR="008B43D4" w:rsidRPr="00873639">
        <w:rPr>
          <w:rFonts w:eastAsiaTheme="minorEastAsia"/>
          <w:sz w:val="18"/>
          <w:szCs w:val="18"/>
          <w:lang w:eastAsia="en-GB"/>
        </w:rPr>
        <w:t xml:space="preserve"> to an enhancement of </w:t>
      </w:r>
      <w:r w:rsidR="00B350BA" w:rsidRPr="00873639">
        <w:rPr>
          <w:rFonts w:eastAsiaTheme="minorEastAsia"/>
          <w:sz w:val="18"/>
          <w:szCs w:val="18"/>
          <w:lang w:eastAsia="en-GB"/>
        </w:rPr>
        <w:t>54</w:t>
      </w:r>
      <w:r w:rsidR="008B43D4" w:rsidRPr="00873639">
        <w:rPr>
          <w:rFonts w:eastAsiaTheme="minorEastAsia"/>
          <w:sz w:val="18"/>
          <w:szCs w:val="18"/>
          <w:lang w:eastAsia="en-GB"/>
        </w:rPr>
        <w:t>% in the crystallite size</w:t>
      </w:r>
      <w:r w:rsidR="00261AF5" w:rsidRPr="00873639">
        <w:rPr>
          <w:rFonts w:eastAsiaTheme="minorEastAsia"/>
          <w:sz w:val="18"/>
          <w:szCs w:val="18"/>
          <w:lang w:eastAsia="en-GB"/>
        </w:rPr>
        <w:t xml:space="preserve"> compared to </w:t>
      </w:r>
      <w:r w:rsidR="00B350BA" w:rsidRPr="00873639">
        <w:rPr>
          <w:rFonts w:eastAsiaTheme="minorEastAsia"/>
          <w:sz w:val="18"/>
          <w:szCs w:val="18"/>
          <w:lang w:eastAsia="en-GB"/>
        </w:rPr>
        <w:t xml:space="preserve">as-cast film, whereas, solvent vapour annealing leads to </w:t>
      </w:r>
      <w:r w:rsidR="00112392" w:rsidRPr="00873639">
        <w:rPr>
          <w:rFonts w:eastAsiaTheme="minorEastAsia"/>
          <w:sz w:val="18"/>
          <w:szCs w:val="18"/>
          <w:lang w:eastAsia="en-GB"/>
        </w:rPr>
        <w:t>8% enhancement in the crystallite size</w:t>
      </w:r>
      <w:r w:rsidR="008B43D4" w:rsidRPr="00873639">
        <w:rPr>
          <w:rFonts w:eastAsiaTheme="minorEastAsia"/>
          <w:sz w:val="18"/>
          <w:szCs w:val="18"/>
          <w:lang w:eastAsia="en-GB"/>
        </w:rPr>
        <w:t>.</w:t>
      </w:r>
      <w:r w:rsidR="008B43D4" w:rsidRPr="00261AF5">
        <w:rPr>
          <w:rFonts w:eastAsiaTheme="minorEastAsia"/>
          <w:sz w:val="18"/>
          <w:szCs w:val="18"/>
          <w:lang w:eastAsia="en-GB"/>
        </w:rPr>
        <w:t xml:space="preserve"> </w:t>
      </w:r>
    </w:p>
    <w:p w:rsidR="00580EF4" w:rsidRDefault="000674F8" w:rsidP="000437F8">
      <w:pPr>
        <w:autoSpaceDE w:val="0"/>
        <w:autoSpaceDN w:val="0"/>
        <w:adjustRightInd w:val="0"/>
        <w:spacing w:before="120" w:after="120" w:line="240" w:lineRule="auto"/>
        <w:jc w:val="both"/>
        <w:rPr>
          <w:rFonts w:eastAsiaTheme="minorEastAsia"/>
          <w:sz w:val="18"/>
          <w:szCs w:val="18"/>
          <w:lang w:eastAsia="en-GB"/>
        </w:rPr>
      </w:pPr>
      <w:r>
        <w:rPr>
          <w:rFonts w:eastAsiaTheme="minorEastAsia"/>
          <w:noProof/>
          <w:sz w:val="18"/>
          <w:szCs w:val="18"/>
          <w:lang w:eastAsia="en-GB"/>
        </w:rPr>
        <w:drawing>
          <wp:inline distT="0" distB="0" distL="0" distR="0">
            <wp:extent cx="3164840" cy="3051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4840" cy="3051810"/>
                    </a:xfrm>
                    <a:prstGeom prst="rect">
                      <a:avLst/>
                    </a:prstGeom>
                    <a:noFill/>
                    <a:ln>
                      <a:noFill/>
                    </a:ln>
                  </pic:spPr>
                </pic:pic>
              </a:graphicData>
            </a:graphic>
          </wp:inline>
        </w:drawing>
      </w:r>
    </w:p>
    <w:p w:rsidR="000674F8" w:rsidRPr="00A51A08" w:rsidRDefault="000674F8" w:rsidP="00A24552">
      <w:pPr>
        <w:keepNext/>
        <w:spacing w:after="0" w:line="240" w:lineRule="auto"/>
        <w:jc w:val="both"/>
        <w:rPr>
          <w:i/>
          <w:sz w:val="16"/>
          <w:szCs w:val="16"/>
          <w:vertAlign w:val="subscript"/>
        </w:rPr>
      </w:pPr>
      <w:bookmarkStart w:id="4" w:name="_Ref958302"/>
      <w:r w:rsidRPr="00A24552">
        <w:rPr>
          <w:b/>
          <w:sz w:val="16"/>
          <w:szCs w:val="16"/>
        </w:rPr>
        <w:t xml:space="preserve">Figure </w:t>
      </w:r>
      <w:r w:rsidR="00525649">
        <w:rPr>
          <w:b/>
          <w:noProof/>
          <w:sz w:val="16"/>
          <w:szCs w:val="16"/>
        </w:rPr>
        <w:t>5</w:t>
      </w:r>
      <w:bookmarkEnd w:id="4"/>
      <w:r w:rsidRPr="00A24552">
        <w:rPr>
          <w:b/>
          <w:sz w:val="16"/>
          <w:szCs w:val="16"/>
        </w:rPr>
        <w:t>:</w:t>
      </w:r>
      <w:r w:rsidRPr="00A24552">
        <w:rPr>
          <w:sz w:val="16"/>
          <w:szCs w:val="16"/>
        </w:rPr>
        <w:t xml:space="preserve"> </w:t>
      </w:r>
      <w:r w:rsidRPr="000674F8">
        <w:rPr>
          <w:i/>
          <w:sz w:val="16"/>
          <w:szCs w:val="16"/>
        </w:rPr>
        <w:t xml:space="preserve">Grazing incidence Wide Angle X-ray scattering images (GIWAXS) images of thin films of </w:t>
      </w:r>
      <w:r w:rsidRPr="00EA5226">
        <w:rPr>
          <w:i/>
          <w:sz w:val="16"/>
          <w:szCs w:val="16"/>
        </w:rPr>
        <w:t xml:space="preserve">BTR before and after thermal and solvent vapour annealing. SVA_THF is </w:t>
      </w:r>
      <w:r w:rsidRPr="00A51A08">
        <w:rPr>
          <w:i/>
          <w:sz w:val="16"/>
          <w:szCs w:val="16"/>
        </w:rPr>
        <w:t>for solvent vapour annea</w:t>
      </w:r>
      <w:r w:rsidR="00C24C22">
        <w:rPr>
          <w:i/>
          <w:sz w:val="16"/>
          <w:szCs w:val="16"/>
        </w:rPr>
        <w:t xml:space="preserve">ling using tetrahydrofuran and </w:t>
      </w:r>
      <w:r w:rsidRPr="00A51A08">
        <w:rPr>
          <w:i/>
          <w:sz w:val="16"/>
          <w:szCs w:val="16"/>
        </w:rPr>
        <w:t>SVA _CHCl</w:t>
      </w:r>
      <w:r w:rsidRPr="00A51A08">
        <w:rPr>
          <w:i/>
          <w:sz w:val="16"/>
          <w:szCs w:val="16"/>
          <w:vertAlign w:val="subscript"/>
        </w:rPr>
        <w:t>3</w:t>
      </w:r>
      <w:r w:rsidRPr="00A51A08">
        <w:rPr>
          <w:i/>
          <w:sz w:val="16"/>
          <w:szCs w:val="16"/>
        </w:rPr>
        <w:t xml:space="preserve"> for solvent vapour annealing with chloroform solvent.</w:t>
      </w:r>
    </w:p>
    <w:p w:rsidR="000674F8" w:rsidRDefault="000674F8" w:rsidP="00A24552">
      <w:pPr>
        <w:pStyle w:val="Caption"/>
        <w:rPr>
          <w:rFonts w:eastAsiaTheme="minorEastAsia"/>
          <w:sz w:val="18"/>
          <w:lang w:eastAsia="en-GB"/>
        </w:rPr>
      </w:pPr>
    </w:p>
    <w:p w:rsidR="000674F8" w:rsidRDefault="000674F8" w:rsidP="00A24552">
      <w:pPr>
        <w:rPr>
          <w:lang w:eastAsia="en-GB"/>
        </w:rPr>
      </w:pPr>
      <w:r>
        <w:rPr>
          <w:noProof/>
          <w:lang w:eastAsia="en-GB"/>
        </w:rPr>
        <w:drawing>
          <wp:inline distT="0" distB="0" distL="0" distR="0">
            <wp:extent cx="3164840" cy="3040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4840" cy="3040380"/>
                    </a:xfrm>
                    <a:prstGeom prst="rect">
                      <a:avLst/>
                    </a:prstGeom>
                    <a:noFill/>
                    <a:ln>
                      <a:noFill/>
                    </a:ln>
                  </pic:spPr>
                </pic:pic>
              </a:graphicData>
            </a:graphic>
          </wp:inline>
        </w:drawing>
      </w:r>
    </w:p>
    <w:p w:rsidR="000674F8" w:rsidRPr="004C1CC5" w:rsidRDefault="000674F8" w:rsidP="000674F8">
      <w:pPr>
        <w:keepNext/>
        <w:spacing w:after="0" w:line="240" w:lineRule="auto"/>
        <w:jc w:val="both"/>
        <w:rPr>
          <w:i/>
          <w:sz w:val="16"/>
          <w:szCs w:val="16"/>
          <w:vertAlign w:val="subscript"/>
        </w:rPr>
      </w:pPr>
      <w:bookmarkStart w:id="5" w:name="_Ref958439"/>
      <w:r w:rsidRPr="004C1CC5">
        <w:rPr>
          <w:b/>
          <w:sz w:val="16"/>
          <w:szCs w:val="16"/>
        </w:rPr>
        <w:t xml:space="preserve">Figure </w:t>
      </w:r>
      <w:r w:rsidR="00525649">
        <w:rPr>
          <w:b/>
          <w:noProof/>
          <w:sz w:val="16"/>
          <w:szCs w:val="16"/>
        </w:rPr>
        <w:t>6</w:t>
      </w:r>
      <w:bookmarkEnd w:id="5"/>
      <w:r w:rsidRPr="004C1CC5">
        <w:rPr>
          <w:b/>
          <w:sz w:val="16"/>
          <w:szCs w:val="16"/>
        </w:rPr>
        <w:t>:</w:t>
      </w:r>
      <w:r w:rsidRPr="004C1CC5">
        <w:rPr>
          <w:sz w:val="16"/>
          <w:szCs w:val="16"/>
        </w:rPr>
        <w:t xml:space="preserve"> </w:t>
      </w:r>
      <w:r w:rsidRPr="000674F8">
        <w:rPr>
          <w:i/>
          <w:sz w:val="16"/>
          <w:szCs w:val="16"/>
        </w:rPr>
        <w:t>Grazing incidence Wide Angle X-ray scattering images (GIWA</w:t>
      </w:r>
      <w:r w:rsidRPr="004C1CC5">
        <w:rPr>
          <w:i/>
          <w:sz w:val="16"/>
          <w:szCs w:val="16"/>
        </w:rPr>
        <w:t xml:space="preserve">XS) images of thin films of </w:t>
      </w:r>
      <w:r w:rsidR="003E1CDD" w:rsidRPr="004C1CC5">
        <w:rPr>
          <w:i/>
          <w:sz w:val="16"/>
          <w:szCs w:val="16"/>
        </w:rPr>
        <w:t>B</w:t>
      </w:r>
      <w:r w:rsidR="003E1CDD">
        <w:rPr>
          <w:i/>
          <w:sz w:val="16"/>
          <w:szCs w:val="16"/>
        </w:rPr>
        <w:t>Q</w:t>
      </w:r>
      <w:r w:rsidR="003E1CDD" w:rsidRPr="004C1CC5">
        <w:rPr>
          <w:i/>
          <w:sz w:val="16"/>
          <w:szCs w:val="16"/>
        </w:rPr>
        <w:t xml:space="preserve">R </w:t>
      </w:r>
      <w:r w:rsidRPr="004C1CC5">
        <w:rPr>
          <w:i/>
          <w:sz w:val="16"/>
          <w:szCs w:val="16"/>
        </w:rPr>
        <w:t>before and after thermal and solvent vapour annealing. SVA_THF is for solvent vapour annea</w:t>
      </w:r>
      <w:r w:rsidR="006E791B">
        <w:rPr>
          <w:i/>
          <w:sz w:val="16"/>
          <w:szCs w:val="16"/>
        </w:rPr>
        <w:t xml:space="preserve">ling using tetrahydrofuran and </w:t>
      </w:r>
      <w:r w:rsidRPr="004C1CC5">
        <w:rPr>
          <w:i/>
          <w:sz w:val="16"/>
          <w:szCs w:val="16"/>
        </w:rPr>
        <w:t>SVA _CHCl</w:t>
      </w:r>
      <w:r w:rsidRPr="004C1CC5">
        <w:rPr>
          <w:i/>
          <w:sz w:val="16"/>
          <w:szCs w:val="16"/>
          <w:vertAlign w:val="subscript"/>
        </w:rPr>
        <w:t>3</w:t>
      </w:r>
      <w:r w:rsidRPr="004C1CC5">
        <w:rPr>
          <w:i/>
          <w:sz w:val="16"/>
          <w:szCs w:val="16"/>
        </w:rPr>
        <w:t xml:space="preserve"> for solvent vapour annealing with chloroform solvent.</w:t>
      </w:r>
    </w:p>
    <w:p w:rsidR="00261AF5" w:rsidRDefault="0088604D" w:rsidP="00F51074">
      <w:pPr>
        <w:autoSpaceDE w:val="0"/>
        <w:autoSpaceDN w:val="0"/>
        <w:adjustRightInd w:val="0"/>
        <w:spacing w:before="120" w:after="120" w:line="240" w:lineRule="auto"/>
        <w:ind w:firstLine="284"/>
        <w:jc w:val="both"/>
        <w:rPr>
          <w:sz w:val="18"/>
          <w:szCs w:val="18"/>
          <w:lang w:eastAsia="en-GB"/>
        </w:rPr>
      </w:pPr>
      <w:r w:rsidRPr="00261AF5">
        <w:rPr>
          <w:rFonts w:eastAsiaTheme="minorEastAsia"/>
          <w:sz w:val="18"/>
          <w:szCs w:val="18"/>
          <w:lang w:eastAsia="en-GB"/>
        </w:rPr>
        <w:t xml:space="preserve">We have also </w:t>
      </w:r>
      <w:r w:rsidR="001F0CBE" w:rsidRPr="00261AF5">
        <w:rPr>
          <w:rFonts w:eastAsiaTheme="minorEastAsia"/>
          <w:sz w:val="18"/>
          <w:szCs w:val="18"/>
          <w:lang w:eastAsia="en-GB"/>
        </w:rPr>
        <w:t>performed</w:t>
      </w:r>
      <w:r w:rsidRPr="00261AF5">
        <w:rPr>
          <w:rFonts w:eastAsiaTheme="minorEastAsia"/>
          <w:sz w:val="18"/>
          <w:szCs w:val="18"/>
          <w:lang w:eastAsia="en-GB"/>
        </w:rPr>
        <w:t xml:space="preserve"> GI</w:t>
      </w:r>
      <w:r w:rsidR="00112392">
        <w:rPr>
          <w:rFonts w:eastAsiaTheme="minorEastAsia"/>
          <w:sz w:val="18"/>
          <w:szCs w:val="18"/>
          <w:lang w:eastAsia="en-GB"/>
        </w:rPr>
        <w:t>WA</w:t>
      </w:r>
      <w:r w:rsidRPr="00261AF5">
        <w:rPr>
          <w:rFonts w:eastAsiaTheme="minorEastAsia"/>
          <w:sz w:val="18"/>
          <w:szCs w:val="18"/>
          <w:lang w:eastAsia="en-GB"/>
        </w:rPr>
        <w:t>XS on BQR samples and 2D GI</w:t>
      </w:r>
      <w:r w:rsidR="00112392">
        <w:rPr>
          <w:rFonts w:eastAsiaTheme="minorEastAsia"/>
          <w:sz w:val="18"/>
          <w:szCs w:val="18"/>
          <w:lang w:eastAsia="en-GB"/>
        </w:rPr>
        <w:t>WA</w:t>
      </w:r>
      <w:r w:rsidRPr="00261AF5">
        <w:rPr>
          <w:rFonts w:eastAsiaTheme="minorEastAsia"/>
          <w:sz w:val="18"/>
          <w:szCs w:val="18"/>
          <w:lang w:eastAsia="en-GB"/>
        </w:rPr>
        <w:t xml:space="preserve">XS images are shown in </w:t>
      </w:r>
      <w:r w:rsidR="00525649" w:rsidRPr="00525649">
        <w:rPr>
          <w:sz w:val="18"/>
          <w:szCs w:val="18"/>
        </w:rPr>
        <w:t xml:space="preserve">Figure </w:t>
      </w:r>
      <w:r w:rsidR="00525649" w:rsidRPr="00525649">
        <w:rPr>
          <w:noProof/>
          <w:sz w:val="18"/>
          <w:szCs w:val="18"/>
        </w:rPr>
        <w:t>6</w:t>
      </w:r>
      <w:r w:rsidRPr="00EA5226">
        <w:rPr>
          <w:rFonts w:eastAsiaTheme="minorEastAsia"/>
          <w:sz w:val="18"/>
          <w:szCs w:val="18"/>
          <w:lang w:eastAsia="en-GB"/>
        </w:rPr>
        <w:t>.</w:t>
      </w:r>
      <w:r w:rsidRPr="00261AF5">
        <w:rPr>
          <w:rFonts w:eastAsiaTheme="minorEastAsia"/>
          <w:sz w:val="18"/>
          <w:szCs w:val="18"/>
          <w:lang w:eastAsia="en-GB"/>
        </w:rPr>
        <w:t xml:space="preserve"> The noticeable features are </w:t>
      </w:r>
      <w:r w:rsidR="00CB3910">
        <w:rPr>
          <w:rFonts w:eastAsiaTheme="minorEastAsia"/>
          <w:sz w:val="18"/>
          <w:szCs w:val="18"/>
          <w:lang w:eastAsia="en-GB"/>
        </w:rPr>
        <w:t>enhanced</w:t>
      </w:r>
      <w:r w:rsidR="00CB3910" w:rsidRPr="00261AF5">
        <w:rPr>
          <w:rFonts w:eastAsiaTheme="minorEastAsia"/>
          <w:sz w:val="18"/>
          <w:szCs w:val="18"/>
          <w:lang w:eastAsia="en-GB"/>
        </w:rPr>
        <w:t xml:space="preserve"> </w:t>
      </w:r>
      <w:r w:rsidR="00077C66">
        <w:rPr>
          <w:rFonts w:eastAsiaTheme="minorEastAsia"/>
          <w:sz w:val="18"/>
          <w:szCs w:val="18"/>
          <w:lang w:eastAsia="en-GB"/>
        </w:rPr>
        <w:t>(</w:t>
      </w:r>
      <w:r w:rsidRPr="00261AF5">
        <w:rPr>
          <w:rFonts w:eastAsiaTheme="minorEastAsia"/>
          <w:sz w:val="18"/>
          <w:szCs w:val="18"/>
          <w:lang w:eastAsia="en-GB"/>
        </w:rPr>
        <w:t>100</w:t>
      </w:r>
      <w:r w:rsidR="00077C66">
        <w:rPr>
          <w:rFonts w:eastAsiaTheme="minorEastAsia"/>
          <w:sz w:val="18"/>
          <w:szCs w:val="18"/>
          <w:lang w:eastAsia="en-GB"/>
        </w:rPr>
        <w:t>)</w:t>
      </w:r>
      <w:r w:rsidRPr="00261AF5">
        <w:rPr>
          <w:rFonts w:eastAsiaTheme="minorEastAsia"/>
          <w:sz w:val="18"/>
          <w:szCs w:val="18"/>
          <w:lang w:eastAsia="en-GB"/>
        </w:rPr>
        <w:t xml:space="preserve"> reflections in </w:t>
      </w:r>
      <w:r w:rsidR="00CB3910">
        <w:rPr>
          <w:rFonts w:eastAsiaTheme="minorEastAsia"/>
          <w:sz w:val="18"/>
          <w:szCs w:val="18"/>
          <w:lang w:eastAsia="en-GB"/>
        </w:rPr>
        <w:t xml:space="preserve">the </w:t>
      </w:r>
      <w:r w:rsidR="00EA5226">
        <w:rPr>
          <w:rFonts w:eastAsiaTheme="minorEastAsia"/>
          <w:sz w:val="18"/>
          <w:szCs w:val="18"/>
          <w:lang w:eastAsia="en-GB"/>
        </w:rPr>
        <w:t>q</w:t>
      </w:r>
      <w:r w:rsidR="00CB3910">
        <w:rPr>
          <w:rFonts w:eastAsiaTheme="minorEastAsia"/>
          <w:sz w:val="18"/>
          <w:szCs w:val="18"/>
          <w:vertAlign w:val="subscript"/>
          <w:lang w:eastAsia="en-GB"/>
        </w:rPr>
        <w:t>Z</w:t>
      </w:r>
      <w:r w:rsidR="00CB3910">
        <w:rPr>
          <w:rFonts w:eastAsiaTheme="minorEastAsia"/>
          <w:sz w:val="18"/>
          <w:szCs w:val="18"/>
          <w:lang w:eastAsia="en-GB"/>
        </w:rPr>
        <w:t xml:space="preserve"> axis of </w:t>
      </w:r>
      <w:r w:rsidR="00077C66">
        <w:rPr>
          <w:rFonts w:eastAsiaTheme="minorEastAsia"/>
          <w:sz w:val="18"/>
          <w:szCs w:val="18"/>
          <w:lang w:eastAsia="en-GB"/>
        </w:rPr>
        <w:t xml:space="preserve">the </w:t>
      </w:r>
      <w:r w:rsidRPr="00261AF5">
        <w:rPr>
          <w:rFonts w:eastAsiaTheme="minorEastAsia"/>
          <w:sz w:val="18"/>
          <w:szCs w:val="18"/>
          <w:lang w:eastAsia="en-GB"/>
        </w:rPr>
        <w:t>SVA films. This is an indication of slightly more edge on orientation</w:t>
      </w:r>
      <w:r w:rsidR="00261AF5" w:rsidRPr="00261AF5">
        <w:rPr>
          <w:rFonts w:eastAsiaTheme="minorEastAsia"/>
          <w:sz w:val="18"/>
          <w:szCs w:val="18"/>
          <w:lang w:eastAsia="en-GB"/>
        </w:rPr>
        <w:t xml:space="preserve"> compared to as-cast film</w:t>
      </w:r>
      <w:r w:rsidRPr="00261AF5">
        <w:rPr>
          <w:rFonts w:eastAsiaTheme="minorEastAsia"/>
          <w:sz w:val="18"/>
          <w:szCs w:val="18"/>
          <w:lang w:eastAsia="en-GB"/>
        </w:rPr>
        <w:t xml:space="preserve">. The calculated </w:t>
      </w:r>
      <w:r w:rsidR="00E711F4" w:rsidRPr="00261AF5">
        <w:rPr>
          <w:rFonts w:eastAsiaTheme="minorEastAsia"/>
          <w:sz w:val="18"/>
          <w:szCs w:val="18"/>
          <w:lang w:eastAsia="en-GB"/>
        </w:rPr>
        <w:t xml:space="preserve">value of </w:t>
      </w:r>
      <w:r w:rsidRPr="00261AF5">
        <w:rPr>
          <w:rFonts w:eastAsiaTheme="minorEastAsia"/>
          <w:sz w:val="18"/>
          <w:szCs w:val="18"/>
          <w:lang w:eastAsia="en-GB"/>
        </w:rPr>
        <w:t>crystallite</w:t>
      </w:r>
      <w:r w:rsidR="00E711F4" w:rsidRPr="00261AF5">
        <w:rPr>
          <w:rFonts w:eastAsiaTheme="minorEastAsia"/>
          <w:sz w:val="18"/>
          <w:szCs w:val="18"/>
          <w:lang w:eastAsia="en-GB"/>
        </w:rPr>
        <w:t xml:space="preserve"> size are summarized in </w:t>
      </w:r>
      <w:r w:rsidR="0061067D">
        <w:rPr>
          <w:rFonts w:eastAsiaTheme="minorEastAsia"/>
          <w:sz w:val="18"/>
          <w:szCs w:val="18"/>
          <w:lang w:eastAsia="en-GB"/>
        </w:rPr>
        <w:t>T</w:t>
      </w:r>
      <w:r w:rsidR="00E711F4" w:rsidRPr="00261AF5">
        <w:rPr>
          <w:rFonts w:eastAsiaTheme="minorEastAsia"/>
          <w:sz w:val="18"/>
          <w:szCs w:val="18"/>
          <w:lang w:eastAsia="en-GB"/>
        </w:rPr>
        <w:t xml:space="preserve">able </w:t>
      </w:r>
      <w:r w:rsidR="00261AF5" w:rsidRPr="00261AF5">
        <w:rPr>
          <w:rFonts w:eastAsiaTheme="minorEastAsia"/>
          <w:sz w:val="18"/>
          <w:szCs w:val="18"/>
          <w:lang w:eastAsia="en-GB"/>
        </w:rPr>
        <w:t>1.</w:t>
      </w:r>
      <w:r w:rsidR="00E711F4" w:rsidRPr="00261AF5">
        <w:rPr>
          <w:sz w:val="18"/>
          <w:szCs w:val="18"/>
          <w:lang w:eastAsia="en-GB"/>
        </w:rPr>
        <w:t xml:space="preserve"> </w:t>
      </w:r>
      <w:r w:rsidR="00CB3910">
        <w:rPr>
          <w:sz w:val="18"/>
          <w:szCs w:val="18"/>
          <w:lang w:eastAsia="en-GB"/>
        </w:rPr>
        <w:t>Thermal annealing</w:t>
      </w:r>
      <w:r w:rsidR="00CB3910" w:rsidRPr="00261AF5">
        <w:rPr>
          <w:sz w:val="18"/>
          <w:szCs w:val="18"/>
          <w:lang w:eastAsia="en-GB"/>
        </w:rPr>
        <w:t xml:space="preserve"> </w:t>
      </w:r>
      <w:r w:rsidR="00261AF5" w:rsidRPr="00261AF5">
        <w:rPr>
          <w:sz w:val="18"/>
          <w:szCs w:val="18"/>
          <w:lang w:eastAsia="en-GB"/>
        </w:rPr>
        <w:t>led to more than a doubling of crystallite size to 37.4 nm</w:t>
      </w:r>
      <w:r w:rsidR="00607F67">
        <w:rPr>
          <w:sz w:val="18"/>
          <w:szCs w:val="18"/>
          <w:lang w:eastAsia="en-GB"/>
        </w:rPr>
        <w:t>,</w:t>
      </w:r>
      <w:r w:rsidR="00261AF5" w:rsidRPr="00261AF5">
        <w:rPr>
          <w:sz w:val="18"/>
          <w:szCs w:val="18"/>
          <w:lang w:eastAsia="en-GB"/>
        </w:rPr>
        <w:t xml:space="preserve"> </w:t>
      </w:r>
      <w:r w:rsidR="00607F67">
        <w:rPr>
          <w:sz w:val="18"/>
          <w:szCs w:val="18"/>
          <w:lang w:eastAsia="en-GB"/>
        </w:rPr>
        <w:t xml:space="preserve">whereas, </w:t>
      </w:r>
      <w:r w:rsidR="00261AF5" w:rsidRPr="00261AF5">
        <w:rPr>
          <w:sz w:val="18"/>
          <w:szCs w:val="18"/>
          <w:lang w:eastAsia="en-GB"/>
        </w:rPr>
        <w:t>SVA</w:t>
      </w:r>
      <w:r w:rsidR="00607F67">
        <w:rPr>
          <w:sz w:val="18"/>
          <w:szCs w:val="18"/>
          <w:lang w:eastAsia="en-GB"/>
        </w:rPr>
        <w:t xml:space="preserve"> increased </w:t>
      </w:r>
      <w:r w:rsidR="00112392" w:rsidRPr="00261AF5">
        <w:rPr>
          <w:sz w:val="18"/>
          <w:szCs w:val="18"/>
          <w:lang w:eastAsia="en-GB"/>
        </w:rPr>
        <w:t>crystallite size</w:t>
      </w:r>
      <w:r w:rsidR="00112392">
        <w:rPr>
          <w:sz w:val="18"/>
          <w:szCs w:val="18"/>
          <w:lang w:eastAsia="en-GB"/>
        </w:rPr>
        <w:t xml:space="preserve"> </w:t>
      </w:r>
      <w:r w:rsidR="00607F67">
        <w:rPr>
          <w:sz w:val="18"/>
          <w:szCs w:val="18"/>
          <w:lang w:eastAsia="en-GB"/>
        </w:rPr>
        <w:t>to 25 nm</w:t>
      </w:r>
      <w:r w:rsidR="00112392">
        <w:rPr>
          <w:sz w:val="18"/>
          <w:szCs w:val="18"/>
          <w:lang w:eastAsia="en-GB"/>
        </w:rPr>
        <w:t xml:space="preserve"> (~39%)</w:t>
      </w:r>
      <w:r w:rsidR="00261AF5" w:rsidRPr="00261AF5">
        <w:rPr>
          <w:sz w:val="18"/>
          <w:szCs w:val="18"/>
          <w:lang w:eastAsia="en-GB"/>
        </w:rPr>
        <w:t>.</w:t>
      </w:r>
    </w:p>
    <w:p w:rsidR="00EA5226" w:rsidRPr="00261AF5" w:rsidRDefault="003E1CDD" w:rsidP="00F51074">
      <w:pPr>
        <w:autoSpaceDE w:val="0"/>
        <w:autoSpaceDN w:val="0"/>
        <w:adjustRightInd w:val="0"/>
        <w:spacing w:before="120" w:after="120" w:line="240" w:lineRule="auto"/>
        <w:ind w:firstLine="284"/>
        <w:jc w:val="both"/>
        <w:rPr>
          <w:sz w:val="18"/>
          <w:szCs w:val="18"/>
          <w:lang w:eastAsia="en-GB"/>
        </w:rPr>
      </w:pPr>
      <w:r>
        <w:rPr>
          <w:sz w:val="18"/>
          <w:szCs w:val="18"/>
          <w:lang w:eastAsia="en-GB"/>
        </w:rPr>
        <w:lastRenderedPageBreak/>
        <w:t xml:space="preserve">Table 1 shows that for several experiments </w:t>
      </w:r>
      <w:r w:rsidR="00EA5226">
        <w:rPr>
          <w:sz w:val="18"/>
          <w:szCs w:val="18"/>
          <w:lang w:eastAsia="en-GB"/>
        </w:rPr>
        <w:t>the crystallite size increase</w:t>
      </w:r>
      <w:r>
        <w:rPr>
          <w:sz w:val="18"/>
          <w:szCs w:val="18"/>
          <w:lang w:eastAsia="en-GB"/>
        </w:rPr>
        <w:t>s</w:t>
      </w:r>
      <w:r w:rsidR="00EA5226">
        <w:rPr>
          <w:sz w:val="18"/>
          <w:szCs w:val="18"/>
          <w:lang w:eastAsia="en-GB"/>
        </w:rPr>
        <w:t xml:space="preserve"> on annealing</w:t>
      </w:r>
      <w:r>
        <w:rPr>
          <w:sz w:val="18"/>
          <w:szCs w:val="18"/>
          <w:lang w:eastAsia="en-GB"/>
        </w:rPr>
        <w:t>.</w:t>
      </w:r>
      <w:r w:rsidR="00EA5226">
        <w:rPr>
          <w:sz w:val="18"/>
          <w:szCs w:val="18"/>
          <w:lang w:eastAsia="en-GB"/>
        </w:rPr>
        <w:t xml:space="preserve"> </w:t>
      </w:r>
      <w:r>
        <w:rPr>
          <w:sz w:val="18"/>
          <w:szCs w:val="18"/>
          <w:lang w:eastAsia="en-GB"/>
        </w:rPr>
        <w:t>T</w:t>
      </w:r>
      <w:r w:rsidR="00EA5226">
        <w:rPr>
          <w:sz w:val="18"/>
          <w:szCs w:val="18"/>
          <w:lang w:eastAsia="en-GB"/>
        </w:rPr>
        <w:t>he diffusion coefficient increases</w:t>
      </w:r>
      <w:r>
        <w:rPr>
          <w:sz w:val="18"/>
          <w:szCs w:val="18"/>
          <w:lang w:eastAsia="en-GB"/>
        </w:rPr>
        <w:t xml:space="preserve"> in all experiments but</w:t>
      </w:r>
      <w:r w:rsidR="00CB4B87">
        <w:rPr>
          <w:sz w:val="18"/>
          <w:szCs w:val="18"/>
          <w:lang w:eastAsia="en-GB"/>
        </w:rPr>
        <w:t xml:space="preserve"> there is little correlation between them. This could be because crystallite size is not an adequate description of ordering of the film relevant to exciton diffusion.</w:t>
      </w:r>
    </w:p>
    <w:p w:rsidR="000E15BE" w:rsidRPr="00360301" w:rsidRDefault="000E15BE" w:rsidP="000E15BE">
      <w:pPr>
        <w:pStyle w:val="Caption"/>
        <w:spacing w:after="120"/>
        <w:rPr>
          <w:sz w:val="16"/>
          <w:szCs w:val="16"/>
        </w:rPr>
      </w:pPr>
      <w:bookmarkStart w:id="6" w:name="_Ref267880"/>
      <w:r w:rsidRPr="00360301">
        <w:rPr>
          <w:b/>
          <w:sz w:val="16"/>
          <w:szCs w:val="16"/>
        </w:rPr>
        <w:t xml:space="preserve">Table </w:t>
      </w:r>
      <w:r w:rsidR="00525649">
        <w:rPr>
          <w:b/>
          <w:noProof/>
          <w:sz w:val="16"/>
          <w:szCs w:val="16"/>
        </w:rPr>
        <w:t>1</w:t>
      </w:r>
      <w:bookmarkEnd w:id="6"/>
      <w:r w:rsidRPr="00360301">
        <w:rPr>
          <w:b/>
          <w:sz w:val="16"/>
          <w:szCs w:val="16"/>
        </w:rPr>
        <w:t>:</w:t>
      </w:r>
      <w:r w:rsidRPr="00360301">
        <w:rPr>
          <w:sz w:val="16"/>
          <w:szCs w:val="16"/>
        </w:rPr>
        <w:t xml:space="preserve"> </w:t>
      </w:r>
      <w:r w:rsidR="00EA5226">
        <w:rPr>
          <w:sz w:val="16"/>
          <w:szCs w:val="16"/>
        </w:rPr>
        <w:t>Exciton diffusion coefficient (D), 1/e lifetime (τ), t</w:t>
      </w:r>
      <w:r w:rsidR="00112392">
        <w:rPr>
          <w:sz w:val="16"/>
          <w:szCs w:val="16"/>
        </w:rPr>
        <w:t>hree-dimensional diffusion length (L</w:t>
      </w:r>
      <w:r w:rsidR="00112392" w:rsidRPr="00112392">
        <w:rPr>
          <w:sz w:val="16"/>
          <w:szCs w:val="16"/>
          <w:vertAlign w:val="subscript"/>
        </w:rPr>
        <w:t>3D</w:t>
      </w:r>
      <w:r w:rsidR="00112392">
        <w:rPr>
          <w:sz w:val="16"/>
          <w:szCs w:val="16"/>
        </w:rPr>
        <w:t>), and c</w:t>
      </w:r>
      <w:r w:rsidRPr="00360301">
        <w:rPr>
          <w:i/>
          <w:sz w:val="16"/>
          <w:szCs w:val="16"/>
        </w:rPr>
        <w:t>rystallite size (L</w:t>
      </w:r>
      <w:r w:rsidRPr="00360301">
        <w:rPr>
          <w:i/>
          <w:sz w:val="16"/>
          <w:szCs w:val="16"/>
          <w:vertAlign w:val="subscript"/>
        </w:rPr>
        <w:t>c</w:t>
      </w:r>
      <w:r w:rsidRPr="00360301">
        <w:rPr>
          <w:i/>
          <w:sz w:val="16"/>
          <w:szCs w:val="16"/>
        </w:rPr>
        <w:t xml:space="preserve">) </w:t>
      </w:r>
      <w:r w:rsidR="00077C66">
        <w:rPr>
          <w:i/>
          <w:sz w:val="16"/>
          <w:szCs w:val="16"/>
        </w:rPr>
        <w:t>in neat films</w:t>
      </w:r>
      <w:r w:rsidRPr="00360301">
        <w:rPr>
          <w:i/>
          <w:sz w:val="16"/>
          <w:szCs w:val="16"/>
        </w:rPr>
        <w:t>.</w:t>
      </w:r>
    </w:p>
    <w:tbl>
      <w:tblPr>
        <w:tblStyle w:val="TableGrid"/>
        <w:tblW w:w="0" w:type="auto"/>
        <w:jc w:val="center"/>
        <w:tblLook w:val="04A0" w:firstRow="1" w:lastRow="0" w:firstColumn="1" w:lastColumn="0" w:noHBand="0" w:noVBand="1"/>
      </w:tblPr>
      <w:tblGrid>
        <w:gridCol w:w="1287"/>
        <w:gridCol w:w="1402"/>
        <w:gridCol w:w="708"/>
        <w:gridCol w:w="851"/>
        <w:gridCol w:w="731"/>
      </w:tblGrid>
      <w:tr w:rsidR="00EA5226" w:rsidTr="00A24552">
        <w:trPr>
          <w:trHeight w:val="504"/>
          <w:jc w:val="center"/>
        </w:trPr>
        <w:tc>
          <w:tcPr>
            <w:tcW w:w="1287" w:type="dxa"/>
          </w:tcPr>
          <w:p w:rsidR="00EA5226" w:rsidRPr="00B70B19" w:rsidRDefault="00EA5226" w:rsidP="00853CA1">
            <w:pPr>
              <w:spacing w:before="120" w:after="120"/>
              <w:jc w:val="both"/>
              <w:rPr>
                <w:b/>
                <w:sz w:val="18"/>
                <w:szCs w:val="18"/>
              </w:rPr>
            </w:pPr>
            <w:r w:rsidRPr="00B70B19">
              <w:rPr>
                <w:b/>
                <w:sz w:val="18"/>
                <w:szCs w:val="18"/>
              </w:rPr>
              <w:t>Sample name</w:t>
            </w:r>
          </w:p>
        </w:tc>
        <w:tc>
          <w:tcPr>
            <w:tcW w:w="1402" w:type="dxa"/>
          </w:tcPr>
          <w:p w:rsidR="00EA5226" w:rsidRPr="00A24552" w:rsidRDefault="00EA5226" w:rsidP="00853CA1">
            <w:pPr>
              <w:spacing w:before="120" w:after="120"/>
              <w:jc w:val="both"/>
              <w:rPr>
                <w:b/>
                <w:sz w:val="18"/>
                <w:szCs w:val="18"/>
                <w:vertAlign w:val="superscript"/>
              </w:rPr>
            </w:pPr>
            <w:r>
              <w:rPr>
                <w:b/>
                <w:sz w:val="18"/>
                <w:szCs w:val="18"/>
              </w:rPr>
              <w:t>D (x10</w:t>
            </w:r>
            <w:r>
              <w:rPr>
                <w:b/>
                <w:sz w:val="18"/>
                <w:szCs w:val="18"/>
                <w:vertAlign w:val="superscript"/>
              </w:rPr>
              <w:t>-3</w:t>
            </w:r>
            <w:r>
              <w:rPr>
                <w:b/>
                <w:sz w:val="18"/>
                <w:szCs w:val="18"/>
              </w:rPr>
              <w:t xml:space="preserve"> cm</w:t>
            </w:r>
            <w:r>
              <w:rPr>
                <w:b/>
                <w:sz w:val="18"/>
                <w:szCs w:val="18"/>
                <w:vertAlign w:val="superscript"/>
              </w:rPr>
              <w:t>2</w:t>
            </w:r>
            <w:r>
              <w:rPr>
                <w:b/>
                <w:sz w:val="18"/>
                <w:szCs w:val="18"/>
              </w:rPr>
              <w:t>/s</w:t>
            </w:r>
            <w:r w:rsidRPr="00A24552">
              <w:rPr>
                <w:b/>
                <w:sz w:val="18"/>
                <w:szCs w:val="18"/>
              </w:rPr>
              <w:t>)</w:t>
            </w:r>
          </w:p>
        </w:tc>
        <w:tc>
          <w:tcPr>
            <w:tcW w:w="708" w:type="dxa"/>
          </w:tcPr>
          <w:p w:rsidR="00EA5226" w:rsidRDefault="00EA5226" w:rsidP="00EA5226">
            <w:pPr>
              <w:spacing w:before="120" w:after="120"/>
              <w:jc w:val="both"/>
              <w:rPr>
                <w:b/>
                <w:sz w:val="18"/>
                <w:szCs w:val="18"/>
              </w:rPr>
            </w:pPr>
            <w:r>
              <w:rPr>
                <w:b/>
                <w:sz w:val="18"/>
                <w:szCs w:val="18"/>
              </w:rPr>
              <w:t>τ (ps)</w:t>
            </w:r>
          </w:p>
        </w:tc>
        <w:tc>
          <w:tcPr>
            <w:tcW w:w="851" w:type="dxa"/>
          </w:tcPr>
          <w:p w:rsidR="00EA5226" w:rsidRPr="00B70B19" w:rsidRDefault="00EA5226" w:rsidP="00853CA1">
            <w:pPr>
              <w:spacing w:before="120" w:after="120"/>
              <w:jc w:val="both"/>
              <w:rPr>
                <w:b/>
                <w:sz w:val="18"/>
                <w:szCs w:val="18"/>
              </w:rPr>
            </w:pPr>
            <w:r>
              <w:rPr>
                <w:b/>
                <w:sz w:val="18"/>
                <w:szCs w:val="18"/>
              </w:rPr>
              <w:t>L</w:t>
            </w:r>
            <w:r w:rsidRPr="00E735B1">
              <w:rPr>
                <w:b/>
                <w:sz w:val="18"/>
                <w:szCs w:val="18"/>
                <w:vertAlign w:val="subscript"/>
              </w:rPr>
              <w:t>3D</w:t>
            </w:r>
            <w:r>
              <w:rPr>
                <w:b/>
                <w:sz w:val="18"/>
                <w:szCs w:val="18"/>
              </w:rPr>
              <w:t xml:space="preserve"> (nm)</w:t>
            </w:r>
          </w:p>
        </w:tc>
        <w:tc>
          <w:tcPr>
            <w:tcW w:w="731" w:type="dxa"/>
          </w:tcPr>
          <w:p w:rsidR="00EA5226" w:rsidRPr="00B70B19" w:rsidRDefault="00EA5226" w:rsidP="00853CA1">
            <w:pPr>
              <w:spacing w:before="120" w:after="120"/>
              <w:jc w:val="both"/>
              <w:rPr>
                <w:b/>
                <w:sz w:val="18"/>
                <w:szCs w:val="18"/>
              </w:rPr>
            </w:pPr>
            <w:r w:rsidRPr="00B70B19">
              <w:rPr>
                <w:b/>
                <w:sz w:val="18"/>
                <w:szCs w:val="18"/>
              </w:rPr>
              <w:t>L</w:t>
            </w:r>
            <w:r w:rsidRPr="00B70B19">
              <w:rPr>
                <w:b/>
                <w:sz w:val="18"/>
                <w:szCs w:val="18"/>
                <w:vertAlign w:val="subscript"/>
              </w:rPr>
              <w:t>c</w:t>
            </w:r>
            <w:r w:rsidRPr="00B70B19">
              <w:rPr>
                <w:b/>
                <w:sz w:val="18"/>
                <w:szCs w:val="18"/>
              </w:rPr>
              <w:t xml:space="preserve"> (nm)</w:t>
            </w:r>
          </w:p>
        </w:tc>
      </w:tr>
      <w:tr w:rsidR="00EA5226" w:rsidTr="00A24552">
        <w:trPr>
          <w:trHeight w:val="213"/>
          <w:jc w:val="center"/>
        </w:trPr>
        <w:tc>
          <w:tcPr>
            <w:tcW w:w="1287" w:type="dxa"/>
          </w:tcPr>
          <w:p w:rsidR="00EA5226" w:rsidRPr="00B70B19" w:rsidRDefault="00EA5226" w:rsidP="00B70B19">
            <w:pPr>
              <w:jc w:val="both"/>
              <w:rPr>
                <w:sz w:val="16"/>
                <w:szCs w:val="16"/>
              </w:rPr>
            </w:pPr>
            <w:r w:rsidRPr="00B70B19">
              <w:rPr>
                <w:sz w:val="16"/>
                <w:szCs w:val="16"/>
              </w:rPr>
              <w:t>BQR_as-cast</w:t>
            </w:r>
          </w:p>
        </w:tc>
        <w:tc>
          <w:tcPr>
            <w:tcW w:w="1402" w:type="dxa"/>
          </w:tcPr>
          <w:p w:rsidR="00EA5226" w:rsidRDefault="00EA5226" w:rsidP="000E15BE">
            <w:pPr>
              <w:jc w:val="center"/>
              <w:rPr>
                <w:sz w:val="16"/>
                <w:szCs w:val="16"/>
              </w:rPr>
            </w:pPr>
            <w:r>
              <w:rPr>
                <w:sz w:val="16"/>
                <w:szCs w:val="16"/>
              </w:rPr>
              <w:t>3.0</w:t>
            </w:r>
          </w:p>
        </w:tc>
        <w:tc>
          <w:tcPr>
            <w:tcW w:w="708" w:type="dxa"/>
          </w:tcPr>
          <w:p w:rsidR="00EA5226" w:rsidRDefault="00EA5226" w:rsidP="000E15BE">
            <w:pPr>
              <w:jc w:val="center"/>
              <w:rPr>
                <w:sz w:val="16"/>
                <w:szCs w:val="16"/>
              </w:rPr>
            </w:pPr>
            <w:r>
              <w:rPr>
                <w:sz w:val="16"/>
                <w:szCs w:val="16"/>
              </w:rPr>
              <w:t>840</w:t>
            </w:r>
          </w:p>
        </w:tc>
        <w:tc>
          <w:tcPr>
            <w:tcW w:w="851" w:type="dxa"/>
          </w:tcPr>
          <w:p w:rsidR="00EA5226" w:rsidRDefault="00EA5226" w:rsidP="000E15BE">
            <w:pPr>
              <w:jc w:val="center"/>
              <w:rPr>
                <w:sz w:val="16"/>
                <w:szCs w:val="16"/>
              </w:rPr>
            </w:pPr>
            <w:r>
              <w:rPr>
                <w:sz w:val="16"/>
                <w:szCs w:val="16"/>
              </w:rPr>
              <w:t>39</w:t>
            </w:r>
          </w:p>
        </w:tc>
        <w:tc>
          <w:tcPr>
            <w:tcW w:w="731" w:type="dxa"/>
          </w:tcPr>
          <w:p w:rsidR="00EA5226" w:rsidRPr="00B70B19" w:rsidRDefault="00EA5226" w:rsidP="000E15BE">
            <w:pPr>
              <w:jc w:val="center"/>
              <w:rPr>
                <w:sz w:val="16"/>
                <w:szCs w:val="16"/>
              </w:rPr>
            </w:pPr>
            <w:r>
              <w:rPr>
                <w:sz w:val="16"/>
                <w:szCs w:val="16"/>
              </w:rPr>
              <w:t>18</w:t>
            </w:r>
          </w:p>
        </w:tc>
      </w:tr>
      <w:tr w:rsidR="00EA5226" w:rsidTr="00EA5226">
        <w:trPr>
          <w:trHeight w:val="223"/>
          <w:jc w:val="center"/>
        </w:trPr>
        <w:tc>
          <w:tcPr>
            <w:tcW w:w="1287" w:type="dxa"/>
          </w:tcPr>
          <w:p w:rsidR="00EA5226" w:rsidRPr="00B70B19" w:rsidRDefault="00EA5226" w:rsidP="00B70B19">
            <w:pPr>
              <w:jc w:val="both"/>
              <w:rPr>
                <w:sz w:val="16"/>
                <w:szCs w:val="16"/>
              </w:rPr>
            </w:pPr>
            <w:r w:rsidRPr="00B70B19">
              <w:rPr>
                <w:sz w:val="16"/>
                <w:szCs w:val="16"/>
              </w:rPr>
              <w:t xml:space="preserve">BQR_TA </w:t>
            </w:r>
          </w:p>
        </w:tc>
        <w:tc>
          <w:tcPr>
            <w:tcW w:w="1402" w:type="dxa"/>
          </w:tcPr>
          <w:p w:rsidR="00EA5226" w:rsidRDefault="00EA5226" w:rsidP="00E735B1">
            <w:pPr>
              <w:jc w:val="center"/>
              <w:rPr>
                <w:sz w:val="16"/>
                <w:szCs w:val="16"/>
              </w:rPr>
            </w:pPr>
            <w:r>
              <w:rPr>
                <w:sz w:val="16"/>
                <w:szCs w:val="16"/>
              </w:rPr>
              <w:t>3.8</w:t>
            </w:r>
          </w:p>
        </w:tc>
        <w:tc>
          <w:tcPr>
            <w:tcW w:w="708" w:type="dxa"/>
          </w:tcPr>
          <w:p w:rsidR="00EA5226" w:rsidRDefault="00EA5226" w:rsidP="00E735B1">
            <w:pPr>
              <w:jc w:val="center"/>
              <w:rPr>
                <w:sz w:val="16"/>
                <w:szCs w:val="16"/>
              </w:rPr>
            </w:pPr>
            <w:r>
              <w:rPr>
                <w:sz w:val="16"/>
                <w:szCs w:val="16"/>
              </w:rPr>
              <w:t>765</w:t>
            </w:r>
          </w:p>
        </w:tc>
        <w:tc>
          <w:tcPr>
            <w:tcW w:w="851" w:type="dxa"/>
          </w:tcPr>
          <w:p w:rsidR="00EA5226" w:rsidRDefault="00EA5226" w:rsidP="00EA5226">
            <w:pPr>
              <w:jc w:val="center"/>
              <w:rPr>
                <w:sz w:val="16"/>
                <w:szCs w:val="16"/>
              </w:rPr>
            </w:pPr>
            <w:r>
              <w:rPr>
                <w:sz w:val="16"/>
                <w:szCs w:val="16"/>
              </w:rPr>
              <w:t>42</w:t>
            </w:r>
          </w:p>
        </w:tc>
        <w:tc>
          <w:tcPr>
            <w:tcW w:w="731" w:type="dxa"/>
          </w:tcPr>
          <w:p w:rsidR="00EA5226" w:rsidRPr="00B70B19" w:rsidRDefault="00EA5226" w:rsidP="00E735B1">
            <w:pPr>
              <w:jc w:val="center"/>
              <w:rPr>
                <w:sz w:val="16"/>
                <w:szCs w:val="16"/>
              </w:rPr>
            </w:pPr>
            <w:r>
              <w:rPr>
                <w:sz w:val="16"/>
                <w:szCs w:val="16"/>
              </w:rPr>
              <w:t>37</w:t>
            </w:r>
          </w:p>
        </w:tc>
      </w:tr>
      <w:tr w:rsidR="00EA5226" w:rsidTr="00A24552">
        <w:trPr>
          <w:trHeight w:val="213"/>
          <w:jc w:val="center"/>
        </w:trPr>
        <w:tc>
          <w:tcPr>
            <w:tcW w:w="1287" w:type="dxa"/>
          </w:tcPr>
          <w:p w:rsidR="00EA5226" w:rsidRPr="00B70B19" w:rsidRDefault="00EA5226" w:rsidP="00B70B19">
            <w:pPr>
              <w:jc w:val="both"/>
              <w:rPr>
                <w:sz w:val="16"/>
                <w:szCs w:val="16"/>
              </w:rPr>
            </w:pPr>
            <w:r w:rsidRPr="00B70B19">
              <w:rPr>
                <w:sz w:val="16"/>
                <w:szCs w:val="16"/>
              </w:rPr>
              <w:t>BQR_SVA-THF</w:t>
            </w:r>
          </w:p>
        </w:tc>
        <w:tc>
          <w:tcPr>
            <w:tcW w:w="1402" w:type="dxa"/>
          </w:tcPr>
          <w:p w:rsidR="00EA5226" w:rsidRDefault="00EA5226" w:rsidP="000E15BE">
            <w:pPr>
              <w:jc w:val="center"/>
              <w:rPr>
                <w:sz w:val="16"/>
                <w:szCs w:val="16"/>
              </w:rPr>
            </w:pPr>
            <w:r>
              <w:rPr>
                <w:sz w:val="16"/>
                <w:szCs w:val="16"/>
              </w:rPr>
              <w:t>3.4</w:t>
            </w:r>
          </w:p>
        </w:tc>
        <w:tc>
          <w:tcPr>
            <w:tcW w:w="708" w:type="dxa"/>
          </w:tcPr>
          <w:p w:rsidR="00EA5226" w:rsidRDefault="00EA5226" w:rsidP="000E15BE">
            <w:pPr>
              <w:jc w:val="center"/>
              <w:rPr>
                <w:sz w:val="16"/>
                <w:szCs w:val="16"/>
              </w:rPr>
            </w:pPr>
            <w:r>
              <w:rPr>
                <w:sz w:val="16"/>
                <w:szCs w:val="16"/>
              </w:rPr>
              <w:t>777</w:t>
            </w:r>
          </w:p>
        </w:tc>
        <w:tc>
          <w:tcPr>
            <w:tcW w:w="851" w:type="dxa"/>
          </w:tcPr>
          <w:p w:rsidR="00EA5226" w:rsidRDefault="00EA5226" w:rsidP="000E15BE">
            <w:pPr>
              <w:jc w:val="center"/>
              <w:rPr>
                <w:sz w:val="16"/>
                <w:szCs w:val="16"/>
              </w:rPr>
            </w:pPr>
            <w:r>
              <w:rPr>
                <w:sz w:val="16"/>
                <w:szCs w:val="16"/>
              </w:rPr>
              <w:t>40</w:t>
            </w:r>
          </w:p>
        </w:tc>
        <w:tc>
          <w:tcPr>
            <w:tcW w:w="731" w:type="dxa"/>
          </w:tcPr>
          <w:p w:rsidR="00EA5226" w:rsidRPr="00B70B19" w:rsidRDefault="00EA5226" w:rsidP="000E15BE">
            <w:pPr>
              <w:jc w:val="center"/>
              <w:rPr>
                <w:sz w:val="16"/>
                <w:szCs w:val="16"/>
              </w:rPr>
            </w:pPr>
            <w:r>
              <w:rPr>
                <w:sz w:val="16"/>
                <w:szCs w:val="16"/>
              </w:rPr>
              <w:t>25</w:t>
            </w:r>
          </w:p>
        </w:tc>
      </w:tr>
      <w:tr w:rsidR="00EA5226" w:rsidTr="00A24552">
        <w:trPr>
          <w:trHeight w:val="213"/>
          <w:jc w:val="center"/>
        </w:trPr>
        <w:tc>
          <w:tcPr>
            <w:tcW w:w="1287" w:type="dxa"/>
          </w:tcPr>
          <w:p w:rsidR="00EA5226" w:rsidRPr="00B70B19" w:rsidRDefault="00EA5226" w:rsidP="00B70B19">
            <w:pPr>
              <w:jc w:val="both"/>
              <w:rPr>
                <w:sz w:val="16"/>
                <w:szCs w:val="16"/>
                <w:vertAlign w:val="subscript"/>
              </w:rPr>
            </w:pPr>
            <w:r w:rsidRPr="00B70B19">
              <w:rPr>
                <w:sz w:val="16"/>
                <w:szCs w:val="16"/>
              </w:rPr>
              <w:t>BQR_SVA-CHCl</w:t>
            </w:r>
            <w:r w:rsidRPr="00B70B19">
              <w:rPr>
                <w:sz w:val="16"/>
                <w:szCs w:val="16"/>
                <w:vertAlign w:val="subscript"/>
              </w:rPr>
              <w:t>3</w:t>
            </w:r>
          </w:p>
        </w:tc>
        <w:tc>
          <w:tcPr>
            <w:tcW w:w="1402" w:type="dxa"/>
          </w:tcPr>
          <w:p w:rsidR="00EA5226" w:rsidRDefault="00EA5226" w:rsidP="000E15BE">
            <w:pPr>
              <w:jc w:val="center"/>
              <w:rPr>
                <w:sz w:val="16"/>
                <w:szCs w:val="16"/>
              </w:rPr>
            </w:pPr>
            <w:r>
              <w:rPr>
                <w:sz w:val="16"/>
                <w:szCs w:val="16"/>
              </w:rPr>
              <w:t>5.0</w:t>
            </w:r>
          </w:p>
        </w:tc>
        <w:tc>
          <w:tcPr>
            <w:tcW w:w="708" w:type="dxa"/>
          </w:tcPr>
          <w:p w:rsidR="00EA5226" w:rsidRDefault="00EA5226" w:rsidP="000E15BE">
            <w:pPr>
              <w:jc w:val="center"/>
              <w:rPr>
                <w:sz w:val="16"/>
                <w:szCs w:val="16"/>
              </w:rPr>
            </w:pPr>
            <w:r>
              <w:rPr>
                <w:sz w:val="16"/>
                <w:szCs w:val="16"/>
              </w:rPr>
              <w:t>583</w:t>
            </w:r>
          </w:p>
        </w:tc>
        <w:tc>
          <w:tcPr>
            <w:tcW w:w="851" w:type="dxa"/>
          </w:tcPr>
          <w:p w:rsidR="00EA5226" w:rsidRDefault="00EA5226" w:rsidP="000E15BE">
            <w:pPr>
              <w:jc w:val="center"/>
              <w:rPr>
                <w:sz w:val="16"/>
                <w:szCs w:val="16"/>
              </w:rPr>
            </w:pPr>
            <w:r>
              <w:rPr>
                <w:sz w:val="16"/>
                <w:szCs w:val="16"/>
              </w:rPr>
              <w:t>43</w:t>
            </w:r>
          </w:p>
        </w:tc>
        <w:tc>
          <w:tcPr>
            <w:tcW w:w="731" w:type="dxa"/>
          </w:tcPr>
          <w:p w:rsidR="00EA5226" w:rsidRPr="00B70B19" w:rsidRDefault="00EA5226" w:rsidP="000E15BE">
            <w:pPr>
              <w:jc w:val="center"/>
              <w:rPr>
                <w:sz w:val="16"/>
                <w:szCs w:val="16"/>
              </w:rPr>
            </w:pPr>
            <w:r>
              <w:rPr>
                <w:sz w:val="16"/>
                <w:szCs w:val="16"/>
              </w:rPr>
              <w:t>25</w:t>
            </w:r>
          </w:p>
        </w:tc>
      </w:tr>
      <w:tr w:rsidR="00EA5226" w:rsidTr="00A24552">
        <w:trPr>
          <w:trHeight w:val="213"/>
          <w:jc w:val="center"/>
        </w:trPr>
        <w:tc>
          <w:tcPr>
            <w:tcW w:w="1287" w:type="dxa"/>
          </w:tcPr>
          <w:p w:rsidR="00EA5226" w:rsidRPr="00B70B19" w:rsidRDefault="00EA5226" w:rsidP="00B70B19">
            <w:pPr>
              <w:jc w:val="both"/>
              <w:rPr>
                <w:sz w:val="16"/>
                <w:szCs w:val="16"/>
              </w:rPr>
            </w:pPr>
            <w:r w:rsidRPr="00B70B19">
              <w:rPr>
                <w:sz w:val="16"/>
                <w:szCs w:val="16"/>
              </w:rPr>
              <w:t>BTR_as-cast</w:t>
            </w:r>
          </w:p>
        </w:tc>
        <w:tc>
          <w:tcPr>
            <w:tcW w:w="1402" w:type="dxa"/>
          </w:tcPr>
          <w:p w:rsidR="00EA5226" w:rsidRDefault="00EA5226" w:rsidP="000E15BE">
            <w:pPr>
              <w:jc w:val="center"/>
              <w:rPr>
                <w:sz w:val="16"/>
                <w:szCs w:val="16"/>
              </w:rPr>
            </w:pPr>
            <w:r>
              <w:rPr>
                <w:sz w:val="16"/>
                <w:szCs w:val="16"/>
              </w:rPr>
              <w:t>1.1</w:t>
            </w:r>
          </w:p>
        </w:tc>
        <w:tc>
          <w:tcPr>
            <w:tcW w:w="708" w:type="dxa"/>
          </w:tcPr>
          <w:p w:rsidR="00EA5226" w:rsidRDefault="00EA5226" w:rsidP="000E15BE">
            <w:pPr>
              <w:jc w:val="center"/>
              <w:rPr>
                <w:sz w:val="16"/>
                <w:szCs w:val="16"/>
              </w:rPr>
            </w:pPr>
            <w:r>
              <w:rPr>
                <w:sz w:val="16"/>
                <w:szCs w:val="16"/>
              </w:rPr>
              <w:t>810</w:t>
            </w:r>
          </w:p>
        </w:tc>
        <w:tc>
          <w:tcPr>
            <w:tcW w:w="851" w:type="dxa"/>
          </w:tcPr>
          <w:p w:rsidR="00EA5226" w:rsidRDefault="00EA5226" w:rsidP="000E15BE">
            <w:pPr>
              <w:jc w:val="center"/>
              <w:rPr>
                <w:sz w:val="16"/>
                <w:szCs w:val="16"/>
              </w:rPr>
            </w:pPr>
            <w:r>
              <w:rPr>
                <w:sz w:val="16"/>
                <w:szCs w:val="16"/>
              </w:rPr>
              <w:t>23</w:t>
            </w:r>
          </w:p>
        </w:tc>
        <w:tc>
          <w:tcPr>
            <w:tcW w:w="731" w:type="dxa"/>
          </w:tcPr>
          <w:p w:rsidR="00EA5226" w:rsidRPr="00B70B19" w:rsidRDefault="00EA5226" w:rsidP="000E15BE">
            <w:pPr>
              <w:jc w:val="center"/>
              <w:rPr>
                <w:sz w:val="16"/>
                <w:szCs w:val="16"/>
              </w:rPr>
            </w:pPr>
            <w:r>
              <w:rPr>
                <w:sz w:val="16"/>
                <w:szCs w:val="16"/>
              </w:rPr>
              <w:t>24</w:t>
            </w:r>
          </w:p>
        </w:tc>
      </w:tr>
      <w:tr w:rsidR="00EA5226" w:rsidTr="00A24552">
        <w:trPr>
          <w:trHeight w:val="223"/>
          <w:jc w:val="center"/>
        </w:trPr>
        <w:tc>
          <w:tcPr>
            <w:tcW w:w="1287" w:type="dxa"/>
          </w:tcPr>
          <w:p w:rsidR="00EA5226" w:rsidRPr="00B70B19" w:rsidRDefault="00EA5226" w:rsidP="00B70B19">
            <w:pPr>
              <w:jc w:val="both"/>
              <w:rPr>
                <w:sz w:val="16"/>
                <w:szCs w:val="16"/>
              </w:rPr>
            </w:pPr>
            <w:r w:rsidRPr="00B70B19">
              <w:rPr>
                <w:sz w:val="16"/>
                <w:szCs w:val="16"/>
              </w:rPr>
              <w:t>BTR_TA</w:t>
            </w:r>
          </w:p>
        </w:tc>
        <w:tc>
          <w:tcPr>
            <w:tcW w:w="1402" w:type="dxa"/>
          </w:tcPr>
          <w:p w:rsidR="00EA5226" w:rsidRDefault="00EA5226" w:rsidP="000E15BE">
            <w:pPr>
              <w:jc w:val="center"/>
              <w:rPr>
                <w:sz w:val="16"/>
                <w:szCs w:val="16"/>
              </w:rPr>
            </w:pPr>
            <w:r>
              <w:rPr>
                <w:sz w:val="16"/>
                <w:szCs w:val="16"/>
              </w:rPr>
              <w:t>1.6</w:t>
            </w:r>
          </w:p>
        </w:tc>
        <w:tc>
          <w:tcPr>
            <w:tcW w:w="708" w:type="dxa"/>
          </w:tcPr>
          <w:p w:rsidR="00EA5226" w:rsidRDefault="00EA5226" w:rsidP="000E15BE">
            <w:pPr>
              <w:jc w:val="center"/>
              <w:rPr>
                <w:sz w:val="16"/>
                <w:szCs w:val="16"/>
              </w:rPr>
            </w:pPr>
            <w:r>
              <w:rPr>
                <w:sz w:val="16"/>
                <w:szCs w:val="16"/>
              </w:rPr>
              <w:t>750</w:t>
            </w:r>
          </w:p>
        </w:tc>
        <w:tc>
          <w:tcPr>
            <w:tcW w:w="851" w:type="dxa"/>
          </w:tcPr>
          <w:p w:rsidR="00EA5226" w:rsidRDefault="00EA5226" w:rsidP="000E15BE">
            <w:pPr>
              <w:jc w:val="center"/>
              <w:rPr>
                <w:sz w:val="16"/>
                <w:szCs w:val="16"/>
              </w:rPr>
            </w:pPr>
            <w:r>
              <w:rPr>
                <w:sz w:val="16"/>
                <w:szCs w:val="16"/>
              </w:rPr>
              <w:t>27</w:t>
            </w:r>
          </w:p>
        </w:tc>
        <w:tc>
          <w:tcPr>
            <w:tcW w:w="731" w:type="dxa"/>
          </w:tcPr>
          <w:p w:rsidR="00EA5226" w:rsidRPr="00B70B19" w:rsidRDefault="00EA5226" w:rsidP="000E15BE">
            <w:pPr>
              <w:jc w:val="center"/>
              <w:rPr>
                <w:sz w:val="16"/>
                <w:szCs w:val="16"/>
              </w:rPr>
            </w:pPr>
            <w:r>
              <w:rPr>
                <w:sz w:val="16"/>
                <w:szCs w:val="16"/>
              </w:rPr>
              <w:t>37</w:t>
            </w:r>
          </w:p>
        </w:tc>
      </w:tr>
      <w:tr w:rsidR="00EA5226" w:rsidTr="00A24552">
        <w:trPr>
          <w:trHeight w:val="213"/>
          <w:jc w:val="center"/>
        </w:trPr>
        <w:tc>
          <w:tcPr>
            <w:tcW w:w="1287" w:type="dxa"/>
          </w:tcPr>
          <w:p w:rsidR="00EA5226" w:rsidRPr="00B70B19" w:rsidRDefault="00EA5226" w:rsidP="00B70B19">
            <w:pPr>
              <w:jc w:val="both"/>
              <w:rPr>
                <w:sz w:val="16"/>
                <w:szCs w:val="16"/>
              </w:rPr>
            </w:pPr>
            <w:r w:rsidRPr="00B70B19">
              <w:rPr>
                <w:sz w:val="16"/>
                <w:szCs w:val="16"/>
              </w:rPr>
              <w:t>BTR_SVA-THF</w:t>
            </w:r>
          </w:p>
        </w:tc>
        <w:tc>
          <w:tcPr>
            <w:tcW w:w="1402" w:type="dxa"/>
          </w:tcPr>
          <w:p w:rsidR="00EA5226" w:rsidRDefault="00EA5226" w:rsidP="000E15BE">
            <w:pPr>
              <w:jc w:val="center"/>
              <w:rPr>
                <w:sz w:val="16"/>
                <w:szCs w:val="16"/>
              </w:rPr>
            </w:pPr>
            <w:r>
              <w:rPr>
                <w:sz w:val="16"/>
                <w:szCs w:val="16"/>
              </w:rPr>
              <w:t>4.0</w:t>
            </w:r>
          </w:p>
        </w:tc>
        <w:tc>
          <w:tcPr>
            <w:tcW w:w="708" w:type="dxa"/>
          </w:tcPr>
          <w:p w:rsidR="00EA5226" w:rsidRDefault="00EA5226" w:rsidP="000E15BE">
            <w:pPr>
              <w:jc w:val="center"/>
              <w:rPr>
                <w:sz w:val="16"/>
                <w:szCs w:val="16"/>
              </w:rPr>
            </w:pPr>
            <w:r>
              <w:rPr>
                <w:sz w:val="16"/>
                <w:szCs w:val="16"/>
              </w:rPr>
              <w:t>680</w:t>
            </w:r>
          </w:p>
        </w:tc>
        <w:tc>
          <w:tcPr>
            <w:tcW w:w="851" w:type="dxa"/>
          </w:tcPr>
          <w:p w:rsidR="00EA5226" w:rsidRDefault="00EA5226" w:rsidP="000E15BE">
            <w:pPr>
              <w:jc w:val="center"/>
              <w:rPr>
                <w:sz w:val="16"/>
                <w:szCs w:val="16"/>
              </w:rPr>
            </w:pPr>
            <w:r>
              <w:rPr>
                <w:sz w:val="16"/>
                <w:szCs w:val="16"/>
              </w:rPr>
              <w:t>40</w:t>
            </w:r>
          </w:p>
        </w:tc>
        <w:tc>
          <w:tcPr>
            <w:tcW w:w="731" w:type="dxa"/>
          </w:tcPr>
          <w:p w:rsidR="00EA5226" w:rsidRPr="00B70B19" w:rsidRDefault="00EA5226" w:rsidP="000E15BE">
            <w:pPr>
              <w:jc w:val="center"/>
              <w:rPr>
                <w:sz w:val="16"/>
                <w:szCs w:val="16"/>
              </w:rPr>
            </w:pPr>
            <w:r>
              <w:rPr>
                <w:sz w:val="16"/>
                <w:szCs w:val="16"/>
              </w:rPr>
              <w:t>26</w:t>
            </w:r>
          </w:p>
        </w:tc>
      </w:tr>
      <w:tr w:rsidR="00EA5226" w:rsidTr="00A24552">
        <w:trPr>
          <w:trHeight w:val="213"/>
          <w:jc w:val="center"/>
        </w:trPr>
        <w:tc>
          <w:tcPr>
            <w:tcW w:w="1287" w:type="dxa"/>
          </w:tcPr>
          <w:p w:rsidR="00EA5226" w:rsidRPr="004A70CD" w:rsidRDefault="00EA5226" w:rsidP="004A70CD">
            <w:pPr>
              <w:jc w:val="both"/>
              <w:rPr>
                <w:sz w:val="16"/>
                <w:szCs w:val="16"/>
                <w:vertAlign w:val="subscript"/>
              </w:rPr>
            </w:pPr>
            <w:r w:rsidRPr="00B70B19">
              <w:rPr>
                <w:sz w:val="16"/>
                <w:szCs w:val="16"/>
              </w:rPr>
              <w:t>BTR_SVA-</w:t>
            </w:r>
            <w:r>
              <w:rPr>
                <w:sz w:val="16"/>
                <w:szCs w:val="16"/>
              </w:rPr>
              <w:t>CHCl</w:t>
            </w:r>
            <w:r>
              <w:rPr>
                <w:sz w:val="16"/>
                <w:szCs w:val="16"/>
                <w:vertAlign w:val="subscript"/>
              </w:rPr>
              <w:t>3</w:t>
            </w:r>
          </w:p>
        </w:tc>
        <w:tc>
          <w:tcPr>
            <w:tcW w:w="1402" w:type="dxa"/>
          </w:tcPr>
          <w:p w:rsidR="00EA5226" w:rsidRDefault="00EA5226" w:rsidP="000E15BE">
            <w:pPr>
              <w:jc w:val="center"/>
              <w:rPr>
                <w:sz w:val="16"/>
                <w:szCs w:val="16"/>
              </w:rPr>
            </w:pPr>
            <w:r>
              <w:rPr>
                <w:sz w:val="16"/>
                <w:szCs w:val="16"/>
              </w:rPr>
              <w:t>3.5</w:t>
            </w:r>
          </w:p>
        </w:tc>
        <w:tc>
          <w:tcPr>
            <w:tcW w:w="708" w:type="dxa"/>
          </w:tcPr>
          <w:p w:rsidR="00EA5226" w:rsidRDefault="00EA5226" w:rsidP="000E15BE">
            <w:pPr>
              <w:jc w:val="center"/>
              <w:rPr>
                <w:sz w:val="16"/>
                <w:szCs w:val="16"/>
              </w:rPr>
            </w:pPr>
            <w:r>
              <w:rPr>
                <w:sz w:val="16"/>
                <w:szCs w:val="16"/>
              </w:rPr>
              <w:t>450</w:t>
            </w:r>
          </w:p>
        </w:tc>
        <w:tc>
          <w:tcPr>
            <w:tcW w:w="851" w:type="dxa"/>
          </w:tcPr>
          <w:p w:rsidR="00EA5226" w:rsidRDefault="00EA5226" w:rsidP="000E15BE">
            <w:pPr>
              <w:jc w:val="center"/>
              <w:rPr>
                <w:sz w:val="16"/>
                <w:szCs w:val="16"/>
              </w:rPr>
            </w:pPr>
            <w:r>
              <w:rPr>
                <w:sz w:val="16"/>
                <w:szCs w:val="16"/>
              </w:rPr>
              <w:t>31</w:t>
            </w:r>
          </w:p>
        </w:tc>
        <w:tc>
          <w:tcPr>
            <w:tcW w:w="731" w:type="dxa"/>
          </w:tcPr>
          <w:p w:rsidR="00EA5226" w:rsidRPr="00B70B19" w:rsidRDefault="00EA5226" w:rsidP="000E15BE">
            <w:pPr>
              <w:jc w:val="center"/>
              <w:rPr>
                <w:sz w:val="16"/>
                <w:szCs w:val="16"/>
              </w:rPr>
            </w:pPr>
            <w:r>
              <w:rPr>
                <w:sz w:val="16"/>
                <w:szCs w:val="16"/>
              </w:rPr>
              <w:t>25</w:t>
            </w:r>
          </w:p>
        </w:tc>
      </w:tr>
    </w:tbl>
    <w:p w:rsidR="00607F67" w:rsidRPr="00071908" w:rsidRDefault="008C7945" w:rsidP="00F51074">
      <w:pPr>
        <w:spacing w:before="120" w:after="120" w:line="240" w:lineRule="auto"/>
        <w:ind w:firstLine="284"/>
        <w:jc w:val="both"/>
        <w:rPr>
          <w:sz w:val="18"/>
          <w:szCs w:val="18"/>
          <w:lang w:eastAsia="zh-CN"/>
        </w:rPr>
      </w:pPr>
      <w:r w:rsidRPr="00071908">
        <w:rPr>
          <w:sz w:val="18"/>
          <w:szCs w:val="18"/>
          <w:lang w:eastAsia="zh-CN"/>
        </w:rPr>
        <w:t xml:space="preserve">In summary </w:t>
      </w:r>
      <w:r w:rsidR="00CB4B87" w:rsidRPr="00071908">
        <w:rPr>
          <w:sz w:val="18"/>
          <w:szCs w:val="18"/>
          <w:lang w:eastAsia="zh-CN"/>
        </w:rPr>
        <w:t xml:space="preserve">annealing </w:t>
      </w:r>
      <w:r w:rsidR="003E1CDD" w:rsidRPr="00071908">
        <w:rPr>
          <w:sz w:val="18"/>
          <w:szCs w:val="18"/>
          <w:lang w:eastAsia="zh-CN"/>
        </w:rPr>
        <w:t xml:space="preserve">increases </w:t>
      </w:r>
      <w:r w:rsidRPr="00071908">
        <w:rPr>
          <w:sz w:val="18"/>
          <w:szCs w:val="18"/>
          <w:lang w:eastAsia="zh-CN"/>
        </w:rPr>
        <w:t>D</w:t>
      </w:r>
      <w:r w:rsidR="00CB4B87" w:rsidRPr="00071908">
        <w:rPr>
          <w:sz w:val="18"/>
          <w:szCs w:val="18"/>
          <w:lang w:eastAsia="zh-CN"/>
        </w:rPr>
        <w:t>.</w:t>
      </w:r>
      <w:r w:rsidRPr="00071908">
        <w:rPr>
          <w:sz w:val="18"/>
          <w:szCs w:val="18"/>
          <w:lang w:eastAsia="zh-CN"/>
        </w:rPr>
        <w:t xml:space="preserve"> </w:t>
      </w:r>
      <w:r w:rsidR="003E1CDD" w:rsidRPr="00071908">
        <w:rPr>
          <w:sz w:val="18"/>
          <w:szCs w:val="18"/>
          <w:lang w:eastAsia="zh-CN"/>
        </w:rPr>
        <w:t>This</w:t>
      </w:r>
      <w:r w:rsidR="006B6DBD" w:rsidRPr="00071908">
        <w:rPr>
          <w:sz w:val="18"/>
          <w:szCs w:val="18"/>
          <w:lang w:eastAsia="zh-CN"/>
        </w:rPr>
        <w:t xml:space="preserve"> </w:t>
      </w:r>
      <w:r w:rsidRPr="00071908">
        <w:rPr>
          <w:sz w:val="18"/>
          <w:szCs w:val="18"/>
          <w:lang w:eastAsia="zh-CN"/>
        </w:rPr>
        <w:t>can enhance exciton harvesting and hence device performance.</w:t>
      </w:r>
      <w:r w:rsidR="00EA7BB2" w:rsidRPr="00071908">
        <w:rPr>
          <w:sz w:val="18"/>
          <w:szCs w:val="18"/>
          <w:lang w:eastAsia="zh-CN"/>
        </w:rPr>
        <w:t xml:space="preserve"> </w:t>
      </w:r>
      <w:r w:rsidR="006E791B" w:rsidRPr="00071908">
        <w:rPr>
          <w:sz w:val="18"/>
          <w:szCs w:val="18"/>
        </w:rPr>
        <w:t xml:space="preserve">Previous studies reported that solar cells fabricated using these materials </w:t>
      </w:r>
      <w:r w:rsidR="006E791B" w:rsidRPr="00071908">
        <w:rPr>
          <w:sz w:val="18"/>
          <w:szCs w:val="18"/>
          <w:lang w:eastAsia="zh-CN"/>
        </w:rPr>
        <w:t>showed a significant enhancement in short circuit current (J</w:t>
      </w:r>
      <w:r w:rsidR="006E791B" w:rsidRPr="00071908">
        <w:rPr>
          <w:sz w:val="18"/>
          <w:szCs w:val="18"/>
          <w:vertAlign w:val="subscript"/>
          <w:lang w:eastAsia="zh-CN"/>
        </w:rPr>
        <w:t>sc</w:t>
      </w:r>
      <w:r w:rsidR="006E791B" w:rsidRPr="00071908">
        <w:rPr>
          <w:sz w:val="18"/>
          <w:szCs w:val="18"/>
          <w:lang w:eastAsia="zh-CN"/>
        </w:rPr>
        <w:t>) after thermal and solvent vapour annealing.</w:t>
      </w:r>
      <w:r w:rsidR="006E791B" w:rsidRPr="00071908">
        <w:rPr>
          <w:sz w:val="18"/>
          <w:szCs w:val="18"/>
          <w:vertAlign w:val="superscript"/>
          <w:lang w:eastAsia="zh-CN"/>
        </w:rPr>
        <w:t>17</w:t>
      </w:r>
      <w:r w:rsidR="00EA7BB2" w:rsidRPr="00071908">
        <w:rPr>
          <w:sz w:val="18"/>
          <w:szCs w:val="18"/>
          <w:lang w:eastAsia="zh-CN"/>
        </w:rPr>
        <w:t xml:space="preserve">  This enhancement in J</w:t>
      </w:r>
      <w:r w:rsidR="00EA7BB2" w:rsidRPr="00071908">
        <w:rPr>
          <w:sz w:val="18"/>
          <w:szCs w:val="18"/>
          <w:vertAlign w:val="subscript"/>
          <w:lang w:eastAsia="zh-CN"/>
        </w:rPr>
        <w:t>sc</w:t>
      </w:r>
      <w:r w:rsidR="00EA7BB2" w:rsidRPr="00071908">
        <w:rPr>
          <w:sz w:val="18"/>
          <w:szCs w:val="18"/>
          <w:lang w:eastAsia="zh-CN"/>
        </w:rPr>
        <w:t xml:space="preserve"> after annealing suggests better exciton harvesting due to large exciton diffusion length. </w:t>
      </w:r>
      <w:r w:rsidR="00963F43" w:rsidRPr="00071908">
        <w:rPr>
          <w:sz w:val="18"/>
          <w:szCs w:val="18"/>
          <w:lang w:eastAsia="zh-CN"/>
        </w:rPr>
        <w:t xml:space="preserve">However device performance depends on both exciton </w:t>
      </w:r>
      <w:r w:rsidR="006B6DBD" w:rsidRPr="00071908">
        <w:rPr>
          <w:sz w:val="18"/>
          <w:szCs w:val="18"/>
          <w:lang w:eastAsia="zh-CN"/>
        </w:rPr>
        <w:t>harvesting</w:t>
      </w:r>
      <w:r w:rsidR="00963F43" w:rsidRPr="00071908">
        <w:rPr>
          <w:sz w:val="18"/>
          <w:szCs w:val="18"/>
          <w:lang w:eastAsia="zh-CN"/>
        </w:rPr>
        <w:t xml:space="preserve"> and charge extraction. The latter depends on domain size and so we next make an estimate domain size</w:t>
      </w:r>
      <w:r w:rsidR="00607F67" w:rsidRPr="00071908">
        <w:rPr>
          <w:sz w:val="18"/>
          <w:szCs w:val="18"/>
          <w:lang w:eastAsia="zh-CN"/>
        </w:rPr>
        <w:t xml:space="preserve"> </w:t>
      </w:r>
      <w:r w:rsidR="00EA7BB2" w:rsidRPr="00071908">
        <w:rPr>
          <w:sz w:val="18"/>
          <w:szCs w:val="18"/>
          <w:lang w:eastAsia="zh-CN"/>
        </w:rPr>
        <w:t xml:space="preserve">by performing </w:t>
      </w:r>
      <w:r w:rsidR="00607F67" w:rsidRPr="00071908">
        <w:rPr>
          <w:sz w:val="18"/>
          <w:szCs w:val="18"/>
          <w:lang w:eastAsia="zh-CN"/>
        </w:rPr>
        <w:t xml:space="preserve">time-resolved PL spectroscopy on the blends. The PL decays of as-cast and annealed (thermally and SVA) blends of both molecules are shown in Figure 5. For comparison, we have also plotted </w:t>
      </w:r>
      <w:r w:rsidR="00077C66" w:rsidRPr="00071908">
        <w:rPr>
          <w:sz w:val="18"/>
          <w:szCs w:val="18"/>
          <w:lang w:eastAsia="zh-CN"/>
        </w:rPr>
        <w:t xml:space="preserve">the </w:t>
      </w:r>
      <w:r w:rsidR="00607F67" w:rsidRPr="00071908">
        <w:rPr>
          <w:sz w:val="18"/>
          <w:szCs w:val="18"/>
          <w:lang w:eastAsia="zh-CN"/>
        </w:rPr>
        <w:t>PL decays of the annealed and as-cast neat donor films.  The PL decays of the blends are faster compared to neat donor films due to dissociation of excitons at the interface between donor and acceptor. In both molecules, the as-cast blends show faster decay suggesting smaller domains whereas, the blends annealed using either CHCl</w:t>
      </w:r>
      <w:r w:rsidR="00607F67" w:rsidRPr="00071908">
        <w:rPr>
          <w:sz w:val="18"/>
          <w:szCs w:val="18"/>
          <w:vertAlign w:val="subscript"/>
          <w:lang w:eastAsia="zh-CN"/>
        </w:rPr>
        <w:t>3</w:t>
      </w:r>
      <w:r w:rsidR="00607F67" w:rsidRPr="00071908">
        <w:rPr>
          <w:sz w:val="18"/>
          <w:szCs w:val="18"/>
          <w:lang w:eastAsia="zh-CN"/>
        </w:rPr>
        <w:t xml:space="preserve"> (BQR) or THF solvents show slower decay indicating larger domains.   </w:t>
      </w:r>
    </w:p>
    <w:p w:rsidR="00A12BEE" w:rsidRDefault="00A12BEE" w:rsidP="00F51074">
      <w:pPr>
        <w:spacing w:before="120" w:after="120" w:line="240" w:lineRule="auto"/>
        <w:ind w:firstLine="284"/>
        <w:jc w:val="both"/>
        <w:rPr>
          <w:sz w:val="18"/>
          <w:szCs w:val="18"/>
        </w:rPr>
      </w:pPr>
      <w:r w:rsidRPr="00071908">
        <w:rPr>
          <w:sz w:val="18"/>
          <w:szCs w:val="18"/>
          <w:lang w:eastAsia="zh-CN"/>
        </w:rPr>
        <w:t>The domain size of donor molecules w</w:t>
      </w:r>
      <w:r w:rsidR="006020EB" w:rsidRPr="00071908">
        <w:rPr>
          <w:sz w:val="18"/>
          <w:szCs w:val="18"/>
          <w:lang w:eastAsia="zh-CN"/>
        </w:rPr>
        <w:t>as</w:t>
      </w:r>
      <w:r w:rsidRPr="00071908">
        <w:rPr>
          <w:sz w:val="18"/>
          <w:szCs w:val="18"/>
          <w:lang w:eastAsia="zh-CN"/>
        </w:rPr>
        <w:t xml:space="preserve"> extracted </w:t>
      </w:r>
      <w:r w:rsidRPr="00071908">
        <w:rPr>
          <w:sz w:val="18"/>
          <w:szCs w:val="18"/>
        </w:rPr>
        <w:t>using an approach similar to Hedley et al</w:t>
      </w:r>
      <w:r w:rsidR="00ED2862" w:rsidRPr="00071908">
        <w:rPr>
          <w:noProof/>
          <w:sz w:val="18"/>
          <w:szCs w:val="18"/>
          <w:vertAlign w:val="superscript"/>
        </w:rPr>
        <w:t>6</w:t>
      </w:r>
      <w:r w:rsidRPr="00071908">
        <w:rPr>
          <w:sz w:val="18"/>
          <w:szCs w:val="18"/>
        </w:rPr>
        <w:t xml:space="preserve"> and Jagadamma et al</w:t>
      </w:r>
      <w:r w:rsidR="00ED2862" w:rsidRPr="00071908">
        <w:rPr>
          <w:noProof/>
          <w:sz w:val="18"/>
          <w:szCs w:val="18"/>
          <w:vertAlign w:val="superscript"/>
        </w:rPr>
        <w:t>25</w:t>
      </w:r>
      <w:r w:rsidRPr="00071908">
        <w:rPr>
          <w:sz w:val="18"/>
          <w:szCs w:val="18"/>
        </w:rPr>
        <w:t xml:space="preserve"> by considering that PL quenching of the donor in the blend is exciton diffusion limited. We assumed that the sphere </w:t>
      </w:r>
      <w:r w:rsidRPr="000437F8">
        <w:rPr>
          <w:sz w:val="18"/>
          <w:szCs w:val="18"/>
        </w:rPr>
        <w:t>of the donor is surrounded by a PC</w:t>
      </w:r>
      <w:r w:rsidRPr="000437F8">
        <w:rPr>
          <w:sz w:val="18"/>
          <w:szCs w:val="18"/>
          <w:vertAlign w:val="subscript"/>
        </w:rPr>
        <w:t>71</w:t>
      </w:r>
      <w:r w:rsidRPr="000437F8">
        <w:rPr>
          <w:sz w:val="18"/>
          <w:szCs w:val="18"/>
        </w:rPr>
        <w:t>BM matrix. The exciton diffuses by a random walk inside the sphere and is quenched at the interface with PC</w:t>
      </w:r>
      <w:r w:rsidRPr="000437F8">
        <w:rPr>
          <w:sz w:val="18"/>
          <w:szCs w:val="18"/>
          <w:vertAlign w:val="subscript"/>
        </w:rPr>
        <w:t>71</w:t>
      </w:r>
      <w:r w:rsidRPr="000437F8">
        <w:rPr>
          <w:sz w:val="18"/>
          <w:szCs w:val="18"/>
        </w:rPr>
        <w:t xml:space="preserve">BM.  </w:t>
      </w:r>
      <w:r w:rsidRPr="004112EE">
        <w:rPr>
          <w:sz w:val="18"/>
          <w:szCs w:val="18"/>
        </w:rPr>
        <w:t xml:space="preserve">Then the decay of </w:t>
      </w:r>
      <w:r w:rsidR="006020EB">
        <w:rPr>
          <w:sz w:val="18"/>
          <w:szCs w:val="18"/>
        </w:rPr>
        <w:t xml:space="preserve">the </w:t>
      </w:r>
      <w:r w:rsidRPr="004112EE">
        <w:rPr>
          <w:sz w:val="18"/>
          <w:szCs w:val="18"/>
        </w:rPr>
        <w:t xml:space="preserve">number of excitons </w:t>
      </w:r>
      <w:r w:rsidRPr="004112EE">
        <w:rPr>
          <w:i/>
          <w:sz w:val="18"/>
          <w:szCs w:val="18"/>
        </w:rPr>
        <w:t xml:space="preserve">N(t) </w:t>
      </w:r>
      <w:r w:rsidRPr="004112EE">
        <w:rPr>
          <w:sz w:val="18"/>
          <w:szCs w:val="18"/>
        </w:rPr>
        <w:t>on donor molecules with time follows</w:t>
      </w:r>
      <w:r w:rsidR="004A70CD">
        <w:rPr>
          <w:sz w:val="18"/>
          <w:szCs w:val="18"/>
        </w:rPr>
        <w:t xml:space="preserve"> as</w:t>
      </w:r>
    </w:p>
    <w:p w:rsidR="00CB4B87" w:rsidRPr="00F91370" w:rsidRDefault="00CB4B87" w:rsidP="00A12BEE">
      <w:pPr>
        <w:spacing w:before="120" w:after="120" w:line="240" w:lineRule="auto"/>
        <w:jc w:val="both"/>
        <w:rPr>
          <w:sz w:val="18"/>
          <w:szCs w:val="18"/>
          <w:lang w:eastAsia="zh-CN"/>
        </w:rPr>
      </w:pPr>
      <m:oMathPara>
        <m:oMath>
          <m:r>
            <w:rPr>
              <w:rFonts w:ascii="Cambria Math" w:hAnsi="Cambria Math"/>
              <w:sz w:val="18"/>
              <w:szCs w:val="18"/>
              <w:lang w:eastAsia="zh-CN"/>
            </w:rPr>
            <m:t>N</m:t>
          </m:r>
          <m:d>
            <m:dPr>
              <m:ctrlPr>
                <w:rPr>
                  <w:rFonts w:ascii="Cambria Math" w:hAnsi="Cambria Math"/>
                  <w:i/>
                  <w:sz w:val="18"/>
                  <w:szCs w:val="18"/>
                  <w:lang w:eastAsia="zh-CN"/>
                </w:rPr>
              </m:ctrlPr>
            </m:dPr>
            <m:e>
              <m:r>
                <w:rPr>
                  <w:rFonts w:ascii="Cambria Math" w:hAnsi="Cambria Math"/>
                  <w:sz w:val="18"/>
                  <w:szCs w:val="18"/>
                  <w:lang w:eastAsia="zh-CN"/>
                </w:rPr>
                <m:t>t</m:t>
              </m:r>
            </m:e>
          </m:d>
          <m:r>
            <w:rPr>
              <w:rFonts w:ascii="Cambria Math" w:hAnsi="Cambria Math"/>
              <w:sz w:val="18"/>
              <w:szCs w:val="18"/>
              <w:lang w:eastAsia="zh-CN"/>
            </w:rPr>
            <m:t>=</m:t>
          </m:r>
          <m:f>
            <m:fPr>
              <m:ctrlPr>
                <w:rPr>
                  <w:rFonts w:ascii="Cambria Math" w:hAnsi="Cambria Math"/>
                  <w:i/>
                  <w:sz w:val="18"/>
                  <w:szCs w:val="18"/>
                  <w:lang w:eastAsia="zh-CN"/>
                </w:rPr>
              </m:ctrlPr>
            </m:fPr>
            <m:num>
              <m:r>
                <w:rPr>
                  <w:rFonts w:ascii="Cambria Math" w:hAnsi="Cambria Math"/>
                  <w:sz w:val="18"/>
                  <w:szCs w:val="18"/>
                  <w:lang w:eastAsia="zh-CN"/>
                </w:rPr>
                <m:t>6</m:t>
              </m:r>
            </m:num>
            <m:den>
              <m:sSup>
                <m:sSupPr>
                  <m:ctrlPr>
                    <w:rPr>
                      <w:rFonts w:ascii="Cambria Math" w:hAnsi="Cambria Math"/>
                      <w:i/>
                      <w:sz w:val="18"/>
                      <w:szCs w:val="18"/>
                      <w:lang w:eastAsia="zh-CN"/>
                    </w:rPr>
                  </m:ctrlPr>
                </m:sSupPr>
                <m:e>
                  <m:r>
                    <w:rPr>
                      <w:rFonts w:ascii="Cambria Math" w:hAnsi="Cambria Math"/>
                      <w:sz w:val="18"/>
                      <w:szCs w:val="18"/>
                      <w:lang w:eastAsia="zh-CN"/>
                    </w:rPr>
                    <m:t>π</m:t>
                  </m:r>
                </m:e>
                <m:sup>
                  <m:r>
                    <w:rPr>
                      <w:rFonts w:ascii="Cambria Math" w:hAnsi="Cambria Math"/>
                      <w:sz w:val="18"/>
                      <w:szCs w:val="18"/>
                      <w:lang w:eastAsia="zh-CN"/>
                    </w:rPr>
                    <m:t>2</m:t>
                  </m:r>
                </m:sup>
              </m:sSup>
            </m:den>
          </m:f>
          <m:nary>
            <m:naryPr>
              <m:chr m:val="∑"/>
              <m:limLoc m:val="undOvr"/>
              <m:ctrlPr>
                <w:rPr>
                  <w:rFonts w:ascii="Cambria Math" w:hAnsi="Cambria Math"/>
                  <w:i/>
                  <w:sz w:val="18"/>
                  <w:szCs w:val="18"/>
                  <w:lang w:eastAsia="zh-CN"/>
                </w:rPr>
              </m:ctrlPr>
            </m:naryPr>
            <m:sub>
              <m:r>
                <w:rPr>
                  <w:rFonts w:ascii="Cambria Math" w:hAnsi="Cambria Math"/>
                  <w:sz w:val="18"/>
                  <w:szCs w:val="18"/>
                  <w:lang w:eastAsia="zh-CN"/>
                </w:rPr>
                <m:t>m=1</m:t>
              </m:r>
            </m:sub>
            <m:sup>
              <m:r>
                <w:rPr>
                  <w:rFonts w:ascii="Cambria Math" w:hAnsi="Cambria Math"/>
                  <w:sz w:val="18"/>
                  <w:szCs w:val="18"/>
                  <w:lang w:eastAsia="zh-CN"/>
                </w:rPr>
                <m:t>∞</m:t>
              </m:r>
            </m:sup>
            <m:e>
              <m:f>
                <m:fPr>
                  <m:ctrlPr>
                    <w:rPr>
                      <w:rFonts w:ascii="Cambria Math" w:hAnsi="Cambria Math"/>
                      <w:i/>
                      <w:sz w:val="18"/>
                      <w:szCs w:val="18"/>
                      <w:lang w:eastAsia="zh-CN"/>
                    </w:rPr>
                  </m:ctrlPr>
                </m:fPr>
                <m:num>
                  <m:r>
                    <w:rPr>
                      <w:rFonts w:ascii="Cambria Math" w:hAnsi="Cambria Math"/>
                      <w:sz w:val="18"/>
                      <w:szCs w:val="18"/>
                      <w:lang w:eastAsia="zh-CN"/>
                    </w:rPr>
                    <m:t>1</m:t>
                  </m:r>
                </m:num>
                <m:den>
                  <m:sSup>
                    <m:sSupPr>
                      <m:ctrlPr>
                        <w:rPr>
                          <w:rFonts w:ascii="Cambria Math" w:hAnsi="Cambria Math"/>
                          <w:i/>
                          <w:sz w:val="18"/>
                          <w:szCs w:val="18"/>
                          <w:lang w:eastAsia="zh-CN"/>
                        </w:rPr>
                      </m:ctrlPr>
                    </m:sSupPr>
                    <m:e>
                      <m:r>
                        <w:rPr>
                          <w:rFonts w:ascii="Cambria Math" w:hAnsi="Cambria Math"/>
                          <w:sz w:val="18"/>
                          <w:szCs w:val="18"/>
                          <w:lang w:eastAsia="zh-CN"/>
                        </w:rPr>
                        <m:t>m</m:t>
                      </m:r>
                    </m:e>
                    <m:sup>
                      <m:r>
                        <w:rPr>
                          <w:rFonts w:ascii="Cambria Math" w:hAnsi="Cambria Math"/>
                          <w:sz w:val="18"/>
                          <w:szCs w:val="18"/>
                          <w:lang w:eastAsia="zh-CN"/>
                        </w:rPr>
                        <m:t>2</m:t>
                      </m:r>
                    </m:sup>
                  </m:sSup>
                </m:den>
              </m:f>
            </m:e>
          </m:nary>
          <m:r>
            <w:rPr>
              <w:rFonts w:ascii="Cambria Math" w:hAnsi="Cambria Math"/>
              <w:sz w:val="18"/>
              <w:szCs w:val="18"/>
              <w:lang w:eastAsia="zh-CN"/>
            </w:rPr>
            <m:t xml:space="preserve"> exp</m:t>
          </m:r>
          <m:d>
            <m:dPr>
              <m:ctrlPr>
                <w:rPr>
                  <w:rFonts w:ascii="Cambria Math" w:hAnsi="Cambria Math"/>
                  <w:i/>
                  <w:sz w:val="18"/>
                  <w:szCs w:val="18"/>
                  <w:lang w:eastAsia="zh-CN"/>
                </w:rPr>
              </m:ctrlPr>
            </m:dPr>
            <m:e>
              <m:f>
                <m:fPr>
                  <m:ctrlPr>
                    <w:rPr>
                      <w:rFonts w:ascii="Cambria Math" w:hAnsi="Cambria Math"/>
                      <w:i/>
                      <w:sz w:val="18"/>
                      <w:szCs w:val="18"/>
                      <w:lang w:eastAsia="zh-CN"/>
                    </w:rPr>
                  </m:ctrlPr>
                </m:fPr>
                <m:num>
                  <m:r>
                    <w:rPr>
                      <w:rFonts w:ascii="Cambria Math" w:hAnsi="Cambria Math"/>
                      <w:sz w:val="18"/>
                      <w:szCs w:val="18"/>
                      <w:lang w:eastAsia="zh-CN"/>
                    </w:rPr>
                    <m:t>-D</m:t>
                  </m:r>
                  <m:sSup>
                    <m:sSupPr>
                      <m:ctrlPr>
                        <w:rPr>
                          <w:rFonts w:ascii="Cambria Math" w:hAnsi="Cambria Math"/>
                          <w:i/>
                          <w:sz w:val="18"/>
                          <w:szCs w:val="18"/>
                          <w:lang w:eastAsia="zh-CN"/>
                        </w:rPr>
                      </m:ctrlPr>
                    </m:sSupPr>
                    <m:e>
                      <m:r>
                        <w:rPr>
                          <w:rFonts w:ascii="Cambria Math" w:hAnsi="Cambria Math"/>
                          <w:sz w:val="18"/>
                          <w:szCs w:val="18"/>
                          <w:lang w:eastAsia="zh-CN"/>
                        </w:rPr>
                        <m:t>π</m:t>
                      </m:r>
                    </m:e>
                    <m:sup>
                      <m:r>
                        <w:rPr>
                          <w:rFonts w:ascii="Cambria Math" w:hAnsi="Cambria Math"/>
                          <w:sz w:val="18"/>
                          <w:szCs w:val="18"/>
                          <w:lang w:eastAsia="zh-CN"/>
                        </w:rPr>
                        <m:t>2</m:t>
                      </m:r>
                    </m:sup>
                  </m:sSup>
                  <m:sSup>
                    <m:sSupPr>
                      <m:ctrlPr>
                        <w:rPr>
                          <w:rFonts w:ascii="Cambria Math" w:hAnsi="Cambria Math"/>
                          <w:i/>
                          <w:sz w:val="18"/>
                          <w:szCs w:val="18"/>
                          <w:lang w:eastAsia="zh-CN"/>
                        </w:rPr>
                      </m:ctrlPr>
                    </m:sSupPr>
                    <m:e>
                      <m:r>
                        <w:rPr>
                          <w:rFonts w:ascii="Cambria Math" w:hAnsi="Cambria Math"/>
                          <w:sz w:val="18"/>
                          <w:szCs w:val="18"/>
                          <w:lang w:eastAsia="zh-CN"/>
                        </w:rPr>
                        <m:t>m</m:t>
                      </m:r>
                    </m:e>
                    <m:sup>
                      <m:r>
                        <w:rPr>
                          <w:rFonts w:ascii="Cambria Math" w:hAnsi="Cambria Math"/>
                          <w:sz w:val="18"/>
                          <w:szCs w:val="18"/>
                          <w:lang w:eastAsia="zh-CN"/>
                        </w:rPr>
                        <m:t>2</m:t>
                      </m:r>
                    </m:sup>
                  </m:sSup>
                  <m:r>
                    <w:rPr>
                      <w:rFonts w:ascii="Cambria Math" w:hAnsi="Cambria Math"/>
                      <w:sz w:val="18"/>
                      <w:szCs w:val="18"/>
                      <w:lang w:eastAsia="zh-CN"/>
                    </w:rPr>
                    <m:t>t</m:t>
                  </m:r>
                </m:num>
                <m:den>
                  <m:sSup>
                    <m:sSupPr>
                      <m:ctrlPr>
                        <w:rPr>
                          <w:rFonts w:ascii="Cambria Math" w:hAnsi="Cambria Math"/>
                          <w:i/>
                          <w:sz w:val="18"/>
                          <w:szCs w:val="18"/>
                          <w:lang w:eastAsia="zh-CN"/>
                        </w:rPr>
                      </m:ctrlPr>
                    </m:sSupPr>
                    <m:e>
                      <m:r>
                        <w:rPr>
                          <w:rFonts w:ascii="Cambria Math" w:hAnsi="Cambria Math"/>
                          <w:sz w:val="18"/>
                          <w:szCs w:val="18"/>
                          <w:lang w:eastAsia="zh-CN"/>
                        </w:rPr>
                        <m:t>r</m:t>
                      </m:r>
                    </m:e>
                    <m:sup>
                      <m:r>
                        <w:rPr>
                          <w:rFonts w:ascii="Cambria Math" w:hAnsi="Cambria Math"/>
                          <w:sz w:val="18"/>
                          <w:szCs w:val="18"/>
                          <w:lang w:eastAsia="zh-CN"/>
                        </w:rPr>
                        <m:t>2</m:t>
                      </m:r>
                    </m:sup>
                  </m:sSup>
                </m:den>
              </m:f>
            </m:e>
          </m:d>
          <m:r>
            <w:rPr>
              <w:rFonts w:ascii="Cambria Math" w:hAnsi="Cambria Math"/>
              <w:sz w:val="18"/>
              <w:szCs w:val="18"/>
              <w:lang w:eastAsia="zh-CN"/>
            </w:rPr>
            <m:t xml:space="preserve">                      (3)</m:t>
          </m:r>
        </m:oMath>
      </m:oMathPara>
    </w:p>
    <w:p w:rsidR="00A12BEE" w:rsidRPr="004112EE" w:rsidRDefault="00A12BEE" w:rsidP="00A12BEE">
      <w:pPr>
        <w:spacing w:before="120" w:after="120" w:line="240" w:lineRule="auto"/>
        <w:jc w:val="both"/>
        <w:rPr>
          <w:sz w:val="18"/>
          <w:szCs w:val="18"/>
        </w:rPr>
      </w:pPr>
      <w:r w:rsidRPr="004112EE">
        <w:rPr>
          <w:sz w:val="18"/>
          <w:szCs w:val="18"/>
        </w:rPr>
        <w:t xml:space="preserve">where </w:t>
      </w:r>
      <w:r w:rsidRPr="004112EE">
        <w:rPr>
          <w:i/>
          <w:sz w:val="18"/>
          <w:szCs w:val="18"/>
        </w:rPr>
        <w:t>D</w:t>
      </w:r>
      <w:r w:rsidRPr="004112EE">
        <w:rPr>
          <w:sz w:val="18"/>
          <w:szCs w:val="18"/>
        </w:rPr>
        <w:t xml:space="preserve"> is the exciton diffusion coefficient and </w:t>
      </w:r>
      <w:r w:rsidRPr="004112EE">
        <w:rPr>
          <w:i/>
          <w:sz w:val="18"/>
          <w:szCs w:val="18"/>
        </w:rPr>
        <w:t>r</w:t>
      </w:r>
      <w:r w:rsidRPr="004112EE">
        <w:rPr>
          <w:sz w:val="18"/>
          <w:szCs w:val="18"/>
        </w:rPr>
        <w:t xml:space="preserve"> is the radius of the sphere. We used the experimentally measured values of D for as-cast and annealed films. </w:t>
      </w:r>
    </w:p>
    <w:p w:rsidR="00871244" w:rsidRDefault="00637DA0" w:rsidP="00325A65">
      <w:pPr>
        <w:autoSpaceDE w:val="0"/>
        <w:autoSpaceDN w:val="0"/>
        <w:adjustRightInd w:val="0"/>
        <w:spacing w:before="120" w:after="120" w:line="240" w:lineRule="auto"/>
        <w:jc w:val="center"/>
        <w:rPr>
          <w:sz w:val="18"/>
          <w:szCs w:val="18"/>
          <w:lang w:eastAsia="en-GB"/>
        </w:rPr>
      </w:pPr>
      <w:r>
        <w:object w:dxaOrig="3403" w:dyaOrig="3231">
          <v:shape id="_x0000_i1032" type="#_x0000_t75" style="width:231.05pt;height:218.9pt" o:ole="">
            <v:imagedata r:id="rId27" o:title=""/>
          </v:shape>
          <o:OLEObject Type="Embed" ProgID="Origin50.Graph" ShapeID="_x0000_i1032" DrawAspect="Content" ObjectID="_1644228483" r:id="rId28"/>
        </w:object>
      </w:r>
    </w:p>
    <w:p w:rsidR="004E1158" w:rsidRDefault="00637DA0" w:rsidP="00325A65">
      <w:pPr>
        <w:autoSpaceDE w:val="0"/>
        <w:autoSpaceDN w:val="0"/>
        <w:adjustRightInd w:val="0"/>
        <w:spacing w:after="120" w:line="240" w:lineRule="auto"/>
        <w:jc w:val="center"/>
        <w:rPr>
          <w:sz w:val="18"/>
          <w:szCs w:val="18"/>
          <w:lang w:eastAsia="en-GB"/>
        </w:rPr>
      </w:pPr>
      <w:r>
        <w:object w:dxaOrig="3403" w:dyaOrig="3231">
          <v:shape id="_x0000_i1033" type="#_x0000_t75" style="width:225.8pt;height:214.2pt" o:ole="">
            <v:imagedata r:id="rId29" o:title=""/>
          </v:shape>
          <o:OLEObject Type="Embed" ProgID="Origin50.Graph" ShapeID="_x0000_i1033" DrawAspect="Content" ObjectID="_1644228484" r:id="rId30"/>
        </w:object>
      </w:r>
    </w:p>
    <w:p w:rsidR="0023394C" w:rsidRPr="001F1F8E" w:rsidRDefault="00325A65" w:rsidP="001F1F8E">
      <w:pPr>
        <w:pStyle w:val="Caption"/>
        <w:jc w:val="both"/>
        <w:rPr>
          <w:sz w:val="16"/>
          <w:szCs w:val="16"/>
        </w:rPr>
      </w:pPr>
      <w:r w:rsidRPr="001F1F8E">
        <w:rPr>
          <w:b/>
          <w:sz w:val="16"/>
          <w:szCs w:val="16"/>
        </w:rPr>
        <w:t>Figure 5:</w:t>
      </w:r>
      <w:r w:rsidRPr="001F1F8E">
        <w:rPr>
          <w:sz w:val="16"/>
          <w:szCs w:val="16"/>
        </w:rPr>
        <w:t xml:space="preserve">  </w:t>
      </w:r>
      <w:r w:rsidRPr="001F1F8E">
        <w:rPr>
          <w:i/>
          <w:sz w:val="16"/>
          <w:szCs w:val="16"/>
        </w:rPr>
        <w:t>Time-resolved PL quenching of as-cast blends and after thermal and SVA</w:t>
      </w:r>
      <w:r w:rsidR="001F1F8E" w:rsidRPr="001F1F8E">
        <w:rPr>
          <w:i/>
          <w:sz w:val="16"/>
          <w:szCs w:val="16"/>
        </w:rPr>
        <w:t xml:space="preserve"> (colour dots)</w:t>
      </w:r>
      <w:r w:rsidRPr="001F1F8E">
        <w:rPr>
          <w:i/>
          <w:sz w:val="16"/>
          <w:szCs w:val="16"/>
        </w:rPr>
        <w:t xml:space="preserve">. The PL decays of neat donors before and after annealing are </w:t>
      </w:r>
      <w:r w:rsidR="001F1F8E" w:rsidRPr="001F1F8E">
        <w:rPr>
          <w:i/>
          <w:sz w:val="16"/>
          <w:szCs w:val="16"/>
        </w:rPr>
        <w:t xml:space="preserve">also </w:t>
      </w:r>
      <w:r w:rsidRPr="001F1F8E">
        <w:rPr>
          <w:i/>
          <w:sz w:val="16"/>
          <w:szCs w:val="16"/>
        </w:rPr>
        <w:t>plotted</w:t>
      </w:r>
      <w:r w:rsidR="001F1F8E" w:rsidRPr="001F1F8E">
        <w:rPr>
          <w:i/>
          <w:sz w:val="16"/>
          <w:szCs w:val="16"/>
        </w:rPr>
        <w:t xml:space="preserve"> (colour solid lines)</w:t>
      </w:r>
      <w:r w:rsidRPr="001F1F8E">
        <w:rPr>
          <w:i/>
          <w:sz w:val="16"/>
          <w:szCs w:val="16"/>
        </w:rPr>
        <w:t xml:space="preserve">. Average domain size of donors </w:t>
      </w:r>
      <w:r w:rsidR="00DF77D2">
        <w:rPr>
          <w:i/>
          <w:sz w:val="16"/>
          <w:szCs w:val="16"/>
        </w:rPr>
        <w:t xml:space="preserve">was </w:t>
      </w:r>
      <w:r w:rsidRPr="001F1F8E">
        <w:rPr>
          <w:i/>
          <w:sz w:val="16"/>
          <w:szCs w:val="16"/>
        </w:rPr>
        <w:t xml:space="preserve">extracted by fitting the PL quenching data using eq.3 (solid black lines). (a) BQR and </w:t>
      </w:r>
      <w:r w:rsidR="00D44C11" w:rsidRPr="001F1F8E">
        <w:rPr>
          <w:i/>
          <w:sz w:val="16"/>
          <w:szCs w:val="16"/>
        </w:rPr>
        <w:t>(</w:t>
      </w:r>
      <w:r w:rsidRPr="001F1F8E">
        <w:rPr>
          <w:i/>
          <w:sz w:val="16"/>
          <w:szCs w:val="16"/>
        </w:rPr>
        <w:t>b</w:t>
      </w:r>
      <w:r w:rsidR="00D44C11" w:rsidRPr="001F1F8E">
        <w:rPr>
          <w:i/>
          <w:sz w:val="16"/>
          <w:szCs w:val="16"/>
        </w:rPr>
        <w:t>) BTR</w:t>
      </w:r>
    </w:p>
    <w:p w:rsidR="00A12BEE" w:rsidRDefault="00424186" w:rsidP="00F51074">
      <w:pPr>
        <w:spacing w:before="120" w:after="120" w:line="240" w:lineRule="auto"/>
        <w:ind w:firstLine="284"/>
        <w:jc w:val="both"/>
        <w:rPr>
          <w:sz w:val="18"/>
          <w:szCs w:val="18"/>
          <w:lang w:eastAsia="zh-CN"/>
        </w:rPr>
      </w:pPr>
      <w:r>
        <w:rPr>
          <w:sz w:val="18"/>
          <w:szCs w:val="18"/>
        </w:rPr>
        <w:t>E</w:t>
      </w:r>
      <w:r w:rsidR="00A12BEE" w:rsidRPr="000437F8">
        <w:rPr>
          <w:sz w:val="18"/>
          <w:szCs w:val="18"/>
        </w:rPr>
        <w:t xml:space="preserve">quation </w:t>
      </w:r>
      <w:r w:rsidR="004A70CD">
        <w:rPr>
          <w:sz w:val="18"/>
          <w:szCs w:val="18"/>
        </w:rPr>
        <w:t>3</w:t>
      </w:r>
      <w:r w:rsidR="00A12BEE" w:rsidRPr="000437F8">
        <w:rPr>
          <w:sz w:val="18"/>
          <w:szCs w:val="18"/>
        </w:rPr>
        <w:t xml:space="preserve"> was multiplied </w:t>
      </w:r>
      <w:r w:rsidR="00F91370">
        <w:rPr>
          <w:sz w:val="18"/>
          <w:szCs w:val="18"/>
        </w:rPr>
        <w:t>by</w:t>
      </w:r>
      <w:r w:rsidR="00F91370" w:rsidRPr="000437F8">
        <w:rPr>
          <w:sz w:val="18"/>
          <w:szCs w:val="18"/>
        </w:rPr>
        <w:t xml:space="preserve"> </w:t>
      </w:r>
      <w:r w:rsidR="00DF77D2" w:rsidRPr="00DF77D2">
        <w:rPr>
          <w:sz w:val="18"/>
          <w:szCs w:val="18"/>
        </w:rPr>
        <w:t>the fluorescence</w:t>
      </w:r>
      <w:r w:rsidR="00A12BEE" w:rsidRPr="000437F8">
        <w:rPr>
          <w:sz w:val="18"/>
          <w:szCs w:val="18"/>
        </w:rPr>
        <w:t xml:space="preserve"> intensity of </w:t>
      </w:r>
      <w:r>
        <w:rPr>
          <w:sz w:val="18"/>
          <w:szCs w:val="18"/>
        </w:rPr>
        <w:t xml:space="preserve">the </w:t>
      </w:r>
      <w:r w:rsidR="00A12BEE" w:rsidRPr="000437F8">
        <w:rPr>
          <w:sz w:val="18"/>
          <w:szCs w:val="18"/>
        </w:rPr>
        <w:t>neat donors and then used to fi</w:t>
      </w:r>
      <w:r w:rsidR="00A12BEE">
        <w:rPr>
          <w:sz w:val="18"/>
          <w:szCs w:val="18"/>
        </w:rPr>
        <w:t xml:space="preserve">t the PL decays of the blends. </w:t>
      </w:r>
      <w:r w:rsidR="00A12BEE" w:rsidRPr="000437F8">
        <w:rPr>
          <w:sz w:val="18"/>
          <w:szCs w:val="18"/>
        </w:rPr>
        <w:t>For the case of BQR: PC</w:t>
      </w:r>
      <w:r w:rsidR="00A12BEE" w:rsidRPr="000437F8">
        <w:rPr>
          <w:sz w:val="18"/>
          <w:szCs w:val="18"/>
          <w:vertAlign w:val="subscript"/>
        </w:rPr>
        <w:t>71</w:t>
      </w:r>
      <w:r w:rsidR="00A12BEE" w:rsidRPr="000437F8">
        <w:rPr>
          <w:sz w:val="18"/>
          <w:szCs w:val="18"/>
        </w:rPr>
        <w:t>BM, the domain size of donor molecules increased from ~15 nm to ~</w:t>
      </w:r>
      <w:r w:rsidR="00A12BEE">
        <w:rPr>
          <w:sz w:val="18"/>
          <w:szCs w:val="18"/>
        </w:rPr>
        <w:t>6</w:t>
      </w:r>
      <w:r w:rsidR="00A12BEE" w:rsidRPr="000437F8">
        <w:rPr>
          <w:sz w:val="18"/>
          <w:szCs w:val="18"/>
        </w:rPr>
        <w:t>0 nm after annealing with CHCl</w:t>
      </w:r>
      <w:r w:rsidR="00A12BEE" w:rsidRPr="000437F8">
        <w:rPr>
          <w:sz w:val="18"/>
          <w:szCs w:val="18"/>
          <w:vertAlign w:val="subscript"/>
        </w:rPr>
        <w:t>3</w:t>
      </w:r>
      <w:r w:rsidR="00A12BEE" w:rsidRPr="000437F8">
        <w:rPr>
          <w:sz w:val="18"/>
          <w:szCs w:val="18"/>
        </w:rPr>
        <w:t xml:space="preserve"> SVA. </w:t>
      </w:r>
      <w:r w:rsidR="00A12BEE">
        <w:rPr>
          <w:sz w:val="18"/>
          <w:szCs w:val="18"/>
        </w:rPr>
        <w:t xml:space="preserve"> Whereas, i</w:t>
      </w:r>
      <w:r w:rsidR="00A12BEE" w:rsidRPr="000437F8">
        <w:rPr>
          <w:sz w:val="18"/>
          <w:szCs w:val="18"/>
        </w:rPr>
        <w:t>n the case of BQR: PC</w:t>
      </w:r>
      <w:r w:rsidR="00A12BEE" w:rsidRPr="000437F8">
        <w:rPr>
          <w:sz w:val="18"/>
          <w:szCs w:val="18"/>
          <w:vertAlign w:val="subscript"/>
        </w:rPr>
        <w:t>71</w:t>
      </w:r>
      <w:r w:rsidR="00DF77D2">
        <w:rPr>
          <w:sz w:val="18"/>
          <w:szCs w:val="18"/>
        </w:rPr>
        <w:t>BM, donor domains increased fro</w:t>
      </w:r>
      <w:r w:rsidR="00A12BEE" w:rsidRPr="000437F8">
        <w:rPr>
          <w:sz w:val="18"/>
          <w:szCs w:val="18"/>
        </w:rPr>
        <w:t>m ~7 nm to ~</w:t>
      </w:r>
      <w:r w:rsidR="00A12BEE">
        <w:rPr>
          <w:sz w:val="18"/>
          <w:szCs w:val="18"/>
        </w:rPr>
        <w:t>26</w:t>
      </w:r>
      <w:r w:rsidR="00A12BEE" w:rsidRPr="000437F8">
        <w:rPr>
          <w:sz w:val="18"/>
          <w:szCs w:val="18"/>
        </w:rPr>
        <w:t xml:space="preserve"> nm </w:t>
      </w:r>
      <w:r w:rsidR="00A12BEE">
        <w:rPr>
          <w:sz w:val="18"/>
          <w:szCs w:val="18"/>
        </w:rPr>
        <w:t xml:space="preserve">after annealing with THF solvent. </w:t>
      </w:r>
    </w:p>
    <w:p w:rsidR="001F1F8E" w:rsidRDefault="00C62B4B" w:rsidP="00D6617D">
      <w:pPr>
        <w:spacing w:before="120" w:after="120" w:line="240" w:lineRule="auto"/>
        <w:jc w:val="center"/>
      </w:pPr>
      <w:r>
        <w:object w:dxaOrig="4535" w:dyaOrig="4308">
          <v:shape id="_x0000_i1034" type="#_x0000_t75" style="width:226.3pt;height:215.4pt" o:ole="">
            <v:imagedata r:id="rId31" o:title=""/>
          </v:shape>
          <o:OLEObject Type="Embed" ProgID="Origin50.Graph" ShapeID="_x0000_i1034" DrawAspect="Content" ObjectID="_1644228485" r:id="rId32"/>
        </w:object>
      </w:r>
    </w:p>
    <w:p w:rsidR="001F1F8E" w:rsidRPr="001F1F8E" w:rsidRDefault="001F1F8E" w:rsidP="001F1F8E">
      <w:pPr>
        <w:pStyle w:val="Caption"/>
        <w:rPr>
          <w:sz w:val="16"/>
          <w:szCs w:val="16"/>
          <w:lang w:eastAsia="zh-CN"/>
        </w:rPr>
      </w:pPr>
      <w:r w:rsidRPr="001F1F8E">
        <w:rPr>
          <w:b/>
          <w:sz w:val="16"/>
          <w:szCs w:val="16"/>
        </w:rPr>
        <w:t xml:space="preserve">Figure </w:t>
      </w:r>
      <w:r w:rsidR="00525649">
        <w:rPr>
          <w:b/>
          <w:noProof/>
          <w:sz w:val="16"/>
          <w:szCs w:val="16"/>
        </w:rPr>
        <w:t>7</w:t>
      </w:r>
      <w:r w:rsidRPr="001F1F8E">
        <w:rPr>
          <w:b/>
          <w:sz w:val="16"/>
          <w:szCs w:val="16"/>
        </w:rPr>
        <w:t>:</w:t>
      </w:r>
      <w:r w:rsidRPr="001F1F8E">
        <w:rPr>
          <w:sz w:val="16"/>
          <w:szCs w:val="16"/>
        </w:rPr>
        <w:t xml:space="preserve"> </w:t>
      </w:r>
      <w:r w:rsidR="00F91370">
        <w:rPr>
          <w:sz w:val="16"/>
          <w:szCs w:val="16"/>
        </w:rPr>
        <w:t xml:space="preserve">Estimated </w:t>
      </w:r>
      <w:r w:rsidR="00F91370">
        <w:rPr>
          <w:i/>
          <w:sz w:val="16"/>
          <w:szCs w:val="16"/>
        </w:rPr>
        <w:t>c</w:t>
      </w:r>
      <w:r w:rsidRPr="001F1F8E">
        <w:rPr>
          <w:i/>
          <w:sz w:val="16"/>
          <w:szCs w:val="16"/>
        </w:rPr>
        <w:t xml:space="preserve">harge generation efficiency as a function of average </w:t>
      </w:r>
      <w:r w:rsidR="00D6617D">
        <w:rPr>
          <w:i/>
          <w:sz w:val="16"/>
          <w:szCs w:val="16"/>
        </w:rPr>
        <w:t xml:space="preserve">donor </w:t>
      </w:r>
      <w:r w:rsidRPr="001F1F8E">
        <w:rPr>
          <w:i/>
          <w:sz w:val="16"/>
          <w:szCs w:val="16"/>
        </w:rPr>
        <w:t>domain size</w:t>
      </w:r>
      <w:r w:rsidR="00D6617D">
        <w:rPr>
          <w:i/>
          <w:sz w:val="16"/>
          <w:szCs w:val="16"/>
        </w:rPr>
        <w:t xml:space="preserve"> in the blends</w:t>
      </w:r>
    </w:p>
    <w:p w:rsidR="006D7900" w:rsidRPr="00360301" w:rsidRDefault="006D7900" w:rsidP="00F51074">
      <w:pPr>
        <w:spacing w:before="120" w:after="120" w:line="240" w:lineRule="auto"/>
        <w:ind w:firstLine="284"/>
        <w:jc w:val="both"/>
        <w:rPr>
          <w:sz w:val="18"/>
          <w:szCs w:val="18"/>
          <w:lang w:eastAsia="zh-CN"/>
        </w:rPr>
      </w:pPr>
      <w:r w:rsidRPr="00360301">
        <w:rPr>
          <w:sz w:val="18"/>
          <w:szCs w:val="18"/>
          <w:lang w:eastAsia="zh-CN"/>
        </w:rPr>
        <w:t>The large domains normally reduce the charge generation efficiency</w:t>
      </w:r>
      <w:r w:rsidR="00360301" w:rsidRPr="00360301">
        <w:rPr>
          <w:sz w:val="18"/>
          <w:szCs w:val="18"/>
          <w:lang w:eastAsia="zh-CN"/>
        </w:rPr>
        <w:t xml:space="preserve"> which then leads to lower device efficiency</w:t>
      </w:r>
      <w:r w:rsidRPr="00360301">
        <w:rPr>
          <w:sz w:val="18"/>
          <w:szCs w:val="18"/>
          <w:lang w:eastAsia="zh-CN"/>
        </w:rPr>
        <w:t xml:space="preserve">. We </w:t>
      </w:r>
      <w:r w:rsidR="00F91370">
        <w:rPr>
          <w:sz w:val="18"/>
          <w:szCs w:val="18"/>
          <w:lang w:eastAsia="zh-CN"/>
        </w:rPr>
        <w:t>estimated</w:t>
      </w:r>
      <w:r w:rsidR="00F91370" w:rsidRPr="00360301">
        <w:rPr>
          <w:sz w:val="18"/>
          <w:szCs w:val="18"/>
          <w:lang w:eastAsia="zh-CN"/>
        </w:rPr>
        <w:t xml:space="preserve"> </w:t>
      </w:r>
      <w:r w:rsidRPr="00360301">
        <w:rPr>
          <w:sz w:val="18"/>
          <w:szCs w:val="18"/>
          <w:lang w:eastAsia="zh-CN"/>
        </w:rPr>
        <w:t xml:space="preserve">the charge generation efficiency </w:t>
      </w:r>
      <w:r w:rsidR="00360301" w:rsidRPr="00360301">
        <w:rPr>
          <w:sz w:val="18"/>
          <w:szCs w:val="18"/>
          <w:lang w:eastAsia="zh-CN"/>
        </w:rPr>
        <w:t>from the</w:t>
      </w:r>
      <w:r w:rsidRPr="00360301">
        <w:rPr>
          <w:sz w:val="18"/>
          <w:szCs w:val="18"/>
          <w:lang w:eastAsia="zh-CN"/>
        </w:rPr>
        <w:t xml:space="preserve"> PL decays of the </w:t>
      </w:r>
      <w:r w:rsidR="00360301" w:rsidRPr="00360301">
        <w:rPr>
          <w:sz w:val="18"/>
          <w:szCs w:val="18"/>
          <w:lang w:eastAsia="zh-CN"/>
        </w:rPr>
        <w:t xml:space="preserve">neat donors and their </w:t>
      </w:r>
      <w:r w:rsidRPr="00360301">
        <w:rPr>
          <w:sz w:val="18"/>
          <w:szCs w:val="18"/>
          <w:lang w:eastAsia="zh-CN"/>
        </w:rPr>
        <w:t xml:space="preserve">blends </w:t>
      </w:r>
      <w:r w:rsidR="00360301" w:rsidRPr="00360301">
        <w:rPr>
          <w:sz w:val="18"/>
          <w:szCs w:val="18"/>
          <w:lang w:eastAsia="zh-CN"/>
        </w:rPr>
        <w:t>with PC</w:t>
      </w:r>
      <w:r w:rsidR="00360301" w:rsidRPr="00360301">
        <w:rPr>
          <w:sz w:val="18"/>
          <w:szCs w:val="18"/>
          <w:vertAlign w:val="subscript"/>
          <w:lang w:eastAsia="zh-CN"/>
        </w:rPr>
        <w:t>71</w:t>
      </w:r>
      <w:r w:rsidR="00360301" w:rsidRPr="00360301">
        <w:rPr>
          <w:sz w:val="18"/>
          <w:szCs w:val="18"/>
          <w:lang w:eastAsia="zh-CN"/>
        </w:rPr>
        <w:t xml:space="preserve">BM </w:t>
      </w:r>
      <w:r w:rsidRPr="00360301">
        <w:rPr>
          <w:sz w:val="18"/>
          <w:szCs w:val="18"/>
          <w:lang w:eastAsia="zh-CN"/>
        </w:rPr>
        <w:t>using</w:t>
      </w:r>
    </w:p>
    <w:p w:rsidR="006D7900" w:rsidRPr="00360301" w:rsidRDefault="0064727F" w:rsidP="00F51074">
      <w:pPr>
        <w:spacing w:before="120" w:after="120" w:line="240" w:lineRule="auto"/>
        <w:ind w:firstLine="284"/>
        <w:jc w:val="both"/>
        <w:rPr>
          <w:rFonts w:eastAsiaTheme="minorEastAsia"/>
          <w:sz w:val="18"/>
          <w:szCs w:val="18"/>
        </w:rPr>
      </w:pPr>
      <m:oMathPara>
        <m:oMath>
          <m:sSub>
            <m:sSubPr>
              <m:ctrlPr>
                <w:rPr>
                  <w:rFonts w:ascii="Cambria Math" w:hAnsi="Cambria Math"/>
                  <w:i/>
                  <w:sz w:val="18"/>
                  <w:szCs w:val="18"/>
                </w:rPr>
              </m:ctrlPr>
            </m:sSubPr>
            <m:e>
              <m:r>
                <w:rPr>
                  <w:rFonts w:ascii="Cambria Math" w:hAnsi="Cambria Math"/>
                  <w:sz w:val="18"/>
                  <w:szCs w:val="18"/>
                </w:rPr>
                <m:t>∅</m:t>
              </m:r>
            </m:e>
            <m:sub>
              <m:r>
                <w:rPr>
                  <w:rFonts w:ascii="Cambria Math" w:hAnsi="Cambria Math"/>
                  <w:sz w:val="18"/>
                  <w:szCs w:val="18"/>
                </w:rPr>
                <m:t>gen</m:t>
              </m:r>
            </m:sub>
          </m:sSub>
          <m:r>
            <w:rPr>
              <w:rFonts w:ascii="Cambria Math" w:hAnsi="Cambria Math"/>
              <w:sz w:val="18"/>
              <w:szCs w:val="18"/>
            </w:rPr>
            <m:t>=1-</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τ</m:t>
                  </m:r>
                </m:e>
                <m:sub>
                  <m:r>
                    <w:rPr>
                      <w:rFonts w:ascii="Cambria Math" w:hAnsi="Cambria Math"/>
                      <w:sz w:val="18"/>
                      <w:szCs w:val="18"/>
                    </w:rPr>
                    <m:t>blend</m:t>
                  </m:r>
                </m:sub>
              </m:sSub>
            </m:num>
            <m:den>
              <m:sSub>
                <m:sSubPr>
                  <m:ctrlPr>
                    <w:rPr>
                      <w:rFonts w:ascii="Cambria Math" w:hAnsi="Cambria Math"/>
                      <w:i/>
                      <w:sz w:val="18"/>
                      <w:szCs w:val="18"/>
                    </w:rPr>
                  </m:ctrlPr>
                </m:sSubPr>
                <m:e>
                  <m:r>
                    <w:rPr>
                      <w:rFonts w:ascii="Cambria Math" w:hAnsi="Cambria Math"/>
                      <w:sz w:val="18"/>
                      <w:szCs w:val="18"/>
                    </w:rPr>
                    <m:t>τ</m:t>
                  </m:r>
                </m:e>
                <m:sub>
                  <m:r>
                    <w:rPr>
                      <w:rFonts w:ascii="Cambria Math" w:hAnsi="Cambria Math"/>
                      <w:sz w:val="18"/>
                      <w:szCs w:val="18"/>
                    </w:rPr>
                    <m:t>neat</m:t>
                  </m:r>
                </m:sub>
              </m:sSub>
            </m:den>
          </m:f>
        </m:oMath>
      </m:oMathPara>
    </w:p>
    <w:p w:rsidR="006D7900" w:rsidRPr="00EA7BB2" w:rsidRDefault="006D7900" w:rsidP="004248BB">
      <w:pPr>
        <w:pStyle w:val="NormalWeb"/>
        <w:spacing w:before="0" w:beforeAutospacing="0" w:after="120" w:afterAutospacing="0"/>
        <w:jc w:val="both"/>
        <w:rPr>
          <w:rFonts w:asciiTheme="minorHAnsi" w:hAnsiTheme="minorHAnsi"/>
          <w:color w:val="000000"/>
        </w:rPr>
      </w:pPr>
      <w:r w:rsidRPr="00EA7BB2">
        <w:rPr>
          <w:rFonts w:asciiTheme="minorHAnsi" w:eastAsiaTheme="minorEastAsia" w:hAnsiTheme="minorHAnsi"/>
          <w:sz w:val="18"/>
          <w:szCs w:val="18"/>
        </w:rPr>
        <w:t xml:space="preserve">where </w:t>
      </w:r>
      <m:oMath>
        <m:sSub>
          <m:sSubPr>
            <m:ctrlPr>
              <w:rPr>
                <w:rFonts w:ascii="Cambria Math" w:hAnsi="Cambria Math"/>
                <w:i/>
                <w:sz w:val="18"/>
                <w:szCs w:val="18"/>
              </w:rPr>
            </m:ctrlPr>
          </m:sSubPr>
          <m:e>
            <m:r>
              <w:rPr>
                <w:rFonts w:ascii="Cambria Math" w:hAnsi="Cambria Math"/>
                <w:sz w:val="18"/>
                <w:szCs w:val="18"/>
              </w:rPr>
              <m:t>τ</m:t>
            </m:r>
          </m:e>
          <m:sub>
            <m:r>
              <w:rPr>
                <w:rFonts w:ascii="Cambria Math" w:hAnsi="Cambria Math"/>
                <w:sz w:val="18"/>
                <w:szCs w:val="18"/>
              </w:rPr>
              <m:t>blend</m:t>
            </m:r>
          </m:sub>
        </m:sSub>
      </m:oMath>
      <w:r w:rsidRPr="00EA7BB2">
        <w:rPr>
          <w:rFonts w:asciiTheme="minorHAnsi" w:eastAsiaTheme="minorEastAsia" w:hAnsiTheme="minorHAnsi"/>
          <w:sz w:val="18"/>
          <w:szCs w:val="18"/>
        </w:rPr>
        <w:t xml:space="preserve"> is the lifetime of blend and </w:t>
      </w:r>
      <m:oMath>
        <m:sSub>
          <m:sSubPr>
            <m:ctrlPr>
              <w:rPr>
                <w:rFonts w:ascii="Cambria Math" w:hAnsi="Cambria Math"/>
                <w:i/>
                <w:sz w:val="18"/>
                <w:szCs w:val="18"/>
              </w:rPr>
            </m:ctrlPr>
          </m:sSubPr>
          <m:e>
            <m:r>
              <w:rPr>
                <w:rFonts w:ascii="Cambria Math" w:hAnsi="Cambria Math"/>
                <w:sz w:val="18"/>
                <w:szCs w:val="18"/>
              </w:rPr>
              <m:t>τ</m:t>
            </m:r>
          </m:e>
          <m:sub>
            <m:r>
              <w:rPr>
                <w:rFonts w:ascii="Cambria Math" w:hAnsi="Cambria Math"/>
                <w:sz w:val="18"/>
                <w:szCs w:val="18"/>
              </w:rPr>
              <m:t>neat</m:t>
            </m:r>
          </m:sub>
        </m:sSub>
      </m:oMath>
      <w:r w:rsidRPr="00EA7BB2">
        <w:rPr>
          <w:rFonts w:asciiTheme="minorHAnsi" w:eastAsiaTheme="minorEastAsia" w:hAnsiTheme="minorHAnsi"/>
          <w:sz w:val="18"/>
          <w:szCs w:val="18"/>
        </w:rPr>
        <w:t xml:space="preserve"> is </w:t>
      </w:r>
      <w:r w:rsidR="00DF77D2" w:rsidRPr="00EA7BB2">
        <w:rPr>
          <w:rFonts w:asciiTheme="minorHAnsi" w:eastAsiaTheme="minorEastAsia" w:hAnsiTheme="minorHAnsi"/>
          <w:sz w:val="18"/>
          <w:szCs w:val="18"/>
        </w:rPr>
        <w:t xml:space="preserve">the </w:t>
      </w:r>
      <w:r w:rsidRPr="00EA7BB2">
        <w:rPr>
          <w:rFonts w:asciiTheme="minorHAnsi" w:eastAsiaTheme="minorEastAsia" w:hAnsiTheme="minorHAnsi"/>
          <w:sz w:val="18"/>
          <w:szCs w:val="18"/>
        </w:rPr>
        <w:t>lifetime of neat donor film. As the decay is multiexponential, therefore we used 1/e lifetime</w:t>
      </w:r>
      <w:r w:rsidR="00360301" w:rsidRPr="00EA7BB2">
        <w:rPr>
          <w:rFonts w:asciiTheme="minorHAnsi" w:eastAsiaTheme="minorEastAsia" w:hAnsiTheme="minorHAnsi"/>
          <w:sz w:val="18"/>
          <w:szCs w:val="18"/>
        </w:rPr>
        <w:t>s</w:t>
      </w:r>
      <w:r w:rsidRPr="00EA7BB2">
        <w:rPr>
          <w:rFonts w:asciiTheme="minorHAnsi" w:eastAsiaTheme="minorEastAsia" w:hAnsiTheme="minorHAnsi"/>
          <w:sz w:val="18"/>
          <w:szCs w:val="18"/>
        </w:rPr>
        <w:t xml:space="preserve">. </w:t>
      </w:r>
      <w:r w:rsidR="00F91370">
        <w:rPr>
          <w:rFonts w:asciiTheme="minorHAnsi" w:eastAsiaTheme="minorEastAsia" w:hAnsiTheme="minorHAnsi"/>
          <w:sz w:val="18"/>
          <w:szCs w:val="18"/>
        </w:rPr>
        <w:t xml:space="preserve">In this estimate we assume all excitons quenched generate charges. </w:t>
      </w:r>
      <w:r w:rsidRPr="00EA7BB2">
        <w:rPr>
          <w:rFonts w:asciiTheme="minorHAnsi" w:eastAsiaTheme="minorEastAsia" w:hAnsiTheme="minorHAnsi"/>
          <w:sz w:val="18"/>
          <w:szCs w:val="18"/>
        </w:rPr>
        <w:t xml:space="preserve">The </w:t>
      </w:r>
      <w:r w:rsidR="00F91370">
        <w:rPr>
          <w:rFonts w:asciiTheme="minorHAnsi" w:eastAsiaTheme="minorEastAsia" w:hAnsiTheme="minorHAnsi"/>
          <w:sz w:val="18"/>
          <w:szCs w:val="18"/>
        </w:rPr>
        <w:t>estimated</w:t>
      </w:r>
      <w:r w:rsidR="00F91370" w:rsidRPr="00EA7BB2">
        <w:rPr>
          <w:rFonts w:asciiTheme="minorHAnsi" w:eastAsiaTheme="minorEastAsia" w:hAnsiTheme="minorHAnsi"/>
          <w:sz w:val="18"/>
          <w:szCs w:val="18"/>
        </w:rPr>
        <w:t xml:space="preserve"> </w:t>
      </w:r>
      <w:r w:rsidRPr="00EA7BB2">
        <w:rPr>
          <w:rFonts w:asciiTheme="minorHAnsi" w:eastAsiaTheme="minorEastAsia" w:hAnsiTheme="minorHAnsi"/>
          <w:sz w:val="18"/>
          <w:szCs w:val="18"/>
        </w:rPr>
        <w:t>charge generation efficiency is plotted as</w:t>
      </w:r>
      <w:r w:rsidR="00DF77D2" w:rsidRPr="00EA7BB2">
        <w:rPr>
          <w:rFonts w:asciiTheme="minorHAnsi" w:eastAsiaTheme="minorEastAsia" w:hAnsiTheme="minorHAnsi"/>
          <w:sz w:val="18"/>
          <w:szCs w:val="18"/>
        </w:rPr>
        <w:t xml:space="preserve"> a</w:t>
      </w:r>
      <w:r w:rsidRPr="00EA7BB2">
        <w:rPr>
          <w:rFonts w:asciiTheme="minorHAnsi" w:eastAsiaTheme="minorEastAsia" w:hAnsiTheme="minorHAnsi"/>
          <w:sz w:val="18"/>
          <w:szCs w:val="18"/>
        </w:rPr>
        <w:t xml:space="preserve"> function of domain size in Figure 6, which shows efficient charge generation (84%) despite the larg</w:t>
      </w:r>
      <w:r w:rsidR="00360301" w:rsidRPr="00EA7BB2">
        <w:rPr>
          <w:rFonts w:asciiTheme="minorHAnsi" w:eastAsiaTheme="minorEastAsia" w:hAnsiTheme="minorHAnsi"/>
          <w:sz w:val="18"/>
          <w:szCs w:val="18"/>
        </w:rPr>
        <w:t xml:space="preserve">e domains (60 nm). This is </w:t>
      </w:r>
      <w:r w:rsidRPr="00EA7BB2">
        <w:rPr>
          <w:rFonts w:asciiTheme="minorHAnsi" w:eastAsiaTheme="minorEastAsia" w:hAnsiTheme="minorHAnsi"/>
          <w:sz w:val="18"/>
          <w:szCs w:val="18"/>
        </w:rPr>
        <w:t xml:space="preserve">due to large exciton diffusion length (&gt; 40 nm) which enables most of the generated excitons to reach </w:t>
      </w:r>
      <w:r w:rsidR="00F91370">
        <w:rPr>
          <w:rFonts w:asciiTheme="minorHAnsi" w:eastAsiaTheme="minorEastAsia" w:hAnsiTheme="minorHAnsi"/>
          <w:sz w:val="18"/>
          <w:szCs w:val="18"/>
        </w:rPr>
        <w:t>the</w:t>
      </w:r>
      <w:r w:rsidR="00F91370" w:rsidRPr="00EA7BB2">
        <w:rPr>
          <w:rFonts w:asciiTheme="minorHAnsi" w:eastAsiaTheme="minorEastAsia" w:hAnsiTheme="minorHAnsi"/>
          <w:sz w:val="18"/>
          <w:szCs w:val="18"/>
        </w:rPr>
        <w:t xml:space="preserve"> </w:t>
      </w:r>
      <w:r w:rsidRPr="00EA7BB2">
        <w:rPr>
          <w:rFonts w:asciiTheme="minorHAnsi" w:eastAsiaTheme="minorEastAsia" w:hAnsiTheme="minorHAnsi"/>
          <w:sz w:val="18"/>
          <w:szCs w:val="18"/>
        </w:rPr>
        <w:t xml:space="preserve">interface in their lifetime and split </w:t>
      </w:r>
      <w:r w:rsidR="00F91370">
        <w:rPr>
          <w:rFonts w:asciiTheme="minorHAnsi" w:eastAsiaTheme="minorEastAsia" w:hAnsiTheme="minorHAnsi"/>
          <w:sz w:val="18"/>
          <w:szCs w:val="18"/>
        </w:rPr>
        <w:t>in</w:t>
      </w:r>
      <w:r w:rsidRPr="00EA7BB2">
        <w:rPr>
          <w:rFonts w:asciiTheme="minorHAnsi" w:eastAsiaTheme="minorEastAsia" w:hAnsiTheme="minorHAnsi"/>
          <w:sz w:val="18"/>
          <w:szCs w:val="18"/>
        </w:rPr>
        <w:t xml:space="preserve">to </w:t>
      </w:r>
      <w:r w:rsidR="00360301" w:rsidRPr="00EA7BB2">
        <w:rPr>
          <w:rFonts w:asciiTheme="minorHAnsi" w:eastAsiaTheme="minorEastAsia" w:hAnsiTheme="minorHAnsi"/>
          <w:sz w:val="18"/>
          <w:szCs w:val="18"/>
        </w:rPr>
        <w:t xml:space="preserve">free </w:t>
      </w:r>
      <w:r w:rsidR="00E735B1" w:rsidRPr="00EA7BB2">
        <w:rPr>
          <w:rFonts w:asciiTheme="minorHAnsi" w:eastAsiaTheme="minorEastAsia" w:hAnsiTheme="minorHAnsi"/>
          <w:sz w:val="18"/>
          <w:szCs w:val="18"/>
        </w:rPr>
        <w:t xml:space="preserve">charges. </w:t>
      </w:r>
      <w:r w:rsidR="00E735B1" w:rsidRPr="00EA7BB2">
        <w:rPr>
          <w:rFonts w:asciiTheme="minorHAnsi" w:hAnsiTheme="minorHAnsi"/>
          <w:color w:val="000000"/>
          <w:sz w:val="18"/>
          <w:szCs w:val="18"/>
        </w:rPr>
        <w:t>Large domain sizes lead to the reduced interface area between donor and acceptor and can explain strongly suppressed bimolecular recombination observed in BTR:PC</w:t>
      </w:r>
      <w:r w:rsidR="00E735B1" w:rsidRPr="003E1CDD">
        <w:rPr>
          <w:rFonts w:asciiTheme="minorHAnsi" w:hAnsiTheme="minorHAnsi"/>
          <w:color w:val="000000"/>
          <w:sz w:val="18"/>
          <w:szCs w:val="18"/>
          <w:vertAlign w:val="subscript"/>
        </w:rPr>
        <w:t>71</w:t>
      </w:r>
      <w:r w:rsidR="00E735B1" w:rsidRPr="00EA7BB2">
        <w:rPr>
          <w:rFonts w:asciiTheme="minorHAnsi" w:hAnsiTheme="minorHAnsi"/>
          <w:color w:val="000000"/>
          <w:sz w:val="18"/>
          <w:szCs w:val="18"/>
        </w:rPr>
        <w:t>BM solar cells.</w:t>
      </w:r>
      <w:r w:rsidR="00ED2862" w:rsidRPr="00ED2862">
        <w:rPr>
          <w:rFonts w:asciiTheme="minorHAnsi" w:hAnsiTheme="minorHAnsi"/>
          <w:noProof/>
          <w:color w:val="000000"/>
          <w:sz w:val="18"/>
          <w:szCs w:val="18"/>
          <w:vertAlign w:val="superscript"/>
        </w:rPr>
        <w:t>26</w:t>
      </w:r>
      <w:r w:rsidR="00E735B1" w:rsidRPr="00EA7BB2">
        <w:rPr>
          <w:rFonts w:asciiTheme="minorHAnsi" w:hAnsiTheme="minorHAnsi"/>
          <w:color w:val="000000"/>
          <w:sz w:val="18"/>
          <w:szCs w:val="18"/>
        </w:rPr>
        <w:t xml:space="preserve"> Development of processing techniques which increase exciton diffusion length and domain sizes is a viable approach to develop more efficient organic solar cells.</w:t>
      </w:r>
      <w:r w:rsidR="00E735B1" w:rsidRPr="00EA7BB2">
        <w:rPr>
          <w:rFonts w:asciiTheme="minorHAnsi" w:hAnsiTheme="minorHAnsi"/>
          <w:color w:val="000000"/>
        </w:rPr>
        <w:t> </w:t>
      </w:r>
    </w:p>
    <w:p w:rsidR="00FA2DA2" w:rsidRDefault="00D44C11" w:rsidP="00DF74C9">
      <w:pPr>
        <w:pStyle w:val="RSCB04AHeadingSection"/>
        <w:spacing w:before="120" w:after="120"/>
      </w:pPr>
      <w:r>
        <w:t xml:space="preserve"> </w:t>
      </w:r>
      <w:r w:rsidR="00FA2DA2" w:rsidRPr="00017239">
        <w:t>Experimental</w:t>
      </w:r>
    </w:p>
    <w:p w:rsidR="00DF74C9" w:rsidRDefault="00DF74C9" w:rsidP="00A12BEE">
      <w:pPr>
        <w:pStyle w:val="RSCB06BHeadingSub-Section"/>
        <w:spacing w:before="120" w:after="120" w:line="240" w:lineRule="auto"/>
      </w:pPr>
      <w:r>
        <w:t>Materials</w:t>
      </w:r>
    </w:p>
    <w:p w:rsidR="00DF74C9" w:rsidRPr="00046F41" w:rsidRDefault="00DF74C9" w:rsidP="00A12BEE">
      <w:pPr>
        <w:pStyle w:val="RSCB06BHeadingSub-Section"/>
        <w:spacing w:before="120" w:after="120" w:line="240" w:lineRule="auto"/>
        <w:rPr>
          <w:rStyle w:val="RSCB02ArticleTextChar"/>
          <w:b w:val="0"/>
        </w:rPr>
      </w:pPr>
      <w:r w:rsidRPr="00046F41">
        <w:rPr>
          <w:rStyle w:val="RSCB02ArticleTextChar"/>
          <w:b w:val="0"/>
        </w:rPr>
        <w:t>BTR,</w:t>
      </w:r>
      <w:r>
        <w:rPr>
          <w:rStyle w:val="RSCB02ArticleTextChar"/>
          <w:b w:val="0"/>
        </w:rPr>
        <w:t xml:space="preserve"> </w:t>
      </w:r>
      <w:r w:rsidRPr="00046F41">
        <w:rPr>
          <w:rStyle w:val="RSCB02ArticleTextChar"/>
          <w:b w:val="0"/>
        </w:rPr>
        <w:t>BQR</w:t>
      </w:r>
      <w:r>
        <w:rPr>
          <w:rStyle w:val="RSCB02ArticleTextChar"/>
          <w:b w:val="0"/>
        </w:rPr>
        <w:t xml:space="preserve"> was synthesized using the methods reported before.</w:t>
      </w:r>
      <w:r w:rsidR="00ED2862" w:rsidRPr="00ED2862">
        <w:rPr>
          <w:rStyle w:val="RSCB02ArticleTextChar"/>
          <w:b w:val="0"/>
          <w:noProof/>
          <w:vertAlign w:val="superscript"/>
        </w:rPr>
        <w:t>17, 22</w:t>
      </w:r>
      <w:r>
        <w:rPr>
          <w:rStyle w:val="RSCB02ArticleTextChar"/>
          <w:b w:val="0"/>
        </w:rPr>
        <w:t xml:space="preserve"> All the solvent was purchased from Sigma Aldrich.</w:t>
      </w:r>
    </w:p>
    <w:p w:rsidR="00DF74C9" w:rsidRDefault="00DF74C9" w:rsidP="00A12BEE">
      <w:pPr>
        <w:pStyle w:val="RSCB08CHeadingIn-line"/>
        <w:spacing w:before="120" w:after="120" w:line="240" w:lineRule="auto"/>
      </w:pPr>
      <w:r>
        <w:t>Sample preparation</w:t>
      </w:r>
    </w:p>
    <w:p w:rsidR="00DF74C9" w:rsidRDefault="002736F2" w:rsidP="00EA7BB2">
      <w:pPr>
        <w:pStyle w:val="RSCB08CHeadingIn-line"/>
        <w:spacing w:before="120" w:after="120" w:line="240" w:lineRule="auto"/>
        <w:jc w:val="both"/>
        <w:rPr>
          <w:rStyle w:val="RSCB02ArticleTextChar"/>
          <w:b w:val="0"/>
        </w:rPr>
      </w:pPr>
      <w:r w:rsidRPr="00B350BA">
        <w:rPr>
          <w:rFonts w:cs="Arial"/>
          <w:b w:val="0"/>
          <w:color w:val="222222"/>
          <w:szCs w:val="18"/>
          <w:lang w:val="en-AU"/>
        </w:rPr>
        <w:t>For untreated and thermal</w:t>
      </w:r>
      <w:r w:rsidR="00F91370">
        <w:rPr>
          <w:rFonts w:cs="Arial"/>
          <w:b w:val="0"/>
          <w:color w:val="222222"/>
          <w:szCs w:val="18"/>
          <w:lang w:val="en-AU"/>
        </w:rPr>
        <w:t>ly</w:t>
      </w:r>
      <w:r w:rsidRPr="00B350BA">
        <w:rPr>
          <w:rFonts w:cs="Arial"/>
          <w:b w:val="0"/>
          <w:color w:val="222222"/>
          <w:szCs w:val="18"/>
          <w:lang w:val="en-AU"/>
        </w:rPr>
        <w:t xml:space="preserve"> annealed samples, </w:t>
      </w:r>
      <w:r w:rsidR="002127B7" w:rsidRPr="002736F2">
        <w:rPr>
          <w:rStyle w:val="RSCB02ArticleTextChar"/>
          <w:b w:val="0"/>
        </w:rPr>
        <w:t>the</w:t>
      </w:r>
      <w:r w:rsidRPr="002736F2">
        <w:rPr>
          <w:rStyle w:val="RSCB02ArticleTextChar"/>
          <w:b w:val="0"/>
        </w:rPr>
        <w:t xml:space="preserve"> materials were dissolved in chloroform at a concentration of 10 mg/ml</w:t>
      </w:r>
      <w:r w:rsidR="00F91370">
        <w:rPr>
          <w:rFonts w:cs="Arial"/>
          <w:b w:val="0"/>
          <w:color w:val="222222"/>
          <w:szCs w:val="18"/>
          <w:lang w:val="en-AU"/>
        </w:rPr>
        <w:t>.</w:t>
      </w:r>
      <w:r w:rsidRPr="00B350BA">
        <w:rPr>
          <w:rFonts w:cs="Arial"/>
          <w:b w:val="0"/>
          <w:color w:val="222222"/>
          <w:szCs w:val="18"/>
          <w:lang w:val="en-AU"/>
        </w:rPr>
        <w:t>For solvent vapour annealed samples</w:t>
      </w:r>
      <w:r w:rsidR="00F91370">
        <w:rPr>
          <w:rFonts w:cs="Arial"/>
          <w:b w:val="0"/>
          <w:color w:val="222222"/>
          <w:szCs w:val="18"/>
          <w:lang w:val="en-AU"/>
        </w:rPr>
        <w:t xml:space="preserve">, materials </w:t>
      </w:r>
      <w:r w:rsidR="00F91370" w:rsidRPr="002736F2">
        <w:rPr>
          <w:rStyle w:val="RSCB02ArticleTextChar"/>
          <w:b w:val="0"/>
        </w:rPr>
        <w:t>were dissolved in chloroform at a concentration</w:t>
      </w:r>
      <w:r w:rsidR="00F91370" w:rsidRPr="00B350BA" w:rsidDel="00F91370">
        <w:rPr>
          <w:rFonts w:cs="Arial"/>
          <w:b w:val="0"/>
          <w:color w:val="222222"/>
          <w:szCs w:val="18"/>
          <w:lang w:val="en-AU"/>
        </w:rPr>
        <w:t xml:space="preserve"> </w:t>
      </w:r>
      <w:r w:rsidR="00F91370">
        <w:rPr>
          <w:rFonts w:cs="Arial"/>
          <w:b w:val="0"/>
          <w:color w:val="222222"/>
          <w:szCs w:val="18"/>
          <w:lang w:val="en-AU"/>
        </w:rPr>
        <w:t>of</w:t>
      </w:r>
      <w:r w:rsidR="00F91370" w:rsidRPr="00B350BA">
        <w:rPr>
          <w:rFonts w:cs="Arial"/>
          <w:b w:val="0"/>
          <w:color w:val="222222"/>
          <w:szCs w:val="18"/>
          <w:lang w:val="en-AU"/>
        </w:rPr>
        <w:t xml:space="preserve"> </w:t>
      </w:r>
      <w:r w:rsidRPr="00B350BA">
        <w:rPr>
          <w:rFonts w:cs="Arial"/>
          <w:b w:val="0"/>
          <w:color w:val="222222"/>
          <w:szCs w:val="18"/>
          <w:lang w:val="en-AU"/>
        </w:rPr>
        <w:t>4mg/ml in chloroform.</w:t>
      </w:r>
      <w:r w:rsidR="00DF74C9">
        <w:rPr>
          <w:rStyle w:val="RSCB02ArticleTextChar"/>
          <w:b w:val="0"/>
        </w:rPr>
        <w:t xml:space="preserve"> The solution was stirred at room temperature overnight to ensure full dissolving before spin coating on to pre</w:t>
      </w:r>
      <w:r>
        <w:rPr>
          <w:rStyle w:val="RSCB02ArticleTextChar"/>
          <w:b w:val="0"/>
        </w:rPr>
        <w:t>-</w:t>
      </w:r>
      <w:r w:rsidR="00DF74C9">
        <w:rPr>
          <w:rStyle w:val="RSCB02ArticleTextChar"/>
          <w:b w:val="0"/>
        </w:rPr>
        <w:t xml:space="preserve">cleaned fused silica substrates in a </w:t>
      </w:r>
      <w:r w:rsidR="00DF77D2" w:rsidRPr="00DF77D2">
        <w:rPr>
          <w:rStyle w:val="RSCB02ArticleTextChar"/>
          <w:b w:val="0"/>
        </w:rPr>
        <w:t xml:space="preserve">nitrogen-filled </w:t>
      </w:r>
      <w:r w:rsidR="00DF74C9">
        <w:rPr>
          <w:rStyle w:val="RSCB02ArticleTextChar"/>
          <w:b w:val="0"/>
        </w:rPr>
        <w:t xml:space="preserve">glovebox. </w:t>
      </w:r>
      <w:r>
        <w:rPr>
          <w:rStyle w:val="RSCB02ArticleTextChar"/>
          <w:b w:val="0"/>
        </w:rPr>
        <w:t xml:space="preserve">The films were made by spin coating the solution at 1500 rpm for 40s. </w:t>
      </w:r>
      <w:r w:rsidR="00DF74C9">
        <w:rPr>
          <w:rStyle w:val="RSCB02ArticleTextChar"/>
          <w:b w:val="0"/>
        </w:rPr>
        <w:t>The thermal annealing was conducted using a hot plate setting at 120</w:t>
      </w:r>
      <w:r w:rsidR="00EA7BB2">
        <w:rPr>
          <w:rStyle w:val="RSCB02ArticleTextChar"/>
          <w:b w:val="0"/>
        </w:rPr>
        <w:t xml:space="preserve"> </w:t>
      </w:r>
      <w:r w:rsidR="00DF74C9">
        <w:rPr>
          <w:rStyle w:val="RSCB02ArticleTextChar"/>
          <w:rFonts w:cstheme="minorHAnsi"/>
          <w:b w:val="0"/>
        </w:rPr>
        <w:t>°</w:t>
      </w:r>
      <w:r w:rsidR="00DF74C9">
        <w:rPr>
          <w:rStyle w:val="RSCB02ArticleTextChar"/>
          <w:b w:val="0"/>
        </w:rPr>
        <w:t>C for 10 minutes. Solvent vapo</w:t>
      </w:r>
      <w:r w:rsidR="00112392">
        <w:rPr>
          <w:rStyle w:val="RSCB02ArticleTextChar"/>
          <w:b w:val="0"/>
        </w:rPr>
        <w:t>u</w:t>
      </w:r>
      <w:r w:rsidR="00DF74C9">
        <w:rPr>
          <w:rStyle w:val="RSCB02ArticleTextChar"/>
          <w:b w:val="0"/>
        </w:rPr>
        <w:t xml:space="preserve">r annealing was performed using the </w:t>
      </w:r>
      <w:r w:rsidR="00DF74C9">
        <w:rPr>
          <w:rStyle w:val="RSCB02ArticleTextChar"/>
          <w:b w:val="0"/>
        </w:rPr>
        <w:t>following procedure: first drop ~200</w:t>
      </w:r>
      <w:r w:rsidR="00EA7BB2">
        <w:rPr>
          <w:rStyle w:val="RSCB02ArticleTextChar"/>
          <w:b w:val="0"/>
        </w:rPr>
        <w:t xml:space="preserve"> </w:t>
      </w:r>
      <w:r w:rsidR="00DF74C9">
        <w:rPr>
          <w:rStyle w:val="RSCB02ArticleTextChar"/>
          <w:rFonts w:cstheme="minorHAnsi"/>
          <w:b w:val="0"/>
        </w:rPr>
        <w:t>μ</w:t>
      </w:r>
      <w:r w:rsidR="00DF74C9">
        <w:rPr>
          <w:rStyle w:val="RSCB02ArticleTextChar"/>
          <w:b w:val="0"/>
        </w:rPr>
        <w:t xml:space="preserve">l </w:t>
      </w:r>
      <w:r w:rsidR="00EA7BB2">
        <w:rPr>
          <w:rStyle w:val="RSCB02ArticleTextChar"/>
          <w:b w:val="0"/>
        </w:rPr>
        <w:t>t</w:t>
      </w:r>
      <w:r w:rsidR="00EA7BB2" w:rsidRPr="0078471A">
        <w:rPr>
          <w:rStyle w:val="RSCB02ArticleTextChar"/>
          <w:b w:val="0"/>
        </w:rPr>
        <w:t xml:space="preserve">etrahydrofuran </w:t>
      </w:r>
      <w:r w:rsidR="00DF74C9">
        <w:rPr>
          <w:rStyle w:val="RSCB02ArticleTextChar"/>
          <w:b w:val="0"/>
        </w:rPr>
        <w:t>/</w:t>
      </w:r>
      <w:r w:rsidR="00EA7BB2">
        <w:rPr>
          <w:rStyle w:val="RSCB02ArticleTextChar"/>
          <w:b w:val="0"/>
        </w:rPr>
        <w:t xml:space="preserve">chloroform </w:t>
      </w:r>
      <w:r w:rsidR="00DF74C9">
        <w:rPr>
          <w:rStyle w:val="RSCB02ArticleTextChar"/>
          <w:b w:val="0"/>
        </w:rPr>
        <w:t xml:space="preserve">into a petri-dish; then put the samples onto a platform surrounded by </w:t>
      </w:r>
      <w:r w:rsidR="00DF77D2">
        <w:rPr>
          <w:rStyle w:val="RSCB02ArticleTextChar"/>
          <w:b w:val="0"/>
        </w:rPr>
        <w:t xml:space="preserve">the </w:t>
      </w:r>
      <w:r w:rsidR="00DF74C9">
        <w:rPr>
          <w:rStyle w:val="RSCB02ArticleTextChar"/>
          <w:b w:val="0"/>
        </w:rPr>
        <w:t xml:space="preserve">solvent; </w:t>
      </w:r>
      <w:r w:rsidR="00DF77D2" w:rsidRPr="00DF77D2">
        <w:rPr>
          <w:rStyle w:val="RSCB02ArticleTextChar"/>
          <w:b w:val="0"/>
        </w:rPr>
        <w:t xml:space="preserve">finally, </w:t>
      </w:r>
      <w:r w:rsidR="00DF74C9">
        <w:rPr>
          <w:rStyle w:val="RSCB02ArticleTextChar"/>
          <w:b w:val="0"/>
        </w:rPr>
        <w:t>close the lid and keep the samples inside the solvent atmosphere for 30</w:t>
      </w:r>
      <w:r w:rsidR="00F91370">
        <w:rPr>
          <w:rStyle w:val="RSCB02ArticleTextChar"/>
          <w:b w:val="0"/>
        </w:rPr>
        <w:t xml:space="preserve"> </w:t>
      </w:r>
      <w:r w:rsidR="00DF74C9">
        <w:rPr>
          <w:rStyle w:val="RSCB02ArticleTextChar"/>
          <w:b w:val="0"/>
        </w:rPr>
        <w:t>s</w:t>
      </w:r>
      <w:r w:rsidR="00F91370">
        <w:rPr>
          <w:rStyle w:val="RSCB02ArticleTextChar"/>
          <w:b w:val="0"/>
        </w:rPr>
        <w:t>econds</w:t>
      </w:r>
      <w:r w:rsidR="00DF74C9">
        <w:rPr>
          <w:rStyle w:val="RSCB02ArticleTextChar"/>
          <w:b w:val="0"/>
        </w:rPr>
        <w:t xml:space="preserve">. </w:t>
      </w:r>
    </w:p>
    <w:p w:rsidR="00DF74C9" w:rsidRPr="00A51A08" w:rsidRDefault="00EA7BB2" w:rsidP="00525649">
      <w:pPr>
        <w:pStyle w:val="RSCB08CHeadingIn-line"/>
        <w:spacing w:after="120" w:line="240" w:lineRule="auto"/>
        <w:rPr>
          <w:rStyle w:val="RSCB02ArticleTextChar"/>
        </w:rPr>
      </w:pPr>
      <w:r w:rsidRPr="00A51A08">
        <w:t xml:space="preserve">Absorption, </w:t>
      </w:r>
      <w:r w:rsidR="00DF74C9" w:rsidRPr="00A51A08">
        <w:rPr>
          <w:rStyle w:val="RSCB02ArticleTextChar"/>
        </w:rPr>
        <w:t>Exciton diffusion and PL quenching measurements</w:t>
      </w:r>
    </w:p>
    <w:p w:rsidR="00FA2DA2" w:rsidRPr="00525649" w:rsidRDefault="00004DE2" w:rsidP="00525649">
      <w:pPr>
        <w:spacing w:after="120" w:line="240" w:lineRule="auto"/>
        <w:jc w:val="both"/>
        <w:rPr>
          <w:rStyle w:val="RSCB02ArticleTextChar"/>
        </w:rPr>
      </w:pPr>
      <w:r w:rsidRPr="00A51A08">
        <w:rPr>
          <w:rStyle w:val="RSCB02ArticleTextChar"/>
        </w:rPr>
        <w:t>A</w:t>
      </w:r>
      <w:r w:rsidR="00EA7BB2" w:rsidRPr="00A51A08">
        <w:rPr>
          <w:rStyle w:val="RSCB02ArticleTextChar"/>
        </w:rPr>
        <w:t>bsorption</w:t>
      </w:r>
      <w:r w:rsidRPr="00A51A08">
        <w:rPr>
          <w:rStyle w:val="RSCB02ArticleTextChar"/>
        </w:rPr>
        <w:t xml:space="preserve"> spectra </w:t>
      </w:r>
      <w:r w:rsidR="00EA7BB2" w:rsidRPr="00A51A08">
        <w:rPr>
          <w:rStyle w:val="RSCB02ArticleTextChar"/>
        </w:rPr>
        <w:t>w</w:t>
      </w:r>
      <w:r w:rsidRPr="00A51A08">
        <w:rPr>
          <w:rStyle w:val="RSCB02ArticleTextChar"/>
        </w:rPr>
        <w:t>ere</w:t>
      </w:r>
      <w:r w:rsidR="00EA7BB2" w:rsidRPr="00A51A08">
        <w:rPr>
          <w:rStyle w:val="RSCB02ArticleTextChar"/>
        </w:rPr>
        <w:t xml:space="preserve"> measured using a Cary 300 UV-visible spectrophotometer.</w:t>
      </w:r>
      <w:r w:rsidRPr="00A51A08">
        <w:rPr>
          <w:rStyle w:val="RSCB02ArticleTextChar"/>
        </w:rPr>
        <w:t xml:space="preserve"> </w:t>
      </w:r>
      <w:r w:rsidR="00DF74C9" w:rsidRPr="00A51A08">
        <w:rPr>
          <w:rStyle w:val="RSCB02ArticleTextChar"/>
        </w:rPr>
        <w:t xml:space="preserve">Time-resolved fluorescence was recorded using a Hamamatsu C10190 streak camera.  For exciton diffusion measurements, the films were excited by 200 fs laser pulses at </w:t>
      </w:r>
      <w:r w:rsidR="00DF77D2" w:rsidRPr="00A51A08">
        <w:rPr>
          <w:rStyle w:val="RSCB02ArticleTextChar"/>
        </w:rPr>
        <w:t>630</w:t>
      </w:r>
      <w:r w:rsidR="00DF74C9" w:rsidRPr="00A51A08">
        <w:rPr>
          <w:rStyle w:val="RSCB02ArticleTextChar"/>
        </w:rPr>
        <w:t xml:space="preserve"> nm with </w:t>
      </w:r>
      <w:r w:rsidR="00DF77D2" w:rsidRPr="00A51A08">
        <w:rPr>
          <w:rStyle w:val="RSCB02ArticleTextChar"/>
        </w:rPr>
        <w:t>50</w:t>
      </w:r>
      <w:r w:rsidR="00DF74C9" w:rsidRPr="00A51A08">
        <w:rPr>
          <w:rStyle w:val="RSCB02ArticleTextChar"/>
        </w:rPr>
        <w:t xml:space="preserve"> kHz repetition rate. The pulses were generated using an optical parametric amplifier pumped by a Pharos </w:t>
      </w:r>
      <w:bookmarkStart w:id="7" w:name="OLE_LINK9"/>
      <w:bookmarkStart w:id="8" w:name="OLE_LINK10"/>
      <w:r w:rsidR="00DF74C9" w:rsidRPr="00A51A08">
        <w:rPr>
          <w:rStyle w:val="RSCB02ArticleTextChar"/>
        </w:rPr>
        <w:t>regenerative amplifier</w:t>
      </w:r>
      <w:bookmarkEnd w:id="7"/>
      <w:bookmarkEnd w:id="8"/>
      <w:r w:rsidR="00252816" w:rsidRPr="00A51A08">
        <w:rPr>
          <w:rStyle w:val="RSCB02ArticleTextChar"/>
        </w:rPr>
        <w:t xml:space="preserve"> </w:t>
      </w:r>
      <w:r w:rsidR="00DF74C9" w:rsidRPr="00A51A08">
        <w:rPr>
          <w:rStyle w:val="RSCB02ArticleTextChar"/>
        </w:rPr>
        <w:t>from Light Conversion Ltd. For PL quenching measu</w:t>
      </w:r>
      <w:r w:rsidR="00980969" w:rsidRPr="00A51A08">
        <w:rPr>
          <w:rStyle w:val="RSCB02ArticleTextChar"/>
        </w:rPr>
        <w:t>rements in the blends the samples w</w:t>
      </w:r>
      <w:r w:rsidR="00DF74C9" w:rsidRPr="00A51A08">
        <w:rPr>
          <w:rStyle w:val="RSCB02ArticleTextChar"/>
        </w:rPr>
        <w:t xml:space="preserve">ere excited by 200 fs laser pulses at </w:t>
      </w:r>
      <w:r w:rsidR="00DF77D2" w:rsidRPr="00A51A08">
        <w:rPr>
          <w:rStyle w:val="RSCB02ArticleTextChar"/>
        </w:rPr>
        <w:t>645</w:t>
      </w:r>
      <w:r w:rsidR="00DF74C9" w:rsidRPr="00A51A08">
        <w:rPr>
          <w:rStyle w:val="RSCB02ArticleTextChar"/>
        </w:rPr>
        <w:t xml:space="preserve"> nm </w:t>
      </w:r>
      <w:r w:rsidR="00252816" w:rsidRPr="00A51A08">
        <w:rPr>
          <w:rStyle w:val="RSCB02ArticleTextChar"/>
        </w:rPr>
        <w:t>to avoid excitation of PC</w:t>
      </w:r>
      <w:r w:rsidR="00980969" w:rsidRPr="00A51A08">
        <w:rPr>
          <w:rStyle w:val="RSCB02ArticleTextChar"/>
          <w:vertAlign w:val="subscript"/>
        </w:rPr>
        <w:t>71</w:t>
      </w:r>
      <w:r w:rsidR="00252816" w:rsidRPr="00A51A08">
        <w:rPr>
          <w:rStyle w:val="RSCB02ArticleTextChar"/>
        </w:rPr>
        <w:t>BM</w:t>
      </w:r>
      <w:r w:rsidR="00DF74C9" w:rsidRPr="00A51A08">
        <w:rPr>
          <w:rStyle w:val="RSCB02ArticleTextChar"/>
        </w:rPr>
        <w:t>.</w:t>
      </w:r>
    </w:p>
    <w:p w:rsidR="002736F2" w:rsidRPr="00A51A08" w:rsidRDefault="002736F2" w:rsidP="00525649">
      <w:pPr>
        <w:spacing w:after="120" w:line="240" w:lineRule="auto"/>
        <w:jc w:val="both"/>
        <w:rPr>
          <w:rStyle w:val="RSCB02ArticleTextChar"/>
          <w:b/>
        </w:rPr>
      </w:pPr>
      <w:r w:rsidRPr="00A51A08">
        <w:rPr>
          <w:rStyle w:val="RSCB02ArticleTextChar"/>
          <w:b/>
        </w:rPr>
        <w:t>Grazing Incidence Wide Angle X-ray Spectroscopy</w:t>
      </w:r>
    </w:p>
    <w:p w:rsidR="008A49FF" w:rsidRPr="00A51A08" w:rsidRDefault="008A49FF" w:rsidP="00A51A08">
      <w:pPr>
        <w:pStyle w:val="TAMainText"/>
        <w:spacing w:after="120"/>
      </w:pPr>
      <w:r w:rsidRPr="00A51A08">
        <w:t xml:space="preserve">GIWAXS measurements were conducted at the SAXS/WAXS beamline of the Australian synchrotron. The substrates were silicon wafers that had been sonicated in acetone and isopropanol for </w:t>
      </w:r>
      <w:r w:rsidR="00A51A08" w:rsidRPr="00A51A08">
        <w:t xml:space="preserve">10 </w:t>
      </w:r>
      <w:r w:rsidRPr="00A51A08">
        <w:t xml:space="preserve">min each followed by </w:t>
      </w:r>
      <w:r w:rsidR="002736F2" w:rsidRPr="00A51A08">
        <w:t>3</w:t>
      </w:r>
      <w:r w:rsidRPr="00A51A08">
        <w:t xml:space="preserve"> min </w:t>
      </w:r>
      <w:r w:rsidR="00A51A08" w:rsidRPr="00A51A08">
        <w:t xml:space="preserve">oxygen </w:t>
      </w:r>
      <w:r w:rsidR="002736F2" w:rsidRPr="00A51A08">
        <w:t xml:space="preserve">plasma </w:t>
      </w:r>
      <w:r w:rsidR="00A51A08" w:rsidRPr="00A51A08">
        <w:t>for as-cast and thermally annealed films</w:t>
      </w:r>
      <w:r w:rsidRPr="00A51A08">
        <w:t xml:space="preserve">. </w:t>
      </w:r>
      <w:r w:rsidR="00A51A08" w:rsidRPr="00A51A08">
        <w:t xml:space="preserve">For solvent vapour annealing, substrates were sonicated in acetone and isopropanol for 30 min each followed by 15 min of UV/ozone treatment. </w:t>
      </w:r>
      <w:r w:rsidRPr="00A51A08">
        <w:t>The measurements were performed with an X-ray energy of 11 keV and a range of incident angles from Ω = 0.025−0.5 in 0.01-0.05 increments to allow signal optimization near the critical angle of the polymer film but below the critical angle of the substrate. Data from GIWAXS experiments were analyzed using a customized version of NIKA 2D</w:t>
      </w:r>
      <w:r w:rsidR="00ED2862" w:rsidRPr="00ED2862">
        <w:rPr>
          <w:noProof/>
          <w:vertAlign w:val="superscript"/>
        </w:rPr>
        <w:t>27</w:t>
      </w:r>
      <w:r w:rsidRPr="00A51A08">
        <w:t xml:space="preserve"> based in IgorPro.</w:t>
      </w:r>
      <w:r w:rsidRPr="00A51A08" w:rsidDel="006773E8">
        <w:t xml:space="preserve"> </w:t>
      </w:r>
    </w:p>
    <w:p w:rsidR="00A51A08" w:rsidRPr="00A51A08" w:rsidRDefault="00B350BA" w:rsidP="00A51A08">
      <w:pPr>
        <w:pStyle w:val="NormalWeb"/>
        <w:spacing w:before="0" w:beforeAutospacing="0" w:after="120" w:afterAutospacing="0"/>
        <w:jc w:val="both"/>
        <w:rPr>
          <w:rFonts w:asciiTheme="minorHAnsi" w:hAnsiTheme="minorHAnsi"/>
          <w:b/>
          <w:w w:val="108"/>
          <w:sz w:val="18"/>
          <w:szCs w:val="18"/>
        </w:rPr>
      </w:pPr>
      <w:r w:rsidRPr="00A51A08">
        <w:rPr>
          <w:rFonts w:asciiTheme="minorHAnsi" w:hAnsiTheme="minorHAnsi"/>
          <w:b/>
          <w:w w:val="108"/>
          <w:sz w:val="18"/>
          <w:szCs w:val="18"/>
        </w:rPr>
        <w:t>Crystallite size calculation</w:t>
      </w:r>
    </w:p>
    <w:p w:rsidR="00B350BA" w:rsidRPr="00A51A08" w:rsidRDefault="00B350BA" w:rsidP="00A51A08">
      <w:pPr>
        <w:pStyle w:val="NormalWeb"/>
        <w:spacing w:before="0" w:beforeAutospacing="0" w:after="120" w:afterAutospacing="0"/>
        <w:jc w:val="both"/>
        <w:rPr>
          <w:rFonts w:asciiTheme="minorHAnsi" w:hAnsiTheme="minorHAnsi"/>
          <w:color w:val="000000"/>
          <w:sz w:val="18"/>
          <w:szCs w:val="18"/>
        </w:rPr>
      </w:pPr>
      <w:r w:rsidRPr="00A51A08">
        <w:rPr>
          <w:rFonts w:asciiTheme="minorHAnsi" w:hAnsiTheme="minorHAnsi"/>
          <w:color w:val="000000"/>
          <w:sz w:val="18"/>
          <w:szCs w:val="18"/>
        </w:rPr>
        <w:t>To calculate the average crystallite size, we fit each (h00) peak (e.g., </w:t>
      </w:r>
      <w:r w:rsidRPr="00A51A08">
        <w:rPr>
          <w:rFonts w:asciiTheme="minorHAnsi" w:hAnsiTheme="minorHAnsi"/>
          <w:b/>
          <w:bCs/>
          <w:color w:val="000000"/>
          <w:sz w:val="18"/>
          <w:szCs w:val="18"/>
        </w:rPr>
        <w:t>Figure S2c</w:t>
      </w:r>
      <w:r w:rsidRPr="00A51A08">
        <w:rPr>
          <w:rFonts w:asciiTheme="minorHAnsi" w:hAnsiTheme="minorHAnsi"/>
          <w:color w:val="000000"/>
          <w:sz w:val="18"/>
          <w:szCs w:val="18"/>
        </w:rPr>
        <w:t>) to a Gaussian function. We then fit the full width half max (fwhm) of each peak as a function of </w:t>
      </w:r>
      <w:r w:rsidRPr="00A51A08">
        <w:rPr>
          <w:rFonts w:asciiTheme="minorHAnsi" w:hAnsiTheme="minorHAnsi"/>
          <w:i/>
          <w:iCs/>
          <w:color w:val="000000"/>
          <w:sz w:val="18"/>
          <w:szCs w:val="18"/>
        </w:rPr>
        <w:t>h</w:t>
      </w:r>
      <w:r w:rsidRPr="00A51A08">
        <w:rPr>
          <w:rFonts w:asciiTheme="minorHAnsi" w:hAnsiTheme="minorHAnsi"/>
          <w:color w:val="000000"/>
          <w:sz w:val="18"/>
          <w:szCs w:val="18"/>
        </w:rPr>
        <w:t>(order of diffraction) squared using a linear fit. The slope of such a fit is related to the non- uniform strain of the crystallite, while the intercept is inversely proportional to the average crystallite size according to:</w:t>
      </w:r>
    </w:p>
    <w:p w:rsidR="00B350BA" w:rsidRPr="00A51A08" w:rsidRDefault="00B350BA" w:rsidP="00A51A08">
      <w:pPr>
        <w:pStyle w:val="NormalWeb"/>
        <w:spacing w:before="0" w:beforeAutospacing="0" w:after="120" w:afterAutospacing="0"/>
        <w:jc w:val="both"/>
        <w:rPr>
          <w:rFonts w:asciiTheme="minorHAnsi" w:hAnsiTheme="minorHAnsi"/>
          <w:color w:val="000000"/>
          <w:sz w:val="18"/>
          <w:szCs w:val="18"/>
        </w:rPr>
      </w:pPr>
      <w:r w:rsidRPr="00A51A08">
        <w:rPr>
          <w:rFonts w:asciiTheme="minorHAnsi" w:hAnsiTheme="minorHAnsi"/>
          <w:i/>
          <w:iCs/>
          <w:color w:val="000000"/>
          <w:sz w:val="18"/>
          <w:szCs w:val="18"/>
        </w:rPr>
        <w:t>L</w:t>
      </w:r>
      <w:r w:rsidRPr="00A51A08">
        <w:rPr>
          <w:rFonts w:asciiTheme="minorHAnsi" w:hAnsiTheme="minorHAnsi"/>
          <w:i/>
          <w:iCs/>
          <w:color w:val="000000"/>
          <w:position w:val="-6"/>
          <w:sz w:val="18"/>
          <w:szCs w:val="18"/>
        </w:rPr>
        <w:t>c </w:t>
      </w:r>
      <w:r w:rsidRPr="00A51A08">
        <w:rPr>
          <w:rFonts w:asciiTheme="minorHAnsi" w:hAnsiTheme="minorHAnsi"/>
          <w:color w:val="000000"/>
          <w:sz w:val="18"/>
          <w:szCs w:val="18"/>
        </w:rPr>
        <w:t>=2 PiK/b</w:t>
      </w:r>
    </w:p>
    <w:p w:rsidR="00B350BA" w:rsidRPr="00A51A08" w:rsidRDefault="00B350BA" w:rsidP="00A51A08">
      <w:pPr>
        <w:pStyle w:val="NormalWeb"/>
        <w:spacing w:before="0" w:beforeAutospacing="0" w:after="120" w:afterAutospacing="0"/>
        <w:jc w:val="both"/>
        <w:rPr>
          <w:rFonts w:asciiTheme="minorHAnsi" w:hAnsiTheme="minorHAnsi"/>
          <w:color w:val="000000"/>
          <w:sz w:val="18"/>
          <w:szCs w:val="18"/>
        </w:rPr>
      </w:pPr>
      <w:r w:rsidRPr="00A51A08">
        <w:rPr>
          <w:rFonts w:asciiTheme="minorHAnsi" w:hAnsiTheme="minorHAnsi"/>
          <w:color w:val="000000"/>
          <w:sz w:val="18"/>
          <w:szCs w:val="18"/>
        </w:rPr>
        <w:t>Here </w:t>
      </w:r>
      <w:r w:rsidRPr="00A51A08">
        <w:rPr>
          <w:rFonts w:asciiTheme="minorHAnsi" w:hAnsiTheme="minorHAnsi"/>
          <w:i/>
          <w:iCs/>
          <w:color w:val="000000"/>
          <w:sz w:val="18"/>
          <w:szCs w:val="18"/>
        </w:rPr>
        <w:t>L</w:t>
      </w:r>
      <w:r w:rsidRPr="00A51A08">
        <w:rPr>
          <w:rFonts w:asciiTheme="minorHAnsi" w:hAnsiTheme="minorHAnsi"/>
          <w:color w:val="000000"/>
          <w:position w:val="-2"/>
          <w:sz w:val="18"/>
          <w:szCs w:val="18"/>
        </w:rPr>
        <w:t>c </w:t>
      </w:r>
      <w:r w:rsidRPr="00A51A08">
        <w:rPr>
          <w:rFonts w:asciiTheme="minorHAnsi" w:hAnsiTheme="minorHAnsi"/>
          <w:color w:val="000000"/>
          <w:sz w:val="18"/>
          <w:szCs w:val="18"/>
        </w:rPr>
        <w:t>is the crystallite size, </w:t>
      </w:r>
      <w:r w:rsidRPr="00A51A08">
        <w:rPr>
          <w:rFonts w:asciiTheme="minorHAnsi" w:hAnsiTheme="minorHAnsi"/>
          <w:i/>
          <w:iCs/>
          <w:color w:val="000000"/>
          <w:sz w:val="18"/>
          <w:szCs w:val="18"/>
        </w:rPr>
        <w:t>K </w:t>
      </w:r>
      <w:r w:rsidRPr="00A51A08">
        <w:rPr>
          <w:rFonts w:asciiTheme="minorHAnsi" w:hAnsiTheme="minorHAnsi"/>
          <w:color w:val="000000"/>
          <w:sz w:val="18"/>
          <w:szCs w:val="18"/>
        </w:rPr>
        <w:t>is a constant and assumed here to be ~ 1, and </w:t>
      </w:r>
      <w:r w:rsidRPr="00A51A08">
        <w:rPr>
          <w:rFonts w:asciiTheme="minorHAnsi" w:hAnsiTheme="minorHAnsi"/>
          <w:i/>
          <w:iCs/>
          <w:color w:val="000000"/>
          <w:sz w:val="18"/>
          <w:szCs w:val="18"/>
        </w:rPr>
        <w:t>b </w:t>
      </w:r>
      <w:r w:rsidRPr="00A51A08">
        <w:rPr>
          <w:rFonts w:asciiTheme="minorHAnsi" w:hAnsiTheme="minorHAnsi"/>
          <w:color w:val="000000"/>
          <w:sz w:val="18"/>
          <w:szCs w:val="18"/>
        </w:rPr>
        <w:t>is the intercept extracted from the linear fit described above. </w:t>
      </w:r>
    </w:p>
    <w:p w:rsidR="00E61949" w:rsidRPr="00A61D3E" w:rsidRDefault="00180ABE" w:rsidP="00AF4737">
      <w:pPr>
        <w:pStyle w:val="RSCB04AHeadingSection"/>
      </w:pPr>
      <w:r w:rsidRPr="00A61D3E">
        <w:t>Conclusions</w:t>
      </w:r>
    </w:p>
    <w:p w:rsidR="00DF77D2" w:rsidRPr="00071908" w:rsidRDefault="00DF74C9" w:rsidP="00DF74C9">
      <w:pPr>
        <w:pStyle w:val="RSCB04AHeadingSection"/>
        <w:spacing w:before="120" w:after="120"/>
        <w:jc w:val="both"/>
        <w:rPr>
          <w:b w:val="0"/>
          <w:sz w:val="18"/>
          <w:szCs w:val="18"/>
        </w:rPr>
      </w:pPr>
      <w:r w:rsidRPr="00071908">
        <w:rPr>
          <w:b w:val="0"/>
          <w:sz w:val="18"/>
          <w:szCs w:val="18"/>
        </w:rPr>
        <w:t xml:space="preserve">We have shown that processing can enhance exciton diffusion, crystallinity and domain size. We observed more than 4 times enhancement in </w:t>
      </w:r>
      <w:r w:rsidR="00F36C1A" w:rsidRPr="00071908">
        <w:rPr>
          <w:b w:val="0"/>
          <w:sz w:val="18"/>
          <w:szCs w:val="18"/>
        </w:rPr>
        <w:t>exciton diffusion coefficient</w:t>
      </w:r>
      <w:r w:rsidRPr="00071908">
        <w:rPr>
          <w:b w:val="0"/>
          <w:sz w:val="18"/>
          <w:szCs w:val="18"/>
        </w:rPr>
        <w:t xml:space="preserve"> and almost doubling of </w:t>
      </w:r>
      <w:r w:rsidR="00F36C1A" w:rsidRPr="00071908">
        <w:rPr>
          <w:b w:val="0"/>
          <w:sz w:val="18"/>
          <w:szCs w:val="18"/>
        </w:rPr>
        <w:t>exciton diffusion</w:t>
      </w:r>
      <w:r w:rsidR="00F36C1A" w:rsidRPr="00071908" w:rsidDel="00F36C1A">
        <w:rPr>
          <w:b w:val="0"/>
          <w:sz w:val="18"/>
          <w:szCs w:val="18"/>
        </w:rPr>
        <w:t xml:space="preserve"> </w:t>
      </w:r>
      <w:r w:rsidR="00F36C1A" w:rsidRPr="00071908">
        <w:rPr>
          <w:b w:val="0"/>
          <w:sz w:val="18"/>
          <w:szCs w:val="18"/>
        </w:rPr>
        <w:t xml:space="preserve">length </w:t>
      </w:r>
      <w:r w:rsidRPr="00071908">
        <w:rPr>
          <w:b w:val="0"/>
          <w:sz w:val="18"/>
          <w:szCs w:val="18"/>
        </w:rPr>
        <w:t>after annealing</w:t>
      </w:r>
      <w:r w:rsidR="00F36C1A" w:rsidRPr="00071908">
        <w:rPr>
          <w:b w:val="0"/>
          <w:sz w:val="18"/>
          <w:szCs w:val="18"/>
        </w:rPr>
        <w:t xml:space="preserve"> to obtain 3D exciton diffusion lengths of up to 43 nm.</w:t>
      </w:r>
      <w:r w:rsidRPr="00071908">
        <w:rPr>
          <w:b w:val="0"/>
          <w:sz w:val="18"/>
          <w:szCs w:val="18"/>
        </w:rPr>
        <w:t xml:space="preserve"> </w:t>
      </w:r>
      <w:r w:rsidR="00F36C1A" w:rsidRPr="00071908">
        <w:rPr>
          <w:b w:val="0"/>
          <w:sz w:val="18"/>
          <w:szCs w:val="18"/>
        </w:rPr>
        <w:t>We also</w:t>
      </w:r>
      <w:r w:rsidRPr="00071908">
        <w:rPr>
          <w:b w:val="0"/>
          <w:sz w:val="18"/>
          <w:szCs w:val="18"/>
        </w:rPr>
        <w:t xml:space="preserve"> found that annealing increases the domain size of </w:t>
      </w:r>
      <w:r w:rsidR="00DF77D2" w:rsidRPr="00071908">
        <w:rPr>
          <w:b w:val="0"/>
          <w:sz w:val="18"/>
          <w:szCs w:val="18"/>
        </w:rPr>
        <w:t xml:space="preserve">the </w:t>
      </w:r>
      <w:r w:rsidR="00AC33F1" w:rsidRPr="00071908">
        <w:rPr>
          <w:b w:val="0"/>
          <w:sz w:val="18"/>
          <w:szCs w:val="18"/>
        </w:rPr>
        <w:t xml:space="preserve">donor in the blend.  </w:t>
      </w:r>
      <w:r w:rsidR="006E791B" w:rsidRPr="00071908">
        <w:rPr>
          <w:b w:val="0"/>
          <w:sz w:val="18"/>
          <w:szCs w:val="18"/>
        </w:rPr>
        <w:t>Because the increase in domain size is accompanied by an increase in exciton diffusion, charge generation remains efficient (&gt; 80%) even for large domains (60 nm).</w:t>
      </w:r>
    </w:p>
    <w:p w:rsidR="00C9557D" w:rsidRDefault="00C9557D" w:rsidP="00C9557D">
      <w:pPr>
        <w:pStyle w:val="RSCB04AHeadingSection"/>
      </w:pPr>
      <w:r>
        <w:t>Conflict</w:t>
      </w:r>
      <w:r w:rsidR="00F05C18">
        <w:t>s</w:t>
      </w:r>
      <w:r>
        <w:t xml:space="preserve"> of interest</w:t>
      </w:r>
    </w:p>
    <w:p w:rsidR="00A05364" w:rsidRPr="00A05364" w:rsidRDefault="00DF74C9" w:rsidP="00A05364">
      <w:pPr>
        <w:rPr>
          <w:rFonts w:cs="Times New Roman"/>
          <w:w w:val="108"/>
          <w:sz w:val="18"/>
          <w:szCs w:val="18"/>
        </w:rPr>
      </w:pPr>
      <w:r>
        <w:rPr>
          <w:rFonts w:cs="Times New Roman"/>
          <w:w w:val="108"/>
          <w:sz w:val="18"/>
          <w:szCs w:val="18"/>
        </w:rPr>
        <w:t xml:space="preserve"> </w:t>
      </w:r>
      <w:r w:rsidR="00A05364" w:rsidRPr="00A05364">
        <w:rPr>
          <w:rFonts w:cs="Times New Roman"/>
          <w:w w:val="108"/>
          <w:sz w:val="18"/>
          <w:szCs w:val="18"/>
        </w:rPr>
        <w:t>Th</w:t>
      </w:r>
      <w:r>
        <w:rPr>
          <w:rFonts w:cs="Times New Roman"/>
          <w:w w:val="108"/>
          <w:sz w:val="18"/>
          <w:szCs w:val="18"/>
        </w:rPr>
        <w:t>ere are no conflicts to declare</w:t>
      </w:r>
      <w:r w:rsidR="00A05364" w:rsidRPr="00A05364">
        <w:rPr>
          <w:rFonts w:cs="Times New Roman"/>
          <w:w w:val="108"/>
          <w:sz w:val="18"/>
          <w:szCs w:val="18"/>
        </w:rPr>
        <w:t>.</w:t>
      </w:r>
    </w:p>
    <w:p w:rsidR="00FA2DA2" w:rsidRDefault="00FA2DA2" w:rsidP="00FA2DA2">
      <w:pPr>
        <w:pStyle w:val="RSCB04AHeadingSection"/>
      </w:pPr>
      <w:r>
        <w:lastRenderedPageBreak/>
        <w:t>Acknowledgements</w:t>
      </w:r>
    </w:p>
    <w:p w:rsidR="0061067D" w:rsidRDefault="0061067D" w:rsidP="0061067D">
      <w:pPr>
        <w:pStyle w:val="TESupportingInformation"/>
        <w:spacing w:after="0" w:line="264" w:lineRule="auto"/>
        <w:ind w:firstLine="0"/>
        <w:rPr>
          <w:rFonts w:asciiTheme="minorHAnsi" w:hAnsiTheme="minorHAnsi"/>
          <w:sz w:val="18"/>
          <w:szCs w:val="18"/>
        </w:rPr>
      </w:pPr>
      <w:r w:rsidRPr="00102A39">
        <w:rPr>
          <w:rFonts w:asciiTheme="minorHAnsi" w:hAnsiTheme="minorHAnsi"/>
          <w:sz w:val="18"/>
          <w:szCs w:val="18"/>
        </w:rPr>
        <w:t xml:space="preserve">We acknowledge support from the European Research Council (grant 321305). We are grateful to EPSRC for equipment grant (EP/L017008/1) and for support of OB (EP/M508214/1). </w:t>
      </w:r>
    </w:p>
    <w:p w:rsidR="0061067D" w:rsidRDefault="0061067D" w:rsidP="0061067D">
      <w:pPr>
        <w:pStyle w:val="TESupportingInformation"/>
        <w:spacing w:after="0" w:line="264" w:lineRule="auto"/>
        <w:ind w:firstLine="0"/>
        <w:rPr>
          <w:rFonts w:asciiTheme="minorHAnsi" w:hAnsiTheme="minorHAnsi" w:cstheme="minorHAnsi"/>
          <w:sz w:val="18"/>
          <w:szCs w:val="18"/>
        </w:rPr>
      </w:pPr>
      <w:r w:rsidRPr="0061067D">
        <w:rPr>
          <w:rFonts w:asciiTheme="minorHAnsi" w:hAnsiTheme="minorHAnsi"/>
          <w:sz w:val="18"/>
          <w:szCs w:val="18"/>
        </w:rPr>
        <w:t xml:space="preserve">This work was made possible by support from the Australian Renewable Energy Agency which funds the project grants within the Australian Centre for Advanced Photovoltaics. Responsibility for the views, information or advice expressed herein is not accepted by the Australian Government. </w:t>
      </w:r>
      <w:r w:rsidRPr="0061067D">
        <w:rPr>
          <w:rFonts w:asciiTheme="minorHAnsi" w:hAnsiTheme="minorHAnsi" w:cstheme="minorHAnsi"/>
          <w:sz w:val="18"/>
          <w:szCs w:val="18"/>
        </w:rPr>
        <w:t xml:space="preserve">We acknowledge the SAXS/WAXS beamline at the Australian Synchrotron. </w:t>
      </w:r>
    </w:p>
    <w:p w:rsidR="000C72D5" w:rsidRPr="000C72D5" w:rsidRDefault="000C72D5" w:rsidP="000C72D5">
      <w:pPr>
        <w:rPr>
          <w:lang w:val="en-US"/>
        </w:rPr>
      </w:pPr>
    </w:p>
    <w:p w:rsidR="0061067D" w:rsidRDefault="000C72D5" w:rsidP="0061067D">
      <w:pPr>
        <w:pStyle w:val="TESupportingInformation"/>
        <w:spacing w:after="0" w:line="264" w:lineRule="auto"/>
        <w:ind w:firstLine="0"/>
        <w:rPr>
          <w:rFonts w:asciiTheme="minorHAnsi" w:hAnsiTheme="minorHAnsi" w:cstheme="minorHAnsi"/>
          <w:sz w:val="18"/>
          <w:szCs w:val="18"/>
        </w:rPr>
      </w:pPr>
      <w:r w:rsidRPr="000C72D5">
        <w:rPr>
          <w:rFonts w:asciiTheme="minorHAnsi" w:hAnsiTheme="minorHAnsi" w:cstheme="minorHAnsi"/>
          <w:sz w:val="18"/>
          <w:szCs w:val="18"/>
        </w:rPr>
        <w:t>The research data supporting this publication can be accessed at 10.17630/10fd3801-b282-42c9-b672-750f8d1bb635</w:t>
      </w:r>
    </w:p>
    <w:p w:rsidR="000C72D5" w:rsidRPr="000C72D5" w:rsidRDefault="000C72D5" w:rsidP="000C72D5">
      <w:pPr>
        <w:rPr>
          <w:lang w:val="en-US"/>
        </w:rPr>
      </w:pPr>
    </w:p>
    <w:p w:rsidR="002A6DB5" w:rsidRPr="000C72D5" w:rsidRDefault="00E61949" w:rsidP="000C72D5">
      <w:pPr>
        <w:pStyle w:val="RSCB04AHeadingSection"/>
      </w:pPr>
      <w:r w:rsidRPr="000C72D5">
        <w:t>Notes and references</w:t>
      </w:r>
    </w:p>
    <w:p w:rsidR="00ED2862" w:rsidRPr="00ED2862" w:rsidRDefault="00ED2862" w:rsidP="00ED2862">
      <w:pPr>
        <w:pStyle w:val="EndNoteBibliography"/>
        <w:spacing w:after="0"/>
        <w:ind w:left="720" w:hanging="720"/>
      </w:pPr>
      <w:r w:rsidRPr="00ED2862">
        <w:t>1.</w:t>
      </w:r>
      <w:r w:rsidRPr="00ED2862">
        <w:tab/>
        <w:t xml:space="preserve">S. Li, L. Ye, W. Zhao, S. Zhang, S. Mukherjee, H. Ade and J. Hou, </w:t>
      </w:r>
      <w:r w:rsidRPr="00ED2862">
        <w:rPr>
          <w:i/>
        </w:rPr>
        <w:t>Advanced Materials</w:t>
      </w:r>
      <w:r w:rsidRPr="00ED2862">
        <w:t xml:space="preserve">, 2016, </w:t>
      </w:r>
      <w:r w:rsidRPr="00ED2862">
        <w:rPr>
          <w:b/>
        </w:rPr>
        <w:t>28</w:t>
      </w:r>
      <w:r w:rsidRPr="00ED2862">
        <w:t>, 9423-9429.</w:t>
      </w:r>
    </w:p>
    <w:p w:rsidR="00ED2862" w:rsidRPr="00ED2862" w:rsidRDefault="00ED2862" w:rsidP="00ED2862">
      <w:pPr>
        <w:pStyle w:val="EndNoteBibliography"/>
        <w:spacing w:after="0"/>
        <w:ind w:left="720" w:hanging="720"/>
      </w:pPr>
      <w:r w:rsidRPr="00ED2862">
        <w:t>2.</w:t>
      </w:r>
      <w:r w:rsidRPr="00ED2862">
        <w:tab/>
        <w:t xml:space="preserve">Y. Lin, J. Wang, Z. G. Zhang, H. Bai, Y. Li, D. Zhu and X. Zhan, </w:t>
      </w:r>
      <w:r w:rsidRPr="00ED2862">
        <w:rPr>
          <w:i/>
        </w:rPr>
        <w:t>Advanced materials</w:t>
      </w:r>
      <w:r w:rsidRPr="00ED2862">
        <w:t xml:space="preserve">, 2015, </w:t>
      </w:r>
      <w:r w:rsidRPr="00ED2862">
        <w:rPr>
          <w:b/>
        </w:rPr>
        <w:t>27</w:t>
      </w:r>
      <w:r w:rsidRPr="00ED2862">
        <w:t>, 1170-1174.</w:t>
      </w:r>
    </w:p>
    <w:p w:rsidR="00ED2862" w:rsidRPr="00ED2862" w:rsidRDefault="00ED2862" w:rsidP="00ED2862">
      <w:pPr>
        <w:pStyle w:val="EndNoteBibliography"/>
        <w:spacing w:after="0"/>
        <w:ind w:left="720" w:hanging="720"/>
      </w:pPr>
      <w:r w:rsidRPr="00ED2862">
        <w:t>3.</w:t>
      </w:r>
      <w:r w:rsidRPr="00ED2862">
        <w:tab/>
        <w:t xml:space="preserve">H. Yao, Y. Cui, R. Yu, B. Gao, H. Zhang and J. Hou, </w:t>
      </w:r>
      <w:r w:rsidRPr="00ED2862">
        <w:rPr>
          <w:i/>
        </w:rPr>
        <w:t>Angewandte Chemie International Edition</w:t>
      </w:r>
      <w:r w:rsidRPr="00ED2862">
        <w:t xml:space="preserve">, 2017, </w:t>
      </w:r>
      <w:r w:rsidRPr="00ED2862">
        <w:rPr>
          <w:b/>
        </w:rPr>
        <w:t>56</w:t>
      </w:r>
      <w:r w:rsidRPr="00ED2862">
        <w:t>, 3045-3049.</w:t>
      </w:r>
    </w:p>
    <w:p w:rsidR="00ED2862" w:rsidRPr="00ED2862" w:rsidRDefault="00ED2862" w:rsidP="00ED2862">
      <w:pPr>
        <w:pStyle w:val="EndNoteBibliography"/>
        <w:spacing w:after="0"/>
        <w:ind w:left="720" w:hanging="720"/>
      </w:pPr>
      <w:r w:rsidRPr="00ED2862">
        <w:t>4.</w:t>
      </w:r>
      <w:r w:rsidRPr="00ED2862">
        <w:tab/>
        <w:t xml:space="preserve">S. Dai, F. Zhao, Q. Zhang, T.-K. Lau, T. Li, K. Liu, Q. Ling, C. Wang, X. Lu and W. You, </w:t>
      </w:r>
      <w:r w:rsidRPr="00ED2862">
        <w:rPr>
          <w:i/>
        </w:rPr>
        <w:t>J. Am. Chem. Soc.</w:t>
      </w:r>
      <w:r w:rsidRPr="00ED2862">
        <w:t xml:space="preserve">, 2017, </w:t>
      </w:r>
      <w:r w:rsidRPr="00ED2862">
        <w:rPr>
          <w:b/>
        </w:rPr>
        <w:t>139</w:t>
      </w:r>
      <w:r w:rsidRPr="00ED2862">
        <w:t>, 1336-1343.</w:t>
      </w:r>
    </w:p>
    <w:p w:rsidR="00ED2862" w:rsidRPr="00ED2862" w:rsidRDefault="00ED2862" w:rsidP="00ED2862">
      <w:pPr>
        <w:pStyle w:val="EndNoteBibliography"/>
        <w:spacing w:after="0"/>
        <w:ind w:left="720" w:hanging="720"/>
        <w:jc w:val="left"/>
        <w:rPr>
          <w:rFonts w:asciiTheme="minorHAnsi" w:hAnsiTheme="minorHAnsi"/>
          <w:szCs w:val="18"/>
        </w:rPr>
      </w:pPr>
      <w:r w:rsidRPr="00ED2862">
        <w:t>5.</w:t>
      </w:r>
      <w:r w:rsidRPr="00ED2862">
        <w:tab/>
      </w:r>
      <w:r w:rsidRPr="00ED2862">
        <w:rPr>
          <w:rFonts w:asciiTheme="minorHAnsi" w:hAnsiTheme="minorHAnsi"/>
          <w:szCs w:val="18"/>
        </w:rPr>
        <w:t xml:space="preserve">J. Yuan, Y. Zhang, L. Zhou, G. Zhang, H.-L. Yip, T.-K. Lau, X. Lu, C. Zhu, H. Peng,  P. A. Johnson, </w:t>
      </w:r>
      <w:bookmarkStart w:id="9" w:name="bau11"/>
      <w:r w:rsidRPr="00ED2862">
        <w:rPr>
          <w:rFonts w:asciiTheme="minorHAnsi" w:hAnsiTheme="minorHAnsi"/>
          <w:szCs w:val="18"/>
        </w:rPr>
        <w:fldChar w:fldCharType="begin"/>
      </w:r>
      <w:r w:rsidRPr="00ED2862">
        <w:rPr>
          <w:rFonts w:asciiTheme="minorHAnsi" w:hAnsiTheme="minorHAnsi"/>
          <w:szCs w:val="18"/>
        </w:rPr>
        <w:instrText xml:space="preserve"> HYPERLINK "https://www.sciencedirect.com/science/article/pii/S2542435119300327" \l "!" </w:instrText>
      </w:r>
      <w:r w:rsidRPr="00ED2862">
        <w:rPr>
          <w:rFonts w:asciiTheme="minorHAnsi" w:hAnsiTheme="minorHAnsi"/>
          <w:szCs w:val="18"/>
        </w:rPr>
        <w:fldChar w:fldCharType="separate"/>
      </w:r>
      <w:r w:rsidRPr="00ED2862">
        <w:rPr>
          <w:rStyle w:val="text"/>
          <w:rFonts w:asciiTheme="minorHAnsi" w:hAnsiTheme="minorHAnsi" w:cs="Arial"/>
          <w:szCs w:val="18"/>
        </w:rPr>
        <w:t>M. Leclerc</w:t>
      </w:r>
      <w:r w:rsidRPr="00ED2862">
        <w:rPr>
          <w:rFonts w:asciiTheme="minorHAnsi" w:hAnsiTheme="minorHAnsi"/>
          <w:szCs w:val="18"/>
        </w:rPr>
        <w:fldChar w:fldCharType="end"/>
      </w:r>
      <w:bookmarkStart w:id="10" w:name="bau12"/>
      <w:bookmarkEnd w:id="9"/>
      <w:r w:rsidRPr="00ED2862">
        <w:rPr>
          <w:rFonts w:asciiTheme="minorHAnsi" w:hAnsiTheme="minorHAnsi"/>
          <w:szCs w:val="18"/>
        </w:rPr>
        <w:t xml:space="preserve">, </w:t>
      </w:r>
      <w:hyperlink r:id="rId33" w:anchor="!" w:history="1">
        <w:r w:rsidRPr="00ED2862">
          <w:rPr>
            <w:rStyle w:val="text"/>
            <w:rFonts w:asciiTheme="minorHAnsi" w:hAnsiTheme="minorHAnsi" w:cs="Arial"/>
            <w:szCs w:val="18"/>
          </w:rPr>
          <w:t>Y. Cao</w:t>
        </w:r>
      </w:hyperlink>
      <w:bookmarkStart w:id="11" w:name="bau13"/>
      <w:bookmarkEnd w:id="10"/>
      <w:r w:rsidRPr="00ED2862">
        <w:rPr>
          <w:rFonts w:asciiTheme="minorHAnsi" w:hAnsiTheme="minorHAnsi"/>
          <w:szCs w:val="18"/>
        </w:rPr>
        <w:t xml:space="preserve">, </w:t>
      </w:r>
      <w:hyperlink r:id="rId34" w:anchor="!" w:history="1">
        <w:r w:rsidRPr="00ED2862">
          <w:rPr>
            <w:rStyle w:val="text"/>
            <w:rFonts w:asciiTheme="minorHAnsi" w:hAnsiTheme="minorHAnsi" w:cs="Arial"/>
            <w:szCs w:val="18"/>
          </w:rPr>
          <w:t>J. Ulanski</w:t>
        </w:r>
      </w:hyperlink>
      <w:bookmarkStart w:id="12" w:name="bau14"/>
      <w:bookmarkEnd w:id="11"/>
      <w:r w:rsidRPr="00ED2862">
        <w:rPr>
          <w:rFonts w:asciiTheme="minorHAnsi" w:hAnsiTheme="minorHAnsi"/>
          <w:szCs w:val="18"/>
        </w:rPr>
        <w:t xml:space="preserve">, </w:t>
      </w:r>
      <w:hyperlink r:id="rId35" w:anchor="!" w:history="1">
        <w:r w:rsidRPr="00ED2862">
          <w:rPr>
            <w:rStyle w:val="text"/>
            <w:rFonts w:asciiTheme="minorHAnsi" w:hAnsiTheme="minorHAnsi" w:cs="Arial"/>
            <w:szCs w:val="18"/>
          </w:rPr>
          <w:t>Y. Li</w:t>
        </w:r>
      </w:hyperlink>
      <w:bookmarkStart w:id="13" w:name="bau15"/>
      <w:bookmarkEnd w:id="12"/>
      <w:r>
        <w:rPr>
          <w:rFonts w:asciiTheme="minorHAnsi" w:hAnsiTheme="minorHAnsi"/>
          <w:szCs w:val="18"/>
        </w:rPr>
        <w:t xml:space="preserve"> and</w:t>
      </w:r>
      <w:r w:rsidRPr="00ED2862">
        <w:rPr>
          <w:rFonts w:asciiTheme="minorHAnsi" w:hAnsiTheme="minorHAnsi"/>
          <w:szCs w:val="18"/>
        </w:rPr>
        <w:t xml:space="preserve"> </w:t>
      </w:r>
      <w:hyperlink r:id="rId36" w:anchor="!" w:history="1">
        <w:r w:rsidRPr="00ED2862">
          <w:rPr>
            <w:rStyle w:val="text"/>
            <w:rFonts w:asciiTheme="minorHAnsi" w:hAnsiTheme="minorHAnsi" w:cs="Arial"/>
            <w:szCs w:val="18"/>
          </w:rPr>
          <w:t>Y. Zou</w:t>
        </w:r>
      </w:hyperlink>
      <w:bookmarkEnd w:id="13"/>
      <w:r w:rsidRPr="00ED2862">
        <w:rPr>
          <w:rFonts w:asciiTheme="minorHAnsi" w:hAnsiTheme="minorHAnsi"/>
          <w:szCs w:val="18"/>
        </w:rPr>
        <w:t xml:space="preserve">, </w:t>
      </w:r>
      <w:r w:rsidRPr="00ED2862">
        <w:rPr>
          <w:rFonts w:asciiTheme="minorHAnsi" w:hAnsiTheme="minorHAnsi"/>
          <w:i/>
          <w:szCs w:val="18"/>
        </w:rPr>
        <w:t>Joule</w:t>
      </w:r>
      <w:r w:rsidRPr="00ED2862">
        <w:rPr>
          <w:rFonts w:asciiTheme="minorHAnsi" w:hAnsiTheme="minorHAnsi"/>
          <w:szCs w:val="18"/>
        </w:rPr>
        <w:t xml:space="preserve">, </w:t>
      </w:r>
      <w:r w:rsidR="004248BB">
        <w:rPr>
          <w:rFonts w:asciiTheme="minorHAnsi" w:hAnsiTheme="minorHAnsi"/>
          <w:szCs w:val="18"/>
        </w:rPr>
        <w:t>(in press)</w:t>
      </w:r>
      <w:r w:rsidRPr="00ED2862">
        <w:rPr>
          <w:rFonts w:asciiTheme="minorHAnsi" w:hAnsiTheme="minorHAnsi"/>
          <w:szCs w:val="18"/>
        </w:rPr>
        <w:t>.</w:t>
      </w:r>
    </w:p>
    <w:p w:rsidR="00ED2862" w:rsidRPr="00ED2862" w:rsidRDefault="00ED2862" w:rsidP="00ED2862">
      <w:pPr>
        <w:pStyle w:val="EndNoteBibliography"/>
        <w:spacing w:after="0"/>
        <w:ind w:left="720" w:hanging="720"/>
      </w:pPr>
      <w:r w:rsidRPr="00ED2862">
        <w:t>6.</w:t>
      </w:r>
      <w:r w:rsidRPr="00ED2862">
        <w:tab/>
        <w:t xml:space="preserve">G. J. Hedley, A. J. Ward, A. Alekseev, C. T. Howells, E. R. Martins, L. A. Serrano, G. Cooke, A. Ruseckas and I. D. Samuel, </w:t>
      </w:r>
      <w:r>
        <w:rPr>
          <w:i/>
        </w:rPr>
        <w:t xml:space="preserve">Nat. Commun., </w:t>
      </w:r>
      <w:r>
        <w:t xml:space="preserve">2013, </w:t>
      </w:r>
      <w:r>
        <w:rPr>
          <w:b/>
          <w:i/>
        </w:rPr>
        <w:t>4</w:t>
      </w:r>
      <w:r>
        <w:rPr>
          <w:i/>
        </w:rPr>
        <w:t>, 2867</w:t>
      </w:r>
      <w:r>
        <w:t>.</w:t>
      </w:r>
    </w:p>
    <w:p w:rsidR="00ED2862" w:rsidRDefault="00ED2862" w:rsidP="00ED2862">
      <w:pPr>
        <w:pStyle w:val="EndNoteBibliography"/>
        <w:spacing w:after="0"/>
        <w:ind w:left="720" w:hanging="720"/>
      </w:pPr>
      <w:r w:rsidRPr="00ED2862">
        <w:t>7.</w:t>
      </w:r>
      <w:r w:rsidRPr="00ED2862">
        <w:tab/>
        <w:t xml:space="preserve">G. J. Hedley, A. Ruseckas and I. D. Samuel, </w:t>
      </w:r>
      <w:r>
        <w:rPr>
          <w:i/>
        </w:rPr>
        <w:t xml:space="preserve">Chem. Rev., </w:t>
      </w:r>
      <w:r>
        <w:t xml:space="preserve">2017, </w:t>
      </w:r>
      <w:r>
        <w:rPr>
          <w:b/>
          <w:i/>
        </w:rPr>
        <w:t>117</w:t>
      </w:r>
      <w:r>
        <w:t>, 796-837</w:t>
      </w:r>
    </w:p>
    <w:p w:rsidR="00ED2862" w:rsidRPr="00ED2862" w:rsidRDefault="00ED2862" w:rsidP="00ED2862">
      <w:pPr>
        <w:pStyle w:val="EndNoteBibliography"/>
        <w:spacing w:after="0"/>
        <w:ind w:left="720" w:hanging="720"/>
      </w:pPr>
      <w:r w:rsidRPr="00ED2862">
        <w:t>8.</w:t>
      </w:r>
      <w:r w:rsidRPr="00ED2862">
        <w:tab/>
        <w:t xml:space="preserve">B. Walker, A. B. Tamayo, X. D. Dang, P. Zalar, J. H. Seo, A. Garcia, M. Tantiwiwat and T. Q. Nguyen, </w:t>
      </w:r>
      <w:r w:rsidRPr="00ED2862">
        <w:rPr>
          <w:i/>
        </w:rPr>
        <w:t>Adv</w:t>
      </w:r>
      <w:r>
        <w:rPr>
          <w:i/>
        </w:rPr>
        <w:t>.</w:t>
      </w:r>
      <w:r w:rsidRPr="00ED2862">
        <w:rPr>
          <w:i/>
        </w:rPr>
        <w:t xml:space="preserve"> Funct</w:t>
      </w:r>
      <w:r>
        <w:rPr>
          <w:i/>
        </w:rPr>
        <w:t xml:space="preserve">. </w:t>
      </w:r>
      <w:r w:rsidRPr="00ED2862">
        <w:rPr>
          <w:i/>
        </w:rPr>
        <w:t>Mater</w:t>
      </w:r>
      <w:r>
        <w:rPr>
          <w:i/>
        </w:rPr>
        <w:t>.</w:t>
      </w:r>
      <w:r w:rsidRPr="00ED2862">
        <w:t xml:space="preserve">, 2009, </w:t>
      </w:r>
      <w:r w:rsidRPr="00ED2862">
        <w:rPr>
          <w:b/>
        </w:rPr>
        <w:t>19</w:t>
      </w:r>
      <w:r w:rsidRPr="00ED2862">
        <w:t>, 3063-3069.</w:t>
      </w:r>
    </w:p>
    <w:p w:rsidR="00ED2862" w:rsidRPr="00ED2862" w:rsidRDefault="00ED2862" w:rsidP="00ED2862">
      <w:pPr>
        <w:pStyle w:val="EndNoteBibliography"/>
        <w:spacing w:after="0"/>
        <w:ind w:left="720" w:hanging="720"/>
      </w:pPr>
      <w:r w:rsidRPr="00ED2862">
        <w:t>9.</w:t>
      </w:r>
      <w:r w:rsidRPr="00ED2862">
        <w:tab/>
        <w:t xml:space="preserve">J. T. Rogers, K. Schmidt, M. F. Toney, E. J. Kramer and G. C. Bazan, </w:t>
      </w:r>
      <w:r w:rsidRPr="00ED2862">
        <w:rPr>
          <w:i/>
        </w:rPr>
        <w:t>Adv</w:t>
      </w:r>
      <w:r>
        <w:rPr>
          <w:i/>
        </w:rPr>
        <w:t>.</w:t>
      </w:r>
      <w:r w:rsidRPr="00ED2862">
        <w:rPr>
          <w:i/>
        </w:rPr>
        <w:t xml:space="preserve"> </w:t>
      </w:r>
      <w:r>
        <w:rPr>
          <w:i/>
        </w:rPr>
        <w:t>M</w:t>
      </w:r>
      <w:r w:rsidRPr="00ED2862">
        <w:rPr>
          <w:i/>
        </w:rPr>
        <w:t>ater</w:t>
      </w:r>
      <w:r>
        <w:rPr>
          <w:i/>
        </w:rPr>
        <w:t>.</w:t>
      </w:r>
      <w:r w:rsidRPr="00ED2862">
        <w:t xml:space="preserve">, 2011, </w:t>
      </w:r>
      <w:r w:rsidRPr="00ED2862">
        <w:rPr>
          <w:b/>
        </w:rPr>
        <w:t>23</w:t>
      </w:r>
      <w:r w:rsidRPr="00ED2862">
        <w:t>, 2284-2288.</w:t>
      </w:r>
    </w:p>
    <w:p w:rsidR="00ED2862" w:rsidRPr="00ED2862" w:rsidRDefault="00ED2862" w:rsidP="00ED2862">
      <w:pPr>
        <w:pStyle w:val="EndNoteBibliography"/>
        <w:spacing w:after="0"/>
        <w:ind w:left="720" w:hanging="720"/>
      </w:pPr>
      <w:r w:rsidRPr="00ED2862">
        <w:t>10.</w:t>
      </w:r>
      <w:r w:rsidRPr="00ED2862">
        <w:tab/>
        <w:t xml:space="preserve">Y. Sun, C. Cui, H. Wang and Y. Li, </w:t>
      </w:r>
      <w:r w:rsidRPr="00ED2862">
        <w:rPr>
          <w:i/>
        </w:rPr>
        <w:t>Adv</w:t>
      </w:r>
      <w:r>
        <w:rPr>
          <w:i/>
        </w:rPr>
        <w:t>.</w:t>
      </w:r>
      <w:r w:rsidRPr="00ED2862">
        <w:rPr>
          <w:i/>
        </w:rPr>
        <w:t xml:space="preserve"> Energy Mater</w:t>
      </w:r>
      <w:r>
        <w:rPr>
          <w:i/>
        </w:rPr>
        <w:t>.</w:t>
      </w:r>
      <w:r w:rsidRPr="00ED2862">
        <w:t xml:space="preserve">, 2011, </w:t>
      </w:r>
      <w:r w:rsidRPr="00ED2862">
        <w:rPr>
          <w:b/>
        </w:rPr>
        <w:t>1</w:t>
      </w:r>
      <w:r w:rsidRPr="00ED2862">
        <w:t>, 1058-1061.</w:t>
      </w:r>
    </w:p>
    <w:p w:rsidR="00ED2862" w:rsidRPr="00ED2862" w:rsidRDefault="00ED2862" w:rsidP="00ED2862">
      <w:pPr>
        <w:pStyle w:val="EndNoteBibliography"/>
        <w:spacing w:after="0"/>
        <w:ind w:left="720" w:hanging="720"/>
      </w:pPr>
      <w:r w:rsidRPr="0028138C">
        <w:rPr>
          <w:lang w:val="de-DE"/>
        </w:rPr>
        <w:t>11.</w:t>
      </w:r>
      <w:r w:rsidRPr="0028138C">
        <w:rPr>
          <w:lang w:val="de-DE"/>
        </w:rPr>
        <w:tab/>
        <w:t xml:space="preserve">M. Li, F. Liu, X. Wan, W. Ni, B. Kan, H. Feng, Q. Zhang, X. Yang, Y. Wang and Y. Zhang, </w:t>
      </w:r>
      <w:r w:rsidRPr="0028138C">
        <w:rPr>
          <w:i/>
          <w:lang w:val="de-DE"/>
        </w:rPr>
        <w:t xml:space="preserve">Adv. </w:t>
      </w:r>
      <w:r w:rsidRPr="00ED2862">
        <w:rPr>
          <w:i/>
        </w:rPr>
        <w:t>Mater</w:t>
      </w:r>
      <w:r>
        <w:rPr>
          <w:i/>
        </w:rPr>
        <w:t>.</w:t>
      </w:r>
      <w:r w:rsidRPr="00ED2862">
        <w:t xml:space="preserve">, 2015, </w:t>
      </w:r>
      <w:r w:rsidRPr="00ED2862">
        <w:rPr>
          <w:b/>
        </w:rPr>
        <w:t>27</w:t>
      </w:r>
      <w:r w:rsidRPr="00ED2862">
        <w:t>, 6296-6302.</w:t>
      </w:r>
    </w:p>
    <w:p w:rsidR="00ED2862" w:rsidRPr="00ED2862" w:rsidRDefault="00ED2862" w:rsidP="00ED2862">
      <w:pPr>
        <w:pStyle w:val="EndNoteBibliography"/>
        <w:spacing w:after="0"/>
        <w:ind w:left="720" w:hanging="720"/>
      </w:pPr>
      <w:r w:rsidRPr="00ED2862">
        <w:t>12.</w:t>
      </w:r>
      <w:r w:rsidRPr="00ED2862">
        <w:tab/>
        <w:t xml:space="preserve">Y. Tamai, H. Ohkita, H. Benten and S. Ito, </w:t>
      </w:r>
      <w:r w:rsidR="00BE42E0">
        <w:rPr>
          <w:i/>
        </w:rPr>
        <w:t>J. Phys. Chem</w:t>
      </w:r>
      <w:r>
        <w:rPr>
          <w:i/>
        </w:rPr>
        <w:t>. Lett.,</w:t>
      </w:r>
      <w:r w:rsidRPr="00ED2862">
        <w:rPr>
          <w:i/>
        </w:rPr>
        <w:t xml:space="preserve"> </w:t>
      </w:r>
      <w:r>
        <w:t xml:space="preserve">2015, </w:t>
      </w:r>
      <w:r w:rsidRPr="00ED2862">
        <w:rPr>
          <w:b/>
        </w:rPr>
        <w:t>6</w:t>
      </w:r>
      <w:r>
        <w:t>, 3417-3428</w:t>
      </w:r>
    </w:p>
    <w:p w:rsidR="00ED2862" w:rsidRPr="00ED2862" w:rsidRDefault="00ED2862" w:rsidP="00ED2862">
      <w:pPr>
        <w:pStyle w:val="EndNoteBibliography"/>
        <w:spacing w:after="0"/>
        <w:ind w:left="720" w:hanging="720"/>
      </w:pPr>
      <w:r w:rsidRPr="00ED2862">
        <w:t>13.</w:t>
      </w:r>
      <w:r w:rsidRPr="00ED2862">
        <w:tab/>
        <w:t xml:space="preserve">O. V. Mikhnenko, P. W. Blom and T.-Q. Nguyen, </w:t>
      </w:r>
      <w:r w:rsidR="00BE42E0">
        <w:rPr>
          <w:i/>
        </w:rPr>
        <w:t xml:space="preserve">Energy Environ. Sci., </w:t>
      </w:r>
      <w:r w:rsidR="00BE42E0">
        <w:t xml:space="preserve">2015, </w:t>
      </w:r>
      <w:r w:rsidR="00BE42E0">
        <w:rPr>
          <w:b/>
        </w:rPr>
        <w:t>8</w:t>
      </w:r>
      <w:r w:rsidR="00BE42E0">
        <w:t>, 1867-1888</w:t>
      </w:r>
      <w:r w:rsidRPr="00ED2862">
        <w:t>.</w:t>
      </w:r>
    </w:p>
    <w:p w:rsidR="00ED2862" w:rsidRPr="00ED2862" w:rsidRDefault="00ED2862" w:rsidP="00ED2862">
      <w:pPr>
        <w:pStyle w:val="EndNoteBibliography"/>
        <w:spacing w:after="0"/>
        <w:ind w:left="720" w:hanging="720"/>
      </w:pPr>
      <w:r w:rsidRPr="00ED2862">
        <w:t>14.</w:t>
      </w:r>
      <w:r w:rsidRPr="00ED2862">
        <w:tab/>
        <w:t xml:space="preserve">M. Chowdhury, M. T. Sajjad, V. Savikhin, N. Hergue, K. Sutija, S. Oosterhout, M. F. Toney, A. Ruseckas and I. D. Samuel, </w:t>
      </w:r>
      <w:r w:rsidR="00BE42E0">
        <w:rPr>
          <w:i/>
        </w:rPr>
        <w:t xml:space="preserve">Phys. Chem. Chem. Phys., </w:t>
      </w:r>
      <w:r w:rsidR="00BE42E0">
        <w:t xml:space="preserve">2017, </w:t>
      </w:r>
      <w:r w:rsidR="00BE42E0">
        <w:rPr>
          <w:b/>
        </w:rPr>
        <w:t>19</w:t>
      </w:r>
      <w:r w:rsidR="00BE42E0">
        <w:t>, 12441-12451</w:t>
      </w:r>
      <w:r w:rsidRPr="00ED2862">
        <w:t>.</w:t>
      </w:r>
    </w:p>
    <w:p w:rsidR="00ED2862" w:rsidRPr="00ED2862" w:rsidRDefault="00ED2862" w:rsidP="00ED2862">
      <w:pPr>
        <w:pStyle w:val="EndNoteBibliography"/>
        <w:spacing w:after="0"/>
        <w:ind w:left="720" w:hanging="720"/>
      </w:pPr>
      <w:r w:rsidRPr="00ED2862">
        <w:t>15.</w:t>
      </w:r>
      <w:r w:rsidRPr="00ED2862">
        <w:tab/>
        <w:t xml:space="preserve">M. T. Sajjad, O. Blaszczyk, L. K. Jagadamma, T. J. Roland, M. Chowdhury, A. Ruseckas and I. D. Samuel, </w:t>
      </w:r>
      <w:r w:rsidRPr="00ED2862">
        <w:rPr>
          <w:i/>
        </w:rPr>
        <w:t>J</w:t>
      </w:r>
      <w:r w:rsidR="00BE42E0">
        <w:rPr>
          <w:i/>
        </w:rPr>
        <w:t>.</w:t>
      </w:r>
      <w:r w:rsidRPr="00ED2862">
        <w:rPr>
          <w:i/>
        </w:rPr>
        <w:t xml:space="preserve"> Mater</w:t>
      </w:r>
      <w:r w:rsidR="00BE42E0">
        <w:rPr>
          <w:i/>
        </w:rPr>
        <w:t xml:space="preserve">. </w:t>
      </w:r>
      <w:r w:rsidRPr="00ED2862">
        <w:rPr>
          <w:i/>
        </w:rPr>
        <w:t>Chem</w:t>
      </w:r>
      <w:r w:rsidR="00BE42E0">
        <w:rPr>
          <w:i/>
        </w:rPr>
        <w:t>.</w:t>
      </w:r>
      <w:r w:rsidRPr="00ED2862">
        <w:rPr>
          <w:i/>
        </w:rPr>
        <w:t xml:space="preserve"> A</w:t>
      </w:r>
      <w:r w:rsidRPr="00ED2862">
        <w:t xml:space="preserve">, 2018, </w:t>
      </w:r>
      <w:r w:rsidRPr="00ED2862">
        <w:rPr>
          <w:b/>
        </w:rPr>
        <w:t>6</w:t>
      </w:r>
      <w:r w:rsidRPr="00ED2862">
        <w:t>, 9445-9450.</w:t>
      </w:r>
    </w:p>
    <w:p w:rsidR="00ED2862" w:rsidRPr="00ED2862" w:rsidRDefault="00ED2862" w:rsidP="00ED2862">
      <w:pPr>
        <w:pStyle w:val="EndNoteBibliography"/>
        <w:spacing w:after="0"/>
        <w:ind w:left="720" w:hanging="720"/>
      </w:pPr>
      <w:r w:rsidRPr="00ED2862">
        <w:t>16.</w:t>
      </w:r>
      <w:r w:rsidRPr="00ED2862">
        <w:tab/>
        <w:t xml:space="preserve">O. V. Mikhnenko, J. Lin, Y. Shu, J. E. Anthony, P. W. Blom, T.-Q. Nguyen and M. A. Loi, </w:t>
      </w:r>
      <w:r w:rsidRPr="00ED2862">
        <w:rPr>
          <w:i/>
        </w:rPr>
        <w:t>Phys. Chem. Chem. Phys.</w:t>
      </w:r>
      <w:r w:rsidRPr="00ED2862">
        <w:t xml:space="preserve">, 2012, </w:t>
      </w:r>
      <w:r w:rsidRPr="00ED2862">
        <w:rPr>
          <w:b/>
        </w:rPr>
        <w:t>14</w:t>
      </w:r>
      <w:r w:rsidRPr="00ED2862">
        <w:t>, 14196-14201.</w:t>
      </w:r>
    </w:p>
    <w:p w:rsidR="00ED2862" w:rsidRPr="00ED2862" w:rsidRDefault="00ED2862" w:rsidP="00ED2862">
      <w:pPr>
        <w:pStyle w:val="EndNoteBibliography"/>
        <w:spacing w:after="0"/>
        <w:ind w:left="720" w:hanging="720"/>
      </w:pPr>
      <w:r w:rsidRPr="00ED2862">
        <w:t>17.</w:t>
      </w:r>
      <w:r w:rsidRPr="00ED2862">
        <w:tab/>
        <w:t xml:space="preserve">P. B. Geraghty, C. Lee, J. Subbiah, W. W. Wong, J. L. Banal, M. A. Jameel, T. A. Smith and D. J. Jones, </w:t>
      </w:r>
      <w:r w:rsidRPr="00ED2862">
        <w:rPr>
          <w:i/>
        </w:rPr>
        <w:t>Beilstein journal of organic chemistry</w:t>
      </w:r>
      <w:r w:rsidRPr="00ED2862">
        <w:t xml:space="preserve">, 2016, </w:t>
      </w:r>
      <w:r w:rsidRPr="00ED2862">
        <w:rPr>
          <w:b/>
        </w:rPr>
        <w:t>12</w:t>
      </w:r>
      <w:r w:rsidRPr="00ED2862">
        <w:t>, 2298.</w:t>
      </w:r>
    </w:p>
    <w:p w:rsidR="00ED2862" w:rsidRPr="0028138C" w:rsidRDefault="00ED2862" w:rsidP="00ED2862">
      <w:pPr>
        <w:pStyle w:val="EndNoteBibliography"/>
        <w:spacing w:after="0"/>
        <w:ind w:left="720" w:hanging="720"/>
        <w:rPr>
          <w:lang w:val="de-DE"/>
        </w:rPr>
      </w:pPr>
      <w:r w:rsidRPr="0028138C">
        <w:rPr>
          <w:lang w:val="de-DE"/>
        </w:rPr>
        <w:t>18.</w:t>
      </w:r>
      <w:r w:rsidRPr="0028138C">
        <w:rPr>
          <w:lang w:val="de-DE"/>
        </w:rPr>
        <w:tab/>
        <w:t xml:space="preserve">X. Ma, F. Zhang, Q. An, Q. Sun, M. Zhang, J. Miao, Z. Hu and J. Zhang, </w:t>
      </w:r>
      <w:r w:rsidR="00BE42E0" w:rsidRPr="0028138C">
        <w:rPr>
          <w:i/>
          <w:lang w:val="de-DE"/>
        </w:rPr>
        <w:t>J. Mater. Chem. A</w:t>
      </w:r>
      <w:r w:rsidR="00BE42E0" w:rsidRPr="0028138C">
        <w:rPr>
          <w:lang w:val="de-DE"/>
        </w:rPr>
        <w:t xml:space="preserve">, </w:t>
      </w:r>
      <w:r w:rsidRPr="0028138C">
        <w:rPr>
          <w:lang w:val="de-DE"/>
        </w:rPr>
        <w:t xml:space="preserve">2017, </w:t>
      </w:r>
      <w:r w:rsidRPr="0028138C">
        <w:rPr>
          <w:b/>
          <w:lang w:val="de-DE"/>
        </w:rPr>
        <w:t>5</w:t>
      </w:r>
      <w:r w:rsidRPr="0028138C">
        <w:rPr>
          <w:lang w:val="de-DE"/>
        </w:rPr>
        <w:t>, 13145-13153.</w:t>
      </w:r>
    </w:p>
    <w:p w:rsidR="00ED2862" w:rsidRPr="00ED2862" w:rsidRDefault="00ED2862" w:rsidP="00ED2862">
      <w:pPr>
        <w:pStyle w:val="EndNoteBibliography"/>
        <w:spacing w:after="0"/>
        <w:ind w:left="720" w:hanging="720"/>
      </w:pPr>
      <w:r w:rsidRPr="0028138C">
        <w:rPr>
          <w:lang w:val="de-DE"/>
        </w:rPr>
        <w:t>19.</w:t>
      </w:r>
      <w:r w:rsidRPr="0028138C">
        <w:rPr>
          <w:lang w:val="de-DE"/>
        </w:rPr>
        <w:tab/>
        <w:t xml:space="preserve">S. Engmann, H. W. Ro, A. Herzing, C. R. Snyder, L. J. Richter, P. B. Geraghty and D. J. Jones, </w:t>
      </w:r>
      <w:r w:rsidR="00BE42E0" w:rsidRPr="0028138C">
        <w:rPr>
          <w:i/>
          <w:lang w:val="de-DE"/>
        </w:rPr>
        <w:t xml:space="preserve">J. Mater. </w:t>
      </w:r>
      <w:r w:rsidR="00BE42E0" w:rsidRPr="00ED2862">
        <w:rPr>
          <w:i/>
        </w:rPr>
        <w:t>Chem</w:t>
      </w:r>
      <w:r w:rsidR="00BE42E0">
        <w:rPr>
          <w:i/>
        </w:rPr>
        <w:t>.</w:t>
      </w:r>
      <w:r w:rsidR="00BE42E0" w:rsidRPr="00ED2862">
        <w:rPr>
          <w:i/>
        </w:rPr>
        <w:t xml:space="preserve"> A</w:t>
      </w:r>
      <w:r w:rsidR="00BE42E0" w:rsidRPr="00ED2862">
        <w:t>,</w:t>
      </w:r>
      <w:r w:rsidRPr="00ED2862">
        <w:t xml:space="preserve"> 2016, </w:t>
      </w:r>
      <w:r w:rsidRPr="00ED2862">
        <w:rPr>
          <w:b/>
        </w:rPr>
        <w:t>4</w:t>
      </w:r>
      <w:r w:rsidRPr="00ED2862">
        <w:t>, 15511-15521.</w:t>
      </w:r>
    </w:p>
    <w:p w:rsidR="00ED2862" w:rsidRPr="00ED2862" w:rsidRDefault="00ED2862" w:rsidP="00ED2862">
      <w:pPr>
        <w:pStyle w:val="EndNoteBibliography"/>
        <w:spacing w:after="0"/>
        <w:ind w:left="720" w:hanging="720"/>
      </w:pPr>
      <w:r w:rsidRPr="00ED2862">
        <w:t>20.</w:t>
      </w:r>
      <w:r w:rsidRPr="00ED2862">
        <w:tab/>
        <w:t xml:space="preserve">P. E. Shaw, A. Ruseckas and I. D. Samuel, </w:t>
      </w:r>
      <w:r w:rsidRPr="00ED2862">
        <w:rPr>
          <w:i/>
        </w:rPr>
        <w:t>Adv</w:t>
      </w:r>
      <w:r w:rsidR="00BE42E0">
        <w:rPr>
          <w:i/>
        </w:rPr>
        <w:t>.</w:t>
      </w:r>
      <w:r w:rsidRPr="00ED2862">
        <w:rPr>
          <w:i/>
        </w:rPr>
        <w:t xml:space="preserve"> Mater</w:t>
      </w:r>
      <w:r w:rsidR="00BE42E0">
        <w:rPr>
          <w:i/>
        </w:rPr>
        <w:t>.</w:t>
      </w:r>
      <w:r w:rsidRPr="00ED2862">
        <w:t xml:space="preserve">, 2008, </w:t>
      </w:r>
      <w:r w:rsidRPr="00ED2862">
        <w:rPr>
          <w:b/>
        </w:rPr>
        <w:t>20</w:t>
      </w:r>
      <w:r w:rsidRPr="00ED2862">
        <w:t>, 3516-3520.</w:t>
      </w:r>
    </w:p>
    <w:p w:rsidR="00ED2862" w:rsidRPr="00ED2862" w:rsidRDefault="00ED2862" w:rsidP="00ED2862">
      <w:pPr>
        <w:pStyle w:val="EndNoteBibliography"/>
        <w:spacing w:after="0"/>
        <w:ind w:left="720" w:hanging="720"/>
      </w:pPr>
      <w:r w:rsidRPr="00ED2862">
        <w:t>21.</w:t>
      </w:r>
      <w:r w:rsidRPr="00ED2862">
        <w:tab/>
        <w:t xml:space="preserve">Z. Masri, A. Ruseckas, E. V. Emelianova, L. Wang, A. K. Bansal, A. Matheson, H. T. Lemke, M. M. Nielsen, H. Nguyen and O. Coulembier, </w:t>
      </w:r>
      <w:r w:rsidRPr="00ED2862">
        <w:rPr>
          <w:i/>
        </w:rPr>
        <w:t>Adv</w:t>
      </w:r>
      <w:r w:rsidR="00BE42E0">
        <w:rPr>
          <w:i/>
        </w:rPr>
        <w:t>.</w:t>
      </w:r>
      <w:r w:rsidRPr="00ED2862">
        <w:rPr>
          <w:i/>
        </w:rPr>
        <w:t xml:space="preserve"> Energy Mater</w:t>
      </w:r>
      <w:r w:rsidR="00BE42E0">
        <w:rPr>
          <w:i/>
        </w:rPr>
        <w:t>.</w:t>
      </w:r>
      <w:r w:rsidRPr="00ED2862">
        <w:t xml:space="preserve">, 2013, </w:t>
      </w:r>
      <w:r w:rsidRPr="00ED2862">
        <w:rPr>
          <w:b/>
        </w:rPr>
        <w:t>3</w:t>
      </w:r>
      <w:r w:rsidRPr="00ED2862">
        <w:t>, 1445-1453.</w:t>
      </w:r>
    </w:p>
    <w:p w:rsidR="00ED2862" w:rsidRPr="00ED2862" w:rsidRDefault="00ED2862" w:rsidP="00ED2862">
      <w:pPr>
        <w:pStyle w:val="EndNoteBibliography"/>
        <w:spacing w:after="0"/>
        <w:ind w:left="720" w:hanging="720"/>
      </w:pPr>
      <w:r w:rsidRPr="00ED2862">
        <w:t>22.</w:t>
      </w:r>
      <w:r w:rsidRPr="00ED2862">
        <w:tab/>
        <w:t xml:space="preserve">K. Sun, Z. Xiao, S. Lu, W. Zajaczkowski, W. Pisula, E. Hanssen, J. M. White, R. M. Williamson, J. Subbiah and J. Ouyang, </w:t>
      </w:r>
      <w:r w:rsidRPr="00ED2862">
        <w:rPr>
          <w:i/>
        </w:rPr>
        <w:t>Nat</w:t>
      </w:r>
      <w:r w:rsidR="00BE42E0">
        <w:rPr>
          <w:i/>
        </w:rPr>
        <w:t>.</w:t>
      </w:r>
      <w:r w:rsidRPr="00ED2862">
        <w:rPr>
          <w:i/>
        </w:rPr>
        <w:t xml:space="preserve"> </w:t>
      </w:r>
      <w:r w:rsidR="00BE42E0">
        <w:rPr>
          <w:i/>
        </w:rPr>
        <w:t>C</w:t>
      </w:r>
      <w:r w:rsidRPr="00ED2862">
        <w:rPr>
          <w:i/>
        </w:rPr>
        <w:t>ommun</w:t>
      </w:r>
      <w:r w:rsidR="00BE42E0">
        <w:rPr>
          <w:i/>
        </w:rPr>
        <w:t>.</w:t>
      </w:r>
      <w:r w:rsidRPr="00ED2862">
        <w:t xml:space="preserve">, 2015, </w:t>
      </w:r>
      <w:r w:rsidRPr="00ED2862">
        <w:rPr>
          <w:b/>
        </w:rPr>
        <w:t>6</w:t>
      </w:r>
      <w:r w:rsidRPr="00ED2862">
        <w:t>, 6013.</w:t>
      </w:r>
    </w:p>
    <w:p w:rsidR="00ED2862" w:rsidRPr="00ED2862" w:rsidRDefault="00ED2862" w:rsidP="00ED2862">
      <w:pPr>
        <w:pStyle w:val="EndNoteBibliography"/>
        <w:spacing w:after="0"/>
        <w:ind w:left="720" w:hanging="720"/>
      </w:pPr>
      <w:r w:rsidRPr="00ED2862">
        <w:t>23.</w:t>
      </w:r>
      <w:r w:rsidRPr="00ED2862">
        <w:tab/>
        <w:t xml:space="preserve">J. Rivnay, S. C. Mannsfeld, C. E. Miller, A. Salleo and M. F. Toney, </w:t>
      </w:r>
      <w:r w:rsidRPr="00ED2862">
        <w:rPr>
          <w:i/>
        </w:rPr>
        <w:t>Chem. Rev.</w:t>
      </w:r>
      <w:r w:rsidRPr="00ED2862">
        <w:t xml:space="preserve">, 2012, </w:t>
      </w:r>
      <w:r w:rsidRPr="00ED2862">
        <w:rPr>
          <w:b/>
        </w:rPr>
        <w:t>112</w:t>
      </w:r>
      <w:r w:rsidRPr="00ED2862">
        <w:t>, 5488-5519.</w:t>
      </w:r>
    </w:p>
    <w:p w:rsidR="00ED2862" w:rsidRPr="00ED2862" w:rsidRDefault="00ED2862" w:rsidP="00ED2862">
      <w:pPr>
        <w:pStyle w:val="EndNoteBibliography"/>
        <w:spacing w:after="0"/>
        <w:ind w:left="720" w:hanging="720"/>
      </w:pPr>
      <w:r w:rsidRPr="00ED2862">
        <w:t>24.</w:t>
      </w:r>
      <w:r w:rsidRPr="00ED2862">
        <w:tab/>
        <w:t xml:space="preserve">D. T. Duong, V. Ho, Z. Shang, S. Mollinger, S. C. Mannsfeld, J. Dacuña, M. F. Toney, R. Segalman and A. Salleo, </w:t>
      </w:r>
      <w:r w:rsidRPr="00ED2862">
        <w:rPr>
          <w:i/>
        </w:rPr>
        <w:t>Adv</w:t>
      </w:r>
      <w:r w:rsidR="00BE42E0">
        <w:rPr>
          <w:i/>
        </w:rPr>
        <w:t>.</w:t>
      </w:r>
      <w:r w:rsidRPr="00ED2862">
        <w:rPr>
          <w:i/>
        </w:rPr>
        <w:t xml:space="preserve"> Funct</w:t>
      </w:r>
      <w:r w:rsidR="00BE42E0">
        <w:rPr>
          <w:i/>
        </w:rPr>
        <w:t xml:space="preserve">. </w:t>
      </w:r>
      <w:r w:rsidRPr="00ED2862">
        <w:rPr>
          <w:i/>
        </w:rPr>
        <w:t>Mater</w:t>
      </w:r>
      <w:r w:rsidR="00BE42E0">
        <w:rPr>
          <w:i/>
        </w:rPr>
        <w:t>.</w:t>
      </w:r>
      <w:r w:rsidRPr="00ED2862">
        <w:t xml:space="preserve">, 2014, </w:t>
      </w:r>
      <w:r w:rsidRPr="00ED2862">
        <w:rPr>
          <w:b/>
        </w:rPr>
        <w:t>24</w:t>
      </w:r>
      <w:r w:rsidRPr="00ED2862">
        <w:t>, 4515-4521.</w:t>
      </w:r>
    </w:p>
    <w:p w:rsidR="00ED2862" w:rsidRPr="00ED2862" w:rsidRDefault="00ED2862" w:rsidP="00ED2862">
      <w:pPr>
        <w:pStyle w:val="EndNoteBibliography"/>
        <w:spacing w:after="0"/>
        <w:ind w:left="720" w:hanging="720"/>
      </w:pPr>
      <w:r w:rsidRPr="00ED2862">
        <w:t>25.</w:t>
      </w:r>
      <w:r w:rsidRPr="00ED2862">
        <w:tab/>
        <w:t xml:space="preserve">L. K. Jagadamma, M. T. Sajjad, V. Savikhin, M. F. Toney and I. D. Samuel, </w:t>
      </w:r>
      <w:r w:rsidR="00BE42E0" w:rsidRPr="00ED2862">
        <w:rPr>
          <w:i/>
        </w:rPr>
        <w:t>J</w:t>
      </w:r>
      <w:r w:rsidR="00BE42E0">
        <w:rPr>
          <w:i/>
        </w:rPr>
        <w:t>.</w:t>
      </w:r>
      <w:r w:rsidR="00BE42E0" w:rsidRPr="00ED2862">
        <w:rPr>
          <w:i/>
        </w:rPr>
        <w:t xml:space="preserve"> Mater</w:t>
      </w:r>
      <w:r w:rsidR="00BE42E0">
        <w:rPr>
          <w:i/>
        </w:rPr>
        <w:t xml:space="preserve">. </w:t>
      </w:r>
      <w:r w:rsidR="00BE42E0" w:rsidRPr="00ED2862">
        <w:rPr>
          <w:i/>
        </w:rPr>
        <w:t>Chem</w:t>
      </w:r>
      <w:r w:rsidR="00BE42E0">
        <w:rPr>
          <w:i/>
        </w:rPr>
        <w:t>.</w:t>
      </w:r>
      <w:r w:rsidR="00BE42E0" w:rsidRPr="00ED2862">
        <w:rPr>
          <w:i/>
        </w:rPr>
        <w:t xml:space="preserve"> A</w:t>
      </w:r>
      <w:r w:rsidR="00BE42E0" w:rsidRPr="00ED2862">
        <w:t>,</w:t>
      </w:r>
      <w:r w:rsidRPr="00ED2862">
        <w:t xml:space="preserve"> 2017, </w:t>
      </w:r>
      <w:r w:rsidRPr="00ED2862">
        <w:rPr>
          <w:b/>
        </w:rPr>
        <w:t>5</w:t>
      </w:r>
      <w:r w:rsidRPr="00ED2862">
        <w:t>, 14646-14657.</w:t>
      </w:r>
    </w:p>
    <w:p w:rsidR="00ED2862" w:rsidRPr="00ED2862" w:rsidRDefault="00ED2862" w:rsidP="00ED2862">
      <w:pPr>
        <w:pStyle w:val="EndNoteBibliography"/>
        <w:spacing w:after="0"/>
        <w:ind w:left="720" w:hanging="720"/>
      </w:pPr>
      <w:r w:rsidRPr="00ED2862">
        <w:t>26.</w:t>
      </w:r>
      <w:r w:rsidRPr="00ED2862">
        <w:tab/>
        <w:t xml:space="preserve">A. Armin, J. Subbiah, M. Stolterfoht, S. Shoaee, Z. Xiao, S. Lu, D. J. Jones and P. Meredith, </w:t>
      </w:r>
      <w:r w:rsidRPr="00ED2862">
        <w:rPr>
          <w:i/>
        </w:rPr>
        <w:t>Adv</w:t>
      </w:r>
      <w:r w:rsidR="00BE42E0">
        <w:rPr>
          <w:i/>
        </w:rPr>
        <w:t>.</w:t>
      </w:r>
      <w:r w:rsidRPr="00ED2862">
        <w:rPr>
          <w:i/>
        </w:rPr>
        <w:t>Energy Mater</w:t>
      </w:r>
      <w:r w:rsidR="00BE42E0">
        <w:rPr>
          <w:i/>
        </w:rPr>
        <w:t>.</w:t>
      </w:r>
      <w:r w:rsidRPr="00ED2862">
        <w:t xml:space="preserve">, 2016, </w:t>
      </w:r>
      <w:r w:rsidRPr="00ED2862">
        <w:rPr>
          <w:b/>
        </w:rPr>
        <w:t>6</w:t>
      </w:r>
      <w:r w:rsidRPr="00ED2862">
        <w:t>, 1600939.</w:t>
      </w:r>
    </w:p>
    <w:p w:rsidR="00ED2862" w:rsidRPr="00ED2862" w:rsidRDefault="00ED2862" w:rsidP="00ED2862">
      <w:pPr>
        <w:pStyle w:val="EndNoteBibliography"/>
        <w:ind w:left="720" w:hanging="720"/>
      </w:pPr>
      <w:r w:rsidRPr="00ED2862">
        <w:t>27.</w:t>
      </w:r>
      <w:r w:rsidRPr="00ED2862">
        <w:tab/>
        <w:t xml:space="preserve">J. Ilavsky, </w:t>
      </w:r>
      <w:r w:rsidRPr="00ED2862">
        <w:rPr>
          <w:i/>
        </w:rPr>
        <w:t>J</w:t>
      </w:r>
      <w:r w:rsidR="00BE42E0">
        <w:rPr>
          <w:i/>
        </w:rPr>
        <w:t>.</w:t>
      </w:r>
      <w:r w:rsidRPr="00ED2862">
        <w:rPr>
          <w:i/>
        </w:rPr>
        <w:t xml:space="preserve"> Appl</w:t>
      </w:r>
      <w:r w:rsidR="00BE42E0">
        <w:rPr>
          <w:i/>
        </w:rPr>
        <w:t>.</w:t>
      </w:r>
      <w:r w:rsidRPr="00ED2862">
        <w:rPr>
          <w:i/>
        </w:rPr>
        <w:t xml:space="preserve"> Crystallography</w:t>
      </w:r>
      <w:r w:rsidRPr="00ED2862">
        <w:t xml:space="preserve">, 2012, </w:t>
      </w:r>
      <w:r w:rsidRPr="00ED2862">
        <w:rPr>
          <w:b/>
        </w:rPr>
        <w:t>45</w:t>
      </w:r>
      <w:r w:rsidRPr="00ED2862">
        <w:t>, 324-328.</w:t>
      </w:r>
    </w:p>
    <w:p w:rsidR="00F157DD" w:rsidRPr="00241ACD" w:rsidRDefault="00F157DD" w:rsidP="000E15BE">
      <w:pPr>
        <w:pStyle w:val="RSCR02References"/>
        <w:numPr>
          <w:ilvl w:val="0"/>
          <w:numId w:val="0"/>
        </w:numPr>
      </w:pP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27F" w:rsidRDefault="0064727F" w:rsidP="00E547DB">
      <w:pPr>
        <w:spacing w:after="0" w:line="240" w:lineRule="auto"/>
      </w:pPr>
      <w:r>
        <w:separator/>
      </w:r>
    </w:p>
    <w:p w:rsidR="0064727F" w:rsidRDefault="0064727F"/>
    <w:p w:rsidR="0064727F" w:rsidRDefault="0064727F"/>
    <w:p w:rsidR="0064727F" w:rsidRDefault="0064727F"/>
    <w:p w:rsidR="0064727F" w:rsidRDefault="0064727F"/>
    <w:p w:rsidR="0064727F" w:rsidRDefault="0064727F"/>
  </w:endnote>
  <w:endnote w:type="continuationSeparator" w:id="0">
    <w:p w:rsidR="0064727F" w:rsidRDefault="0064727F" w:rsidP="00E547DB">
      <w:pPr>
        <w:spacing w:after="0" w:line="240" w:lineRule="auto"/>
      </w:pPr>
      <w:r>
        <w:continuationSeparator/>
      </w:r>
    </w:p>
    <w:p w:rsidR="0064727F" w:rsidRDefault="0064727F"/>
    <w:p w:rsidR="0064727F" w:rsidRDefault="0064727F"/>
    <w:p w:rsidR="0064727F" w:rsidRDefault="0064727F"/>
    <w:p w:rsidR="0064727F" w:rsidRDefault="0064727F"/>
    <w:p w:rsidR="0064727F" w:rsidRDefault="006472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8255290-1249-4AFE-834A-D04DC3117EBE}"/>
    <w:embedBold r:id="rId2" w:fontKey="{26A3DA11-8827-4EA3-8A82-9F1479254D44}"/>
    <w:embedItalic r:id="rId3" w:fontKey="{11F6FD1A-F6A4-49F1-80DB-30675FB1C85F}"/>
    <w:embedBoldItalic r:id="rId4" w:fontKey="{B2941B6B-E912-4EC4-844F-DA207D6567EE}"/>
  </w:font>
  <w:font w:name="Tahoma">
    <w:panose1 w:val="020B0604030504040204"/>
    <w:charset w:val="00"/>
    <w:family w:val="swiss"/>
    <w:pitch w:val="variable"/>
    <w:sig w:usb0="E1002EFF" w:usb1="C000605B" w:usb2="00000029" w:usb3="00000000" w:csb0="000101FF" w:csb1="00000000"/>
    <w:embedRegular r:id="rId5" w:fontKey="{1FCB3321-93FC-497F-A47E-1B618189CE1A}"/>
  </w:font>
  <w:font w:name="SimSun">
    <w:altName w:val="宋体"/>
    <w:panose1 w:val="02010600030101010101"/>
    <w:charset w:val="86"/>
    <w:family w:val="auto"/>
    <w:pitch w:val="variable"/>
    <w:sig w:usb0="00000003" w:usb1="288F0000" w:usb2="00000016" w:usb3="00000000" w:csb0="00040001" w:csb1="00000000"/>
  </w:font>
  <w:font w:name="Times">
    <w:altName w:val="Sylfaen"/>
    <w:panose1 w:val="02020603050405020304"/>
    <w:charset w:val="00"/>
    <w:family w:val="roman"/>
    <w:pitch w:val="variable"/>
    <w:sig w:usb0="E0002AFF" w:usb1="C0007841" w:usb2="00000009" w:usb3="00000000" w:csb0="000001FF" w:csb1="00000000"/>
    <w:embedRegular r:id="rId6" w:fontKey="{3340EB3B-24FA-49BD-AD12-3EC022D3E411}"/>
    <w:embedBold r:id="rId7" w:fontKey="{452B4716-0EDD-484D-B68F-0D6ECD71D4B6}"/>
    <w:embedItalic r:id="rId8" w:fontKey="{C18F639D-E00B-434D-ADFF-8EA173B063F8}"/>
  </w:font>
  <w:font w:name="Arial">
    <w:panose1 w:val="020B0604020202020204"/>
    <w:charset w:val="00"/>
    <w:family w:val="swiss"/>
    <w:pitch w:val="variable"/>
    <w:sig w:usb0="E0002AFF" w:usb1="C0007843" w:usb2="00000009" w:usb3="00000000" w:csb0="000001FF" w:csb1="00000000"/>
  </w:font>
  <w:font w:name="AdvOT9b12cd41">
    <w:panose1 w:val="00000000000000000000"/>
    <w:charset w:val="00"/>
    <w:family w:val="swiss"/>
    <w:notTrueType/>
    <w:pitch w:val="default"/>
    <w:sig w:usb0="00000003" w:usb1="00000000" w:usb2="00000000" w:usb3="00000000" w:csb0="00000001" w:csb1="00000000"/>
  </w:font>
  <w:font w:name="AdvOT9b12cd41+fb">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9" w:fontKey="{8F257505-7781-450A-B878-77EBB1C31425}"/>
    <w:embedBold r:id="rId10" w:fontKey="{F9E34D46-70A8-4AD5-8BFB-82FAC22C022E}"/>
    <w:embedItalic r:id="rId11" w:fontKey="{A6B816A9-EFCE-4897-ACBF-1A3EFBD8C2F3}"/>
    <w:embedBoldItalic r:id="rId12" w:fontKey="{0410FD74-CC02-45E4-9A64-0DEDBC0261C9}"/>
  </w:font>
  <w:font w:name="Cambria">
    <w:panose1 w:val="02040503050406030204"/>
    <w:charset w:val="00"/>
    <w:family w:val="roman"/>
    <w:pitch w:val="variable"/>
    <w:sig w:usb0="E00002FF" w:usb1="400004FF" w:usb2="00000000" w:usb3="00000000" w:csb0="0000019F" w:csb1="00000000"/>
    <w:embedRegular r:id="rId13" w:fontKey="{0890B51C-AFC4-4E00-A0DB-A268DBE41B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62" w:rsidRPr="006602F1" w:rsidRDefault="00ED2862"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5F5E82">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62" w:rsidRPr="006602F1" w:rsidRDefault="00ED2862"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5F5E82">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62" w:rsidRPr="006602F1" w:rsidRDefault="00ED2862"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97DAFAE" wp14:editId="65C98D1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ED2862" w:rsidRPr="00F20A7C" w:rsidRDefault="00ED286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DAFA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ED2862" w:rsidRPr="00F20A7C" w:rsidRDefault="00ED286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5F5E82">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27F" w:rsidRDefault="0064727F" w:rsidP="00E547DB">
      <w:pPr>
        <w:spacing w:after="0" w:line="240" w:lineRule="auto"/>
      </w:pPr>
      <w:r>
        <w:separator/>
      </w:r>
    </w:p>
    <w:p w:rsidR="0064727F" w:rsidRDefault="0064727F"/>
    <w:p w:rsidR="0064727F" w:rsidRDefault="0064727F"/>
    <w:p w:rsidR="0064727F" w:rsidRDefault="0064727F"/>
    <w:p w:rsidR="0064727F" w:rsidRDefault="0064727F"/>
    <w:p w:rsidR="0064727F" w:rsidRDefault="0064727F"/>
  </w:footnote>
  <w:footnote w:type="continuationSeparator" w:id="0">
    <w:p w:rsidR="0064727F" w:rsidRDefault="0064727F" w:rsidP="00E547DB">
      <w:pPr>
        <w:spacing w:after="0" w:line="240" w:lineRule="auto"/>
      </w:pPr>
      <w:r>
        <w:continuationSeparator/>
      </w:r>
    </w:p>
    <w:p w:rsidR="0064727F" w:rsidRDefault="0064727F"/>
    <w:p w:rsidR="0064727F" w:rsidRDefault="0064727F"/>
    <w:p w:rsidR="0064727F" w:rsidRDefault="0064727F"/>
    <w:p w:rsidR="0064727F" w:rsidRDefault="0064727F"/>
    <w:p w:rsidR="0064727F" w:rsidRDefault="0064727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62" w:rsidRPr="00E70DCE" w:rsidRDefault="00ED2862"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5947067A" wp14:editId="14D06B36">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ED2862" w:rsidRPr="00F20A7C" w:rsidRDefault="00ED286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47067A"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ED2862" w:rsidRPr="00F20A7C" w:rsidRDefault="00ED286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AADB7E2" wp14:editId="1574149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ED2862" w:rsidRPr="00F20A7C" w:rsidRDefault="00ED286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ADB7E2"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ED2862" w:rsidRPr="00F20A7C" w:rsidRDefault="00ED286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62" w:rsidRPr="009316A6" w:rsidRDefault="00ED2862"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2146ED9A" wp14:editId="3915F36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ED2862" w:rsidRPr="00F20A7C" w:rsidRDefault="00ED286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46ED9A"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ED2862" w:rsidRPr="00F20A7C" w:rsidRDefault="00ED286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1A26A030" wp14:editId="56DC240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ED2862" w:rsidRPr="00F20A7C" w:rsidRDefault="00ED286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26A030"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ED2862" w:rsidRPr="00F20A7C" w:rsidRDefault="00ED286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62" w:rsidRDefault="00ED2862"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565E4102" wp14:editId="78F0D33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ED2862" w:rsidRPr="00F20A7C" w:rsidRDefault="00ED286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5E4102"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ED2862" w:rsidRPr="00F20A7C" w:rsidRDefault="00ED286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49E42851" wp14:editId="50EB99F2">
          <wp:extent cx="972312" cy="6492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ED2862" w:rsidRPr="00180ABE" w:rsidRDefault="00ED2862"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6&lt;record-ids&gt;&lt;item&gt;1532&lt;/item&gt;&lt;item&gt;1635&lt;/item&gt;&lt;item&gt;1637&lt;/item&gt;&lt;item&gt;1644&lt;/item&gt;&lt;item&gt;1659&lt;/item&gt;&lt;item&gt;1660&lt;/item&gt;&lt;item&gt;1810&lt;/item&gt;&lt;item&gt;1815&lt;/item&gt;&lt;item&gt;1817&lt;/item&gt;&lt;item&gt;1819&lt;/item&gt;&lt;item&gt;1821&lt;/item&gt;&lt;item&gt;1836&lt;/item&gt;&lt;item&gt;1906&lt;/item&gt;&lt;item&gt;1941&lt;/item&gt;&lt;item&gt;1943&lt;/item&gt;&lt;item&gt;1945&lt;/item&gt;&lt;item&gt;1946&lt;/item&gt;&lt;item&gt;1947&lt;/item&gt;&lt;item&gt;1948&lt;/item&gt;&lt;item&gt;1949&lt;/item&gt;&lt;item&gt;1951&lt;/item&gt;&lt;item&gt;1953&lt;/item&gt;&lt;item&gt;1954&lt;/item&gt;&lt;item&gt;1955&lt;/item&gt;&lt;item&gt;1956&lt;/item&gt;&lt;item&gt;1957&lt;/item&gt;&lt;item&gt;1958&lt;/item&gt;&lt;/record-ids&gt;&lt;/item&gt;&lt;/Libraries&gt;"/>
  </w:docVars>
  <w:rsids>
    <w:rsidRoot w:val="008125A0"/>
    <w:rsid w:val="00004DE2"/>
    <w:rsid w:val="00005B8A"/>
    <w:rsid w:val="00020A72"/>
    <w:rsid w:val="00022D8A"/>
    <w:rsid w:val="00027376"/>
    <w:rsid w:val="00033252"/>
    <w:rsid w:val="00036048"/>
    <w:rsid w:val="0003744F"/>
    <w:rsid w:val="000437F8"/>
    <w:rsid w:val="000512A9"/>
    <w:rsid w:val="000622D1"/>
    <w:rsid w:val="000652D6"/>
    <w:rsid w:val="000674F8"/>
    <w:rsid w:val="00067AD7"/>
    <w:rsid w:val="00067E0A"/>
    <w:rsid w:val="00071908"/>
    <w:rsid w:val="00071E41"/>
    <w:rsid w:val="00073639"/>
    <w:rsid w:val="00075E6F"/>
    <w:rsid w:val="00077C66"/>
    <w:rsid w:val="00082E60"/>
    <w:rsid w:val="00093D88"/>
    <w:rsid w:val="000A2670"/>
    <w:rsid w:val="000A3EEE"/>
    <w:rsid w:val="000A628E"/>
    <w:rsid w:val="000A7A16"/>
    <w:rsid w:val="000B4BA9"/>
    <w:rsid w:val="000C0A9D"/>
    <w:rsid w:val="000C3A43"/>
    <w:rsid w:val="000C72D5"/>
    <w:rsid w:val="000D2FAC"/>
    <w:rsid w:val="000D3D9B"/>
    <w:rsid w:val="000D42A8"/>
    <w:rsid w:val="000D5891"/>
    <w:rsid w:val="000D6963"/>
    <w:rsid w:val="000E15BE"/>
    <w:rsid w:val="000E21DB"/>
    <w:rsid w:val="000E7A32"/>
    <w:rsid w:val="000F0959"/>
    <w:rsid w:val="000F3A41"/>
    <w:rsid w:val="000F61F3"/>
    <w:rsid w:val="000F7B9F"/>
    <w:rsid w:val="00112392"/>
    <w:rsid w:val="00116491"/>
    <w:rsid w:val="00120227"/>
    <w:rsid w:val="00126027"/>
    <w:rsid w:val="001273F3"/>
    <w:rsid w:val="001470C1"/>
    <w:rsid w:val="001508E9"/>
    <w:rsid w:val="001632AA"/>
    <w:rsid w:val="001633D9"/>
    <w:rsid w:val="0017032C"/>
    <w:rsid w:val="00173CE4"/>
    <w:rsid w:val="00180ABE"/>
    <w:rsid w:val="00185522"/>
    <w:rsid w:val="001923AB"/>
    <w:rsid w:val="00194FC8"/>
    <w:rsid w:val="001A1E95"/>
    <w:rsid w:val="001A5A7B"/>
    <w:rsid w:val="001C1EB8"/>
    <w:rsid w:val="001C237A"/>
    <w:rsid w:val="001C33D8"/>
    <w:rsid w:val="001C7627"/>
    <w:rsid w:val="001D5A13"/>
    <w:rsid w:val="001E4408"/>
    <w:rsid w:val="001E5987"/>
    <w:rsid w:val="001E632E"/>
    <w:rsid w:val="001F0CBE"/>
    <w:rsid w:val="001F1F8E"/>
    <w:rsid w:val="00206A82"/>
    <w:rsid w:val="002127B7"/>
    <w:rsid w:val="00214BEC"/>
    <w:rsid w:val="002159CD"/>
    <w:rsid w:val="00220E94"/>
    <w:rsid w:val="0023394C"/>
    <w:rsid w:val="00237C8A"/>
    <w:rsid w:val="0024022C"/>
    <w:rsid w:val="00241ACD"/>
    <w:rsid w:val="002474AD"/>
    <w:rsid w:val="00252816"/>
    <w:rsid w:val="00253551"/>
    <w:rsid w:val="00257633"/>
    <w:rsid w:val="00261482"/>
    <w:rsid w:val="00261AF5"/>
    <w:rsid w:val="00270DD5"/>
    <w:rsid w:val="00271235"/>
    <w:rsid w:val="00272D6F"/>
    <w:rsid w:val="002736F2"/>
    <w:rsid w:val="00275733"/>
    <w:rsid w:val="00280AAA"/>
    <w:rsid w:val="0028138C"/>
    <w:rsid w:val="002828F7"/>
    <w:rsid w:val="002845C6"/>
    <w:rsid w:val="002A34F1"/>
    <w:rsid w:val="002A5421"/>
    <w:rsid w:val="002A6DB5"/>
    <w:rsid w:val="002C0803"/>
    <w:rsid w:val="002C251C"/>
    <w:rsid w:val="002C3D7C"/>
    <w:rsid w:val="002E379C"/>
    <w:rsid w:val="002E5B1D"/>
    <w:rsid w:val="002E6322"/>
    <w:rsid w:val="002F52C3"/>
    <w:rsid w:val="00300E62"/>
    <w:rsid w:val="003066D4"/>
    <w:rsid w:val="00325A65"/>
    <w:rsid w:val="0032754B"/>
    <w:rsid w:val="0033184E"/>
    <w:rsid w:val="00331F74"/>
    <w:rsid w:val="00337FC6"/>
    <w:rsid w:val="0034618B"/>
    <w:rsid w:val="00352029"/>
    <w:rsid w:val="003528FE"/>
    <w:rsid w:val="00352AA4"/>
    <w:rsid w:val="00354579"/>
    <w:rsid w:val="00356F00"/>
    <w:rsid w:val="00360301"/>
    <w:rsid w:val="0036778B"/>
    <w:rsid w:val="00377481"/>
    <w:rsid w:val="00380858"/>
    <w:rsid w:val="00385965"/>
    <w:rsid w:val="003A71BA"/>
    <w:rsid w:val="003A7E95"/>
    <w:rsid w:val="003B739C"/>
    <w:rsid w:val="003C0198"/>
    <w:rsid w:val="003C6313"/>
    <w:rsid w:val="003C64FF"/>
    <w:rsid w:val="003D4ECA"/>
    <w:rsid w:val="003D6715"/>
    <w:rsid w:val="003E1CDD"/>
    <w:rsid w:val="003E2C3D"/>
    <w:rsid w:val="003E55B2"/>
    <w:rsid w:val="003F03CD"/>
    <w:rsid w:val="003F0D16"/>
    <w:rsid w:val="004112EE"/>
    <w:rsid w:val="00424186"/>
    <w:rsid w:val="004248BB"/>
    <w:rsid w:val="004259C9"/>
    <w:rsid w:val="0043147E"/>
    <w:rsid w:val="0043180D"/>
    <w:rsid w:val="004414A5"/>
    <w:rsid w:val="00444A1B"/>
    <w:rsid w:val="0044700B"/>
    <w:rsid w:val="004513D8"/>
    <w:rsid w:val="004607FC"/>
    <w:rsid w:val="0046187F"/>
    <w:rsid w:val="004623D6"/>
    <w:rsid w:val="00467171"/>
    <w:rsid w:val="00467C80"/>
    <w:rsid w:val="004717E3"/>
    <w:rsid w:val="00474052"/>
    <w:rsid w:val="0047539E"/>
    <w:rsid w:val="004850E7"/>
    <w:rsid w:val="004877C8"/>
    <w:rsid w:val="004901D3"/>
    <w:rsid w:val="00493806"/>
    <w:rsid w:val="004A70CD"/>
    <w:rsid w:val="004B10A0"/>
    <w:rsid w:val="004B5EA4"/>
    <w:rsid w:val="004C51D3"/>
    <w:rsid w:val="004C531E"/>
    <w:rsid w:val="004C59C4"/>
    <w:rsid w:val="004C6C90"/>
    <w:rsid w:val="004E1158"/>
    <w:rsid w:val="004E57F1"/>
    <w:rsid w:val="004F0FD7"/>
    <w:rsid w:val="004F3AEE"/>
    <w:rsid w:val="005000D7"/>
    <w:rsid w:val="00500B36"/>
    <w:rsid w:val="005037CD"/>
    <w:rsid w:val="00503DA8"/>
    <w:rsid w:val="00504795"/>
    <w:rsid w:val="00514CBA"/>
    <w:rsid w:val="0052549E"/>
    <w:rsid w:val="00525649"/>
    <w:rsid w:val="0052630A"/>
    <w:rsid w:val="0053177A"/>
    <w:rsid w:val="00533EA1"/>
    <w:rsid w:val="00540213"/>
    <w:rsid w:val="00552AF7"/>
    <w:rsid w:val="0055427B"/>
    <w:rsid w:val="005572C8"/>
    <w:rsid w:val="005771C3"/>
    <w:rsid w:val="00577B54"/>
    <w:rsid w:val="00580EF4"/>
    <w:rsid w:val="00590F6D"/>
    <w:rsid w:val="00593FF5"/>
    <w:rsid w:val="005A5A6D"/>
    <w:rsid w:val="005A5ED7"/>
    <w:rsid w:val="005B0137"/>
    <w:rsid w:val="005B043F"/>
    <w:rsid w:val="005C1A41"/>
    <w:rsid w:val="005C4565"/>
    <w:rsid w:val="005C7558"/>
    <w:rsid w:val="005E05CD"/>
    <w:rsid w:val="005F5E82"/>
    <w:rsid w:val="006020EB"/>
    <w:rsid w:val="00606C6A"/>
    <w:rsid w:val="00607F67"/>
    <w:rsid w:val="0061067D"/>
    <w:rsid w:val="0061572F"/>
    <w:rsid w:val="00631441"/>
    <w:rsid w:val="00632A93"/>
    <w:rsid w:val="006336CC"/>
    <w:rsid w:val="00637DA0"/>
    <w:rsid w:val="00641030"/>
    <w:rsid w:val="00645D52"/>
    <w:rsid w:val="0064727F"/>
    <w:rsid w:val="0065133B"/>
    <w:rsid w:val="00651D4C"/>
    <w:rsid w:val="00653FB6"/>
    <w:rsid w:val="00654F22"/>
    <w:rsid w:val="006556AC"/>
    <w:rsid w:val="006602F1"/>
    <w:rsid w:val="00670ED4"/>
    <w:rsid w:val="00672928"/>
    <w:rsid w:val="00674A86"/>
    <w:rsid w:val="006860C5"/>
    <w:rsid w:val="00690207"/>
    <w:rsid w:val="0069156D"/>
    <w:rsid w:val="00692D0E"/>
    <w:rsid w:val="00694769"/>
    <w:rsid w:val="006A69C8"/>
    <w:rsid w:val="006B6557"/>
    <w:rsid w:val="006B6DBD"/>
    <w:rsid w:val="006D6163"/>
    <w:rsid w:val="006D7900"/>
    <w:rsid w:val="006D79C7"/>
    <w:rsid w:val="006E58B1"/>
    <w:rsid w:val="006E791B"/>
    <w:rsid w:val="006F01C4"/>
    <w:rsid w:val="006F1AD3"/>
    <w:rsid w:val="006F487B"/>
    <w:rsid w:val="006F740B"/>
    <w:rsid w:val="0071163A"/>
    <w:rsid w:val="00716E55"/>
    <w:rsid w:val="00717EC9"/>
    <w:rsid w:val="0074270A"/>
    <w:rsid w:val="00744A41"/>
    <w:rsid w:val="0075266C"/>
    <w:rsid w:val="007534FE"/>
    <w:rsid w:val="007578C1"/>
    <w:rsid w:val="0077072A"/>
    <w:rsid w:val="00773BA8"/>
    <w:rsid w:val="00774B08"/>
    <w:rsid w:val="00780A41"/>
    <w:rsid w:val="007816F9"/>
    <w:rsid w:val="00792A58"/>
    <w:rsid w:val="00794787"/>
    <w:rsid w:val="007A37D8"/>
    <w:rsid w:val="007C3D03"/>
    <w:rsid w:val="007D1EFA"/>
    <w:rsid w:val="007D5F69"/>
    <w:rsid w:val="007D5FE4"/>
    <w:rsid w:val="007E7E4B"/>
    <w:rsid w:val="007F6204"/>
    <w:rsid w:val="008125A0"/>
    <w:rsid w:val="00827F62"/>
    <w:rsid w:val="008428EB"/>
    <w:rsid w:val="00843B35"/>
    <w:rsid w:val="0084750A"/>
    <w:rsid w:val="00850DF3"/>
    <w:rsid w:val="00853CA1"/>
    <w:rsid w:val="008560DE"/>
    <w:rsid w:val="0086133D"/>
    <w:rsid w:val="00871244"/>
    <w:rsid w:val="00873639"/>
    <w:rsid w:val="0088525A"/>
    <w:rsid w:val="0088604D"/>
    <w:rsid w:val="008A0D60"/>
    <w:rsid w:val="008A49FF"/>
    <w:rsid w:val="008B43D4"/>
    <w:rsid w:val="008C1387"/>
    <w:rsid w:val="008C4E7E"/>
    <w:rsid w:val="008C682F"/>
    <w:rsid w:val="008C7945"/>
    <w:rsid w:val="008D0B26"/>
    <w:rsid w:val="008D1CA2"/>
    <w:rsid w:val="008E509B"/>
    <w:rsid w:val="008F40D6"/>
    <w:rsid w:val="008F4811"/>
    <w:rsid w:val="008F525A"/>
    <w:rsid w:val="0090100C"/>
    <w:rsid w:val="009026D4"/>
    <w:rsid w:val="00903538"/>
    <w:rsid w:val="0092763E"/>
    <w:rsid w:val="009316A6"/>
    <w:rsid w:val="00936114"/>
    <w:rsid w:val="009400E9"/>
    <w:rsid w:val="00940DA2"/>
    <w:rsid w:val="0094280D"/>
    <w:rsid w:val="00946830"/>
    <w:rsid w:val="00962779"/>
    <w:rsid w:val="00963F43"/>
    <w:rsid w:val="009654EC"/>
    <w:rsid w:val="00965CD2"/>
    <w:rsid w:val="0096652C"/>
    <w:rsid w:val="00980969"/>
    <w:rsid w:val="00984439"/>
    <w:rsid w:val="009918D9"/>
    <w:rsid w:val="00991977"/>
    <w:rsid w:val="00993A9D"/>
    <w:rsid w:val="00994D14"/>
    <w:rsid w:val="009955D1"/>
    <w:rsid w:val="00997814"/>
    <w:rsid w:val="009A1E22"/>
    <w:rsid w:val="009A392D"/>
    <w:rsid w:val="009C2A67"/>
    <w:rsid w:val="009C3D2C"/>
    <w:rsid w:val="009D17C3"/>
    <w:rsid w:val="009D39B8"/>
    <w:rsid w:val="009D47C2"/>
    <w:rsid w:val="009D4D8B"/>
    <w:rsid w:val="009E51F8"/>
    <w:rsid w:val="009F2649"/>
    <w:rsid w:val="00A05364"/>
    <w:rsid w:val="00A074D7"/>
    <w:rsid w:val="00A12BEE"/>
    <w:rsid w:val="00A17D23"/>
    <w:rsid w:val="00A208E1"/>
    <w:rsid w:val="00A24552"/>
    <w:rsid w:val="00A32CCD"/>
    <w:rsid w:val="00A32EAF"/>
    <w:rsid w:val="00A33ACD"/>
    <w:rsid w:val="00A33CCC"/>
    <w:rsid w:val="00A43852"/>
    <w:rsid w:val="00A51A08"/>
    <w:rsid w:val="00A521AB"/>
    <w:rsid w:val="00A56CD0"/>
    <w:rsid w:val="00A606AC"/>
    <w:rsid w:val="00A6185E"/>
    <w:rsid w:val="00A61D3E"/>
    <w:rsid w:val="00A7562B"/>
    <w:rsid w:val="00A7643E"/>
    <w:rsid w:val="00A82E34"/>
    <w:rsid w:val="00A83E7B"/>
    <w:rsid w:val="00A9649E"/>
    <w:rsid w:val="00AA0472"/>
    <w:rsid w:val="00AA1341"/>
    <w:rsid w:val="00AB16D0"/>
    <w:rsid w:val="00AB26FF"/>
    <w:rsid w:val="00AB2C1B"/>
    <w:rsid w:val="00AC33F1"/>
    <w:rsid w:val="00AC3BF2"/>
    <w:rsid w:val="00AD0DD0"/>
    <w:rsid w:val="00AD5483"/>
    <w:rsid w:val="00AD54AB"/>
    <w:rsid w:val="00AE2562"/>
    <w:rsid w:val="00AF0249"/>
    <w:rsid w:val="00AF150F"/>
    <w:rsid w:val="00AF4737"/>
    <w:rsid w:val="00B0411F"/>
    <w:rsid w:val="00B0470A"/>
    <w:rsid w:val="00B11479"/>
    <w:rsid w:val="00B20859"/>
    <w:rsid w:val="00B22811"/>
    <w:rsid w:val="00B2364D"/>
    <w:rsid w:val="00B26E3C"/>
    <w:rsid w:val="00B350BA"/>
    <w:rsid w:val="00B40EEC"/>
    <w:rsid w:val="00B436BB"/>
    <w:rsid w:val="00B512D9"/>
    <w:rsid w:val="00B5293A"/>
    <w:rsid w:val="00B53582"/>
    <w:rsid w:val="00B6239D"/>
    <w:rsid w:val="00B67630"/>
    <w:rsid w:val="00B70B18"/>
    <w:rsid w:val="00B70B19"/>
    <w:rsid w:val="00B722DE"/>
    <w:rsid w:val="00B73B35"/>
    <w:rsid w:val="00B764FB"/>
    <w:rsid w:val="00B80DDB"/>
    <w:rsid w:val="00B81EE1"/>
    <w:rsid w:val="00B8216D"/>
    <w:rsid w:val="00B87A2B"/>
    <w:rsid w:val="00B9392D"/>
    <w:rsid w:val="00B96C9C"/>
    <w:rsid w:val="00BA2E76"/>
    <w:rsid w:val="00BA37ED"/>
    <w:rsid w:val="00BA761E"/>
    <w:rsid w:val="00BB3FBE"/>
    <w:rsid w:val="00BB5768"/>
    <w:rsid w:val="00BC603D"/>
    <w:rsid w:val="00BE36E5"/>
    <w:rsid w:val="00BE3C07"/>
    <w:rsid w:val="00BE42E0"/>
    <w:rsid w:val="00BE6316"/>
    <w:rsid w:val="00BF6F2E"/>
    <w:rsid w:val="00C000E4"/>
    <w:rsid w:val="00C03CE1"/>
    <w:rsid w:val="00C06B0D"/>
    <w:rsid w:val="00C24C22"/>
    <w:rsid w:val="00C3016F"/>
    <w:rsid w:val="00C314EE"/>
    <w:rsid w:val="00C31922"/>
    <w:rsid w:val="00C32EDF"/>
    <w:rsid w:val="00C405FD"/>
    <w:rsid w:val="00C42573"/>
    <w:rsid w:val="00C46CB3"/>
    <w:rsid w:val="00C5024A"/>
    <w:rsid w:val="00C50D65"/>
    <w:rsid w:val="00C57107"/>
    <w:rsid w:val="00C62B4B"/>
    <w:rsid w:val="00C62C2D"/>
    <w:rsid w:val="00C66422"/>
    <w:rsid w:val="00C6793C"/>
    <w:rsid w:val="00C70939"/>
    <w:rsid w:val="00C76CFF"/>
    <w:rsid w:val="00C80A1E"/>
    <w:rsid w:val="00C9227C"/>
    <w:rsid w:val="00C950F2"/>
    <w:rsid w:val="00C9557D"/>
    <w:rsid w:val="00CA2740"/>
    <w:rsid w:val="00CA4AF9"/>
    <w:rsid w:val="00CB3910"/>
    <w:rsid w:val="00CB4B87"/>
    <w:rsid w:val="00CB616E"/>
    <w:rsid w:val="00CC12E6"/>
    <w:rsid w:val="00CC2E25"/>
    <w:rsid w:val="00CC58C0"/>
    <w:rsid w:val="00CC7C64"/>
    <w:rsid w:val="00CD0B47"/>
    <w:rsid w:val="00CD2AFF"/>
    <w:rsid w:val="00CD678B"/>
    <w:rsid w:val="00CE4278"/>
    <w:rsid w:val="00CF5F1A"/>
    <w:rsid w:val="00CF7A8A"/>
    <w:rsid w:val="00D010E8"/>
    <w:rsid w:val="00D02C04"/>
    <w:rsid w:val="00D06A69"/>
    <w:rsid w:val="00D138E8"/>
    <w:rsid w:val="00D175FE"/>
    <w:rsid w:val="00D20259"/>
    <w:rsid w:val="00D208BA"/>
    <w:rsid w:val="00D21668"/>
    <w:rsid w:val="00D216BC"/>
    <w:rsid w:val="00D332DE"/>
    <w:rsid w:val="00D33CF6"/>
    <w:rsid w:val="00D40588"/>
    <w:rsid w:val="00D42F8F"/>
    <w:rsid w:val="00D44C11"/>
    <w:rsid w:val="00D45ADF"/>
    <w:rsid w:val="00D47C3B"/>
    <w:rsid w:val="00D6617D"/>
    <w:rsid w:val="00D66F27"/>
    <w:rsid w:val="00D6799A"/>
    <w:rsid w:val="00D7543A"/>
    <w:rsid w:val="00D80624"/>
    <w:rsid w:val="00D84331"/>
    <w:rsid w:val="00D947C6"/>
    <w:rsid w:val="00D97B1B"/>
    <w:rsid w:val="00DA07F1"/>
    <w:rsid w:val="00DB6DAA"/>
    <w:rsid w:val="00DC073B"/>
    <w:rsid w:val="00DC31FF"/>
    <w:rsid w:val="00DD06F4"/>
    <w:rsid w:val="00DD500F"/>
    <w:rsid w:val="00DD5F3D"/>
    <w:rsid w:val="00DF53E4"/>
    <w:rsid w:val="00DF608F"/>
    <w:rsid w:val="00DF6A83"/>
    <w:rsid w:val="00DF74C9"/>
    <w:rsid w:val="00DF77D2"/>
    <w:rsid w:val="00E00728"/>
    <w:rsid w:val="00E1431D"/>
    <w:rsid w:val="00E1717C"/>
    <w:rsid w:val="00E2136E"/>
    <w:rsid w:val="00E25AF8"/>
    <w:rsid w:val="00E31A6A"/>
    <w:rsid w:val="00E326A1"/>
    <w:rsid w:val="00E35595"/>
    <w:rsid w:val="00E438F1"/>
    <w:rsid w:val="00E45BF4"/>
    <w:rsid w:val="00E46BDF"/>
    <w:rsid w:val="00E50110"/>
    <w:rsid w:val="00E5015D"/>
    <w:rsid w:val="00E547DB"/>
    <w:rsid w:val="00E555BF"/>
    <w:rsid w:val="00E60FEF"/>
    <w:rsid w:val="00E61949"/>
    <w:rsid w:val="00E650DA"/>
    <w:rsid w:val="00E70DCE"/>
    <w:rsid w:val="00E711F4"/>
    <w:rsid w:val="00E735B1"/>
    <w:rsid w:val="00E73FCA"/>
    <w:rsid w:val="00EA446A"/>
    <w:rsid w:val="00EA4D44"/>
    <w:rsid w:val="00EA5226"/>
    <w:rsid w:val="00EA7BB2"/>
    <w:rsid w:val="00EA7DC1"/>
    <w:rsid w:val="00EB5842"/>
    <w:rsid w:val="00EB5BA2"/>
    <w:rsid w:val="00EB5C28"/>
    <w:rsid w:val="00ED2862"/>
    <w:rsid w:val="00ED3636"/>
    <w:rsid w:val="00EE3AFB"/>
    <w:rsid w:val="00EE5F2F"/>
    <w:rsid w:val="00EF0D19"/>
    <w:rsid w:val="00EF1577"/>
    <w:rsid w:val="00EF4466"/>
    <w:rsid w:val="00EF6BD4"/>
    <w:rsid w:val="00F00239"/>
    <w:rsid w:val="00F05C18"/>
    <w:rsid w:val="00F157DD"/>
    <w:rsid w:val="00F15F90"/>
    <w:rsid w:val="00F21465"/>
    <w:rsid w:val="00F2209C"/>
    <w:rsid w:val="00F32749"/>
    <w:rsid w:val="00F36C1A"/>
    <w:rsid w:val="00F46518"/>
    <w:rsid w:val="00F51074"/>
    <w:rsid w:val="00F53081"/>
    <w:rsid w:val="00F54B35"/>
    <w:rsid w:val="00F6065C"/>
    <w:rsid w:val="00F61C9A"/>
    <w:rsid w:val="00F61EB1"/>
    <w:rsid w:val="00F62C8B"/>
    <w:rsid w:val="00F72374"/>
    <w:rsid w:val="00F72FF3"/>
    <w:rsid w:val="00F74B65"/>
    <w:rsid w:val="00F76236"/>
    <w:rsid w:val="00F802D4"/>
    <w:rsid w:val="00F91370"/>
    <w:rsid w:val="00F91982"/>
    <w:rsid w:val="00F979A4"/>
    <w:rsid w:val="00FA2DA2"/>
    <w:rsid w:val="00FA311A"/>
    <w:rsid w:val="00FA3BDD"/>
    <w:rsid w:val="00FA60E5"/>
    <w:rsid w:val="00FB16A8"/>
    <w:rsid w:val="00FB1BD3"/>
    <w:rsid w:val="00FC1AAD"/>
    <w:rsid w:val="00FE0FE8"/>
    <w:rsid w:val="00FE33E9"/>
    <w:rsid w:val="00FF2166"/>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5F7FDF-187A-4797-ACF9-81ED1D1F8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BGKeywords">
    <w:name w:val="BG_Keywords"/>
    <w:basedOn w:val="Normal"/>
    <w:link w:val="BGKeywordsChar"/>
    <w:rsid w:val="00A43852"/>
    <w:pPr>
      <w:spacing w:line="480" w:lineRule="auto"/>
      <w:jc w:val="both"/>
    </w:pPr>
    <w:rPr>
      <w:rFonts w:ascii="Times" w:eastAsia="Times New Roman" w:hAnsi="Times" w:cs="Times New Roman"/>
      <w:sz w:val="24"/>
      <w:szCs w:val="20"/>
      <w:lang w:val="en-US"/>
    </w:rPr>
  </w:style>
  <w:style w:type="character" w:customStyle="1" w:styleId="BGKeywordsChar">
    <w:name w:val="BG_Keywords Char"/>
    <w:link w:val="BGKeywords"/>
    <w:rsid w:val="00A43852"/>
    <w:rPr>
      <w:rFonts w:ascii="Times" w:eastAsia="Times New Roman" w:hAnsi="Times" w:cs="Times New Roman"/>
      <w:sz w:val="24"/>
      <w:szCs w:val="20"/>
      <w:lang w:val="en-US"/>
    </w:rPr>
  </w:style>
  <w:style w:type="character" w:styleId="PlaceholderText">
    <w:name w:val="Placeholder Text"/>
    <w:basedOn w:val="DefaultParagraphFont"/>
    <w:uiPriority w:val="99"/>
    <w:semiHidden/>
    <w:rsid w:val="00E00728"/>
    <w:rPr>
      <w:color w:val="808080"/>
    </w:rPr>
  </w:style>
  <w:style w:type="paragraph" w:customStyle="1" w:styleId="EndNoteBibliographyTitle">
    <w:name w:val="EndNote Bibliography Title"/>
    <w:basedOn w:val="Normal"/>
    <w:link w:val="EndNoteBibliographyTitleChar"/>
    <w:rsid w:val="002A6DB5"/>
    <w:pPr>
      <w:spacing w:after="0"/>
      <w:jc w:val="center"/>
    </w:pPr>
    <w:rPr>
      <w:rFonts w:ascii="Calibri" w:hAnsi="Calibri"/>
      <w:noProof/>
      <w:sz w:val="18"/>
      <w:lang w:val="en-US"/>
    </w:rPr>
  </w:style>
  <w:style w:type="character" w:customStyle="1" w:styleId="EndNoteBibliographyTitleChar">
    <w:name w:val="EndNote Bibliography Title Char"/>
    <w:basedOn w:val="RSCB04AHeadingSectionChar"/>
    <w:link w:val="EndNoteBibliographyTitle"/>
    <w:rsid w:val="002A6DB5"/>
    <w:rPr>
      <w:rFonts w:ascii="Calibri" w:hAnsi="Calibri"/>
      <w:b w:val="0"/>
      <w:noProof/>
      <w:sz w:val="18"/>
      <w:lang w:val="en-US"/>
    </w:rPr>
  </w:style>
  <w:style w:type="paragraph" w:customStyle="1" w:styleId="EndNoteBibliography">
    <w:name w:val="EndNote Bibliography"/>
    <w:basedOn w:val="Normal"/>
    <w:link w:val="EndNoteBibliographyChar"/>
    <w:rsid w:val="002A6DB5"/>
    <w:pPr>
      <w:spacing w:line="240" w:lineRule="auto"/>
      <w:jc w:val="both"/>
    </w:pPr>
    <w:rPr>
      <w:rFonts w:ascii="Calibri" w:hAnsi="Calibri"/>
      <w:noProof/>
      <w:sz w:val="18"/>
      <w:lang w:val="en-US"/>
    </w:rPr>
  </w:style>
  <w:style w:type="character" w:customStyle="1" w:styleId="EndNoteBibliographyChar">
    <w:name w:val="EndNote Bibliography Char"/>
    <w:basedOn w:val="RSCB04AHeadingSectionChar"/>
    <w:link w:val="EndNoteBibliography"/>
    <w:rsid w:val="002A6DB5"/>
    <w:rPr>
      <w:rFonts w:ascii="Calibri" w:hAnsi="Calibri"/>
      <w:b w:val="0"/>
      <w:noProof/>
      <w:sz w:val="18"/>
      <w:lang w:val="en-US"/>
    </w:rPr>
  </w:style>
  <w:style w:type="paragraph" w:customStyle="1" w:styleId="TESupportingInformation">
    <w:name w:val="TE_Supporting_Information"/>
    <w:basedOn w:val="Normal"/>
    <w:next w:val="Normal"/>
    <w:rsid w:val="0061067D"/>
    <w:pPr>
      <w:spacing w:line="480" w:lineRule="auto"/>
      <w:ind w:firstLine="187"/>
      <w:jc w:val="both"/>
    </w:pPr>
    <w:rPr>
      <w:rFonts w:ascii="Times" w:eastAsia="Times New Roman" w:hAnsi="Times" w:cs="Times New Roman"/>
      <w:sz w:val="24"/>
      <w:szCs w:val="20"/>
      <w:lang w:val="en-US"/>
    </w:rPr>
  </w:style>
  <w:style w:type="character" w:styleId="CommentReference">
    <w:name w:val="annotation reference"/>
    <w:basedOn w:val="DefaultParagraphFont"/>
    <w:uiPriority w:val="99"/>
    <w:semiHidden/>
    <w:unhideWhenUsed/>
    <w:rsid w:val="008A49FF"/>
    <w:rPr>
      <w:sz w:val="18"/>
      <w:szCs w:val="18"/>
    </w:rPr>
  </w:style>
  <w:style w:type="paragraph" w:styleId="CommentText">
    <w:name w:val="annotation text"/>
    <w:basedOn w:val="Normal"/>
    <w:link w:val="CommentTextChar"/>
    <w:uiPriority w:val="99"/>
    <w:semiHidden/>
    <w:unhideWhenUsed/>
    <w:rsid w:val="008A49FF"/>
    <w:pPr>
      <w:spacing w:line="240" w:lineRule="auto"/>
    </w:pPr>
    <w:rPr>
      <w:sz w:val="24"/>
      <w:szCs w:val="24"/>
    </w:rPr>
  </w:style>
  <w:style w:type="character" w:customStyle="1" w:styleId="CommentTextChar">
    <w:name w:val="Comment Text Char"/>
    <w:basedOn w:val="DefaultParagraphFont"/>
    <w:link w:val="CommentText"/>
    <w:uiPriority w:val="99"/>
    <w:semiHidden/>
    <w:rsid w:val="008A49FF"/>
    <w:rPr>
      <w:sz w:val="24"/>
      <w:szCs w:val="24"/>
    </w:rPr>
  </w:style>
  <w:style w:type="paragraph" w:customStyle="1" w:styleId="TAMainText">
    <w:name w:val="TA_Main_Text"/>
    <w:basedOn w:val="Normal"/>
    <w:autoRedefine/>
    <w:rsid w:val="002736F2"/>
    <w:pPr>
      <w:widowControl w:val="0"/>
      <w:spacing w:after="60" w:line="240" w:lineRule="auto"/>
      <w:jc w:val="both"/>
    </w:pPr>
    <w:rPr>
      <w:rFonts w:eastAsia="Times New Roman" w:cs="Arial"/>
      <w:kern w:val="21"/>
      <w:sz w:val="18"/>
      <w:szCs w:val="18"/>
      <w:lang w:val="en-US"/>
    </w:rPr>
  </w:style>
  <w:style w:type="character" w:customStyle="1" w:styleId="text">
    <w:name w:val="text"/>
    <w:basedOn w:val="DefaultParagraphFont"/>
    <w:rsid w:val="00ED2862"/>
  </w:style>
  <w:style w:type="character" w:customStyle="1" w:styleId="author-ref">
    <w:name w:val="author-ref"/>
    <w:basedOn w:val="DefaultParagraphFont"/>
    <w:rsid w:val="00ED2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160196288">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44424060">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2791213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20601098">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s://www.sciencedirect.com/science/article/pii/S254243511930032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hyperlink" Target="https://www.sciencedirect.com/science/article/pii/S2542435119300327"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10.emf"/><Relationship Id="rId28" Type="http://schemas.openxmlformats.org/officeDocument/2006/relationships/oleObject" Target="embeddings/oleObject3.bin"/><Relationship Id="rId36" Type="http://schemas.openxmlformats.org/officeDocument/2006/relationships/hyperlink" Target="https://www.sciencedirect.com/science/article/pii/S2542435119300327" TargetMode="Externa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 Id="rId22" Type="http://schemas.openxmlformats.org/officeDocument/2006/relationships/oleObject" Target="embeddings/oleObject1.bin"/><Relationship Id="rId27" Type="http://schemas.openxmlformats.org/officeDocument/2006/relationships/image" Target="media/image13.emf"/><Relationship Id="rId30" Type="http://schemas.openxmlformats.org/officeDocument/2006/relationships/oleObject" Target="embeddings/oleObject4.bin"/><Relationship Id="rId35" Type="http://schemas.openxmlformats.org/officeDocument/2006/relationships/hyperlink" Target="https://www.sciencedirect.com/science/article/pii/S254243511930032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A4254-3FD9-4EFE-AF90-3DD7C0184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0</TotalTime>
  <Pages>7</Pages>
  <Words>4121</Words>
  <Characters>23492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Sajjad, Tariq</cp:lastModifiedBy>
  <cp:revision>2</cp:revision>
  <cp:lastPrinted>2019-03-29T11:36:00Z</cp:lastPrinted>
  <dcterms:created xsi:type="dcterms:W3CDTF">2020-02-26T13:21:00Z</dcterms:created>
  <dcterms:modified xsi:type="dcterms:W3CDTF">2020-02-26T13:21:00Z</dcterms:modified>
</cp:coreProperties>
</file>