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42C3" w14:textId="77777777" w:rsidR="00DC5844" w:rsidRDefault="00DC5844" w:rsidP="00717F6D">
      <w:pPr>
        <w:jc w:val="center"/>
        <w:rPr>
          <w:b/>
          <w:caps/>
          <w:sz w:val="28"/>
          <w:szCs w:val="28"/>
        </w:rPr>
      </w:pPr>
    </w:p>
    <w:p w14:paraId="76F41511" w14:textId="1D45FA87" w:rsidR="00E61F56" w:rsidRDefault="0051238F" w:rsidP="00717F6D">
      <w:pPr>
        <w:jc w:val="center"/>
        <w:rPr>
          <w:b/>
          <w:caps/>
          <w:sz w:val="28"/>
          <w:szCs w:val="28"/>
        </w:rPr>
      </w:pPr>
      <w:r>
        <w:rPr>
          <w:b/>
          <w:caps/>
          <w:sz w:val="28"/>
          <w:szCs w:val="28"/>
        </w:rPr>
        <w:t>ENTREPRENEURSHIP EDUCATION FOR ENGINEERS: TECHNOLOGY EVALUATION AND COMMERCIALIZATION THROUGH PROJECT-BASED LEARNING</w:t>
      </w:r>
    </w:p>
    <w:p w14:paraId="0CD9327A" w14:textId="77777777" w:rsidR="00E61F56" w:rsidRDefault="00E61F56" w:rsidP="00222E7D"/>
    <w:p w14:paraId="03722B32" w14:textId="04C5948D" w:rsidR="00122A91" w:rsidRDefault="00F66ED6" w:rsidP="00717F6D">
      <w:pPr>
        <w:jc w:val="center"/>
        <w:rPr>
          <w:b/>
        </w:rPr>
      </w:pPr>
      <w:r>
        <w:rPr>
          <w:b/>
        </w:rPr>
        <w:t>Simon P. Philbin</w:t>
      </w:r>
    </w:p>
    <w:p w14:paraId="2AE0A942" w14:textId="15D4F6C3" w:rsidR="00F66ED6" w:rsidRDefault="00F66ED6" w:rsidP="00717F6D">
      <w:pPr>
        <w:jc w:val="center"/>
        <w:rPr>
          <w:b/>
        </w:rPr>
      </w:pPr>
      <w:r>
        <w:rPr>
          <w:b/>
        </w:rPr>
        <w:t>School of Engineering, London South Bank University</w:t>
      </w:r>
    </w:p>
    <w:p w14:paraId="260B5914" w14:textId="3EA9CE45" w:rsidR="00F66ED6" w:rsidRPr="00122A91" w:rsidRDefault="00F66ED6" w:rsidP="00717F6D">
      <w:pPr>
        <w:jc w:val="center"/>
        <w:rPr>
          <w:b/>
        </w:rPr>
      </w:pPr>
      <w:r>
        <w:rPr>
          <w:b/>
        </w:rPr>
        <w:t>philbins@lsbu.ac.uk</w:t>
      </w:r>
    </w:p>
    <w:p w14:paraId="4DEFCB78" w14:textId="77777777" w:rsidR="007C45C4" w:rsidRDefault="007C45C4" w:rsidP="00717F6D">
      <w:pPr>
        <w:ind w:right="-360"/>
        <w:jc w:val="both"/>
        <w:rPr>
          <w:sz w:val="20"/>
        </w:rPr>
      </w:pPr>
      <w:r>
        <w:rPr>
          <w:sz w:val="20"/>
        </w:rPr>
        <w:t>____________________________________________________________________________________________</w:t>
      </w:r>
    </w:p>
    <w:p w14:paraId="035D9E2D" w14:textId="77777777" w:rsidR="0007465F" w:rsidRDefault="0007465F" w:rsidP="00817DF2"/>
    <w:p w14:paraId="3989E72F" w14:textId="77777777" w:rsidR="007C45C4" w:rsidRPr="00817DF2" w:rsidRDefault="007C45C4" w:rsidP="00817DF2">
      <w:pPr>
        <w:rPr>
          <w:b/>
        </w:rPr>
      </w:pPr>
      <w:r w:rsidRPr="00817DF2">
        <w:rPr>
          <w:b/>
        </w:rPr>
        <w:t xml:space="preserve">Abstract </w:t>
      </w:r>
    </w:p>
    <w:p w14:paraId="0493F66D" w14:textId="39B40FBE" w:rsidR="006F3559" w:rsidRPr="00DE4867" w:rsidRDefault="006F3559" w:rsidP="006F3559">
      <w:pPr>
        <w:pStyle w:val="BodyText2"/>
        <w:rPr>
          <w:sz w:val="20"/>
        </w:rPr>
      </w:pPr>
      <w:r w:rsidRPr="00DE4867">
        <w:rPr>
          <w:sz w:val="20"/>
        </w:rPr>
        <w:t xml:space="preserve">Engineers </w:t>
      </w:r>
      <w:r w:rsidR="00F51E86">
        <w:rPr>
          <w:sz w:val="20"/>
        </w:rPr>
        <w:t xml:space="preserve">can </w:t>
      </w:r>
      <w:r w:rsidRPr="00DE4867">
        <w:rPr>
          <w:sz w:val="20"/>
        </w:rPr>
        <w:t xml:space="preserve">benefit from gaining skills and knowledge associated with the commercialization of technology and start-up formation as part of the business planning process. This includes understanding how to evaluate emerging technologies towards formulation of new products and services as well as wider practical and transferable skills, such as understanding financial management, </w:t>
      </w:r>
      <w:r>
        <w:rPr>
          <w:sz w:val="20"/>
        </w:rPr>
        <w:t xml:space="preserve">risk management, </w:t>
      </w:r>
      <w:r w:rsidRPr="00DE4867">
        <w:rPr>
          <w:sz w:val="20"/>
        </w:rPr>
        <w:t xml:space="preserve">intellectual property and other commercial considerations associated with developing new technologies. This </w:t>
      </w:r>
      <w:r w:rsidR="00303145">
        <w:rPr>
          <w:sz w:val="20"/>
        </w:rPr>
        <w:t xml:space="preserve">research </w:t>
      </w:r>
      <w:r w:rsidRPr="00DE4867">
        <w:rPr>
          <w:sz w:val="20"/>
        </w:rPr>
        <w:t>study provides</w:t>
      </w:r>
      <w:r w:rsidR="00F51E86">
        <w:rPr>
          <w:sz w:val="20"/>
        </w:rPr>
        <w:t xml:space="preserve"> </w:t>
      </w:r>
      <w:r w:rsidRPr="00DE4867">
        <w:rPr>
          <w:sz w:val="20"/>
        </w:rPr>
        <w:t xml:space="preserve">insights gained from the delivery of </w:t>
      </w:r>
      <w:r>
        <w:rPr>
          <w:sz w:val="20"/>
        </w:rPr>
        <w:t>technology entrepreneurship</w:t>
      </w:r>
      <w:r w:rsidRPr="00DE4867">
        <w:rPr>
          <w:sz w:val="20"/>
        </w:rPr>
        <w:t xml:space="preserve"> education for students as part of </w:t>
      </w:r>
      <w:r w:rsidR="001E74F8">
        <w:rPr>
          <w:sz w:val="20"/>
        </w:rPr>
        <w:t>graduate</w:t>
      </w:r>
      <w:r w:rsidRPr="00DE4867">
        <w:rPr>
          <w:sz w:val="20"/>
        </w:rPr>
        <w:t xml:space="preserve"> level engineering programs</w:t>
      </w:r>
      <w:r w:rsidR="007F2A39">
        <w:rPr>
          <w:sz w:val="20"/>
        </w:rPr>
        <w:t>.</w:t>
      </w:r>
      <w:r w:rsidRPr="00DE4867">
        <w:rPr>
          <w:sz w:val="20"/>
        </w:rPr>
        <w:t xml:space="preserve"> </w:t>
      </w:r>
      <w:r w:rsidR="007F2A39">
        <w:rPr>
          <w:sz w:val="20"/>
        </w:rPr>
        <w:t>This</w:t>
      </w:r>
      <w:r w:rsidRPr="00DE4867">
        <w:rPr>
          <w:sz w:val="20"/>
        </w:rPr>
        <w:t xml:space="preserve"> involves students working in </w:t>
      </w:r>
      <w:r>
        <w:rPr>
          <w:sz w:val="20"/>
        </w:rPr>
        <w:t xml:space="preserve">project-based </w:t>
      </w:r>
      <w:r w:rsidRPr="00DE4867">
        <w:rPr>
          <w:sz w:val="20"/>
        </w:rPr>
        <w:t xml:space="preserve">teams to evaluate emerging technologies and subsequently prepare a business plan for </w:t>
      </w:r>
      <w:r>
        <w:rPr>
          <w:sz w:val="20"/>
        </w:rPr>
        <w:t>new venture creation</w:t>
      </w:r>
      <w:r w:rsidRPr="00DE4867">
        <w:rPr>
          <w:sz w:val="20"/>
        </w:rPr>
        <w:t>. Th</w:t>
      </w:r>
      <w:r w:rsidR="00303145">
        <w:rPr>
          <w:sz w:val="20"/>
        </w:rPr>
        <w:t>e</w:t>
      </w:r>
      <w:r w:rsidRPr="00DE4867">
        <w:rPr>
          <w:sz w:val="20"/>
        </w:rPr>
        <w:t xml:space="preserve"> experiential </w:t>
      </w:r>
      <w:r>
        <w:rPr>
          <w:sz w:val="20"/>
        </w:rPr>
        <w:t>learning model</w:t>
      </w:r>
      <w:r w:rsidRPr="00DE4867">
        <w:rPr>
          <w:sz w:val="20"/>
        </w:rPr>
        <w:t xml:space="preserve"> is augmented with teaching material </w:t>
      </w:r>
      <w:r w:rsidR="007F2A39">
        <w:rPr>
          <w:sz w:val="20"/>
        </w:rPr>
        <w:t xml:space="preserve">and theoretical content </w:t>
      </w:r>
      <w:r w:rsidRPr="00DE4867">
        <w:rPr>
          <w:sz w:val="20"/>
        </w:rPr>
        <w:t xml:space="preserve">on </w:t>
      </w:r>
      <w:r w:rsidR="007F2A39">
        <w:rPr>
          <w:sz w:val="20"/>
        </w:rPr>
        <w:t xml:space="preserve">both </w:t>
      </w:r>
      <w:r w:rsidRPr="00DE4867">
        <w:rPr>
          <w:sz w:val="20"/>
        </w:rPr>
        <w:t xml:space="preserve">technology management </w:t>
      </w:r>
      <w:r w:rsidR="007F2A39">
        <w:rPr>
          <w:sz w:val="20"/>
        </w:rPr>
        <w:t>and</w:t>
      </w:r>
      <w:r w:rsidRPr="00DE4867">
        <w:rPr>
          <w:sz w:val="20"/>
        </w:rPr>
        <w:t xml:space="preserve"> business management. The study build</w:t>
      </w:r>
      <w:r>
        <w:rPr>
          <w:sz w:val="20"/>
        </w:rPr>
        <w:t>s</w:t>
      </w:r>
      <w:r w:rsidRPr="00DE4867">
        <w:rPr>
          <w:sz w:val="20"/>
        </w:rPr>
        <w:t xml:space="preserve"> on a supporting literature review to provide an exploration of the main elements of this </w:t>
      </w:r>
      <w:r>
        <w:rPr>
          <w:sz w:val="20"/>
        </w:rPr>
        <w:t>model</w:t>
      </w:r>
      <w:r w:rsidRPr="00DE4867">
        <w:rPr>
          <w:sz w:val="20"/>
        </w:rPr>
        <w:t xml:space="preserve"> </w:t>
      </w:r>
      <w:r>
        <w:rPr>
          <w:sz w:val="20"/>
        </w:rPr>
        <w:t>for</w:t>
      </w:r>
      <w:r w:rsidRPr="00DE4867">
        <w:rPr>
          <w:sz w:val="20"/>
        </w:rPr>
        <w:t xml:space="preserve"> </w:t>
      </w:r>
      <w:r>
        <w:rPr>
          <w:sz w:val="20"/>
        </w:rPr>
        <w:t>technology entrepreneurship</w:t>
      </w:r>
      <w:r w:rsidRPr="00DE4867">
        <w:rPr>
          <w:sz w:val="20"/>
        </w:rPr>
        <w:t xml:space="preserve"> education for engineers, including insights on the pedagogical aspects as well as the </w:t>
      </w:r>
      <w:r w:rsidR="00303145">
        <w:rPr>
          <w:sz w:val="20"/>
        </w:rPr>
        <w:t xml:space="preserve">unique </w:t>
      </w:r>
      <w:r w:rsidRPr="00DE4867">
        <w:rPr>
          <w:sz w:val="20"/>
        </w:rPr>
        <w:t xml:space="preserve">combination of business </w:t>
      </w:r>
      <w:r>
        <w:rPr>
          <w:sz w:val="20"/>
        </w:rPr>
        <w:t>and</w:t>
      </w:r>
      <w:r w:rsidRPr="00DE4867">
        <w:rPr>
          <w:sz w:val="20"/>
        </w:rPr>
        <w:t xml:space="preserve"> technological </w:t>
      </w:r>
      <w:r>
        <w:rPr>
          <w:sz w:val="20"/>
        </w:rPr>
        <w:t>focused</w:t>
      </w:r>
      <w:r w:rsidRPr="00DE4867">
        <w:rPr>
          <w:sz w:val="20"/>
        </w:rPr>
        <w:t xml:space="preserve"> content. The study conclude</w:t>
      </w:r>
      <w:r>
        <w:rPr>
          <w:sz w:val="20"/>
        </w:rPr>
        <w:t>s</w:t>
      </w:r>
      <w:r w:rsidRPr="00DE4867">
        <w:rPr>
          <w:sz w:val="20"/>
        </w:rPr>
        <w:t xml:space="preserve"> with a summary of </w:t>
      </w:r>
      <w:r w:rsidRPr="00A56AB8">
        <w:rPr>
          <w:sz w:val="20"/>
        </w:rPr>
        <w:t xml:space="preserve">lessons </w:t>
      </w:r>
      <w:r w:rsidR="00A56AB8" w:rsidRPr="00A56AB8">
        <w:rPr>
          <w:sz w:val="20"/>
        </w:rPr>
        <w:t xml:space="preserve">learned </w:t>
      </w:r>
      <w:r w:rsidRPr="00A56AB8">
        <w:rPr>
          <w:sz w:val="20"/>
        </w:rPr>
        <w:t>from</w:t>
      </w:r>
      <w:r w:rsidRPr="00DE4867">
        <w:rPr>
          <w:sz w:val="20"/>
        </w:rPr>
        <w:t xml:space="preserve"> this </w:t>
      </w:r>
      <w:r>
        <w:rPr>
          <w:sz w:val="20"/>
        </w:rPr>
        <w:t>application</w:t>
      </w:r>
      <w:r w:rsidRPr="00DE4867">
        <w:rPr>
          <w:sz w:val="20"/>
        </w:rPr>
        <w:t xml:space="preserve"> of </w:t>
      </w:r>
      <w:r>
        <w:rPr>
          <w:sz w:val="20"/>
        </w:rPr>
        <w:t>entrepreneurship</w:t>
      </w:r>
      <w:r w:rsidRPr="00DE4867">
        <w:rPr>
          <w:sz w:val="20"/>
        </w:rPr>
        <w:t xml:space="preserve"> education for engineers, which can help practitioners to deliver related programs and inform future research studies.</w:t>
      </w:r>
    </w:p>
    <w:p w14:paraId="3B359421" w14:textId="77777777" w:rsidR="007C45C4" w:rsidRDefault="007C45C4" w:rsidP="00717F6D">
      <w:pPr>
        <w:pStyle w:val="BodyText2"/>
        <w:rPr>
          <w:sz w:val="20"/>
        </w:rPr>
      </w:pPr>
    </w:p>
    <w:p w14:paraId="11808471" w14:textId="77777777" w:rsidR="00642F77" w:rsidRPr="00642F77" w:rsidRDefault="003141B8" w:rsidP="00717F6D">
      <w:pPr>
        <w:pStyle w:val="BodyText2"/>
        <w:rPr>
          <w:szCs w:val="24"/>
        </w:rPr>
      </w:pPr>
      <w:r w:rsidRPr="00642F77">
        <w:rPr>
          <w:b/>
          <w:szCs w:val="24"/>
        </w:rPr>
        <w:t>Keywords</w:t>
      </w:r>
    </w:p>
    <w:p w14:paraId="2CBE9A9C" w14:textId="1AAAAE90" w:rsidR="006F3559" w:rsidRDefault="006F3559" w:rsidP="006F3559">
      <w:pPr>
        <w:rPr>
          <w:sz w:val="20"/>
        </w:rPr>
      </w:pPr>
      <w:r>
        <w:rPr>
          <w:sz w:val="20"/>
        </w:rPr>
        <w:t>Engineering education, technology entrepreneurship, project-based learning, start-up formation.</w:t>
      </w:r>
    </w:p>
    <w:p w14:paraId="77521EF1" w14:textId="77777777" w:rsidR="003141B8" w:rsidRPr="003141B8" w:rsidRDefault="003141B8" w:rsidP="00717F6D">
      <w:pPr>
        <w:pStyle w:val="BodyText2"/>
        <w:rPr>
          <w:sz w:val="20"/>
        </w:rPr>
      </w:pPr>
    </w:p>
    <w:p w14:paraId="247A0BEC" w14:textId="77777777" w:rsidR="007C45C4" w:rsidRPr="00642F77" w:rsidRDefault="00642F77" w:rsidP="002E52AE">
      <w:pPr>
        <w:pStyle w:val="Heading1"/>
        <w:rPr>
          <w:szCs w:val="24"/>
        </w:rPr>
      </w:pPr>
      <w:r w:rsidRPr="00642F77">
        <w:rPr>
          <w:szCs w:val="24"/>
        </w:rPr>
        <w:t>Introduction</w:t>
      </w:r>
    </w:p>
    <w:p w14:paraId="53FD8D64" w14:textId="7FBB41A6" w:rsidR="00694675" w:rsidRDefault="00694675" w:rsidP="00694675">
      <w:pPr>
        <w:pStyle w:val="BodyText2"/>
        <w:rPr>
          <w:sz w:val="20"/>
        </w:rPr>
      </w:pPr>
      <w:r w:rsidRPr="00B77F9D">
        <w:rPr>
          <w:sz w:val="20"/>
        </w:rPr>
        <w:t xml:space="preserve">It is widely recognized that entrepreneurship education can benefit engineers </w:t>
      </w:r>
      <w:r w:rsidR="00524C4A">
        <w:rPr>
          <w:sz w:val="20"/>
        </w:rPr>
        <w:t xml:space="preserve">(Philbin, 2020) </w:t>
      </w:r>
      <w:r w:rsidRPr="00B77F9D">
        <w:rPr>
          <w:sz w:val="20"/>
        </w:rPr>
        <w:t xml:space="preserve">through </w:t>
      </w:r>
      <w:r>
        <w:rPr>
          <w:sz w:val="20"/>
        </w:rPr>
        <w:t>enabling</w:t>
      </w:r>
      <w:r w:rsidRPr="00B77F9D">
        <w:rPr>
          <w:sz w:val="20"/>
        </w:rPr>
        <w:t xml:space="preserve"> access to a wider set of transferable skills thereby providing greater options to adapt to future work and career changes (RAE, 2017a).  Indeed, it has been found that there is a growing need for multidisciplinary engineers with access to a wider set of skills </w:t>
      </w:r>
      <w:r w:rsidR="00524C4A">
        <w:rPr>
          <w:sz w:val="20"/>
        </w:rPr>
        <w:t>(</w:t>
      </w:r>
      <w:r w:rsidR="00524C4A" w:rsidRPr="00524C4A">
        <w:rPr>
          <w:sz w:val="20"/>
          <w:lang w:val="en-GB" w:eastAsia="en-GB"/>
        </w:rPr>
        <w:t>Philbin</w:t>
      </w:r>
      <w:r w:rsidR="00524C4A">
        <w:rPr>
          <w:sz w:val="20"/>
          <w:lang w:val="en-GB" w:eastAsia="en-GB"/>
        </w:rPr>
        <w:t xml:space="preserve"> et al., </w:t>
      </w:r>
      <w:r w:rsidR="00524C4A" w:rsidRPr="00524C4A">
        <w:rPr>
          <w:sz w:val="20"/>
          <w:lang w:val="en-GB" w:eastAsia="en-GB"/>
        </w:rPr>
        <w:t>2019)</w:t>
      </w:r>
      <w:r w:rsidR="00524C4A">
        <w:rPr>
          <w:sz w:val="20"/>
          <w:lang w:val="en-GB" w:eastAsia="en-GB"/>
        </w:rPr>
        <w:t>,</w:t>
      </w:r>
      <w:r w:rsidR="00524C4A" w:rsidRPr="00524C4A">
        <w:rPr>
          <w:sz w:val="20"/>
          <w:lang w:val="en-GB" w:eastAsia="en-GB"/>
        </w:rPr>
        <w:t xml:space="preserve"> </w:t>
      </w:r>
      <w:r w:rsidR="00524C4A">
        <w:rPr>
          <w:sz w:val="20"/>
        </w:rPr>
        <w:t>where</w:t>
      </w:r>
      <w:r w:rsidRPr="00B77F9D">
        <w:rPr>
          <w:sz w:val="20"/>
        </w:rPr>
        <w:t xml:space="preserve"> equipping engineers </w:t>
      </w:r>
      <w:r>
        <w:rPr>
          <w:sz w:val="20"/>
        </w:rPr>
        <w:t xml:space="preserve">with </w:t>
      </w:r>
      <w:r w:rsidRPr="00B77F9D">
        <w:rPr>
          <w:sz w:val="20"/>
        </w:rPr>
        <w:t>improved skills and knowledge in entrepreneurship can be viewed in this context (</w:t>
      </w:r>
      <w:r w:rsidRPr="00623900">
        <w:rPr>
          <w:sz w:val="20"/>
          <w:lang w:eastAsia="en-GB"/>
        </w:rPr>
        <w:t>Barba-Sánchez</w:t>
      </w:r>
      <w:r w:rsidRPr="00B77F9D">
        <w:rPr>
          <w:sz w:val="20"/>
          <w:lang w:eastAsia="en-GB"/>
        </w:rPr>
        <w:t xml:space="preserve"> and </w:t>
      </w:r>
      <w:r w:rsidRPr="00623900">
        <w:rPr>
          <w:sz w:val="20"/>
          <w:lang w:eastAsia="en-GB"/>
        </w:rPr>
        <w:t>Atienza-</w:t>
      </w:r>
      <w:proofErr w:type="spellStart"/>
      <w:r w:rsidRPr="00623900">
        <w:rPr>
          <w:sz w:val="20"/>
          <w:lang w:eastAsia="en-GB"/>
        </w:rPr>
        <w:t>Sahuquillo</w:t>
      </w:r>
      <w:proofErr w:type="spellEnd"/>
      <w:r w:rsidRPr="00623900">
        <w:rPr>
          <w:sz w:val="20"/>
          <w:lang w:eastAsia="en-GB"/>
        </w:rPr>
        <w:t>, 2018)</w:t>
      </w:r>
      <w:r w:rsidRPr="00B77F9D">
        <w:rPr>
          <w:sz w:val="20"/>
        </w:rPr>
        <w:t xml:space="preserve">. These wider skills have been described as being part of the </w:t>
      </w:r>
      <w:r w:rsidRPr="00B445E1">
        <w:rPr>
          <w:sz w:val="20"/>
        </w:rPr>
        <w:t>engineering habits of the mind, which includes systems thinking, adapting, problem-finding, creative problem-solving, visualizing and improving – ultimately focused on enabling the core engineering objective of “</w:t>
      </w:r>
      <w:r w:rsidRPr="00A3614E">
        <w:rPr>
          <w:i/>
          <w:iCs/>
          <w:sz w:val="20"/>
        </w:rPr>
        <w:t>making things that work and making things work better</w:t>
      </w:r>
      <w:r w:rsidRPr="00B445E1">
        <w:rPr>
          <w:sz w:val="20"/>
        </w:rPr>
        <w:t xml:space="preserve">” (RAE, 2017b). </w:t>
      </w:r>
      <w:r>
        <w:rPr>
          <w:sz w:val="20"/>
          <w:lang w:eastAsia="en-GB"/>
        </w:rPr>
        <w:t xml:space="preserve">Furthermore, </w:t>
      </w:r>
      <w:r w:rsidRPr="00B445E1">
        <w:rPr>
          <w:sz w:val="20"/>
          <w:lang w:eastAsia="en-GB"/>
        </w:rPr>
        <w:t xml:space="preserve">inclusion of entrepreneurship education into engineering programs can support </w:t>
      </w:r>
      <w:r w:rsidR="00F10158">
        <w:rPr>
          <w:sz w:val="20"/>
          <w:lang w:eastAsia="en-GB"/>
        </w:rPr>
        <w:t xml:space="preserve">the development of </w:t>
      </w:r>
      <w:r w:rsidRPr="00B445E1">
        <w:rPr>
          <w:sz w:val="20"/>
          <w:lang w:eastAsia="en-GB"/>
        </w:rPr>
        <w:t xml:space="preserve">soft skills across areas such as </w:t>
      </w:r>
      <w:r w:rsidRPr="00B445E1">
        <w:rPr>
          <w:sz w:val="20"/>
        </w:rPr>
        <w:t>project management, teamwork, communication as well as personal development</w:t>
      </w:r>
      <w:r w:rsidRPr="00BB1D84">
        <w:rPr>
          <w:sz w:val="20"/>
          <w:lang w:eastAsia="en-GB"/>
        </w:rPr>
        <w:t xml:space="preserve"> </w:t>
      </w:r>
      <w:r>
        <w:rPr>
          <w:sz w:val="20"/>
          <w:lang w:eastAsia="en-GB"/>
        </w:rPr>
        <w:t>(</w:t>
      </w:r>
      <w:r w:rsidRPr="00B445E1">
        <w:rPr>
          <w:sz w:val="20"/>
          <w:lang w:eastAsia="en-GB"/>
        </w:rPr>
        <w:t>Soares</w:t>
      </w:r>
      <w:r w:rsidRPr="00B445E1">
        <w:rPr>
          <w:b/>
          <w:bCs/>
          <w:sz w:val="20"/>
          <w:lang w:eastAsia="en-GB"/>
        </w:rPr>
        <w:t xml:space="preserve"> </w:t>
      </w:r>
      <w:r w:rsidRPr="00B445E1">
        <w:rPr>
          <w:sz w:val="20"/>
          <w:lang w:eastAsia="en-GB"/>
        </w:rPr>
        <w:t>et al., 2013</w:t>
      </w:r>
      <w:r>
        <w:rPr>
          <w:sz w:val="20"/>
          <w:lang w:eastAsia="en-GB"/>
        </w:rPr>
        <w:t>)</w:t>
      </w:r>
      <w:r>
        <w:rPr>
          <w:sz w:val="20"/>
        </w:rPr>
        <w:t>. These enterprise related</w:t>
      </w:r>
      <w:r w:rsidRPr="00B445E1">
        <w:rPr>
          <w:sz w:val="20"/>
        </w:rPr>
        <w:t xml:space="preserve"> </w:t>
      </w:r>
      <w:r>
        <w:rPr>
          <w:sz w:val="20"/>
        </w:rPr>
        <w:t xml:space="preserve">competencies are </w:t>
      </w:r>
      <w:r w:rsidRPr="00B445E1">
        <w:rPr>
          <w:sz w:val="20"/>
        </w:rPr>
        <w:t xml:space="preserve">viewed as being valuable </w:t>
      </w:r>
      <w:r>
        <w:rPr>
          <w:sz w:val="20"/>
        </w:rPr>
        <w:t>skills</w:t>
      </w:r>
      <w:r w:rsidRPr="00B445E1">
        <w:rPr>
          <w:sz w:val="20"/>
        </w:rPr>
        <w:t xml:space="preserve"> to possess when graduates are pursuing employment opportunities (</w:t>
      </w:r>
      <w:r w:rsidRPr="00BB1D84">
        <w:rPr>
          <w:sz w:val="20"/>
          <w:lang w:eastAsia="en-GB"/>
        </w:rPr>
        <w:t>Galloway</w:t>
      </w:r>
      <w:r>
        <w:rPr>
          <w:sz w:val="20"/>
          <w:lang w:eastAsia="en-GB"/>
        </w:rPr>
        <w:t xml:space="preserve"> et al., </w:t>
      </w:r>
      <w:r w:rsidRPr="00BB1D84">
        <w:rPr>
          <w:sz w:val="20"/>
          <w:lang w:eastAsia="en-GB"/>
        </w:rPr>
        <w:t>2006</w:t>
      </w:r>
      <w:r w:rsidRPr="00B445E1">
        <w:rPr>
          <w:sz w:val="20"/>
          <w:lang w:eastAsia="en-GB"/>
        </w:rPr>
        <w:t>)</w:t>
      </w:r>
      <w:r w:rsidRPr="00B445E1">
        <w:rPr>
          <w:sz w:val="20"/>
        </w:rPr>
        <w:t>.</w:t>
      </w:r>
      <w:r w:rsidRPr="00CA2DAE">
        <w:rPr>
          <w:sz w:val="20"/>
        </w:rPr>
        <w:t xml:space="preserve"> </w:t>
      </w:r>
      <w:r w:rsidRPr="00B445E1">
        <w:rPr>
          <w:sz w:val="20"/>
        </w:rPr>
        <w:t xml:space="preserve">In order to </w:t>
      </w:r>
      <w:r>
        <w:rPr>
          <w:sz w:val="20"/>
        </w:rPr>
        <w:t xml:space="preserve">improve the entrepreneurial mindset </w:t>
      </w:r>
      <w:r w:rsidR="00F10158">
        <w:rPr>
          <w:sz w:val="20"/>
        </w:rPr>
        <w:t>of</w:t>
      </w:r>
      <w:r>
        <w:rPr>
          <w:sz w:val="20"/>
        </w:rPr>
        <w:t xml:space="preserve"> engineers</w:t>
      </w:r>
      <w:r w:rsidRPr="00B445E1">
        <w:rPr>
          <w:sz w:val="20"/>
        </w:rPr>
        <w:t xml:space="preserve"> and over the last couple of decades</w:t>
      </w:r>
      <w:r>
        <w:rPr>
          <w:sz w:val="20"/>
        </w:rPr>
        <w:t>,</w:t>
      </w:r>
      <w:r w:rsidRPr="00B445E1">
        <w:rPr>
          <w:sz w:val="20"/>
        </w:rPr>
        <w:t xml:space="preserve"> there has been an increasing preponderance of academic institutions that have integrated entrepreneurship and business management course</w:t>
      </w:r>
      <w:r>
        <w:rPr>
          <w:sz w:val="20"/>
        </w:rPr>
        <w:t>s</w:t>
      </w:r>
      <w:r w:rsidRPr="00B445E1">
        <w:rPr>
          <w:sz w:val="20"/>
        </w:rPr>
        <w:t xml:space="preserve"> and materials into engineering programs (</w:t>
      </w:r>
      <w:r w:rsidRPr="00B77F9D">
        <w:rPr>
          <w:sz w:val="20"/>
          <w:lang w:eastAsia="en-GB"/>
        </w:rPr>
        <w:t>Nichols</w:t>
      </w:r>
      <w:r w:rsidRPr="00B445E1">
        <w:rPr>
          <w:sz w:val="20"/>
          <w:lang w:eastAsia="en-GB"/>
        </w:rPr>
        <w:t xml:space="preserve"> and </w:t>
      </w:r>
      <w:r w:rsidRPr="00B77F9D">
        <w:rPr>
          <w:sz w:val="20"/>
          <w:lang w:eastAsia="en-GB"/>
        </w:rPr>
        <w:t>Armstrong, 2003</w:t>
      </w:r>
      <w:r w:rsidRPr="00B445E1">
        <w:rPr>
          <w:sz w:val="20"/>
          <w:lang w:eastAsia="en-GB"/>
        </w:rPr>
        <w:t>).</w:t>
      </w:r>
    </w:p>
    <w:p w14:paraId="5C0CEF4B" w14:textId="11E829BB" w:rsidR="00694675" w:rsidRDefault="00694675" w:rsidP="00694675">
      <w:pPr>
        <w:ind w:firstLine="426"/>
        <w:jc w:val="both"/>
        <w:rPr>
          <w:sz w:val="20"/>
          <w:lang w:eastAsia="en-GB"/>
        </w:rPr>
      </w:pPr>
      <w:r>
        <w:rPr>
          <w:sz w:val="20"/>
        </w:rPr>
        <w:t>The case for incorporating entrepreneurship into engineering education can also be linked to the current and potential future challenges and opportunities that engineering faces. Such challenges include mitigating the impact of climate change and adopting renewable forms of energy; enabling sustainable development across society and achievement of the United Nations sustainable development goals (SDGs); providing access to healthcare, which is becoming increasingly costly; and not least continuing to respond to the COVID-19 pandemic. In this context, for a treatment of how innovation can drive forward sustainable development</w:t>
      </w:r>
      <w:r w:rsidR="00F10158">
        <w:rPr>
          <w:sz w:val="20"/>
        </w:rPr>
        <w:t>,</w:t>
      </w:r>
      <w:r>
        <w:rPr>
          <w:sz w:val="20"/>
        </w:rPr>
        <w:t xml:space="preserve"> see the work of </w:t>
      </w:r>
      <w:r w:rsidRPr="00D11DC7">
        <w:rPr>
          <w:sz w:val="20"/>
          <w:lang w:eastAsia="en-GB"/>
        </w:rPr>
        <w:t>Silvestre</w:t>
      </w:r>
      <w:r>
        <w:rPr>
          <w:sz w:val="20"/>
          <w:lang w:eastAsia="en-GB"/>
        </w:rPr>
        <w:t xml:space="preserve"> and </w:t>
      </w:r>
      <w:proofErr w:type="spellStart"/>
      <w:r w:rsidRPr="00D11DC7">
        <w:rPr>
          <w:sz w:val="20"/>
          <w:lang w:eastAsia="en-GB"/>
        </w:rPr>
        <w:t>Ţîrcă</w:t>
      </w:r>
      <w:proofErr w:type="spellEnd"/>
      <w:r>
        <w:rPr>
          <w:sz w:val="20"/>
          <w:lang w:eastAsia="en-GB"/>
        </w:rPr>
        <w:t xml:space="preserve"> (</w:t>
      </w:r>
      <w:r w:rsidRPr="00D11DC7">
        <w:rPr>
          <w:sz w:val="20"/>
          <w:lang w:eastAsia="en-GB"/>
        </w:rPr>
        <w:t xml:space="preserve">2019). </w:t>
      </w:r>
      <w:r w:rsidR="00560EC6">
        <w:rPr>
          <w:sz w:val="20"/>
        </w:rPr>
        <w:t>These</w:t>
      </w:r>
      <w:r>
        <w:rPr>
          <w:sz w:val="20"/>
        </w:rPr>
        <w:t xml:space="preserve"> challenges are however accompanied by many opportunities, such as those associated with the Industry 4.0 technological paradigm (</w:t>
      </w:r>
      <w:proofErr w:type="spellStart"/>
      <w:r w:rsidRPr="00D11DC7">
        <w:rPr>
          <w:sz w:val="20"/>
          <w:lang w:eastAsia="en-GB"/>
        </w:rPr>
        <w:t>Dalenogare</w:t>
      </w:r>
      <w:proofErr w:type="spellEnd"/>
      <w:r>
        <w:rPr>
          <w:sz w:val="20"/>
          <w:lang w:eastAsia="en-GB"/>
        </w:rPr>
        <w:t xml:space="preserve"> et al., </w:t>
      </w:r>
      <w:r w:rsidRPr="00D11DC7">
        <w:rPr>
          <w:sz w:val="20"/>
          <w:lang w:eastAsia="en-GB"/>
        </w:rPr>
        <w:t>2018)</w:t>
      </w:r>
      <w:r>
        <w:rPr>
          <w:sz w:val="20"/>
          <w:lang w:eastAsia="en-GB"/>
        </w:rPr>
        <w:t xml:space="preserve"> </w:t>
      </w:r>
      <w:r>
        <w:rPr>
          <w:sz w:val="20"/>
        </w:rPr>
        <w:t xml:space="preserve">and related technologies including the internet-of-things, artificial intelligence and digital twins. This landscape of challenges and opportunities provides fertile ground for engineers to </w:t>
      </w:r>
      <w:r>
        <w:rPr>
          <w:sz w:val="20"/>
        </w:rPr>
        <w:lastRenderedPageBreak/>
        <w:t xml:space="preserve">be enterprising; this includes entrepreneurship through start-up formation; intrapreneurship through building a new program, product or business area within an existing organization; as well as more generally leveraging R&amp;D (research and development) as part of the innovation process. In this regard, </w:t>
      </w:r>
      <w:proofErr w:type="spellStart"/>
      <w:r>
        <w:rPr>
          <w:sz w:val="20"/>
        </w:rPr>
        <w:t>Ries</w:t>
      </w:r>
      <w:proofErr w:type="spellEnd"/>
      <w:r>
        <w:rPr>
          <w:sz w:val="20"/>
        </w:rPr>
        <w:t xml:space="preserve"> (2011) viewed entrepreneurship from a broader perspective through defining a start-up as </w:t>
      </w:r>
      <w:r w:rsidRPr="00EF4718">
        <w:rPr>
          <w:sz w:val="20"/>
        </w:rPr>
        <w:t>“</w:t>
      </w:r>
      <w:r w:rsidRPr="00B2435A">
        <w:rPr>
          <w:i/>
          <w:iCs/>
          <w:sz w:val="20"/>
        </w:rPr>
        <w:t>a human institution designed to create a new product or service under conditions of extreme uncertainty</w:t>
      </w:r>
      <w:r w:rsidRPr="00B2435A">
        <w:rPr>
          <w:sz w:val="20"/>
        </w:rPr>
        <w:t>”</w:t>
      </w:r>
      <w:r>
        <w:rPr>
          <w:sz w:val="20"/>
        </w:rPr>
        <w:t xml:space="preserve">. Consequently, </w:t>
      </w:r>
      <w:r w:rsidRPr="000F2D84">
        <w:rPr>
          <w:sz w:val="20"/>
        </w:rPr>
        <w:t>it is important that engineers are provided with a solid grounding in multidisciplinary skills and especially those relating to technology entrepreneurship (</w:t>
      </w:r>
      <w:proofErr w:type="spellStart"/>
      <w:r w:rsidRPr="000F2D84">
        <w:rPr>
          <w:sz w:val="20"/>
          <w:lang w:eastAsia="en-GB"/>
        </w:rPr>
        <w:t>Bailetti</w:t>
      </w:r>
      <w:proofErr w:type="spellEnd"/>
      <w:r w:rsidRPr="000F2D84">
        <w:rPr>
          <w:sz w:val="20"/>
          <w:lang w:eastAsia="en-GB"/>
        </w:rPr>
        <w:t>, 2012)</w:t>
      </w:r>
      <w:r w:rsidR="00F40FEA">
        <w:rPr>
          <w:sz w:val="20"/>
          <w:lang w:eastAsia="en-GB"/>
        </w:rPr>
        <w:t xml:space="preserve"> and related areas such as business planning (</w:t>
      </w:r>
      <w:r w:rsidR="00F40FEA" w:rsidRPr="00273260">
        <w:rPr>
          <w:sz w:val="20"/>
          <w:lang w:val="en-GB" w:eastAsia="en-GB"/>
        </w:rPr>
        <w:t>Philbin</w:t>
      </w:r>
      <w:r w:rsidR="00F40FEA">
        <w:rPr>
          <w:sz w:val="20"/>
          <w:lang w:val="en-GB" w:eastAsia="en-GB"/>
        </w:rPr>
        <w:t xml:space="preserve"> and</w:t>
      </w:r>
      <w:r w:rsidR="00F40FEA" w:rsidRPr="00273260">
        <w:rPr>
          <w:sz w:val="20"/>
          <w:lang w:val="en-GB" w:eastAsia="en-GB"/>
        </w:rPr>
        <w:t xml:space="preserve"> Mallo, 2016)</w:t>
      </w:r>
      <w:r w:rsidR="00F40FEA">
        <w:rPr>
          <w:sz w:val="20"/>
          <w:lang w:val="en-GB" w:eastAsia="en-GB"/>
        </w:rPr>
        <w:t xml:space="preserve"> </w:t>
      </w:r>
      <w:r w:rsidR="00F40FEA">
        <w:rPr>
          <w:sz w:val="20"/>
          <w:lang w:eastAsia="en-GB"/>
        </w:rPr>
        <w:t>and technology transfer (</w:t>
      </w:r>
      <w:r w:rsidR="00F40FEA" w:rsidRPr="00AD0D3C">
        <w:rPr>
          <w:sz w:val="20"/>
          <w:lang w:eastAsia="en-GB"/>
        </w:rPr>
        <w:t>Hamilton</w:t>
      </w:r>
      <w:r w:rsidR="00F40FEA">
        <w:rPr>
          <w:sz w:val="20"/>
          <w:lang w:eastAsia="en-GB"/>
        </w:rPr>
        <w:t xml:space="preserve"> and</w:t>
      </w:r>
      <w:r w:rsidR="00F40FEA" w:rsidRPr="00AD0D3C">
        <w:rPr>
          <w:sz w:val="20"/>
          <w:lang w:eastAsia="en-GB"/>
        </w:rPr>
        <w:t xml:space="preserve"> Philbin,</w:t>
      </w:r>
      <w:r w:rsidR="00F40FEA">
        <w:rPr>
          <w:sz w:val="20"/>
          <w:lang w:eastAsia="en-GB"/>
        </w:rPr>
        <w:t xml:space="preserve"> </w:t>
      </w:r>
      <w:r w:rsidR="00F40FEA" w:rsidRPr="00AD0D3C">
        <w:rPr>
          <w:sz w:val="20"/>
          <w:lang w:eastAsia="en-GB"/>
        </w:rPr>
        <w:t>2020)</w:t>
      </w:r>
      <w:r w:rsidRPr="000F2D84">
        <w:rPr>
          <w:sz w:val="20"/>
          <w:lang w:eastAsia="en-GB"/>
        </w:rPr>
        <w:t>.</w:t>
      </w:r>
    </w:p>
    <w:p w14:paraId="1F031306" w14:textId="69FA24F2" w:rsidR="00694675" w:rsidRPr="004378D2" w:rsidRDefault="00694675" w:rsidP="00694675">
      <w:pPr>
        <w:ind w:firstLine="426"/>
        <w:jc w:val="both"/>
        <w:rPr>
          <w:sz w:val="20"/>
          <w:lang w:eastAsia="en-GB"/>
        </w:rPr>
      </w:pPr>
      <w:r w:rsidRPr="000F2D84">
        <w:rPr>
          <w:color w:val="111111"/>
          <w:spacing w:val="-3"/>
          <w:sz w:val="20"/>
        </w:rPr>
        <w:t xml:space="preserve">The structure of this article is as follows. After the introduction is the literature review on entrepreneurship education for engineers. This is followed by the case study investigation, which discusses key aspects of the technology evaluation and commercialization module that underpins technology entrepreneurship education and is currently delivered as part of </w:t>
      </w:r>
      <w:r w:rsidRPr="000F2D84">
        <w:rPr>
          <w:sz w:val="20"/>
        </w:rPr>
        <w:t>MSc level engineering programs</w:t>
      </w:r>
      <w:r w:rsidR="00F10158">
        <w:rPr>
          <w:sz w:val="20"/>
        </w:rPr>
        <w:t xml:space="preserve"> at </w:t>
      </w:r>
      <w:r w:rsidR="00702370">
        <w:rPr>
          <w:sz w:val="20"/>
        </w:rPr>
        <w:t>London South Bank University in</w:t>
      </w:r>
      <w:r w:rsidR="00F10158">
        <w:rPr>
          <w:sz w:val="20"/>
        </w:rPr>
        <w:t xml:space="preserve"> the United Kingdom</w:t>
      </w:r>
      <w:r w:rsidR="00702370">
        <w:rPr>
          <w:sz w:val="20"/>
        </w:rPr>
        <w:t xml:space="preserve"> (UK)</w:t>
      </w:r>
      <w:r w:rsidRPr="000F2D84">
        <w:rPr>
          <w:sz w:val="20"/>
        </w:rPr>
        <w:t xml:space="preserve">. The case study includes details on the background of the case, module structure and delivery, module assessment, team-based approach and lessons </w:t>
      </w:r>
      <w:r w:rsidR="00A56AB8" w:rsidRPr="00A56AB8">
        <w:rPr>
          <w:sz w:val="20"/>
        </w:rPr>
        <w:t>learned</w:t>
      </w:r>
      <w:r w:rsidRPr="000F2D84">
        <w:rPr>
          <w:sz w:val="20"/>
        </w:rPr>
        <w:t xml:space="preserve">. </w:t>
      </w:r>
      <w:r w:rsidRPr="000F2D84">
        <w:rPr>
          <w:color w:val="111111"/>
          <w:spacing w:val="-3"/>
          <w:sz w:val="20"/>
        </w:rPr>
        <w:t xml:space="preserve">This </w:t>
      </w:r>
      <w:r w:rsidR="00560EC6">
        <w:rPr>
          <w:color w:val="111111"/>
          <w:spacing w:val="-3"/>
          <w:sz w:val="20"/>
        </w:rPr>
        <w:t>is</w:t>
      </w:r>
      <w:r w:rsidRPr="000F2D84">
        <w:rPr>
          <w:color w:val="111111"/>
          <w:spacing w:val="-3"/>
          <w:sz w:val="20"/>
        </w:rPr>
        <w:t xml:space="preserve"> followed by the conclusions and future work.</w:t>
      </w:r>
    </w:p>
    <w:p w14:paraId="1461127F" w14:textId="77777777" w:rsidR="004378D2" w:rsidRDefault="004378D2" w:rsidP="00717F6D">
      <w:pPr>
        <w:pStyle w:val="BodyText2"/>
        <w:rPr>
          <w:b/>
          <w:sz w:val="20"/>
        </w:rPr>
      </w:pPr>
    </w:p>
    <w:p w14:paraId="6B0F3C9E" w14:textId="1CEB675E" w:rsidR="004378D2" w:rsidRPr="00667AE3" w:rsidRDefault="00643044" w:rsidP="00717F6D">
      <w:pPr>
        <w:pStyle w:val="BodyText2"/>
        <w:rPr>
          <w:b/>
        </w:rPr>
      </w:pPr>
      <w:r>
        <w:rPr>
          <w:b/>
        </w:rPr>
        <w:t>Literature Review</w:t>
      </w:r>
    </w:p>
    <w:p w14:paraId="7A55ED80" w14:textId="12F19DC2" w:rsidR="00694675" w:rsidRDefault="00694675" w:rsidP="00694675">
      <w:pPr>
        <w:pStyle w:val="BodyText2"/>
        <w:rPr>
          <w:sz w:val="20"/>
        </w:rPr>
      </w:pPr>
      <w:r w:rsidRPr="005C745C">
        <w:rPr>
          <w:sz w:val="20"/>
        </w:rPr>
        <w:t xml:space="preserve">Entrepreneurship education for engineers has been investigated according to a range of different perspectives, for instance, </w:t>
      </w:r>
      <w:r w:rsidR="00106935">
        <w:rPr>
          <w:sz w:val="20"/>
        </w:rPr>
        <w:t>exploring</w:t>
      </w:r>
      <w:r>
        <w:rPr>
          <w:sz w:val="20"/>
        </w:rPr>
        <w:t xml:space="preserve"> </w:t>
      </w:r>
      <w:r w:rsidRPr="005C745C">
        <w:rPr>
          <w:sz w:val="20"/>
        </w:rPr>
        <w:t>the role of entrepreneurship education in motivating students (from business and engineering programs) to start their own business as a viable alternative to entering the employment market (</w:t>
      </w:r>
      <w:r w:rsidRPr="005C745C">
        <w:rPr>
          <w:sz w:val="20"/>
          <w:lang w:eastAsia="en-GB"/>
        </w:rPr>
        <w:t xml:space="preserve">Herman and </w:t>
      </w:r>
      <w:proofErr w:type="spellStart"/>
      <w:r w:rsidRPr="005C745C">
        <w:rPr>
          <w:sz w:val="20"/>
          <w:lang w:eastAsia="en-GB"/>
        </w:rPr>
        <w:t>Stefanescu</w:t>
      </w:r>
      <w:proofErr w:type="spellEnd"/>
      <w:r w:rsidRPr="005C745C">
        <w:rPr>
          <w:sz w:val="20"/>
          <w:lang w:eastAsia="en-GB"/>
        </w:rPr>
        <w:t>, 2017)</w:t>
      </w:r>
      <w:r>
        <w:rPr>
          <w:sz w:val="20"/>
          <w:lang w:eastAsia="en-GB"/>
        </w:rPr>
        <w:t xml:space="preserve">, </w:t>
      </w:r>
      <w:r w:rsidRPr="00A80382">
        <w:rPr>
          <w:sz w:val="20"/>
        </w:rPr>
        <w:t>e</w:t>
      </w:r>
      <w:r w:rsidRPr="00A80382">
        <w:rPr>
          <w:kern w:val="36"/>
          <w:sz w:val="20"/>
          <w:lang w:eastAsia="en-GB"/>
        </w:rPr>
        <w:t>ntrepreneurship assessment in higher education in the context of research on engineering education (</w:t>
      </w:r>
      <w:r w:rsidRPr="00A80382">
        <w:rPr>
          <w:sz w:val="20"/>
          <w:lang w:eastAsia="en-GB"/>
        </w:rPr>
        <w:t xml:space="preserve">Huang‐Saad et al., 2018) as well as the </w:t>
      </w:r>
      <w:r w:rsidRPr="00A80382">
        <w:rPr>
          <w:sz w:val="20"/>
        </w:rPr>
        <w:t>challenges associated with assessing entrepreneurial skills and mindsets for engineering entrepreneurship education</w:t>
      </w:r>
      <w:r>
        <w:rPr>
          <w:sz w:val="20"/>
        </w:rPr>
        <w:t xml:space="preserve"> (</w:t>
      </w:r>
      <w:r w:rsidRPr="00A80382">
        <w:rPr>
          <w:sz w:val="20"/>
          <w:lang w:eastAsia="en-GB"/>
        </w:rPr>
        <w:t>Miranda</w:t>
      </w:r>
      <w:r>
        <w:rPr>
          <w:sz w:val="20"/>
          <w:lang w:eastAsia="en-GB"/>
        </w:rPr>
        <w:t xml:space="preserve"> et al.,</w:t>
      </w:r>
      <w:r w:rsidRPr="00A80382">
        <w:rPr>
          <w:sz w:val="20"/>
          <w:lang w:eastAsia="en-GB"/>
        </w:rPr>
        <w:t xml:space="preserve"> 2020).</w:t>
      </w:r>
      <w:r>
        <w:rPr>
          <w:sz w:val="20"/>
          <w:lang w:eastAsia="en-GB"/>
        </w:rPr>
        <w:t xml:space="preserve"> </w:t>
      </w:r>
      <w:r w:rsidRPr="00216A5C">
        <w:rPr>
          <w:sz w:val="20"/>
        </w:rPr>
        <w:t>Researchers have identified that entrepreneurship education in engineering programs can be supported by adoption of action-based learning methods towards the beginning of programs and that explicit business knowledge should be included gradually in programs and only when discipline-specific engineering knowledge has been adequately accumulated (</w:t>
      </w:r>
      <w:proofErr w:type="spellStart"/>
      <w:r w:rsidRPr="00216A5C">
        <w:rPr>
          <w:sz w:val="20"/>
          <w:lang w:eastAsia="en-GB"/>
        </w:rPr>
        <w:t>Mäkimurto</w:t>
      </w:r>
      <w:proofErr w:type="spellEnd"/>
      <w:r w:rsidRPr="00216A5C">
        <w:rPr>
          <w:sz w:val="20"/>
          <w:lang w:eastAsia="en-GB"/>
        </w:rPr>
        <w:t>-Koivumaa and Belt, 2015)</w:t>
      </w:r>
      <w:r w:rsidRPr="00216A5C">
        <w:rPr>
          <w:sz w:val="20"/>
        </w:rPr>
        <w:t>. In regard to the content of entrepreneurial education, there is a need to include traditional business focused disciplines, such as management, marketing, information systems and finance</w:t>
      </w:r>
      <w:r>
        <w:rPr>
          <w:sz w:val="20"/>
        </w:rPr>
        <w:t xml:space="preserve"> (</w:t>
      </w:r>
      <w:proofErr w:type="spellStart"/>
      <w:r w:rsidRPr="00216A5C">
        <w:rPr>
          <w:sz w:val="20"/>
          <w:lang w:eastAsia="en-GB"/>
        </w:rPr>
        <w:t>Grecu</w:t>
      </w:r>
      <w:proofErr w:type="spellEnd"/>
      <w:r>
        <w:rPr>
          <w:sz w:val="20"/>
          <w:lang w:eastAsia="en-GB"/>
        </w:rPr>
        <w:t xml:space="preserve"> and </w:t>
      </w:r>
      <w:r w:rsidRPr="00216A5C">
        <w:rPr>
          <w:sz w:val="20"/>
          <w:lang w:eastAsia="en-GB"/>
        </w:rPr>
        <w:t>Denes, 2017)</w:t>
      </w:r>
      <w:r w:rsidRPr="00216A5C">
        <w:rPr>
          <w:sz w:val="20"/>
        </w:rPr>
        <w:t>. This focus enables students to gain skills associated with opportunity recognition, commercializing a concept, managing resources and initiating a new business venture.</w:t>
      </w:r>
    </w:p>
    <w:p w14:paraId="461DDB1E" w14:textId="4819E4F0" w:rsidR="00694675" w:rsidRDefault="00694675" w:rsidP="00694675">
      <w:pPr>
        <w:pStyle w:val="BodyText2"/>
        <w:ind w:firstLine="426"/>
        <w:rPr>
          <w:sz w:val="20"/>
        </w:rPr>
      </w:pPr>
      <w:r w:rsidRPr="00674392">
        <w:rPr>
          <w:sz w:val="20"/>
        </w:rPr>
        <w:t xml:space="preserve">In other studies, a new framework for entrepreneurship education that combines business model development and computational thinking has been evaluated, where undergraduate students were tasked to identify a social </w:t>
      </w:r>
      <w:r w:rsidRPr="00FE7642">
        <w:rPr>
          <w:sz w:val="20"/>
        </w:rPr>
        <w:t xml:space="preserve">problem, develop a solution and implement the appropriate products and services </w:t>
      </w:r>
      <w:r>
        <w:rPr>
          <w:sz w:val="20"/>
        </w:rPr>
        <w:t xml:space="preserve">through using </w:t>
      </w:r>
      <w:r w:rsidR="00106935">
        <w:rPr>
          <w:sz w:val="20"/>
        </w:rPr>
        <w:t>relevant</w:t>
      </w:r>
      <w:r w:rsidRPr="00FE7642">
        <w:rPr>
          <w:sz w:val="20"/>
        </w:rPr>
        <w:t xml:space="preserve"> software and hardware technologies (</w:t>
      </w:r>
      <w:r w:rsidRPr="00FE7642">
        <w:rPr>
          <w:sz w:val="20"/>
          <w:lang w:eastAsia="en-GB"/>
        </w:rPr>
        <w:t>Kang and Lee, 2020)</w:t>
      </w:r>
      <w:r w:rsidRPr="00FE7642">
        <w:rPr>
          <w:sz w:val="20"/>
        </w:rPr>
        <w:t xml:space="preserve">. This innovative approach to technology entrepreneurship education highlights the merits of deploying project-based learning for </w:t>
      </w:r>
      <w:r>
        <w:rPr>
          <w:sz w:val="20"/>
        </w:rPr>
        <w:t>generating</w:t>
      </w:r>
      <w:r w:rsidRPr="00FE7642">
        <w:rPr>
          <w:sz w:val="20"/>
        </w:rPr>
        <w:t xml:space="preserve"> business value and new venture creation.  Th</w:t>
      </w:r>
      <w:r>
        <w:rPr>
          <w:sz w:val="20"/>
        </w:rPr>
        <w:t>is</w:t>
      </w:r>
      <w:r w:rsidRPr="00FE7642">
        <w:rPr>
          <w:sz w:val="20"/>
        </w:rPr>
        <w:t xml:space="preserve"> project-based approach to facilitate entrepreneurship education focused on the creation of a technology-based enterprise</w:t>
      </w:r>
      <w:r>
        <w:rPr>
          <w:sz w:val="20"/>
        </w:rPr>
        <w:t>, which</w:t>
      </w:r>
      <w:r w:rsidRPr="00FE7642">
        <w:rPr>
          <w:sz w:val="20"/>
        </w:rPr>
        <w:t xml:space="preserve"> is a recognized pedagogic methodology. In this regard, </w:t>
      </w:r>
      <w:r w:rsidRPr="00FE7642">
        <w:rPr>
          <w:sz w:val="20"/>
          <w:lang w:eastAsia="en-GB"/>
        </w:rPr>
        <w:t xml:space="preserve">Arias et al. (2018) investigated the project-based learning model where students were involved in the </w:t>
      </w:r>
      <w:r w:rsidRPr="00FE7642">
        <w:rPr>
          <w:sz w:val="20"/>
        </w:rPr>
        <w:t>identification, development and final presentation of a business model. They found that the gap between studies and business practice was reduced and the whole process benefited from all the subjects across the master’s degree being involved in the entrepreneurial learning experience.</w:t>
      </w:r>
    </w:p>
    <w:p w14:paraId="38B26C5C" w14:textId="6050C175" w:rsidR="00694675" w:rsidRDefault="00694675" w:rsidP="00694675">
      <w:pPr>
        <w:pStyle w:val="BodyText2"/>
        <w:ind w:firstLine="426"/>
        <w:rPr>
          <w:sz w:val="20"/>
          <w:lang w:eastAsia="en-GB"/>
        </w:rPr>
      </w:pPr>
      <w:r w:rsidRPr="00FE7642">
        <w:rPr>
          <w:sz w:val="20"/>
        </w:rPr>
        <w:t xml:space="preserve">In the case of technology entrepreneurship education, </w:t>
      </w:r>
      <w:r w:rsidRPr="00FE7642">
        <w:rPr>
          <w:sz w:val="20"/>
          <w:lang w:eastAsia="en-GB"/>
        </w:rPr>
        <w:t>Choi and Byun (2013)</w:t>
      </w:r>
      <w:r w:rsidRPr="00FE7642">
        <w:rPr>
          <w:sz w:val="20"/>
        </w:rPr>
        <w:t xml:space="preserve"> have argued that such programs should integrate coursework on fundamental theory and processes with real team-based projects on technology commercialization. In other studies, </w:t>
      </w:r>
      <w:r w:rsidRPr="00FE7642">
        <w:rPr>
          <w:sz w:val="20"/>
          <w:lang w:eastAsia="en-GB"/>
        </w:rPr>
        <w:t>Duval-</w:t>
      </w:r>
      <w:proofErr w:type="spellStart"/>
      <w:r w:rsidRPr="00FE7642">
        <w:rPr>
          <w:sz w:val="20"/>
          <w:lang w:eastAsia="en-GB"/>
        </w:rPr>
        <w:t>Couetil</w:t>
      </w:r>
      <w:proofErr w:type="spellEnd"/>
      <w:r w:rsidRPr="00FE7642">
        <w:rPr>
          <w:sz w:val="20"/>
          <w:lang w:eastAsia="en-GB"/>
        </w:rPr>
        <w:t xml:space="preserve"> et al. (202</w:t>
      </w:r>
      <w:r w:rsidR="00567A7A">
        <w:rPr>
          <w:sz w:val="20"/>
          <w:lang w:eastAsia="en-GB"/>
        </w:rPr>
        <w:t>1</w:t>
      </w:r>
      <w:r w:rsidRPr="00FE7642">
        <w:rPr>
          <w:sz w:val="20"/>
          <w:lang w:eastAsia="en-GB"/>
        </w:rPr>
        <w:t>)</w:t>
      </w:r>
      <w:r w:rsidRPr="00FE7642">
        <w:rPr>
          <w:sz w:val="20"/>
        </w:rPr>
        <w:t xml:space="preserve"> highlighted that science and technology entrepreneurship education can be aligned to four main priority areas, which are technology readiness and timing (i); intellectual property pathway decisions (ii); engagement with the entrepreneurial ecosystem (iii); and personal career choices (iv). Moreover, </w:t>
      </w:r>
      <w:proofErr w:type="spellStart"/>
      <w:r w:rsidRPr="00FE7642">
        <w:rPr>
          <w:sz w:val="20"/>
          <w:lang w:eastAsia="en-GB"/>
        </w:rPr>
        <w:t>Fayolle</w:t>
      </w:r>
      <w:proofErr w:type="spellEnd"/>
      <w:r w:rsidRPr="00FE7642">
        <w:rPr>
          <w:sz w:val="20"/>
          <w:lang w:eastAsia="en-GB"/>
        </w:rPr>
        <w:t xml:space="preserve"> et</w:t>
      </w:r>
      <w:r w:rsidRPr="00674392">
        <w:rPr>
          <w:sz w:val="20"/>
          <w:lang w:eastAsia="en-GB"/>
        </w:rPr>
        <w:t xml:space="preserve"> al. (</w:t>
      </w:r>
      <w:r w:rsidRPr="000C5980">
        <w:rPr>
          <w:sz w:val="20"/>
          <w:lang w:eastAsia="en-GB"/>
        </w:rPr>
        <w:t>202</w:t>
      </w:r>
      <w:r w:rsidR="00AF4E82">
        <w:rPr>
          <w:sz w:val="20"/>
          <w:lang w:eastAsia="en-GB"/>
        </w:rPr>
        <w:t>1</w:t>
      </w:r>
      <w:r w:rsidRPr="000C5980">
        <w:rPr>
          <w:sz w:val="20"/>
          <w:lang w:eastAsia="en-GB"/>
        </w:rPr>
        <w:t xml:space="preserve">) </w:t>
      </w:r>
      <w:r w:rsidRPr="00674392">
        <w:rPr>
          <w:sz w:val="20"/>
        </w:rPr>
        <w:t xml:space="preserve">investigated the merits of entrepreneurship being taught to students in engineering, science and technology majors according to the use of dedicated teaching models. </w:t>
      </w:r>
      <w:r>
        <w:rPr>
          <w:sz w:val="20"/>
        </w:rPr>
        <w:t>Technology entrepreneurship education also has the potential to encourage students that have participated on such programs to subsequently engage in start-up business formation thereby leading to economic development and wider benefits (</w:t>
      </w:r>
      <w:proofErr w:type="spellStart"/>
      <w:r w:rsidRPr="003C5293">
        <w:rPr>
          <w:sz w:val="20"/>
          <w:lang w:eastAsia="en-GB"/>
        </w:rPr>
        <w:t>Militaru</w:t>
      </w:r>
      <w:proofErr w:type="spellEnd"/>
      <w:r>
        <w:rPr>
          <w:sz w:val="20"/>
          <w:lang w:eastAsia="en-GB"/>
        </w:rPr>
        <w:t xml:space="preserve"> et al., </w:t>
      </w:r>
      <w:r w:rsidRPr="003C5293">
        <w:rPr>
          <w:sz w:val="20"/>
          <w:lang w:eastAsia="en-GB"/>
        </w:rPr>
        <w:t>2015).</w:t>
      </w:r>
    </w:p>
    <w:p w14:paraId="1D807062" w14:textId="61D7CFB7" w:rsidR="00694675" w:rsidRDefault="00694675" w:rsidP="00694675">
      <w:pPr>
        <w:pStyle w:val="BodyText2"/>
        <w:ind w:firstLine="426"/>
        <w:rPr>
          <w:sz w:val="20"/>
        </w:rPr>
      </w:pPr>
      <w:r>
        <w:rPr>
          <w:sz w:val="20"/>
        </w:rPr>
        <w:t xml:space="preserve">The literature review identifies that there is consensus on the merits of integrating technology entrepreneurship into engineering educational programs, including the wider set of business and multidisciplinary skills that can be gained and their usefulness in regard to employment prospects as well as the potential to promote new venture creation and the commercialization of technologies. The </w:t>
      </w:r>
      <w:r w:rsidR="00106935">
        <w:rPr>
          <w:sz w:val="20"/>
        </w:rPr>
        <w:t xml:space="preserve">extant </w:t>
      </w:r>
      <w:r>
        <w:rPr>
          <w:sz w:val="20"/>
        </w:rPr>
        <w:t xml:space="preserve">literature also emphasizes the role of project-based learning as an experiential pathway to support technology-based entrepreneurship education for engineers. Although there are </w:t>
      </w:r>
      <w:r w:rsidR="00E478DE">
        <w:rPr>
          <w:sz w:val="20"/>
        </w:rPr>
        <w:t>different</w:t>
      </w:r>
      <w:r>
        <w:rPr>
          <w:sz w:val="20"/>
        </w:rPr>
        <w:t xml:space="preserve"> viewpoints on the specific arrangements that can be implemented to support the goal of providing t</w:t>
      </w:r>
      <w:r w:rsidRPr="00D0614B">
        <w:rPr>
          <w:sz w:val="20"/>
        </w:rPr>
        <w:t xml:space="preserve">echnology </w:t>
      </w:r>
      <w:r>
        <w:rPr>
          <w:sz w:val="20"/>
        </w:rPr>
        <w:t>e</w:t>
      </w:r>
      <w:r w:rsidRPr="00D0614B">
        <w:rPr>
          <w:sz w:val="20"/>
        </w:rPr>
        <w:t xml:space="preserve">ntrepreneurship </w:t>
      </w:r>
      <w:r>
        <w:rPr>
          <w:sz w:val="20"/>
        </w:rPr>
        <w:t>e</w:t>
      </w:r>
      <w:r w:rsidRPr="00D0614B">
        <w:rPr>
          <w:sz w:val="20"/>
        </w:rPr>
        <w:t xml:space="preserve">ducation for </w:t>
      </w:r>
      <w:r>
        <w:rPr>
          <w:sz w:val="20"/>
        </w:rPr>
        <w:t>e</w:t>
      </w:r>
      <w:r w:rsidRPr="00D0614B">
        <w:rPr>
          <w:sz w:val="20"/>
        </w:rPr>
        <w:t>ngineers</w:t>
      </w:r>
      <w:r>
        <w:rPr>
          <w:sz w:val="20"/>
        </w:rPr>
        <w:t xml:space="preserve">, it is nevertheless useful to identify specific practices that have been adopted </w:t>
      </w:r>
      <w:r>
        <w:rPr>
          <w:sz w:val="20"/>
        </w:rPr>
        <w:lastRenderedPageBreak/>
        <w:t>to enable engineers</w:t>
      </w:r>
      <w:r w:rsidR="00E478DE">
        <w:rPr>
          <w:sz w:val="20"/>
        </w:rPr>
        <w:t xml:space="preserve"> to become more enterprising</w:t>
      </w:r>
      <w:r>
        <w:rPr>
          <w:sz w:val="20"/>
        </w:rPr>
        <w:t xml:space="preserve">. Therefore, it </w:t>
      </w:r>
      <w:r w:rsidR="00106935">
        <w:rPr>
          <w:sz w:val="20"/>
        </w:rPr>
        <w:t>is advantageous</w:t>
      </w:r>
      <w:r>
        <w:rPr>
          <w:sz w:val="20"/>
        </w:rPr>
        <w:t xml:space="preserve"> to provide the findings from the case study investigation</w:t>
      </w:r>
      <w:r w:rsidRPr="003F6F87">
        <w:rPr>
          <w:sz w:val="20"/>
        </w:rPr>
        <w:t xml:space="preserve"> </w:t>
      </w:r>
      <w:r>
        <w:rPr>
          <w:sz w:val="20"/>
        </w:rPr>
        <w:t xml:space="preserve">on technology entrepreneurship education, including lessons </w:t>
      </w:r>
      <w:r w:rsidR="00A56AB8" w:rsidRPr="00A56AB8">
        <w:rPr>
          <w:sz w:val="20"/>
        </w:rPr>
        <w:t xml:space="preserve">learned </w:t>
      </w:r>
      <w:r>
        <w:rPr>
          <w:sz w:val="20"/>
        </w:rPr>
        <w:t>from the case.</w:t>
      </w:r>
    </w:p>
    <w:p w14:paraId="0006B726" w14:textId="77777777" w:rsidR="00D56484" w:rsidRDefault="00D56484" w:rsidP="00717F6D">
      <w:pPr>
        <w:pStyle w:val="BodyText2"/>
        <w:rPr>
          <w:sz w:val="20"/>
        </w:rPr>
      </w:pPr>
    </w:p>
    <w:p w14:paraId="1CACE275" w14:textId="0DE9359A" w:rsidR="007C45C4" w:rsidRPr="00667AE3" w:rsidRDefault="00643044" w:rsidP="00717F6D">
      <w:pPr>
        <w:pStyle w:val="Heading1"/>
        <w:jc w:val="both"/>
      </w:pPr>
      <w:r>
        <w:t>Case Study Investigation</w:t>
      </w:r>
    </w:p>
    <w:p w14:paraId="1B72447A" w14:textId="2F48866F" w:rsidR="00114BF1" w:rsidRPr="00A12E9C" w:rsidRDefault="00114BF1" w:rsidP="00717F6D">
      <w:pPr>
        <w:pStyle w:val="BodyText2"/>
        <w:rPr>
          <w:sz w:val="20"/>
        </w:rPr>
      </w:pPr>
      <w:r w:rsidRPr="00A12E9C">
        <w:rPr>
          <w:sz w:val="20"/>
        </w:rPr>
        <w:t>The research adopted a case study approach that was designed in order to explore and depict a setting with a view to advancing the level of understanding</w:t>
      </w:r>
      <w:r w:rsidR="00A12E9C">
        <w:rPr>
          <w:sz w:val="20"/>
        </w:rPr>
        <w:t xml:space="preserve"> (</w:t>
      </w:r>
      <w:r w:rsidR="00A12E9C" w:rsidRPr="00114BF1">
        <w:rPr>
          <w:sz w:val="20"/>
          <w:lang w:val="en-GB" w:eastAsia="en-GB"/>
        </w:rPr>
        <w:t>Cousin, 2005)</w:t>
      </w:r>
      <w:r w:rsidR="00A12E9C" w:rsidRPr="00A12E9C">
        <w:rPr>
          <w:sz w:val="20"/>
        </w:rPr>
        <w:t xml:space="preserve">. The within-case analysis approach </w:t>
      </w:r>
      <w:r w:rsidR="00A12E9C">
        <w:rPr>
          <w:sz w:val="20"/>
        </w:rPr>
        <w:t>was</w:t>
      </w:r>
      <w:r w:rsidR="00A12E9C" w:rsidRPr="00A12E9C">
        <w:rPr>
          <w:sz w:val="20"/>
        </w:rPr>
        <w:t xml:space="preserve"> </w:t>
      </w:r>
      <w:r w:rsidR="00A12E9C">
        <w:rPr>
          <w:sz w:val="20"/>
        </w:rPr>
        <w:t>used, since</w:t>
      </w:r>
      <w:r w:rsidR="00A12E9C" w:rsidRPr="00A12E9C">
        <w:rPr>
          <w:sz w:val="20"/>
        </w:rPr>
        <w:t xml:space="preserve"> insights from the case </w:t>
      </w:r>
      <w:r w:rsidR="00A12E9C">
        <w:rPr>
          <w:sz w:val="20"/>
        </w:rPr>
        <w:t xml:space="preserve">are provided </w:t>
      </w:r>
      <w:r w:rsidR="00A12E9C" w:rsidRPr="00A12E9C">
        <w:rPr>
          <w:sz w:val="20"/>
        </w:rPr>
        <w:t>according to a structured framework, including the context and outcomes of the case as well as the processes that are revealed from the case (</w:t>
      </w:r>
      <w:r w:rsidR="00A12E9C" w:rsidRPr="00A12E9C">
        <w:rPr>
          <w:sz w:val="20"/>
          <w:lang w:val="en-GB" w:eastAsia="en-GB"/>
        </w:rPr>
        <w:t>Eisenhardt, 1989</w:t>
      </w:r>
      <w:r w:rsidRPr="00A12E9C">
        <w:rPr>
          <w:sz w:val="20"/>
          <w:lang w:val="en-GB" w:eastAsia="en-GB"/>
        </w:rPr>
        <w:t>)</w:t>
      </w:r>
      <w:r w:rsidRPr="00A12E9C">
        <w:rPr>
          <w:sz w:val="20"/>
        </w:rPr>
        <w:t>.</w:t>
      </w:r>
    </w:p>
    <w:p w14:paraId="36D7D9DF" w14:textId="28B13660" w:rsidR="004E4F03" w:rsidRDefault="004E4F03" w:rsidP="00717F6D">
      <w:pPr>
        <w:pStyle w:val="BodyText2"/>
        <w:rPr>
          <w:sz w:val="20"/>
        </w:rPr>
      </w:pPr>
    </w:p>
    <w:p w14:paraId="687EA684" w14:textId="117C4F4E" w:rsidR="00643044" w:rsidRPr="004E4F03" w:rsidRDefault="00643044" w:rsidP="00643044">
      <w:pPr>
        <w:pStyle w:val="BodyText2"/>
        <w:rPr>
          <w:b/>
          <w:sz w:val="20"/>
        </w:rPr>
      </w:pPr>
      <w:r>
        <w:rPr>
          <w:b/>
          <w:sz w:val="20"/>
        </w:rPr>
        <w:t>Background on the Case</w:t>
      </w:r>
    </w:p>
    <w:p w14:paraId="31D07A20" w14:textId="29953CEA" w:rsidR="00106935" w:rsidRDefault="00D515C7" w:rsidP="00106935">
      <w:pPr>
        <w:jc w:val="both"/>
        <w:rPr>
          <w:sz w:val="20"/>
        </w:rPr>
      </w:pPr>
      <w:r w:rsidRPr="00DE4867">
        <w:rPr>
          <w:sz w:val="20"/>
        </w:rPr>
        <w:t xml:space="preserve">The Technology Evaluation and Commercialisation (TEC) module is delivered in the School of Engineering at </w:t>
      </w:r>
      <w:r w:rsidR="00D5093B">
        <w:rPr>
          <w:sz w:val="20"/>
        </w:rPr>
        <w:t xml:space="preserve">London South Bank University in the UK </w:t>
      </w:r>
      <w:r w:rsidRPr="00DE4867">
        <w:rPr>
          <w:sz w:val="20"/>
        </w:rPr>
        <w:t>for postgraduate MSc students in engineering</w:t>
      </w:r>
      <w:r>
        <w:rPr>
          <w:sz w:val="20"/>
        </w:rPr>
        <w:t xml:space="preserve"> and is the primary mechanism to provide technology entrepreneurship education for this cohort of students</w:t>
      </w:r>
      <w:r w:rsidRPr="00DE4867">
        <w:rPr>
          <w:sz w:val="20"/>
        </w:rPr>
        <w:t xml:space="preserve">. The module involves use of an adapted version of the TEC Algorithm that was originally developed </w:t>
      </w:r>
      <w:r>
        <w:rPr>
          <w:sz w:val="20"/>
        </w:rPr>
        <w:t>by</w:t>
      </w:r>
      <w:r w:rsidRPr="00DE4867">
        <w:rPr>
          <w:sz w:val="20"/>
        </w:rPr>
        <w:t xml:space="preserve"> North Carolina State University in USA</w:t>
      </w:r>
      <w:r>
        <w:rPr>
          <w:sz w:val="20"/>
        </w:rPr>
        <w:t xml:space="preserve"> (</w:t>
      </w:r>
      <w:r w:rsidRPr="00ED0B0A">
        <w:rPr>
          <w:sz w:val="20"/>
          <w:lang w:eastAsia="en-GB"/>
        </w:rPr>
        <w:t>Markham</w:t>
      </w:r>
      <w:r>
        <w:rPr>
          <w:sz w:val="20"/>
          <w:lang w:eastAsia="en-GB"/>
        </w:rPr>
        <w:t xml:space="preserve"> et al., </w:t>
      </w:r>
      <w:r w:rsidRPr="00ED0B0A">
        <w:rPr>
          <w:sz w:val="20"/>
          <w:lang w:eastAsia="en-GB"/>
        </w:rPr>
        <w:t>2000</w:t>
      </w:r>
      <w:r>
        <w:rPr>
          <w:sz w:val="20"/>
          <w:lang w:eastAsia="en-GB"/>
        </w:rPr>
        <w:t xml:space="preserve">; </w:t>
      </w:r>
      <w:r w:rsidRPr="00B23A6C">
        <w:rPr>
          <w:sz w:val="20"/>
          <w:lang w:eastAsia="en-GB"/>
        </w:rPr>
        <w:t>Boocock</w:t>
      </w:r>
      <w:r>
        <w:rPr>
          <w:sz w:val="20"/>
          <w:lang w:eastAsia="en-GB"/>
        </w:rPr>
        <w:t xml:space="preserve"> et al., </w:t>
      </w:r>
      <w:r w:rsidRPr="00B23A6C">
        <w:rPr>
          <w:sz w:val="20"/>
          <w:lang w:eastAsia="en-GB"/>
        </w:rPr>
        <w:t>2009)</w:t>
      </w:r>
      <w:r w:rsidRPr="00DE4867">
        <w:rPr>
          <w:sz w:val="20"/>
        </w:rPr>
        <w:t xml:space="preserve">. </w:t>
      </w:r>
      <w:r w:rsidRPr="00DE4867">
        <w:rPr>
          <w:rStyle w:val="lrzxr"/>
          <w:sz w:val="20"/>
        </w:rPr>
        <w:t xml:space="preserve">The TEC module enables </w:t>
      </w:r>
      <w:r w:rsidRPr="00DE4867">
        <w:rPr>
          <w:sz w:val="20"/>
        </w:rPr>
        <w:t xml:space="preserve">students to be guided towards identifying an emerging technology idea that is evaluated for its commercial potential. Detailed research and analysis is conducted according to a prescribed process-based model in order to evaluate the business potential of a range of technologies. This </w:t>
      </w:r>
      <w:r>
        <w:rPr>
          <w:sz w:val="20"/>
        </w:rPr>
        <w:t xml:space="preserve">project-based learning </w:t>
      </w:r>
      <w:r w:rsidRPr="00DE4867">
        <w:rPr>
          <w:sz w:val="20"/>
        </w:rPr>
        <w:t>approach allows students to prepare the commerciali</w:t>
      </w:r>
      <w:r w:rsidR="002D0F71">
        <w:rPr>
          <w:sz w:val="20"/>
        </w:rPr>
        <w:t>z</w:t>
      </w:r>
      <w:r w:rsidRPr="00DE4867">
        <w:rPr>
          <w:sz w:val="20"/>
        </w:rPr>
        <w:t>ation strategy and write the business plan for a potential high-tech start-up company based on an emerging technology.</w:t>
      </w:r>
    </w:p>
    <w:p w14:paraId="721A3AB2" w14:textId="721CA824" w:rsidR="00D515C7" w:rsidRPr="00DE4867" w:rsidRDefault="00D515C7" w:rsidP="00106935">
      <w:pPr>
        <w:ind w:firstLine="426"/>
        <w:jc w:val="both"/>
        <w:rPr>
          <w:sz w:val="20"/>
        </w:rPr>
      </w:pPr>
      <w:r w:rsidRPr="00DE4867">
        <w:rPr>
          <w:rStyle w:val="lrzxr"/>
          <w:sz w:val="20"/>
        </w:rPr>
        <w:t>The educational model adopted in the module represents a simulation exercise for start</w:t>
      </w:r>
      <w:r>
        <w:rPr>
          <w:rStyle w:val="lrzxr"/>
          <w:sz w:val="20"/>
        </w:rPr>
        <w:t>-</w:t>
      </w:r>
      <w:r w:rsidRPr="00DE4867">
        <w:rPr>
          <w:rStyle w:val="lrzxr"/>
          <w:sz w:val="20"/>
        </w:rPr>
        <w:t xml:space="preserve">up business planning </w:t>
      </w:r>
      <w:r w:rsidR="00106935">
        <w:rPr>
          <w:sz w:val="20"/>
        </w:rPr>
        <w:t>–</w:t>
      </w:r>
      <w:r w:rsidR="00106935">
        <w:rPr>
          <w:rStyle w:val="lrzxr"/>
          <w:sz w:val="20"/>
        </w:rPr>
        <w:t xml:space="preserve"> </w:t>
      </w:r>
      <w:r w:rsidRPr="00DE4867">
        <w:rPr>
          <w:rStyle w:val="lrzxr"/>
          <w:sz w:val="20"/>
        </w:rPr>
        <w:t xml:space="preserve">although at the end of the course students are not required to actually launch a real company.  The students work as part of </w:t>
      </w:r>
      <w:r>
        <w:rPr>
          <w:rStyle w:val="lrzxr"/>
          <w:sz w:val="20"/>
        </w:rPr>
        <w:t xml:space="preserve">project-based </w:t>
      </w:r>
      <w:r w:rsidRPr="00DE4867">
        <w:rPr>
          <w:rStyle w:val="lrzxr"/>
          <w:sz w:val="20"/>
        </w:rPr>
        <w:t>teams and consequently they encounter many of the real world issues associated with team working and are required to meet deadlines through submission of the assignments. In addition to the process-based (algorithmic) approach</w:t>
      </w:r>
      <w:r>
        <w:rPr>
          <w:rStyle w:val="lrzxr"/>
          <w:sz w:val="20"/>
        </w:rPr>
        <w:t>,</w:t>
      </w:r>
      <w:r w:rsidRPr="00DE4867">
        <w:rPr>
          <w:rStyle w:val="lrzxr"/>
          <w:sz w:val="20"/>
        </w:rPr>
        <w:t xml:space="preserve"> students are also provided with lectures </w:t>
      </w:r>
      <w:r w:rsidR="00D5093B">
        <w:rPr>
          <w:rStyle w:val="lrzxr"/>
          <w:sz w:val="20"/>
        </w:rPr>
        <w:t xml:space="preserve">and theoretical content </w:t>
      </w:r>
      <w:r w:rsidRPr="00DE4867">
        <w:rPr>
          <w:rStyle w:val="lrzxr"/>
          <w:sz w:val="20"/>
        </w:rPr>
        <w:t>across a range of business and technology management areas.</w:t>
      </w:r>
      <w:r w:rsidRPr="00DE4867">
        <w:rPr>
          <w:sz w:val="20"/>
        </w:rPr>
        <w:t xml:space="preserve"> </w:t>
      </w:r>
    </w:p>
    <w:p w14:paraId="7F2F035F" w14:textId="77777777" w:rsidR="00643044" w:rsidRDefault="00643044" w:rsidP="00717F6D">
      <w:pPr>
        <w:pStyle w:val="BodyText2"/>
        <w:rPr>
          <w:sz w:val="20"/>
        </w:rPr>
      </w:pPr>
    </w:p>
    <w:p w14:paraId="0684EC44" w14:textId="1DECEAED" w:rsidR="00694675" w:rsidRPr="00D515C7" w:rsidRDefault="00D515C7" w:rsidP="00717F6D">
      <w:pPr>
        <w:pStyle w:val="BodyText2"/>
        <w:rPr>
          <w:b/>
          <w:bCs/>
          <w:sz w:val="20"/>
        </w:rPr>
      </w:pPr>
      <w:r w:rsidRPr="00D515C7">
        <w:rPr>
          <w:b/>
          <w:bCs/>
          <w:sz w:val="20"/>
        </w:rPr>
        <w:t xml:space="preserve">Module </w:t>
      </w:r>
      <w:r w:rsidR="00114BF1">
        <w:rPr>
          <w:b/>
          <w:bCs/>
          <w:sz w:val="20"/>
        </w:rPr>
        <w:t>S</w:t>
      </w:r>
      <w:r w:rsidRPr="00D515C7">
        <w:rPr>
          <w:b/>
          <w:bCs/>
          <w:sz w:val="20"/>
        </w:rPr>
        <w:t xml:space="preserve">tructure and </w:t>
      </w:r>
      <w:r w:rsidR="00114BF1">
        <w:rPr>
          <w:b/>
          <w:bCs/>
          <w:sz w:val="20"/>
        </w:rPr>
        <w:t>D</w:t>
      </w:r>
      <w:r w:rsidRPr="00D515C7">
        <w:rPr>
          <w:b/>
          <w:bCs/>
          <w:sz w:val="20"/>
        </w:rPr>
        <w:t>elivery</w:t>
      </w:r>
    </w:p>
    <w:p w14:paraId="2468344E" w14:textId="50B073B8" w:rsidR="00D515C7" w:rsidRDefault="00D515C7" w:rsidP="00D515C7">
      <w:pPr>
        <w:jc w:val="both"/>
        <w:rPr>
          <w:sz w:val="20"/>
        </w:rPr>
      </w:pPr>
      <w:r>
        <w:rPr>
          <w:sz w:val="20"/>
        </w:rPr>
        <w:t xml:space="preserve">The module is delivered over an academic semester (13 weeks) and this involves weekly sessions of 3 hours, which comprise roughly half the time focused on a lecture that addresses an underpinning area associated with technology-driven innovation and entrepreneurship </w:t>
      </w:r>
      <w:r w:rsidR="00106935">
        <w:rPr>
          <w:sz w:val="20"/>
        </w:rPr>
        <w:t xml:space="preserve">along </w:t>
      </w:r>
      <w:r>
        <w:rPr>
          <w:sz w:val="20"/>
        </w:rPr>
        <w:t>with the remaining time allocated to tutorial and group work. This split of time allows students to work in teams on the technology evaluation and commerciali</w:t>
      </w:r>
      <w:r w:rsidR="002D0F71">
        <w:rPr>
          <w:sz w:val="20"/>
        </w:rPr>
        <w:t>z</w:t>
      </w:r>
      <w:r>
        <w:rPr>
          <w:sz w:val="20"/>
        </w:rPr>
        <w:t>ation planning work in the tutorial session with the lecturer being able to provide guidance and answer any queries that the students may have on the overall process. Additionally, the more structured lecture part of the session provides the opportunity for wider background and supporting theory to be made available to the students. The students work as part of teams of 4-5 students and this approach means there is adequate resource available in the team to conduct the d</w:t>
      </w:r>
      <w:r w:rsidRPr="000A604D">
        <w:rPr>
          <w:sz w:val="20"/>
        </w:rPr>
        <w:t>etailed research and analysis to evaluate the business potential of technolog</w:t>
      </w:r>
      <w:r>
        <w:rPr>
          <w:sz w:val="20"/>
        </w:rPr>
        <w:t xml:space="preserve">ies and </w:t>
      </w:r>
      <w:r w:rsidRPr="000A604D">
        <w:rPr>
          <w:sz w:val="20"/>
        </w:rPr>
        <w:t>prepare the commerciali</w:t>
      </w:r>
      <w:r w:rsidR="002D0F71">
        <w:rPr>
          <w:sz w:val="20"/>
        </w:rPr>
        <w:t>z</w:t>
      </w:r>
      <w:r w:rsidRPr="000A604D">
        <w:rPr>
          <w:sz w:val="20"/>
        </w:rPr>
        <w:t xml:space="preserve">ation strategy and </w:t>
      </w:r>
      <w:r w:rsidR="00D5093B">
        <w:rPr>
          <w:sz w:val="20"/>
        </w:rPr>
        <w:t xml:space="preserve">detailed </w:t>
      </w:r>
      <w:r w:rsidRPr="000A604D">
        <w:rPr>
          <w:sz w:val="20"/>
        </w:rPr>
        <w:t>business plan for a high-tech start</w:t>
      </w:r>
      <w:r>
        <w:rPr>
          <w:sz w:val="20"/>
        </w:rPr>
        <w:t>-</w:t>
      </w:r>
      <w:r w:rsidRPr="000A604D">
        <w:rPr>
          <w:sz w:val="20"/>
        </w:rPr>
        <w:t>up company</w:t>
      </w:r>
      <w:r>
        <w:rPr>
          <w:sz w:val="20"/>
        </w:rPr>
        <w:t>.</w:t>
      </w:r>
    </w:p>
    <w:p w14:paraId="4CAB682E" w14:textId="507170C1" w:rsidR="00D515C7" w:rsidRDefault="00D515C7" w:rsidP="00D515C7">
      <w:pPr>
        <w:ind w:firstLine="426"/>
        <w:jc w:val="both"/>
        <w:rPr>
          <w:sz w:val="20"/>
        </w:rPr>
      </w:pPr>
      <w:r>
        <w:rPr>
          <w:sz w:val="20"/>
        </w:rPr>
        <w:t xml:space="preserve">A key part of the module is that students are directed to evaluate a number of emerging technologies for commercial potential. In order to avoid a situation with students having to spend an extended period of time deciding on which technologies to evaluate, a useful approach is to provide the student teams with a selection of technologies. Therefore, since the top 10 breakthrough technologies are published each year by the publication MIT Technology Review (2020), it was decided that these technologies would be suitable for this purpose.  Since the list is updated each year, the technologies are refreshed and can also be viewed as exciting areas that generate curiosity thereby making the module both relevant and interesting to students. In order to illustrate the types of technologies that have </w:t>
      </w:r>
      <w:r w:rsidR="00106935">
        <w:rPr>
          <w:sz w:val="20"/>
        </w:rPr>
        <w:t xml:space="preserve">been </w:t>
      </w:r>
      <w:r>
        <w:rPr>
          <w:sz w:val="20"/>
        </w:rPr>
        <w:t xml:space="preserve">recently evaluated in the module, Table 1 provides details of the top 10 breakthrough technologies for the last </w:t>
      </w:r>
      <w:r w:rsidR="00106935">
        <w:rPr>
          <w:sz w:val="20"/>
        </w:rPr>
        <w:t>three</w:t>
      </w:r>
      <w:r>
        <w:rPr>
          <w:sz w:val="20"/>
        </w:rPr>
        <w:t xml:space="preserve"> years (2018-20). As can be observed, the technologies represent a broad range of areas across different aspects of engineering, including computing and digital technologies (such as artificial intelligence), materials and mechanical engineering, energy </w:t>
      </w:r>
      <w:r w:rsidR="00106935">
        <w:rPr>
          <w:sz w:val="20"/>
        </w:rPr>
        <w:t xml:space="preserve">related </w:t>
      </w:r>
      <w:r>
        <w:rPr>
          <w:sz w:val="20"/>
        </w:rPr>
        <w:t xml:space="preserve">technologies as well as biomedical technologies and healthcare applications. Therefore, each year students are presented with a range of potential </w:t>
      </w:r>
      <w:r w:rsidRPr="000A75D4">
        <w:rPr>
          <w:sz w:val="20"/>
        </w:rPr>
        <w:t>technologies</w:t>
      </w:r>
      <w:r>
        <w:rPr>
          <w:sz w:val="20"/>
        </w:rPr>
        <w:t xml:space="preserve"> where they are likely to have an interest in at least a few of the areas.</w:t>
      </w:r>
    </w:p>
    <w:p w14:paraId="66C8905D" w14:textId="77777777" w:rsidR="00D515C7" w:rsidRPr="00D515C7" w:rsidRDefault="00D515C7" w:rsidP="00D515C7">
      <w:pPr>
        <w:pStyle w:val="NormalWeb"/>
        <w:jc w:val="center"/>
        <w:rPr>
          <w:b/>
          <w:color w:val="111111"/>
          <w:spacing w:val="-3"/>
          <w:sz w:val="20"/>
          <w:szCs w:val="20"/>
        </w:rPr>
      </w:pPr>
      <w:r w:rsidRPr="00D515C7">
        <w:rPr>
          <w:b/>
          <w:color w:val="111111"/>
          <w:spacing w:val="-3"/>
          <w:sz w:val="20"/>
          <w:szCs w:val="20"/>
        </w:rPr>
        <w:t>Exhibit 1. Top 10 breakthrough technologies for 2018-20 (source: MIT Technology Review, 2020).</w:t>
      </w:r>
    </w:p>
    <w:tbl>
      <w:tblPr>
        <w:tblStyle w:val="TableGrid"/>
        <w:tblW w:w="9351" w:type="dxa"/>
        <w:tblLook w:val="04A0" w:firstRow="1" w:lastRow="0" w:firstColumn="1" w:lastColumn="0" w:noHBand="0" w:noVBand="1"/>
      </w:tblPr>
      <w:tblGrid>
        <w:gridCol w:w="704"/>
        <w:gridCol w:w="8647"/>
      </w:tblGrid>
      <w:tr w:rsidR="00D515C7" w14:paraId="337A0EEB" w14:textId="77777777" w:rsidTr="00D822B0">
        <w:tc>
          <w:tcPr>
            <w:tcW w:w="704" w:type="dxa"/>
          </w:tcPr>
          <w:p w14:paraId="37572FF4" w14:textId="77777777" w:rsidR="00D515C7" w:rsidRPr="00326D34" w:rsidRDefault="00D515C7" w:rsidP="00106935">
            <w:pPr>
              <w:jc w:val="center"/>
              <w:rPr>
                <w:rFonts w:cs="Times New Roman"/>
                <w:b/>
                <w:bCs/>
                <w:sz w:val="20"/>
                <w:szCs w:val="20"/>
              </w:rPr>
            </w:pPr>
            <w:r w:rsidRPr="00326D34">
              <w:rPr>
                <w:rFonts w:cs="Times New Roman"/>
                <w:b/>
                <w:bCs/>
                <w:sz w:val="20"/>
                <w:szCs w:val="20"/>
              </w:rPr>
              <w:t>Year</w:t>
            </w:r>
          </w:p>
        </w:tc>
        <w:tc>
          <w:tcPr>
            <w:tcW w:w="8647" w:type="dxa"/>
          </w:tcPr>
          <w:p w14:paraId="26D77A42" w14:textId="77777777" w:rsidR="00D515C7" w:rsidRPr="00326D34" w:rsidRDefault="00D515C7" w:rsidP="00106935">
            <w:pPr>
              <w:jc w:val="center"/>
              <w:rPr>
                <w:rFonts w:cs="Times New Roman"/>
                <w:b/>
                <w:bCs/>
                <w:sz w:val="20"/>
                <w:szCs w:val="20"/>
              </w:rPr>
            </w:pPr>
            <w:r w:rsidRPr="00326D34">
              <w:rPr>
                <w:rFonts w:cs="Times New Roman"/>
                <w:b/>
                <w:bCs/>
                <w:sz w:val="20"/>
                <w:szCs w:val="20"/>
              </w:rPr>
              <w:t>Top 10 Breakthrough Technologies</w:t>
            </w:r>
          </w:p>
        </w:tc>
      </w:tr>
      <w:tr w:rsidR="00D515C7" w14:paraId="7FE29403" w14:textId="77777777" w:rsidTr="00D822B0">
        <w:tc>
          <w:tcPr>
            <w:tcW w:w="704" w:type="dxa"/>
          </w:tcPr>
          <w:p w14:paraId="6C9B1826" w14:textId="77777777" w:rsidR="00D515C7" w:rsidRPr="000A604D" w:rsidRDefault="00D515C7" w:rsidP="002410E9">
            <w:pPr>
              <w:jc w:val="both"/>
              <w:rPr>
                <w:rFonts w:cs="Times New Roman"/>
                <w:sz w:val="20"/>
                <w:szCs w:val="20"/>
              </w:rPr>
            </w:pPr>
            <w:r w:rsidRPr="000A604D">
              <w:rPr>
                <w:rFonts w:cs="Times New Roman"/>
                <w:sz w:val="20"/>
                <w:szCs w:val="20"/>
              </w:rPr>
              <w:t>2018</w:t>
            </w:r>
          </w:p>
        </w:tc>
        <w:tc>
          <w:tcPr>
            <w:tcW w:w="8647" w:type="dxa"/>
          </w:tcPr>
          <w:p w14:paraId="14FA4E49" w14:textId="77777777" w:rsidR="00D515C7" w:rsidRPr="00326D34" w:rsidRDefault="00D515C7" w:rsidP="00D515C7">
            <w:pPr>
              <w:pStyle w:val="ListParagraph"/>
              <w:numPr>
                <w:ilvl w:val="0"/>
                <w:numId w:val="1"/>
              </w:numPr>
              <w:spacing w:after="0" w:line="240" w:lineRule="auto"/>
              <w:ind w:left="322" w:hanging="322"/>
              <w:jc w:val="both"/>
              <w:rPr>
                <w:rFonts w:ascii="Times New Roman" w:hAnsi="Times New Roman" w:cs="Times New Roman"/>
                <w:sz w:val="20"/>
                <w:szCs w:val="20"/>
              </w:rPr>
            </w:pPr>
            <w:r w:rsidRPr="00326D34">
              <w:rPr>
                <w:rFonts w:ascii="Times New Roman" w:hAnsi="Times New Roman" w:cs="Times New Roman"/>
                <w:sz w:val="20"/>
                <w:szCs w:val="20"/>
              </w:rPr>
              <w:t>3-D Metal printing to create engineering parts that are not accessible via conventional methods.</w:t>
            </w:r>
          </w:p>
          <w:p w14:paraId="619A1052" w14:textId="77777777" w:rsidR="00D515C7" w:rsidRPr="00326D34" w:rsidRDefault="00D515C7" w:rsidP="00D515C7">
            <w:pPr>
              <w:pStyle w:val="ListParagraph"/>
              <w:numPr>
                <w:ilvl w:val="0"/>
                <w:numId w:val="1"/>
              </w:numPr>
              <w:spacing w:after="0" w:line="240" w:lineRule="auto"/>
              <w:ind w:left="322" w:hanging="322"/>
              <w:jc w:val="both"/>
              <w:rPr>
                <w:rFonts w:ascii="Times New Roman" w:hAnsi="Times New Roman" w:cs="Times New Roman"/>
                <w:sz w:val="20"/>
                <w:szCs w:val="20"/>
              </w:rPr>
            </w:pPr>
            <w:r w:rsidRPr="00326D34">
              <w:rPr>
                <w:rFonts w:ascii="Times New Roman" w:hAnsi="Times New Roman" w:cs="Times New Roman"/>
                <w:sz w:val="20"/>
                <w:szCs w:val="20"/>
              </w:rPr>
              <w:lastRenderedPageBreak/>
              <w:t>Artificial embryos utilising the potential of stem cells.</w:t>
            </w:r>
          </w:p>
          <w:p w14:paraId="6E7116C4" w14:textId="77777777" w:rsidR="00D515C7" w:rsidRPr="00326D34" w:rsidRDefault="00D515C7" w:rsidP="00D515C7">
            <w:pPr>
              <w:pStyle w:val="ListParagraph"/>
              <w:numPr>
                <w:ilvl w:val="0"/>
                <w:numId w:val="1"/>
              </w:numPr>
              <w:spacing w:after="0" w:line="240" w:lineRule="auto"/>
              <w:ind w:left="322" w:hanging="322"/>
              <w:jc w:val="both"/>
              <w:rPr>
                <w:rFonts w:ascii="Times New Roman" w:hAnsi="Times New Roman" w:cs="Times New Roman"/>
                <w:sz w:val="20"/>
                <w:szCs w:val="20"/>
              </w:rPr>
            </w:pPr>
            <w:r w:rsidRPr="00326D34">
              <w:rPr>
                <w:rFonts w:ascii="Times New Roman" w:hAnsi="Times New Roman" w:cs="Times New Roman"/>
                <w:sz w:val="20"/>
                <w:szCs w:val="20"/>
              </w:rPr>
              <w:t>Sensing city based on smart cities technology.</w:t>
            </w:r>
          </w:p>
          <w:p w14:paraId="03835C83" w14:textId="77777777" w:rsidR="00D515C7" w:rsidRPr="00326D34" w:rsidRDefault="00D515C7" w:rsidP="00D515C7">
            <w:pPr>
              <w:pStyle w:val="ListParagraph"/>
              <w:numPr>
                <w:ilvl w:val="0"/>
                <w:numId w:val="1"/>
              </w:numPr>
              <w:spacing w:after="0" w:line="240" w:lineRule="auto"/>
              <w:ind w:left="322" w:hanging="322"/>
              <w:jc w:val="both"/>
              <w:rPr>
                <w:rFonts w:ascii="Times New Roman" w:hAnsi="Times New Roman" w:cs="Times New Roman"/>
                <w:sz w:val="20"/>
                <w:szCs w:val="20"/>
              </w:rPr>
            </w:pPr>
            <w:r w:rsidRPr="00326D34">
              <w:rPr>
                <w:rFonts w:ascii="Times New Roman" w:hAnsi="Times New Roman" w:cs="Times New Roman"/>
                <w:sz w:val="20"/>
                <w:szCs w:val="20"/>
              </w:rPr>
              <w:t>AI for everybody involving cloud-based artificial intelligence (AI).</w:t>
            </w:r>
          </w:p>
          <w:p w14:paraId="6180B214" w14:textId="77777777" w:rsidR="00D515C7" w:rsidRPr="00326D34" w:rsidRDefault="00D515C7" w:rsidP="00D515C7">
            <w:pPr>
              <w:pStyle w:val="ListParagraph"/>
              <w:numPr>
                <w:ilvl w:val="0"/>
                <w:numId w:val="1"/>
              </w:numPr>
              <w:spacing w:after="0" w:line="240" w:lineRule="auto"/>
              <w:ind w:left="322" w:hanging="322"/>
              <w:jc w:val="both"/>
              <w:rPr>
                <w:rFonts w:ascii="Times New Roman" w:hAnsi="Times New Roman" w:cs="Times New Roman"/>
                <w:sz w:val="20"/>
                <w:szCs w:val="20"/>
              </w:rPr>
            </w:pPr>
            <w:proofErr w:type="spellStart"/>
            <w:r w:rsidRPr="00326D34">
              <w:rPr>
                <w:rFonts w:ascii="Times New Roman" w:hAnsi="Times New Roman" w:cs="Times New Roman"/>
                <w:sz w:val="20"/>
                <w:szCs w:val="20"/>
              </w:rPr>
              <w:t>Dueling</w:t>
            </w:r>
            <w:proofErr w:type="spellEnd"/>
            <w:r w:rsidRPr="00326D34">
              <w:rPr>
                <w:rFonts w:ascii="Times New Roman" w:hAnsi="Times New Roman" w:cs="Times New Roman"/>
                <w:sz w:val="20"/>
                <w:szCs w:val="20"/>
              </w:rPr>
              <w:t xml:space="preserve"> neural networks based on generative adversarial network (GAN) technology.</w:t>
            </w:r>
          </w:p>
          <w:p w14:paraId="213C94B7" w14:textId="77777777" w:rsidR="00D515C7" w:rsidRPr="00326D34" w:rsidRDefault="00D515C7" w:rsidP="00D515C7">
            <w:pPr>
              <w:pStyle w:val="ListParagraph"/>
              <w:numPr>
                <w:ilvl w:val="0"/>
                <w:numId w:val="1"/>
              </w:numPr>
              <w:spacing w:after="0" w:line="240" w:lineRule="auto"/>
              <w:ind w:left="322" w:hanging="322"/>
              <w:jc w:val="both"/>
              <w:rPr>
                <w:rFonts w:ascii="Times New Roman" w:hAnsi="Times New Roman" w:cs="Times New Roman"/>
                <w:sz w:val="20"/>
                <w:szCs w:val="20"/>
              </w:rPr>
            </w:pPr>
            <w:r w:rsidRPr="00326D34">
              <w:rPr>
                <w:rFonts w:ascii="Times New Roman" w:hAnsi="Times New Roman" w:cs="Times New Roman"/>
                <w:sz w:val="20"/>
                <w:szCs w:val="20"/>
              </w:rPr>
              <w:t xml:space="preserve">Babel-fish earbuds (inspired by the </w:t>
            </w:r>
            <w:r w:rsidRPr="00326D34">
              <w:rPr>
                <w:rFonts w:ascii="Times New Roman" w:hAnsi="Times New Roman" w:cs="Times New Roman"/>
                <w:i/>
                <w:iCs/>
                <w:sz w:val="20"/>
                <w:szCs w:val="20"/>
              </w:rPr>
              <w:t>Hitchhiker’s Guide to the Galaxy</w:t>
            </w:r>
            <w:r w:rsidRPr="00326D34">
              <w:rPr>
                <w:rFonts w:ascii="Times New Roman" w:hAnsi="Times New Roman" w:cs="Times New Roman"/>
                <w:sz w:val="20"/>
                <w:szCs w:val="20"/>
              </w:rPr>
              <w:t>).</w:t>
            </w:r>
          </w:p>
          <w:p w14:paraId="2C21F617" w14:textId="77777777" w:rsidR="00D515C7" w:rsidRPr="00326D34" w:rsidRDefault="00D515C7" w:rsidP="00D515C7">
            <w:pPr>
              <w:pStyle w:val="ListParagraph"/>
              <w:numPr>
                <w:ilvl w:val="0"/>
                <w:numId w:val="1"/>
              </w:numPr>
              <w:spacing w:after="0" w:line="240" w:lineRule="auto"/>
              <w:ind w:left="322" w:hanging="322"/>
              <w:jc w:val="both"/>
              <w:rPr>
                <w:rFonts w:ascii="Times New Roman" w:hAnsi="Times New Roman" w:cs="Times New Roman"/>
                <w:sz w:val="20"/>
                <w:szCs w:val="20"/>
              </w:rPr>
            </w:pPr>
            <w:r w:rsidRPr="00326D34">
              <w:rPr>
                <w:rFonts w:ascii="Times New Roman" w:hAnsi="Times New Roman" w:cs="Times New Roman"/>
                <w:sz w:val="20"/>
                <w:szCs w:val="20"/>
              </w:rPr>
              <w:t>Zero-carbon natural gas as the basis for clean energy technology.</w:t>
            </w:r>
          </w:p>
          <w:p w14:paraId="2DEAA061" w14:textId="77777777" w:rsidR="00D515C7" w:rsidRPr="00326D34" w:rsidRDefault="00D515C7" w:rsidP="00D515C7">
            <w:pPr>
              <w:pStyle w:val="ListParagraph"/>
              <w:numPr>
                <w:ilvl w:val="0"/>
                <w:numId w:val="1"/>
              </w:numPr>
              <w:spacing w:after="0" w:line="240" w:lineRule="auto"/>
              <w:ind w:left="322" w:hanging="322"/>
              <w:jc w:val="both"/>
              <w:rPr>
                <w:rFonts w:ascii="Times New Roman" w:hAnsi="Times New Roman" w:cs="Times New Roman"/>
                <w:sz w:val="20"/>
                <w:szCs w:val="20"/>
              </w:rPr>
            </w:pPr>
            <w:r w:rsidRPr="00326D34">
              <w:rPr>
                <w:rFonts w:ascii="Times New Roman" w:hAnsi="Times New Roman" w:cs="Times New Roman"/>
                <w:sz w:val="20"/>
                <w:szCs w:val="20"/>
              </w:rPr>
              <w:t>Perfect online privacy through cryptographic technology.</w:t>
            </w:r>
          </w:p>
          <w:p w14:paraId="1D1782C8" w14:textId="77777777" w:rsidR="00D515C7" w:rsidRPr="00326D34" w:rsidRDefault="00D515C7" w:rsidP="00D515C7">
            <w:pPr>
              <w:pStyle w:val="ListParagraph"/>
              <w:numPr>
                <w:ilvl w:val="0"/>
                <w:numId w:val="1"/>
              </w:numPr>
              <w:spacing w:after="0" w:line="240" w:lineRule="auto"/>
              <w:ind w:left="322" w:hanging="322"/>
              <w:jc w:val="both"/>
              <w:rPr>
                <w:rFonts w:ascii="Times New Roman" w:hAnsi="Times New Roman" w:cs="Times New Roman"/>
                <w:sz w:val="20"/>
                <w:szCs w:val="20"/>
              </w:rPr>
            </w:pPr>
            <w:r w:rsidRPr="00326D34">
              <w:rPr>
                <w:rFonts w:ascii="Times New Roman" w:hAnsi="Times New Roman" w:cs="Times New Roman"/>
                <w:sz w:val="20"/>
                <w:szCs w:val="20"/>
              </w:rPr>
              <w:t>Genetic fortune-telling based on DNA testing and related technologies.</w:t>
            </w:r>
          </w:p>
          <w:p w14:paraId="2A00E875" w14:textId="77777777" w:rsidR="00D515C7" w:rsidRPr="00326D34" w:rsidRDefault="00D515C7" w:rsidP="00D515C7">
            <w:pPr>
              <w:pStyle w:val="ListParagraph"/>
              <w:numPr>
                <w:ilvl w:val="0"/>
                <w:numId w:val="1"/>
              </w:numPr>
              <w:spacing w:after="0" w:line="240" w:lineRule="auto"/>
              <w:ind w:left="322" w:hanging="322"/>
              <w:jc w:val="both"/>
              <w:rPr>
                <w:rFonts w:ascii="Times New Roman" w:hAnsi="Times New Roman" w:cs="Times New Roman"/>
                <w:sz w:val="20"/>
                <w:szCs w:val="20"/>
              </w:rPr>
            </w:pPr>
            <w:r w:rsidRPr="00326D34">
              <w:rPr>
                <w:rFonts w:ascii="Times New Roman" w:hAnsi="Times New Roman" w:cs="Times New Roman"/>
                <w:sz w:val="20"/>
                <w:szCs w:val="20"/>
              </w:rPr>
              <w:t>Materials’ quantum leap through leveraging quantum computing technology.</w:t>
            </w:r>
          </w:p>
        </w:tc>
      </w:tr>
      <w:tr w:rsidR="00D515C7" w14:paraId="1E215BAC" w14:textId="77777777" w:rsidTr="00D822B0">
        <w:tc>
          <w:tcPr>
            <w:tcW w:w="704" w:type="dxa"/>
          </w:tcPr>
          <w:p w14:paraId="32552A2E" w14:textId="77777777" w:rsidR="00D515C7" w:rsidRPr="000A604D" w:rsidRDefault="00D515C7" w:rsidP="002410E9">
            <w:pPr>
              <w:jc w:val="both"/>
              <w:rPr>
                <w:rFonts w:cs="Times New Roman"/>
                <w:sz w:val="20"/>
                <w:szCs w:val="20"/>
              </w:rPr>
            </w:pPr>
            <w:r>
              <w:rPr>
                <w:rFonts w:cs="Times New Roman"/>
                <w:sz w:val="20"/>
                <w:szCs w:val="20"/>
              </w:rPr>
              <w:lastRenderedPageBreak/>
              <w:t>2019</w:t>
            </w:r>
          </w:p>
        </w:tc>
        <w:tc>
          <w:tcPr>
            <w:tcW w:w="8647" w:type="dxa"/>
          </w:tcPr>
          <w:p w14:paraId="0840008E" w14:textId="77777777" w:rsidR="00D515C7" w:rsidRPr="0026207B" w:rsidRDefault="00D515C7" w:rsidP="00D515C7">
            <w:pPr>
              <w:pStyle w:val="ListParagraph"/>
              <w:numPr>
                <w:ilvl w:val="0"/>
                <w:numId w:val="2"/>
              </w:numPr>
              <w:spacing w:after="0" w:line="240" w:lineRule="auto"/>
              <w:ind w:left="322" w:hanging="322"/>
              <w:jc w:val="both"/>
              <w:rPr>
                <w:rFonts w:ascii="Times New Roman" w:hAnsi="Times New Roman" w:cs="Times New Roman"/>
                <w:sz w:val="20"/>
                <w:szCs w:val="20"/>
              </w:rPr>
            </w:pPr>
            <w:r w:rsidRPr="0026207B">
              <w:rPr>
                <w:rFonts w:ascii="Times New Roman" w:eastAsia="Times New Roman" w:hAnsi="Times New Roman" w:cs="Times New Roman"/>
                <w:kern w:val="36"/>
                <w:sz w:val="20"/>
                <w:szCs w:val="20"/>
                <w:lang w:eastAsia="en-GB"/>
              </w:rPr>
              <w:t xml:space="preserve">Robot dexterity where </w:t>
            </w:r>
            <w:r w:rsidRPr="0026207B">
              <w:rPr>
                <w:rFonts w:ascii="Times New Roman" w:hAnsi="Times New Roman" w:cs="Times New Roman"/>
                <w:sz w:val="20"/>
                <w:szCs w:val="20"/>
              </w:rPr>
              <w:t>robots are teaching themselves to handle the physical world.</w:t>
            </w:r>
          </w:p>
          <w:p w14:paraId="1A61F2E6" w14:textId="77777777" w:rsidR="00D515C7" w:rsidRPr="0026207B" w:rsidRDefault="00D515C7" w:rsidP="00D515C7">
            <w:pPr>
              <w:pStyle w:val="ListParagraph"/>
              <w:numPr>
                <w:ilvl w:val="0"/>
                <w:numId w:val="2"/>
              </w:numPr>
              <w:spacing w:after="0" w:line="240" w:lineRule="auto"/>
              <w:ind w:left="322" w:hanging="322"/>
              <w:jc w:val="both"/>
              <w:rPr>
                <w:rFonts w:ascii="Times New Roman" w:hAnsi="Times New Roman" w:cs="Times New Roman"/>
                <w:sz w:val="20"/>
                <w:szCs w:val="20"/>
              </w:rPr>
            </w:pPr>
            <w:r w:rsidRPr="0026207B">
              <w:rPr>
                <w:rFonts w:ascii="Times New Roman" w:hAnsi="Times New Roman" w:cs="Times New Roman"/>
                <w:sz w:val="20"/>
                <w:szCs w:val="20"/>
              </w:rPr>
              <w:t>New wave nuclear power based on advanced fission and fusion technologies.</w:t>
            </w:r>
          </w:p>
          <w:p w14:paraId="3AB01495" w14:textId="77777777" w:rsidR="00D515C7" w:rsidRPr="0026207B" w:rsidRDefault="00D515C7" w:rsidP="00D515C7">
            <w:pPr>
              <w:pStyle w:val="ListParagraph"/>
              <w:numPr>
                <w:ilvl w:val="0"/>
                <w:numId w:val="2"/>
              </w:numPr>
              <w:spacing w:after="0" w:line="240" w:lineRule="auto"/>
              <w:ind w:left="322" w:hanging="322"/>
              <w:jc w:val="both"/>
              <w:rPr>
                <w:rFonts w:ascii="Times New Roman" w:hAnsi="Times New Roman" w:cs="Times New Roman"/>
                <w:sz w:val="20"/>
                <w:szCs w:val="20"/>
              </w:rPr>
            </w:pPr>
            <w:r w:rsidRPr="0026207B">
              <w:rPr>
                <w:rFonts w:ascii="Times New Roman" w:hAnsi="Times New Roman" w:cs="Times New Roman"/>
                <w:sz w:val="20"/>
                <w:szCs w:val="20"/>
              </w:rPr>
              <w:t>Predicting preemies involving to test if a pregnant woman is at risk of giving birth prematurely.</w:t>
            </w:r>
          </w:p>
          <w:p w14:paraId="1012665B" w14:textId="77777777" w:rsidR="00D515C7" w:rsidRPr="0026207B" w:rsidRDefault="00D515C7" w:rsidP="00D515C7">
            <w:pPr>
              <w:pStyle w:val="ListParagraph"/>
              <w:numPr>
                <w:ilvl w:val="0"/>
                <w:numId w:val="2"/>
              </w:numPr>
              <w:spacing w:after="0" w:line="240" w:lineRule="auto"/>
              <w:ind w:left="322" w:hanging="322"/>
              <w:jc w:val="both"/>
              <w:rPr>
                <w:rFonts w:ascii="Times New Roman" w:hAnsi="Times New Roman" w:cs="Times New Roman"/>
                <w:sz w:val="20"/>
                <w:szCs w:val="20"/>
              </w:rPr>
            </w:pPr>
            <w:r w:rsidRPr="0026207B">
              <w:rPr>
                <w:rFonts w:ascii="Times New Roman" w:hAnsi="Times New Roman" w:cs="Times New Roman"/>
                <w:sz w:val="20"/>
                <w:szCs w:val="20"/>
              </w:rPr>
              <w:t>Gut probe in a pill where a swallowable device captures detailed images of the human gut.</w:t>
            </w:r>
          </w:p>
          <w:p w14:paraId="2CED7CD0" w14:textId="77777777" w:rsidR="00D515C7" w:rsidRPr="0026207B" w:rsidRDefault="00D515C7" w:rsidP="00D515C7">
            <w:pPr>
              <w:pStyle w:val="ListParagraph"/>
              <w:numPr>
                <w:ilvl w:val="0"/>
                <w:numId w:val="2"/>
              </w:numPr>
              <w:spacing w:after="0" w:line="240" w:lineRule="auto"/>
              <w:ind w:left="322" w:hanging="322"/>
              <w:jc w:val="both"/>
              <w:rPr>
                <w:rFonts w:ascii="Times New Roman" w:hAnsi="Times New Roman" w:cs="Times New Roman"/>
                <w:sz w:val="20"/>
                <w:szCs w:val="20"/>
              </w:rPr>
            </w:pPr>
            <w:r w:rsidRPr="0026207B">
              <w:rPr>
                <w:rFonts w:ascii="Times New Roman" w:hAnsi="Times New Roman" w:cs="Times New Roman"/>
                <w:sz w:val="20"/>
                <w:szCs w:val="20"/>
              </w:rPr>
              <w:t xml:space="preserve">Customer cancer vaccines through identifying mutations unique to each </w:t>
            </w:r>
            <w:proofErr w:type="spellStart"/>
            <w:r w:rsidRPr="0026207B">
              <w:rPr>
                <w:rFonts w:ascii="Times New Roman" w:hAnsi="Times New Roman" w:cs="Times New Roman"/>
                <w:sz w:val="20"/>
                <w:szCs w:val="20"/>
              </w:rPr>
              <w:t>tumor</w:t>
            </w:r>
            <w:proofErr w:type="spellEnd"/>
            <w:r w:rsidRPr="0026207B">
              <w:rPr>
                <w:rFonts w:ascii="Times New Roman" w:hAnsi="Times New Roman" w:cs="Times New Roman"/>
                <w:sz w:val="20"/>
                <w:szCs w:val="20"/>
              </w:rPr>
              <w:t>.</w:t>
            </w:r>
          </w:p>
          <w:p w14:paraId="2DDA038B" w14:textId="77777777" w:rsidR="00D515C7" w:rsidRPr="0026207B" w:rsidRDefault="00D515C7" w:rsidP="00D515C7">
            <w:pPr>
              <w:pStyle w:val="ListParagraph"/>
              <w:numPr>
                <w:ilvl w:val="0"/>
                <w:numId w:val="2"/>
              </w:numPr>
              <w:spacing w:after="0" w:line="240" w:lineRule="auto"/>
              <w:ind w:left="322" w:hanging="322"/>
              <w:jc w:val="both"/>
              <w:rPr>
                <w:rFonts w:ascii="Times New Roman" w:hAnsi="Times New Roman" w:cs="Times New Roman"/>
                <w:sz w:val="20"/>
                <w:szCs w:val="20"/>
              </w:rPr>
            </w:pPr>
            <w:r w:rsidRPr="0026207B">
              <w:rPr>
                <w:rFonts w:ascii="Times New Roman" w:hAnsi="Times New Roman" w:cs="Times New Roman"/>
                <w:sz w:val="20"/>
                <w:szCs w:val="20"/>
              </w:rPr>
              <w:t>The cow-free burger based on lab-grown and plant-based alternatives.</w:t>
            </w:r>
          </w:p>
          <w:p w14:paraId="1FC6A604" w14:textId="77777777" w:rsidR="00D515C7" w:rsidRPr="0026207B" w:rsidRDefault="00D515C7" w:rsidP="00D515C7">
            <w:pPr>
              <w:pStyle w:val="ListParagraph"/>
              <w:numPr>
                <w:ilvl w:val="0"/>
                <w:numId w:val="2"/>
              </w:numPr>
              <w:spacing w:after="0" w:line="240" w:lineRule="auto"/>
              <w:ind w:left="322" w:hanging="322"/>
              <w:jc w:val="both"/>
              <w:rPr>
                <w:rFonts w:ascii="Times New Roman" w:hAnsi="Times New Roman" w:cs="Times New Roman"/>
                <w:sz w:val="20"/>
                <w:szCs w:val="20"/>
              </w:rPr>
            </w:pPr>
            <w:r w:rsidRPr="0026207B">
              <w:rPr>
                <w:rFonts w:ascii="Times New Roman" w:hAnsi="Times New Roman" w:cs="Times New Roman"/>
                <w:sz w:val="20"/>
                <w:szCs w:val="20"/>
              </w:rPr>
              <w:t>Carbon dioxide catcher to capture excess greenhouse gas (GHG) emissions.</w:t>
            </w:r>
          </w:p>
          <w:p w14:paraId="22DBBBF9" w14:textId="77777777" w:rsidR="00D515C7" w:rsidRPr="0026207B" w:rsidRDefault="00D515C7" w:rsidP="00D515C7">
            <w:pPr>
              <w:pStyle w:val="ListParagraph"/>
              <w:numPr>
                <w:ilvl w:val="0"/>
                <w:numId w:val="2"/>
              </w:numPr>
              <w:spacing w:after="0" w:line="240" w:lineRule="auto"/>
              <w:ind w:left="322" w:hanging="322"/>
              <w:jc w:val="both"/>
              <w:rPr>
                <w:rFonts w:ascii="Times New Roman" w:hAnsi="Times New Roman" w:cs="Times New Roman"/>
                <w:sz w:val="20"/>
                <w:szCs w:val="20"/>
              </w:rPr>
            </w:pPr>
            <w:r w:rsidRPr="0026207B">
              <w:rPr>
                <w:rFonts w:ascii="Times New Roman" w:hAnsi="Times New Roman" w:cs="Times New Roman"/>
                <w:sz w:val="20"/>
                <w:szCs w:val="20"/>
              </w:rPr>
              <w:t>An ECG (</w:t>
            </w:r>
            <w:r w:rsidRPr="0026207B">
              <w:rPr>
                <w:rStyle w:val="hgkelc"/>
                <w:rFonts w:ascii="Times New Roman" w:hAnsi="Times New Roman" w:cs="Times New Roman"/>
                <w:sz w:val="20"/>
                <w:szCs w:val="20"/>
              </w:rPr>
              <w:t>electrocardiogram</w:t>
            </w:r>
            <w:r w:rsidRPr="0026207B">
              <w:rPr>
                <w:rFonts w:ascii="Times New Roman" w:hAnsi="Times New Roman" w:cs="Times New Roman"/>
                <w:sz w:val="20"/>
                <w:szCs w:val="20"/>
              </w:rPr>
              <w:t>) on your wrist for real-time tracking of cardiac activity.</w:t>
            </w:r>
          </w:p>
          <w:p w14:paraId="62C71519" w14:textId="77777777" w:rsidR="00D515C7" w:rsidRPr="0026207B" w:rsidRDefault="00D515C7" w:rsidP="00D515C7">
            <w:pPr>
              <w:pStyle w:val="ListParagraph"/>
              <w:numPr>
                <w:ilvl w:val="0"/>
                <w:numId w:val="2"/>
              </w:numPr>
              <w:spacing w:after="0" w:line="240" w:lineRule="auto"/>
              <w:ind w:left="322" w:hanging="322"/>
              <w:jc w:val="both"/>
              <w:rPr>
                <w:rFonts w:ascii="Times New Roman" w:hAnsi="Times New Roman" w:cs="Times New Roman"/>
                <w:sz w:val="20"/>
                <w:szCs w:val="20"/>
              </w:rPr>
            </w:pPr>
            <w:r w:rsidRPr="0026207B">
              <w:rPr>
                <w:rFonts w:ascii="Times New Roman" w:hAnsi="Times New Roman" w:cs="Times New Roman"/>
                <w:sz w:val="20"/>
                <w:szCs w:val="20"/>
              </w:rPr>
              <w:t>Sanitation without sewers technology for energy-efficient toilets.</w:t>
            </w:r>
          </w:p>
          <w:p w14:paraId="0A815187" w14:textId="77777777" w:rsidR="00D515C7" w:rsidRPr="0026207B" w:rsidRDefault="00D515C7" w:rsidP="00D515C7">
            <w:pPr>
              <w:pStyle w:val="ListParagraph"/>
              <w:numPr>
                <w:ilvl w:val="0"/>
                <w:numId w:val="2"/>
              </w:numPr>
              <w:spacing w:after="0" w:line="240" w:lineRule="auto"/>
              <w:ind w:left="322" w:hanging="322"/>
              <w:jc w:val="both"/>
              <w:rPr>
                <w:rFonts w:ascii="Times New Roman" w:hAnsi="Times New Roman" w:cs="Times New Roman"/>
                <w:sz w:val="20"/>
                <w:szCs w:val="20"/>
              </w:rPr>
            </w:pPr>
            <w:r w:rsidRPr="0026207B">
              <w:rPr>
                <w:rFonts w:ascii="Times New Roman" w:hAnsi="Times New Roman" w:cs="Times New Roman"/>
                <w:sz w:val="20"/>
                <w:szCs w:val="20"/>
              </w:rPr>
              <w:t>Smooth-talking AI assistants to improve machine understanding of natural language.</w:t>
            </w:r>
          </w:p>
        </w:tc>
      </w:tr>
      <w:tr w:rsidR="00D515C7" w14:paraId="2CFD8D68" w14:textId="77777777" w:rsidTr="00D822B0">
        <w:tc>
          <w:tcPr>
            <w:tcW w:w="704" w:type="dxa"/>
          </w:tcPr>
          <w:p w14:paraId="00C68EBC" w14:textId="77777777" w:rsidR="00D515C7" w:rsidRPr="000A604D" w:rsidRDefault="00D515C7" w:rsidP="002410E9">
            <w:pPr>
              <w:jc w:val="both"/>
              <w:rPr>
                <w:rFonts w:cs="Times New Roman"/>
                <w:sz w:val="20"/>
                <w:szCs w:val="20"/>
              </w:rPr>
            </w:pPr>
            <w:r>
              <w:rPr>
                <w:rFonts w:cs="Times New Roman"/>
                <w:sz w:val="20"/>
                <w:szCs w:val="20"/>
              </w:rPr>
              <w:t>2020</w:t>
            </w:r>
          </w:p>
        </w:tc>
        <w:tc>
          <w:tcPr>
            <w:tcW w:w="8647" w:type="dxa"/>
          </w:tcPr>
          <w:p w14:paraId="5C5E6D14" w14:textId="77777777" w:rsidR="00D515C7" w:rsidRPr="00E95758" w:rsidRDefault="00D515C7" w:rsidP="00D515C7">
            <w:pPr>
              <w:pStyle w:val="ListParagraph"/>
              <w:numPr>
                <w:ilvl w:val="0"/>
                <w:numId w:val="3"/>
              </w:numPr>
              <w:spacing w:after="0" w:line="240" w:lineRule="auto"/>
              <w:ind w:left="322" w:hanging="322"/>
              <w:jc w:val="both"/>
              <w:rPr>
                <w:rFonts w:ascii="Times New Roman" w:hAnsi="Times New Roman" w:cs="Times New Roman"/>
                <w:sz w:val="20"/>
                <w:szCs w:val="20"/>
              </w:rPr>
            </w:pPr>
            <w:proofErr w:type="spellStart"/>
            <w:r w:rsidRPr="00E95758">
              <w:rPr>
                <w:rFonts w:ascii="Times New Roman" w:hAnsi="Times New Roman" w:cs="Times New Roman"/>
                <w:sz w:val="20"/>
                <w:szCs w:val="20"/>
              </w:rPr>
              <w:t>Unhackable</w:t>
            </w:r>
            <w:proofErr w:type="spellEnd"/>
            <w:r w:rsidRPr="00E95758">
              <w:rPr>
                <w:rFonts w:ascii="Times New Roman" w:hAnsi="Times New Roman" w:cs="Times New Roman"/>
                <w:sz w:val="20"/>
                <w:szCs w:val="20"/>
              </w:rPr>
              <w:t xml:space="preserve"> internet enabled through next</w:t>
            </w:r>
            <w:r>
              <w:rPr>
                <w:rFonts w:ascii="Times New Roman" w:hAnsi="Times New Roman" w:cs="Times New Roman"/>
                <w:sz w:val="20"/>
                <w:szCs w:val="20"/>
              </w:rPr>
              <w:t xml:space="preserve"> generation</w:t>
            </w:r>
            <w:r w:rsidRPr="00E95758">
              <w:rPr>
                <w:rFonts w:ascii="Times New Roman" w:hAnsi="Times New Roman" w:cs="Times New Roman"/>
                <w:sz w:val="20"/>
                <w:szCs w:val="20"/>
              </w:rPr>
              <w:t xml:space="preserve"> on quantum </w:t>
            </w:r>
            <w:r>
              <w:rPr>
                <w:rFonts w:ascii="Times New Roman" w:hAnsi="Times New Roman" w:cs="Times New Roman"/>
                <w:sz w:val="20"/>
                <w:szCs w:val="20"/>
              </w:rPr>
              <w:t xml:space="preserve">computing </w:t>
            </w:r>
            <w:r w:rsidRPr="00E95758">
              <w:rPr>
                <w:rFonts w:ascii="Times New Roman" w:hAnsi="Times New Roman" w:cs="Times New Roman"/>
                <w:sz w:val="20"/>
                <w:szCs w:val="20"/>
              </w:rPr>
              <w:t>technologies.</w:t>
            </w:r>
          </w:p>
          <w:p w14:paraId="2D8B8D9B" w14:textId="77777777" w:rsidR="00D515C7" w:rsidRPr="00E95758" w:rsidRDefault="00D515C7" w:rsidP="00D515C7">
            <w:pPr>
              <w:pStyle w:val="ListParagraph"/>
              <w:numPr>
                <w:ilvl w:val="0"/>
                <w:numId w:val="3"/>
              </w:numPr>
              <w:spacing w:after="0" w:line="240" w:lineRule="auto"/>
              <w:ind w:left="322" w:hanging="322"/>
              <w:jc w:val="both"/>
              <w:rPr>
                <w:rFonts w:ascii="Times New Roman" w:hAnsi="Times New Roman" w:cs="Times New Roman"/>
                <w:sz w:val="20"/>
                <w:szCs w:val="20"/>
              </w:rPr>
            </w:pPr>
            <w:r w:rsidRPr="00E95758">
              <w:rPr>
                <w:rFonts w:ascii="Times New Roman" w:hAnsi="Times New Roman" w:cs="Times New Roman"/>
                <w:sz w:val="20"/>
                <w:szCs w:val="20"/>
              </w:rPr>
              <w:t>Hyper-personalized medicine where genetic medicine is tailored to a single patient.</w:t>
            </w:r>
          </w:p>
          <w:p w14:paraId="5DC4437B" w14:textId="77777777" w:rsidR="00D515C7" w:rsidRPr="00E95758" w:rsidRDefault="00D515C7" w:rsidP="00D515C7">
            <w:pPr>
              <w:pStyle w:val="ListParagraph"/>
              <w:numPr>
                <w:ilvl w:val="0"/>
                <w:numId w:val="3"/>
              </w:numPr>
              <w:spacing w:after="0" w:line="240" w:lineRule="auto"/>
              <w:ind w:left="322" w:hanging="322"/>
              <w:jc w:val="both"/>
              <w:rPr>
                <w:rFonts w:ascii="Times New Roman" w:hAnsi="Times New Roman" w:cs="Times New Roman"/>
                <w:sz w:val="20"/>
                <w:szCs w:val="20"/>
              </w:rPr>
            </w:pPr>
            <w:r w:rsidRPr="00E95758">
              <w:rPr>
                <w:rFonts w:ascii="Times New Roman" w:hAnsi="Times New Roman" w:cs="Times New Roman"/>
                <w:sz w:val="20"/>
                <w:szCs w:val="20"/>
              </w:rPr>
              <w:t>Digital money utilising distributed ledger technology that is backed by a national reserve.</w:t>
            </w:r>
          </w:p>
          <w:p w14:paraId="4D5DAD29" w14:textId="77777777" w:rsidR="00D515C7" w:rsidRPr="00E95758" w:rsidRDefault="00D515C7" w:rsidP="00D515C7">
            <w:pPr>
              <w:pStyle w:val="ListParagraph"/>
              <w:numPr>
                <w:ilvl w:val="0"/>
                <w:numId w:val="3"/>
              </w:numPr>
              <w:spacing w:after="0" w:line="240" w:lineRule="auto"/>
              <w:ind w:left="322" w:hanging="322"/>
              <w:jc w:val="both"/>
              <w:rPr>
                <w:rFonts w:ascii="Times New Roman" w:hAnsi="Times New Roman" w:cs="Times New Roman"/>
                <w:sz w:val="20"/>
                <w:szCs w:val="20"/>
              </w:rPr>
            </w:pPr>
            <w:r w:rsidRPr="00E95758">
              <w:rPr>
                <w:rFonts w:ascii="Times New Roman" w:hAnsi="Times New Roman" w:cs="Times New Roman"/>
                <w:sz w:val="20"/>
                <w:szCs w:val="20"/>
              </w:rPr>
              <w:t>Anti-aging drugs to treat different diseases, such as cancer, heart disease and dementia.</w:t>
            </w:r>
          </w:p>
          <w:p w14:paraId="1DC8D1D1" w14:textId="77777777" w:rsidR="00D515C7" w:rsidRPr="00E95758" w:rsidRDefault="00D515C7" w:rsidP="00D515C7">
            <w:pPr>
              <w:pStyle w:val="ListParagraph"/>
              <w:numPr>
                <w:ilvl w:val="0"/>
                <w:numId w:val="3"/>
              </w:numPr>
              <w:spacing w:after="0" w:line="240" w:lineRule="auto"/>
              <w:ind w:left="322" w:hanging="322"/>
              <w:jc w:val="both"/>
              <w:rPr>
                <w:rFonts w:ascii="Times New Roman" w:hAnsi="Times New Roman" w:cs="Times New Roman"/>
                <w:sz w:val="20"/>
                <w:szCs w:val="20"/>
              </w:rPr>
            </w:pPr>
            <w:r w:rsidRPr="00E95758">
              <w:rPr>
                <w:rFonts w:ascii="Times New Roman" w:hAnsi="Times New Roman" w:cs="Times New Roman"/>
                <w:sz w:val="20"/>
                <w:szCs w:val="20"/>
              </w:rPr>
              <w:t xml:space="preserve">AI-discovered molecules to improve drug development pipelines. </w:t>
            </w:r>
          </w:p>
          <w:p w14:paraId="3C260330" w14:textId="77777777" w:rsidR="00D515C7" w:rsidRPr="00E95758" w:rsidRDefault="00D515C7" w:rsidP="00D515C7">
            <w:pPr>
              <w:pStyle w:val="ListParagraph"/>
              <w:numPr>
                <w:ilvl w:val="0"/>
                <w:numId w:val="3"/>
              </w:numPr>
              <w:spacing w:after="0" w:line="240" w:lineRule="auto"/>
              <w:ind w:left="322" w:hanging="322"/>
              <w:jc w:val="both"/>
              <w:rPr>
                <w:rFonts w:ascii="Times New Roman" w:hAnsi="Times New Roman" w:cs="Times New Roman"/>
                <w:sz w:val="20"/>
                <w:szCs w:val="20"/>
              </w:rPr>
            </w:pPr>
            <w:r w:rsidRPr="00E95758">
              <w:rPr>
                <w:rFonts w:ascii="Times New Roman" w:hAnsi="Times New Roman" w:cs="Times New Roman"/>
                <w:sz w:val="20"/>
                <w:szCs w:val="20"/>
              </w:rPr>
              <w:t>Satellite mega-constellations to enable global provision of high-speed internet.</w:t>
            </w:r>
          </w:p>
          <w:p w14:paraId="19550E20" w14:textId="77777777" w:rsidR="00D515C7" w:rsidRPr="00E95758" w:rsidRDefault="00D515C7" w:rsidP="00D515C7">
            <w:pPr>
              <w:pStyle w:val="ListParagraph"/>
              <w:numPr>
                <w:ilvl w:val="0"/>
                <w:numId w:val="3"/>
              </w:numPr>
              <w:spacing w:after="0" w:line="240" w:lineRule="auto"/>
              <w:ind w:left="322" w:hanging="322"/>
              <w:jc w:val="both"/>
              <w:rPr>
                <w:rFonts w:ascii="Times New Roman" w:hAnsi="Times New Roman" w:cs="Times New Roman"/>
                <w:sz w:val="20"/>
                <w:szCs w:val="20"/>
              </w:rPr>
            </w:pPr>
            <w:r w:rsidRPr="00E95758">
              <w:rPr>
                <w:rFonts w:ascii="Times New Roman" w:hAnsi="Times New Roman" w:cs="Times New Roman"/>
                <w:sz w:val="20"/>
                <w:szCs w:val="20"/>
              </w:rPr>
              <w:t>Quantum supremacy enabling through deployment of quantum computing technology.</w:t>
            </w:r>
          </w:p>
          <w:p w14:paraId="6F0B9240" w14:textId="77777777" w:rsidR="00D515C7" w:rsidRPr="00E95758" w:rsidRDefault="00D515C7" w:rsidP="00D515C7">
            <w:pPr>
              <w:pStyle w:val="ListParagraph"/>
              <w:numPr>
                <w:ilvl w:val="0"/>
                <w:numId w:val="3"/>
              </w:numPr>
              <w:spacing w:after="0" w:line="240" w:lineRule="auto"/>
              <w:ind w:left="322" w:hanging="322"/>
              <w:jc w:val="both"/>
              <w:rPr>
                <w:rFonts w:ascii="Times New Roman" w:hAnsi="Times New Roman" w:cs="Times New Roman"/>
                <w:sz w:val="20"/>
                <w:szCs w:val="20"/>
              </w:rPr>
            </w:pPr>
            <w:r w:rsidRPr="00E95758">
              <w:rPr>
                <w:rFonts w:ascii="Times New Roman" w:hAnsi="Times New Roman" w:cs="Times New Roman"/>
                <w:sz w:val="20"/>
                <w:szCs w:val="20"/>
              </w:rPr>
              <w:t xml:space="preserve">Tiny AI technologies via small-scale </w:t>
            </w:r>
            <w:r>
              <w:rPr>
                <w:rFonts w:ascii="Times New Roman" w:hAnsi="Times New Roman" w:cs="Times New Roman"/>
                <w:sz w:val="20"/>
                <w:szCs w:val="20"/>
              </w:rPr>
              <w:t>systems</w:t>
            </w:r>
            <w:r w:rsidRPr="00E95758">
              <w:rPr>
                <w:rFonts w:ascii="Times New Roman" w:hAnsi="Times New Roman" w:cs="Times New Roman"/>
                <w:sz w:val="20"/>
                <w:szCs w:val="20"/>
              </w:rPr>
              <w:t xml:space="preserve"> that do not need to communicate with the cloud.</w:t>
            </w:r>
          </w:p>
          <w:p w14:paraId="29F69D09" w14:textId="77777777" w:rsidR="00D515C7" w:rsidRPr="00E95758" w:rsidRDefault="00D515C7" w:rsidP="00D515C7">
            <w:pPr>
              <w:pStyle w:val="ListParagraph"/>
              <w:numPr>
                <w:ilvl w:val="0"/>
                <w:numId w:val="3"/>
              </w:numPr>
              <w:spacing w:after="0" w:line="240" w:lineRule="auto"/>
              <w:ind w:left="322" w:hanging="322"/>
              <w:jc w:val="both"/>
              <w:rPr>
                <w:rFonts w:ascii="Times New Roman" w:hAnsi="Times New Roman" w:cs="Times New Roman"/>
                <w:sz w:val="20"/>
                <w:szCs w:val="20"/>
              </w:rPr>
            </w:pPr>
            <w:r w:rsidRPr="00E95758">
              <w:rPr>
                <w:rFonts w:ascii="Times New Roman" w:hAnsi="Times New Roman" w:cs="Times New Roman"/>
                <w:sz w:val="20"/>
                <w:szCs w:val="20"/>
              </w:rPr>
              <w:t>Differential privacy to counter the threat from de-anonymization of large datasets.</w:t>
            </w:r>
          </w:p>
          <w:p w14:paraId="74F31871" w14:textId="77777777" w:rsidR="00D515C7" w:rsidRPr="00E95758" w:rsidRDefault="00D515C7" w:rsidP="00D515C7">
            <w:pPr>
              <w:pStyle w:val="ListParagraph"/>
              <w:numPr>
                <w:ilvl w:val="0"/>
                <w:numId w:val="3"/>
              </w:numPr>
              <w:spacing w:after="0" w:line="240" w:lineRule="auto"/>
              <w:ind w:left="322" w:hanging="322"/>
              <w:jc w:val="both"/>
              <w:rPr>
                <w:rFonts w:ascii="Times New Roman" w:hAnsi="Times New Roman" w:cs="Times New Roman"/>
                <w:sz w:val="20"/>
                <w:szCs w:val="20"/>
              </w:rPr>
            </w:pPr>
            <w:r w:rsidRPr="00E95758">
              <w:rPr>
                <w:rFonts w:ascii="Times New Roman" w:hAnsi="Times New Roman" w:cs="Times New Roman"/>
                <w:sz w:val="20"/>
                <w:szCs w:val="20"/>
              </w:rPr>
              <w:t>Climate change attribution to clearly identify the impact of climate change on weather patterns.</w:t>
            </w:r>
          </w:p>
        </w:tc>
      </w:tr>
    </w:tbl>
    <w:p w14:paraId="1626870E" w14:textId="77777777" w:rsidR="00D515C7" w:rsidRDefault="00D515C7" w:rsidP="00D515C7">
      <w:pPr>
        <w:jc w:val="both"/>
        <w:rPr>
          <w:sz w:val="20"/>
        </w:rPr>
      </w:pPr>
    </w:p>
    <w:p w14:paraId="3F40638B" w14:textId="266066C4" w:rsidR="00D515C7" w:rsidRDefault="00D515C7" w:rsidP="00D515C7">
      <w:pPr>
        <w:ind w:firstLine="426"/>
        <w:jc w:val="both"/>
        <w:rPr>
          <w:sz w:val="20"/>
        </w:rPr>
      </w:pPr>
      <w:r>
        <w:rPr>
          <w:sz w:val="20"/>
        </w:rPr>
        <w:t>The technology evaluation process involves the initial evaluation of the 10 breakthrough technologies that are reviewed, whereupon 4 technologies are selected for more detailed evaluation. After this additional level of evaluation</w:t>
      </w:r>
      <w:r w:rsidR="00D5093B">
        <w:rPr>
          <w:sz w:val="20"/>
        </w:rPr>
        <w:t>,</w:t>
      </w:r>
      <w:r>
        <w:rPr>
          <w:sz w:val="20"/>
        </w:rPr>
        <w:t xml:space="preserve"> a single technology is recommended for further commercialization planning and development of the business plan for the technology-driven start-up company. This technology evaluation process can be viewed in terms of </w:t>
      </w:r>
      <w:r w:rsidR="00F33D95">
        <w:rPr>
          <w:sz w:val="20"/>
        </w:rPr>
        <w:t>the</w:t>
      </w:r>
      <w:r>
        <w:rPr>
          <w:sz w:val="20"/>
        </w:rPr>
        <w:t xml:space="preserve"> funnel as </w:t>
      </w:r>
      <w:r w:rsidR="00F33D95">
        <w:rPr>
          <w:sz w:val="20"/>
        </w:rPr>
        <w:t>depicted</w:t>
      </w:r>
      <w:r>
        <w:rPr>
          <w:sz w:val="20"/>
        </w:rPr>
        <w:t xml:space="preserve"> in Exhibit 2, where the detailed evaluation criteria are summarized including technology uniqueness and maturity, competition, economic and market-driven factors. </w:t>
      </w:r>
    </w:p>
    <w:p w14:paraId="764CD6B7" w14:textId="79C14696" w:rsidR="00D515C7" w:rsidRDefault="00D515C7" w:rsidP="00D515C7">
      <w:pPr>
        <w:ind w:firstLine="426"/>
        <w:jc w:val="both"/>
        <w:rPr>
          <w:sz w:val="20"/>
        </w:rPr>
      </w:pPr>
      <w:r w:rsidRPr="0043420B">
        <w:rPr>
          <w:sz w:val="20"/>
        </w:rPr>
        <w:t xml:space="preserve">The </w:t>
      </w:r>
      <w:r>
        <w:rPr>
          <w:sz w:val="20"/>
        </w:rPr>
        <w:t>evaluation</w:t>
      </w:r>
      <w:r w:rsidRPr="0043420B">
        <w:rPr>
          <w:sz w:val="20"/>
        </w:rPr>
        <w:t xml:space="preserve"> of technologies </w:t>
      </w:r>
      <w:r>
        <w:rPr>
          <w:sz w:val="20"/>
        </w:rPr>
        <w:t xml:space="preserve">is a key feature of the module, which can also be considered in the context of four main stages that are depicted in Exhibit 3. Stage 1 involves ideation and description, where the technologies are initially evaluated according to the approach summarized in Exhibit </w:t>
      </w:r>
      <w:r w:rsidR="00552F83">
        <w:rPr>
          <w:sz w:val="20"/>
        </w:rPr>
        <w:t>2</w:t>
      </w:r>
      <w:r>
        <w:rPr>
          <w:sz w:val="20"/>
        </w:rPr>
        <w:t>, which results in identification of the minimum viable product (MVP). Stage 2 is based on extensive use of the SWOT (s</w:t>
      </w:r>
      <w:r w:rsidRPr="00756826">
        <w:rPr>
          <w:sz w:val="20"/>
        </w:rPr>
        <w:t>trengths</w:t>
      </w:r>
      <w:r>
        <w:rPr>
          <w:sz w:val="20"/>
        </w:rPr>
        <w:t>; w</w:t>
      </w:r>
      <w:r w:rsidRPr="00756826">
        <w:rPr>
          <w:sz w:val="20"/>
        </w:rPr>
        <w:t>eaknesses</w:t>
      </w:r>
      <w:r>
        <w:rPr>
          <w:sz w:val="20"/>
        </w:rPr>
        <w:t>; o</w:t>
      </w:r>
      <w:r w:rsidRPr="00756826">
        <w:rPr>
          <w:sz w:val="20"/>
        </w:rPr>
        <w:t>pportunities</w:t>
      </w:r>
      <w:r>
        <w:rPr>
          <w:sz w:val="20"/>
        </w:rPr>
        <w:t>; t</w:t>
      </w:r>
      <w:r w:rsidRPr="00756826">
        <w:rPr>
          <w:sz w:val="20"/>
        </w:rPr>
        <w:t>hreats</w:t>
      </w:r>
      <w:r>
        <w:rPr>
          <w:sz w:val="20"/>
        </w:rPr>
        <w:t>) and PESTLE (p</w:t>
      </w:r>
      <w:r w:rsidRPr="00756826">
        <w:rPr>
          <w:sz w:val="20"/>
        </w:rPr>
        <w:t>olitical</w:t>
      </w:r>
      <w:r>
        <w:rPr>
          <w:sz w:val="20"/>
        </w:rPr>
        <w:t>; e</w:t>
      </w:r>
      <w:r w:rsidRPr="00756826">
        <w:rPr>
          <w:sz w:val="20"/>
        </w:rPr>
        <w:t>conomic</w:t>
      </w:r>
      <w:r>
        <w:rPr>
          <w:sz w:val="20"/>
        </w:rPr>
        <w:t>; s</w:t>
      </w:r>
      <w:r w:rsidRPr="00756826">
        <w:rPr>
          <w:sz w:val="20"/>
        </w:rPr>
        <w:t>ocial</w:t>
      </w:r>
      <w:r>
        <w:rPr>
          <w:sz w:val="20"/>
        </w:rPr>
        <w:t>; t</w:t>
      </w:r>
      <w:r w:rsidRPr="00756826">
        <w:rPr>
          <w:sz w:val="20"/>
        </w:rPr>
        <w:t>echnological</w:t>
      </w:r>
      <w:r>
        <w:rPr>
          <w:sz w:val="20"/>
        </w:rPr>
        <w:t>; l</w:t>
      </w:r>
      <w:r w:rsidRPr="00756826">
        <w:rPr>
          <w:sz w:val="20"/>
        </w:rPr>
        <w:t>egal</w:t>
      </w:r>
      <w:r>
        <w:rPr>
          <w:sz w:val="20"/>
        </w:rPr>
        <w:t>; e</w:t>
      </w:r>
      <w:r w:rsidRPr="00756826">
        <w:rPr>
          <w:sz w:val="20"/>
        </w:rPr>
        <w:t>nvironmental</w:t>
      </w:r>
      <w:r>
        <w:rPr>
          <w:sz w:val="20"/>
        </w:rPr>
        <w:t>) analysis techniques</w:t>
      </w:r>
      <w:r w:rsidRPr="00756826">
        <w:rPr>
          <w:sz w:val="20"/>
        </w:rPr>
        <w:t xml:space="preserve"> </w:t>
      </w:r>
      <w:r>
        <w:rPr>
          <w:sz w:val="20"/>
        </w:rPr>
        <w:t>as part of the opportunity assessment for the proposed start-up company. Stage 3 involves preparing the detailed business plan that brings together the planning and analysis on the technology idea, problem and solution, MVP, operations, market analysis and marketing plan, company organizational structure, risk management and financial analysis (including the outline income and expenditure for the start-up and capital investment requirements).  Once the business plan has been prepared and submitted for assessment, the module delivered in the School of Engineering is completed. Although it is worth noting that the whole process could if required be followed through to Stage 4, which would involve implementation of the business plan and actual launch of the start-up company (this stage is outside the scope of the educational delivery of the module).</w:t>
      </w:r>
    </w:p>
    <w:p w14:paraId="0CD89099" w14:textId="0B50649F" w:rsidR="00D515C7" w:rsidRDefault="00D515C7" w:rsidP="00F2445D">
      <w:pPr>
        <w:ind w:firstLine="426"/>
        <w:jc w:val="both"/>
        <w:rPr>
          <w:sz w:val="20"/>
        </w:rPr>
      </w:pPr>
      <w:r>
        <w:rPr>
          <w:sz w:val="20"/>
        </w:rPr>
        <w:t>As mentioned previously, a key feature of the module is that student teams are guided to evaluate technologies and thereafter build a start-up business plan. The module includes delivery of a range of lectures designed to give the students a broader education in areas such as technology management, business management, innovation and entrepreneurship. In this regard</w:t>
      </w:r>
      <w:r w:rsidR="00F33D95">
        <w:rPr>
          <w:sz w:val="20"/>
        </w:rPr>
        <w:t>,</w:t>
      </w:r>
      <w:r>
        <w:rPr>
          <w:sz w:val="20"/>
        </w:rPr>
        <w:t xml:space="preserve"> the process-based approach for business planning is augmented with the use of a range of f</w:t>
      </w:r>
      <w:r w:rsidRPr="004A01AF">
        <w:rPr>
          <w:sz w:val="20"/>
        </w:rPr>
        <w:t>urther business analysis tools and models</w:t>
      </w:r>
      <w:r>
        <w:rPr>
          <w:sz w:val="20"/>
        </w:rPr>
        <w:t xml:space="preserve">. This includes </w:t>
      </w:r>
      <w:r w:rsidRPr="004A01AF">
        <w:rPr>
          <w:sz w:val="20"/>
        </w:rPr>
        <w:t xml:space="preserve">Porter’s </w:t>
      </w:r>
      <w:r>
        <w:rPr>
          <w:sz w:val="20"/>
        </w:rPr>
        <w:t>five</w:t>
      </w:r>
      <w:r w:rsidRPr="004A01AF">
        <w:rPr>
          <w:sz w:val="20"/>
        </w:rPr>
        <w:t xml:space="preserve"> forces</w:t>
      </w:r>
      <w:r w:rsidR="00F33D95">
        <w:rPr>
          <w:sz w:val="20"/>
        </w:rPr>
        <w:t xml:space="preserve"> (</w:t>
      </w:r>
      <w:r w:rsidR="00F33D95" w:rsidRPr="00F33D95">
        <w:rPr>
          <w:sz w:val="20"/>
          <w:lang w:val="en-GB" w:eastAsia="en-GB"/>
        </w:rPr>
        <w:t>Porter, 1989)</w:t>
      </w:r>
      <w:r w:rsidRPr="00080660">
        <w:rPr>
          <w:sz w:val="20"/>
        </w:rPr>
        <w:t xml:space="preserve">, which allows the competitive forces that shape an industrial sector to be </w:t>
      </w:r>
      <w:proofErr w:type="spellStart"/>
      <w:r w:rsidRPr="00080660">
        <w:rPr>
          <w:sz w:val="20"/>
        </w:rPr>
        <w:t>analysed</w:t>
      </w:r>
      <w:proofErr w:type="spellEnd"/>
      <w:r>
        <w:rPr>
          <w:sz w:val="20"/>
        </w:rPr>
        <w:t xml:space="preserve">; </w:t>
      </w:r>
      <w:r w:rsidRPr="00080660">
        <w:rPr>
          <w:sz w:val="20"/>
        </w:rPr>
        <w:t>Ansoff’s matrix</w:t>
      </w:r>
      <w:r w:rsidR="00F33D95" w:rsidRPr="00F33D95">
        <w:rPr>
          <w:sz w:val="20"/>
          <w:lang w:val="en-GB" w:eastAsia="en-GB"/>
        </w:rPr>
        <w:t xml:space="preserve"> </w:t>
      </w:r>
      <w:r w:rsidR="00F33D95">
        <w:rPr>
          <w:sz w:val="20"/>
          <w:lang w:val="en-GB" w:eastAsia="en-GB"/>
        </w:rPr>
        <w:t>(</w:t>
      </w:r>
      <w:r w:rsidR="00F33D95" w:rsidRPr="00F33D95">
        <w:rPr>
          <w:sz w:val="20"/>
          <w:lang w:val="en-GB" w:eastAsia="en-GB"/>
        </w:rPr>
        <w:t>Ansoff, 1957)</w:t>
      </w:r>
      <w:r w:rsidRPr="00080660">
        <w:rPr>
          <w:sz w:val="20"/>
        </w:rPr>
        <w:t xml:space="preserve">, which is a marketing planning tool that allows growth strategies to be identified – charting existing and new markets vs. existing </w:t>
      </w:r>
      <w:r w:rsidRPr="00080660">
        <w:rPr>
          <w:sz w:val="20"/>
        </w:rPr>
        <w:lastRenderedPageBreak/>
        <w:t>and new products</w:t>
      </w:r>
      <w:r>
        <w:rPr>
          <w:sz w:val="20"/>
        </w:rPr>
        <w:t xml:space="preserve">; </w:t>
      </w:r>
      <w:r w:rsidRPr="00080660">
        <w:rPr>
          <w:sz w:val="20"/>
        </w:rPr>
        <w:t>Porter’s v</w:t>
      </w:r>
      <w:r w:rsidRPr="004A01AF">
        <w:rPr>
          <w:sz w:val="20"/>
        </w:rPr>
        <w:t>alue chain analysis</w:t>
      </w:r>
      <w:r w:rsidR="0032322A">
        <w:rPr>
          <w:sz w:val="20"/>
        </w:rPr>
        <w:t xml:space="preserve"> (</w:t>
      </w:r>
      <w:r w:rsidR="0032322A" w:rsidRPr="00F33D95">
        <w:rPr>
          <w:rStyle w:val="HTMLCite"/>
          <w:i w:val="0"/>
          <w:iCs w:val="0"/>
          <w:sz w:val="20"/>
        </w:rPr>
        <w:t>Porter, 1985)</w:t>
      </w:r>
      <w:r w:rsidRPr="00080660">
        <w:rPr>
          <w:sz w:val="20"/>
        </w:rPr>
        <w:t>, which allows value adding functional areas of the business to be identified</w:t>
      </w:r>
      <w:r>
        <w:rPr>
          <w:sz w:val="20"/>
        </w:rPr>
        <w:t xml:space="preserve">; </w:t>
      </w:r>
      <w:r w:rsidRPr="00080660">
        <w:rPr>
          <w:sz w:val="20"/>
        </w:rPr>
        <w:t>VRIO analysis</w:t>
      </w:r>
      <w:r w:rsidR="0032322A">
        <w:rPr>
          <w:sz w:val="20"/>
        </w:rPr>
        <w:t xml:space="preserve"> (</w:t>
      </w:r>
      <w:r w:rsidR="0032322A" w:rsidRPr="0032322A">
        <w:rPr>
          <w:sz w:val="20"/>
          <w:lang w:val="en-GB" w:eastAsia="en-GB"/>
        </w:rPr>
        <w:t>Barney</w:t>
      </w:r>
      <w:r w:rsidR="0032322A">
        <w:rPr>
          <w:sz w:val="20"/>
          <w:lang w:val="en-GB" w:eastAsia="en-GB"/>
        </w:rPr>
        <w:t xml:space="preserve"> </w:t>
      </w:r>
      <w:r w:rsidR="0032322A" w:rsidRPr="0032322A">
        <w:rPr>
          <w:sz w:val="20"/>
          <w:lang w:val="en-GB" w:eastAsia="en-GB"/>
        </w:rPr>
        <w:t>&amp; Wright, 1998)</w:t>
      </w:r>
      <w:r w:rsidRPr="00080660">
        <w:rPr>
          <w:sz w:val="20"/>
        </w:rPr>
        <w:t xml:space="preserve">, which is a business analysis framework to identify resources that assesses the value, rarity, imitability, and </w:t>
      </w:r>
      <w:proofErr w:type="spellStart"/>
      <w:r w:rsidRPr="00080660">
        <w:rPr>
          <w:sz w:val="20"/>
        </w:rPr>
        <w:t>organisation</w:t>
      </w:r>
      <w:proofErr w:type="spellEnd"/>
      <w:r w:rsidRPr="00080660">
        <w:rPr>
          <w:sz w:val="20"/>
        </w:rPr>
        <w:t xml:space="preserve"> of resources that provide competitive advantage</w:t>
      </w:r>
      <w:r w:rsidR="003F7442">
        <w:rPr>
          <w:sz w:val="20"/>
        </w:rPr>
        <w:t xml:space="preserve">; and the </w:t>
      </w:r>
      <w:r w:rsidR="003F7442">
        <w:rPr>
          <w:sz w:val="20"/>
          <w:lang w:eastAsia="en-GB"/>
        </w:rPr>
        <w:t>p</w:t>
      </w:r>
      <w:r w:rsidR="003F7442" w:rsidRPr="00A22543">
        <w:rPr>
          <w:sz w:val="20"/>
          <w:lang w:eastAsia="en-GB"/>
        </w:rPr>
        <w:t>rocess model for university‐industry research collaboration</w:t>
      </w:r>
      <w:r w:rsidR="003F7442">
        <w:rPr>
          <w:sz w:val="20"/>
          <w:lang w:eastAsia="en-GB"/>
        </w:rPr>
        <w:t xml:space="preserve"> (</w:t>
      </w:r>
      <w:r w:rsidR="003F7442" w:rsidRPr="00A22543">
        <w:rPr>
          <w:sz w:val="20"/>
          <w:lang w:eastAsia="en-GB"/>
        </w:rPr>
        <w:t>Philbin, 2008)</w:t>
      </w:r>
      <w:r w:rsidR="003F7442">
        <w:rPr>
          <w:sz w:val="20"/>
          <w:lang w:eastAsia="en-GB"/>
        </w:rPr>
        <w:t xml:space="preserve">, which is a management framework that can be used to develop and manage </w:t>
      </w:r>
      <w:r w:rsidR="003F7442" w:rsidRPr="00A22543">
        <w:rPr>
          <w:sz w:val="20"/>
          <w:lang w:eastAsia="en-GB"/>
        </w:rPr>
        <w:t>research collaboration</w:t>
      </w:r>
      <w:r w:rsidR="003F7442">
        <w:rPr>
          <w:sz w:val="20"/>
          <w:lang w:eastAsia="en-GB"/>
        </w:rPr>
        <w:t>s between universities and industry</w:t>
      </w:r>
      <w:r>
        <w:rPr>
          <w:sz w:val="20"/>
        </w:rPr>
        <w:t>. Exhibit 4 provides details of the main content-based lectures according to the module schedule.</w:t>
      </w:r>
    </w:p>
    <w:p w14:paraId="331405B3" w14:textId="77777777" w:rsidR="00D515C7" w:rsidRPr="00D515C7" w:rsidRDefault="00D515C7" w:rsidP="00D515C7">
      <w:pPr>
        <w:pStyle w:val="NormalWeb"/>
        <w:jc w:val="center"/>
        <w:rPr>
          <w:b/>
          <w:color w:val="111111"/>
          <w:spacing w:val="-3"/>
          <w:sz w:val="20"/>
          <w:szCs w:val="20"/>
        </w:rPr>
      </w:pPr>
      <w:r w:rsidRPr="00D515C7">
        <w:rPr>
          <w:b/>
          <w:color w:val="111111"/>
          <w:spacing w:val="-3"/>
          <w:sz w:val="20"/>
          <w:szCs w:val="20"/>
        </w:rPr>
        <w:t>Exhibit 2. Selection of leading technology for commercialization and business planning.</w:t>
      </w:r>
    </w:p>
    <w:p w14:paraId="59D527C1" w14:textId="38A1BBAE" w:rsidR="00D515C7" w:rsidRDefault="00DA46BC" w:rsidP="00D822B0">
      <w:pPr>
        <w:jc w:val="center"/>
        <w:rPr>
          <w:b/>
          <w:color w:val="111111"/>
          <w:spacing w:val="-3"/>
          <w:sz w:val="20"/>
        </w:rPr>
      </w:pPr>
      <w:r w:rsidRPr="00DA46BC">
        <w:rPr>
          <w:noProof/>
        </w:rPr>
        <w:drawing>
          <wp:inline distT="0" distB="0" distL="0" distR="0" wp14:anchorId="654CD79C" wp14:editId="0BD06867">
            <wp:extent cx="5385423" cy="334920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815" cy="3351935"/>
                    </a:xfrm>
                    <a:prstGeom prst="rect">
                      <a:avLst/>
                    </a:prstGeom>
                    <a:noFill/>
                    <a:ln>
                      <a:noFill/>
                    </a:ln>
                  </pic:spPr>
                </pic:pic>
              </a:graphicData>
            </a:graphic>
          </wp:inline>
        </w:drawing>
      </w:r>
    </w:p>
    <w:p w14:paraId="2C0D4EF4" w14:textId="77777777" w:rsidR="00D515C7" w:rsidRDefault="00D515C7" w:rsidP="00D515C7">
      <w:pPr>
        <w:jc w:val="both"/>
        <w:rPr>
          <w:b/>
          <w:color w:val="111111"/>
          <w:spacing w:val="-3"/>
          <w:sz w:val="20"/>
        </w:rPr>
      </w:pPr>
    </w:p>
    <w:p w14:paraId="0B17BE1F" w14:textId="6438BECA" w:rsidR="00D515C7" w:rsidRPr="00D515C7" w:rsidRDefault="00D515C7" w:rsidP="00D515C7">
      <w:pPr>
        <w:jc w:val="center"/>
        <w:rPr>
          <w:b/>
          <w:color w:val="111111"/>
          <w:spacing w:val="-3"/>
          <w:sz w:val="20"/>
        </w:rPr>
      </w:pPr>
      <w:r w:rsidRPr="00D515C7">
        <w:rPr>
          <w:b/>
          <w:color w:val="111111"/>
          <w:spacing w:val="-3"/>
          <w:sz w:val="20"/>
        </w:rPr>
        <w:t>Exhibit 3. Main stages of the technology evaluation and commerciali</w:t>
      </w:r>
      <w:r w:rsidR="002D0F71">
        <w:rPr>
          <w:b/>
          <w:color w:val="111111"/>
          <w:spacing w:val="-3"/>
          <w:sz w:val="20"/>
        </w:rPr>
        <w:t>z</w:t>
      </w:r>
      <w:r w:rsidRPr="00D515C7">
        <w:rPr>
          <w:b/>
          <w:color w:val="111111"/>
          <w:spacing w:val="-3"/>
          <w:sz w:val="20"/>
        </w:rPr>
        <w:t>ation process.</w:t>
      </w:r>
    </w:p>
    <w:p w14:paraId="122F011C" w14:textId="77777777" w:rsidR="00D515C7" w:rsidRPr="00D515C7" w:rsidRDefault="00D515C7" w:rsidP="00D515C7">
      <w:pPr>
        <w:jc w:val="both"/>
        <w:rPr>
          <w:sz w:val="20"/>
        </w:rPr>
      </w:pPr>
    </w:p>
    <w:p w14:paraId="28E56ABA" w14:textId="77777777" w:rsidR="00D515C7" w:rsidRPr="0043420B" w:rsidRDefault="00D515C7" w:rsidP="00D515C7">
      <w:pPr>
        <w:jc w:val="center"/>
        <w:rPr>
          <w:sz w:val="20"/>
        </w:rPr>
      </w:pPr>
      <w:r w:rsidRPr="00300BCD">
        <w:rPr>
          <w:noProof/>
        </w:rPr>
        <w:drawing>
          <wp:inline distT="0" distB="0" distL="0" distR="0" wp14:anchorId="4C7A3E2B" wp14:editId="454E7B11">
            <wp:extent cx="5381528" cy="26478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694" cy="2659724"/>
                    </a:xfrm>
                    <a:prstGeom prst="rect">
                      <a:avLst/>
                    </a:prstGeom>
                    <a:noFill/>
                    <a:ln>
                      <a:noFill/>
                    </a:ln>
                  </pic:spPr>
                </pic:pic>
              </a:graphicData>
            </a:graphic>
          </wp:inline>
        </w:drawing>
      </w:r>
    </w:p>
    <w:p w14:paraId="31779CA7" w14:textId="54C1889C" w:rsidR="00D822B0" w:rsidRDefault="00D822B0" w:rsidP="00524C4A">
      <w:pPr>
        <w:rPr>
          <w:b/>
          <w:bCs/>
          <w:sz w:val="20"/>
        </w:rPr>
      </w:pPr>
    </w:p>
    <w:p w14:paraId="6F603F98" w14:textId="77777777" w:rsidR="00D822B0" w:rsidRDefault="00D822B0" w:rsidP="003F7442">
      <w:pPr>
        <w:rPr>
          <w:b/>
          <w:bCs/>
          <w:sz w:val="20"/>
        </w:rPr>
      </w:pPr>
    </w:p>
    <w:p w14:paraId="14E2A6C7" w14:textId="7FBB4C13" w:rsidR="00D515C7" w:rsidRPr="00D515C7" w:rsidRDefault="00D515C7" w:rsidP="00D515C7">
      <w:pPr>
        <w:jc w:val="center"/>
        <w:rPr>
          <w:b/>
          <w:bCs/>
          <w:sz w:val="20"/>
        </w:rPr>
      </w:pPr>
      <w:r w:rsidRPr="00D515C7">
        <w:rPr>
          <w:b/>
          <w:bCs/>
          <w:sz w:val="20"/>
        </w:rPr>
        <w:lastRenderedPageBreak/>
        <w:t>Exhibit 4. Summary of lectures delivered across the semester according to module schedule.</w:t>
      </w:r>
    </w:p>
    <w:p w14:paraId="15EC6C99" w14:textId="77777777" w:rsidR="00D515C7" w:rsidRDefault="00D515C7" w:rsidP="00D515C7">
      <w:pPr>
        <w:jc w:val="center"/>
        <w:rPr>
          <w:sz w:val="20"/>
        </w:rPr>
      </w:pPr>
    </w:p>
    <w:tbl>
      <w:tblPr>
        <w:tblStyle w:val="TableGrid"/>
        <w:tblW w:w="0" w:type="auto"/>
        <w:tblLook w:val="04A0" w:firstRow="1" w:lastRow="0" w:firstColumn="1" w:lastColumn="0" w:noHBand="0" w:noVBand="1"/>
      </w:tblPr>
      <w:tblGrid>
        <w:gridCol w:w="705"/>
        <w:gridCol w:w="8504"/>
      </w:tblGrid>
      <w:tr w:rsidR="00D515C7" w14:paraId="4CA74702" w14:textId="77777777" w:rsidTr="00D822B0">
        <w:tc>
          <w:tcPr>
            <w:tcW w:w="705" w:type="dxa"/>
          </w:tcPr>
          <w:p w14:paraId="5624DDBC" w14:textId="77777777" w:rsidR="00D515C7" w:rsidRPr="001E6802" w:rsidRDefault="00D515C7" w:rsidP="00D515C7">
            <w:pPr>
              <w:jc w:val="center"/>
              <w:rPr>
                <w:rFonts w:cs="Times New Roman"/>
                <w:b/>
                <w:bCs/>
                <w:sz w:val="20"/>
                <w:szCs w:val="20"/>
              </w:rPr>
            </w:pPr>
            <w:r w:rsidRPr="001E6802">
              <w:rPr>
                <w:rFonts w:cs="Times New Roman"/>
                <w:b/>
                <w:bCs/>
                <w:sz w:val="20"/>
                <w:szCs w:val="20"/>
              </w:rPr>
              <w:t>Week</w:t>
            </w:r>
          </w:p>
        </w:tc>
        <w:tc>
          <w:tcPr>
            <w:tcW w:w="8504" w:type="dxa"/>
          </w:tcPr>
          <w:p w14:paraId="5F5B4D09" w14:textId="77777777" w:rsidR="00D515C7" w:rsidRPr="001E6802" w:rsidRDefault="00D515C7" w:rsidP="00D515C7">
            <w:pPr>
              <w:jc w:val="center"/>
              <w:rPr>
                <w:rFonts w:cs="Times New Roman"/>
                <w:b/>
                <w:bCs/>
                <w:sz w:val="20"/>
                <w:szCs w:val="20"/>
              </w:rPr>
            </w:pPr>
            <w:r>
              <w:rPr>
                <w:rFonts w:cs="Times New Roman"/>
                <w:b/>
                <w:bCs/>
                <w:sz w:val="20"/>
                <w:szCs w:val="20"/>
              </w:rPr>
              <w:t>Module schedule and l</w:t>
            </w:r>
            <w:r w:rsidRPr="001E6802">
              <w:rPr>
                <w:rFonts w:cs="Times New Roman"/>
                <w:b/>
                <w:bCs/>
                <w:sz w:val="20"/>
                <w:szCs w:val="20"/>
              </w:rPr>
              <w:t>ecture contents</w:t>
            </w:r>
          </w:p>
        </w:tc>
      </w:tr>
      <w:tr w:rsidR="00D515C7" w14:paraId="3AFF70F1" w14:textId="77777777" w:rsidTr="00D822B0">
        <w:tc>
          <w:tcPr>
            <w:tcW w:w="705" w:type="dxa"/>
          </w:tcPr>
          <w:p w14:paraId="485BF16A" w14:textId="77777777" w:rsidR="00D515C7" w:rsidRDefault="00D515C7" w:rsidP="002410E9">
            <w:pPr>
              <w:jc w:val="both"/>
              <w:rPr>
                <w:rFonts w:cs="Times New Roman"/>
                <w:sz w:val="20"/>
                <w:szCs w:val="20"/>
              </w:rPr>
            </w:pPr>
            <w:r>
              <w:rPr>
                <w:rFonts w:cs="Times New Roman"/>
                <w:sz w:val="20"/>
                <w:szCs w:val="20"/>
              </w:rPr>
              <w:t># 1</w:t>
            </w:r>
          </w:p>
        </w:tc>
        <w:tc>
          <w:tcPr>
            <w:tcW w:w="8504" w:type="dxa"/>
          </w:tcPr>
          <w:p w14:paraId="0A49599C" w14:textId="14640033" w:rsidR="00D515C7" w:rsidRPr="004061CF" w:rsidRDefault="00D515C7" w:rsidP="002410E9">
            <w:pPr>
              <w:jc w:val="both"/>
              <w:rPr>
                <w:rFonts w:cs="Times New Roman"/>
                <w:sz w:val="20"/>
                <w:szCs w:val="20"/>
              </w:rPr>
            </w:pPr>
            <w:r w:rsidRPr="004061CF">
              <w:rPr>
                <w:rFonts w:cs="Times New Roman"/>
                <w:sz w:val="20"/>
                <w:szCs w:val="20"/>
              </w:rPr>
              <w:t>Introduction to the technology evaluation and commercialization module</w:t>
            </w:r>
            <w:r w:rsidR="0032322A">
              <w:rPr>
                <w:rFonts w:cs="Times New Roman"/>
                <w:sz w:val="20"/>
                <w:szCs w:val="20"/>
              </w:rPr>
              <w:t>.</w:t>
            </w:r>
          </w:p>
        </w:tc>
      </w:tr>
      <w:tr w:rsidR="00D515C7" w14:paraId="50A28E81" w14:textId="77777777" w:rsidTr="00D822B0">
        <w:tc>
          <w:tcPr>
            <w:tcW w:w="705" w:type="dxa"/>
          </w:tcPr>
          <w:p w14:paraId="749C9B06" w14:textId="77777777" w:rsidR="00D515C7" w:rsidRDefault="00D515C7" w:rsidP="002410E9">
            <w:pPr>
              <w:jc w:val="both"/>
              <w:rPr>
                <w:rFonts w:cs="Times New Roman"/>
                <w:sz w:val="20"/>
                <w:szCs w:val="20"/>
              </w:rPr>
            </w:pPr>
            <w:r>
              <w:rPr>
                <w:rFonts w:cs="Times New Roman"/>
                <w:sz w:val="20"/>
                <w:szCs w:val="20"/>
              </w:rPr>
              <w:t># 2</w:t>
            </w:r>
          </w:p>
        </w:tc>
        <w:tc>
          <w:tcPr>
            <w:tcW w:w="8504" w:type="dxa"/>
          </w:tcPr>
          <w:p w14:paraId="36F42E57" w14:textId="5B6871B4" w:rsidR="00D515C7" w:rsidRPr="004061CF" w:rsidRDefault="00D515C7" w:rsidP="002410E9">
            <w:pPr>
              <w:jc w:val="both"/>
              <w:rPr>
                <w:rFonts w:cs="Times New Roman"/>
                <w:sz w:val="20"/>
                <w:szCs w:val="20"/>
              </w:rPr>
            </w:pPr>
            <w:r w:rsidRPr="004061CF">
              <w:rPr>
                <w:rFonts w:cs="Times New Roman"/>
                <w:sz w:val="20"/>
                <w:szCs w:val="20"/>
              </w:rPr>
              <w:t xml:space="preserve">Fundamentals of R&amp;D, innovation </w:t>
            </w:r>
            <w:r>
              <w:rPr>
                <w:rFonts w:cs="Times New Roman"/>
                <w:sz w:val="20"/>
                <w:szCs w:val="20"/>
              </w:rPr>
              <w:t xml:space="preserve">&amp; entrepreneurship, </w:t>
            </w:r>
            <w:r w:rsidRPr="004061CF">
              <w:rPr>
                <w:rFonts w:cs="Times New Roman"/>
                <w:sz w:val="20"/>
                <w:szCs w:val="20"/>
              </w:rPr>
              <w:t>and technology management</w:t>
            </w:r>
            <w:r w:rsidR="0032322A">
              <w:rPr>
                <w:rFonts w:cs="Times New Roman"/>
                <w:sz w:val="20"/>
                <w:szCs w:val="20"/>
              </w:rPr>
              <w:t>.</w:t>
            </w:r>
          </w:p>
        </w:tc>
      </w:tr>
      <w:tr w:rsidR="00D515C7" w14:paraId="60AB8D39" w14:textId="77777777" w:rsidTr="00D822B0">
        <w:tc>
          <w:tcPr>
            <w:tcW w:w="705" w:type="dxa"/>
          </w:tcPr>
          <w:p w14:paraId="0741CEF9" w14:textId="77777777" w:rsidR="00D515C7" w:rsidRDefault="00D515C7" w:rsidP="002410E9">
            <w:pPr>
              <w:jc w:val="both"/>
              <w:rPr>
                <w:rFonts w:cs="Times New Roman"/>
                <w:sz w:val="20"/>
                <w:szCs w:val="20"/>
              </w:rPr>
            </w:pPr>
            <w:r>
              <w:rPr>
                <w:rFonts w:cs="Times New Roman"/>
                <w:sz w:val="20"/>
                <w:szCs w:val="20"/>
              </w:rPr>
              <w:t># 3</w:t>
            </w:r>
          </w:p>
        </w:tc>
        <w:tc>
          <w:tcPr>
            <w:tcW w:w="8504" w:type="dxa"/>
          </w:tcPr>
          <w:p w14:paraId="02ADCD59" w14:textId="50DEE3AD" w:rsidR="00D515C7" w:rsidRPr="004061CF" w:rsidRDefault="00D515C7" w:rsidP="002410E9">
            <w:pPr>
              <w:jc w:val="both"/>
              <w:rPr>
                <w:rFonts w:cs="Times New Roman"/>
                <w:sz w:val="20"/>
                <w:szCs w:val="20"/>
              </w:rPr>
            </w:pPr>
            <w:r w:rsidRPr="004061CF">
              <w:rPr>
                <w:rFonts w:cs="Times New Roman"/>
                <w:sz w:val="20"/>
                <w:szCs w:val="20"/>
              </w:rPr>
              <w:t>Digital awareness, information management and database skills</w:t>
            </w:r>
            <w:r w:rsidR="0032322A">
              <w:rPr>
                <w:rFonts w:cs="Times New Roman"/>
                <w:sz w:val="20"/>
                <w:szCs w:val="20"/>
              </w:rPr>
              <w:t>.</w:t>
            </w:r>
          </w:p>
        </w:tc>
      </w:tr>
      <w:tr w:rsidR="00D515C7" w14:paraId="0A378621" w14:textId="77777777" w:rsidTr="00D822B0">
        <w:tc>
          <w:tcPr>
            <w:tcW w:w="705" w:type="dxa"/>
          </w:tcPr>
          <w:p w14:paraId="30559EE6" w14:textId="77777777" w:rsidR="00D515C7" w:rsidRDefault="00D515C7" w:rsidP="002410E9">
            <w:pPr>
              <w:jc w:val="both"/>
              <w:rPr>
                <w:rFonts w:cs="Times New Roman"/>
                <w:sz w:val="20"/>
                <w:szCs w:val="20"/>
              </w:rPr>
            </w:pPr>
            <w:r>
              <w:rPr>
                <w:rFonts w:cs="Times New Roman"/>
                <w:sz w:val="20"/>
                <w:szCs w:val="20"/>
              </w:rPr>
              <w:t># 4</w:t>
            </w:r>
          </w:p>
        </w:tc>
        <w:tc>
          <w:tcPr>
            <w:tcW w:w="8504" w:type="dxa"/>
          </w:tcPr>
          <w:p w14:paraId="5FBDAA34" w14:textId="11D14329" w:rsidR="00D515C7" w:rsidRPr="004061CF" w:rsidRDefault="00D515C7" w:rsidP="002410E9">
            <w:pPr>
              <w:jc w:val="both"/>
              <w:rPr>
                <w:rFonts w:cs="Times New Roman"/>
                <w:sz w:val="20"/>
                <w:szCs w:val="20"/>
              </w:rPr>
            </w:pPr>
            <w:r>
              <w:rPr>
                <w:rFonts w:cs="Times New Roman"/>
                <w:sz w:val="20"/>
                <w:szCs w:val="20"/>
              </w:rPr>
              <w:t>Exploring p</w:t>
            </w:r>
            <w:r w:rsidRPr="004061CF">
              <w:rPr>
                <w:rFonts w:cs="Times New Roman"/>
                <w:sz w:val="20"/>
                <w:szCs w:val="20"/>
              </w:rPr>
              <w:t>rocess-based innovation models</w:t>
            </w:r>
            <w:r w:rsidR="0032322A">
              <w:rPr>
                <w:rFonts w:cs="Times New Roman"/>
                <w:sz w:val="20"/>
                <w:szCs w:val="20"/>
              </w:rPr>
              <w:t>.</w:t>
            </w:r>
          </w:p>
        </w:tc>
      </w:tr>
      <w:tr w:rsidR="00D515C7" w14:paraId="278C9A37" w14:textId="77777777" w:rsidTr="00D822B0">
        <w:tc>
          <w:tcPr>
            <w:tcW w:w="705" w:type="dxa"/>
          </w:tcPr>
          <w:p w14:paraId="0F214F6C" w14:textId="77777777" w:rsidR="00D515C7" w:rsidRDefault="00D515C7" w:rsidP="002410E9">
            <w:pPr>
              <w:jc w:val="both"/>
              <w:rPr>
                <w:rFonts w:cs="Times New Roman"/>
                <w:sz w:val="20"/>
                <w:szCs w:val="20"/>
              </w:rPr>
            </w:pPr>
            <w:r>
              <w:rPr>
                <w:rFonts w:cs="Times New Roman"/>
                <w:sz w:val="20"/>
                <w:szCs w:val="20"/>
              </w:rPr>
              <w:t># 5</w:t>
            </w:r>
          </w:p>
        </w:tc>
        <w:tc>
          <w:tcPr>
            <w:tcW w:w="8504" w:type="dxa"/>
          </w:tcPr>
          <w:p w14:paraId="0BF094E4" w14:textId="519BDC3B" w:rsidR="00D515C7" w:rsidRPr="004061CF" w:rsidRDefault="00D515C7" w:rsidP="002410E9">
            <w:pPr>
              <w:jc w:val="both"/>
              <w:rPr>
                <w:rFonts w:cs="Times New Roman"/>
                <w:sz w:val="20"/>
                <w:szCs w:val="20"/>
              </w:rPr>
            </w:pPr>
            <w:r w:rsidRPr="004061CF">
              <w:rPr>
                <w:rFonts w:cs="Times New Roman"/>
                <w:sz w:val="20"/>
                <w:szCs w:val="20"/>
              </w:rPr>
              <w:t>Introduction to intellectual property rights</w:t>
            </w:r>
            <w:r w:rsidR="0032322A">
              <w:rPr>
                <w:rFonts w:cs="Times New Roman"/>
                <w:sz w:val="20"/>
                <w:szCs w:val="20"/>
              </w:rPr>
              <w:t xml:space="preserve"> (IPR).</w:t>
            </w:r>
          </w:p>
        </w:tc>
      </w:tr>
      <w:tr w:rsidR="00D515C7" w14:paraId="04D1813B" w14:textId="77777777" w:rsidTr="00D822B0">
        <w:tc>
          <w:tcPr>
            <w:tcW w:w="705" w:type="dxa"/>
          </w:tcPr>
          <w:p w14:paraId="5804E9F9" w14:textId="77777777" w:rsidR="00D515C7" w:rsidRDefault="00D515C7" w:rsidP="002410E9">
            <w:pPr>
              <w:jc w:val="both"/>
              <w:rPr>
                <w:rFonts w:cs="Times New Roman"/>
                <w:sz w:val="20"/>
                <w:szCs w:val="20"/>
              </w:rPr>
            </w:pPr>
            <w:r>
              <w:rPr>
                <w:rFonts w:cs="Times New Roman"/>
                <w:sz w:val="20"/>
                <w:szCs w:val="20"/>
              </w:rPr>
              <w:t># 6</w:t>
            </w:r>
          </w:p>
        </w:tc>
        <w:tc>
          <w:tcPr>
            <w:tcW w:w="8504" w:type="dxa"/>
          </w:tcPr>
          <w:p w14:paraId="4F90E5EC" w14:textId="635C975A" w:rsidR="00D515C7" w:rsidRPr="004061CF" w:rsidRDefault="00D515C7" w:rsidP="002410E9">
            <w:pPr>
              <w:jc w:val="both"/>
              <w:rPr>
                <w:rFonts w:cs="Times New Roman"/>
                <w:sz w:val="20"/>
                <w:szCs w:val="20"/>
              </w:rPr>
            </w:pPr>
            <w:r w:rsidRPr="004061CF">
              <w:rPr>
                <w:rFonts w:cs="Times New Roman"/>
                <w:sz w:val="20"/>
                <w:szCs w:val="20"/>
                <w:lang w:val="en-US"/>
              </w:rPr>
              <w:t>Business, innovation and commercialization strategy frameworks</w:t>
            </w:r>
            <w:r w:rsidR="0032322A">
              <w:rPr>
                <w:rFonts w:cs="Times New Roman"/>
                <w:sz w:val="20"/>
                <w:szCs w:val="20"/>
                <w:lang w:val="en-US"/>
              </w:rPr>
              <w:t>.</w:t>
            </w:r>
          </w:p>
        </w:tc>
      </w:tr>
      <w:tr w:rsidR="00D515C7" w14:paraId="5A333154" w14:textId="77777777" w:rsidTr="00D822B0">
        <w:tc>
          <w:tcPr>
            <w:tcW w:w="705" w:type="dxa"/>
          </w:tcPr>
          <w:p w14:paraId="74575686" w14:textId="77777777" w:rsidR="00D515C7" w:rsidRDefault="00D515C7" w:rsidP="002410E9">
            <w:pPr>
              <w:jc w:val="both"/>
              <w:rPr>
                <w:rFonts w:cs="Times New Roman"/>
                <w:sz w:val="20"/>
                <w:szCs w:val="20"/>
              </w:rPr>
            </w:pPr>
            <w:r>
              <w:rPr>
                <w:rFonts w:cs="Times New Roman"/>
                <w:sz w:val="20"/>
                <w:szCs w:val="20"/>
              </w:rPr>
              <w:t># 7</w:t>
            </w:r>
          </w:p>
        </w:tc>
        <w:tc>
          <w:tcPr>
            <w:tcW w:w="8504" w:type="dxa"/>
          </w:tcPr>
          <w:p w14:paraId="559F4552" w14:textId="72274251" w:rsidR="00D515C7" w:rsidRPr="004061CF" w:rsidRDefault="00D515C7" w:rsidP="002410E9">
            <w:pPr>
              <w:jc w:val="both"/>
              <w:rPr>
                <w:rFonts w:cs="Times New Roman"/>
                <w:sz w:val="20"/>
                <w:szCs w:val="20"/>
              </w:rPr>
            </w:pPr>
            <w:r w:rsidRPr="004061CF">
              <w:rPr>
                <w:rFonts w:cs="Times New Roman"/>
                <w:sz w:val="20"/>
                <w:szCs w:val="20"/>
              </w:rPr>
              <w:t>Developing a marketing strategy</w:t>
            </w:r>
            <w:r w:rsidR="0032322A">
              <w:rPr>
                <w:rFonts w:cs="Times New Roman"/>
                <w:sz w:val="20"/>
                <w:szCs w:val="20"/>
              </w:rPr>
              <w:t>.</w:t>
            </w:r>
          </w:p>
        </w:tc>
      </w:tr>
      <w:tr w:rsidR="00D515C7" w14:paraId="75E041E5" w14:textId="77777777" w:rsidTr="00D822B0">
        <w:tc>
          <w:tcPr>
            <w:tcW w:w="705" w:type="dxa"/>
          </w:tcPr>
          <w:p w14:paraId="78F85BD9" w14:textId="77777777" w:rsidR="00D515C7" w:rsidRDefault="00D515C7" w:rsidP="002410E9">
            <w:pPr>
              <w:jc w:val="both"/>
              <w:rPr>
                <w:rFonts w:cs="Times New Roman"/>
                <w:sz w:val="20"/>
                <w:szCs w:val="20"/>
              </w:rPr>
            </w:pPr>
            <w:r>
              <w:rPr>
                <w:rFonts w:cs="Times New Roman"/>
                <w:sz w:val="20"/>
                <w:szCs w:val="20"/>
              </w:rPr>
              <w:t># 8</w:t>
            </w:r>
          </w:p>
        </w:tc>
        <w:tc>
          <w:tcPr>
            <w:tcW w:w="8504" w:type="dxa"/>
          </w:tcPr>
          <w:p w14:paraId="6AE88918" w14:textId="67280978" w:rsidR="00D515C7" w:rsidRPr="004061CF" w:rsidRDefault="00D515C7" w:rsidP="002410E9">
            <w:pPr>
              <w:jc w:val="both"/>
              <w:rPr>
                <w:rFonts w:cs="Times New Roman"/>
                <w:sz w:val="20"/>
                <w:szCs w:val="20"/>
              </w:rPr>
            </w:pPr>
            <w:r w:rsidRPr="004061CF">
              <w:rPr>
                <w:rFonts w:cs="Times New Roman"/>
                <w:sz w:val="20"/>
                <w:szCs w:val="20"/>
              </w:rPr>
              <w:t>Insights from business planning for major research programs and supporting infrastructure</w:t>
            </w:r>
            <w:r w:rsidR="0032322A">
              <w:rPr>
                <w:rFonts w:cs="Times New Roman"/>
                <w:sz w:val="20"/>
                <w:szCs w:val="20"/>
              </w:rPr>
              <w:t>.</w:t>
            </w:r>
          </w:p>
        </w:tc>
      </w:tr>
      <w:tr w:rsidR="00D515C7" w14:paraId="033F8F24" w14:textId="77777777" w:rsidTr="00D822B0">
        <w:tc>
          <w:tcPr>
            <w:tcW w:w="705" w:type="dxa"/>
          </w:tcPr>
          <w:p w14:paraId="374CE8DA" w14:textId="77777777" w:rsidR="00D515C7" w:rsidRDefault="00D515C7" w:rsidP="002410E9">
            <w:pPr>
              <w:jc w:val="both"/>
              <w:rPr>
                <w:rFonts w:cs="Times New Roman"/>
                <w:sz w:val="20"/>
                <w:szCs w:val="20"/>
              </w:rPr>
            </w:pPr>
            <w:r>
              <w:rPr>
                <w:rFonts w:cs="Times New Roman"/>
                <w:sz w:val="20"/>
                <w:szCs w:val="20"/>
              </w:rPr>
              <w:t># 9</w:t>
            </w:r>
          </w:p>
        </w:tc>
        <w:tc>
          <w:tcPr>
            <w:tcW w:w="8504" w:type="dxa"/>
          </w:tcPr>
          <w:p w14:paraId="1C8DB403" w14:textId="06003E1A" w:rsidR="00D515C7" w:rsidRPr="004061CF" w:rsidRDefault="00D515C7" w:rsidP="002410E9">
            <w:pPr>
              <w:jc w:val="both"/>
              <w:rPr>
                <w:rFonts w:cs="Times New Roman"/>
                <w:sz w:val="20"/>
                <w:szCs w:val="20"/>
              </w:rPr>
            </w:pPr>
            <w:r w:rsidRPr="004061CF">
              <w:rPr>
                <w:rFonts w:cs="Times New Roman"/>
                <w:sz w:val="20"/>
                <w:szCs w:val="20"/>
              </w:rPr>
              <w:t>Fundamentals of risk management</w:t>
            </w:r>
            <w:r w:rsidR="0032322A">
              <w:rPr>
                <w:rFonts w:cs="Times New Roman"/>
                <w:sz w:val="20"/>
                <w:szCs w:val="20"/>
              </w:rPr>
              <w:t>.</w:t>
            </w:r>
          </w:p>
        </w:tc>
      </w:tr>
      <w:tr w:rsidR="00D515C7" w14:paraId="555E6BCE" w14:textId="77777777" w:rsidTr="00D822B0">
        <w:tc>
          <w:tcPr>
            <w:tcW w:w="705" w:type="dxa"/>
          </w:tcPr>
          <w:p w14:paraId="38630676" w14:textId="77777777" w:rsidR="00D515C7" w:rsidRDefault="00D515C7" w:rsidP="002410E9">
            <w:pPr>
              <w:jc w:val="both"/>
              <w:rPr>
                <w:rFonts w:cs="Times New Roman"/>
                <w:sz w:val="20"/>
                <w:szCs w:val="20"/>
              </w:rPr>
            </w:pPr>
            <w:r>
              <w:rPr>
                <w:rFonts w:cs="Times New Roman"/>
                <w:sz w:val="20"/>
                <w:szCs w:val="20"/>
              </w:rPr>
              <w:t># 10</w:t>
            </w:r>
          </w:p>
        </w:tc>
        <w:tc>
          <w:tcPr>
            <w:tcW w:w="8504" w:type="dxa"/>
          </w:tcPr>
          <w:p w14:paraId="49FBA10E" w14:textId="525B2870" w:rsidR="00D515C7" w:rsidRPr="004061CF" w:rsidRDefault="00D515C7" w:rsidP="002410E9">
            <w:pPr>
              <w:jc w:val="both"/>
              <w:rPr>
                <w:rFonts w:cs="Times New Roman"/>
                <w:sz w:val="20"/>
                <w:szCs w:val="20"/>
              </w:rPr>
            </w:pPr>
            <w:r w:rsidRPr="004061CF">
              <w:rPr>
                <w:rFonts w:cs="Times New Roman"/>
                <w:sz w:val="20"/>
                <w:szCs w:val="20"/>
                <w:lang w:val="en-US"/>
              </w:rPr>
              <w:t>Financial analysis and return on investment</w:t>
            </w:r>
            <w:r>
              <w:rPr>
                <w:rFonts w:cs="Times New Roman"/>
                <w:sz w:val="20"/>
                <w:szCs w:val="20"/>
                <w:lang w:val="en-US"/>
              </w:rPr>
              <w:t xml:space="preserve"> (and submission of technology evaluation assignment)</w:t>
            </w:r>
            <w:r w:rsidR="0032322A">
              <w:rPr>
                <w:rFonts w:cs="Times New Roman"/>
                <w:sz w:val="20"/>
                <w:szCs w:val="20"/>
                <w:lang w:val="en-US"/>
              </w:rPr>
              <w:t>.</w:t>
            </w:r>
          </w:p>
        </w:tc>
      </w:tr>
      <w:tr w:rsidR="00D515C7" w14:paraId="6F685813" w14:textId="77777777" w:rsidTr="00D822B0">
        <w:tc>
          <w:tcPr>
            <w:tcW w:w="705" w:type="dxa"/>
          </w:tcPr>
          <w:p w14:paraId="225A8FE2" w14:textId="77777777" w:rsidR="00D515C7" w:rsidRDefault="00D515C7" w:rsidP="002410E9">
            <w:pPr>
              <w:jc w:val="both"/>
              <w:rPr>
                <w:rFonts w:cs="Times New Roman"/>
                <w:sz w:val="20"/>
                <w:szCs w:val="20"/>
              </w:rPr>
            </w:pPr>
            <w:r>
              <w:rPr>
                <w:rFonts w:cs="Times New Roman"/>
                <w:sz w:val="20"/>
                <w:szCs w:val="20"/>
              </w:rPr>
              <w:t># 11</w:t>
            </w:r>
          </w:p>
        </w:tc>
        <w:tc>
          <w:tcPr>
            <w:tcW w:w="8504" w:type="dxa"/>
          </w:tcPr>
          <w:p w14:paraId="074EA6F9" w14:textId="0E2B24FC" w:rsidR="00D515C7" w:rsidRPr="004061CF" w:rsidRDefault="00D515C7" w:rsidP="002410E9">
            <w:pPr>
              <w:jc w:val="both"/>
              <w:rPr>
                <w:rFonts w:cs="Times New Roman"/>
                <w:sz w:val="20"/>
                <w:szCs w:val="20"/>
              </w:rPr>
            </w:pPr>
            <w:r w:rsidRPr="001E6802">
              <w:rPr>
                <w:rFonts w:cs="Times New Roman"/>
                <w:sz w:val="20"/>
                <w:szCs w:val="20"/>
              </w:rPr>
              <w:t>Summary and recap of lecture material</w:t>
            </w:r>
            <w:r w:rsidR="0032322A">
              <w:rPr>
                <w:rFonts w:cs="Times New Roman"/>
                <w:sz w:val="20"/>
                <w:szCs w:val="20"/>
              </w:rPr>
              <w:t>.</w:t>
            </w:r>
          </w:p>
        </w:tc>
      </w:tr>
      <w:tr w:rsidR="00D515C7" w14:paraId="4DA83DE5" w14:textId="77777777" w:rsidTr="00D822B0">
        <w:tc>
          <w:tcPr>
            <w:tcW w:w="705" w:type="dxa"/>
          </w:tcPr>
          <w:p w14:paraId="1107C4E5" w14:textId="77777777" w:rsidR="00D515C7" w:rsidRDefault="00D515C7" w:rsidP="002410E9">
            <w:pPr>
              <w:jc w:val="both"/>
              <w:rPr>
                <w:rFonts w:cs="Times New Roman"/>
                <w:sz w:val="20"/>
                <w:szCs w:val="20"/>
              </w:rPr>
            </w:pPr>
            <w:r>
              <w:rPr>
                <w:rFonts w:cs="Times New Roman"/>
                <w:sz w:val="20"/>
                <w:szCs w:val="20"/>
              </w:rPr>
              <w:t># 12</w:t>
            </w:r>
          </w:p>
        </w:tc>
        <w:tc>
          <w:tcPr>
            <w:tcW w:w="8504" w:type="dxa"/>
          </w:tcPr>
          <w:p w14:paraId="72193F8F" w14:textId="28369849" w:rsidR="00D515C7" w:rsidRPr="004061CF" w:rsidRDefault="00D515C7" w:rsidP="002410E9">
            <w:pPr>
              <w:jc w:val="both"/>
              <w:rPr>
                <w:rFonts w:cs="Times New Roman"/>
                <w:sz w:val="20"/>
                <w:szCs w:val="20"/>
              </w:rPr>
            </w:pPr>
            <w:r w:rsidRPr="004061CF">
              <w:rPr>
                <w:rFonts w:cs="Times New Roman"/>
                <w:sz w:val="20"/>
                <w:szCs w:val="20"/>
              </w:rPr>
              <w:t>Finali</w:t>
            </w:r>
            <w:r>
              <w:rPr>
                <w:rFonts w:cs="Times New Roman"/>
                <w:sz w:val="20"/>
                <w:szCs w:val="20"/>
              </w:rPr>
              <w:t>z</w:t>
            </w:r>
            <w:r w:rsidRPr="004061CF">
              <w:rPr>
                <w:rFonts w:cs="Times New Roman"/>
                <w:sz w:val="20"/>
                <w:szCs w:val="20"/>
              </w:rPr>
              <w:t>ation of business plan assignment</w:t>
            </w:r>
            <w:r w:rsidR="0032322A">
              <w:rPr>
                <w:rFonts w:cs="Times New Roman"/>
                <w:sz w:val="20"/>
                <w:szCs w:val="20"/>
              </w:rPr>
              <w:t>.</w:t>
            </w:r>
          </w:p>
        </w:tc>
      </w:tr>
      <w:tr w:rsidR="00D515C7" w14:paraId="1DF29909" w14:textId="77777777" w:rsidTr="00D822B0">
        <w:tc>
          <w:tcPr>
            <w:tcW w:w="705" w:type="dxa"/>
          </w:tcPr>
          <w:p w14:paraId="4A5B583A" w14:textId="77777777" w:rsidR="00D515C7" w:rsidRDefault="00D515C7" w:rsidP="002410E9">
            <w:pPr>
              <w:jc w:val="both"/>
              <w:rPr>
                <w:rFonts w:cs="Times New Roman"/>
                <w:sz w:val="20"/>
                <w:szCs w:val="20"/>
              </w:rPr>
            </w:pPr>
            <w:r>
              <w:rPr>
                <w:rFonts w:cs="Times New Roman"/>
                <w:sz w:val="20"/>
                <w:szCs w:val="20"/>
              </w:rPr>
              <w:t># 13</w:t>
            </w:r>
          </w:p>
        </w:tc>
        <w:tc>
          <w:tcPr>
            <w:tcW w:w="8504" w:type="dxa"/>
          </w:tcPr>
          <w:p w14:paraId="2D548156" w14:textId="517CFFF6" w:rsidR="00D515C7" w:rsidRPr="004061CF" w:rsidRDefault="00D515C7" w:rsidP="002410E9">
            <w:pPr>
              <w:jc w:val="both"/>
              <w:rPr>
                <w:rFonts w:cs="Times New Roman"/>
                <w:sz w:val="20"/>
                <w:szCs w:val="20"/>
              </w:rPr>
            </w:pPr>
            <w:r w:rsidRPr="004061CF">
              <w:rPr>
                <w:rFonts w:cs="Times New Roman"/>
                <w:sz w:val="20"/>
                <w:szCs w:val="20"/>
              </w:rPr>
              <w:t>Submission of business plan assignment</w:t>
            </w:r>
            <w:r w:rsidR="0032322A">
              <w:rPr>
                <w:rFonts w:cs="Times New Roman"/>
                <w:sz w:val="20"/>
                <w:szCs w:val="20"/>
              </w:rPr>
              <w:t>.</w:t>
            </w:r>
          </w:p>
        </w:tc>
      </w:tr>
    </w:tbl>
    <w:p w14:paraId="7EE5AB1C" w14:textId="77777777" w:rsidR="00D515C7" w:rsidRDefault="00D515C7" w:rsidP="00D515C7">
      <w:pPr>
        <w:jc w:val="both"/>
        <w:rPr>
          <w:sz w:val="20"/>
        </w:rPr>
      </w:pPr>
    </w:p>
    <w:p w14:paraId="4BE23DE4" w14:textId="77777777" w:rsidR="00D515C7" w:rsidRDefault="00D515C7" w:rsidP="00D515C7">
      <w:pPr>
        <w:jc w:val="both"/>
        <w:rPr>
          <w:sz w:val="20"/>
        </w:rPr>
      </w:pPr>
      <w:r>
        <w:rPr>
          <w:sz w:val="20"/>
        </w:rPr>
        <w:t>The lecture sessions provide detailed material, supporting theory, worked examples and case applications according to the content areas. For example, lecture # 10 on f</w:t>
      </w:r>
      <w:r w:rsidRPr="004061CF">
        <w:rPr>
          <w:sz w:val="20"/>
        </w:rPr>
        <w:t xml:space="preserve">inancial analysis and return on investment </w:t>
      </w:r>
      <w:r>
        <w:rPr>
          <w:sz w:val="20"/>
        </w:rPr>
        <w:t>includes the following core material:</w:t>
      </w:r>
    </w:p>
    <w:p w14:paraId="416D433F" w14:textId="4E24E9CF" w:rsidR="00D515C7" w:rsidRPr="00DF164D" w:rsidRDefault="00D515C7" w:rsidP="0032322A">
      <w:pPr>
        <w:pStyle w:val="ListParagraph"/>
        <w:numPr>
          <w:ilvl w:val="0"/>
          <w:numId w:val="7"/>
        </w:numPr>
        <w:spacing w:line="240" w:lineRule="auto"/>
        <w:jc w:val="both"/>
        <w:rPr>
          <w:rFonts w:ascii="Times New Roman" w:hAnsi="Times New Roman" w:cs="Times New Roman"/>
          <w:sz w:val="20"/>
          <w:szCs w:val="20"/>
        </w:rPr>
      </w:pPr>
      <w:r w:rsidRPr="00DF164D">
        <w:rPr>
          <w:rFonts w:ascii="Times New Roman" w:hAnsi="Times New Roman" w:cs="Times New Roman"/>
          <w:sz w:val="20"/>
          <w:szCs w:val="20"/>
        </w:rPr>
        <w:t>Financial statements: Income and expenditure, balance sheet</w:t>
      </w:r>
      <w:r>
        <w:rPr>
          <w:rFonts w:ascii="Times New Roman" w:hAnsi="Times New Roman" w:cs="Times New Roman"/>
          <w:sz w:val="20"/>
          <w:szCs w:val="20"/>
        </w:rPr>
        <w:t xml:space="preserve"> and</w:t>
      </w:r>
      <w:r w:rsidRPr="00DF164D">
        <w:rPr>
          <w:rFonts w:ascii="Times New Roman" w:hAnsi="Times New Roman" w:cs="Times New Roman"/>
          <w:sz w:val="20"/>
          <w:szCs w:val="20"/>
        </w:rPr>
        <w:t xml:space="preserve"> cash flow statement</w:t>
      </w:r>
      <w:r>
        <w:rPr>
          <w:rFonts w:ascii="Times New Roman" w:hAnsi="Times New Roman" w:cs="Times New Roman"/>
          <w:sz w:val="20"/>
          <w:szCs w:val="20"/>
        </w:rPr>
        <w:t>.</w:t>
      </w:r>
    </w:p>
    <w:p w14:paraId="17B9A58D" w14:textId="77777777" w:rsidR="00D515C7" w:rsidRPr="00DF164D" w:rsidRDefault="00D515C7" w:rsidP="0032322A">
      <w:pPr>
        <w:pStyle w:val="ListParagraph"/>
        <w:numPr>
          <w:ilvl w:val="0"/>
          <w:numId w:val="7"/>
        </w:numPr>
        <w:spacing w:line="240" w:lineRule="auto"/>
        <w:jc w:val="both"/>
        <w:rPr>
          <w:rFonts w:ascii="Times New Roman" w:hAnsi="Times New Roman" w:cs="Times New Roman"/>
          <w:sz w:val="20"/>
          <w:szCs w:val="20"/>
        </w:rPr>
      </w:pPr>
      <w:r w:rsidRPr="00DF164D">
        <w:rPr>
          <w:rFonts w:ascii="Times New Roman" w:hAnsi="Times New Roman" w:cs="Times New Roman"/>
          <w:sz w:val="20"/>
          <w:szCs w:val="20"/>
        </w:rPr>
        <w:t>Return on investment (ROI)</w:t>
      </w:r>
      <w:r>
        <w:rPr>
          <w:rFonts w:ascii="Times New Roman" w:hAnsi="Times New Roman" w:cs="Times New Roman"/>
          <w:sz w:val="20"/>
          <w:szCs w:val="20"/>
        </w:rPr>
        <w:t>:</w:t>
      </w:r>
      <w:r w:rsidRPr="00DF164D">
        <w:rPr>
          <w:rFonts w:ascii="Times New Roman" w:hAnsi="Times New Roman" w:cs="Times New Roman"/>
          <w:sz w:val="20"/>
          <w:szCs w:val="20"/>
        </w:rPr>
        <w:t xml:space="preserve"> Introduction and ROI calculation</w:t>
      </w:r>
      <w:r>
        <w:rPr>
          <w:rFonts w:ascii="Times New Roman" w:hAnsi="Times New Roman" w:cs="Times New Roman"/>
          <w:sz w:val="20"/>
          <w:szCs w:val="20"/>
        </w:rPr>
        <w:t>.</w:t>
      </w:r>
    </w:p>
    <w:p w14:paraId="4810C7A5" w14:textId="77777777" w:rsidR="00D515C7" w:rsidRPr="00DF164D" w:rsidRDefault="00D515C7" w:rsidP="0032322A">
      <w:pPr>
        <w:pStyle w:val="ListParagraph"/>
        <w:numPr>
          <w:ilvl w:val="0"/>
          <w:numId w:val="7"/>
        </w:numPr>
        <w:spacing w:line="240" w:lineRule="auto"/>
        <w:jc w:val="both"/>
        <w:rPr>
          <w:rFonts w:ascii="Times New Roman" w:hAnsi="Times New Roman" w:cs="Times New Roman"/>
          <w:sz w:val="20"/>
          <w:szCs w:val="20"/>
        </w:rPr>
      </w:pPr>
      <w:r w:rsidRPr="00DF164D">
        <w:rPr>
          <w:rFonts w:ascii="Times New Roman" w:hAnsi="Times New Roman" w:cs="Times New Roman"/>
          <w:sz w:val="20"/>
          <w:szCs w:val="20"/>
        </w:rPr>
        <w:t>ROI factors: Timeframe, consistency and precision</w:t>
      </w:r>
      <w:r>
        <w:rPr>
          <w:rFonts w:ascii="Times New Roman" w:hAnsi="Times New Roman" w:cs="Times New Roman"/>
          <w:sz w:val="20"/>
          <w:szCs w:val="20"/>
        </w:rPr>
        <w:t>.</w:t>
      </w:r>
    </w:p>
    <w:p w14:paraId="46C7F256" w14:textId="77777777" w:rsidR="00D515C7" w:rsidRPr="00DF164D" w:rsidRDefault="00D515C7" w:rsidP="0032322A">
      <w:pPr>
        <w:pStyle w:val="ListParagraph"/>
        <w:numPr>
          <w:ilvl w:val="0"/>
          <w:numId w:val="7"/>
        </w:numPr>
        <w:spacing w:line="240" w:lineRule="auto"/>
        <w:jc w:val="both"/>
        <w:rPr>
          <w:rFonts w:ascii="Times New Roman" w:hAnsi="Times New Roman" w:cs="Times New Roman"/>
          <w:sz w:val="20"/>
          <w:szCs w:val="20"/>
        </w:rPr>
      </w:pPr>
      <w:r w:rsidRPr="00DF164D">
        <w:rPr>
          <w:rFonts w:ascii="Times New Roman" w:hAnsi="Times New Roman" w:cs="Times New Roman"/>
          <w:sz w:val="20"/>
          <w:szCs w:val="20"/>
        </w:rPr>
        <w:t>Cost analysis for ROI: Start-up costs, expenses of tailoring innovative technology and longer-term strategic outlays</w:t>
      </w:r>
      <w:r>
        <w:rPr>
          <w:rFonts w:ascii="Times New Roman" w:hAnsi="Times New Roman" w:cs="Times New Roman"/>
          <w:sz w:val="20"/>
          <w:szCs w:val="20"/>
        </w:rPr>
        <w:t>.</w:t>
      </w:r>
    </w:p>
    <w:p w14:paraId="7FA8AE92" w14:textId="6EA82A59" w:rsidR="00D515C7" w:rsidRPr="00DF164D" w:rsidRDefault="00D515C7" w:rsidP="0032322A">
      <w:pPr>
        <w:pStyle w:val="ListParagraph"/>
        <w:numPr>
          <w:ilvl w:val="0"/>
          <w:numId w:val="7"/>
        </w:numPr>
        <w:spacing w:line="240" w:lineRule="auto"/>
        <w:jc w:val="both"/>
        <w:rPr>
          <w:rFonts w:ascii="Times New Roman" w:hAnsi="Times New Roman" w:cs="Times New Roman"/>
          <w:sz w:val="20"/>
          <w:szCs w:val="20"/>
        </w:rPr>
      </w:pPr>
      <w:r w:rsidRPr="00DF164D">
        <w:rPr>
          <w:rFonts w:ascii="Times New Roman" w:hAnsi="Times New Roman" w:cs="Times New Roman"/>
          <w:sz w:val="20"/>
          <w:szCs w:val="20"/>
        </w:rPr>
        <w:t>Quantifying revenues for ROI: Organi</w:t>
      </w:r>
      <w:r w:rsidR="0032322A">
        <w:rPr>
          <w:rFonts w:ascii="Times New Roman" w:hAnsi="Times New Roman" w:cs="Times New Roman"/>
          <w:sz w:val="20"/>
          <w:szCs w:val="20"/>
        </w:rPr>
        <w:t>z</w:t>
      </w:r>
      <w:r w:rsidRPr="00DF164D">
        <w:rPr>
          <w:rFonts w:ascii="Times New Roman" w:hAnsi="Times New Roman" w:cs="Times New Roman"/>
          <w:sz w:val="20"/>
          <w:szCs w:val="20"/>
        </w:rPr>
        <w:t>ation, stakeholder and technology adoption dimensions</w:t>
      </w:r>
      <w:r>
        <w:rPr>
          <w:rFonts w:ascii="Times New Roman" w:hAnsi="Times New Roman" w:cs="Times New Roman"/>
          <w:sz w:val="20"/>
          <w:szCs w:val="20"/>
        </w:rPr>
        <w:t>.</w:t>
      </w:r>
    </w:p>
    <w:p w14:paraId="053E155F" w14:textId="77777777" w:rsidR="00D515C7" w:rsidRPr="00DF164D" w:rsidRDefault="00D515C7" w:rsidP="0032322A">
      <w:pPr>
        <w:pStyle w:val="ListParagraph"/>
        <w:numPr>
          <w:ilvl w:val="0"/>
          <w:numId w:val="7"/>
        </w:numPr>
        <w:spacing w:line="240" w:lineRule="auto"/>
        <w:jc w:val="both"/>
        <w:rPr>
          <w:rFonts w:ascii="Times New Roman" w:hAnsi="Times New Roman" w:cs="Times New Roman"/>
          <w:sz w:val="20"/>
          <w:szCs w:val="20"/>
        </w:rPr>
      </w:pPr>
      <w:r w:rsidRPr="00DF164D">
        <w:rPr>
          <w:rFonts w:ascii="Times New Roman" w:hAnsi="Times New Roman" w:cs="Times New Roman"/>
          <w:sz w:val="20"/>
          <w:szCs w:val="20"/>
        </w:rPr>
        <w:t xml:space="preserve">Investment appraisal: Calculation of net present value (NPV) </w:t>
      </w:r>
      <w:r>
        <w:rPr>
          <w:rFonts w:ascii="Times New Roman" w:hAnsi="Times New Roman" w:cs="Times New Roman"/>
          <w:sz w:val="20"/>
          <w:szCs w:val="20"/>
        </w:rPr>
        <w:t xml:space="preserve">and internal rate of return (IRR) through use of the </w:t>
      </w:r>
      <w:r w:rsidRPr="00DF164D">
        <w:rPr>
          <w:rFonts w:ascii="Times New Roman" w:hAnsi="Times New Roman" w:cs="Times New Roman"/>
          <w:sz w:val="20"/>
          <w:szCs w:val="20"/>
        </w:rPr>
        <w:t>discounted cash flow technique, venture capital company investment example and exercise</w:t>
      </w:r>
      <w:r>
        <w:rPr>
          <w:rFonts w:ascii="Times New Roman" w:hAnsi="Times New Roman" w:cs="Times New Roman"/>
          <w:sz w:val="20"/>
          <w:szCs w:val="20"/>
        </w:rPr>
        <w:t>.</w:t>
      </w:r>
    </w:p>
    <w:p w14:paraId="39C69A94" w14:textId="77777777" w:rsidR="00D515C7" w:rsidRPr="00DF164D" w:rsidRDefault="00D515C7" w:rsidP="0032322A">
      <w:pPr>
        <w:pStyle w:val="ListParagraph"/>
        <w:numPr>
          <w:ilvl w:val="0"/>
          <w:numId w:val="7"/>
        </w:numPr>
        <w:spacing w:line="240" w:lineRule="auto"/>
        <w:jc w:val="both"/>
        <w:rPr>
          <w:rFonts w:ascii="Times New Roman" w:hAnsi="Times New Roman" w:cs="Times New Roman"/>
          <w:sz w:val="20"/>
          <w:szCs w:val="20"/>
        </w:rPr>
      </w:pPr>
      <w:r w:rsidRPr="00DF164D">
        <w:rPr>
          <w:rFonts w:ascii="Times New Roman" w:hAnsi="Times New Roman" w:cs="Times New Roman"/>
          <w:sz w:val="20"/>
          <w:szCs w:val="20"/>
        </w:rPr>
        <w:t>Financial modelling: Introduction, uses of financial models</w:t>
      </w:r>
      <w:r>
        <w:rPr>
          <w:rFonts w:ascii="Times New Roman" w:hAnsi="Times New Roman" w:cs="Times New Roman"/>
          <w:sz w:val="20"/>
          <w:szCs w:val="20"/>
        </w:rPr>
        <w:t xml:space="preserve"> and</w:t>
      </w:r>
      <w:r w:rsidRPr="00DF164D">
        <w:rPr>
          <w:rFonts w:ascii="Times New Roman" w:hAnsi="Times New Roman" w:cs="Times New Roman"/>
          <w:sz w:val="20"/>
          <w:szCs w:val="20"/>
        </w:rPr>
        <w:t xml:space="preserve"> types of models</w:t>
      </w:r>
      <w:r>
        <w:rPr>
          <w:rFonts w:ascii="Times New Roman" w:hAnsi="Times New Roman" w:cs="Times New Roman"/>
          <w:sz w:val="20"/>
          <w:szCs w:val="20"/>
        </w:rPr>
        <w:t>.</w:t>
      </w:r>
    </w:p>
    <w:p w14:paraId="1324FB08" w14:textId="77777777" w:rsidR="00D515C7" w:rsidRPr="00EF4BBE" w:rsidRDefault="00D515C7" w:rsidP="0032322A">
      <w:pPr>
        <w:pStyle w:val="ListParagraph"/>
        <w:numPr>
          <w:ilvl w:val="0"/>
          <w:numId w:val="7"/>
        </w:numPr>
        <w:spacing w:line="240" w:lineRule="auto"/>
        <w:jc w:val="both"/>
        <w:rPr>
          <w:rFonts w:ascii="Times New Roman" w:hAnsi="Times New Roman" w:cs="Times New Roman"/>
          <w:sz w:val="20"/>
          <w:szCs w:val="20"/>
        </w:rPr>
      </w:pPr>
      <w:r w:rsidRPr="00DF164D">
        <w:rPr>
          <w:rFonts w:ascii="Times New Roman" w:hAnsi="Times New Roman" w:cs="Times New Roman"/>
          <w:sz w:val="20"/>
          <w:szCs w:val="20"/>
        </w:rPr>
        <w:t>Financial risks and financial ratios: Definition and types of financial risk</w:t>
      </w:r>
      <w:r>
        <w:rPr>
          <w:rFonts w:ascii="Times New Roman" w:hAnsi="Times New Roman" w:cs="Times New Roman"/>
          <w:sz w:val="20"/>
          <w:szCs w:val="20"/>
        </w:rPr>
        <w:t>,</w:t>
      </w:r>
      <w:r w:rsidRPr="00DF164D">
        <w:rPr>
          <w:rFonts w:ascii="Times New Roman" w:hAnsi="Times New Roman" w:cs="Times New Roman"/>
          <w:sz w:val="20"/>
          <w:szCs w:val="20"/>
        </w:rPr>
        <w:t xml:space="preserve"> financial ratios (categories and ratios provided)</w:t>
      </w:r>
      <w:r>
        <w:rPr>
          <w:rFonts w:ascii="Times New Roman" w:hAnsi="Times New Roman" w:cs="Times New Roman"/>
          <w:sz w:val="20"/>
          <w:szCs w:val="20"/>
        </w:rPr>
        <w:t>.</w:t>
      </w:r>
    </w:p>
    <w:p w14:paraId="0CBF1E87" w14:textId="270CD043" w:rsidR="00D515C7" w:rsidRPr="00D76A86" w:rsidRDefault="00D515C7" w:rsidP="00D515C7">
      <w:pPr>
        <w:jc w:val="both"/>
        <w:rPr>
          <w:b/>
          <w:bCs/>
          <w:sz w:val="20"/>
        </w:rPr>
      </w:pPr>
      <w:r w:rsidRPr="00D76A86">
        <w:rPr>
          <w:b/>
          <w:bCs/>
          <w:sz w:val="20"/>
        </w:rPr>
        <w:t xml:space="preserve">Module </w:t>
      </w:r>
      <w:r w:rsidR="00114BF1">
        <w:rPr>
          <w:b/>
          <w:bCs/>
          <w:sz w:val="20"/>
        </w:rPr>
        <w:t>A</w:t>
      </w:r>
      <w:r w:rsidRPr="00D76A86">
        <w:rPr>
          <w:b/>
          <w:bCs/>
          <w:sz w:val="20"/>
        </w:rPr>
        <w:t>ssessment</w:t>
      </w:r>
    </w:p>
    <w:p w14:paraId="1B02D280" w14:textId="62DC58AC" w:rsidR="00D515C7" w:rsidRDefault="00D515C7" w:rsidP="00D515C7">
      <w:pPr>
        <w:jc w:val="both"/>
        <w:rPr>
          <w:sz w:val="20"/>
        </w:rPr>
      </w:pPr>
      <w:r w:rsidRPr="004A01AF">
        <w:rPr>
          <w:sz w:val="20"/>
        </w:rPr>
        <w:t>The summative assessment for the module is through the submission of two assignments, which are each weighted 50%. Firstly</w:t>
      </w:r>
      <w:r>
        <w:rPr>
          <w:sz w:val="20"/>
        </w:rPr>
        <w:t>,</w:t>
      </w:r>
      <w:r w:rsidRPr="004A01AF">
        <w:rPr>
          <w:sz w:val="20"/>
        </w:rPr>
        <w:t xml:space="preserve"> there is a formal report (assignment # 1) evaluating the breakthrough technologies suitable for commerciali</w:t>
      </w:r>
      <w:r w:rsidR="002D0F71">
        <w:rPr>
          <w:sz w:val="20"/>
        </w:rPr>
        <w:t>z</w:t>
      </w:r>
      <w:r w:rsidRPr="004A01AF">
        <w:rPr>
          <w:sz w:val="20"/>
        </w:rPr>
        <w:t xml:space="preserve">ation in accordance with the algorithmic approach that is </w:t>
      </w:r>
      <w:r>
        <w:rPr>
          <w:sz w:val="20"/>
        </w:rPr>
        <w:t>evidenced</w:t>
      </w:r>
      <w:r w:rsidRPr="004A01AF">
        <w:rPr>
          <w:sz w:val="20"/>
        </w:rPr>
        <w:t>.  Secondly</w:t>
      </w:r>
      <w:r>
        <w:rPr>
          <w:sz w:val="20"/>
        </w:rPr>
        <w:t>,</w:t>
      </w:r>
      <w:r w:rsidRPr="004A01AF">
        <w:rPr>
          <w:sz w:val="20"/>
        </w:rPr>
        <w:t xml:space="preserve"> there is a business plan (assignment # 2), which includes </w:t>
      </w:r>
      <w:r>
        <w:rPr>
          <w:sz w:val="20"/>
        </w:rPr>
        <w:t>the</w:t>
      </w:r>
      <w:r w:rsidRPr="004A01AF">
        <w:rPr>
          <w:sz w:val="20"/>
        </w:rPr>
        <w:t xml:space="preserve"> strategic analysis and planning for the commercialization of the technology identified in the previous assignment. </w:t>
      </w:r>
    </w:p>
    <w:p w14:paraId="5652277B" w14:textId="575719A5" w:rsidR="00D515C7" w:rsidRDefault="00D515C7" w:rsidP="00D515C7">
      <w:pPr>
        <w:ind w:firstLine="426"/>
        <w:jc w:val="both"/>
        <w:rPr>
          <w:bCs/>
          <w:sz w:val="20"/>
        </w:rPr>
      </w:pPr>
      <w:r w:rsidRPr="004A01AF">
        <w:rPr>
          <w:sz w:val="20"/>
        </w:rPr>
        <w:t>In regard to formative assessments, tasks and exercises are given to students each week</w:t>
      </w:r>
      <w:r>
        <w:rPr>
          <w:sz w:val="20"/>
        </w:rPr>
        <w:t>,</w:t>
      </w:r>
      <w:r w:rsidRPr="004A01AF">
        <w:rPr>
          <w:sz w:val="20"/>
        </w:rPr>
        <w:t xml:space="preserve"> which relate to the relevant lecture contents provided from that week. </w:t>
      </w:r>
      <w:r w:rsidRPr="004A01AF">
        <w:rPr>
          <w:bCs/>
          <w:sz w:val="20"/>
        </w:rPr>
        <w:t xml:space="preserve">For example, the formative assessment in the lecture on </w:t>
      </w:r>
      <w:r w:rsidRPr="004A01AF">
        <w:rPr>
          <w:sz w:val="20"/>
        </w:rPr>
        <w:t>‘</w:t>
      </w:r>
      <w:r w:rsidRPr="004A01AF">
        <w:rPr>
          <w:bCs/>
          <w:sz w:val="20"/>
        </w:rPr>
        <w:t>Fundamentals of Risk Management’ involve</w:t>
      </w:r>
      <w:r>
        <w:rPr>
          <w:bCs/>
          <w:sz w:val="20"/>
        </w:rPr>
        <w:t>s</w:t>
      </w:r>
      <w:r w:rsidRPr="004A01AF">
        <w:rPr>
          <w:bCs/>
          <w:sz w:val="20"/>
        </w:rPr>
        <w:t xml:space="preserve"> students being asked to prepare a risk register for a</w:t>
      </w:r>
      <w:r w:rsidRPr="004A01AF">
        <w:rPr>
          <w:b/>
          <w:bCs/>
          <w:sz w:val="20"/>
        </w:rPr>
        <w:t xml:space="preserve"> </w:t>
      </w:r>
      <w:r w:rsidRPr="004A01AF">
        <w:rPr>
          <w:sz w:val="20"/>
        </w:rPr>
        <w:t>technology project to commerciali</w:t>
      </w:r>
      <w:r>
        <w:rPr>
          <w:sz w:val="20"/>
        </w:rPr>
        <w:t>z</w:t>
      </w:r>
      <w:r w:rsidRPr="004A01AF">
        <w:rPr>
          <w:sz w:val="20"/>
        </w:rPr>
        <w:t>e a new shielding device that will allow patients with heart pacemakers to undergo a scan from an MRI (magnetic resonance imaging) machine. Later in the lecture, students are also asked to conduct a numerical Pareto Analysis (</w:t>
      </w:r>
      <w:r w:rsidRPr="004A01AF">
        <w:rPr>
          <w:rStyle w:val="hgkelc"/>
          <w:sz w:val="20"/>
        </w:rPr>
        <w:t xml:space="preserve">statistical technique for decision-making) </w:t>
      </w:r>
      <w:r w:rsidRPr="004A01AF">
        <w:rPr>
          <w:sz w:val="20"/>
        </w:rPr>
        <w:t xml:space="preserve">for </w:t>
      </w:r>
      <w:r w:rsidRPr="004A01AF">
        <w:rPr>
          <w:bCs/>
          <w:sz w:val="20"/>
        </w:rPr>
        <w:t>sample data showing the relative frequency of causes for errors on websites.</w:t>
      </w:r>
      <w:r>
        <w:rPr>
          <w:bCs/>
          <w:sz w:val="20"/>
        </w:rPr>
        <w:t xml:space="preserve"> This formative assessment helps to embed learning in the module.</w:t>
      </w:r>
    </w:p>
    <w:p w14:paraId="437FBC1D" w14:textId="77777777" w:rsidR="00D515C7" w:rsidRPr="004A01AF" w:rsidRDefault="00D515C7" w:rsidP="00D515C7">
      <w:pPr>
        <w:jc w:val="both"/>
        <w:rPr>
          <w:sz w:val="20"/>
        </w:rPr>
      </w:pPr>
    </w:p>
    <w:p w14:paraId="28C16F41" w14:textId="21ABD622" w:rsidR="00D515C7" w:rsidRPr="00DE4867" w:rsidRDefault="00D515C7" w:rsidP="00D515C7">
      <w:pPr>
        <w:jc w:val="both"/>
        <w:rPr>
          <w:b/>
          <w:bCs/>
          <w:sz w:val="20"/>
        </w:rPr>
      </w:pPr>
      <w:r>
        <w:rPr>
          <w:b/>
          <w:bCs/>
          <w:sz w:val="20"/>
        </w:rPr>
        <w:t xml:space="preserve">Team-based </w:t>
      </w:r>
      <w:r w:rsidR="00114BF1">
        <w:rPr>
          <w:b/>
          <w:bCs/>
          <w:sz w:val="20"/>
        </w:rPr>
        <w:t>A</w:t>
      </w:r>
      <w:r>
        <w:rPr>
          <w:b/>
          <w:bCs/>
          <w:sz w:val="20"/>
        </w:rPr>
        <w:t>pproach</w:t>
      </w:r>
    </w:p>
    <w:p w14:paraId="7747FAA0" w14:textId="233896E7" w:rsidR="00D822B0" w:rsidRDefault="00D515C7" w:rsidP="00D515C7">
      <w:pPr>
        <w:jc w:val="both"/>
        <w:rPr>
          <w:sz w:val="20"/>
        </w:rPr>
      </w:pPr>
      <w:r>
        <w:rPr>
          <w:sz w:val="20"/>
        </w:rPr>
        <w:t>The module is delivered according to a team-based approach as there is significant analysis and planning to be carried out as part of the technology evaluation and commercialization process. Adopting a team-based approach with students working in teams of 4-5 has both pros and cons as highlighted in Exhibit 5. However, on balance it is felt that the pros outweigh the cons and that overall there is merit in students working as part of teams on the project-based module.</w:t>
      </w:r>
    </w:p>
    <w:p w14:paraId="6E7273CA" w14:textId="77777777" w:rsidR="003F7442" w:rsidRDefault="003F7442" w:rsidP="00D515C7">
      <w:pPr>
        <w:jc w:val="both"/>
        <w:rPr>
          <w:sz w:val="20"/>
        </w:rPr>
      </w:pPr>
    </w:p>
    <w:p w14:paraId="694E9B51" w14:textId="33489BD2" w:rsidR="00D515C7" w:rsidRPr="00D515C7" w:rsidRDefault="00D515C7" w:rsidP="00D515C7">
      <w:pPr>
        <w:jc w:val="center"/>
        <w:rPr>
          <w:b/>
          <w:bCs/>
          <w:sz w:val="20"/>
        </w:rPr>
      </w:pPr>
      <w:r w:rsidRPr="00D515C7">
        <w:rPr>
          <w:b/>
          <w:bCs/>
          <w:sz w:val="20"/>
        </w:rPr>
        <w:t>Exhibit 5. Pros and cons of the team-based approach adopted in the module.</w:t>
      </w:r>
    </w:p>
    <w:p w14:paraId="038E9F2F" w14:textId="77777777" w:rsidR="00D515C7" w:rsidRDefault="00D515C7" w:rsidP="00D515C7">
      <w:pPr>
        <w:jc w:val="center"/>
        <w:rPr>
          <w:sz w:val="20"/>
        </w:rPr>
      </w:pPr>
    </w:p>
    <w:tbl>
      <w:tblPr>
        <w:tblStyle w:val="TableGrid"/>
        <w:tblW w:w="9351" w:type="dxa"/>
        <w:tblLook w:val="04A0" w:firstRow="1" w:lastRow="0" w:firstColumn="1" w:lastColumn="0" w:noHBand="0" w:noVBand="1"/>
      </w:tblPr>
      <w:tblGrid>
        <w:gridCol w:w="4673"/>
        <w:gridCol w:w="4678"/>
      </w:tblGrid>
      <w:tr w:rsidR="00D515C7" w14:paraId="15996A65" w14:textId="77777777" w:rsidTr="00D822B0">
        <w:tc>
          <w:tcPr>
            <w:tcW w:w="4673" w:type="dxa"/>
          </w:tcPr>
          <w:p w14:paraId="07A951AA" w14:textId="77777777" w:rsidR="00D515C7" w:rsidRPr="00EF4BBE" w:rsidRDefault="00D515C7" w:rsidP="002410E9">
            <w:pPr>
              <w:jc w:val="center"/>
              <w:rPr>
                <w:rFonts w:cs="Times New Roman"/>
                <w:b/>
                <w:bCs/>
                <w:sz w:val="20"/>
                <w:szCs w:val="20"/>
              </w:rPr>
            </w:pPr>
            <w:r w:rsidRPr="00EF4BBE">
              <w:rPr>
                <w:rFonts w:cs="Times New Roman"/>
                <w:b/>
                <w:bCs/>
                <w:sz w:val="20"/>
                <w:szCs w:val="20"/>
              </w:rPr>
              <w:t>Pros</w:t>
            </w:r>
          </w:p>
        </w:tc>
        <w:tc>
          <w:tcPr>
            <w:tcW w:w="4678" w:type="dxa"/>
          </w:tcPr>
          <w:p w14:paraId="05AE9511" w14:textId="77777777" w:rsidR="00D515C7" w:rsidRPr="00EF4BBE" w:rsidRDefault="00D515C7" w:rsidP="002410E9">
            <w:pPr>
              <w:jc w:val="center"/>
              <w:rPr>
                <w:rFonts w:cs="Times New Roman"/>
                <w:b/>
                <w:bCs/>
                <w:sz w:val="20"/>
                <w:szCs w:val="20"/>
              </w:rPr>
            </w:pPr>
            <w:r w:rsidRPr="00EF4BBE">
              <w:rPr>
                <w:rFonts w:cs="Times New Roman"/>
                <w:b/>
                <w:bCs/>
                <w:sz w:val="20"/>
                <w:szCs w:val="20"/>
              </w:rPr>
              <w:t>Cons</w:t>
            </w:r>
          </w:p>
        </w:tc>
      </w:tr>
      <w:tr w:rsidR="00D515C7" w14:paraId="40145139" w14:textId="77777777" w:rsidTr="00D822B0">
        <w:tc>
          <w:tcPr>
            <w:tcW w:w="4673" w:type="dxa"/>
          </w:tcPr>
          <w:p w14:paraId="39936787" w14:textId="77777777" w:rsidR="00D515C7" w:rsidRPr="00EF4BBE" w:rsidRDefault="00D515C7" w:rsidP="00D515C7">
            <w:pPr>
              <w:pStyle w:val="ListParagraph"/>
              <w:numPr>
                <w:ilvl w:val="0"/>
                <w:numId w:val="5"/>
              </w:numPr>
              <w:spacing w:after="0" w:line="240" w:lineRule="auto"/>
              <w:ind w:left="314" w:hanging="284"/>
              <w:jc w:val="both"/>
              <w:rPr>
                <w:rFonts w:ascii="Times New Roman" w:hAnsi="Times New Roman" w:cs="Times New Roman"/>
                <w:sz w:val="20"/>
                <w:szCs w:val="20"/>
              </w:rPr>
            </w:pPr>
            <w:r w:rsidRPr="00EF4BBE">
              <w:rPr>
                <w:rFonts w:ascii="Times New Roman" w:hAnsi="Times New Roman" w:cs="Times New Roman"/>
                <w:sz w:val="20"/>
                <w:szCs w:val="20"/>
              </w:rPr>
              <w:lastRenderedPageBreak/>
              <w:t xml:space="preserve">Students are faced with </w:t>
            </w:r>
            <w:r>
              <w:rPr>
                <w:rFonts w:ascii="Times New Roman" w:hAnsi="Times New Roman" w:cs="Times New Roman"/>
                <w:sz w:val="20"/>
                <w:szCs w:val="20"/>
              </w:rPr>
              <w:t>real-world</w:t>
            </w:r>
            <w:r w:rsidRPr="00EF4BBE">
              <w:rPr>
                <w:rFonts w:ascii="Times New Roman" w:hAnsi="Times New Roman" w:cs="Times New Roman"/>
                <w:sz w:val="20"/>
                <w:szCs w:val="20"/>
              </w:rPr>
              <w:t xml:space="preserve"> conditions </w:t>
            </w:r>
            <w:r>
              <w:rPr>
                <w:rFonts w:ascii="Times New Roman" w:hAnsi="Times New Roman" w:cs="Times New Roman"/>
                <w:sz w:val="20"/>
                <w:szCs w:val="20"/>
              </w:rPr>
              <w:t xml:space="preserve">similar </w:t>
            </w:r>
            <w:r w:rsidRPr="00EF4BBE">
              <w:rPr>
                <w:rFonts w:ascii="Times New Roman" w:hAnsi="Times New Roman" w:cs="Times New Roman"/>
                <w:sz w:val="20"/>
                <w:szCs w:val="20"/>
              </w:rPr>
              <w:t xml:space="preserve">to those </w:t>
            </w:r>
            <w:r>
              <w:rPr>
                <w:rFonts w:ascii="Times New Roman" w:hAnsi="Times New Roman" w:cs="Times New Roman"/>
                <w:sz w:val="20"/>
                <w:szCs w:val="20"/>
              </w:rPr>
              <w:t>encountered</w:t>
            </w:r>
            <w:r w:rsidRPr="00EF4BBE">
              <w:rPr>
                <w:rFonts w:ascii="Times New Roman" w:hAnsi="Times New Roman" w:cs="Times New Roman"/>
                <w:sz w:val="20"/>
                <w:szCs w:val="20"/>
              </w:rPr>
              <w:t xml:space="preserve"> by entrepreneurs setting up a real start-up company.</w:t>
            </w:r>
          </w:p>
        </w:tc>
        <w:tc>
          <w:tcPr>
            <w:tcW w:w="4678" w:type="dxa"/>
          </w:tcPr>
          <w:p w14:paraId="66F780C7" w14:textId="77777777" w:rsidR="00D515C7" w:rsidRPr="00EF4BBE" w:rsidRDefault="00D515C7" w:rsidP="00D515C7">
            <w:pPr>
              <w:pStyle w:val="ListParagraph"/>
              <w:numPr>
                <w:ilvl w:val="0"/>
                <w:numId w:val="5"/>
              </w:numPr>
              <w:spacing w:after="0" w:line="240" w:lineRule="auto"/>
              <w:ind w:left="314" w:hanging="284"/>
              <w:jc w:val="both"/>
              <w:rPr>
                <w:rFonts w:ascii="Times New Roman" w:hAnsi="Times New Roman" w:cs="Times New Roman"/>
                <w:sz w:val="20"/>
                <w:szCs w:val="20"/>
              </w:rPr>
            </w:pPr>
            <w:r w:rsidRPr="00EF4BBE">
              <w:rPr>
                <w:rFonts w:ascii="Times New Roman" w:hAnsi="Times New Roman" w:cs="Times New Roman"/>
                <w:sz w:val="20"/>
                <w:szCs w:val="20"/>
              </w:rPr>
              <w:t>Not all student team members contribute at the same level of input and with the same level of enthusiasm, which can lead to difficulties.</w:t>
            </w:r>
          </w:p>
        </w:tc>
      </w:tr>
      <w:tr w:rsidR="00D515C7" w14:paraId="31A1BCA3" w14:textId="77777777" w:rsidTr="00D822B0">
        <w:tc>
          <w:tcPr>
            <w:tcW w:w="4673" w:type="dxa"/>
          </w:tcPr>
          <w:p w14:paraId="667CC601" w14:textId="77777777" w:rsidR="00D515C7" w:rsidRPr="00EF4BBE" w:rsidRDefault="00D515C7" w:rsidP="00D515C7">
            <w:pPr>
              <w:pStyle w:val="ListParagraph"/>
              <w:numPr>
                <w:ilvl w:val="0"/>
                <w:numId w:val="5"/>
              </w:numPr>
              <w:spacing w:after="0" w:line="240" w:lineRule="auto"/>
              <w:ind w:left="314" w:hanging="284"/>
              <w:jc w:val="both"/>
              <w:rPr>
                <w:rFonts w:ascii="Times New Roman" w:hAnsi="Times New Roman" w:cs="Times New Roman"/>
                <w:sz w:val="20"/>
                <w:szCs w:val="20"/>
              </w:rPr>
            </w:pPr>
            <w:r w:rsidRPr="00EF4BBE">
              <w:rPr>
                <w:rFonts w:ascii="Times New Roman" w:hAnsi="Times New Roman" w:cs="Times New Roman"/>
                <w:sz w:val="20"/>
                <w:szCs w:val="20"/>
              </w:rPr>
              <w:t>Students enhance their communication skills on the module, including both verbal and written skills.</w:t>
            </w:r>
          </w:p>
        </w:tc>
        <w:tc>
          <w:tcPr>
            <w:tcW w:w="4678" w:type="dxa"/>
          </w:tcPr>
          <w:p w14:paraId="5BC50D72" w14:textId="77777777" w:rsidR="00D515C7" w:rsidRPr="00EF4BBE" w:rsidRDefault="00D515C7" w:rsidP="00D515C7">
            <w:pPr>
              <w:pStyle w:val="ListParagraph"/>
              <w:numPr>
                <w:ilvl w:val="0"/>
                <w:numId w:val="5"/>
              </w:numPr>
              <w:spacing w:after="0" w:line="240" w:lineRule="auto"/>
              <w:ind w:left="314" w:hanging="284"/>
              <w:jc w:val="both"/>
              <w:rPr>
                <w:rFonts w:ascii="Times New Roman" w:hAnsi="Times New Roman" w:cs="Times New Roman"/>
                <w:sz w:val="20"/>
                <w:szCs w:val="20"/>
              </w:rPr>
            </w:pPr>
            <w:r w:rsidRPr="00EF4BBE">
              <w:rPr>
                <w:rFonts w:ascii="Times New Roman" w:hAnsi="Times New Roman" w:cs="Times New Roman"/>
                <w:sz w:val="20"/>
                <w:szCs w:val="20"/>
              </w:rPr>
              <w:t xml:space="preserve">Some team members may hide in the background and especially if </w:t>
            </w:r>
            <w:r>
              <w:rPr>
                <w:rFonts w:ascii="Times New Roman" w:hAnsi="Times New Roman" w:cs="Times New Roman"/>
                <w:sz w:val="20"/>
                <w:szCs w:val="20"/>
              </w:rPr>
              <w:t xml:space="preserve">students are </w:t>
            </w:r>
            <w:r w:rsidRPr="00EF4BBE">
              <w:rPr>
                <w:rFonts w:ascii="Times New Roman" w:hAnsi="Times New Roman" w:cs="Times New Roman"/>
                <w:sz w:val="20"/>
                <w:szCs w:val="20"/>
              </w:rPr>
              <w:t>lacking in self-confidence.</w:t>
            </w:r>
          </w:p>
        </w:tc>
      </w:tr>
      <w:tr w:rsidR="00D515C7" w14:paraId="54708405" w14:textId="77777777" w:rsidTr="00D822B0">
        <w:tc>
          <w:tcPr>
            <w:tcW w:w="4673" w:type="dxa"/>
          </w:tcPr>
          <w:p w14:paraId="24CE741C" w14:textId="77777777" w:rsidR="00D515C7" w:rsidRPr="00EF4BBE" w:rsidRDefault="00D515C7" w:rsidP="00D515C7">
            <w:pPr>
              <w:pStyle w:val="ListParagraph"/>
              <w:numPr>
                <w:ilvl w:val="0"/>
                <w:numId w:val="5"/>
              </w:numPr>
              <w:spacing w:after="0" w:line="240" w:lineRule="auto"/>
              <w:ind w:left="314" w:hanging="284"/>
              <w:jc w:val="both"/>
              <w:rPr>
                <w:rFonts w:ascii="Times New Roman" w:hAnsi="Times New Roman" w:cs="Times New Roman"/>
                <w:sz w:val="20"/>
                <w:szCs w:val="20"/>
              </w:rPr>
            </w:pPr>
            <w:r w:rsidRPr="00EF4BBE">
              <w:rPr>
                <w:rFonts w:ascii="Times New Roman" w:hAnsi="Times New Roman" w:cs="Times New Roman"/>
                <w:sz w:val="20"/>
                <w:szCs w:val="20"/>
              </w:rPr>
              <w:t>The assignment workload can be shared across the team and according to the strengths of the individual team members</w:t>
            </w:r>
            <w:r>
              <w:rPr>
                <w:rFonts w:ascii="Times New Roman" w:hAnsi="Times New Roman" w:cs="Times New Roman"/>
                <w:sz w:val="20"/>
                <w:szCs w:val="20"/>
              </w:rPr>
              <w:t>.</w:t>
            </w:r>
          </w:p>
        </w:tc>
        <w:tc>
          <w:tcPr>
            <w:tcW w:w="4678" w:type="dxa"/>
          </w:tcPr>
          <w:p w14:paraId="1F49272C" w14:textId="77777777" w:rsidR="00D515C7" w:rsidRPr="00EF4BBE" w:rsidRDefault="00D515C7" w:rsidP="00D515C7">
            <w:pPr>
              <w:pStyle w:val="ListParagraph"/>
              <w:numPr>
                <w:ilvl w:val="0"/>
                <w:numId w:val="5"/>
              </w:numPr>
              <w:spacing w:after="0" w:line="240" w:lineRule="auto"/>
              <w:ind w:left="314" w:hanging="284"/>
              <w:jc w:val="both"/>
              <w:rPr>
                <w:rFonts w:ascii="Times New Roman" w:hAnsi="Times New Roman" w:cs="Times New Roman"/>
                <w:sz w:val="20"/>
                <w:szCs w:val="20"/>
              </w:rPr>
            </w:pPr>
            <w:r w:rsidRPr="00EF4BBE">
              <w:rPr>
                <w:rFonts w:ascii="Times New Roman" w:hAnsi="Times New Roman" w:cs="Times New Roman"/>
                <w:sz w:val="20"/>
                <w:szCs w:val="20"/>
              </w:rPr>
              <w:t>There is the potential for conflict or disagreements to arise between student team members</w:t>
            </w:r>
            <w:r>
              <w:rPr>
                <w:rFonts w:ascii="Times New Roman" w:hAnsi="Times New Roman" w:cs="Times New Roman"/>
                <w:sz w:val="20"/>
                <w:szCs w:val="20"/>
              </w:rPr>
              <w:t>.</w:t>
            </w:r>
          </w:p>
        </w:tc>
      </w:tr>
      <w:tr w:rsidR="00D515C7" w14:paraId="592270C1" w14:textId="77777777" w:rsidTr="00D822B0">
        <w:tc>
          <w:tcPr>
            <w:tcW w:w="4673" w:type="dxa"/>
          </w:tcPr>
          <w:p w14:paraId="7B85A721" w14:textId="77777777" w:rsidR="00D515C7" w:rsidRPr="00EF4BBE" w:rsidRDefault="00D515C7" w:rsidP="00D515C7">
            <w:pPr>
              <w:pStyle w:val="ListParagraph"/>
              <w:numPr>
                <w:ilvl w:val="0"/>
                <w:numId w:val="5"/>
              </w:numPr>
              <w:spacing w:after="0" w:line="240" w:lineRule="auto"/>
              <w:ind w:left="314" w:hanging="284"/>
              <w:jc w:val="both"/>
              <w:rPr>
                <w:rFonts w:ascii="Times New Roman" w:hAnsi="Times New Roman" w:cs="Times New Roman"/>
                <w:sz w:val="20"/>
                <w:szCs w:val="20"/>
              </w:rPr>
            </w:pPr>
            <w:r w:rsidRPr="00EF4BBE">
              <w:rPr>
                <w:rFonts w:ascii="Times New Roman" w:hAnsi="Times New Roman" w:cs="Times New Roman"/>
                <w:sz w:val="20"/>
                <w:szCs w:val="20"/>
              </w:rPr>
              <w:t>Students gain different perspectives from their peers as well as the broader education delivered via the lecture contents.</w:t>
            </w:r>
          </w:p>
        </w:tc>
        <w:tc>
          <w:tcPr>
            <w:tcW w:w="4678" w:type="dxa"/>
          </w:tcPr>
          <w:p w14:paraId="51698BBB" w14:textId="4D01B5B5" w:rsidR="00D515C7" w:rsidRPr="00EF4BBE" w:rsidRDefault="00D515C7" w:rsidP="00D515C7">
            <w:pPr>
              <w:pStyle w:val="ListParagraph"/>
              <w:numPr>
                <w:ilvl w:val="0"/>
                <w:numId w:val="5"/>
              </w:numPr>
              <w:spacing w:after="0" w:line="240" w:lineRule="auto"/>
              <w:ind w:left="314" w:hanging="284"/>
              <w:jc w:val="both"/>
              <w:rPr>
                <w:rFonts w:ascii="Times New Roman" w:hAnsi="Times New Roman" w:cs="Times New Roman"/>
                <w:sz w:val="20"/>
                <w:szCs w:val="20"/>
              </w:rPr>
            </w:pPr>
            <w:r w:rsidRPr="00EF4BBE">
              <w:rPr>
                <w:rFonts w:ascii="Times New Roman" w:hAnsi="Times New Roman" w:cs="Times New Roman"/>
                <w:sz w:val="20"/>
                <w:szCs w:val="20"/>
              </w:rPr>
              <w:t xml:space="preserve">There can </w:t>
            </w:r>
            <w:r>
              <w:rPr>
                <w:rFonts w:ascii="Times New Roman" w:hAnsi="Times New Roman" w:cs="Times New Roman"/>
                <w:sz w:val="20"/>
                <w:szCs w:val="20"/>
              </w:rPr>
              <w:t xml:space="preserve">sometimes </w:t>
            </w:r>
            <w:r w:rsidRPr="00EF4BBE">
              <w:rPr>
                <w:rFonts w:ascii="Times New Roman" w:hAnsi="Times New Roman" w:cs="Times New Roman"/>
                <w:sz w:val="20"/>
                <w:szCs w:val="20"/>
              </w:rPr>
              <w:t xml:space="preserve">be challenges for students in finding time to meet and discuss the </w:t>
            </w:r>
            <w:r w:rsidR="00327579">
              <w:rPr>
                <w:rFonts w:ascii="Times New Roman" w:hAnsi="Times New Roman" w:cs="Times New Roman"/>
                <w:sz w:val="20"/>
                <w:szCs w:val="20"/>
              </w:rPr>
              <w:t xml:space="preserve">required </w:t>
            </w:r>
            <w:r w:rsidRPr="00EF4BBE">
              <w:rPr>
                <w:rFonts w:ascii="Times New Roman" w:hAnsi="Times New Roman" w:cs="Times New Roman"/>
                <w:sz w:val="20"/>
                <w:szCs w:val="20"/>
              </w:rPr>
              <w:t>work (especially part-time students).</w:t>
            </w:r>
          </w:p>
        </w:tc>
      </w:tr>
    </w:tbl>
    <w:p w14:paraId="194C8491" w14:textId="77777777" w:rsidR="00D515C7" w:rsidRPr="00DE4867" w:rsidRDefault="00D515C7" w:rsidP="00D515C7">
      <w:pPr>
        <w:jc w:val="both"/>
        <w:rPr>
          <w:sz w:val="20"/>
        </w:rPr>
      </w:pPr>
    </w:p>
    <w:p w14:paraId="27866A19" w14:textId="52B9A3E4" w:rsidR="00D515C7" w:rsidRPr="000A6859" w:rsidRDefault="00D515C7" w:rsidP="00D515C7">
      <w:pPr>
        <w:jc w:val="both"/>
        <w:rPr>
          <w:b/>
          <w:bCs/>
          <w:sz w:val="20"/>
        </w:rPr>
      </w:pPr>
      <w:r w:rsidRPr="000A6859">
        <w:rPr>
          <w:b/>
          <w:bCs/>
          <w:sz w:val="20"/>
        </w:rPr>
        <w:t xml:space="preserve">Lessons </w:t>
      </w:r>
      <w:r w:rsidR="00114BF1">
        <w:rPr>
          <w:b/>
          <w:bCs/>
          <w:sz w:val="20"/>
        </w:rPr>
        <w:t>L</w:t>
      </w:r>
      <w:r w:rsidRPr="000A6859">
        <w:rPr>
          <w:b/>
          <w:bCs/>
          <w:sz w:val="20"/>
        </w:rPr>
        <w:t>ear</w:t>
      </w:r>
      <w:r w:rsidR="00A56AB8">
        <w:rPr>
          <w:b/>
          <w:bCs/>
          <w:sz w:val="20"/>
        </w:rPr>
        <w:t>ned</w:t>
      </w:r>
    </w:p>
    <w:p w14:paraId="6AA0F621" w14:textId="673A7560" w:rsidR="00D515C7" w:rsidRPr="00AF354F" w:rsidRDefault="00D515C7" w:rsidP="00D515C7">
      <w:pPr>
        <w:jc w:val="both"/>
        <w:rPr>
          <w:sz w:val="20"/>
        </w:rPr>
      </w:pPr>
      <w:r w:rsidRPr="00AF354F">
        <w:rPr>
          <w:color w:val="111111"/>
          <w:spacing w:val="-3"/>
          <w:sz w:val="20"/>
        </w:rPr>
        <w:t xml:space="preserve">A number of lessons </w:t>
      </w:r>
      <w:r w:rsidR="00A56AB8" w:rsidRPr="00A56AB8">
        <w:rPr>
          <w:sz w:val="20"/>
        </w:rPr>
        <w:t xml:space="preserve">learned </w:t>
      </w:r>
      <w:r w:rsidRPr="00AF354F">
        <w:rPr>
          <w:color w:val="111111"/>
          <w:spacing w:val="-3"/>
          <w:sz w:val="20"/>
        </w:rPr>
        <w:t xml:space="preserve">and insights from the design and delivery of the technology evaluation and commercialization module have been </w:t>
      </w:r>
      <w:r>
        <w:rPr>
          <w:color w:val="111111"/>
          <w:spacing w:val="-3"/>
          <w:sz w:val="20"/>
        </w:rPr>
        <w:t>identified</w:t>
      </w:r>
      <w:r w:rsidRPr="00AF354F">
        <w:rPr>
          <w:color w:val="111111"/>
          <w:spacing w:val="-3"/>
          <w:sz w:val="20"/>
        </w:rPr>
        <w:t>, which are as follows:</w:t>
      </w:r>
    </w:p>
    <w:p w14:paraId="3C0F40E8" w14:textId="54E15F00" w:rsidR="00D515C7" w:rsidRPr="00CA7204" w:rsidRDefault="00D515C7" w:rsidP="00D515C7">
      <w:pPr>
        <w:pStyle w:val="ListParagraph"/>
        <w:numPr>
          <w:ilvl w:val="0"/>
          <w:numId w:val="6"/>
        </w:numPr>
        <w:spacing w:line="240" w:lineRule="auto"/>
        <w:jc w:val="both"/>
        <w:rPr>
          <w:rFonts w:ascii="Times New Roman" w:hAnsi="Times New Roman" w:cs="Times New Roman"/>
          <w:sz w:val="20"/>
          <w:szCs w:val="20"/>
          <w:lang w:val="en-US"/>
        </w:rPr>
      </w:pPr>
      <w:r w:rsidRPr="00CA7204">
        <w:rPr>
          <w:rFonts w:ascii="Times New Roman" w:hAnsi="Times New Roman" w:cs="Times New Roman"/>
          <w:sz w:val="20"/>
          <w:szCs w:val="20"/>
        </w:rPr>
        <w:t xml:space="preserve">There needs to be adequate time made available </w:t>
      </w:r>
      <w:r>
        <w:rPr>
          <w:rFonts w:ascii="Times New Roman" w:hAnsi="Times New Roman" w:cs="Times New Roman"/>
          <w:sz w:val="20"/>
          <w:szCs w:val="20"/>
        </w:rPr>
        <w:t>for students to</w:t>
      </w:r>
      <w:r w:rsidRPr="00CA7204">
        <w:rPr>
          <w:rFonts w:ascii="Times New Roman" w:hAnsi="Times New Roman" w:cs="Times New Roman"/>
          <w:sz w:val="20"/>
          <w:szCs w:val="20"/>
        </w:rPr>
        <w:t xml:space="preserve"> assimilate the </w:t>
      </w:r>
      <w:r>
        <w:rPr>
          <w:rFonts w:ascii="Times New Roman" w:hAnsi="Times New Roman" w:cs="Times New Roman"/>
          <w:sz w:val="20"/>
          <w:szCs w:val="20"/>
        </w:rPr>
        <w:t xml:space="preserve">required level of </w:t>
      </w:r>
      <w:r w:rsidRPr="00CA7204">
        <w:rPr>
          <w:rFonts w:ascii="Times New Roman" w:hAnsi="Times New Roman" w:cs="Times New Roman"/>
          <w:sz w:val="20"/>
          <w:szCs w:val="20"/>
        </w:rPr>
        <w:t>detail from the TEC Algorithm and corresponding worksheets – if not, it may be overwhelming for some students</w:t>
      </w:r>
      <w:r>
        <w:rPr>
          <w:rFonts w:ascii="Times New Roman" w:hAnsi="Times New Roman" w:cs="Times New Roman"/>
          <w:sz w:val="20"/>
          <w:szCs w:val="20"/>
        </w:rPr>
        <w:t xml:space="preserve">. This is because there is a large amount of analysis and research to be carried out to enable the systematic evaluation of all </w:t>
      </w:r>
      <w:r w:rsidR="00D66D2E">
        <w:rPr>
          <w:rFonts w:ascii="Times New Roman" w:hAnsi="Times New Roman" w:cs="Times New Roman"/>
          <w:sz w:val="20"/>
          <w:szCs w:val="20"/>
        </w:rPr>
        <w:t>10</w:t>
      </w:r>
      <w:r>
        <w:rPr>
          <w:rFonts w:ascii="Times New Roman" w:hAnsi="Times New Roman" w:cs="Times New Roman"/>
          <w:sz w:val="20"/>
          <w:szCs w:val="20"/>
        </w:rPr>
        <w:t xml:space="preserve"> technologies combined with development of a robust start-up business plan.</w:t>
      </w:r>
    </w:p>
    <w:p w14:paraId="3039D3DB" w14:textId="6FC56293" w:rsidR="00D515C7" w:rsidRPr="009A578C" w:rsidRDefault="00D515C7" w:rsidP="00D515C7">
      <w:pPr>
        <w:pStyle w:val="ListParagraph"/>
        <w:numPr>
          <w:ilvl w:val="0"/>
          <w:numId w:val="6"/>
        </w:numPr>
        <w:spacing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The </w:t>
      </w:r>
      <w:r w:rsidRPr="00CA7204">
        <w:rPr>
          <w:rFonts w:ascii="Times New Roman" w:hAnsi="Times New Roman" w:cs="Times New Roman"/>
          <w:sz w:val="20"/>
          <w:szCs w:val="20"/>
        </w:rPr>
        <w:t xml:space="preserve">lecture material </w:t>
      </w:r>
      <w:r>
        <w:rPr>
          <w:rFonts w:ascii="Times New Roman" w:hAnsi="Times New Roman" w:cs="Times New Roman"/>
          <w:sz w:val="20"/>
          <w:szCs w:val="20"/>
        </w:rPr>
        <w:t xml:space="preserve">provides </w:t>
      </w:r>
      <w:r w:rsidRPr="00CA7204">
        <w:rPr>
          <w:rFonts w:ascii="Times New Roman" w:hAnsi="Times New Roman" w:cs="Times New Roman"/>
          <w:sz w:val="20"/>
          <w:szCs w:val="20"/>
        </w:rPr>
        <w:t>further background</w:t>
      </w:r>
      <w:r>
        <w:rPr>
          <w:rFonts w:ascii="Times New Roman" w:hAnsi="Times New Roman" w:cs="Times New Roman"/>
          <w:sz w:val="20"/>
          <w:szCs w:val="20"/>
        </w:rPr>
        <w:t>, theory and</w:t>
      </w:r>
      <w:r w:rsidRPr="00CA7204">
        <w:rPr>
          <w:rFonts w:ascii="Times New Roman" w:hAnsi="Times New Roman" w:cs="Times New Roman"/>
          <w:sz w:val="20"/>
          <w:szCs w:val="20"/>
        </w:rPr>
        <w:t xml:space="preserve"> context </w:t>
      </w:r>
      <w:r>
        <w:rPr>
          <w:rFonts w:ascii="Times New Roman" w:hAnsi="Times New Roman" w:cs="Times New Roman"/>
          <w:sz w:val="20"/>
          <w:szCs w:val="20"/>
        </w:rPr>
        <w:t xml:space="preserve">for students on the module. The material also provides </w:t>
      </w:r>
      <w:r w:rsidRPr="00CA7204">
        <w:rPr>
          <w:rFonts w:ascii="Times New Roman" w:hAnsi="Times New Roman" w:cs="Times New Roman"/>
          <w:sz w:val="20"/>
          <w:szCs w:val="20"/>
        </w:rPr>
        <w:t>additional tools and models</w:t>
      </w:r>
      <w:r>
        <w:rPr>
          <w:rFonts w:ascii="Times New Roman" w:hAnsi="Times New Roman" w:cs="Times New Roman"/>
          <w:sz w:val="20"/>
          <w:szCs w:val="20"/>
        </w:rPr>
        <w:t>, which can be deployed to evaluate technologies and support the business planning process</w:t>
      </w:r>
      <w:r w:rsidRPr="00CA7204">
        <w:rPr>
          <w:rFonts w:ascii="Times New Roman" w:hAnsi="Times New Roman" w:cs="Times New Roman"/>
          <w:sz w:val="20"/>
          <w:szCs w:val="20"/>
        </w:rPr>
        <w:t xml:space="preserve">, e.g. TRL </w:t>
      </w:r>
      <w:r w:rsidR="00D66D2E">
        <w:rPr>
          <w:rFonts w:ascii="Times New Roman" w:hAnsi="Times New Roman" w:cs="Times New Roman"/>
          <w:sz w:val="20"/>
          <w:szCs w:val="20"/>
        </w:rPr>
        <w:t xml:space="preserve">(technology readiness level) </w:t>
      </w:r>
      <w:r w:rsidRPr="00CA7204">
        <w:rPr>
          <w:rFonts w:ascii="Times New Roman" w:hAnsi="Times New Roman" w:cs="Times New Roman"/>
          <w:sz w:val="20"/>
          <w:szCs w:val="20"/>
        </w:rPr>
        <w:t>framework, risk management (Ishikawa diagram), VRIO analysis</w:t>
      </w:r>
      <w:r>
        <w:rPr>
          <w:rFonts w:ascii="Times New Roman" w:hAnsi="Times New Roman" w:cs="Times New Roman"/>
          <w:sz w:val="20"/>
          <w:szCs w:val="20"/>
        </w:rPr>
        <w:t xml:space="preserve"> and </w:t>
      </w:r>
      <w:r w:rsidRPr="00CA7204">
        <w:rPr>
          <w:rFonts w:ascii="Times New Roman" w:hAnsi="Times New Roman" w:cs="Times New Roman"/>
          <w:sz w:val="20"/>
          <w:szCs w:val="20"/>
        </w:rPr>
        <w:t>NPV (net present value) financial analysis.</w:t>
      </w:r>
    </w:p>
    <w:p w14:paraId="35814EA7" w14:textId="33FBF80A" w:rsidR="00D515C7" w:rsidRPr="00CA7204" w:rsidRDefault="00D515C7" w:rsidP="00D515C7">
      <w:pPr>
        <w:pStyle w:val="ListParagraph"/>
        <w:numPr>
          <w:ilvl w:val="0"/>
          <w:numId w:val="6"/>
        </w:numPr>
        <w:spacing w:line="240" w:lineRule="auto"/>
        <w:jc w:val="both"/>
        <w:rPr>
          <w:rFonts w:ascii="Times New Roman" w:hAnsi="Times New Roman" w:cs="Times New Roman"/>
          <w:sz w:val="20"/>
          <w:szCs w:val="20"/>
          <w:lang w:val="en-US"/>
        </w:rPr>
      </w:pPr>
      <w:r>
        <w:rPr>
          <w:rFonts w:ascii="Times New Roman" w:hAnsi="Times New Roman" w:cs="Times New Roman"/>
          <w:sz w:val="20"/>
          <w:szCs w:val="20"/>
        </w:rPr>
        <w:t>Although the module includes a significant level of business related content, since the module is taught with</w:t>
      </w:r>
      <w:r w:rsidR="00D66D2E">
        <w:rPr>
          <w:rFonts w:ascii="Times New Roman" w:hAnsi="Times New Roman" w:cs="Times New Roman"/>
          <w:sz w:val="20"/>
          <w:szCs w:val="20"/>
        </w:rPr>
        <w:t>in</w:t>
      </w:r>
      <w:r>
        <w:rPr>
          <w:rFonts w:ascii="Times New Roman" w:hAnsi="Times New Roman" w:cs="Times New Roman"/>
          <w:sz w:val="20"/>
          <w:szCs w:val="20"/>
        </w:rPr>
        <w:t xml:space="preserve"> the School of Engineering it is important that the business theory, tools and techniques are described and used in an engineering context with </w:t>
      </w:r>
      <w:r w:rsidR="00D66D2E">
        <w:rPr>
          <w:rFonts w:ascii="Times New Roman" w:hAnsi="Times New Roman" w:cs="Times New Roman"/>
          <w:sz w:val="20"/>
          <w:szCs w:val="20"/>
        </w:rPr>
        <w:t xml:space="preserve">relevant </w:t>
      </w:r>
      <w:r>
        <w:rPr>
          <w:rFonts w:ascii="Times New Roman" w:hAnsi="Times New Roman" w:cs="Times New Roman"/>
          <w:sz w:val="20"/>
          <w:szCs w:val="20"/>
        </w:rPr>
        <w:t>technology examples</w:t>
      </w:r>
      <w:r w:rsidR="00D66D2E">
        <w:rPr>
          <w:rFonts w:ascii="Times New Roman" w:hAnsi="Times New Roman" w:cs="Times New Roman"/>
          <w:sz w:val="20"/>
          <w:szCs w:val="20"/>
        </w:rPr>
        <w:t xml:space="preserve"> provided</w:t>
      </w:r>
      <w:r>
        <w:rPr>
          <w:rFonts w:ascii="Times New Roman" w:hAnsi="Times New Roman" w:cs="Times New Roman"/>
          <w:sz w:val="20"/>
          <w:szCs w:val="20"/>
        </w:rPr>
        <w:t>. This leads to the material being more relevant to engineering students and avoids it being overly generic in nature.</w:t>
      </w:r>
    </w:p>
    <w:p w14:paraId="3CB32B31" w14:textId="77777777" w:rsidR="00D515C7" w:rsidRPr="00CA7204" w:rsidRDefault="00D515C7" w:rsidP="00D515C7">
      <w:pPr>
        <w:pStyle w:val="ListParagraph"/>
        <w:numPr>
          <w:ilvl w:val="0"/>
          <w:numId w:val="6"/>
        </w:numPr>
        <w:spacing w:line="240" w:lineRule="auto"/>
        <w:jc w:val="both"/>
        <w:rPr>
          <w:rFonts w:ascii="Times New Roman" w:hAnsi="Times New Roman" w:cs="Times New Roman"/>
          <w:sz w:val="20"/>
          <w:szCs w:val="20"/>
          <w:lang w:val="en-US"/>
        </w:rPr>
      </w:pPr>
      <w:r w:rsidRPr="00CA7204">
        <w:rPr>
          <w:rFonts w:ascii="Times New Roman" w:hAnsi="Times New Roman" w:cs="Times New Roman"/>
          <w:sz w:val="20"/>
          <w:szCs w:val="20"/>
        </w:rPr>
        <w:t>Team-based projects can have pros and cons but on balance there is still merit in adopting this approach</w:t>
      </w:r>
      <w:r>
        <w:rPr>
          <w:rFonts w:ascii="Times New Roman" w:hAnsi="Times New Roman" w:cs="Times New Roman"/>
          <w:sz w:val="20"/>
          <w:szCs w:val="20"/>
        </w:rPr>
        <w:t>, although there is a need for a careful approach when marking assignments to ensure that students receive personalized marks.</w:t>
      </w:r>
    </w:p>
    <w:p w14:paraId="408CDE6D" w14:textId="4F073EF3" w:rsidR="00D515C7" w:rsidRPr="009A578C" w:rsidRDefault="00D515C7" w:rsidP="00D515C7">
      <w:pPr>
        <w:pStyle w:val="ListParagraph"/>
        <w:numPr>
          <w:ilvl w:val="0"/>
          <w:numId w:val="6"/>
        </w:numPr>
        <w:spacing w:line="240" w:lineRule="auto"/>
        <w:jc w:val="both"/>
        <w:rPr>
          <w:rFonts w:ascii="Times New Roman" w:hAnsi="Times New Roman" w:cs="Times New Roman"/>
          <w:sz w:val="20"/>
          <w:szCs w:val="20"/>
          <w:lang w:val="en-US"/>
        </w:rPr>
      </w:pPr>
      <w:r w:rsidRPr="00CA7204">
        <w:rPr>
          <w:rFonts w:ascii="Times New Roman" w:hAnsi="Times New Roman" w:cs="Times New Roman"/>
          <w:sz w:val="20"/>
          <w:szCs w:val="20"/>
        </w:rPr>
        <w:t xml:space="preserve">The experiential </w:t>
      </w:r>
      <w:r>
        <w:rPr>
          <w:rFonts w:ascii="Times New Roman" w:hAnsi="Times New Roman" w:cs="Times New Roman"/>
          <w:sz w:val="20"/>
          <w:szCs w:val="20"/>
        </w:rPr>
        <w:t xml:space="preserve">learning </w:t>
      </w:r>
      <w:r w:rsidRPr="00CA7204">
        <w:rPr>
          <w:rFonts w:ascii="Times New Roman" w:hAnsi="Times New Roman" w:cs="Times New Roman"/>
          <w:sz w:val="20"/>
          <w:szCs w:val="20"/>
        </w:rPr>
        <w:t xml:space="preserve">aspects of the module can be highly beneficial for the </w:t>
      </w:r>
      <w:r>
        <w:rPr>
          <w:rFonts w:ascii="Times New Roman" w:hAnsi="Times New Roman" w:cs="Times New Roman"/>
          <w:sz w:val="20"/>
          <w:szCs w:val="20"/>
        </w:rPr>
        <w:t xml:space="preserve">participating </w:t>
      </w:r>
      <w:r w:rsidRPr="00CA7204">
        <w:rPr>
          <w:rFonts w:ascii="Times New Roman" w:hAnsi="Times New Roman" w:cs="Times New Roman"/>
          <w:sz w:val="20"/>
          <w:szCs w:val="20"/>
        </w:rPr>
        <w:t xml:space="preserve">students – they are effectively participating in a start-up </w:t>
      </w:r>
      <w:r w:rsidR="00D66D2E">
        <w:rPr>
          <w:rFonts w:ascii="Times New Roman" w:hAnsi="Times New Roman" w:cs="Times New Roman"/>
          <w:sz w:val="20"/>
          <w:szCs w:val="20"/>
        </w:rPr>
        <w:t xml:space="preserve">business </w:t>
      </w:r>
      <w:r w:rsidRPr="00CA7204">
        <w:rPr>
          <w:rFonts w:ascii="Times New Roman" w:hAnsi="Times New Roman" w:cs="Times New Roman"/>
          <w:sz w:val="20"/>
          <w:szCs w:val="20"/>
        </w:rPr>
        <w:t>planning simulation</w:t>
      </w:r>
      <w:r>
        <w:rPr>
          <w:rFonts w:ascii="Times New Roman" w:hAnsi="Times New Roman" w:cs="Times New Roman"/>
          <w:sz w:val="20"/>
          <w:szCs w:val="20"/>
        </w:rPr>
        <w:t xml:space="preserve"> and consequently this form of education can help provide the students </w:t>
      </w:r>
      <w:r w:rsidR="00D66D2E">
        <w:rPr>
          <w:rFonts w:ascii="Times New Roman" w:hAnsi="Times New Roman" w:cs="Times New Roman"/>
          <w:sz w:val="20"/>
          <w:szCs w:val="20"/>
        </w:rPr>
        <w:t xml:space="preserve">real-world </w:t>
      </w:r>
      <w:r>
        <w:rPr>
          <w:rFonts w:ascii="Times New Roman" w:hAnsi="Times New Roman" w:cs="Times New Roman"/>
          <w:sz w:val="20"/>
          <w:szCs w:val="20"/>
        </w:rPr>
        <w:t>skills and experiences that help them prepare for the workplace.</w:t>
      </w:r>
    </w:p>
    <w:p w14:paraId="773DDD73" w14:textId="13ADB218" w:rsidR="00D515C7" w:rsidRPr="007A6A5F" w:rsidRDefault="00D515C7" w:rsidP="00D515C7">
      <w:pPr>
        <w:pStyle w:val="ListParagraph"/>
        <w:numPr>
          <w:ilvl w:val="0"/>
          <w:numId w:val="6"/>
        </w:numPr>
        <w:spacing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Adopting the top 10 breakthrough technologies from the MIT Technology Review each year as the set of technologies to be evaluated allows the technology areas to be </w:t>
      </w:r>
      <w:r w:rsidR="00D66D2E">
        <w:rPr>
          <w:rFonts w:ascii="Times New Roman" w:hAnsi="Times New Roman" w:cs="Times New Roman"/>
          <w:sz w:val="20"/>
          <w:szCs w:val="20"/>
        </w:rPr>
        <w:t xml:space="preserve">refreshed and </w:t>
      </w:r>
      <w:r>
        <w:rPr>
          <w:rFonts w:ascii="Times New Roman" w:hAnsi="Times New Roman" w:cs="Times New Roman"/>
          <w:sz w:val="20"/>
          <w:szCs w:val="20"/>
        </w:rPr>
        <w:t>kept up-to-date</w:t>
      </w:r>
      <w:r w:rsidR="00D66D2E">
        <w:rPr>
          <w:rFonts w:ascii="Times New Roman" w:hAnsi="Times New Roman" w:cs="Times New Roman"/>
          <w:sz w:val="20"/>
          <w:szCs w:val="20"/>
        </w:rPr>
        <w:t>. T</w:t>
      </w:r>
      <w:r>
        <w:rPr>
          <w:rFonts w:ascii="Times New Roman" w:hAnsi="Times New Roman" w:cs="Times New Roman"/>
          <w:sz w:val="20"/>
          <w:szCs w:val="20"/>
        </w:rPr>
        <w:t>he diverse range of areas also stimulates curiosity and an enquiring interest, thereby helping to motivate student teams to focus on the detailed analysis required to complete the module assignments.</w:t>
      </w:r>
    </w:p>
    <w:p w14:paraId="1B658D86" w14:textId="6D7EFCED" w:rsidR="00D515C7" w:rsidRPr="00CA7204" w:rsidRDefault="00D515C7" w:rsidP="00D515C7">
      <w:pPr>
        <w:pStyle w:val="ListParagraph"/>
        <w:numPr>
          <w:ilvl w:val="0"/>
          <w:numId w:val="6"/>
        </w:numPr>
        <w:spacing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The combination of business management, innovation and </w:t>
      </w:r>
      <w:r w:rsidRPr="00BC7AEB">
        <w:rPr>
          <w:rFonts w:ascii="Times New Roman" w:hAnsi="Times New Roman" w:cs="Times New Roman"/>
          <w:sz w:val="20"/>
          <w:szCs w:val="20"/>
        </w:rPr>
        <w:t>technology</w:t>
      </w:r>
      <w:r>
        <w:rPr>
          <w:rFonts w:ascii="Times New Roman" w:hAnsi="Times New Roman" w:cs="Times New Roman"/>
          <w:sz w:val="20"/>
          <w:szCs w:val="20"/>
        </w:rPr>
        <w:t xml:space="preserve"> management areas covered in the module enables students to gain a thorough grounding in different aspects of technology-based entrepreneurship education. This is relevant to a range of applications, including new venture creation, planning for a new program or business unit (i.e. intrapreneurship) as well as </w:t>
      </w:r>
      <w:r w:rsidR="00BC7AEB">
        <w:rPr>
          <w:rFonts w:ascii="Times New Roman" w:hAnsi="Times New Roman" w:cs="Times New Roman"/>
          <w:sz w:val="20"/>
          <w:szCs w:val="20"/>
        </w:rPr>
        <w:t xml:space="preserve">others forms of innovation, such as </w:t>
      </w:r>
      <w:r>
        <w:rPr>
          <w:rFonts w:ascii="Times New Roman" w:hAnsi="Times New Roman" w:cs="Times New Roman"/>
          <w:sz w:val="20"/>
          <w:szCs w:val="20"/>
        </w:rPr>
        <w:t>new product development (NPD).</w:t>
      </w:r>
    </w:p>
    <w:p w14:paraId="21F31430" w14:textId="65EECCAC" w:rsidR="00D515C7" w:rsidRPr="007A6A5F" w:rsidRDefault="00D515C7" w:rsidP="00D515C7">
      <w:pPr>
        <w:pStyle w:val="ListParagraph"/>
        <w:numPr>
          <w:ilvl w:val="0"/>
          <w:numId w:val="6"/>
        </w:numPr>
        <w:spacing w:line="240" w:lineRule="auto"/>
        <w:jc w:val="both"/>
        <w:rPr>
          <w:rFonts w:ascii="Times New Roman" w:hAnsi="Times New Roman" w:cs="Times New Roman"/>
          <w:sz w:val="20"/>
          <w:szCs w:val="20"/>
          <w:lang w:val="en-US"/>
        </w:rPr>
      </w:pPr>
      <w:r>
        <w:rPr>
          <w:rFonts w:ascii="Times New Roman" w:hAnsi="Times New Roman" w:cs="Times New Roman"/>
          <w:sz w:val="20"/>
          <w:szCs w:val="20"/>
        </w:rPr>
        <w:t>I</w:t>
      </w:r>
      <w:r w:rsidRPr="00CA7204">
        <w:rPr>
          <w:rFonts w:ascii="Times New Roman" w:hAnsi="Times New Roman" w:cs="Times New Roman"/>
          <w:sz w:val="20"/>
          <w:szCs w:val="20"/>
        </w:rPr>
        <w:t xml:space="preserve">n </w:t>
      </w:r>
      <w:r>
        <w:rPr>
          <w:rFonts w:ascii="Times New Roman" w:hAnsi="Times New Roman" w:cs="Times New Roman"/>
          <w:sz w:val="20"/>
          <w:szCs w:val="20"/>
        </w:rPr>
        <w:t>regard</w:t>
      </w:r>
      <w:r w:rsidRPr="00CA7204">
        <w:rPr>
          <w:rFonts w:ascii="Times New Roman" w:hAnsi="Times New Roman" w:cs="Times New Roman"/>
          <w:sz w:val="20"/>
          <w:szCs w:val="20"/>
        </w:rPr>
        <w:t xml:space="preserve"> </w:t>
      </w:r>
      <w:r w:rsidR="003F7442">
        <w:rPr>
          <w:rFonts w:ascii="Times New Roman" w:hAnsi="Times New Roman" w:cs="Times New Roman"/>
          <w:sz w:val="20"/>
          <w:szCs w:val="20"/>
        </w:rPr>
        <w:t xml:space="preserve">to </w:t>
      </w:r>
      <w:r w:rsidRPr="00CA7204">
        <w:rPr>
          <w:rFonts w:ascii="Times New Roman" w:hAnsi="Times New Roman" w:cs="Times New Roman"/>
          <w:sz w:val="20"/>
          <w:szCs w:val="20"/>
        </w:rPr>
        <w:t xml:space="preserve">teaching practice </w:t>
      </w:r>
      <w:r>
        <w:rPr>
          <w:rFonts w:ascii="Times New Roman" w:hAnsi="Times New Roman" w:cs="Times New Roman"/>
          <w:sz w:val="20"/>
          <w:szCs w:val="20"/>
        </w:rPr>
        <w:t>and pedagogy</w:t>
      </w:r>
      <w:r w:rsidR="00BC7AEB">
        <w:rPr>
          <w:rFonts w:ascii="Times New Roman" w:hAnsi="Times New Roman" w:cs="Times New Roman"/>
          <w:sz w:val="20"/>
          <w:szCs w:val="20"/>
        </w:rPr>
        <w:t>,</w:t>
      </w:r>
      <w:r>
        <w:rPr>
          <w:rFonts w:ascii="Times New Roman" w:hAnsi="Times New Roman" w:cs="Times New Roman"/>
          <w:sz w:val="20"/>
          <w:szCs w:val="20"/>
        </w:rPr>
        <w:t xml:space="preserve"> the module requires the lecturer to engage in both </w:t>
      </w:r>
      <w:r w:rsidRPr="00CA7204">
        <w:rPr>
          <w:rFonts w:ascii="Times New Roman" w:hAnsi="Times New Roman" w:cs="Times New Roman"/>
          <w:sz w:val="20"/>
          <w:szCs w:val="20"/>
        </w:rPr>
        <w:t>didactic teaching</w:t>
      </w:r>
      <w:r>
        <w:rPr>
          <w:rFonts w:ascii="Times New Roman" w:hAnsi="Times New Roman" w:cs="Times New Roman"/>
          <w:sz w:val="20"/>
          <w:szCs w:val="20"/>
        </w:rPr>
        <w:t xml:space="preserve"> of theory and models through the lecture sessions combined with a </w:t>
      </w:r>
      <w:r w:rsidRPr="007A6A5F">
        <w:rPr>
          <w:rFonts w:ascii="Times New Roman" w:hAnsi="Times New Roman" w:cs="Times New Roman"/>
          <w:sz w:val="20"/>
          <w:szCs w:val="20"/>
        </w:rPr>
        <w:t xml:space="preserve">more coaching </w:t>
      </w:r>
      <w:r>
        <w:rPr>
          <w:rFonts w:ascii="Times New Roman" w:hAnsi="Times New Roman" w:cs="Times New Roman"/>
          <w:sz w:val="20"/>
          <w:szCs w:val="20"/>
        </w:rPr>
        <w:t>style of teaching as part of tutorial sessions focused on guiding the student teams to evaluate technologies evaluation and undertake business planning activities. Consequently, there is a need for appropriate flexibility in the teaching style that is provided in the module.</w:t>
      </w:r>
    </w:p>
    <w:p w14:paraId="055A4C5C" w14:textId="77777777" w:rsidR="00D515C7" w:rsidRPr="00F811C6" w:rsidRDefault="00D515C7" w:rsidP="00D515C7">
      <w:pPr>
        <w:jc w:val="both"/>
        <w:rPr>
          <w:sz w:val="20"/>
        </w:rPr>
      </w:pPr>
    </w:p>
    <w:p w14:paraId="74300D81" w14:textId="507FD4B4" w:rsidR="00D515C7" w:rsidRPr="00DE4867" w:rsidRDefault="00D515C7" w:rsidP="00D515C7">
      <w:pPr>
        <w:jc w:val="both"/>
        <w:rPr>
          <w:b/>
          <w:bCs/>
          <w:szCs w:val="24"/>
        </w:rPr>
      </w:pPr>
      <w:r w:rsidRPr="00DE4867">
        <w:rPr>
          <w:b/>
          <w:bCs/>
          <w:szCs w:val="24"/>
        </w:rPr>
        <w:t xml:space="preserve">Conclusions and </w:t>
      </w:r>
      <w:r w:rsidR="00114BF1">
        <w:rPr>
          <w:b/>
          <w:bCs/>
          <w:szCs w:val="24"/>
        </w:rPr>
        <w:t>F</w:t>
      </w:r>
      <w:r w:rsidRPr="00DE4867">
        <w:rPr>
          <w:b/>
          <w:bCs/>
          <w:szCs w:val="24"/>
        </w:rPr>
        <w:t xml:space="preserve">uture </w:t>
      </w:r>
      <w:r w:rsidR="00114BF1">
        <w:rPr>
          <w:b/>
          <w:bCs/>
          <w:szCs w:val="24"/>
        </w:rPr>
        <w:t>W</w:t>
      </w:r>
      <w:r w:rsidRPr="00DE4867">
        <w:rPr>
          <w:b/>
          <w:bCs/>
          <w:szCs w:val="24"/>
        </w:rPr>
        <w:t>ork</w:t>
      </w:r>
    </w:p>
    <w:p w14:paraId="728314E2" w14:textId="213AF464" w:rsidR="00D515C7" w:rsidRDefault="00D515C7" w:rsidP="00D515C7">
      <w:pPr>
        <w:jc w:val="both"/>
        <w:rPr>
          <w:sz w:val="20"/>
        </w:rPr>
      </w:pPr>
      <w:r>
        <w:rPr>
          <w:sz w:val="20"/>
        </w:rPr>
        <w:t xml:space="preserve">Entrepreneurship education for engineers enables students to develop a wider set of skills and knowledge that has a positive contribution to the overall educational experience and long-term </w:t>
      </w:r>
      <w:r w:rsidR="003F7442">
        <w:rPr>
          <w:sz w:val="20"/>
        </w:rPr>
        <w:t xml:space="preserve">development of </w:t>
      </w:r>
      <w:r>
        <w:rPr>
          <w:sz w:val="20"/>
        </w:rPr>
        <w:t>career and professional opportunities.  Indeed, e</w:t>
      </w:r>
      <w:r w:rsidRPr="009A578C">
        <w:rPr>
          <w:sz w:val="20"/>
        </w:rPr>
        <w:t xml:space="preserve">mployers and industry </w:t>
      </w:r>
      <w:r>
        <w:rPr>
          <w:sz w:val="20"/>
        </w:rPr>
        <w:t xml:space="preserve">continue to </w:t>
      </w:r>
      <w:r w:rsidRPr="009A578C">
        <w:rPr>
          <w:sz w:val="20"/>
        </w:rPr>
        <w:t xml:space="preserve">seek for engineers </w:t>
      </w:r>
      <w:r>
        <w:rPr>
          <w:sz w:val="20"/>
        </w:rPr>
        <w:t>with</w:t>
      </w:r>
      <w:r w:rsidRPr="009A578C">
        <w:rPr>
          <w:sz w:val="20"/>
        </w:rPr>
        <w:t xml:space="preserve"> professional and enterprise skills </w:t>
      </w:r>
      <w:r w:rsidRPr="009A578C">
        <w:rPr>
          <w:sz w:val="20"/>
        </w:rPr>
        <w:lastRenderedPageBreak/>
        <w:t xml:space="preserve">to complement the technical engineering knowledge – especially in the context of </w:t>
      </w:r>
      <w:r w:rsidR="00BC7AEB">
        <w:rPr>
          <w:sz w:val="20"/>
        </w:rPr>
        <w:t xml:space="preserve">addressing the </w:t>
      </w:r>
      <w:r>
        <w:rPr>
          <w:sz w:val="20"/>
        </w:rPr>
        <w:t xml:space="preserve">global challenges and major technology developments. </w:t>
      </w:r>
      <w:r w:rsidR="00BC7AEB">
        <w:rPr>
          <w:sz w:val="20"/>
        </w:rPr>
        <w:t>Furthermore, t</w:t>
      </w:r>
      <w:r>
        <w:rPr>
          <w:sz w:val="20"/>
        </w:rPr>
        <w:t xml:space="preserve">echnology-based entrepreneurship education can also help stimulate technology commercialization towards new venture creation and the resulting economic impact that is generated from such activities. </w:t>
      </w:r>
    </w:p>
    <w:p w14:paraId="00F733CD" w14:textId="043D5417" w:rsidR="00F2445D" w:rsidRDefault="00F2445D" w:rsidP="00F2445D">
      <w:pPr>
        <w:ind w:firstLine="426"/>
        <w:jc w:val="both"/>
        <w:rPr>
          <w:sz w:val="20"/>
        </w:rPr>
      </w:pPr>
      <w:r>
        <w:rPr>
          <w:sz w:val="20"/>
        </w:rPr>
        <w:t xml:space="preserve">This research study has explored technology-based entrepreneurship education for engineers through a supporting literature review and case study investigation of the technology evaluation and commercialization module, which underpins entrepreneurship education for MSc students in the School of Engineering at </w:t>
      </w:r>
      <w:r w:rsidR="003F7442">
        <w:rPr>
          <w:sz w:val="20"/>
        </w:rPr>
        <w:t>London South Bank University</w:t>
      </w:r>
      <w:r>
        <w:rPr>
          <w:sz w:val="20"/>
        </w:rPr>
        <w:t xml:space="preserve">. This has provided detailed insights on the design and structuring of such courses, including pedagogic, assessment and content related considerations. The module enables students to be equipped with background knowledge on technology, innovation and business management as well as an understanding of the tools and techniques to support enterprise </w:t>
      </w:r>
      <w:proofErr w:type="spellStart"/>
      <w:r>
        <w:rPr>
          <w:sz w:val="20"/>
        </w:rPr>
        <w:t>behaviours</w:t>
      </w:r>
      <w:proofErr w:type="spellEnd"/>
      <w:r>
        <w:rPr>
          <w:sz w:val="20"/>
        </w:rPr>
        <w:t xml:space="preserve"> – and support those who are interested </w:t>
      </w:r>
      <w:r w:rsidR="003F7442">
        <w:rPr>
          <w:sz w:val="20"/>
        </w:rPr>
        <w:t>in</w:t>
      </w:r>
      <w:r>
        <w:rPr>
          <w:sz w:val="20"/>
        </w:rPr>
        <w:t xml:space="preserve"> becom</w:t>
      </w:r>
      <w:r w:rsidR="003F7442">
        <w:rPr>
          <w:sz w:val="20"/>
        </w:rPr>
        <w:t>ing</w:t>
      </w:r>
      <w:r>
        <w:rPr>
          <w:sz w:val="20"/>
        </w:rPr>
        <w:t xml:space="preserve"> more entrepreneurial </w:t>
      </w:r>
      <w:r w:rsidR="003F7442">
        <w:rPr>
          <w:sz w:val="20"/>
        </w:rPr>
        <w:t>to</w:t>
      </w:r>
      <w:r>
        <w:rPr>
          <w:sz w:val="20"/>
        </w:rPr>
        <w:t xml:space="preserve"> launch a technology-based start-up company. The case study investigation reported in this article provides a number of lessons </w:t>
      </w:r>
      <w:r w:rsidR="00A56AB8" w:rsidRPr="00A56AB8">
        <w:rPr>
          <w:sz w:val="20"/>
        </w:rPr>
        <w:t xml:space="preserve">learned </w:t>
      </w:r>
      <w:r>
        <w:rPr>
          <w:sz w:val="20"/>
        </w:rPr>
        <w:t xml:space="preserve">that can be considered when practitioners are designing new entrepreneurship programs for engineers and can also inform future research studies in this area. </w:t>
      </w:r>
    </w:p>
    <w:p w14:paraId="268AEF5B" w14:textId="77777777" w:rsidR="00F2445D" w:rsidRDefault="00F2445D" w:rsidP="00F2445D">
      <w:pPr>
        <w:ind w:firstLine="426"/>
        <w:jc w:val="both"/>
        <w:rPr>
          <w:sz w:val="20"/>
        </w:rPr>
      </w:pPr>
      <w:r>
        <w:rPr>
          <w:sz w:val="20"/>
        </w:rPr>
        <w:t>It has been observed that blending theory-driven lecture material with the TEC Algorithm process-based material allows broader knowledge to be made available across different aspects of technology commercialization, e.g. related to IP (intellectual property) as well as a historical perspective on innovation theory and models. Moreover, the project-based approach results in experiential learning alongside the more traditional provision of complementary taught material, thereby resulting in a comprehensive treatment of the area of technology entrepreneurship for engineers.</w:t>
      </w:r>
    </w:p>
    <w:p w14:paraId="06D98918" w14:textId="6EC4FC0F" w:rsidR="00D515C7" w:rsidRDefault="00D515C7" w:rsidP="00D515C7">
      <w:pPr>
        <w:ind w:firstLine="426"/>
        <w:jc w:val="both"/>
        <w:rPr>
          <w:sz w:val="20"/>
        </w:rPr>
      </w:pPr>
      <w:r>
        <w:rPr>
          <w:sz w:val="20"/>
        </w:rPr>
        <w:t xml:space="preserve">Future work is recommended to investigate the </w:t>
      </w:r>
      <w:r w:rsidR="00702370">
        <w:rPr>
          <w:sz w:val="20"/>
        </w:rPr>
        <w:t>relationship</w:t>
      </w:r>
      <w:r>
        <w:rPr>
          <w:sz w:val="20"/>
        </w:rPr>
        <w:t xml:space="preserve"> between entrepreneurship education for engineers and an enhanced entrepreneurial mindset and corresponding </w:t>
      </w:r>
      <w:proofErr w:type="spellStart"/>
      <w:r>
        <w:rPr>
          <w:sz w:val="20"/>
        </w:rPr>
        <w:t>behaviours</w:t>
      </w:r>
      <w:proofErr w:type="spellEnd"/>
      <w:r>
        <w:rPr>
          <w:sz w:val="20"/>
        </w:rPr>
        <w:t xml:space="preserve">. </w:t>
      </w:r>
      <w:r w:rsidR="00702370">
        <w:rPr>
          <w:sz w:val="20"/>
        </w:rPr>
        <w:t xml:space="preserve">This research should identify how education in </w:t>
      </w:r>
      <w:proofErr w:type="spellStart"/>
      <w:r w:rsidR="00702370">
        <w:rPr>
          <w:sz w:val="20"/>
        </w:rPr>
        <w:t>entrepreneuship</w:t>
      </w:r>
      <w:proofErr w:type="spellEnd"/>
      <w:r w:rsidR="00702370">
        <w:rPr>
          <w:sz w:val="20"/>
        </w:rPr>
        <w:t xml:space="preserve"> can support engineering students to become more innovative and enterprising. </w:t>
      </w:r>
      <w:r>
        <w:rPr>
          <w:sz w:val="20"/>
        </w:rPr>
        <w:t>Such studies may involve quantitative research through use of a survey instrument employed at multiple academic institutions engaged in technology entrepreneurship for engineers and where possible appropriate longitudinal studies should be carried out to investigate the phenomenon over an extended period.</w:t>
      </w:r>
    </w:p>
    <w:p w14:paraId="7954E6AE" w14:textId="4922913A" w:rsidR="00F66ED6" w:rsidRDefault="00F66ED6" w:rsidP="00D515C7">
      <w:pPr>
        <w:ind w:firstLine="426"/>
        <w:jc w:val="both"/>
        <w:rPr>
          <w:sz w:val="20"/>
        </w:rPr>
      </w:pPr>
    </w:p>
    <w:p w14:paraId="47E01296" w14:textId="77777777" w:rsidR="00F66ED6" w:rsidRPr="00AA643C" w:rsidRDefault="00F66ED6" w:rsidP="00F66ED6">
      <w:pPr>
        <w:pStyle w:val="NoSpacing"/>
        <w:jc w:val="both"/>
        <w:rPr>
          <w:rFonts w:ascii="Times New Roman" w:hAnsi="Times New Roman" w:cs="Times New Roman"/>
          <w:b/>
          <w:bCs/>
          <w:sz w:val="24"/>
          <w:szCs w:val="24"/>
        </w:rPr>
      </w:pPr>
      <w:r w:rsidRPr="00AA643C">
        <w:rPr>
          <w:rFonts w:ascii="Times New Roman" w:hAnsi="Times New Roman" w:cs="Times New Roman"/>
          <w:b/>
          <w:bCs/>
          <w:sz w:val="24"/>
          <w:szCs w:val="24"/>
        </w:rPr>
        <w:t>Acknowledgements</w:t>
      </w:r>
    </w:p>
    <w:p w14:paraId="7A35F0C3" w14:textId="1AF875F8" w:rsidR="00F66ED6" w:rsidRPr="00AA643C" w:rsidRDefault="00F66ED6" w:rsidP="00F66ED6">
      <w:pPr>
        <w:pStyle w:val="NoSpacing"/>
        <w:jc w:val="both"/>
        <w:rPr>
          <w:rFonts w:ascii="Times New Roman" w:hAnsi="Times New Roman" w:cs="Times New Roman"/>
          <w:sz w:val="20"/>
          <w:szCs w:val="20"/>
        </w:rPr>
      </w:pPr>
      <w:r w:rsidRPr="00AA643C">
        <w:rPr>
          <w:rFonts w:ascii="Times New Roman" w:hAnsi="Times New Roman" w:cs="Times New Roman"/>
          <w:color w:val="111111"/>
          <w:spacing w:val="-3"/>
          <w:sz w:val="20"/>
          <w:szCs w:val="20"/>
        </w:rPr>
        <w:t xml:space="preserve">The author would like to acknowledge </w:t>
      </w:r>
      <w:r w:rsidRPr="00AA643C">
        <w:rPr>
          <w:rFonts w:ascii="Times New Roman" w:hAnsi="Times New Roman" w:cs="Times New Roman"/>
          <w:sz w:val="20"/>
          <w:szCs w:val="20"/>
        </w:rPr>
        <w:t>North Carolina State University (USA) for the original development of the Technology Evaluation and Commerciali</w:t>
      </w:r>
      <w:r w:rsidR="003F7442">
        <w:rPr>
          <w:rFonts w:ascii="Times New Roman" w:hAnsi="Times New Roman" w:cs="Times New Roman"/>
          <w:sz w:val="20"/>
          <w:szCs w:val="20"/>
        </w:rPr>
        <w:t>z</w:t>
      </w:r>
      <w:r w:rsidRPr="00AA643C">
        <w:rPr>
          <w:rFonts w:ascii="Times New Roman" w:hAnsi="Times New Roman" w:cs="Times New Roman"/>
          <w:sz w:val="20"/>
          <w:szCs w:val="20"/>
        </w:rPr>
        <w:t xml:space="preserve">ation (TEC) </w:t>
      </w:r>
      <w:r>
        <w:rPr>
          <w:rFonts w:ascii="Times New Roman" w:hAnsi="Times New Roman" w:cs="Times New Roman"/>
          <w:sz w:val="20"/>
          <w:szCs w:val="20"/>
        </w:rPr>
        <w:t>A</w:t>
      </w:r>
      <w:r w:rsidRPr="00AA643C">
        <w:rPr>
          <w:rFonts w:ascii="Times New Roman" w:hAnsi="Times New Roman" w:cs="Times New Roman"/>
          <w:sz w:val="20"/>
          <w:szCs w:val="20"/>
        </w:rPr>
        <w:t xml:space="preserve">lgorithm and supporting process methodology. The author would also like to thank Dr. Goran </w:t>
      </w:r>
      <w:proofErr w:type="spellStart"/>
      <w:r w:rsidRPr="00AA643C">
        <w:rPr>
          <w:rFonts w:ascii="Times New Roman" w:hAnsi="Times New Roman" w:cs="Times New Roman"/>
          <w:sz w:val="20"/>
          <w:szCs w:val="20"/>
        </w:rPr>
        <w:t>Bezanov</w:t>
      </w:r>
      <w:proofErr w:type="spellEnd"/>
      <w:r w:rsidRPr="00AA643C">
        <w:rPr>
          <w:rFonts w:ascii="Times New Roman" w:hAnsi="Times New Roman" w:cs="Times New Roman"/>
          <w:sz w:val="20"/>
          <w:szCs w:val="20"/>
        </w:rPr>
        <w:t xml:space="preserve"> and Mr. James Barnham for the previous delivery of the TEC module </w:t>
      </w:r>
      <w:r>
        <w:rPr>
          <w:rFonts w:ascii="Times New Roman" w:hAnsi="Times New Roman" w:cs="Times New Roman"/>
          <w:sz w:val="20"/>
          <w:szCs w:val="20"/>
        </w:rPr>
        <w:t xml:space="preserve">in the School of Engineering </w:t>
      </w:r>
      <w:r w:rsidRPr="00AA643C">
        <w:rPr>
          <w:rFonts w:ascii="Times New Roman" w:hAnsi="Times New Roman" w:cs="Times New Roman"/>
          <w:sz w:val="20"/>
          <w:szCs w:val="20"/>
        </w:rPr>
        <w:t>at London South Bank University.</w:t>
      </w:r>
    </w:p>
    <w:p w14:paraId="74B30539" w14:textId="77777777" w:rsidR="00964C6B" w:rsidRDefault="00964C6B" w:rsidP="00717F6D">
      <w:pPr>
        <w:pStyle w:val="BodyText2"/>
        <w:rPr>
          <w:sz w:val="20"/>
        </w:rPr>
      </w:pPr>
    </w:p>
    <w:p w14:paraId="12DC4C41" w14:textId="77777777" w:rsidR="007C45C4" w:rsidRPr="00817DF2" w:rsidRDefault="007C45C4" w:rsidP="00817DF2">
      <w:pPr>
        <w:rPr>
          <w:b/>
        </w:rPr>
      </w:pPr>
      <w:r w:rsidRPr="00817DF2">
        <w:rPr>
          <w:b/>
        </w:rPr>
        <w:t>References</w:t>
      </w:r>
    </w:p>
    <w:p w14:paraId="4BF446F3" w14:textId="4F6566AB" w:rsidR="00F33D95" w:rsidRPr="00F33D95" w:rsidRDefault="00F33D95" w:rsidP="00F33D95">
      <w:pPr>
        <w:pStyle w:val="Bibliography"/>
        <w:ind w:left="720" w:hanging="720"/>
        <w:rPr>
          <w:noProof/>
          <w:sz w:val="20"/>
        </w:rPr>
      </w:pPr>
      <w:r w:rsidRPr="00F33D95">
        <w:rPr>
          <w:sz w:val="20"/>
          <w:lang w:val="en-GB" w:eastAsia="en-GB"/>
        </w:rPr>
        <w:t xml:space="preserve">Ansoff, H. I. (1957). Strategies for diversification. </w:t>
      </w:r>
      <w:r w:rsidRPr="00F33D95">
        <w:rPr>
          <w:i/>
          <w:iCs/>
          <w:sz w:val="20"/>
          <w:lang w:val="en-GB" w:eastAsia="en-GB"/>
        </w:rPr>
        <w:t xml:space="preserve">Harvard </w:t>
      </w:r>
      <w:r>
        <w:rPr>
          <w:i/>
          <w:iCs/>
          <w:sz w:val="20"/>
          <w:lang w:val="en-GB" w:eastAsia="en-GB"/>
        </w:rPr>
        <w:t>B</w:t>
      </w:r>
      <w:r w:rsidRPr="00F33D95">
        <w:rPr>
          <w:i/>
          <w:iCs/>
          <w:sz w:val="20"/>
          <w:lang w:val="en-GB" w:eastAsia="en-GB"/>
        </w:rPr>
        <w:t xml:space="preserve">usiness </w:t>
      </w:r>
      <w:r>
        <w:rPr>
          <w:i/>
          <w:iCs/>
          <w:sz w:val="20"/>
          <w:lang w:val="en-GB" w:eastAsia="en-GB"/>
        </w:rPr>
        <w:t>R</w:t>
      </w:r>
      <w:r w:rsidRPr="00F33D95">
        <w:rPr>
          <w:i/>
          <w:iCs/>
          <w:sz w:val="20"/>
          <w:lang w:val="en-GB" w:eastAsia="en-GB"/>
        </w:rPr>
        <w:t>eview</w:t>
      </w:r>
      <w:r w:rsidRPr="00F33D95">
        <w:rPr>
          <w:sz w:val="20"/>
          <w:lang w:val="en-GB" w:eastAsia="en-GB"/>
        </w:rPr>
        <w:t xml:space="preserve">, </w:t>
      </w:r>
      <w:r w:rsidRPr="00F33D95">
        <w:rPr>
          <w:i/>
          <w:iCs/>
          <w:sz w:val="20"/>
          <w:lang w:val="en-GB" w:eastAsia="en-GB"/>
        </w:rPr>
        <w:t>35</w:t>
      </w:r>
      <w:r w:rsidRPr="00F33D95">
        <w:rPr>
          <w:sz w:val="20"/>
          <w:lang w:val="en-GB" w:eastAsia="en-GB"/>
        </w:rPr>
        <w:t>(5), 113-124.</w:t>
      </w:r>
    </w:p>
    <w:p w14:paraId="389BDDEE" w14:textId="77777777" w:rsidR="00D515C7" w:rsidRDefault="00D515C7" w:rsidP="00D515C7">
      <w:pPr>
        <w:pStyle w:val="Bibliography"/>
        <w:ind w:left="720" w:hanging="720"/>
        <w:rPr>
          <w:noProof/>
          <w:sz w:val="20"/>
        </w:rPr>
      </w:pPr>
      <w:r w:rsidRPr="00F2445D">
        <w:rPr>
          <w:sz w:val="20"/>
          <w:lang w:val="en-GB" w:eastAsia="en-GB"/>
        </w:rPr>
        <w:t xml:space="preserve">Arias, E., Barba-Sánchez, V., </w:t>
      </w:r>
      <w:proofErr w:type="spellStart"/>
      <w:r w:rsidRPr="00F2445D">
        <w:rPr>
          <w:sz w:val="20"/>
          <w:lang w:val="en-GB" w:eastAsia="en-GB"/>
        </w:rPr>
        <w:t>Carrión</w:t>
      </w:r>
      <w:proofErr w:type="spellEnd"/>
      <w:r w:rsidRPr="00F2445D">
        <w:rPr>
          <w:sz w:val="20"/>
          <w:lang w:val="en-GB" w:eastAsia="en-GB"/>
        </w:rPr>
        <w:t xml:space="preserve">, C., &amp; Casado, R. (2018). </w:t>
      </w:r>
      <w:r w:rsidRPr="00F33D95">
        <w:rPr>
          <w:sz w:val="20"/>
          <w:lang w:eastAsia="en-GB"/>
        </w:rPr>
        <w:t>Enhancing Entrepreneurship Education in a Master’s</w:t>
      </w:r>
      <w:r w:rsidRPr="00FE7642">
        <w:rPr>
          <w:sz w:val="20"/>
          <w:lang w:eastAsia="en-GB"/>
        </w:rPr>
        <w:t xml:space="preserve"> Degree in Computer Engineering: A Project-Based Learning Approach. </w:t>
      </w:r>
      <w:r w:rsidRPr="00FE7642">
        <w:rPr>
          <w:i/>
          <w:iCs/>
          <w:sz w:val="20"/>
          <w:lang w:eastAsia="en-GB"/>
        </w:rPr>
        <w:t>Administrative Sciences</w:t>
      </w:r>
      <w:r w:rsidRPr="00FE7642">
        <w:rPr>
          <w:sz w:val="20"/>
          <w:lang w:eastAsia="en-GB"/>
        </w:rPr>
        <w:t xml:space="preserve">, </w:t>
      </w:r>
      <w:r w:rsidRPr="00FE7642">
        <w:rPr>
          <w:i/>
          <w:iCs/>
          <w:sz w:val="20"/>
          <w:lang w:eastAsia="en-GB"/>
        </w:rPr>
        <w:t>8</w:t>
      </w:r>
      <w:r w:rsidRPr="00FE7642">
        <w:rPr>
          <w:sz w:val="20"/>
          <w:lang w:eastAsia="en-GB"/>
        </w:rPr>
        <w:t>(4), 58.</w:t>
      </w:r>
    </w:p>
    <w:p w14:paraId="7ED4810F" w14:textId="77777777" w:rsidR="0032322A" w:rsidRDefault="00D515C7" w:rsidP="0032322A">
      <w:pPr>
        <w:pStyle w:val="Bibliography"/>
        <w:ind w:left="720" w:hanging="720"/>
        <w:rPr>
          <w:sz w:val="20"/>
          <w:lang w:eastAsia="en-GB"/>
        </w:rPr>
      </w:pPr>
      <w:proofErr w:type="spellStart"/>
      <w:r w:rsidRPr="00FE7642">
        <w:rPr>
          <w:sz w:val="20"/>
          <w:lang w:eastAsia="en-GB"/>
        </w:rPr>
        <w:t>Bailetti</w:t>
      </w:r>
      <w:proofErr w:type="spellEnd"/>
      <w:r w:rsidRPr="00FE7642">
        <w:rPr>
          <w:sz w:val="20"/>
          <w:lang w:eastAsia="en-GB"/>
        </w:rPr>
        <w:t xml:space="preserve">, T. (2012). Technology entrepreneurship: overview, definition, and distinctive aspects. </w:t>
      </w:r>
      <w:r w:rsidRPr="00FE7642">
        <w:rPr>
          <w:i/>
          <w:iCs/>
          <w:sz w:val="20"/>
          <w:lang w:eastAsia="en-GB"/>
        </w:rPr>
        <w:t>Technology Innovation Management Review</w:t>
      </w:r>
      <w:r w:rsidRPr="00FE7642">
        <w:rPr>
          <w:sz w:val="20"/>
          <w:lang w:eastAsia="en-GB"/>
        </w:rPr>
        <w:t xml:space="preserve">, </w:t>
      </w:r>
      <w:r w:rsidRPr="00FE7642">
        <w:rPr>
          <w:i/>
          <w:iCs/>
          <w:sz w:val="20"/>
          <w:lang w:eastAsia="en-GB"/>
        </w:rPr>
        <w:t>2</w:t>
      </w:r>
      <w:r w:rsidRPr="00FE7642">
        <w:rPr>
          <w:sz w:val="20"/>
          <w:lang w:eastAsia="en-GB"/>
        </w:rPr>
        <w:t>(2), 5-12.</w:t>
      </w:r>
    </w:p>
    <w:p w14:paraId="2B8FB8BB" w14:textId="7B4B2751" w:rsidR="0032322A" w:rsidRPr="0032322A" w:rsidRDefault="0032322A" w:rsidP="0032322A">
      <w:pPr>
        <w:pStyle w:val="Bibliography"/>
        <w:ind w:left="720" w:hanging="720"/>
        <w:rPr>
          <w:sz w:val="20"/>
          <w:lang w:eastAsia="en-GB"/>
        </w:rPr>
      </w:pPr>
      <w:r w:rsidRPr="0032322A">
        <w:rPr>
          <w:sz w:val="20"/>
          <w:lang w:val="en-GB" w:eastAsia="en-GB"/>
        </w:rPr>
        <w:t xml:space="preserve">Barney, J. B., &amp; Wright, P. M. (1998). On becoming a strategic partner: The role of human resources in gaining competitive advantage. </w:t>
      </w:r>
      <w:r w:rsidRPr="0032322A">
        <w:rPr>
          <w:i/>
          <w:iCs/>
          <w:sz w:val="20"/>
          <w:lang w:val="en-GB" w:eastAsia="en-GB"/>
        </w:rPr>
        <w:t>Human Resource Management: Published in Cooperation with the School of Business Administration, The University of Michigan and in alliance with the Society of Human Resources Management</w:t>
      </w:r>
      <w:r w:rsidRPr="0032322A">
        <w:rPr>
          <w:sz w:val="20"/>
          <w:lang w:val="en-GB" w:eastAsia="en-GB"/>
        </w:rPr>
        <w:t xml:space="preserve">, </w:t>
      </w:r>
      <w:r w:rsidRPr="0032322A">
        <w:rPr>
          <w:i/>
          <w:iCs/>
          <w:sz w:val="20"/>
          <w:lang w:val="en-GB" w:eastAsia="en-GB"/>
        </w:rPr>
        <w:t>37</w:t>
      </w:r>
      <w:r w:rsidRPr="0032322A">
        <w:rPr>
          <w:sz w:val="20"/>
          <w:lang w:val="en-GB" w:eastAsia="en-GB"/>
        </w:rPr>
        <w:t>(1), 31-46.</w:t>
      </w:r>
    </w:p>
    <w:p w14:paraId="62E4D8DD" w14:textId="77777777" w:rsidR="00D515C7" w:rsidRPr="0032322A" w:rsidRDefault="00D515C7" w:rsidP="00D515C7">
      <w:pPr>
        <w:pStyle w:val="Bibliography"/>
        <w:ind w:left="720" w:hanging="720"/>
        <w:rPr>
          <w:noProof/>
          <w:sz w:val="20"/>
        </w:rPr>
      </w:pPr>
      <w:r w:rsidRPr="0032322A">
        <w:rPr>
          <w:sz w:val="20"/>
          <w:lang w:val="it-IT" w:eastAsia="en-GB"/>
        </w:rPr>
        <w:t>Barba-</w:t>
      </w:r>
      <w:proofErr w:type="spellStart"/>
      <w:r w:rsidRPr="0032322A">
        <w:rPr>
          <w:sz w:val="20"/>
          <w:lang w:val="it-IT" w:eastAsia="en-GB"/>
        </w:rPr>
        <w:t>Sánchez</w:t>
      </w:r>
      <w:proofErr w:type="spellEnd"/>
      <w:r w:rsidRPr="0032322A">
        <w:rPr>
          <w:sz w:val="20"/>
          <w:lang w:val="it-IT" w:eastAsia="en-GB"/>
        </w:rPr>
        <w:t xml:space="preserve">, V., &amp; </w:t>
      </w:r>
      <w:proofErr w:type="spellStart"/>
      <w:r w:rsidRPr="0032322A">
        <w:rPr>
          <w:sz w:val="20"/>
          <w:lang w:val="it-IT" w:eastAsia="en-GB"/>
        </w:rPr>
        <w:t>Atienza-Sahuquillo</w:t>
      </w:r>
      <w:proofErr w:type="spellEnd"/>
      <w:r w:rsidRPr="0032322A">
        <w:rPr>
          <w:sz w:val="20"/>
          <w:lang w:val="it-IT" w:eastAsia="en-GB"/>
        </w:rPr>
        <w:t xml:space="preserve">, C. (2018). </w:t>
      </w:r>
      <w:r w:rsidRPr="0032322A">
        <w:rPr>
          <w:sz w:val="20"/>
          <w:lang w:eastAsia="en-GB"/>
        </w:rPr>
        <w:t xml:space="preserve">Entrepreneurial intention among engineering students: The role of entrepreneurship education. </w:t>
      </w:r>
      <w:r w:rsidRPr="0032322A">
        <w:rPr>
          <w:i/>
          <w:iCs/>
          <w:sz w:val="20"/>
          <w:lang w:eastAsia="en-GB"/>
        </w:rPr>
        <w:t>European Research on Management and Business Economics</w:t>
      </w:r>
      <w:r w:rsidRPr="0032322A">
        <w:rPr>
          <w:sz w:val="20"/>
          <w:lang w:eastAsia="en-GB"/>
        </w:rPr>
        <w:t xml:space="preserve">, </w:t>
      </w:r>
      <w:r w:rsidRPr="0032322A">
        <w:rPr>
          <w:i/>
          <w:iCs/>
          <w:sz w:val="20"/>
          <w:lang w:eastAsia="en-GB"/>
        </w:rPr>
        <w:t>24</w:t>
      </w:r>
      <w:r w:rsidRPr="0032322A">
        <w:rPr>
          <w:sz w:val="20"/>
          <w:lang w:eastAsia="en-GB"/>
        </w:rPr>
        <w:t>(1), 53-61.</w:t>
      </w:r>
    </w:p>
    <w:p w14:paraId="09DB7264" w14:textId="77777777" w:rsidR="00D515C7" w:rsidRDefault="00D515C7" w:rsidP="00D515C7">
      <w:pPr>
        <w:pStyle w:val="Bibliography"/>
        <w:ind w:left="720" w:hanging="720"/>
        <w:rPr>
          <w:noProof/>
          <w:sz w:val="20"/>
        </w:rPr>
      </w:pPr>
      <w:r w:rsidRPr="0032322A">
        <w:rPr>
          <w:sz w:val="20"/>
          <w:lang w:eastAsia="en-GB"/>
        </w:rPr>
        <w:t>Boocock, G., Frank, R., &amp; Warren, L. (2009</w:t>
      </w:r>
      <w:r w:rsidRPr="00B23A6C">
        <w:rPr>
          <w:sz w:val="20"/>
          <w:lang w:eastAsia="en-GB"/>
        </w:rPr>
        <w:t xml:space="preserve">). Technology-based entrepreneurship education: Meeting educational and business objectives. </w:t>
      </w:r>
      <w:r w:rsidRPr="00B23A6C">
        <w:rPr>
          <w:i/>
          <w:iCs/>
          <w:sz w:val="20"/>
          <w:lang w:eastAsia="en-GB"/>
        </w:rPr>
        <w:t>International Journal of Entrepreneurship and Innovation</w:t>
      </w:r>
      <w:r w:rsidRPr="00B23A6C">
        <w:rPr>
          <w:sz w:val="20"/>
          <w:lang w:eastAsia="en-GB"/>
        </w:rPr>
        <w:t xml:space="preserve">, </w:t>
      </w:r>
      <w:r w:rsidRPr="00B23A6C">
        <w:rPr>
          <w:i/>
          <w:iCs/>
          <w:sz w:val="20"/>
          <w:lang w:eastAsia="en-GB"/>
        </w:rPr>
        <w:t>10</w:t>
      </w:r>
      <w:r w:rsidRPr="00B23A6C">
        <w:rPr>
          <w:sz w:val="20"/>
          <w:lang w:eastAsia="en-GB"/>
        </w:rPr>
        <w:t>(1), 43-53.</w:t>
      </w:r>
    </w:p>
    <w:p w14:paraId="3DFD11FD" w14:textId="77777777" w:rsidR="00114BF1" w:rsidRPr="00114BF1" w:rsidRDefault="00D515C7" w:rsidP="00114BF1">
      <w:pPr>
        <w:pStyle w:val="Bibliography"/>
        <w:ind w:left="720" w:hanging="720"/>
        <w:rPr>
          <w:sz w:val="20"/>
          <w:lang w:eastAsia="en-GB"/>
        </w:rPr>
      </w:pPr>
      <w:r w:rsidRPr="00045ADE">
        <w:rPr>
          <w:sz w:val="20"/>
          <w:lang w:eastAsia="en-GB"/>
        </w:rPr>
        <w:t>Choi, J. I., &amp; Byun, Y</w:t>
      </w:r>
      <w:r w:rsidRPr="00114BF1">
        <w:rPr>
          <w:sz w:val="20"/>
          <w:lang w:eastAsia="en-GB"/>
        </w:rPr>
        <w:t xml:space="preserve">. J. (2013). The Exploratory Study on Development of Interdisciplinary Technology Entrepreneurship Education Model. </w:t>
      </w:r>
      <w:r w:rsidRPr="00114BF1">
        <w:rPr>
          <w:i/>
          <w:iCs/>
          <w:sz w:val="20"/>
          <w:lang w:eastAsia="en-GB"/>
        </w:rPr>
        <w:t>Asia-Pacific Journal of Business Venturing and Entrepreneurship</w:t>
      </w:r>
      <w:r w:rsidRPr="00114BF1">
        <w:rPr>
          <w:sz w:val="20"/>
          <w:lang w:eastAsia="en-GB"/>
        </w:rPr>
        <w:t xml:space="preserve">, </w:t>
      </w:r>
      <w:r w:rsidRPr="00114BF1">
        <w:rPr>
          <w:i/>
          <w:iCs/>
          <w:sz w:val="20"/>
          <w:lang w:eastAsia="en-GB"/>
        </w:rPr>
        <w:t>8</w:t>
      </w:r>
      <w:r w:rsidRPr="00114BF1">
        <w:rPr>
          <w:sz w:val="20"/>
          <w:lang w:eastAsia="en-GB"/>
        </w:rPr>
        <w:t>(2), 119-128.</w:t>
      </w:r>
    </w:p>
    <w:p w14:paraId="1C9A52D5" w14:textId="7CD161BA" w:rsidR="00114BF1" w:rsidRPr="00114BF1" w:rsidRDefault="00114BF1" w:rsidP="00114BF1">
      <w:pPr>
        <w:pStyle w:val="Bibliography"/>
        <w:ind w:left="720" w:hanging="720"/>
        <w:rPr>
          <w:sz w:val="20"/>
          <w:lang w:eastAsia="en-GB"/>
        </w:rPr>
      </w:pPr>
      <w:r w:rsidRPr="00114BF1">
        <w:rPr>
          <w:sz w:val="20"/>
          <w:lang w:val="en-GB" w:eastAsia="en-GB"/>
        </w:rPr>
        <w:t xml:space="preserve">Cousin, G. (2005). Case study research. </w:t>
      </w:r>
      <w:r w:rsidRPr="00114BF1">
        <w:rPr>
          <w:i/>
          <w:iCs/>
          <w:sz w:val="20"/>
          <w:lang w:val="en-GB" w:eastAsia="en-GB"/>
        </w:rPr>
        <w:t>Journal of Geography in Higher Education</w:t>
      </w:r>
      <w:r w:rsidRPr="00114BF1">
        <w:rPr>
          <w:sz w:val="20"/>
          <w:lang w:val="en-GB" w:eastAsia="en-GB"/>
        </w:rPr>
        <w:t xml:space="preserve">, </w:t>
      </w:r>
      <w:r w:rsidRPr="00114BF1">
        <w:rPr>
          <w:i/>
          <w:iCs/>
          <w:sz w:val="20"/>
          <w:lang w:val="en-GB" w:eastAsia="en-GB"/>
        </w:rPr>
        <w:t>29</w:t>
      </w:r>
      <w:r w:rsidRPr="00114BF1">
        <w:rPr>
          <w:sz w:val="20"/>
          <w:lang w:val="en-GB" w:eastAsia="en-GB"/>
        </w:rPr>
        <w:t>(3), 421-427.</w:t>
      </w:r>
    </w:p>
    <w:p w14:paraId="236D946B" w14:textId="77777777" w:rsidR="00567A7A" w:rsidRDefault="00D515C7" w:rsidP="00567A7A">
      <w:pPr>
        <w:pStyle w:val="Bibliography"/>
        <w:ind w:left="720" w:hanging="720"/>
        <w:rPr>
          <w:sz w:val="20"/>
          <w:lang w:eastAsia="en-GB"/>
        </w:rPr>
      </w:pPr>
      <w:proofErr w:type="spellStart"/>
      <w:r w:rsidRPr="00114BF1">
        <w:rPr>
          <w:sz w:val="20"/>
          <w:lang w:val="it-IT" w:eastAsia="en-GB"/>
        </w:rPr>
        <w:t>Dalenogare</w:t>
      </w:r>
      <w:proofErr w:type="spellEnd"/>
      <w:r w:rsidRPr="00114BF1">
        <w:rPr>
          <w:sz w:val="20"/>
          <w:lang w:val="it-IT" w:eastAsia="en-GB"/>
        </w:rPr>
        <w:t xml:space="preserve">, L. S., Benitez, G. B., Ayala, N. F., &amp; Frank, A. G. (2018). </w:t>
      </w:r>
      <w:r w:rsidRPr="00114BF1">
        <w:rPr>
          <w:sz w:val="20"/>
          <w:lang w:eastAsia="en-GB"/>
        </w:rPr>
        <w:t>The expected contribution of Industry 4.0 technologies for</w:t>
      </w:r>
      <w:r w:rsidRPr="00D11DC7">
        <w:rPr>
          <w:sz w:val="20"/>
          <w:lang w:eastAsia="en-GB"/>
        </w:rPr>
        <w:t xml:space="preserve"> industrial performance. </w:t>
      </w:r>
      <w:r w:rsidRPr="00D11DC7">
        <w:rPr>
          <w:i/>
          <w:iCs/>
          <w:sz w:val="20"/>
          <w:lang w:eastAsia="en-GB"/>
        </w:rPr>
        <w:t>International Journal of Production Economics</w:t>
      </w:r>
      <w:r w:rsidRPr="00D11DC7">
        <w:rPr>
          <w:sz w:val="20"/>
          <w:lang w:eastAsia="en-GB"/>
        </w:rPr>
        <w:t xml:space="preserve">, </w:t>
      </w:r>
      <w:r w:rsidRPr="00D11DC7">
        <w:rPr>
          <w:i/>
          <w:iCs/>
          <w:sz w:val="20"/>
          <w:lang w:eastAsia="en-GB"/>
        </w:rPr>
        <w:t>204</w:t>
      </w:r>
      <w:r w:rsidRPr="00D11DC7">
        <w:rPr>
          <w:sz w:val="20"/>
          <w:lang w:eastAsia="en-GB"/>
        </w:rPr>
        <w:t>, 383-394.</w:t>
      </w:r>
    </w:p>
    <w:p w14:paraId="154DC168" w14:textId="430EA21A" w:rsidR="00567A7A" w:rsidRPr="00567A7A" w:rsidRDefault="00567A7A" w:rsidP="00567A7A">
      <w:pPr>
        <w:pStyle w:val="Bibliography"/>
        <w:ind w:left="720" w:hanging="720"/>
        <w:rPr>
          <w:noProof/>
          <w:sz w:val="20"/>
        </w:rPr>
      </w:pPr>
      <w:r w:rsidRPr="00567A7A">
        <w:rPr>
          <w:sz w:val="20"/>
          <w:lang w:val="en-GB" w:eastAsia="en-GB"/>
        </w:rPr>
        <w:lastRenderedPageBreak/>
        <w:t>Duval-</w:t>
      </w:r>
      <w:proofErr w:type="spellStart"/>
      <w:r w:rsidRPr="00567A7A">
        <w:rPr>
          <w:sz w:val="20"/>
          <w:lang w:val="en-GB" w:eastAsia="en-GB"/>
        </w:rPr>
        <w:t>Couetil</w:t>
      </w:r>
      <w:proofErr w:type="spellEnd"/>
      <w:r w:rsidRPr="00567A7A">
        <w:rPr>
          <w:sz w:val="20"/>
          <w:lang w:val="en-GB" w:eastAsia="en-GB"/>
        </w:rPr>
        <w:t xml:space="preserve">, N., </w:t>
      </w:r>
      <w:proofErr w:type="spellStart"/>
      <w:r w:rsidRPr="00567A7A">
        <w:rPr>
          <w:sz w:val="20"/>
          <w:lang w:val="en-GB" w:eastAsia="en-GB"/>
        </w:rPr>
        <w:t>Ladisch</w:t>
      </w:r>
      <w:proofErr w:type="spellEnd"/>
      <w:r w:rsidRPr="00567A7A">
        <w:rPr>
          <w:sz w:val="20"/>
          <w:lang w:val="en-GB" w:eastAsia="en-GB"/>
        </w:rPr>
        <w:t xml:space="preserve">, M., &amp; Yi, S. (2021). Addressing academic researcher priorities through science and technology entrepreneurship education. </w:t>
      </w:r>
      <w:r w:rsidRPr="00567A7A">
        <w:rPr>
          <w:i/>
          <w:iCs/>
          <w:sz w:val="20"/>
          <w:lang w:val="en-GB" w:eastAsia="en-GB"/>
        </w:rPr>
        <w:t>The Journal of Technology Transfer</w:t>
      </w:r>
      <w:r w:rsidRPr="00567A7A">
        <w:rPr>
          <w:sz w:val="20"/>
          <w:lang w:val="en-GB" w:eastAsia="en-GB"/>
        </w:rPr>
        <w:t xml:space="preserve">, </w:t>
      </w:r>
      <w:r w:rsidRPr="00567A7A">
        <w:rPr>
          <w:i/>
          <w:iCs/>
          <w:sz w:val="20"/>
          <w:lang w:val="en-GB" w:eastAsia="en-GB"/>
        </w:rPr>
        <w:t>46</w:t>
      </w:r>
      <w:r w:rsidRPr="00567A7A">
        <w:rPr>
          <w:sz w:val="20"/>
          <w:lang w:val="en-GB" w:eastAsia="en-GB"/>
        </w:rPr>
        <w:t>(2), 288-318.</w:t>
      </w:r>
    </w:p>
    <w:p w14:paraId="670AD3ED" w14:textId="77777777" w:rsidR="00AF4E82" w:rsidRPr="00567A7A" w:rsidRDefault="00A12E9C" w:rsidP="00AF4E82">
      <w:pPr>
        <w:pStyle w:val="Bibliography"/>
        <w:ind w:left="720" w:hanging="720"/>
        <w:rPr>
          <w:sz w:val="20"/>
          <w:lang w:val="en-GB" w:eastAsia="en-GB"/>
        </w:rPr>
      </w:pPr>
      <w:r w:rsidRPr="00567A7A">
        <w:rPr>
          <w:sz w:val="20"/>
          <w:lang w:val="en-GB" w:eastAsia="en-GB"/>
        </w:rPr>
        <w:t xml:space="preserve">Eisenhardt, K. M. (1989). Building theories from case study research. </w:t>
      </w:r>
      <w:r w:rsidRPr="00567A7A">
        <w:rPr>
          <w:i/>
          <w:iCs/>
          <w:sz w:val="20"/>
          <w:lang w:val="en-GB" w:eastAsia="en-GB"/>
        </w:rPr>
        <w:t>Academy of Management Review</w:t>
      </w:r>
      <w:r w:rsidRPr="00567A7A">
        <w:rPr>
          <w:sz w:val="20"/>
          <w:lang w:val="en-GB" w:eastAsia="en-GB"/>
        </w:rPr>
        <w:t xml:space="preserve">, </w:t>
      </w:r>
      <w:r w:rsidRPr="00567A7A">
        <w:rPr>
          <w:i/>
          <w:iCs/>
          <w:sz w:val="20"/>
          <w:lang w:val="en-GB" w:eastAsia="en-GB"/>
        </w:rPr>
        <w:t>14</w:t>
      </w:r>
      <w:r w:rsidRPr="00567A7A">
        <w:rPr>
          <w:sz w:val="20"/>
          <w:lang w:val="en-GB" w:eastAsia="en-GB"/>
        </w:rPr>
        <w:t>(4), 532-550.</w:t>
      </w:r>
    </w:p>
    <w:p w14:paraId="575288FA" w14:textId="51F960FE" w:rsidR="00AF4E82" w:rsidRPr="00AF4E82" w:rsidRDefault="00AF4E82" w:rsidP="00AF4E82">
      <w:pPr>
        <w:pStyle w:val="Bibliography"/>
        <w:ind w:left="720" w:hanging="720"/>
        <w:rPr>
          <w:sz w:val="20"/>
        </w:rPr>
      </w:pPr>
      <w:proofErr w:type="spellStart"/>
      <w:r w:rsidRPr="00AF4E82">
        <w:rPr>
          <w:sz w:val="20"/>
          <w:lang w:val="en-GB" w:eastAsia="en-GB"/>
        </w:rPr>
        <w:t>Fayolle</w:t>
      </w:r>
      <w:proofErr w:type="spellEnd"/>
      <w:r w:rsidRPr="00AF4E82">
        <w:rPr>
          <w:sz w:val="20"/>
          <w:lang w:val="en-GB" w:eastAsia="en-GB"/>
        </w:rPr>
        <w:t xml:space="preserve">, A., </w:t>
      </w:r>
      <w:proofErr w:type="spellStart"/>
      <w:r w:rsidRPr="00AF4E82">
        <w:rPr>
          <w:sz w:val="20"/>
          <w:lang w:val="en-GB" w:eastAsia="en-GB"/>
        </w:rPr>
        <w:t>Lamine</w:t>
      </w:r>
      <w:proofErr w:type="spellEnd"/>
      <w:r w:rsidRPr="00AF4E82">
        <w:rPr>
          <w:sz w:val="20"/>
          <w:lang w:val="en-GB" w:eastAsia="en-GB"/>
        </w:rPr>
        <w:t xml:space="preserve">, W., </w:t>
      </w:r>
      <w:proofErr w:type="spellStart"/>
      <w:r w:rsidRPr="00AF4E82">
        <w:rPr>
          <w:sz w:val="20"/>
          <w:lang w:val="en-GB" w:eastAsia="en-GB"/>
        </w:rPr>
        <w:t>Mian</w:t>
      </w:r>
      <w:proofErr w:type="spellEnd"/>
      <w:r w:rsidRPr="00AF4E82">
        <w:rPr>
          <w:sz w:val="20"/>
          <w:lang w:val="en-GB" w:eastAsia="en-GB"/>
        </w:rPr>
        <w:t xml:space="preserve">, S., &amp; Phan, P. (2021). Effective models of science, technology and engineering entrepreneurship education: current and future research. </w:t>
      </w:r>
      <w:r w:rsidRPr="00AF4E82">
        <w:rPr>
          <w:i/>
          <w:iCs/>
          <w:sz w:val="20"/>
          <w:lang w:val="en-GB" w:eastAsia="en-GB"/>
        </w:rPr>
        <w:t>The Journal of Technology Transfer</w:t>
      </w:r>
      <w:r w:rsidRPr="00AF4E82">
        <w:rPr>
          <w:sz w:val="20"/>
          <w:lang w:val="en-GB" w:eastAsia="en-GB"/>
        </w:rPr>
        <w:t xml:space="preserve">, </w:t>
      </w:r>
      <w:r w:rsidRPr="00AF4E82">
        <w:rPr>
          <w:i/>
          <w:iCs/>
          <w:sz w:val="20"/>
          <w:lang w:val="en-GB" w:eastAsia="en-GB"/>
        </w:rPr>
        <w:t>46</w:t>
      </w:r>
      <w:r w:rsidRPr="00AF4E82">
        <w:rPr>
          <w:sz w:val="20"/>
          <w:lang w:val="en-GB" w:eastAsia="en-GB"/>
        </w:rPr>
        <w:t>(2), 277-287.</w:t>
      </w:r>
    </w:p>
    <w:p w14:paraId="6CD47741" w14:textId="28E4B961" w:rsidR="00D515C7" w:rsidRDefault="00D515C7" w:rsidP="00D515C7">
      <w:pPr>
        <w:pStyle w:val="Bibliography"/>
        <w:ind w:left="720" w:hanging="720"/>
        <w:rPr>
          <w:sz w:val="20"/>
          <w:lang w:eastAsia="en-GB"/>
        </w:rPr>
      </w:pPr>
      <w:r w:rsidRPr="00AF4E82">
        <w:rPr>
          <w:sz w:val="20"/>
          <w:lang w:eastAsia="en-GB"/>
        </w:rPr>
        <w:t>Galloway, L., Anderson, M., &amp; Brown, W. (2006). Are engineers becoming more enterprising? A study of the potentials of entrepreneurship</w:t>
      </w:r>
      <w:r w:rsidRPr="005C745C">
        <w:rPr>
          <w:sz w:val="20"/>
          <w:lang w:eastAsia="en-GB"/>
        </w:rPr>
        <w:t xml:space="preserve"> education. </w:t>
      </w:r>
      <w:r w:rsidRPr="005C745C">
        <w:rPr>
          <w:i/>
          <w:iCs/>
          <w:sz w:val="20"/>
          <w:lang w:eastAsia="en-GB"/>
        </w:rPr>
        <w:t>International Journal of Continuing Engineering Education and Life Long Learning</w:t>
      </w:r>
      <w:r w:rsidRPr="005C745C">
        <w:rPr>
          <w:sz w:val="20"/>
          <w:lang w:eastAsia="en-GB"/>
        </w:rPr>
        <w:t xml:space="preserve">, </w:t>
      </w:r>
      <w:r w:rsidRPr="005C745C">
        <w:rPr>
          <w:i/>
          <w:iCs/>
          <w:sz w:val="20"/>
          <w:lang w:eastAsia="en-GB"/>
        </w:rPr>
        <w:t>16</w:t>
      </w:r>
      <w:r w:rsidRPr="005C745C">
        <w:rPr>
          <w:sz w:val="20"/>
          <w:lang w:eastAsia="en-GB"/>
        </w:rPr>
        <w:t>(5), 355-365.</w:t>
      </w:r>
    </w:p>
    <w:p w14:paraId="69A88DBC" w14:textId="11F4811C" w:rsidR="00F40FEA" w:rsidRPr="00F40FEA" w:rsidRDefault="00F40FEA" w:rsidP="00F40FEA">
      <w:pPr>
        <w:pStyle w:val="Bibliography"/>
        <w:ind w:left="720" w:hanging="720"/>
        <w:rPr>
          <w:sz w:val="20"/>
        </w:rPr>
      </w:pPr>
      <w:bookmarkStart w:id="0" w:name="_Hlk77329745"/>
      <w:r w:rsidRPr="00AD0D3C">
        <w:rPr>
          <w:sz w:val="20"/>
          <w:lang w:eastAsia="en-GB"/>
        </w:rPr>
        <w:t xml:space="preserve">Hamilton, C., &amp; Philbin, S. P. (2020). </w:t>
      </w:r>
      <w:bookmarkEnd w:id="0"/>
      <w:r w:rsidRPr="00AD0D3C">
        <w:rPr>
          <w:sz w:val="20"/>
          <w:lang w:eastAsia="en-GB"/>
        </w:rPr>
        <w:t xml:space="preserve">Knowledge Based View of University Tech Transfer—A Systematic Literature Review and Meta-Analysis. </w:t>
      </w:r>
      <w:r w:rsidRPr="00AD0D3C">
        <w:rPr>
          <w:i/>
          <w:iCs/>
          <w:sz w:val="20"/>
          <w:lang w:eastAsia="en-GB"/>
        </w:rPr>
        <w:t>Administrative Sciences</w:t>
      </w:r>
      <w:r w:rsidRPr="00AD0D3C">
        <w:rPr>
          <w:sz w:val="20"/>
          <w:lang w:eastAsia="en-GB"/>
        </w:rPr>
        <w:t xml:space="preserve">, </w:t>
      </w:r>
      <w:r w:rsidRPr="00AD0D3C">
        <w:rPr>
          <w:i/>
          <w:iCs/>
          <w:sz w:val="20"/>
          <w:lang w:eastAsia="en-GB"/>
        </w:rPr>
        <w:t>10</w:t>
      </w:r>
      <w:r w:rsidRPr="00AD0D3C">
        <w:rPr>
          <w:sz w:val="20"/>
          <w:lang w:eastAsia="en-GB"/>
        </w:rPr>
        <w:t>(3), 62.</w:t>
      </w:r>
    </w:p>
    <w:p w14:paraId="1F802D89" w14:textId="77777777" w:rsidR="00D515C7" w:rsidRDefault="00D515C7" w:rsidP="00D515C7">
      <w:pPr>
        <w:pStyle w:val="Bibliography"/>
        <w:ind w:left="720" w:hanging="720"/>
        <w:rPr>
          <w:noProof/>
          <w:sz w:val="20"/>
        </w:rPr>
      </w:pPr>
      <w:r w:rsidRPr="005C745C">
        <w:rPr>
          <w:sz w:val="20"/>
          <w:lang w:eastAsia="en-GB"/>
        </w:rPr>
        <w:t xml:space="preserve">Herman, E., &amp; </w:t>
      </w:r>
      <w:proofErr w:type="spellStart"/>
      <w:r w:rsidRPr="005C745C">
        <w:rPr>
          <w:sz w:val="20"/>
          <w:lang w:eastAsia="en-GB"/>
        </w:rPr>
        <w:t>Stefanescu</w:t>
      </w:r>
      <w:proofErr w:type="spellEnd"/>
      <w:r w:rsidRPr="005C745C">
        <w:rPr>
          <w:sz w:val="20"/>
          <w:lang w:eastAsia="en-GB"/>
        </w:rPr>
        <w:t xml:space="preserve">, D. (2017). Can higher education stimulate entrepreneurial intentions among engineering and business students?. </w:t>
      </w:r>
      <w:r w:rsidRPr="005C745C">
        <w:rPr>
          <w:i/>
          <w:iCs/>
          <w:sz w:val="20"/>
          <w:lang w:eastAsia="en-GB"/>
        </w:rPr>
        <w:t>Educational Studies</w:t>
      </w:r>
      <w:r w:rsidRPr="005C745C">
        <w:rPr>
          <w:sz w:val="20"/>
          <w:lang w:eastAsia="en-GB"/>
        </w:rPr>
        <w:t xml:space="preserve">, </w:t>
      </w:r>
      <w:r w:rsidRPr="005C745C">
        <w:rPr>
          <w:i/>
          <w:iCs/>
          <w:sz w:val="20"/>
          <w:lang w:eastAsia="en-GB"/>
        </w:rPr>
        <w:t>43</w:t>
      </w:r>
      <w:r w:rsidRPr="005C745C">
        <w:rPr>
          <w:sz w:val="20"/>
          <w:lang w:eastAsia="en-GB"/>
        </w:rPr>
        <w:t>(3), 312-327.</w:t>
      </w:r>
    </w:p>
    <w:p w14:paraId="42FFB897" w14:textId="77777777" w:rsidR="00D515C7" w:rsidRDefault="00D515C7" w:rsidP="00D515C7">
      <w:pPr>
        <w:pStyle w:val="Bibliography"/>
        <w:ind w:left="720" w:hanging="720"/>
        <w:rPr>
          <w:noProof/>
          <w:sz w:val="20"/>
        </w:rPr>
      </w:pPr>
      <w:r w:rsidRPr="005C745C">
        <w:rPr>
          <w:sz w:val="20"/>
          <w:lang w:eastAsia="en-GB"/>
        </w:rPr>
        <w:t xml:space="preserve">Huang‐Saad, A. Y., Morton, C. S., &amp; </w:t>
      </w:r>
      <w:proofErr w:type="spellStart"/>
      <w:r w:rsidRPr="005C745C">
        <w:rPr>
          <w:sz w:val="20"/>
          <w:lang w:eastAsia="en-GB"/>
        </w:rPr>
        <w:t>Libarkin</w:t>
      </w:r>
      <w:proofErr w:type="spellEnd"/>
      <w:r w:rsidRPr="005C745C">
        <w:rPr>
          <w:sz w:val="20"/>
          <w:lang w:eastAsia="en-GB"/>
        </w:rPr>
        <w:t xml:space="preserve">, J. C. (2018). Entrepreneurship assessment in higher education: A research review for engineering education researchers. </w:t>
      </w:r>
      <w:r w:rsidRPr="005C745C">
        <w:rPr>
          <w:i/>
          <w:iCs/>
          <w:sz w:val="20"/>
          <w:lang w:eastAsia="en-GB"/>
        </w:rPr>
        <w:t>Journal of Engineering Education</w:t>
      </w:r>
      <w:r w:rsidRPr="005C745C">
        <w:rPr>
          <w:sz w:val="20"/>
          <w:lang w:eastAsia="en-GB"/>
        </w:rPr>
        <w:t xml:space="preserve">, </w:t>
      </w:r>
      <w:r w:rsidRPr="005C745C">
        <w:rPr>
          <w:i/>
          <w:iCs/>
          <w:sz w:val="20"/>
          <w:lang w:eastAsia="en-GB"/>
        </w:rPr>
        <w:t>107</w:t>
      </w:r>
      <w:r w:rsidRPr="005C745C">
        <w:rPr>
          <w:sz w:val="20"/>
          <w:lang w:eastAsia="en-GB"/>
        </w:rPr>
        <w:t>(2), 263-290.</w:t>
      </w:r>
    </w:p>
    <w:p w14:paraId="18AFB114" w14:textId="77777777" w:rsidR="00D515C7" w:rsidRDefault="00D515C7" w:rsidP="00D515C7">
      <w:pPr>
        <w:pStyle w:val="Bibliography"/>
        <w:ind w:left="720" w:hanging="720"/>
        <w:rPr>
          <w:noProof/>
          <w:sz w:val="20"/>
        </w:rPr>
      </w:pPr>
      <w:proofErr w:type="spellStart"/>
      <w:r w:rsidRPr="005C745C">
        <w:rPr>
          <w:sz w:val="20"/>
          <w:lang w:eastAsia="en-GB"/>
        </w:rPr>
        <w:t>Grecu</w:t>
      </w:r>
      <w:proofErr w:type="spellEnd"/>
      <w:r w:rsidRPr="005C745C">
        <w:rPr>
          <w:sz w:val="20"/>
          <w:lang w:eastAsia="en-GB"/>
        </w:rPr>
        <w:t xml:space="preserve">, V., &amp; Denes, C. (2017). Benefits of entrepreneurship education and training for engineering students. In </w:t>
      </w:r>
      <w:r w:rsidRPr="005C745C">
        <w:rPr>
          <w:i/>
          <w:iCs/>
          <w:sz w:val="20"/>
          <w:lang w:eastAsia="en-GB"/>
        </w:rPr>
        <w:t>MATEC</w:t>
      </w:r>
      <w:r w:rsidRPr="00395240">
        <w:rPr>
          <w:i/>
          <w:iCs/>
          <w:sz w:val="20"/>
          <w:lang w:eastAsia="en-GB"/>
        </w:rPr>
        <w:t xml:space="preserve"> Web of Conferences</w:t>
      </w:r>
      <w:r w:rsidRPr="00395240">
        <w:rPr>
          <w:sz w:val="20"/>
          <w:lang w:eastAsia="en-GB"/>
        </w:rPr>
        <w:t xml:space="preserve"> (Vol. 121, p. 12007). EDP Sciences.</w:t>
      </w:r>
    </w:p>
    <w:p w14:paraId="6D700EC3" w14:textId="77777777" w:rsidR="00D515C7" w:rsidRDefault="00D515C7" w:rsidP="00D515C7">
      <w:pPr>
        <w:pStyle w:val="Bibliography"/>
        <w:ind w:left="720" w:hanging="720"/>
        <w:rPr>
          <w:noProof/>
          <w:sz w:val="20"/>
        </w:rPr>
      </w:pPr>
      <w:r w:rsidRPr="00395240">
        <w:rPr>
          <w:sz w:val="20"/>
          <w:lang w:eastAsia="en-GB"/>
        </w:rPr>
        <w:t xml:space="preserve">Kang, Y., &amp; Lee, K. (2020). Designing technology entrepreneurship education using computational thinking. </w:t>
      </w:r>
      <w:r w:rsidRPr="00395240">
        <w:rPr>
          <w:i/>
          <w:iCs/>
          <w:sz w:val="20"/>
          <w:lang w:eastAsia="en-GB"/>
        </w:rPr>
        <w:t>Education and Information Technologies</w:t>
      </w:r>
      <w:r w:rsidRPr="00395240">
        <w:rPr>
          <w:sz w:val="20"/>
          <w:lang w:eastAsia="en-GB"/>
        </w:rPr>
        <w:t xml:space="preserve">, </w:t>
      </w:r>
      <w:r w:rsidRPr="00395240">
        <w:rPr>
          <w:i/>
          <w:iCs/>
          <w:sz w:val="20"/>
          <w:lang w:eastAsia="en-GB"/>
        </w:rPr>
        <w:t>25</w:t>
      </w:r>
      <w:r w:rsidRPr="00395240">
        <w:rPr>
          <w:sz w:val="20"/>
          <w:lang w:eastAsia="en-GB"/>
        </w:rPr>
        <w:t>, 5357-5377.</w:t>
      </w:r>
    </w:p>
    <w:p w14:paraId="5A1CCB9C" w14:textId="77777777" w:rsidR="00D515C7" w:rsidRDefault="00D515C7" w:rsidP="00D515C7">
      <w:pPr>
        <w:pStyle w:val="Bibliography"/>
        <w:ind w:left="720" w:hanging="720"/>
        <w:rPr>
          <w:noProof/>
          <w:sz w:val="20"/>
        </w:rPr>
      </w:pPr>
      <w:proofErr w:type="spellStart"/>
      <w:r w:rsidRPr="00395240">
        <w:rPr>
          <w:sz w:val="20"/>
          <w:lang w:eastAsia="en-GB"/>
        </w:rPr>
        <w:t>Mäkimurto</w:t>
      </w:r>
      <w:proofErr w:type="spellEnd"/>
      <w:r w:rsidRPr="00395240">
        <w:rPr>
          <w:sz w:val="20"/>
          <w:lang w:eastAsia="en-GB"/>
        </w:rPr>
        <w:t>-Koivumaa, S., &amp; Belt, P. (2016).</w:t>
      </w:r>
      <w:r w:rsidRPr="000035D2">
        <w:rPr>
          <w:sz w:val="20"/>
          <w:lang w:eastAsia="en-GB"/>
        </w:rPr>
        <w:t xml:space="preserve"> About, for, in or through entrepreneurship in engineering education. </w:t>
      </w:r>
      <w:r w:rsidRPr="000035D2">
        <w:rPr>
          <w:i/>
          <w:iCs/>
          <w:sz w:val="20"/>
          <w:lang w:eastAsia="en-GB"/>
        </w:rPr>
        <w:t>European Journal of Engineering Education</w:t>
      </w:r>
      <w:r w:rsidRPr="000035D2">
        <w:rPr>
          <w:sz w:val="20"/>
          <w:lang w:eastAsia="en-GB"/>
        </w:rPr>
        <w:t xml:space="preserve">, </w:t>
      </w:r>
      <w:r w:rsidRPr="000035D2">
        <w:rPr>
          <w:i/>
          <w:iCs/>
          <w:sz w:val="20"/>
          <w:lang w:eastAsia="en-GB"/>
        </w:rPr>
        <w:t>41</w:t>
      </w:r>
      <w:r w:rsidRPr="000035D2">
        <w:rPr>
          <w:sz w:val="20"/>
          <w:lang w:eastAsia="en-GB"/>
        </w:rPr>
        <w:t>(5), 512-529.</w:t>
      </w:r>
    </w:p>
    <w:p w14:paraId="5F51752B" w14:textId="77777777" w:rsidR="00F51E86" w:rsidRDefault="00D515C7" w:rsidP="00F51E86">
      <w:pPr>
        <w:pStyle w:val="Bibliography"/>
        <w:ind w:left="720" w:hanging="720"/>
        <w:rPr>
          <w:noProof/>
          <w:sz w:val="20"/>
        </w:rPr>
      </w:pPr>
      <w:r w:rsidRPr="00ED0B0A">
        <w:rPr>
          <w:sz w:val="20"/>
          <w:lang w:eastAsia="en-GB"/>
        </w:rPr>
        <w:t xml:space="preserve">Markham, S. K., </w:t>
      </w:r>
      <w:proofErr w:type="spellStart"/>
      <w:r w:rsidRPr="00ED0B0A">
        <w:rPr>
          <w:sz w:val="20"/>
          <w:lang w:eastAsia="en-GB"/>
        </w:rPr>
        <w:t>Baumer</w:t>
      </w:r>
      <w:proofErr w:type="spellEnd"/>
      <w:r w:rsidRPr="00ED0B0A">
        <w:rPr>
          <w:sz w:val="20"/>
          <w:lang w:eastAsia="en-GB"/>
        </w:rPr>
        <w:t xml:space="preserve">, D. L., </w:t>
      </w:r>
      <w:proofErr w:type="spellStart"/>
      <w:r w:rsidRPr="00ED0B0A">
        <w:rPr>
          <w:sz w:val="20"/>
          <w:lang w:eastAsia="en-GB"/>
        </w:rPr>
        <w:t>Aiman</w:t>
      </w:r>
      <w:proofErr w:type="spellEnd"/>
      <w:r w:rsidRPr="00ED0B0A">
        <w:rPr>
          <w:sz w:val="20"/>
          <w:lang w:eastAsia="en-GB"/>
        </w:rPr>
        <w:t xml:space="preserve">‐Smith, L., </w:t>
      </w:r>
      <w:proofErr w:type="spellStart"/>
      <w:r w:rsidRPr="00ED0B0A">
        <w:rPr>
          <w:sz w:val="20"/>
          <w:lang w:eastAsia="en-GB"/>
        </w:rPr>
        <w:t>Kingon</w:t>
      </w:r>
      <w:proofErr w:type="spellEnd"/>
      <w:r w:rsidRPr="00ED0B0A">
        <w:rPr>
          <w:sz w:val="20"/>
          <w:lang w:eastAsia="en-GB"/>
        </w:rPr>
        <w:t xml:space="preserve">, A. I., &amp; Zapata III, M. (2000). An algorithm for high technology engineering and management education. </w:t>
      </w:r>
      <w:r w:rsidRPr="00ED0B0A">
        <w:rPr>
          <w:i/>
          <w:iCs/>
          <w:sz w:val="20"/>
          <w:lang w:eastAsia="en-GB"/>
        </w:rPr>
        <w:t>Journal of Engineering Education</w:t>
      </w:r>
      <w:r w:rsidRPr="00ED0B0A">
        <w:rPr>
          <w:sz w:val="20"/>
          <w:lang w:eastAsia="en-GB"/>
        </w:rPr>
        <w:t xml:space="preserve">, </w:t>
      </w:r>
      <w:r w:rsidRPr="00ED0B0A">
        <w:rPr>
          <w:i/>
          <w:iCs/>
          <w:sz w:val="20"/>
          <w:lang w:eastAsia="en-GB"/>
        </w:rPr>
        <w:t>89</w:t>
      </w:r>
      <w:r w:rsidRPr="00ED0B0A">
        <w:rPr>
          <w:sz w:val="20"/>
          <w:lang w:eastAsia="en-GB"/>
        </w:rPr>
        <w:t>(2), 209-218.</w:t>
      </w:r>
    </w:p>
    <w:p w14:paraId="38942AF0" w14:textId="77777777" w:rsidR="00F51E86" w:rsidRDefault="00D515C7" w:rsidP="00F51E86">
      <w:pPr>
        <w:pStyle w:val="Bibliography"/>
        <w:ind w:left="720" w:hanging="720"/>
        <w:rPr>
          <w:noProof/>
          <w:sz w:val="20"/>
        </w:rPr>
      </w:pPr>
      <w:proofErr w:type="spellStart"/>
      <w:r w:rsidRPr="00F2445D">
        <w:rPr>
          <w:sz w:val="20"/>
          <w:lang w:val="fr-FR" w:eastAsia="en-GB"/>
        </w:rPr>
        <w:t>Militaru</w:t>
      </w:r>
      <w:proofErr w:type="spellEnd"/>
      <w:r w:rsidRPr="00F2445D">
        <w:rPr>
          <w:sz w:val="20"/>
          <w:lang w:val="fr-FR" w:eastAsia="en-GB"/>
        </w:rPr>
        <w:t xml:space="preserve">, G., </w:t>
      </w:r>
      <w:proofErr w:type="spellStart"/>
      <w:r w:rsidRPr="00F2445D">
        <w:rPr>
          <w:sz w:val="20"/>
          <w:lang w:val="fr-FR" w:eastAsia="en-GB"/>
        </w:rPr>
        <w:t>Pollifroni</w:t>
      </w:r>
      <w:proofErr w:type="spellEnd"/>
      <w:r w:rsidRPr="00F2445D">
        <w:rPr>
          <w:sz w:val="20"/>
          <w:lang w:val="fr-FR" w:eastAsia="en-GB"/>
        </w:rPr>
        <w:t xml:space="preserve">, M., &amp; </w:t>
      </w:r>
      <w:proofErr w:type="spellStart"/>
      <w:r w:rsidRPr="00F2445D">
        <w:rPr>
          <w:sz w:val="20"/>
          <w:lang w:val="fr-FR" w:eastAsia="en-GB"/>
        </w:rPr>
        <w:t>Niculescu</w:t>
      </w:r>
      <w:proofErr w:type="spellEnd"/>
      <w:r w:rsidRPr="00F2445D">
        <w:rPr>
          <w:sz w:val="20"/>
          <w:lang w:val="fr-FR" w:eastAsia="en-GB"/>
        </w:rPr>
        <w:t xml:space="preserve">, C. (2015). </w:t>
      </w:r>
      <w:r w:rsidRPr="00A80382">
        <w:rPr>
          <w:sz w:val="20"/>
          <w:lang w:eastAsia="en-GB"/>
        </w:rPr>
        <w:t xml:space="preserve">The role of technology entrepreneurship education in encouraging to launch new ventures. In </w:t>
      </w:r>
      <w:r w:rsidRPr="00A80382">
        <w:rPr>
          <w:i/>
          <w:iCs/>
          <w:sz w:val="20"/>
          <w:lang w:eastAsia="en-GB"/>
        </w:rPr>
        <w:t>Balkan Region Conference on Engineering and Business Education</w:t>
      </w:r>
      <w:r w:rsidRPr="00A80382">
        <w:rPr>
          <w:sz w:val="20"/>
          <w:lang w:eastAsia="en-GB"/>
        </w:rPr>
        <w:t xml:space="preserve"> (Vol. 1, No. 1, pp. 274-281). </w:t>
      </w:r>
      <w:proofErr w:type="spellStart"/>
      <w:r w:rsidRPr="00A80382">
        <w:rPr>
          <w:sz w:val="20"/>
          <w:lang w:eastAsia="en-GB"/>
        </w:rPr>
        <w:t>Sciendo</w:t>
      </w:r>
      <w:proofErr w:type="spellEnd"/>
      <w:r w:rsidRPr="00A80382">
        <w:rPr>
          <w:sz w:val="20"/>
          <w:lang w:eastAsia="en-GB"/>
        </w:rPr>
        <w:t>.</w:t>
      </w:r>
    </w:p>
    <w:p w14:paraId="181F01E7" w14:textId="77777777" w:rsidR="00F51E86" w:rsidRDefault="00D515C7" w:rsidP="00F51E86">
      <w:pPr>
        <w:pStyle w:val="Bibliography"/>
        <w:ind w:left="720" w:hanging="720"/>
        <w:rPr>
          <w:noProof/>
          <w:sz w:val="20"/>
        </w:rPr>
      </w:pPr>
      <w:r w:rsidRPr="00CA2DAE">
        <w:rPr>
          <w:sz w:val="20"/>
          <w:lang w:val="en-GB" w:eastAsia="en-GB"/>
        </w:rPr>
        <w:t xml:space="preserve">Miranda, C., </w:t>
      </w:r>
      <w:proofErr w:type="spellStart"/>
      <w:r w:rsidRPr="00CA2DAE">
        <w:rPr>
          <w:sz w:val="20"/>
          <w:lang w:val="en-GB" w:eastAsia="en-GB"/>
        </w:rPr>
        <w:t>Goñi</w:t>
      </w:r>
      <w:proofErr w:type="spellEnd"/>
      <w:r w:rsidRPr="00CA2DAE">
        <w:rPr>
          <w:sz w:val="20"/>
          <w:lang w:val="en-GB" w:eastAsia="en-GB"/>
        </w:rPr>
        <w:t xml:space="preserve">, J., Berhane, B., &amp; Carberry, A. (2020). </w:t>
      </w:r>
      <w:r w:rsidRPr="00A80382">
        <w:rPr>
          <w:sz w:val="20"/>
          <w:lang w:eastAsia="en-GB"/>
        </w:rPr>
        <w:t xml:space="preserve">Seven Challenges in Conceptualizing and Assessing Entrepreneurial Skills or Mindsets in Engineering Entrepreneurship Education. </w:t>
      </w:r>
      <w:r w:rsidRPr="00A80382">
        <w:rPr>
          <w:i/>
          <w:iCs/>
          <w:sz w:val="20"/>
          <w:lang w:eastAsia="en-GB"/>
        </w:rPr>
        <w:t>Education Sciences</w:t>
      </w:r>
      <w:r w:rsidRPr="00A80382">
        <w:rPr>
          <w:sz w:val="20"/>
          <w:lang w:eastAsia="en-GB"/>
        </w:rPr>
        <w:t xml:space="preserve">, </w:t>
      </w:r>
      <w:r w:rsidRPr="00A80382">
        <w:rPr>
          <w:i/>
          <w:iCs/>
          <w:sz w:val="20"/>
          <w:lang w:eastAsia="en-GB"/>
        </w:rPr>
        <w:t>10</w:t>
      </w:r>
      <w:r w:rsidRPr="00A80382">
        <w:rPr>
          <w:sz w:val="20"/>
          <w:lang w:eastAsia="en-GB"/>
        </w:rPr>
        <w:t>(11), 309.</w:t>
      </w:r>
    </w:p>
    <w:p w14:paraId="2BCEA88D" w14:textId="2A2E97FF" w:rsidR="00F51E86" w:rsidRDefault="00D515C7" w:rsidP="00F51E86">
      <w:pPr>
        <w:pStyle w:val="Bibliography"/>
        <w:ind w:left="720" w:hanging="720"/>
        <w:rPr>
          <w:noProof/>
          <w:sz w:val="20"/>
        </w:rPr>
      </w:pPr>
      <w:r w:rsidRPr="00A80382">
        <w:rPr>
          <w:color w:val="111111"/>
          <w:spacing w:val="-3"/>
          <w:sz w:val="20"/>
        </w:rPr>
        <w:t xml:space="preserve">MIT Technology Review (2020). 10 Breakthrough Technologies for 2020. </w:t>
      </w:r>
      <w:r w:rsidRPr="00A80382">
        <w:rPr>
          <w:rFonts w:eastAsiaTheme="minorEastAsia"/>
          <w:sz w:val="20"/>
          <w:lang w:eastAsia="en-GB"/>
        </w:rPr>
        <w:t xml:space="preserve">Retrieved </w:t>
      </w:r>
      <w:r w:rsidR="00C5116E">
        <w:rPr>
          <w:rFonts w:eastAsiaTheme="minorEastAsia"/>
          <w:sz w:val="20"/>
          <w:lang w:eastAsia="en-GB"/>
        </w:rPr>
        <w:t>on 13</w:t>
      </w:r>
      <w:r w:rsidR="00C5116E" w:rsidRPr="00C5116E">
        <w:rPr>
          <w:rFonts w:eastAsiaTheme="minorEastAsia"/>
          <w:sz w:val="20"/>
          <w:vertAlign w:val="superscript"/>
          <w:lang w:eastAsia="en-GB"/>
        </w:rPr>
        <w:t>th</w:t>
      </w:r>
      <w:r w:rsidR="00C5116E">
        <w:rPr>
          <w:rFonts w:eastAsiaTheme="minorEastAsia"/>
          <w:sz w:val="20"/>
          <w:lang w:eastAsia="en-GB"/>
        </w:rPr>
        <w:t xml:space="preserve"> April </w:t>
      </w:r>
      <w:r w:rsidR="00B92A05">
        <w:rPr>
          <w:rFonts w:eastAsiaTheme="minorEastAsia"/>
          <w:sz w:val="20"/>
          <w:lang w:eastAsia="en-GB"/>
        </w:rPr>
        <w:t xml:space="preserve">2021 </w:t>
      </w:r>
      <w:r w:rsidRPr="00A80382">
        <w:rPr>
          <w:rFonts w:eastAsiaTheme="minorEastAsia"/>
          <w:sz w:val="20"/>
          <w:lang w:eastAsia="en-GB"/>
        </w:rPr>
        <w:t xml:space="preserve">from: </w:t>
      </w:r>
      <w:hyperlink r:id="rId10" w:history="1">
        <w:r w:rsidRPr="00A80382">
          <w:rPr>
            <w:rStyle w:val="Hyperlink"/>
            <w:rFonts w:eastAsiaTheme="minorEastAsia"/>
            <w:sz w:val="20"/>
            <w:lang w:eastAsia="en-GB"/>
          </w:rPr>
          <w:t>https://www.technologyreview.com/10-breakthrough-technologies/2020/</w:t>
        </w:r>
      </w:hyperlink>
      <w:r w:rsidRPr="00A80382">
        <w:rPr>
          <w:rFonts w:eastAsiaTheme="minorEastAsia"/>
          <w:sz w:val="20"/>
          <w:lang w:eastAsia="en-GB"/>
        </w:rPr>
        <w:t>.</w:t>
      </w:r>
    </w:p>
    <w:p w14:paraId="2FBCB939" w14:textId="669119C4" w:rsidR="00F33D95" w:rsidRDefault="00D515C7" w:rsidP="00F33D95">
      <w:pPr>
        <w:pStyle w:val="Bibliography"/>
        <w:ind w:left="720" w:hanging="720"/>
        <w:rPr>
          <w:sz w:val="20"/>
          <w:lang w:eastAsia="en-GB"/>
        </w:rPr>
      </w:pPr>
      <w:r w:rsidRPr="00A80382">
        <w:rPr>
          <w:sz w:val="20"/>
          <w:lang w:eastAsia="en-GB"/>
        </w:rPr>
        <w:t xml:space="preserve">Nichols, S. P., &amp; Armstrong, N. E. (2003). Engineering entrepreneurship: Does entrepreneurship have a role in engineering education?. </w:t>
      </w:r>
      <w:r w:rsidRPr="00A80382">
        <w:rPr>
          <w:i/>
          <w:iCs/>
          <w:sz w:val="20"/>
          <w:lang w:eastAsia="en-GB"/>
        </w:rPr>
        <w:t>IEEE Antennas and Propagation Magazine</w:t>
      </w:r>
      <w:r w:rsidRPr="00A80382">
        <w:rPr>
          <w:sz w:val="20"/>
          <w:lang w:eastAsia="en-GB"/>
        </w:rPr>
        <w:t xml:space="preserve">, </w:t>
      </w:r>
      <w:r w:rsidRPr="00A80382">
        <w:rPr>
          <w:i/>
          <w:iCs/>
          <w:sz w:val="20"/>
          <w:lang w:eastAsia="en-GB"/>
        </w:rPr>
        <w:t>45</w:t>
      </w:r>
      <w:r w:rsidRPr="00A80382">
        <w:rPr>
          <w:sz w:val="20"/>
          <w:lang w:eastAsia="en-GB"/>
        </w:rPr>
        <w:t>(1), 134-138.</w:t>
      </w:r>
    </w:p>
    <w:p w14:paraId="67965B9A" w14:textId="6A9049C4" w:rsidR="003F7442" w:rsidRDefault="003F7442" w:rsidP="003F7442">
      <w:pPr>
        <w:pStyle w:val="Bibliography"/>
        <w:ind w:left="720" w:hanging="720"/>
        <w:rPr>
          <w:sz w:val="20"/>
        </w:rPr>
      </w:pPr>
      <w:r w:rsidRPr="00A22543">
        <w:rPr>
          <w:sz w:val="20"/>
          <w:lang w:eastAsia="en-GB"/>
        </w:rPr>
        <w:t xml:space="preserve">Philbin, S. (2008). Process model for university‐industry research collaboration. </w:t>
      </w:r>
      <w:r w:rsidRPr="00A22543">
        <w:rPr>
          <w:i/>
          <w:iCs/>
          <w:sz w:val="20"/>
          <w:lang w:eastAsia="en-GB"/>
        </w:rPr>
        <w:t>European Journal of Innovation Management</w:t>
      </w:r>
      <w:r w:rsidRPr="00AD0D3C">
        <w:rPr>
          <w:sz w:val="20"/>
          <w:lang w:eastAsia="en-GB"/>
        </w:rPr>
        <w:t xml:space="preserve">, </w:t>
      </w:r>
      <w:r w:rsidRPr="00F40FEA">
        <w:rPr>
          <w:i/>
          <w:iCs/>
          <w:sz w:val="20"/>
        </w:rPr>
        <w:t>11</w:t>
      </w:r>
      <w:r w:rsidRPr="00AD0D3C">
        <w:rPr>
          <w:sz w:val="20"/>
        </w:rPr>
        <w:t>(4), 488-521.</w:t>
      </w:r>
    </w:p>
    <w:p w14:paraId="480D35AA" w14:textId="77777777" w:rsidR="00F40FEA" w:rsidRDefault="00F40FEA" w:rsidP="00F40FEA">
      <w:pPr>
        <w:pStyle w:val="Bibliography"/>
        <w:ind w:left="720" w:hanging="720"/>
        <w:rPr>
          <w:sz w:val="20"/>
          <w:lang w:eastAsia="en-GB"/>
        </w:rPr>
      </w:pPr>
      <w:r w:rsidRPr="00C821A3">
        <w:rPr>
          <w:sz w:val="20"/>
          <w:lang w:eastAsia="en-GB"/>
        </w:rPr>
        <w:t>Philbin, S.</w:t>
      </w:r>
      <w:r w:rsidRPr="00AD0D3C">
        <w:rPr>
          <w:sz w:val="20"/>
          <w:lang w:eastAsia="en-GB"/>
        </w:rPr>
        <w:t xml:space="preserve"> P.</w:t>
      </w:r>
      <w:r w:rsidRPr="00C821A3">
        <w:rPr>
          <w:sz w:val="20"/>
          <w:lang w:eastAsia="en-GB"/>
        </w:rPr>
        <w:t xml:space="preserve"> (2020). Entrepreneurial Skills for Engineers–Insights from the Development of an Online Course. </w:t>
      </w:r>
      <w:r w:rsidRPr="00AD0D3C">
        <w:rPr>
          <w:sz w:val="20"/>
          <w:lang w:eastAsia="en-GB"/>
        </w:rPr>
        <w:t xml:space="preserve">In </w:t>
      </w:r>
      <w:r w:rsidRPr="00AD0D3C">
        <w:rPr>
          <w:i/>
          <w:iCs/>
          <w:sz w:val="20"/>
          <w:lang w:eastAsia="en-GB"/>
        </w:rPr>
        <w:t xml:space="preserve">Proceedings of the </w:t>
      </w:r>
      <w:r>
        <w:rPr>
          <w:i/>
          <w:iCs/>
          <w:sz w:val="20"/>
          <w:lang w:eastAsia="en-GB"/>
        </w:rPr>
        <w:t xml:space="preserve">Virtual </w:t>
      </w:r>
      <w:r w:rsidRPr="00AD0D3C">
        <w:rPr>
          <w:i/>
          <w:iCs/>
          <w:sz w:val="20"/>
          <w:lang w:eastAsia="en-GB"/>
        </w:rPr>
        <w:t>International Annual Conference of the American Society for Engineering Management (ASEM)</w:t>
      </w:r>
      <w:r w:rsidRPr="00AD0D3C">
        <w:rPr>
          <w:iCs/>
          <w:sz w:val="20"/>
          <w:lang w:eastAsia="en-GB"/>
        </w:rPr>
        <w:t xml:space="preserve"> </w:t>
      </w:r>
      <w:r w:rsidRPr="00C821A3">
        <w:rPr>
          <w:i/>
          <w:iCs/>
          <w:sz w:val="20"/>
          <w:lang w:eastAsia="en-GB"/>
        </w:rPr>
        <w:t>and 41</w:t>
      </w:r>
      <w:r w:rsidRPr="00C821A3">
        <w:rPr>
          <w:i/>
          <w:iCs/>
          <w:sz w:val="20"/>
          <w:vertAlign w:val="superscript"/>
          <w:lang w:eastAsia="en-GB"/>
        </w:rPr>
        <w:t>st</w:t>
      </w:r>
      <w:r w:rsidRPr="00AD0D3C">
        <w:rPr>
          <w:i/>
          <w:iCs/>
          <w:sz w:val="20"/>
          <w:lang w:eastAsia="en-GB"/>
        </w:rPr>
        <w:t xml:space="preserve"> </w:t>
      </w:r>
      <w:r w:rsidRPr="00C821A3">
        <w:rPr>
          <w:i/>
          <w:iCs/>
          <w:sz w:val="20"/>
          <w:lang w:eastAsia="en-GB"/>
        </w:rPr>
        <w:t>Annual Meeting</w:t>
      </w:r>
      <w:r w:rsidRPr="00AD0D3C">
        <w:rPr>
          <w:i/>
          <w:iCs/>
          <w:sz w:val="20"/>
          <w:lang w:eastAsia="en-GB"/>
        </w:rPr>
        <w:t>.</w:t>
      </w:r>
    </w:p>
    <w:p w14:paraId="3C6ADEDC" w14:textId="1471205E" w:rsidR="00F40FEA" w:rsidRPr="00F40FEA" w:rsidRDefault="00F40FEA" w:rsidP="00F40FEA">
      <w:pPr>
        <w:pStyle w:val="Bibliography"/>
        <w:ind w:left="720" w:hanging="720"/>
        <w:rPr>
          <w:sz w:val="20"/>
          <w:lang w:eastAsia="en-GB"/>
        </w:rPr>
      </w:pPr>
      <w:r w:rsidRPr="00D56694">
        <w:rPr>
          <w:sz w:val="20"/>
          <w:lang w:val="de-DE" w:eastAsia="en-GB"/>
        </w:rPr>
        <w:t xml:space="preserve">Philbin, S. P., Kauffmann, P., &amp; Wyrick, D. A. (2019). </w:t>
      </w:r>
      <w:r w:rsidRPr="00AD0D3C">
        <w:rPr>
          <w:sz w:val="20"/>
          <w:lang w:eastAsia="en-GB"/>
        </w:rPr>
        <w:t xml:space="preserve">Engineering Education, Skills and Industry Alignment–Comparative Analysis of the UK and USA. In </w:t>
      </w:r>
      <w:r w:rsidRPr="00AD0D3C">
        <w:rPr>
          <w:i/>
          <w:iCs/>
          <w:sz w:val="20"/>
          <w:lang w:eastAsia="en-GB"/>
        </w:rPr>
        <w:t xml:space="preserve">Proceedings of the International Annual Conference of the American Society for Engineering Management (ASEM) </w:t>
      </w:r>
      <w:r w:rsidRPr="00C821A3">
        <w:rPr>
          <w:i/>
          <w:iCs/>
          <w:sz w:val="20"/>
          <w:lang w:eastAsia="en-GB"/>
        </w:rPr>
        <w:t xml:space="preserve">and </w:t>
      </w:r>
      <w:r w:rsidRPr="00AD0D3C">
        <w:rPr>
          <w:i/>
          <w:iCs/>
          <w:sz w:val="20"/>
          <w:lang w:eastAsia="en-GB"/>
        </w:rPr>
        <w:t>40</w:t>
      </w:r>
      <w:r w:rsidRPr="00AD0D3C">
        <w:rPr>
          <w:i/>
          <w:iCs/>
          <w:sz w:val="20"/>
          <w:vertAlign w:val="superscript"/>
          <w:lang w:eastAsia="en-GB"/>
        </w:rPr>
        <w:t>th</w:t>
      </w:r>
      <w:r w:rsidRPr="00AD0D3C">
        <w:rPr>
          <w:i/>
          <w:iCs/>
          <w:sz w:val="20"/>
          <w:lang w:eastAsia="en-GB"/>
        </w:rPr>
        <w:t xml:space="preserve"> </w:t>
      </w:r>
      <w:r w:rsidRPr="00C821A3">
        <w:rPr>
          <w:i/>
          <w:iCs/>
          <w:sz w:val="20"/>
          <w:lang w:eastAsia="en-GB"/>
        </w:rPr>
        <w:t>Annual Meeting</w:t>
      </w:r>
      <w:r w:rsidRPr="00AD0D3C">
        <w:rPr>
          <w:iCs/>
          <w:sz w:val="20"/>
          <w:lang w:eastAsia="en-GB"/>
        </w:rPr>
        <w:t>, Philadelphia (PA), USA.</w:t>
      </w:r>
      <w:r w:rsidRPr="00AD0D3C">
        <w:rPr>
          <w:sz w:val="20"/>
          <w:lang w:eastAsia="en-GB"/>
        </w:rPr>
        <w:t xml:space="preserve"> </w:t>
      </w:r>
    </w:p>
    <w:p w14:paraId="43FF7FF2" w14:textId="69548572" w:rsidR="00F40FEA" w:rsidRPr="00F40FEA" w:rsidRDefault="00F40FEA" w:rsidP="00F40FEA">
      <w:pPr>
        <w:pStyle w:val="Bibliography"/>
        <w:ind w:left="720" w:hanging="720"/>
        <w:rPr>
          <w:sz w:val="20"/>
        </w:rPr>
      </w:pPr>
      <w:bookmarkStart w:id="1" w:name="_Hlk77329709"/>
      <w:r w:rsidRPr="00F40FEA">
        <w:rPr>
          <w:sz w:val="20"/>
          <w:lang w:val="de-DE" w:eastAsia="en-GB"/>
        </w:rPr>
        <w:t xml:space="preserve">Philbin, S. P., &amp; Mallo, C. A. (2016). </w:t>
      </w:r>
      <w:bookmarkEnd w:id="1"/>
      <w:r w:rsidRPr="00AD0D3C">
        <w:rPr>
          <w:sz w:val="20"/>
          <w:lang w:eastAsia="en-GB"/>
        </w:rPr>
        <w:t xml:space="preserve">Business Planning Methodology to Support the Development of Strategic Academic Programs. </w:t>
      </w:r>
      <w:r w:rsidRPr="00AD0D3C">
        <w:rPr>
          <w:i/>
          <w:iCs/>
          <w:sz w:val="20"/>
          <w:lang w:eastAsia="en-GB"/>
        </w:rPr>
        <w:t>Journal of Research Administration</w:t>
      </w:r>
      <w:r w:rsidRPr="00AD0D3C">
        <w:rPr>
          <w:sz w:val="20"/>
          <w:lang w:eastAsia="en-GB"/>
        </w:rPr>
        <w:t xml:space="preserve">, </w:t>
      </w:r>
      <w:r w:rsidRPr="00AD0D3C">
        <w:rPr>
          <w:i/>
          <w:iCs/>
          <w:sz w:val="20"/>
          <w:lang w:eastAsia="en-GB"/>
        </w:rPr>
        <w:t>47</w:t>
      </w:r>
      <w:r w:rsidRPr="00AD0D3C">
        <w:rPr>
          <w:sz w:val="20"/>
          <w:lang w:eastAsia="en-GB"/>
        </w:rPr>
        <w:t>(1), 22-39.</w:t>
      </w:r>
    </w:p>
    <w:p w14:paraId="39BB843E" w14:textId="7D7F6BEC" w:rsidR="00F33D95" w:rsidRPr="00F33D95" w:rsidRDefault="00F33D95" w:rsidP="00F33D95">
      <w:pPr>
        <w:pStyle w:val="Bibliography"/>
        <w:ind w:left="720" w:hanging="720"/>
        <w:rPr>
          <w:sz w:val="20"/>
          <w:lang w:eastAsia="en-GB"/>
        </w:rPr>
      </w:pPr>
      <w:r w:rsidRPr="00F33D95">
        <w:rPr>
          <w:rStyle w:val="HTMLCite"/>
          <w:i w:val="0"/>
          <w:iCs w:val="0"/>
          <w:sz w:val="20"/>
        </w:rPr>
        <w:t xml:space="preserve">Porter, </w:t>
      </w:r>
      <w:r>
        <w:rPr>
          <w:rStyle w:val="HTMLCite"/>
          <w:i w:val="0"/>
          <w:iCs w:val="0"/>
          <w:sz w:val="20"/>
        </w:rPr>
        <w:t xml:space="preserve">M. </w:t>
      </w:r>
      <w:r w:rsidRPr="00F33D95">
        <w:rPr>
          <w:rStyle w:val="HTMLCite"/>
          <w:i w:val="0"/>
          <w:iCs w:val="0"/>
          <w:sz w:val="20"/>
        </w:rPr>
        <w:t xml:space="preserve">E. (1985). </w:t>
      </w:r>
      <w:r w:rsidRPr="00F33D95">
        <w:rPr>
          <w:rStyle w:val="HTMLCite"/>
          <w:sz w:val="20"/>
        </w:rPr>
        <w:t>Competitive Advantage: Creating and Sustaining Superior Performance</w:t>
      </w:r>
      <w:r w:rsidRPr="00F33D95">
        <w:rPr>
          <w:rStyle w:val="HTMLCite"/>
          <w:i w:val="0"/>
          <w:iCs w:val="0"/>
          <w:sz w:val="20"/>
        </w:rPr>
        <w:t>. New York: Simon and Schuster.</w:t>
      </w:r>
    </w:p>
    <w:p w14:paraId="2B258C3F" w14:textId="3A506EE6" w:rsidR="00F33D95" w:rsidRPr="00F33D95" w:rsidRDefault="00F33D95" w:rsidP="00F33D95">
      <w:pPr>
        <w:pStyle w:val="Bibliography"/>
        <w:ind w:left="720" w:hanging="720"/>
        <w:rPr>
          <w:sz w:val="20"/>
          <w:lang w:eastAsia="en-GB"/>
        </w:rPr>
      </w:pPr>
      <w:r w:rsidRPr="00F33D95">
        <w:rPr>
          <w:sz w:val="20"/>
          <w:lang w:val="en-GB" w:eastAsia="en-GB"/>
        </w:rPr>
        <w:t xml:space="preserve">Porter, M. E. (1989). How competitive forces shape strategy. In </w:t>
      </w:r>
      <w:r w:rsidRPr="00F33D95">
        <w:rPr>
          <w:i/>
          <w:iCs/>
          <w:sz w:val="20"/>
          <w:lang w:val="en-GB" w:eastAsia="en-GB"/>
        </w:rPr>
        <w:t>Readings in strategic management</w:t>
      </w:r>
      <w:r w:rsidRPr="00F33D95">
        <w:rPr>
          <w:sz w:val="20"/>
          <w:lang w:val="en-GB" w:eastAsia="en-GB"/>
        </w:rPr>
        <w:t xml:space="preserve"> (pp. 133-143). Palgrave, London.</w:t>
      </w:r>
    </w:p>
    <w:p w14:paraId="4AB03383" w14:textId="77777777" w:rsidR="00F51E86" w:rsidRDefault="00D515C7" w:rsidP="00F51E86">
      <w:pPr>
        <w:pStyle w:val="Bibliography"/>
        <w:ind w:left="720" w:hanging="720"/>
        <w:rPr>
          <w:noProof/>
          <w:sz w:val="20"/>
        </w:rPr>
      </w:pPr>
      <w:proofErr w:type="spellStart"/>
      <w:r w:rsidRPr="00F33D95">
        <w:rPr>
          <w:rFonts w:eastAsiaTheme="minorEastAsia"/>
          <w:sz w:val="20"/>
        </w:rPr>
        <w:t>Ries</w:t>
      </w:r>
      <w:proofErr w:type="spellEnd"/>
      <w:r w:rsidRPr="00F33D95">
        <w:rPr>
          <w:rFonts w:eastAsiaTheme="minorEastAsia"/>
          <w:sz w:val="20"/>
        </w:rPr>
        <w:t xml:space="preserve">, E. (2011). </w:t>
      </w:r>
      <w:r w:rsidRPr="00F33D95">
        <w:rPr>
          <w:rFonts w:eastAsiaTheme="minorEastAsia"/>
          <w:i/>
          <w:iCs/>
          <w:sz w:val="20"/>
        </w:rPr>
        <w:t xml:space="preserve">The Lean Startup: How </w:t>
      </w:r>
      <w:r>
        <w:rPr>
          <w:rFonts w:eastAsiaTheme="minorEastAsia"/>
          <w:i/>
          <w:iCs/>
          <w:sz w:val="20"/>
        </w:rPr>
        <w:t>T</w:t>
      </w:r>
      <w:r w:rsidRPr="00B2435A">
        <w:rPr>
          <w:rFonts w:eastAsiaTheme="minorEastAsia"/>
          <w:i/>
          <w:iCs/>
          <w:sz w:val="20"/>
        </w:rPr>
        <w:t xml:space="preserve">oday's </w:t>
      </w:r>
      <w:r>
        <w:rPr>
          <w:rFonts w:eastAsiaTheme="minorEastAsia"/>
          <w:i/>
          <w:iCs/>
          <w:sz w:val="20"/>
        </w:rPr>
        <w:t>E</w:t>
      </w:r>
      <w:r w:rsidRPr="00B2435A">
        <w:rPr>
          <w:rFonts w:eastAsiaTheme="minorEastAsia"/>
          <w:i/>
          <w:iCs/>
          <w:sz w:val="20"/>
        </w:rPr>
        <w:t xml:space="preserve">ntrepreneurs </w:t>
      </w:r>
      <w:r>
        <w:rPr>
          <w:rFonts w:eastAsiaTheme="minorEastAsia"/>
          <w:i/>
          <w:iCs/>
          <w:sz w:val="20"/>
        </w:rPr>
        <w:t>U</w:t>
      </w:r>
      <w:r w:rsidRPr="00B2435A">
        <w:rPr>
          <w:rFonts w:eastAsiaTheme="minorEastAsia"/>
          <w:i/>
          <w:iCs/>
          <w:sz w:val="20"/>
        </w:rPr>
        <w:t xml:space="preserve">se </w:t>
      </w:r>
      <w:r>
        <w:rPr>
          <w:rFonts w:eastAsiaTheme="minorEastAsia"/>
          <w:i/>
          <w:iCs/>
          <w:sz w:val="20"/>
        </w:rPr>
        <w:t>C</w:t>
      </w:r>
      <w:r w:rsidRPr="00B2435A">
        <w:rPr>
          <w:rFonts w:eastAsiaTheme="minorEastAsia"/>
          <w:i/>
          <w:iCs/>
          <w:sz w:val="20"/>
        </w:rPr>
        <w:t xml:space="preserve">ontinuous </w:t>
      </w:r>
      <w:r>
        <w:rPr>
          <w:rFonts w:eastAsiaTheme="minorEastAsia"/>
          <w:i/>
          <w:iCs/>
          <w:sz w:val="20"/>
        </w:rPr>
        <w:t>I</w:t>
      </w:r>
      <w:r w:rsidRPr="00B2435A">
        <w:rPr>
          <w:rFonts w:eastAsiaTheme="minorEastAsia"/>
          <w:i/>
          <w:iCs/>
          <w:sz w:val="20"/>
        </w:rPr>
        <w:t xml:space="preserve">nnovation to </w:t>
      </w:r>
      <w:r>
        <w:rPr>
          <w:rFonts w:eastAsiaTheme="minorEastAsia"/>
          <w:i/>
          <w:iCs/>
          <w:sz w:val="20"/>
        </w:rPr>
        <w:t>C</w:t>
      </w:r>
      <w:r w:rsidRPr="00B2435A">
        <w:rPr>
          <w:rFonts w:eastAsiaTheme="minorEastAsia"/>
          <w:i/>
          <w:iCs/>
          <w:sz w:val="20"/>
        </w:rPr>
        <w:t xml:space="preserve">reate </w:t>
      </w:r>
      <w:r>
        <w:rPr>
          <w:rFonts w:eastAsiaTheme="minorEastAsia"/>
          <w:i/>
          <w:iCs/>
          <w:sz w:val="20"/>
        </w:rPr>
        <w:t>R</w:t>
      </w:r>
      <w:r w:rsidRPr="00B2435A">
        <w:rPr>
          <w:rFonts w:eastAsiaTheme="minorEastAsia"/>
          <w:i/>
          <w:iCs/>
          <w:sz w:val="20"/>
        </w:rPr>
        <w:t xml:space="preserve">adically </w:t>
      </w:r>
      <w:r>
        <w:rPr>
          <w:rFonts w:eastAsiaTheme="minorEastAsia"/>
          <w:i/>
          <w:iCs/>
          <w:sz w:val="20"/>
        </w:rPr>
        <w:t>S</w:t>
      </w:r>
      <w:r w:rsidRPr="00B2435A">
        <w:rPr>
          <w:rFonts w:eastAsiaTheme="minorEastAsia"/>
          <w:i/>
          <w:iCs/>
          <w:sz w:val="20"/>
        </w:rPr>
        <w:t xml:space="preserve">uccessful </w:t>
      </w:r>
      <w:r>
        <w:rPr>
          <w:rFonts w:eastAsiaTheme="minorEastAsia"/>
          <w:i/>
          <w:iCs/>
          <w:sz w:val="20"/>
        </w:rPr>
        <w:t>B</w:t>
      </w:r>
      <w:r w:rsidRPr="00B2435A">
        <w:rPr>
          <w:rFonts w:eastAsiaTheme="minorEastAsia"/>
          <w:i/>
          <w:iCs/>
          <w:sz w:val="20"/>
        </w:rPr>
        <w:t>usinesses</w:t>
      </w:r>
      <w:r w:rsidRPr="00B2435A">
        <w:rPr>
          <w:rFonts w:eastAsiaTheme="minorEastAsia"/>
          <w:sz w:val="20"/>
        </w:rPr>
        <w:t xml:space="preserve">. Crown </w:t>
      </w:r>
      <w:r>
        <w:rPr>
          <w:rFonts w:eastAsiaTheme="minorEastAsia"/>
          <w:sz w:val="20"/>
        </w:rPr>
        <w:t>Publishing Group: USA</w:t>
      </w:r>
      <w:r w:rsidRPr="00B2435A">
        <w:rPr>
          <w:rFonts w:eastAsiaTheme="minorEastAsia"/>
          <w:sz w:val="20"/>
        </w:rPr>
        <w:t>.</w:t>
      </w:r>
    </w:p>
    <w:p w14:paraId="0DA66FD8" w14:textId="67E9B2AD" w:rsidR="00F51E86" w:rsidRDefault="00D515C7" w:rsidP="00F51E86">
      <w:pPr>
        <w:pStyle w:val="Bibliography"/>
        <w:ind w:left="720" w:hanging="720"/>
        <w:rPr>
          <w:noProof/>
          <w:sz w:val="20"/>
        </w:rPr>
      </w:pPr>
      <w:r w:rsidRPr="00883917">
        <w:rPr>
          <w:rFonts w:eastAsiaTheme="minorEastAsia"/>
          <w:sz w:val="20"/>
          <w:lang w:eastAsia="en-GB"/>
        </w:rPr>
        <w:t>RAE (2017</w:t>
      </w:r>
      <w:r w:rsidRPr="000035D2">
        <w:rPr>
          <w:rFonts w:eastAsiaTheme="minorEastAsia"/>
          <w:sz w:val="20"/>
          <w:lang w:eastAsia="en-GB"/>
        </w:rPr>
        <w:t>a</w:t>
      </w:r>
      <w:r w:rsidRPr="00883917">
        <w:rPr>
          <w:rFonts w:eastAsiaTheme="minorEastAsia"/>
          <w:sz w:val="20"/>
          <w:lang w:eastAsia="en-GB"/>
        </w:rPr>
        <w:t xml:space="preserve">). </w:t>
      </w:r>
      <w:r w:rsidRPr="00883917">
        <w:rPr>
          <w:rFonts w:eastAsiaTheme="minorEastAsia"/>
          <w:i/>
          <w:iCs/>
          <w:sz w:val="20"/>
          <w:lang w:eastAsia="en-GB"/>
        </w:rPr>
        <w:t>Engineering an economy that works for all</w:t>
      </w:r>
      <w:r w:rsidRPr="00883917">
        <w:rPr>
          <w:rFonts w:eastAsiaTheme="minorEastAsia"/>
          <w:sz w:val="20"/>
          <w:lang w:eastAsia="en-GB"/>
        </w:rPr>
        <w:t>. Report by the Royal Academy of Engineering (RAE)</w:t>
      </w:r>
      <w:r w:rsidRPr="000035D2">
        <w:rPr>
          <w:rFonts w:eastAsiaTheme="minorEastAsia"/>
          <w:sz w:val="20"/>
          <w:lang w:eastAsia="en-GB"/>
        </w:rPr>
        <w:t xml:space="preserve">. </w:t>
      </w:r>
      <w:r w:rsidRPr="00D11DC7">
        <w:rPr>
          <w:rFonts w:eastAsiaTheme="minorEastAsia"/>
          <w:sz w:val="20"/>
          <w:lang w:eastAsia="en-GB"/>
        </w:rPr>
        <w:t xml:space="preserve">Retrieved </w:t>
      </w:r>
      <w:r w:rsidR="00C5116E">
        <w:rPr>
          <w:rFonts w:eastAsiaTheme="minorEastAsia"/>
          <w:sz w:val="20"/>
          <w:lang w:eastAsia="en-GB"/>
        </w:rPr>
        <w:t>on 13</w:t>
      </w:r>
      <w:r w:rsidR="00C5116E" w:rsidRPr="00C5116E">
        <w:rPr>
          <w:rFonts w:eastAsiaTheme="minorEastAsia"/>
          <w:sz w:val="20"/>
          <w:vertAlign w:val="superscript"/>
          <w:lang w:eastAsia="en-GB"/>
        </w:rPr>
        <w:t>th</w:t>
      </w:r>
      <w:r w:rsidR="00C5116E">
        <w:rPr>
          <w:rFonts w:eastAsiaTheme="minorEastAsia"/>
          <w:sz w:val="20"/>
          <w:lang w:eastAsia="en-GB"/>
        </w:rPr>
        <w:t xml:space="preserve"> April </w:t>
      </w:r>
      <w:r w:rsidR="00B92A05">
        <w:rPr>
          <w:rFonts w:eastAsiaTheme="minorEastAsia"/>
          <w:sz w:val="20"/>
          <w:lang w:eastAsia="en-GB"/>
        </w:rPr>
        <w:t xml:space="preserve">2021 </w:t>
      </w:r>
      <w:r w:rsidRPr="00D11DC7">
        <w:rPr>
          <w:rFonts w:eastAsiaTheme="minorEastAsia"/>
          <w:sz w:val="20"/>
          <w:lang w:eastAsia="en-GB"/>
        </w:rPr>
        <w:t xml:space="preserve">from: </w:t>
      </w:r>
      <w:hyperlink r:id="rId11" w:history="1">
        <w:r w:rsidRPr="00D11DC7">
          <w:rPr>
            <w:rStyle w:val="Hyperlink"/>
            <w:rFonts w:eastAsiaTheme="minorEastAsia"/>
            <w:sz w:val="20"/>
            <w:lang w:eastAsia="en-GB"/>
          </w:rPr>
          <w:t>https://www.raeng.org.uk/publications/responses/engineering-an-economy-that-works-for-all</w:t>
        </w:r>
      </w:hyperlink>
      <w:r w:rsidRPr="00D11DC7">
        <w:rPr>
          <w:rFonts w:eastAsiaTheme="minorEastAsia"/>
          <w:sz w:val="20"/>
          <w:lang w:eastAsia="en-GB"/>
        </w:rPr>
        <w:t>.</w:t>
      </w:r>
    </w:p>
    <w:p w14:paraId="7C443B9B" w14:textId="0B7889A4" w:rsidR="00F51E86" w:rsidRDefault="00D515C7" w:rsidP="00F51E86">
      <w:pPr>
        <w:pStyle w:val="Bibliography"/>
        <w:ind w:left="720" w:hanging="720"/>
        <w:rPr>
          <w:sz w:val="20"/>
          <w:lang w:eastAsia="en-GB"/>
        </w:rPr>
      </w:pPr>
      <w:r w:rsidRPr="00883917">
        <w:rPr>
          <w:rFonts w:eastAsiaTheme="minorEastAsia"/>
          <w:sz w:val="20"/>
          <w:lang w:eastAsia="en-GB"/>
        </w:rPr>
        <w:t>RAE (2017</w:t>
      </w:r>
      <w:r w:rsidRPr="00D11DC7">
        <w:rPr>
          <w:sz w:val="20"/>
          <w:lang w:eastAsia="en-GB"/>
        </w:rPr>
        <w:t>b</w:t>
      </w:r>
      <w:r w:rsidRPr="00883917">
        <w:rPr>
          <w:rFonts w:eastAsiaTheme="minorEastAsia"/>
          <w:sz w:val="20"/>
          <w:lang w:eastAsia="en-GB"/>
        </w:rPr>
        <w:t xml:space="preserve">). </w:t>
      </w:r>
      <w:r w:rsidRPr="00E544EA">
        <w:rPr>
          <w:rFonts w:eastAsiaTheme="minorEastAsia"/>
          <w:i/>
          <w:iCs/>
          <w:sz w:val="20"/>
          <w:lang w:val="en-GB" w:eastAsia="en-GB"/>
        </w:rPr>
        <w:t>Learning to be an engineer: Implications for the education system</w:t>
      </w:r>
      <w:r w:rsidRPr="00E544EA">
        <w:rPr>
          <w:rFonts w:eastAsiaTheme="minorEastAsia"/>
          <w:sz w:val="20"/>
          <w:lang w:val="en-GB" w:eastAsia="en-GB"/>
        </w:rPr>
        <w:t xml:space="preserve">. Royal Academy of Engineering (RAE). </w:t>
      </w:r>
      <w:r w:rsidRPr="00E544EA">
        <w:rPr>
          <w:rFonts w:eastAsiaTheme="minorEastAsia"/>
          <w:sz w:val="20"/>
          <w:lang w:eastAsia="en-GB"/>
        </w:rPr>
        <w:t xml:space="preserve">Retrieved </w:t>
      </w:r>
      <w:r w:rsidR="00C5116E">
        <w:rPr>
          <w:rFonts w:eastAsiaTheme="minorEastAsia"/>
          <w:sz w:val="20"/>
          <w:lang w:eastAsia="en-GB"/>
        </w:rPr>
        <w:t>on 13</w:t>
      </w:r>
      <w:r w:rsidR="00C5116E" w:rsidRPr="00C5116E">
        <w:rPr>
          <w:rFonts w:eastAsiaTheme="minorEastAsia"/>
          <w:sz w:val="20"/>
          <w:vertAlign w:val="superscript"/>
          <w:lang w:eastAsia="en-GB"/>
        </w:rPr>
        <w:t>th</w:t>
      </w:r>
      <w:r w:rsidR="00C5116E">
        <w:rPr>
          <w:rFonts w:eastAsiaTheme="minorEastAsia"/>
          <w:sz w:val="20"/>
          <w:lang w:eastAsia="en-GB"/>
        </w:rPr>
        <w:t xml:space="preserve"> April </w:t>
      </w:r>
      <w:r w:rsidR="00B92A05">
        <w:rPr>
          <w:rFonts w:eastAsiaTheme="minorEastAsia"/>
          <w:sz w:val="20"/>
          <w:lang w:eastAsia="en-GB"/>
        </w:rPr>
        <w:t xml:space="preserve">2021 </w:t>
      </w:r>
      <w:r w:rsidRPr="00E544EA">
        <w:rPr>
          <w:rFonts w:eastAsiaTheme="minorEastAsia"/>
          <w:sz w:val="20"/>
          <w:lang w:eastAsia="en-GB"/>
        </w:rPr>
        <w:t xml:space="preserve">from: </w:t>
      </w:r>
      <w:hyperlink r:id="rId12" w:history="1">
        <w:r w:rsidRPr="00E544EA">
          <w:rPr>
            <w:rStyle w:val="Hyperlink"/>
            <w:sz w:val="20"/>
            <w:lang w:eastAsia="en-GB"/>
          </w:rPr>
          <w:t>https://www.raeng.org.uk/publications/reports/learning-to-be-an-engineer</w:t>
        </w:r>
      </w:hyperlink>
      <w:r w:rsidRPr="00E544EA">
        <w:rPr>
          <w:sz w:val="20"/>
          <w:lang w:eastAsia="en-GB"/>
        </w:rPr>
        <w:t>.</w:t>
      </w:r>
    </w:p>
    <w:p w14:paraId="22D37D76" w14:textId="77777777" w:rsidR="00F51E86" w:rsidRDefault="00D515C7" w:rsidP="00F51E86">
      <w:pPr>
        <w:pStyle w:val="Bibliography"/>
        <w:ind w:left="720" w:hanging="720"/>
        <w:rPr>
          <w:noProof/>
          <w:sz w:val="20"/>
        </w:rPr>
      </w:pPr>
      <w:r w:rsidRPr="00E544EA">
        <w:rPr>
          <w:sz w:val="20"/>
          <w:lang w:eastAsia="en-GB"/>
        </w:rPr>
        <w:lastRenderedPageBreak/>
        <w:t xml:space="preserve">Silvestre, B. S., &amp; </w:t>
      </w:r>
      <w:proofErr w:type="spellStart"/>
      <w:r w:rsidRPr="00E544EA">
        <w:rPr>
          <w:sz w:val="20"/>
          <w:lang w:eastAsia="en-GB"/>
        </w:rPr>
        <w:t>Ţîrcă</w:t>
      </w:r>
      <w:proofErr w:type="spellEnd"/>
      <w:r w:rsidRPr="00E544EA">
        <w:rPr>
          <w:sz w:val="20"/>
          <w:lang w:eastAsia="en-GB"/>
        </w:rPr>
        <w:t xml:space="preserve">, D. M. (2019). Innovations for sustainable development: Moving toward a sustainable future. </w:t>
      </w:r>
      <w:r w:rsidRPr="00E544EA">
        <w:rPr>
          <w:i/>
          <w:iCs/>
          <w:sz w:val="20"/>
          <w:lang w:eastAsia="en-GB"/>
        </w:rPr>
        <w:t>Journal of Cleaner Production</w:t>
      </w:r>
      <w:r w:rsidRPr="00E544EA">
        <w:rPr>
          <w:sz w:val="20"/>
          <w:lang w:eastAsia="en-GB"/>
        </w:rPr>
        <w:t xml:space="preserve">, </w:t>
      </w:r>
      <w:r w:rsidRPr="00E544EA">
        <w:rPr>
          <w:i/>
          <w:iCs/>
          <w:sz w:val="20"/>
          <w:lang w:eastAsia="en-GB"/>
        </w:rPr>
        <w:t>208</w:t>
      </w:r>
      <w:r w:rsidRPr="00E544EA">
        <w:rPr>
          <w:sz w:val="20"/>
          <w:lang w:eastAsia="en-GB"/>
        </w:rPr>
        <w:t>, 325-332.</w:t>
      </w:r>
    </w:p>
    <w:p w14:paraId="0408AB03" w14:textId="36709BCF" w:rsidR="00353B55" w:rsidRDefault="00D515C7" w:rsidP="00A12E9C">
      <w:pPr>
        <w:pStyle w:val="Bibliography"/>
        <w:ind w:left="720" w:hanging="720"/>
        <w:rPr>
          <w:sz w:val="20"/>
          <w:lang w:eastAsia="en-GB"/>
        </w:rPr>
      </w:pPr>
      <w:r w:rsidRPr="00E544EA">
        <w:rPr>
          <w:sz w:val="20"/>
          <w:lang w:eastAsia="en-GB"/>
        </w:rPr>
        <w:t xml:space="preserve">Soares, F. O., </w:t>
      </w:r>
      <w:proofErr w:type="spellStart"/>
      <w:r w:rsidRPr="00E544EA">
        <w:rPr>
          <w:sz w:val="20"/>
          <w:lang w:eastAsia="en-GB"/>
        </w:rPr>
        <w:t>Sepúlveda</w:t>
      </w:r>
      <w:proofErr w:type="spellEnd"/>
      <w:r w:rsidRPr="00E544EA">
        <w:rPr>
          <w:sz w:val="20"/>
          <w:lang w:eastAsia="en-GB"/>
        </w:rPr>
        <w:t xml:space="preserve">, M. J., Monteiro, S., Lima, R. M., &amp; </w:t>
      </w:r>
      <w:proofErr w:type="spellStart"/>
      <w:r w:rsidRPr="00E544EA">
        <w:rPr>
          <w:sz w:val="20"/>
          <w:lang w:eastAsia="en-GB"/>
        </w:rPr>
        <w:t>Dinis</w:t>
      </w:r>
      <w:proofErr w:type="spellEnd"/>
      <w:r w:rsidRPr="00E544EA">
        <w:rPr>
          <w:sz w:val="20"/>
          <w:lang w:eastAsia="en-GB"/>
        </w:rPr>
        <w:t xml:space="preserve">-Carvalho, J. (2013). An integrated project of entrepreneurship and innovation in engineering education. </w:t>
      </w:r>
      <w:r w:rsidRPr="00E544EA">
        <w:rPr>
          <w:i/>
          <w:iCs/>
          <w:sz w:val="20"/>
          <w:lang w:eastAsia="en-GB"/>
        </w:rPr>
        <w:t>Mechatronics</w:t>
      </w:r>
      <w:r w:rsidRPr="00E544EA">
        <w:rPr>
          <w:sz w:val="20"/>
          <w:lang w:eastAsia="en-GB"/>
        </w:rPr>
        <w:t xml:space="preserve">, </w:t>
      </w:r>
      <w:r w:rsidRPr="00E544EA">
        <w:rPr>
          <w:i/>
          <w:iCs/>
          <w:sz w:val="20"/>
          <w:lang w:eastAsia="en-GB"/>
        </w:rPr>
        <w:t>23</w:t>
      </w:r>
      <w:r w:rsidRPr="00E544EA">
        <w:rPr>
          <w:sz w:val="20"/>
          <w:lang w:eastAsia="en-GB"/>
        </w:rPr>
        <w:t>(8), 987-996.</w:t>
      </w:r>
    </w:p>
    <w:p w14:paraId="19163190" w14:textId="0378213B" w:rsidR="00F66ED6" w:rsidRDefault="00F66ED6" w:rsidP="00F66ED6">
      <w:pPr>
        <w:rPr>
          <w:lang w:eastAsia="en-GB"/>
        </w:rPr>
      </w:pPr>
    </w:p>
    <w:p w14:paraId="2CD4AB54" w14:textId="77777777" w:rsidR="00F66ED6" w:rsidRPr="00AA643C" w:rsidRDefault="00F66ED6" w:rsidP="00F66ED6">
      <w:pPr>
        <w:pStyle w:val="NoSpacing"/>
        <w:jc w:val="both"/>
        <w:rPr>
          <w:rFonts w:ascii="Times New Roman" w:hAnsi="Times New Roman" w:cs="Times New Roman"/>
          <w:b/>
          <w:bCs/>
          <w:sz w:val="24"/>
          <w:szCs w:val="24"/>
        </w:rPr>
      </w:pPr>
      <w:r w:rsidRPr="00AA643C">
        <w:rPr>
          <w:rFonts w:ascii="Times New Roman" w:hAnsi="Times New Roman" w:cs="Times New Roman"/>
          <w:b/>
          <w:bCs/>
          <w:sz w:val="24"/>
          <w:szCs w:val="24"/>
        </w:rPr>
        <w:t>About the Author</w:t>
      </w:r>
    </w:p>
    <w:p w14:paraId="329F8596" w14:textId="01D1ED92" w:rsidR="00F66ED6" w:rsidRPr="00F66ED6" w:rsidRDefault="00F66ED6" w:rsidP="00F66ED6">
      <w:pPr>
        <w:pStyle w:val="NoSpacing"/>
        <w:jc w:val="both"/>
        <w:rPr>
          <w:rFonts w:ascii="Times New Roman" w:hAnsi="Times New Roman" w:cs="Times New Roman"/>
          <w:sz w:val="20"/>
          <w:szCs w:val="20"/>
        </w:rPr>
      </w:pPr>
      <w:r w:rsidRPr="00AA643C">
        <w:rPr>
          <w:rFonts w:ascii="Times New Roman" w:hAnsi="Times New Roman" w:cs="Times New Roman"/>
          <w:b/>
          <w:sz w:val="20"/>
          <w:szCs w:val="20"/>
        </w:rPr>
        <w:t>Simon P. Philbin</w:t>
      </w:r>
      <w:r w:rsidRPr="00AA643C">
        <w:rPr>
          <w:rFonts w:ascii="Times New Roman" w:hAnsi="Times New Roman" w:cs="Times New Roman"/>
          <w:bCs/>
          <w:sz w:val="20"/>
          <w:szCs w:val="20"/>
        </w:rPr>
        <w:t xml:space="preserve"> </w:t>
      </w:r>
      <w:r w:rsidRPr="00AA643C">
        <w:rPr>
          <w:rFonts w:ascii="Times New Roman" w:hAnsi="Times New Roman" w:cs="Times New Roman"/>
          <w:sz w:val="20"/>
          <w:szCs w:val="20"/>
        </w:rPr>
        <w:t xml:space="preserve">is Professor and Director of Engineering and Enterprise in the School of Engineering at London South Bank University in the United Kingdom. He is published across several areas including project management, research &amp; technology management, sustainable engineering, environmental management, and chemistry. He holds a BSc (University of Birmingham) and PhD (Brunel University London) both in chemistry as well as an MBA with distinction (Open University Business School). He has experience of working with different sectors, including defence, oil &amp; gas, high-tech manufacturing and the </w:t>
      </w:r>
      <w:r>
        <w:rPr>
          <w:rFonts w:ascii="Times New Roman" w:hAnsi="Times New Roman" w:cs="Times New Roman"/>
          <w:sz w:val="20"/>
          <w:szCs w:val="20"/>
        </w:rPr>
        <w:t>construction industry</w:t>
      </w:r>
      <w:r w:rsidRPr="00AA643C">
        <w:rPr>
          <w:rFonts w:ascii="Times New Roman" w:hAnsi="Times New Roman" w:cs="Times New Roman"/>
          <w:sz w:val="20"/>
          <w:szCs w:val="20"/>
        </w:rPr>
        <w:t xml:space="preserve">. Previous academic positions include Visiting Fellow at Imperial College Business School and Visiting Fellow in the School of Business, Economics and Informatics at </w:t>
      </w:r>
      <w:r w:rsidRPr="00AA643C">
        <w:rPr>
          <w:rFonts w:ascii="Times New Roman" w:hAnsi="Times New Roman" w:cs="Times New Roman"/>
          <w:kern w:val="28"/>
          <w:sz w:val="20"/>
          <w:szCs w:val="20"/>
        </w:rPr>
        <w:t>Birkbeck, University of London.</w:t>
      </w:r>
      <w:r w:rsidRPr="00AA643C">
        <w:rPr>
          <w:rFonts w:ascii="Times New Roman" w:hAnsi="Times New Roman" w:cs="Times New Roman"/>
          <w:sz w:val="20"/>
          <w:szCs w:val="20"/>
        </w:rPr>
        <w:t xml:space="preserve"> He is a Fellow of the Royal Society of Chemistry</w:t>
      </w:r>
      <w:r>
        <w:rPr>
          <w:rFonts w:ascii="Times New Roman" w:hAnsi="Times New Roman" w:cs="Times New Roman"/>
          <w:sz w:val="20"/>
          <w:szCs w:val="20"/>
        </w:rPr>
        <w:t>,</w:t>
      </w:r>
      <w:r w:rsidRPr="00AA643C">
        <w:rPr>
          <w:rFonts w:ascii="Times New Roman" w:hAnsi="Times New Roman" w:cs="Times New Roman"/>
          <w:sz w:val="20"/>
          <w:szCs w:val="20"/>
        </w:rPr>
        <w:t xml:space="preserve"> Fellow of the American Society for Engineering Management and Fellow of the Higher Education Academy.</w:t>
      </w:r>
    </w:p>
    <w:sectPr w:rsidR="00F66ED6" w:rsidRPr="00F66ED6" w:rsidSect="00FF0B9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C94C" w14:textId="77777777" w:rsidR="00E84ACD" w:rsidRDefault="00E84ACD">
      <w:r>
        <w:separator/>
      </w:r>
    </w:p>
  </w:endnote>
  <w:endnote w:type="continuationSeparator" w:id="0">
    <w:p w14:paraId="61381B0D" w14:textId="77777777" w:rsidR="00E84ACD" w:rsidRDefault="00E8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E42B" w14:textId="77777777"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52413"/>
      <w:docPartObj>
        <w:docPartGallery w:val="Page Numbers (Bottom of Page)"/>
        <w:docPartUnique/>
      </w:docPartObj>
    </w:sdtPr>
    <w:sdtEndPr>
      <w:rPr>
        <w:noProof/>
        <w:sz w:val="20"/>
      </w:rPr>
    </w:sdtEndPr>
    <w:sdtContent>
      <w:p w14:paraId="62AB8D11" w14:textId="77777777" w:rsidR="00FF0B90" w:rsidRPr="00817DF2" w:rsidRDefault="00FF0B90">
        <w:pPr>
          <w:pStyle w:val="Footer"/>
          <w:jc w:val="right"/>
          <w:rPr>
            <w:sz w:val="20"/>
          </w:rPr>
        </w:pPr>
        <w:r w:rsidRPr="00817DF2">
          <w:rPr>
            <w:sz w:val="20"/>
          </w:rPr>
          <w:fldChar w:fldCharType="begin"/>
        </w:r>
        <w:r w:rsidRPr="00817DF2">
          <w:rPr>
            <w:sz w:val="20"/>
          </w:rPr>
          <w:instrText xml:space="preserve"> PAGE   \* MERGEFORMAT </w:instrText>
        </w:r>
        <w:r w:rsidRPr="00817DF2">
          <w:rPr>
            <w:sz w:val="20"/>
          </w:rPr>
          <w:fldChar w:fldCharType="separate"/>
        </w:r>
        <w:r w:rsidR="003226B6">
          <w:rPr>
            <w:noProof/>
            <w:sz w:val="20"/>
          </w:rPr>
          <w:t>4</w:t>
        </w:r>
        <w:r w:rsidRPr="00817DF2">
          <w:rPr>
            <w:noProof/>
            <w:sz w:val="20"/>
          </w:rPr>
          <w:fldChar w:fldCharType="end"/>
        </w:r>
      </w:p>
    </w:sdtContent>
  </w:sdt>
  <w:p w14:paraId="6A4FA262" w14:textId="77777777" w:rsidR="00FF0B90" w:rsidRPr="00EA23A2" w:rsidRDefault="00FF0B90" w:rsidP="00FF0B90">
    <w:pPr>
      <w:pStyle w:val="Footer"/>
      <w:jc w:val="center"/>
      <w:rPr>
        <w:sz w:val="16"/>
        <w:lang w:val="en-US"/>
      </w:rPr>
    </w:pPr>
    <w:r>
      <w:rPr>
        <w:sz w:val="16"/>
      </w:rPr>
      <w:t>Copyright, American Society</w:t>
    </w:r>
    <w:r w:rsidR="00B127D7">
      <w:rPr>
        <w:sz w:val="16"/>
      </w:rPr>
      <w:t xml:space="preserve"> </w:t>
    </w:r>
    <w:r w:rsidR="006E5ECB">
      <w:rPr>
        <w:sz w:val="16"/>
      </w:rPr>
      <w:t>for Engineering Management,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DE80" w14:textId="77777777" w:rsidR="00B1732A" w:rsidRPr="002E52AE" w:rsidRDefault="007C45C4" w:rsidP="00B1732A">
    <w:pPr>
      <w:pStyle w:val="Footer"/>
      <w:jc w:val="center"/>
      <w:rPr>
        <w:sz w:val="16"/>
        <w:lang w:val="en-US"/>
      </w:rPr>
    </w:pPr>
    <w:r w:rsidRPr="00B25097">
      <w:rPr>
        <w:sz w:val="16"/>
      </w:rPr>
      <w:t xml:space="preserve">Copyright, American Society </w:t>
    </w:r>
    <w:r w:rsidR="009A0CD2">
      <w:rPr>
        <w:sz w:val="16"/>
      </w:rPr>
      <w:t>for Engineering Management, 20</w:t>
    </w:r>
    <w:r w:rsidR="006E5ECB">
      <w:rPr>
        <w:sz w:val="16"/>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7D5A" w14:textId="77777777" w:rsidR="00E84ACD" w:rsidRDefault="00E84ACD">
      <w:r>
        <w:separator/>
      </w:r>
    </w:p>
  </w:footnote>
  <w:footnote w:type="continuationSeparator" w:id="0">
    <w:p w14:paraId="04874A5B" w14:textId="77777777" w:rsidR="00E84ACD" w:rsidRDefault="00E84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D73E" w14:textId="77777777"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D40D" w14:textId="6622DE73" w:rsidR="003226B6" w:rsidRPr="003226B6" w:rsidRDefault="00524C4A" w:rsidP="003226B6">
    <w:pPr>
      <w:pStyle w:val="Header"/>
      <w:jc w:val="center"/>
      <w:rPr>
        <w:i/>
        <w:sz w:val="20"/>
        <w:lang w:val="en-US"/>
      </w:rPr>
    </w:pPr>
    <w:r>
      <w:rPr>
        <w:i/>
        <w:sz w:val="20"/>
        <w:lang w:val="en-US"/>
      </w:rPr>
      <w:t>Philbin, 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F818" w14:textId="77777777" w:rsidR="00DC5844" w:rsidRDefault="00DC5844" w:rsidP="00DC5844">
    <w:pPr>
      <w:pStyle w:val="Header"/>
      <w:rPr>
        <w:i/>
        <w:sz w:val="20"/>
      </w:rPr>
    </w:pPr>
    <w:r>
      <w:rPr>
        <w:i/>
        <w:sz w:val="20"/>
      </w:rPr>
      <w:t>Proceedings of the American Society</w:t>
    </w:r>
    <w:r w:rsidR="002E52AE">
      <w:rPr>
        <w:i/>
        <w:sz w:val="20"/>
      </w:rPr>
      <w:t xml:space="preserve"> for Engineering Management 2</w:t>
    </w:r>
    <w:r w:rsidR="002E52AE">
      <w:rPr>
        <w:i/>
        <w:sz w:val="20"/>
        <w:lang w:val="en-US"/>
      </w:rPr>
      <w:t>02</w:t>
    </w:r>
    <w:r w:rsidR="00E46461">
      <w:rPr>
        <w:i/>
        <w:sz w:val="20"/>
        <w:lang w:val="en-US"/>
      </w:rPr>
      <w:t>1</w:t>
    </w:r>
    <w:r>
      <w:rPr>
        <w:i/>
        <w:sz w:val="20"/>
      </w:rPr>
      <w:t xml:space="preserve"> International Annual Conference</w:t>
    </w:r>
  </w:p>
  <w:p w14:paraId="72AC8FCD" w14:textId="77777777" w:rsidR="00DC5844" w:rsidRPr="00DC5844" w:rsidRDefault="00E46461">
    <w:pPr>
      <w:pStyle w:val="Header"/>
      <w:rPr>
        <w:i/>
        <w:sz w:val="20"/>
      </w:rPr>
    </w:pPr>
    <w:r>
      <w:rPr>
        <w:i/>
        <w:sz w:val="20"/>
        <w:lang w:val="en-US"/>
      </w:rPr>
      <w:t>G. Natarajan, E.H. Ng, and P.F. Katina</w:t>
    </w:r>
    <w:r w:rsidR="005D4B68">
      <w:rPr>
        <w:i/>
        <w:sz w:val="20"/>
      </w:rPr>
      <w:t xml:space="preserve"> 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683F"/>
    <w:multiLevelType w:val="hybridMultilevel"/>
    <w:tmpl w:val="F8F431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73182"/>
    <w:multiLevelType w:val="hybridMultilevel"/>
    <w:tmpl w:val="0E18116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A3AD3"/>
    <w:multiLevelType w:val="hybridMultilevel"/>
    <w:tmpl w:val="FF48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36A9F"/>
    <w:multiLevelType w:val="hybridMultilevel"/>
    <w:tmpl w:val="57CC98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BE5DF0"/>
    <w:multiLevelType w:val="hybridMultilevel"/>
    <w:tmpl w:val="1656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D791D"/>
    <w:multiLevelType w:val="hybridMultilevel"/>
    <w:tmpl w:val="4C805D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A94541"/>
    <w:multiLevelType w:val="hybridMultilevel"/>
    <w:tmpl w:val="0DEEC1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FF"/>
    <w:rsid w:val="0007465F"/>
    <w:rsid w:val="00080577"/>
    <w:rsid w:val="000A18B5"/>
    <w:rsid w:val="000C000D"/>
    <w:rsid w:val="000D4704"/>
    <w:rsid w:val="00102E13"/>
    <w:rsid w:val="00106935"/>
    <w:rsid w:val="00114BF1"/>
    <w:rsid w:val="001157C9"/>
    <w:rsid w:val="00122A91"/>
    <w:rsid w:val="0012404C"/>
    <w:rsid w:val="00134A9D"/>
    <w:rsid w:val="00163F7C"/>
    <w:rsid w:val="001927F6"/>
    <w:rsid w:val="001A1031"/>
    <w:rsid w:val="001B6EA9"/>
    <w:rsid w:val="001C5466"/>
    <w:rsid w:val="001D21BC"/>
    <w:rsid w:val="001E74F8"/>
    <w:rsid w:val="00222E7D"/>
    <w:rsid w:val="00232025"/>
    <w:rsid w:val="00243F01"/>
    <w:rsid w:val="002924B3"/>
    <w:rsid w:val="002A2E55"/>
    <w:rsid w:val="002B6492"/>
    <w:rsid w:val="002B678F"/>
    <w:rsid w:val="002D0F71"/>
    <w:rsid w:val="002E52AE"/>
    <w:rsid w:val="002F1BF3"/>
    <w:rsid w:val="002F6EEC"/>
    <w:rsid w:val="00300ACB"/>
    <w:rsid w:val="00303145"/>
    <w:rsid w:val="00306622"/>
    <w:rsid w:val="003141B8"/>
    <w:rsid w:val="003214F3"/>
    <w:rsid w:val="003226B6"/>
    <w:rsid w:val="0032322A"/>
    <w:rsid w:val="00327579"/>
    <w:rsid w:val="00327FBC"/>
    <w:rsid w:val="00340730"/>
    <w:rsid w:val="00353B55"/>
    <w:rsid w:val="003612B3"/>
    <w:rsid w:val="003A06B8"/>
    <w:rsid w:val="003F7442"/>
    <w:rsid w:val="00431D3A"/>
    <w:rsid w:val="004378D2"/>
    <w:rsid w:val="00437D31"/>
    <w:rsid w:val="004463A9"/>
    <w:rsid w:val="00477D32"/>
    <w:rsid w:val="00481909"/>
    <w:rsid w:val="00485972"/>
    <w:rsid w:val="00487F38"/>
    <w:rsid w:val="00495068"/>
    <w:rsid w:val="004B0947"/>
    <w:rsid w:val="004B0E79"/>
    <w:rsid w:val="004B54E4"/>
    <w:rsid w:val="004E4F03"/>
    <w:rsid w:val="0051238F"/>
    <w:rsid w:val="00524C4A"/>
    <w:rsid w:val="00532ECD"/>
    <w:rsid w:val="005363FF"/>
    <w:rsid w:val="005456DC"/>
    <w:rsid w:val="00550DB1"/>
    <w:rsid w:val="00552F83"/>
    <w:rsid w:val="005541FB"/>
    <w:rsid w:val="00557C66"/>
    <w:rsid w:val="00560EC6"/>
    <w:rsid w:val="00561F47"/>
    <w:rsid w:val="00567A7A"/>
    <w:rsid w:val="00572B91"/>
    <w:rsid w:val="00576FA6"/>
    <w:rsid w:val="005B162C"/>
    <w:rsid w:val="005C2043"/>
    <w:rsid w:val="005D4B68"/>
    <w:rsid w:val="005F2388"/>
    <w:rsid w:val="005F549F"/>
    <w:rsid w:val="006237B7"/>
    <w:rsid w:val="00624A0D"/>
    <w:rsid w:val="00626576"/>
    <w:rsid w:val="00636907"/>
    <w:rsid w:val="00642F77"/>
    <w:rsid w:val="00643044"/>
    <w:rsid w:val="00651A32"/>
    <w:rsid w:val="0065425A"/>
    <w:rsid w:val="00667AE3"/>
    <w:rsid w:val="006919FF"/>
    <w:rsid w:val="00694675"/>
    <w:rsid w:val="006B4F43"/>
    <w:rsid w:val="006B5DEC"/>
    <w:rsid w:val="006C7A8D"/>
    <w:rsid w:val="006E5ECB"/>
    <w:rsid w:val="006F3559"/>
    <w:rsid w:val="00702370"/>
    <w:rsid w:val="007025DA"/>
    <w:rsid w:val="00717F6D"/>
    <w:rsid w:val="007429E6"/>
    <w:rsid w:val="00742AFE"/>
    <w:rsid w:val="00742FC7"/>
    <w:rsid w:val="00747105"/>
    <w:rsid w:val="00752ED6"/>
    <w:rsid w:val="00776773"/>
    <w:rsid w:val="0078109B"/>
    <w:rsid w:val="007968FE"/>
    <w:rsid w:val="007A149D"/>
    <w:rsid w:val="007A6DDC"/>
    <w:rsid w:val="007B4E0C"/>
    <w:rsid w:val="007C45C4"/>
    <w:rsid w:val="007F2A39"/>
    <w:rsid w:val="008115EF"/>
    <w:rsid w:val="00817DF2"/>
    <w:rsid w:val="00837221"/>
    <w:rsid w:val="00864ABE"/>
    <w:rsid w:val="00890EC8"/>
    <w:rsid w:val="008A4C7F"/>
    <w:rsid w:val="008B5A5F"/>
    <w:rsid w:val="008E6438"/>
    <w:rsid w:val="008F5B44"/>
    <w:rsid w:val="00904079"/>
    <w:rsid w:val="00917691"/>
    <w:rsid w:val="009263D5"/>
    <w:rsid w:val="0092701D"/>
    <w:rsid w:val="009318C8"/>
    <w:rsid w:val="00934C3C"/>
    <w:rsid w:val="00937687"/>
    <w:rsid w:val="00942A49"/>
    <w:rsid w:val="00944374"/>
    <w:rsid w:val="00964C6B"/>
    <w:rsid w:val="009A0CD2"/>
    <w:rsid w:val="009B0756"/>
    <w:rsid w:val="009B1118"/>
    <w:rsid w:val="009B3F2A"/>
    <w:rsid w:val="009B5AE4"/>
    <w:rsid w:val="009D7C7F"/>
    <w:rsid w:val="00A12E9C"/>
    <w:rsid w:val="00A414C6"/>
    <w:rsid w:val="00A55FDF"/>
    <w:rsid w:val="00A56AB8"/>
    <w:rsid w:val="00A757E4"/>
    <w:rsid w:val="00A8675D"/>
    <w:rsid w:val="00A96DA6"/>
    <w:rsid w:val="00AA358A"/>
    <w:rsid w:val="00AD6CA2"/>
    <w:rsid w:val="00AE3EA0"/>
    <w:rsid w:val="00AE52DB"/>
    <w:rsid w:val="00AF4E82"/>
    <w:rsid w:val="00B039D7"/>
    <w:rsid w:val="00B127D7"/>
    <w:rsid w:val="00B1732A"/>
    <w:rsid w:val="00B45369"/>
    <w:rsid w:val="00B62A03"/>
    <w:rsid w:val="00B67E73"/>
    <w:rsid w:val="00B92A05"/>
    <w:rsid w:val="00BA0886"/>
    <w:rsid w:val="00BB7464"/>
    <w:rsid w:val="00BC1AF7"/>
    <w:rsid w:val="00BC7AEB"/>
    <w:rsid w:val="00BD2013"/>
    <w:rsid w:val="00BD2203"/>
    <w:rsid w:val="00C043A3"/>
    <w:rsid w:val="00C04D4F"/>
    <w:rsid w:val="00C36530"/>
    <w:rsid w:val="00C36666"/>
    <w:rsid w:val="00C5116E"/>
    <w:rsid w:val="00C5679F"/>
    <w:rsid w:val="00C70F18"/>
    <w:rsid w:val="00C73C9E"/>
    <w:rsid w:val="00C77D88"/>
    <w:rsid w:val="00C86498"/>
    <w:rsid w:val="00CA394A"/>
    <w:rsid w:val="00CB79E3"/>
    <w:rsid w:val="00CD10F8"/>
    <w:rsid w:val="00CD1820"/>
    <w:rsid w:val="00CE48DF"/>
    <w:rsid w:val="00D148C4"/>
    <w:rsid w:val="00D254F4"/>
    <w:rsid w:val="00D426A1"/>
    <w:rsid w:val="00D5093B"/>
    <w:rsid w:val="00D515C7"/>
    <w:rsid w:val="00D56484"/>
    <w:rsid w:val="00D56694"/>
    <w:rsid w:val="00D56DE3"/>
    <w:rsid w:val="00D66D2E"/>
    <w:rsid w:val="00D822B0"/>
    <w:rsid w:val="00DA46BC"/>
    <w:rsid w:val="00DB59F3"/>
    <w:rsid w:val="00DC5844"/>
    <w:rsid w:val="00E225F9"/>
    <w:rsid w:val="00E46461"/>
    <w:rsid w:val="00E478DE"/>
    <w:rsid w:val="00E55BB9"/>
    <w:rsid w:val="00E61F56"/>
    <w:rsid w:val="00E70826"/>
    <w:rsid w:val="00E84ACD"/>
    <w:rsid w:val="00E95357"/>
    <w:rsid w:val="00E96F9B"/>
    <w:rsid w:val="00EA23A2"/>
    <w:rsid w:val="00EA6CEC"/>
    <w:rsid w:val="00EC6A89"/>
    <w:rsid w:val="00ED427E"/>
    <w:rsid w:val="00EE7B0A"/>
    <w:rsid w:val="00F06CCC"/>
    <w:rsid w:val="00F10158"/>
    <w:rsid w:val="00F2445D"/>
    <w:rsid w:val="00F33D95"/>
    <w:rsid w:val="00F40FEA"/>
    <w:rsid w:val="00F410D7"/>
    <w:rsid w:val="00F51E86"/>
    <w:rsid w:val="00F66ED6"/>
    <w:rsid w:val="00F901F4"/>
    <w:rsid w:val="00FB5248"/>
    <w:rsid w:val="00FD3436"/>
    <w:rsid w:val="00FF0B9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7384B06"/>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 w:type="character" w:customStyle="1" w:styleId="lrzxr">
    <w:name w:val="lrzxr"/>
    <w:basedOn w:val="DefaultParagraphFont"/>
    <w:rsid w:val="00D515C7"/>
  </w:style>
  <w:style w:type="paragraph" w:styleId="ListParagraph">
    <w:name w:val="List Paragraph"/>
    <w:basedOn w:val="Normal"/>
    <w:uiPriority w:val="34"/>
    <w:qFormat/>
    <w:rsid w:val="00D515C7"/>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39"/>
    <w:rsid w:val="00D515C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D515C7"/>
  </w:style>
  <w:style w:type="paragraph" w:styleId="NormalWeb">
    <w:name w:val="Normal (Web)"/>
    <w:basedOn w:val="Normal"/>
    <w:uiPriority w:val="99"/>
    <w:unhideWhenUsed/>
    <w:rsid w:val="00D515C7"/>
    <w:pPr>
      <w:spacing w:before="100" w:beforeAutospacing="1" w:after="100" w:afterAutospacing="1"/>
    </w:pPr>
    <w:rPr>
      <w:szCs w:val="24"/>
      <w:lang w:val="en-GB" w:eastAsia="en-GB"/>
    </w:rPr>
  </w:style>
  <w:style w:type="character" w:styleId="UnresolvedMention">
    <w:name w:val="Unresolved Mention"/>
    <w:basedOn w:val="DefaultParagraphFont"/>
    <w:uiPriority w:val="99"/>
    <w:semiHidden/>
    <w:unhideWhenUsed/>
    <w:rsid w:val="00D515C7"/>
    <w:rPr>
      <w:color w:val="605E5C"/>
      <w:shd w:val="clear" w:color="auto" w:fill="E1DFDD"/>
    </w:rPr>
  </w:style>
  <w:style w:type="character" w:styleId="HTMLCite">
    <w:name w:val="HTML Cite"/>
    <w:basedOn w:val="DefaultParagraphFont"/>
    <w:uiPriority w:val="99"/>
    <w:semiHidden/>
    <w:unhideWhenUsed/>
    <w:rsid w:val="00F33D95"/>
    <w:rPr>
      <w:i/>
      <w:iCs/>
    </w:rPr>
  </w:style>
  <w:style w:type="paragraph" w:styleId="NoSpacing">
    <w:name w:val="No Spacing"/>
    <w:uiPriority w:val="1"/>
    <w:qFormat/>
    <w:rsid w:val="00F66ED6"/>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5800">
      <w:bodyDiv w:val="1"/>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
      </w:divsChild>
    </w:div>
    <w:div w:id="1366061110">
      <w:bodyDiv w:val="1"/>
      <w:marLeft w:val="0"/>
      <w:marRight w:val="0"/>
      <w:marTop w:val="0"/>
      <w:marBottom w:val="0"/>
      <w:divBdr>
        <w:top w:val="none" w:sz="0" w:space="0" w:color="auto"/>
        <w:left w:val="none" w:sz="0" w:space="0" w:color="auto"/>
        <w:bottom w:val="none" w:sz="0" w:space="0" w:color="auto"/>
        <w:right w:val="none" w:sz="0" w:space="0" w:color="auto"/>
      </w:divBdr>
      <w:divsChild>
        <w:div w:id="1187254472">
          <w:marLeft w:val="0"/>
          <w:marRight w:val="0"/>
          <w:marTop w:val="0"/>
          <w:marBottom w:val="0"/>
          <w:divBdr>
            <w:top w:val="none" w:sz="0" w:space="0" w:color="auto"/>
            <w:left w:val="none" w:sz="0" w:space="0" w:color="auto"/>
            <w:bottom w:val="none" w:sz="0" w:space="0" w:color="auto"/>
            <w:right w:val="none" w:sz="0" w:space="0" w:color="auto"/>
          </w:divBdr>
        </w:div>
      </w:divsChild>
    </w:div>
    <w:div w:id="1584219346">
      <w:bodyDiv w:val="1"/>
      <w:marLeft w:val="0"/>
      <w:marRight w:val="0"/>
      <w:marTop w:val="0"/>
      <w:marBottom w:val="0"/>
      <w:divBdr>
        <w:top w:val="none" w:sz="0" w:space="0" w:color="auto"/>
        <w:left w:val="none" w:sz="0" w:space="0" w:color="auto"/>
        <w:bottom w:val="none" w:sz="0" w:space="0" w:color="auto"/>
        <w:right w:val="none" w:sz="0" w:space="0" w:color="auto"/>
      </w:divBdr>
    </w:div>
    <w:div w:id="1642268877">
      <w:bodyDiv w:val="1"/>
      <w:marLeft w:val="0"/>
      <w:marRight w:val="0"/>
      <w:marTop w:val="0"/>
      <w:marBottom w:val="0"/>
      <w:divBdr>
        <w:top w:val="none" w:sz="0" w:space="0" w:color="auto"/>
        <w:left w:val="none" w:sz="0" w:space="0" w:color="auto"/>
        <w:bottom w:val="none" w:sz="0" w:space="0" w:color="auto"/>
        <w:right w:val="none" w:sz="0" w:space="0" w:color="auto"/>
      </w:divBdr>
      <w:divsChild>
        <w:div w:id="392125589">
          <w:marLeft w:val="0"/>
          <w:marRight w:val="0"/>
          <w:marTop w:val="0"/>
          <w:marBottom w:val="0"/>
          <w:divBdr>
            <w:top w:val="none" w:sz="0" w:space="0" w:color="auto"/>
            <w:left w:val="none" w:sz="0" w:space="0" w:color="auto"/>
            <w:bottom w:val="none" w:sz="0" w:space="0" w:color="auto"/>
            <w:right w:val="none" w:sz="0" w:space="0" w:color="auto"/>
          </w:divBdr>
        </w:div>
      </w:divsChild>
    </w:div>
    <w:div w:id="1719280092">
      <w:bodyDiv w:val="1"/>
      <w:marLeft w:val="0"/>
      <w:marRight w:val="0"/>
      <w:marTop w:val="0"/>
      <w:marBottom w:val="0"/>
      <w:divBdr>
        <w:top w:val="none" w:sz="0" w:space="0" w:color="auto"/>
        <w:left w:val="none" w:sz="0" w:space="0" w:color="auto"/>
        <w:bottom w:val="none" w:sz="0" w:space="0" w:color="auto"/>
        <w:right w:val="none" w:sz="0" w:space="0" w:color="auto"/>
      </w:divBdr>
      <w:divsChild>
        <w:div w:id="182255765">
          <w:marLeft w:val="0"/>
          <w:marRight w:val="0"/>
          <w:marTop w:val="0"/>
          <w:marBottom w:val="0"/>
          <w:divBdr>
            <w:top w:val="none" w:sz="0" w:space="0" w:color="auto"/>
            <w:left w:val="none" w:sz="0" w:space="0" w:color="auto"/>
            <w:bottom w:val="none" w:sz="0" w:space="0" w:color="auto"/>
            <w:right w:val="none" w:sz="0" w:space="0" w:color="auto"/>
          </w:divBdr>
        </w:div>
      </w:divsChild>
    </w:div>
    <w:div w:id="1785033878">
      <w:bodyDiv w:val="1"/>
      <w:marLeft w:val="0"/>
      <w:marRight w:val="0"/>
      <w:marTop w:val="0"/>
      <w:marBottom w:val="0"/>
      <w:divBdr>
        <w:top w:val="none" w:sz="0" w:space="0" w:color="auto"/>
        <w:left w:val="none" w:sz="0" w:space="0" w:color="auto"/>
        <w:bottom w:val="none" w:sz="0" w:space="0" w:color="auto"/>
        <w:right w:val="none" w:sz="0" w:space="0" w:color="auto"/>
      </w:divBdr>
      <w:divsChild>
        <w:div w:id="346635945">
          <w:marLeft w:val="0"/>
          <w:marRight w:val="0"/>
          <w:marTop w:val="0"/>
          <w:marBottom w:val="0"/>
          <w:divBdr>
            <w:top w:val="none" w:sz="0" w:space="0" w:color="auto"/>
            <w:left w:val="none" w:sz="0" w:space="0" w:color="auto"/>
            <w:bottom w:val="none" w:sz="0" w:space="0" w:color="auto"/>
            <w:right w:val="none" w:sz="0" w:space="0" w:color="auto"/>
          </w:divBdr>
        </w:div>
      </w:divsChild>
    </w:div>
    <w:div w:id="1917469324">
      <w:bodyDiv w:val="1"/>
      <w:marLeft w:val="0"/>
      <w:marRight w:val="0"/>
      <w:marTop w:val="0"/>
      <w:marBottom w:val="0"/>
      <w:divBdr>
        <w:top w:val="none" w:sz="0" w:space="0" w:color="auto"/>
        <w:left w:val="none" w:sz="0" w:space="0" w:color="auto"/>
        <w:bottom w:val="none" w:sz="0" w:space="0" w:color="auto"/>
        <w:right w:val="none" w:sz="0" w:space="0" w:color="auto"/>
      </w:divBdr>
      <w:divsChild>
        <w:div w:id="908611616">
          <w:marLeft w:val="0"/>
          <w:marRight w:val="0"/>
          <w:marTop w:val="0"/>
          <w:marBottom w:val="0"/>
          <w:divBdr>
            <w:top w:val="none" w:sz="0" w:space="0" w:color="auto"/>
            <w:left w:val="none" w:sz="0" w:space="0" w:color="auto"/>
            <w:bottom w:val="none" w:sz="0" w:space="0" w:color="auto"/>
            <w:right w:val="none" w:sz="0" w:space="0" w:color="auto"/>
          </w:divBdr>
        </w:div>
      </w:divsChild>
    </w:div>
    <w:div w:id="1998142243">
      <w:bodyDiv w:val="1"/>
      <w:marLeft w:val="0"/>
      <w:marRight w:val="0"/>
      <w:marTop w:val="0"/>
      <w:marBottom w:val="0"/>
      <w:divBdr>
        <w:top w:val="none" w:sz="0" w:space="0" w:color="auto"/>
        <w:left w:val="none" w:sz="0" w:space="0" w:color="auto"/>
        <w:bottom w:val="none" w:sz="0" w:space="0" w:color="auto"/>
        <w:right w:val="none" w:sz="0" w:space="0" w:color="auto"/>
      </w:divBdr>
      <w:divsChild>
        <w:div w:id="105820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eng.org.uk/publications/reports/learning-to-be-an-engine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eng.org.uk/publications/responses/engineering-an-economy-that-works-for-a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echnologyreview.com/10-breakthrough-technologies/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28E0107D-5AEA-44C0-BF7B-D85C1F7F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5725</Words>
  <Characters>35264</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40908</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Philbin, Simon</cp:lastModifiedBy>
  <cp:revision>42</cp:revision>
  <cp:lastPrinted>2004-05-05T19:08:00Z</cp:lastPrinted>
  <dcterms:created xsi:type="dcterms:W3CDTF">2021-03-30T12:37:00Z</dcterms:created>
  <dcterms:modified xsi:type="dcterms:W3CDTF">2021-07-16T11:46:00Z</dcterms:modified>
</cp:coreProperties>
</file>