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363C3B" w14:textId="4D329A46" w:rsidR="00BB0ACF" w:rsidRPr="00A128DA" w:rsidRDefault="003D7E21" w:rsidP="00A128DA">
      <w:pPr>
        <w:pStyle w:val="02AuthorName"/>
      </w:pPr>
      <w:r>
        <w:t>Developing n</w:t>
      </w:r>
      <w:r w:rsidR="00264239">
        <w:t>ovel</w:t>
      </w:r>
      <w:r w:rsidR="00BB0ACF" w:rsidRPr="00A128DA">
        <w:t xml:space="preserve"> 5</w:t>
      </w:r>
      <w:r w:rsidR="00A128DA" w:rsidRPr="00A128DA">
        <w:rPr>
          <w:vertAlign w:val="superscript"/>
        </w:rPr>
        <w:t>th</w:t>
      </w:r>
      <w:r w:rsidR="00A128DA" w:rsidRPr="00A128DA">
        <w:t xml:space="preserve"> generation </w:t>
      </w:r>
      <w:r w:rsidR="00BB0ACF" w:rsidRPr="00A128DA">
        <w:t>district energy network</w:t>
      </w:r>
      <w:r w:rsidR="00A128DA" w:rsidRPr="00A128DA">
        <w:t>s</w:t>
      </w:r>
      <w:r w:rsidR="00BB0ACF" w:rsidRPr="00A128DA">
        <w:t xml:space="preserve"> </w:t>
      </w:r>
    </w:p>
    <w:p w14:paraId="49B1983F" w14:textId="77777777" w:rsidR="00BB0ACF" w:rsidRPr="00B3001C" w:rsidRDefault="00BB0ACF" w:rsidP="00A128DA">
      <w:pPr>
        <w:pStyle w:val="02AuthorName"/>
      </w:pPr>
    </w:p>
    <w:p w14:paraId="3D2A898B" w14:textId="4232F65C" w:rsidR="00BB0ACF" w:rsidRDefault="003E40C8" w:rsidP="00BB0ACF">
      <w:pPr>
        <w:pStyle w:val="04AbstractHeading"/>
        <w:spacing w:before="0"/>
        <w:rPr>
          <w:rFonts w:ascii="Arial" w:hAnsi="Arial" w:cs="Arial"/>
          <w:caps w:val="0"/>
          <w:sz w:val="22"/>
          <w:szCs w:val="22"/>
        </w:rPr>
      </w:pPr>
      <w:r>
        <w:rPr>
          <w:rFonts w:ascii="Arial" w:hAnsi="Arial" w:cs="Arial"/>
          <w:caps w:val="0"/>
          <w:sz w:val="22"/>
          <w:szCs w:val="22"/>
        </w:rPr>
        <w:t xml:space="preserve">Akos Revesz, Phil Jones, Chris Dunham, </w:t>
      </w:r>
      <w:r w:rsidR="00BB0ACF" w:rsidRPr="00B3001C">
        <w:rPr>
          <w:rFonts w:ascii="Arial" w:hAnsi="Arial" w:cs="Arial"/>
          <w:caps w:val="0"/>
          <w:sz w:val="22"/>
          <w:szCs w:val="22"/>
        </w:rPr>
        <w:t>Gareth Davies</w:t>
      </w:r>
      <w:r>
        <w:rPr>
          <w:rFonts w:ascii="Arial" w:hAnsi="Arial" w:cs="Arial"/>
          <w:caps w:val="0"/>
          <w:sz w:val="22"/>
          <w:szCs w:val="22"/>
        </w:rPr>
        <w:t>, Catarina Marques</w:t>
      </w:r>
      <w:r w:rsidRPr="00B3001C">
        <w:rPr>
          <w:rFonts w:ascii="Arial" w:hAnsi="Arial" w:cs="Arial"/>
          <w:caps w:val="0"/>
          <w:sz w:val="22"/>
          <w:szCs w:val="22"/>
        </w:rPr>
        <w:t xml:space="preserve">                         </w:t>
      </w:r>
      <w:r>
        <w:rPr>
          <w:rFonts w:ascii="Arial" w:hAnsi="Arial" w:cs="Arial"/>
          <w:caps w:val="0"/>
          <w:sz w:val="22"/>
          <w:szCs w:val="22"/>
        </w:rPr>
        <w:t xml:space="preserve">   </w:t>
      </w:r>
      <w:r w:rsidRPr="00B3001C">
        <w:rPr>
          <w:rFonts w:ascii="Arial" w:hAnsi="Arial" w:cs="Arial"/>
          <w:caps w:val="0"/>
          <w:sz w:val="22"/>
          <w:szCs w:val="22"/>
        </w:rPr>
        <w:t xml:space="preserve"> </w:t>
      </w:r>
      <w:r w:rsidR="00BB0ACF" w:rsidRPr="00B3001C">
        <w:rPr>
          <w:rFonts w:ascii="Arial" w:hAnsi="Arial" w:cs="Arial"/>
          <w:caps w:val="0"/>
          <w:sz w:val="22"/>
          <w:szCs w:val="22"/>
        </w:rPr>
        <w:t>Rodrigo Matabuena</w:t>
      </w:r>
      <w:r>
        <w:rPr>
          <w:rFonts w:ascii="Arial" w:hAnsi="Arial" w:cs="Arial"/>
          <w:caps w:val="0"/>
          <w:sz w:val="22"/>
          <w:szCs w:val="22"/>
        </w:rPr>
        <w:t xml:space="preserve">, </w:t>
      </w:r>
      <w:r w:rsidR="00BB0ACF" w:rsidRPr="00B3001C">
        <w:rPr>
          <w:rFonts w:ascii="Arial" w:hAnsi="Arial" w:cs="Arial"/>
          <w:caps w:val="0"/>
          <w:sz w:val="22"/>
          <w:szCs w:val="22"/>
        </w:rPr>
        <w:t>Jim Scott</w:t>
      </w:r>
      <w:r>
        <w:rPr>
          <w:rFonts w:ascii="Arial" w:hAnsi="Arial" w:cs="Arial"/>
          <w:caps w:val="0"/>
          <w:sz w:val="22"/>
          <w:szCs w:val="22"/>
        </w:rPr>
        <w:t xml:space="preserve">, </w:t>
      </w:r>
      <w:r w:rsidR="00BB0ACF" w:rsidRPr="00B3001C">
        <w:rPr>
          <w:rFonts w:ascii="Arial" w:hAnsi="Arial" w:cs="Arial"/>
          <w:caps w:val="0"/>
          <w:sz w:val="22"/>
          <w:szCs w:val="22"/>
        </w:rPr>
        <w:t>Graeme Maidment</w:t>
      </w:r>
    </w:p>
    <w:p w14:paraId="3821FC77" w14:textId="0ADF414B" w:rsidR="00D93C5B" w:rsidRDefault="00D93C5B" w:rsidP="00BB0ACF">
      <w:pPr>
        <w:pStyle w:val="04AbstractHeading"/>
        <w:spacing w:before="0"/>
        <w:rPr>
          <w:rFonts w:ascii="Arial" w:hAnsi="Arial" w:cs="Arial"/>
          <w:caps w:val="0"/>
          <w:sz w:val="22"/>
          <w:szCs w:val="22"/>
        </w:rPr>
      </w:pPr>
    </w:p>
    <w:p w14:paraId="31D8887A" w14:textId="1F52BF38" w:rsidR="00D93C5B" w:rsidRPr="00D93C5B" w:rsidRDefault="00D93C5B" w:rsidP="00BB0ACF">
      <w:pPr>
        <w:pStyle w:val="04AbstractHeading"/>
        <w:spacing w:before="0"/>
        <w:rPr>
          <w:rFonts w:ascii="Arial" w:hAnsi="Arial" w:cs="Arial"/>
          <w:b w:val="0"/>
          <w:caps w:val="0"/>
          <w:sz w:val="22"/>
          <w:szCs w:val="22"/>
        </w:rPr>
      </w:pPr>
      <w:r w:rsidRPr="00D93C5B">
        <w:rPr>
          <w:rFonts w:ascii="Arial" w:hAnsi="Arial" w:cs="Arial"/>
          <w:b w:val="0"/>
          <w:caps w:val="0"/>
          <w:sz w:val="22"/>
          <w:szCs w:val="22"/>
        </w:rPr>
        <w:t>Keywords: Thermal; Power; Mobility; Smart; Integrated; Networks</w:t>
      </w:r>
    </w:p>
    <w:p w14:paraId="23EB7F7A" w14:textId="77777777" w:rsidR="00BB0ACF" w:rsidRPr="00B3001C" w:rsidRDefault="00BB0ACF" w:rsidP="00BB0ACF">
      <w:pPr>
        <w:pStyle w:val="04AbstractHeading"/>
        <w:rPr>
          <w:rFonts w:ascii="Arial" w:hAnsi="Arial" w:cs="Arial"/>
        </w:rPr>
      </w:pPr>
      <w:r w:rsidRPr="00B3001C">
        <w:rPr>
          <w:rFonts w:ascii="Arial" w:hAnsi="Arial" w:cs="Arial"/>
        </w:rPr>
        <w:t xml:space="preserve">ABSTRACT </w:t>
      </w:r>
    </w:p>
    <w:p w14:paraId="1C8626F7" w14:textId="63589C66" w:rsidR="00BB0ACF" w:rsidRDefault="002D6303" w:rsidP="00433960">
      <w:pPr>
        <w:pStyle w:val="10Level1Heading"/>
      </w:pPr>
      <w:r>
        <w:t>Integrated smartly controlled energy networks have the potential to deliver significant reductions in carbon emission</w:t>
      </w:r>
      <w:r w:rsidR="00E07F4F">
        <w:t xml:space="preserve">s, improve air quality and </w:t>
      </w:r>
      <w:r>
        <w:t>reduce energy</w:t>
      </w:r>
      <w:r w:rsidR="0090577E">
        <w:t xml:space="preserve"> costs</w:t>
      </w:r>
      <w:r>
        <w:t xml:space="preserve"> for end-users across the world. </w:t>
      </w:r>
      <w:r w:rsidR="00BB0ACF" w:rsidRPr="00A128DA">
        <w:t>Th</w:t>
      </w:r>
      <w:r w:rsidR="00614B05">
        <w:t>is</w:t>
      </w:r>
      <w:r w:rsidR="00BB0ACF" w:rsidRPr="00A128DA">
        <w:t xml:space="preserve"> paper introduces a </w:t>
      </w:r>
      <w:r w:rsidR="009E53E3">
        <w:t xml:space="preserve">novel methodology for </w:t>
      </w:r>
      <w:r w:rsidR="0073063C">
        <w:t>the development of integrated</w:t>
      </w:r>
      <w:r w:rsidR="009E53E3">
        <w:t xml:space="preserve"> </w:t>
      </w:r>
      <w:r w:rsidR="006C1C93">
        <w:t xml:space="preserve">thermal, power and mobility </w:t>
      </w:r>
      <w:r w:rsidR="009E53E3">
        <w:t>5</w:t>
      </w:r>
      <w:r w:rsidR="009E53E3" w:rsidRPr="009E53E3">
        <w:rPr>
          <w:vertAlign w:val="superscript"/>
        </w:rPr>
        <w:t>th</w:t>
      </w:r>
      <w:r w:rsidR="009E53E3">
        <w:t xml:space="preserve"> generation (5G) </w:t>
      </w:r>
      <w:r w:rsidR="0073063C">
        <w:t xml:space="preserve">smart </w:t>
      </w:r>
      <w:r w:rsidR="009E53E3">
        <w:t>energy networks</w:t>
      </w:r>
      <w:r w:rsidR="007A115B">
        <w:t>.</w:t>
      </w:r>
      <w:r w:rsidR="006C1C93" w:rsidRPr="006C1C93">
        <w:t xml:space="preserve"> </w:t>
      </w:r>
      <w:r w:rsidR="006C1C93">
        <w:t xml:space="preserve">The </w:t>
      </w:r>
      <w:r w:rsidR="00AD1C45">
        <w:t>proposed</w:t>
      </w:r>
      <w:r w:rsidR="006C1C93">
        <w:t xml:space="preserve"> 5G concept builds on the state of the art by connect</w:t>
      </w:r>
      <w:r w:rsidR="00AD1C45">
        <w:t>ing</w:t>
      </w:r>
      <w:r w:rsidR="006C1C93">
        <w:t xml:space="preserve"> flexible electricity demands such as heat pumps, and electric vehicles to intermittent, renewable and secondary energy sources </w:t>
      </w:r>
      <w:r w:rsidR="00E07F4F">
        <w:t xml:space="preserve">and </w:t>
      </w:r>
      <w:r w:rsidR="00A534BE">
        <w:t xml:space="preserve">storage </w:t>
      </w:r>
      <w:r w:rsidR="00AD1C45">
        <w:t>using</w:t>
      </w:r>
      <w:r w:rsidR="006C1C93">
        <w:t xml:space="preserve"> artificial intelligence to facilitate optimal control </w:t>
      </w:r>
      <w:r w:rsidR="00AD1C45">
        <w:t>and</w:t>
      </w:r>
      <w:r w:rsidR="006C1C93">
        <w:t xml:space="preserve"> to maximise revenue a</w:t>
      </w:r>
      <w:r w:rsidR="00AD1C45">
        <w:t>nd carbon savings</w:t>
      </w:r>
      <w:r w:rsidR="006C1C93">
        <w:t>.</w:t>
      </w:r>
      <w:r w:rsidR="00AD1C45">
        <w:t xml:space="preserve"> </w:t>
      </w:r>
      <w:r w:rsidR="007A115B">
        <w:t xml:space="preserve">The </w:t>
      </w:r>
      <w:r w:rsidR="0073063C">
        <w:t xml:space="preserve">proposed </w:t>
      </w:r>
      <w:r w:rsidR="007A115B">
        <w:t xml:space="preserve">innovative method is being </w:t>
      </w:r>
      <w:r w:rsidR="00E07F4F">
        <w:t xml:space="preserve">applied in central London </w:t>
      </w:r>
      <w:r w:rsidR="007A115B">
        <w:t>through the development of</w:t>
      </w:r>
      <w:r w:rsidR="00BB0ACF" w:rsidRPr="00A128DA">
        <w:t xml:space="preserve"> two independent </w:t>
      </w:r>
      <w:r w:rsidR="007A115B">
        <w:t>5G</w:t>
      </w:r>
      <w:r w:rsidR="00BB0ACF" w:rsidRPr="00A128DA">
        <w:t xml:space="preserve"> smart energy </w:t>
      </w:r>
      <w:r w:rsidR="0073063C">
        <w:t>schemes</w:t>
      </w:r>
      <w:r w:rsidR="003D23F3">
        <w:t xml:space="preserve">. </w:t>
      </w:r>
      <w:r w:rsidR="00BB0ACF" w:rsidRPr="00A128DA">
        <w:t xml:space="preserve">The proposed schemes will incorporate a range of different renewables and secondary energy sources, for example waste heat from local data centres and the London </w:t>
      </w:r>
      <w:r w:rsidR="006111EA" w:rsidRPr="00A128DA">
        <w:t>Underground that</w:t>
      </w:r>
      <w:r w:rsidR="00BB0ACF" w:rsidRPr="00A128DA">
        <w:t xml:space="preserve"> will supply a large proportion of the energy demand of the overall district network capacity. Both networks will operate at close to ambient temperature, approximately 15-25°C as a </w:t>
      </w:r>
      <w:r w:rsidR="00614B05">
        <w:t>so called ‘ambient</w:t>
      </w:r>
      <w:r w:rsidR="00BB0ACF" w:rsidRPr="00A128DA">
        <w:t xml:space="preserve"> </w:t>
      </w:r>
      <w:r w:rsidR="00614B05">
        <w:t xml:space="preserve">loop’ </w:t>
      </w:r>
      <w:r w:rsidR="00BB0ACF" w:rsidRPr="00A128DA">
        <w:t xml:space="preserve">system, with individual heat pumps for each end user or building connected to the network. The system also integrates thermal and electrical storage to create additional flexibility for the network and smart control for demand-side management. </w:t>
      </w:r>
      <w:r w:rsidR="0090577E">
        <w:t>A</w:t>
      </w:r>
      <w:r w:rsidR="00BB0ACF" w:rsidRPr="00A128DA">
        <w:t xml:space="preserve"> smart </w:t>
      </w:r>
      <w:r w:rsidR="0090577E">
        <w:t xml:space="preserve">management </w:t>
      </w:r>
      <w:r w:rsidR="00BE1F72">
        <w:t xml:space="preserve">system </w:t>
      </w:r>
      <w:r w:rsidR="00BE1F72" w:rsidRPr="00A128DA">
        <w:t>flexibly</w:t>
      </w:r>
      <w:r w:rsidR="00BB0ACF" w:rsidRPr="00A128DA">
        <w:t xml:space="preserve"> control</w:t>
      </w:r>
      <w:r w:rsidR="00BE1F72">
        <w:t>s</w:t>
      </w:r>
      <w:r w:rsidR="00BB0ACF" w:rsidRPr="00A128DA">
        <w:t xml:space="preserve"> individual assets such as heat pumps and electric vehicles in response to</w:t>
      </w:r>
      <w:r w:rsidR="0090577E">
        <w:t xml:space="preserve"> price signals reflecting</w:t>
      </w:r>
      <w:r w:rsidR="00BB0ACF" w:rsidRPr="00A128DA">
        <w:t xml:space="preserve"> the intermittency of renewable energy sources</w:t>
      </w:r>
      <w:r w:rsidR="00614B05">
        <w:t xml:space="preserve"> on the el</w:t>
      </w:r>
      <w:r w:rsidR="0090577E">
        <w:t>e</w:t>
      </w:r>
      <w:r w:rsidR="00614B05">
        <w:t>ctric</w:t>
      </w:r>
      <w:r w:rsidR="0090577E">
        <w:t>i</w:t>
      </w:r>
      <w:r w:rsidR="00614B05">
        <w:t>ty grid</w:t>
      </w:r>
      <w:r w:rsidR="00BB0ACF" w:rsidRPr="00A128DA">
        <w:t>. The ambient district thermal loop</w:t>
      </w:r>
      <w:r w:rsidR="00BE1F72">
        <w:t xml:space="preserve"> </w:t>
      </w:r>
      <w:r w:rsidR="00BB0ACF" w:rsidRPr="00A128DA">
        <w:t xml:space="preserve">will distribute low carbon </w:t>
      </w:r>
      <w:r w:rsidR="003D23F3">
        <w:t xml:space="preserve">energy to a range of end users. </w:t>
      </w:r>
      <w:r w:rsidR="007A115B">
        <w:t xml:space="preserve">Results </w:t>
      </w:r>
      <w:r>
        <w:t>presented</w:t>
      </w:r>
      <w:r w:rsidR="007A115B">
        <w:t xml:space="preserve"> </w:t>
      </w:r>
      <w:r w:rsidR="009F7626">
        <w:t>in this paper</w:t>
      </w:r>
      <w:r>
        <w:t xml:space="preserve"> </w:t>
      </w:r>
      <w:r w:rsidR="00BB0ACF" w:rsidRPr="00A128DA">
        <w:t>provide</w:t>
      </w:r>
      <w:r w:rsidR="0090577E">
        <w:t xml:space="preserve"> an</w:t>
      </w:r>
      <w:r w:rsidR="00BB0ACF" w:rsidRPr="00A128DA">
        <w:t xml:space="preserve"> understanding of capital costs associated with integrated smart energy systems </w:t>
      </w:r>
      <w:r>
        <w:t xml:space="preserve">and </w:t>
      </w:r>
      <w:r w:rsidR="00BB0ACF" w:rsidRPr="00A128DA">
        <w:t xml:space="preserve">the relative performance of individual technologies in a complex system using a techno-economic modelling approach. </w:t>
      </w:r>
      <w:r w:rsidR="009F7626">
        <w:t>Overall, th</w:t>
      </w:r>
      <w:r w:rsidR="00614B05">
        <w:t>is</w:t>
      </w:r>
      <w:r w:rsidR="009F7626">
        <w:t xml:space="preserve"> paper demonstrates that </w:t>
      </w:r>
      <w:r w:rsidR="00E07F4F">
        <w:t xml:space="preserve">the implementation of the 5G concept results in </w:t>
      </w:r>
      <w:r w:rsidR="0090577E">
        <w:t>lower energy costs to consumers whilst at the same time transforming a large</w:t>
      </w:r>
      <w:r w:rsidR="008E7692">
        <w:t xml:space="preserve"> existing</w:t>
      </w:r>
      <w:r w:rsidR="0090577E">
        <w:t xml:space="preserve"> urban area to a near zero carbon energy system in terms of heating, cooling, electricity and transport</w:t>
      </w:r>
      <w:r w:rsidR="009F7626">
        <w:t>.</w:t>
      </w:r>
    </w:p>
    <w:p w14:paraId="0B999F77" w14:textId="77777777" w:rsidR="00373102" w:rsidRDefault="00373102" w:rsidP="008D5B21">
      <w:pPr>
        <w:pStyle w:val="10Level1Heading"/>
      </w:pPr>
    </w:p>
    <w:p w14:paraId="2A0E6D21" w14:textId="77777777" w:rsidR="00BB0ACF" w:rsidRDefault="00BB0ACF" w:rsidP="00695093">
      <w:pPr>
        <w:pStyle w:val="ListParagraph"/>
        <w:numPr>
          <w:ilvl w:val="0"/>
          <w:numId w:val="1"/>
        </w:numPr>
        <w:rPr>
          <w:rFonts w:ascii="Arial" w:hAnsi="Arial" w:cs="Arial"/>
          <w:b/>
        </w:rPr>
      </w:pPr>
      <w:r w:rsidRPr="00695093">
        <w:rPr>
          <w:rFonts w:ascii="Arial" w:hAnsi="Arial" w:cs="Arial"/>
          <w:b/>
        </w:rPr>
        <w:t>INTRODUCTION</w:t>
      </w:r>
    </w:p>
    <w:p w14:paraId="067D5BB1" w14:textId="77777777" w:rsidR="00695093" w:rsidRPr="00695093" w:rsidRDefault="00695093" w:rsidP="00695093">
      <w:pPr>
        <w:pStyle w:val="ListParagraph"/>
        <w:ind w:left="360"/>
        <w:rPr>
          <w:rFonts w:ascii="Arial" w:hAnsi="Arial" w:cs="Arial"/>
          <w:b/>
        </w:rPr>
      </w:pPr>
    </w:p>
    <w:p w14:paraId="12333A78" w14:textId="77777777" w:rsidR="00695093" w:rsidRPr="005475F6" w:rsidRDefault="00695093" w:rsidP="00695093">
      <w:pPr>
        <w:pStyle w:val="ListParagraph"/>
        <w:numPr>
          <w:ilvl w:val="1"/>
          <w:numId w:val="1"/>
        </w:numPr>
        <w:spacing w:line="276" w:lineRule="auto"/>
        <w:jc w:val="both"/>
        <w:rPr>
          <w:rFonts w:ascii="Arial" w:hAnsi="Arial" w:cs="Arial"/>
          <w:b/>
        </w:rPr>
      </w:pPr>
      <w:r w:rsidRPr="005475F6">
        <w:rPr>
          <w:rFonts w:ascii="Arial" w:hAnsi="Arial" w:cs="Arial"/>
          <w:b/>
        </w:rPr>
        <w:t>Challenge ahead for decarbonising the energy sectors</w:t>
      </w:r>
    </w:p>
    <w:p w14:paraId="533BD7DD" w14:textId="159434B7" w:rsidR="00EC785F" w:rsidRDefault="00EC785F" w:rsidP="00A128DA">
      <w:pPr>
        <w:spacing w:line="276" w:lineRule="auto"/>
        <w:jc w:val="both"/>
        <w:rPr>
          <w:rFonts w:ascii="Arial" w:hAnsi="Arial" w:cs="Arial"/>
        </w:rPr>
      </w:pPr>
      <w:r w:rsidRPr="00EC785F">
        <w:rPr>
          <w:rFonts w:ascii="Arial" w:hAnsi="Arial" w:cs="Arial"/>
        </w:rPr>
        <w:t xml:space="preserve">Countries </w:t>
      </w:r>
      <w:r>
        <w:rPr>
          <w:rFonts w:ascii="Arial" w:hAnsi="Arial" w:cs="Arial"/>
        </w:rPr>
        <w:t xml:space="preserve">around the globe </w:t>
      </w:r>
      <w:r w:rsidR="00A534BE">
        <w:rPr>
          <w:rFonts w:ascii="Arial" w:hAnsi="Arial" w:cs="Arial"/>
        </w:rPr>
        <w:t xml:space="preserve">will need </w:t>
      </w:r>
      <w:r w:rsidRPr="00EC785F">
        <w:rPr>
          <w:rFonts w:ascii="Arial" w:hAnsi="Arial" w:cs="Arial"/>
        </w:rPr>
        <w:t xml:space="preserve">to </w:t>
      </w:r>
      <w:r w:rsidR="00A534BE">
        <w:rPr>
          <w:rFonts w:ascii="Arial" w:hAnsi="Arial" w:cs="Arial"/>
        </w:rPr>
        <w:t xml:space="preserve">greatly reduce </w:t>
      </w:r>
      <w:r w:rsidRPr="00EC785F">
        <w:rPr>
          <w:rFonts w:ascii="Arial" w:hAnsi="Arial" w:cs="Arial"/>
        </w:rPr>
        <w:t xml:space="preserve">future carbon emissions from the built environment in order to meet their legally binding carbon reduction targets. These targets are </w:t>
      </w:r>
      <w:r w:rsidR="00582279">
        <w:rPr>
          <w:rFonts w:ascii="Arial" w:hAnsi="Arial" w:cs="Arial"/>
        </w:rPr>
        <w:t>generally</w:t>
      </w:r>
      <w:r w:rsidRPr="00EC785F">
        <w:rPr>
          <w:rFonts w:ascii="Arial" w:hAnsi="Arial" w:cs="Arial"/>
        </w:rPr>
        <w:t xml:space="preserve"> becoming more ambitious as </w:t>
      </w:r>
      <w:r w:rsidR="00582279">
        <w:rPr>
          <w:rFonts w:ascii="Arial" w:hAnsi="Arial" w:cs="Arial"/>
        </w:rPr>
        <w:t xml:space="preserve">it is </w:t>
      </w:r>
      <w:r w:rsidR="00A534BE">
        <w:rPr>
          <w:rFonts w:ascii="Arial" w:hAnsi="Arial" w:cs="Arial"/>
        </w:rPr>
        <w:t xml:space="preserve">recognized </w:t>
      </w:r>
      <w:r w:rsidR="00582279">
        <w:rPr>
          <w:rFonts w:ascii="Arial" w:hAnsi="Arial" w:cs="Arial"/>
        </w:rPr>
        <w:t>that</w:t>
      </w:r>
      <w:r w:rsidRPr="00EC785F">
        <w:rPr>
          <w:rFonts w:ascii="Arial" w:hAnsi="Arial" w:cs="Arial"/>
        </w:rPr>
        <w:t xml:space="preserve"> dramatic change in our climate </w:t>
      </w:r>
      <w:r w:rsidR="00582279">
        <w:rPr>
          <w:rFonts w:ascii="Arial" w:hAnsi="Arial" w:cs="Arial"/>
        </w:rPr>
        <w:t>is occurring.</w:t>
      </w:r>
      <w:r w:rsidRPr="00EC785F">
        <w:rPr>
          <w:rFonts w:ascii="Arial" w:hAnsi="Arial" w:cs="Arial"/>
        </w:rPr>
        <w:t xml:space="preserve"> </w:t>
      </w:r>
      <w:r>
        <w:rPr>
          <w:rFonts w:ascii="Arial" w:hAnsi="Arial" w:cs="Arial"/>
        </w:rPr>
        <w:t>For example, t</w:t>
      </w:r>
      <w:r w:rsidR="004A03B7" w:rsidRPr="004A03B7">
        <w:rPr>
          <w:rFonts w:ascii="Arial" w:hAnsi="Arial" w:cs="Arial"/>
        </w:rPr>
        <w:t>he UK government recently committed to reach net zero emissions by 2050, making the UK the first major industrial economy to legislate in this way</w:t>
      </w:r>
      <w:r w:rsidR="006D1342">
        <w:rPr>
          <w:rFonts w:ascii="Arial" w:hAnsi="Arial" w:cs="Arial"/>
        </w:rPr>
        <w:t xml:space="preserve"> </w:t>
      </w:r>
      <w:r w:rsidR="006D1342">
        <w:rPr>
          <w:rFonts w:ascii="Arial" w:hAnsi="Arial" w:cs="Arial"/>
        </w:rPr>
        <w:fldChar w:fldCharType="begin"/>
      </w:r>
      <w:r w:rsidR="00C07F78">
        <w:rPr>
          <w:rFonts w:ascii="Arial" w:hAnsi="Arial" w:cs="Arial"/>
        </w:rPr>
        <w:instrText xml:space="preserve"> ADDIN ZOTERO_ITEM CSL_CITATION {"citationID":"8IJD47kh","properties":{"formattedCitation":"(GOV.UK, 2019b)","plainCitation":"(GOV.UK, 2019b)","dontUpdate":true,"noteIndex":0},"citationItems":[{"id":2,"uris":["http://zotero.org/users/local/b5kcWd7h/items/F4VQKHG9"],"uri":["http://zotero.org/users/local/b5kcWd7h/items/F4VQKHG9"],"itemData":{"id":2,"type":"webpage","abstract":"The Chancellor has presented his Spring Statement to Parliament – here's a summary of what he said.","container-title":"GOV.UK","language":"en","title":"Spring Statement 2019: what you need to know","title-short":"Spring Statement 2019","URL":"https://www.gov.uk/government/news/spring-statement-2019-what-you-need-to-know","author":[{"family":"GOV.UK","given":""}],"accessed":{"date-parts":[["2019",6,26]]},"issued":{"date-parts":[["2019"]]}}}],"schema":"https://github.com/citation-style-language/schema/raw/master/csl-citation.json"} </w:instrText>
      </w:r>
      <w:r w:rsidR="006D1342">
        <w:rPr>
          <w:rFonts w:ascii="Arial" w:hAnsi="Arial" w:cs="Arial"/>
        </w:rPr>
        <w:fldChar w:fldCharType="separate"/>
      </w:r>
      <w:r w:rsidR="006D1342">
        <w:rPr>
          <w:rFonts w:ascii="Arial" w:hAnsi="Arial" w:cs="Arial"/>
        </w:rPr>
        <w:t xml:space="preserve">(GOV.UK, </w:t>
      </w:r>
      <w:r w:rsidR="006D1342">
        <w:rPr>
          <w:rFonts w:ascii="Arial" w:hAnsi="Arial" w:cs="Arial"/>
        </w:rPr>
        <w:lastRenderedPageBreak/>
        <w:t>2019</w:t>
      </w:r>
      <w:r w:rsidR="006D1342" w:rsidRPr="006D1342">
        <w:rPr>
          <w:rFonts w:ascii="Arial" w:hAnsi="Arial" w:cs="Arial"/>
        </w:rPr>
        <w:t>)</w:t>
      </w:r>
      <w:r w:rsidR="006D1342">
        <w:rPr>
          <w:rFonts w:ascii="Arial" w:hAnsi="Arial" w:cs="Arial"/>
        </w:rPr>
        <w:fldChar w:fldCharType="end"/>
      </w:r>
      <w:r w:rsidR="00C95F62">
        <w:rPr>
          <w:rFonts w:ascii="Arial" w:hAnsi="Arial" w:cs="Arial"/>
        </w:rPr>
        <w:t xml:space="preserve">. </w:t>
      </w:r>
      <w:r w:rsidR="001A31F5">
        <w:rPr>
          <w:rFonts w:ascii="Arial" w:hAnsi="Arial" w:cs="Arial"/>
        </w:rPr>
        <w:t xml:space="preserve">However, significant challenges remain to meet the 2050 goals. Key transformation is required in the way how homes are heated and vehicles are powered. </w:t>
      </w:r>
    </w:p>
    <w:p w14:paraId="1E672037" w14:textId="379463CD" w:rsidR="002B6B58" w:rsidRDefault="00EC785F" w:rsidP="009B5175">
      <w:pPr>
        <w:spacing w:line="276" w:lineRule="auto"/>
        <w:jc w:val="both"/>
        <w:rPr>
          <w:rFonts w:ascii="Arial" w:hAnsi="Arial" w:cs="Arial"/>
        </w:rPr>
      </w:pPr>
      <w:r w:rsidRPr="00EC785F">
        <w:rPr>
          <w:rFonts w:ascii="Arial" w:hAnsi="Arial" w:cs="Arial"/>
        </w:rPr>
        <w:t>Heat is the largest use of energy both in the UK and globally and is a significant contributor to global CO</w:t>
      </w:r>
      <w:r w:rsidRPr="00EC785F">
        <w:rPr>
          <w:rFonts w:ascii="Arial" w:hAnsi="Arial" w:cs="Arial"/>
          <w:vertAlign w:val="subscript"/>
        </w:rPr>
        <w:t>2</w:t>
      </w:r>
      <w:r w:rsidRPr="00EC785F">
        <w:rPr>
          <w:rFonts w:ascii="Arial" w:hAnsi="Arial" w:cs="Arial"/>
        </w:rPr>
        <w:t xml:space="preserve"> emissions. Heat accounted for over 50% of global energy consumption in 2015, with 60% of this heat consumed by industry (including agriculture) with the remaining 40% used for heating in buildings</w:t>
      </w:r>
      <w:r>
        <w:rPr>
          <w:rFonts w:ascii="Arial" w:hAnsi="Arial" w:cs="Arial"/>
        </w:rPr>
        <w:t xml:space="preserve"> </w:t>
      </w:r>
      <w:r>
        <w:rPr>
          <w:rFonts w:ascii="Arial" w:hAnsi="Arial" w:cs="Arial"/>
        </w:rPr>
        <w:fldChar w:fldCharType="begin"/>
      </w:r>
      <w:r w:rsidR="00C07F78">
        <w:rPr>
          <w:rFonts w:ascii="Arial" w:hAnsi="Arial" w:cs="Arial"/>
        </w:rPr>
        <w:instrText xml:space="preserve"> ADDIN ZOTERO_ITEM CSL_CITATION {"citationID":"zfcSB0FM","properties":{"formattedCitation":"(IEA, 2018)","plainCitation":"(IEA, 2018)","noteIndex":0},"citationItems":[{"id":61,"uris":["http://zotero.org/users/local/b5kcWd7h/items/427VJXFB"],"uri":["http://zotero.org/users/local/b5kcWd7h/items/427VJXFB"],"itemData":{"id":61,"type":"article-journal","language":"en","page":"57","source":"Zotero","title":"Renewable Heat Policies, Delivering clean heat solutions for the energy transition","author":[{"family":"IEA","given":""}],"issued":{"date-parts":[["2018"]]}}}],"schema":"https://github.com/citation-style-language/schema/raw/master/csl-citation.json"} </w:instrText>
      </w:r>
      <w:r>
        <w:rPr>
          <w:rFonts w:ascii="Arial" w:hAnsi="Arial" w:cs="Arial"/>
        </w:rPr>
        <w:fldChar w:fldCharType="separate"/>
      </w:r>
      <w:r w:rsidRPr="00EC785F">
        <w:rPr>
          <w:rFonts w:ascii="Arial" w:hAnsi="Arial" w:cs="Arial"/>
        </w:rPr>
        <w:t>(IEA, 2018)</w:t>
      </w:r>
      <w:r>
        <w:rPr>
          <w:rFonts w:ascii="Arial" w:hAnsi="Arial" w:cs="Arial"/>
        </w:rPr>
        <w:fldChar w:fldCharType="end"/>
      </w:r>
      <w:r>
        <w:rPr>
          <w:rFonts w:ascii="Arial" w:hAnsi="Arial" w:cs="Arial"/>
        </w:rPr>
        <w:t>.</w:t>
      </w:r>
      <w:r w:rsidR="00AB1934">
        <w:rPr>
          <w:rFonts w:ascii="Arial" w:hAnsi="Arial" w:cs="Arial"/>
        </w:rPr>
        <w:t xml:space="preserve"> </w:t>
      </w:r>
      <w:r w:rsidR="006C7C73" w:rsidRPr="00BB0ACF">
        <w:rPr>
          <w:rFonts w:ascii="Arial" w:hAnsi="Arial" w:cs="Arial"/>
        </w:rPr>
        <w:t>Domestic, commercial and industrial heating is responsible for around a third of the UK’s overall emissions</w:t>
      </w:r>
      <w:r w:rsidR="00E07F4F">
        <w:rPr>
          <w:rFonts w:ascii="Arial" w:hAnsi="Arial" w:cs="Arial"/>
        </w:rPr>
        <w:t xml:space="preserve"> </w:t>
      </w:r>
      <w:r w:rsidR="00E07F4F">
        <w:rPr>
          <w:rFonts w:ascii="Arial" w:hAnsi="Arial" w:cs="Arial"/>
        </w:rPr>
        <w:fldChar w:fldCharType="begin"/>
      </w:r>
      <w:r w:rsidR="00C07F78">
        <w:rPr>
          <w:rFonts w:ascii="Arial" w:hAnsi="Arial" w:cs="Arial"/>
        </w:rPr>
        <w:instrText xml:space="preserve"> ADDIN ZOTERO_ITEM CSL_CITATION {"citationID":"dDK2SRVY","properties":{"formattedCitation":"(BEIS, 2018)","plainCitation":"(BEIS, 2018)","noteIndex":0},"citationItems":[{"id":71,"uris":["http://zotero.org/users/local/b5kcWd7h/items/CUJ3SGLT"],"uri":["http://zotero.org/users/local/b5kcWd7h/items/CUJ3SGLT"],"itemData":{"id":71,"type":"article-journal","language":"en","page":"136","source":"Zotero","title":"Clean Growth - Transforming Heating - Overview of Current Evidence","author":[{"family":"BEIS","given":""}],"issued":{"date-parts":[["2018"]]}}}],"schema":"https://github.com/citation-style-language/schema/raw/master/csl-citation.json"} </w:instrText>
      </w:r>
      <w:r w:rsidR="00E07F4F">
        <w:rPr>
          <w:rFonts w:ascii="Arial" w:hAnsi="Arial" w:cs="Arial"/>
        </w:rPr>
        <w:fldChar w:fldCharType="separate"/>
      </w:r>
      <w:r w:rsidR="00E07F4F" w:rsidRPr="00E07F4F">
        <w:rPr>
          <w:rFonts w:ascii="Arial" w:hAnsi="Arial" w:cs="Arial"/>
        </w:rPr>
        <w:t>(BEIS, 2018)</w:t>
      </w:r>
      <w:r w:rsidR="00E07F4F">
        <w:rPr>
          <w:rFonts w:ascii="Arial" w:hAnsi="Arial" w:cs="Arial"/>
        </w:rPr>
        <w:fldChar w:fldCharType="end"/>
      </w:r>
      <w:r w:rsidR="00E07F4F">
        <w:rPr>
          <w:rFonts w:ascii="Arial" w:hAnsi="Arial" w:cs="Arial"/>
        </w:rPr>
        <w:t xml:space="preserve">. </w:t>
      </w:r>
      <w:r w:rsidR="004A03B7" w:rsidRPr="004A03B7">
        <w:rPr>
          <w:rFonts w:ascii="Arial" w:hAnsi="Arial" w:cs="Arial"/>
        </w:rPr>
        <w:t xml:space="preserve">The transport sector is </w:t>
      </w:r>
      <w:r w:rsidR="004A03B7">
        <w:rPr>
          <w:rFonts w:ascii="Arial" w:hAnsi="Arial" w:cs="Arial"/>
        </w:rPr>
        <w:t>also a significant</w:t>
      </w:r>
      <w:r w:rsidR="004A03B7" w:rsidRPr="004A03B7">
        <w:rPr>
          <w:rFonts w:ascii="Arial" w:hAnsi="Arial" w:cs="Arial"/>
        </w:rPr>
        <w:t>-emitting sector of the UK economy.</w:t>
      </w:r>
      <w:r w:rsidR="004A03B7">
        <w:rPr>
          <w:rFonts w:ascii="Arial" w:hAnsi="Arial" w:cs="Arial"/>
        </w:rPr>
        <w:t xml:space="preserve"> </w:t>
      </w:r>
      <w:r w:rsidR="006C7C73" w:rsidRPr="006C7C73">
        <w:rPr>
          <w:rFonts w:ascii="Arial" w:hAnsi="Arial" w:cs="Arial"/>
        </w:rPr>
        <w:t>In 2018</w:t>
      </w:r>
      <w:r w:rsidR="006C7C73">
        <w:rPr>
          <w:rFonts w:ascii="Arial" w:hAnsi="Arial" w:cs="Arial"/>
        </w:rPr>
        <w:t xml:space="preserve"> transport accounted for 33% </w:t>
      </w:r>
      <w:r w:rsidR="006C7C73" w:rsidRPr="006C7C73">
        <w:rPr>
          <w:rFonts w:ascii="Arial" w:hAnsi="Arial" w:cs="Arial"/>
        </w:rPr>
        <w:t xml:space="preserve">of all </w:t>
      </w:r>
      <w:r w:rsidR="006C7C73">
        <w:rPr>
          <w:rFonts w:ascii="Arial" w:hAnsi="Arial" w:cs="Arial"/>
        </w:rPr>
        <w:t>CO</w:t>
      </w:r>
      <w:r w:rsidR="006C7C73" w:rsidRPr="006C7C73">
        <w:rPr>
          <w:rFonts w:ascii="Arial" w:hAnsi="Arial" w:cs="Arial"/>
          <w:vertAlign w:val="subscript"/>
        </w:rPr>
        <w:t>2</w:t>
      </w:r>
      <w:r w:rsidR="006C7C73" w:rsidRPr="006C7C73">
        <w:rPr>
          <w:rFonts w:ascii="Arial" w:hAnsi="Arial" w:cs="Arial"/>
        </w:rPr>
        <w:t xml:space="preserve"> emissions</w:t>
      </w:r>
      <w:r w:rsidR="006C7C73">
        <w:rPr>
          <w:rFonts w:ascii="Arial" w:hAnsi="Arial" w:cs="Arial"/>
        </w:rPr>
        <w:t xml:space="preserve"> </w:t>
      </w:r>
      <w:r w:rsidR="006D1342">
        <w:rPr>
          <w:rFonts w:ascii="Arial" w:hAnsi="Arial" w:cs="Arial"/>
        </w:rPr>
        <w:t xml:space="preserve"> and</w:t>
      </w:r>
      <w:r w:rsidR="006C7C73" w:rsidRPr="006C7C73">
        <w:rPr>
          <w:rFonts w:ascii="Arial" w:hAnsi="Arial" w:cs="Arial"/>
        </w:rPr>
        <w:t xml:space="preserve"> </w:t>
      </w:r>
      <w:r w:rsidR="006D1342">
        <w:rPr>
          <w:rFonts w:ascii="Arial" w:hAnsi="Arial" w:cs="Arial"/>
        </w:rPr>
        <w:t>t</w:t>
      </w:r>
      <w:r w:rsidR="006C7C73" w:rsidRPr="006C7C73">
        <w:rPr>
          <w:rFonts w:ascii="Arial" w:hAnsi="Arial" w:cs="Arial"/>
        </w:rPr>
        <w:t>he l</w:t>
      </w:r>
      <w:r w:rsidR="006C7C73">
        <w:rPr>
          <w:rFonts w:ascii="Arial" w:hAnsi="Arial" w:cs="Arial"/>
        </w:rPr>
        <w:t xml:space="preserve">arge majority of emissions from </w:t>
      </w:r>
      <w:r w:rsidR="006C7C73" w:rsidRPr="006C7C73">
        <w:rPr>
          <w:rFonts w:ascii="Arial" w:hAnsi="Arial" w:cs="Arial"/>
        </w:rPr>
        <w:t>transport are from road transport</w:t>
      </w:r>
      <w:r w:rsidR="00F049A8">
        <w:rPr>
          <w:rFonts w:ascii="Arial" w:hAnsi="Arial" w:cs="Arial"/>
        </w:rPr>
        <w:t xml:space="preserve"> </w:t>
      </w:r>
      <w:r w:rsidR="008C17CA">
        <w:rPr>
          <w:rFonts w:ascii="Arial" w:hAnsi="Arial" w:cs="Arial"/>
        </w:rPr>
        <w:fldChar w:fldCharType="begin"/>
      </w:r>
      <w:r w:rsidR="008C17CA">
        <w:rPr>
          <w:rFonts w:ascii="Arial" w:hAnsi="Arial" w:cs="Arial"/>
        </w:rPr>
        <w:instrText xml:space="preserve"> ADDIN ZOTERO_ITEM CSL_CITATION {"citationID":"gZr0f3vf","properties":{"formattedCitation":"(BEIS, 2019)","plainCitation":"(BEIS, 2019)","noteIndex":0},"citationItems":[{"id":66,"uris":["http://zotero.org/users/local/b5kcWd7h/items/4SPN2QVU"],"uri":["http://zotero.org/users/local/b5kcWd7h/items/4SPN2QVU"],"itemData":{"id":66,"type":"article","title":"2018 UK GREENHOUSE GAS EMISSIONS, PROVISIONAL FIGURES, Statistical Release: National Statistics","URL":"https://assets.publishing.service.gov.uk/government/uploads/system/uploads/attachment_data/file/790626/2018-provisional-emissions-statistics-report.pdf","author":[{"family":"BEIS","given":""}],"issued":{"date-parts":[["2019"]]}}}],"schema":"https://github.com/citation-style-language/schema/raw/master/csl-citation.json"} </w:instrText>
      </w:r>
      <w:r w:rsidR="008C17CA">
        <w:rPr>
          <w:rFonts w:ascii="Arial" w:hAnsi="Arial" w:cs="Arial"/>
        </w:rPr>
        <w:fldChar w:fldCharType="separate"/>
      </w:r>
      <w:r w:rsidR="008C17CA" w:rsidRPr="008C17CA">
        <w:rPr>
          <w:rFonts w:ascii="Arial" w:hAnsi="Arial" w:cs="Arial"/>
        </w:rPr>
        <w:t>(BEIS, 2019)</w:t>
      </w:r>
      <w:r w:rsidR="008C17CA">
        <w:rPr>
          <w:rFonts w:ascii="Arial" w:hAnsi="Arial" w:cs="Arial"/>
        </w:rPr>
        <w:fldChar w:fldCharType="end"/>
      </w:r>
      <w:r w:rsidR="00AB1934">
        <w:rPr>
          <w:rFonts w:ascii="Arial" w:hAnsi="Arial" w:cs="Arial"/>
        </w:rPr>
        <w:t>.</w:t>
      </w:r>
      <w:r w:rsidR="001A31F5">
        <w:rPr>
          <w:rFonts w:ascii="Arial" w:hAnsi="Arial" w:cs="Arial"/>
        </w:rPr>
        <w:t xml:space="preserve"> According to </w:t>
      </w:r>
      <w:r w:rsidR="001A31F5">
        <w:rPr>
          <w:rFonts w:ascii="Arial" w:hAnsi="Arial" w:cs="Arial"/>
        </w:rPr>
        <w:fldChar w:fldCharType="begin"/>
      </w:r>
      <w:r w:rsidR="001A31F5">
        <w:rPr>
          <w:rFonts w:ascii="Arial" w:hAnsi="Arial" w:cs="Arial"/>
        </w:rPr>
        <w:instrText xml:space="preserve"> ADDIN ZOTERO_ITEM CSL_CITATION {"citationID":"I9vBbp4R","properties":{"formattedCitation":"(Ofgem, 2020)","plainCitation":"(Ofgem, 2020)","noteIndex":0},"citationItems":[{"id":175,"uris":["http://zotero.org/users/local/b5kcWd7h/items/WJM6DIHD"],"uri":["http://zotero.org/users/local/b5kcWd7h/items/WJM6DIHD"],"itemData":{"id":175,"type":"webpage","abstract":"This document sets out the actions we will take in the next 18 months, beginning our next steps on an urgent, but decades-long journey towards net zero.","container-title":"Ofgem","language":"en-gb","title":"Ofgem’s Decarbonisation Action Plan","URL":"https://www.ofgem.gov.uk/publications-and-updates/ofgem-s-decarbonisation-action-plan","author":[{"family":"Ofgem","given":""}],"accessed":{"date-parts":[["2020",2,11]]},"issued":{"date-parts":[["2020"]]}}}],"schema":"https://github.com/citation-style-language/schema/raw/master/csl-citation.json"} </w:instrText>
      </w:r>
      <w:r w:rsidR="001A31F5">
        <w:rPr>
          <w:rFonts w:ascii="Arial" w:hAnsi="Arial" w:cs="Arial"/>
        </w:rPr>
        <w:fldChar w:fldCharType="separate"/>
      </w:r>
      <w:r w:rsidR="001A31F5" w:rsidRPr="001A31F5">
        <w:rPr>
          <w:rFonts w:ascii="Arial" w:hAnsi="Arial" w:cs="Arial"/>
        </w:rPr>
        <w:t>Ofgem</w:t>
      </w:r>
      <w:r w:rsidR="001A31F5" w:rsidRPr="00141302">
        <w:rPr>
          <w:rFonts w:ascii="Arial" w:hAnsi="Arial" w:cs="Arial"/>
        </w:rPr>
        <w:t xml:space="preserve"> </w:t>
      </w:r>
      <w:r w:rsidR="001A31F5">
        <w:rPr>
          <w:rFonts w:ascii="Arial" w:hAnsi="Arial" w:cs="Arial"/>
        </w:rPr>
        <w:t>(</w:t>
      </w:r>
      <w:r w:rsidR="001A31F5" w:rsidRPr="00141302">
        <w:rPr>
          <w:rFonts w:ascii="Arial" w:hAnsi="Arial" w:cs="Arial"/>
        </w:rPr>
        <w:t>2020)</w:t>
      </w:r>
      <w:r w:rsidR="001A31F5">
        <w:rPr>
          <w:rFonts w:ascii="Arial" w:hAnsi="Arial" w:cs="Arial"/>
        </w:rPr>
        <w:fldChar w:fldCharType="end"/>
      </w:r>
      <w:r w:rsidR="00CF74AC">
        <w:rPr>
          <w:rFonts w:ascii="Arial" w:hAnsi="Arial" w:cs="Arial"/>
        </w:rPr>
        <w:t xml:space="preserve"> the use of electric vehicles</w:t>
      </w:r>
      <w:r w:rsidR="004C7535">
        <w:rPr>
          <w:rFonts w:ascii="Arial" w:hAnsi="Arial" w:cs="Arial"/>
        </w:rPr>
        <w:t xml:space="preserve"> (EVs)</w:t>
      </w:r>
      <w:r w:rsidR="00CF74AC">
        <w:rPr>
          <w:rFonts w:ascii="Arial" w:hAnsi="Arial" w:cs="Arial"/>
        </w:rPr>
        <w:t xml:space="preserve"> may need to grow from 230,000 today to 46 million by 2050.</w:t>
      </w:r>
      <w:r w:rsidR="00AB1934">
        <w:rPr>
          <w:rFonts w:ascii="Arial" w:hAnsi="Arial" w:cs="Arial"/>
        </w:rPr>
        <w:t xml:space="preserve"> </w:t>
      </w:r>
      <w:r w:rsidR="004C7535">
        <w:rPr>
          <w:rFonts w:ascii="Arial" w:hAnsi="Arial" w:cs="Arial"/>
        </w:rPr>
        <w:t xml:space="preserve">This </w:t>
      </w:r>
      <w:r w:rsidR="002B6B58">
        <w:rPr>
          <w:rFonts w:ascii="Arial" w:hAnsi="Arial" w:cs="Arial"/>
        </w:rPr>
        <w:t xml:space="preserve">significant level of </w:t>
      </w:r>
      <w:r w:rsidR="004C7535">
        <w:rPr>
          <w:rFonts w:ascii="Arial" w:hAnsi="Arial" w:cs="Arial"/>
        </w:rPr>
        <w:t xml:space="preserve">deployment of EVs now being supported by the UK Government through the recent announcement on the ban of selling new petrol, diesel and even hybrid cars from 2035 </w:t>
      </w:r>
      <w:r w:rsidR="002B6B58">
        <w:rPr>
          <w:rFonts w:ascii="Arial" w:hAnsi="Arial" w:cs="Arial"/>
        </w:rPr>
        <w:fldChar w:fldCharType="begin"/>
      </w:r>
      <w:r w:rsidR="002B6B58">
        <w:rPr>
          <w:rFonts w:ascii="Arial" w:hAnsi="Arial" w:cs="Arial"/>
        </w:rPr>
        <w:instrText xml:space="preserve"> ADDIN ZOTERO_ITEM CSL_CITATION {"citationID":"6Y1DejMv","properties":{"formattedCitation":"(BBC, 2020)","plainCitation":"(BBC, 2020)","noteIndex":0},"citationItems":[{"id":177,"uris":["http://zotero.org/users/local/b5kcWd7h/items/HZB48Z23"],"uri":["http://zotero.org/users/local/b5kcWd7h/items/HZB48Z23"],"itemData":{"id":177,"type":"article-newspaper","abstract":"Boris Johnson unveils the plan as he launches a \"year of climate action\" alongside Sir David Attenborough.","container-title":"BBC News","language":"en-GB","section":"Science &amp; Environment","source":"www.bbc.co.uk","title":"Ban on petrol and diesel car sales brought forward","URL":"https://www.bbc.com/news/science-environment-51366123","author":[{"family":"BBC","given":""}],"accessed":{"date-parts":[["2020",2,11]]},"issued":{"date-parts":[["2020"]]}}}],"schema":"https://github.com/citation-style-language/schema/raw/master/csl-citation.json"} </w:instrText>
      </w:r>
      <w:r w:rsidR="002B6B58">
        <w:rPr>
          <w:rFonts w:ascii="Arial" w:hAnsi="Arial" w:cs="Arial"/>
        </w:rPr>
        <w:fldChar w:fldCharType="separate"/>
      </w:r>
      <w:r w:rsidR="002B6B58" w:rsidRPr="00141302">
        <w:rPr>
          <w:rFonts w:ascii="Arial" w:hAnsi="Arial" w:cs="Arial"/>
        </w:rPr>
        <w:t>(BBC, 2020)</w:t>
      </w:r>
      <w:r w:rsidR="002B6B58">
        <w:rPr>
          <w:rFonts w:ascii="Arial" w:hAnsi="Arial" w:cs="Arial"/>
        </w:rPr>
        <w:fldChar w:fldCharType="end"/>
      </w:r>
      <w:r w:rsidR="004C7535">
        <w:rPr>
          <w:rFonts w:ascii="Arial" w:hAnsi="Arial" w:cs="Arial"/>
        </w:rPr>
        <w:t xml:space="preserve">.  </w:t>
      </w:r>
    </w:p>
    <w:p w14:paraId="77AC6429" w14:textId="00C1585F" w:rsidR="002B6B58" w:rsidRDefault="002B6B58" w:rsidP="009B5175">
      <w:pPr>
        <w:spacing w:line="276" w:lineRule="auto"/>
        <w:jc w:val="both"/>
        <w:rPr>
          <w:rFonts w:ascii="Arial" w:hAnsi="Arial" w:cs="Arial"/>
        </w:rPr>
      </w:pPr>
      <w:r>
        <w:rPr>
          <w:rFonts w:ascii="Arial" w:hAnsi="Arial" w:cs="Arial"/>
        </w:rPr>
        <w:t>So far, the UK has made good progress in reducing greenhouse gas emissions such that emissions have fallen by over 40% since 1990. In particular</w:t>
      </w:r>
      <w:r w:rsidR="00A534BE">
        <w:rPr>
          <w:rFonts w:ascii="Arial" w:hAnsi="Arial" w:cs="Arial"/>
        </w:rPr>
        <w:t xml:space="preserve">, </w:t>
      </w:r>
      <w:r>
        <w:rPr>
          <w:rFonts w:ascii="Arial" w:hAnsi="Arial" w:cs="Arial"/>
        </w:rPr>
        <w:t xml:space="preserve">power sector emissions </w:t>
      </w:r>
      <w:r w:rsidR="00A534BE">
        <w:rPr>
          <w:rFonts w:ascii="Arial" w:hAnsi="Arial" w:cs="Arial"/>
        </w:rPr>
        <w:t xml:space="preserve">have been </w:t>
      </w:r>
      <w:r>
        <w:rPr>
          <w:rFonts w:ascii="Arial" w:hAnsi="Arial" w:cs="Arial"/>
        </w:rPr>
        <w:t>reduced by almost two-thirds, due to increased</w:t>
      </w:r>
      <w:r w:rsidR="00A534BE">
        <w:rPr>
          <w:rFonts w:ascii="Arial" w:hAnsi="Arial" w:cs="Arial"/>
        </w:rPr>
        <w:t xml:space="preserve"> use of</w:t>
      </w:r>
      <w:r>
        <w:rPr>
          <w:rFonts w:ascii="Arial" w:hAnsi="Arial" w:cs="Arial"/>
        </w:rPr>
        <w:t xml:space="preserve"> renewable generation such as wind and solar </w:t>
      </w:r>
      <w:r>
        <w:rPr>
          <w:rFonts w:ascii="Arial" w:hAnsi="Arial" w:cs="Arial"/>
        </w:rPr>
        <w:fldChar w:fldCharType="begin"/>
      </w:r>
      <w:r>
        <w:rPr>
          <w:rFonts w:ascii="Arial" w:hAnsi="Arial" w:cs="Arial"/>
        </w:rPr>
        <w:instrText xml:space="preserve"> ADDIN ZOTERO_ITEM CSL_CITATION {"citationID":"tzWg7UkB","properties":{"formattedCitation":"(Ofgem, 2020)","plainCitation":"(Ofgem, 2020)","noteIndex":0},"citationItems":[{"id":175,"uris":["http://zotero.org/users/local/b5kcWd7h/items/WJM6DIHD"],"uri":["http://zotero.org/users/local/b5kcWd7h/items/WJM6DIHD"],"itemData":{"id":175,"type":"webpage","abstract":"This document sets out the actions we will take in the next 18 months, beginning our next steps on an urgent, but decades-long journey towards net zero.","container-title":"Ofgem","language":"en-gb","title":"Ofgem’s Decarbonisation Action Plan","URL":"https://www.ofgem.gov.uk/publications-and-updates/ofgem-s-decarbonisation-action-plan","author":[{"family":"Ofgem","given":""}],"accessed":{"date-parts":[["2020",2,11]]},"issued":{"date-parts":[["2020"]]}}}],"schema":"https://github.com/citation-style-language/schema/raw/master/csl-citation.json"} </w:instrText>
      </w:r>
      <w:r>
        <w:rPr>
          <w:rFonts w:ascii="Arial" w:hAnsi="Arial" w:cs="Arial"/>
        </w:rPr>
        <w:fldChar w:fldCharType="separate"/>
      </w:r>
      <w:r w:rsidRPr="00141302">
        <w:rPr>
          <w:rFonts w:ascii="Arial" w:hAnsi="Arial" w:cs="Arial"/>
        </w:rPr>
        <w:t>(Ofgem, 2020)</w:t>
      </w:r>
      <w:r>
        <w:rPr>
          <w:rFonts w:ascii="Arial" w:hAnsi="Arial" w:cs="Arial"/>
        </w:rPr>
        <w:fldChar w:fldCharType="end"/>
      </w:r>
      <w:r>
        <w:rPr>
          <w:rFonts w:ascii="Arial" w:hAnsi="Arial" w:cs="Arial"/>
        </w:rPr>
        <w:t>.</w:t>
      </w:r>
      <w:r w:rsidR="00F9434C">
        <w:rPr>
          <w:rFonts w:ascii="Arial" w:hAnsi="Arial" w:cs="Arial"/>
        </w:rPr>
        <w:t xml:space="preserve"> </w:t>
      </w:r>
      <w:r w:rsidR="00A534BE">
        <w:rPr>
          <w:rFonts w:ascii="Arial" w:hAnsi="Arial" w:cs="Arial"/>
        </w:rPr>
        <w:t xml:space="preserve">Since </w:t>
      </w:r>
      <w:r w:rsidR="004A03B7">
        <w:rPr>
          <w:rFonts w:ascii="Arial" w:hAnsi="Arial" w:cs="Arial"/>
        </w:rPr>
        <w:t xml:space="preserve">the </w:t>
      </w:r>
      <w:r w:rsidR="004A03B7" w:rsidRPr="004A03B7">
        <w:rPr>
          <w:rFonts w:ascii="Arial" w:hAnsi="Arial" w:cs="Arial"/>
        </w:rPr>
        <w:t xml:space="preserve">power generation sector has </w:t>
      </w:r>
      <w:r w:rsidR="00A534BE">
        <w:rPr>
          <w:rFonts w:ascii="Arial" w:hAnsi="Arial" w:cs="Arial"/>
        </w:rPr>
        <w:t xml:space="preserve">already </w:t>
      </w:r>
      <w:r w:rsidR="004A03B7" w:rsidRPr="004A03B7">
        <w:rPr>
          <w:rFonts w:ascii="Arial" w:hAnsi="Arial" w:cs="Arial"/>
        </w:rPr>
        <w:t>achieved significant decarbonisation</w:t>
      </w:r>
      <w:r w:rsidR="004A03B7">
        <w:rPr>
          <w:rFonts w:ascii="Arial" w:hAnsi="Arial" w:cs="Arial"/>
        </w:rPr>
        <w:t xml:space="preserve"> through the </w:t>
      </w:r>
      <w:r w:rsidR="00614B05">
        <w:rPr>
          <w:rFonts w:ascii="Arial" w:hAnsi="Arial" w:cs="Arial"/>
        </w:rPr>
        <w:t xml:space="preserve">large </w:t>
      </w:r>
      <w:r w:rsidR="00A44019">
        <w:rPr>
          <w:rFonts w:ascii="Arial" w:hAnsi="Arial" w:cs="Arial"/>
        </w:rPr>
        <w:t>increase</w:t>
      </w:r>
      <w:r w:rsidR="004A03B7">
        <w:rPr>
          <w:rFonts w:ascii="Arial" w:hAnsi="Arial" w:cs="Arial"/>
        </w:rPr>
        <w:t xml:space="preserve"> of renewable generation in recent years, </w:t>
      </w:r>
      <w:r w:rsidR="00A534BE">
        <w:rPr>
          <w:rFonts w:ascii="Arial" w:hAnsi="Arial" w:cs="Arial"/>
        </w:rPr>
        <w:t xml:space="preserve">there is now increasing focus on </w:t>
      </w:r>
      <w:r w:rsidR="004A03B7">
        <w:rPr>
          <w:rFonts w:ascii="Arial" w:hAnsi="Arial" w:cs="Arial"/>
        </w:rPr>
        <w:t>electrification of heating and transport sectors</w:t>
      </w:r>
      <w:r w:rsidR="00A534BE">
        <w:rPr>
          <w:rFonts w:ascii="Arial" w:hAnsi="Arial" w:cs="Arial"/>
        </w:rPr>
        <w:t xml:space="preserve">, which </w:t>
      </w:r>
      <w:r w:rsidR="004A03B7">
        <w:rPr>
          <w:rFonts w:ascii="Arial" w:hAnsi="Arial" w:cs="Arial"/>
        </w:rPr>
        <w:t xml:space="preserve"> provide a great opportunity for </w:t>
      </w:r>
      <w:r w:rsidR="00A534BE">
        <w:rPr>
          <w:rFonts w:ascii="Arial" w:hAnsi="Arial" w:cs="Arial"/>
        </w:rPr>
        <w:t xml:space="preserve">further significant reductions in greenhouse gas emissions enabling us to approach </w:t>
      </w:r>
      <w:r w:rsidR="004A03B7">
        <w:rPr>
          <w:rFonts w:ascii="Arial" w:hAnsi="Arial" w:cs="Arial"/>
        </w:rPr>
        <w:t>net-zero targets.</w:t>
      </w:r>
    </w:p>
    <w:p w14:paraId="7590A83A" w14:textId="1C4CBFB7" w:rsidR="006751ED" w:rsidRDefault="004A03B7" w:rsidP="00872B55">
      <w:pPr>
        <w:spacing w:line="276" w:lineRule="auto"/>
        <w:jc w:val="both"/>
        <w:rPr>
          <w:rFonts w:ascii="Arial" w:hAnsi="Arial" w:cs="Arial"/>
        </w:rPr>
      </w:pPr>
      <w:r>
        <w:rPr>
          <w:rFonts w:ascii="Arial" w:hAnsi="Arial" w:cs="Arial"/>
        </w:rPr>
        <w:t xml:space="preserve">Electrification of these sectors also provides the prospect for </w:t>
      </w:r>
      <w:r w:rsidR="00A534BE">
        <w:rPr>
          <w:rFonts w:ascii="Arial" w:hAnsi="Arial" w:cs="Arial"/>
        </w:rPr>
        <w:t xml:space="preserve">using </w:t>
      </w:r>
      <w:r>
        <w:rPr>
          <w:rFonts w:ascii="Arial" w:hAnsi="Arial" w:cs="Arial"/>
        </w:rPr>
        <w:t>smart</w:t>
      </w:r>
      <w:r w:rsidR="00CA18B4">
        <w:rPr>
          <w:rFonts w:ascii="Arial" w:hAnsi="Arial" w:cs="Arial"/>
        </w:rPr>
        <w:t xml:space="preserve"> and flexible</w:t>
      </w:r>
      <w:r>
        <w:rPr>
          <w:rFonts w:ascii="Arial" w:hAnsi="Arial" w:cs="Arial"/>
        </w:rPr>
        <w:t xml:space="preserve"> integration of multi vector energy assets</w:t>
      </w:r>
      <w:r w:rsidR="00CA18B4">
        <w:rPr>
          <w:rFonts w:ascii="Arial" w:hAnsi="Arial" w:cs="Arial"/>
        </w:rPr>
        <w:t xml:space="preserve"> and </w:t>
      </w:r>
      <w:r>
        <w:rPr>
          <w:rFonts w:ascii="Arial" w:hAnsi="Arial" w:cs="Arial"/>
        </w:rPr>
        <w:t xml:space="preserve">integrated </w:t>
      </w:r>
      <w:r w:rsidR="00CA18B4">
        <w:rPr>
          <w:rFonts w:ascii="Arial" w:hAnsi="Arial" w:cs="Arial"/>
        </w:rPr>
        <w:t>heat, power</w:t>
      </w:r>
      <w:r w:rsidR="004C0B18">
        <w:rPr>
          <w:rFonts w:ascii="Arial" w:hAnsi="Arial" w:cs="Arial"/>
        </w:rPr>
        <w:t xml:space="preserve"> and</w:t>
      </w:r>
      <w:r w:rsidR="00CA18B4">
        <w:rPr>
          <w:rFonts w:ascii="Arial" w:hAnsi="Arial" w:cs="Arial"/>
        </w:rPr>
        <w:t xml:space="preserve"> mobility </w:t>
      </w:r>
      <w:r>
        <w:rPr>
          <w:rFonts w:ascii="Arial" w:hAnsi="Arial" w:cs="Arial"/>
        </w:rPr>
        <w:t xml:space="preserve">energy systems </w:t>
      </w:r>
      <w:r w:rsidR="00614B05">
        <w:rPr>
          <w:rFonts w:ascii="Arial" w:hAnsi="Arial" w:cs="Arial"/>
        </w:rPr>
        <w:t xml:space="preserve">to </w:t>
      </w:r>
      <w:r w:rsidR="00CA18B4">
        <w:rPr>
          <w:rFonts w:ascii="Arial" w:hAnsi="Arial" w:cs="Arial"/>
        </w:rPr>
        <w:t xml:space="preserve">facilitate the UK’s transition towards a flexible, low-carbon energy economy. </w:t>
      </w:r>
      <w:r w:rsidR="00CA18B4" w:rsidRPr="00CA18B4">
        <w:rPr>
          <w:rFonts w:ascii="Arial" w:hAnsi="Arial" w:cs="Arial"/>
        </w:rPr>
        <w:t>One potential drawback</w:t>
      </w:r>
      <w:r w:rsidR="00CA18B4">
        <w:rPr>
          <w:rFonts w:ascii="Arial" w:hAnsi="Arial" w:cs="Arial"/>
        </w:rPr>
        <w:t xml:space="preserve"> </w:t>
      </w:r>
      <w:r w:rsidR="00A534BE">
        <w:rPr>
          <w:rFonts w:ascii="Arial" w:hAnsi="Arial" w:cs="Arial"/>
        </w:rPr>
        <w:t xml:space="preserve">to </w:t>
      </w:r>
      <w:r w:rsidR="00CA18B4">
        <w:rPr>
          <w:rFonts w:ascii="Arial" w:hAnsi="Arial" w:cs="Arial"/>
        </w:rPr>
        <w:t>electrification</w:t>
      </w:r>
      <w:r w:rsidR="00A534BE">
        <w:rPr>
          <w:rFonts w:ascii="Arial" w:hAnsi="Arial" w:cs="Arial"/>
        </w:rPr>
        <w:t xml:space="preserve"> of energy supply in the UK</w:t>
      </w:r>
      <w:r w:rsidR="00CA18B4" w:rsidRPr="00CA18B4">
        <w:rPr>
          <w:rFonts w:ascii="Arial" w:hAnsi="Arial" w:cs="Arial"/>
        </w:rPr>
        <w:t>, however, is that the price of natural gas in the UK is significantly cheaper than the cost of electricity. Consequently, electrification of the heating</w:t>
      </w:r>
      <w:r w:rsidR="00CA18B4">
        <w:rPr>
          <w:rFonts w:ascii="Arial" w:hAnsi="Arial" w:cs="Arial"/>
        </w:rPr>
        <w:t xml:space="preserve"> and mobility</w:t>
      </w:r>
      <w:r w:rsidR="00CA18B4" w:rsidRPr="00CA18B4">
        <w:rPr>
          <w:rFonts w:ascii="Arial" w:hAnsi="Arial" w:cs="Arial"/>
        </w:rPr>
        <w:t xml:space="preserve"> sector</w:t>
      </w:r>
      <w:r w:rsidR="00CA18B4">
        <w:rPr>
          <w:rFonts w:ascii="Arial" w:hAnsi="Arial" w:cs="Arial"/>
        </w:rPr>
        <w:t>s</w:t>
      </w:r>
      <w:r w:rsidR="00CA18B4" w:rsidRPr="00CA18B4">
        <w:rPr>
          <w:rFonts w:ascii="Arial" w:hAnsi="Arial" w:cs="Arial"/>
        </w:rPr>
        <w:t xml:space="preserve"> could result in increased energy costs for consumers unless </w:t>
      </w:r>
      <w:r w:rsidR="004C0B18">
        <w:rPr>
          <w:rFonts w:ascii="Arial" w:hAnsi="Arial" w:cs="Arial"/>
        </w:rPr>
        <w:t xml:space="preserve">appropriate </w:t>
      </w:r>
      <w:r w:rsidR="00CA18B4" w:rsidRPr="00CA18B4">
        <w:rPr>
          <w:rFonts w:ascii="Arial" w:hAnsi="Arial" w:cs="Arial"/>
        </w:rPr>
        <w:t>energy efficiency measures are</w:t>
      </w:r>
      <w:r w:rsidR="00C95F62">
        <w:rPr>
          <w:rFonts w:ascii="Arial" w:hAnsi="Arial" w:cs="Arial"/>
        </w:rPr>
        <w:t xml:space="preserve"> </w:t>
      </w:r>
      <w:r w:rsidR="004C0B18">
        <w:rPr>
          <w:rFonts w:ascii="Arial" w:hAnsi="Arial" w:cs="Arial"/>
        </w:rPr>
        <w:t>implemented at the same time</w:t>
      </w:r>
      <w:r w:rsidR="00CA18B4" w:rsidRPr="00CA18B4">
        <w:rPr>
          <w:rFonts w:ascii="Arial" w:hAnsi="Arial" w:cs="Arial"/>
        </w:rPr>
        <w:t>.</w:t>
      </w:r>
      <w:r w:rsidR="00CA18B4" w:rsidRPr="00CA18B4">
        <w:t xml:space="preserve"> </w:t>
      </w:r>
      <w:r w:rsidR="00CA18B4" w:rsidRPr="00CA18B4">
        <w:rPr>
          <w:rFonts w:ascii="Arial" w:hAnsi="Arial" w:cs="Arial"/>
        </w:rPr>
        <w:t xml:space="preserve">One way of increasing efficiency is to make the best use of locally available renewable or secondary energy sources, </w:t>
      </w:r>
      <w:r w:rsidR="004C0B18">
        <w:rPr>
          <w:rFonts w:ascii="Arial" w:hAnsi="Arial" w:cs="Arial"/>
        </w:rPr>
        <w:t>for example, by adopting</w:t>
      </w:r>
      <w:r w:rsidR="00C95F62">
        <w:rPr>
          <w:rFonts w:ascii="Arial" w:hAnsi="Arial" w:cs="Arial"/>
        </w:rPr>
        <w:t xml:space="preserve"> </w:t>
      </w:r>
      <w:r w:rsidR="00CA18B4" w:rsidRPr="00CA18B4">
        <w:rPr>
          <w:rFonts w:ascii="Arial" w:hAnsi="Arial" w:cs="Arial"/>
        </w:rPr>
        <w:t>integrated smartly controlled local energy systems</w:t>
      </w:r>
      <w:r w:rsidR="00582279">
        <w:rPr>
          <w:rFonts w:ascii="Arial" w:hAnsi="Arial" w:cs="Arial"/>
        </w:rPr>
        <w:t xml:space="preserve">, which are able to </w:t>
      </w:r>
      <w:r w:rsidR="00CA18B4" w:rsidRPr="00CA18B4">
        <w:rPr>
          <w:rFonts w:ascii="Arial" w:hAnsi="Arial" w:cs="Arial"/>
        </w:rPr>
        <w:t xml:space="preserve">deliver cleaner and cheaper energy services. </w:t>
      </w:r>
      <w:r w:rsidR="00C95F62" w:rsidRPr="00C95F62">
        <w:rPr>
          <w:rFonts w:ascii="Arial" w:hAnsi="Arial" w:cs="Arial"/>
        </w:rPr>
        <w:t xml:space="preserve">This </w:t>
      </w:r>
      <w:r w:rsidR="00A534BE">
        <w:rPr>
          <w:rFonts w:ascii="Arial" w:hAnsi="Arial" w:cs="Arial"/>
        </w:rPr>
        <w:t>includes:</w:t>
      </w:r>
      <w:r w:rsidR="00C95F62" w:rsidRPr="00C95F62">
        <w:rPr>
          <w:rFonts w:ascii="Arial" w:hAnsi="Arial" w:cs="Arial"/>
        </w:rPr>
        <w:t xml:space="preserve"> (a) new technologies, especially behind the meter generation, storage, smart home devices; (b) new platforms for demand side response and energy trading (i.e. peer to peer); and (c) new business models focusing on (cross vector) services rather than units of kWh.</w:t>
      </w:r>
      <w:r w:rsidR="00C95F62" w:rsidRPr="00C95F62">
        <w:rPr>
          <w:rFonts w:asciiTheme="majorHAnsi" w:hAnsiTheme="majorHAnsi" w:cstheme="majorHAnsi"/>
        </w:rPr>
        <w:t xml:space="preserve"> </w:t>
      </w:r>
      <w:r w:rsidR="006751ED" w:rsidRPr="006751ED">
        <w:rPr>
          <w:rFonts w:ascii="Arial" w:hAnsi="Arial" w:cs="Arial"/>
        </w:rPr>
        <w:t>Increasing decentralisation is also driving a shift towards more localised scales of energy management practices [45]. In the UK, this is exemplified by the ongoing DNO (Distribution Network Operator) -DSO (Distribution System Operator) transition, encouraging more active management on distribution networks and the provision of ancillary services at increasingly localised levels [8]. As discussed by [45], the decentralised nature of renewable energy has also seen the emergence of new types of stakeholders, including community groups and grassroots organisations, local authorities, and local enterprise partnerships working alon</w:t>
      </w:r>
      <w:r w:rsidR="006751ED">
        <w:rPr>
          <w:rFonts w:ascii="Arial" w:hAnsi="Arial" w:cs="Arial"/>
        </w:rPr>
        <w:t>gside private sector businesses.</w:t>
      </w:r>
    </w:p>
    <w:p w14:paraId="2D2658B4" w14:textId="62CD35AA" w:rsidR="00872B55" w:rsidRDefault="00F967C9" w:rsidP="00872B55">
      <w:pPr>
        <w:spacing w:line="276" w:lineRule="auto"/>
        <w:jc w:val="both"/>
        <w:rPr>
          <w:rFonts w:ascii="Arial" w:hAnsi="Arial" w:cs="Arial"/>
        </w:rPr>
      </w:pPr>
      <w:r>
        <w:rPr>
          <w:rFonts w:ascii="Arial" w:hAnsi="Arial" w:cs="Arial"/>
        </w:rPr>
        <w:t>Decentralised local energy systems can result in a</w:t>
      </w:r>
      <w:r w:rsidR="0067677B">
        <w:rPr>
          <w:rFonts w:ascii="Arial" w:hAnsi="Arial" w:cs="Arial"/>
        </w:rPr>
        <w:t xml:space="preserve"> number of benefits for the </w:t>
      </w:r>
      <w:r>
        <w:rPr>
          <w:rFonts w:ascii="Arial" w:hAnsi="Arial" w:cs="Arial"/>
        </w:rPr>
        <w:t xml:space="preserve">local </w:t>
      </w:r>
      <w:r w:rsidR="0067677B">
        <w:rPr>
          <w:rFonts w:ascii="Arial" w:hAnsi="Arial" w:cs="Arial"/>
        </w:rPr>
        <w:t>community</w:t>
      </w:r>
      <w:r>
        <w:rPr>
          <w:rFonts w:ascii="Arial" w:hAnsi="Arial" w:cs="Arial"/>
        </w:rPr>
        <w:t>.</w:t>
      </w:r>
      <w:r w:rsidR="0067677B">
        <w:rPr>
          <w:rFonts w:ascii="Arial" w:hAnsi="Arial" w:cs="Arial"/>
        </w:rPr>
        <w:t xml:space="preserve"> </w:t>
      </w:r>
      <w:r>
        <w:rPr>
          <w:rFonts w:ascii="Arial" w:hAnsi="Arial" w:cs="Arial"/>
        </w:rPr>
        <w:t>S</w:t>
      </w:r>
      <w:r w:rsidR="0067677B">
        <w:rPr>
          <w:rFonts w:ascii="Arial" w:hAnsi="Arial" w:cs="Arial"/>
        </w:rPr>
        <w:t xml:space="preserve">uch as </w:t>
      </w:r>
      <w:r>
        <w:rPr>
          <w:rFonts w:ascii="Arial" w:hAnsi="Arial" w:cs="Arial"/>
        </w:rPr>
        <w:t xml:space="preserve">local participants </w:t>
      </w:r>
      <w:r w:rsidR="0067677B">
        <w:rPr>
          <w:rFonts w:ascii="Arial" w:hAnsi="Arial" w:cs="Arial"/>
        </w:rPr>
        <w:t>be able to (i) generate, consume and sell locally own</w:t>
      </w:r>
      <w:r w:rsidR="00872B55">
        <w:rPr>
          <w:rFonts w:ascii="Arial" w:hAnsi="Arial" w:cs="Arial"/>
        </w:rPr>
        <w:t>ed</w:t>
      </w:r>
      <w:r w:rsidR="0067677B">
        <w:rPr>
          <w:rFonts w:ascii="Arial" w:hAnsi="Arial" w:cs="Arial"/>
        </w:rPr>
        <w:t xml:space="preserve"> low carbon energy, (ii) share energy within the community (iii) reduce energy bills. For example, </w:t>
      </w:r>
      <w:r w:rsidR="00872B55">
        <w:rPr>
          <w:rFonts w:ascii="Arial" w:hAnsi="Arial" w:cs="Arial"/>
        </w:rPr>
        <w:t xml:space="preserve">the </w:t>
      </w:r>
      <w:r>
        <w:rPr>
          <w:rFonts w:ascii="Arial" w:hAnsi="Arial" w:cs="Arial"/>
        </w:rPr>
        <w:lastRenderedPageBreak/>
        <w:t xml:space="preserve">results of </w:t>
      </w:r>
      <w:r w:rsidR="0067677B">
        <w:rPr>
          <w:rFonts w:ascii="Arial" w:hAnsi="Arial" w:cs="Arial"/>
        </w:rPr>
        <w:t xml:space="preserve">a Dutch case study of a local energy system </w:t>
      </w:r>
      <w:r>
        <w:rPr>
          <w:rFonts w:ascii="Arial" w:hAnsi="Arial" w:cs="Arial"/>
        </w:rPr>
        <w:t xml:space="preserve">which </w:t>
      </w:r>
      <w:r w:rsidR="0067677B">
        <w:rPr>
          <w:rFonts w:ascii="Arial" w:hAnsi="Arial" w:cs="Arial"/>
        </w:rPr>
        <w:t>was presented by</w:t>
      </w:r>
      <w:r w:rsidR="005D3687">
        <w:rPr>
          <w:rFonts w:ascii="Arial" w:hAnsi="Arial" w:cs="Arial"/>
        </w:rPr>
        <w:t xml:space="preserve"> </w:t>
      </w:r>
      <w:r w:rsidR="005D3687">
        <w:rPr>
          <w:rFonts w:ascii="Arial" w:hAnsi="Arial" w:cs="Arial"/>
        </w:rPr>
        <w:fldChar w:fldCharType="begin"/>
      </w:r>
      <w:r w:rsidR="005D3687">
        <w:rPr>
          <w:rFonts w:ascii="Arial" w:hAnsi="Arial" w:cs="Arial"/>
        </w:rPr>
        <w:instrText xml:space="preserve"> ADDIN ZOTERO_ITEM CSL_CITATION {"citationID":"U8aLgjQr","properties":{"formattedCitation":"(Reijnders {\\i{}et al.}, 2020)","plainCitation":"(Reijnders et al., 2020)","noteIndex":0},"citationItems":[{"id":142,"uris":["http://zotero.org/users/local/b5kcWd7h/items/K5BVKG56"],"uri":["http://zotero.org/users/local/b5kcWd7h/items/K5BVKG56"],"itemData":{"id":142,"type":"chapter","container-title":"Behind and Beyond the Meter Digitalization, Aggregation, Optimization, Monetization","ISBN":"978-0-12-819951-0","title":"Energy communities: a Dutch case study","author":[{"family":"Reijnders","given":"Victor"},{"family":"Laan","given":"Marten","non-dropping-particle":"van der"},{"family":"Dijkstra","given":"Roelof"}],"issued":{"date-parts":[["2020"]]}}}],"schema":"https://github.com/citation-style-language/schema/raw/master/csl-citation.json"} </w:instrText>
      </w:r>
      <w:r w:rsidR="005D3687">
        <w:rPr>
          <w:rFonts w:ascii="Arial" w:hAnsi="Arial" w:cs="Arial"/>
        </w:rPr>
        <w:fldChar w:fldCharType="separate"/>
      </w:r>
      <w:r w:rsidR="005D3687" w:rsidRPr="006111EA">
        <w:rPr>
          <w:rFonts w:ascii="Arial" w:hAnsi="Arial" w:cs="Arial"/>
          <w:szCs w:val="24"/>
        </w:rPr>
        <w:t xml:space="preserve">Reijnders </w:t>
      </w:r>
      <w:r w:rsidR="005D3687" w:rsidRPr="006111EA">
        <w:rPr>
          <w:rFonts w:ascii="Arial" w:hAnsi="Arial" w:cs="Arial"/>
          <w:i/>
          <w:iCs/>
          <w:szCs w:val="24"/>
        </w:rPr>
        <w:t>et al.</w:t>
      </w:r>
      <w:r w:rsidR="005D3687" w:rsidRPr="006111EA">
        <w:rPr>
          <w:rFonts w:ascii="Arial" w:hAnsi="Arial" w:cs="Arial"/>
          <w:szCs w:val="24"/>
        </w:rPr>
        <w:t xml:space="preserve"> </w:t>
      </w:r>
      <w:r w:rsidR="005D3687">
        <w:rPr>
          <w:rFonts w:ascii="Arial" w:hAnsi="Arial" w:cs="Arial"/>
          <w:szCs w:val="24"/>
        </w:rPr>
        <w:t>(</w:t>
      </w:r>
      <w:r w:rsidR="005D3687" w:rsidRPr="006111EA">
        <w:rPr>
          <w:rFonts w:ascii="Arial" w:hAnsi="Arial" w:cs="Arial"/>
          <w:szCs w:val="24"/>
        </w:rPr>
        <w:t>2020)</w:t>
      </w:r>
      <w:r w:rsidR="005D3687">
        <w:rPr>
          <w:rFonts w:ascii="Arial" w:hAnsi="Arial" w:cs="Arial"/>
        </w:rPr>
        <w:fldChar w:fldCharType="end"/>
      </w:r>
      <w:r w:rsidR="0067677B">
        <w:rPr>
          <w:rFonts w:ascii="Arial" w:hAnsi="Arial" w:cs="Arial"/>
        </w:rPr>
        <w:t xml:space="preserve"> showed that batteries can have a significant effect on reducing energy bills </w:t>
      </w:r>
      <w:r w:rsidR="00872B55">
        <w:rPr>
          <w:rFonts w:ascii="Arial" w:hAnsi="Arial" w:cs="Arial"/>
        </w:rPr>
        <w:t>for</w:t>
      </w:r>
      <w:r w:rsidR="0067677B">
        <w:rPr>
          <w:rFonts w:ascii="Arial" w:hAnsi="Arial" w:cs="Arial"/>
        </w:rPr>
        <w:t xml:space="preserve"> local</w:t>
      </w:r>
      <w:r w:rsidR="00872B55">
        <w:rPr>
          <w:rFonts w:ascii="Arial" w:hAnsi="Arial" w:cs="Arial"/>
        </w:rPr>
        <w:t xml:space="preserve"> users</w:t>
      </w:r>
      <w:r w:rsidR="0067677B">
        <w:rPr>
          <w:rFonts w:ascii="Arial" w:hAnsi="Arial" w:cs="Arial"/>
        </w:rPr>
        <w:t xml:space="preserve"> as well as benefits for the electrical network operator by reducing current peaks</w:t>
      </w:r>
      <w:r w:rsidR="00872B55">
        <w:rPr>
          <w:rFonts w:ascii="Arial" w:hAnsi="Arial" w:cs="Arial"/>
        </w:rPr>
        <w:t xml:space="preserve"> in demand</w:t>
      </w:r>
      <w:r w:rsidR="0067677B">
        <w:rPr>
          <w:rFonts w:ascii="Arial" w:hAnsi="Arial" w:cs="Arial"/>
        </w:rPr>
        <w:t>, hence removing stress from the grid</w:t>
      </w:r>
      <w:r>
        <w:rPr>
          <w:rFonts w:ascii="Arial" w:hAnsi="Arial" w:cs="Arial"/>
        </w:rPr>
        <w:t>, avoiding the need for reinforcement</w:t>
      </w:r>
      <w:r w:rsidR="0067677B">
        <w:rPr>
          <w:rFonts w:ascii="Arial" w:hAnsi="Arial" w:cs="Arial"/>
        </w:rPr>
        <w:t xml:space="preserve">. The authors also highlighted that load shifting can result in additional benefits which is a subject </w:t>
      </w:r>
      <w:r w:rsidR="00872B55">
        <w:rPr>
          <w:rFonts w:ascii="Arial" w:hAnsi="Arial" w:cs="Arial"/>
        </w:rPr>
        <w:t>for</w:t>
      </w:r>
      <w:r w:rsidR="0067677B">
        <w:rPr>
          <w:rFonts w:ascii="Arial" w:hAnsi="Arial" w:cs="Arial"/>
        </w:rPr>
        <w:t xml:space="preserve"> their future investigations.</w:t>
      </w:r>
      <w:r w:rsidR="00123D6D">
        <w:rPr>
          <w:rFonts w:ascii="Arial" w:hAnsi="Arial" w:cs="Arial"/>
        </w:rPr>
        <w:t xml:space="preserve"> </w:t>
      </w:r>
      <w:r w:rsidR="00872B55">
        <w:rPr>
          <w:rFonts w:ascii="Arial" w:hAnsi="Arial" w:cs="Arial"/>
        </w:rPr>
        <w:t xml:space="preserve">Similar case studies related to the control, management and ultimately the benefits of integrated local energy systems for worldwide application were presented by </w:t>
      </w:r>
      <w:r w:rsidR="00872B55">
        <w:rPr>
          <w:rFonts w:ascii="Arial" w:hAnsi="Arial" w:cs="Arial"/>
        </w:rPr>
        <w:fldChar w:fldCharType="begin"/>
      </w:r>
      <w:r w:rsidR="00872B55">
        <w:rPr>
          <w:rFonts w:ascii="Arial" w:hAnsi="Arial" w:cs="Arial"/>
        </w:rPr>
        <w:instrText xml:space="preserve"> ADDIN ZOTERO_ITEM CSL_CITATION {"citationID":"BPBxUVRI","properties":{"formattedCitation":"(Chen {\\i{}et al.}, 2013)","plainCitation":"(Chen et al., 2013)","noteIndex":0},"citationItems":[{"id":152,"uris":["http://zotero.org/users/local/b5kcWd7h/items/RGUWRDW7"],"uri":["http://zotero.org/users/local/b5kcWd7h/items/RGUWRDW7"],"itemData":{"id":152,"type":"article-journal","abstract":"The purpose of this research is to perform economic analysis, formulate an optimization model, and determine optimal operating strategies for smart microgrid systems. Microgrid systems are electricity supply systems that integrate distributed renewable energy production for local demand. Microgrids are able to reduce transmission losses and improve utilization efficiency of electricity and heat. Further, greenhouse gas emissions are reduced by utilizing an efficient power generation microgrid system. This study presents an energy management model that is used to determine optimal operating strategies with maximum profit for a microgrid system in Taiwan. The smart microgrid system is equipped with energy storage devices, photovoltaic power, and wind power generation systems. Sensitivity analyses of investment in storage capacity and growth in electricity demand are conducted for the smart microgrid model. The results show that appropriate battery capacity should be determined on the basis of both battery efficiency and power supply.","container-title":"Applied Energy","DOI":"10.1016/j.apenergy.2012.09.023","ISSN":"0306-2619","journalAbbreviation":"Applied Energy","language":"en","page":"145-154","source":"ScienceDirect","title":"Economic analysis and optimal energy management models for microgrid systems: A case study in Taiwan","title-short":"Economic analysis and optimal energy management models for microgrid systems","volume":"103","author":[{"family":"Chen","given":"Yen-Haw"},{"family":"Lu","given":"Su-Ying"},{"family":"Chang","given":"Yung-Ruei"},{"family":"Lee","given":"Ta-Tung"},{"family":"Hu","given":"Ming-Che"}],"issued":{"date-parts":[["2013",3,1]]}}}],"schema":"https://github.com/citation-style-language/schema/raw/master/csl-citation.json"} </w:instrText>
      </w:r>
      <w:r w:rsidR="00872B55">
        <w:rPr>
          <w:rFonts w:ascii="Arial" w:hAnsi="Arial" w:cs="Arial"/>
        </w:rPr>
        <w:fldChar w:fldCharType="separate"/>
      </w:r>
      <w:r w:rsidR="00872B55" w:rsidRPr="00F429DA">
        <w:rPr>
          <w:rFonts w:ascii="Arial" w:hAnsi="Arial" w:cs="Arial"/>
          <w:szCs w:val="24"/>
        </w:rPr>
        <w:t xml:space="preserve">Chen </w:t>
      </w:r>
      <w:r w:rsidR="00872B55" w:rsidRPr="00F429DA">
        <w:rPr>
          <w:rFonts w:ascii="Arial" w:hAnsi="Arial" w:cs="Arial"/>
          <w:i/>
          <w:iCs/>
          <w:szCs w:val="24"/>
        </w:rPr>
        <w:t>et al.</w:t>
      </w:r>
      <w:r w:rsidR="00872B55" w:rsidRPr="00F429DA">
        <w:rPr>
          <w:rFonts w:ascii="Arial" w:hAnsi="Arial" w:cs="Arial"/>
          <w:szCs w:val="24"/>
        </w:rPr>
        <w:t xml:space="preserve"> </w:t>
      </w:r>
      <w:r w:rsidR="00872B55">
        <w:rPr>
          <w:rFonts w:ascii="Arial" w:hAnsi="Arial" w:cs="Arial"/>
          <w:szCs w:val="24"/>
        </w:rPr>
        <w:t>(</w:t>
      </w:r>
      <w:r w:rsidR="00872B55" w:rsidRPr="00F429DA">
        <w:rPr>
          <w:rFonts w:ascii="Arial" w:hAnsi="Arial" w:cs="Arial"/>
          <w:szCs w:val="24"/>
        </w:rPr>
        <w:t>2013)</w:t>
      </w:r>
      <w:r w:rsidR="00872B55">
        <w:rPr>
          <w:rFonts w:ascii="Arial" w:hAnsi="Arial" w:cs="Arial"/>
        </w:rPr>
        <w:fldChar w:fldCharType="end"/>
      </w:r>
      <w:r w:rsidR="00872B55">
        <w:rPr>
          <w:rFonts w:ascii="Arial" w:hAnsi="Arial" w:cs="Arial"/>
        </w:rPr>
        <w:t>;</w:t>
      </w:r>
      <w:r w:rsidR="00872B55">
        <w:rPr>
          <w:rFonts w:ascii="Arial" w:hAnsi="Arial" w:cs="Arial"/>
        </w:rPr>
        <w:fldChar w:fldCharType="begin"/>
      </w:r>
      <w:r w:rsidR="00872B55">
        <w:rPr>
          <w:rFonts w:ascii="Arial" w:hAnsi="Arial" w:cs="Arial"/>
        </w:rPr>
        <w:instrText xml:space="preserve"> ADDIN ZOTERO_ITEM CSL_CITATION {"citationID":"QNnEJjE7","properties":{"formattedCitation":"(van der Kam and van Sark, 2015)","plainCitation":"(van der Kam and van Sark, 2015)","dontUpdate":true,"noteIndex":0},"citationItems":[{"id":149,"uris":["http://zotero.org/users/local/b5kcWd7h/items/EFS2WC54"],"uri":["http://zotero.org/users/local/b5kcWd7h/items/EFS2WC54"],"itemData":{"id":149,"type":"article-journal","abstract":"We present a model developed to study the increase of self-consumption of photovoltaic (PV) power by smart charging of electric vehicles (EVs) and vehicle-to-grid (V2G) technology. Whereas previous studies mostly use large EV fleets in their models, our focus is on a smaller scale. We apply the model to a microgrid in Lombok, a residential neighbourhood in the city of Utrecht, the Netherlands. The microgrid consists of a 31kWp PV installation, an office, internet servers, three households, and two EVs. Three control algorithms are presented which manage the charging profile of multiple EVs either in real-time or using linear optimisation with predictions for PV power and electricity demand. We perform one-year simulations using data for PV power, EV use, and electricity demand. Simulations results are evaluated on PV self-consumption and peak demand reduction. In addition, we make qualitative statements on battery degradation resulting from the charging strategies based on several indicators. We also simulate changes in microgrid composition, for example by including more EVs. In the simulations, self-consumption increases from 49% to 62–87% and demand peaks decrease by 27–67%. These results clearly demonstrate the benefits of smart charging EVs with PV power. Furthermore, our results give insight into the effect of different charging strategies and microgrid compositions.","container-title":"Applied Energy","DOI":"10.1016/j.apenergy.2015.04.092","ISSN":"0306-2619","journalAbbreviation":"Applied Energy","language":"en","page":"20-30","source":"ScienceDirect","title":"Smart charging of electric vehicles with photovoltaic power and vehicle-to-grid technology in a microgrid; a case study","volume":"152","author":[{"family":"Kam","given":"Mart","non-dropping-particle":"van der"},{"family":"Sark","given":"Wilfried","non-dropping-particle":"van"}],"issued":{"date-parts":[["2015",8,15]]}}}],"schema":"https://github.com/citation-style-language/schema/raw/master/csl-citation.json"} </w:instrText>
      </w:r>
      <w:r w:rsidR="00872B55">
        <w:rPr>
          <w:rFonts w:ascii="Arial" w:hAnsi="Arial" w:cs="Arial"/>
        </w:rPr>
        <w:fldChar w:fldCharType="separate"/>
      </w:r>
      <w:r w:rsidR="00872B55" w:rsidRPr="00A62FAD">
        <w:rPr>
          <w:rFonts w:ascii="Arial" w:hAnsi="Arial" w:cs="Arial"/>
        </w:rPr>
        <w:t xml:space="preserve"> van der Kam and van Sark (</w:t>
      </w:r>
      <w:r w:rsidR="00872B55" w:rsidRPr="00F429DA">
        <w:rPr>
          <w:rFonts w:ascii="Arial" w:hAnsi="Arial" w:cs="Arial"/>
        </w:rPr>
        <w:t>2015)</w:t>
      </w:r>
      <w:r w:rsidR="00872B55">
        <w:rPr>
          <w:rFonts w:ascii="Arial" w:hAnsi="Arial" w:cs="Arial"/>
        </w:rPr>
        <w:fldChar w:fldCharType="end"/>
      </w:r>
      <w:r w:rsidR="00872B55">
        <w:rPr>
          <w:rFonts w:ascii="Arial" w:hAnsi="Arial" w:cs="Arial"/>
        </w:rPr>
        <w:t>;</w:t>
      </w:r>
      <w:r w:rsidR="00872B55" w:rsidRPr="00624BBF">
        <w:rPr>
          <w:rFonts w:ascii="Arial" w:hAnsi="Arial" w:cs="Arial"/>
        </w:rPr>
        <w:t xml:space="preserve"> </w:t>
      </w:r>
      <w:r w:rsidR="00872B55">
        <w:rPr>
          <w:rFonts w:ascii="Arial" w:hAnsi="Arial" w:cs="Arial"/>
        </w:rPr>
        <w:fldChar w:fldCharType="begin"/>
      </w:r>
      <w:r w:rsidR="00872B55">
        <w:rPr>
          <w:rFonts w:ascii="Arial" w:hAnsi="Arial" w:cs="Arial"/>
        </w:rPr>
        <w:instrText xml:space="preserve"> ADDIN ZOTERO_ITEM CSL_CITATION {"citationID":"5utf5kgs","properties":{"formattedCitation":"(Nwulu and Xia, 2017)","plainCitation":"(Nwulu and Xia, 2017)","dontUpdate":true,"noteIndex":0},"citationItems":[{"id":155,"uris":["http://zotero.org/users/local/b5kcWd7h/items/PRFIXIVE"],"uri":["http://zotero.org/users/local/b5kcWd7h/items/PRFIXIVE"],"itemData":{"id":155,"type":"article-journal","abstract":"This paper proposes an optimal economic dispatch of a grid connected microgrid. The microgrid consists of solar photovoltaic, diesel and wind power sources. An Incentive Based Demand Response Program is incorporated into the operations of the grid connected microgrid. The optimal dispatch strategy is obtained by minimizing the conventional generators fuel cost, the transaction costs of the transferable power and maximizing the microgrid operator's demand response benefit whilst simultaneously satisfying the load demand constraints amongst other constraints. The developed mathematical model is tested on two practical case studies and sensitivity analysis of the model to key parameters was also performed. Case study 1 consists of three conventional generator units, one wind generator, one solar generator and three rural customers. Case study 2 is a much larger microgrid and was chosen to test the applicability of our model to larger microgrids and also to verify the scalability of our algorithm. Results show that the demand response program curtails significant grid relieving amounts of energy in the two case studies considered and integration of an incentive based demand response programs into the microgrid energy management problem introduces optimality at both the supply and demand spectrum of the grid.","container-title":"Renewable Energy","DOI":"10.1016/j.renene.2016.08.026","ISSN":"0960-1481","journalAbbreviation":"Renewable Energy","language":"en","page":"16-28","source":"ScienceDirect","title":"Optimal dispatch for a microgrid incorporating renewables and demand response","volume":"101","author":[{"family":"Nwulu","given":"Nnamdi I."},{"family":"Xia","given":"Xiaohua"}],"issued":{"date-parts":[["2017",2,1]]}}}],"schema":"https://github.com/citation-style-language/schema/raw/master/csl-citation.json"} </w:instrText>
      </w:r>
      <w:r w:rsidR="00872B55">
        <w:rPr>
          <w:rFonts w:ascii="Arial" w:hAnsi="Arial" w:cs="Arial"/>
        </w:rPr>
        <w:fldChar w:fldCharType="separate"/>
      </w:r>
      <w:r w:rsidR="00872B55" w:rsidRPr="00131F7B">
        <w:rPr>
          <w:rFonts w:ascii="Arial" w:hAnsi="Arial" w:cs="Arial"/>
        </w:rPr>
        <w:t>Nwulu and Xia</w:t>
      </w:r>
      <w:r w:rsidR="00872B55" w:rsidRPr="00FA221A">
        <w:rPr>
          <w:rFonts w:ascii="Arial" w:hAnsi="Arial" w:cs="Arial"/>
        </w:rPr>
        <w:t xml:space="preserve"> </w:t>
      </w:r>
      <w:r w:rsidR="00872B55">
        <w:rPr>
          <w:rFonts w:ascii="Arial" w:hAnsi="Arial" w:cs="Arial"/>
        </w:rPr>
        <w:t>(</w:t>
      </w:r>
      <w:r w:rsidR="00872B55" w:rsidRPr="00FA221A">
        <w:rPr>
          <w:rFonts w:ascii="Arial" w:hAnsi="Arial" w:cs="Arial"/>
        </w:rPr>
        <w:t>2017)</w:t>
      </w:r>
      <w:r w:rsidR="00872B55">
        <w:rPr>
          <w:rFonts w:ascii="Arial" w:hAnsi="Arial" w:cs="Arial"/>
        </w:rPr>
        <w:fldChar w:fldCharType="end"/>
      </w:r>
      <w:r w:rsidR="00872B55">
        <w:rPr>
          <w:rFonts w:ascii="Arial" w:hAnsi="Arial" w:cs="Arial"/>
        </w:rPr>
        <w:t xml:space="preserve">; </w:t>
      </w:r>
      <w:r w:rsidR="00872B55">
        <w:rPr>
          <w:rFonts w:ascii="Arial" w:hAnsi="Arial" w:cs="Arial"/>
        </w:rPr>
        <w:fldChar w:fldCharType="begin"/>
      </w:r>
      <w:r w:rsidR="00872B55">
        <w:rPr>
          <w:rFonts w:ascii="Arial" w:hAnsi="Arial" w:cs="Arial"/>
        </w:rPr>
        <w:instrText xml:space="preserve"> ADDIN ZOTERO_ITEM CSL_CITATION {"citationID":"jUx3q6GF","properties":{"formattedCitation":"(Pavi\\uc0\\u263{} {\\i{}et al.}, 2019)","plainCitation":"(Pavić et al., 2019)","dontUpdate":true,"noteIndex":0},"citationItems":[{"id":143,"uris":["http://zotero.org/users/local/b5kcWd7h/items/XWFAG3KF"],"uri":["http://zotero.org/users/local/b5kcWd7h/items/XWFAG3KF"],"itemData":{"id":143,"type":"article-journal","container-title":"Energies","issue":"3","page":"376","source":"Google Scholar","title":"Defining and Evaluating Use Cases for Battery Energy Storage Investments: Case Study in Croatia","title-short":"Defining and Evaluating Use Cases for Battery Energy Storage Investments","volume":"12","author":[{"family":"Pavić","given":"Ivan"},{"family":"Luburić","given":"Zora"},{"family":"Pandžić","given":"Hrvoje"},{"family":"Capuder","given":"Tomislav"},{"family":"Andročec","given":"Ivan"}],"issued":{"date-parts":[["2019"]]}}}],"schema":"https://github.com/citation-style-language/schema/raw/master/csl-citation.json"} </w:instrText>
      </w:r>
      <w:r w:rsidR="00872B55">
        <w:rPr>
          <w:rFonts w:ascii="Arial" w:hAnsi="Arial" w:cs="Arial"/>
        </w:rPr>
        <w:fldChar w:fldCharType="separate"/>
      </w:r>
      <w:r w:rsidR="00872B55" w:rsidRPr="00F429DA">
        <w:rPr>
          <w:rFonts w:ascii="Arial" w:hAnsi="Arial" w:cs="Arial"/>
          <w:szCs w:val="24"/>
        </w:rPr>
        <w:t xml:space="preserve">Pavić </w:t>
      </w:r>
      <w:r w:rsidR="00872B55" w:rsidRPr="00F429DA">
        <w:rPr>
          <w:rFonts w:ascii="Arial" w:hAnsi="Arial" w:cs="Arial"/>
          <w:i/>
          <w:iCs/>
          <w:szCs w:val="24"/>
        </w:rPr>
        <w:t>et al.</w:t>
      </w:r>
      <w:r w:rsidR="00872B55" w:rsidRPr="00F429DA">
        <w:rPr>
          <w:rFonts w:ascii="Arial" w:hAnsi="Arial" w:cs="Arial"/>
          <w:szCs w:val="24"/>
        </w:rPr>
        <w:t xml:space="preserve"> </w:t>
      </w:r>
      <w:r w:rsidR="00872B55">
        <w:rPr>
          <w:rFonts w:ascii="Arial" w:hAnsi="Arial" w:cs="Arial"/>
          <w:szCs w:val="24"/>
        </w:rPr>
        <w:t>(</w:t>
      </w:r>
      <w:r w:rsidR="00872B55" w:rsidRPr="00F429DA">
        <w:rPr>
          <w:rFonts w:ascii="Arial" w:hAnsi="Arial" w:cs="Arial"/>
          <w:szCs w:val="24"/>
        </w:rPr>
        <w:t>2019)</w:t>
      </w:r>
      <w:r w:rsidR="00872B55">
        <w:rPr>
          <w:rFonts w:ascii="Arial" w:hAnsi="Arial" w:cs="Arial"/>
        </w:rPr>
        <w:fldChar w:fldCharType="end"/>
      </w:r>
      <w:r w:rsidR="00872B55">
        <w:rPr>
          <w:rFonts w:ascii="Arial" w:hAnsi="Arial" w:cs="Arial"/>
        </w:rPr>
        <w:t xml:space="preserve">; </w:t>
      </w:r>
      <w:r w:rsidR="00872B55">
        <w:rPr>
          <w:rFonts w:ascii="Arial" w:hAnsi="Arial" w:cs="Arial"/>
        </w:rPr>
        <w:fldChar w:fldCharType="begin"/>
      </w:r>
      <w:r w:rsidR="00872B55">
        <w:rPr>
          <w:rFonts w:ascii="Arial" w:hAnsi="Arial" w:cs="Arial"/>
        </w:rPr>
        <w:instrText xml:space="preserve"> ADDIN ZOTERO_ITEM CSL_CITATION {"citationID":"L4A7vbMN","properties":{"formattedCitation":"(Drysdale {\\i{}et al.}, 2019)","plainCitation":"(Drysdale et al., 2019)","noteIndex":0},"citationItems":[{"id":179,"uris":["http://zotero.org/users/local/b5kcWd7h/items/WYLB4XK3"],"uri":["http://zotero.org/users/local/b5kcWd7h/items/WYLB4XK3"],"itemData":{"id":179,"type":"article-journal","abstract":"Energy systems in cities need to be decarbonized and are becoming more integrated via energy sector coupling. Today, cities often use simple methods to assess their low carbon targets, e.g., carbon calculators, and these methods use annualized carbon reduction potentials. For example, reductions from heat savings in buildings or fuel demand in transport. This is done because it is simple and fast. This paper describes a methodology that goes beyond carbon calculators and assesses highly renewable energy systems. The methodology is carried out for a case city—Sønderborg, Denmark. Using a national 100% renewable energy study and a suitable energy system analysis tool (EnergyPLAN), the method accounts for inter-sector coupling and energy system dynamics. The energy system is assessed by comparing the results from the analysis tool against numerous key sustainability factors for a Smart Energy System. The paper illustrates how the method delivers a sustainable 100% renewable Smart Energy System for Sønderborg, which can be part of the Danish energy system in 2050 based on local resources. The paper discusses the broader applicability of the method within strategic energy planning.","container-title":"Energies","DOI":"10.3390/en12122307","issue":"12","language":"en","page":"2307","source":"www.mdpi.com","title":"From Carbon Calculators to Energy System Analysis in Cities","volume":"12","author":[{"family":"Drysdale","given":"David"},{"family":"Vad Mathiesen","given":"Brian"},{"family":"Lund","given":"Henrik"}],"issued":{"date-parts":[["2019",1]]}}}],"schema":"https://github.com/citation-style-language/schema/raw/master/csl-citation.json"} </w:instrText>
      </w:r>
      <w:r w:rsidR="00872B55">
        <w:rPr>
          <w:rFonts w:ascii="Arial" w:hAnsi="Arial" w:cs="Arial"/>
        </w:rPr>
        <w:fldChar w:fldCharType="separate"/>
      </w:r>
      <w:r w:rsidR="00872B55" w:rsidRPr="00624BBF">
        <w:rPr>
          <w:rFonts w:ascii="Arial" w:hAnsi="Arial" w:cs="Arial"/>
          <w:szCs w:val="24"/>
        </w:rPr>
        <w:t xml:space="preserve"> </w:t>
      </w:r>
      <w:r w:rsidR="00872B55" w:rsidRPr="00F429DA">
        <w:rPr>
          <w:rFonts w:ascii="Arial" w:hAnsi="Arial" w:cs="Arial"/>
          <w:szCs w:val="24"/>
        </w:rPr>
        <w:t xml:space="preserve">Drysdale </w:t>
      </w:r>
      <w:r w:rsidR="00872B55" w:rsidRPr="00F429DA">
        <w:rPr>
          <w:rFonts w:ascii="Arial" w:hAnsi="Arial" w:cs="Arial"/>
          <w:i/>
          <w:iCs/>
          <w:szCs w:val="24"/>
        </w:rPr>
        <w:t>et al.</w:t>
      </w:r>
      <w:r w:rsidR="00872B55" w:rsidRPr="00F429DA">
        <w:rPr>
          <w:rFonts w:ascii="Arial" w:hAnsi="Arial" w:cs="Arial"/>
          <w:szCs w:val="24"/>
        </w:rPr>
        <w:t xml:space="preserve"> </w:t>
      </w:r>
      <w:r w:rsidR="00872B55">
        <w:rPr>
          <w:rFonts w:ascii="Arial" w:hAnsi="Arial" w:cs="Arial"/>
          <w:szCs w:val="24"/>
        </w:rPr>
        <w:t>(</w:t>
      </w:r>
      <w:r w:rsidR="00872B55" w:rsidRPr="00F429DA">
        <w:rPr>
          <w:rFonts w:ascii="Arial" w:hAnsi="Arial" w:cs="Arial"/>
          <w:szCs w:val="24"/>
        </w:rPr>
        <w:t>2019)</w:t>
      </w:r>
      <w:r w:rsidR="00872B55">
        <w:rPr>
          <w:rFonts w:ascii="Arial" w:hAnsi="Arial" w:cs="Arial"/>
        </w:rPr>
        <w:fldChar w:fldCharType="end"/>
      </w:r>
      <w:r w:rsidR="00872B55">
        <w:rPr>
          <w:rFonts w:ascii="Arial" w:hAnsi="Arial" w:cs="Arial"/>
        </w:rPr>
        <w:t xml:space="preserve">; </w:t>
      </w:r>
      <w:r w:rsidR="00872B55">
        <w:rPr>
          <w:rFonts w:ascii="Arial" w:hAnsi="Arial" w:cs="Arial"/>
        </w:rPr>
        <w:fldChar w:fldCharType="begin"/>
      </w:r>
      <w:r w:rsidR="00872B55">
        <w:rPr>
          <w:rFonts w:ascii="Arial" w:hAnsi="Arial" w:cs="Arial"/>
        </w:rPr>
        <w:instrText xml:space="preserve"> ADDIN ZOTERO_ITEM CSL_CITATION {"citationID":"wqvwc5IO","properties":{"formattedCitation":"(Veilleux {\\i{}et al.}, 2020)","plainCitation":"(Veilleux et al., 2020)","noteIndex":0},"citationItems":[{"id":158,"uris":["http://zotero.org/users/local/b5kcWd7h/items/MBES4ITU"],"uri":["http://zotero.org/users/local/b5kcWd7h/items/MBES4ITU"],"itemData":{"id":158,"type":"article-journal","abstract":"The objective of this study was to redesign and refinance a rural microgrid on the small island of Koh Jik in Thailand. A series of microgrid scenarios were modeled and evaluated using HOMER software with the aim of providing techno-economic insights on the sustainable redesign of a rural and resilient system. Existing assets were analyzed and integrated into a new system design, whereby the addition of extra PV panels and replacement of current lead-acid (LA) battery by a lithium-ion (Li-ion) battery increased the renewable fraction of electricity generation from an estimated 55%–83%. The system was optimized holistically to provide the lowest cost of electricity (LCOE) combined with the highest renewable fraction in order to attract private investment for such electricity access projects. A LCOE as low as 0.220 €/kWh was obtained for Li-ion, compared to 0.307 €/kWh for the LA basis translating into a project payback as low as 6.3 years (IRR 15.28%). All the modeling economics were cross-checked with a cash flow statement model using the island's financial books and current price of electricity (a common practice amongst private investors) and showed that the HOMER modeling results were within a range never exceeding 4%. Comparison of scenarios clearly outlined the advantages of Li-ion microgrids over LA in all aspects except capital expenditure, explaining why as of today, rural electrification projects still commission less sustainable LA systems due to initial capital constraints. While the battery CAPEX price per kWh storage was found still considerably lower for LA, in order to reach high renewable fractions (60% and up) larger battery banks are required, thus driving project costs higher and closer to Li-ion prices. Positive lessons learned from Koh Jik case study can increase the confidence of both investors and governments while accelerating such initiatives in neighboring Southeast Asian countries or other territories around the world struggling with island electrification.","container-title":"Energy for Sustainable Development","DOI":"10.1016/j.esd.2019.09.007","ISSN":"0973-0826","journalAbbreviation":"Energy for Sustainable Development","language":"en","page":"1-13","source":"ScienceDirect","title":"Techno-economic analysis of microgrid projects for rural electrification: A systematic approach to the redesign of Koh Jik off-grid case study","title-short":"Techno-economic analysis of microgrid projects for rural electrification","volume":"54","author":[{"family":"Veilleux","given":"Gabriel"},{"family":"Potisat","given":"Tanai"},{"family":"Pezim","given":"Daniel"},{"family":"Ribback","given":"Christian"},{"family":"Ling","given":"Jarmo"},{"family":"Krysztofiński","given":"Adam"},{"family":"Ahmed","given":"Afaq"},{"family":"Papenheim","given":"Jessica"},{"family":"Pineda","given":"Astrid Mon"},{"family":"Sembian","given":"Siva"},{"family":"Chucherd","given":"Sasinipha"}],"issued":{"date-parts":[["2020",2,1]]}}}],"schema":"https://github.com/citation-style-language/schema/raw/master/csl-citation.json"} </w:instrText>
      </w:r>
      <w:r w:rsidR="00872B55">
        <w:rPr>
          <w:rFonts w:ascii="Arial" w:hAnsi="Arial" w:cs="Arial"/>
        </w:rPr>
        <w:fldChar w:fldCharType="separate"/>
      </w:r>
      <w:r w:rsidR="00872B55" w:rsidRPr="00F429DA">
        <w:rPr>
          <w:rFonts w:ascii="Arial" w:hAnsi="Arial" w:cs="Arial"/>
          <w:szCs w:val="24"/>
        </w:rPr>
        <w:t xml:space="preserve">Veilleux </w:t>
      </w:r>
      <w:r w:rsidR="00872B55" w:rsidRPr="00F429DA">
        <w:rPr>
          <w:rFonts w:ascii="Arial" w:hAnsi="Arial" w:cs="Arial"/>
          <w:i/>
          <w:iCs/>
          <w:szCs w:val="24"/>
        </w:rPr>
        <w:t>et al.</w:t>
      </w:r>
      <w:r w:rsidR="00872B55" w:rsidRPr="00F429DA">
        <w:rPr>
          <w:rFonts w:ascii="Arial" w:hAnsi="Arial" w:cs="Arial"/>
          <w:szCs w:val="24"/>
        </w:rPr>
        <w:t xml:space="preserve"> </w:t>
      </w:r>
      <w:r w:rsidR="00872B55">
        <w:rPr>
          <w:rFonts w:ascii="Arial" w:hAnsi="Arial" w:cs="Arial"/>
          <w:szCs w:val="24"/>
        </w:rPr>
        <w:t>(</w:t>
      </w:r>
      <w:r w:rsidR="00872B55" w:rsidRPr="00F429DA">
        <w:rPr>
          <w:rFonts w:ascii="Arial" w:hAnsi="Arial" w:cs="Arial"/>
          <w:szCs w:val="24"/>
        </w:rPr>
        <w:t>2020)</w:t>
      </w:r>
      <w:r w:rsidR="00872B55">
        <w:rPr>
          <w:rFonts w:ascii="Arial" w:hAnsi="Arial" w:cs="Arial"/>
        </w:rPr>
        <w:fldChar w:fldCharType="end"/>
      </w:r>
      <w:r w:rsidR="00872B55">
        <w:rPr>
          <w:rFonts w:ascii="Arial" w:hAnsi="Arial" w:cs="Arial"/>
        </w:rPr>
        <w:t xml:space="preserve"> and </w:t>
      </w:r>
      <w:r w:rsidR="00872B55">
        <w:rPr>
          <w:rFonts w:ascii="Arial" w:hAnsi="Arial" w:cs="Arial"/>
        </w:rPr>
        <w:fldChar w:fldCharType="begin"/>
      </w:r>
      <w:r w:rsidR="00872B55">
        <w:rPr>
          <w:rFonts w:ascii="Arial" w:hAnsi="Arial" w:cs="Arial"/>
        </w:rPr>
        <w:instrText xml:space="preserve"> ADDIN ZOTERO_ITEM CSL_CITATION {"citationID":"tAiVQx4h","properties":{"formattedCitation":"(Aziz {\\i{}et al.}, 2020)","plainCitation":"(Aziz et al., 2020)","dontUpdate":true,"noteIndex":0},"citationItems":[{"id":161,"uris":["http://zotero.org/users/local/b5kcWd7h/items/6NLWH3W9"],"uri":["http://zotero.org/users/local/b5kcWd7h/items/6NLWH3W9"],"itemData":{"id":161,"type":"article-journal","abstract":"Iraq has massive potential for electricity generation from solar energy. Because the country currently suffers from daily electricity shortages, a grid-connected PV system is an unsuitable option since the PV cannot serve the load during the electricity blackouts. This paper aims to analyze the techno-economic and environmental feasibility of a solar PV microgrid system which is able to supply the load during both grid availability and outage periods. A household in Baghdad was selected as a case study. HOMER software was used to carry out the overall analysis using five different control strategies. The results indicated that the most economical configuration was achieved by allowing the grid to charge the batteries at all rates, with a net present cost (NPC) of $29,713. A sustainability assessment revealed that preventing the grid from charging the battery resulted in the highest renewable fraction and the lowest CO2 emissions with 64.9% and 4533 kg/year, respectively. Furthermore, inserting a diesel generator to an economically optimized system was found to reduce the NPC by 11.6%, while increasing the CO2 emissions by 32.7%. This study showed that implementing this sort of project can provide clean, economical, and continuous electricity production in countries with daily blackouts.","container-title":"Energy","DOI":"10.1016/j.energy.2019.116591","ISSN":"0360-5442","journalAbbreviation":"Energy","language":"en","page":"116591","source":"ScienceDirect","title":"Feasibility analysis of grid-connected and islanded operation of a solar PV microgrid system: A case study of Iraq","title-short":"Feasibility analysis of grid-connected and islanded operation of a solar PV microgrid system","volume":"191","author":[{"family":"Aziz","given":"Ali Saleh"},{"family":"Tajuddin","given":"Mohammad Faridun Naim"},{"family":"Adzman","given":"Mohd Rafi"},{"family":"Mohammed","given":"Mohd Fayzul"},{"family":"Ramli","given":"Makbul A. M."}],"issued":{"date-parts":[["2020",1,15]]}}}],"schema":"https://github.com/citation-style-language/schema/raw/master/csl-citation.json"} </w:instrText>
      </w:r>
      <w:r w:rsidR="00872B55">
        <w:rPr>
          <w:rFonts w:ascii="Arial" w:hAnsi="Arial" w:cs="Arial"/>
        </w:rPr>
        <w:fldChar w:fldCharType="separate"/>
      </w:r>
      <w:r w:rsidR="00872B55" w:rsidRPr="00F429DA">
        <w:rPr>
          <w:rFonts w:ascii="Arial" w:hAnsi="Arial" w:cs="Arial"/>
          <w:szCs w:val="24"/>
        </w:rPr>
        <w:t xml:space="preserve">Aziz </w:t>
      </w:r>
      <w:r w:rsidR="00872B55" w:rsidRPr="00F429DA">
        <w:rPr>
          <w:rFonts w:ascii="Arial" w:hAnsi="Arial" w:cs="Arial"/>
          <w:i/>
          <w:iCs/>
          <w:szCs w:val="24"/>
        </w:rPr>
        <w:t>et al.</w:t>
      </w:r>
      <w:r w:rsidR="00872B55" w:rsidRPr="00F429DA">
        <w:rPr>
          <w:rFonts w:ascii="Arial" w:hAnsi="Arial" w:cs="Arial"/>
          <w:szCs w:val="24"/>
        </w:rPr>
        <w:t xml:space="preserve"> </w:t>
      </w:r>
      <w:r w:rsidR="00872B55">
        <w:rPr>
          <w:rFonts w:ascii="Arial" w:hAnsi="Arial" w:cs="Arial"/>
          <w:szCs w:val="24"/>
        </w:rPr>
        <w:t>(</w:t>
      </w:r>
      <w:r w:rsidR="00872B55" w:rsidRPr="00F429DA">
        <w:rPr>
          <w:rFonts w:ascii="Arial" w:hAnsi="Arial" w:cs="Arial"/>
          <w:szCs w:val="24"/>
        </w:rPr>
        <w:t>2020)</w:t>
      </w:r>
      <w:r w:rsidR="00872B55">
        <w:rPr>
          <w:rFonts w:ascii="Arial" w:hAnsi="Arial" w:cs="Arial"/>
        </w:rPr>
        <w:fldChar w:fldCharType="end"/>
      </w:r>
      <w:r w:rsidR="00872B55">
        <w:rPr>
          <w:rFonts w:ascii="Arial" w:hAnsi="Arial" w:cs="Arial"/>
        </w:rPr>
        <w:t xml:space="preserve">. These studies differ in terms of their geographic locations and therefore in local commercial and technological constraints, however they all aimed </w:t>
      </w:r>
      <w:r w:rsidR="00872B55" w:rsidRPr="00576770">
        <w:rPr>
          <w:rFonts w:ascii="Arial" w:hAnsi="Arial" w:cs="Arial"/>
        </w:rPr>
        <w:t>to analyse the techno-economic and environmental feasibility of micro gri</w:t>
      </w:r>
      <w:r w:rsidR="00872B55">
        <w:rPr>
          <w:rFonts w:ascii="Arial" w:hAnsi="Arial" w:cs="Arial"/>
        </w:rPr>
        <w:t xml:space="preserve">ds making use of locally available energy sources, and most showed significant benefits for the whole energy system. There are also studies which have looked at the commercial aspects of local energy systems i.e. new energy services and trading mechanisms e.g. peer to peer (P2P) </w:t>
      </w:r>
      <w:r w:rsidR="00872B55">
        <w:rPr>
          <w:rFonts w:ascii="Arial" w:hAnsi="Arial" w:cs="Arial"/>
        </w:rPr>
        <w:fldChar w:fldCharType="begin"/>
      </w:r>
      <w:r w:rsidR="00872B55">
        <w:rPr>
          <w:rFonts w:ascii="Arial" w:hAnsi="Arial" w:cs="Arial"/>
        </w:rPr>
        <w:instrText xml:space="preserve"> ADDIN ZOTERO_ITEM CSL_CITATION {"citationID":"s6xppztf","properties":{"formattedCitation":"(Zhang {\\i{}et al.}, 2016)","plainCitation":"(Zhang et al., 2016)","noteIndex":0},"citationItems":[{"id":166,"uris":["http://zotero.org/users/local/b5kcWd7h/items/92ART8N8"],"uri":["http://zotero.org/users/local/b5kcWd7h/items/92ART8N8"],"itemData":{"id":166,"type":"article-journal","abstract":"Peer-to-Peer (P2P) energy trading is a novel paradigm of power system operation, where people can generate their own energy from Renewable Energy Sources (RESs) in dwellings, offices and factories, and share it with each other locally. An architecture model was proposed to present the design and interoperability aspects of components for P2P energy trading in a microgrid. A specific Customer-to-Customer business model was introduced in a benchmark grid-connected microgrid based on the architecture model. The core component of a bidding system, called Elecbay, was also proposed and simulated using game theory. Test results show that P2P energy trading is able to balance local generation and demand, therefore, has a potential to enable a large penetration of RESs in the power grid.","container-title":"Energy Procedia","DOI":"Zhang, Chenghua, Wu, Jianzhong &lt;http://orca.cf.ac.uk/view/cardiffauthors/A131368Q.html&gt;, Cheng, Meng, Zhou, Yue &lt;http://orca.cf.ac.uk/view/cardiffauthors/A2273361N.html&gt; and Long, Chao 2016.  A bidding system for peer-to-peer energy trading in a grid-connected microgrid. Energy Procedia 103  , pp. 147-152.  10.1016/j.egypro.2016.11.264 &lt;http://dx.doi.org/10.1016/j.egypro.2016.11.264&gt;                 file &lt;http://orca.cf.ac.uk/104196/1/A%20bidding%20system%20.._.pdf&gt;","ISSN":"1876-6102","language":"en","page":"147-152","source":"orca.cf.ac.uk","title":"A bidding system for peer-to-peer energy trading in a grid-connected microgrid","volume":"103","author":[{"family":"Zhang","given":"Chenghua"},{"family":"Wu","given":"Jianzhong"},{"family":"Cheng","given":"Meng"},{"family":"Zhou","given":"Yue"},{"family":"Long","given":"Chao"}],"issued":{"date-parts":[["2016",12,27]]}}}],"schema":"https://github.com/citation-style-language/schema/raw/master/csl-citation.json"} </w:instrText>
      </w:r>
      <w:r w:rsidR="00872B55">
        <w:rPr>
          <w:rFonts w:ascii="Arial" w:hAnsi="Arial" w:cs="Arial"/>
        </w:rPr>
        <w:fldChar w:fldCharType="separate"/>
      </w:r>
      <w:r w:rsidR="00872B55" w:rsidRPr="00F429DA">
        <w:rPr>
          <w:rFonts w:ascii="Arial" w:hAnsi="Arial" w:cs="Arial"/>
          <w:szCs w:val="24"/>
        </w:rPr>
        <w:t xml:space="preserve">(Zhang </w:t>
      </w:r>
      <w:r w:rsidR="00872B55" w:rsidRPr="00F429DA">
        <w:rPr>
          <w:rFonts w:ascii="Arial" w:hAnsi="Arial" w:cs="Arial"/>
          <w:i/>
          <w:iCs/>
          <w:szCs w:val="24"/>
        </w:rPr>
        <w:t>et al.</w:t>
      </w:r>
      <w:r w:rsidR="00872B55" w:rsidRPr="00F429DA">
        <w:rPr>
          <w:rFonts w:ascii="Arial" w:hAnsi="Arial" w:cs="Arial"/>
          <w:szCs w:val="24"/>
        </w:rPr>
        <w:t>, 2016)</w:t>
      </w:r>
      <w:r w:rsidR="00872B55">
        <w:rPr>
          <w:rFonts w:ascii="Arial" w:hAnsi="Arial" w:cs="Arial"/>
        </w:rPr>
        <w:fldChar w:fldCharType="end"/>
      </w:r>
      <w:r w:rsidR="00872B55">
        <w:rPr>
          <w:rFonts w:ascii="Arial" w:hAnsi="Arial" w:cs="Arial"/>
        </w:rPr>
        <w:t>. Of course, implementing decentralised local energy systems will have an impact on the existing energy infrastructure and energy markets. The i</w:t>
      </w:r>
      <w:r w:rsidR="00872B55" w:rsidRPr="00343481">
        <w:rPr>
          <w:rFonts w:ascii="Arial" w:hAnsi="Arial" w:cs="Arial"/>
        </w:rPr>
        <w:t>ssue of how to re-design existing electricity and gas markets</w:t>
      </w:r>
      <w:r w:rsidR="00872B55">
        <w:rPr>
          <w:rFonts w:ascii="Arial" w:hAnsi="Arial" w:cs="Arial"/>
        </w:rPr>
        <w:t xml:space="preserve"> in relation to the deployment of sustainable smart energy systems has been discussed by </w:t>
      </w:r>
      <w:r w:rsidR="00872B55">
        <w:rPr>
          <w:rFonts w:ascii="Arial" w:hAnsi="Arial" w:cs="Arial"/>
        </w:rPr>
        <w:fldChar w:fldCharType="begin"/>
      </w:r>
      <w:r w:rsidR="00872B55">
        <w:rPr>
          <w:rFonts w:ascii="Arial" w:hAnsi="Arial" w:cs="Arial"/>
        </w:rPr>
        <w:instrText xml:space="preserve"> ADDIN ZOTERO_ITEM CSL_CITATION {"citationID":"eNT5bcDw","properties":{"formattedCitation":"(Sorkn\\uc0\\u230{}s {\\i{}et al.}, 2020)","plainCitation":"(Sorknæs et al., 2020)","dontUpdate":true,"noteIndex":0},"citationItems":[{"id":169,"uris":["http://zotero.org/users/local/b5kcWd7h/items/UB7EYC2E"],"uri":["http://zotero.org/users/local/b5kcWd7h/items/UB7EYC2E"],"itemData":{"id":169,"type":"article-journal","abstract":"This paper introduces the concept of Smart Energy Markets. Sustainable smart energy systems based on renewable energy cannot be implemented without addressing the issue of how to re-design existing electricity and gas markets. Moreover, markets for heating and transport fuels will also be challenged. In recent years, the re-design of the electricity market has attracted a lot of attention and is an area of focus in research. However, the re-design of electricity markets should not be seen isolated from the re-design of other energy markets. By applying a 100% renewable energy system scenario, this paper illustrates and quantifies how future renewable heating, green gas and liquid fuel markets will influence the electricity markets and vice versa. Based on this scenario, it is found that annual average market prices on the future green gas and liquid fuel markets may potentially be affected by the electricity and heating markets by 60–120 EUR/MWh, and the heating, green gas and liquid fuel markets could influence the annual average electricity prices by up to 28 EUR/MWh. The concept of Smart Energy Markets expresses the point that mutual influences become essential in the design of future energy markets facilitating the transition into smart energy systems based on variable renewable energy.","container-title":"Renewable and Sustainable Energy Reviews","DOI":"10.1016/j.rser.2019.109655","ISSN":"1364-0321","journalAbbreviation":"Renewable and Sustainable Energy Reviews","language":"en","page":"109655","source":"ScienceDirect","title":"Smart Energy Markets - Future electricity, gas and heating markets","volume":"119","author":[{"family":"Sorknæs","given":"P."},{"family":"Lund","given":"Henrik"},{"family":"Skov","given":"I. R."},{"family":"Djørup","given":"S."},{"family":"Skytte","given":"K."},{"family":"Morthorst","given":"P. E."},{"family":"Fausto","given":"F."}],"issued":{"date-parts":[["2020",3,1]]}}}],"schema":"https://github.com/citation-style-language/schema/raw/master/csl-citation.json"} </w:instrText>
      </w:r>
      <w:r w:rsidR="00872B55">
        <w:rPr>
          <w:rFonts w:ascii="Arial" w:hAnsi="Arial" w:cs="Arial"/>
        </w:rPr>
        <w:fldChar w:fldCharType="separate"/>
      </w:r>
      <w:r w:rsidR="00872B55" w:rsidRPr="00F429DA">
        <w:rPr>
          <w:rFonts w:ascii="Arial" w:hAnsi="Arial" w:cs="Arial"/>
          <w:szCs w:val="24"/>
        </w:rPr>
        <w:t xml:space="preserve">Sorknæs </w:t>
      </w:r>
      <w:r w:rsidR="00872B55" w:rsidRPr="00F429DA">
        <w:rPr>
          <w:rFonts w:ascii="Arial" w:hAnsi="Arial" w:cs="Arial"/>
          <w:i/>
          <w:iCs/>
          <w:szCs w:val="24"/>
        </w:rPr>
        <w:t>et al.</w:t>
      </w:r>
      <w:r w:rsidR="00872B55" w:rsidRPr="00F429DA">
        <w:rPr>
          <w:rFonts w:ascii="Arial" w:hAnsi="Arial" w:cs="Arial"/>
          <w:szCs w:val="24"/>
        </w:rPr>
        <w:t xml:space="preserve"> </w:t>
      </w:r>
      <w:r w:rsidR="00872B55">
        <w:rPr>
          <w:rFonts w:ascii="Arial" w:hAnsi="Arial" w:cs="Arial"/>
          <w:szCs w:val="24"/>
        </w:rPr>
        <w:t>(</w:t>
      </w:r>
      <w:r w:rsidR="00872B55" w:rsidRPr="00F429DA">
        <w:rPr>
          <w:rFonts w:ascii="Arial" w:hAnsi="Arial" w:cs="Arial"/>
          <w:szCs w:val="24"/>
        </w:rPr>
        <w:t>2020)</w:t>
      </w:r>
      <w:r w:rsidR="00872B55">
        <w:rPr>
          <w:rFonts w:ascii="Arial" w:hAnsi="Arial" w:cs="Arial"/>
        </w:rPr>
        <w:fldChar w:fldCharType="end"/>
      </w:r>
      <w:r w:rsidR="00872B55">
        <w:rPr>
          <w:rFonts w:ascii="Arial" w:hAnsi="Arial" w:cs="Arial"/>
        </w:rPr>
        <w:t xml:space="preserve">. </w:t>
      </w:r>
    </w:p>
    <w:p w14:paraId="12997D89" w14:textId="61731C5C" w:rsidR="00CF74AC" w:rsidRPr="004C7535" w:rsidRDefault="00624BBF" w:rsidP="00C95F62">
      <w:pPr>
        <w:spacing w:line="276" w:lineRule="auto"/>
        <w:jc w:val="both"/>
        <w:rPr>
          <w:rFonts w:ascii="Arial" w:hAnsi="Arial" w:cs="Arial"/>
        </w:rPr>
      </w:pPr>
      <w:r>
        <w:rPr>
          <w:rFonts w:ascii="Arial" w:hAnsi="Arial" w:cs="Arial"/>
        </w:rPr>
        <w:t>The energy</w:t>
      </w:r>
      <w:r w:rsidR="00CF74AC">
        <w:rPr>
          <w:rFonts w:ascii="Arial" w:hAnsi="Arial" w:cs="Arial"/>
        </w:rPr>
        <w:t xml:space="preserve"> transition will also require consumers to be engaged and </w:t>
      </w:r>
      <w:r w:rsidR="004C7535">
        <w:rPr>
          <w:rFonts w:ascii="Arial" w:hAnsi="Arial" w:cs="Arial"/>
        </w:rPr>
        <w:t xml:space="preserve">encourage them to participate through demand side response i.e. change the way how and when energy is used. There is extensive </w:t>
      </w:r>
      <w:r w:rsidR="004C7535" w:rsidRPr="004C7535">
        <w:rPr>
          <w:rFonts w:ascii="Arial" w:hAnsi="Arial" w:cs="Arial"/>
        </w:rPr>
        <w:t>academic literature around demand side engag</w:t>
      </w:r>
      <w:r w:rsidR="004C7535">
        <w:rPr>
          <w:rFonts w:ascii="Arial" w:hAnsi="Arial" w:cs="Arial"/>
        </w:rPr>
        <w:t xml:space="preserve">ement in future energy systems including the work of </w:t>
      </w:r>
      <w:r w:rsidR="004C7535" w:rsidRPr="00141302">
        <w:rPr>
          <w:rFonts w:ascii="Arial" w:hAnsi="Arial" w:cs="Arial"/>
        </w:rPr>
        <w:fldChar w:fldCharType="begin"/>
      </w:r>
      <w:r w:rsidR="002B6B58">
        <w:rPr>
          <w:rFonts w:ascii="Arial" w:hAnsi="Arial" w:cs="Arial"/>
        </w:rPr>
        <w:instrText xml:space="preserve"> ADDIN ZOTERO_ITEM CSL_CITATION {"citationID":"ZQgOqTIY","properties":{"formattedCitation":"(Nyborg and R\\uc0\\u248{}pke, 2013)","plainCitation":"(Nyborg and Røpke, 2013)","noteIndex":0},"citationItems":[{"id":120,"uris":["http://zotero.org/users/local/b5kcWd7h/items/MDAYETI4"],"uri":["http://zotero.org/users/local/b5kcWd7h/items/MDAYETI4"],"itemData":{"id":120,"type":"article-journal","container-title":"Energy Efficiency","issue":"4","page":"655–670","source":"Google Scholar","title":"Constructing users in the smart grid—insights from the Danish eFlex project","volume":"6","author":[{"family":"Nyborg","given":"Sophie"},{"family":"Røpke","given":"Inge"}],"issued":{"date-parts":[["2013"]]}}}],"schema":"https://github.com/citation-style-language/schema/raw/master/csl-citation.json"} </w:instrText>
      </w:r>
      <w:r w:rsidR="004C7535" w:rsidRPr="00141302">
        <w:rPr>
          <w:rFonts w:ascii="Arial" w:hAnsi="Arial" w:cs="Arial"/>
        </w:rPr>
        <w:fldChar w:fldCharType="separate"/>
      </w:r>
      <w:r w:rsidR="002B6B58" w:rsidRPr="00141302">
        <w:rPr>
          <w:rFonts w:ascii="Arial" w:hAnsi="Arial" w:cs="Arial"/>
          <w:szCs w:val="24"/>
        </w:rPr>
        <w:t>(Nyborg and Røpke, 2013)</w:t>
      </w:r>
      <w:r w:rsidR="004C7535" w:rsidRPr="00141302">
        <w:rPr>
          <w:rFonts w:ascii="Arial" w:hAnsi="Arial" w:cs="Arial"/>
        </w:rPr>
        <w:fldChar w:fldCharType="end"/>
      </w:r>
      <w:r w:rsidR="004C7535">
        <w:rPr>
          <w:rFonts w:ascii="Arial" w:hAnsi="Arial" w:cs="Arial"/>
        </w:rPr>
        <w:t>)</w:t>
      </w:r>
      <w:r w:rsidR="004C7535" w:rsidRPr="00141302">
        <w:rPr>
          <w:rFonts w:ascii="Arial" w:hAnsi="Arial" w:cs="Arial"/>
        </w:rPr>
        <w:t xml:space="preserve">; </w:t>
      </w:r>
      <w:r w:rsidR="004C7535" w:rsidRPr="00141302">
        <w:rPr>
          <w:rFonts w:ascii="Arial" w:hAnsi="Arial" w:cs="Arial"/>
        </w:rPr>
        <w:fldChar w:fldCharType="begin"/>
      </w:r>
      <w:r w:rsidR="002B6B58">
        <w:rPr>
          <w:rFonts w:ascii="Arial" w:hAnsi="Arial" w:cs="Arial"/>
        </w:rPr>
        <w:instrText xml:space="preserve"> ADDIN ZOTERO_ITEM CSL_CITATION {"citationID":"kOpncarV","properties":{"formattedCitation":"(Goulden {\\i{}et al.}, 2014)","plainCitation":"(Goulden et al., 2014)","dontUpdate":true,"noteIndex":0},"citationItems":[{"id":122,"uris":["http://zotero.org/users/local/b5kcWd7h/items/YDJS2JMB"],"uri":["http://zotero.org/users/local/b5kcWd7h/items/YDJS2JMB"],"itemData":{"id":122,"type":"article-journal","container-title":"Energy research &amp; social science","page":"21–29","source":"Google Scholar","title":"Smart grids, smart users? The role of the user in demand side management","title-short":"Smart grids, smart users?","volume":"2","author":[{"family":"Goulden","given":"Murray"},{"family":"Bedwell","given":"Ben"},{"family":"Rennick-Egglestone","given":"Stefan"},{"family":"Rodden","given":"Tom"},{"family":"Spence","given":"Alexa"}],"issued":{"date-parts":[["2014"]]}}}],"schema":"https://github.com/citation-style-language/schema/raw/master/csl-citation.json"} </w:instrText>
      </w:r>
      <w:r w:rsidR="004C7535" w:rsidRPr="00141302">
        <w:rPr>
          <w:rFonts w:ascii="Arial" w:hAnsi="Arial" w:cs="Arial"/>
        </w:rPr>
        <w:fldChar w:fldCharType="separate"/>
      </w:r>
      <w:r w:rsidR="004C7535" w:rsidRPr="00141302">
        <w:rPr>
          <w:rFonts w:ascii="Arial" w:hAnsi="Arial" w:cs="Arial"/>
          <w:szCs w:val="24"/>
        </w:rPr>
        <w:t xml:space="preserve">Goulden </w:t>
      </w:r>
      <w:r w:rsidR="004C7535" w:rsidRPr="00141302">
        <w:rPr>
          <w:rFonts w:ascii="Arial" w:hAnsi="Arial" w:cs="Arial"/>
          <w:i/>
          <w:iCs/>
          <w:szCs w:val="24"/>
        </w:rPr>
        <w:t>et al.</w:t>
      </w:r>
      <w:r w:rsidR="004C7535" w:rsidRPr="00141302">
        <w:rPr>
          <w:rFonts w:ascii="Arial" w:hAnsi="Arial" w:cs="Arial"/>
          <w:szCs w:val="24"/>
        </w:rPr>
        <w:t xml:space="preserve"> </w:t>
      </w:r>
      <w:r w:rsidR="004C7535">
        <w:rPr>
          <w:rFonts w:ascii="Arial" w:hAnsi="Arial" w:cs="Arial"/>
          <w:szCs w:val="24"/>
        </w:rPr>
        <w:t>(</w:t>
      </w:r>
      <w:r w:rsidR="004C7535" w:rsidRPr="00141302">
        <w:rPr>
          <w:rFonts w:ascii="Arial" w:hAnsi="Arial" w:cs="Arial"/>
          <w:szCs w:val="24"/>
        </w:rPr>
        <w:t>2014</w:t>
      </w:r>
      <w:r w:rsidR="004C7535" w:rsidRPr="00141302">
        <w:rPr>
          <w:rFonts w:ascii="Arial" w:hAnsi="Arial" w:cs="Arial"/>
        </w:rPr>
        <w:fldChar w:fldCharType="end"/>
      </w:r>
      <w:r w:rsidR="004C7535">
        <w:rPr>
          <w:rFonts w:ascii="Arial" w:hAnsi="Arial" w:cs="Arial"/>
        </w:rPr>
        <w:t>)</w:t>
      </w:r>
      <w:r w:rsidR="004C7535" w:rsidRPr="00141302">
        <w:rPr>
          <w:rFonts w:ascii="Arial" w:hAnsi="Arial" w:cs="Arial"/>
        </w:rPr>
        <w:t xml:space="preserve">; </w:t>
      </w:r>
      <w:r w:rsidR="004C7535" w:rsidRPr="00141302">
        <w:rPr>
          <w:rFonts w:ascii="Arial" w:hAnsi="Arial" w:cs="Arial"/>
        </w:rPr>
        <w:fldChar w:fldCharType="begin"/>
      </w:r>
      <w:r w:rsidR="002B6B58">
        <w:rPr>
          <w:rFonts w:ascii="Arial" w:hAnsi="Arial" w:cs="Arial"/>
        </w:rPr>
        <w:instrText xml:space="preserve"> ADDIN ZOTERO_ITEM CSL_CITATION {"citationID":"9NfRzMnx","properties":{"formattedCitation":"(Ballo, 2015)","plainCitation":"(Ballo, 2015)","dontUpdate":true,"noteIndex":0},"citationItems":[{"id":124,"uris":["http://zotero.org/users/local/b5kcWd7h/items/79UK5H22"],"uri":["http://zotero.org/users/local/b5kcWd7h/items/79UK5H22"],"itemData":{"id":124,"type":"article-journal","container-title":"Energy Research &amp; Social Science","page":"9–20","source":"Google Scholar","title":"Imagining energy futures: Sociotechnical imaginaries of the future Smart Grid in Norway","title-short":"Imagining energy futures","volume":"9","author":[{"family":"Ballo","given":"Ingrid Foss"}],"issued":{"date-parts":[["2015"]]}}}],"schema":"https://github.com/citation-style-language/schema/raw/master/csl-citation.json"} </w:instrText>
      </w:r>
      <w:r w:rsidR="004C7535" w:rsidRPr="00141302">
        <w:rPr>
          <w:rFonts w:ascii="Arial" w:hAnsi="Arial" w:cs="Arial"/>
        </w:rPr>
        <w:fldChar w:fldCharType="separate"/>
      </w:r>
      <w:r w:rsidR="004C7535">
        <w:rPr>
          <w:rFonts w:ascii="Arial" w:hAnsi="Arial" w:cs="Arial"/>
        </w:rPr>
        <w:t>Ballo</w:t>
      </w:r>
      <w:r w:rsidR="004C7535" w:rsidRPr="00141302">
        <w:rPr>
          <w:rFonts w:ascii="Arial" w:hAnsi="Arial" w:cs="Arial"/>
        </w:rPr>
        <w:t xml:space="preserve"> </w:t>
      </w:r>
      <w:r w:rsidR="004C7535">
        <w:rPr>
          <w:rFonts w:ascii="Arial" w:hAnsi="Arial" w:cs="Arial"/>
        </w:rPr>
        <w:t>(</w:t>
      </w:r>
      <w:r w:rsidR="004C7535" w:rsidRPr="00141302">
        <w:rPr>
          <w:rFonts w:ascii="Arial" w:hAnsi="Arial" w:cs="Arial"/>
        </w:rPr>
        <w:t>2015</w:t>
      </w:r>
      <w:r w:rsidR="004C7535" w:rsidRPr="00141302">
        <w:rPr>
          <w:rFonts w:ascii="Arial" w:hAnsi="Arial" w:cs="Arial"/>
        </w:rPr>
        <w:fldChar w:fldCharType="end"/>
      </w:r>
      <w:r w:rsidR="004C7535">
        <w:rPr>
          <w:rFonts w:ascii="Arial" w:hAnsi="Arial" w:cs="Arial"/>
        </w:rPr>
        <w:t>)</w:t>
      </w:r>
      <w:r w:rsidR="004C7535" w:rsidRPr="00141302">
        <w:rPr>
          <w:rFonts w:ascii="Arial" w:hAnsi="Arial" w:cs="Arial"/>
        </w:rPr>
        <w:t xml:space="preserve">; </w:t>
      </w:r>
      <w:r w:rsidR="004C7535" w:rsidRPr="00141302">
        <w:rPr>
          <w:rFonts w:ascii="Arial" w:hAnsi="Arial" w:cs="Arial"/>
        </w:rPr>
        <w:fldChar w:fldCharType="begin"/>
      </w:r>
      <w:r w:rsidR="002B6B58">
        <w:rPr>
          <w:rFonts w:ascii="Arial" w:hAnsi="Arial" w:cs="Arial"/>
        </w:rPr>
        <w:instrText xml:space="preserve"> ADDIN ZOTERO_ITEM CSL_CITATION {"citationID":"bNmFp8GT","properties":{"formattedCitation":"(Throndsen, 2017)","plainCitation":"(Throndsen, 2017)","dontUpdate":true,"noteIndex":0},"citationItems":[{"id":126,"uris":["http://zotero.org/users/local/b5kcWd7h/items/JNDJWVAT"],"uri":["http://zotero.org/users/local/b5kcWd7h/items/JNDJWVAT"],"itemData":{"id":126,"type":"article-journal","container-title":"Energy Efficiency","issue":"2","page":"283–297","source":"Google Scholar","title":"What do experts talk about when they talk about users? Expectations and imagined users in the smart grid","title-short":"What do experts talk about when they talk about users?","volume":"10","author":[{"family":"Throndsen","given":"William"}],"issued":{"date-parts":[["2017"]]}}}],"schema":"https://github.com/citation-style-language/schema/raw/master/csl-citation.json"} </w:instrText>
      </w:r>
      <w:r w:rsidR="004C7535" w:rsidRPr="00141302">
        <w:rPr>
          <w:rFonts w:ascii="Arial" w:hAnsi="Arial" w:cs="Arial"/>
        </w:rPr>
        <w:fldChar w:fldCharType="separate"/>
      </w:r>
      <w:r w:rsidR="004C7535">
        <w:rPr>
          <w:rFonts w:ascii="Arial" w:hAnsi="Arial" w:cs="Arial"/>
        </w:rPr>
        <w:t>Throndsen</w:t>
      </w:r>
      <w:r w:rsidR="004C7535" w:rsidRPr="00141302">
        <w:rPr>
          <w:rFonts w:ascii="Arial" w:hAnsi="Arial" w:cs="Arial"/>
        </w:rPr>
        <w:t xml:space="preserve"> </w:t>
      </w:r>
      <w:r w:rsidR="004C7535">
        <w:rPr>
          <w:rFonts w:ascii="Arial" w:hAnsi="Arial" w:cs="Arial"/>
        </w:rPr>
        <w:t>(</w:t>
      </w:r>
      <w:r w:rsidR="004C7535" w:rsidRPr="00141302">
        <w:rPr>
          <w:rFonts w:ascii="Arial" w:hAnsi="Arial" w:cs="Arial"/>
        </w:rPr>
        <w:t>2017</w:t>
      </w:r>
      <w:r w:rsidR="004C7535" w:rsidRPr="00141302">
        <w:rPr>
          <w:rFonts w:ascii="Arial" w:hAnsi="Arial" w:cs="Arial"/>
        </w:rPr>
        <w:fldChar w:fldCharType="end"/>
      </w:r>
      <w:r w:rsidR="004C7535">
        <w:rPr>
          <w:rFonts w:ascii="Arial" w:hAnsi="Arial" w:cs="Arial"/>
        </w:rPr>
        <w:t>)</w:t>
      </w:r>
      <w:r w:rsidR="004C7535" w:rsidRPr="00141302">
        <w:rPr>
          <w:rFonts w:ascii="Arial" w:hAnsi="Arial" w:cs="Arial"/>
        </w:rPr>
        <w:t xml:space="preserve">; </w:t>
      </w:r>
      <w:r w:rsidR="004C7535" w:rsidRPr="00141302">
        <w:rPr>
          <w:rFonts w:ascii="Arial" w:hAnsi="Arial" w:cs="Arial"/>
        </w:rPr>
        <w:fldChar w:fldCharType="begin"/>
      </w:r>
      <w:r w:rsidR="002B6B58">
        <w:rPr>
          <w:rFonts w:ascii="Arial" w:hAnsi="Arial" w:cs="Arial"/>
        </w:rPr>
        <w:instrText xml:space="preserve"> ADDIN ZOTERO_ITEM CSL_CITATION {"citationID":"31mM1lRt","properties":{"formattedCitation":"(Skj\\uc0\\u248{}lsvold {\\i{}et al.}, 2018)","plainCitation":"(Skjølsvold et al., 2018)","dontUpdate":true,"noteIndex":0},"citationItems":[{"id":128,"uris":["http://zotero.org/users/local/b5kcWd7h/items/FXD3DJLB"],"uri":["http://zotero.org/users/local/b5kcWd7h/items/FXD3DJLB"],"itemData":{"id":128,"type":"article-journal","container-title":"Energy research &amp; social science","page":"252–261","source":"Google Scholar","title":"Orchestrating households as collectives of participation in the distributed energy transition: New empirical and conceptual insights","title-short":"Orchestrating households as collectives of participation in the distributed energy transition","volume":"46","author":[{"family":"Skjølsvold","given":"Tomas Moe"},{"family":"Throndsen","given":"William"},{"family":"Ryghaug","given":"Marianne"},{"family":"Fjells\\aa","given":"Ingvild F."},{"family":"Koksvik","given":"Gitte H."}],"issued":{"date-parts":[["2018"]]}}}],"schema":"https://github.com/citation-style-language/schema/raw/master/csl-citation.json"} </w:instrText>
      </w:r>
      <w:r w:rsidR="004C7535" w:rsidRPr="00141302">
        <w:rPr>
          <w:rFonts w:ascii="Arial" w:hAnsi="Arial" w:cs="Arial"/>
        </w:rPr>
        <w:fldChar w:fldCharType="separate"/>
      </w:r>
      <w:r w:rsidR="004C7535" w:rsidRPr="00141302">
        <w:rPr>
          <w:rFonts w:ascii="Arial" w:hAnsi="Arial" w:cs="Arial"/>
          <w:szCs w:val="24"/>
        </w:rPr>
        <w:t xml:space="preserve">Skjølsvold </w:t>
      </w:r>
      <w:r w:rsidR="004C7535" w:rsidRPr="00141302">
        <w:rPr>
          <w:rFonts w:ascii="Arial" w:hAnsi="Arial" w:cs="Arial"/>
          <w:i/>
          <w:iCs/>
          <w:szCs w:val="24"/>
        </w:rPr>
        <w:t>et al.</w:t>
      </w:r>
      <w:r w:rsidR="004C7535" w:rsidRPr="00141302">
        <w:rPr>
          <w:rFonts w:ascii="Arial" w:hAnsi="Arial" w:cs="Arial"/>
          <w:szCs w:val="24"/>
        </w:rPr>
        <w:t xml:space="preserve"> </w:t>
      </w:r>
      <w:r w:rsidR="004C7535">
        <w:rPr>
          <w:rFonts w:ascii="Arial" w:hAnsi="Arial" w:cs="Arial"/>
          <w:szCs w:val="24"/>
        </w:rPr>
        <w:t>(</w:t>
      </w:r>
      <w:r w:rsidR="004C7535" w:rsidRPr="00141302">
        <w:rPr>
          <w:rFonts w:ascii="Arial" w:hAnsi="Arial" w:cs="Arial"/>
          <w:szCs w:val="24"/>
        </w:rPr>
        <w:t>2018</w:t>
      </w:r>
      <w:r w:rsidR="004C7535" w:rsidRPr="00141302">
        <w:rPr>
          <w:rFonts w:ascii="Arial" w:hAnsi="Arial" w:cs="Arial"/>
        </w:rPr>
        <w:fldChar w:fldCharType="end"/>
      </w:r>
      <w:r w:rsidR="004C7535">
        <w:rPr>
          <w:rFonts w:ascii="Arial" w:hAnsi="Arial" w:cs="Arial"/>
        </w:rPr>
        <w:t>)</w:t>
      </w:r>
      <w:r w:rsidR="004C7535" w:rsidRPr="00141302">
        <w:rPr>
          <w:rFonts w:ascii="Arial" w:hAnsi="Arial" w:cs="Arial"/>
        </w:rPr>
        <w:t>;</w:t>
      </w:r>
      <w:r w:rsidR="004C7535" w:rsidRPr="00141302">
        <w:rPr>
          <w:rFonts w:ascii="Arial" w:hAnsi="Arial" w:cs="Arial"/>
        </w:rPr>
        <w:fldChar w:fldCharType="begin"/>
      </w:r>
      <w:r w:rsidR="002B6B58">
        <w:rPr>
          <w:rFonts w:ascii="Arial" w:hAnsi="Arial" w:cs="Arial"/>
        </w:rPr>
        <w:instrText xml:space="preserve"> ADDIN ZOTERO_ITEM CSL_CITATION {"citationID":"DT8oytFK","properties":{"formattedCitation":"(Wallsten and Galis, 2019)","plainCitation":"(Wallsten and Galis, 2019)","dontUpdate":true,"noteIndex":0},"citationItems":[{"id":130,"uris":["http://zotero.org/users/local/b5kcWd7h/items/QVHA8KYZ"],"uri":["http://zotero.org/users/local/b5kcWd7h/items/QVHA8KYZ"],"itemData":{"id":130,"type":"article-journal","container-title":"Journal of Cultural Economy","issue":"6","page":"571–589","source":"Google Scholar","title":"The discreet charm of activeness: the vain construction of efficient smart grid users","title-short":"The discreet charm of activeness","volume":"12","author":[{"family":"Wallsten","given":"Anna"},{"family":"Galis","given":"Vasilis"}],"issued":{"date-parts":[["2019"]]}}}],"schema":"https://github.com/citation-style-language/schema/raw/master/csl-citation.json"} </w:instrText>
      </w:r>
      <w:r w:rsidR="004C7535" w:rsidRPr="00141302">
        <w:rPr>
          <w:rFonts w:ascii="Arial" w:hAnsi="Arial" w:cs="Arial"/>
        </w:rPr>
        <w:fldChar w:fldCharType="separate"/>
      </w:r>
      <w:r w:rsidR="004C7535">
        <w:rPr>
          <w:rFonts w:ascii="Arial" w:hAnsi="Arial" w:cs="Arial"/>
        </w:rPr>
        <w:t xml:space="preserve"> Wallsten and Galis</w:t>
      </w:r>
      <w:r w:rsidR="004C7535" w:rsidRPr="00141302">
        <w:rPr>
          <w:rFonts w:ascii="Arial" w:hAnsi="Arial" w:cs="Arial"/>
        </w:rPr>
        <w:t xml:space="preserve"> </w:t>
      </w:r>
      <w:r w:rsidR="004C7535">
        <w:rPr>
          <w:rFonts w:ascii="Arial" w:hAnsi="Arial" w:cs="Arial"/>
        </w:rPr>
        <w:t>(</w:t>
      </w:r>
      <w:r w:rsidR="004C7535" w:rsidRPr="00141302">
        <w:rPr>
          <w:rFonts w:ascii="Arial" w:hAnsi="Arial" w:cs="Arial"/>
        </w:rPr>
        <w:t>2019</w:t>
      </w:r>
      <w:r w:rsidR="004C7535" w:rsidRPr="00141302">
        <w:rPr>
          <w:rFonts w:ascii="Arial" w:hAnsi="Arial" w:cs="Arial"/>
        </w:rPr>
        <w:fldChar w:fldCharType="end"/>
      </w:r>
      <w:r w:rsidR="004C7535" w:rsidRPr="00141302">
        <w:rPr>
          <w:rFonts w:ascii="Arial" w:hAnsi="Arial" w:cs="Arial"/>
        </w:rPr>
        <w:t>)</w:t>
      </w:r>
      <w:r w:rsidR="004C7535">
        <w:rPr>
          <w:rFonts w:ascii="Arial" w:hAnsi="Arial" w:cs="Arial"/>
        </w:rPr>
        <w:t>.</w:t>
      </w:r>
    </w:p>
    <w:p w14:paraId="41A7DDDB" w14:textId="796C4B44" w:rsidR="00872B55" w:rsidRDefault="00872B55" w:rsidP="00872B55">
      <w:pPr>
        <w:spacing w:line="276" w:lineRule="auto"/>
        <w:jc w:val="both"/>
        <w:rPr>
          <w:rFonts w:ascii="Arial" w:hAnsi="Arial" w:cs="Arial"/>
        </w:rPr>
      </w:pPr>
      <w:r>
        <w:rPr>
          <w:rFonts w:ascii="Arial" w:hAnsi="Arial" w:cs="Arial"/>
        </w:rPr>
        <w:t>Whilst, there are a range of approaches to the smart local energy topic, this paper focuses on the concept level technical design and techno-economic assessment for an urban local energy system in Central London. A densely populated area with many low carbon secondary energy sources that could be used within a smart local energy system which integrates heat, power and mobility energy vectors through a 5</w:t>
      </w:r>
      <w:r w:rsidRPr="00F429DA">
        <w:rPr>
          <w:rFonts w:ascii="Arial" w:hAnsi="Arial" w:cs="Arial"/>
          <w:vertAlign w:val="superscript"/>
        </w:rPr>
        <w:t>th</w:t>
      </w:r>
      <w:r>
        <w:rPr>
          <w:rFonts w:ascii="Arial" w:hAnsi="Arial" w:cs="Arial"/>
        </w:rPr>
        <w:t xml:space="preserve"> generation smart energy network.</w:t>
      </w:r>
    </w:p>
    <w:p w14:paraId="1C1E48C3" w14:textId="77777777" w:rsidR="00A128DA" w:rsidRPr="005475F6" w:rsidRDefault="00A128DA" w:rsidP="003B4E27">
      <w:pPr>
        <w:spacing w:line="276" w:lineRule="auto"/>
        <w:jc w:val="both"/>
        <w:rPr>
          <w:rFonts w:ascii="Arial" w:hAnsi="Arial" w:cs="Arial"/>
          <w:b/>
        </w:rPr>
      </w:pPr>
      <w:r w:rsidRPr="005475F6">
        <w:rPr>
          <w:rFonts w:ascii="Arial" w:hAnsi="Arial" w:cs="Arial"/>
          <w:b/>
        </w:rPr>
        <w:t>5th Generation Energy Network Concept</w:t>
      </w:r>
    </w:p>
    <w:p w14:paraId="501A6882" w14:textId="77777777" w:rsidR="006A2FBE" w:rsidRDefault="006A2FBE" w:rsidP="006A2FBE">
      <w:pPr>
        <w:jc w:val="both"/>
        <w:rPr>
          <w:rFonts w:ascii="Arial" w:hAnsi="Arial" w:cs="Arial"/>
        </w:rPr>
      </w:pPr>
      <w:r>
        <w:rPr>
          <w:rFonts w:ascii="Arial" w:hAnsi="Arial" w:cs="Arial"/>
        </w:rPr>
        <w:t xml:space="preserve">District heating and cooling networks will have an important role in helping to decarbonise the energy sector. </w:t>
      </w:r>
      <w:r w:rsidRPr="00CE29FE">
        <w:rPr>
          <w:rFonts w:ascii="Arial" w:hAnsi="Arial" w:cs="Arial"/>
        </w:rPr>
        <w:t>Typically, heat networks (district heating) ha</w:t>
      </w:r>
      <w:r>
        <w:rPr>
          <w:rFonts w:ascii="Arial" w:hAnsi="Arial" w:cs="Arial"/>
        </w:rPr>
        <w:t>ve</w:t>
      </w:r>
      <w:r w:rsidRPr="00CE29FE">
        <w:rPr>
          <w:rFonts w:ascii="Arial" w:hAnsi="Arial" w:cs="Arial"/>
        </w:rPr>
        <w:t xml:space="preserve"> comprised </w:t>
      </w:r>
      <w:r>
        <w:rPr>
          <w:rFonts w:ascii="Arial" w:hAnsi="Arial" w:cs="Arial"/>
        </w:rPr>
        <w:t xml:space="preserve">a </w:t>
      </w:r>
      <w:r w:rsidRPr="00CE29FE">
        <w:rPr>
          <w:rFonts w:ascii="Arial" w:hAnsi="Arial" w:cs="Arial"/>
        </w:rPr>
        <w:t>centrali</w:t>
      </w:r>
      <w:r>
        <w:rPr>
          <w:rFonts w:ascii="Arial" w:hAnsi="Arial" w:cs="Arial"/>
        </w:rPr>
        <w:t>s</w:t>
      </w:r>
      <w:r w:rsidRPr="00CE29FE">
        <w:rPr>
          <w:rFonts w:ascii="Arial" w:hAnsi="Arial" w:cs="Arial"/>
        </w:rPr>
        <w:t xml:space="preserve">ed heat generation plant </w:t>
      </w:r>
      <w:r>
        <w:rPr>
          <w:rFonts w:ascii="Arial" w:hAnsi="Arial" w:cs="Arial"/>
        </w:rPr>
        <w:t xml:space="preserve">located </w:t>
      </w:r>
      <w:r w:rsidRPr="00CE29FE">
        <w:rPr>
          <w:rFonts w:ascii="Arial" w:hAnsi="Arial" w:cs="Arial"/>
        </w:rPr>
        <w:t xml:space="preserve">in an energy centre, supplying heat </w:t>
      </w:r>
      <w:r>
        <w:rPr>
          <w:rFonts w:ascii="Arial" w:hAnsi="Arial" w:cs="Arial"/>
        </w:rPr>
        <w:t xml:space="preserve">outwards </w:t>
      </w:r>
      <w:r w:rsidRPr="00CE29FE">
        <w:rPr>
          <w:rFonts w:ascii="Arial" w:hAnsi="Arial" w:cs="Arial"/>
        </w:rPr>
        <w:t xml:space="preserve">to a number of buildings </w:t>
      </w:r>
      <w:r>
        <w:rPr>
          <w:rFonts w:ascii="Arial" w:hAnsi="Arial" w:cs="Arial"/>
        </w:rPr>
        <w:t>with</w:t>
      </w:r>
      <w:r w:rsidRPr="00CE29FE">
        <w:rPr>
          <w:rFonts w:ascii="Arial" w:hAnsi="Arial" w:cs="Arial"/>
        </w:rPr>
        <w:t xml:space="preserve">in a neighbourhood. </w:t>
      </w:r>
      <w:r>
        <w:rPr>
          <w:rFonts w:ascii="Arial" w:hAnsi="Arial" w:cs="Arial"/>
        </w:rPr>
        <w:t>For</w:t>
      </w:r>
      <w:r w:rsidRPr="00CE29FE">
        <w:rPr>
          <w:rFonts w:ascii="Arial" w:hAnsi="Arial" w:cs="Arial"/>
        </w:rPr>
        <w:t xml:space="preserve"> traditional type </w:t>
      </w:r>
      <w:r>
        <w:rPr>
          <w:rFonts w:ascii="Arial" w:hAnsi="Arial" w:cs="Arial"/>
        </w:rPr>
        <w:t>district heat networks (</w:t>
      </w:r>
      <w:r w:rsidRPr="00CE29FE">
        <w:rPr>
          <w:rFonts w:ascii="Arial" w:hAnsi="Arial" w:cs="Arial"/>
        </w:rPr>
        <w:t>DHNs</w:t>
      </w:r>
      <w:r>
        <w:rPr>
          <w:rFonts w:ascii="Arial" w:hAnsi="Arial" w:cs="Arial"/>
        </w:rPr>
        <w:t>)</w:t>
      </w:r>
      <w:r w:rsidRPr="00CE29FE">
        <w:rPr>
          <w:rFonts w:ascii="Arial" w:hAnsi="Arial" w:cs="Arial"/>
        </w:rPr>
        <w:t>, heat energy was distributed through pressurised hot water well above 100°C</w:t>
      </w:r>
      <w:r>
        <w:rPr>
          <w:rFonts w:ascii="Arial" w:hAnsi="Arial" w:cs="Arial"/>
        </w:rPr>
        <w:t>, while</w:t>
      </w:r>
      <w:r w:rsidRPr="00CE29FE">
        <w:rPr>
          <w:rFonts w:ascii="Arial" w:hAnsi="Arial" w:cs="Arial"/>
        </w:rPr>
        <w:t xml:space="preserve"> more recently third generation (3G) </w:t>
      </w:r>
      <w:r>
        <w:rPr>
          <w:rFonts w:ascii="Arial" w:hAnsi="Arial" w:cs="Arial"/>
        </w:rPr>
        <w:t xml:space="preserve">were </w:t>
      </w:r>
      <w:r w:rsidRPr="00CE29FE">
        <w:rPr>
          <w:rFonts w:ascii="Arial" w:hAnsi="Arial" w:cs="Arial"/>
        </w:rPr>
        <w:t xml:space="preserve">supplying </w:t>
      </w:r>
      <w:r>
        <w:rPr>
          <w:rFonts w:ascii="Arial" w:hAnsi="Arial" w:cs="Arial"/>
        </w:rPr>
        <w:t xml:space="preserve">heated water at temperatures </w:t>
      </w:r>
      <w:r w:rsidRPr="00CE29FE">
        <w:rPr>
          <w:rFonts w:ascii="Arial" w:hAnsi="Arial" w:cs="Arial"/>
        </w:rPr>
        <w:t xml:space="preserve">as low as 80°C. These systems were generally centralised with one or few </w:t>
      </w:r>
      <w:r>
        <w:rPr>
          <w:rFonts w:ascii="Arial" w:hAnsi="Arial" w:cs="Arial"/>
        </w:rPr>
        <w:t>energy centres</w:t>
      </w:r>
      <w:r w:rsidRPr="00CE29FE">
        <w:rPr>
          <w:rFonts w:ascii="Arial" w:hAnsi="Arial" w:cs="Arial"/>
        </w:rPr>
        <w:t>, mainly supported by fossil fuels</w:t>
      </w:r>
      <w:r>
        <w:rPr>
          <w:rFonts w:ascii="Arial" w:hAnsi="Arial" w:cs="Arial"/>
        </w:rPr>
        <w:t xml:space="preserve"> and </w:t>
      </w:r>
      <w:r w:rsidRPr="00CE29FE">
        <w:rPr>
          <w:rFonts w:ascii="Arial" w:hAnsi="Arial" w:cs="Arial"/>
        </w:rPr>
        <w:t>often had large heat losses along the distribution.</w:t>
      </w:r>
      <w:r w:rsidRPr="00CE29FE">
        <w:t xml:space="preserve"> </w:t>
      </w:r>
      <w:r w:rsidRPr="00CE29FE">
        <w:rPr>
          <w:rFonts w:ascii="Arial" w:hAnsi="Arial" w:cs="Arial"/>
        </w:rPr>
        <w:t xml:space="preserve">However, since then the heat network industry has improved significantly. The key development stages of heat networks are illustrated in Figure 1. Each of these development stages </w:t>
      </w:r>
      <w:r>
        <w:rPr>
          <w:rFonts w:ascii="Arial" w:hAnsi="Arial" w:cs="Arial"/>
        </w:rPr>
        <w:t>up to the 4</w:t>
      </w:r>
      <w:r w:rsidRPr="00CE29FE">
        <w:rPr>
          <w:rFonts w:ascii="Arial" w:hAnsi="Arial" w:cs="Arial"/>
          <w:vertAlign w:val="superscript"/>
        </w:rPr>
        <w:t>th</w:t>
      </w:r>
      <w:r>
        <w:rPr>
          <w:rFonts w:ascii="Arial" w:hAnsi="Arial" w:cs="Arial"/>
        </w:rPr>
        <w:t xml:space="preserve"> generation (4G) </w:t>
      </w:r>
      <w:r w:rsidRPr="00CE29FE">
        <w:rPr>
          <w:rFonts w:ascii="Arial" w:hAnsi="Arial" w:cs="Arial"/>
        </w:rPr>
        <w:t xml:space="preserve">are discussed in detail by </w:t>
      </w:r>
      <w:r>
        <w:rPr>
          <w:rFonts w:ascii="Arial" w:hAnsi="Arial" w:cs="Arial"/>
        </w:rPr>
        <w:fldChar w:fldCharType="begin"/>
      </w:r>
      <w:r>
        <w:rPr>
          <w:rFonts w:ascii="Arial" w:hAnsi="Arial" w:cs="Arial"/>
        </w:rPr>
        <w:instrText xml:space="preserve"> ADDIN ZOTERO_ITEM CSL_CITATION {"citationID":"M3IOPR6o","properties":{"formattedCitation":"(Lund {\\i{}et al.}, 2014)","plainCitation":"(Lund et al., 2014)","dontUpdate":true,"noteIndex":0},"citationItems":[{"id":19,"uris":["http://zotero.org/users/local/b5kcWd7h/items/C4Q6LMLZ"],"uri":["http://zotero.org/users/local/b5kcWd7h/items/C4Q6LMLZ"],"itemData":{"id":19,"type":"article-journal","container-title":"Energy","page":"1–11","source":"Google Scholar","title":"4th Generation District Heating (4GDH): Integrating smart thermal grids into future sustainable energy systems","title-short":"4th Generation District Heating (4GDH)","volume":"68","author":[{"family":"Lund","given":"Henrik"},{"family":"Werner","given":"Sven"},{"family":"Wiltshire","given":"Robin"},{"family":"Svendsen","given":"Svend"},{"family":"Thorsen","given":"Jan Eric"},{"family":"Hvelplund","given":"Frede"},{"family":"Mathiesen","given":"Brian Vad"}],"issued":{"date-parts":[["2014"]]}}}],"schema":"https://github.com/citation-style-language/schema/raw/master/csl-citation.json"} </w:instrText>
      </w:r>
      <w:r>
        <w:rPr>
          <w:rFonts w:ascii="Arial" w:hAnsi="Arial" w:cs="Arial"/>
        </w:rPr>
        <w:fldChar w:fldCharType="separate"/>
      </w:r>
      <w:r w:rsidRPr="00CE29FE">
        <w:rPr>
          <w:rFonts w:ascii="Arial" w:hAnsi="Arial" w:cs="Arial"/>
          <w:szCs w:val="24"/>
        </w:rPr>
        <w:t xml:space="preserve">Lund </w:t>
      </w:r>
      <w:r w:rsidRPr="00CE29FE">
        <w:rPr>
          <w:rFonts w:ascii="Arial" w:hAnsi="Arial" w:cs="Arial"/>
          <w:i/>
          <w:iCs/>
          <w:szCs w:val="24"/>
        </w:rPr>
        <w:t>et al.</w:t>
      </w:r>
      <w:r w:rsidRPr="00CE29FE">
        <w:rPr>
          <w:rFonts w:ascii="Arial" w:hAnsi="Arial" w:cs="Arial"/>
          <w:szCs w:val="24"/>
        </w:rPr>
        <w:t xml:space="preserve"> </w:t>
      </w:r>
      <w:r>
        <w:rPr>
          <w:rFonts w:ascii="Arial" w:hAnsi="Arial" w:cs="Arial"/>
          <w:szCs w:val="24"/>
        </w:rPr>
        <w:t>(</w:t>
      </w:r>
      <w:r w:rsidRPr="00CE29FE">
        <w:rPr>
          <w:rFonts w:ascii="Arial" w:hAnsi="Arial" w:cs="Arial"/>
          <w:szCs w:val="24"/>
        </w:rPr>
        <w:t>2014)</w:t>
      </w:r>
      <w:r>
        <w:rPr>
          <w:rFonts w:ascii="Arial" w:hAnsi="Arial" w:cs="Arial"/>
        </w:rPr>
        <w:fldChar w:fldCharType="end"/>
      </w:r>
      <w:r>
        <w:rPr>
          <w:rFonts w:ascii="Arial" w:hAnsi="Arial" w:cs="Arial"/>
        </w:rPr>
        <w:t xml:space="preserve">. The status of the 4G network concept has been reviewed by </w:t>
      </w:r>
      <w:r>
        <w:rPr>
          <w:rFonts w:ascii="Arial" w:hAnsi="Arial" w:cs="Arial"/>
        </w:rPr>
        <w:fldChar w:fldCharType="begin"/>
      </w:r>
      <w:r>
        <w:rPr>
          <w:rFonts w:ascii="Arial" w:hAnsi="Arial" w:cs="Arial"/>
        </w:rPr>
        <w:instrText xml:space="preserve"> ADDIN ZOTERO_ITEM CSL_CITATION {"citationID":"Mqw8w27m","properties":{"formattedCitation":"(Lund {\\i{}et al.}, 2018)","plainCitation":"(Lund et al., 2018)","noteIndex":0},"citationItems":[{"id":182,"uris":["http://zotero.org/users/local/b5kcWd7h/items/HG9S6CYP"],"uri":["http://zotero.org/users/local/b5kcWd7h/items/HG9S6CYP"],"itemData":{"id":182,"type":"article-journal","abstract":"This review article presents a description of contemporary developments and findings related to the different elements needed in future 4th generation district heating systems (4GDH). Unlike the first three generations of district heating, the development of 4GDH involves meeting the challenge of more energy efficient buildings as well as the integration of district heating into a future smart energy system based on renewable energy sources. Following a review of recent 4GDH research, the article quantifies the costs and benefits of 4GDH in future sustainable energy systems. Costs involve an upgrade of heating systems and of the operation of the distribution grids, while benefits are lower grid losses, a better utilization of low-temperature heat sources and improved efficiency in the production compared to previous district heating systems. It is quantified how benefits exceed costs by a safe margin with the benefits of systems integration being the most important.","container-title":"Energy","DOI":"10.1016/j.energy.2018.08.206","ISSN":"0360-5442","journalAbbreviation":"Energy","language":"en","page":"147-159","source":"ScienceDirect","title":"The status of 4th generation district heating: Research and results","title-short":"The status of 4th generation district heating","volume":"164","author":[{"family":"Lund","given":"Henrik"},{"family":"Østergaard","given":"Poul Alberg"},{"family":"Chang","given":"Miguel"},{"family":"Werner","given":"Sven"},{"family":"Svendsen","given":"Svend"},{"family":"Sorknæs","given":"Peter"},{"family":"Thorsen","given":"Jan Eric"},{"family":"Hvelplund","given":"Frede"},{"family":"Mortensen","given":"Bent Ole Gram"},{"family":"Mathiesen","given":"Brian Vad"},{"family":"Bojesen","given":"Carsten"},{"family":"Duic","given":"Neven"},{"family":"Zhang","given":"Xiliang"},{"family":"Möller","given":"Bernd"}],"issued":{"date-parts":[["2018",12,1]]}}}],"schema":"https://github.com/citation-style-language/schema/raw/master/csl-citation.json"} </w:instrText>
      </w:r>
      <w:r>
        <w:rPr>
          <w:rFonts w:ascii="Arial" w:hAnsi="Arial" w:cs="Arial"/>
        </w:rPr>
        <w:fldChar w:fldCharType="separate"/>
      </w:r>
      <w:r w:rsidRPr="00531641">
        <w:rPr>
          <w:rFonts w:ascii="Arial" w:hAnsi="Arial" w:cs="Arial"/>
          <w:szCs w:val="24"/>
        </w:rPr>
        <w:t xml:space="preserve">Lund </w:t>
      </w:r>
      <w:r w:rsidRPr="00531641">
        <w:rPr>
          <w:rFonts w:ascii="Arial" w:hAnsi="Arial" w:cs="Arial"/>
          <w:i/>
          <w:iCs/>
          <w:szCs w:val="24"/>
        </w:rPr>
        <w:t>et al.</w:t>
      </w:r>
      <w:r w:rsidRPr="00531641">
        <w:rPr>
          <w:rFonts w:ascii="Arial" w:hAnsi="Arial" w:cs="Arial"/>
          <w:szCs w:val="24"/>
        </w:rPr>
        <w:t xml:space="preserve"> </w:t>
      </w:r>
      <w:r>
        <w:rPr>
          <w:rFonts w:ascii="Arial" w:hAnsi="Arial" w:cs="Arial"/>
          <w:szCs w:val="24"/>
        </w:rPr>
        <w:t>(</w:t>
      </w:r>
      <w:r w:rsidRPr="00531641">
        <w:rPr>
          <w:rFonts w:ascii="Arial" w:hAnsi="Arial" w:cs="Arial"/>
          <w:szCs w:val="24"/>
        </w:rPr>
        <w:t>2018)</w:t>
      </w:r>
      <w:r>
        <w:rPr>
          <w:rFonts w:ascii="Arial" w:hAnsi="Arial" w:cs="Arial"/>
        </w:rPr>
        <w:fldChar w:fldCharType="end"/>
      </w:r>
      <w:r>
        <w:rPr>
          <w:rFonts w:ascii="Arial" w:hAnsi="Arial" w:cs="Arial"/>
        </w:rPr>
        <w:t>, while  a more recent short paper presented a number of cutting edge studies related to the</w:t>
      </w:r>
      <w:r w:rsidRPr="009718D3">
        <w:t xml:space="preserve"> </w:t>
      </w:r>
      <w:r w:rsidRPr="009718D3">
        <w:rPr>
          <w:rFonts w:ascii="Arial" w:hAnsi="Arial" w:cs="Arial"/>
        </w:rPr>
        <w:t>design and implement</w:t>
      </w:r>
      <w:r>
        <w:rPr>
          <w:rFonts w:ascii="Arial" w:hAnsi="Arial" w:cs="Arial"/>
        </w:rPr>
        <w:t xml:space="preserve">ation of these type of networks </w:t>
      </w:r>
      <w:r>
        <w:rPr>
          <w:rFonts w:ascii="Arial" w:hAnsi="Arial" w:cs="Arial"/>
        </w:rPr>
        <w:fldChar w:fldCharType="begin"/>
      </w:r>
      <w:r>
        <w:rPr>
          <w:rFonts w:ascii="Arial" w:hAnsi="Arial" w:cs="Arial"/>
        </w:rPr>
        <w:instrText xml:space="preserve"> ADDIN ZOTERO_ITEM CSL_CITATION {"citationID":"3508DxX9","properties":{"formattedCitation":"(Lund {\\i{}et al.}, 2020)","plainCitation":"(Lund et al., 2020)","noteIndex":0},"citationItems":[{"id":172,"uris":["http://zotero.org/users/local/b5kcWd7h/items/T9IY3VGL"],"uri":["http://zotero.org/users/local/b5kcWd7h/items/T9IY3VGL"],"itemData":{"id":172,"type":"article-journal","abstract":"This short paper introduces the contents of selected papers from the 4th International Conference on Smart Energy Systems and 4th Generation District Heating – SES4DH. All of the papers elaborate on or contribute to the theoretical scientific understanding on how we can design and implement a suitable and least-cost transformation into a sustainable energy future with a focus on the important role of district heating and cooling technologies.","container-title":"Energy","DOI":"10.1016/j.energy.2019.116318","ISSN":"0360-5442","journalAbbreviation":"Energy","language":"en","page":"116318","source":"ScienceDirect","title":"Perspectives on Smart Energy Systems from the SES4DH 2018 conference","volume":"190","author":[{"family":"Lund","given":"Henrik"},{"family":"Duic","given":"Neven"},{"family":"Østergaard","given":"Poul Alberg"},{"family":"Mathiesen","given":"Brian Vad"}],"issued":{"date-parts":[["2020",1,1]]}}}],"schema":"https://github.com/citation-style-language/schema/raw/master/csl-citation.json"} </w:instrText>
      </w:r>
      <w:r>
        <w:rPr>
          <w:rFonts w:ascii="Arial" w:hAnsi="Arial" w:cs="Arial"/>
        </w:rPr>
        <w:fldChar w:fldCharType="separate"/>
      </w:r>
      <w:r w:rsidRPr="00531641">
        <w:rPr>
          <w:rFonts w:ascii="Arial" w:hAnsi="Arial" w:cs="Arial"/>
          <w:szCs w:val="24"/>
        </w:rPr>
        <w:t xml:space="preserve">(Lund </w:t>
      </w:r>
      <w:r w:rsidRPr="00531641">
        <w:rPr>
          <w:rFonts w:ascii="Arial" w:hAnsi="Arial" w:cs="Arial"/>
          <w:i/>
          <w:iCs/>
          <w:szCs w:val="24"/>
        </w:rPr>
        <w:t>et al.</w:t>
      </w:r>
      <w:r w:rsidRPr="00531641">
        <w:rPr>
          <w:rFonts w:ascii="Arial" w:hAnsi="Arial" w:cs="Arial"/>
          <w:szCs w:val="24"/>
        </w:rPr>
        <w:t>, 2020)</w:t>
      </w:r>
      <w:r>
        <w:rPr>
          <w:rFonts w:ascii="Arial" w:hAnsi="Arial" w:cs="Arial"/>
        </w:rPr>
        <w:fldChar w:fldCharType="end"/>
      </w:r>
      <w:r>
        <w:rPr>
          <w:rFonts w:ascii="Arial" w:hAnsi="Arial" w:cs="Arial"/>
        </w:rPr>
        <w:t xml:space="preserve">. The challenges and potentials for low temperature networks were discussed in detail by </w:t>
      </w:r>
      <w:r>
        <w:rPr>
          <w:rFonts w:ascii="Arial" w:hAnsi="Arial" w:cs="Arial"/>
        </w:rPr>
        <w:fldChar w:fldCharType="begin"/>
      </w:r>
      <w:r>
        <w:rPr>
          <w:rFonts w:ascii="Arial" w:hAnsi="Arial" w:cs="Arial"/>
        </w:rPr>
        <w:instrText xml:space="preserve"> ADDIN ZOTERO_ITEM CSL_CITATION {"citationID":"FKJ1piXd","properties":{"formattedCitation":"(Nord {\\i{}et al.}, 2018)","plainCitation":"(Nord et al., 2018)","noteIndex":0},"citationItems":[{"id":185,"uris":["http://zotero.org/users/local/b5kcWd7h/items/6AJM62IK"],"uri":["http://zotero.org/users/local/b5kcWd7h/items/6AJM62IK"],"itemData":{"id":185,"type":"article-journal","container-title":"Energy","page":"889–902","source":"Google Scholar","title":"Challenges and potentials for low-temperature district heating implementation in Norway","volume":"151","author":[{"family":"Nord","given":"Natasa"},{"family":"Nielsen","given":"Elise Kristine Løve"},{"family":"Kauko","given":"Hanne"},{"family":"Tereshchenko","given":"Tymofii"}],"issued":{"date-parts":[["2018"]]}}}],"schema":"https://github.com/citation-style-language/schema/raw/master/csl-citation.json"} </w:instrText>
      </w:r>
      <w:r>
        <w:rPr>
          <w:rFonts w:ascii="Arial" w:hAnsi="Arial" w:cs="Arial"/>
        </w:rPr>
        <w:fldChar w:fldCharType="separate"/>
      </w:r>
      <w:r w:rsidRPr="00531641">
        <w:rPr>
          <w:rFonts w:ascii="Arial" w:hAnsi="Arial" w:cs="Arial"/>
          <w:szCs w:val="24"/>
        </w:rPr>
        <w:t xml:space="preserve">Nord </w:t>
      </w:r>
      <w:r w:rsidRPr="00531641">
        <w:rPr>
          <w:rFonts w:ascii="Arial" w:hAnsi="Arial" w:cs="Arial"/>
          <w:i/>
          <w:iCs/>
          <w:szCs w:val="24"/>
        </w:rPr>
        <w:t>et al.</w:t>
      </w:r>
      <w:r w:rsidRPr="00531641">
        <w:rPr>
          <w:rFonts w:ascii="Arial" w:hAnsi="Arial" w:cs="Arial"/>
          <w:szCs w:val="24"/>
        </w:rPr>
        <w:t xml:space="preserve"> </w:t>
      </w:r>
      <w:r>
        <w:rPr>
          <w:rFonts w:ascii="Arial" w:hAnsi="Arial" w:cs="Arial"/>
          <w:szCs w:val="24"/>
        </w:rPr>
        <w:t>(</w:t>
      </w:r>
      <w:r w:rsidRPr="00531641">
        <w:rPr>
          <w:rFonts w:ascii="Arial" w:hAnsi="Arial" w:cs="Arial"/>
          <w:szCs w:val="24"/>
        </w:rPr>
        <w:t>2018)</w:t>
      </w:r>
      <w:r>
        <w:rPr>
          <w:rFonts w:ascii="Arial" w:hAnsi="Arial" w:cs="Arial"/>
        </w:rPr>
        <w:fldChar w:fldCharType="end"/>
      </w:r>
      <w:r>
        <w:rPr>
          <w:rFonts w:ascii="Arial" w:hAnsi="Arial" w:cs="Arial"/>
        </w:rPr>
        <w:t xml:space="preserve">. Most of these papers highlighted that the </w:t>
      </w:r>
      <w:r w:rsidRPr="0018545C">
        <w:rPr>
          <w:rFonts w:ascii="Arial" w:hAnsi="Arial" w:cs="Arial"/>
        </w:rPr>
        <w:t xml:space="preserve">future for district heating is likely to </w:t>
      </w:r>
      <w:r>
        <w:rPr>
          <w:rFonts w:ascii="Arial" w:hAnsi="Arial" w:cs="Arial"/>
        </w:rPr>
        <w:t xml:space="preserve">involve the use of </w:t>
      </w:r>
      <w:r w:rsidRPr="0018545C">
        <w:rPr>
          <w:rFonts w:ascii="Arial" w:hAnsi="Arial" w:cs="Arial"/>
        </w:rPr>
        <w:t>lower temperature</w:t>
      </w:r>
      <w:r>
        <w:rPr>
          <w:rFonts w:ascii="Arial" w:hAnsi="Arial" w:cs="Arial"/>
        </w:rPr>
        <w:t xml:space="preserve"> networks</w:t>
      </w:r>
      <w:r w:rsidRPr="0018545C">
        <w:rPr>
          <w:rFonts w:ascii="Arial" w:hAnsi="Arial" w:cs="Arial"/>
        </w:rPr>
        <w:t xml:space="preserve"> </w:t>
      </w:r>
      <w:r>
        <w:rPr>
          <w:rFonts w:ascii="Arial" w:hAnsi="Arial" w:cs="Arial"/>
        </w:rPr>
        <w:t xml:space="preserve">and the use of heat pumps. 4G is </w:t>
      </w:r>
      <w:r>
        <w:rPr>
          <w:rFonts w:ascii="Arial" w:hAnsi="Arial" w:cs="Arial"/>
        </w:rPr>
        <w:lastRenderedPageBreak/>
        <w:t xml:space="preserve">fundamentally the </w:t>
      </w:r>
      <w:r w:rsidRPr="0018545C">
        <w:rPr>
          <w:rFonts w:ascii="Arial" w:hAnsi="Arial" w:cs="Arial"/>
        </w:rPr>
        <w:t>sa</w:t>
      </w:r>
      <w:r>
        <w:rPr>
          <w:rFonts w:ascii="Arial" w:hAnsi="Arial" w:cs="Arial"/>
        </w:rPr>
        <w:t xml:space="preserve">me topology/structure as a 3G </w:t>
      </w:r>
      <w:r w:rsidRPr="0018545C">
        <w:rPr>
          <w:rFonts w:ascii="Arial" w:hAnsi="Arial" w:cs="Arial"/>
        </w:rPr>
        <w:t xml:space="preserve">design </w:t>
      </w:r>
      <w:r>
        <w:rPr>
          <w:rFonts w:ascii="Arial" w:hAnsi="Arial" w:cs="Arial"/>
        </w:rPr>
        <w:t xml:space="preserve">with a single energy centre and </w:t>
      </w:r>
      <w:r w:rsidRPr="0018545C">
        <w:rPr>
          <w:rFonts w:ascii="Arial" w:hAnsi="Arial" w:cs="Arial"/>
        </w:rPr>
        <w:t>pre-in</w:t>
      </w:r>
      <w:r>
        <w:rPr>
          <w:rFonts w:ascii="Arial" w:hAnsi="Arial" w:cs="Arial"/>
        </w:rPr>
        <w:t xml:space="preserve">sulated pipework supplying heat </w:t>
      </w:r>
      <w:r w:rsidRPr="0018545C">
        <w:rPr>
          <w:rFonts w:ascii="Arial" w:hAnsi="Arial" w:cs="Arial"/>
        </w:rPr>
        <w:t>ou</w:t>
      </w:r>
      <w:r>
        <w:rPr>
          <w:rFonts w:ascii="Arial" w:hAnsi="Arial" w:cs="Arial"/>
        </w:rPr>
        <w:t>twards to the demands. However, 4G</w:t>
      </w:r>
      <w:r w:rsidRPr="0018545C">
        <w:rPr>
          <w:rFonts w:ascii="Arial" w:hAnsi="Arial" w:cs="Arial"/>
        </w:rPr>
        <w:t xml:space="preserve"> differ</w:t>
      </w:r>
      <w:r>
        <w:rPr>
          <w:rFonts w:ascii="Arial" w:hAnsi="Arial" w:cs="Arial"/>
        </w:rPr>
        <w:t xml:space="preserve">s significantly in having lower </w:t>
      </w:r>
      <w:r w:rsidRPr="0018545C">
        <w:rPr>
          <w:rFonts w:ascii="Arial" w:hAnsi="Arial" w:cs="Arial"/>
        </w:rPr>
        <w:t>operating temperatures than 3</w:t>
      </w:r>
      <w:r>
        <w:rPr>
          <w:rFonts w:ascii="Arial" w:hAnsi="Arial" w:cs="Arial"/>
        </w:rPr>
        <w:t xml:space="preserve">G, and is therefore able to capture waste heat e.g. from industrial sources. The potential for integrating industrial excess heat in DHNs has been discussed by </w:t>
      </w:r>
      <w:r>
        <w:rPr>
          <w:rFonts w:ascii="Arial" w:hAnsi="Arial" w:cs="Arial"/>
        </w:rPr>
        <w:fldChar w:fldCharType="begin"/>
      </w:r>
      <w:r>
        <w:rPr>
          <w:rFonts w:ascii="Arial" w:hAnsi="Arial" w:cs="Arial"/>
        </w:rPr>
        <w:instrText xml:space="preserve"> ADDIN ZOTERO_ITEM CSL_CITATION {"citationID":"2WtCpEf1","properties":{"formattedCitation":"(Lygnerud and Werner, 2018)","plainCitation":"(Lygnerud and Werner, 2018)","noteIndex":0},"citationItems":[{"id":190,"uris":["http://zotero.org/users/local/b5kcWd7h/items/QJ2GGGNV"],"uri":["http://zotero.org/users/local/b5kcWd7h/items/QJ2GGGNV"],"itemData":{"id":190,"type":"article-journal","abstract":"The recovery of industrial excess heat for use in district heating systems can be characterised by great political interest, high potential, low utilisation and often high profitability. These characteristics reveal that barriers are present for its greater utilisation. One identified barrier is the risk that industries with excess heat can terminate their activities, resulting in the loss of heat recovery. Excess heat recovery investments are therefore sometimes rejected, despite them being viable investments. The risk of termination of industrial activities has been assessed by a study of 107 excess heat recoveries in Sweden. The analysis verified that terminated industrial activities are one of two major explanations for terminated heat delivery. The other major reason is substitution by another heat supply. These two explanations correspond to approximately 6% of all annual average heat recoveries. The identified risk factors are small annual heat recovery and the use of heat pumps when low-temperature heat was recovered. The main conclusion is that a small proportion of industrial heat recovery has been lost in Sweden because of terminated industrial activities. The risk premium of losing industrial heat recovery for this specific reason should be considered to be lower than often presumed in feasibility studies.","container-title":"Energy","DOI":"10.1016/j.energy.2018.03.047","ISSN":"0360-5442","journalAbbreviation":"Energy","language":"en","page":"430-441","source":"ScienceDirect","title":"Risk assessment of industrial excess heat recovery in district heating systems","volume":"151","author":[{"family":"Lygnerud","given":"Kristina"},{"family":"Werner","given":"Sven"}],"issued":{"date-parts":[["2018",5,15]]}}}],"schema":"https://github.com/citation-style-language/schema/raw/master/csl-citation.json"} </w:instrText>
      </w:r>
      <w:r>
        <w:rPr>
          <w:rFonts w:ascii="Arial" w:hAnsi="Arial" w:cs="Arial"/>
        </w:rPr>
        <w:fldChar w:fldCharType="separate"/>
      </w:r>
      <w:r w:rsidRPr="00817F4A">
        <w:rPr>
          <w:rFonts w:ascii="Arial" w:hAnsi="Arial" w:cs="Arial"/>
        </w:rPr>
        <w:t>Lygnerud and Werner (</w:t>
      </w:r>
      <w:r w:rsidRPr="00531641">
        <w:rPr>
          <w:rFonts w:ascii="Arial" w:hAnsi="Arial" w:cs="Arial"/>
        </w:rPr>
        <w:t>2018)</w:t>
      </w:r>
      <w:r>
        <w:rPr>
          <w:rFonts w:ascii="Arial" w:hAnsi="Arial" w:cs="Arial"/>
        </w:rPr>
        <w:fldChar w:fldCharType="end"/>
      </w:r>
      <w:r>
        <w:rPr>
          <w:rFonts w:ascii="Arial" w:hAnsi="Arial" w:cs="Arial"/>
        </w:rPr>
        <w:t>.</w:t>
      </w:r>
    </w:p>
    <w:p w14:paraId="3CFAA31F" w14:textId="77777777" w:rsidR="00372CD9" w:rsidRDefault="00372CD9" w:rsidP="003B4E27">
      <w:pPr>
        <w:jc w:val="center"/>
      </w:pPr>
      <w:r>
        <w:rPr>
          <w:noProof/>
          <w:lang w:eastAsia="en-GB"/>
        </w:rPr>
        <w:drawing>
          <wp:inline distT="0" distB="0" distL="0" distR="0" wp14:anchorId="11CB7098" wp14:editId="2279E992">
            <wp:extent cx="5323133" cy="345077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62258" cy="3476134"/>
                    </a:xfrm>
                    <a:prstGeom prst="rect">
                      <a:avLst/>
                    </a:prstGeom>
                    <a:noFill/>
                  </pic:spPr>
                </pic:pic>
              </a:graphicData>
            </a:graphic>
          </wp:inline>
        </w:drawing>
      </w:r>
    </w:p>
    <w:p w14:paraId="7650B8B8" w14:textId="61AAB9AC" w:rsidR="00372CD9" w:rsidRDefault="00372CD9" w:rsidP="00372CD9">
      <w:pPr>
        <w:pStyle w:val="Caption"/>
        <w:jc w:val="center"/>
        <w:rPr>
          <w:rFonts w:ascii="Arial" w:hAnsi="Arial" w:cs="Arial"/>
          <w:b/>
        </w:rPr>
      </w:pPr>
      <w:r w:rsidRPr="00513450">
        <w:rPr>
          <w:rFonts w:ascii="Arial" w:hAnsi="Arial" w:cs="Arial"/>
          <w:b/>
        </w:rPr>
        <w:t xml:space="preserve">Figure </w:t>
      </w:r>
      <w:r w:rsidRPr="00513450">
        <w:rPr>
          <w:rFonts w:ascii="Arial" w:hAnsi="Arial" w:cs="Arial"/>
          <w:b/>
        </w:rPr>
        <w:fldChar w:fldCharType="begin"/>
      </w:r>
      <w:r w:rsidRPr="00513450">
        <w:rPr>
          <w:rFonts w:ascii="Arial" w:hAnsi="Arial" w:cs="Arial"/>
          <w:b/>
        </w:rPr>
        <w:instrText xml:space="preserve"> SEQ Figure \* ARABIC </w:instrText>
      </w:r>
      <w:r w:rsidRPr="00513450">
        <w:rPr>
          <w:rFonts w:ascii="Arial" w:hAnsi="Arial" w:cs="Arial"/>
          <w:b/>
        </w:rPr>
        <w:fldChar w:fldCharType="separate"/>
      </w:r>
      <w:r w:rsidR="00AC5417">
        <w:rPr>
          <w:rFonts w:ascii="Arial" w:hAnsi="Arial" w:cs="Arial"/>
          <w:b/>
          <w:noProof/>
        </w:rPr>
        <w:t>1</w:t>
      </w:r>
      <w:r w:rsidRPr="00513450">
        <w:rPr>
          <w:rFonts w:ascii="Arial" w:hAnsi="Arial" w:cs="Arial"/>
          <w:b/>
        </w:rPr>
        <w:fldChar w:fldCharType="end"/>
      </w:r>
      <w:r w:rsidRPr="00513450">
        <w:rPr>
          <w:rFonts w:ascii="Arial" w:hAnsi="Arial" w:cs="Arial"/>
          <w:b/>
        </w:rPr>
        <w:t xml:space="preserve"> Energy network development stages</w:t>
      </w:r>
      <w:r>
        <w:rPr>
          <w:rFonts w:ascii="Arial" w:hAnsi="Arial" w:cs="Arial"/>
          <w:b/>
        </w:rPr>
        <w:t xml:space="preserve"> including 5G concept </w:t>
      </w:r>
      <w:r w:rsidRPr="00F352DA">
        <w:rPr>
          <w:rFonts w:ascii="Arial" w:hAnsi="Arial" w:cs="Arial"/>
          <w:b/>
        </w:rPr>
        <w:t>(</w:t>
      </w:r>
      <w:r>
        <w:rPr>
          <w:rFonts w:ascii="Arial" w:hAnsi="Arial" w:cs="Arial"/>
          <w:b/>
        </w:rPr>
        <w:t>Adapted from Lund et.al. 2014</w:t>
      </w:r>
      <w:r w:rsidRPr="00F352DA">
        <w:rPr>
          <w:rFonts w:ascii="Arial" w:hAnsi="Arial" w:cs="Arial"/>
          <w:b/>
        </w:rPr>
        <w:t>)</w:t>
      </w:r>
      <w:r>
        <w:rPr>
          <w:rFonts w:ascii="Arial" w:hAnsi="Arial" w:cs="Arial"/>
          <w:b/>
        </w:rPr>
        <w:t xml:space="preserve"> </w:t>
      </w:r>
    </w:p>
    <w:p w14:paraId="2E89B988" w14:textId="35B6025C" w:rsidR="00372CD9" w:rsidRDefault="006A2FBE" w:rsidP="00CA18B4">
      <w:pPr>
        <w:jc w:val="both"/>
        <w:rPr>
          <w:rFonts w:ascii="Arial" w:hAnsi="Arial" w:cs="Arial"/>
        </w:rPr>
      </w:pPr>
      <w:r>
        <w:rPr>
          <w:rFonts w:ascii="Arial" w:hAnsi="Arial" w:cs="Arial"/>
        </w:rPr>
        <w:t>The concept of 5</w:t>
      </w:r>
      <w:r w:rsidRPr="00CE29FE">
        <w:rPr>
          <w:rFonts w:ascii="Arial" w:hAnsi="Arial" w:cs="Arial"/>
          <w:vertAlign w:val="superscript"/>
        </w:rPr>
        <w:t>th</w:t>
      </w:r>
      <w:r>
        <w:rPr>
          <w:rFonts w:ascii="Arial" w:hAnsi="Arial" w:cs="Arial"/>
        </w:rPr>
        <w:t xml:space="preserve"> generation (5G) DHC networks is novel and has not been described extensively in literature until recently e.g. </w:t>
      </w:r>
      <w:r>
        <w:rPr>
          <w:rFonts w:ascii="Arial" w:hAnsi="Arial" w:cs="Arial"/>
        </w:rPr>
        <w:fldChar w:fldCharType="begin"/>
      </w:r>
      <w:r>
        <w:rPr>
          <w:rFonts w:ascii="Arial" w:hAnsi="Arial" w:cs="Arial"/>
        </w:rPr>
        <w:instrText xml:space="preserve"> ADDIN ZOTERO_ITEM CSL_CITATION {"citationID":"dmdiSyBh","properties":{"formattedCitation":"(Jones, 2019)","plainCitation":"(Jones, 2019)","dontUpdate":true,"noteIndex":0},"citationItems":[{"id":56,"uris":["http://zotero.org/users/local/b5kcWd7h/items/J442Y42Q"],"uri":["http://zotero.org/users/local/b5kcWd7h/items/J442Y42Q"],"itemData":{"id":56,"type":"paper-conference","event":"CIBSE Technical Symposium 2019","event-place":"Sheffield, UK","publisher-place":"Sheffield, UK","title":"A roadmap to achieve 5th generation heat networks in the UK","URL":"https://www.cibse.org/technical-symposium-2020/past-papers-case-studies-archive/2019","author":[{"family":"Jones","given":"PG"}],"issued":{"date-parts":[["2019",5]]}}}],"schema":"https://github.com/citation-style-language/schema/raw/master/csl-citation.json"} </w:instrText>
      </w:r>
      <w:r>
        <w:rPr>
          <w:rFonts w:ascii="Arial" w:hAnsi="Arial" w:cs="Arial"/>
        </w:rPr>
        <w:fldChar w:fldCharType="separate"/>
      </w:r>
      <w:r w:rsidRPr="008D5B21">
        <w:rPr>
          <w:rFonts w:ascii="Arial" w:hAnsi="Arial" w:cs="Arial"/>
        </w:rPr>
        <w:t>Jones</w:t>
      </w:r>
      <w:r w:rsidRPr="00A60F85">
        <w:rPr>
          <w:rFonts w:ascii="Arial" w:hAnsi="Arial" w:cs="Arial"/>
        </w:rPr>
        <w:t xml:space="preserve"> </w:t>
      </w:r>
      <w:r>
        <w:rPr>
          <w:rFonts w:ascii="Arial" w:hAnsi="Arial" w:cs="Arial"/>
        </w:rPr>
        <w:t>(</w:t>
      </w:r>
      <w:r w:rsidRPr="00A60F85">
        <w:rPr>
          <w:rFonts w:ascii="Arial" w:hAnsi="Arial" w:cs="Arial"/>
        </w:rPr>
        <w:t>2019)</w:t>
      </w:r>
      <w:r>
        <w:rPr>
          <w:rFonts w:ascii="Arial" w:hAnsi="Arial" w:cs="Arial"/>
        </w:rPr>
        <w:fldChar w:fldCharType="end"/>
      </w:r>
      <w:r>
        <w:rPr>
          <w:rFonts w:ascii="Arial" w:hAnsi="Arial" w:cs="Arial"/>
        </w:rPr>
        <w:t xml:space="preserve">, </w:t>
      </w:r>
      <w:r>
        <w:rPr>
          <w:rFonts w:ascii="Arial" w:hAnsi="Arial" w:cs="Arial"/>
        </w:rPr>
        <w:fldChar w:fldCharType="begin"/>
      </w:r>
      <w:r>
        <w:rPr>
          <w:rFonts w:ascii="Arial" w:hAnsi="Arial" w:cs="Arial"/>
        </w:rPr>
        <w:instrText xml:space="preserve"> ADDIN ZOTERO_ITEM CSL_CITATION {"citationID":"bBaxlNJR","properties":{"formattedCitation":"(Buffa {\\i{}et al.}, 2019)","plainCitation":"(Buffa et al., 2019)","noteIndex":0},"citationItems":[{"id":50,"uris":["http://zotero.org/users/local/b5kcWd7h/items/MU2IEUL8"],"uri":["http://zotero.org/users/local/b5kcWd7h/items/MU2IEUL8"],"itemData":{"id":50,"type":"article-journal","abstract":"This article investigates 40 thermal networks in operation in Europe that are able to cover both the heating and cooling demands of buildings by means of distributed heat pumps installed at the customer substations. The technology of thermal networks that work at a temperature close to the ground, can strongly contribute to the decarbonisation of the heating and cooling sector and furthermore exploit a multitude of low temperature heat sources. Nevertheless, the nomenclature used in literature shows that misinterpretations could easily result when comparing the different concepts of thermal networks that operate at a temperature level lower than traditional district heating. The scope of this work is to revise the definitions encountered and to introduce an unambiguous definition of Fifth-Generation District Heating and Cooling networks. A drawback-benefit analysis is presented to identify the pros and cons of such technology. The survey on the current networks shows that on average three Fifth-Generation District Heating and Cooling systems per year have entered the heating and cooling market in the last decade. Pioneer countries in such technology are Germany and Switzerland. For some networks, the assessed Linear Heating Power Demand Density results are lower than the feasibility threshold adopted in traditional district heating. High performances and low non-renewable primary energy factors are achieved in systems that exploit a very high share of renewable or urban excess heat sources. With respect to traditional district heating, the surveyed pumping energy consumptions result one order of magnitude higher, whereas the implemented control strategies can be completely different, leading the network temperature to float freely.","container-title":"Renewable and Sustainable Energy Reviews","DOI":"10.1016/j.rser.2018.12.059","ISSN":"1364-0321","journalAbbreviation":"Renewable and Sustainable Energy Reviews","language":"en","page":"504-522","source":"ScienceDirect","title":"5th generation district heating and cooling systems: A review of existing cases in Europe","title-short":"5th generation district heating and cooling systems","volume":"104","author":[{"family":"Buffa","given":"Simone"},{"family":"Cozzini","given":"Marco"},{"family":"D’Antoni","given":"Matteo"},{"family":"Baratieri","given":"Marco"},{"family":"Fedrizzi","given":"Roberto"}],"issued":{"date-parts":[["2019",4,1]]}}}],"schema":"https://github.com/citation-style-language/schema/raw/master/csl-citation.json"} </w:instrText>
      </w:r>
      <w:r>
        <w:rPr>
          <w:rFonts w:ascii="Arial" w:hAnsi="Arial" w:cs="Arial"/>
        </w:rPr>
        <w:fldChar w:fldCharType="separate"/>
      </w:r>
      <w:r w:rsidRPr="00EC785F">
        <w:rPr>
          <w:rFonts w:ascii="Arial" w:hAnsi="Arial" w:cs="Arial"/>
          <w:szCs w:val="24"/>
        </w:rPr>
        <w:t xml:space="preserve">(Buffa </w:t>
      </w:r>
      <w:r w:rsidRPr="00EC785F">
        <w:rPr>
          <w:rFonts w:ascii="Arial" w:hAnsi="Arial" w:cs="Arial"/>
          <w:i/>
          <w:iCs/>
          <w:szCs w:val="24"/>
        </w:rPr>
        <w:t>et al.</w:t>
      </w:r>
      <w:r w:rsidRPr="00EC785F">
        <w:rPr>
          <w:rFonts w:ascii="Arial" w:hAnsi="Arial" w:cs="Arial"/>
          <w:szCs w:val="24"/>
        </w:rPr>
        <w:t>, 2019)</w:t>
      </w:r>
      <w:r>
        <w:rPr>
          <w:rFonts w:ascii="Arial" w:hAnsi="Arial" w:cs="Arial"/>
        </w:rPr>
        <w:fldChar w:fldCharType="end"/>
      </w:r>
      <w:r>
        <w:rPr>
          <w:rFonts w:ascii="Arial" w:hAnsi="Arial" w:cs="Arial"/>
        </w:rPr>
        <w:t xml:space="preserve"> and </w:t>
      </w:r>
      <w:r>
        <w:rPr>
          <w:rFonts w:ascii="Arial" w:hAnsi="Arial" w:cs="Arial"/>
        </w:rPr>
        <w:fldChar w:fldCharType="begin"/>
      </w:r>
      <w:r>
        <w:rPr>
          <w:rFonts w:ascii="Arial" w:hAnsi="Arial" w:cs="Arial"/>
        </w:rPr>
        <w:instrText xml:space="preserve"> ADDIN ZOTERO_ITEM CSL_CITATION {"citationID":"W0M4ZAff","properties":{"formattedCitation":"(Jones {\\i{}et al.}, 2019)","plainCitation":"(Jones et al., 2019)","dontUpdate":true,"noteIndex":0},"citationItems":[{"id":53,"uris":["http://zotero.org/users/local/b5kcWd7h/items/MGSN6Q7E"],"uri":["http://zotero.org/users/local/b5kcWd7h/items/MGSN6Q7E"],"itemData":{"id":53,"type":"article-journal","abstract":"Project SCENIC (Smart Controlled Energy Networks Integrated in Communities) involves connecting properties at the University of Nottingham’s Creative Energy Homes site in a community scale, integrated heat and power network. The system will use distributed generation to develop the prosumer concept, where consumers are both buyers and sellers of energy in both heat and power systems.\n\nThe first of its kind, the system consisting of a network flow loop to supply heat to homes, and a generation loop to collect energy from residential heating systems and supply it to a thermal store.\n\nTo achieve the design, steady state heat load and dynamic building modelling have been used. A pre-insulated pipe was sized using flow rate calculations. The diameter ranges from 40 to 25 mm, with a heat loss as low as 7.0 W/m. In addition, flow rates will fluctuate below a maximum of 1.99 l/s.\n\nA standard heat interface units (HIU) has been selected as the network-building link, to satisfy a calculated peak design heating loads of between 36.74 and 44.06 kW. Furthermore, to enable the prosumer concept and associated business models an adapted HIU was selected to interface the distributed heat sources with the network.\n\nThis paper gives details of the concept, energy flows, calculated and modelled results for the heat network. A premise is given to maintaining low temperatures in the network to ensure system efficiency in line with the latest research thinking.","container-title":"Future Cities and Environment","DOI":"10.5334/fce.44","ISSN":"2363-9075","issue":"1","language":"en","page":"2","source":"futurecitiesandenvironment.com","title":"A System Design for Distributed Energy Generation in Low-Temperature District Heating (LTDH) Networks","volume":"5","author":[{"family":"Jones","given":"Sean Rhys"},{"family":"Gillott","given":"Mark"},{"family":"Boukhanouf","given":"Rabah"},{"family":"Walker","given":"Gavin"},{"family":"Tunzi","given":"Michele"},{"family":"Tetlow","given":"David"},{"family":"Rodrigues","given":"Lucelia"},{"family":"Sumner","given":"Mark"}],"issued":{"date-parts":[["2019",2,4]]}}}],"schema":"https://github.com/citation-style-language/schema/raw/master/csl-citation.json"} </w:instrText>
      </w:r>
      <w:r>
        <w:rPr>
          <w:rFonts w:ascii="Arial" w:hAnsi="Arial" w:cs="Arial"/>
        </w:rPr>
        <w:fldChar w:fldCharType="separate"/>
      </w:r>
      <w:r w:rsidRPr="00A60F85">
        <w:rPr>
          <w:rFonts w:ascii="Arial" w:hAnsi="Arial" w:cs="Arial"/>
          <w:szCs w:val="24"/>
        </w:rPr>
        <w:t xml:space="preserve">Jones </w:t>
      </w:r>
      <w:r w:rsidRPr="00A60F85">
        <w:rPr>
          <w:rFonts w:ascii="Arial" w:hAnsi="Arial" w:cs="Arial"/>
          <w:i/>
          <w:iCs/>
          <w:szCs w:val="24"/>
        </w:rPr>
        <w:t>et al.</w:t>
      </w:r>
      <w:r w:rsidRPr="00A60F85">
        <w:rPr>
          <w:rFonts w:ascii="Arial" w:hAnsi="Arial" w:cs="Arial"/>
          <w:szCs w:val="24"/>
        </w:rPr>
        <w:t xml:space="preserve"> </w:t>
      </w:r>
      <w:r>
        <w:rPr>
          <w:rFonts w:ascii="Arial" w:hAnsi="Arial" w:cs="Arial"/>
          <w:szCs w:val="24"/>
        </w:rPr>
        <w:t>(</w:t>
      </w:r>
      <w:r w:rsidRPr="00A60F85">
        <w:rPr>
          <w:rFonts w:ascii="Arial" w:hAnsi="Arial" w:cs="Arial"/>
          <w:szCs w:val="24"/>
        </w:rPr>
        <w:t>2019)</w:t>
      </w:r>
      <w:r>
        <w:rPr>
          <w:rFonts w:ascii="Arial" w:hAnsi="Arial" w:cs="Arial"/>
        </w:rPr>
        <w:fldChar w:fldCharType="end"/>
      </w:r>
      <w:r>
        <w:rPr>
          <w:rFonts w:ascii="Arial" w:hAnsi="Arial" w:cs="Arial"/>
        </w:rPr>
        <w:t xml:space="preserve">. </w:t>
      </w:r>
      <w:r w:rsidRPr="00CE29FE">
        <w:rPr>
          <w:rFonts w:ascii="Arial" w:hAnsi="Arial" w:cs="Arial"/>
        </w:rPr>
        <w:t xml:space="preserve">It can be seen in Figure 1 that there is a gradual move to lower temperature heat networks, for example 4G supplying at around 55°C. The next step is a move to a </w:t>
      </w:r>
      <w:r>
        <w:rPr>
          <w:rFonts w:ascii="Arial" w:hAnsi="Arial" w:cs="Arial"/>
        </w:rPr>
        <w:t xml:space="preserve">5G </w:t>
      </w:r>
      <w:r w:rsidRPr="00CE29FE">
        <w:rPr>
          <w:rFonts w:ascii="Arial" w:hAnsi="Arial" w:cs="Arial"/>
        </w:rPr>
        <w:t xml:space="preserve">approach, sometimes referred to as an ambient loop. These 5G schemes have a very different topology, comprising decentralised heat pumps rather than a single large energy centre, giving opportunities for sharing (prosuming) heating and cooling across an ultra-low temperature loop. </w:t>
      </w:r>
      <w:r>
        <w:rPr>
          <w:rFonts w:ascii="Arial" w:hAnsi="Arial" w:cs="Arial"/>
        </w:rPr>
        <w:t xml:space="preserve">Dynamic modelling of district energy schemes with prosumers was presented as a case study by </w:t>
      </w:r>
      <w:r>
        <w:rPr>
          <w:rFonts w:ascii="Arial" w:hAnsi="Arial" w:cs="Arial"/>
        </w:rPr>
        <w:fldChar w:fldCharType="begin"/>
      </w:r>
      <w:r>
        <w:rPr>
          <w:rFonts w:ascii="Arial" w:hAnsi="Arial" w:cs="Arial"/>
        </w:rPr>
        <w:instrText xml:space="preserve"> ADDIN ZOTERO_ITEM CSL_CITATION {"citationID":"ABObVqnA","properties":{"formattedCitation":"(Kauko {\\i{}et al.}, 2018)","plainCitation":"(Kauko et al., 2018)","noteIndex":0},"citationItems":[{"id":187,"uris":["http://zotero.org/users/local/b5kcWd7h/items/6J6ITNUJ"],"uri":["http://zotero.org/users/local/b5kcWd7h/items/6J6ITNUJ"],"itemData":{"id":187,"type":"article-journal","abstract":"District heating (DH) will play an important role in the future fossil-free energy systems by enabling increased utilization of waste heat and renewable heat sources to cover buildings' heat demand. A prerequisite for this is a reduction in the distribution temperature and shift towards decentralized heat production. In this study, dynamic modeling has been applied to study the technical, energetic and environmental impacts of including prosumers – customers who both consume and produce heat – in a local low-temperature DH grid. Four different scenarios were studied for a planned building area in Trondheim, Norway: high- and low-temperature scenarios with the entire heat demand being covered by a heat central, and two low-temperature scenarios including heat supply from prosumers. A data center and two food retail stores were considered as the prosumers, each with different location and individual characteristics for the heat supply, allowing to study their impact on the water flow in different parts of the grid. The results show that utilizing local surplus heat is a significant measure to reduce the heat demand and the environmental impact of the DH grid. Decentralized heat supply additionally contributes to reduced heat losses, due to overall lower distances to transport the heat.","container-title":"Energy","DOI":"10.1016/j.energy.2018.03.033","ISSN":"0360-5442","journalAbbreviation":"Energy","language":"en","page":"261-271","source":"ScienceDirect","title":"Dynamic modeling of local district heating grids with prosumers: A case study for Norway","title-short":"Dynamic modeling of local district heating grids with prosumers","volume":"151","author":[{"family":"Kauko","given":"Hanne"},{"family":"Kvalsvik","given":"Karoline Husevåg"},{"family":"Rohde","given":"Daniel"},{"family":"Nord","given":"Natasa"},{"family":"Utne","given":"Åmund"}],"issued":{"date-parts":[["2018",5,15]]}}}],"schema":"https://github.com/citation-style-language/schema/raw/master/csl-citation.json"} </w:instrText>
      </w:r>
      <w:r>
        <w:rPr>
          <w:rFonts w:ascii="Arial" w:hAnsi="Arial" w:cs="Arial"/>
        </w:rPr>
        <w:fldChar w:fldCharType="separate"/>
      </w:r>
      <w:r w:rsidRPr="0061385C">
        <w:rPr>
          <w:rFonts w:ascii="Arial" w:hAnsi="Arial" w:cs="Arial"/>
          <w:szCs w:val="24"/>
        </w:rPr>
        <w:t xml:space="preserve">Kauko </w:t>
      </w:r>
      <w:r w:rsidRPr="0061385C">
        <w:rPr>
          <w:rFonts w:ascii="Arial" w:hAnsi="Arial" w:cs="Arial"/>
          <w:i/>
          <w:iCs/>
          <w:szCs w:val="24"/>
        </w:rPr>
        <w:t>et al.</w:t>
      </w:r>
      <w:r w:rsidRPr="0061385C">
        <w:rPr>
          <w:rFonts w:ascii="Arial" w:hAnsi="Arial" w:cs="Arial"/>
          <w:szCs w:val="24"/>
        </w:rPr>
        <w:t xml:space="preserve"> </w:t>
      </w:r>
      <w:r>
        <w:rPr>
          <w:rFonts w:ascii="Arial" w:hAnsi="Arial" w:cs="Arial"/>
          <w:szCs w:val="24"/>
        </w:rPr>
        <w:t>(</w:t>
      </w:r>
      <w:r w:rsidRPr="0061385C">
        <w:rPr>
          <w:rFonts w:ascii="Arial" w:hAnsi="Arial" w:cs="Arial"/>
          <w:szCs w:val="24"/>
        </w:rPr>
        <w:t>2018)</w:t>
      </w:r>
      <w:r>
        <w:rPr>
          <w:rFonts w:ascii="Arial" w:hAnsi="Arial" w:cs="Arial"/>
        </w:rPr>
        <w:fldChar w:fldCharType="end"/>
      </w:r>
      <w:r>
        <w:rPr>
          <w:rFonts w:ascii="Arial" w:hAnsi="Arial" w:cs="Arial"/>
        </w:rPr>
        <w:t xml:space="preserve">. The results of the case study showed that the heat production by the prosumers (data centre and supermarket cooling system) is sufficient to cover the entire heating demand for the network. </w:t>
      </w:r>
      <w:r w:rsidRPr="00CE29FE">
        <w:rPr>
          <w:rFonts w:ascii="Arial" w:hAnsi="Arial" w:cs="Arial"/>
        </w:rPr>
        <w:t xml:space="preserve">These schemes are often best implemented where there is a balance of heating and cooling demands, and can offer high CoP’s with any prosuming being an additional </w:t>
      </w:r>
      <w:r>
        <w:rPr>
          <w:rFonts w:ascii="Arial" w:hAnsi="Arial" w:cs="Arial"/>
        </w:rPr>
        <w:t>large</w:t>
      </w:r>
      <w:r w:rsidRPr="00CE29FE">
        <w:rPr>
          <w:rFonts w:ascii="Arial" w:hAnsi="Arial" w:cs="Arial"/>
        </w:rPr>
        <w:t xml:space="preserve"> benefit.</w:t>
      </w:r>
      <w:r>
        <w:rPr>
          <w:rFonts w:ascii="Arial" w:hAnsi="Arial" w:cs="Arial"/>
        </w:rPr>
        <w:t xml:space="preserve"> </w:t>
      </w:r>
      <w:r w:rsidR="0018545C">
        <w:rPr>
          <w:rFonts w:ascii="Arial" w:hAnsi="Arial" w:cs="Arial"/>
        </w:rPr>
        <w:t xml:space="preserve"> </w:t>
      </w:r>
      <w:r w:rsidR="00CE29FE" w:rsidRPr="00CE29FE">
        <w:rPr>
          <w:rFonts w:ascii="Arial" w:hAnsi="Arial" w:cs="Arial"/>
        </w:rPr>
        <w:t xml:space="preserve"> </w:t>
      </w:r>
    </w:p>
    <w:p w14:paraId="74C31913" w14:textId="1CE3D530" w:rsidR="00372CD9" w:rsidRDefault="00CE29FE" w:rsidP="00CA18B4">
      <w:pPr>
        <w:jc w:val="both"/>
        <w:rPr>
          <w:rFonts w:ascii="Arial" w:hAnsi="Arial" w:cs="Arial"/>
        </w:rPr>
      </w:pPr>
      <w:r w:rsidRPr="00CE29FE">
        <w:rPr>
          <w:rFonts w:ascii="Arial" w:hAnsi="Arial" w:cs="Arial"/>
        </w:rPr>
        <w:t>The ultra-low temperature ‘ambient loop’ also offers a more direct opportunity to capture low temperature waste streams that even a 4G scheme could not.</w:t>
      </w:r>
      <w:r w:rsidR="00416633">
        <w:rPr>
          <w:rFonts w:ascii="Arial" w:hAnsi="Arial" w:cs="Arial"/>
        </w:rPr>
        <w:t xml:space="preserve"> In urban areas there are many opportunities to capt</w:t>
      </w:r>
      <w:r w:rsidR="00C10976">
        <w:rPr>
          <w:rFonts w:ascii="Arial" w:hAnsi="Arial" w:cs="Arial"/>
        </w:rPr>
        <w:t>ure low grade heat sources that could be integrated into 5G networks.</w:t>
      </w:r>
      <w:r w:rsidR="00416633" w:rsidRPr="00416633">
        <w:rPr>
          <w:rFonts w:ascii="Arial" w:hAnsi="Arial" w:cs="Arial"/>
        </w:rPr>
        <w:t xml:space="preserve"> </w:t>
      </w:r>
      <w:r w:rsidR="00C10976">
        <w:rPr>
          <w:rFonts w:ascii="Arial" w:hAnsi="Arial" w:cs="Arial"/>
        </w:rPr>
        <w:t xml:space="preserve">In </w:t>
      </w:r>
      <w:r w:rsidR="00416633" w:rsidRPr="00B33D05">
        <w:rPr>
          <w:rFonts w:ascii="Arial" w:hAnsi="Arial" w:cs="Arial"/>
        </w:rPr>
        <w:t>London</w:t>
      </w:r>
      <w:r w:rsidR="00C10976">
        <w:rPr>
          <w:rFonts w:ascii="Arial" w:hAnsi="Arial" w:cs="Arial"/>
        </w:rPr>
        <w:t xml:space="preserve"> for example, the</w:t>
      </w:r>
      <w:r w:rsidR="00416633" w:rsidRPr="00B33D05">
        <w:rPr>
          <w:rFonts w:ascii="Arial" w:hAnsi="Arial" w:cs="Arial"/>
        </w:rPr>
        <w:t xml:space="preserve"> Mayor’s office has produced a number of reports investigating the potential for using secondary waste heat in London. It estimates that the total waste heat that could be delivered from secondary sources in London is of the order of 71 TWh/year </w:t>
      </w:r>
      <w:r w:rsidR="00416633">
        <w:rPr>
          <w:rFonts w:ascii="Arial" w:hAnsi="Arial" w:cs="Arial"/>
        </w:rPr>
        <w:fldChar w:fldCharType="begin"/>
      </w:r>
      <w:r w:rsidR="00034123">
        <w:rPr>
          <w:rFonts w:ascii="Arial" w:hAnsi="Arial" w:cs="Arial"/>
        </w:rPr>
        <w:instrText xml:space="preserve"> ADDIN ZOTERO_ITEM CSL_CITATION {"citationID":"Ini2opq7","properties":{"formattedCitation":"(GLA, 2014)","plainCitation":"(GLA, 2014)","noteIndex":0},"citationItems":[{"id":13,"uris":["http://zotero.org/users/local/b5kcWd7h/items/8IJI2UA5"],"uri":["http://zotero.org/users/local/b5kcWd7h/items/8IJI2UA5"],"itemData":{"id":13,"type":"webpage","abstract":"Heat networks can and must begin to make use of alternative sources to facilitate the transition towards near-zero heat.","container-title":"London City Hall","language":"en","title":"Secondary Heat Study – London’s Zero Carbon Energy Resource","URL":"https://www.london.gov.uk//WHAT-WE-DO/environment/environment-publications/secondary-heat-study-londons-zero-carbon-energy","author":[{"family":"GLA","given":""}],"accessed":{"date-parts":[["2019",6,26]]},"issued":{"date-parts":[["2014",5,13]]}}}],"schema":"https://github.com/citation-style-language/schema/raw/master/csl-citation.json"} </w:instrText>
      </w:r>
      <w:r w:rsidR="00416633">
        <w:rPr>
          <w:rFonts w:ascii="Arial" w:hAnsi="Arial" w:cs="Arial"/>
        </w:rPr>
        <w:fldChar w:fldCharType="separate"/>
      </w:r>
      <w:r w:rsidR="00416633" w:rsidRPr="00A60F85">
        <w:rPr>
          <w:rFonts w:ascii="Arial" w:hAnsi="Arial" w:cs="Arial"/>
        </w:rPr>
        <w:t>(GLA, 2014)</w:t>
      </w:r>
      <w:r w:rsidR="00416633">
        <w:rPr>
          <w:rFonts w:ascii="Arial" w:hAnsi="Arial" w:cs="Arial"/>
        </w:rPr>
        <w:fldChar w:fldCharType="end"/>
      </w:r>
      <w:r w:rsidR="00416633" w:rsidRPr="00B33D05">
        <w:rPr>
          <w:rFonts w:ascii="Arial" w:hAnsi="Arial" w:cs="Arial"/>
        </w:rPr>
        <w:t>. This is greater than the city’s total heat demand which was estimated to be 66 TWh/year in 2010.</w:t>
      </w:r>
      <w:r w:rsidR="00416633">
        <w:rPr>
          <w:rFonts w:ascii="Arial" w:hAnsi="Arial" w:cs="Arial"/>
        </w:rPr>
        <w:t xml:space="preserve"> </w:t>
      </w:r>
      <w:r w:rsidR="00416633" w:rsidRPr="00CA18B4">
        <w:rPr>
          <w:rFonts w:ascii="Arial" w:hAnsi="Arial" w:cs="Arial"/>
        </w:rPr>
        <w:t xml:space="preserve">Making use of </w:t>
      </w:r>
      <w:r w:rsidR="00416633">
        <w:rPr>
          <w:rFonts w:ascii="Arial" w:hAnsi="Arial" w:cs="Arial"/>
        </w:rPr>
        <w:t xml:space="preserve">these </w:t>
      </w:r>
      <w:r w:rsidR="00416633" w:rsidRPr="00CA18B4">
        <w:rPr>
          <w:rFonts w:ascii="Arial" w:hAnsi="Arial" w:cs="Arial"/>
        </w:rPr>
        <w:t xml:space="preserve">locally available alternative energy sources </w:t>
      </w:r>
      <w:r w:rsidR="00416633">
        <w:rPr>
          <w:rFonts w:ascii="Arial" w:hAnsi="Arial" w:cs="Arial"/>
        </w:rPr>
        <w:t xml:space="preserve">could </w:t>
      </w:r>
      <w:r w:rsidR="00416633" w:rsidRPr="00CA18B4">
        <w:rPr>
          <w:rFonts w:ascii="Arial" w:hAnsi="Arial" w:cs="Arial"/>
        </w:rPr>
        <w:t>not only improve efficiencies of heating and cooling systems but c</w:t>
      </w:r>
      <w:r w:rsidR="00416633">
        <w:rPr>
          <w:rFonts w:ascii="Arial" w:hAnsi="Arial" w:cs="Arial"/>
        </w:rPr>
        <w:t>ould</w:t>
      </w:r>
      <w:r w:rsidR="00416633" w:rsidRPr="00CA18B4">
        <w:rPr>
          <w:rFonts w:ascii="Arial" w:hAnsi="Arial" w:cs="Arial"/>
        </w:rPr>
        <w:t xml:space="preserve"> also result in significant </w:t>
      </w:r>
      <w:r w:rsidR="00416633" w:rsidRPr="00CA18B4">
        <w:rPr>
          <w:rFonts w:ascii="Arial" w:hAnsi="Arial" w:cs="Arial"/>
        </w:rPr>
        <w:lastRenderedPageBreak/>
        <w:t xml:space="preserve">operational cost and carbon savings compared to traditional systems. For instance, a recent paper on the use of secondary heat from </w:t>
      </w:r>
      <w:r w:rsidR="006A2FBE">
        <w:rPr>
          <w:rFonts w:ascii="Arial" w:hAnsi="Arial" w:cs="Arial"/>
        </w:rPr>
        <w:t>a</w:t>
      </w:r>
      <w:r w:rsidR="00416633" w:rsidRPr="00CA18B4">
        <w:rPr>
          <w:rFonts w:ascii="Arial" w:hAnsi="Arial" w:cs="Arial"/>
        </w:rPr>
        <w:t xml:space="preserve"> London Underground (LU) ventilation shaft identified </w:t>
      </w:r>
      <w:r w:rsidR="00416633">
        <w:rPr>
          <w:rFonts w:ascii="Arial" w:hAnsi="Arial" w:cs="Arial"/>
        </w:rPr>
        <w:t>potential</w:t>
      </w:r>
      <w:r w:rsidR="00416633" w:rsidRPr="00CA18B4">
        <w:rPr>
          <w:rFonts w:ascii="Arial" w:hAnsi="Arial" w:cs="Arial"/>
        </w:rPr>
        <w:t xml:space="preserve"> cost savings </w:t>
      </w:r>
      <w:r w:rsidR="00416633">
        <w:rPr>
          <w:rFonts w:ascii="Arial" w:hAnsi="Arial" w:cs="Arial"/>
        </w:rPr>
        <w:t xml:space="preserve">of 50% </w:t>
      </w:r>
      <w:r w:rsidR="00416633" w:rsidRPr="00CA18B4">
        <w:rPr>
          <w:rFonts w:ascii="Arial" w:hAnsi="Arial" w:cs="Arial"/>
        </w:rPr>
        <w:t>compared to</w:t>
      </w:r>
      <w:r w:rsidR="00416633">
        <w:rPr>
          <w:rFonts w:ascii="Arial" w:hAnsi="Arial" w:cs="Arial"/>
        </w:rPr>
        <w:t xml:space="preserve"> the use of</w:t>
      </w:r>
      <w:r w:rsidR="00416633" w:rsidRPr="00CA18B4">
        <w:rPr>
          <w:rFonts w:ascii="Arial" w:hAnsi="Arial" w:cs="Arial"/>
        </w:rPr>
        <w:t xml:space="preserve"> gas fired CHP</w:t>
      </w:r>
      <w:r w:rsidR="00416633">
        <w:rPr>
          <w:rFonts w:ascii="Arial" w:hAnsi="Arial" w:cs="Arial"/>
        </w:rPr>
        <w:t xml:space="preserve"> </w:t>
      </w:r>
      <w:r w:rsidR="00416633">
        <w:rPr>
          <w:rFonts w:ascii="Arial" w:hAnsi="Arial" w:cs="Arial"/>
        </w:rPr>
        <w:fldChar w:fldCharType="begin"/>
      </w:r>
      <w:r w:rsidR="00034123">
        <w:rPr>
          <w:rFonts w:ascii="Arial" w:hAnsi="Arial" w:cs="Arial"/>
        </w:rPr>
        <w:instrText xml:space="preserve"> ADDIN ZOTERO_ITEM CSL_CITATION {"citationID":"sJ8VqRyK","properties":{"formattedCitation":"(Davies {\\i{}et al.}, 2019)","plainCitation":"(Davies et al., 2019)","noteIndex":0},"citationItems":[{"id":17,"uris":["http://zotero.org/users/local/b5kcWd7h/items/LKP4YZL7"],"uri":["http://zotero.org/users/local/b5kcWd7h/items/LKP4YZL7"],"itemData":{"id":17,"type":"article-journal","container-title":"Sustainable cities and society","page":"543–552","source":"Google Scholar","title":"Combining cooling of underground railways with heat recovery and reuse","volume":"45","author":[{"family":"Davies","given":"Gareth"},{"family":"Boot-Handford","given":"Nicholas"},{"family":"Curry","given":"Daniel"},{"family":"Dennis","given":"William"},{"family":"Ajileye","given":"Abayomi"},{"family":"Revesz","given":"Akos"},{"family":"Maidment","given":"Graeme"}],"issued":{"date-parts":[["2019"]]}}}],"schema":"https://github.com/citation-style-language/schema/raw/master/csl-citation.json"} </w:instrText>
      </w:r>
      <w:r w:rsidR="00416633">
        <w:rPr>
          <w:rFonts w:ascii="Arial" w:hAnsi="Arial" w:cs="Arial"/>
        </w:rPr>
        <w:fldChar w:fldCharType="separate"/>
      </w:r>
      <w:r w:rsidR="00416633" w:rsidRPr="00CA18B4">
        <w:rPr>
          <w:rFonts w:ascii="Arial" w:hAnsi="Arial" w:cs="Arial"/>
          <w:szCs w:val="24"/>
        </w:rPr>
        <w:t xml:space="preserve">(Davies </w:t>
      </w:r>
      <w:r w:rsidR="00416633" w:rsidRPr="00CA18B4">
        <w:rPr>
          <w:rFonts w:ascii="Arial" w:hAnsi="Arial" w:cs="Arial"/>
          <w:i/>
          <w:iCs/>
          <w:szCs w:val="24"/>
        </w:rPr>
        <w:t>et al.</w:t>
      </w:r>
      <w:r w:rsidR="00416633" w:rsidRPr="00CA18B4">
        <w:rPr>
          <w:rFonts w:ascii="Arial" w:hAnsi="Arial" w:cs="Arial"/>
          <w:szCs w:val="24"/>
        </w:rPr>
        <w:t>, 2019)</w:t>
      </w:r>
      <w:r w:rsidR="00416633">
        <w:rPr>
          <w:rFonts w:ascii="Arial" w:hAnsi="Arial" w:cs="Arial"/>
        </w:rPr>
        <w:fldChar w:fldCharType="end"/>
      </w:r>
      <w:r w:rsidR="00416633" w:rsidRPr="00CA18B4">
        <w:rPr>
          <w:rFonts w:ascii="Arial" w:hAnsi="Arial" w:cs="Arial"/>
        </w:rPr>
        <w:t>. In addition, other research investigating the recovery of heat from data centres showed great potential as a secondary heat source</w:t>
      </w:r>
      <w:r w:rsidR="00416633">
        <w:rPr>
          <w:rFonts w:ascii="Arial" w:hAnsi="Arial" w:cs="Arial"/>
        </w:rPr>
        <w:t xml:space="preserve"> </w:t>
      </w:r>
      <w:r w:rsidR="00416633">
        <w:rPr>
          <w:rFonts w:ascii="Arial" w:hAnsi="Arial" w:cs="Arial"/>
        </w:rPr>
        <w:fldChar w:fldCharType="begin"/>
      </w:r>
      <w:r w:rsidR="00034123">
        <w:rPr>
          <w:rFonts w:ascii="Arial" w:hAnsi="Arial" w:cs="Arial"/>
        </w:rPr>
        <w:instrText xml:space="preserve"> ADDIN ZOTERO_ITEM CSL_CITATION {"citationID":"vkpN5OiK","properties":{"formattedCitation":"(Davies {\\i{}et al.}, 2016)","plainCitation":"(Davies et al., 2016)","noteIndex":0},"citationItems":[{"id":15,"uris":["http://zotero.org/users/local/b5kcWd7h/items/IAMPSRAW"],"uri":["http://zotero.org/users/local/b5kcWd7h/items/IAMPSRAW"],"itemData":{"id":15,"type":"article-journal","container-title":"Applied Thermal Engineering","page":"296–304","source":"Google Scholar","title":"Using data centres for combined heating and cooling: An investigation for London","title-short":"Using data centres for combined heating and cooling","volume":"94","author":[{"family":"Davies","given":"G. F."},{"family":"Maidment","given":"G. G."},{"family":"Tozer","given":"R. M."}],"issued":{"date-parts":[["2016"]]}}}],"schema":"https://github.com/citation-style-language/schema/raw/master/csl-citation.json"} </w:instrText>
      </w:r>
      <w:r w:rsidR="00416633">
        <w:rPr>
          <w:rFonts w:ascii="Arial" w:hAnsi="Arial" w:cs="Arial"/>
        </w:rPr>
        <w:fldChar w:fldCharType="separate"/>
      </w:r>
      <w:r w:rsidR="00416633" w:rsidRPr="003E40C8">
        <w:rPr>
          <w:rFonts w:ascii="Arial" w:hAnsi="Arial" w:cs="Arial"/>
          <w:szCs w:val="24"/>
        </w:rPr>
        <w:t xml:space="preserve">(Davies </w:t>
      </w:r>
      <w:r w:rsidR="00416633" w:rsidRPr="003E40C8">
        <w:rPr>
          <w:rFonts w:ascii="Arial" w:hAnsi="Arial" w:cs="Arial"/>
          <w:i/>
          <w:iCs/>
          <w:szCs w:val="24"/>
        </w:rPr>
        <w:t>et al.</w:t>
      </w:r>
      <w:r w:rsidR="00416633" w:rsidRPr="003E40C8">
        <w:rPr>
          <w:rFonts w:ascii="Arial" w:hAnsi="Arial" w:cs="Arial"/>
          <w:szCs w:val="24"/>
        </w:rPr>
        <w:t>, 2016)</w:t>
      </w:r>
      <w:r w:rsidR="00416633">
        <w:rPr>
          <w:rFonts w:ascii="Arial" w:hAnsi="Arial" w:cs="Arial"/>
        </w:rPr>
        <w:fldChar w:fldCharType="end"/>
      </w:r>
      <w:r w:rsidR="00416633" w:rsidRPr="00CA18B4">
        <w:rPr>
          <w:rFonts w:ascii="Arial" w:hAnsi="Arial" w:cs="Arial"/>
        </w:rPr>
        <w:t>.</w:t>
      </w:r>
      <w:r w:rsidR="00D332CF">
        <w:rPr>
          <w:rFonts w:ascii="Arial" w:hAnsi="Arial" w:cs="Arial"/>
        </w:rPr>
        <w:t xml:space="preserve"> Using seawater as a heat source for a 4G network has been introduced in a case study by </w:t>
      </w:r>
      <w:r w:rsidR="00D332CF">
        <w:rPr>
          <w:rFonts w:ascii="Arial" w:hAnsi="Arial" w:cs="Arial"/>
        </w:rPr>
        <w:fldChar w:fldCharType="begin"/>
      </w:r>
      <w:r w:rsidR="00D332CF">
        <w:rPr>
          <w:rFonts w:ascii="Arial" w:hAnsi="Arial" w:cs="Arial"/>
        </w:rPr>
        <w:instrText xml:space="preserve"> ADDIN ZOTERO_ITEM CSL_CITATION {"citationID":"IwdUqiWe","properties":{"formattedCitation":"(Volkova {\\i{}et al.}, 2019)","plainCitation":"(Volkova et al., 2019)","noteIndex":0},"citationItems":[{"id":197,"uris":["http://zotero.org/users/local/b5kcWd7h/items/673DWMKM"],"uri":["http://zotero.org/users/local/b5kcWd7h/items/673DWMKM"],"itemData":{"id":197,"type":"article-journal","abstract":"One main obstacle to the implementation of low-temperature district heating is the existing infrastructure along with consumer heating devices that were usually designed for higher operating temperatures. If a DHN is installed for a new urban area, these obstacles can be avoided. This study presents an analysis of alternative heat supply scenarios for the newly developing city subdistrict of Kopli (Tallinn, Estonia). The following scenarios were analysed from economic and environmental aspects: scenario A-connection to the existing DHN (supply/return temperatures 95 °C/55 °C, gas-fired boiler house); scenario B-small local DHN (80 °C/40 °C, small gas-fired boiler house); scenario C-small local LTDHN (60 °C/35 °C, small gas-fired boiler house, integrated large-scale heat pump using seawater as heat source). The results of the study have shown that the primary energy consumption per 1 MWh of heat consumed is 1.33 MWh for scenario A, 1.15 MWh for scenario B, and 0.71 MWh for scenario C. To achieve IRR = 7%, a 4 year discounted payback period was calculated for scenario B, with the NPV of 1.000.000 EUR after the period of 10 years. For scenario C, the payback period is more than 5 years, and the NPV is 2.600.000 EUR after 10 years.","container-title":"Energy","DOI":"10.1016/j.energy.2019.04.083","ISSN":"0360-5442","journalAbbreviation":"Energy","language":"en","page":"714-722","source":"ScienceDirect","title":"Small low-temperature district heating network development prospects","volume":"178","author":[{"family":"Volkova","given":"Anna"},{"family":"Krupenski","given":"Igor"},{"family":"Pieper","given":"Henrik"},{"family":"Ledvanov","given":"Aleksandr"},{"family":"Latõšov","given":"Eduard"},{"family":"Siirde","given":"Andres"}],"issued":{"date-parts":[["2019",7,1]]}}}],"schema":"https://github.com/citation-style-language/schema/raw/master/csl-citation.json"} </w:instrText>
      </w:r>
      <w:r w:rsidR="00D332CF">
        <w:rPr>
          <w:rFonts w:ascii="Arial" w:hAnsi="Arial" w:cs="Arial"/>
        </w:rPr>
        <w:fldChar w:fldCharType="separate"/>
      </w:r>
      <w:r w:rsidR="00D332CF" w:rsidRPr="00141302">
        <w:rPr>
          <w:rFonts w:ascii="Arial" w:hAnsi="Arial" w:cs="Arial"/>
          <w:szCs w:val="24"/>
        </w:rPr>
        <w:t xml:space="preserve">Volkova </w:t>
      </w:r>
      <w:r w:rsidR="00D332CF" w:rsidRPr="00141302">
        <w:rPr>
          <w:rFonts w:ascii="Arial" w:hAnsi="Arial" w:cs="Arial"/>
          <w:i/>
          <w:iCs/>
          <w:szCs w:val="24"/>
        </w:rPr>
        <w:t>et al.</w:t>
      </w:r>
      <w:r w:rsidR="00D332CF" w:rsidRPr="00D332CF">
        <w:rPr>
          <w:rFonts w:ascii="Arial" w:hAnsi="Arial" w:cs="Arial"/>
          <w:szCs w:val="24"/>
        </w:rPr>
        <w:t xml:space="preserve"> (</w:t>
      </w:r>
      <w:r w:rsidR="00D332CF" w:rsidRPr="00141302">
        <w:rPr>
          <w:rFonts w:ascii="Arial" w:hAnsi="Arial" w:cs="Arial"/>
          <w:szCs w:val="24"/>
        </w:rPr>
        <w:t>2019)</w:t>
      </w:r>
      <w:r w:rsidR="00D332CF">
        <w:rPr>
          <w:rFonts w:ascii="Arial" w:hAnsi="Arial" w:cs="Arial"/>
        </w:rPr>
        <w:fldChar w:fldCharType="end"/>
      </w:r>
      <w:r w:rsidR="00D332CF">
        <w:rPr>
          <w:rFonts w:ascii="Arial" w:hAnsi="Arial" w:cs="Arial"/>
        </w:rPr>
        <w:t xml:space="preserve"> and the theoretical potential of waste heat from sewage systems was discussed by </w:t>
      </w:r>
      <w:r w:rsidR="00D332CF">
        <w:rPr>
          <w:rFonts w:ascii="Arial" w:hAnsi="Arial" w:cs="Arial"/>
        </w:rPr>
        <w:fldChar w:fldCharType="begin"/>
      </w:r>
      <w:r w:rsidR="00D332CF">
        <w:rPr>
          <w:rFonts w:ascii="Arial" w:hAnsi="Arial" w:cs="Arial"/>
        </w:rPr>
        <w:instrText xml:space="preserve"> ADDIN ZOTERO_ITEM CSL_CITATION {"citationID":"Vx2v0JT3","properties":{"formattedCitation":"(Pelda and Holler, 2019)","plainCitation":"(Pelda and Holler, 2019)","noteIndex":0},"citationItems":[{"id":200,"uris":["http://zotero.org/users/local/b5kcWd7h/items/TA4TU6SD"],"uri":["http://zotero.org/users/local/b5kcWd7h/items/TA4TU6SD"],"itemData":{"id":200,"type":"article-journal","container-title":"Energy","page":"751–762","source":"Google Scholar","title":"Spatial distribution of the theoretical potential of waste heat from sewage: A statistical approach","title-short":"Spatial distribution of the theoretical potential of waste heat from sewage","volume":"180","author":[{"family":"Pelda","given":"Johannes"},{"family":"Holler","given":"Stefan"}],"issued":{"date-parts":[["2019"]]}}}],"schema":"https://github.com/citation-style-language/schema/raw/master/csl-citation.json"} </w:instrText>
      </w:r>
      <w:r w:rsidR="00D332CF">
        <w:rPr>
          <w:rFonts w:ascii="Arial" w:hAnsi="Arial" w:cs="Arial"/>
        </w:rPr>
        <w:fldChar w:fldCharType="separate"/>
      </w:r>
      <w:r w:rsidR="00D332CF" w:rsidRPr="00D332CF">
        <w:rPr>
          <w:rFonts w:ascii="Arial" w:hAnsi="Arial" w:cs="Arial"/>
        </w:rPr>
        <w:t>Pelda and Holler (</w:t>
      </w:r>
      <w:r w:rsidR="00D332CF" w:rsidRPr="00141302">
        <w:rPr>
          <w:rFonts w:ascii="Arial" w:hAnsi="Arial" w:cs="Arial"/>
        </w:rPr>
        <w:t>2019)</w:t>
      </w:r>
      <w:r w:rsidR="00D332CF">
        <w:rPr>
          <w:rFonts w:ascii="Arial" w:hAnsi="Arial" w:cs="Arial"/>
        </w:rPr>
        <w:fldChar w:fldCharType="end"/>
      </w:r>
      <w:r w:rsidR="00D332CF">
        <w:rPr>
          <w:rFonts w:ascii="Arial" w:hAnsi="Arial" w:cs="Arial"/>
        </w:rPr>
        <w:t xml:space="preserve">. </w:t>
      </w:r>
      <w:r w:rsidR="00034123">
        <w:rPr>
          <w:rFonts w:ascii="Arial" w:hAnsi="Arial" w:cs="Arial"/>
        </w:rPr>
        <w:t xml:space="preserve">ReUseHeat </w:t>
      </w:r>
      <w:r w:rsidR="00034123">
        <w:rPr>
          <w:rFonts w:ascii="Arial" w:hAnsi="Arial" w:cs="Arial"/>
        </w:rPr>
        <w:fldChar w:fldCharType="begin"/>
      </w:r>
      <w:r w:rsidR="00034123">
        <w:rPr>
          <w:rFonts w:ascii="Arial" w:hAnsi="Arial" w:cs="Arial"/>
        </w:rPr>
        <w:instrText xml:space="preserve"> ADDIN ZOTERO_ITEM CSL_CITATION {"citationID":"BRQ9KAaa","properties":{"formattedCitation":"(EUROHEAT&amp;POWER, 2017)","plainCitation":"(EUROHEAT&amp;POWER, 2017)","noteIndex":0},"citationItems":[{"id":195,"uris":["http://zotero.org/users/local/b5kcWd7h/items/ZUJ9SN5T"],"uri":["http://zotero.org/users/local/b5kcWd7h/items/ZUJ9SN5T"],"itemData":{"id":195,"type":"post-weblog","abstract":"REUSEHEAT demonstrates advanced, modular and replicable systems enabling the recovery and reuse of waste heat available at the urban level.","container-title":"Euroheat &amp; Power","title":"ReUseHeat: Recovery of Urban Excess Heat","title-short":"ReUseHeat","URL":"https://www.euroheat.org/our-projects/reuseheat-recovery-urban-excess-heat/","author":[{"family":"EUROHEAT&amp;POWER","given":""}],"accessed":{"date-parts":[["2020",2,11]]},"issued":{"date-parts":[["2017",12,14]]}}}],"schema":"https://github.com/citation-style-language/schema/raw/master/csl-citation.json"} </w:instrText>
      </w:r>
      <w:r w:rsidR="00034123">
        <w:rPr>
          <w:rFonts w:ascii="Arial" w:hAnsi="Arial" w:cs="Arial"/>
        </w:rPr>
        <w:fldChar w:fldCharType="separate"/>
      </w:r>
      <w:r w:rsidR="00034123" w:rsidRPr="00141302">
        <w:rPr>
          <w:rFonts w:ascii="Arial" w:hAnsi="Arial" w:cs="Arial"/>
        </w:rPr>
        <w:t>(EUROHEAT&amp;POWER, 2017)</w:t>
      </w:r>
      <w:r w:rsidR="00034123">
        <w:rPr>
          <w:rFonts w:ascii="Arial" w:hAnsi="Arial" w:cs="Arial"/>
        </w:rPr>
        <w:fldChar w:fldCharType="end"/>
      </w:r>
      <w:r w:rsidR="00034123">
        <w:rPr>
          <w:rFonts w:ascii="Arial" w:hAnsi="Arial" w:cs="Arial"/>
        </w:rPr>
        <w:t xml:space="preserve"> is another European research project focusing specifically on </w:t>
      </w:r>
      <w:r w:rsidR="006A2FBE">
        <w:rPr>
          <w:rFonts w:ascii="Arial" w:hAnsi="Arial" w:cs="Arial"/>
        </w:rPr>
        <w:t xml:space="preserve">applications for the </w:t>
      </w:r>
      <w:r w:rsidR="00034123">
        <w:rPr>
          <w:rFonts w:ascii="Arial" w:hAnsi="Arial" w:cs="Arial"/>
        </w:rPr>
        <w:t>recovery of urban excess heat.</w:t>
      </w:r>
    </w:p>
    <w:p w14:paraId="17626EB3" w14:textId="1ACA61BE" w:rsidR="00817F4A" w:rsidRDefault="00CE29FE" w:rsidP="00CA18B4">
      <w:pPr>
        <w:jc w:val="both"/>
        <w:rPr>
          <w:rFonts w:ascii="Arial" w:hAnsi="Arial" w:cs="Arial"/>
        </w:rPr>
      </w:pPr>
      <w:r w:rsidRPr="00CE29FE">
        <w:rPr>
          <w:rFonts w:ascii="Arial" w:hAnsi="Arial" w:cs="Arial"/>
        </w:rPr>
        <w:t>It can be seen in Figure 1 that the transition towards lower temperature district heating (moving from 1G towards 4G and 5G as shown in Figure 1) results in increased system efficiency.</w:t>
      </w:r>
      <w:r w:rsidR="002C3450">
        <w:rPr>
          <w:rFonts w:ascii="Arial" w:hAnsi="Arial" w:cs="Arial"/>
        </w:rPr>
        <w:t xml:space="preserve"> </w:t>
      </w:r>
      <w:r w:rsidR="007335F8" w:rsidRPr="007335F8">
        <w:rPr>
          <w:rFonts w:ascii="Arial" w:hAnsi="Arial" w:cs="Arial"/>
        </w:rPr>
        <w:t xml:space="preserve">Alongside the better utilisation of renewable heat and recycled low temperature heat, by means of lower supply temperature, it is possible to reduce distribution heat losses compared to more traditional high temperature systems. This has a great effect on economic savings as well as on the environmental impact of the network, increasing overall system performance. However, the integration of secondary and renewable energy sources into the network must meet the challenge of coordinating the fluctuating and intermittent energy production with the rest of the energy system. The integration can be facilitated by different energy storage technologies as well as intelligent control mechanisms. </w:t>
      </w:r>
      <w:r w:rsidR="005A65C5">
        <w:rPr>
          <w:rFonts w:ascii="Arial" w:hAnsi="Arial" w:cs="Arial"/>
        </w:rPr>
        <w:t xml:space="preserve">The </w:t>
      </w:r>
      <w:r w:rsidR="00817F4A" w:rsidRPr="00817F4A">
        <w:rPr>
          <w:rFonts w:ascii="Arial" w:hAnsi="Arial" w:cs="Arial"/>
        </w:rPr>
        <w:t>5</w:t>
      </w:r>
      <w:r w:rsidR="00817F4A">
        <w:rPr>
          <w:rFonts w:ascii="Arial" w:hAnsi="Arial" w:cs="Arial"/>
        </w:rPr>
        <w:t>G</w:t>
      </w:r>
      <w:r w:rsidR="00817F4A" w:rsidRPr="00817F4A">
        <w:rPr>
          <w:rFonts w:ascii="Arial" w:hAnsi="Arial" w:cs="Arial"/>
        </w:rPr>
        <w:t xml:space="preserve"> approach</w:t>
      </w:r>
      <w:r w:rsidR="00817F4A">
        <w:rPr>
          <w:rFonts w:ascii="Arial" w:hAnsi="Arial" w:cs="Arial"/>
        </w:rPr>
        <w:t xml:space="preserve"> also requires a means of </w:t>
      </w:r>
      <w:r w:rsidR="00817F4A" w:rsidRPr="00817F4A">
        <w:rPr>
          <w:rFonts w:ascii="Arial" w:hAnsi="Arial" w:cs="Arial"/>
        </w:rPr>
        <w:t>balancing th</w:t>
      </w:r>
      <w:r w:rsidR="00817F4A">
        <w:rPr>
          <w:rFonts w:ascii="Arial" w:hAnsi="Arial" w:cs="Arial"/>
        </w:rPr>
        <w:t>e heat</w:t>
      </w:r>
      <w:r w:rsidR="00416633">
        <w:rPr>
          <w:rFonts w:ascii="Arial" w:hAnsi="Arial" w:cs="Arial"/>
        </w:rPr>
        <w:t xml:space="preserve"> and coolth</w:t>
      </w:r>
      <w:r w:rsidR="00817F4A">
        <w:rPr>
          <w:rFonts w:ascii="Arial" w:hAnsi="Arial" w:cs="Arial"/>
        </w:rPr>
        <w:t xml:space="preserve"> in the headers, when all </w:t>
      </w:r>
      <w:r w:rsidR="00817F4A" w:rsidRPr="00817F4A">
        <w:rPr>
          <w:rFonts w:ascii="Arial" w:hAnsi="Arial" w:cs="Arial"/>
        </w:rPr>
        <w:t>buildings are i</w:t>
      </w:r>
      <w:r w:rsidR="00817F4A">
        <w:rPr>
          <w:rFonts w:ascii="Arial" w:hAnsi="Arial" w:cs="Arial"/>
        </w:rPr>
        <w:t xml:space="preserve">n heating mode for instance. In a case study in </w:t>
      </w:r>
      <w:r w:rsidR="00817F4A" w:rsidRPr="00817F4A">
        <w:rPr>
          <w:rFonts w:ascii="Arial" w:hAnsi="Arial" w:cs="Arial"/>
        </w:rPr>
        <w:t>Heerlen</w:t>
      </w:r>
      <w:r w:rsidR="00416633">
        <w:rPr>
          <w:rFonts w:ascii="Arial" w:hAnsi="Arial" w:cs="Arial"/>
        </w:rPr>
        <w:t xml:space="preserve"> </w:t>
      </w:r>
      <w:r w:rsidR="00416633">
        <w:rPr>
          <w:rFonts w:ascii="Arial" w:hAnsi="Arial" w:cs="Arial"/>
        </w:rPr>
        <w:fldChar w:fldCharType="begin"/>
      </w:r>
      <w:r w:rsidR="00416633">
        <w:rPr>
          <w:rFonts w:ascii="Arial" w:hAnsi="Arial" w:cs="Arial"/>
        </w:rPr>
        <w:instrText xml:space="preserve"> ADDIN ZOTERO_ITEM CSL_CITATION {"citationID":"UklppEwk","properties":{"formattedCitation":"(BRGM, 2019)","plainCitation":"(BRGM, 2019)","noteIndex":0},"citationItems":[{"id":193,"uris":["http://zotero.org/users/local/b5kcWd7h/items/YL8HNUCD"],"uri":["http://zotero.org/users/local/b5kcWd7h/items/YL8HNUCD"],"itemData":{"id":193,"type":"webpage","title":"D2GRIDS: deploying new 5th generation local energy loops in North-West Europe | BRGM","URL":"https://www.brgm.eu/project/d2grids-deploying-new-5th-generation-local-energy-loops-north-west-europe","author":[{"family":"BRGM","given":""}],"accessed":{"date-parts":[["2020",2,11]]},"issued":{"date-parts":[["2019"]]}}}],"schema":"https://github.com/citation-style-language/schema/raw/master/csl-citation.json"} </w:instrText>
      </w:r>
      <w:r w:rsidR="00416633">
        <w:rPr>
          <w:rFonts w:ascii="Arial" w:hAnsi="Arial" w:cs="Arial"/>
        </w:rPr>
        <w:fldChar w:fldCharType="separate"/>
      </w:r>
      <w:r w:rsidR="00416633" w:rsidRPr="00141302">
        <w:rPr>
          <w:rFonts w:ascii="Arial" w:hAnsi="Arial" w:cs="Arial"/>
        </w:rPr>
        <w:t>(BRGM, 2019)</w:t>
      </w:r>
      <w:r w:rsidR="00416633">
        <w:rPr>
          <w:rFonts w:ascii="Arial" w:hAnsi="Arial" w:cs="Arial"/>
        </w:rPr>
        <w:fldChar w:fldCharType="end"/>
      </w:r>
      <w:r w:rsidR="00817F4A">
        <w:rPr>
          <w:rFonts w:ascii="Arial" w:hAnsi="Arial" w:cs="Arial"/>
        </w:rPr>
        <w:t xml:space="preserve">, mine water </w:t>
      </w:r>
      <w:r w:rsidR="005A65C5">
        <w:rPr>
          <w:rFonts w:ascii="Arial" w:hAnsi="Arial" w:cs="Arial"/>
        </w:rPr>
        <w:t xml:space="preserve">was </w:t>
      </w:r>
      <w:r w:rsidR="00817F4A">
        <w:rPr>
          <w:rFonts w:ascii="Arial" w:hAnsi="Arial" w:cs="Arial"/>
        </w:rPr>
        <w:t xml:space="preserve">used to </w:t>
      </w:r>
      <w:r w:rsidR="00817F4A" w:rsidRPr="00817F4A">
        <w:rPr>
          <w:rFonts w:ascii="Arial" w:hAnsi="Arial" w:cs="Arial"/>
        </w:rPr>
        <w:t>balance the</w:t>
      </w:r>
      <w:r w:rsidR="00817F4A">
        <w:rPr>
          <w:rFonts w:ascii="Arial" w:hAnsi="Arial" w:cs="Arial"/>
        </w:rPr>
        <w:t xml:space="preserve"> ‘backbone’ but other balancing </w:t>
      </w:r>
      <w:r w:rsidR="00817F4A" w:rsidRPr="00817F4A">
        <w:rPr>
          <w:rFonts w:ascii="Arial" w:hAnsi="Arial" w:cs="Arial"/>
        </w:rPr>
        <w:t>mechanisms are possible</w:t>
      </w:r>
      <w:r w:rsidR="00817F4A">
        <w:rPr>
          <w:rFonts w:ascii="Arial" w:hAnsi="Arial" w:cs="Arial"/>
        </w:rPr>
        <w:t xml:space="preserve"> for example</w:t>
      </w:r>
      <w:r w:rsidR="00416633">
        <w:rPr>
          <w:rFonts w:ascii="Arial" w:hAnsi="Arial" w:cs="Arial"/>
        </w:rPr>
        <w:t xml:space="preserve"> aquifer thermal energy stores (ATES). Fundamental to </w:t>
      </w:r>
      <w:r w:rsidR="00817F4A" w:rsidRPr="00817F4A">
        <w:rPr>
          <w:rFonts w:ascii="Arial" w:hAnsi="Arial" w:cs="Arial"/>
        </w:rPr>
        <w:t>5</w:t>
      </w:r>
      <w:r w:rsidR="00416633">
        <w:rPr>
          <w:rFonts w:ascii="Arial" w:hAnsi="Arial" w:cs="Arial"/>
        </w:rPr>
        <w:t>G</w:t>
      </w:r>
      <w:r w:rsidR="00817F4A" w:rsidRPr="00817F4A">
        <w:rPr>
          <w:rFonts w:ascii="Arial" w:hAnsi="Arial" w:cs="Arial"/>
        </w:rPr>
        <w:t xml:space="preserve"> is the u</w:t>
      </w:r>
      <w:r w:rsidR="00416633">
        <w:rPr>
          <w:rFonts w:ascii="Arial" w:hAnsi="Arial" w:cs="Arial"/>
        </w:rPr>
        <w:t xml:space="preserve">se of large long-term thermal </w:t>
      </w:r>
      <w:r w:rsidR="00817F4A" w:rsidRPr="00817F4A">
        <w:rPr>
          <w:rFonts w:ascii="Arial" w:hAnsi="Arial" w:cs="Arial"/>
        </w:rPr>
        <w:t>storage as p</w:t>
      </w:r>
      <w:r w:rsidR="00416633">
        <w:rPr>
          <w:rFonts w:ascii="Arial" w:hAnsi="Arial" w:cs="Arial"/>
        </w:rPr>
        <w:t xml:space="preserve">art of the balancing mechanism. </w:t>
      </w:r>
      <w:r w:rsidR="00817F4A" w:rsidRPr="00817F4A">
        <w:rPr>
          <w:rFonts w:ascii="Arial" w:hAnsi="Arial" w:cs="Arial"/>
        </w:rPr>
        <w:t>5</w:t>
      </w:r>
      <w:r w:rsidR="005A65C5">
        <w:rPr>
          <w:rFonts w:ascii="Arial" w:hAnsi="Arial" w:cs="Arial"/>
        </w:rPr>
        <w:t>G</w:t>
      </w:r>
      <w:r w:rsidR="00817F4A" w:rsidRPr="00817F4A">
        <w:rPr>
          <w:rFonts w:ascii="Arial" w:hAnsi="Arial" w:cs="Arial"/>
        </w:rPr>
        <w:t xml:space="preserve"> is the su</w:t>
      </w:r>
      <w:r w:rsidR="00416633">
        <w:rPr>
          <w:rFonts w:ascii="Arial" w:hAnsi="Arial" w:cs="Arial"/>
        </w:rPr>
        <w:t xml:space="preserve">pply of heat along a spine with </w:t>
      </w:r>
      <w:r w:rsidR="00817F4A" w:rsidRPr="00817F4A">
        <w:rPr>
          <w:rFonts w:ascii="Arial" w:hAnsi="Arial" w:cs="Arial"/>
        </w:rPr>
        <w:t>interch</w:t>
      </w:r>
      <w:r w:rsidR="00416633">
        <w:rPr>
          <w:rFonts w:ascii="Arial" w:hAnsi="Arial" w:cs="Arial"/>
        </w:rPr>
        <w:t xml:space="preserve">ange of heating </w:t>
      </w:r>
      <w:r w:rsidR="005A65C5">
        <w:rPr>
          <w:rFonts w:ascii="Arial" w:hAnsi="Arial" w:cs="Arial"/>
        </w:rPr>
        <w:t xml:space="preserve">and </w:t>
      </w:r>
      <w:r w:rsidR="00416633">
        <w:rPr>
          <w:rFonts w:ascii="Arial" w:hAnsi="Arial" w:cs="Arial"/>
        </w:rPr>
        <w:t xml:space="preserve">cooling between </w:t>
      </w:r>
      <w:r w:rsidR="00817F4A" w:rsidRPr="00817F4A">
        <w:rPr>
          <w:rFonts w:ascii="Arial" w:hAnsi="Arial" w:cs="Arial"/>
        </w:rPr>
        <w:t>buil</w:t>
      </w:r>
      <w:r w:rsidR="00416633">
        <w:rPr>
          <w:rFonts w:ascii="Arial" w:hAnsi="Arial" w:cs="Arial"/>
        </w:rPr>
        <w:t xml:space="preserve">dings and a balancing mechanism </w:t>
      </w:r>
      <w:r w:rsidR="00817F4A" w:rsidRPr="00817F4A">
        <w:rPr>
          <w:rFonts w:ascii="Arial" w:hAnsi="Arial" w:cs="Arial"/>
        </w:rPr>
        <w:t>including seasonal thermal storage.</w:t>
      </w:r>
    </w:p>
    <w:p w14:paraId="146793C1" w14:textId="14576135" w:rsidR="00460721" w:rsidRDefault="007335F8" w:rsidP="00CA18B4">
      <w:pPr>
        <w:jc w:val="both"/>
        <w:rPr>
          <w:rFonts w:ascii="Arial" w:hAnsi="Arial" w:cs="Arial"/>
        </w:rPr>
      </w:pPr>
      <w:r w:rsidRPr="007335F8">
        <w:rPr>
          <w:rFonts w:ascii="Arial" w:hAnsi="Arial" w:cs="Arial"/>
        </w:rPr>
        <w:t xml:space="preserve">Smart control presents a great opportunity to balance the </w:t>
      </w:r>
      <w:r w:rsidR="00416633">
        <w:rPr>
          <w:rFonts w:ascii="Arial" w:hAnsi="Arial" w:cs="Arial"/>
        </w:rPr>
        <w:t xml:space="preserve">thermal and </w:t>
      </w:r>
      <w:r w:rsidRPr="007335F8">
        <w:rPr>
          <w:rFonts w:ascii="Arial" w:hAnsi="Arial" w:cs="Arial"/>
        </w:rPr>
        <w:t>electricity grid, maximis</w:t>
      </w:r>
      <w:r w:rsidR="005A65C5">
        <w:rPr>
          <w:rFonts w:ascii="Arial" w:hAnsi="Arial" w:cs="Arial"/>
        </w:rPr>
        <w:t>ing</w:t>
      </w:r>
      <w:r w:rsidRPr="007335F8">
        <w:rPr>
          <w:rFonts w:ascii="Arial" w:hAnsi="Arial" w:cs="Arial"/>
        </w:rPr>
        <w:t xml:space="preserve"> the use of renewable energy and facilitat</w:t>
      </w:r>
      <w:r w:rsidR="005A65C5">
        <w:rPr>
          <w:rFonts w:ascii="Arial" w:hAnsi="Arial" w:cs="Arial"/>
        </w:rPr>
        <w:t>ing</w:t>
      </w:r>
      <w:r w:rsidRPr="007335F8">
        <w:rPr>
          <w:rFonts w:ascii="Arial" w:hAnsi="Arial" w:cs="Arial"/>
        </w:rPr>
        <w:t xml:space="preserve"> effective </w:t>
      </w:r>
      <w:r w:rsidR="008F0827">
        <w:rPr>
          <w:rFonts w:ascii="Arial" w:hAnsi="Arial" w:cs="Arial"/>
        </w:rPr>
        <w:t>D</w:t>
      </w:r>
      <w:r w:rsidRPr="007335F8">
        <w:rPr>
          <w:rFonts w:ascii="Arial" w:hAnsi="Arial" w:cs="Arial"/>
        </w:rPr>
        <w:t>emand</w:t>
      </w:r>
      <w:r w:rsidR="008F0827">
        <w:rPr>
          <w:rFonts w:ascii="Arial" w:hAnsi="Arial" w:cs="Arial"/>
        </w:rPr>
        <w:t xml:space="preserve"> S</w:t>
      </w:r>
      <w:r w:rsidRPr="007335F8">
        <w:rPr>
          <w:rFonts w:ascii="Arial" w:hAnsi="Arial" w:cs="Arial"/>
        </w:rPr>
        <w:t xml:space="preserve">ide </w:t>
      </w:r>
      <w:r w:rsidR="008F0827">
        <w:rPr>
          <w:rFonts w:ascii="Arial" w:hAnsi="Arial" w:cs="Arial"/>
        </w:rPr>
        <w:t>M</w:t>
      </w:r>
      <w:r w:rsidRPr="007335F8">
        <w:rPr>
          <w:rFonts w:ascii="Arial" w:hAnsi="Arial" w:cs="Arial"/>
        </w:rPr>
        <w:t xml:space="preserve">anagement (DSM). </w:t>
      </w:r>
      <w:r w:rsidR="00460721">
        <w:rPr>
          <w:rFonts w:ascii="Arial" w:hAnsi="Arial" w:cs="Arial"/>
        </w:rPr>
        <w:t>D</w:t>
      </w:r>
      <w:r w:rsidR="00460721" w:rsidRPr="00460721">
        <w:rPr>
          <w:rFonts w:ascii="Arial" w:hAnsi="Arial" w:cs="Arial"/>
        </w:rPr>
        <w:t>emand side management in DH networks in terms of thermal peak shaving</w:t>
      </w:r>
      <w:r w:rsidR="00460721">
        <w:rPr>
          <w:rFonts w:ascii="Arial" w:hAnsi="Arial" w:cs="Arial"/>
        </w:rPr>
        <w:t xml:space="preserve"> was studied </w:t>
      </w:r>
      <w:r w:rsidR="00460721">
        <w:rPr>
          <w:rFonts w:ascii="Arial" w:hAnsi="Arial" w:cs="Arial"/>
        </w:rPr>
        <w:fldChar w:fldCharType="begin"/>
      </w:r>
      <w:r w:rsidR="00460721">
        <w:rPr>
          <w:rFonts w:ascii="Arial" w:hAnsi="Arial" w:cs="Arial"/>
        </w:rPr>
        <w:instrText xml:space="preserve"> ADDIN ZOTERO_ITEM CSL_CITATION {"citationID":"7ZG11RJI","properties":{"formattedCitation":"(Guelpa {\\i{}et al.}, 2019)","plainCitation":"(Guelpa et al., 2019)","noteIndex":0},"citationItems":[{"id":202,"uris":["http://zotero.org/users/local/b5kcWd7h/items/33AIZA3E"],"uri":["http://zotero.org/users/local/b5kcWd7h/items/33AIZA3E"],"itemData":{"id":202,"type":"article-journal","container-title":"Energy","page":"433–442","source":"Google Scholar","title":"Demand side management in district heating networks: A real application","title-short":"Demand side management in district heating networks","volume":"182","author":[{"family":"Guelpa","given":"Elisa"},{"family":"Marincioni","given":"Ludovica"},{"family":"Deputato","given":"Stefania"},{"family":"Capone","given":"Martina"},{"family":"Amelio","given":"Stefano"},{"family":"Pochettino","given":"Enrico"},{"family":"Verda","given":"Vittorio"}],"issued":{"date-parts":[["2019"]]}}}],"schema":"https://github.com/citation-style-language/schema/raw/master/csl-citation.json"} </w:instrText>
      </w:r>
      <w:r w:rsidR="00460721">
        <w:rPr>
          <w:rFonts w:ascii="Arial" w:hAnsi="Arial" w:cs="Arial"/>
        </w:rPr>
        <w:fldChar w:fldCharType="separate"/>
      </w:r>
      <w:r w:rsidR="00460721" w:rsidRPr="00460721">
        <w:rPr>
          <w:rFonts w:ascii="Arial" w:hAnsi="Arial" w:cs="Arial"/>
          <w:szCs w:val="24"/>
        </w:rPr>
        <w:t xml:space="preserve">by </w:t>
      </w:r>
      <w:r w:rsidR="00460721" w:rsidRPr="00141302">
        <w:rPr>
          <w:rFonts w:ascii="Arial" w:hAnsi="Arial" w:cs="Arial"/>
          <w:szCs w:val="24"/>
        </w:rPr>
        <w:t xml:space="preserve">Guelpa </w:t>
      </w:r>
      <w:r w:rsidR="00460721" w:rsidRPr="00141302">
        <w:rPr>
          <w:rFonts w:ascii="Arial" w:hAnsi="Arial" w:cs="Arial"/>
          <w:i/>
          <w:iCs/>
          <w:szCs w:val="24"/>
        </w:rPr>
        <w:t>et al.</w:t>
      </w:r>
      <w:r w:rsidR="00460721" w:rsidRPr="00141302">
        <w:rPr>
          <w:rFonts w:ascii="Arial" w:hAnsi="Arial" w:cs="Arial"/>
          <w:szCs w:val="24"/>
        </w:rPr>
        <w:t xml:space="preserve"> </w:t>
      </w:r>
      <w:r w:rsidR="00460721">
        <w:rPr>
          <w:rFonts w:ascii="Arial" w:hAnsi="Arial" w:cs="Arial"/>
          <w:szCs w:val="24"/>
        </w:rPr>
        <w:t>(</w:t>
      </w:r>
      <w:r w:rsidR="00460721" w:rsidRPr="00141302">
        <w:rPr>
          <w:rFonts w:ascii="Arial" w:hAnsi="Arial" w:cs="Arial"/>
          <w:szCs w:val="24"/>
        </w:rPr>
        <w:t>2019)</w:t>
      </w:r>
      <w:r w:rsidR="00460721">
        <w:rPr>
          <w:rFonts w:ascii="Arial" w:hAnsi="Arial" w:cs="Arial"/>
        </w:rPr>
        <w:fldChar w:fldCharType="end"/>
      </w:r>
      <w:r w:rsidR="00460721">
        <w:rPr>
          <w:rFonts w:ascii="Arial" w:hAnsi="Arial" w:cs="Arial"/>
        </w:rPr>
        <w:t>.</w:t>
      </w:r>
      <w:r w:rsidR="00460721" w:rsidRPr="00460721">
        <w:t xml:space="preserve"> </w:t>
      </w:r>
      <w:r w:rsidR="00460721" w:rsidRPr="00460721">
        <w:rPr>
          <w:rFonts w:ascii="Arial" w:hAnsi="Arial" w:cs="Arial"/>
        </w:rPr>
        <w:t>Simulation</w:t>
      </w:r>
      <w:r w:rsidR="00460721">
        <w:rPr>
          <w:rFonts w:ascii="Arial" w:hAnsi="Arial" w:cs="Arial"/>
        </w:rPr>
        <w:t xml:space="preserve"> results</w:t>
      </w:r>
      <w:r w:rsidR="00460721" w:rsidRPr="00460721">
        <w:rPr>
          <w:rFonts w:ascii="Arial" w:hAnsi="Arial" w:cs="Arial"/>
        </w:rPr>
        <w:t xml:space="preserve"> </w:t>
      </w:r>
      <w:r w:rsidR="00460721">
        <w:rPr>
          <w:rFonts w:ascii="Arial" w:hAnsi="Arial" w:cs="Arial"/>
        </w:rPr>
        <w:t xml:space="preserve">from the study </w:t>
      </w:r>
      <w:r w:rsidR="00460721" w:rsidRPr="00460721">
        <w:rPr>
          <w:rFonts w:ascii="Arial" w:hAnsi="Arial" w:cs="Arial"/>
        </w:rPr>
        <w:t>show</w:t>
      </w:r>
      <w:r w:rsidR="00460721">
        <w:rPr>
          <w:rFonts w:ascii="Arial" w:hAnsi="Arial" w:cs="Arial"/>
        </w:rPr>
        <w:t>ed</w:t>
      </w:r>
      <w:r w:rsidR="00460721" w:rsidRPr="00460721">
        <w:rPr>
          <w:rFonts w:ascii="Arial" w:hAnsi="Arial" w:cs="Arial"/>
        </w:rPr>
        <w:t xml:space="preserve"> that reduction up to about 35% of peak request</w:t>
      </w:r>
      <w:r w:rsidR="00460721">
        <w:rPr>
          <w:rFonts w:ascii="Arial" w:hAnsi="Arial" w:cs="Arial"/>
        </w:rPr>
        <w:t xml:space="preserve"> </w:t>
      </w:r>
      <w:r w:rsidR="005A65C5">
        <w:rPr>
          <w:rFonts w:ascii="Arial" w:hAnsi="Arial" w:cs="Arial"/>
        </w:rPr>
        <w:t>could be</w:t>
      </w:r>
      <w:r w:rsidR="00460721">
        <w:rPr>
          <w:rFonts w:ascii="Arial" w:hAnsi="Arial" w:cs="Arial"/>
        </w:rPr>
        <w:t xml:space="preserve"> achieved through </w:t>
      </w:r>
      <w:r w:rsidR="005A65C5">
        <w:rPr>
          <w:rFonts w:ascii="Arial" w:hAnsi="Arial" w:cs="Arial"/>
        </w:rPr>
        <w:t>DSM</w:t>
      </w:r>
      <w:r w:rsidR="00460721">
        <w:rPr>
          <w:rFonts w:ascii="Arial" w:hAnsi="Arial" w:cs="Arial"/>
        </w:rPr>
        <w:t>.</w:t>
      </w:r>
    </w:p>
    <w:p w14:paraId="2591DBF5" w14:textId="77777777" w:rsidR="00372CD9" w:rsidRDefault="007335F8" w:rsidP="00CA18B4">
      <w:pPr>
        <w:jc w:val="both"/>
        <w:rPr>
          <w:rFonts w:ascii="Arial" w:hAnsi="Arial" w:cs="Arial"/>
        </w:rPr>
      </w:pPr>
      <w:r w:rsidRPr="007335F8">
        <w:rPr>
          <w:rFonts w:ascii="Arial" w:hAnsi="Arial" w:cs="Arial"/>
        </w:rPr>
        <w:t>By implementing a control system that produces and exploits reliable forecasts of electricity grid demands and costs, alongside individual end-user demand it is possible to optimi</w:t>
      </w:r>
      <w:r w:rsidR="008F0827">
        <w:rPr>
          <w:rFonts w:ascii="Arial" w:hAnsi="Arial" w:cs="Arial"/>
        </w:rPr>
        <w:t>s</w:t>
      </w:r>
      <w:r w:rsidRPr="007335F8">
        <w:rPr>
          <w:rFonts w:ascii="Arial" w:hAnsi="Arial" w:cs="Arial"/>
        </w:rPr>
        <w:t>e cost and even carbon emissions on an hourly basis.</w:t>
      </w:r>
      <w:r w:rsidR="00695093">
        <w:rPr>
          <w:rFonts w:ascii="Arial" w:hAnsi="Arial" w:cs="Arial"/>
        </w:rPr>
        <w:t xml:space="preserve"> </w:t>
      </w:r>
      <w:r w:rsidR="008F0827">
        <w:rPr>
          <w:rFonts w:ascii="Arial" w:hAnsi="Arial" w:cs="Arial"/>
        </w:rPr>
        <w:t>These intelligent control systems can be used to flex the heat pumps in relation to grid electricity prices and carbon content. They can also flex storage facilities such as EV batteries, large centralised batteries etc</w:t>
      </w:r>
      <w:r w:rsidR="00A238AC">
        <w:rPr>
          <w:rFonts w:ascii="Arial" w:hAnsi="Arial" w:cs="Arial"/>
        </w:rPr>
        <w:t>.</w:t>
      </w:r>
      <w:r w:rsidR="008F0827">
        <w:rPr>
          <w:rFonts w:ascii="Arial" w:hAnsi="Arial" w:cs="Arial"/>
        </w:rPr>
        <w:t xml:space="preserve"> to maximise economic and carbon benefits. </w:t>
      </w:r>
      <w:r w:rsidR="00695093" w:rsidRPr="00695093">
        <w:rPr>
          <w:rFonts w:ascii="Arial" w:hAnsi="Arial" w:cs="Arial"/>
        </w:rPr>
        <w:t xml:space="preserve">Decentralised heat pumps at the end-user sites within 5G networks can also be used to reduce the temperature of the water in the distribution loop to provide cooling for end users and this </w:t>
      </w:r>
      <w:r w:rsidR="00347D1C">
        <w:rPr>
          <w:rFonts w:ascii="Arial" w:hAnsi="Arial" w:cs="Arial"/>
        </w:rPr>
        <w:t xml:space="preserve">can be a </w:t>
      </w:r>
      <w:r w:rsidR="00695093" w:rsidRPr="00695093">
        <w:rPr>
          <w:rFonts w:ascii="Arial" w:hAnsi="Arial" w:cs="Arial"/>
        </w:rPr>
        <w:t>great advantage compared to the previous generations of networks. Cooling demand is growing significantly in the UK and using 5G heating/cooling sharing is an efficient way to meet this need.</w:t>
      </w:r>
      <w:r w:rsidR="00695093">
        <w:rPr>
          <w:rFonts w:ascii="Arial" w:hAnsi="Arial" w:cs="Arial"/>
        </w:rPr>
        <w:t xml:space="preserve"> </w:t>
      </w:r>
      <w:r w:rsidR="00695093" w:rsidRPr="00695093">
        <w:rPr>
          <w:rFonts w:ascii="Arial" w:hAnsi="Arial" w:cs="Arial"/>
        </w:rPr>
        <w:t xml:space="preserve">5G smart energy networks will also help supply the growing needs for Electric Vehicles </w:t>
      </w:r>
      <w:r w:rsidR="00695093" w:rsidRPr="008D5B21">
        <w:rPr>
          <w:rFonts w:ascii="Arial" w:hAnsi="Arial" w:cs="Arial"/>
        </w:rPr>
        <w:t xml:space="preserve">(EV’s) charging and renewable supplies like PV and wind. </w:t>
      </w:r>
      <w:r w:rsidR="0077384F" w:rsidRPr="00A60F85">
        <w:rPr>
          <w:rFonts w:ascii="Arial" w:hAnsi="Arial" w:cs="Arial"/>
        </w:rPr>
        <w:t xml:space="preserve">The use of hybrid systems </w:t>
      </w:r>
      <w:r w:rsidR="006A5767" w:rsidRPr="00A60F85">
        <w:rPr>
          <w:rFonts w:ascii="Arial" w:hAnsi="Arial" w:cs="Arial"/>
        </w:rPr>
        <w:t xml:space="preserve">and the use of </w:t>
      </w:r>
      <w:r w:rsidR="0077384F" w:rsidRPr="00A60F85">
        <w:rPr>
          <w:rFonts w:ascii="Arial" w:hAnsi="Arial" w:cs="Arial"/>
        </w:rPr>
        <w:t>hydrogen will also present innovation opportunities that could be integrated into 5G networks.</w:t>
      </w:r>
      <w:r w:rsidR="0077384F" w:rsidRPr="008D5B21">
        <w:rPr>
          <w:rFonts w:ascii="Arial" w:hAnsi="Arial" w:cs="Arial"/>
        </w:rPr>
        <w:t xml:space="preserve"> </w:t>
      </w:r>
      <w:r w:rsidR="00695093" w:rsidRPr="008D5B21">
        <w:rPr>
          <w:rFonts w:ascii="Arial" w:hAnsi="Arial" w:cs="Arial"/>
        </w:rPr>
        <w:t>Therefore, these new innovative 5G energy networks have great potential to become the most efficient local energy systems of the future.</w:t>
      </w:r>
      <w:r w:rsidR="00695093" w:rsidRPr="00A60F85">
        <w:rPr>
          <w:rFonts w:ascii="Arial" w:hAnsi="Arial" w:cs="Arial"/>
        </w:rPr>
        <w:t xml:space="preserve"> </w:t>
      </w:r>
      <w:r w:rsidR="00695093" w:rsidRPr="008D5B21">
        <w:rPr>
          <w:rFonts w:ascii="Arial" w:hAnsi="Arial" w:cs="Arial"/>
        </w:rPr>
        <w:t xml:space="preserve">However, the decision on the appropriate systems for energy supply distribution and consumption is often not straightforward, since it depends on many technical and non-technical conditions, as well as the individual behaviour of the relevant stakeholders. </w:t>
      </w:r>
    </w:p>
    <w:p w14:paraId="5E92FE31" w14:textId="389775E0" w:rsidR="00CE29FE" w:rsidRPr="00B33D05" w:rsidRDefault="00695093" w:rsidP="00CA18B4">
      <w:pPr>
        <w:jc w:val="both"/>
        <w:rPr>
          <w:rFonts w:ascii="Arial" w:hAnsi="Arial" w:cs="Arial"/>
        </w:rPr>
      </w:pPr>
      <w:r w:rsidRPr="008D5B21">
        <w:rPr>
          <w:rFonts w:ascii="Arial" w:hAnsi="Arial" w:cs="Arial"/>
        </w:rPr>
        <w:lastRenderedPageBreak/>
        <w:t>As a consequence, the planning, design and adaption of a 5G smart energy network is challenging. The next sections of this paper discuss the design method developed and the preliminary results gained from a conceptual feasibility of a future 5G Smart energy network in the London Borough of Islington (LBI), UK.</w:t>
      </w:r>
    </w:p>
    <w:p w14:paraId="482E770A" w14:textId="1AA69532" w:rsidR="00695093" w:rsidRDefault="005475F6" w:rsidP="00A60F85">
      <w:pPr>
        <w:pStyle w:val="ListParagraph"/>
        <w:numPr>
          <w:ilvl w:val="0"/>
          <w:numId w:val="1"/>
        </w:numPr>
        <w:spacing w:before="240"/>
        <w:rPr>
          <w:rFonts w:ascii="Arial" w:hAnsi="Arial" w:cs="Arial"/>
          <w:b/>
        </w:rPr>
      </w:pPr>
      <w:r>
        <w:rPr>
          <w:rFonts w:ascii="Arial" w:hAnsi="Arial" w:cs="Arial"/>
          <w:b/>
        </w:rPr>
        <w:t>CONCEPT DESIGN FOR 5G SMART ENERGY NETWORKS</w:t>
      </w:r>
    </w:p>
    <w:p w14:paraId="3999A149" w14:textId="77777777" w:rsidR="005475F6" w:rsidRPr="00695093" w:rsidRDefault="005475F6" w:rsidP="005475F6">
      <w:pPr>
        <w:pStyle w:val="ListParagraph"/>
        <w:ind w:left="360"/>
        <w:rPr>
          <w:rFonts w:ascii="Arial" w:hAnsi="Arial" w:cs="Arial"/>
          <w:b/>
        </w:rPr>
      </w:pPr>
    </w:p>
    <w:p w14:paraId="55CD4183" w14:textId="77777777" w:rsidR="00695093" w:rsidRPr="009E0E99" w:rsidRDefault="005475F6" w:rsidP="005475F6">
      <w:pPr>
        <w:pStyle w:val="ListParagraph"/>
        <w:numPr>
          <w:ilvl w:val="1"/>
          <w:numId w:val="1"/>
        </w:numPr>
        <w:jc w:val="both"/>
        <w:rPr>
          <w:rFonts w:ascii="Arial" w:hAnsi="Arial" w:cs="Arial"/>
          <w:b/>
        </w:rPr>
      </w:pPr>
      <w:r w:rsidRPr="009E0E99">
        <w:rPr>
          <w:rFonts w:ascii="Arial" w:hAnsi="Arial" w:cs="Arial"/>
          <w:b/>
        </w:rPr>
        <w:t>Project GreenSCIES</w:t>
      </w:r>
    </w:p>
    <w:p w14:paraId="3E57302E" w14:textId="5E1B7EE1" w:rsidR="005475F6" w:rsidRDefault="005475F6" w:rsidP="005475F6">
      <w:pPr>
        <w:jc w:val="both"/>
        <w:rPr>
          <w:rFonts w:ascii="Arial" w:hAnsi="Arial" w:cs="Arial"/>
        </w:rPr>
      </w:pPr>
      <w:r w:rsidRPr="005475F6">
        <w:rPr>
          <w:rFonts w:ascii="Arial" w:hAnsi="Arial" w:cs="Arial"/>
        </w:rPr>
        <w:t>A feasibility study investigating the design and development of a 5G smart energy network that will supply sustainable energy to the local residents and business, has been carried out as part of the project called GreenSCIES - Green Smart Community Integrated</w:t>
      </w:r>
      <w:r>
        <w:rPr>
          <w:rFonts w:ascii="Arial" w:hAnsi="Arial" w:cs="Arial"/>
        </w:rPr>
        <w:t xml:space="preserve"> Energy Systems </w:t>
      </w:r>
      <w:r>
        <w:rPr>
          <w:rFonts w:ascii="Arial" w:hAnsi="Arial" w:cs="Arial"/>
        </w:rPr>
        <w:fldChar w:fldCharType="begin"/>
      </w:r>
      <w:r w:rsidR="00C07F78">
        <w:rPr>
          <w:rFonts w:ascii="Arial" w:hAnsi="Arial" w:cs="Arial"/>
        </w:rPr>
        <w:instrText xml:space="preserve"> ADDIN ZOTERO_ITEM CSL_CITATION {"citationID":"eJoGnVGc","properties":{"formattedCitation":"(LSBU, 2019)","plainCitation":"(LSBU, 2019)","noteIndex":0},"citationItems":[{"id":21,"uris":["http://zotero.org/users/local/b5kcWd7h/items/7FBEZ3SL"],"uri":["http://zotero.org/users/local/b5kcWd7h/items/7FBEZ3SL"],"itemData":{"id":21,"type":"webpage","abstract":"A dynamic and innovative smart energy network designed to supply sustainable energy to local business districts of the future, is being trialled in a study carried out by London South Bank University (LSBU) and partners","language":"English","title":"Smart Energy Network study launches at London South Bank University","URL":"http://www.lsbu.ac.uk/about-us/news/smart-energy-network-study-launches","author":[{"family":"LSBU","given":""}],"accessed":{"date-parts":[["2019",6,26]]},"issued":{"date-parts":[["2019"]]}}}],"schema":"https://github.com/citation-style-language/schema/raw/master/csl-citation.json"} </w:instrText>
      </w:r>
      <w:r>
        <w:rPr>
          <w:rFonts w:ascii="Arial" w:hAnsi="Arial" w:cs="Arial"/>
        </w:rPr>
        <w:fldChar w:fldCharType="separate"/>
      </w:r>
      <w:r w:rsidRPr="005475F6">
        <w:rPr>
          <w:rFonts w:ascii="Arial" w:hAnsi="Arial" w:cs="Arial"/>
        </w:rPr>
        <w:t>(LSBU, 2019)</w:t>
      </w:r>
      <w:r>
        <w:rPr>
          <w:rFonts w:ascii="Arial" w:hAnsi="Arial" w:cs="Arial"/>
        </w:rPr>
        <w:fldChar w:fldCharType="end"/>
      </w:r>
      <w:r w:rsidRPr="005475F6">
        <w:rPr>
          <w:rFonts w:ascii="Arial" w:hAnsi="Arial" w:cs="Arial"/>
        </w:rPr>
        <w:t>. GreenSCIES aimed to bring together a range of secondary and renewable energy sources with innovative conversion, storage and smart control technologies</w:t>
      </w:r>
      <w:r w:rsidR="00290B71">
        <w:rPr>
          <w:rFonts w:ascii="Arial" w:hAnsi="Arial" w:cs="Arial"/>
        </w:rPr>
        <w:t xml:space="preserve"> integrated through a 5G network</w:t>
      </w:r>
      <w:r w:rsidRPr="005475F6">
        <w:rPr>
          <w:rFonts w:ascii="Arial" w:hAnsi="Arial" w:cs="Arial"/>
        </w:rPr>
        <w:t xml:space="preserve">. The study looked at a specific area in the </w:t>
      </w:r>
      <w:r w:rsidR="006A5767">
        <w:rPr>
          <w:rFonts w:ascii="Arial" w:hAnsi="Arial" w:cs="Arial"/>
        </w:rPr>
        <w:t>LBI</w:t>
      </w:r>
      <w:r w:rsidRPr="005475F6">
        <w:rPr>
          <w:rFonts w:ascii="Arial" w:hAnsi="Arial" w:cs="Arial"/>
        </w:rPr>
        <w:t xml:space="preserve"> to investigate its potential for implementing an</w:t>
      </w:r>
      <w:r w:rsidR="00AA4C32">
        <w:rPr>
          <w:rFonts w:ascii="Arial" w:hAnsi="Arial" w:cs="Arial"/>
        </w:rPr>
        <w:t xml:space="preserve"> </w:t>
      </w:r>
      <w:r w:rsidRPr="005475F6">
        <w:rPr>
          <w:rFonts w:ascii="Arial" w:hAnsi="Arial" w:cs="Arial"/>
        </w:rPr>
        <w:t>innovat</w:t>
      </w:r>
      <w:r w:rsidR="00AA4C32">
        <w:rPr>
          <w:rFonts w:ascii="Arial" w:hAnsi="Arial" w:cs="Arial"/>
        </w:rPr>
        <w:t>ive</w:t>
      </w:r>
      <w:r w:rsidRPr="005475F6">
        <w:rPr>
          <w:rFonts w:ascii="Arial" w:hAnsi="Arial" w:cs="Arial"/>
        </w:rPr>
        <w:t xml:space="preserve"> energy network. LBI has the highest population density of local authorities in England and Wales with 13,875 people per km</w:t>
      </w:r>
      <w:r w:rsidRPr="005475F6">
        <w:rPr>
          <w:rFonts w:ascii="Arial" w:hAnsi="Arial" w:cs="Arial"/>
          <w:vertAlign w:val="superscript"/>
        </w:rPr>
        <w:t>2</w:t>
      </w:r>
      <w:r w:rsidRPr="005475F6">
        <w:rPr>
          <w:rFonts w:ascii="Arial" w:hAnsi="Arial" w:cs="Arial"/>
        </w:rPr>
        <w:t xml:space="preserve"> which made it an interesting challenge to deliver significant energy savings and carbon emissions. This paper presents the methodology applied for evaluating the network components, layouts and optimal operation</w:t>
      </w:r>
      <w:r>
        <w:rPr>
          <w:rFonts w:ascii="Arial" w:hAnsi="Arial" w:cs="Arial"/>
        </w:rPr>
        <w:t xml:space="preserve"> of two independent 5G schemes within LBI</w:t>
      </w:r>
      <w:r w:rsidRPr="005475F6">
        <w:rPr>
          <w:rFonts w:ascii="Arial" w:hAnsi="Arial" w:cs="Arial"/>
        </w:rPr>
        <w:t xml:space="preserve">. Key results from a </w:t>
      </w:r>
      <w:r w:rsidR="00290B71">
        <w:rPr>
          <w:rFonts w:ascii="Arial" w:hAnsi="Arial" w:cs="Arial"/>
        </w:rPr>
        <w:t xml:space="preserve">series of </w:t>
      </w:r>
      <w:r w:rsidRPr="005475F6">
        <w:rPr>
          <w:rFonts w:ascii="Arial" w:hAnsi="Arial" w:cs="Arial"/>
        </w:rPr>
        <w:t>techno-economic model</w:t>
      </w:r>
      <w:r>
        <w:rPr>
          <w:rFonts w:ascii="Arial" w:hAnsi="Arial" w:cs="Arial"/>
        </w:rPr>
        <w:t>s developed for both schemes</w:t>
      </w:r>
      <w:r w:rsidRPr="005475F6">
        <w:rPr>
          <w:rFonts w:ascii="Arial" w:hAnsi="Arial" w:cs="Arial"/>
        </w:rPr>
        <w:t xml:space="preserve"> are also presented.</w:t>
      </w:r>
    </w:p>
    <w:p w14:paraId="31E03CA3" w14:textId="77777777" w:rsidR="004F0DC3" w:rsidRPr="009E0E99" w:rsidRDefault="004F0DC3" w:rsidP="004F0DC3">
      <w:pPr>
        <w:pStyle w:val="ListParagraph"/>
        <w:numPr>
          <w:ilvl w:val="1"/>
          <w:numId w:val="1"/>
        </w:numPr>
        <w:jc w:val="both"/>
        <w:rPr>
          <w:rFonts w:ascii="Arial" w:hAnsi="Arial" w:cs="Arial"/>
          <w:b/>
        </w:rPr>
      </w:pPr>
      <w:r w:rsidRPr="009E0E99">
        <w:rPr>
          <w:rFonts w:ascii="Arial" w:hAnsi="Arial" w:cs="Arial"/>
          <w:b/>
        </w:rPr>
        <w:t>Design methodology</w:t>
      </w:r>
    </w:p>
    <w:p w14:paraId="02831096" w14:textId="45DFE5DA" w:rsidR="00ED4E03" w:rsidRPr="00ED4E03" w:rsidRDefault="00ED4E03" w:rsidP="00ED4E03">
      <w:pPr>
        <w:jc w:val="both"/>
        <w:rPr>
          <w:rFonts w:ascii="Arial" w:hAnsi="Arial" w:cs="Arial"/>
        </w:rPr>
      </w:pPr>
      <w:r w:rsidRPr="00ED4E03">
        <w:rPr>
          <w:rFonts w:ascii="Arial" w:hAnsi="Arial" w:cs="Arial"/>
        </w:rPr>
        <w:t xml:space="preserve">The key design questions considered during the feasibility study were related to the (i) type and size of the network, (ii) type of energy sources, (iii) which buildings (demands) to connect, (iv) pipe routes and energy centres, (vi) what technologies to use, (vii) how best to integrate thermal elements of the schemes with power and mobility sectors, and (viii) how best to </w:t>
      </w:r>
      <w:r w:rsidR="00EF1466" w:rsidRPr="00ED4E03">
        <w:rPr>
          <w:rFonts w:ascii="Arial" w:hAnsi="Arial" w:cs="Arial"/>
        </w:rPr>
        <w:t>control the</w:t>
      </w:r>
      <w:r w:rsidRPr="00ED4E03">
        <w:rPr>
          <w:rFonts w:ascii="Arial" w:hAnsi="Arial" w:cs="Arial"/>
        </w:rPr>
        <w:t xml:space="preserve"> integrated network in order to achieve optimal operation. </w:t>
      </w:r>
    </w:p>
    <w:p w14:paraId="791FF606" w14:textId="77777777" w:rsidR="004F0DC3" w:rsidRPr="009E0E99" w:rsidRDefault="009E0E99" w:rsidP="004F0DC3">
      <w:pPr>
        <w:jc w:val="both"/>
        <w:rPr>
          <w:rFonts w:ascii="Arial" w:hAnsi="Arial" w:cs="Arial"/>
        </w:rPr>
      </w:pPr>
      <w:r>
        <w:rPr>
          <w:rFonts w:ascii="Arial" w:hAnsi="Arial" w:cs="Arial"/>
        </w:rPr>
        <w:t>The GreenSCIES design methodology included the following steps:</w:t>
      </w:r>
    </w:p>
    <w:p w14:paraId="5A2E327A" w14:textId="77777777" w:rsidR="004F0DC3" w:rsidRPr="004F0DC3" w:rsidRDefault="004F0DC3" w:rsidP="004F0DC3">
      <w:pPr>
        <w:pStyle w:val="ListParagraph"/>
        <w:numPr>
          <w:ilvl w:val="0"/>
          <w:numId w:val="2"/>
        </w:numPr>
        <w:spacing w:line="276" w:lineRule="auto"/>
        <w:jc w:val="both"/>
        <w:rPr>
          <w:rFonts w:ascii="Arial" w:hAnsi="Arial" w:cs="Arial"/>
        </w:rPr>
      </w:pPr>
      <w:r w:rsidRPr="004F0DC3">
        <w:rPr>
          <w:rFonts w:ascii="Arial" w:hAnsi="Arial" w:cs="Arial"/>
        </w:rPr>
        <w:t>Identify physical boundaries in the area e.g. major roads, railways</w:t>
      </w:r>
    </w:p>
    <w:p w14:paraId="39534B43" w14:textId="506D468E" w:rsidR="004F0DC3" w:rsidRPr="004F0DC3" w:rsidRDefault="004F0DC3" w:rsidP="004F0DC3">
      <w:pPr>
        <w:pStyle w:val="ListParagraph"/>
        <w:numPr>
          <w:ilvl w:val="0"/>
          <w:numId w:val="2"/>
        </w:numPr>
        <w:spacing w:line="276" w:lineRule="auto"/>
        <w:jc w:val="both"/>
        <w:rPr>
          <w:rFonts w:ascii="Arial" w:hAnsi="Arial" w:cs="Arial"/>
        </w:rPr>
      </w:pPr>
      <w:r w:rsidRPr="004F0DC3">
        <w:rPr>
          <w:rFonts w:ascii="Arial" w:hAnsi="Arial" w:cs="Arial"/>
        </w:rPr>
        <w:t>Establish initial energy network clusters</w:t>
      </w:r>
      <w:r w:rsidR="00290B71">
        <w:rPr>
          <w:rFonts w:ascii="Arial" w:hAnsi="Arial" w:cs="Arial"/>
        </w:rPr>
        <w:t xml:space="preserve"> with high energy density</w:t>
      </w:r>
    </w:p>
    <w:p w14:paraId="4B7B141E" w14:textId="77777777" w:rsidR="004F0DC3" w:rsidRDefault="004F0DC3" w:rsidP="004F0DC3">
      <w:pPr>
        <w:pStyle w:val="ListParagraph"/>
        <w:numPr>
          <w:ilvl w:val="0"/>
          <w:numId w:val="2"/>
        </w:numPr>
        <w:spacing w:line="276" w:lineRule="auto"/>
        <w:jc w:val="both"/>
        <w:rPr>
          <w:rFonts w:ascii="Arial" w:hAnsi="Arial" w:cs="Arial"/>
        </w:rPr>
      </w:pPr>
      <w:r>
        <w:rPr>
          <w:rFonts w:ascii="Arial" w:hAnsi="Arial" w:cs="Arial"/>
        </w:rPr>
        <w:t>Map e</w:t>
      </w:r>
      <w:r w:rsidRPr="004F0DC3">
        <w:rPr>
          <w:rFonts w:ascii="Arial" w:hAnsi="Arial" w:cs="Arial"/>
        </w:rPr>
        <w:t>nergy source</w:t>
      </w:r>
      <w:r>
        <w:rPr>
          <w:rFonts w:ascii="Arial" w:hAnsi="Arial" w:cs="Arial"/>
        </w:rPr>
        <w:t>s</w:t>
      </w:r>
      <w:r w:rsidRPr="004F0DC3">
        <w:rPr>
          <w:rFonts w:ascii="Arial" w:hAnsi="Arial" w:cs="Arial"/>
        </w:rPr>
        <w:t xml:space="preserve"> and demand</w:t>
      </w:r>
      <w:r>
        <w:rPr>
          <w:rFonts w:ascii="Arial" w:hAnsi="Arial" w:cs="Arial"/>
        </w:rPr>
        <w:t>s</w:t>
      </w:r>
      <w:r w:rsidRPr="004F0DC3">
        <w:rPr>
          <w:rFonts w:ascii="Arial" w:hAnsi="Arial" w:cs="Arial"/>
        </w:rPr>
        <w:t xml:space="preserve"> </w:t>
      </w:r>
    </w:p>
    <w:p w14:paraId="4BBFA760" w14:textId="77777777" w:rsidR="00ED4E03" w:rsidRDefault="00ED4E03" w:rsidP="004F0DC3">
      <w:pPr>
        <w:pStyle w:val="ListParagraph"/>
        <w:numPr>
          <w:ilvl w:val="0"/>
          <w:numId w:val="2"/>
        </w:numPr>
        <w:spacing w:line="276" w:lineRule="auto"/>
        <w:jc w:val="both"/>
        <w:rPr>
          <w:rFonts w:ascii="Arial" w:hAnsi="Arial" w:cs="Arial"/>
        </w:rPr>
      </w:pPr>
      <w:r>
        <w:rPr>
          <w:rFonts w:ascii="Arial" w:hAnsi="Arial" w:cs="Arial"/>
        </w:rPr>
        <w:t xml:space="preserve">Identify </w:t>
      </w:r>
      <w:r w:rsidR="00BC61F3">
        <w:rPr>
          <w:rFonts w:ascii="Arial" w:hAnsi="Arial" w:cs="Arial"/>
        </w:rPr>
        <w:t xml:space="preserve">low carbon </w:t>
      </w:r>
      <w:r>
        <w:rPr>
          <w:rFonts w:ascii="Arial" w:hAnsi="Arial" w:cs="Arial"/>
        </w:rPr>
        <w:t xml:space="preserve">technologies </w:t>
      </w:r>
      <w:r w:rsidR="00BC61F3">
        <w:rPr>
          <w:rFonts w:ascii="Arial" w:hAnsi="Arial" w:cs="Arial"/>
        </w:rPr>
        <w:t xml:space="preserve">suitable in the study </w:t>
      </w:r>
      <w:r>
        <w:rPr>
          <w:rFonts w:ascii="Arial" w:hAnsi="Arial" w:cs="Arial"/>
        </w:rPr>
        <w:t>area</w:t>
      </w:r>
    </w:p>
    <w:p w14:paraId="1284FDF9" w14:textId="5FE91DDC" w:rsidR="005503C6" w:rsidRPr="004F0DC3" w:rsidRDefault="00290B71" w:rsidP="004F0DC3">
      <w:pPr>
        <w:pStyle w:val="ListParagraph"/>
        <w:numPr>
          <w:ilvl w:val="0"/>
          <w:numId w:val="2"/>
        </w:numPr>
        <w:spacing w:line="276" w:lineRule="auto"/>
        <w:jc w:val="both"/>
        <w:rPr>
          <w:rFonts w:ascii="Arial" w:hAnsi="Arial" w:cs="Arial"/>
        </w:rPr>
      </w:pPr>
      <w:r>
        <w:rPr>
          <w:rFonts w:ascii="Arial" w:hAnsi="Arial" w:cs="Arial"/>
        </w:rPr>
        <w:t>Establish flexible</w:t>
      </w:r>
      <w:r w:rsidR="005503C6">
        <w:rPr>
          <w:rFonts w:ascii="Arial" w:hAnsi="Arial" w:cs="Arial"/>
        </w:rPr>
        <w:t xml:space="preserve"> smart control</w:t>
      </w:r>
      <w:r>
        <w:rPr>
          <w:rFonts w:ascii="Arial" w:hAnsi="Arial" w:cs="Arial"/>
        </w:rPr>
        <w:t xml:space="preserve"> strategies to integrate the whole scheme </w:t>
      </w:r>
    </w:p>
    <w:p w14:paraId="130FE2BF" w14:textId="7A8F9B1D" w:rsidR="004F0DC3" w:rsidRPr="004F0DC3" w:rsidRDefault="00290B71" w:rsidP="004F0DC3">
      <w:pPr>
        <w:pStyle w:val="ListParagraph"/>
        <w:numPr>
          <w:ilvl w:val="0"/>
          <w:numId w:val="2"/>
        </w:numPr>
        <w:spacing w:line="276" w:lineRule="auto"/>
        <w:jc w:val="both"/>
        <w:rPr>
          <w:rFonts w:ascii="Arial" w:hAnsi="Arial" w:cs="Arial"/>
        </w:rPr>
      </w:pPr>
      <w:r>
        <w:rPr>
          <w:rFonts w:ascii="Arial" w:hAnsi="Arial" w:cs="Arial"/>
        </w:rPr>
        <w:t xml:space="preserve">Develop </w:t>
      </w:r>
      <w:r w:rsidR="00EF1466">
        <w:rPr>
          <w:rFonts w:ascii="Arial" w:hAnsi="Arial" w:cs="Arial"/>
        </w:rPr>
        <w:t>n</w:t>
      </w:r>
      <w:r w:rsidR="00EF1466" w:rsidRPr="004F0DC3">
        <w:rPr>
          <w:rFonts w:ascii="Arial" w:hAnsi="Arial" w:cs="Arial"/>
        </w:rPr>
        <w:t xml:space="preserve">etwork </w:t>
      </w:r>
      <w:r w:rsidR="004F0DC3" w:rsidRPr="004F0DC3">
        <w:rPr>
          <w:rFonts w:ascii="Arial" w:hAnsi="Arial" w:cs="Arial"/>
        </w:rPr>
        <w:t>outline designs</w:t>
      </w:r>
    </w:p>
    <w:p w14:paraId="637A7015" w14:textId="689910B3" w:rsidR="004F0DC3" w:rsidRPr="004F0DC3" w:rsidRDefault="00290B71" w:rsidP="004F0DC3">
      <w:pPr>
        <w:pStyle w:val="ListParagraph"/>
        <w:numPr>
          <w:ilvl w:val="0"/>
          <w:numId w:val="2"/>
        </w:numPr>
        <w:spacing w:line="276" w:lineRule="auto"/>
        <w:jc w:val="both"/>
        <w:rPr>
          <w:rFonts w:ascii="Arial" w:hAnsi="Arial" w:cs="Arial"/>
        </w:rPr>
      </w:pPr>
      <w:r>
        <w:rPr>
          <w:rFonts w:ascii="Arial" w:hAnsi="Arial" w:cs="Arial"/>
        </w:rPr>
        <w:t>Develop</w:t>
      </w:r>
      <w:r w:rsidR="004F0DC3" w:rsidRPr="004F0DC3">
        <w:rPr>
          <w:rFonts w:ascii="Arial" w:hAnsi="Arial" w:cs="Arial"/>
        </w:rPr>
        <w:t xml:space="preserve"> CAPEX</w:t>
      </w:r>
      <w:r>
        <w:rPr>
          <w:rFonts w:ascii="Arial" w:hAnsi="Arial" w:cs="Arial"/>
        </w:rPr>
        <w:t xml:space="preserve"> model</w:t>
      </w:r>
    </w:p>
    <w:p w14:paraId="6B2AC665" w14:textId="77777777" w:rsidR="004F0DC3" w:rsidRDefault="004F0DC3" w:rsidP="004F0DC3">
      <w:pPr>
        <w:pStyle w:val="ListParagraph"/>
        <w:numPr>
          <w:ilvl w:val="0"/>
          <w:numId w:val="2"/>
        </w:numPr>
        <w:spacing w:line="276" w:lineRule="auto"/>
        <w:jc w:val="both"/>
        <w:rPr>
          <w:rFonts w:ascii="Arial" w:hAnsi="Arial" w:cs="Arial"/>
        </w:rPr>
      </w:pPr>
      <w:r w:rsidRPr="004F0DC3">
        <w:rPr>
          <w:rFonts w:ascii="Arial" w:hAnsi="Arial" w:cs="Arial"/>
        </w:rPr>
        <w:t>Develop techno-economic models</w:t>
      </w:r>
      <w:r w:rsidR="009D5A63">
        <w:rPr>
          <w:rFonts w:ascii="Arial" w:hAnsi="Arial" w:cs="Arial"/>
        </w:rPr>
        <w:t xml:space="preserve"> and modelling scenarios</w:t>
      </w:r>
    </w:p>
    <w:p w14:paraId="6309F8B1" w14:textId="5EFF23FA" w:rsidR="009E0E99" w:rsidRDefault="009E0E99" w:rsidP="004F0DC3">
      <w:pPr>
        <w:pStyle w:val="ListParagraph"/>
        <w:numPr>
          <w:ilvl w:val="0"/>
          <w:numId w:val="2"/>
        </w:numPr>
        <w:spacing w:line="276" w:lineRule="auto"/>
        <w:jc w:val="both"/>
        <w:rPr>
          <w:rFonts w:ascii="Arial" w:hAnsi="Arial" w:cs="Arial"/>
        </w:rPr>
      </w:pPr>
      <w:r>
        <w:rPr>
          <w:rFonts w:ascii="Arial" w:hAnsi="Arial" w:cs="Arial"/>
        </w:rPr>
        <w:t>Sensitivity analysis</w:t>
      </w:r>
    </w:p>
    <w:p w14:paraId="10967CA4" w14:textId="77777777" w:rsidR="00ED4E03" w:rsidRPr="00BC61F3" w:rsidRDefault="00BC61F3" w:rsidP="009E0E99">
      <w:pPr>
        <w:jc w:val="both"/>
        <w:rPr>
          <w:rFonts w:ascii="Arial" w:hAnsi="Arial" w:cs="Arial"/>
          <w:i/>
        </w:rPr>
      </w:pPr>
      <w:r w:rsidRPr="00BC61F3">
        <w:rPr>
          <w:rFonts w:ascii="Arial" w:hAnsi="Arial" w:cs="Arial"/>
          <w:i/>
        </w:rPr>
        <w:t>2.2.1 Energy mapping</w:t>
      </w:r>
    </w:p>
    <w:p w14:paraId="783846FD" w14:textId="2E7E7DAA" w:rsidR="004F0DC3" w:rsidRDefault="009E0E99" w:rsidP="009E0E99">
      <w:pPr>
        <w:jc w:val="both"/>
        <w:rPr>
          <w:rFonts w:ascii="Arial" w:hAnsi="Arial" w:cs="Arial"/>
        </w:rPr>
      </w:pPr>
      <w:r>
        <w:rPr>
          <w:rFonts w:ascii="Arial" w:hAnsi="Arial" w:cs="Arial"/>
        </w:rPr>
        <w:t xml:space="preserve">Following establishing initial </w:t>
      </w:r>
      <w:r w:rsidR="00290B71">
        <w:rPr>
          <w:rFonts w:ascii="Arial" w:hAnsi="Arial" w:cs="Arial"/>
        </w:rPr>
        <w:t xml:space="preserve">high energy density </w:t>
      </w:r>
      <w:r>
        <w:rPr>
          <w:rFonts w:ascii="Arial" w:hAnsi="Arial" w:cs="Arial"/>
        </w:rPr>
        <w:t>clusters within LBI without any major physical barriers, e</w:t>
      </w:r>
      <w:r w:rsidRPr="009E0E99">
        <w:rPr>
          <w:rFonts w:ascii="Arial" w:hAnsi="Arial" w:cs="Arial"/>
        </w:rPr>
        <w:t>xtensive heat mapping was carried out to assess the heating and cooling density across a wide area in Islington.</w:t>
      </w:r>
      <w:r w:rsidRPr="009E0E99">
        <w:t xml:space="preserve"> </w:t>
      </w:r>
      <w:r w:rsidRPr="009E0E99">
        <w:rPr>
          <w:rFonts w:ascii="Arial" w:hAnsi="Arial" w:cs="Arial"/>
        </w:rPr>
        <w:t>This identified the local areas with most prospect for a 5G scheme, in particular around key energy sources like data centres and London Underground ventilation shafts</w:t>
      </w:r>
      <w:r w:rsidR="0041120F">
        <w:rPr>
          <w:rFonts w:ascii="Arial" w:hAnsi="Arial" w:cs="Arial"/>
        </w:rPr>
        <w:t xml:space="preserve"> -</w:t>
      </w:r>
      <w:r w:rsidR="00EF1466">
        <w:rPr>
          <w:rFonts w:ascii="Arial" w:hAnsi="Arial" w:cs="Arial"/>
        </w:rPr>
        <w:t xml:space="preserve"> </w:t>
      </w:r>
      <w:r w:rsidR="0041120F">
        <w:rPr>
          <w:rFonts w:ascii="Arial" w:hAnsi="Arial" w:cs="Arial"/>
        </w:rPr>
        <w:t>a</w:t>
      </w:r>
      <w:r w:rsidR="00290B71">
        <w:rPr>
          <w:rFonts w:ascii="Arial" w:hAnsi="Arial" w:cs="Arial"/>
        </w:rPr>
        <w:t>lso areas with a good mix of heating and cooling to promote pr</w:t>
      </w:r>
      <w:r w:rsidR="0041120F">
        <w:rPr>
          <w:rFonts w:ascii="Arial" w:hAnsi="Arial" w:cs="Arial"/>
        </w:rPr>
        <w:t>o</w:t>
      </w:r>
      <w:r w:rsidR="00290B71">
        <w:rPr>
          <w:rFonts w:ascii="Arial" w:hAnsi="Arial" w:cs="Arial"/>
        </w:rPr>
        <w:t xml:space="preserve">suming. </w:t>
      </w:r>
      <w:r w:rsidRPr="009E0E99">
        <w:rPr>
          <w:rFonts w:ascii="Arial" w:hAnsi="Arial" w:cs="Arial"/>
        </w:rPr>
        <w:t xml:space="preserve">Major buildings and housing estates were then identified as key energy demands, gradually focusing red-line boundaries around areas likely to result in actual 5G schemes. Five possible schemes were identified, three were then discounted in consultation with LBI around the future for the buildings and connectability. Two schemes were carried forward into a more detailed </w:t>
      </w:r>
      <w:r w:rsidRPr="009E0E99">
        <w:rPr>
          <w:rFonts w:ascii="Arial" w:hAnsi="Arial" w:cs="Arial"/>
        </w:rPr>
        <w:lastRenderedPageBreak/>
        <w:t>assessment process to establish practical schemes.</w:t>
      </w:r>
      <w:r w:rsidR="00A44019" w:rsidRPr="00A44019">
        <w:rPr>
          <w:rFonts w:ascii="Arial" w:hAnsi="Arial" w:cs="Arial"/>
        </w:rPr>
        <w:t xml:space="preserve"> </w:t>
      </w:r>
      <w:r w:rsidR="00A44019">
        <w:rPr>
          <w:rFonts w:ascii="Arial" w:hAnsi="Arial" w:cs="Arial"/>
        </w:rPr>
        <w:t>Both schemes were</w:t>
      </w:r>
      <w:r w:rsidR="00A44019" w:rsidRPr="009E0E99">
        <w:rPr>
          <w:rFonts w:ascii="Arial" w:hAnsi="Arial" w:cs="Arial"/>
        </w:rPr>
        <w:t xml:space="preserve"> based within the boundary of </w:t>
      </w:r>
      <w:r w:rsidR="00290B71">
        <w:rPr>
          <w:rFonts w:ascii="Arial" w:hAnsi="Arial" w:cs="Arial"/>
        </w:rPr>
        <w:t>LBI, a GreenSCIES partner</w:t>
      </w:r>
      <w:r w:rsidR="00A44019" w:rsidRPr="009E0E99">
        <w:rPr>
          <w:rFonts w:ascii="Arial" w:hAnsi="Arial" w:cs="Arial"/>
        </w:rPr>
        <w:t>. Many of the building demands identified were ‘anchor load’ housing estates owned and managed by LBI, currently supplied by centrali</w:t>
      </w:r>
      <w:r w:rsidR="00290B71">
        <w:rPr>
          <w:rFonts w:ascii="Arial" w:hAnsi="Arial" w:cs="Arial"/>
        </w:rPr>
        <w:t>s</w:t>
      </w:r>
      <w:r w:rsidR="00A44019" w:rsidRPr="009E0E99">
        <w:rPr>
          <w:rFonts w:ascii="Arial" w:hAnsi="Arial" w:cs="Arial"/>
        </w:rPr>
        <w:t>ed gas boilers making them easy to connect</w:t>
      </w:r>
      <w:r w:rsidR="00A44019">
        <w:rPr>
          <w:rFonts w:ascii="Arial" w:hAnsi="Arial" w:cs="Arial"/>
        </w:rPr>
        <w:t xml:space="preserve"> to the proposed 5G network</w:t>
      </w:r>
      <w:r w:rsidR="00A44019" w:rsidRPr="009E0E99">
        <w:rPr>
          <w:rFonts w:ascii="Arial" w:hAnsi="Arial" w:cs="Arial"/>
        </w:rPr>
        <w:t>.</w:t>
      </w:r>
    </w:p>
    <w:p w14:paraId="22084695" w14:textId="77777777" w:rsidR="004F0DC3" w:rsidRPr="00BC61F3" w:rsidRDefault="00BC61F3" w:rsidP="004F0DC3">
      <w:pPr>
        <w:jc w:val="both"/>
        <w:rPr>
          <w:rFonts w:ascii="Arial" w:hAnsi="Arial" w:cs="Arial"/>
          <w:i/>
        </w:rPr>
      </w:pPr>
      <w:r w:rsidRPr="00BC61F3">
        <w:rPr>
          <w:rFonts w:ascii="Arial" w:hAnsi="Arial" w:cs="Arial"/>
          <w:i/>
        </w:rPr>
        <w:t>2.2.2</w:t>
      </w:r>
      <w:r>
        <w:rPr>
          <w:rFonts w:ascii="Arial" w:hAnsi="Arial" w:cs="Arial"/>
          <w:i/>
        </w:rPr>
        <w:t xml:space="preserve"> Energy sources and technologies</w:t>
      </w:r>
    </w:p>
    <w:p w14:paraId="3288808C" w14:textId="45A7C13E" w:rsidR="004F0DC3" w:rsidRDefault="00BC61F3" w:rsidP="004F0DC3">
      <w:pPr>
        <w:jc w:val="both"/>
        <w:rPr>
          <w:rFonts w:ascii="Arial" w:hAnsi="Arial" w:cs="Arial"/>
        </w:rPr>
      </w:pPr>
      <w:r w:rsidRPr="00BC61F3">
        <w:rPr>
          <w:rFonts w:ascii="Arial" w:hAnsi="Arial" w:cs="Arial"/>
        </w:rPr>
        <w:t>The generic potential for a range of secondary and renewable energy sources in the study area considered factors such as temperature, magnitude, diurnal and annual variability, ease of capture and utilisation, permanence, etc. Table 1 shows some of the low carbon energy sources considered and each of these were evaluated against the criteria above. Energy sources within each area identified as most suitable for a possible 5G scheme are: groundwater and secondary thermal sources of energy such as waste heat from the ventilation system of local underground railway and two data centres.</w:t>
      </w:r>
    </w:p>
    <w:p w14:paraId="39B83A19" w14:textId="7CD50AE5" w:rsidR="007865BE" w:rsidRPr="007865BE" w:rsidRDefault="007865BE" w:rsidP="007865BE">
      <w:pPr>
        <w:pStyle w:val="Caption"/>
        <w:keepNext/>
        <w:rPr>
          <w:rFonts w:ascii="Arial" w:hAnsi="Arial" w:cs="Arial"/>
          <w:b/>
        </w:rPr>
      </w:pPr>
      <w:r w:rsidRPr="007865BE">
        <w:rPr>
          <w:rFonts w:ascii="Arial" w:hAnsi="Arial" w:cs="Arial"/>
          <w:b/>
        </w:rPr>
        <w:t xml:space="preserve">Table </w:t>
      </w:r>
      <w:r w:rsidRPr="007865BE">
        <w:rPr>
          <w:rFonts w:ascii="Arial" w:hAnsi="Arial" w:cs="Arial"/>
          <w:b/>
        </w:rPr>
        <w:fldChar w:fldCharType="begin"/>
      </w:r>
      <w:r w:rsidRPr="007865BE">
        <w:rPr>
          <w:rFonts w:ascii="Arial" w:hAnsi="Arial" w:cs="Arial"/>
          <w:b/>
        </w:rPr>
        <w:instrText xml:space="preserve"> SEQ Table \* ARABIC </w:instrText>
      </w:r>
      <w:r w:rsidRPr="007865BE">
        <w:rPr>
          <w:rFonts w:ascii="Arial" w:hAnsi="Arial" w:cs="Arial"/>
          <w:b/>
        </w:rPr>
        <w:fldChar w:fldCharType="separate"/>
      </w:r>
      <w:r w:rsidR="00505774">
        <w:rPr>
          <w:rFonts w:ascii="Arial" w:hAnsi="Arial" w:cs="Arial"/>
          <w:b/>
          <w:noProof/>
        </w:rPr>
        <w:t>1</w:t>
      </w:r>
      <w:r w:rsidRPr="007865BE">
        <w:rPr>
          <w:rFonts w:ascii="Arial" w:hAnsi="Arial" w:cs="Arial"/>
          <w:b/>
        </w:rPr>
        <w:fldChar w:fldCharType="end"/>
      </w:r>
      <w:r w:rsidRPr="007865BE">
        <w:rPr>
          <w:rFonts w:ascii="Arial" w:hAnsi="Arial" w:cs="Arial"/>
          <w:b/>
        </w:rPr>
        <w:t xml:space="preserve"> Assessment of energy sources</w:t>
      </w:r>
    </w:p>
    <w:tbl>
      <w:tblPr>
        <w:tblW w:w="4941" w:type="pct"/>
        <w:jc w:val="center"/>
        <w:tblBorders>
          <w:top w:val="single" w:sz="18" w:space="0" w:color="auto"/>
          <w:bottom w:val="single" w:sz="18" w:space="0" w:color="auto"/>
        </w:tblBorders>
        <w:tblLayout w:type="fixed"/>
        <w:tblLook w:val="04A0" w:firstRow="1" w:lastRow="0" w:firstColumn="1" w:lastColumn="0" w:noHBand="0" w:noVBand="1"/>
      </w:tblPr>
      <w:tblGrid>
        <w:gridCol w:w="2228"/>
        <w:gridCol w:w="1432"/>
        <w:gridCol w:w="157"/>
        <w:gridCol w:w="1536"/>
        <w:gridCol w:w="1966"/>
        <w:gridCol w:w="1600"/>
      </w:tblGrid>
      <w:tr w:rsidR="00EE2D81" w:rsidRPr="000D5722" w14:paraId="31A83C8F" w14:textId="77777777" w:rsidTr="006111EA">
        <w:trPr>
          <w:trHeight w:val="572"/>
          <w:jc w:val="center"/>
        </w:trPr>
        <w:tc>
          <w:tcPr>
            <w:tcW w:w="1249" w:type="pct"/>
            <w:tcBorders>
              <w:top w:val="single" w:sz="18" w:space="0" w:color="auto"/>
              <w:bottom w:val="double" w:sz="6" w:space="0" w:color="auto"/>
            </w:tcBorders>
            <w:tcMar>
              <w:left w:w="0" w:type="dxa"/>
              <w:right w:w="0" w:type="dxa"/>
            </w:tcMar>
            <w:vAlign w:val="center"/>
          </w:tcPr>
          <w:p w14:paraId="6B99B69C" w14:textId="77777777" w:rsidR="00EE2D81" w:rsidRPr="000D5722" w:rsidRDefault="00EE2D81" w:rsidP="00A60F85">
            <w:pPr>
              <w:spacing w:after="0"/>
              <w:jc w:val="center"/>
              <w:rPr>
                <w:rFonts w:ascii="Arial" w:hAnsi="Arial" w:cs="Arial"/>
                <w:b/>
                <w:sz w:val="20"/>
                <w:szCs w:val="20"/>
                <w:lang w:val="en-US"/>
              </w:rPr>
            </w:pPr>
            <w:r w:rsidRPr="000D5722">
              <w:rPr>
                <w:rFonts w:ascii="Arial" w:hAnsi="Arial" w:cs="Arial"/>
                <w:b/>
                <w:sz w:val="20"/>
                <w:szCs w:val="20"/>
                <w:lang w:val="en-US"/>
              </w:rPr>
              <w:t>Energy sources</w:t>
            </w:r>
          </w:p>
        </w:tc>
        <w:tc>
          <w:tcPr>
            <w:tcW w:w="891" w:type="pct"/>
            <w:gridSpan w:val="2"/>
            <w:tcBorders>
              <w:top w:val="single" w:sz="18" w:space="0" w:color="auto"/>
              <w:bottom w:val="double" w:sz="6" w:space="0" w:color="auto"/>
            </w:tcBorders>
            <w:tcMar>
              <w:left w:w="0" w:type="dxa"/>
              <w:right w:w="0" w:type="dxa"/>
            </w:tcMar>
            <w:vAlign w:val="center"/>
          </w:tcPr>
          <w:p w14:paraId="02FF5D3C" w14:textId="77777777" w:rsidR="00EE2D81" w:rsidRPr="000D5722" w:rsidRDefault="00EE2D81" w:rsidP="00A60F85">
            <w:pPr>
              <w:spacing w:after="0"/>
              <w:jc w:val="center"/>
              <w:rPr>
                <w:rFonts w:ascii="Arial" w:hAnsi="Arial" w:cs="Arial"/>
                <w:b/>
                <w:sz w:val="20"/>
                <w:szCs w:val="20"/>
                <w:lang w:val="en-US"/>
              </w:rPr>
            </w:pPr>
            <w:r w:rsidRPr="000D5722">
              <w:rPr>
                <w:rFonts w:ascii="Arial" w:hAnsi="Arial" w:cs="Arial"/>
                <w:b/>
                <w:sz w:val="20"/>
                <w:szCs w:val="20"/>
                <w:lang w:val="en-US"/>
              </w:rPr>
              <w:t>To provide</w:t>
            </w:r>
          </w:p>
        </w:tc>
        <w:tc>
          <w:tcPr>
            <w:tcW w:w="861" w:type="pct"/>
            <w:tcBorders>
              <w:top w:val="single" w:sz="18" w:space="0" w:color="auto"/>
              <w:bottom w:val="double" w:sz="6" w:space="0" w:color="auto"/>
            </w:tcBorders>
            <w:tcMar>
              <w:left w:w="0" w:type="dxa"/>
              <w:right w:w="0" w:type="dxa"/>
            </w:tcMar>
            <w:vAlign w:val="center"/>
          </w:tcPr>
          <w:p w14:paraId="19A88344" w14:textId="029FC68A" w:rsidR="00EE2D81" w:rsidRPr="000D5722" w:rsidRDefault="00EE2D81" w:rsidP="00A60F85">
            <w:pPr>
              <w:spacing w:after="0"/>
              <w:jc w:val="center"/>
              <w:rPr>
                <w:rFonts w:ascii="Arial" w:hAnsi="Arial" w:cs="Arial"/>
                <w:b/>
                <w:sz w:val="20"/>
                <w:szCs w:val="20"/>
                <w:lang w:val="en-US"/>
              </w:rPr>
            </w:pPr>
            <w:r w:rsidRPr="000D5722">
              <w:rPr>
                <w:rFonts w:ascii="Arial" w:hAnsi="Arial" w:cs="Arial"/>
                <w:b/>
                <w:sz w:val="20"/>
                <w:szCs w:val="20"/>
                <w:lang w:val="en-US"/>
              </w:rPr>
              <w:t xml:space="preserve">Typical heat available </w:t>
            </w:r>
            <w:r>
              <w:rPr>
                <w:rFonts w:ascii="Arial" w:hAnsi="Arial" w:cs="Arial"/>
                <w:b/>
                <w:sz w:val="20"/>
                <w:szCs w:val="20"/>
                <w:lang w:val="en-US"/>
              </w:rPr>
              <w:t>(</w:t>
            </w:r>
            <w:r w:rsidRPr="000D5722">
              <w:rPr>
                <w:rFonts w:ascii="Arial" w:hAnsi="Arial" w:cs="Arial"/>
                <w:b/>
                <w:sz w:val="20"/>
                <w:szCs w:val="20"/>
                <w:lang w:val="en-US"/>
              </w:rPr>
              <w:t>MW</w:t>
            </w:r>
            <w:r>
              <w:rPr>
                <w:rFonts w:ascii="Arial" w:hAnsi="Arial" w:cs="Arial"/>
                <w:b/>
                <w:sz w:val="20"/>
                <w:szCs w:val="20"/>
                <w:lang w:val="en-US"/>
              </w:rPr>
              <w:t>)</w:t>
            </w:r>
          </w:p>
        </w:tc>
        <w:tc>
          <w:tcPr>
            <w:tcW w:w="1102" w:type="pct"/>
            <w:tcBorders>
              <w:top w:val="single" w:sz="18" w:space="0" w:color="auto"/>
              <w:bottom w:val="double" w:sz="6" w:space="0" w:color="auto"/>
            </w:tcBorders>
            <w:tcMar>
              <w:left w:w="0" w:type="dxa"/>
              <w:right w:w="0" w:type="dxa"/>
            </w:tcMar>
            <w:vAlign w:val="center"/>
          </w:tcPr>
          <w:p w14:paraId="58E25CB6" w14:textId="77777777" w:rsidR="00EE2D81" w:rsidRDefault="00EE2D81" w:rsidP="00A60F85">
            <w:pPr>
              <w:spacing w:after="0"/>
              <w:jc w:val="center"/>
              <w:rPr>
                <w:rFonts w:ascii="Arial" w:hAnsi="Arial" w:cs="Arial"/>
                <w:b/>
                <w:sz w:val="20"/>
                <w:szCs w:val="20"/>
                <w:lang w:val="en-US"/>
              </w:rPr>
            </w:pPr>
            <w:r w:rsidRPr="000D5722">
              <w:rPr>
                <w:rFonts w:ascii="Arial" w:hAnsi="Arial" w:cs="Arial"/>
                <w:b/>
                <w:sz w:val="20"/>
                <w:szCs w:val="20"/>
                <w:lang w:val="en-US"/>
              </w:rPr>
              <w:t>Heat source temperature</w:t>
            </w:r>
          </w:p>
          <w:p w14:paraId="70C09195" w14:textId="468CF1A1" w:rsidR="00EE2D81" w:rsidRPr="000D5722" w:rsidRDefault="00EE2D81" w:rsidP="00B40DB1">
            <w:pPr>
              <w:spacing w:after="0"/>
              <w:jc w:val="center"/>
              <w:rPr>
                <w:rFonts w:ascii="Arial" w:hAnsi="Arial" w:cs="Arial"/>
                <w:b/>
                <w:sz w:val="20"/>
                <w:szCs w:val="20"/>
                <w:lang w:val="en-US"/>
              </w:rPr>
            </w:pPr>
            <w:r w:rsidRPr="000D5722">
              <w:rPr>
                <w:rFonts w:ascii="Arial" w:hAnsi="Arial" w:cs="Arial"/>
                <w:b/>
                <w:sz w:val="20"/>
                <w:szCs w:val="20"/>
                <w:lang w:val="en-US"/>
              </w:rPr>
              <w:t xml:space="preserve"> </w:t>
            </w:r>
            <w:r>
              <w:rPr>
                <w:rFonts w:ascii="Arial" w:hAnsi="Arial" w:cs="Arial"/>
                <w:b/>
                <w:sz w:val="20"/>
                <w:szCs w:val="20"/>
                <w:lang w:val="en-US"/>
              </w:rPr>
              <w:t>(°</w:t>
            </w:r>
            <w:r w:rsidRPr="000D5722">
              <w:rPr>
                <w:rFonts w:ascii="Arial" w:hAnsi="Arial" w:cs="Arial"/>
                <w:b/>
                <w:sz w:val="20"/>
                <w:szCs w:val="20"/>
                <w:lang w:val="en-US"/>
              </w:rPr>
              <w:t>C</w:t>
            </w:r>
            <w:r>
              <w:rPr>
                <w:rFonts w:ascii="Arial" w:hAnsi="Arial" w:cs="Arial"/>
                <w:b/>
                <w:sz w:val="20"/>
                <w:szCs w:val="20"/>
                <w:lang w:val="en-US"/>
              </w:rPr>
              <w:t>)</w:t>
            </w:r>
          </w:p>
        </w:tc>
        <w:tc>
          <w:tcPr>
            <w:tcW w:w="897" w:type="pct"/>
            <w:tcBorders>
              <w:top w:val="single" w:sz="18" w:space="0" w:color="auto"/>
              <w:bottom w:val="double" w:sz="6" w:space="0" w:color="auto"/>
            </w:tcBorders>
            <w:tcMar>
              <w:left w:w="0" w:type="dxa"/>
              <w:right w:w="0" w:type="dxa"/>
            </w:tcMar>
            <w:vAlign w:val="center"/>
          </w:tcPr>
          <w:p w14:paraId="269DF5B8" w14:textId="77777777" w:rsidR="00EE2D81" w:rsidRPr="000D5722" w:rsidRDefault="00EE2D81" w:rsidP="00A60F85">
            <w:pPr>
              <w:spacing w:after="0"/>
              <w:jc w:val="center"/>
              <w:rPr>
                <w:rFonts w:ascii="Arial" w:hAnsi="Arial" w:cs="Arial"/>
                <w:b/>
                <w:sz w:val="20"/>
                <w:szCs w:val="20"/>
                <w:lang w:val="en-US"/>
              </w:rPr>
            </w:pPr>
            <w:r w:rsidRPr="000D5722">
              <w:rPr>
                <w:rFonts w:ascii="Arial" w:hAnsi="Arial" w:cs="Arial"/>
                <w:b/>
                <w:sz w:val="20"/>
                <w:szCs w:val="20"/>
                <w:lang w:val="en-US"/>
              </w:rPr>
              <w:t>Permanence of heat source</w:t>
            </w:r>
          </w:p>
        </w:tc>
      </w:tr>
      <w:tr w:rsidR="00EE2D81" w:rsidRPr="000D5722" w14:paraId="1F61A57E" w14:textId="77777777" w:rsidTr="006111EA">
        <w:trPr>
          <w:trHeight w:val="619"/>
          <w:jc w:val="center"/>
        </w:trPr>
        <w:tc>
          <w:tcPr>
            <w:tcW w:w="1249" w:type="pct"/>
            <w:tcBorders>
              <w:top w:val="double" w:sz="6" w:space="0" w:color="auto"/>
            </w:tcBorders>
            <w:tcMar>
              <w:left w:w="0" w:type="dxa"/>
              <w:right w:w="0" w:type="dxa"/>
            </w:tcMar>
            <w:vAlign w:val="center"/>
          </w:tcPr>
          <w:p w14:paraId="1E281AD5" w14:textId="77777777" w:rsidR="00EE2D81" w:rsidRPr="000D5722" w:rsidRDefault="00EE2D81" w:rsidP="00BC61F3">
            <w:pPr>
              <w:rPr>
                <w:rFonts w:ascii="Arial" w:hAnsi="Arial" w:cs="Arial"/>
                <w:sz w:val="20"/>
                <w:szCs w:val="20"/>
                <w:lang w:val="en-US"/>
              </w:rPr>
            </w:pPr>
            <w:r w:rsidRPr="000D5722">
              <w:rPr>
                <w:rFonts w:ascii="Arial" w:hAnsi="Arial" w:cs="Arial"/>
                <w:sz w:val="20"/>
                <w:szCs w:val="20"/>
                <w:lang w:val="en-US"/>
              </w:rPr>
              <w:t>Ground water (open loop aquifers)</w:t>
            </w:r>
          </w:p>
        </w:tc>
        <w:tc>
          <w:tcPr>
            <w:tcW w:w="891" w:type="pct"/>
            <w:gridSpan w:val="2"/>
            <w:tcBorders>
              <w:top w:val="double" w:sz="6" w:space="0" w:color="auto"/>
            </w:tcBorders>
            <w:tcMar>
              <w:left w:w="0" w:type="dxa"/>
              <w:right w:w="0" w:type="dxa"/>
            </w:tcMar>
            <w:vAlign w:val="center"/>
          </w:tcPr>
          <w:p w14:paraId="039A31E7" w14:textId="77777777" w:rsidR="00EE2D81" w:rsidRPr="000D5722" w:rsidRDefault="00EE2D81" w:rsidP="00BC61F3">
            <w:pPr>
              <w:jc w:val="center"/>
              <w:rPr>
                <w:rFonts w:ascii="Arial" w:hAnsi="Arial" w:cs="Arial"/>
                <w:sz w:val="20"/>
                <w:szCs w:val="20"/>
                <w:lang w:val="en-US"/>
              </w:rPr>
            </w:pPr>
            <w:r w:rsidRPr="000D5722">
              <w:rPr>
                <w:rFonts w:ascii="Arial" w:hAnsi="Arial" w:cs="Arial"/>
                <w:sz w:val="20"/>
                <w:szCs w:val="20"/>
                <w:lang w:val="en-US"/>
              </w:rPr>
              <w:t>H&amp;C</w:t>
            </w:r>
          </w:p>
        </w:tc>
        <w:tc>
          <w:tcPr>
            <w:tcW w:w="861" w:type="pct"/>
            <w:tcBorders>
              <w:top w:val="double" w:sz="6" w:space="0" w:color="auto"/>
            </w:tcBorders>
            <w:tcMar>
              <w:left w:w="0" w:type="dxa"/>
              <w:right w:w="0" w:type="dxa"/>
            </w:tcMar>
            <w:vAlign w:val="center"/>
          </w:tcPr>
          <w:p w14:paraId="4D791A32" w14:textId="77777777" w:rsidR="00EE2D81" w:rsidRPr="000D5722" w:rsidRDefault="00EE2D81" w:rsidP="00BC61F3">
            <w:pPr>
              <w:jc w:val="center"/>
              <w:rPr>
                <w:rFonts w:ascii="Arial" w:hAnsi="Arial" w:cs="Arial"/>
                <w:sz w:val="20"/>
                <w:szCs w:val="20"/>
                <w:lang w:val="en-US"/>
              </w:rPr>
            </w:pPr>
            <w:r w:rsidRPr="000D5722">
              <w:rPr>
                <w:rFonts w:ascii="Arial" w:hAnsi="Arial" w:cs="Arial"/>
                <w:sz w:val="20"/>
                <w:szCs w:val="20"/>
                <w:lang w:val="en-US"/>
              </w:rPr>
              <w:t>1-2</w:t>
            </w:r>
          </w:p>
        </w:tc>
        <w:tc>
          <w:tcPr>
            <w:tcW w:w="1102" w:type="pct"/>
            <w:tcBorders>
              <w:top w:val="double" w:sz="6" w:space="0" w:color="auto"/>
            </w:tcBorders>
            <w:tcMar>
              <w:left w:w="0" w:type="dxa"/>
              <w:right w:w="0" w:type="dxa"/>
            </w:tcMar>
            <w:vAlign w:val="center"/>
          </w:tcPr>
          <w:p w14:paraId="39EEE19B" w14:textId="77777777" w:rsidR="00EE2D81" w:rsidRPr="000D5722" w:rsidRDefault="00EE2D81" w:rsidP="00BC61F3">
            <w:pPr>
              <w:jc w:val="center"/>
              <w:rPr>
                <w:rFonts w:ascii="Arial" w:hAnsi="Arial" w:cs="Arial"/>
                <w:sz w:val="20"/>
                <w:szCs w:val="20"/>
                <w:lang w:val="en-US"/>
              </w:rPr>
            </w:pPr>
            <w:r w:rsidRPr="000D5722">
              <w:rPr>
                <w:rFonts w:ascii="Arial" w:hAnsi="Arial" w:cs="Arial"/>
                <w:sz w:val="20"/>
                <w:szCs w:val="20"/>
                <w:lang w:val="en-US"/>
              </w:rPr>
              <w:t xml:space="preserve">14 </w:t>
            </w:r>
          </w:p>
        </w:tc>
        <w:tc>
          <w:tcPr>
            <w:tcW w:w="897" w:type="pct"/>
            <w:tcBorders>
              <w:top w:val="double" w:sz="6" w:space="0" w:color="auto"/>
            </w:tcBorders>
            <w:tcMar>
              <w:left w:w="0" w:type="dxa"/>
              <w:right w:w="0" w:type="dxa"/>
            </w:tcMar>
            <w:vAlign w:val="center"/>
          </w:tcPr>
          <w:p w14:paraId="1C51D14D" w14:textId="77777777" w:rsidR="00EE2D81" w:rsidRPr="000D5722" w:rsidRDefault="00EE2D81" w:rsidP="00BC61F3">
            <w:pPr>
              <w:jc w:val="center"/>
              <w:rPr>
                <w:rFonts w:ascii="Arial" w:hAnsi="Arial" w:cs="Arial"/>
                <w:sz w:val="20"/>
                <w:szCs w:val="20"/>
                <w:lang w:val="en-US"/>
              </w:rPr>
            </w:pPr>
            <w:r w:rsidRPr="000D5722">
              <w:rPr>
                <w:rFonts w:ascii="Arial" w:hAnsi="Arial" w:cs="Arial"/>
                <w:sz w:val="20"/>
                <w:szCs w:val="20"/>
                <w:lang w:val="en-US"/>
              </w:rPr>
              <w:t>Theoretically unlimited</w:t>
            </w:r>
          </w:p>
        </w:tc>
      </w:tr>
      <w:tr w:rsidR="00EE2D81" w:rsidRPr="000D5722" w14:paraId="0BF3427E" w14:textId="77777777" w:rsidTr="006111EA">
        <w:trPr>
          <w:trHeight w:val="480"/>
          <w:jc w:val="center"/>
        </w:trPr>
        <w:tc>
          <w:tcPr>
            <w:tcW w:w="1249" w:type="pct"/>
            <w:tcMar>
              <w:left w:w="0" w:type="dxa"/>
              <w:right w:w="0" w:type="dxa"/>
            </w:tcMar>
            <w:vAlign w:val="center"/>
          </w:tcPr>
          <w:p w14:paraId="0016A1C1" w14:textId="77777777" w:rsidR="00EE2D81" w:rsidRPr="000D5722" w:rsidRDefault="00EE2D81" w:rsidP="00BC61F3">
            <w:pPr>
              <w:rPr>
                <w:rFonts w:ascii="Arial" w:hAnsi="Arial" w:cs="Arial"/>
                <w:sz w:val="20"/>
                <w:szCs w:val="20"/>
                <w:lang w:val="en-US"/>
              </w:rPr>
            </w:pPr>
            <w:r w:rsidRPr="000D5722">
              <w:rPr>
                <w:rFonts w:ascii="Arial" w:hAnsi="Arial" w:cs="Arial"/>
                <w:sz w:val="20"/>
                <w:szCs w:val="20"/>
                <w:lang w:val="en-US"/>
              </w:rPr>
              <w:t>Surface water (open loop rivers, canals)</w:t>
            </w:r>
          </w:p>
        </w:tc>
        <w:tc>
          <w:tcPr>
            <w:tcW w:w="891" w:type="pct"/>
            <w:gridSpan w:val="2"/>
            <w:tcMar>
              <w:left w:w="0" w:type="dxa"/>
              <w:right w:w="0" w:type="dxa"/>
            </w:tcMar>
            <w:vAlign w:val="center"/>
          </w:tcPr>
          <w:p w14:paraId="7F480775" w14:textId="77777777" w:rsidR="00EE2D81" w:rsidRPr="000D5722" w:rsidRDefault="00EE2D81" w:rsidP="00BC61F3">
            <w:pPr>
              <w:jc w:val="center"/>
              <w:rPr>
                <w:rFonts w:ascii="Arial" w:hAnsi="Arial" w:cs="Arial"/>
                <w:sz w:val="20"/>
                <w:szCs w:val="20"/>
                <w:lang w:val="en-US"/>
              </w:rPr>
            </w:pPr>
            <w:r w:rsidRPr="000D5722">
              <w:rPr>
                <w:rFonts w:ascii="Arial" w:hAnsi="Arial" w:cs="Arial"/>
                <w:sz w:val="20"/>
                <w:szCs w:val="20"/>
                <w:lang w:val="en-US"/>
              </w:rPr>
              <w:t>H&amp;C</w:t>
            </w:r>
          </w:p>
        </w:tc>
        <w:tc>
          <w:tcPr>
            <w:tcW w:w="861" w:type="pct"/>
            <w:tcMar>
              <w:left w:w="0" w:type="dxa"/>
              <w:right w:w="0" w:type="dxa"/>
            </w:tcMar>
            <w:vAlign w:val="center"/>
          </w:tcPr>
          <w:p w14:paraId="09530301" w14:textId="77777777" w:rsidR="00EE2D81" w:rsidRPr="000D5722" w:rsidRDefault="00EE2D81" w:rsidP="00BC61F3">
            <w:pPr>
              <w:jc w:val="center"/>
              <w:rPr>
                <w:rFonts w:ascii="Arial" w:hAnsi="Arial" w:cs="Arial"/>
                <w:sz w:val="20"/>
                <w:szCs w:val="20"/>
                <w:lang w:val="en-US"/>
              </w:rPr>
            </w:pPr>
            <w:r w:rsidRPr="000D5722">
              <w:rPr>
                <w:rFonts w:ascii="Arial" w:hAnsi="Arial" w:cs="Arial"/>
                <w:sz w:val="20"/>
                <w:szCs w:val="20"/>
                <w:lang w:val="en-US"/>
              </w:rPr>
              <w:t>1-2</w:t>
            </w:r>
          </w:p>
        </w:tc>
        <w:tc>
          <w:tcPr>
            <w:tcW w:w="1102" w:type="pct"/>
            <w:tcMar>
              <w:left w:w="0" w:type="dxa"/>
              <w:right w:w="0" w:type="dxa"/>
            </w:tcMar>
            <w:vAlign w:val="center"/>
          </w:tcPr>
          <w:p w14:paraId="50A6E30D" w14:textId="77777777" w:rsidR="00EE2D81" w:rsidRPr="000D5722" w:rsidRDefault="00EE2D81" w:rsidP="00BC61F3">
            <w:pPr>
              <w:jc w:val="center"/>
              <w:rPr>
                <w:rFonts w:ascii="Arial" w:hAnsi="Arial" w:cs="Arial"/>
                <w:sz w:val="20"/>
                <w:szCs w:val="20"/>
                <w:lang w:val="en-US"/>
              </w:rPr>
            </w:pPr>
            <w:r w:rsidRPr="000D5722">
              <w:rPr>
                <w:rFonts w:ascii="Arial" w:hAnsi="Arial" w:cs="Arial"/>
                <w:sz w:val="20"/>
                <w:szCs w:val="20"/>
                <w:lang w:val="en-US"/>
              </w:rPr>
              <w:t>2-20</w:t>
            </w:r>
          </w:p>
        </w:tc>
        <w:tc>
          <w:tcPr>
            <w:tcW w:w="897" w:type="pct"/>
            <w:tcMar>
              <w:left w:w="0" w:type="dxa"/>
              <w:right w:w="0" w:type="dxa"/>
            </w:tcMar>
            <w:vAlign w:val="center"/>
          </w:tcPr>
          <w:p w14:paraId="2D615193" w14:textId="77777777" w:rsidR="00EE2D81" w:rsidRPr="000D5722" w:rsidRDefault="00EE2D81" w:rsidP="00BC61F3">
            <w:pPr>
              <w:jc w:val="center"/>
              <w:rPr>
                <w:rFonts w:ascii="Arial" w:hAnsi="Arial" w:cs="Arial"/>
                <w:sz w:val="20"/>
                <w:szCs w:val="20"/>
                <w:lang w:val="en-US"/>
              </w:rPr>
            </w:pPr>
            <w:r w:rsidRPr="000D5722">
              <w:rPr>
                <w:rFonts w:ascii="Arial" w:hAnsi="Arial" w:cs="Arial"/>
                <w:sz w:val="20"/>
                <w:szCs w:val="20"/>
                <w:lang w:val="en-US"/>
              </w:rPr>
              <w:t>Theoretically unlimited</w:t>
            </w:r>
          </w:p>
        </w:tc>
      </w:tr>
      <w:tr w:rsidR="00EE2D81" w:rsidRPr="000D5722" w14:paraId="6B782EE3" w14:textId="77777777" w:rsidTr="006111EA">
        <w:trPr>
          <w:trHeight w:val="792"/>
          <w:jc w:val="center"/>
        </w:trPr>
        <w:tc>
          <w:tcPr>
            <w:tcW w:w="1249" w:type="pct"/>
            <w:tcMar>
              <w:left w:w="0" w:type="dxa"/>
              <w:right w:w="0" w:type="dxa"/>
            </w:tcMar>
            <w:vAlign w:val="center"/>
          </w:tcPr>
          <w:p w14:paraId="0E4AA355" w14:textId="77777777" w:rsidR="00EE2D81" w:rsidRPr="000D5722" w:rsidRDefault="00EE2D81" w:rsidP="00BC61F3">
            <w:pPr>
              <w:rPr>
                <w:rFonts w:ascii="Arial" w:hAnsi="Arial" w:cs="Arial"/>
                <w:sz w:val="20"/>
                <w:szCs w:val="20"/>
                <w:lang w:val="en-US"/>
              </w:rPr>
            </w:pPr>
            <w:r w:rsidRPr="000D5722">
              <w:rPr>
                <w:rFonts w:ascii="Arial" w:hAnsi="Arial" w:cs="Arial"/>
                <w:sz w:val="20"/>
                <w:szCs w:val="20"/>
                <w:lang w:val="en-US"/>
              </w:rPr>
              <w:t>Ground coupled arrays (closed loops)</w:t>
            </w:r>
          </w:p>
        </w:tc>
        <w:tc>
          <w:tcPr>
            <w:tcW w:w="891" w:type="pct"/>
            <w:gridSpan w:val="2"/>
            <w:tcMar>
              <w:left w:w="0" w:type="dxa"/>
              <w:right w:w="0" w:type="dxa"/>
            </w:tcMar>
            <w:vAlign w:val="center"/>
          </w:tcPr>
          <w:p w14:paraId="6068B943" w14:textId="77777777" w:rsidR="00EE2D81" w:rsidRPr="000D5722" w:rsidRDefault="00EE2D81" w:rsidP="00BC61F3">
            <w:pPr>
              <w:jc w:val="center"/>
              <w:rPr>
                <w:rFonts w:ascii="Arial" w:hAnsi="Arial" w:cs="Arial"/>
                <w:sz w:val="20"/>
                <w:szCs w:val="20"/>
                <w:lang w:val="en-US"/>
              </w:rPr>
            </w:pPr>
            <w:r w:rsidRPr="000D5722">
              <w:rPr>
                <w:rFonts w:ascii="Arial" w:hAnsi="Arial" w:cs="Arial"/>
                <w:sz w:val="20"/>
                <w:szCs w:val="20"/>
                <w:lang w:val="en-US"/>
              </w:rPr>
              <w:t>H&amp;C</w:t>
            </w:r>
          </w:p>
        </w:tc>
        <w:tc>
          <w:tcPr>
            <w:tcW w:w="861" w:type="pct"/>
            <w:tcMar>
              <w:left w:w="0" w:type="dxa"/>
              <w:right w:w="0" w:type="dxa"/>
            </w:tcMar>
            <w:vAlign w:val="center"/>
          </w:tcPr>
          <w:p w14:paraId="2C9820D3" w14:textId="77777777" w:rsidR="00EE2D81" w:rsidRPr="000D5722" w:rsidRDefault="00EE2D81" w:rsidP="00BC61F3">
            <w:pPr>
              <w:jc w:val="center"/>
              <w:rPr>
                <w:rFonts w:ascii="Arial" w:hAnsi="Arial" w:cs="Arial"/>
                <w:sz w:val="20"/>
                <w:szCs w:val="20"/>
                <w:lang w:val="en-US"/>
              </w:rPr>
            </w:pPr>
            <w:r w:rsidRPr="000D5722">
              <w:rPr>
                <w:rFonts w:ascii="Arial" w:hAnsi="Arial" w:cs="Arial"/>
                <w:sz w:val="20"/>
                <w:szCs w:val="20"/>
                <w:lang w:val="en-US"/>
              </w:rPr>
              <w:t>Depending on array size</w:t>
            </w:r>
          </w:p>
        </w:tc>
        <w:tc>
          <w:tcPr>
            <w:tcW w:w="1102" w:type="pct"/>
            <w:tcMar>
              <w:left w:w="0" w:type="dxa"/>
              <w:right w:w="0" w:type="dxa"/>
            </w:tcMar>
            <w:vAlign w:val="center"/>
          </w:tcPr>
          <w:p w14:paraId="632FFE31" w14:textId="77777777" w:rsidR="00EE2D81" w:rsidRPr="000D5722" w:rsidRDefault="00EE2D81" w:rsidP="00BC61F3">
            <w:pPr>
              <w:jc w:val="center"/>
              <w:rPr>
                <w:rFonts w:ascii="Arial" w:hAnsi="Arial" w:cs="Arial"/>
                <w:sz w:val="20"/>
                <w:szCs w:val="20"/>
                <w:lang w:val="en-US"/>
              </w:rPr>
            </w:pPr>
            <w:r w:rsidRPr="000D5722">
              <w:rPr>
                <w:rFonts w:ascii="Arial" w:hAnsi="Arial" w:cs="Arial"/>
                <w:sz w:val="20"/>
                <w:szCs w:val="20"/>
                <w:lang w:val="en-US"/>
              </w:rPr>
              <w:t>12</w:t>
            </w:r>
          </w:p>
        </w:tc>
        <w:tc>
          <w:tcPr>
            <w:tcW w:w="897" w:type="pct"/>
            <w:tcMar>
              <w:left w:w="0" w:type="dxa"/>
              <w:right w:w="0" w:type="dxa"/>
            </w:tcMar>
            <w:vAlign w:val="center"/>
          </w:tcPr>
          <w:p w14:paraId="433778D7" w14:textId="77777777" w:rsidR="00EE2D81" w:rsidRPr="000D5722" w:rsidRDefault="00EE2D81" w:rsidP="00BC61F3">
            <w:pPr>
              <w:jc w:val="center"/>
              <w:rPr>
                <w:rFonts w:ascii="Arial" w:hAnsi="Arial" w:cs="Arial"/>
                <w:sz w:val="20"/>
                <w:szCs w:val="20"/>
                <w:lang w:val="en-US"/>
              </w:rPr>
            </w:pPr>
            <w:r w:rsidRPr="000D5722">
              <w:rPr>
                <w:rFonts w:ascii="Arial" w:hAnsi="Arial" w:cs="Arial"/>
                <w:sz w:val="20"/>
                <w:szCs w:val="20"/>
                <w:lang w:val="en-US"/>
              </w:rPr>
              <w:t>Theoretically unlimited</w:t>
            </w:r>
          </w:p>
        </w:tc>
      </w:tr>
      <w:tr w:rsidR="00EE2D81" w:rsidRPr="000D5722" w14:paraId="15EFDC2F" w14:textId="77777777" w:rsidTr="006111EA">
        <w:trPr>
          <w:trHeight w:val="631"/>
          <w:jc w:val="center"/>
        </w:trPr>
        <w:tc>
          <w:tcPr>
            <w:tcW w:w="1249" w:type="pct"/>
            <w:tcMar>
              <w:left w:w="0" w:type="dxa"/>
              <w:right w:w="0" w:type="dxa"/>
            </w:tcMar>
            <w:vAlign w:val="center"/>
          </w:tcPr>
          <w:p w14:paraId="7CABB50B" w14:textId="77777777" w:rsidR="00EE2D81" w:rsidRPr="000D5722" w:rsidRDefault="00EE2D81" w:rsidP="00BC61F3">
            <w:pPr>
              <w:rPr>
                <w:rFonts w:ascii="Arial" w:hAnsi="Arial" w:cs="Arial"/>
                <w:sz w:val="20"/>
                <w:szCs w:val="20"/>
                <w:lang w:val="en-US"/>
              </w:rPr>
            </w:pPr>
            <w:r w:rsidRPr="000D5722">
              <w:rPr>
                <w:rFonts w:ascii="Arial" w:hAnsi="Arial" w:cs="Arial"/>
                <w:sz w:val="20"/>
                <w:szCs w:val="20"/>
                <w:lang w:val="en-US"/>
              </w:rPr>
              <w:t>Electricity cable tunnels</w:t>
            </w:r>
          </w:p>
        </w:tc>
        <w:tc>
          <w:tcPr>
            <w:tcW w:w="803" w:type="pct"/>
            <w:tcMar>
              <w:left w:w="0" w:type="dxa"/>
              <w:right w:w="0" w:type="dxa"/>
            </w:tcMar>
            <w:vAlign w:val="center"/>
          </w:tcPr>
          <w:p w14:paraId="624D6D7E" w14:textId="77777777" w:rsidR="00EE2D81" w:rsidRPr="000D5722" w:rsidRDefault="00EE2D81" w:rsidP="00BC61F3">
            <w:pPr>
              <w:jc w:val="center"/>
              <w:rPr>
                <w:rFonts w:ascii="Arial" w:hAnsi="Arial" w:cs="Arial"/>
                <w:sz w:val="20"/>
                <w:szCs w:val="20"/>
                <w:lang w:val="en-US"/>
              </w:rPr>
            </w:pPr>
            <w:r w:rsidRPr="000D5722">
              <w:rPr>
                <w:rFonts w:ascii="Arial" w:hAnsi="Arial" w:cs="Arial"/>
                <w:sz w:val="20"/>
                <w:szCs w:val="20"/>
                <w:lang w:val="en-US"/>
              </w:rPr>
              <w:t>H</w:t>
            </w:r>
          </w:p>
        </w:tc>
        <w:tc>
          <w:tcPr>
            <w:tcW w:w="949" w:type="pct"/>
            <w:gridSpan w:val="2"/>
            <w:tcMar>
              <w:left w:w="0" w:type="dxa"/>
              <w:right w:w="0" w:type="dxa"/>
            </w:tcMar>
            <w:vAlign w:val="center"/>
          </w:tcPr>
          <w:p w14:paraId="4F6E5669" w14:textId="77777777" w:rsidR="00EE2D81" w:rsidRPr="000D5722" w:rsidRDefault="00EE2D81" w:rsidP="00BC61F3">
            <w:pPr>
              <w:jc w:val="center"/>
              <w:rPr>
                <w:rFonts w:ascii="Arial" w:hAnsi="Arial" w:cs="Arial"/>
                <w:sz w:val="20"/>
                <w:szCs w:val="20"/>
                <w:lang w:val="en-US"/>
              </w:rPr>
            </w:pPr>
            <w:r w:rsidRPr="000D5722">
              <w:rPr>
                <w:rFonts w:ascii="Arial" w:hAnsi="Arial" w:cs="Arial"/>
                <w:sz w:val="20"/>
                <w:szCs w:val="20"/>
                <w:lang w:val="en-US"/>
              </w:rPr>
              <w:t>0.2-0.4</w:t>
            </w:r>
          </w:p>
        </w:tc>
        <w:tc>
          <w:tcPr>
            <w:tcW w:w="1102" w:type="pct"/>
            <w:tcMar>
              <w:left w:w="0" w:type="dxa"/>
              <w:right w:w="0" w:type="dxa"/>
            </w:tcMar>
            <w:vAlign w:val="center"/>
          </w:tcPr>
          <w:p w14:paraId="56F5D99A" w14:textId="77777777" w:rsidR="00EE2D81" w:rsidRPr="000D5722" w:rsidRDefault="00EE2D81" w:rsidP="00BC61F3">
            <w:pPr>
              <w:jc w:val="center"/>
              <w:rPr>
                <w:rFonts w:ascii="Arial" w:hAnsi="Arial" w:cs="Arial"/>
                <w:sz w:val="20"/>
                <w:szCs w:val="20"/>
                <w:lang w:val="en-US"/>
              </w:rPr>
            </w:pPr>
            <w:r w:rsidRPr="000D5722">
              <w:rPr>
                <w:rFonts w:ascii="Arial" w:hAnsi="Arial" w:cs="Arial"/>
                <w:sz w:val="20"/>
                <w:szCs w:val="20"/>
                <w:lang w:val="en-US"/>
              </w:rPr>
              <w:t>Up to 35</w:t>
            </w:r>
          </w:p>
        </w:tc>
        <w:tc>
          <w:tcPr>
            <w:tcW w:w="897" w:type="pct"/>
            <w:tcMar>
              <w:left w:w="0" w:type="dxa"/>
              <w:right w:w="0" w:type="dxa"/>
            </w:tcMar>
            <w:vAlign w:val="center"/>
          </w:tcPr>
          <w:p w14:paraId="7DFE0F88" w14:textId="77777777" w:rsidR="00EE2D81" w:rsidRPr="000D5722" w:rsidRDefault="00EE2D81" w:rsidP="00BC61F3">
            <w:pPr>
              <w:jc w:val="center"/>
              <w:rPr>
                <w:rFonts w:ascii="Arial" w:hAnsi="Arial" w:cs="Arial"/>
                <w:sz w:val="20"/>
                <w:szCs w:val="20"/>
                <w:lang w:val="en-US"/>
              </w:rPr>
            </w:pPr>
            <w:r w:rsidRPr="000D5722">
              <w:rPr>
                <w:rFonts w:ascii="Arial" w:hAnsi="Arial" w:cs="Arial"/>
                <w:sz w:val="20"/>
                <w:szCs w:val="20"/>
                <w:lang w:val="en-US"/>
              </w:rPr>
              <w:t>&gt;50 years</w:t>
            </w:r>
          </w:p>
        </w:tc>
      </w:tr>
      <w:tr w:rsidR="00EE2D81" w:rsidRPr="000D5722" w14:paraId="3FAFAA7E" w14:textId="77777777" w:rsidTr="006111EA">
        <w:trPr>
          <w:trHeight w:val="390"/>
          <w:jc w:val="center"/>
        </w:trPr>
        <w:tc>
          <w:tcPr>
            <w:tcW w:w="1249" w:type="pct"/>
            <w:tcMar>
              <w:left w:w="0" w:type="dxa"/>
              <w:right w:w="0" w:type="dxa"/>
            </w:tcMar>
            <w:vAlign w:val="center"/>
          </w:tcPr>
          <w:p w14:paraId="2DDEBF28" w14:textId="77777777" w:rsidR="00EE2D81" w:rsidRPr="000D5722" w:rsidRDefault="00EE2D81" w:rsidP="00BC61F3">
            <w:pPr>
              <w:rPr>
                <w:rFonts w:ascii="Arial" w:hAnsi="Arial" w:cs="Arial"/>
                <w:sz w:val="20"/>
                <w:szCs w:val="20"/>
                <w:lang w:val="en-US"/>
              </w:rPr>
            </w:pPr>
            <w:r w:rsidRPr="000D5722">
              <w:rPr>
                <w:rFonts w:ascii="Arial" w:hAnsi="Arial" w:cs="Arial"/>
                <w:sz w:val="20"/>
                <w:szCs w:val="20"/>
                <w:lang w:val="en-US"/>
              </w:rPr>
              <w:t>Electricity substations</w:t>
            </w:r>
          </w:p>
        </w:tc>
        <w:tc>
          <w:tcPr>
            <w:tcW w:w="803" w:type="pct"/>
            <w:tcMar>
              <w:left w:w="0" w:type="dxa"/>
              <w:right w:w="0" w:type="dxa"/>
            </w:tcMar>
            <w:vAlign w:val="center"/>
          </w:tcPr>
          <w:p w14:paraId="55583154" w14:textId="77777777" w:rsidR="00EE2D81" w:rsidRPr="000D5722" w:rsidRDefault="00EE2D81" w:rsidP="00BC61F3">
            <w:pPr>
              <w:jc w:val="center"/>
              <w:rPr>
                <w:rFonts w:ascii="Arial" w:hAnsi="Arial" w:cs="Arial"/>
                <w:sz w:val="20"/>
                <w:szCs w:val="20"/>
                <w:lang w:val="en-US"/>
              </w:rPr>
            </w:pPr>
            <w:r w:rsidRPr="000D5722">
              <w:rPr>
                <w:rFonts w:ascii="Arial" w:hAnsi="Arial" w:cs="Arial"/>
                <w:sz w:val="20"/>
                <w:szCs w:val="20"/>
                <w:lang w:val="en-US"/>
              </w:rPr>
              <w:t>H</w:t>
            </w:r>
          </w:p>
        </w:tc>
        <w:tc>
          <w:tcPr>
            <w:tcW w:w="949" w:type="pct"/>
            <w:gridSpan w:val="2"/>
            <w:tcMar>
              <w:left w:w="0" w:type="dxa"/>
              <w:right w:w="0" w:type="dxa"/>
            </w:tcMar>
            <w:vAlign w:val="center"/>
          </w:tcPr>
          <w:p w14:paraId="33694E84" w14:textId="77777777" w:rsidR="00EE2D81" w:rsidRPr="000D5722" w:rsidRDefault="00EE2D81" w:rsidP="00BC61F3">
            <w:pPr>
              <w:jc w:val="center"/>
              <w:rPr>
                <w:rFonts w:ascii="Arial" w:hAnsi="Arial" w:cs="Arial"/>
                <w:sz w:val="20"/>
                <w:szCs w:val="20"/>
                <w:lang w:val="en-US"/>
              </w:rPr>
            </w:pPr>
            <w:r w:rsidRPr="000D5722">
              <w:rPr>
                <w:rFonts w:ascii="Arial" w:hAnsi="Arial" w:cs="Arial"/>
                <w:sz w:val="20"/>
                <w:szCs w:val="20"/>
                <w:lang w:val="en-US"/>
              </w:rPr>
              <w:t>04.-1</w:t>
            </w:r>
          </w:p>
        </w:tc>
        <w:tc>
          <w:tcPr>
            <w:tcW w:w="1102" w:type="pct"/>
            <w:tcMar>
              <w:left w:w="0" w:type="dxa"/>
              <w:right w:w="0" w:type="dxa"/>
            </w:tcMar>
            <w:vAlign w:val="center"/>
          </w:tcPr>
          <w:p w14:paraId="69F5E01D" w14:textId="77777777" w:rsidR="00EE2D81" w:rsidRPr="000D5722" w:rsidRDefault="00EE2D81" w:rsidP="00BC61F3">
            <w:pPr>
              <w:jc w:val="center"/>
              <w:rPr>
                <w:rFonts w:ascii="Arial" w:hAnsi="Arial" w:cs="Arial"/>
                <w:sz w:val="20"/>
                <w:szCs w:val="20"/>
                <w:lang w:val="en-US"/>
              </w:rPr>
            </w:pPr>
            <w:r w:rsidRPr="000D5722">
              <w:rPr>
                <w:rFonts w:ascii="Arial" w:hAnsi="Arial" w:cs="Arial"/>
                <w:sz w:val="20"/>
                <w:szCs w:val="20"/>
                <w:lang w:val="en-US"/>
              </w:rPr>
              <w:t>Up to 70</w:t>
            </w:r>
          </w:p>
        </w:tc>
        <w:tc>
          <w:tcPr>
            <w:tcW w:w="897" w:type="pct"/>
            <w:tcMar>
              <w:left w:w="0" w:type="dxa"/>
              <w:right w:w="0" w:type="dxa"/>
            </w:tcMar>
            <w:vAlign w:val="center"/>
          </w:tcPr>
          <w:p w14:paraId="18A3A14A" w14:textId="77777777" w:rsidR="00EE2D81" w:rsidRPr="000D5722" w:rsidRDefault="00EE2D81" w:rsidP="00BC61F3">
            <w:pPr>
              <w:jc w:val="center"/>
              <w:rPr>
                <w:rFonts w:ascii="Arial" w:hAnsi="Arial" w:cs="Arial"/>
                <w:sz w:val="20"/>
                <w:szCs w:val="20"/>
                <w:lang w:val="en-US"/>
              </w:rPr>
            </w:pPr>
            <w:r w:rsidRPr="000D5722">
              <w:rPr>
                <w:rFonts w:ascii="Arial" w:hAnsi="Arial" w:cs="Arial"/>
                <w:sz w:val="20"/>
                <w:szCs w:val="20"/>
                <w:lang w:val="en-US"/>
              </w:rPr>
              <w:t>&gt;20 years</w:t>
            </w:r>
          </w:p>
        </w:tc>
      </w:tr>
      <w:tr w:rsidR="00EE2D81" w:rsidRPr="000D5722" w14:paraId="26E1C029" w14:textId="77777777" w:rsidTr="006111EA">
        <w:trPr>
          <w:trHeight w:val="619"/>
          <w:jc w:val="center"/>
        </w:trPr>
        <w:tc>
          <w:tcPr>
            <w:tcW w:w="1249" w:type="pct"/>
            <w:tcMar>
              <w:left w:w="0" w:type="dxa"/>
              <w:right w:w="0" w:type="dxa"/>
            </w:tcMar>
            <w:vAlign w:val="center"/>
          </w:tcPr>
          <w:p w14:paraId="512C6FD3" w14:textId="77777777" w:rsidR="00EE2D81" w:rsidRPr="000D5722" w:rsidRDefault="00EE2D81" w:rsidP="00BC61F3">
            <w:pPr>
              <w:rPr>
                <w:rFonts w:ascii="Arial" w:hAnsi="Arial" w:cs="Arial"/>
                <w:sz w:val="20"/>
                <w:szCs w:val="20"/>
                <w:lang w:val="en-US"/>
              </w:rPr>
            </w:pPr>
            <w:r w:rsidRPr="000D5722">
              <w:rPr>
                <w:rFonts w:ascii="Arial" w:hAnsi="Arial" w:cs="Arial"/>
                <w:sz w:val="20"/>
                <w:szCs w:val="20"/>
                <w:lang w:val="en-US"/>
              </w:rPr>
              <w:t>Sewers</w:t>
            </w:r>
          </w:p>
        </w:tc>
        <w:tc>
          <w:tcPr>
            <w:tcW w:w="803" w:type="pct"/>
            <w:tcMar>
              <w:left w:w="0" w:type="dxa"/>
              <w:right w:w="0" w:type="dxa"/>
            </w:tcMar>
            <w:vAlign w:val="center"/>
          </w:tcPr>
          <w:p w14:paraId="30CAD981" w14:textId="77777777" w:rsidR="00EE2D81" w:rsidRPr="000D5722" w:rsidRDefault="00EE2D81" w:rsidP="00BC61F3">
            <w:pPr>
              <w:jc w:val="center"/>
              <w:rPr>
                <w:rFonts w:ascii="Arial" w:hAnsi="Arial" w:cs="Arial"/>
                <w:sz w:val="20"/>
                <w:szCs w:val="20"/>
                <w:lang w:val="en-US"/>
              </w:rPr>
            </w:pPr>
            <w:r w:rsidRPr="000D5722">
              <w:rPr>
                <w:rFonts w:ascii="Arial" w:hAnsi="Arial" w:cs="Arial"/>
                <w:sz w:val="20"/>
                <w:szCs w:val="20"/>
                <w:lang w:val="en-US"/>
              </w:rPr>
              <w:t>H&amp;C</w:t>
            </w:r>
          </w:p>
        </w:tc>
        <w:tc>
          <w:tcPr>
            <w:tcW w:w="949" w:type="pct"/>
            <w:gridSpan w:val="2"/>
            <w:tcMar>
              <w:left w:w="0" w:type="dxa"/>
              <w:right w:w="0" w:type="dxa"/>
            </w:tcMar>
            <w:vAlign w:val="center"/>
          </w:tcPr>
          <w:p w14:paraId="7106FA42" w14:textId="77777777" w:rsidR="00EE2D81" w:rsidRPr="000D5722" w:rsidRDefault="00EE2D81" w:rsidP="00BC61F3">
            <w:pPr>
              <w:jc w:val="center"/>
              <w:rPr>
                <w:rFonts w:ascii="Arial" w:hAnsi="Arial" w:cs="Arial"/>
                <w:sz w:val="20"/>
                <w:szCs w:val="20"/>
                <w:lang w:val="en-US"/>
              </w:rPr>
            </w:pPr>
            <w:r w:rsidRPr="000D5722">
              <w:rPr>
                <w:rFonts w:ascii="Arial" w:hAnsi="Arial" w:cs="Arial"/>
                <w:sz w:val="20"/>
                <w:szCs w:val="20"/>
                <w:lang w:val="en-US"/>
              </w:rPr>
              <w:t>04-1</w:t>
            </w:r>
          </w:p>
        </w:tc>
        <w:tc>
          <w:tcPr>
            <w:tcW w:w="1102" w:type="pct"/>
            <w:tcMar>
              <w:left w:w="0" w:type="dxa"/>
              <w:right w:w="0" w:type="dxa"/>
            </w:tcMar>
            <w:vAlign w:val="center"/>
          </w:tcPr>
          <w:p w14:paraId="33BBB25C" w14:textId="77777777" w:rsidR="00EE2D81" w:rsidRPr="000D5722" w:rsidRDefault="00EE2D81" w:rsidP="00BC61F3">
            <w:pPr>
              <w:jc w:val="center"/>
              <w:rPr>
                <w:rFonts w:ascii="Arial" w:hAnsi="Arial" w:cs="Arial"/>
                <w:sz w:val="20"/>
                <w:szCs w:val="20"/>
                <w:lang w:val="en-US"/>
              </w:rPr>
            </w:pPr>
            <w:r w:rsidRPr="000D5722">
              <w:rPr>
                <w:rFonts w:ascii="Arial" w:hAnsi="Arial" w:cs="Arial"/>
                <w:sz w:val="20"/>
                <w:szCs w:val="20"/>
                <w:lang w:val="en-US"/>
              </w:rPr>
              <w:t>10-22</w:t>
            </w:r>
          </w:p>
        </w:tc>
        <w:tc>
          <w:tcPr>
            <w:tcW w:w="897" w:type="pct"/>
            <w:tcMar>
              <w:left w:w="0" w:type="dxa"/>
              <w:right w:w="0" w:type="dxa"/>
            </w:tcMar>
            <w:vAlign w:val="center"/>
          </w:tcPr>
          <w:p w14:paraId="42B63AFB" w14:textId="77777777" w:rsidR="00EE2D81" w:rsidRPr="000D5722" w:rsidRDefault="00EE2D81" w:rsidP="00BC61F3">
            <w:pPr>
              <w:jc w:val="center"/>
              <w:rPr>
                <w:rFonts w:ascii="Arial" w:hAnsi="Arial" w:cs="Arial"/>
                <w:sz w:val="20"/>
                <w:szCs w:val="20"/>
                <w:lang w:val="en-US"/>
              </w:rPr>
            </w:pPr>
            <w:r w:rsidRPr="000D5722">
              <w:rPr>
                <w:rFonts w:ascii="Arial" w:hAnsi="Arial" w:cs="Arial"/>
                <w:sz w:val="20"/>
                <w:szCs w:val="20"/>
                <w:lang w:val="en-US"/>
              </w:rPr>
              <w:t>Hundreds of years</w:t>
            </w:r>
          </w:p>
        </w:tc>
      </w:tr>
      <w:tr w:rsidR="00EE2D81" w:rsidRPr="000D5722" w14:paraId="00A3F265" w14:textId="77777777" w:rsidTr="006111EA">
        <w:trPr>
          <w:trHeight w:val="390"/>
          <w:jc w:val="center"/>
        </w:trPr>
        <w:tc>
          <w:tcPr>
            <w:tcW w:w="1249" w:type="pct"/>
            <w:tcMar>
              <w:left w:w="0" w:type="dxa"/>
              <w:right w:w="0" w:type="dxa"/>
            </w:tcMar>
            <w:vAlign w:val="center"/>
          </w:tcPr>
          <w:p w14:paraId="3D95A46F" w14:textId="77777777" w:rsidR="00EE2D81" w:rsidRPr="000D5722" w:rsidRDefault="00EE2D81" w:rsidP="00BC61F3">
            <w:pPr>
              <w:rPr>
                <w:rFonts w:ascii="Arial" w:hAnsi="Arial" w:cs="Arial"/>
                <w:sz w:val="20"/>
                <w:szCs w:val="20"/>
                <w:lang w:val="en-US"/>
              </w:rPr>
            </w:pPr>
            <w:r w:rsidRPr="000D5722">
              <w:rPr>
                <w:rFonts w:ascii="Arial" w:hAnsi="Arial" w:cs="Arial"/>
                <w:sz w:val="20"/>
                <w:szCs w:val="20"/>
                <w:lang w:val="en-US"/>
              </w:rPr>
              <w:t>Sewage farms</w:t>
            </w:r>
          </w:p>
        </w:tc>
        <w:tc>
          <w:tcPr>
            <w:tcW w:w="803" w:type="pct"/>
            <w:tcMar>
              <w:left w:w="0" w:type="dxa"/>
              <w:right w:w="0" w:type="dxa"/>
            </w:tcMar>
            <w:vAlign w:val="center"/>
          </w:tcPr>
          <w:p w14:paraId="30D2115D" w14:textId="77777777" w:rsidR="00EE2D81" w:rsidRPr="000D5722" w:rsidRDefault="00EE2D81" w:rsidP="00BC61F3">
            <w:pPr>
              <w:jc w:val="center"/>
              <w:rPr>
                <w:rFonts w:ascii="Arial" w:hAnsi="Arial" w:cs="Arial"/>
                <w:sz w:val="20"/>
                <w:szCs w:val="20"/>
                <w:lang w:val="en-US"/>
              </w:rPr>
            </w:pPr>
            <w:r w:rsidRPr="000D5722">
              <w:rPr>
                <w:rFonts w:ascii="Arial" w:hAnsi="Arial" w:cs="Arial"/>
                <w:sz w:val="20"/>
                <w:szCs w:val="20"/>
                <w:lang w:val="en-US"/>
              </w:rPr>
              <w:t>H&amp;C</w:t>
            </w:r>
          </w:p>
        </w:tc>
        <w:tc>
          <w:tcPr>
            <w:tcW w:w="949" w:type="pct"/>
            <w:gridSpan w:val="2"/>
            <w:tcMar>
              <w:left w:w="0" w:type="dxa"/>
              <w:right w:w="0" w:type="dxa"/>
            </w:tcMar>
            <w:vAlign w:val="center"/>
          </w:tcPr>
          <w:p w14:paraId="05F0EADD" w14:textId="77777777" w:rsidR="00EE2D81" w:rsidRPr="000D5722" w:rsidRDefault="00EE2D81" w:rsidP="00BC61F3">
            <w:pPr>
              <w:jc w:val="center"/>
              <w:rPr>
                <w:rFonts w:ascii="Arial" w:hAnsi="Arial" w:cs="Arial"/>
                <w:sz w:val="20"/>
                <w:szCs w:val="20"/>
                <w:lang w:val="en-US"/>
              </w:rPr>
            </w:pPr>
            <w:r w:rsidRPr="000D5722">
              <w:rPr>
                <w:rFonts w:ascii="Arial" w:hAnsi="Arial" w:cs="Arial"/>
                <w:sz w:val="20"/>
                <w:szCs w:val="20"/>
                <w:lang w:val="en-US"/>
              </w:rPr>
              <w:t>1-3</w:t>
            </w:r>
          </w:p>
        </w:tc>
        <w:tc>
          <w:tcPr>
            <w:tcW w:w="1102" w:type="pct"/>
            <w:tcMar>
              <w:left w:w="0" w:type="dxa"/>
              <w:right w:w="0" w:type="dxa"/>
            </w:tcMar>
            <w:vAlign w:val="center"/>
          </w:tcPr>
          <w:p w14:paraId="066EDE1B" w14:textId="77777777" w:rsidR="00EE2D81" w:rsidRPr="000D5722" w:rsidRDefault="00EE2D81" w:rsidP="00BC61F3">
            <w:pPr>
              <w:jc w:val="center"/>
              <w:rPr>
                <w:rFonts w:ascii="Arial" w:hAnsi="Arial" w:cs="Arial"/>
                <w:sz w:val="20"/>
                <w:szCs w:val="20"/>
                <w:lang w:val="en-US"/>
              </w:rPr>
            </w:pPr>
            <w:r w:rsidRPr="000D5722">
              <w:rPr>
                <w:rFonts w:ascii="Arial" w:hAnsi="Arial" w:cs="Arial"/>
                <w:sz w:val="20"/>
                <w:szCs w:val="20"/>
                <w:lang w:val="en-US"/>
              </w:rPr>
              <w:t>14-33</w:t>
            </w:r>
          </w:p>
        </w:tc>
        <w:tc>
          <w:tcPr>
            <w:tcW w:w="897" w:type="pct"/>
            <w:tcMar>
              <w:left w:w="0" w:type="dxa"/>
              <w:right w:w="0" w:type="dxa"/>
            </w:tcMar>
            <w:vAlign w:val="center"/>
          </w:tcPr>
          <w:p w14:paraId="664B5FAA" w14:textId="77777777" w:rsidR="00EE2D81" w:rsidRPr="000D5722" w:rsidRDefault="00EE2D81" w:rsidP="00BC61F3">
            <w:pPr>
              <w:jc w:val="center"/>
              <w:rPr>
                <w:rFonts w:ascii="Arial" w:hAnsi="Arial" w:cs="Arial"/>
                <w:sz w:val="20"/>
                <w:szCs w:val="20"/>
                <w:lang w:val="en-US"/>
              </w:rPr>
            </w:pPr>
            <w:r w:rsidRPr="000D5722">
              <w:rPr>
                <w:rFonts w:ascii="Arial" w:hAnsi="Arial" w:cs="Arial"/>
                <w:sz w:val="20"/>
                <w:szCs w:val="20"/>
                <w:lang w:val="en-US"/>
              </w:rPr>
              <w:t>&gt;20 years</w:t>
            </w:r>
          </w:p>
        </w:tc>
      </w:tr>
      <w:tr w:rsidR="00EE2D81" w:rsidRPr="000D5722" w14:paraId="1C4E1210" w14:textId="77777777" w:rsidTr="006111EA">
        <w:trPr>
          <w:trHeight w:val="631"/>
          <w:jc w:val="center"/>
        </w:trPr>
        <w:tc>
          <w:tcPr>
            <w:tcW w:w="1249" w:type="pct"/>
            <w:tcMar>
              <w:left w:w="0" w:type="dxa"/>
              <w:right w:w="0" w:type="dxa"/>
            </w:tcMar>
            <w:vAlign w:val="center"/>
          </w:tcPr>
          <w:p w14:paraId="2C96BEF8" w14:textId="77777777" w:rsidR="00EE2D81" w:rsidRPr="000D5722" w:rsidRDefault="00EE2D81" w:rsidP="00BC61F3">
            <w:pPr>
              <w:rPr>
                <w:rFonts w:ascii="Arial" w:hAnsi="Arial" w:cs="Arial"/>
                <w:sz w:val="20"/>
                <w:szCs w:val="20"/>
                <w:lang w:val="en-US"/>
              </w:rPr>
            </w:pPr>
            <w:r w:rsidRPr="000D5722">
              <w:rPr>
                <w:rFonts w:ascii="Arial" w:hAnsi="Arial" w:cs="Arial"/>
                <w:sz w:val="20"/>
                <w:szCs w:val="20"/>
                <w:lang w:val="en-US"/>
              </w:rPr>
              <w:t>Underground railways</w:t>
            </w:r>
          </w:p>
        </w:tc>
        <w:tc>
          <w:tcPr>
            <w:tcW w:w="803" w:type="pct"/>
            <w:tcMar>
              <w:left w:w="0" w:type="dxa"/>
              <w:right w:w="0" w:type="dxa"/>
            </w:tcMar>
            <w:vAlign w:val="center"/>
          </w:tcPr>
          <w:p w14:paraId="2E29055D" w14:textId="77777777" w:rsidR="00EE2D81" w:rsidRPr="000D5722" w:rsidRDefault="00EE2D81" w:rsidP="00BC61F3">
            <w:pPr>
              <w:jc w:val="center"/>
              <w:rPr>
                <w:rFonts w:ascii="Arial" w:hAnsi="Arial" w:cs="Arial"/>
                <w:sz w:val="20"/>
                <w:szCs w:val="20"/>
                <w:lang w:val="en-US"/>
              </w:rPr>
            </w:pPr>
            <w:r w:rsidRPr="000D5722">
              <w:rPr>
                <w:rFonts w:ascii="Arial" w:hAnsi="Arial" w:cs="Arial"/>
                <w:sz w:val="20"/>
                <w:szCs w:val="20"/>
                <w:lang w:val="en-US"/>
              </w:rPr>
              <w:t>H</w:t>
            </w:r>
          </w:p>
        </w:tc>
        <w:tc>
          <w:tcPr>
            <w:tcW w:w="949" w:type="pct"/>
            <w:gridSpan w:val="2"/>
            <w:tcMar>
              <w:left w:w="0" w:type="dxa"/>
              <w:right w:w="0" w:type="dxa"/>
            </w:tcMar>
            <w:vAlign w:val="center"/>
          </w:tcPr>
          <w:p w14:paraId="76BF9AE2" w14:textId="77777777" w:rsidR="00EE2D81" w:rsidRPr="000D5722" w:rsidRDefault="00EE2D81" w:rsidP="00BC61F3">
            <w:pPr>
              <w:jc w:val="center"/>
              <w:rPr>
                <w:rFonts w:ascii="Arial" w:hAnsi="Arial" w:cs="Arial"/>
                <w:sz w:val="20"/>
                <w:szCs w:val="20"/>
                <w:lang w:val="en-US"/>
              </w:rPr>
            </w:pPr>
            <w:r w:rsidRPr="000D5722">
              <w:rPr>
                <w:rFonts w:ascii="Arial" w:hAnsi="Arial" w:cs="Arial"/>
                <w:sz w:val="20"/>
                <w:szCs w:val="20"/>
                <w:lang w:val="en-US"/>
              </w:rPr>
              <w:t>0.6-1</w:t>
            </w:r>
          </w:p>
        </w:tc>
        <w:tc>
          <w:tcPr>
            <w:tcW w:w="1102" w:type="pct"/>
            <w:tcMar>
              <w:left w:w="0" w:type="dxa"/>
              <w:right w:w="0" w:type="dxa"/>
            </w:tcMar>
            <w:vAlign w:val="center"/>
          </w:tcPr>
          <w:p w14:paraId="2FA5CD58" w14:textId="77777777" w:rsidR="00EE2D81" w:rsidRPr="000D5722" w:rsidRDefault="00EE2D81" w:rsidP="00BC61F3">
            <w:pPr>
              <w:jc w:val="center"/>
              <w:rPr>
                <w:rFonts w:ascii="Arial" w:hAnsi="Arial" w:cs="Arial"/>
                <w:sz w:val="20"/>
                <w:szCs w:val="20"/>
                <w:lang w:val="en-US"/>
              </w:rPr>
            </w:pPr>
            <w:r w:rsidRPr="000D5722">
              <w:rPr>
                <w:rFonts w:ascii="Arial" w:hAnsi="Arial" w:cs="Arial"/>
                <w:sz w:val="20"/>
                <w:szCs w:val="20"/>
                <w:lang w:val="en-US"/>
              </w:rPr>
              <w:t>17-28</w:t>
            </w:r>
          </w:p>
        </w:tc>
        <w:tc>
          <w:tcPr>
            <w:tcW w:w="897" w:type="pct"/>
            <w:tcMar>
              <w:left w:w="0" w:type="dxa"/>
              <w:right w:w="0" w:type="dxa"/>
            </w:tcMar>
            <w:vAlign w:val="center"/>
          </w:tcPr>
          <w:p w14:paraId="06C38728" w14:textId="77777777" w:rsidR="00EE2D81" w:rsidRPr="000D5722" w:rsidRDefault="00EE2D81" w:rsidP="00BC61F3">
            <w:pPr>
              <w:jc w:val="center"/>
              <w:rPr>
                <w:rFonts w:ascii="Arial" w:hAnsi="Arial" w:cs="Arial"/>
                <w:sz w:val="20"/>
                <w:szCs w:val="20"/>
                <w:lang w:val="en-US"/>
              </w:rPr>
            </w:pPr>
            <w:r w:rsidRPr="000D5722">
              <w:rPr>
                <w:rFonts w:ascii="Arial" w:hAnsi="Arial" w:cs="Arial"/>
                <w:sz w:val="20"/>
                <w:szCs w:val="20"/>
                <w:lang w:val="en-US"/>
              </w:rPr>
              <w:t>Hundreds of years</w:t>
            </w:r>
          </w:p>
        </w:tc>
      </w:tr>
      <w:tr w:rsidR="00EE2D81" w:rsidRPr="000D5722" w14:paraId="1DBB8020" w14:textId="77777777" w:rsidTr="006111EA">
        <w:trPr>
          <w:trHeight w:val="390"/>
          <w:jc w:val="center"/>
        </w:trPr>
        <w:tc>
          <w:tcPr>
            <w:tcW w:w="1249" w:type="pct"/>
            <w:tcMar>
              <w:left w:w="0" w:type="dxa"/>
              <w:right w:w="0" w:type="dxa"/>
            </w:tcMar>
            <w:vAlign w:val="center"/>
          </w:tcPr>
          <w:p w14:paraId="63986BBB" w14:textId="5DC6374D" w:rsidR="00EE2D81" w:rsidRPr="000D5722" w:rsidRDefault="00EE2D81" w:rsidP="00BC61F3">
            <w:pPr>
              <w:rPr>
                <w:rFonts w:ascii="Arial" w:hAnsi="Arial" w:cs="Arial"/>
                <w:sz w:val="20"/>
                <w:szCs w:val="20"/>
                <w:lang w:val="en-US"/>
              </w:rPr>
            </w:pPr>
            <w:r w:rsidRPr="003B4E27">
              <w:rPr>
                <w:rFonts w:ascii="Arial" w:hAnsi="Arial" w:cs="Arial"/>
                <w:sz w:val="20"/>
                <w:szCs w:val="20"/>
                <w:lang w:val="en-US"/>
              </w:rPr>
              <w:t>Supermarkets</w:t>
            </w:r>
          </w:p>
        </w:tc>
        <w:tc>
          <w:tcPr>
            <w:tcW w:w="803" w:type="pct"/>
            <w:tcMar>
              <w:left w:w="0" w:type="dxa"/>
              <w:right w:w="0" w:type="dxa"/>
            </w:tcMar>
            <w:vAlign w:val="center"/>
          </w:tcPr>
          <w:p w14:paraId="6969BEEC" w14:textId="184460C3" w:rsidR="00EE2D81" w:rsidRPr="000D5722" w:rsidRDefault="00EE2D81" w:rsidP="00BC61F3">
            <w:pPr>
              <w:jc w:val="center"/>
              <w:rPr>
                <w:rFonts w:ascii="Arial" w:hAnsi="Arial" w:cs="Arial"/>
                <w:sz w:val="20"/>
                <w:szCs w:val="20"/>
                <w:lang w:val="en-US"/>
              </w:rPr>
            </w:pPr>
            <w:r>
              <w:rPr>
                <w:rFonts w:ascii="Arial" w:hAnsi="Arial" w:cs="Arial"/>
                <w:sz w:val="20"/>
                <w:szCs w:val="20"/>
                <w:lang w:val="en-US"/>
              </w:rPr>
              <w:t>H</w:t>
            </w:r>
          </w:p>
        </w:tc>
        <w:tc>
          <w:tcPr>
            <w:tcW w:w="949" w:type="pct"/>
            <w:gridSpan w:val="2"/>
            <w:tcMar>
              <w:left w:w="0" w:type="dxa"/>
              <w:right w:w="0" w:type="dxa"/>
            </w:tcMar>
            <w:vAlign w:val="center"/>
          </w:tcPr>
          <w:p w14:paraId="18CE4358" w14:textId="0344096A" w:rsidR="00EE2D81" w:rsidRPr="000D5722" w:rsidRDefault="005E6B10" w:rsidP="00BC61F3">
            <w:pPr>
              <w:jc w:val="center"/>
              <w:rPr>
                <w:rFonts w:ascii="Arial" w:hAnsi="Arial" w:cs="Arial"/>
                <w:sz w:val="20"/>
                <w:szCs w:val="20"/>
                <w:lang w:val="en-US"/>
              </w:rPr>
            </w:pPr>
            <w:r>
              <w:rPr>
                <w:rFonts w:ascii="Arial" w:hAnsi="Arial" w:cs="Arial"/>
                <w:sz w:val="20"/>
                <w:szCs w:val="20"/>
                <w:lang w:val="en-US"/>
              </w:rPr>
              <w:t>0.5-1</w:t>
            </w:r>
          </w:p>
        </w:tc>
        <w:tc>
          <w:tcPr>
            <w:tcW w:w="1102" w:type="pct"/>
            <w:tcMar>
              <w:left w:w="0" w:type="dxa"/>
              <w:right w:w="0" w:type="dxa"/>
            </w:tcMar>
            <w:vAlign w:val="center"/>
          </w:tcPr>
          <w:p w14:paraId="3BFA581E" w14:textId="36245751" w:rsidR="00EE2D81" w:rsidRPr="000D5722" w:rsidRDefault="005E6B10" w:rsidP="00BC61F3">
            <w:pPr>
              <w:jc w:val="center"/>
              <w:rPr>
                <w:rFonts w:ascii="Arial" w:hAnsi="Arial" w:cs="Arial"/>
                <w:sz w:val="20"/>
                <w:szCs w:val="20"/>
                <w:lang w:val="en-US"/>
              </w:rPr>
            </w:pPr>
            <w:r>
              <w:rPr>
                <w:rFonts w:ascii="Arial" w:hAnsi="Arial" w:cs="Arial"/>
                <w:sz w:val="20"/>
                <w:szCs w:val="20"/>
                <w:lang w:val="en-US"/>
              </w:rPr>
              <w:t>32</w:t>
            </w:r>
          </w:p>
        </w:tc>
        <w:tc>
          <w:tcPr>
            <w:tcW w:w="897" w:type="pct"/>
            <w:tcMar>
              <w:left w:w="0" w:type="dxa"/>
              <w:right w:w="0" w:type="dxa"/>
            </w:tcMar>
            <w:vAlign w:val="center"/>
          </w:tcPr>
          <w:p w14:paraId="0E1345E0" w14:textId="799662D6" w:rsidR="00EE2D81" w:rsidRPr="000D5722" w:rsidRDefault="005E6B10" w:rsidP="00BC61F3">
            <w:pPr>
              <w:jc w:val="center"/>
              <w:rPr>
                <w:rFonts w:ascii="Arial" w:hAnsi="Arial" w:cs="Arial"/>
                <w:sz w:val="20"/>
                <w:szCs w:val="20"/>
                <w:lang w:val="en-US"/>
              </w:rPr>
            </w:pPr>
            <w:r>
              <w:rPr>
                <w:rFonts w:ascii="Arial" w:hAnsi="Arial" w:cs="Arial"/>
                <w:sz w:val="20"/>
                <w:szCs w:val="20"/>
                <w:lang w:val="en-US"/>
              </w:rPr>
              <w:t>Likely to be &gt;10 years</w:t>
            </w:r>
          </w:p>
        </w:tc>
      </w:tr>
      <w:tr w:rsidR="00EE2D81" w:rsidRPr="000D5722" w14:paraId="0C1E96E6" w14:textId="77777777" w:rsidTr="006111EA">
        <w:trPr>
          <w:trHeight w:val="631"/>
          <w:jc w:val="center"/>
        </w:trPr>
        <w:tc>
          <w:tcPr>
            <w:tcW w:w="1249" w:type="pct"/>
            <w:tcMar>
              <w:left w:w="0" w:type="dxa"/>
              <w:right w:w="0" w:type="dxa"/>
            </w:tcMar>
            <w:vAlign w:val="center"/>
          </w:tcPr>
          <w:p w14:paraId="7A17AD66" w14:textId="77777777" w:rsidR="00EE2D81" w:rsidRPr="000D5722" w:rsidRDefault="00EE2D81" w:rsidP="00BC61F3">
            <w:pPr>
              <w:rPr>
                <w:rFonts w:ascii="Arial" w:hAnsi="Arial" w:cs="Arial"/>
                <w:sz w:val="20"/>
                <w:szCs w:val="20"/>
                <w:lang w:val="en-US"/>
              </w:rPr>
            </w:pPr>
            <w:r w:rsidRPr="000D5722">
              <w:rPr>
                <w:rFonts w:ascii="Arial" w:hAnsi="Arial" w:cs="Arial"/>
                <w:sz w:val="20"/>
                <w:szCs w:val="20"/>
                <w:lang w:val="en-US"/>
              </w:rPr>
              <w:t>Data centers</w:t>
            </w:r>
          </w:p>
        </w:tc>
        <w:tc>
          <w:tcPr>
            <w:tcW w:w="803" w:type="pct"/>
            <w:tcMar>
              <w:left w:w="0" w:type="dxa"/>
              <w:right w:w="0" w:type="dxa"/>
            </w:tcMar>
            <w:vAlign w:val="center"/>
          </w:tcPr>
          <w:p w14:paraId="79642E18" w14:textId="77777777" w:rsidR="00EE2D81" w:rsidRPr="000D5722" w:rsidRDefault="00EE2D81" w:rsidP="00BC61F3">
            <w:pPr>
              <w:jc w:val="center"/>
              <w:rPr>
                <w:rFonts w:ascii="Arial" w:hAnsi="Arial" w:cs="Arial"/>
                <w:sz w:val="20"/>
                <w:szCs w:val="20"/>
                <w:lang w:val="en-US"/>
              </w:rPr>
            </w:pPr>
            <w:r w:rsidRPr="000D5722">
              <w:rPr>
                <w:rFonts w:ascii="Arial" w:hAnsi="Arial" w:cs="Arial"/>
                <w:sz w:val="20"/>
                <w:szCs w:val="20"/>
                <w:lang w:val="en-US"/>
              </w:rPr>
              <w:t>H</w:t>
            </w:r>
          </w:p>
        </w:tc>
        <w:tc>
          <w:tcPr>
            <w:tcW w:w="949" w:type="pct"/>
            <w:gridSpan w:val="2"/>
            <w:tcMar>
              <w:left w:w="0" w:type="dxa"/>
              <w:right w:w="0" w:type="dxa"/>
            </w:tcMar>
            <w:vAlign w:val="center"/>
          </w:tcPr>
          <w:p w14:paraId="13493B4B" w14:textId="77777777" w:rsidR="00EE2D81" w:rsidRPr="000D5722" w:rsidRDefault="00EE2D81" w:rsidP="00BC61F3">
            <w:pPr>
              <w:jc w:val="center"/>
              <w:rPr>
                <w:rFonts w:ascii="Arial" w:hAnsi="Arial" w:cs="Arial"/>
                <w:sz w:val="20"/>
                <w:szCs w:val="20"/>
                <w:lang w:val="en-US"/>
              </w:rPr>
            </w:pPr>
            <w:r w:rsidRPr="000D5722">
              <w:rPr>
                <w:rFonts w:ascii="Arial" w:hAnsi="Arial" w:cs="Arial"/>
                <w:sz w:val="20"/>
                <w:szCs w:val="20"/>
                <w:lang w:val="en-US"/>
              </w:rPr>
              <w:t>1-4</w:t>
            </w:r>
          </w:p>
        </w:tc>
        <w:tc>
          <w:tcPr>
            <w:tcW w:w="1102" w:type="pct"/>
            <w:tcMar>
              <w:left w:w="0" w:type="dxa"/>
              <w:right w:w="0" w:type="dxa"/>
            </w:tcMar>
            <w:vAlign w:val="center"/>
          </w:tcPr>
          <w:p w14:paraId="7B74675C" w14:textId="77777777" w:rsidR="00EE2D81" w:rsidRPr="000D5722" w:rsidRDefault="00EE2D81" w:rsidP="00BC61F3">
            <w:pPr>
              <w:jc w:val="center"/>
              <w:rPr>
                <w:rFonts w:ascii="Arial" w:hAnsi="Arial" w:cs="Arial"/>
                <w:sz w:val="20"/>
                <w:szCs w:val="20"/>
                <w:lang w:val="en-US"/>
              </w:rPr>
            </w:pPr>
            <w:r w:rsidRPr="000D5722">
              <w:rPr>
                <w:rFonts w:ascii="Arial" w:hAnsi="Arial" w:cs="Arial"/>
                <w:sz w:val="20"/>
                <w:szCs w:val="20"/>
                <w:lang w:val="en-US"/>
              </w:rPr>
              <w:t>25-35</w:t>
            </w:r>
          </w:p>
        </w:tc>
        <w:tc>
          <w:tcPr>
            <w:tcW w:w="897" w:type="pct"/>
            <w:tcMar>
              <w:left w:w="0" w:type="dxa"/>
              <w:right w:w="0" w:type="dxa"/>
            </w:tcMar>
            <w:vAlign w:val="center"/>
          </w:tcPr>
          <w:p w14:paraId="3BAE40B0" w14:textId="77777777" w:rsidR="00EE2D81" w:rsidRPr="000D5722" w:rsidRDefault="00EE2D81" w:rsidP="00BC61F3">
            <w:pPr>
              <w:jc w:val="center"/>
              <w:rPr>
                <w:rFonts w:ascii="Arial" w:hAnsi="Arial" w:cs="Arial"/>
                <w:sz w:val="20"/>
                <w:szCs w:val="20"/>
                <w:lang w:val="en-US"/>
              </w:rPr>
            </w:pPr>
            <w:r w:rsidRPr="000D5722">
              <w:rPr>
                <w:rFonts w:ascii="Arial" w:hAnsi="Arial" w:cs="Arial"/>
                <w:sz w:val="20"/>
                <w:szCs w:val="20"/>
                <w:lang w:val="en-US"/>
              </w:rPr>
              <w:t>Likely to be &gt;20 years</w:t>
            </w:r>
          </w:p>
        </w:tc>
      </w:tr>
    </w:tbl>
    <w:p w14:paraId="0C8FB360" w14:textId="77777777" w:rsidR="00103AC8" w:rsidRPr="00103AC8" w:rsidRDefault="00EB436E" w:rsidP="00103AC8">
      <w:pPr>
        <w:jc w:val="both"/>
        <w:rPr>
          <w:rFonts w:ascii="Arial" w:hAnsi="Arial" w:cs="Arial"/>
          <w:sz w:val="18"/>
          <w:szCs w:val="18"/>
        </w:rPr>
      </w:pPr>
      <w:r w:rsidRPr="00EB436E">
        <w:rPr>
          <w:rFonts w:ascii="Arial" w:hAnsi="Arial" w:cs="Arial"/>
          <w:sz w:val="18"/>
          <w:szCs w:val="18"/>
        </w:rPr>
        <w:t>H: Heating, C: Cooling</w:t>
      </w:r>
    </w:p>
    <w:p w14:paraId="686A4F69" w14:textId="24CFCC32" w:rsidR="00A93D15" w:rsidRPr="003B4E27" w:rsidRDefault="00103AC8" w:rsidP="00103AC8">
      <w:pPr>
        <w:jc w:val="both"/>
        <w:rPr>
          <w:rFonts w:ascii="Arial" w:hAnsi="Arial" w:cs="Arial"/>
        </w:rPr>
      </w:pPr>
      <w:r w:rsidRPr="00103AC8">
        <w:rPr>
          <w:rFonts w:ascii="Arial" w:hAnsi="Arial" w:cs="Arial"/>
        </w:rPr>
        <w:t xml:space="preserve">In a similar manner, the generic potential for a range of </w:t>
      </w:r>
      <w:r>
        <w:rPr>
          <w:rFonts w:ascii="Arial" w:hAnsi="Arial" w:cs="Arial"/>
        </w:rPr>
        <w:t xml:space="preserve">low carbon </w:t>
      </w:r>
      <w:r w:rsidRPr="00103AC8">
        <w:rPr>
          <w:rFonts w:ascii="Arial" w:hAnsi="Arial" w:cs="Arial"/>
        </w:rPr>
        <w:t xml:space="preserve">technologies in the study area </w:t>
      </w:r>
      <w:r>
        <w:rPr>
          <w:rFonts w:ascii="Arial" w:hAnsi="Arial" w:cs="Arial"/>
        </w:rPr>
        <w:t xml:space="preserve">were </w:t>
      </w:r>
      <w:r w:rsidRPr="00103AC8">
        <w:rPr>
          <w:rFonts w:ascii="Arial" w:hAnsi="Arial" w:cs="Arial"/>
        </w:rPr>
        <w:t xml:space="preserve">considered </w:t>
      </w:r>
      <w:r>
        <w:rPr>
          <w:rFonts w:ascii="Arial" w:hAnsi="Arial" w:cs="Arial"/>
        </w:rPr>
        <w:t>based on comparing their strengths and weaknesses in LBI</w:t>
      </w:r>
      <w:r w:rsidRPr="00103AC8">
        <w:rPr>
          <w:rFonts w:ascii="Arial" w:hAnsi="Arial" w:cs="Arial"/>
        </w:rPr>
        <w:t xml:space="preserve">. </w:t>
      </w:r>
      <w:r w:rsidR="00EE2D81">
        <w:rPr>
          <w:rFonts w:ascii="Arial" w:hAnsi="Arial" w:cs="Arial"/>
        </w:rPr>
        <w:t xml:space="preserve">A range </w:t>
      </w:r>
      <w:r w:rsidR="005E6B10">
        <w:rPr>
          <w:rFonts w:ascii="Arial" w:hAnsi="Arial" w:cs="Arial"/>
        </w:rPr>
        <w:t xml:space="preserve">of </w:t>
      </w:r>
      <w:r w:rsidR="005E6B10" w:rsidRPr="00103AC8">
        <w:rPr>
          <w:rFonts w:ascii="Arial" w:hAnsi="Arial" w:cs="Arial"/>
        </w:rPr>
        <w:t>low</w:t>
      </w:r>
      <w:r w:rsidRPr="00103AC8">
        <w:rPr>
          <w:rFonts w:ascii="Arial" w:hAnsi="Arial" w:cs="Arial"/>
        </w:rPr>
        <w:t xml:space="preserve"> carbon </w:t>
      </w:r>
      <w:r>
        <w:rPr>
          <w:rFonts w:ascii="Arial" w:hAnsi="Arial" w:cs="Arial"/>
        </w:rPr>
        <w:t>technologies</w:t>
      </w:r>
      <w:r w:rsidR="00EE2D81">
        <w:rPr>
          <w:rFonts w:ascii="Arial" w:hAnsi="Arial" w:cs="Arial"/>
        </w:rPr>
        <w:t xml:space="preserve"> have been</w:t>
      </w:r>
      <w:r w:rsidRPr="00103AC8">
        <w:rPr>
          <w:rFonts w:ascii="Arial" w:hAnsi="Arial" w:cs="Arial"/>
        </w:rPr>
        <w:t xml:space="preserve"> considered and each of these were evaluated against </w:t>
      </w:r>
      <w:r>
        <w:rPr>
          <w:rFonts w:ascii="Arial" w:hAnsi="Arial" w:cs="Arial"/>
        </w:rPr>
        <w:t xml:space="preserve">their </w:t>
      </w:r>
      <w:r w:rsidR="0059008F">
        <w:rPr>
          <w:rFonts w:ascii="Arial" w:hAnsi="Arial" w:cs="Arial"/>
        </w:rPr>
        <w:t>strengths and weaknesses</w:t>
      </w:r>
      <w:r>
        <w:rPr>
          <w:rFonts w:ascii="Arial" w:hAnsi="Arial" w:cs="Arial"/>
        </w:rPr>
        <w:t xml:space="preserve"> in LBI</w:t>
      </w:r>
      <w:r w:rsidRPr="00103AC8">
        <w:rPr>
          <w:rFonts w:ascii="Arial" w:hAnsi="Arial" w:cs="Arial"/>
        </w:rPr>
        <w:t>.</w:t>
      </w:r>
      <w:r w:rsidR="0059008F">
        <w:rPr>
          <w:rFonts w:ascii="Arial" w:hAnsi="Arial" w:cs="Arial"/>
        </w:rPr>
        <w:t xml:space="preserve"> The technologies which were taken forward for the concept design are heat pumps, solar PV, batteries and EV</w:t>
      </w:r>
      <w:r w:rsidR="006A5767">
        <w:rPr>
          <w:rFonts w:ascii="Arial" w:hAnsi="Arial" w:cs="Arial"/>
        </w:rPr>
        <w:t xml:space="preserve">s </w:t>
      </w:r>
      <w:r w:rsidR="0059008F">
        <w:rPr>
          <w:rFonts w:ascii="Arial" w:hAnsi="Arial" w:cs="Arial"/>
        </w:rPr>
        <w:t>with vehicle to grid (V2G).</w:t>
      </w:r>
      <w:r w:rsidR="005D3687">
        <w:rPr>
          <w:rFonts w:ascii="Arial" w:hAnsi="Arial" w:cs="Arial"/>
        </w:rPr>
        <w:t xml:space="preserve"> </w:t>
      </w:r>
      <w:r w:rsidR="005D3687" w:rsidRPr="003B4E27">
        <w:rPr>
          <w:rFonts w:ascii="Arial" w:hAnsi="Arial" w:cs="Arial"/>
        </w:rPr>
        <w:t>The overall co</w:t>
      </w:r>
      <w:r w:rsidR="00EE2D81" w:rsidRPr="003B4E27">
        <w:rPr>
          <w:rFonts w:ascii="Arial" w:hAnsi="Arial" w:cs="Arial"/>
        </w:rPr>
        <w:t xml:space="preserve">ncept for the </w:t>
      </w:r>
      <w:r w:rsidR="005E6B10" w:rsidRPr="003B4E27">
        <w:rPr>
          <w:rFonts w:ascii="Arial" w:hAnsi="Arial" w:cs="Arial"/>
        </w:rPr>
        <w:t xml:space="preserve">proposed GreenSCIES </w:t>
      </w:r>
      <w:r w:rsidR="00EE2D81" w:rsidRPr="003B4E27">
        <w:rPr>
          <w:rFonts w:ascii="Arial" w:hAnsi="Arial" w:cs="Arial"/>
        </w:rPr>
        <w:t>scheme</w:t>
      </w:r>
      <w:r w:rsidR="005E6B10" w:rsidRPr="003B4E27">
        <w:rPr>
          <w:rFonts w:ascii="Arial" w:hAnsi="Arial" w:cs="Arial"/>
        </w:rPr>
        <w:t xml:space="preserve">s </w:t>
      </w:r>
      <w:r w:rsidR="00A93D15" w:rsidRPr="003B4E27">
        <w:rPr>
          <w:rFonts w:ascii="Arial" w:hAnsi="Arial" w:cs="Arial"/>
        </w:rPr>
        <w:t>(</w:t>
      </w:r>
      <w:r w:rsidR="00EE2D81" w:rsidRPr="003B4E27">
        <w:rPr>
          <w:rFonts w:ascii="Arial" w:hAnsi="Arial" w:cs="Arial"/>
        </w:rPr>
        <w:t xml:space="preserve">including secondary and renewable sources reviewed and </w:t>
      </w:r>
      <w:r w:rsidR="005E6B10" w:rsidRPr="003B4E27">
        <w:rPr>
          <w:rFonts w:ascii="Arial" w:hAnsi="Arial" w:cs="Arial"/>
        </w:rPr>
        <w:t xml:space="preserve">key </w:t>
      </w:r>
      <w:r w:rsidR="00EE2D81" w:rsidRPr="003B4E27">
        <w:rPr>
          <w:rFonts w:ascii="Arial" w:hAnsi="Arial" w:cs="Arial"/>
        </w:rPr>
        <w:t>technologies selected to take forward</w:t>
      </w:r>
      <w:r w:rsidR="00A93D15" w:rsidRPr="003B4E27">
        <w:rPr>
          <w:rFonts w:ascii="Arial" w:hAnsi="Arial" w:cs="Arial"/>
        </w:rPr>
        <w:t>)</w:t>
      </w:r>
      <w:r w:rsidR="00EE2D81" w:rsidRPr="003B4E27">
        <w:rPr>
          <w:rFonts w:ascii="Arial" w:hAnsi="Arial" w:cs="Arial"/>
        </w:rPr>
        <w:t xml:space="preserve"> are illustrated in Figure 2. </w:t>
      </w:r>
      <w:r w:rsidR="00A93D15" w:rsidRPr="003B4E27">
        <w:rPr>
          <w:rFonts w:ascii="Arial" w:hAnsi="Arial" w:cs="Arial"/>
        </w:rPr>
        <w:t>It is to</w:t>
      </w:r>
      <w:r w:rsidR="00EE2D81" w:rsidRPr="003B4E27">
        <w:rPr>
          <w:rFonts w:ascii="Arial" w:hAnsi="Arial" w:cs="Arial"/>
        </w:rPr>
        <w:t xml:space="preserve"> be noted that only underground railways</w:t>
      </w:r>
      <w:r w:rsidR="005E6B10" w:rsidRPr="003B4E27">
        <w:rPr>
          <w:rFonts w:ascii="Arial" w:hAnsi="Arial" w:cs="Arial"/>
        </w:rPr>
        <w:t xml:space="preserve"> and</w:t>
      </w:r>
      <w:r w:rsidR="00EE2D81" w:rsidRPr="003B4E27">
        <w:rPr>
          <w:rFonts w:ascii="Arial" w:hAnsi="Arial" w:cs="Arial"/>
        </w:rPr>
        <w:t xml:space="preserve"> data centres</w:t>
      </w:r>
      <w:r w:rsidR="00F9434C" w:rsidRPr="003B4E27">
        <w:rPr>
          <w:rFonts w:ascii="Arial" w:hAnsi="Arial" w:cs="Arial"/>
        </w:rPr>
        <w:t xml:space="preserve"> </w:t>
      </w:r>
      <w:r w:rsidR="00A93D15" w:rsidRPr="003B4E27">
        <w:rPr>
          <w:rFonts w:ascii="Arial" w:hAnsi="Arial" w:cs="Arial"/>
        </w:rPr>
        <w:t xml:space="preserve">as low carbon energy sources </w:t>
      </w:r>
      <w:r w:rsidR="00A93D15" w:rsidRPr="003B4E27">
        <w:rPr>
          <w:rFonts w:ascii="Arial" w:hAnsi="Arial" w:cs="Arial"/>
        </w:rPr>
        <w:lastRenderedPageBreak/>
        <w:t xml:space="preserve">for the 5G network </w:t>
      </w:r>
      <w:r w:rsidR="00F9434C" w:rsidRPr="003B4E27">
        <w:rPr>
          <w:rFonts w:ascii="Arial" w:hAnsi="Arial" w:cs="Arial"/>
        </w:rPr>
        <w:t xml:space="preserve">have been taken forward </w:t>
      </w:r>
      <w:r w:rsidR="005E6B10" w:rsidRPr="003B4E27">
        <w:rPr>
          <w:rFonts w:ascii="Arial" w:hAnsi="Arial" w:cs="Arial"/>
        </w:rPr>
        <w:t>at this conceptual design stage of the schemes.  It is pro</w:t>
      </w:r>
      <w:r w:rsidR="00A93D15" w:rsidRPr="003B4E27">
        <w:rPr>
          <w:rFonts w:ascii="Arial" w:hAnsi="Arial" w:cs="Arial"/>
        </w:rPr>
        <w:t>po</w:t>
      </w:r>
      <w:r w:rsidR="005E6B10" w:rsidRPr="003B4E27">
        <w:rPr>
          <w:rFonts w:ascii="Arial" w:hAnsi="Arial" w:cs="Arial"/>
        </w:rPr>
        <w:t xml:space="preserve">sed </w:t>
      </w:r>
      <w:r w:rsidR="00A93D15" w:rsidRPr="003B4E27">
        <w:rPr>
          <w:rFonts w:ascii="Arial" w:hAnsi="Arial" w:cs="Arial"/>
        </w:rPr>
        <w:t xml:space="preserve">that </w:t>
      </w:r>
      <w:r w:rsidR="005E6B10" w:rsidRPr="003B4E27">
        <w:rPr>
          <w:rFonts w:ascii="Arial" w:hAnsi="Arial" w:cs="Arial"/>
        </w:rPr>
        <w:t xml:space="preserve">other resources and technologies </w:t>
      </w:r>
      <w:r w:rsidR="00A93D15" w:rsidRPr="003B4E27">
        <w:rPr>
          <w:rFonts w:ascii="Arial" w:hAnsi="Arial" w:cs="Arial"/>
        </w:rPr>
        <w:t xml:space="preserve">will be revisited </w:t>
      </w:r>
      <w:r w:rsidR="005E6B10" w:rsidRPr="003B4E27">
        <w:rPr>
          <w:rFonts w:ascii="Arial" w:hAnsi="Arial" w:cs="Arial"/>
        </w:rPr>
        <w:t>at the detailed design phase of the project.</w:t>
      </w:r>
    </w:p>
    <w:p w14:paraId="0C315FC4" w14:textId="77777777" w:rsidR="00EE2D81" w:rsidRDefault="00EE2D81" w:rsidP="006111EA">
      <w:pPr>
        <w:keepNext/>
        <w:jc w:val="center"/>
      </w:pPr>
      <w:r>
        <w:rPr>
          <w:rFonts w:ascii="Arial" w:hAnsi="Arial" w:cs="Arial"/>
          <w:noProof/>
          <w:lang w:eastAsia="en-GB"/>
        </w:rPr>
        <w:drawing>
          <wp:inline distT="0" distB="0" distL="0" distR="0" wp14:anchorId="25F512EE" wp14:editId="7AFAB7AB">
            <wp:extent cx="4574359" cy="27522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12540" cy="2775241"/>
                    </a:xfrm>
                    <a:prstGeom prst="rect">
                      <a:avLst/>
                    </a:prstGeom>
                    <a:noFill/>
                  </pic:spPr>
                </pic:pic>
              </a:graphicData>
            </a:graphic>
          </wp:inline>
        </w:drawing>
      </w:r>
    </w:p>
    <w:p w14:paraId="79584110" w14:textId="796CB13E" w:rsidR="000D5722" w:rsidRPr="006111EA" w:rsidRDefault="00EE2D81" w:rsidP="006111EA">
      <w:pPr>
        <w:pStyle w:val="Caption"/>
        <w:jc w:val="center"/>
        <w:rPr>
          <w:rFonts w:ascii="Arial" w:hAnsi="Arial" w:cs="Arial"/>
          <w:b/>
        </w:rPr>
      </w:pPr>
      <w:r w:rsidRPr="006111EA">
        <w:rPr>
          <w:rFonts w:ascii="Arial" w:hAnsi="Arial" w:cs="Arial"/>
          <w:b/>
        </w:rPr>
        <w:t xml:space="preserve">Figure </w:t>
      </w:r>
      <w:r w:rsidRPr="006111EA">
        <w:rPr>
          <w:rFonts w:ascii="Arial" w:hAnsi="Arial" w:cs="Arial"/>
          <w:b/>
        </w:rPr>
        <w:fldChar w:fldCharType="begin"/>
      </w:r>
      <w:r w:rsidRPr="006111EA">
        <w:rPr>
          <w:rFonts w:ascii="Arial" w:hAnsi="Arial" w:cs="Arial"/>
          <w:b/>
        </w:rPr>
        <w:instrText xml:space="preserve"> SEQ Figure \* ARABIC </w:instrText>
      </w:r>
      <w:r w:rsidRPr="006111EA">
        <w:rPr>
          <w:rFonts w:ascii="Arial" w:hAnsi="Arial" w:cs="Arial"/>
          <w:b/>
        </w:rPr>
        <w:fldChar w:fldCharType="separate"/>
      </w:r>
      <w:r w:rsidR="00AC5417">
        <w:rPr>
          <w:rFonts w:ascii="Arial" w:hAnsi="Arial" w:cs="Arial"/>
          <w:b/>
          <w:noProof/>
        </w:rPr>
        <w:t>2</w:t>
      </w:r>
      <w:r w:rsidRPr="006111EA">
        <w:rPr>
          <w:rFonts w:ascii="Arial" w:hAnsi="Arial" w:cs="Arial"/>
          <w:b/>
        </w:rPr>
        <w:fldChar w:fldCharType="end"/>
      </w:r>
      <w:r w:rsidRPr="006111EA">
        <w:rPr>
          <w:rFonts w:ascii="Arial" w:hAnsi="Arial" w:cs="Arial"/>
          <w:b/>
        </w:rPr>
        <w:t xml:space="preserve"> GreenSCIES Smart Local Energy System Concept for</w:t>
      </w:r>
      <w:r>
        <w:rPr>
          <w:rFonts w:ascii="Arial" w:hAnsi="Arial" w:cs="Arial"/>
          <w:b/>
        </w:rPr>
        <w:t xml:space="preserve"> the </w:t>
      </w:r>
      <w:r w:rsidRPr="006111EA">
        <w:rPr>
          <w:rFonts w:ascii="Arial" w:hAnsi="Arial" w:cs="Arial"/>
          <w:b/>
        </w:rPr>
        <w:t>London Borough of Islington</w:t>
      </w:r>
    </w:p>
    <w:p w14:paraId="5E146864" w14:textId="5D6D86FA" w:rsidR="005503C6" w:rsidRDefault="005503C6" w:rsidP="005503C6">
      <w:pPr>
        <w:jc w:val="both"/>
        <w:rPr>
          <w:rFonts w:ascii="Arial" w:hAnsi="Arial" w:cs="Arial"/>
          <w:i/>
        </w:rPr>
      </w:pPr>
      <w:r w:rsidRPr="005503C6">
        <w:rPr>
          <w:rFonts w:ascii="Arial" w:hAnsi="Arial" w:cs="Arial"/>
          <w:i/>
        </w:rPr>
        <w:t>2.2.3</w:t>
      </w:r>
      <w:r>
        <w:rPr>
          <w:rFonts w:ascii="Arial" w:hAnsi="Arial" w:cs="Arial"/>
          <w:i/>
        </w:rPr>
        <w:t xml:space="preserve"> Flexibility and smart control</w:t>
      </w:r>
      <w:r w:rsidR="002C3450">
        <w:rPr>
          <w:rFonts w:ascii="Arial" w:hAnsi="Arial" w:cs="Arial"/>
          <w:i/>
        </w:rPr>
        <w:t xml:space="preserve"> strategy considerations </w:t>
      </w:r>
      <w:r w:rsidR="00D55015">
        <w:rPr>
          <w:rFonts w:ascii="Arial" w:hAnsi="Arial" w:cs="Arial"/>
          <w:i/>
        </w:rPr>
        <w:t>in the GreenSCIES concept</w:t>
      </w:r>
    </w:p>
    <w:p w14:paraId="5CD6924B" w14:textId="2BD66337" w:rsidR="0060271B" w:rsidRDefault="00DC5BB5" w:rsidP="00DC5BB5">
      <w:pPr>
        <w:jc w:val="both"/>
        <w:rPr>
          <w:rFonts w:ascii="Arial" w:hAnsi="Arial" w:cs="Arial"/>
        </w:rPr>
      </w:pPr>
      <w:r w:rsidRPr="00DC5BB5">
        <w:rPr>
          <w:rFonts w:ascii="Arial" w:hAnsi="Arial" w:cs="Arial"/>
        </w:rPr>
        <w:t xml:space="preserve">The control and dispatch of equipment in and connected to the network is an important part of realising the economic and environmental benefits of the technology. Unique constraints that must be considered for </w:t>
      </w:r>
      <w:r>
        <w:rPr>
          <w:rFonts w:ascii="Arial" w:hAnsi="Arial" w:cs="Arial"/>
        </w:rPr>
        <w:t xml:space="preserve">the ambient </w:t>
      </w:r>
      <w:r w:rsidRPr="00DC5BB5">
        <w:rPr>
          <w:rFonts w:ascii="Arial" w:hAnsi="Arial" w:cs="Arial"/>
        </w:rPr>
        <w:t xml:space="preserve">temperature </w:t>
      </w:r>
      <w:r>
        <w:rPr>
          <w:rFonts w:ascii="Arial" w:hAnsi="Arial" w:cs="Arial"/>
        </w:rPr>
        <w:t>energy</w:t>
      </w:r>
      <w:r w:rsidRPr="00DC5BB5">
        <w:rPr>
          <w:rFonts w:ascii="Arial" w:hAnsi="Arial" w:cs="Arial"/>
        </w:rPr>
        <w:t xml:space="preserve"> networks are the volume of thermal energy that can feasibly be drawn out and put into the network. These constraints exist for the heating and cooling transactions between heat pumps and the network. In </w:t>
      </w:r>
      <w:r w:rsidR="00F0722B" w:rsidRPr="00DC5BB5">
        <w:rPr>
          <w:rFonts w:ascii="Arial" w:hAnsi="Arial" w:cs="Arial"/>
        </w:rPr>
        <w:t>addition,</w:t>
      </w:r>
      <w:r w:rsidRPr="00DC5BB5">
        <w:rPr>
          <w:rFonts w:ascii="Arial" w:hAnsi="Arial" w:cs="Arial"/>
        </w:rPr>
        <w:t xml:space="preserve"> there are constraints associated with the consumption and generation of electricity, these </w:t>
      </w:r>
      <w:r w:rsidR="00697D0C">
        <w:rPr>
          <w:rFonts w:ascii="Arial" w:hAnsi="Arial" w:cs="Arial"/>
        </w:rPr>
        <w:t>are n</w:t>
      </w:r>
      <w:r w:rsidR="00746E7A">
        <w:rPr>
          <w:rFonts w:ascii="Arial" w:hAnsi="Arial" w:cs="Arial"/>
        </w:rPr>
        <w:t>ormally</w:t>
      </w:r>
      <w:r w:rsidR="00697D0C">
        <w:rPr>
          <w:rFonts w:ascii="Arial" w:hAnsi="Arial" w:cs="Arial"/>
        </w:rPr>
        <w:t xml:space="preserve"> classified as electrical</w:t>
      </w:r>
      <w:r w:rsidRPr="00DC5BB5">
        <w:rPr>
          <w:rFonts w:ascii="Arial" w:hAnsi="Arial" w:cs="Arial"/>
        </w:rPr>
        <w:t xml:space="preserve"> constraints wh</w:t>
      </w:r>
      <w:r w:rsidR="00F0722B">
        <w:rPr>
          <w:rFonts w:ascii="Arial" w:hAnsi="Arial" w:cs="Arial"/>
        </w:rPr>
        <w:t>ich relate to the power througho</w:t>
      </w:r>
      <w:r w:rsidRPr="00DC5BB5">
        <w:rPr>
          <w:rFonts w:ascii="Arial" w:hAnsi="Arial" w:cs="Arial"/>
        </w:rPr>
        <w:t>ut of a transformer and voltage constraints which relates to voltage limit exceedance within the local network. Thermal and voltage constraints, as well as fault level constraints which are not part of this work, are managed by local power distribution companies using a variety of management approaches all of which incentivise or require loads and generators to be constrained in their operation in some way.  The introduction of heat pumps and electric vehicle</w:t>
      </w:r>
      <w:r w:rsidR="00746E7A">
        <w:rPr>
          <w:rFonts w:ascii="Arial" w:hAnsi="Arial" w:cs="Arial"/>
        </w:rPr>
        <w:t xml:space="preserve"> (EV)</w:t>
      </w:r>
      <w:r w:rsidRPr="00DC5BB5">
        <w:rPr>
          <w:rFonts w:ascii="Arial" w:hAnsi="Arial" w:cs="Arial"/>
        </w:rPr>
        <w:t xml:space="preserve"> charging introduces a complex and large time dependent load to the local power network.</w:t>
      </w:r>
    </w:p>
    <w:p w14:paraId="1A15B32D" w14:textId="2DEF5E66" w:rsidR="00F0722B" w:rsidRDefault="00F0722B" w:rsidP="00F0722B">
      <w:pPr>
        <w:jc w:val="both"/>
        <w:rPr>
          <w:rFonts w:ascii="Arial" w:hAnsi="Arial" w:cs="Arial"/>
        </w:rPr>
      </w:pPr>
      <w:r w:rsidRPr="00F0722B">
        <w:rPr>
          <w:rFonts w:ascii="Arial" w:hAnsi="Arial" w:cs="Arial"/>
        </w:rPr>
        <w:t xml:space="preserve">The conventional approach to solving micro-grid or </w:t>
      </w:r>
      <w:r w:rsidR="00746E7A">
        <w:rPr>
          <w:rFonts w:ascii="Arial" w:hAnsi="Arial" w:cs="Arial"/>
        </w:rPr>
        <w:t xml:space="preserve">local </w:t>
      </w:r>
      <w:r w:rsidRPr="00F0722B">
        <w:rPr>
          <w:rFonts w:ascii="Arial" w:hAnsi="Arial" w:cs="Arial"/>
        </w:rPr>
        <w:t xml:space="preserve">neighbourhood time </w:t>
      </w:r>
      <w:r w:rsidR="00746E7A">
        <w:rPr>
          <w:rFonts w:ascii="Arial" w:hAnsi="Arial" w:cs="Arial"/>
        </w:rPr>
        <w:t xml:space="preserve">varying i.e. </w:t>
      </w:r>
      <w:r w:rsidRPr="00F0722B">
        <w:rPr>
          <w:rFonts w:ascii="Arial" w:hAnsi="Arial" w:cs="Arial"/>
        </w:rPr>
        <w:t>dynamic</w:t>
      </w:r>
      <w:r w:rsidR="00746E7A">
        <w:rPr>
          <w:rFonts w:ascii="Arial" w:hAnsi="Arial" w:cs="Arial"/>
        </w:rPr>
        <w:t>,</w:t>
      </w:r>
      <w:r w:rsidRPr="00F0722B">
        <w:rPr>
          <w:rFonts w:ascii="Arial" w:hAnsi="Arial" w:cs="Arial"/>
        </w:rPr>
        <w:t xml:space="preserve"> energy problems is to use a centralised controller which attempts to find a good solution that meets all constraints and provides the maximum amount of utility to users of the energy system. This has the advantage of being a reliable and centralised scheme where all information is known by one actor and all control sits in one location.</w:t>
      </w:r>
      <w:r w:rsidRPr="00F0722B">
        <w:t xml:space="preserve"> </w:t>
      </w:r>
      <w:r w:rsidRPr="00F0722B">
        <w:rPr>
          <w:rFonts w:ascii="Arial" w:hAnsi="Arial" w:cs="Arial"/>
        </w:rPr>
        <w:t xml:space="preserve">This works well where there is a single system owner, for instance an isolated military base, a boat or a university campus but is not usually an acceptable solution for real world neighbourhoods where there are many different customer types and many different assets. </w:t>
      </w:r>
    </w:p>
    <w:p w14:paraId="14A1691E" w14:textId="69112AB9" w:rsidR="00F0722B" w:rsidRPr="00A60F85" w:rsidRDefault="00F0722B" w:rsidP="00F0722B">
      <w:pPr>
        <w:jc w:val="both"/>
        <w:rPr>
          <w:rFonts w:ascii="Arial" w:hAnsi="Arial" w:cs="Arial"/>
        </w:rPr>
      </w:pPr>
      <w:r w:rsidRPr="00F0722B">
        <w:rPr>
          <w:rFonts w:ascii="Arial" w:hAnsi="Arial" w:cs="Arial"/>
        </w:rPr>
        <w:t>The proposed approach to overcome potentially conflicting interests and time requirements placed on the system is to allow each independent agent to have their own optimisation mechanism whilst also agreeing to the terms of the constraints imposed by the heat and power networks.</w:t>
      </w:r>
      <w:r w:rsidRPr="00F0722B">
        <w:t xml:space="preserve"> </w:t>
      </w:r>
      <w:r w:rsidRPr="00F0722B">
        <w:rPr>
          <w:rFonts w:ascii="Arial" w:hAnsi="Arial" w:cs="Arial"/>
        </w:rPr>
        <w:t xml:space="preserve">Therefore, each heat pump could be on a different supply tariff and can optimise its demand to meet the local, behind the meter, heat demand against that variable tariff. Whilst </w:t>
      </w:r>
      <w:r w:rsidRPr="00F0722B">
        <w:rPr>
          <w:rFonts w:ascii="Arial" w:hAnsi="Arial" w:cs="Arial"/>
        </w:rPr>
        <w:lastRenderedPageBreak/>
        <w:t>also being required to participate in the management schemes that allow the network level constraints to be met.</w:t>
      </w:r>
      <w:r w:rsidRPr="00F0722B">
        <w:t xml:space="preserve"> </w:t>
      </w:r>
      <w:r w:rsidRPr="00A60F85">
        <w:rPr>
          <w:rFonts w:ascii="Arial" w:hAnsi="Arial" w:cs="Arial"/>
        </w:rPr>
        <w:t>The optimisation therefore operates as a negotiation between the local consumer level asset and the network level constraints where each asset connected to the network is asked to help contribute to supporting and maintaining a stable system.</w:t>
      </w:r>
      <w:r>
        <w:rPr>
          <w:rFonts w:ascii="Arial" w:hAnsi="Arial" w:cs="Arial"/>
        </w:rPr>
        <w:t xml:space="preserve"> </w:t>
      </w:r>
      <w:r w:rsidRPr="00F0722B">
        <w:rPr>
          <w:rFonts w:ascii="Arial" w:hAnsi="Arial" w:cs="Arial"/>
        </w:rPr>
        <w:t>The advantage of this approach is that the more assets that connect the more reliably the thermal network constraints can be met as each asset adds diversity and time of use storage to the demand profile. The more thermal storage available in the whole system the more</w:t>
      </w:r>
      <w:r w:rsidR="00746E7A">
        <w:rPr>
          <w:rFonts w:ascii="Arial" w:hAnsi="Arial" w:cs="Arial"/>
        </w:rPr>
        <w:t xml:space="preserve"> readily</w:t>
      </w:r>
      <w:r w:rsidRPr="00F0722B">
        <w:rPr>
          <w:rFonts w:ascii="Arial" w:hAnsi="Arial" w:cs="Arial"/>
        </w:rPr>
        <w:t xml:space="preserve"> the electrical constraints are likely to be met.</w:t>
      </w:r>
    </w:p>
    <w:p w14:paraId="1CA20AB8" w14:textId="77777777" w:rsidR="0059008F" w:rsidRPr="009E0E99" w:rsidRDefault="0059008F" w:rsidP="0059008F">
      <w:pPr>
        <w:pStyle w:val="ListParagraph"/>
        <w:numPr>
          <w:ilvl w:val="1"/>
          <w:numId w:val="1"/>
        </w:numPr>
        <w:jc w:val="both"/>
        <w:rPr>
          <w:rFonts w:ascii="Arial" w:hAnsi="Arial" w:cs="Arial"/>
          <w:b/>
        </w:rPr>
      </w:pPr>
      <w:r>
        <w:rPr>
          <w:rFonts w:ascii="Arial" w:hAnsi="Arial" w:cs="Arial"/>
          <w:b/>
        </w:rPr>
        <w:t>The proposed 5G schemes</w:t>
      </w:r>
    </w:p>
    <w:p w14:paraId="0F81EED7" w14:textId="7BAD598F" w:rsidR="00CE29FE" w:rsidRDefault="0059008F" w:rsidP="00CA18B4">
      <w:pPr>
        <w:jc w:val="both"/>
        <w:rPr>
          <w:rFonts w:ascii="Arial" w:hAnsi="Arial" w:cs="Arial"/>
        </w:rPr>
      </w:pPr>
      <w:r w:rsidRPr="0059008F">
        <w:rPr>
          <w:rFonts w:ascii="Arial" w:hAnsi="Arial" w:cs="Arial"/>
        </w:rPr>
        <w:t>Figure</w:t>
      </w:r>
      <w:r w:rsidR="004A23CD">
        <w:rPr>
          <w:rFonts w:ascii="Arial" w:hAnsi="Arial" w:cs="Arial"/>
        </w:rPr>
        <w:t>s</w:t>
      </w:r>
      <w:r w:rsidRPr="0059008F">
        <w:rPr>
          <w:rFonts w:ascii="Arial" w:hAnsi="Arial" w:cs="Arial"/>
        </w:rPr>
        <w:t xml:space="preserve"> </w:t>
      </w:r>
      <w:r w:rsidR="00F9434C">
        <w:rPr>
          <w:rFonts w:ascii="Arial" w:hAnsi="Arial" w:cs="Arial"/>
        </w:rPr>
        <w:t>3</w:t>
      </w:r>
      <w:r w:rsidR="00F9434C" w:rsidRPr="0059008F">
        <w:rPr>
          <w:rFonts w:ascii="Arial" w:hAnsi="Arial" w:cs="Arial"/>
        </w:rPr>
        <w:t xml:space="preserve"> </w:t>
      </w:r>
      <w:r w:rsidRPr="0059008F">
        <w:rPr>
          <w:rFonts w:ascii="Arial" w:hAnsi="Arial" w:cs="Arial"/>
        </w:rPr>
        <w:t xml:space="preserve">and Figure </w:t>
      </w:r>
      <w:r w:rsidR="00F9434C">
        <w:rPr>
          <w:rFonts w:ascii="Arial" w:hAnsi="Arial" w:cs="Arial"/>
        </w:rPr>
        <w:t>4</w:t>
      </w:r>
      <w:r w:rsidR="00F9434C" w:rsidRPr="0059008F">
        <w:rPr>
          <w:rFonts w:ascii="Arial" w:hAnsi="Arial" w:cs="Arial"/>
        </w:rPr>
        <w:t xml:space="preserve"> </w:t>
      </w:r>
      <w:r w:rsidRPr="0059008F">
        <w:rPr>
          <w:rFonts w:ascii="Arial" w:hAnsi="Arial" w:cs="Arial"/>
        </w:rPr>
        <w:t xml:space="preserve">illustrate the concept design </w:t>
      </w:r>
      <w:r w:rsidR="004A23CD">
        <w:rPr>
          <w:rFonts w:ascii="Arial" w:hAnsi="Arial" w:cs="Arial"/>
        </w:rPr>
        <w:t>for</w:t>
      </w:r>
      <w:r w:rsidR="004A23CD" w:rsidRPr="0059008F">
        <w:rPr>
          <w:rFonts w:ascii="Arial" w:hAnsi="Arial" w:cs="Arial"/>
        </w:rPr>
        <w:t xml:space="preserve"> </w:t>
      </w:r>
      <w:r w:rsidRPr="0059008F">
        <w:rPr>
          <w:rFonts w:ascii="Arial" w:hAnsi="Arial" w:cs="Arial"/>
        </w:rPr>
        <w:t>the proposed schemes. I</w:t>
      </w:r>
      <w:r w:rsidR="004A23CD">
        <w:rPr>
          <w:rFonts w:ascii="Arial" w:hAnsi="Arial" w:cs="Arial"/>
        </w:rPr>
        <w:t>t</w:t>
      </w:r>
      <w:r w:rsidRPr="0059008F">
        <w:rPr>
          <w:rFonts w:ascii="Arial" w:hAnsi="Arial" w:cs="Arial"/>
        </w:rPr>
        <w:t xml:space="preserve"> can be seen in </w:t>
      </w:r>
      <w:r w:rsidR="00C72D39">
        <w:rPr>
          <w:rFonts w:ascii="Arial" w:hAnsi="Arial" w:cs="Arial"/>
        </w:rPr>
        <w:t>F</w:t>
      </w:r>
      <w:r w:rsidRPr="0059008F">
        <w:rPr>
          <w:rFonts w:ascii="Arial" w:hAnsi="Arial" w:cs="Arial"/>
        </w:rPr>
        <w:t xml:space="preserve">igure </w:t>
      </w:r>
      <w:r w:rsidR="00F9434C">
        <w:rPr>
          <w:rFonts w:ascii="Arial" w:hAnsi="Arial" w:cs="Arial"/>
        </w:rPr>
        <w:t>3</w:t>
      </w:r>
      <w:r w:rsidR="00F9434C" w:rsidRPr="0059008F">
        <w:rPr>
          <w:rFonts w:ascii="Arial" w:hAnsi="Arial" w:cs="Arial"/>
        </w:rPr>
        <w:t xml:space="preserve"> </w:t>
      </w:r>
      <w:r w:rsidRPr="0059008F">
        <w:rPr>
          <w:rFonts w:ascii="Arial" w:hAnsi="Arial" w:cs="Arial"/>
        </w:rPr>
        <w:t>that Scheme A’s main, low carbon energy source is waste heat energy recovered from the London Underground (subway) ventilation shaft. The design capacity for the</w:t>
      </w:r>
      <w:r w:rsidR="004A23CD">
        <w:rPr>
          <w:rFonts w:ascii="Arial" w:hAnsi="Arial" w:cs="Arial"/>
        </w:rPr>
        <w:t xml:space="preserve"> ventilation shaft</w:t>
      </w:r>
      <w:r w:rsidRPr="0059008F">
        <w:rPr>
          <w:rFonts w:ascii="Arial" w:hAnsi="Arial" w:cs="Arial"/>
        </w:rPr>
        <w:t xml:space="preserve"> heat exchanger, whether operating in supply or exhaust mode, is 900 k</w:t>
      </w:r>
      <w:r w:rsidR="004A23CD">
        <w:rPr>
          <w:rFonts w:ascii="Arial" w:hAnsi="Arial" w:cs="Arial"/>
        </w:rPr>
        <w:t>Wth</w:t>
      </w:r>
      <w:r w:rsidRPr="0059008F">
        <w:rPr>
          <w:rFonts w:ascii="Arial" w:hAnsi="Arial" w:cs="Arial"/>
        </w:rPr>
        <w:t>, providing a total annual heat supply of 7</w:t>
      </w:r>
      <w:r w:rsidR="004A23CD">
        <w:rPr>
          <w:rFonts w:ascii="Arial" w:hAnsi="Arial" w:cs="Arial"/>
        </w:rPr>
        <w:t>,</w:t>
      </w:r>
      <w:r w:rsidRPr="0059008F">
        <w:rPr>
          <w:rFonts w:ascii="Arial" w:hAnsi="Arial" w:cs="Arial"/>
        </w:rPr>
        <w:t>88</w:t>
      </w:r>
      <w:r w:rsidR="004A23CD">
        <w:rPr>
          <w:rFonts w:ascii="Arial" w:hAnsi="Arial" w:cs="Arial"/>
        </w:rPr>
        <w:t>0</w:t>
      </w:r>
      <w:r w:rsidRPr="0059008F">
        <w:rPr>
          <w:rFonts w:ascii="Arial" w:hAnsi="Arial" w:cs="Arial"/>
        </w:rPr>
        <w:t xml:space="preserve"> </w:t>
      </w:r>
      <w:r w:rsidR="004A23CD">
        <w:rPr>
          <w:rFonts w:ascii="Arial" w:hAnsi="Arial" w:cs="Arial"/>
        </w:rPr>
        <w:t>M</w:t>
      </w:r>
      <w:r w:rsidRPr="0059008F">
        <w:rPr>
          <w:rFonts w:ascii="Arial" w:hAnsi="Arial" w:cs="Arial"/>
        </w:rPr>
        <w:t xml:space="preserve">Wh to the network. The other energy source for Scheme A </w:t>
      </w:r>
      <w:r w:rsidR="004A23CD">
        <w:rPr>
          <w:rFonts w:ascii="Arial" w:hAnsi="Arial" w:cs="Arial"/>
        </w:rPr>
        <w:t>is</w:t>
      </w:r>
      <w:r w:rsidR="004A23CD" w:rsidRPr="0059008F">
        <w:rPr>
          <w:rFonts w:ascii="Arial" w:hAnsi="Arial" w:cs="Arial"/>
        </w:rPr>
        <w:t xml:space="preserve"> </w:t>
      </w:r>
      <w:r w:rsidRPr="0059008F">
        <w:rPr>
          <w:rFonts w:ascii="Arial" w:hAnsi="Arial" w:cs="Arial"/>
        </w:rPr>
        <w:t xml:space="preserve">a series of open-loop boreholes. These boreholes are bi-directional, to allow aquifer replenishment and provide ~14°C </w:t>
      </w:r>
      <w:r>
        <w:rPr>
          <w:rFonts w:ascii="Arial" w:hAnsi="Arial" w:cs="Arial"/>
        </w:rPr>
        <w:t>fl</w:t>
      </w:r>
      <w:r w:rsidRPr="0059008F">
        <w:rPr>
          <w:rFonts w:ascii="Arial" w:hAnsi="Arial" w:cs="Arial"/>
        </w:rPr>
        <w:t xml:space="preserve">ow, ~4°C </w:t>
      </w:r>
      <w:r>
        <w:rPr>
          <w:rFonts w:ascii="Arial" w:hAnsi="Arial" w:cs="Arial"/>
        </w:rPr>
        <w:t>return primary at around 10 l</w:t>
      </w:r>
      <w:r w:rsidRPr="0059008F">
        <w:rPr>
          <w:rFonts w:ascii="Arial" w:hAnsi="Arial" w:cs="Arial"/>
        </w:rPr>
        <w:t xml:space="preserve">/s yield supplying approximately 500kWth per abstraction-discharge doublet. Figure </w:t>
      </w:r>
      <w:r w:rsidR="00F9434C">
        <w:rPr>
          <w:rFonts w:ascii="Arial" w:hAnsi="Arial" w:cs="Arial"/>
        </w:rPr>
        <w:t>4</w:t>
      </w:r>
      <w:r w:rsidR="00F9434C" w:rsidRPr="0059008F">
        <w:rPr>
          <w:rFonts w:ascii="Arial" w:hAnsi="Arial" w:cs="Arial"/>
        </w:rPr>
        <w:t xml:space="preserve"> </w:t>
      </w:r>
      <w:r w:rsidRPr="0059008F">
        <w:rPr>
          <w:rFonts w:ascii="Arial" w:hAnsi="Arial" w:cs="Arial"/>
        </w:rPr>
        <w:t>shows the concept design for Scheme B that supplies secondary heat recovered from two local data centres. The scheme also includes boreholes to supplement and balance the network as they provide a constant 1</w:t>
      </w:r>
      <w:r w:rsidR="00C72D39">
        <w:rPr>
          <w:rFonts w:ascii="Arial" w:hAnsi="Arial" w:cs="Arial"/>
        </w:rPr>
        <w:t>4</w:t>
      </w:r>
      <w:r w:rsidRPr="0059008F">
        <w:rPr>
          <w:rFonts w:ascii="Arial" w:hAnsi="Arial" w:cs="Arial"/>
        </w:rPr>
        <w:t>°C into the ambient loop.</w:t>
      </w:r>
    </w:p>
    <w:p w14:paraId="2AEE2D72" w14:textId="5F9FDAA3" w:rsidR="004A23CD" w:rsidRPr="00542251" w:rsidRDefault="004A23CD" w:rsidP="003B4E27">
      <w:pPr>
        <w:jc w:val="both"/>
        <w:rPr>
          <w:rFonts w:ascii="Arial" w:hAnsi="Arial" w:cs="Arial"/>
        </w:rPr>
      </w:pPr>
      <w:r w:rsidRPr="00727F24">
        <w:rPr>
          <w:rFonts w:ascii="Arial" w:hAnsi="Arial" w:cs="Arial"/>
        </w:rPr>
        <w:t>Although the ventilation shaft could supply 900 kWth throughout the year, its efficiency</w:t>
      </w:r>
      <w:r>
        <w:rPr>
          <w:rFonts w:ascii="Arial" w:hAnsi="Arial" w:cs="Arial"/>
        </w:rPr>
        <w:t xml:space="preserve"> </w:t>
      </w:r>
      <w:r w:rsidRPr="00727F24">
        <w:rPr>
          <w:rFonts w:ascii="Arial" w:hAnsi="Arial" w:cs="Arial"/>
        </w:rPr>
        <w:t xml:space="preserve">will vary across the year, as </w:t>
      </w:r>
      <w:r w:rsidRPr="00542251">
        <w:rPr>
          <w:rFonts w:ascii="Arial" w:hAnsi="Arial" w:cs="Arial"/>
        </w:rPr>
        <w:t>year as the air temperatures (ambient and ventilation exhaust air) vary. However, by reducing the capacity for the ventilation shaft when air temperatures are lowest, efficiency can be maximised. The reduction in heat from the ventilation shaft heat at these times can be compensated by the boreholes, which have sufficient capacity to supply the whole system, if necessary.</w:t>
      </w:r>
    </w:p>
    <w:p w14:paraId="75E37EBC" w14:textId="0E523AC5" w:rsidR="004A23CD" w:rsidRDefault="004A23CD" w:rsidP="003B4E27">
      <w:pPr>
        <w:jc w:val="both"/>
        <w:rPr>
          <w:rFonts w:ascii="Arial" w:hAnsi="Arial" w:cs="Arial"/>
        </w:rPr>
      </w:pPr>
      <w:r w:rsidRPr="00542251">
        <w:rPr>
          <w:rFonts w:ascii="Arial" w:hAnsi="Arial" w:cs="Arial"/>
        </w:rPr>
        <w:t>Similarly, for Scheme B, although data centre cooling demand is fairly constant throughout the year, there will be some seasonal variation in potential heat recovery due to variation in ambient air temperatures, and also with variation in data centre work load from day to day. However, as for the ventilation shaft, any variations in cooling demand or recovered heat can be compensated by the additional capacity provided by the boreholes, ensuring that the overall heat and cooling demand for the system can be met.</w:t>
      </w:r>
    </w:p>
    <w:p w14:paraId="06B47837" w14:textId="77777777" w:rsidR="00CE29FE" w:rsidRDefault="00CE29FE" w:rsidP="00CA18B4">
      <w:pPr>
        <w:jc w:val="both"/>
        <w:rPr>
          <w:rFonts w:ascii="Arial" w:hAnsi="Arial" w:cs="Arial"/>
        </w:rPr>
      </w:pPr>
    </w:p>
    <w:p w14:paraId="54747BBE" w14:textId="77777777" w:rsidR="00BC72BA" w:rsidRDefault="0059008F" w:rsidP="00BC72BA">
      <w:pPr>
        <w:keepNext/>
        <w:jc w:val="both"/>
      </w:pPr>
      <w:r w:rsidRPr="00B3001C">
        <w:rPr>
          <w:rFonts w:ascii="Arial" w:hAnsi="Arial" w:cs="Arial"/>
          <w:noProof/>
          <w:lang w:eastAsia="en-GB"/>
        </w:rPr>
        <w:drawing>
          <wp:inline distT="0" distB="0" distL="0" distR="0" wp14:anchorId="3466A4EF" wp14:editId="36C760F3">
            <wp:extent cx="2667000" cy="17421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7000" cy="1742121"/>
                    </a:xfrm>
                    <a:prstGeom prst="rect">
                      <a:avLst/>
                    </a:prstGeom>
                    <a:noFill/>
                    <a:ln>
                      <a:noFill/>
                    </a:ln>
                  </pic:spPr>
                </pic:pic>
              </a:graphicData>
            </a:graphic>
          </wp:inline>
        </w:drawing>
      </w:r>
      <w:r w:rsidR="00BC72BA">
        <w:rPr>
          <w:rFonts w:ascii="Arial" w:hAnsi="Arial" w:cs="Arial"/>
          <w:noProof/>
          <w:lang w:eastAsia="en-GB"/>
        </w:rPr>
        <w:t xml:space="preserve">       </w:t>
      </w:r>
      <w:r w:rsidR="00BC72BA" w:rsidRPr="00B3001C">
        <w:rPr>
          <w:rFonts w:ascii="Arial" w:hAnsi="Arial" w:cs="Arial"/>
          <w:noProof/>
          <w:lang w:eastAsia="en-GB"/>
        </w:rPr>
        <w:drawing>
          <wp:inline distT="0" distB="0" distL="0" distR="0" wp14:anchorId="7B4AE1FB" wp14:editId="02CC5059">
            <wp:extent cx="2856953" cy="1763500"/>
            <wp:effectExtent l="0" t="0" r="63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7978" cy="1776478"/>
                    </a:xfrm>
                    <a:prstGeom prst="rect">
                      <a:avLst/>
                    </a:prstGeom>
                    <a:noFill/>
                    <a:ln>
                      <a:noFill/>
                    </a:ln>
                  </pic:spPr>
                </pic:pic>
              </a:graphicData>
            </a:graphic>
          </wp:inline>
        </w:drawing>
      </w:r>
    </w:p>
    <w:p w14:paraId="13BC16D8" w14:textId="168DB4BF" w:rsidR="00BC72BA" w:rsidRPr="00A60F85" w:rsidRDefault="00BC72BA" w:rsidP="00BC72BA">
      <w:pPr>
        <w:pStyle w:val="Caption"/>
        <w:jc w:val="both"/>
        <w:rPr>
          <w:rFonts w:ascii="Arial" w:hAnsi="Arial" w:cs="Arial"/>
          <w:b/>
        </w:rPr>
      </w:pPr>
      <w:r>
        <w:t xml:space="preserve">                       </w:t>
      </w:r>
      <w:r w:rsidRPr="00A60F85">
        <w:rPr>
          <w:rFonts w:ascii="Arial" w:hAnsi="Arial" w:cs="Arial"/>
          <w:b/>
        </w:rPr>
        <w:t xml:space="preserve">Figure </w:t>
      </w:r>
      <w:r w:rsidR="006436B1" w:rsidRPr="00A60F85">
        <w:rPr>
          <w:rFonts w:ascii="Arial" w:hAnsi="Arial" w:cs="Arial"/>
          <w:b/>
        </w:rPr>
        <w:fldChar w:fldCharType="begin"/>
      </w:r>
      <w:r w:rsidR="006436B1" w:rsidRPr="00A60F85">
        <w:rPr>
          <w:rFonts w:ascii="Arial" w:hAnsi="Arial" w:cs="Arial"/>
          <w:b/>
        </w:rPr>
        <w:instrText xml:space="preserve"> SEQ Figure \* ARABIC </w:instrText>
      </w:r>
      <w:r w:rsidR="006436B1" w:rsidRPr="00A60F85">
        <w:rPr>
          <w:rFonts w:ascii="Arial" w:hAnsi="Arial" w:cs="Arial"/>
          <w:b/>
        </w:rPr>
        <w:fldChar w:fldCharType="separate"/>
      </w:r>
      <w:r w:rsidR="00AC5417">
        <w:rPr>
          <w:rFonts w:ascii="Arial" w:hAnsi="Arial" w:cs="Arial"/>
          <w:b/>
          <w:noProof/>
        </w:rPr>
        <w:t>3</w:t>
      </w:r>
      <w:r w:rsidR="006436B1" w:rsidRPr="00A60F85">
        <w:rPr>
          <w:rFonts w:ascii="Arial" w:hAnsi="Arial" w:cs="Arial"/>
          <w:b/>
          <w:noProof/>
        </w:rPr>
        <w:fldChar w:fldCharType="end"/>
      </w:r>
      <w:r w:rsidR="00B95BB4">
        <w:rPr>
          <w:rFonts w:ascii="Arial" w:hAnsi="Arial" w:cs="Arial"/>
          <w:b/>
        </w:rPr>
        <w:t xml:space="preserve"> </w:t>
      </w:r>
      <w:r w:rsidRPr="00A60F85">
        <w:rPr>
          <w:rFonts w:ascii="Arial" w:hAnsi="Arial" w:cs="Arial"/>
          <w:b/>
        </w:rPr>
        <w:t xml:space="preserve">Scheme A concept                                      </w:t>
      </w:r>
      <w:r w:rsidR="00B95BB4">
        <w:rPr>
          <w:rFonts w:ascii="Arial" w:hAnsi="Arial" w:cs="Arial"/>
          <w:b/>
        </w:rPr>
        <w:t xml:space="preserve">    </w:t>
      </w:r>
      <w:r w:rsidRPr="00A60F85">
        <w:rPr>
          <w:rFonts w:ascii="Arial" w:hAnsi="Arial" w:cs="Arial"/>
          <w:b/>
        </w:rPr>
        <w:t xml:space="preserve">   Figure </w:t>
      </w:r>
      <w:r w:rsidR="006436B1" w:rsidRPr="00A60F85">
        <w:rPr>
          <w:rFonts w:ascii="Arial" w:hAnsi="Arial" w:cs="Arial"/>
          <w:b/>
        </w:rPr>
        <w:fldChar w:fldCharType="begin"/>
      </w:r>
      <w:r w:rsidR="006436B1" w:rsidRPr="00A60F85">
        <w:rPr>
          <w:rFonts w:ascii="Arial" w:hAnsi="Arial" w:cs="Arial"/>
          <w:b/>
        </w:rPr>
        <w:instrText xml:space="preserve"> SEQ Figure \* ARABIC </w:instrText>
      </w:r>
      <w:r w:rsidR="006436B1" w:rsidRPr="00A60F85">
        <w:rPr>
          <w:rFonts w:ascii="Arial" w:hAnsi="Arial" w:cs="Arial"/>
          <w:b/>
        </w:rPr>
        <w:fldChar w:fldCharType="separate"/>
      </w:r>
      <w:r w:rsidR="00AC5417">
        <w:rPr>
          <w:rFonts w:ascii="Arial" w:hAnsi="Arial" w:cs="Arial"/>
          <w:b/>
          <w:noProof/>
        </w:rPr>
        <w:t>4</w:t>
      </w:r>
      <w:r w:rsidR="006436B1" w:rsidRPr="00A60F85">
        <w:rPr>
          <w:rFonts w:ascii="Arial" w:hAnsi="Arial" w:cs="Arial"/>
          <w:b/>
          <w:noProof/>
        </w:rPr>
        <w:fldChar w:fldCharType="end"/>
      </w:r>
      <w:r w:rsidRPr="00A60F85">
        <w:rPr>
          <w:rFonts w:ascii="Arial" w:hAnsi="Arial" w:cs="Arial"/>
          <w:b/>
        </w:rPr>
        <w:t xml:space="preserve"> Scheme B concept </w:t>
      </w:r>
    </w:p>
    <w:p w14:paraId="31C528BF" w14:textId="7ECBBB09" w:rsidR="003E40C8" w:rsidRDefault="003E40C8" w:rsidP="00A60F85">
      <w:pPr>
        <w:spacing w:after="0"/>
        <w:jc w:val="both"/>
      </w:pPr>
    </w:p>
    <w:p w14:paraId="73B8FDC7" w14:textId="77777777" w:rsidR="00536009" w:rsidRPr="00536009" w:rsidRDefault="00536009" w:rsidP="00CA18B4">
      <w:pPr>
        <w:jc w:val="both"/>
        <w:rPr>
          <w:rFonts w:ascii="Arial" w:hAnsi="Arial" w:cs="Arial"/>
          <w:i/>
        </w:rPr>
      </w:pPr>
      <w:r w:rsidRPr="00536009">
        <w:rPr>
          <w:rFonts w:ascii="Arial" w:hAnsi="Arial" w:cs="Arial"/>
          <w:i/>
        </w:rPr>
        <w:t>2.3.1 Energy demands of the schemes</w:t>
      </w:r>
    </w:p>
    <w:p w14:paraId="3107AD96" w14:textId="77777777" w:rsidR="004A23CD" w:rsidRDefault="004A23CD" w:rsidP="004A23CD">
      <w:pPr>
        <w:jc w:val="both"/>
        <w:rPr>
          <w:rFonts w:ascii="Arial" w:hAnsi="Arial" w:cs="Arial"/>
        </w:rPr>
      </w:pPr>
      <w:r w:rsidRPr="006F4D02">
        <w:rPr>
          <w:rFonts w:ascii="Arial" w:hAnsi="Arial" w:cs="Arial"/>
        </w:rPr>
        <w:lastRenderedPageBreak/>
        <w:t>In Scheme A, there are 12 buildings connected to the network which are mainly so</w:t>
      </w:r>
      <w:r>
        <w:rPr>
          <w:rFonts w:ascii="Arial" w:hAnsi="Arial" w:cs="Arial"/>
        </w:rPr>
        <w:t>cial housing estates, plus two</w:t>
      </w:r>
      <w:r w:rsidRPr="006F4D02">
        <w:rPr>
          <w:rFonts w:ascii="Arial" w:hAnsi="Arial" w:cs="Arial"/>
        </w:rPr>
        <w:t xml:space="preserve"> primary schools and a leisure centre. </w:t>
      </w:r>
      <w:r>
        <w:rPr>
          <w:rFonts w:ascii="Arial" w:hAnsi="Arial" w:cs="Arial"/>
        </w:rPr>
        <w:t>The peak heat demand of Scheme A is approximately 6MW and t</w:t>
      </w:r>
      <w:r w:rsidRPr="006F4D02">
        <w:rPr>
          <w:rFonts w:ascii="Arial" w:hAnsi="Arial" w:cs="Arial"/>
        </w:rPr>
        <w:t>he total heat demand of the network is approximately 13,000 MWh</w:t>
      </w:r>
      <w:r>
        <w:rPr>
          <w:rFonts w:ascii="Arial" w:hAnsi="Arial" w:cs="Arial"/>
        </w:rPr>
        <w:t>/year</w:t>
      </w:r>
      <w:r w:rsidRPr="006F4D02">
        <w:rPr>
          <w:rFonts w:ascii="Arial" w:hAnsi="Arial" w:cs="Arial"/>
        </w:rPr>
        <w:t xml:space="preserve"> with a relatively small cooling demand of approximately 4,000 MWh</w:t>
      </w:r>
      <w:r>
        <w:rPr>
          <w:rFonts w:ascii="Arial" w:hAnsi="Arial" w:cs="Arial"/>
        </w:rPr>
        <w:t>/year, and is</w:t>
      </w:r>
      <w:r w:rsidRPr="006F4D02">
        <w:rPr>
          <w:rFonts w:ascii="Arial" w:hAnsi="Arial" w:cs="Arial"/>
        </w:rPr>
        <w:t xml:space="preserve"> </w:t>
      </w:r>
      <w:r>
        <w:rPr>
          <w:rFonts w:ascii="Arial" w:hAnsi="Arial" w:cs="Arial"/>
        </w:rPr>
        <w:t>t</w:t>
      </w:r>
      <w:r w:rsidRPr="006F4D02">
        <w:rPr>
          <w:rFonts w:ascii="Arial" w:hAnsi="Arial" w:cs="Arial"/>
        </w:rPr>
        <w:t>herefore</w:t>
      </w:r>
      <w:r>
        <w:rPr>
          <w:rFonts w:ascii="Arial" w:hAnsi="Arial" w:cs="Arial"/>
        </w:rPr>
        <w:t xml:space="preserve"> </w:t>
      </w:r>
      <w:r w:rsidRPr="006F4D02">
        <w:rPr>
          <w:rFonts w:ascii="Arial" w:hAnsi="Arial" w:cs="Arial"/>
        </w:rPr>
        <w:t>much more a heat-only based scheme. Scheme B</w:t>
      </w:r>
      <w:r>
        <w:rPr>
          <w:rFonts w:ascii="Arial" w:hAnsi="Arial" w:cs="Arial"/>
        </w:rPr>
        <w:t xml:space="preserve">, however, </w:t>
      </w:r>
      <w:r w:rsidRPr="006F4D02">
        <w:rPr>
          <w:rFonts w:ascii="Arial" w:hAnsi="Arial" w:cs="Arial"/>
        </w:rPr>
        <w:t xml:space="preserve">is a larger scheme </w:t>
      </w:r>
      <w:r>
        <w:rPr>
          <w:rFonts w:ascii="Arial" w:hAnsi="Arial" w:cs="Arial"/>
        </w:rPr>
        <w:t xml:space="preserve">which </w:t>
      </w:r>
      <w:r w:rsidRPr="006F4D02">
        <w:rPr>
          <w:rFonts w:ascii="Arial" w:hAnsi="Arial" w:cs="Arial"/>
        </w:rPr>
        <w:t>includes 19 buildings, a mix of social housing estates and two university campuses. The total heat demand of the network is about 30,000 MWh</w:t>
      </w:r>
      <w:r>
        <w:rPr>
          <w:rFonts w:ascii="Arial" w:hAnsi="Arial" w:cs="Arial"/>
        </w:rPr>
        <w:t>/year with a peak of 15 MW</w:t>
      </w:r>
      <w:r w:rsidRPr="006F4D02">
        <w:rPr>
          <w:rFonts w:ascii="Arial" w:hAnsi="Arial" w:cs="Arial"/>
        </w:rPr>
        <w:t xml:space="preserve">. The cooling demand is also significant due to the connected data centres, </w:t>
      </w:r>
      <w:r>
        <w:rPr>
          <w:rFonts w:ascii="Arial" w:hAnsi="Arial" w:cs="Arial"/>
        </w:rPr>
        <w:t xml:space="preserve">which require </w:t>
      </w:r>
      <w:r w:rsidRPr="006F4D02">
        <w:rPr>
          <w:rFonts w:ascii="Arial" w:hAnsi="Arial" w:cs="Arial"/>
        </w:rPr>
        <w:t>approximately 38,000 MWh</w:t>
      </w:r>
      <w:r>
        <w:rPr>
          <w:rFonts w:ascii="Arial" w:hAnsi="Arial" w:cs="Arial"/>
        </w:rPr>
        <w:t>/year, with a constant cooling demand of 5 MW.</w:t>
      </w:r>
      <w:r w:rsidRPr="006F4D02">
        <w:rPr>
          <w:rFonts w:ascii="Arial" w:hAnsi="Arial" w:cs="Arial"/>
        </w:rPr>
        <w:t xml:space="preserve"> Scheme B is much more balanced in terms of heating and cooling and that </w:t>
      </w:r>
      <w:r>
        <w:rPr>
          <w:rFonts w:ascii="Arial" w:hAnsi="Arial" w:cs="Arial"/>
        </w:rPr>
        <w:t xml:space="preserve">is </w:t>
      </w:r>
      <w:r w:rsidRPr="006F4D02">
        <w:rPr>
          <w:rFonts w:ascii="Arial" w:hAnsi="Arial" w:cs="Arial"/>
        </w:rPr>
        <w:t xml:space="preserve">significant </w:t>
      </w:r>
      <w:r>
        <w:rPr>
          <w:rFonts w:ascii="Arial" w:hAnsi="Arial" w:cs="Arial"/>
        </w:rPr>
        <w:t>factor</w:t>
      </w:r>
      <w:r w:rsidRPr="006F4D02">
        <w:rPr>
          <w:rFonts w:ascii="Arial" w:hAnsi="Arial" w:cs="Arial"/>
        </w:rPr>
        <w:t xml:space="preserve"> in making it more viable than Scheme A</w:t>
      </w:r>
      <w:r>
        <w:rPr>
          <w:rFonts w:ascii="Arial" w:hAnsi="Arial" w:cs="Arial"/>
        </w:rPr>
        <w:t xml:space="preserve"> as is shown in the results section of the paper</w:t>
      </w:r>
      <w:r w:rsidRPr="006F4D02">
        <w:rPr>
          <w:rFonts w:ascii="Arial" w:hAnsi="Arial" w:cs="Arial"/>
        </w:rPr>
        <w:t>.</w:t>
      </w:r>
    </w:p>
    <w:p w14:paraId="039D4E72" w14:textId="77777777" w:rsidR="00536009" w:rsidRPr="001F5DB3" w:rsidRDefault="001F5DB3" w:rsidP="00CA18B4">
      <w:pPr>
        <w:jc w:val="both"/>
        <w:rPr>
          <w:rFonts w:ascii="Arial" w:hAnsi="Arial" w:cs="Arial"/>
          <w:i/>
        </w:rPr>
      </w:pPr>
      <w:r w:rsidRPr="001F5DB3">
        <w:rPr>
          <w:rFonts w:ascii="Arial" w:hAnsi="Arial" w:cs="Arial"/>
          <w:i/>
        </w:rPr>
        <w:t>2.3.2 Network routes, energy centres and technologies</w:t>
      </w:r>
    </w:p>
    <w:p w14:paraId="7D2B80B1" w14:textId="1B3B3E52" w:rsidR="004A23CD" w:rsidRPr="00C95F62" w:rsidRDefault="004A23CD" w:rsidP="004A23CD">
      <w:pPr>
        <w:jc w:val="both"/>
      </w:pPr>
      <w:r w:rsidRPr="00C95F62">
        <w:rPr>
          <w:rFonts w:ascii="Arial" w:hAnsi="Arial" w:cs="Arial"/>
        </w:rPr>
        <w:t xml:space="preserve">Both Scheme A and B are two-pipe ultra-low temperature networks, each around 2 km in length. Figure </w:t>
      </w:r>
      <w:r w:rsidR="001B7CBF">
        <w:rPr>
          <w:rFonts w:ascii="Arial" w:hAnsi="Arial" w:cs="Arial"/>
        </w:rPr>
        <w:t>5</w:t>
      </w:r>
      <w:r w:rsidRPr="00C95F62">
        <w:rPr>
          <w:rFonts w:ascii="Arial" w:hAnsi="Arial" w:cs="Arial"/>
        </w:rPr>
        <w:t xml:space="preserve"> illustrates the proposed network routes of both Schemes. It can be seen in the figure </w:t>
      </w:r>
      <w:r>
        <w:rPr>
          <w:rFonts w:ascii="Arial" w:hAnsi="Arial" w:cs="Arial"/>
        </w:rPr>
        <w:t xml:space="preserve">that </w:t>
      </w:r>
      <w:r w:rsidRPr="00C95F62">
        <w:rPr>
          <w:rFonts w:ascii="Arial" w:hAnsi="Arial" w:cs="Arial"/>
        </w:rPr>
        <w:t>the number of decentralised energy centres (EC)</w:t>
      </w:r>
      <w:r>
        <w:rPr>
          <w:rFonts w:ascii="Arial" w:hAnsi="Arial" w:cs="Arial"/>
        </w:rPr>
        <w:t xml:space="preserve"> i.e.</w:t>
      </w:r>
      <w:r w:rsidRPr="00C95F62">
        <w:rPr>
          <w:rFonts w:ascii="Arial" w:hAnsi="Arial" w:cs="Arial"/>
        </w:rPr>
        <w:t xml:space="preserve"> 11 for Scheme A and 16 for Scheme B, indicat</w:t>
      </w:r>
      <w:r>
        <w:rPr>
          <w:rFonts w:ascii="Arial" w:hAnsi="Arial" w:cs="Arial"/>
        </w:rPr>
        <w:t>e</w:t>
      </w:r>
      <w:r w:rsidRPr="00C95F62">
        <w:rPr>
          <w:rFonts w:ascii="Arial" w:hAnsi="Arial" w:cs="Arial"/>
        </w:rPr>
        <w:t xml:space="preserve"> the very different topology of a 5G system</w:t>
      </w:r>
      <w:r>
        <w:rPr>
          <w:rFonts w:ascii="Arial" w:hAnsi="Arial" w:cs="Arial"/>
        </w:rPr>
        <w:t>, compared to previous generations of heat networks</w:t>
      </w:r>
      <w:r w:rsidRPr="00C95F62">
        <w:rPr>
          <w:rFonts w:ascii="Arial" w:hAnsi="Arial" w:cs="Arial"/>
        </w:rPr>
        <w:t>. It was proposed that each of these ECs include localised heat pumps supplying the energy demand of the connected buildings and sharing heating/cooling across the network where possible. Each of these schemes will be a 'smart grid' allowing the heat pumps within the ECs to be used in a flexible way in relation to electricity tariffs, providing a 'demand side response' approach to cost and carbon saving. The Smart Grid will also include PV and EV connected to each of the Heat Pump plant rooms. The EV's will help meet the increasing needs of local residents for charging EV's</w:t>
      </w:r>
      <w:r>
        <w:rPr>
          <w:rFonts w:ascii="Arial" w:hAnsi="Arial" w:cs="Arial"/>
        </w:rPr>
        <w:t>.</w:t>
      </w:r>
    </w:p>
    <w:p w14:paraId="0D35F214" w14:textId="77777777" w:rsidR="006F4D02" w:rsidRDefault="006F4D02" w:rsidP="006F4D02">
      <w:pPr>
        <w:jc w:val="both"/>
        <w:rPr>
          <w:rFonts w:ascii="Arial" w:hAnsi="Arial" w:cs="Arial"/>
        </w:rPr>
      </w:pPr>
    </w:p>
    <w:p w14:paraId="6994AA00" w14:textId="77777777" w:rsidR="004F31FF" w:rsidRDefault="00BC72BA" w:rsidP="004F31FF">
      <w:pPr>
        <w:keepNext/>
        <w:jc w:val="center"/>
      </w:pPr>
      <w:r>
        <w:rPr>
          <w:noProof/>
          <w:lang w:eastAsia="en-GB"/>
        </w:rPr>
        <w:drawing>
          <wp:inline distT="0" distB="0" distL="0" distR="0" wp14:anchorId="73332B0A" wp14:editId="0D070E22">
            <wp:extent cx="2336637" cy="3077210"/>
            <wp:effectExtent l="0" t="0" r="6985" b="889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2"/>
                    <a:srcRect l="59300" t="16937" r="22400" b="11919"/>
                    <a:stretch/>
                  </pic:blipFill>
                  <pic:spPr>
                    <a:xfrm>
                      <a:off x="0" y="0"/>
                      <a:ext cx="2353854" cy="3099884"/>
                    </a:xfrm>
                    <a:prstGeom prst="rect">
                      <a:avLst/>
                    </a:prstGeom>
                  </pic:spPr>
                </pic:pic>
              </a:graphicData>
            </a:graphic>
          </wp:inline>
        </w:drawing>
      </w:r>
      <w:r w:rsidR="00363F16">
        <w:rPr>
          <w:noProof/>
          <w:lang w:eastAsia="en-GB"/>
        </w:rPr>
        <w:t xml:space="preserve">    </w:t>
      </w:r>
      <w:r w:rsidR="004F31FF">
        <w:rPr>
          <w:noProof/>
          <w:lang w:eastAsia="en-GB"/>
        </w:rPr>
        <w:drawing>
          <wp:inline distT="0" distB="0" distL="0" distR="0" wp14:anchorId="62B5DD54" wp14:editId="75F8DB72">
            <wp:extent cx="2562894" cy="3086494"/>
            <wp:effectExtent l="0" t="0" r="8890" b="0"/>
            <wp:docPr id="4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pic:cNvPicPr>
                      <a:picLocks noChangeAspect="1"/>
                    </pic:cNvPicPr>
                  </pic:nvPicPr>
                  <pic:blipFill rotWithShape="1">
                    <a:blip r:embed="rId13"/>
                    <a:srcRect l="60300" t="21808" r="21100" b="12066"/>
                    <a:stretch/>
                  </pic:blipFill>
                  <pic:spPr>
                    <a:xfrm>
                      <a:off x="0" y="0"/>
                      <a:ext cx="2570842" cy="3096066"/>
                    </a:xfrm>
                    <a:prstGeom prst="rect">
                      <a:avLst/>
                    </a:prstGeom>
                  </pic:spPr>
                </pic:pic>
              </a:graphicData>
            </a:graphic>
          </wp:inline>
        </w:drawing>
      </w:r>
    </w:p>
    <w:p w14:paraId="35D8B796" w14:textId="234E635B" w:rsidR="00B40DB1" w:rsidRPr="00B40DB1" w:rsidRDefault="004F31FF" w:rsidP="00B40DB1">
      <w:pPr>
        <w:pStyle w:val="Caption"/>
        <w:jc w:val="center"/>
        <w:rPr>
          <w:rFonts w:ascii="Arial" w:hAnsi="Arial" w:cs="Arial"/>
          <w:b/>
        </w:rPr>
      </w:pPr>
      <w:r w:rsidRPr="00A60F85">
        <w:rPr>
          <w:rFonts w:ascii="Arial" w:hAnsi="Arial" w:cs="Arial"/>
          <w:b/>
        </w:rPr>
        <w:t xml:space="preserve">Figure </w:t>
      </w:r>
      <w:r w:rsidRPr="00A60F85">
        <w:rPr>
          <w:rFonts w:ascii="Arial" w:hAnsi="Arial" w:cs="Arial"/>
          <w:b/>
        </w:rPr>
        <w:fldChar w:fldCharType="begin"/>
      </w:r>
      <w:r w:rsidRPr="00A60F85">
        <w:rPr>
          <w:rFonts w:ascii="Arial" w:hAnsi="Arial" w:cs="Arial"/>
          <w:b/>
        </w:rPr>
        <w:instrText xml:space="preserve"> SEQ Figure \* ARABIC </w:instrText>
      </w:r>
      <w:r w:rsidRPr="00A60F85">
        <w:rPr>
          <w:rFonts w:ascii="Arial" w:hAnsi="Arial" w:cs="Arial"/>
          <w:b/>
        </w:rPr>
        <w:fldChar w:fldCharType="separate"/>
      </w:r>
      <w:r w:rsidR="00AC5417">
        <w:rPr>
          <w:rFonts w:ascii="Arial" w:hAnsi="Arial" w:cs="Arial"/>
          <w:b/>
          <w:noProof/>
        </w:rPr>
        <w:t>5</w:t>
      </w:r>
      <w:r w:rsidRPr="00A60F85">
        <w:rPr>
          <w:rFonts w:ascii="Arial" w:hAnsi="Arial" w:cs="Arial"/>
          <w:b/>
        </w:rPr>
        <w:fldChar w:fldCharType="end"/>
      </w:r>
      <w:r w:rsidRPr="00A60F85">
        <w:rPr>
          <w:rFonts w:ascii="Arial" w:hAnsi="Arial" w:cs="Arial"/>
          <w:b/>
        </w:rPr>
        <w:t xml:space="preserve"> Outline 5G network designs for Scheme A (left) and Scheme B (right)</w:t>
      </w:r>
    </w:p>
    <w:p w14:paraId="60E62F33" w14:textId="281E84C8" w:rsidR="00A3230E" w:rsidRDefault="00A3230E" w:rsidP="00A3230E">
      <w:pPr>
        <w:pStyle w:val="ListParagraph"/>
        <w:numPr>
          <w:ilvl w:val="1"/>
          <w:numId w:val="1"/>
        </w:numPr>
        <w:jc w:val="both"/>
        <w:rPr>
          <w:rFonts w:ascii="Arial" w:hAnsi="Arial" w:cs="Arial"/>
          <w:b/>
        </w:rPr>
      </w:pPr>
      <w:r>
        <w:rPr>
          <w:rFonts w:ascii="Arial" w:hAnsi="Arial" w:cs="Arial"/>
          <w:b/>
        </w:rPr>
        <w:t>Techno-economic modelling of the schemes</w:t>
      </w:r>
    </w:p>
    <w:p w14:paraId="4DE07F3E" w14:textId="1F79E4C2" w:rsidR="00D51DA7" w:rsidRDefault="00A3230E" w:rsidP="006111EA">
      <w:pPr>
        <w:pStyle w:val="PlainText"/>
        <w:jc w:val="both"/>
        <w:rPr>
          <w:rFonts w:ascii="Arial" w:hAnsi="Arial" w:cs="Arial"/>
        </w:rPr>
      </w:pPr>
      <w:r w:rsidRPr="00C95F62">
        <w:rPr>
          <w:rFonts w:ascii="Arial" w:hAnsi="Arial" w:cs="Arial"/>
        </w:rPr>
        <w:t xml:space="preserve">In order to estimate the capital and operational expenditure (CAPEX and OPEX) and carbon savings of the proposed 5G network schemes, techno-economic modelling was carried out. </w:t>
      </w:r>
      <w:r w:rsidR="00D51DA7" w:rsidRPr="00C95F62">
        <w:rPr>
          <w:rFonts w:ascii="Arial" w:hAnsi="Arial" w:cs="Arial"/>
        </w:rPr>
        <w:lastRenderedPageBreak/>
        <w:t xml:space="preserve">This section describes the choice of software used, the </w:t>
      </w:r>
      <w:r w:rsidR="00593DD1">
        <w:rPr>
          <w:rFonts w:ascii="Arial" w:hAnsi="Arial" w:cs="Arial"/>
        </w:rPr>
        <w:t>o</w:t>
      </w:r>
      <w:r w:rsidR="00D51DA7" w:rsidRPr="00C95F62">
        <w:rPr>
          <w:rFonts w:ascii="Arial" w:hAnsi="Arial" w:cs="Arial"/>
        </w:rPr>
        <w:t>verall model structure and key individual components and modelling scenarios used.</w:t>
      </w:r>
    </w:p>
    <w:p w14:paraId="2249AC63" w14:textId="77777777" w:rsidR="00FB6B71" w:rsidRPr="00C95F62" w:rsidRDefault="00FB6B71" w:rsidP="006111EA">
      <w:pPr>
        <w:pStyle w:val="PlainText"/>
        <w:jc w:val="both"/>
        <w:rPr>
          <w:rFonts w:ascii="Arial" w:hAnsi="Arial" w:cs="Arial"/>
        </w:rPr>
      </w:pPr>
    </w:p>
    <w:p w14:paraId="106689FB" w14:textId="6E7620ED" w:rsidR="00D51DA7" w:rsidRPr="006111EA" w:rsidRDefault="00D51DA7" w:rsidP="00C95F62">
      <w:pPr>
        <w:jc w:val="both"/>
        <w:rPr>
          <w:rFonts w:ascii="Arial" w:hAnsi="Arial" w:cs="Arial"/>
          <w:i/>
        </w:rPr>
      </w:pPr>
      <w:r w:rsidRPr="006111EA">
        <w:rPr>
          <w:rFonts w:ascii="Arial" w:hAnsi="Arial" w:cs="Arial"/>
          <w:i/>
        </w:rPr>
        <w:t>2.4.1 Description of energyPRO software</w:t>
      </w:r>
    </w:p>
    <w:p w14:paraId="1B5C3D0E" w14:textId="5C7A2D26" w:rsidR="00772D4F" w:rsidRPr="00C95F62" w:rsidRDefault="00A3230E" w:rsidP="006111EA">
      <w:pPr>
        <w:pStyle w:val="PlainText"/>
        <w:jc w:val="both"/>
        <w:rPr>
          <w:rFonts w:ascii="Arial" w:hAnsi="Arial" w:cs="Arial"/>
        </w:rPr>
      </w:pPr>
      <w:r w:rsidRPr="00B3001C">
        <w:rPr>
          <w:rFonts w:ascii="Arial" w:hAnsi="Arial" w:cs="Arial"/>
        </w:rPr>
        <w:t xml:space="preserve">A commercial software </w:t>
      </w:r>
      <w:r>
        <w:rPr>
          <w:rFonts w:ascii="Arial" w:hAnsi="Arial" w:cs="Arial"/>
        </w:rPr>
        <w:t xml:space="preserve">modelling tool, </w:t>
      </w:r>
      <w:r w:rsidR="00BE4D30">
        <w:rPr>
          <w:rFonts w:ascii="Arial" w:hAnsi="Arial" w:cs="Arial"/>
        </w:rPr>
        <w:t>e</w:t>
      </w:r>
      <w:r>
        <w:rPr>
          <w:rFonts w:ascii="Arial" w:hAnsi="Arial" w:cs="Arial"/>
        </w:rPr>
        <w:t>nergyPRO</w:t>
      </w:r>
      <w:r w:rsidR="00BE4D30">
        <w:rPr>
          <w:rFonts w:ascii="Arial" w:hAnsi="Arial" w:cs="Arial"/>
        </w:rPr>
        <w:t xml:space="preserve"> </w:t>
      </w:r>
      <w:r w:rsidR="00677F83">
        <w:rPr>
          <w:rFonts w:ascii="Arial" w:hAnsi="Arial" w:cs="Arial"/>
        </w:rPr>
        <w:fldChar w:fldCharType="begin"/>
      </w:r>
      <w:r w:rsidR="00C07F78">
        <w:rPr>
          <w:rFonts w:ascii="Arial" w:hAnsi="Arial" w:cs="Arial"/>
        </w:rPr>
        <w:instrText xml:space="preserve"> ADDIN ZOTERO_ITEM CSL_CITATION {"citationID":"JIs9I2SS","properties":{"formattedCitation":"(EMD, 2014)","plainCitation":"(EMD, 2014)","noteIndex":0},"citationItems":[{"id":23,"uris":["http://zotero.org/users/local/b5kcWd7h/items/XRNC4RFM"],"uri":["http://zotero.org/users/local/b5kcWd7h/items/XRNC4RFM"],"itemData":{"id":23,"type":"post-weblog","abstract":"energyPRO is an energy modelling tool for analyzing, simulating and optimizing the operation of distributed energy systems e.g. district heating and cooling","container-title":"EMD International A/S","language":"en-US","title":"energyPRO - Simulate, analyze and optimize operations of energy plants","URL":"https://www.emd.dk/energypro/","author":[{"family":"EMD","given":""}],"accessed":{"date-parts":[["2019",6,26]]},"issued":{"date-parts":[["2014",8,12]]}}}],"schema":"https://github.com/citation-style-language/schema/raw/master/csl-citation.json"} </w:instrText>
      </w:r>
      <w:r w:rsidR="00677F83">
        <w:rPr>
          <w:rFonts w:ascii="Arial" w:hAnsi="Arial" w:cs="Arial"/>
        </w:rPr>
        <w:fldChar w:fldCharType="separate"/>
      </w:r>
      <w:r w:rsidR="00677F83" w:rsidRPr="00A60F85">
        <w:rPr>
          <w:rFonts w:ascii="Arial" w:hAnsi="Arial" w:cs="Arial"/>
        </w:rPr>
        <w:t>(EMD, 2014)</w:t>
      </w:r>
      <w:r w:rsidR="00677F83">
        <w:rPr>
          <w:rFonts w:ascii="Arial" w:hAnsi="Arial" w:cs="Arial"/>
        </w:rPr>
        <w:fldChar w:fldCharType="end"/>
      </w:r>
      <w:r>
        <w:rPr>
          <w:rFonts w:ascii="Arial" w:hAnsi="Arial" w:cs="Arial"/>
        </w:rPr>
        <w:t xml:space="preserve"> </w:t>
      </w:r>
      <w:r w:rsidRPr="00B3001C">
        <w:rPr>
          <w:rFonts w:ascii="Arial" w:hAnsi="Arial" w:cs="Arial"/>
        </w:rPr>
        <w:t xml:space="preserve">was </w:t>
      </w:r>
      <w:r w:rsidR="008B6728">
        <w:rPr>
          <w:rFonts w:ascii="Arial" w:hAnsi="Arial" w:cs="Arial"/>
        </w:rPr>
        <w:t>utilis</w:t>
      </w:r>
      <w:r w:rsidR="008B6728" w:rsidRPr="00B3001C">
        <w:rPr>
          <w:rFonts w:ascii="Arial" w:hAnsi="Arial" w:cs="Arial"/>
        </w:rPr>
        <w:t>ed</w:t>
      </w:r>
      <w:r w:rsidRPr="00B3001C">
        <w:rPr>
          <w:rFonts w:ascii="Arial" w:hAnsi="Arial" w:cs="Arial"/>
        </w:rPr>
        <w:t xml:space="preserve"> </w:t>
      </w:r>
      <w:r w:rsidR="00772D4F">
        <w:rPr>
          <w:rFonts w:ascii="Arial" w:hAnsi="Arial" w:cs="Arial"/>
        </w:rPr>
        <w:t xml:space="preserve">to investigate the local energy system. </w:t>
      </w:r>
      <w:r w:rsidR="00772D4F" w:rsidRPr="00C95F62">
        <w:rPr>
          <w:rFonts w:ascii="Arial" w:hAnsi="Arial" w:cs="Arial"/>
        </w:rPr>
        <w:t xml:space="preserve">energyPRO is a Danish software product developed to allow the techno-economic modelling of complex energy </w:t>
      </w:r>
      <w:r w:rsidR="004A23CD">
        <w:rPr>
          <w:rFonts w:ascii="Arial" w:hAnsi="Arial" w:cs="Arial"/>
        </w:rPr>
        <w:t>systems</w:t>
      </w:r>
      <w:r w:rsidR="00772D4F" w:rsidRPr="00C95F62">
        <w:rPr>
          <w:rFonts w:ascii="Arial" w:hAnsi="Arial" w:cs="Arial"/>
        </w:rPr>
        <w:t xml:space="preserve">. It was originally developed in the context of the Danish developed </w:t>
      </w:r>
      <w:r w:rsidR="004A23CD">
        <w:rPr>
          <w:rFonts w:ascii="Arial" w:hAnsi="Arial" w:cs="Arial"/>
        </w:rPr>
        <w:t xml:space="preserve">networks </w:t>
      </w:r>
      <w:r w:rsidR="00772D4F" w:rsidRPr="00C95F62">
        <w:rPr>
          <w:rFonts w:ascii="Arial" w:hAnsi="Arial" w:cs="Arial"/>
        </w:rPr>
        <w:t xml:space="preserve">of district heating and cooling systems from the 1970s onwards but has subsequently has been adapted to allow the modelling of virtually any energy system. In the 1990's modules were added in collaboration with the World Bank to allow financial outputs to be </w:t>
      </w:r>
      <w:r w:rsidR="00371C95">
        <w:rPr>
          <w:rFonts w:ascii="Arial" w:hAnsi="Arial" w:cs="Arial"/>
        </w:rPr>
        <w:t>investigated</w:t>
      </w:r>
      <w:r w:rsidR="004A23CD">
        <w:rPr>
          <w:rFonts w:ascii="Arial" w:hAnsi="Arial" w:cs="Arial"/>
        </w:rPr>
        <w:t xml:space="preserve"> also</w:t>
      </w:r>
      <w:r w:rsidR="00371C95">
        <w:rPr>
          <w:rFonts w:ascii="Arial" w:hAnsi="Arial" w:cs="Arial"/>
        </w:rPr>
        <w:t>. In the model h</w:t>
      </w:r>
      <w:r w:rsidR="00772D4F" w:rsidRPr="00C95F62">
        <w:rPr>
          <w:rFonts w:ascii="Arial" w:hAnsi="Arial" w:cs="Arial"/>
        </w:rPr>
        <w:t xml:space="preserve">eat, process heat, cooling </w:t>
      </w:r>
      <w:r w:rsidR="008A6745" w:rsidRPr="00C95F62">
        <w:rPr>
          <w:rFonts w:ascii="Arial" w:hAnsi="Arial" w:cs="Arial"/>
        </w:rPr>
        <w:t>and electricity</w:t>
      </w:r>
      <w:r w:rsidR="00772D4F" w:rsidRPr="00C95F62">
        <w:rPr>
          <w:rFonts w:ascii="Arial" w:hAnsi="Arial" w:cs="Arial"/>
        </w:rPr>
        <w:t xml:space="preserve"> demands can be simulated down to a resolution of 1 minute intervals together with their supply by whatever system is specified. Energy system components that can be modelled include:</w:t>
      </w:r>
      <w:r w:rsidR="00371C95">
        <w:rPr>
          <w:rFonts w:ascii="Arial" w:hAnsi="Arial" w:cs="Arial"/>
        </w:rPr>
        <w:t xml:space="preserve"> </w:t>
      </w:r>
      <w:r w:rsidR="00772D4F" w:rsidRPr="00C95F62">
        <w:rPr>
          <w:rFonts w:ascii="Arial" w:hAnsi="Arial" w:cs="Arial"/>
        </w:rPr>
        <w:t xml:space="preserve">Combined heat and power, Heat pumps, Solar thermal, Solar photovoltaics, Hybrid energy systems, Wind turbines, Batteries, Electric boilers, Electric/Absorption chillers, Thermal stores, Geothermal energy, Biomass, biogas and other fuel, etc. </w:t>
      </w:r>
      <w:r w:rsidR="00371C95">
        <w:rPr>
          <w:rFonts w:ascii="Arial" w:hAnsi="Arial" w:cs="Arial"/>
        </w:rPr>
        <w:t xml:space="preserve">It </w:t>
      </w:r>
      <w:r w:rsidR="00772D4F" w:rsidRPr="00C95F62">
        <w:rPr>
          <w:rFonts w:ascii="Arial" w:hAnsi="Arial" w:cs="Arial"/>
        </w:rPr>
        <w:t>uses half hourly supply/demand data alongside complex electricity tariffs, control strategies and Demand Side Management (DSM). The tool has a capability to optimise the operation of any combination of energy supply and demand including the modelled system in accordance to all preconditions such as weather conditions, technical properties of the different units, maintenance costs, fuel prices, electricity tariffs, taxes, subsidies, etc.</w:t>
      </w:r>
      <w:r w:rsidR="00F9434C">
        <w:rPr>
          <w:rFonts w:ascii="Arial" w:hAnsi="Arial" w:cs="Arial"/>
        </w:rPr>
        <w:t xml:space="preserve"> </w:t>
      </w:r>
      <w:r w:rsidR="00772D4F" w:rsidRPr="00C95F62">
        <w:rPr>
          <w:rFonts w:ascii="Arial" w:hAnsi="Arial" w:cs="Arial"/>
        </w:rPr>
        <w:t xml:space="preserve">The software offers a range of technical and economic reports including graphical presentation of the simulated operation which provides an overview and in-depth understanding of the dynamics in a complex energy system. </w:t>
      </w:r>
    </w:p>
    <w:p w14:paraId="34241F3E" w14:textId="3C9F0080" w:rsidR="00772D4F" w:rsidRDefault="00772D4F" w:rsidP="00C95F62">
      <w:pPr>
        <w:pStyle w:val="PlainText"/>
      </w:pPr>
    </w:p>
    <w:p w14:paraId="6168F945" w14:textId="744CC746" w:rsidR="00AF05B7" w:rsidRPr="006111EA" w:rsidRDefault="00D51DA7" w:rsidP="00AF05B7">
      <w:pPr>
        <w:pStyle w:val="PlainText"/>
        <w:rPr>
          <w:rFonts w:ascii="Arial" w:hAnsi="Arial" w:cs="Arial"/>
          <w:bCs/>
          <w:i/>
          <w:szCs w:val="22"/>
        </w:rPr>
      </w:pPr>
      <w:r w:rsidRPr="006111EA">
        <w:rPr>
          <w:rFonts w:ascii="Arial" w:hAnsi="Arial" w:cs="Arial"/>
          <w:i/>
          <w:szCs w:val="22"/>
        </w:rPr>
        <w:t>2.4.</w:t>
      </w:r>
      <w:r w:rsidR="00772D4F" w:rsidRPr="006111EA">
        <w:rPr>
          <w:rFonts w:ascii="Arial" w:hAnsi="Arial" w:cs="Arial"/>
          <w:i/>
          <w:szCs w:val="22"/>
        </w:rPr>
        <w:t>2</w:t>
      </w:r>
      <w:r w:rsidRPr="006111EA">
        <w:rPr>
          <w:rFonts w:ascii="Arial" w:hAnsi="Arial" w:cs="Arial"/>
          <w:i/>
          <w:szCs w:val="22"/>
        </w:rPr>
        <w:t xml:space="preserve"> </w:t>
      </w:r>
      <w:r w:rsidR="00AF05B7" w:rsidRPr="006111EA">
        <w:rPr>
          <w:rFonts w:ascii="Arial" w:hAnsi="Arial" w:cs="Arial"/>
          <w:bCs/>
          <w:i/>
          <w:szCs w:val="22"/>
        </w:rPr>
        <w:t>Overall model structure and key individual components</w:t>
      </w:r>
    </w:p>
    <w:p w14:paraId="4085B826" w14:textId="64F65D0C" w:rsidR="00772D4F" w:rsidRDefault="00772D4F" w:rsidP="00AF05B7">
      <w:pPr>
        <w:pStyle w:val="PlainText"/>
        <w:rPr>
          <w:rFonts w:ascii="Arial" w:hAnsi="Arial" w:cs="Arial"/>
          <w:b/>
          <w:bCs/>
          <w:szCs w:val="22"/>
        </w:rPr>
      </w:pPr>
    </w:p>
    <w:p w14:paraId="5A5C8DFE" w14:textId="5622F594" w:rsidR="00772D4F" w:rsidRDefault="00772D4F" w:rsidP="006111EA">
      <w:pPr>
        <w:pStyle w:val="PlainText"/>
        <w:jc w:val="both"/>
        <w:rPr>
          <w:rFonts w:ascii="Arial" w:hAnsi="Arial" w:cs="Arial"/>
          <w:szCs w:val="22"/>
        </w:rPr>
      </w:pPr>
      <w:r w:rsidRPr="00C95F62">
        <w:rPr>
          <w:rFonts w:ascii="Arial" w:hAnsi="Arial" w:cs="Arial"/>
          <w:szCs w:val="22"/>
        </w:rPr>
        <w:t xml:space="preserve">This section describes the </w:t>
      </w:r>
      <w:r>
        <w:rPr>
          <w:rFonts w:ascii="Arial" w:hAnsi="Arial" w:cs="Arial"/>
          <w:szCs w:val="22"/>
        </w:rPr>
        <w:t xml:space="preserve">overall model structure developed as well as how key individual components have been simulated and controlled. </w:t>
      </w:r>
    </w:p>
    <w:p w14:paraId="6B132006" w14:textId="77777777" w:rsidR="00772D4F" w:rsidRPr="00C95F62" w:rsidRDefault="00772D4F" w:rsidP="006111EA">
      <w:pPr>
        <w:pStyle w:val="PlainText"/>
        <w:jc w:val="both"/>
        <w:rPr>
          <w:rFonts w:ascii="Arial" w:hAnsi="Arial" w:cs="Arial"/>
          <w:szCs w:val="22"/>
        </w:rPr>
      </w:pPr>
    </w:p>
    <w:p w14:paraId="132FB63E" w14:textId="16340263" w:rsidR="00AF05B7" w:rsidRPr="00C95F62" w:rsidRDefault="00AF05B7" w:rsidP="006111EA">
      <w:pPr>
        <w:pStyle w:val="PlainText"/>
        <w:jc w:val="both"/>
        <w:rPr>
          <w:rFonts w:ascii="Arial" w:hAnsi="Arial" w:cs="Arial"/>
          <w:szCs w:val="22"/>
        </w:rPr>
      </w:pPr>
      <w:r w:rsidRPr="00C95F62">
        <w:rPr>
          <w:rFonts w:ascii="Arial" w:hAnsi="Arial" w:cs="Arial"/>
          <w:szCs w:val="22"/>
        </w:rPr>
        <w:t xml:space="preserve">The model allows half hourly demand data to be entered separately for each of the individual connections. Where </w:t>
      </w:r>
      <w:r w:rsidR="008A6745" w:rsidRPr="00C95F62">
        <w:rPr>
          <w:rFonts w:ascii="Arial" w:hAnsi="Arial" w:cs="Arial"/>
          <w:szCs w:val="22"/>
        </w:rPr>
        <w:t>half hourly</w:t>
      </w:r>
      <w:r w:rsidRPr="00C95F62">
        <w:rPr>
          <w:rFonts w:ascii="Arial" w:hAnsi="Arial" w:cs="Arial"/>
          <w:szCs w:val="22"/>
        </w:rPr>
        <w:t xml:space="preserve"> heat data was available this was entered directly into energyPRO. Where annual data or benchmark data was the only source, an hourly profile was created within energyPRO by use of an ambient temperature profile for the location obtained from the EU Copernicus project ERA5 data combined with a typical daily profile based on the likely control regime for the building type in question. A similar approach was used for cooling demands. Solar PV generation was based on energyPRO’s in built simulation using ERA5 hourly aggregated solar radiation and temperature data for the location.</w:t>
      </w:r>
    </w:p>
    <w:p w14:paraId="286F2AC3" w14:textId="77777777" w:rsidR="00AF05B7" w:rsidRPr="00C95F62" w:rsidRDefault="00AF05B7" w:rsidP="006111EA">
      <w:pPr>
        <w:pStyle w:val="PlainText"/>
        <w:jc w:val="both"/>
        <w:rPr>
          <w:rFonts w:ascii="Arial" w:hAnsi="Arial" w:cs="Arial"/>
          <w:szCs w:val="22"/>
        </w:rPr>
      </w:pPr>
    </w:p>
    <w:p w14:paraId="4BC84432" w14:textId="60DA68A5" w:rsidR="00AF05B7" w:rsidRPr="00C95F62" w:rsidRDefault="00AF05B7" w:rsidP="006111EA">
      <w:pPr>
        <w:jc w:val="both"/>
        <w:rPr>
          <w:rFonts w:ascii="Arial" w:hAnsi="Arial" w:cs="Arial"/>
        </w:rPr>
      </w:pPr>
      <w:r w:rsidRPr="00C95F62">
        <w:rPr>
          <w:rFonts w:ascii="Arial" w:hAnsi="Arial" w:cs="Arial"/>
        </w:rPr>
        <w:t xml:space="preserve">A schematic of the overall energyPRO model used in the analysis for Scheme B is shown </w:t>
      </w:r>
      <w:r w:rsidR="00CC0051">
        <w:rPr>
          <w:rFonts w:ascii="Arial" w:hAnsi="Arial" w:cs="Arial"/>
        </w:rPr>
        <w:t xml:space="preserve">in Figure </w:t>
      </w:r>
      <w:r w:rsidR="001B7CBF">
        <w:rPr>
          <w:rFonts w:ascii="Arial" w:hAnsi="Arial" w:cs="Arial"/>
        </w:rPr>
        <w:t>6</w:t>
      </w:r>
      <w:r w:rsidRPr="00C95F62">
        <w:rPr>
          <w:rFonts w:ascii="Arial" w:hAnsi="Arial" w:cs="Arial"/>
        </w:rPr>
        <w:t xml:space="preserve">. The </w:t>
      </w:r>
      <w:r w:rsidR="001B7CBF">
        <w:rPr>
          <w:rFonts w:ascii="Arial" w:hAnsi="Arial" w:cs="Arial"/>
        </w:rPr>
        <w:t>two</w:t>
      </w:r>
      <w:r w:rsidRPr="00C95F62">
        <w:rPr>
          <w:rFonts w:ascii="Arial" w:hAnsi="Arial" w:cs="Arial"/>
        </w:rPr>
        <w:t xml:space="preserve"> schemes were modelled in separate project files. Variations of the core model were then created as tabs within the software allowing direct comparison of different scenarios. The individual heat pumps were modelled as a 3 combined units initially for the Limitless Aquifer scenario. These were:</w:t>
      </w:r>
    </w:p>
    <w:p w14:paraId="5CED0555" w14:textId="77777777" w:rsidR="00AF05B7" w:rsidRPr="00C95F62" w:rsidRDefault="00AF05B7" w:rsidP="00AF05B7">
      <w:pPr>
        <w:pStyle w:val="ListParagraph"/>
        <w:numPr>
          <w:ilvl w:val="0"/>
          <w:numId w:val="9"/>
        </w:numPr>
        <w:spacing w:after="120" w:line="288" w:lineRule="auto"/>
        <w:rPr>
          <w:rFonts w:ascii="Arial" w:hAnsi="Arial" w:cs="Arial"/>
        </w:rPr>
      </w:pPr>
      <w:r w:rsidRPr="00C95F62">
        <w:rPr>
          <w:rFonts w:ascii="Arial" w:hAnsi="Arial" w:cs="Arial"/>
        </w:rPr>
        <w:t>A combined heating and cooling heat pump</w:t>
      </w:r>
    </w:p>
    <w:p w14:paraId="0BF27F8C" w14:textId="77777777" w:rsidR="00AF05B7" w:rsidRPr="00C95F62" w:rsidRDefault="00AF05B7" w:rsidP="00AF05B7">
      <w:pPr>
        <w:pStyle w:val="ListParagraph"/>
        <w:numPr>
          <w:ilvl w:val="0"/>
          <w:numId w:val="9"/>
        </w:numPr>
        <w:spacing w:after="120" w:line="288" w:lineRule="auto"/>
        <w:rPr>
          <w:rFonts w:ascii="Arial" w:hAnsi="Arial" w:cs="Arial"/>
        </w:rPr>
      </w:pPr>
      <w:r w:rsidRPr="00C95F62">
        <w:rPr>
          <w:rFonts w:ascii="Arial" w:hAnsi="Arial" w:cs="Arial"/>
        </w:rPr>
        <w:t>A heating only heat pump</w:t>
      </w:r>
    </w:p>
    <w:p w14:paraId="7113E663" w14:textId="77777777" w:rsidR="00AF05B7" w:rsidRPr="00C95F62" w:rsidRDefault="00AF05B7" w:rsidP="00AF05B7">
      <w:pPr>
        <w:pStyle w:val="ListParagraph"/>
        <w:numPr>
          <w:ilvl w:val="0"/>
          <w:numId w:val="9"/>
        </w:numPr>
        <w:spacing w:after="120" w:line="288" w:lineRule="auto"/>
        <w:rPr>
          <w:rFonts w:ascii="Arial" w:hAnsi="Arial" w:cs="Arial"/>
        </w:rPr>
      </w:pPr>
      <w:r w:rsidRPr="00C95F62">
        <w:rPr>
          <w:rFonts w:ascii="Arial" w:hAnsi="Arial" w:cs="Arial"/>
        </w:rPr>
        <w:t>A (free) cooling only unit</w:t>
      </w:r>
    </w:p>
    <w:p w14:paraId="237A5D93" w14:textId="77777777" w:rsidR="00AF05B7" w:rsidRPr="00C95F62" w:rsidRDefault="00AF05B7" w:rsidP="006111EA">
      <w:pPr>
        <w:jc w:val="both"/>
        <w:rPr>
          <w:rFonts w:ascii="Arial" w:hAnsi="Arial" w:cs="Arial"/>
        </w:rPr>
      </w:pPr>
      <w:r w:rsidRPr="00C95F62">
        <w:rPr>
          <w:rFonts w:ascii="Arial" w:hAnsi="Arial" w:cs="Arial"/>
        </w:rPr>
        <w:t xml:space="preserve">Dependency was set so the combined heating and cooling heat pump could not operate when the 2 other units were operational and vice versa. Furthermore the cooling only heat pump could only operate when the heating only heat pump could operate.  The purpose of these 3 units was to simulate the possible modes of operation – simultaneous heating and cooling and heating only. In the limitless aquifer scenario (free) cooling only is not possible – because </w:t>
      </w:r>
      <w:r w:rsidRPr="00C95F62">
        <w:rPr>
          <w:rFonts w:ascii="Arial" w:hAnsi="Arial" w:cs="Arial"/>
        </w:rPr>
        <w:lastRenderedPageBreak/>
        <w:t xml:space="preserve">without heating, cooling cannot be created at the correct temperature and – as the aquifer is deemed limitless - it cannot store heat or coolth. </w:t>
      </w:r>
    </w:p>
    <w:p w14:paraId="2864A2C0" w14:textId="77777777" w:rsidR="00AF05B7" w:rsidRPr="00C95F62" w:rsidRDefault="00AF05B7" w:rsidP="006111EA">
      <w:pPr>
        <w:jc w:val="both"/>
        <w:rPr>
          <w:rFonts w:ascii="Arial" w:hAnsi="Arial" w:cs="Arial"/>
        </w:rPr>
      </w:pPr>
      <w:r w:rsidRPr="00C95F62">
        <w:rPr>
          <w:rFonts w:ascii="Arial" w:hAnsi="Arial" w:cs="Arial"/>
        </w:rPr>
        <w:t>In the ATES scenario only 2 units are required because of the ability to create hot and cold wells. Further in this scenario a limit was placed on the annual amount of coolth that could be created by the heat pumps. This was calculated from the sum of the annual heating demands – minus the compressor power input. The result was such that in Scheme B some use of conventional electric chillers would be required.</w:t>
      </w:r>
    </w:p>
    <w:p w14:paraId="37C46B21" w14:textId="77777777" w:rsidR="00AF05B7" w:rsidRPr="00C95F62" w:rsidRDefault="00AF05B7" w:rsidP="00AF05B7">
      <w:pPr>
        <w:rPr>
          <w:rFonts w:ascii="Arial" w:hAnsi="Arial" w:cs="Arial"/>
        </w:rPr>
      </w:pPr>
    </w:p>
    <w:p w14:paraId="346FAA89" w14:textId="77777777" w:rsidR="00AF05B7" w:rsidRPr="00C95F62" w:rsidRDefault="00AF05B7" w:rsidP="00AF05B7">
      <w:pPr>
        <w:rPr>
          <w:rFonts w:ascii="Arial" w:hAnsi="Arial" w:cs="Arial"/>
        </w:rPr>
      </w:pPr>
      <w:r w:rsidRPr="00C95F62">
        <w:rPr>
          <w:rFonts w:ascii="Arial" w:hAnsi="Arial" w:cs="Arial"/>
          <w:noProof/>
          <w:lang w:eastAsia="en-GB"/>
        </w:rPr>
        <w:drawing>
          <wp:inline distT="0" distB="0" distL="0" distR="0" wp14:anchorId="2DEE913A" wp14:editId="18726673">
            <wp:extent cx="5597878" cy="3365500"/>
            <wp:effectExtent l="0" t="0" r="317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01269" cy="3367539"/>
                    </a:xfrm>
                    <a:prstGeom prst="rect">
                      <a:avLst/>
                    </a:prstGeom>
                  </pic:spPr>
                </pic:pic>
              </a:graphicData>
            </a:graphic>
          </wp:inline>
        </w:drawing>
      </w:r>
    </w:p>
    <w:p w14:paraId="3AEE1C6B" w14:textId="35ED7DCC" w:rsidR="00AF05B7" w:rsidRPr="003B4E27" w:rsidRDefault="00AF05B7" w:rsidP="006111EA">
      <w:pPr>
        <w:pStyle w:val="Caption"/>
        <w:jc w:val="center"/>
        <w:rPr>
          <w:rFonts w:ascii="Arial" w:hAnsi="Arial" w:cs="Arial"/>
          <w:b/>
        </w:rPr>
      </w:pPr>
      <w:bookmarkStart w:id="0" w:name="_Toc14637632"/>
      <w:r w:rsidRPr="003B4E27">
        <w:rPr>
          <w:rFonts w:ascii="Arial" w:hAnsi="Arial" w:cs="Arial"/>
          <w:b/>
        </w:rPr>
        <w:t xml:space="preserve">Figure </w:t>
      </w:r>
      <w:r w:rsidR="001B7CBF">
        <w:rPr>
          <w:rFonts w:ascii="Arial" w:hAnsi="Arial" w:cs="Arial"/>
          <w:b/>
        </w:rPr>
        <w:t>6</w:t>
      </w:r>
      <w:r w:rsidRPr="003B4E27">
        <w:rPr>
          <w:rFonts w:ascii="Arial" w:hAnsi="Arial" w:cs="Arial"/>
          <w:b/>
        </w:rPr>
        <w:t xml:space="preserve"> energyPRO Schematic for Scheme B</w:t>
      </w:r>
      <w:bookmarkEnd w:id="0"/>
    </w:p>
    <w:p w14:paraId="5BC4F5C2" w14:textId="77777777" w:rsidR="00AF05B7" w:rsidRPr="00C95F62" w:rsidRDefault="00AF05B7" w:rsidP="003B4E27">
      <w:pPr>
        <w:jc w:val="both"/>
        <w:rPr>
          <w:rFonts w:ascii="Arial" w:hAnsi="Arial" w:cs="Arial"/>
        </w:rPr>
      </w:pPr>
      <w:r w:rsidRPr="00C95F62">
        <w:rPr>
          <w:rFonts w:ascii="Arial" w:hAnsi="Arial" w:cs="Arial"/>
        </w:rPr>
        <w:t>In order to size the heat pumps and stores for each energy centre a more detailed model was developed where each energy centre was modelled as a separate site. The model above shows the heat pumps and thermal stores combined.</w:t>
      </w:r>
    </w:p>
    <w:p w14:paraId="759BBA2E" w14:textId="2B22E57C" w:rsidR="00AF05B7" w:rsidRPr="003B4E27" w:rsidRDefault="00FB6B71" w:rsidP="00AF05B7">
      <w:pPr>
        <w:pStyle w:val="PlainText"/>
        <w:rPr>
          <w:rFonts w:ascii="Arial" w:hAnsi="Arial" w:cs="Arial"/>
          <w:bCs/>
          <w:i/>
          <w:szCs w:val="22"/>
        </w:rPr>
      </w:pPr>
      <w:r w:rsidRPr="003B4E27">
        <w:rPr>
          <w:rFonts w:ascii="Arial" w:hAnsi="Arial" w:cs="Arial"/>
          <w:bCs/>
          <w:i/>
          <w:szCs w:val="22"/>
        </w:rPr>
        <w:t xml:space="preserve">2.4.2.1 </w:t>
      </w:r>
      <w:r w:rsidR="00AF05B7" w:rsidRPr="003B4E27">
        <w:rPr>
          <w:rFonts w:ascii="Arial" w:hAnsi="Arial" w:cs="Arial"/>
          <w:bCs/>
          <w:i/>
          <w:szCs w:val="22"/>
        </w:rPr>
        <w:t>Modelling of storage and EV</w:t>
      </w:r>
    </w:p>
    <w:p w14:paraId="724261A2" w14:textId="77777777" w:rsidR="00AF05B7" w:rsidRPr="00C95F62" w:rsidRDefault="00AF05B7" w:rsidP="003B4E27">
      <w:pPr>
        <w:pStyle w:val="PlainText"/>
        <w:jc w:val="both"/>
        <w:rPr>
          <w:rFonts w:ascii="Arial" w:hAnsi="Arial" w:cs="Arial"/>
          <w:szCs w:val="22"/>
        </w:rPr>
      </w:pPr>
      <w:r w:rsidRPr="00C95F62">
        <w:rPr>
          <w:rFonts w:ascii="Arial" w:hAnsi="Arial" w:cs="Arial"/>
          <w:szCs w:val="22"/>
        </w:rPr>
        <w:t>Various forms of the storage were modelled both thermal and electrical – depending on the scenario. These were:</w:t>
      </w:r>
    </w:p>
    <w:p w14:paraId="77A8657B" w14:textId="77777777" w:rsidR="00AF05B7" w:rsidRPr="00C95F62" w:rsidRDefault="00AF05B7" w:rsidP="00AF05B7">
      <w:pPr>
        <w:pStyle w:val="PlainText"/>
        <w:numPr>
          <w:ilvl w:val="0"/>
          <w:numId w:val="10"/>
        </w:numPr>
        <w:rPr>
          <w:rFonts w:ascii="Arial" w:hAnsi="Arial" w:cs="Arial"/>
          <w:szCs w:val="22"/>
        </w:rPr>
      </w:pPr>
      <w:r w:rsidRPr="00C95F62">
        <w:rPr>
          <w:rFonts w:ascii="Arial" w:hAnsi="Arial" w:cs="Arial"/>
          <w:szCs w:val="22"/>
        </w:rPr>
        <w:t xml:space="preserve">Thermal stores in each plant room </w:t>
      </w:r>
    </w:p>
    <w:p w14:paraId="124A139A" w14:textId="77777777" w:rsidR="00AF05B7" w:rsidRPr="00C95F62" w:rsidRDefault="00AF05B7" w:rsidP="00AF05B7">
      <w:pPr>
        <w:pStyle w:val="PlainText"/>
        <w:numPr>
          <w:ilvl w:val="0"/>
          <w:numId w:val="10"/>
        </w:numPr>
        <w:rPr>
          <w:rFonts w:ascii="Arial" w:hAnsi="Arial" w:cs="Arial"/>
          <w:szCs w:val="22"/>
        </w:rPr>
      </w:pPr>
      <w:r w:rsidRPr="00C95F62">
        <w:rPr>
          <w:rFonts w:ascii="Arial" w:hAnsi="Arial" w:cs="Arial"/>
          <w:szCs w:val="22"/>
        </w:rPr>
        <w:t>Aquifer thermal energy storage (ATES)</w:t>
      </w:r>
    </w:p>
    <w:p w14:paraId="3EDEAE6C" w14:textId="77777777" w:rsidR="00AF05B7" w:rsidRPr="00C95F62" w:rsidRDefault="00AF05B7" w:rsidP="00AF05B7">
      <w:pPr>
        <w:pStyle w:val="PlainText"/>
        <w:numPr>
          <w:ilvl w:val="0"/>
          <w:numId w:val="10"/>
        </w:numPr>
        <w:rPr>
          <w:rFonts w:ascii="Arial" w:hAnsi="Arial" w:cs="Arial"/>
          <w:szCs w:val="22"/>
        </w:rPr>
      </w:pPr>
      <w:r w:rsidRPr="00C95F62">
        <w:rPr>
          <w:rFonts w:ascii="Arial" w:hAnsi="Arial" w:cs="Arial"/>
          <w:szCs w:val="22"/>
        </w:rPr>
        <w:t>Dedicated battery storage</w:t>
      </w:r>
    </w:p>
    <w:p w14:paraId="7FD636E7" w14:textId="58E02E47" w:rsidR="00AF05B7" w:rsidRDefault="00AF05B7" w:rsidP="00AF05B7">
      <w:pPr>
        <w:pStyle w:val="PlainText"/>
        <w:numPr>
          <w:ilvl w:val="0"/>
          <w:numId w:val="10"/>
        </w:numPr>
        <w:rPr>
          <w:rFonts w:ascii="Arial" w:hAnsi="Arial" w:cs="Arial"/>
          <w:szCs w:val="22"/>
        </w:rPr>
      </w:pPr>
      <w:r w:rsidRPr="00C95F62">
        <w:rPr>
          <w:rFonts w:ascii="Arial" w:hAnsi="Arial" w:cs="Arial"/>
          <w:szCs w:val="22"/>
        </w:rPr>
        <w:t>EV battery storage/V2G</w:t>
      </w:r>
    </w:p>
    <w:p w14:paraId="2B5C313C" w14:textId="77777777" w:rsidR="00772D4F" w:rsidRPr="00C95F62" w:rsidRDefault="00772D4F" w:rsidP="00C95F62">
      <w:pPr>
        <w:pStyle w:val="PlainText"/>
        <w:ind w:left="720"/>
        <w:rPr>
          <w:rFonts w:ascii="Arial" w:hAnsi="Arial" w:cs="Arial"/>
          <w:szCs w:val="22"/>
        </w:rPr>
      </w:pPr>
    </w:p>
    <w:p w14:paraId="58053BAB" w14:textId="12F7517E" w:rsidR="00AF05B7" w:rsidRPr="003B4E27" w:rsidRDefault="00FB6B71" w:rsidP="00AF05B7">
      <w:pPr>
        <w:pStyle w:val="PlainText"/>
        <w:rPr>
          <w:rFonts w:ascii="Arial" w:hAnsi="Arial" w:cs="Arial"/>
          <w:bCs/>
          <w:i/>
          <w:szCs w:val="22"/>
        </w:rPr>
      </w:pPr>
      <w:r w:rsidRPr="003B4E27">
        <w:rPr>
          <w:rFonts w:ascii="Arial" w:hAnsi="Arial" w:cs="Arial"/>
          <w:bCs/>
          <w:i/>
          <w:szCs w:val="22"/>
        </w:rPr>
        <w:t xml:space="preserve">2.4.2.2 </w:t>
      </w:r>
      <w:r w:rsidR="00AF05B7" w:rsidRPr="003B4E27">
        <w:rPr>
          <w:rFonts w:ascii="Arial" w:hAnsi="Arial" w:cs="Arial"/>
          <w:bCs/>
          <w:i/>
          <w:szCs w:val="22"/>
        </w:rPr>
        <w:t>Thermal Stores</w:t>
      </w:r>
    </w:p>
    <w:p w14:paraId="5BCF03C8" w14:textId="1628EF46" w:rsidR="00AF05B7" w:rsidRDefault="00AF05B7" w:rsidP="003B4E27">
      <w:pPr>
        <w:pStyle w:val="PlainText"/>
        <w:jc w:val="both"/>
        <w:rPr>
          <w:rFonts w:ascii="Arial" w:hAnsi="Arial" w:cs="Arial"/>
          <w:szCs w:val="22"/>
        </w:rPr>
      </w:pPr>
      <w:r w:rsidRPr="00C95F62">
        <w:rPr>
          <w:rFonts w:ascii="Arial" w:hAnsi="Arial" w:cs="Arial"/>
          <w:szCs w:val="22"/>
        </w:rPr>
        <w:t>These were assumed to be operating at 77/55</w:t>
      </w:r>
      <w:r w:rsidR="00CC0051" w:rsidRPr="0059008F">
        <w:rPr>
          <w:rFonts w:ascii="Arial" w:hAnsi="Arial" w:cs="Arial"/>
        </w:rPr>
        <w:t xml:space="preserve">°C </w:t>
      </w:r>
      <w:r w:rsidRPr="00C95F62">
        <w:rPr>
          <w:rFonts w:ascii="Arial" w:hAnsi="Arial" w:cs="Arial"/>
          <w:szCs w:val="22"/>
        </w:rPr>
        <w:t xml:space="preserve"> and energyPRO calculates and with 90% of the volume useable. The software calculates the energy storage potential. Losses were modelled from these stores at an assumed ambient temperature of 20</w:t>
      </w:r>
      <w:r w:rsidR="001B7CBF">
        <w:rPr>
          <w:rFonts w:ascii="Arial" w:hAnsi="Arial" w:cs="Arial"/>
        </w:rPr>
        <w:t>°C</w:t>
      </w:r>
      <w:r w:rsidRPr="00C95F62">
        <w:rPr>
          <w:rFonts w:ascii="Arial" w:hAnsi="Arial" w:cs="Arial"/>
          <w:szCs w:val="22"/>
        </w:rPr>
        <w:t>.</w:t>
      </w:r>
    </w:p>
    <w:p w14:paraId="5A687491" w14:textId="77777777" w:rsidR="00772D4F" w:rsidRPr="00C95F62" w:rsidRDefault="00772D4F" w:rsidP="00AF05B7">
      <w:pPr>
        <w:pStyle w:val="PlainText"/>
        <w:rPr>
          <w:rFonts w:ascii="Arial" w:hAnsi="Arial" w:cs="Arial"/>
          <w:szCs w:val="22"/>
        </w:rPr>
      </w:pPr>
    </w:p>
    <w:p w14:paraId="2FD108BE" w14:textId="52E019AA" w:rsidR="00AF05B7" w:rsidRPr="003B4E27" w:rsidRDefault="00FB6B71" w:rsidP="00AF05B7">
      <w:pPr>
        <w:pStyle w:val="PlainText"/>
        <w:rPr>
          <w:rFonts w:ascii="Arial" w:hAnsi="Arial" w:cs="Arial"/>
          <w:bCs/>
          <w:i/>
          <w:szCs w:val="22"/>
        </w:rPr>
      </w:pPr>
      <w:r w:rsidRPr="003B4E27">
        <w:rPr>
          <w:rFonts w:ascii="Arial" w:hAnsi="Arial" w:cs="Arial"/>
          <w:bCs/>
          <w:i/>
          <w:szCs w:val="22"/>
        </w:rPr>
        <w:t xml:space="preserve">2.4.2.3 </w:t>
      </w:r>
      <w:r w:rsidR="00AF05B7" w:rsidRPr="003B4E27">
        <w:rPr>
          <w:rFonts w:ascii="Arial" w:hAnsi="Arial" w:cs="Arial"/>
          <w:bCs/>
          <w:i/>
          <w:szCs w:val="22"/>
        </w:rPr>
        <w:t>Aquifer Thermal Energy Storage</w:t>
      </w:r>
    </w:p>
    <w:p w14:paraId="6EB220FE" w14:textId="33F4D1C6" w:rsidR="00AF05B7" w:rsidRDefault="00AF05B7" w:rsidP="003B4E27">
      <w:pPr>
        <w:pStyle w:val="PlainText"/>
        <w:jc w:val="both"/>
        <w:rPr>
          <w:rFonts w:ascii="Arial" w:hAnsi="Arial" w:cs="Arial"/>
          <w:szCs w:val="22"/>
        </w:rPr>
      </w:pPr>
      <w:r w:rsidRPr="00C95F62">
        <w:rPr>
          <w:rFonts w:ascii="Arial" w:hAnsi="Arial" w:cs="Arial"/>
          <w:szCs w:val="22"/>
        </w:rPr>
        <w:t xml:space="preserve">In the ATES scenario it was assumed that by injecting cold water into the cold well and warm water into the hot well – whenever there was a surplus of heat or coolth – that cold and hot wells could be created. By doing so heat could be stored interseasonally. It wasn’t </w:t>
      </w:r>
      <w:r w:rsidR="008A6745">
        <w:rPr>
          <w:rFonts w:ascii="Arial" w:hAnsi="Arial" w:cs="Arial"/>
          <w:szCs w:val="22"/>
        </w:rPr>
        <w:t xml:space="preserve">considered </w:t>
      </w:r>
      <w:r w:rsidRPr="00C95F62">
        <w:rPr>
          <w:rFonts w:ascii="Arial" w:hAnsi="Arial" w:cs="Arial"/>
          <w:szCs w:val="22"/>
        </w:rPr>
        <w:lastRenderedPageBreak/>
        <w:t>necessary to model this in detail within the software on an hourly basis but simply to ensure that the overall annual balance was maintained so th</w:t>
      </w:r>
      <w:r w:rsidR="00FB6B71">
        <w:rPr>
          <w:rFonts w:ascii="Arial" w:hAnsi="Arial" w:cs="Arial"/>
          <w:szCs w:val="22"/>
        </w:rPr>
        <w:t xml:space="preserve">at heat </w:t>
      </w:r>
      <w:r w:rsidRPr="00C95F62">
        <w:rPr>
          <w:rFonts w:ascii="Arial" w:hAnsi="Arial" w:cs="Arial"/>
          <w:szCs w:val="22"/>
        </w:rPr>
        <w:t xml:space="preserve">rejected </w:t>
      </w:r>
      <w:r w:rsidR="00FB6B71">
        <w:rPr>
          <w:rFonts w:ascii="Arial" w:hAnsi="Arial" w:cs="Arial"/>
          <w:szCs w:val="22"/>
        </w:rPr>
        <w:t xml:space="preserve">equals </w:t>
      </w:r>
      <w:r w:rsidRPr="00C95F62">
        <w:rPr>
          <w:rFonts w:ascii="Arial" w:hAnsi="Arial" w:cs="Arial"/>
          <w:szCs w:val="22"/>
        </w:rPr>
        <w:t xml:space="preserve">heat supplied </w:t>
      </w:r>
      <w:r w:rsidR="00FB6B71">
        <w:rPr>
          <w:rFonts w:ascii="Arial" w:hAnsi="Arial" w:cs="Arial"/>
          <w:szCs w:val="22"/>
        </w:rPr>
        <w:t xml:space="preserve">minus </w:t>
      </w:r>
      <w:r w:rsidRPr="00C95F62">
        <w:rPr>
          <w:rFonts w:ascii="Arial" w:hAnsi="Arial" w:cs="Arial"/>
          <w:szCs w:val="22"/>
        </w:rPr>
        <w:t>heat pump compressor power.</w:t>
      </w:r>
    </w:p>
    <w:p w14:paraId="42A8A7A3" w14:textId="52ABB9E6" w:rsidR="00AF05B7" w:rsidRPr="003B4E27" w:rsidRDefault="00FB6B71" w:rsidP="00AF05B7">
      <w:pPr>
        <w:pStyle w:val="PlainText"/>
        <w:rPr>
          <w:rFonts w:ascii="Arial" w:hAnsi="Arial" w:cs="Arial"/>
          <w:bCs/>
          <w:i/>
          <w:szCs w:val="22"/>
        </w:rPr>
      </w:pPr>
      <w:r w:rsidRPr="003B4E27">
        <w:rPr>
          <w:rFonts w:ascii="Arial" w:hAnsi="Arial" w:cs="Arial"/>
          <w:bCs/>
          <w:i/>
          <w:szCs w:val="22"/>
        </w:rPr>
        <w:t xml:space="preserve">2.4.2.4 </w:t>
      </w:r>
      <w:r w:rsidR="00AF05B7" w:rsidRPr="003B4E27">
        <w:rPr>
          <w:rFonts w:ascii="Arial" w:hAnsi="Arial" w:cs="Arial"/>
          <w:bCs/>
          <w:i/>
          <w:szCs w:val="22"/>
        </w:rPr>
        <w:t>Dedicated battery storage</w:t>
      </w:r>
    </w:p>
    <w:p w14:paraId="5B33E4DD" w14:textId="77777777" w:rsidR="00AF05B7" w:rsidRPr="00C95F62" w:rsidRDefault="00AF05B7" w:rsidP="003B4E27">
      <w:pPr>
        <w:pStyle w:val="PlainText"/>
        <w:jc w:val="both"/>
        <w:rPr>
          <w:rFonts w:ascii="Arial" w:hAnsi="Arial" w:cs="Arial"/>
          <w:szCs w:val="22"/>
        </w:rPr>
      </w:pPr>
      <w:r w:rsidRPr="00C95F62">
        <w:rPr>
          <w:rFonts w:ascii="Arial" w:hAnsi="Arial" w:cs="Arial"/>
          <w:szCs w:val="22"/>
        </w:rPr>
        <w:t>This was modelled by energyPRO’s inbuilt battery form. This allows the user to specify the capacity and the charging and discharging capacity and efficiency. A 90% “round trip” efficiency was assumed.</w:t>
      </w:r>
      <w:r w:rsidRPr="00C95F62">
        <w:rPr>
          <w:rFonts w:ascii="Arial" w:hAnsi="Arial" w:cs="Arial"/>
          <w:noProof/>
          <w:szCs w:val="22"/>
        </w:rPr>
        <w:t xml:space="preserve"> </w:t>
      </w:r>
    </w:p>
    <w:p w14:paraId="70DFEB84" w14:textId="5220594B" w:rsidR="00AF05B7" w:rsidRPr="00C95F62" w:rsidRDefault="00AF05B7" w:rsidP="00AF05B7">
      <w:pPr>
        <w:pStyle w:val="PlainText"/>
        <w:jc w:val="center"/>
        <w:rPr>
          <w:rFonts w:ascii="Arial" w:hAnsi="Arial" w:cs="Arial"/>
          <w:b/>
          <w:bCs/>
          <w:szCs w:val="22"/>
        </w:rPr>
      </w:pPr>
    </w:p>
    <w:p w14:paraId="185EC244" w14:textId="4B66C53A" w:rsidR="00AF05B7" w:rsidRPr="003B4E27" w:rsidRDefault="00FB6B71" w:rsidP="00AF05B7">
      <w:pPr>
        <w:pStyle w:val="PlainText"/>
        <w:rPr>
          <w:rFonts w:ascii="Arial" w:hAnsi="Arial" w:cs="Arial"/>
          <w:bCs/>
          <w:i/>
          <w:szCs w:val="22"/>
        </w:rPr>
      </w:pPr>
      <w:r w:rsidRPr="003B4E27">
        <w:rPr>
          <w:rFonts w:ascii="Arial" w:hAnsi="Arial" w:cs="Arial"/>
          <w:i/>
          <w:szCs w:val="22"/>
        </w:rPr>
        <w:t xml:space="preserve">2.4.2.5 </w:t>
      </w:r>
      <w:r w:rsidR="00AF05B7" w:rsidRPr="003B4E27">
        <w:rPr>
          <w:rFonts w:ascii="Arial" w:hAnsi="Arial" w:cs="Arial"/>
          <w:bCs/>
          <w:i/>
          <w:szCs w:val="22"/>
        </w:rPr>
        <w:t>EV battery storage</w:t>
      </w:r>
    </w:p>
    <w:p w14:paraId="064F5D0F" w14:textId="78A84BF1" w:rsidR="00AF05B7" w:rsidRPr="00C95F62" w:rsidRDefault="008A6745" w:rsidP="003B4E27">
      <w:pPr>
        <w:pStyle w:val="PlainText"/>
        <w:jc w:val="both"/>
        <w:rPr>
          <w:rFonts w:ascii="Arial" w:hAnsi="Arial" w:cs="Arial"/>
          <w:szCs w:val="22"/>
        </w:rPr>
      </w:pPr>
      <w:r>
        <w:rPr>
          <w:rFonts w:ascii="Arial" w:hAnsi="Arial" w:cs="Arial"/>
          <w:szCs w:val="22"/>
        </w:rPr>
        <w:t>T</w:t>
      </w:r>
      <w:r w:rsidR="00AF05B7" w:rsidRPr="00C95F62">
        <w:rPr>
          <w:rFonts w:ascii="Arial" w:hAnsi="Arial" w:cs="Arial"/>
          <w:szCs w:val="22"/>
        </w:rPr>
        <w:t xml:space="preserve">his was modelled using energyPRO’s inbuilt form for “e-cars”. It allows exactly the same constraints to be modelled as the battery form and indeed behaves in an identical manner except that the user may add a driving demand pattern in MW. This represents both the availability of the cars for use for V2G but also the energy used by driving that must be replenished. This driving demand pattern was created from </w:t>
      </w:r>
      <w:r>
        <w:rPr>
          <w:rFonts w:ascii="Arial" w:hAnsi="Arial" w:cs="Arial"/>
          <w:szCs w:val="22"/>
        </w:rPr>
        <w:t xml:space="preserve">an EV car hire company E-car club’s booking data for a year </w:t>
      </w:r>
      <w:r w:rsidR="00AF05B7" w:rsidRPr="00C95F62">
        <w:rPr>
          <w:rFonts w:ascii="Arial" w:hAnsi="Arial" w:cs="Arial"/>
          <w:szCs w:val="22"/>
        </w:rPr>
        <w:t>for 40 cars</w:t>
      </w:r>
      <w:r w:rsidR="00A93D15">
        <w:rPr>
          <w:rFonts w:ascii="Arial" w:hAnsi="Arial" w:cs="Arial"/>
          <w:szCs w:val="22"/>
        </w:rPr>
        <w:t>, for which data has been obtained through personal communication.</w:t>
      </w:r>
    </w:p>
    <w:p w14:paraId="2DB1BE53" w14:textId="77777777" w:rsidR="00AF05B7" w:rsidRPr="00C95F62" w:rsidRDefault="00AF05B7" w:rsidP="00AF05B7">
      <w:pPr>
        <w:pStyle w:val="PlainText"/>
        <w:jc w:val="center"/>
        <w:rPr>
          <w:rFonts w:ascii="Arial" w:hAnsi="Arial" w:cs="Arial"/>
          <w:szCs w:val="22"/>
        </w:rPr>
      </w:pPr>
    </w:p>
    <w:p w14:paraId="0DBF4F76" w14:textId="6B764D77" w:rsidR="00AF05B7" w:rsidRPr="003B4E27" w:rsidRDefault="00FB6B71" w:rsidP="00AF05B7">
      <w:pPr>
        <w:pStyle w:val="PlainText"/>
        <w:rPr>
          <w:rFonts w:ascii="Arial" w:hAnsi="Arial" w:cs="Arial"/>
          <w:bCs/>
          <w:i/>
          <w:szCs w:val="22"/>
        </w:rPr>
      </w:pPr>
      <w:r w:rsidRPr="003B4E27">
        <w:rPr>
          <w:rFonts w:ascii="Arial" w:hAnsi="Arial" w:cs="Arial"/>
          <w:i/>
          <w:szCs w:val="22"/>
        </w:rPr>
        <w:t xml:space="preserve">2.4.2.6 </w:t>
      </w:r>
      <w:r w:rsidR="00772D4F" w:rsidRPr="003B4E27">
        <w:rPr>
          <w:rFonts w:ascii="Arial" w:hAnsi="Arial" w:cs="Arial"/>
          <w:bCs/>
          <w:i/>
          <w:szCs w:val="22"/>
        </w:rPr>
        <w:t>The u</w:t>
      </w:r>
      <w:r w:rsidR="00AF05B7" w:rsidRPr="003B4E27">
        <w:rPr>
          <w:rFonts w:ascii="Arial" w:hAnsi="Arial" w:cs="Arial"/>
          <w:bCs/>
          <w:i/>
          <w:szCs w:val="22"/>
        </w:rPr>
        <w:t>se of smart controls</w:t>
      </w:r>
    </w:p>
    <w:p w14:paraId="7F5815B7" w14:textId="31235BA9" w:rsidR="00AF05B7" w:rsidRPr="00C95F62" w:rsidRDefault="00AF05B7" w:rsidP="003B4E27">
      <w:pPr>
        <w:pStyle w:val="PlainText"/>
        <w:jc w:val="both"/>
        <w:rPr>
          <w:rFonts w:ascii="Arial" w:hAnsi="Arial" w:cs="Arial"/>
          <w:szCs w:val="22"/>
        </w:rPr>
      </w:pPr>
      <w:r w:rsidRPr="00C95F62">
        <w:rPr>
          <w:rFonts w:ascii="Arial" w:hAnsi="Arial" w:cs="Arial"/>
          <w:szCs w:val="22"/>
        </w:rPr>
        <w:t xml:space="preserve">energyPRO is essentially a dynamic dispatch model – in that it decides which energy conversion unit to dispatch in each calculation step. It does this based on a priority number that is calculated for each unit in each step. For a heat pump the cost of heat would be calculated based on the efficiency of the heat pump - which might vary with source of sink temperatures – and the price of electricity which varies according to wholesale prices, distribution and transmission </w:t>
      </w:r>
      <w:r w:rsidR="00AC5417" w:rsidRPr="00C95F62">
        <w:rPr>
          <w:rFonts w:ascii="Arial" w:hAnsi="Arial" w:cs="Arial"/>
          <w:szCs w:val="22"/>
        </w:rPr>
        <w:t>charges (</w:t>
      </w:r>
      <w:r w:rsidRPr="00C95F62">
        <w:rPr>
          <w:rFonts w:ascii="Arial" w:hAnsi="Arial" w:cs="Arial"/>
          <w:szCs w:val="22"/>
        </w:rPr>
        <w:t>and any other payments the user decides to apply). The cost of heat becomes the priority number. The user can determine whether to optimise over a month or a year. In the either case energyPRO assumes perfect knowledge about the entire period and assigns the unit with the lowest priority numbers (lowest cost) first – but starting with the lowest number in the entire period. It continues, picking progressively more expensive units, until either demand is met or - if storage is present - until storage is full. energyPRO’s analytic method has been shown to have similar accuracy to solver methods</w:t>
      </w:r>
      <w:r w:rsidR="00FB6B71">
        <w:rPr>
          <w:rFonts w:ascii="Arial" w:hAnsi="Arial" w:cs="Arial"/>
          <w:szCs w:val="22"/>
        </w:rPr>
        <w:t xml:space="preserve"> </w:t>
      </w:r>
      <w:r w:rsidR="00FB6B71" w:rsidRPr="00FB6B71">
        <w:rPr>
          <w:rFonts w:ascii="Arial" w:hAnsi="Arial" w:cs="Arial"/>
          <w:szCs w:val="22"/>
        </w:rPr>
        <w:t>(Andersen and Østergaard, 2019)</w:t>
      </w:r>
      <w:r w:rsidRPr="00C95F62">
        <w:rPr>
          <w:rFonts w:ascii="Arial" w:hAnsi="Arial" w:cs="Arial"/>
          <w:szCs w:val="22"/>
        </w:rPr>
        <w:t xml:space="preserve">. </w:t>
      </w:r>
    </w:p>
    <w:p w14:paraId="714601FE" w14:textId="77777777" w:rsidR="00AF05B7" w:rsidRPr="00C95F62" w:rsidRDefault="00AF05B7" w:rsidP="00AF05B7">
      <w:pPr>
        <w:pStyle w:val="PlainText"/>
        <w:rPr>
          <w:rFonts w:ascii="Arial" w:hAnsi="Arial" w:cs="Arial"/>
          <w:szCs w:val="22"/>
        </w:rPr>
      </w:pPr>
    </w:p>
    <w:p w14:paraId="411B3326" w14:textId="77777777" w:rsidR="00AC5417" w:rsidRDefault="00AF05B7" w:rsidP="003B4E27">
      <w:pPr>
        <w:pStyle w:val="PlainText"/>
        <w:keepNext/>
        <w:jc w:val="center"/>
      </w:pPr>
      <w:r w:rsidRPr="00C95F62">
        <w:rPr>
          <w:rFonts w:ascii="Arial" w:hAnsi="Arial" w:cs="Arial"/>
          <w:noProof/>
          <w:szCs w:val="22"/>
          <w:lang w:eastAsia="en-GB"/>
        </w:rPr>
        <w:drawing>
          <wp:inline distT="0" distB="0" distL="0" distR="0" wp14:anchorId="389BCC7B" wp14:editId="5C099179">
            <wp:extent cx="5175718" cy="2830286"/>
            <wp:effectExtent l="19050" t="19050" r="25400" b="273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48" b="9739"/>
                    <a:stretch/>
                  </pic:blipFill>
                  <pic:spPr bwMode="auto">
                    <a:xfrm>
                      <a:off x="0" y="0"/>
                      <a:ext cx="5211106" cy="284963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5C7587F" w14:textId="074B19F5" w:rsidR="00AF05B7" w:rsidRPr="003B4E27" w:rsidRDefault="00AC5417" w:rsidP="003B4E27">
      <w:pPr>
        <w:pStyle w:val="Caption"/>
        <w:spacing w:before="240"/>
        <w:jc w:val="center"/>
        <w:rPr>
          <w:rFonts w:ascii="Arial" w:hAnsi="Arial" w:cs="Arial"/>
          <w:b/>
          <w:szCs w:val="22"/>
        </w:rPr>
      </w:pPr>
      <w:r w:rsidRPr="003B4E27">
        <w:rPr>
          <w:rFonts w:ascii="Arial" w:hAnsi="Arial" w:cs="Arial"/>
          <w:b/>
        </w:rPr>
        <w:t xml:space="preserve">Figure </w:t>
      </w:r>
      <w:r w:rsidR="001B7CBF">
        <w:rPr>
          <w:rFonts w:ascii="Arial" w:hAnsi="Arial" w:cs="Arial"/>
          <w:b/>
        </w:rPr>
        <w:t>7</w:t>
      </w:r>
      <w:r w:rsidRPr="003B4E27">
        <w:rPr>
          <w:rFonts w:ascii="Arial" w:hAnsi="Arial" w:cs="Arial"/>
          <w:b/>
        </w:rPr>
        <w:t xml:space="preserve"> An example of energyPRO’s priority calculation</w:t>
      </w:r>
    </w:p>
    <w:p w14:paraId="26F66040" w14:textId="6DC28EFC" w:rsidR="00AF05B7" w:rsidRPr="00C95F62" w:rsidRDefault="00AF05B7" w:rsidP="003B4E27">
      <w:pPr>
        <w:jc w:val="both"/>
        <w:rPr>
          <w:rFonts w:ascii="Arial" w:hAnsi="Arial" w:cs="Arial"/>
        </w:rPr>
      </w:pPr>
      <w:r w:rsidRPr="00C95F62">
        <w:rPr>
          <w:rFonts w:ascii="Arial" w:hAnsi="Arial" w:cs="Arial"/>
        </w:rPr>
        <w:t xml:space="preserve">An example of the production priority numbers (the lower the number the higher priority) are shown </w:t>
      </w:r>
      <w:r w:rsidR="001B7CBF">
        <w:rPr>
          <w:rFonts w:ascii="Arial" w:hAnsi="Arial" w:cs="Arial"/>
        </w:rPr>
        <w:t>in Figure 7</w:t>
      </w:r>
      <w:r w:rsidR="00CC0051" w:rsidRPr="00C95F62">
        <w:rPr>
          <w:rFonts w:ascii="Arial" w:hAnsi="Arial" w:cs="Arial"/>
        </w:rPr>
        <w:t xml:space="preserve"> </w:t>
      </w:r>
      <w:r w:rsidRPr="00C95F62">
        <w:rPr>
          <w:rFonts w:ascii="Arial" w:hAnsi="Arial" w:cs="Arial"/>
        </w:rPr>
        <w:t xml:space="preserve">for a week in February. It can be seen that the cost of heat/priority number </w:t>
      </w:r>
      <w:r w:rsidRPr="00C95F62">
        <w:rPr>
          <w:rFonts w:ascii="Arial" w:hAnsi="Arial" w:cs="Arial"/>
        </w:rPr>
        <w:lastRenderedPageBreak/>
        <w:t xml:space="preserve">for the Heat Pump (blue) is actually negative because of the Renewable Heat Incentive subsidy and the value of the cooling sales. The large spike in cost is because of the UK’s Triad charge system which is used to recover the transmission system costs. In this period it would have been cheaper to operate a gas boiler but </w:t>
      </w:r>
      <w:r w:rsidR="008A6745">
        <w:rPr>
          <w:rFonts w:ascii="Arial" w:hAnsi="Arial" w:cs="Arial"/>
        </w:rPr>
        <w:t xml:space="preserve">for the present application i.e. Scheme A and B, </w:t>
      </w:r>
      <w:r w:rsidRPr="00C95F62">
        <w:rPr>
          <w:rFonts w:ascii="Arial" w:hAnsi="Arial" w:cs="Arial"/>
        </w:rPr>
        <w:t>energyPRO will only do so if the storage options are empty.</w:t>
      </w:r>
    </w:p>
    <w:p w14:paraId="54D745EC" w14:textId="5BF4401F" w:rsidR="00AF05B7" w:rsidRPr="00C95F62" w:rsidRDefault="00AF05B7" w:rsidP="003B4E27">
      <w:pPr>
        <w:pStyle w:val="PlainText"/>
        <w:jc w:val="both"/>
        <w:rPr>
          <w:rFonts w:ascii="Arial" w:hAnsi="Arial" w:cs="Arial"/>
          <w:szCs w:val="22"/>
        </w:rPr>
      </w:pPr>
      <w:r w:rsidRPr="00C95F62">
        <w:rPr>
          <w:rFonts w:ascii="Arial" w:hAnsi="Arial" w:cs="Arial"/>
          <w:szCs w:val="22"/>
        </w:rPr>
        <w:t xml:space="preserve">Further complexity arrives where one unit can supply another unit or where a unit </w:t>
      </w:r>
      <w:r w:rsidR="008A6745">
        <w:rPr>
          <w:rFonts w:ascii="Arial" w:hAnsi="Arial" w:cs="Arial"/>
          <w:szCs w:val="22"/>
        </w:rPr>
        <w:t xml:space="preserve">is </w:t>
      </w:r>
      <w:r w:rsidRPr="00C95F62">
        <w:rPr>
          <w:rFonts w:ascii="Arial" w:hAnsi="Arial" w:cs="Arial"/>
          <w:szCs w:val="22"/>
        </w:rPr>
        <w:t>consum</w:t>
      </w:r>
      <w:r w:rsidR="008A6745">
        <w:rPr>
          <w:rFonts w:ascii="Arial" w:hAnsi="Arial" w:cs="Arial"/>
          <w:szCs w:val="22"/>
        </w:rPr>
        <w:t>ing</w:t>
      </w:r>
      <w:r w:rsidRPr="00C95F62">
        <w:rPr>
          <w:rFonts w:ascii="Arial" w:hAnsi="Arial" w:cs="Arial"/>
          <w:szCs w:val="22"/>
        </w:rPr>
        <w:t xml:space="preserve"> electricity and it could take electricity from </w:t>
      </w:r>
      <w:r w:rsidR="008A6745">
        <w:rPr>
          <w:rFonts w:ascii="Arial" w:hAnsi="Arial" w:cs="Arial"/>
          <w:szCs w:val="22"/>
        </w:rPr>
        <w:t xml:space="preserve">either </w:t>
      </w:r>
      <w:r w:rsidRPr="00C95F62">
        <w:rPr>
          <w:rFonts w:ascii="Arial" w:hAnsi="Arial" w:cs="Arial"/>
          <w:szCs w:val="22"/>
        </w:rPr>
        <w:t>the grid or from a battery. Or</w:t>
      </w:r>
      <w:r w:rsidR="008A6745">
        <w:rPr>
          <w:rFonts w:ascii="Arial" w:hAnsi="Arial" w:cs="Arial"/>
          <w:szCs w:val="22"/>
        </w:rPr>
        <w:t>,</w:t>
      </w:r>
      <w:r w:rsidRPr="00C95F62">
        <w:rPr>
          <w:rFonts w:ascii="Arial" w:hAnsi="Arial" w:cs="Arial"/>
          <w:szCs w:val="22"/>
        </w:rPr>
        <w:t xml:space="preserve"> from the point of view of the battery, the battery could supply another unit or export electricity. Here energyPRO determines priority consumption numbers so that a unit can only consume energy from another unit if the priority production number of the producing unit is lower than the consumption priority number of the consuming unit.</w:t>
      </w:r>
    </w:p>
    <w:p w14:paraId="61A2644C" w14:textId="77777777" w:rsidR="00AF05B7" w:rsidRDefault="00AF05B7" w:rsidP="00AF05B7">
      <w:pPr>
        <w:pStyle w:val="PlainText"/>
      </w:pPr>
    </w:p>
    <w:p w14:paraId="432674D4" w14:textId="65DE00C6" w:rsidR="00772D4F" w:rsidRPr="00593DD1" w:rsidRDefault="00772D4F">
      <w:pPr>
        <w:pStyle w:val="06BodyMaintext"/>
      </w:pPr>
      <w:r w:rsidRPr="00593DD1">
        <w:t xml:space="preserve">2.4.3 Key Assumptions </w:t>
      </w:r>
    </w:p>
    <w:p w14:paraId="45389FE0" w14:textId="77777777" w:rsidR="00772D4F" w:rsidRPr="00C95F62" w:rsidRDefault="00772D4F" w:rsidP="00C95F62">
      <w:pPr>
        <w:pStyle w:val="PlainText"/>
        <w:rPr>
          <w:szCs w:val="22"/>
        </w:rPr>
      </w:pPr>
      <w:r w:rsidRPr="00C95F62">
        <w:rPr>
          <w:rFonts w:ascii="Arial" w:hAnsi="Arial" w:cs="Arial"/>
          <w:szCs w:val="22"/>
        </w:rPr>
        <w:t>Key technical assumptions within the techno-economic models for both schemes were the following:</w:t>
      </w:r>
    </w:p>
    <w:p w14:paraId="285A1F01" w14:textId="77777777" w:rsidR="00772D4F" w:rsidRPr="00C95F62" w:rsidRDefault="00772D4F" w:rsidP="00C95F62">
      <w:pPr>
        <w:pStyle w:val="PlainText"/>
        <w:rPr>
          <w:szCs w:val="22"/>
        </w:rPr>
      </w:pPr>
    </w:p>
    <w:p w14:paraId="24643FE8" w14:textId="77777777" w:rsidR="00772D4F" w:rsidRPr="00C95F62" w:rsidRDefault="00772D4F" w:rsidP="00C95F62">
      <w:pPr>
        <w:pStyle w:val="PlainText"/>
        <w:numPr>
          <w:ilvl w:val="0"/>
          <w:numId w:val="14"/>
        </w:numPr>
        <w:rPr>
          <w:szCs w:val="22"/>
        </w:rPr>
      </w:pPr>
      <w:r w:rsidRPr="00C95F62">
        <w:rPr>
          <w:rFonts w:ascii="Arial" w:hAnsi="Arial" w:cs="Arial"/>
          <w:szCs w:val="22"/>
        </w:rPr>
        <w:t>Business as Usual (BAU) base case of existing gas fired boilers</w:t>
      </w:r>
    </w:p>
    <w:p w14:paraId="34F47941" w14:textId="77777777" w:rsidR="00772D4F" w:rsidRPr="00C95F62" w:rsidRDefault="00772D4F" w:rsidP="00C95F62">
      <w:pPr>
        <w:pStyle w:val="PlainText"/>
        <w:numPr>
          <w:ilvl w:val="0"/>
          <w:numId w:val="14"/>
        </w:numPr>
        <w:rPr>
          <w:szCs w:val="22"/>
        </w:rPr>
      </w:pPr>
      <w:r w:rsidRPr="00C95F62">
        <w:rPr>
          <w:rFonts w:ascii="Arial" w:hAnsi="Arial" w:cs="Arial"/>
          <w:szCs w:val="22"/>
        </w:rPr>
        <w:t>Electricity prices based on half hourly spot market prices plus levies in London</w:t>
      </w:r>
    </w:p>
    <w:p w14:paraId="21DC8184" w14:textId="729A358A" w:rsidR="00772D4F" w:rsidRPr="00C95F62" w:rsidRDefault="00772D4F" w:rsidP="00C95F62">
      <w:pPr>
        <w:pStyle w:val="PlainText"/>
        <w:numPr>
          <w:ilvl w:val="0"/>
          <w:numId w:val="14"/>
        </w:numPr>
        <w:rPr>
          <w:szCs w:val="22"/>
        </w:rPr>
      </w:pPr>
      <w:r w:rsidRPr="00C95F62">
        <w:rPr>
          <w:rFonts w:ascii="Arial" w:hAnsi="Arial" w:cs="Arial"/>
          <w:szCs w:val="22"/>
        </w:rPr>
        <w:t xml:space="preserve">Carbon factors based on diminishing figures using predicted decarbonisation published by BEIS </w:t>
      </w:r>
      <w:r w:rsidRPr="00C95F62">
        <w:rPr>
          <w:rFonts w:ascii="Arial" w:hAnsi="Arial" w:cs="Arial"/>
          <w:szCs w:val="22"/>
        </w:rPr>
        <w:fldChar w:fldCharType="begin"/>
      </w:r>
      <w:r w:rsidR="00C07F78">
        <w:rPr>
          <w:rFonts w:ascii="Arial" w:hAnsi="Arial" w:cs="Arial"/>
          <w:szCs w:val="22"/>
        </w:rPr>
        <w:instrText xml:space="preserve"> ADDIN ZOTERO_ITEM CSL_CITATION {"citationID":"WcdoLGJa","properties":{"formattedCitation":"(GOV.UK, 2019a)","plainCitation":"(GOV.UK, 2019a)","noteIndex":0},"citationItems":[{"id":57,"uris":["http://zotero.org/users/local/b5kcWd7h/items/JIGPR6BA"],"uri":["http://zotero.org/users/local/b5kcWd7h/items/JIGPR6BA"],"itemData":{"id":57,"type":"webpage","abstract":"Supplementary guidance to Treasury’s Green Book providing government analysts with rules for valuing energy usage and greenhouse gas emissions.","container-title":"GOV.UK","language":"en","title":"Green Book supplementary guidance: valuation of energy use and greenhouse gas emissions for appraisal","title-short":"Green Book supplementary guidance","URL":"https://www.gov.uk/government/publications/valuation-of-energy-use-and-greenhouse-gas-emissions-for-appraisal","author":[{"family":"GOV.UK","given":""}],"accessed":{"date-parts":[["2019",10,24]]},"issued":{"date-parts":[["2019"]]}}}],"schema":"https://github.com/citation-style-language/schema/raw/master/csl-citation.json"} </w:instrText>
      </w:r>
      <w:r w:rsidRPr="00C95F62">
        <w:rPr>
          <w:rFonts w:ascii="Arial" w:hAnsi="Arial" w:cs="Arial"/>
          <w:szCs w:val="22"/>
        </w:rPr>
        <w:fldChar w:fldCharType="separate"/>
      </w:r>
      <w:r w:rsidRPr="00C95F62">
        <w:rPr>
          <w:rFonts w:ascii="Arial" w:hAnsi="Arial" w:cs="Arial"/>
          <w:szCs w:val="22"/>
        </w:rPr>
        <w:t>(GOV.UK, 2019a)</w:t>
      </w:r>
      <w:r w:rsidRPr="00C95F62">
        <w:rPr>
          <w:rFonts w:ascii="Arial" w:hAnsi="Arial" w:cs="Arial"/>
          <w:szCs w:val="22"/>
        </w:rPr>
        <w:fldChar w:fldCharType="end"/>
      </w:r>
    </w:p>
    <w:p w14:paraId="236162B2" w14:textId="167A4345" w:rsidR="00772D4F" w:rsidRPr="00C95F62" w:rsidRDefault="00772D4F" w:rsidP="00C95F62">
      <w:pPr>
        <w:pStyle w:val="PlainText"/>
        <w:numPr>
          <w:ilvl w:val="0"/>
          <w:numId w:val="14"/>
        </w:numPr>
        <w:rPr>
          <w:szCs w:val="22"/>
        </w:rPr>
      </w:pPr>
      <w:r w:rsidRPr="00C95F62">
        <w:rPr>
          <w:rFonts w:ascii="Arial" w:hAnsi="Arial" w:cs="Arial"/>
          <w:szCs w:val="22"/>
        </w:rPr>
        <w:t>Heat and Cooling Price to customers 25% lower than</w:t>
      </w:r>
      <w:r w:rsidR="008A6745">
        <w:rPr>
          <w:rFonts w:ascii="Arial" w:hAnsi="Arial" w:cs="Arial"/>
          <w:szCs w:val="22"/>
        </w:rPr>
        <w:t xml:space="preserve"> that for</w:t>
      </w:r>
      <w:r w:rsidRPr="00C95F62">
        <w:rPr>
          <w:rFonts w:ascii="Arial" w:hAnsi="Arial" w:cs="Arial"/>
          <w:szCs w:val="22"/>
        </w:rPr>
        <w:t xml:space="preserve"> existing gas boilers</w:t>
      </w:r>
      <w:r w:rsidR="008A6745">
        <w:rPr>
          <w:rFonts w:ascii="Arial" w:hAnsi="Arial" w:cs="Arial"/>
          <w:szCs w:val="22"/>
        </w:rPr>
        <w:t xml:space="preserve"> or chillers</w:t>
      </w:r>
    </w:p>
    <w:p w14:paraId="6A1413EA" w14:textId="118AE264" w:rsidR="00772D4F" w:rsidRPr="00C95F62" w:rsidRDefault="00772D4F" w:rsidP="00C95F62">
      <w:pPr>
        <w:pStyle w:val="PlainText"/>
        <w:numPr>
          <w:ilvl w:val="0"/>
          <w:numId w:val="14"/>
        </w:numPr>
        <w:rPr>
          <w:szCs w:val="22"/>
        </w:rPr>
      </w:pPr>
      <w:r w:rsidRPr="00C95F62">
        <w:rPr>
          <w:rFonts w:ascii="Arial" w:hAnsi="Arial" w:cs="Arial"/>
          <w:szCs w:val="22"/>
        </w:rPr>
        <w:t>Existing gas boilers will provide backup only and not top-up therefore avoiding the use of natural gas</w:t>
      </w:r>
      <w:r w:rsidR="008A6745">
        <w:rPr>
          <w:rFonts w:ascii="Arial" w:hAnsi="Arial" w:cs="Arial"/>
          <w:szCs w:val="22"/>
        </w:rPr>
        <w:t xml:space="preserve"> under normal operating conditions</w:t>
      </w:r>
    </w:p>
    <w:p w14:paraId="1F4CDC44" w14:textId="77777777" w:rsidR="00772D4F" w:rsidRPr="00C95F62" w:rsidRDefault="00772D4F" w:rsidP="00C95F62">
      <w:pPr>
        <w:pStyle w:val="PlainText"/>
        <w:numPr>
          <w:ilvl w:val="0"/>
          <w:numId w:val="14"/>
        </w:numPr>
        <w:rPr>
          <w:szCs w:val="22"/>
        </w:rPr>
      </w:pPr>
      <w:r w:rsidRPr="00C95F62">
        <w:rPr>
          <w:rFonts w:ascii="Arial" w:hAnsi="Arial" w:cs="Arial"/>
          <w:szCs w:val="22"/>
        </w:rPr>
        <w:t>Heat pumps operate ~4,500 full load hours per year (approx.) and supply 75/55°C to the connected buildings</w:t>
      </w:r>
    </w:p>
    <w:p w14:paraId="62AAD187" w14:textId="77777777" w:rsidR="00772D4F" w:rsidRPr="00C95F62" w:rsidRDefault="00772D4F" w:rsidP="00C95F62">
      <w:pPr>
        <w:pStyle w:val="PlainText"/>
        <w:numPr>
          <w:ilvl w:val="0"/>
          <w:numId w:val="14"/>
        </w:numPr>
        <w:rPr>
          <w:szCs w:val="22"/>
        </w:rPr>
      </w:pPr>
      <w:r w:rsidRPr="00C95F62">
        <w:rPr>
          <w:rFonts w:ascii="Arial" w:hAnsi="Arial" w:cs="Arial"/>
          <w:szCs w:val="22"/>
        </w:rPr>
        <w:t>100m</w:t>
      </w:r>
      <w:r w:rsidRPr="003B4E27">
        <w:rPr>
          <w:rFonts w:ascii="Arial" w:hAnsi="Arial" w:cs="Arial"/>
          <w:szCs w:val="22"/>
          <w:vertAlign w:val="superscript"/>
        </w:rPr>
        <w:t>3</w:t>
      </w:r>
      <w:r w:rsidRPr="00C95F62">
        <w:rPr>
          <w:rFonts w:ascii="Arial" w:hAnsi="Arial" w:cs="Arial"/>
          <w:szCs w:val="22"/>
        </w:rPr>
        <w:t>/MW storage in heat pump plant rooms - to smooth heat pump load and avoid expensive electricity tariffs</w:t>
      </w:r>
    </w:p>
    <w:p w14:paraId="4E35040E" w14:textId="444CD8BA" w:rsidR="00772D4F" w:rsidRPr="00C95F62" w:rsidRDefault="00772D4F" w:rsidP="00C95F62">
      <w:pPr>
        <w:pStyle w:val="PlainText"/>
        <w:numPr>
          <w:ilvl w:val="0"/>
          <w:numId w:val="14"/>
        </w:numPr>
        <w:rPr>
          <w:szCs w:val="22"/>
        </w:rPr>
      </w:pPr>
      <w:r w:rsidRPr="00C95F62">
        <w:rPr>
          <w:rFonts w:ascii="Arial" w:hAnsi="Arial" w:cs="Arial"/>
          <w:szCs w:val="22"/>
        </w:rPr>
        <w:t xml:space="preserve">All options are based on electricity connections ‘behind the existing building meter’ i.e. sub metered </w:t>
      </w:r>
      <w:r w:rsidR="008A6745">
        <w:rPr>
          <w:rFonts w:ascii="Arial" w:hAnsi="Arial" w:cs="Arial"/>
          <w:szCs w:val="22"/>
        </w:rPr>
        <w:t>rather than</w:t>
      </w:r>
      <w:r w:rsidRPr="00C95F62">
        <w:rPr>
          <w:rFonts w:ascii="Arial" w:hAnsi="Arial" w:cs="Arial"/>
          <w:szCs w:val="22"/>
        </w:rPr>
        <w:t xml:space="preserve"> private wired schemes</w:t>
      </w:r>
    </w:p>
    <w:p w14:paraId="62E96905" w14:textId="77777777" w:rsidR="00772D4F" w:rsidRPr="00C95F62" w:rsidRDefault="00772D4F" w:rsidP="00C95F62">
      <w:pPr>
        <w:pStyle w:val="PlainText"/>
        <w:numPr>
          <w:ilvl w:val="0"/>
          <w:numId w:val="14"/>
        </w:numPr>
        <w:rPr>
          <w:szCs w:val="22"/>
        </w:rPr>
      </w:pPr>
      <w:r w:rsidRPr="00C95F62">
        <w:rPr>
          <w:rFonts w:ascii="Arial" w:hAnsi="Arial" w:cs="Arial"/>
          <w:szCs w:val="22"/>
        </w:rPr>
        <w:t>Scheme A - Ventilation shaft is the lead heat source in summer when tunnel temperatures are high</w:t>
      </w:r>
    </w:p>
    <w:p w14:paraId="2F6EE026" w14:textId="77777777" w:rsidR="00772D4F" w:rsidRPr="00C95F62" w:rsidRDefault="00772D4F" w:rsidP="00C95F62">
      <w:pPr>
        <w:pStyle w:val="PlainText"/>
        <w:numPr>
          <w:ilvl w:val="0"/>
          <w:numId w:val="14"/>
        </w:numPr>
        <w:rPr>
          <w:szCs w:val="22"/>
        </w:rPr>
      </w:pPr>
      <w:r w:rsidRPr="00C95F62">
        <w:rPr>
          <w:rFonts w:ascii="Arial" w:hAnsi="Arial" w:cs="Arial"/>
          <w:szCs w:val="22"/>
        </w:rPr>
        <w:t>Scheme A - Boreholes are the lead heat source in winter as they provide a constant ~14°C into the ambient loop</w:t>
      </w:r>
    </w:p>
    <w:p w14:paraId="4B99EAE5" w14:textId="77777777" w:rsidR="00772D4F" w:rsidRPr="00C95F62" w:rsidRDefault="00772D4F" w:rsidP="00C95F62">
      <w:pPr>
        <w:pStyle w:val="PlainText"/>
        <w:numPr>
          <w:ilvl w:val="0"/>
          <w:numId w:val="14"/>
        </w:numPr>
        <w:rPr>
          <w:szCs w:val="22"/>
        </w:rPr>
      </w:pPr>
      <w:r w:rsidRPr="00C95F62">
        <w:rPr>
          <w:rFonts w:ascii="Arial" w:hAnsi="Arial" w:cs="Arial"/>
          <w:szCs w:val="22"/>
        </w:rPr>
        <w:t>Scheme B – two large data centres act as a year-round constant heat demand (cooling load)</w:t>
      </w:r>
    </w:p>
    <w:p w14:paraId="5AF9EF9D" w14:textId="77777777" w:rsidR="00AF05B7" w:rsidRDefault="00AF05B7" w:rsidP="00A3230E">
      <w:pPr>
        <w:jc w:val="both"/>
        <w:rPr>
          <w:rFonts w:ascii="Arial" w:hAnsi="Arial" w:cs="Arial"/>
          <w:b/>
        </w:rPr>
      </w:pPr>
    </w:p>
    <w:p w14:paraId="4C7F39BD" w14:textId="77777777" w:rsidR="00E15DE4" w:rsidRPr="00C95F62" w:rsidRDefault="004B6808" w:rsidP="004B6808">
      <w:pPr>
        <w:pStyle w:val="ListParagraph"/>
        <w:numPr>
          <w:ilvl w:val="2"/>
          <w:numId w:val="4"/>
        </w:numPr>
        <w:jc w:val="both"/>
        <w:rPr>
          <w:rFonts w:ascii="Arial" w:hAnsi="Arial" w:cs="Arial"/>
          <w:b/>
          <w:bCs/>
          <w:iCs/>
        </w:rPr>
      </w:pPr>
      <w:r w:rsidRPr="00C95F62">
        <w:rPr>
          <w:rFonts w:ascii="Arial" w:hAnsi="Arial" w:cs="Arial"/>
          <w:b/>
          <w:bCs/>
          <w:iCs/>
        </w:rPr>
        <w:t>Modelling scenarios</w:t>
      </w:r>
    </w:p>
    <w:p w14:paraId="47D6F2F5" w14:textId="53232DE3" w:rsidR="00A81576" w:rsidRPr="00A81576" w:rsidRDefault="00506694" w:rsidP="00506694">
      <w:pPr>
        <w:jc w:val="both"/>
        <w:rPr>
          <w:rFonts w:ascii="Arial" w:hAnsi="Arial" w:cs="Arial"/>
        </w:rPr>
      </w:pPr>
      <w:r w:rsidRPr="00506694">
        <w:rPr>
          <w:rFonts w:ascii="Arial" w:hAnsi="Arial" w:cs="Arial"/>
        </w:rPr>
        <w:t>Separate models of Scheme</w:t>
      </w:r>
      <w:r w:rsidR="008A6745">
        <w:rPr>
          <w:rFonts w:ascii="Arial" w:hAnsi="Arial" w:cs="Arial"/>
        </w:rPr>
        <w:t>s</w:t>
      </w:r>
      <w:r w:rsidRPr="00506694">
        <w:rPr>
          <w:rFonts w:ascii="Arial" w:hAnsi="Arial" w:cs="Arial"/>
        </w:rPr>
        <w:t xml:space="preserve"> A and B were constructed. Variations of the core model</w:t>
      </w:r>
      <w:r w:rsidR="00752B9F">
        <w:rPr>
          <w:rFonts w:ascii="Arial" w:hAnsi="Arial" w:cs="Arial"/>
        </w:rPr>
        <w:t>s</w:t>
      </w:r>
      <w:r w:rsidRPr="00506694">
        <w:rPr>
          <w:rFonts w:ascii="Arial" w:hAnsi="Arial" w:cs="Arial"/>
        </w:rPr>
        <w:t xml:space="preserve"> were then created as tabs within the software allowing direct comparison of different scenarios.</w:t>
      </w:r>
      <w:r w:rsidR="00A81576">
        <w:rPr>
          <w:rFonts w:ascii="Arial" w:hAnsi="Arial" w:cs="Arial"/>
        </w:rPr>
        <w:t xml:space="preserve"> Table 3 shows the different modelling scenarios implemented and gives a description of each of them. Each of the scenarios listed in Table 3 were compared to a reference </w:t>
      </w:r>
      <w:r w:rsidR="002F3661">
        <w:rPr>
          <w:rFonts w:ascii="Arial" w:hAnsi="Arial" w:cs="Arial"/>
        </w:rPr>
        <w:t xml:space="preserve">BAU </w:t>
      </w:r>
      <w:r w:rsidR="00A81576">
        <w:rPr>
          <w:rFonts w:ascii="Arial" w:hAnsi="Arial" w:cs="Arial"/>
        </w:rPr>
        <w:t xml:space="preserve">base case scenario </w:t>
      </w:r>
      <w:r w:rsidR="00CE3AC4">
        <w:rPr>
          <w:rFonts w:ascii="Arial" w:hAnsi="Arial" w:cs="Arial"/>
        </w:rPr>
        <w:t>of existing gas fired boilers.</w:t>
      </w:r>
      <w:r w:rsidR="00FA3511">
        <w:rPr>
          <w:rFonts w:ascii="Arial" w:hAnsi="Arial" w:cs="Arial"/>
        </w:rPr>
        <w:t xml:space="preserve"> </w:t>
      </w:r>
    </w:p>
    <w:p w14:paraId="1C337F0B" w14:textId="1F110125" w:rsidR="00752B9F" w:rsidRPr="00752B9F" w:rsidRDefault="00752B9F" w:rsidP="00752B9F">
      <w:pPr>
        <w:pStyle w:val="Caption"/>
        <w:keepNext/>
        <w:rPr>
          <w:rFonts w:ascii="Arial" w:hAnsi="Arial" w:cs="Arial"/>
          <w:b/>
        </w:rPr>
      </w:pPr>
      <w:r w:rsidRPr="00752B9F">
        <w:rPr>
          <w:rFonts w:ascii="Arial" w:hAnsi="Arial" w:cs="Arial"/>
          <w:b/>
        </w:rPr>
        <w:t xml:space="preserve">Table </w:t>
      </w:r>
      <w:r w:rsidRPr="00752B9F">
        <w:rPr>
          <w:rFonts w:ascii="Arial" w:hAnsi="Arial" w:cs="Arial"/>
          <w:b/>
        </w:rPr>
        <w:fldChar w:fldCharType="begin"/>
      </w:r>
      <w:r w:rsidRPr="00752B9F">
        <w:rPr>
          <w:rFonts w:ascii="Arial" w:hAnsi="Arial" w:cs="Arial"/>
          <w:b/>
        </w:rPr>
        <w:instrText xml:space="preserve"> SEQ Table \* ARABIC </w:instrText>
      </w:r>
      <w:r w:rsidRPr="00752B9F">
        <w:rPr>
          <w:rFonts w:ascii="Arial" w:hAnsi="Arial" w:cs="Arial"/>
          <w:b/>
        </w:rPr>
        <w:fldChar w:fldCharType="separate"/>
      </w:r>
      <w:r w:rsidR="00505774">
        <w:rPr>
          <w:rFonts w:ascii="Arial" w:hAnsi="Arial" w:cs="Arial"/>
          <w:b/>
          <w:noProof/>
        </w:rPr>
        <w:t>3</w:t>
      </w:r>
      <w:r w:rsidRPr="00752B9F">
        <w:rPr>
          <w:rFonts w:ascii="Arial" w:hAnsi="Arial" w:cs="Arial"/>
          <w:b/>
        </w:rPr>
        <w:fldChar w:fldCharType="end"/>
      </w:r>
      <w:r w:rsidRPr="00752B9F">
        <w:rPr>
          <w:rFonts w:ascii="Arial" w:hAnsi="Arial" w:cs="Arial"/>
          <w:b/>
        </w:rPr>
        <w:t xml:space="preserve"> Techno-economic modelling scenarios</w:t>
      </w:r>
    </w:p>
    <w:tbl>
      <w:tblPr>
        <w:tblW w:w="5000" w:type="pct"/>
        <w:jc w:val="center"/>
        <w:tblBorders>
          <w:top w:val="single" w:sz="18" w:space="0" w:color="auto"/>
          <w:bottom w:val="single" w:sz="18" w:space="0" w:color="auto"/>
        </w:tblBorders>
        <w:tblLayout w:type="fixed"/>
        <w:tblLook w:val="04A0" w:firstRow="1" w:lastRow="0" w:firstColumn="1" w:lastColumn="0" w:noHBand="0" w:noVBand="1"/>
      </w:tblPr>
      <w:tblGrid>
        <w:gridCol w:w="424"/>
        <w:gridCol w:w="2831"/>
        <w:gridCol w:w="5771"/>
      </w:tblGrid>
      <w:tr w:rsidR="00506694" w:rsidRPr="000D5722" w14:paraId="56FA7DA6" w14:textId="77777777" w:rsidTr="00752B9F">
        <w:trPr>
          <w:trHeight w:val="599"/>
          <w:jc w:val="center"/>
        </w:trPr>
        <w:tc>
          <w:tcPr>
            <w:tcW w:w="235" w:type="pct"/>
            <w:tcBorders>
              <w:top w:val="single" w:sz="18" w:space="0" w:color="auto"/>
              <w:bottom w:val="double" w:sz="6" w:space="0" w:color="auto"/>
            </w:tcBorders>
          </w:tcPr>
          <w:p w14:paraId="7E9D7AE5" w14:textId="77777777" w:rsidR="00506694" w:rsidRDefault="00506694" w:rsidP="002F3661">
            <w:pPr>
              <w:jc w:val="center"/>
              <w:rPr>
                <w:rFonts w:ascii="Arial" w:hAnsi="Arial" w:cs="Arial"/>
                <w:b/>
                <w:sz w:val="20"/>
                <w:szCs w:val="20"/>
                <w:lang w:val="en-US"/>
              </w:rPr>
            </w:pPr>
          </w:p>
        </w:tc>
        <w:tc>
          <w:tcPr>
            <w:tcW w:w="1568" w:type="pct"/>
            <w:tcBorders>
              <w:top w:val="single" w:sz="18" w:space="0" w:color="auto"/>
              <w:bottom w:val="double" w:sz="6" w:space="0" w:color="auto"/>
            </w:tcBorders>
            <w:tcMar>
              <w:left w:w="0" w:type="dxa"/>
              <w:right w:w="0" w:type="dxa"/>
            </w:tcMar>
            <w:vAlign w:val="center"/>
          </w:tcPr>
          <w:p w14:paraId="7A80A257" w14:textId="77777777" w:rsidR="00506694" w:rsidRPr="000D5722" w:rsidRDefault="00506694" w:rsidP="002F3661">
            <w:pPr>
              <w:jc w:val="center"/>
              <w:rPr>
                <w:rFonts w:ascii="Arial" w:hAnsi="Arial" w:cs="Arial"/>
                <w:b/>
                <w:sz w:val="20"/>
                <w:szCs w:val="20"/>
                <w:lang w:val="en-US"/>
              </w:rPr>
            </w:pPr>
            <w:r>
              <w:rPr>
                <w:rFonts w:ascii="Arial" w:hAnsi="Arial" w:cs="Arial"/>
                <w:b/>
                <w:sz w:val="20"/>
                <w:szCs w:val="20"/>
                <w:lang w:val="en-US"/>
              </w:rPr>
              <w:t>Scenario</w:t>
            </w:r>
          </w:p>
        </w:tc>
        <w:tc>
          <w:tcPr>
            <w:tcW w:w="3197" w:type="pct"/>
            <w:tcBorders>
              <w:top w:val="single" w:sz="18" w:space="0" w:color="auto"/>
              <w:bottom w:val="double" w:sz="6" w:space="0" w:color="auto"/>
            </w:tcBorders>
            <w:tcMar>
              <w:left w:w="0" w:type="dxa"/>
              <w:right w:w="0" w:type="dxa"/>
            </w:tcMar>
            <w:vAlign w:val="center"/>
          </w:tcPr>
          <w:p w14:paraId="33E0ED40" w14:textId="77777777" w:rsidR="00506694" w:rsidRPr="000D5722" w:rsidRDefault="00506694" w:rsidP="002F3661">
            <w:pPr>
              <w:jc w:val="center"/>
              <w:rPr>
                <w:rFonts w:ascii="Arial" w:hAnsi="Arial" w:cs="Arial"/>
                <w:b/>
                <w:sz w:val="20"/>
                <w:szCs w:val="20"/>
                <w:lang w:val="en-US"/>
              </w:rPr>
            </w:pPr>
            <w:r>
              <w:rPr>
                <w:rFonts w:ascii="Arial" w:hAnsi="Arial" w:cs="Arial"/>
                <w:b/>
                <w:sz w:val="20"/>
                <w:szCs w:val="20"/>
                <w:lang w:val="en-US"/>
              </w:rPr>
              <w:t>Description</w:t>
            </w:r>
          </w:p>
        </w:tc>
      </w:tr>
      <w:tr w:rsidR="00506694" w:rsidRPr="000D5722" w14:paraId="1A82A539" w14:textId="77777777" w:rsidTr="00752B9F">
        <w:trPr>
          <w:jc w:val="center"/>
        </w:trPr>
        <w:tc>
          <w:tcPr>
            <w:tcW w:w="235" w:type="pct"/>
            <w:tcBorders>
              <w:top w:val="double" w:sz="6" w:space="0" w:color="auto"/>
            </w:tcBorders>
            <w:vAlign w:val="center"/>
          </w:tcPr>
          <w:p w14:paraId="62B33B7E" w14:textId="77777777" w:rsidR="00506694" w:rsidRPr="00752B9F" w:rsidRDefault="00506694" w:rsidP="00752B9F">
            <w:pPr>
              <w:jc w:val="center"/>
              <w:rPr>
                <w:rFonts w:ascii="Arial" w:hAnsi="Arial" w:cs="Arial"/>
                <w:b/>
                <w:sz w:val="20"/>
                <w:szCs w:val="20"/>
                <w:lang w:val="en-US"/>
              </w:rPr>
            </w:pPr>
            <w:r w:rsidRPr="00752B9F">
              <w:rPr>
                <w:rFonts w:ascii="Arial" w:hAnsi="Arial" w:cs="Arial"/>
                <w:b/>
                <w:sz w:val="20"/>
                <w:szCs w:val="20"/>
                <w:lang w:val="en-US"/>
              </w:rPr>
              <w:t>1</w:t>
            </w:r>
          </w:p>
        </w:tc>
        <w:tc>
          <w:tcPr>
            <w:tcW w:w="1568" w:type="pct"/>
            <w:tcBorders>
              <w:top w:val="double" w:sz="6" w:space="0" w:color="auto"/>
            </w:tcBorders>
            <w:tcMar>
              <w:left w:w="0" w:type="dxa"/>
              <w:right w:w="0" w:type="dxa"/>
            </w:tcMar>
            <w:vAlign w:val="center"/>
          </w:tcPr>
          <w:p w14:paraId="10FE4A16" w14:textId="77777777" w:rsidR="00506694" w:rsidRPr="000D5722" w:rsidRDefault="00506694" w:rsidP="00506694">
            <w:pPr>
              <w:rPr>
                <w:rFonts w:ascii="Arial" w:hAnsi="Arial" w:cs="Arial"/>
                <w:sz w:val="20"/>
                <w:szCs w:val="20"/>
                <w:lang w:val="en-US"/>
              </w:rPr>
            </w:pPr>
            <w:r>
              <w:rPr>
                <w:rFonts w:ascii="Arial" w:hAnsi="Arial" w:cs="Arial"/>
                <w:sz w:val="20"/>
                <w:szCs w:val="20"/>
                <w:lang w:val="en-US"/>
              </w:rPr>
              <w:t>Limitless aquifer</w:t>
            </w:r>
          </w:p>
        </w:tc>
        <w:tc>
          <w:tcPr>
            <w:tcW w:w="3197" w:type="pct"/>
            <w:tcBorders>
              <w:top w:val="double" w:sz="6" w:space="0" w:color="auto"/>
            </w:tcBorders>
            <w:tcMar>
              <w:left w:w="0" w:type="dxa"/>
              <w:right w:w="0" w:type="dxa"/>
            </w:tcMar>
            <w:vAlign w:val="center"/>
          </w:tcPr>
          <w:p w14:paraId="066CE465" w14:textId="77777777" w:rsidR="00506694" w:rsidRPr="000D5722" w:rsidRDefault="00506694" w:rsidP="00752B9F">
            <w:pPr>
              <w:jc w:val="both"/>
              <w:rPr>
                <w:rFonts w:ascii="Arial" w:hAnsi="Arial" w:cs="Arial"/>
                <w:sz w:val="20"/>
                <w:szCs w:val="20"/>
                <w:lang w:val="en-US"/>
              </w:rPr>
            </w:pPr>
            <w:r w:rsidRPr="00506694">
              <w:rPr>
                <w:rFonts w:ascii="Arial" w:hAnsi="Arial" w:cs="Arial"/>
                <w:sz w:val="20"/>
                <w:szCs w:val="20"/>
                <w:lang w:val="en-US"/>
              </w:rPr>
              <w:t xml:space="preserve">Assumes that the aquifer heat replenishes itself but therefore </w:t>
            </w:r>
            <w:r>
              <w:rPr>
                <w:rFonts w:ascii="Arial" w:hAnsi="Arial" w:cs="Arial"/>
                <w:sz w:val="20"/>
                <w:szCs w:val="20"/>
                <w:lang w:val="en-US"/>
              </w:rPr>
              <w:t xml:space="preserve">it </w:t>
            </w:r>
            <w:r w:rsidRPr="00506694">
              <w:rPr>
                <w:rFonts w:ascii="Arial" w:hAnsi="Arial" w:cs="Arial"/>
                <w:sz w:val="20"/>
                <w:szCs w:val="20"/>
                <w:lang w:val="en-US"/>
              </w:rPr>
              <w:t>cann</w:t>
            </w:r>
            <w:r w:rsidR="00752B9F">
              <w:rPr>
                <w:rFonts w:ascii="Arial" w:hAnsi="Arial" w:cs="Arial"/>
                <w:sz w:val="20"/>
                <w:szCs w:val="20"/>
                <w:lang w:val="en-US"/>
              </w:rPr>
              <w:t>ot be used for thermal storage</w:t>
            </w:r>
          </w:p>
        </w:tc>
      </w:tr>
      <w:tr w:rsidR="00506694" w:rsidRPr="000D5722" w14:paraId="04E1029A" w14:textId="77777777" w:rsidTr="00752B9F">
        <w:trPr>
          <w:jc w:val="center"/>
        </w:trPr>
        <w:tc>
          <w:tcPr>
            <w:tcW w:w="235" w:type="pct"/>
            <w:vAlign w:val="center"/>
          </w:tcPr>
          <w:p w14:paraId="21094DD5" w14:textId="77777777" w:rsidR="00506694" w:rsidRPr="00752B9F" w:rsidRDefault="00506694" w:rsidP="00752B9F">
            <w:pPr>
              <w:jc w:val="center"/>
              <w:rPr>
                <w:rFonts w:ascii="Arial" w:hAnsi="Arial" w:cs="Arial"/>
                <w:b/>
                <w:sz w:val="20"/>
                <w:szCs w:val="20"/>
                <w:lang w:val="en-US"/>
              </w:rPr>
            </w:pPr>
            <w:r w:rsidRPr="00752B9F">
              <w:rPr>
                <w:rFonts w:ascii="Arial" w:hAnsi="Arial" w:cs="Arial"/>
                <w:b/>
                <w:sz w:val="20"/>
                <w:szCs w:val="20"/>
                <w:lang w:val="en-US"/>
              </w:rPr>
              <w:lastRenderedPageBreak/>
              <w:t>2</w:t>
            </w:r>
          </w:p>
        </w:tc>
        <w:tc>
          <w:tcPr>
            <w:tcW w:w="1568" w:type="pct"/>
            <w:tcMar>
              <w:left w:w="0" w:type="dxa"/>
              <w:right w:w="0" w:type="dxa"/>
            </w:tcMar>
            <w:vAlign w:val="center"/>
          </w:tcPr>
          <w:p w14:paraId="7CFB9AD9" w14:textId="77777777" w:rsidR="00506694" w:rsidRPr="000D5722" w:rsidRDefault="00506694" w:rsidP="00506694">
            <w:pPr>
              <w:rPr>
                <w:rFonts w:ascii="Arial" w:hAnsi="Arial" w:cs="Arial"/>
                <w:sz w:val="20"/>
                <w:szCs w:val="20"/>
                <w:lang w:val="en-US"/>
              </w:rPr>
            </w:pPr>
            <w:r>
              <w:rPr>
                <w:rFonts w:ascii="Arial" w:hAnsi="Arial" w:cs="Arial"/>
                <w:sz w:val="20"/>
                <w:szCs w:val="20"/>
                <w:lang w:val="en-US"/>
              </w:rPr>
              <w:t>Aquifer thermal energy storage (ATES)</w:t>
            </w:r>
          </w:p>
        </w:tc>
        <w:tc>
          <w:tcPr>
            <w:tcW w:w="3197" w:type="pct"/>
            <w:tcMar>
              <w:left w:w="0" w:type="dxa"/>
              <w:right w:w="0" w:type="dxa"/>
            </w:tcMar>
            <w:vAlign w:val="center"/>
          </w:tcPr>
          <w:p w14:paraId="5B70790E" w14:textId="77777777" w:rsidR="00506694" w:rsidRPr="000D5722" w:rsidRDefault="00506694" w:rsidP="00752B9F">
            <w:pPr>
              <w:jc w:val="both"/>
              <w:rPr>
                <w:rFonts w:ascii="Arial" w:hAnsi="Arial" w:cs="Arial"/>
                <w:sz w:val="20"/>
                <w:szCs w:val="20"/>
                <w:lang w:val="en-US"/>
              </w:rPr>
            </w:pPr>
            <w:r w:rsidRPr="00506694">
              <w:rPr>
                <w:rFonts w:ascii="Arial" w:hAnsi="Arial" w:cs="Arial"/>
                <w:sz w:val="20"/>
                <w:szCs w:val="20"/>
                <w:lang w:val="en-US"/>
              </w:rPr>
              <w:t xml:space="preserve">Assumes that the aquifer heat cannot replenish itself </w:t>
            </w:r>
            <w:r>
              <w:rPr>
                <w:rFonts w:ascii="Arial" w:hAnsi="Arial" w:cs="Arial"/>
                <w:sz w:val="20"/>
                <w:szCs w:val="20"/>
                <w:lang w:val="en-US"/>
              </w:rPr>
              <w:t>and</w:t>
            </w:r>
            <w:r w:rsidRPr="00506694">
              <w:rPr>
                <w:rFonts w:ascii="Arial" w:hAnsi="Arial" w:cs="Arial"/>
                <w:sz w:val="20"/>
                <w:szCs w:val="20"/>
                <w:lang w:val="en-US"/>
              </w:rPr>
              <w:t xml:space="preserve"> therefore </w:t>
            </w:r>
            <w:r>
              <w:rPr>
                <w:rFonts w:ascii="Arial" w:hAnsi="Arial" w:cs="Arial"/>
                <w:sz w:val="20"/>
                <w:szCs w:val="20"/>
                <w:lang w:val="en-US"/>
              </w:rPr>
              <w:t xml:space="preserve">it </w:t>
            </w:r>
            <w:r w:rsidRPr="00506694">
              <w:rPr>
                <w:rFonts w:ascii="Arial" w:hAnsi="Arial" w:cs="Arial"/>
                <w:sz w:val="20"/>
                <w:szCs w:val="20"/>
                <w:lang w:val="en-US"/>
              </w:rPr>
              <w:t xml:space="preserve">can be used for </w:t>
            </w:r>
            <w:r>
              <w:rPr>
                <w:rFonts w:ascii="Arial" w:hAnsi="Arial" w:cs="Arial"/>
                <w:sz w:val="20"/>
                <w:szCs w:val="20"/>
                <w:lang w:val="en-US"/>
              </w:rPr>
              <w:t xml:space="preserve">seasonal or inter seasonal </w:t>
            </w:r>
            <w:r w:rsidRPr="00506694">
              <w:rPr>
                <w:rFonts w:ascii="Arial" w:hAnsi="Arial" w:cs="Arial"/>
                <w:sz w:val="20"/>
                <w:szCs w:val="20"/>
                <w:lang w:val="en-US"/>
              </w:rPr>
              <w:t>thermal storage</w:t>
            </w:r>
          </w:p>
        </w:tc>
      </w:tr>
      <w:tr w:rsidR="00752B9F" w:rsidRPr="000D5722" w14:paraId="7D0D818C" w14:textId="77777777" w:rsidTr="00752B9F">
        <w:trPr>
          <w:jc w:val="center"/>
        </w:trPr>
        <w:tc>
          <w:tcPr>
            <w:tcW w:w="235" w:type="pct"/>
            <w:vAlign w:val="center"/>
          </w:tcPr>
          <w:p w14:paraId="472D92BB" w14:textId="77777777" w:rsidR="00752B9F" w:rsidRPr="00752B9F" w:rsidRDefault="00752B9F" w:rsidP="00752B9F">
            <w:pPr>
              <w:jc w:val="center"/>
              <w:rPr>
                <w:rFonts w:ascii="Arial" w:hAnsi="Arial" w:cs="Arial"/>
                <w:b/>
                <w:sz w:val="20"/>
                <w:szCs w:val="20"/>
                <w:lang w:val="en-US"/>
              </w:rPr>
            </w:pPr>
            <w:r w:rsidRPr="00752B9F">
              <w:rPr>
                <w:rFonts w:ascii="Arial" w:hAnsi="Arial" w:cs="Arial"/>
                <w:b/>
                <w:sz w:val="20"/>
                <w:szCs w:val="20"/>
                <w:lang w:val="en-US"/>
              </w:rPr>
              <w:t>3</w:t>
            </w:r>
          </w:p>
        </w:tc>
        <w:tc>
          <w:tcPr>
            <w:tcW w:w="1568" w:type="pct"/>
            <w:tcMar>
              <w:left w:w="0" w:type="dxa"/>
              <w:right w:w="0" w:type="dxa"/>
            </w:tcMar>
            <w:vAlign w:val="center"/>
          </w:tcPr>
          <w:p w14:paraId="3A62E008" w14:textId="77777777" w:rsidR="00752B9F" w:rsidRPr="000D5722" w:rsidRDefault="00752B9F" w:rsidP="00506694">
            <w:pPr>
              <w:rPr>
                <w:rFonts w:ascii="Arial" w:hAnsi="Arial" w:cs="Arial"/>
                <w:sz w:val="20"/>
                <w:szCs w:val="20"/>
                <w:lang w:val="en-US"/>
              </w:rPr>
            </w:pPr>
            <w:r>
              <w:rPr>
                <w:rFonts w:ascii="Arial" w:hAnsi="Arial" w:cs="Arial"/>
                <w:sz w:val="20"/>
                <w:szCs w:val="20"/>
                <w:lang w:val="en-US"/>
              </w:rPr>
              <w:t>ATES and solar PV</w:t>
            </w:r>
          </w:p>
        </w:tc>
        <w:tc>
          <w:tcPr>
            <w:tcW w:w="3197" w:type="pct"/>
            <w:tcMar>
              <w:left w:w="0" w:type="dxa"/>
              <w:right w:w="0" w:type="dxa"/>
            </w:tcMar>
            <w:vAlign w:val="center"/>
          </w:tcPr>
          <w:p w14:paraId="7E397369" w14:textId="77777777" w:rsidR="00752B9F" w:rsidRPr="000D5722" w:rsidRDefault="00752B9F" w:rsidP="00752B9F">
            <w:pPr>
              <w:jc w:val="both"/>
              <w:rPr>
                <w:rFonts w:ascii="Arial" w:hAnsi="Arial" w:cs="Arial"/>
                <w:sz w:val="20"/>
                <w:szCs w:val="20"/>
                <w:lang w:val="en-US"/>
              </w:rPr>
            </w:pPr>
            <w:r>
              <w:rPr>
                <w:rFonts w:ascii="Arial" w:hAnsi="Arial" w:cs="Arial"/>
                <w:sz w:val="20"/>
                <w:szCs w:val="20"/>
                <w:lang w:val="en-US"/>
              </w:rPr>
              <w:t>S</w:t>
            </w:r>
            <w:r w:rsidRPr="00752B9F">
              <w:rPr>
                <w:rFonts w:ascii="Arial" w:hAnsi="Arial" w:cs="Arial"/>
                <w:sz w:val="20"/>
                <w:szCs w:val="20"/>
                <w:lang w:val="en-US"/>
              </w:rPr>
              <w:t>olar PV is added and operates behind the meter alongside each heat pump</w:t>
            </w:r>
          </w:p>
        </w:tc>
      </w:tr>
      <w:tr w:rsidR="00752B9F" w:rsidRPr="000D5722" w14:paraId="6A53E298" w14:textId="77777777" w:rsidTr="00752B9F">
        <w:trPr>
          <w:jc w:val="center"/>
        </w:trPr>
        <w:tc>
          <w:tcPr>
            <w:tcW w:w="235" w:type="pct"/>
            <w:vAlign w:val="center"/>
          </w:tcPr>
          <w:p w14:paraId="0A2FC230" w14:textId="77777777" w:rsidR="00752B9F" w:rsidRPr="00752B9F" w:rsidRDefault="00752B9F" w:rsidP="00752B9F">
            <w:pPr>
              <w:jc w:val="center"/>
              <w:rPr>
                <w:rFonts w:ascii="Arial" w:hAnsi="Arial" w:cs="Arial"/>
                <w:b/>
                <w:sz w:val="20"/>
                <w:szCs w:val="20"/>
                <w:lang w:val="en-US"/>
              </w:rPr>
            </w:pPr>
            <w:r w:rsidRPr="00752B9F">
              <w:rPr>
                <w:rFonts w:ascii="Arial" w:hAnsi="Arial" w:cs="Arial"/>
                <w:b/>
                <w:sz w:val="20"/>
                <w:szCs w:val="20"/>
                <w:lang w:val="en-US"/>
              </w:rPr>
              <w:t>4</w:t>
            </w:r>
          </w:p>
        </w:tc>
        <w:tc>
          <w:tcPr>
            <w:tcW w:w="1568" w:type="pct"/>
            <w:tcMar>
              <w:left w:w="0" w:type="dxa"/>
              <w:right w:w="0" w:type="dxa"/>
            </w:tcMar>
            <w:vAlign w:val="center"/>
          </w:tcPr>
          <w:p w14:paraId="65395552" w14:textId="77777777" w:rsidR="00752B9F" w:rsidRPr="000D5722" w:rsidRDefault="00752B9F" w:rsidP="00506694">
            <w:pPr>
              <w:rPr>
                <w:rFonts w:ascii="Arial" w:hAnsi="Arial" w:cs="Arial"/>
                <w:sz w:val="20"/>
                <w:szCs w:val="20"/>
                <w:lang w:val="en-US"/>
              </w:rPr>
            </w:pPr>
            <w:r>
              <w:rPr>
                <w:rFonts w:ascii="Arial" w:hAnsi="Arial" w:cs="Arial"/>
                <w:sz w:val="20"/>
                <w:szCs w:val="20"/>
                <w:lang w:val="en-US"/>
              </w:rPr>
              <w:t>ATES and V2G</w:t>
            </w:r>
          </w:p>
        </w:tc>
        <w:tc>
          <w:tcPr>
            <w:tcW w:w="3197" w:type="pct"/>
            <w:tcMar>
              <w:left w:w="0" w:type="dxa"/>
              <w:right w:w="0" w:type="dxa"/>
            </w:tcMar>
            <w:vAlign w:val="center"/>
          </w:tcPr>
          <w:p w14:paraId="638B193B" w14:textId="77777777" w:rsidR="00752B9F" w:rsidRPr="000D5722" w:rsidRDefault="00752B9F" w:rsidP="00752B9F">
            <w:pPr>
              <w:jc w:val="both"/>
              <w:rPr>
                <w:rFonts w:ascii="Arial" w:hAnsi="Arial" w:cs="Arial"/>
                <w:sz w:val="20"/>
                <w:szCs w:val="20"/>
                <w:lang w:val="en-US"/>
              </w:rPr>
            </w:pPr>
            <w:r w:rsidRPr="00752B9F">
              <w:rPr>
                <w:rFonts w:ascii="Arial" w:hAnsi="Arial" w:cs="Arial"/>
                <w:sz w:val="20"/>
                <w:szCs w:val="20"/>
                <w:lang w:val="en-US"/>
              </w:rPr>
              <w:t xml:space="preserve">V2G is added at each energy </w:t>
            </w:r>
            <w:r>
              <w:rPr>
                <w:rFonts w:ascii="Arial" w:hAnsi="Arial" w:cs="Arial"/>
                <w:sz w:val="20"/>
                <w:szCs w:val="20"/>
                <w:lang w:val="en-US"/>
              </w:rPr>
              <w:t>centre</w:t>
            </w:r>
            <w:r w:rsidRPr="00752B9F">
              <w:rPr>
                <w:rFonts w:ascii="Arial" w:hAnsi="Arial" w:cs="Arial"/>
                <w:sz w:val="20"/>
                <w:szCs w:val="20"/>
                <w:lang w:val="en-US"/>
              </w:rPr>
              <w:t>. Both the PV and the batteries operate behind the</w:t>
            </w:r>
            <w:r>
              <w:rPr>
                <w:rFonts w:ascii="Arial" w:hAnsi="Arial" w:cs="Arial"/>
                <w:sz w:val="20"/>
                <w:szCs w:val="20"/>
                <w:lang w:val="en-US"/>
              </w:rPr>
              <w:t xml:space="preserve"> meter alongside the heat pumps</w:t>
            </w:r>
          </w:p>
        </w:tc>
      </w:tr>
      <w:tr w:rsidR="00752B9F" w:rsidRPr="000D5722" w14:paraId="68BD5953" w14:textId="77777777" w:rsidTr="00752B9F">
        <w:trPr>
          <w:jc w:val="center"/>
        </w:trPr>
        <w:tc>
          <w:tcPr>
            <w:tcW w:w="235" w:type="pct"/>
            <w:vAlign w:val="center"/>
          </w:tcPr>
          <w:p w14:paraId="2F28CC38" w14:textId="77777777" w:rsidR="00752B9F" w:rsidRPr="00752B9F" w:rsidRDefault="00752B9F" w:rsidP="00752B9F">
            <w:pPr>
              <w:jc w:val="center"/>
              <w:rPr>
                <w:rFonts w:ascii="Arial" w:hAnsi="Arial" w:cs="Arial"/>
                <w:b/>
                <w:sz w:val="20"/>
                <w:szCs w:val="20"/>
                <w:lang w:val="en-US"/>
              </w:rPr>
            </w:pPr>
            <w:r w:rsidRPr="00752B9F">
              <w:rPr>
                <w:rFonts w:ascii="Arial" w:hAnsi="Arial" w:cs="Arial"/>
                <w:b/>
                <w:sz w:val="20"/>
                <w:szCs w:val="20"/>
                <w:lang w:val="en-US"/>
              </w:rPr>
              <w:t>5</w:t>
            </w:r>
          </w:p>
        </w:tc>
        <w:tc>
          <w:tcPr>
            <w:tcW w:w="1568" w:type="pct"/>
            <w:tcMar>
              <w:left w:w="0" w:type="dxa"/>
              <w:right w:w="0" w:type="dxa"/>
            </w:tcMar>
            <w:vAlign w:val="center"/>
          </w:tcPr>
          <w:p w14:paraId="4B2F4281" w14:textId="77777777" w:rsidR="00752B9F" w:rsidRDefault="00752B9F" w:rsidP="00506694">
            <w:pPr>
              <w:rPr>
                <w:rFonts w:ascii="Arial" w:hAnsi="Arial" w:cs="Arial"/>
                <w:sz w:val="20"/>
                <w:szCs w:val="20"/>
                <w:lang w:val="en-US"/>
              </w:rPr>
            </w:pPr>
            <w:r>
              <w:rPr>
                <w:rFonts w:ascii="Arial" w:hAnsi="Arial" w:cs="Arial"/>
                <w:sz w:val="20"/>
                <w:szCs w:val="20"/>
                <w:lang w:val="en-US"/>
              </w:rPr>
              <w:t>ATES, solar PV and V2G</w:t>
            </w:r>
          </w:p>
        </w:tc>
        <w:tc>
          <w:tcPr>
            <w:tcW w:w="3197" w:type="pct"/>
            <w:tcMar>
              <w:left w:w="0" w:type="dxa"/>
              <w:right w:w="0" w:type="dxa"/>
            </w:tcMar>
            <w:vAlign w:val="center"/>
          </w:tcPr>
          <w:p w14:paraId="6F17379C" w14:textId="77777777" w:rsidR="00752B9F" w:rsidRPr="000D5722" w:rsidRDefault="00752B9F" w:rsidP="00752B9F">
            <w:pPr>
              <w:jc w:val="both"/>
              <w:rPr>
                <w:rFonts w:ascii="Arial" w:hAnsi="Arial" w:cs="Arial"/>
                <w:sz w:val="20"/>
                <w:szCs w:val="20"/>
                <w:lang w:val="en-US"/>
              </w:rPr>
            </w:pPr>
            <w:r w:rsidRPr="00752B9F">
              <w:rPr>
                <w:rFonts w:ascii="Arial" w:hAnsi="Arial" w:cs="Arial"/>
                <w:sz w:val="20"/>
                <w:szCs w:val="20"/>
                <w:lang w:val="en-US"/>
              </w:rPr>
              <w:t>In addition to ATES, both solar PV and V2G is added at each energy centre. These operate behind the</w:t>
            </w:r>
            <w:r>
              <w:rPr>
                <w:rFonts w:ascii="Arial" w:hAnsi="Arial" w:cs="Arial"/>
                <w:sz w:val="20"/>
                <w:szCs w:val="20"/>
                <w:lang w:val="en-US"/>
              </w:rPr>
              <w:t xml:space="preserve"> meter alongside the heat pumps</w:t>
            </w:r>
          </w:p>
        </w:tc>
      </w:tr>
      <w:tr w:rsidR="00752B9F" w:rsidRPr="000D5722" w14:paraId="60D3263A" w14:textId="77777777" w:rsidTr="00752B9F">
        <w:trPr>
          <w:jc w:val="center"/>
        </w:trPr>
        <w:tc>
          <w:tcPr>
            <w:tcW w:w="235" w:type="pct"/>
            <w:vAlign w:val="center"/>
          </w:tcPr>
          <w:p w14:paraId="4318B685" w14:textId="77777777" w:rsidR="00752B9F" w:rsidRPr="00752B9F" w:rsidRDefault="00752B9F" w:rsidP="00752B9F">
            <w:pPr>
              <w:jc w:val="center"/>
              <w:rPr>
                <w:rFonts w:ascii="Arial" w:hAnsi="Arial" w:cs="Arial"/>
                <w:b/>
                <w:sz w:val="20"/>
                <w:szCs w:val="20"/>
                <w:lang w:val="en-US"/>
              </w:rPr>
            </w:pPr>
            <w:r w:rsidRPr="00752B9F">
              <w:rPr>
                <w:rFonts w:ascii="Arial" w:hAnsi="Arial" w:cs="Arial"/>
                <w:b/>
                <w:sz w:val="20"/>
                <w:szCs w:val="20"/>
                <w:lang w:val="en-US"/>
              </w:rPr>
              <w:t>6</w:t>
            </w:r>
          </w:p>
        </w:tc>
        <w:tc>
          <w:tcPr>
            <w:tcW w:w="1568" w:type="pct"/>
            <w:tcMar>
              <w:left w:w="0" w:type="dxa"/>
              <w:right w:w="0" w:type="dxa"/>
            </w:tcMar>
            <w:vAlign w:val="center"/>
          </w:tcPr>
          <w:p w14:paraId="261EDF57" w14:textId="77777777" w:rsidR="00752B9F" w:rsidRDefault="00752B9F" w:rsidP="00506694">
            <w:pPr>
              <w:rPr>
                <w:rFonts w:ascii="Arial" w:hAnsi="Arial" w:cs="Arial"/>
                <w:sz w:val="20"/>
                <w:szCs w:val="20"/>
                <w:lang w:val="en-US"/>
              </w:rPr>
            </w:pPr>
            <w:r>
              <w:rPr>
                <w:rFonts w:ascii="Arial" w:hAnsi="Arial" w:cs="Arial"/>
                <w:sz w:val="20"/>
                <w:szCs w:val="20"/>
                <w:lang w:val="en-US"/>
              </w:rPr>
              <w:t>ATES, solar PV, V2G and bespoke batteries</w:t>
            </w:r>
          </w:p>
        </w:tc>
        <w:tc>
          <w:tcPr>
            <w:tcW w:w="3197" w:type="pct"/>
            <w:tcMar>
              <w:left w:w="0" w:type="dxa"/>
              <w:right w:w="0" w:type="dxa"/>
            </w:tcMar>
            <w:vAlign w:val="center"/>
          </w:tcPr>
          <w:p w14:paraId="096AC9FA" w14:textId="77777777" w:rsidR="00752B9F" w:rsidRPr="000D5722" w:rsidRDefault="00752B9F" w:rsidP="00752B9F">
            <w:pPr>
              <w:jc w:val="both"/>
              <w:rPr>
                <w:rFonts w:ascii="Arial" w:hAnsi="Arial" w:cs="Arial"/>
                <w:sz w:val="20"/>
                <w:szCs w:val="20"/>
                <w:lang w:val="en-US"/>
              </w:rPr>
            </w:pPr>
            <w:r w:rsidRPr="00752B9F">
              <w:rPr>
                <w:rFonts w:ascii="Arial" w:hAnsi="Arial" w:cs="Arial"/>
                <w:sz w:val="20"/>
                <w:szCs w:val="20"/>
                <w:lang w:val="en-US"/>
              </w:rPr>
              <w:t>In addition to ATES, solar PV is added at each energy centre. In addition to V2G bespoke batteries are added. Both the PV and the batteries operate behind the</w:t>
            </w:r>
            <w:r>
              <w:rPr>
                <w:rFonts w:ascii="Arial" w:hAnsi="Arial" w:cs="Arial"/>
                <w:sz w:val="20"/>
                <w:szCs w:val="20"/>
                <w:lang w:val="en-US"/>
              </w:rPr>
              <w:t xml:space="preserve"> meter alongside the heat pumps</w:t>
            </w:r>
          </w:p>
        </w:tc>
      </w:tr>
    </w:tbl>
    <w:p w14:paraId="1F6E77EF" w14:textId="77777777" w:rsidR="00A3230E" w:rsidRPr="00A3230E" w:rsidRDefault="00A3230E" w:rsidP="00A3230E">
      <w:pPr>
        <w:jc w:val="both"/>
        <w:rPr>
          <w:rFonts w:ascii="Arial" w:hAnsi="Arial" w:cs="Arial"/>
          <w:b/>
        </w:rPr>
      </w:pPr>
    </w:p>
    <w:p w14:paraId="6BFBBEC6" w14:textId="435A6C74" w:rsidR="004B6808" w:rsidRDefault="004B6808" w:rsidP="004B6808">
      <w:pPr>
        <w:pStyle w:val="ListParagraph"/>
        <w:numPr>
          <w:ilvl w:val="0"/>
          <w:numId w:val="1"/>
        </w:numPr>
        <w:jc w:val="both"/>
        <w:rPr>
          <w:rFonts w:ascii="Arial" w:hAnsi="Arial" w:cs="Arial"/>
          <w:b/>
        </w:rPr>
      </w:pPr>
      <w:r w:rsidRPr="004B6808">
        <w:rPr>
          <w:rFonts w:ascii="Arial" w:hAnsi="Arial" w:cs="Arial"/>
          <w:b/>
        </w:rPr>
        <w:t>RESULTS AND DISCUSSION</w:t>
      </w:r>
    </w:p>
    <w:p w14:paraId="5BA66BC3" w14:textId="2B095A14" w:rsidR="005F3716" w:rsidRPr="00C95F62" w:rsidRDefault="00772D4F" w:rsidP="00C95F62">
      <w:pPr>
        <w:jc w:val="both"/>
        <w:rPr>
          <w:rFonts w:ascii="Arial" w:hAnsi="Arial" w:cs="Arial"/>
        </w:rPr>
      </w:pPr>
      <w:r w:rsidRPr="00C95F62">
        <w:rPr>
          <w:rFonts w:ascii="Arial" w:hAnsi="Arial" w:cs="Arial"/>
        </w:rPr>
        <w:t xml:space="preserve">This section </w:t>
      </w:r>
      <w:r w:rsidR="005F3716" w:rsidRPr="00C95F62">
        <w:rPr>
          <w:rFonts w:ascii="Arial" w:hAnsi="Arial" w:cs="Arial"/>
        </w:rPr>
        <w:t>-</w:t>
      </w:r>
      <w:r w:rsidR="006C220A" w:rsidRPr="00C95F62">
        <w:rPr>
          <w:rFonts w:ascii="Arial" w:hAnsi="Arial" w:cs="Arial"/>
        </w:rPr>
        <w:t>des</w:t>
      </w:r>
      <w:r w:rsidR="00593DD1" w:rsidRPr="00C95F62">
        <w:rPr>
          <w:rFonts w:ascii="Arial" w:hAnsi="Arial" w:cs="Arial"/>
        </w:rPr>
        <w:t>c</w:t>
      </w:r>
      <w:r w:rsidR="006C220A" w:rsidRPr="00C95F62">
        <w:rPr>
          <w:rFonts w:ascii="Arial" w:hAnsi="Arial" w:cs="Arial"/>
        </w:rPr>
        <w:t>ribes some typical results with v</w:t>
      </w:r>
      <w:r w:rsidR="005F3716" w:rsidRPr="00C95F62">
        <w:rPr>
          <w:rFonts w:ascii="Arial" w:hAnsi="Arial" w:cs="Arial"/>
        </w:rPr>
        <w:t>isual outputs of the results e.g. graphs of operation highlighting significant characteristics</w:t>
      </w:r>
      <w:r w:rsidR="006C220A" w:rsidRPr="00C95F62">
        <w:rPr>
          <w:rFonts w:ascii="Arial" w:hAnsi="Arial" w:cs="Arial"/>
        </w:rPr>
        <w:t xml:space="preserve"> as well as a summary of the scenario results </w:t>
      </w:r>
      <w:r w:rsidR="00593DD1">
        <w:rPr>
          <w:rFonts w:ascii="Arial" w:hAnsi="Arial" w:cs="Arial"/>
        </w:rPr>
        <w:t xml:space="preserve">in terms of energy and capital cost and carbon emissions. It </w:t>
      </w:r>
      <w:r w:rsidR="008A6745">
        <w:rPr>
          <w:rFonts w:ascii="Arial" w:hAnsi="Arial" w:cs="Arial"/>
        </w:rPr>
        <w:t xml:space="preserve">also </w:t>
      </w:r>
      <w:r w:rsidR="00593DD1">
        <w:rPr>
          <w:rFonts w:ascii="Arial" w:hAnsi="Arial" w:cs="Arial"/>
        </w:rPr>
        <w:t xml:space="preserve">includes a discussion of </w:t>
      </w:r>
      <w:r w:rsidR="008A6745">
        <w:rPr>
          <w:rFonts w:ascii="Arial" w:hAnsi="Arial" w:cs="Arial"/>
        </w:rPr>
        <w:t xml:space="preserve">the </w:t>
      </w:r>
      <w:r w:rsidR="00593DD1">
        <w:rPr>
          <w:rFonts w:ascii="Arial" w:hAnsi="Arial" w:cs="Arial"/>
        </w:rPr>
        <w:t>results</w:t>
      </w:r>
      <w:r w:rsidR="008A6745">
        <w:rPr>
          <w:rFonts w:ascii="Arial" w:hAnsi="Arial" w:cs="Arial"/>
        </w:rPr>
        <w:t>.</w:t>
      </w:r>
    </w:p>
    <w:p w14:paraId="094DEBE6" w14:textId="77777777" w:rsidR="006C220A" w:rsidRPr="003B4E27" w:rsidRDefault="006C220A" w:rsidP="006C220A">
      <w:pPr>
        <w:pStyle w:val="Heading2"/>
        <w:numPr>
          <w:ilvl w:val="1"/>
          <w:numId w:val="13"/>
        </w:numPr>
        <w:rPr>
          <w:rFonts w:ascii="Arial" w:hAnsi="Arial" w:cs="Arial"/>
          <w:color w:val="auto"/>
        </w:rPr>
      </w:pPr>
      <w:bookmarkStart w:id="1" w:name="_Toc14637620"/>
      <w:r w:rsidRPr="003B4E27">
        <w:rPr>
          <w:rFonts w:ascii="Arial" w:hAnsi="Arial" w:cs="Arial"/>
          <w:color w:val="auto"/>
        </w:rPr>
        <w:t xml:space="preserve">Typical results </w:t>
      </w:r>
    </w:p>
    <w:p w14:paraId="1057C5AA" w14:textId="7CB95768" w:rsidR="005F3716" w:rsidRPr="00C95F62" w:rsidRDefault="008A6745" w:rsidP="00C95F62">
      <w:pPr>
        <w:jc w:val="both"/>
        <w:rPr>
          <w:rFonts w:ascii="Arial" w:hAnsi="Arial" w:cs="Arial"/>
        </w:rPr>
      </w:pPr>
      <w:r>
        <w:rPr>
          <w:rFonts w:ascii="Arial" w:hAnsi="Arial" w:cs="Arial"/>
          <w:lang w:val="en-US"/>
        </w:rPr>
        <w:t>The t</w:t>
      </w:r>
      <w:r w:rsidRPr="00C95F62">
        <w:rPr>
          <w:rFonts w:ascii="Arial" w:hAnsi="Arial" w:cs="Arial"/>
          <w:lang w:val="en-US"/>
        </w:rPr>
        <w:t>ypical results</w:t>
      </w:r>
      <w:r>
        <w:rPr>
          <w:rFonts w:ascii="Arial" w:hAnsi="Arial" w:cs="Arial"/>
          <w:lang w:val="en-US"/>
        </w:rPr>
        <w:t xml:space="preserve"> shown in Figure </w:t>
      </w:r>
      <w:r w:rsidR="001B7CBF">
        <w:rPr>
          <w:rFonts w:ascii="Arial" w:hAnsi="Arial" w:cs="Arial"/>
          <w:lang w:val="en-US"/>
        </w:rPr>
        <w:t>8</w:t>
      </w:r>
      <w:r w:rsidRPr="00C95F62">
        <w:rPr>
          <w:rFonts w:ascii="Arial" w:hAnsi="Arial" w:cs="Arial"/>
          <w:lang w:val="en-US"/>
        </w:rPr>
        <w:t xml:space="preserve"> are for Scheme B during a winter week with ATES, PV, V2G and Batteries included.</w:t>
      </w:r>
      <w:r>
        <w:rPr>
          <w:rFonts w:ascii="Arial" w:hAnsi="Arial" w:cs="Arial"/>
          <w:lang w:val="en-US"/>
        </w:rPr>
        <w:t xml:space="preserve"> </w:t>
      </w:r>
      <w:r w:rsidRPr="00C95F62">
        <w:rPr>
          <w:rFonts w:ascii="Arial" w:hAnsi="Arial" w:cs="Arial"/>
        </w:rPr>
        <w:t>The top chart shows the heat pumps operating for most of the hours supplying the demand shown as red line. The heat supply doesn’t follow the heat demand precisely because of the use of thermal storage (4</w:t>
      </w:r>
      <w:r w:rsidRPr="00C95F62">
        <w:rPr>
          <w:rFonts w:ascii="Arial" w:hAnsi="Arial" w:cs="Arial"/>
          <w:vertAlign w:val="superscript"/>
        </w:rPr>
        <w:t>th</w:t>
      </w:r>
      <w:r w:rsidRPr="00C95F62">
        <w:rPr>
          <w:rFonts w:ascii="Arial" w:hAnsi="Arial" w:cs="Arial"/>
        </w:rPr>
        <w:t xml:space="preserve"> chart down). </w:t>
      </w:r>
      <w:bookmarkEnd w:id="1"/>
    </w:p>
    <w:p w14:paraId="1246CE1F" w14:textId="77777777" w:rsidR="005F3716" w:rsidRPr="00C95F62" w:rsidRDefault="005F3716" w:rsidP="005F3716">
      <w:pPr>
        <w:rPr>
          <w:rFonts w:ascii="Arial" w:hAnsi="Arial" w:cs="Arial"/>
        </w:rPr>
      </w:pPr>
      <w:r w:rsidRPr="00C95F62">
        <w:rPr>
          <w:rFonts w:ascii="Arial" w:hAnsi="Arial" w:cs="Arial"/>
          <w:noProof/>
          <w:lang w:eastAsia="en-GB"/>
        </w:rPr>
        <w:drawing>
          <wp:inline distT="0" distB="0" distL="0" distR="0" wp14:anchorId="3F7DEF02" wp14:editId="4B7893C4">
            <wp:extent cx="5477934" cy="2999876"/>
            <wp:effectExtent l="114300" t="114300" r="142240" b="143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56" b="6216"/>
                    <a:stretch/>
                  </pic:blipFill>
                  <pic:spPr bwMode="auto">
                    <a:xfrm>
                      <a:off x="0" y="0"/>
                      <a:ext cx="5512629" cy="301887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15E3A0D" w14:textId="5CDDB79A" w:rsidR="005F3716" w:rsidRPr="003B4E27" w:rsidRDefault="005F3716" w:rsidP="003B4E27">
      <w:pPr>
        <w:pStyle w:val="Caption"/>
        <w:jc w:val="center"/>
        <w:rPr>
          <w:rFonts w:ascii="Arial" w:hAnsi="Arial" w:cs="Arial"/>
          <w:b/>
        </w:rPr>
      </w:pPr>
      <w:bookmarkStart w:id="2" w:name="_Toc14637652"/>
      <w:r w:rsidRPr="003B4E27">
        <w:rPr>
          <w:rFonts w:ascii="Arial" w:hAnsi="Arial" w:cs="Arial"/>
          <w:b/>
        </w:rPr>
        <w:t xml:space="preserve">Figure </w:t>
      </w:r>
      <w:r w:rsidR="001B7CBF">
        <w:rPr>
          <w:rFonts w:ascii="Arial" w:hAnsi="Arial" w:cs="Arial"/>
          <w:b/>
          <w:noProof/>
        </w:rPr>
        <w:t xml:space="preserve">8 </w:t>
      </w:r>
      <w:r w:rsidRPr="003B4E27">
        <w:rPr>
          <w:rFonts w:ascii="Arial" w:hAnsi="Arial" w:cs="Arial"/>
          <w:b/>
        </w:rPr>
        <w:t>Winter Week energyPRO simulation ATES, PV, V2G &amp; Batteries</w:t>
      </w:r>
      <w:bookmarkEnd w:id="2"/>
    </w:p>
    <w:p w14:paraId="56E5E6CD" w14:textId="67137C78" w:rsidR="005F3716" w:rsidRPr="00C95F62" w:rsidRDefault="00FB6B71" w:rsidP="003B4E27">
      <w:pPr>
        <w:jc w:val="both"/>
        <w:rPr>
          <w:rFonts w:ascii="Arial" w:hAnsi="Arial" w:cs="Arial"/>
        </w:rPr>
      </w:pPr>
      <w:r w:rsidRPr="00C95F62">
        <w:rPr>
          <w:rFonts w:ascii="Arial" w:hAnsi="Arial" w:cs="Arial"/>
        </w:rPr>
        <w:t xml:space="preserve">The scheme electricity demand is represented by the second chart down. This is largely the heat pump &amp; pumping consumption – with the solar PV production shown in blue on the same </w:t>
      </w:r>
      <w:r w:rsidRPr="00C95F62">
        <w:rPr>
          <w:rFonts w:ascii="Arial" w:hAnsi="Arial" w:cs="Arial"/>
        </w:rPr>
        <w:lastRenderedPageBreak/>
        <w:t>chart. As solar radiation is low in this winter week solar production is rather small. Cooling demand is shown supplied by free cooling either generated simultaneously by the heat pumps or drawn from the cold well. The next 2 charts show the operation of the EV V2G systems. The final 2 show the dedicated batteries. The batteries in both can be seen charging at night using lower cost electricity and discharging during the day to avoid need to import from the grid to supply the heat pumps at peak times.</w:t>
      </w:r>
      <w:r>
        <w:rPr>
          <w:rFonts w:ascii="Arial" w:hAnsi="Arial" w:cs="Arial"/>
        </w:rPr>
        <w:t xml:space="preserve"> </w:t>
      </w:r>
      <w:r w:rsidR="005F3716" w:rsidRPr="00C95F62">
        <w:rPr>
          <w:rFonts w:ascii="Arial" w:hAnsi="Arial" w:cs="Arial"/>
        </w:rPr>
        <w:t xml:space="preserve">A similar picture appears in the summer </w:t>
      </w:r>
      <w:r w:rsidR="001B7CBF">
        <w:rPr>
          <w:rFonts w:ascii="Arial" w:hAnsi="Arial" w:cs="Arial"/>
        </w:rPr>
        <w:t>as shown in Figure 9</w:t>
      </w:r>
      <w:r w:rsidR="00CC0051">
        <w:rPr>
          <w:rFonts w:ascii="Arial" w:hAnsi="Arial" w:cs="Arial"/>
        </w:rPr>
        <w:t xml:space="preserve">, </w:t>
      </w:r>
      <w:r w:rsidR="005F3716" w:rsidRPr="00C95F62">
        <w:rPr>
          <w:rFonts w:ascii="Arial" w:hAnsi="Arial" w:cs="Arial"/>
        </w:rPr>
        <w:t>although here the heat demand is much lower and the cooling demand higher. Not all of the cooling demand can be met from free cooling because the cold wells would be depleted and out of balance.</w:t>
      </w:r>
    </w:p>
    <w:p w14:paraId="4CD43DC2" w14:textId="77777777" w:rsidR="005F3716" w:rsidRPr="00C95F62" w:rsidRDefault="005F3716" w:rsidP="005F3716">
      <w:pPr>
        <w:rPr>
          <w:rFonts w:ascii="Arial" w:hAnsi="Arial" w:cs="Arial"/>
        </w:rPr>
      </w:pPr>
      <w:r w:rsidRPr="00C95F62">
        <w:rPr>
          <w:rFonts w:ascii="Arial" w:hAnsi="Arial" w:cs="Arial"/>
          <w:noProof/>
          <w:lang w:eastAsia="en-GB"/>
        </w:rPr>
        <w:drawing>
          <wp:inline distT="0" distB="0" distL="0" distR="0" wp14:anchorId="06E1015A" wp14:editId="31470264">
            <wp:extent cx="5545667" cy="3078979"/>
            <wp:effectExtent l="114300" t="114300" r="150495" b="1409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66" b="5318"/>
                    <a:stretch/>
                  </pic:blipFill>
                  <pic:spPr bwMode="auto">
                    <a:xfrm>
                      <a:off x="0" y="0"/>
                      <a:ext cx="5557834" cy="3085734"/>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5521BEA" w14:textId="2005717A" w:rsidR="005F3716" w:rsidRPr="003B4E27" w:rsidRDefault="005F3716" w:rsidP="003B4E27">
      <w:pPr>
        <w:pStyle w:val="Caption"/>
        <w:jc w:val="center"/>
        <w:rPr>
          <w:rFonts w:ascii="Arial" w:hAnsi="Arial" w:cs="Arial"/>
          <w:b/>
        </w:rPr>
      </w:pPr>
      <w:bookmarkStart w:id="3" w:name="_Toc14637653"/>
      <w:r w:rsidRPr="003B4E27">
        <w:rPr>
          <w:rFonts w:ascii="Arial" w:hAnsi="Arial" w:cs="Arial"/>
          <w:b/>
        </w:rPr>
        <w:t xml:space="preserve">Figure </w:t>
      </w:r>
      <w:r w:rsidR="001B7CBF">
        <w:rPr>
          <w:rFonts w:ascii="Arial" w:hAnsi="Arial" w:cs="Arial"/>
          <w:b/>
          <w:noProof/>
        </w:rPr>
        <w:t>9</w:t>
      </w:r>
      <w:r w:rsidR="00CC0051" w:rsidRPr="003B4E27">
        <w:rPr>
          <w:rFonts w:ascii="Arial" w:hAnsi="Arial" w:cs="Arial"/>
          <w:b/>
        </w:rPr>
        <w:t xml:space="preserve"> </w:t>
      </w:r>
      <w:r w:rsidRPr="003B4E27">
        <w:rPr>
          <w:rFonts w:ascii="Arial" w:hAnsi="Arial" w:cs="Arial"/>
          <w:b/>
        </w:rPr>
        <w:t>Summer Week energyPRO simulation ATES, PV, V2G &amp; Batteries</w:t>
      </w:r>
      <w:bookmarkEnd w:id="3"/>
    </w:p>
    <w:p w14:paraId="1D468B8B" w14:textId="474F4319" w:rsidR="00AF05B7" w:rsidRPr="00593DD1" w:rsidRDefault="00AF05B7" w:rsidP="00AF05B7">
      <w:pPr>
        <w:jc w:val="both"/>
        <w:rPr>
          <w:rFonts w:ascii="Arial" w:hAnsi="Arial" w:cs="Arial"/>
        </w:rPr>
      </w:pPr>
      <w:r w:rsidRPr="00593DD1">
        <w:rPr>
          <w:rFonts w:ascii="Arial" w:hAnsi="Arial" w:cs="Arial"/>
        </w:rPr>
        <w:t>The techno-economic modelling investigated operational cost (OPEX) and carbon emission savings of both schemes compared to a reference case scenario which is a traditional gas fired boiler based system. In addition, capital expenditure (CAPEX) of the integrated smart energy systems as well as the Net Present Values (NPV), Internal Rate of Return (I</w:t>
      </w:r>
      <w:r w:rsidR="008A6745">
        <w:rPr>
          <w:rFonts w:ascii="Arial" w:hAnsi="Arial" w:cs="Arial"/>
        </w:rPr>
        <w:t>R</w:t>
      </w:r>
      <w:r w:rsidRPr="00593DD1">
        <w:rPr>
          <w:rFonts w:ascii="Arial" w:hAnsi="Arial" w:cs="Arial"/>
        </w:rPr>
        <w:t>R) and payback periods of both schemes were estimated. Additional benefits of the schemes for the local area if implemented are also discussed.</w:t>
      </w:r>
    </w:p>
    <w:p w14:paraId="44948B07" w14:textId="082A8B61" w:rsidR="00AF05B7" w:rsidRDefault="00AF05B7" w:rsidP="00AF05B7">
      <w:pPr>
        <w:rPr>
          <w:rFonts w:ascii="Arial" w:hAnsi="Arial" w:cs="Arial"/>
          <w:b/>
        </w:rPr>
      </w:pPr>
      <w:r w:rsidRPr="008B3F88">
        <w:rPr>
          <w:rFonts w:ascii="Arial" w:hAnsi="Arial" w:cs="Arial"/>
          <w:b/>
        </w:rPr>
        <w:t xml:space="preserve">3.1 Operational </w:t>
      </w:r>
      <w:r>
        <w:rPr>
          <w:rFonts w:ascii="Arial" w:hAnsi="Arial" w:cs="Arial"/>
          <w:b/>
        </w:rPr>
        <w:t xml:space="preserve">cost </w:t>
      </w:r>
      <w:r w:rsidR="00593DD1">
        <w:rPr>
          <w:rFonts w:ascii="Arial" w:hAnsi="Arial" w:cs="Arial"/>
          <w:b/>
        </w:rPr>
        <w:t>for all scenarios</w:t>
      </w:r>
    </w:p>
    <w:p w14:paraId="11A66755" w14:textId="4ACF5E42" w:rsidR="00AF05B7" w:rsidRPr="00A04FC3" w:rsidRDefault="00AF05B7" w:rsidP="00AF05B7">
      <w:pPr>
        <w:spacing w:line="276" w:lineRule="auto"/>
        <w:jc w:val="both"/>
      </w:pPr>
      <w:r w:rsidRPr="00A60F85">
        <w:rPr>
          <w:rFonts w:ascii="Arial" w:hAnsi="Arial" w:cs="Arial"/>
        </w:rPr>
        <w:t>The graphs</w:t>
      </w:r>
      <w:r w:rsidR="00CC0051">
        <w:rPr>
          <w:rFonts w:ascii="Arial" w:hAnsi="Arial" w:cs="Arial"/>
        </w:rPr>
        <w:t xml:space="preserve"> in Figure </w:t>
      </w:r>
      <w:r w:rsidR="001B7CBF">
        <w:rPr>
          <w:rFonts w:ascii="Arial" w:hAnsi="Arial" w:cs="Arial"/>
        </w:rPr>
        <w:t>10</w:t>
      </w:r>
      <w:r w:rsidR="00CC0051">
        <w:rPr>
          <w:rFonts w:ascii="Arial" w:hAnsi="Arial" w:cs="Arial"/>
        </w:rPr>
        <w:t xml:space="preserve"> </w:t>
      </w:r>
      <w:r w:rsidRPr="00A60F85">
        <w:rPr>
          <w:rFonts w:ascii="Arial" w:hAnsi="Arial" w:cs="Arial"/>
        </w:rPr>
        <w:t xml:space="preserve">show the estimated difference in annual operational surplus expressed against the base case between the scenarios modelled for </w:t>
      </w:r>
      <w:r>
        <w:rPr>
          <w:rFonts w:ascii="Arial" w:hAnsi="Arial" w:cs="Arial"/>
        </w:rPr>
        <w:t>both S</w:t>
      </w:r>
      <w:r w:rsidRPr="00A60F85">
        <w:rPr>
          <w:rFonts w:ascii="Arial" w:hAnsi="Arial" w:cs="Arial"/>
        </w:rPr>
        <w:t>chemes A and B.</w:t>
      </w:r>
      <w:r>
        <w:rPr>
          <w:rFonts w:ascii="Arial" w:hAnsi="Arial" w:cs="Arial"/>
        </w:rPr>
        <w:t xml:space="preserve"> </w:t>
      </w:r>
      <w:r w:rsidRPr="00A60F85">
        <w:rPr>
          <w:rFonts w:ascii="Arial" w:hAnsi="Arial" w:cs="Arial"/>
        </w:rPr>
        <w:t>The best performing scenario is the final scenario modelled with ATES, solar PV, V2G and batteries. The worst performing schemes are the scenarios without any additional plant in the way of PV, V2G and batteries. In scheme A there is no difference between the limitless aquifer where the boreholes cannot be used as seasonal heat/coolth store and ATES where they can. This is because of the very small amount of cooling. The benefit of the ATES assumption is that cooling can be provided even when heating or insufficient heating is operational. V2G on its own adds just £1000 per car. Because of the very limited number of cars assumed to be available the absolute improvement in OPEX is relatively small.</w:t>
      </w:r>
      <w:r>
        <w:rPr>
          <w:rFonts w:ascii="Arial" w:hAnsi="Arial" w:cs="Arial"/>
        </w:rPr>
        <w:t xml:space="preserve"> </w:t>
      </w:r>
      <w:r w:rsidRPr="00A60F85">
        <w:rPr>
          <w:rFonts w:ascii="Arial" w:hAnsi="Arial" w:cs="Arial"/>
        </w:rPr>
        <w:t xml:space="preserve">The improvement in operating surplus over base case for </w:t>
      </w:r>
      <w:r w:rsidR="000036A3">
        <w:rPr>
          <w:rFonts w:ascii="Arial" w:hAnsi="Arial" w:cs="Arial"/>
        </w:rPr>
        <w:t>S</w:t>
      </w:r>
      <w:r w:rsidRPr="00A60F85">
        <w:rPr>
          <w:rFonts w:ascii="Arial" w:hAnsi="Arial" w:cs="Arial"/>
        </w:rPr>
        <w:t xml:space="preserve">cheme B </w:t>
      </w:r>
      <w:r w:rsidR="000036A3">
        <w:rPr>
          <w:rFonts w:ascii="Arial" w:hAnsi="Arial" w:cs="Arial"/>
        </w:rPr>
        <w:t>is</w:t>
      </w:r>
      <w:r w:rsidRPr="00A60F85">
        <w:rPr>
          <w:rFonts w:ascii="Arial" w:hAnsi="Arial" w:cs="Arial"/>
        </w:rPr>
        <w:t xml:space="preserve"> shown in </w:t>
      </w:r>
      <w:r w:rsidR="001B7CBF">
        <w:rPr>
          <w:rFonts w:ascii="Arial" w:hAnsi="Arial" w:cs="Arial"/>
        </w:rPr>
        <w:t>Figure 10 (right)</w:t>
      </w:r>
      <w:r w:rsidRPr="00A60F85">
        <w:rPr>
          <w:rFonts w:ascii="Arial" w:hAnsi="Arial" w:cs="Arial"/>
        </w:rPr>
        <w:t xml:space="preserve">. Unsurprisingly a similar </w:t>
      </w:r>
      <w:r w:rsidRPr="00A60F85">
        <w:rPr>
          <w:rFonts w:ascii="Arial" w:hAnsi="Arial" w:cs="Arial"/>
        </w:rPr>
        <w:lastRenderedPageBreak/>
        <w:t xml:space="preserve">picture emerges. Again batteries with PV and V2G is the leading solution in terms of improved OPEX. This is because solar PV adds to export revenues and offsets imported </w:t>
      </w:r>
      <w:r w:rsidR="001B7CBF">
        <w:rPr>
          <w:rFonts w:ascii="Arial" w:hAnsi="Arial" w:cs="Arial"/>
        </w:rPr>
        <w:t>s</w:t>
      </w:r>
      <w:r w:rsidRPr="00A60F85">
        <w:rPr>
          <w:rFonts w:ascii="Arial" w:hAnsi="Arial" w:cs="Arial"/>
        </w:rPr>
        <w:t xml:space="preserve">electricity. </w:t>
      </w:r>
      <w:r w:rsidRPr="008C6D59">
        <w:rPr>
          <w:rFonts w:ascii="Arial" w:hAnsi="Arial" w:cs="Arial"/>
        </w:rPr>
        <w:t>Furthermore,</w:t>
      </w:r>
      <w:r w:rsidRPr="00A60F85">
        <w:rPr>
          <w:rFonts w:ascii="Arial" w:hAnsi="Arial" w:cs="Arial"/>
        </w:rPr>
        <w:t xml:space="preserve"> batteries and V2G have the impact of being able to store electricity so that expensive periods can be avoided. In theory the thermal storage on the system alongside larger heat pumps could provide a cheaper source of storage than batteries but in practice larger heat pumps and thermal stores would also have required more boreholes which represent a costlier solution.</w:t>
      </w:r>
    </w:p>
    <w:p w14:paraId="37D6EEE9" w14:textId="77777777" w:rsidR="00AF05B7" w:rsidRDefault="00AF05B7" w:rsidP="00AF05B7">
      <w:pPr>
        <w:keepNext/>
        <w:jc w:val="both"/>
      </w:pPr>
      <w:r>
        <w:rPr>
          <w:rFonts w:ascii="Arial" w:hAnsi="Arial" w:cs="Arial"/>
        </w:rPr>
        <w:t xml:space="preserve"> </w:t>
      </w:r>
      <w:r>
        <w:rPr>
          <w:rFonts w:ascii="Arial" w:hAnsi="Arial" w:cs="Arial"/>
          <w:noProof/>
          <w:lang w:eastAsia="en-GB"/>
        </w:rPr>
        <w:drawing>
          <wp:inline distT="0" distB="0" distL="0" distR="0" wp14:anchorId="2D931120" wp14:editId="7E04CD84">
            <wp:extent cx="2769870" cy="1993509"/>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2916" cy="2089264"/>
                    </a:xfrm>
                    <a:prstGeom prst="rect">
                      <a:avLst/>
                    </a:prstGeom>
                    <a:noFill/>
                  </pic:spPr>
                </pic:pic>
              </a:graphicData>
            </a:graphic>
          </wp:inline>
        </w:drawing>
      </w:r>
      <w:r>
        <w:rPr>
          <w:rFonts w:ascii="Arial" w:hAnsi="Arial" w:cs="Arial"/>
          <w:b/>
          <w:noProof/>
          <w:lang w:eastAsia="en-GB"/>
        </w:rPr>
        <w:drawing>
          <wp:inline distT="0" distB="0" distL="0" distR="0" wp14:anchorId="194D3971" wp14:editId="42A15A86">
            <wp:extent cx="2775438" cy="1992444"/>
            <wp:effectExtent l="0" t="0" r="635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8495" cy="2044891"/>
                    </a:xfrm>
                    <a:prstGeom prst="rect">
                      <a:avLst/>
                    </a:prstGeom>
                    <a:noFill/>
                  </pic:spPr>
                </pic:pic>
              </a:graphicData>
            </a:graphic>
          </wp:inline>
        </w:drawing>
      </w:r>
    </w:p>
    <w:p w14:paraId="4B9841FA" w14:textId="4A7CD18B" w:rsidR="00AF05B7" w:rsidRPr="00A60F85" w:rsidRDefault="00AF05B7" w:rsidP="00AF05B7">
      <w:pPr>
        <w:pStyle w:val="Caption"/>
        <w:jc w:val="center"/>
        <w:rPr>
          <w:rFonts w:ascii="Arial" w:hAnsi="Arial" w:cs="Arial"/>
          <w:b/>
        </w:rPr>
      </w:pPr>
      <w:r w:rsidRPr="00A60F85">
        <w:rPr>
          <w:rFonts w:ascii="Arial" w:hAnsi="Arial" w:cs="Arial"/>
          <w:b/>
        </w:rPr>
        <w:t xml:space="preserve">Figure </w:t>
      </w:r>
      <w:r w:rsidR="001B7CBF">
        <w:rPr>
          <w:rFonts w:ascii="Arial" w:hAnsi="Arial" w:cs="Arial"/>
          <w:b/>
        </w:rPr>
        <w:t>10</w:t>
      </w:r>
      <w:r w:rsidR="00CC0051" w:rsidRPr="00A60F85">
        <w:rPr>
          <w:rFonts w:ascii="Arial" w:hAnsi="Arial" w:cs="Arial"/>
          <w:b/>
        </w:rPr>
        <w:t xml:space="preserve"> </w:t>
      </w:r>
      <w:r w:rsidRPr="00A60F85">
        <w:rPr>
          <w:rFonts w:ascii="Arial" w:hAnsi="Arial" w:cs="Arial"/>
          <w:b/>
        </w:rPr>
        <w:t>Opex revenue increase for Scheme A (left) and Scheme B (right)</w:t>
      </w:r>
    </w:p>
    <w:p w14:paraId="2B27EBCA" w14:textId="2CE2EC18" w:rsidR="00AF05B7" w:rsidRDefault="00AF05B7" w:rsidP="00AF05B7">
      <w:pPr>
        <w:jc w:val="both"/>
        <w:rPr>
          <w:rFonts w:ascii="Arial" w:hAnsi="Arial" w:cs="Arial"/>
          <w:b/>
        </w:rPr>
      </w:pPr>
      <w:r>
        <w:rPr>
          <w:rFonts w:ascii="Arial" w:hAnsi="Arial" w:cs="Arial"/>
          <w:b/>
        </w:rPr>
        <w:t>3.2 Carbon</w:t>
      </w:r>
      <w:r w:rsidRPr="008B3F88">
        <w:rPr>
          <w:rFonts w:ascii="Arial" w:hAnsi="Arial" w:cs="Arial"/>
          <w:b/>
        </w:rPr>
        <w:t xml:space="preserve"> </w:t>
      </w:r>
      <w:r>
        <w:rPr>
          <w:rFonts w:ascii="Arial" w:hAnsi="Arial" w:cs="Arial"/>
          <w:b/>
        </w:rPr>
        <w:t>emissions</w:t>
      </w:r>
      <w:r w:rsidR="00593DD1">
        <w:rPr>
          <w:rFonts w:ascii="Arial" w:hAnsi="Arial" w:cs="Arial"/>
          <w:b/>
        </w:rPr>
        <w:t xml:space="preserve"> for all scenarios</w:t>
      </w:r>
    </w:p>
    <w:p w14:paraId="358D614D" w14:textId="1A099302" w:rsidR="00AF05B7" w:rsidRPr="00A60F85" w:rsidRDefault="00AF05B7" w:rsidP="00AF05B7">
      <w:pPr>
        <w:spacing w:line="276" w:lineRule="auto"/>
        <w:jc w:val="both"/>
        <w:rPr>
          <w:rFonts w:ascii="Arial" w:hAnsi="Arial" w:cs="Arial"/>
        </w:rPr>
      </w:pPr>
      <w:r w:rsidRPr="00A60F85">
        <w:rPr>
          <w:rFonts w:ascii="Arial" w:hAnsi="Arial" w:cs="Arial"/>
        </w:rPr>
        <w:t>The graph</w:t>
      </w:r>
      <w:r w:rsidR="001B7CBF">
        <w:rPr>
          <w:rFonts w:ascii="Arial" w:hAnsi="Arial" w:cs="Arial"/>
        </w:rPr>
        <w:t>s in Figure 11</w:t>
      </w:r>
      <w:r w:rsidRPr="00A60F85">
        <w:rPr>
          <w:rFonts w:ascii="Arial" w:hAnsi="Arial" w:cs="Arial"/>
        </w:rPr>
        <w:t xml:space="preserve"> show the CO2 savings expressed as 25</w:t>
      </w:r>
      <w:r w:rsidR="000036A3">
        <w:rPr>
          <w:rFonts w:ascii="Arial" w:hAnsi="Arial" w:cs="Arial"/>
        </w:rPr>
        <w:t xml:space="preserve"> </w:t>
      </w:r>
      <w:r w:rsidRPr="00A60F85">
        <w:rPr>
          <w:rFonts w:ascii="Arial" w:hAnsi="Arial" w:cs="Arial"/>
        </w:rPr>
        <w:t>y</w:t>
      </w:r>
      <w:r w:rsidR="000036A3">
        <w:rPr>
          <w:rFonts w:ascii="Arial" w:hAnsi="Arial" w:cs="Arial"/>
        </w:rPr>
        <w:t>ear</w:t>
      </w:r>
      <w:r w:rsidRPr="00A60F85">
        <w:rPr>
          <w:rFonts w:ascii="Arial" w:hAnsi="Arial" w:cs="Arial"/>
        </w:rPr>
        <w:t xml:space="preserve"> averages for Scheme A against the current arrangement of gas boilers, chillers and grid electricity. The largest savings are for the ATES scheme with solar PV. This is simply because the PV generates additional savings by displacing grid electricity which will still have significant, though declining carbon content over the 25 years projected. The CO2 projections are taken from the Treasury Independent Advisory Group (IAG). Batteries in the form of V2G or stationary batteries reduce the savings slightly – at least in this model – over their counterpart scenario. That’s because of the losses involved in charging and discharging. These might in reality be offset by the use of hourly carbon factors rather than the annual official government factors used here. </w:t>
      </w:r>
    </w:p>
    <w:p w14:paraId="0BDA944D" w14:textId="77777777" w:rsidR="00AF05B7" w:rsidRDefault="00AF05B7" w:rsidP="00AF05B7">
      <w:pPr>
        <w:keepNext/>
        <w:jc w:val="both"/>
      </w:pPr>
      <w:r>
        <w:rPr>
          <w:rFonts w:ascii="Arial" w:hAnsi="Arial" w:cs="Arial"/>
          <w:noProof/>
          <w:lang w:eastAsia="en-GB"/>
        </w:rPr>
        <w:drawing>
          <wp:inline distT="0" distB="0" distL="0" distR="0" wp14:anchorId="431AA28B" wp14:editId="6FDA7C7E">
            <wp:extent cx="2667000" cy="18110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7000" cy="1811085"/>
                    </a:xfrm>
                    <a:prstGeom prst="rect">
                      <a:avLst/>
                    </a:prstGeom>
                    <a:noFill/>
                  </pic:spPr>
                </pic:pic>
              </a:graphicData>
            </a:graphic>
          </wp:inline>
        </w:drawing>
      </w:r>
      <w:r>
        <w:rPr>
          <w:rFonts w:ascii="Arial" w:hAnsi="Arial" w:cs="Arial"/>
          <w:noProof/>
          <w:lang w:eastAsia="en-GB"/>
        </w:rPr>
        <w:t xml:space="preserve">    </w:t>
      </w:r>
      <w:r>
        <w:rPr>
          <w:rFonts w:ascii="Arial" w:hAnsi="Arial" w:cs="Arial"/>
          <w:noProof/>
          <w:lang w:eastAsia="en-GB"/>
        </w:rPr>
        <w:drawing>
          <wp:inline distT="0" distB="0" distL="0" distR="0" wp14:anchorId="2BE6F159" wp14:editId="55C5BBAC">
            <wp:extent cx="2681440" cy="1813878"/>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4524" cy="1836258"/>
                    </a:xfrm>
                    <a:prstGeom prst="rect">
                      <a:avLst/>
                    </a:prstGeom>
                    <a:noFill/>
                  </pic:spPr>
                </pic:pic>
              </a:graphicData>
            </a:graphic>
          </wp:inline>
        </w:drawing>
      </w:r>
    </w:p>
    <w:p w14:paraId="5B7812D5" w14:textId="0EE9EFC5" w:rsidR="00AF05B7" w:rsidRDefault="00AF05B7" w:rsidP="00AF05B7">
      <w:pPr>
        <w:pStyle w:val="Caption"/>
        <w:jc w:val="center"/>
        <w:rPr>
          <w:rFonts w:ascii="Arial" w:hAnsi="Arial" w:cs="Arial"/>
          <w:b/>
        </w:rPr>
      </w:pPr>
      <w:r w:rsidRPr="00A60F85">
        <w:rPr>
          <w:rFonts w:ascii="Arial" w:hAnsi="Arial" w:cs="Arial"/>
          <w:b/>
        </w:rPr>
        <w:t xml:space="preserve">Figure </w:t>
      </w:r>
      <w:r w:rsidR="001B7CBF">
        <w:rPr>
          <w:rFonts w:ascii="Arial" w:hAnsi="Arial" w:cs="Arial"/>
          <w:b/>
        </w:rPr>
        <w:t>11</w:t>
      </w:r>
      <w:r w:rsidR="001B7CBF" w:rsidRPr="00A60F85">
        <w:rPr>
          <w:rFonts w:ascii="Arial" w:hAnsi="Arial" w:cs="Arial"/>
          <w:b/>
        </w:rPr>
        <w:t xml:space="preserve"> </w:t>
      </w:r>
      <w:r w:rsidRPr="00A60F85">
        <w:rPr>
          <w:rFonts w:ascii="Arial" w:hAnsi="Arial" w:cs="Arial"/>
          <w:b/>
        </w:rPr>
        <w:t>CO2 savings for Scheme A (left) and for Scheme B (right)</w:t>
      </w:r>
    </w:p>
    <w:p w14:paraId="28774C73" w14:textId="611776F1" w:rsidR="00AF05B7" w:rsidRDefault="00AF05B7" w:rsidP="00AF05B7">
      <w:pPr>
        <w:spacing w:line="276" w:lineRule="auto"/>
        <w:jc w:val="both"/>
        <w:rPr>
          <w:rFonts w:ascii="Arial" w:hAnsi="Arial" w:cs="Arial"/>
        </w:rPr>
      </w:pPr>
      <w:r w:rsidRPr="00F10B26">
        <w:rPr>
          <w:rFonts w:ascii="Arial" w:hAnsi="Arial" w:cs="Arial"/>
        </w:rPr>
        <w:t>A similar picture emerges in scheme B though with slightly increased savings for the ATES scenario over the limitless aquifer scenario. The magnitude of the savings in Scheme B is much higher reaching almost 7000</w:t>
      </w:r>
      <w:r w:rsidR="000036A3">
        <w:rPr>
          <w:rFonts w:ascii="Arial" w:hAnsi="Arial" w:cs="Arial"/>
        </w:rPr>
        <w:t xml:space="preserve"> </w:t>
      </w:r>
      <w:r w:rsidRPr="00F10B26">
        <w:rPr>
          <w:rFonts w:ascii="Arial" w:hAnsi="Arial" w:cs="Arial"/>
        </w:rPr>
        <w:t>tonnes per year – whereas scheme A is just under</w:t>
      </w:r>
      <w:r>
        <w:rPr>
          <w:rFonts w:ascii="Arial" w:hAnsi="Arial" w:cs="Arial"/>
        </w:rPr>
        <w:t xml:space="preserve"> </w:t>
      </w:r>
      <w:r w:rsidRPr="00F10B26">
        <w:rPr>
          <w:rFonts w:ascii="Arial" w:hAnsi="Arial" w:cs="Arial"/>
        </w:rPr>
        <w:t>2500</w:t>
      </w:r>
      <w:r w:rsidR="001B7CBF">
        <w:rPr>
          <w:rFonts w:ascii="Arial" w:hAnsi="Arial" w:cs="Arial"/>
        </w:rPr>
        <w:t xml:space="preserve"> </w:t>
      </w:r>
      <w:r w:rsidRPr="00F10B26">
        <w:rPr>
          <w:rFonts w:ascii="Arial" w:hAnsi="Arial" w:cs="Arial"/>
        </w:rPr>
        <w:t>tonnes.</w:t>
      </w:r>
      <w:r>
        <w:rPr>
          <w:rFonts w:ascii="Arial" w:hAnsi="Arial" w:cs="Arial"/>
          <w:noProof/>
          <w:lang w:eastAsia="en-GB"/>
        </w:rPr>
        <w:t xml:space="preserve">     </w:t>
      </w:r>
    </w:p>
    <w:p w14:paraId="03BC8DCE" w14:textId="3FA014BC" w:rsidR="00AF05B7" w:rsidRDefault="00AF05B7" w:rsidP="00AF05B7">
      <w:pPr>
        <w:jc w:val="both"/>
        <w:rPr>
          <w:rFonts w:ascii="Arial" w:hAnsi="Arial" w:cs="Arial"/>
          <w:b/>
        </w:rPr>
      </w:pPr>
      <w:r w:rsidRPr="008B3F88">
        <w:rPr>
          <w:rFonts w:ascii="Arial" w:hAnsi="Arial" w:cs="Arial"/>
          <w:b/>
        </w:rPr>
        <w:lastRenderedPageBreak/>
        <w:t>3.</w:t>
      </w:r>
      <w:r w:rsidR="00593DD1">
        <w:rPr>
          <w:rFonts w:ascii="Arial" w:hAnsi="Arial" w:cs="Arial"/>
          <w:b/>
        </w:rPr>
        <w:t>3</w:t>
      </w:r>
      <w:r w:rsidRPr="008B3F88">
        <w:rPr>
          <w:rFonts w:ascii="Arial" w:hAnsi="Arial" w:cs="Arial"/>
          <w:b/>
        </w:rPr>
        <w:t xml:space="preserve"> </w:t>
      </w:r>
      <w:r>
        <w:rPr>
          <w:rFonts w:ascii="Arial" w:hAnsi="Arial" w:cs="Arial"/>
          <w:b/>
        </w:rPr>
        <w:t>Capital costs NPV, I</w:t>
      </w:r>
      <w:r w:rsidR="000036A3">
        <w:rPr>
          <w:rFonts w:ascii="Arial" w:hAnsi="Arial" w:cs="Arial"/>
          <w:b/>
        </w:rPr>
        <w:t>R</w:t>
      </w:r>
      <w:r>
        <w:rPr>
          <w:rFonts w:ascii="Arial" w:hAnsi="Arial" w:cs="Arial"/>
          <w:b/>
        </w:rPr>
        <w:t>R and payback periods</w:t>
      </w:r>
      <w:r w:rsidR="00593DD1">
        <w:rPr>
          <w:rFonts w:ascii="Arial" w:hAnsi="Arial" w:cs="Arial"/>
          <w:b/>
        </w:rPr>
        <w:t xml:space="preserve"> for all scenarios</w:t>
      </w:r>
    </w:p>
    <w:p w14:paraId="7398C9E3" w14:textId="069B075B" w:rsidR="00AF05B7" w:rsidRDefault="00AF05B7" w:rsidP="00AF05B7">
      <w:pPr>
        <w:spacing w:line="276" w:lineRule="auto"/>
        <w:jc w:val="both"/>
        <w:rPr>
          <w:rFonts w:ascii="Arial" w:hAnsi="Arial" w:cs="Arial"/>
        </w:rPr>
      </w:pPr>
      <w:r>
        <w:rPr>
          <w:rFonts w:ascii="Arial" w:hAnsi="Arial" w:cs="Arial"/>
        </w:rPr>
        <w:t xml:space="preserve">Table 4 summarises </w:t>
      </w:r>
      <w:r w:rsidR="001B7CBF">
        <w:rPr>
          <w:rFonts w:ascii="Arial" w:hAnsi="Arial" w:cs="Arial"/>
        </w:rPr>
        <w:t>CAPEX</w:t>
      </w:r>
      <w:r>
        <w:rPr>
          <w:rFonts w:ascii="Arial" w:hAnsi="Arial" w:cs="Arial"/>
        </w:rPr>
        <w:t>,</w:t>
      </w:r>
      <w:r w:rsidRPr="00A60F85">
        <w:rPr>
          <w:rFonts w:ascii="Arial" w:hAnsi="Arial" w:cs="Arial"/>
        </w:rPr>
        <w:t xml:space="preserve"> NPV and IRR</w:t>
      </w:r>
      <w:r>
        <w:rPr>
          <w:rFonts w:ascii="Arial" w:hAnsi="Arial" w:cs="Arial"/>
        </w:rPr>
        <w:t xml:space="preserve"> </w:t>
      </w:r>
      <w:r w:rsidR="000036A3">
        <w:rPr>
          <w:rFonts w:ascii="Arial" w:hAnsi="Arial" w:cs="Arial"/>
        </w:rPr>
        <w:t>for</w:t>
      </w:r>
      <w:r>
        <w:rPr>
          <w:rFonts w:ascii="Arial" w:hAnsi="Arial" w:cs="Arial"/>
        </w:rPr>
        <w:t xml:space="preserve"> Scheme</w:t>
      </w:r>
      <w:r w:rsidR="000036A3">
        <w:rPr>
          <w:rFonts w:ascii="Arial" w:hAnsi="Arial" w:cs="Arial"/>
        </w:rPr>
        <w:t>s</w:t>
      </w:r>
      <w:r>
        <w:rPr>
          <w:rFonts w:ascii="Arial" w:hAnsi="Arial" w:cs="Arial"/>
        </w:rPr>
        <w:t xml:space="preserve"> A and B</w:t>
      </w:r>
      <w:r w:rsidRPr="00A60F85">
        <w:rPr>
          <w:rFonts w:ascii="Arial" w:hAnsi="Arial" w:cs="Arial"/>
        </w:rPr>
        <w:t xml:space="preserve">. </w:t>
      </w:r>
      <w:r>
        <w:rPr>
          <w:rFonts w:ascii="Arial" w:hAnsi="Arial" w:cs="Arial"/>
        </w:rPr>
        <w:t>It can be seen in the table that</w:t>
      </w:r>
      <w:r w:rsidRPr="00A60F85">
        <w:rPr>
          <w:rFonts w:ascii="Arial" w:hAnsi="Arial" w:cs="Arial"/>
        </w:rPr>
        <w:t xml:space="preserve"> a discount rate of 3.5% both schemes are viable even with a 25% reduction in heating and cooling sales revenue</w:t>
      </w:r>
      <w:r>
        <w:rPr>
          <w:rFonts w:ascii="Arial" w:hAnsi="Arial" w:cs="Arial"/>
        </w:rPr>
        <w:t xml:space="preserve"> and resulting in I</w:t>
      </w:r>
      <w:r w:rsidR="000036A3">
        <w:rPr>
          <w:rFonts w:ascii="Arial" w:hAnsi="Arial" w:cs="Arial"/>
        </w:rPr>
        <w:t>R</w:t>
      </w:r>
      <w:r>
        <w:rPr>
          <w:rFonts w:ascii="Arial" w:hAnsi="Arial" w:cs="Arial"/>
        </w:rPr>
        <w:t>Rs between 5.9 and 9%</w:t>
      </w:r>
      <w:r w:rsidRPr="00A60F85">
        <w:rPr>
          <w:rFonts w:ascii="Arial" w:hAnsi="Arial" w:cs="Arial"/>
        </w:rPr>
        <w:t>.</w:t>
      </w:r>
      <w:r>
        <w:rPr>
          <w:rFonts w:ascii="Arial" w:hAnsi="Arial" w:cs="Arial"/>
        </w:rPr>
        <w:t xml:space="preserve"> The payback period for both schemes were estimated at approximately 10 years.</w:t>
      </w:r>
      <w:r w:rsidRPr="00A60F85">
        <w:rPr>
          <w:rFonts w:ascii="Arial" w:hAnsi="Arial" w:cs="Arial"/>
        </w:rPr>
        <w:t xml:space="preserve"> </w:t>
      </w:r>
      <w:r>
        <w:rPr>
          <w:rFonts w:ascii="Arial" w:hAnsi="Arial" w:cs="Arial"/>
        </w:rPr>
        <w:t>It can be seen in Table 4 that, s</w:t>
      </w:r>
      <w:r w:rsidRPr="00A60F85">
        <w:rPr>
          <w:rFonts w:ascii="Arial" w:hAnsi="Arial" w:cs="Arial"/>
        </w:rPr>
        <w:t>cenario 6 with all the technologies has the best NPV – despite the largest capital investment required.</w:t>
      </w:r>
    </w:p>
    <w:p w14:paraId="4785F031" w14:textId="0475EA3B" w:rsidR="00AF05B7" w:rsidRPr="00A60F85" w:rsidRDefault="00AF05B7" w:rsidP="00AF05B7">
      <w:pPr>
        <w:pStyle w:val="Caption"/>
        <w:keepNext/>
        <w:rPr>
          <w:rFonts w:ascii="Arial" w:hAnsi="Arial" w:cs="Arial"/>
          <w:b/>
        </w:rPr>
      </w:pPr>
      <w:r w:rsidRPr="00A60F85">
        <w:rPr>
          <w:rFonts w:ascii="Arial" w:hAnsi="Arial" w:cs="Arial"/>
          <w:b/>
        </w:rPr>
        <w:t xml:space="preserve">Table </w:t>
      </w:r>
      <w:r w:rsidRPr="00A60F85">
        <w:rPr>
          <w:rFonts w:ascii="Arial" w:hAnsi="Arial" w:cs="Arial"/>
          <w:b/>
        </w:rPr>
        <w:fldChar w:fldCharType="begin"/>
      </w:r>
      <w:r w:rsidRPr="00A60F85">
        <w:rPr>
          <w:rFonts w:ascii="Arial" w:hAnsi="Arial" w:cs="Arial"/>
          <w:b/>
        </w:rPr>
        <w:instrText xml:space="preserve"> SEQ Table \* ARABIC </w:instrText>
      </w:r>
      <w:r w:rsidRPr="00A60F85">
        <w:rPr>
          <w:rFonts w:ascii="Arial" w:hAnsi="Arial" w:cs="Arial"/>
          <w:b/>
        </w:rPr>
        <w:fldChar w:fldCharType="separate"/>
      </w:r>
      <w:r w:rsidRPr="00A60F85">
        <w:rPr>
          <w:rFonts w:ascii="Arial" w:hAnsi="Arial" w:cs="Arial"/>
          <w:b/>
          <w:noProof/>
        </w:rPr>
        <w:t>4</w:t>
      </w:r>
      <w:r w:rsidRPr="00A60F85">
        <w:rPr>
          <w:rFonts w:ascii="Arial" w:hAnsi="Arial" w:cs="Arial"/>
          <w:b/>
        </w:rPr>
        <w:fldChar w:fldCharType="end"/>
      </w:r>
      <w:r w:rsidRPr="00A60F85">
        <w:rPr>
          <w:rFonts w:ascii="Arial" w:hAnsi="Arial" w:cs="Arial"/>
          <w:b/>
        </w:rPr>
        <w:t xml:space="preserve"> Summary of Capex, I</w:t>
      </w:r>
      <w:r w:rsidR="00EC0F84">
        <w:rPr>
          <w:rFonts w:ascii="Arial" w:hAnsi="Arial" w:cs="Arial"/>
          <w:b/>
        </w:rPr>
        <w:t>R</w:t>
      </w:r>
      <w:r w:rsidRPr="00A60F85">
        <w:rPr>
          <w:rFonts w:ascii="Arial" w:hAnsi="Arial" w:cs="Arial"/>
          <w:b/>
        </w:rPr>
        <w:t>R and NPV for the different techno-economic modelling scenarios</w:t>
      </w:r>
    </w:p>
    <w:tbl>
      <w:tblPr>
        <w:tblW w:w="5000" w:type="pct"/>
        <w:jc w:val="center"/>
        <w:tblBorders>
          <w:top w:val="single" w:sz="18" w:space="0" w:color="auto"/>
          <w:bottom w:val="single" w:sz="18" w:space="0" w:color="auto"/>
        </w:tblBorders>
        <w:tblLayout w:type="fixed"/>
        <w:tblLook w:val="04A0" w:firstRow="1" w:lastRow="0" w:firstColumn="1" w:lastColumn="0" w:noHBand="0" w:noVBand="1"/>
      </w:tblPr>
      <w:tblGrid>
        <w:gridCol w:w="1288"/>
        <w:gridCol w:w="1289"/>
        <w:gridCol w:w="1291"/>
        <w:gridCol w:w="1289"/>
        <w:gridCol w:w="1289"/>
        <w:gridCol w:w="1291"/>
        <w:gridCol w:w="1289"/>
      </w:tblGrid>
      <w:tr w:rsidR="00AF05B7" w:rsidRPr="000D5722" w14:paraId="1A05C0DA" w14:textId="77777777" w:rsidTr="00AF05B7">
        <w:trPr>
          <w:trHeight w:val="859"/>
          <w:jc w:val="center"/>
        </w:trPr>
        <w:tc>
          <w:tcPr>
            <w:tcW w:w="713" w:type="pct"/>
            <w:vMerge w:val="restart"/>
            <w:tcBorders>
              <w:top w:val="single" w:sz="18" w:space="0" w:color="auto"/>
            </w:tcBorders>
            <w:vAlign w:val="center"/>
          </w:tcPr>
          <w:p w14:paraId="785C62D6" w14:textId="77777777" w:rsidR="00AF05B7" w:rsidRPr="000D5722" w:rsidRDefault="00AF05B7" w:rsidP="00AF05B7">
            <w:pPr>
              <w:spacing w:after="0"/>
              <w:jc w:val="center"/>
              <w:rPr>
                <w:rFonts w:ascii="Arial" w:hAnsi="Arial" w:cs="Arial"/>
                <w:b/>
                <w:sz w:val="20"/>
                <w:szCs w:val="20"/>
                <w:lang w:val="en-US"/>
              </w:rPr>
            </w:pPr>
            <w:r>
              <w:rPr>
                <w:rFonts w:ascii="Arial" w:hAnsi="Arial" w:cs="Arial"/>
                <w:b/>
                <w:sz w:val="20"/>
                <w:szCs w:val="20"/>
                <w:lang w:val="en-US"/>
              </w:rPr>
              <w:t>Scenario</w:t>
            </w:r>
          </w:p>
        </w:tc>
        <w:tc>
          <w:tcPr>
            <w:tcW w:w="1429" w:type="pct"/>
            <w:gridSpan w:val="2"/>
            <w:tcBorders>
              <w:top w:val="single" w:sz="18" w:space="0" w:color="auto"/>
              <w:bottom w:val="double" w:sz="6" w:space="0" w:color="auto"/>
            </w:tcBorders>
            <w:vAlign w:val="center"/>
          </w:tcPr>
          <w:p w14:paraId="0B48A02F" w14:textId="77777777" w:rsidR="00AF05B7" w:rsidRPr="00A81576" w:rsidRDefault="00AF05B7" w:rsidP="00AF05B7">
            <w:pPr>
              <w:spacing w:after="0"/>
              <w:jc w:val="center"/>
              <w:rPr>
                <w:rFonts w:ascii="Arial" w:hAnsi="Arial" w:cs="Arial"/>
                <w:b/>
                <w:sz w:val="20"/>
                <w:szCs w:val="20"/>
                <w:lang w:val="en-US"/>
              </w:rPr>
            </w:pPr>
            <w:r w:rsidRPr="00A81576">
              <w:rPr>
                <w:rFonts w:ascii="Arial" w:hAnsi="Arial" w:cs="Arial"/>
                <w:b/>
                <w:sz w:val="20"/>
                <w:szCs w:val="20"/>
                <w:lang w:val="en-US"/>
              </w:rPr>
              <w:t>INITIAL CAPEX</w:t>
            </w:r>
          </w:p>
          <w:p w14:paraId="7C35E909" w14:textId="77777777" w:rsidR="00AF05B7" w:rsidRPr="000D5722" w:rsidRDefault="00AF05B7" w:rsidP="00AF05B7">
            <w:pPr>
              <w:spacing w:after="0"/>
              <w:jc w:val="center"/>
              <w:rPr>
                <w:rFonts w:ascii="Arial" w:hAnsi="Arial" w:cs="Arial"/>
                <w:b/>
                <w:sz w:val="20"/>
                <w:szCs w:val="20"/>
                <w:lang w:val="en-US"/>
              </w:rPr>
            </w:pPr>
            <w:r w:rsidRPr="00A81576">
              <w:rPr>
                <w:rFonts w:ascii="Arial" w:hAnsi="Arial" w:cs="Arial"/>
                <w:b/>
                <w:sz w:val="20"/>
                <w:szCs w:val="20"/>
                <w:lang w:val="en-US"/>
              </w:rPr>
              <w:t>(£ x 1000)</w:t>
            </w:r>
          </w:p>
        </w:tc>
        <w:tc>
          <w:tcPr>
            <w:tcW w:w="1428" w:type="pct"/>
            <w:gridSpan w:val="2"/>
            <w:tcBorders>
              <w:top w:val="single" w:sz="18" w:space="0" w:color="auto"/>
              <w:bottom w:val="double" w:sz="6" w:space="0" w:color="auto"/>
            </w:tcBorders>
            <w:vAlign w:val="center"/>
          </w:tcPr>
          <w:p w14:paraId="3B3A06CA" w14:textId="77777777" w:rsidR="00AF05B7" w:rsidRPr="00A81576" w:rsidRDefault="00AF05B7" w:rsidP="00AF05B7">
            <w:pPr>
              <w:spacing w:after="0"/>
              <w:jc w:val="center"/>
              <w:rPr>
                <w:rFonts w:ascii="Arial" w:hAnsi="Arial" w:cs="Arial"/>
                <w:b/>
                <w:sz w:val="20"/>
                <w:szCs w:val="20"/>
                <w:lang w:val="en-US"/>
              </w:rPr>
            </w:pPr>
            <w:r w:rsidRPr="00A81576">
              <w:rPr>
                <w:rFonts w:ascii="Arial" w:hAnsi="Arial" w:cs="Arial"/>
                <w:b/>
                <w:sz w:val="20"/>
                <w:szCs w:val="20"/>
                <w:lang w:val="en-US"/>
              </w:rPr>
              <w:t>IRR</w:t>
            </w:r>
          </w:p>
          <w:p w14:paraId="3C234B6D" w14:textId="77777777" w:rsidR="00AF05B7" w:rsidRPr="000D5722" w:rsidRDefault="00AF05B7" w:rsidP="00AF05B7">
            <w:pPr>
              <w:spacing w:after="0"/>
              <w:jc w:val="center"/>
              <w:rPr>
                <w:rFonts w:ascii="Arial" w:hAnsi="Arial" w:cs="Arial"/>
                <w:b/>
                <w:sz w:val="20"/>
                <w:szCs w:val="20"/>
                <w:lang w:val="en-US"/>
              </w:rPr>
            </w:pPr>
            <w:r w:rsidRPr="00A81576">
              <w:rPr>
                <w:rFonts w:ascii="Arial" w:hAnsi="Arial" w:cs="Arial"/>
                <w:b/>
                <w:sz w:val="20"/>
                <w:szCs w:val="20"/>
                <w:lang w:val="en-US"/>
              </w:rPr>
              <w:t>(25 years)</w:t>
            </w:r>
          </w:p>
        </w:tc>
        <w:tc>
          <w:tcPr>
            <w:tcW w:w="1429" w:type="pct"/>
            <w:gridSpan w:val="2"/>
            <w:tcBorders>
              <w:top w:val="single" w:sz="18" w:space="0" w:color="auto"/>
              <w:bottom w:val="double" w:sz="6" w:space="0" w:color="auto"/>
            </w:tcBorders>
            <w:tcMar>
              <w:left w:w="0" w:type="dxa"/>
              <w:right w:w="0" w:type="dxa"/>
            </w:tcMar>
            <w:vAlign w:val="center"/>
          </w:tcPr>
          <w:p w14:paraId="3111587C" w14:textId="77777777" w:rsidR="00AF05B7" w:rsidRPr="00A81576" w:rsidRDefault="00AF05B7" w:rsidP="00AF05B7">
            <w:pPr>
              <w:spacing w:after="0"/>
              <w:jc w:val="center"/>
              <w:rPr>
                <w:rFonts w:ascii="Arial" w:hAnsi="Arial" w:cs="Arial"/>
                <w:b/>
                <w:sz w:val="20"/>
                <w:szCs w:val="20"/>
                <w:lang w:val="en-US"/>
              </w:rPr>
            </w:pPr>
            <w:r>
              <w:rPr>
                <w:rFonts w:ascii="Arial" w:hAnsi="Arial" w:cs="Arial"/>
                <w:b/>
                <w:sz w:val="20"/>
                <w:szCs w:val="20"/>
                <w:lang w:val="en-US"/>
              </w:rPr>
              <w:t xml:space="preserve">NPV </w:t>
            </w:r>
            <w:r w:rsidRPr="00A81576">
              <w:rPr>
                <w:rFonts w:ascii="Arial" w:hAnsi="Arial" w:cs="Arial"/>
                <w:b/>
                <w:sz w:val="20"/>
                <w:szCs w:val="20"/>
                <w:lang w:val="en-US"/>
              </w:rPr>
              <w:t>(£ x 1000)</w:t>
            </w:r>
          </w:p>
          <w:p w14:paraId="017C5642" w14:textId="77777777" w:rsidR="00AF05B7" w:rsidRPr="000D5722" w:rsidRDefault="00AF05B7" w:rsidP="00AF05B7">
            <w:pPr>
              <w:spacing w:after="0"/>
              <w:jc w:val="center"/>
              <w:rPr>
                <w:rFonts w:ascii="Arial" w:hAnsi="Arial" w:cs="Arial"/>
                <w:b/>
                <w:sz w:val="20"/>
                <w:szCs w:val="20"/>
                <w:lang w:val="en-US"/>
              </w:rPr>
            </w:pPr>
            <w:r w:rsidRPr="00A81576">
              <w:rPr>
                <w:rFonts w:ascii="Arial" w:hAnsi="Arial" w:cs="Arial"/>
                <w:b/>
                <w:sz w:val="20"/>
                <w:szCs w:val="20"/>
                <w:lang w:val="en-US"/>
              </w:rPr>
              <w:t>(25 years) -</w:t>
            </w:r>
            <w:r>
              <w:rPr>
                <w:rFonts w:ascii="Arial" w:hAnsi="Arial" w:cs="Arial"/>
                <w:b/>
                <w:sz w:val="20"/>
                <w:szCs w:val="20"/>
                <w:lang w:val="en-US"/>
              </w:rPr>
              <w:t xml:space="preserve"> </w:t>
            </w:r>
            <w:r w:rsidRPr="00A81576">
              <w:rPr>
                <w:rFonts w:ascii="Arial" w:hAnsi="Arial" w:cs="Arial"/>
                <w:b/>
                <w:sz w:val="20"/>
                <w:szCs w:val="20"/>
                <w:lang w:val="en-US"/>
              </w:rPr>
              <w:t>Improvement Over Base Case</w:t>
            </w:r>
          </w:p>
        </w:tc>
      </w:tr>
      <w:tr w:rsidR="00AF05B7" w:rsidRPr="000D5722" w14:paraId="77D02C68" w14:textId="77777777" w:rsidTr="00AF05B7">
        <w:trPr>
          <w:trHeight w:val="542"/>
          <w:jc w:val="center"/>
        </w:trPr>
        <w:tc>
          <w:tcPr>
            <w:tcW w:w="713" w:type="pct"/>
            <w:vMerge/>
            <w:tcBorders>
              <w:bottom w:val="double" w:sz="6" w:space="0" w:color="auto"/>
            </w:tcBorders>
            <w:vAlign w:val="center"/>
          </w:tcPr>
          <w:p w14:paraId="69C41860" w14:textId="77777777" w:rsidR="00AF05B7" w:rsidRPr="000D5722" w:rsidRDefault="00AF05B7" w:rsidP="00AF05B7">
            <w:pPr>
              <w:jc w:val="center"/>
              <w:rPr>
                <w:rFonts w:ascii="Arial" w:hAnsi="Arial" w:cs="Arial"/>
                <w:b/>
                <w:sz w:val="20"/>
                <w:szCs w:val="20"/>
                <w:lang w:val="en-US"/>
              </w:rPr>
            </w:pPr>
          </w:p>
        </w:tc>
        <w:tc>
          <w:tcPr>
            <w:tcW w:w="714" w:type="pct"/>
            <w:tcBorders>
              <w:top w:val="single" w:sz="18" w:space="0" w:color="auto"/>
              <w:bottom w:val="double" w:sz="6" w:space="0" w:color="auto"/>
            </w:tcBorders>
            <w:vAlign w:val="center"/>
          </w:tcPr>
          <w:p w14:paraId="22E81486" w14:textId="77777777" w:rsidR="00AF05B7" w:rsidRPr="000D5722" w:rsidRDefault="00AF05B7" w:rsidP="00AF05B7">
            <w:pPr>
              <w:jc w:val="center"/>
              <w:rPr>
                <w:rFonts w:ascii="Arial" w:hAnsi="Arial" w:cs="Arial"/>
                <w:b/>
                <w:sz w:val="20"/>
                <w:szCs w:val="20"/>
                <w:lang w:val="en-US"/>
              </w:rPr>
            </w:pPr>
            <w:r>
              <w:rPr>
                <w:rFonts w:ascii="Arial" w:hAnsi="Arial" w:cs="Arial"/>
                <w:b/>
                <w:sz w:val="20"/>
                <w:szCs w:val="20"/>
                <w:lang w:val="en-US"/>
              </w:rPr>
              <w:t>Scheme A</w:t>
            </w:r>
          </w:p>
        </w:tc>
        <w:tc>
          <w:tcPr>
            <w:tcW w:w="715" w:type="pct"/>
            <w:tcBorders>
              <w:top w:val="single" w:sz="18" w:space="0" w:color="auto"/>
              <w:bottom w:val="double" w:sz="6" w:space="0" w:color="auto"/>
            </w:tcBorders>
            <w:vAlign w:val="center"/>
          </w:tcPr>
          <w:p w14:paraId="3C681B37" w14:textId="77777777" w:rsidR="00AF05B7" w:rsidRPr="000D5722" w:rsidRDefault="00AF05B7" w:rsidP="00AF05B7">
            <w:pPr>
              <w:jc w:val="center"/>
              <w:rPr>
                <w:rFonts w:ascii="Arial" w:hAnsi="Arial" w:cs="Arial"/>
                <w:b/>
                <w:sz w:val="20"/>
                <w:szCs w:val="20"/>
                <w:lang w:val="en-US"/>
              </w:rPr>
            </w:pPr>
            <w:r>
              <w:rPr>
                <w:rFonts w:ascii="Arial" w:hAnsi="Arial" w:cs="Arial"/>
                <w:b/>
                <w:sz w:val="20"/>
                <w:szCs w:val="20"/>
                <w:lang w:val="en-US"/>
              </w:rPr>
              <w:t>Scheme B</w:t>
            </w:r>
          </w:p>
        </w:tc>
        <w:tc>
          <w:tcPr>
            <w:tcW w:w="714" w:type="pct"/>
            <w:tcBorders>
              <w:top w:val="single" w:sz="18" w:space="0" w:color="auto"/>
              <w:bottom w:val="double" w:sz="6" w:space="0" w:color="auto"/>
            </w:tcBorders>
            <w:vAlign w:val="center"/>
          </w:tcPr>
          <w:p w14:paraId="00E8F236" w14:textId="77777777" w:rsidR="00AF05B7" w:rsidRPr="000D5722" w:rsidRDefault="00AF05B7" w:rsidP="00AF05B7">
            <w:pPr>
              <w:jc w:val="center"/>
              <w:rPr>
                <w:rFonts w:ascii="Arial" w:hAnsi="Arial" w:cs="Arial"/>
                <w:b/>
                <w:sz w:val="20"/>
                <w:szCs w:val="20"/>
                <w:lang w:val="en-US"/>
              </w:rPr>
            </w:pPr>
            <w:r>
              <w:rPr>
                <w:rFonts w:ascii="Arial" w:hAnsi="Arial" w:cs="Arial"/>
                <w:b/>
                <w:sz w:val="20"/>
                <w:szCs w:val="20"/>
                <w:lang w:val="en-US"/>
              </w:rPr>
              <w:t>Scheme A</w:t>
            </w:r>
          </w:p>
        </w:tc>
        <w:tc>
          <w:tcPr>
            <w:tcW w:w="714" w:type="pct"/>
            <w:tcBorders>
              <w:top w:val="single" w:sz="18" w:space="0" w:color="auto"/>
              <w:bottom w:val="double" w:sz="6" w:space="0" w:color="auto"/>
            </w:tcBorders>
            <w:tcMar>
              <w:left w:w="0" w:type="dxa"/>
              <w:right w:w="0" w:type="dxa"/>
            </w:tcMar>
            <w:vAlign w:val="center"/>
          </w:tcPr>
          <w:p w14:paraId="03A0C44F" w14:textId="77777777" w:rsidR="00AF05B7" w:rsidRPr="000D5722" w:rsidRDefault="00AF05B7" w:rsidP="00AF05B7">
            <w:pPr>
              <w:jc w:val="center"/>
              <w:rPr>
                <w:rFonts w:ascii="Arial" w:hAnsi="Arial" w:cs="Arial"/>
                <w:b/>
                <w:sz w:val="20"/>
                <w:szCs w:val="20"/>
                <w:lang w:val="en-US"/>
              </w:rPr>
            </w:pPr>
            <w:r>
              <w:rPr>
                <w:rFonts w:ascii="Arial" w:hAnsi="Arial" w:cs="Arial"/>
                <w:b/>
                <w:sz w:val="20"/>
                <w:szCs w:val="20"/>
                <w:lang w:val="en-US"/>
              </w:rPr>
              <w:t>Scheme B</w:t>
            </w:r>
          </w:p>
        </w:tc>
        <w:tc>
          <w:tcPr>
            <w:tcW w:w="715" w:type="pct"/>
            <w:tcBorders>
              <w:top w:val="single" w:sz="18" w:space="0" w:color="auto"/>
              <w:bottom w:val="double" w:sz="6" w:space="0" w:color="auto"/>
            </w:tcBorders>
            <w:tcMar>
              <w:left w:w="0" w:type="dxa"/>
              <w:right w:w="0" w:type="dxa"/>
            </w:tcMar>
            <w:vAlign w:val="center"/>
          </w:tcPr>
          <w:p w14:paraId="4997B123" w14:textId="77777777" w:rsidR="00AF05B7" w:rsidRPr="000D5722" w:rsidRDefault="00AF05B7" w:rsidP="00AF05B7">
            <w:pPr>
              <w:jc w:val="center"/>
              <w:rPr>
                <w:rFonts w:ascii="Arial" w:hAnsi="Arial" w:cs="Arial"/>
                <w:b/>
                <w:sz w:val="20"/>
                <w:szCs w:val="20"/>
                <w:lang w:val="en-US"/>
              </w:rPr>
            </w:pPr>
            <w:r>
              <w:rPr>
                <w:rFonts w:ascii="Arial" w:hAnsi="Arial" w:cs="Arial"/>
                <w:b/>
                <w:sz w:val="20"/>
                <w:szCs w:val="20"/>
                <w:lang w:val="en-US"/>
              </w:rPr>
              <w:t>Scheme A</w:t>
            </w:r>
          </w:p>
        </w:tc>
        <w:tc>
          <w:tcPr>
            <w:tcW w:w="714" w:type="pct"/>
            <w:tcBorders>
              <w:top w:val="single" w:sz="18" w:space="0" w:color="auto"/>
              <w:bottom w:val="double" w:sz="6" w:space="0" w:color="auto"/>
            </w:tcBorders>
            <w:vAlign w:val="center"/>
          </w:tcPr>
          <w:p w14:paraId="5B737805" w14:textId="77777777" w:rsidR="00AF05B7" w:rsidRDefault="00AF05B7" w:rsidP="00AF05B7">
            <w:pPr>
              <w:jc w:val="center"/>
              <w:rPr>
                <w:rFonts w:ascii="Arial" w:hAnsi="Arial" w:cs="Arial"/>
                <w:b/>
                <w:sz w:val="20"/>
                <w:szCs w:val="20"/>
                <w:lang w:val="en-US"/>
              </w:rPr>
            </w:pPr>
            <w:r>
              <w:rPr>
                <w:rFonts w:ascii="Arial" w:hAnsi="Arial" w:cs="Arial"/>
                <w:b/>
                <w:sz w:val="20"/>
                <w:szCs w:val="20"/>
                <w:lang w:val="en-US"/>
              </w:rPr>
              <w:t>Scheme B</w:t>
            </w:r>
          </w:p>
        </w:tc>
      </w:tr>
      <w:tr w:rsidR="00AF05B7" w:rsidRPr="000D5722" w14:paraId="63E0E93B" w14:textId="77777777" w:rsidTr="00AF05B7">
        <w:trPr>
          <w:jc w:val="center"/>
        </w:trPr>
        <w:tc>
          <w:tcPr>
            <w:tcW w:w="713" w:type="pct"/>
            <w:tcBorders>
              <w:top w:val="double" w:sz="6" w:space="0" w:color="auto"/>
            </w:tcBorders>
            <w:vAlign w:val="center"/>
          </w:tcPr>
          <w:p w14:paraId="084494C2" w14:textId="77777777" w:rsidR="00AF05B7" w:rsidRPr="005E04FD" w:rsidRDefault="00AF05B7" w:rsidP="00AF05B7">
            <w:pPr>
              <w:spacing w:after="0"/>
              <w:jc w:val="center"/>
              <w:rPr>
                <w:rFonts w:ascii="Arial" w:hAnsi="Arial" w:cs="Arial"/>
                <w:b/>
                <w:sz w:val="20"/>
                <w:szCs w:val="20"/>
                <w:lang w:val="en-US"/>
              </w:rPr>
            </w:pPr>
            <w:r w:rsidRPr="005E04FD">
              <w:rPr>
                <w:rFonts w:ascii="Arial" w:hAnsi="Arial" w:cs="Arial"/>
                <w:b/>
                <w:sz w:val="20"/>
                <w:szCs w:val="20"/>
                <w:lang w:val="en-US"/>
              </w:rPr>
              <w:t>1</w:t>
            </w:r>
          </w:p>
        </w:tc>
        <w:tc>
          <w:tcPr>
            <w:tcW w:w="714" w:type="pct"/>
            <w:tcBorders>
              <w:top w:val="nil"/>
              <w:left w:val="nil"/>
              <w:bottom w:val="nil"/>
              <w:right w:val="nil"/>
            </w:tcBorders>
            <w:shd w:val="clear" w:color="auto" w:fill="auto"/>
            <w:vAlign w:val="center"/>
          </w:tcPr>
          <w:p w14:paraId="4A0B9D6F" w14:textId="77777777" w:rsidR="00AF05B7" w:rsidRPr="005E04FD" w:rsidRDefault="00AF05B7" w:rsidP="00AF05B7">
            <w:pPr>
              <w:spacing w:after="0"/>
              <w:jc w:val="center"/>
              <w:rPr>
                <w:rFonts w:ascii="Arial" w:hAnsi="Arial" w:cs="Arial"/>
                <w:color w:val="000000"/>
                <w:sz w:val="20"/>
                <w:szCs w:val="20"/>
              </w:rPr>
            </w:pPr>
            <w:r w:rsidRPr="005E04FD">
              <w:rPr>
                <w:rFonts w:ascii="Arial" w:hAnsi="Arial" w:cs="Arial"/>
                <w:color w:val="000000"/>
                <w:sz w:val="20"/>
                <w:szCs w:val="20"/>
              </w:rPr>
              <w:t>5834</w:t>
            </w:r>
          </w:p>
        </w:tc>
        <w:tc>
          <w:tcPr>
            <w:tcW w:w="715" w:type="pct"/>
            <w:tcBorders>
              <w:top w:val="nil"/>
              <w:left w:val="nil"/>
              <w:bottom w:val="nil"/>
              <w:right w:val="nil"/>
            </w:tcBorders>
            <w:shd w:val="clear" w:color="auto" w:fill="auto"/>
            <w:vAlign w:val="center"/>
          </w:tcPr>
          <w:p w14:paraId="3AA385B0" w14:textId="77777777" w:rsidR="00AF05B7" w:rsidRPr="00767A99" w:rsidRDefault="00AF05B7" w:rsidP="00AF05B7">
            <w:pPr>
              <w:spacing w:after="0"/>
              <w:jc w:val="center"/>
              <w:rPr>
                <w:rFonts w:ascii="Arial" w:hAnsi="Arial" w:cs="Arial"/>
                <w:color w:val="000000"/>
                <w:sz w:val="20"/>
                <w:szCs w:val="20"/>
              </w:rPr>
            </w:pPr>
            <w:r w:rsidRPr="00767A99">
              <w:rPr>
                <w:rFonts w:ascii="Arial" w:hAnsi="Arial" w:cs="Arial"/>
                <w:color w:val="000000"/>
                <w:sz w:val="20"/>
                <w:szCs w:val="20"/>
              </w:rPr>
              <w:t>12666</w:t>
            </w:r>
          </w:p>
        </w:tc>
        <w:tc>
          <w:tcPr>
            <w:tcW w:w="714" w:type="pct"/>
            <w:tcBorders>
              <w:top w:val="nil"/>
              <w:left w:val="nil"/>
              <w:bottom w:val="nil"/>
              <w:right w:val="nil"/>
            </w:tcBorders>
            <w:shd w:val="clear" w:color="auto" w:fill="auto"/>
            <w:vAlign w:val="center"/>
          </w:tcPr>
          <w:p w14:paraId="2E4C8D07" w14:textId="77777777" w:rsidR="00AF05B7" w:rsidRPr="00B02DBF" w:rsidRDefault="00AF05B7" w:rsidP="00AF05B7">
            <w:pPr>
              <w:spacing w:after="0"/>
              <w:jc w:val="center"/>
              <w:rPr>
                <w:rFonts w:ascii="Arial" w:hAnsi="Arial" w:cs="Arial"/>
                <w:color w:val="000000"/>
                <w:sz w:val="20"/>
                <w:szCs w:val="20"/>
              </w:rPr>
            </w:pPr>
            <w:r w:rsidRPr="00B02DBF">
              <w:rPr>
                <w:rFonts w:ascii="Arial" w:hAnsi="Arial" w:cs="Arial"/>
                <w:color w:val="000000"/>
                <w:sz w:val="20"/>
                <w:szCs w:val="20"/>
              </w:rPr>
              <w:t>6.8%</w:t>
            </w:r>
          </w:p>
        </w:tc>
        <w:tc>
          <w:tcPr>
            <w:tcW w:w="714" w:type="pct"/>
            <w:tcBorders>
              <w:top w:val="nil"/>
              <w:left w:val="nil"/>
              <w:bottom w:val="nil"/>
              <w:right w:val="nil"/>
            </w:tcBorders>
            <w:shd w:val="clear" w:color="auto" w:fill="auto"/>
            <w:tcMar>
              <w:left w:w="0" w:type="dxa"/>
              <w:right w:w="0" w:type="dxa"/>
            </w:tcMar>
            <w:vAlign w:val="center"/>
          </w:tcPr>
          <w:p w14:paraId="49CB0216" w14:textId="77777777" w:rsidR="00AF05B7" w:rsidRPr="00B02DBF" w:rsidRDefault="00AF05B7" w:rsidP="00AF05B7">
            <w:pPr>
              <w:spacing w:after="0"/>
              <w:jc w:val="center"/>
              <w:rPr>
                <w:rFonts w:ascii="Arial" w:hAnsi="Arial" w:cs="Arial"/>
                <w:color w:val="000000"/>
                <w:sz w:val="20"/>
                <w:szCs w:val="20"/>
              </w:rPr>
            </w:pPr>
            <w:r w:rsidRPr="00B02DBF">
              <w:rPr>
                <w:rFonts w:ascii="Arial" w:hAnsi="Arial" w:cs="Arial"/>
                <w:color w:val="000000"/>
                <w:sz w:val="20"/>
                <w:szCs w:val="20"/>
              </w:rPr>
              <w:t>5.9%</w:t>
            </w:r>
          </w:p>
        </w:tc>
        <w:tc>
          <w:tcPr>
            <w:tcW w:w="715" w:type="pct"/>
            <w:tcBorders>
              <w:top w:val="nil"/>
              <w:left w:val="nil"/>
              <w:bottom w:val="nil"/>
              <w:right w:val="nil"/>
            </w:tcBorders>
            <w:shd w:val="clear" w:color="auto" w:fill="auto"/>
            <w:tcMar>
              <w:left w:w="0" w:type="dxa"/>
              <w:right w:w="0" w:type="dxa"/>
            </w:tcMar>
            <w:vAlign w:val="center"/>
          </w:tcPr>
          <w:p w14:paraId="0C1BD6D8" w14:textId="77777777" w:rsidR="00AF05B7" w:rsidRPr="00B02DBF" w:rsidRDefault="00AF05B7" w:rsidP="00AF05B7">
            <w:pPr>
              <w:spacing w:after="0"/>
              <w:jc w:val="center"/>
              <w:rPr>
                <w:rFonts w:ascii="Arial" w:hAnsi="Arial" w:cs="Arial"/>
                <w:color w:val="000000"/>
                <w:sz w:val="20"/>
                <w:szCs w:val="20"/>
              </w:rPr>
            </w:pPr>
            <w:r w:rsidRPr="00B02DBF">
              <w:rPr>
                <w:rFonts w:ascii="Arial" w:hAnsi="Arial" w:cs="Arial"/>
                <w:color w:val="000000"/>
                <w:sz w:val="20"/>
                <w:szCs w:val="20"/>
              </w:rPr>
              <w:t>1419</w:t>
            </w:r>
          </w:p>
        </w:tc>
        <w:tc>
          <w:tcPr>
            <w:tcW w:w="714" w:type="pct"/>
            <w:tcBorders>
              <w:top w:val="nil"/>
              <w:left w:val="nil"/>
              <w:bottom w:val="nil"/>
              <w:right w:val="nil"/>
            </w:tcBorders>
            <w:shd w:val="clear" w:color="auto" w:fill="auto"/>
            <w:vAlign w:val="center"/>
          </w:tcPr>
          <w:p w14:paraId="230DCF92" w14:textId="77777777" w:rsidR="00AF05B7" w:rsidRPr="00B02DBF" w:rsidRDefault="00AF05B7" w:rsidP="00AF05B7">
            <w:pPr>
              <w:spacing w:after="0"/>
              <w:jc w:val="center"/>
              <w:rPr>
                <w:rFonts w:ascii="Arial" w:hAnsi="Arial" w:cs="Arial"/>
                <w:color w:val="000000"/>
                <w:sz w:val="20"/>
                <w:szCs w:val="20"/>
              </w:rPr>
            </w:pPr>
            <w:r w:rsidRPr="00B02DBF">
              <w:rPr>
                <w:rFonts w:ascii="Arial" w:hAnsi="Arial" w:cs="Arial"/>
                <w:color w:val="000000"/>
                <w:sz w:val="20"/>
                <w:szCs w:val="20"/>
              </w:rPr>
              <w:t>2215</w:t>
            </w:r>
          </w:p>
        </w:tc>
      </w:tr>
      <w:tr w:rsidR="00AF05B7" w:rsidRPr="000D5722" w14:paraId="20313E34" w14:textId="77777777" w:rsidTr="00AF05B7">
        <w:trPr>
          <w:jc w:val="center"/>
        </w:trPr>
        <w:tc>
          <w:tcPr>
            <w:tcW w:w="713" w:type="pct"/>
            <w:vAlign w:val="center"/>
          </w:tcPr>
          <w:p w14:paraId="46606A6E" w14:textId="77777777" w:rsidR="00AF05B7" w:rsidRPr="005E04FD" w:rsidRDefault="00AF05B7" w:rsidP="00AF05B7">
            <w:pPr>
              <w:spacing w:after="0"/>
              <w:jc w:val="center"/>
              <w:rPr>
                <w:rFonts w:ascii="Arial" w:hAnsi="Arial" w:cs="Arial"/>
                <w:b/>
                <w:sz w:val="20"/>
                <w:szCs w:val="20"/>
                <w:lang w:val="en-US"/>
              </w:rPr>
            </w:pPr>
            <w:r w:rsidRPr="005E04FD">
              <w:rPr>
                <w:rFonts w:ascii="Arial" w:hAnsi="Arial" w:cs="Arial"/>
                <w:b/>
                <w:sz w:val="20"/>
                <w:szCs w:val="20"/>
                <w:lang w:val="en-US"/>
              </w:rPr>
              <w:t>2</w:t>
            </w:r>
          </w:p>
        </w:tc>
        <w:tc>
          <w:tcPr>
            <w:tcW w:w="714" w:type="pct"/>
            <w:tcBorders>
              <w:top w:val="nil"/>
              <w:left w:val="nil"/>
              <w:bottom w:val="nil"/>
              <w:right w:val="nil"/>
            </w:tcBorders>
            <w:shd w:val="clear" w:color="auto" w:fill="auto"/>
            <w:vAlign w:val="center"/>
          </w:tcPr>
          <w:p w14:paraId="7BDFCA4F" w14:textId="77777777" w:rsidR="00AF05B7" w:rsidRPr="005E04FD" w:rsidRDefault="00AF05B7" w:rsidP="00AF05B7">
            <w:pPr>
              <w:spacing w:after="0"/>
              <w:jc w:val="center"/>
              <w:rPr>
                <w:rFonts w:ascii="Arial" w:hAnsi="Arial" w:cs="Arial"/>
                <w:color w:val="000000"/>
                <w:sz w:val="20"/>
                <w:szCs w:val="20"/>
              </w:rPr>
            </w:pPr>
            <w:r w:rsidRPr="005E04FD">
              <w:rPr>
                <w:rFonts w:ascii="Arial" w:hAnsi="Arial" w:cs="Arial"/>
                <w:color w:val="000000"/>
                <w:sz w:val="20"/>
                <w:szCs w:val="20"/>
              </w:rPr>
              <w:t>5806</w:t>
            </w:r>
          </w:p>
        </w:tc>
        <w:tc>
          <w:tcPr>
            <w:tcW w:w="715" w:type="pct"/>
            <w:tcBorders>
              <w:top w:val="nil"/>
              <w:left w:val="nil"/>
              <w:bottom w:val="nil"/>
              <w:right w:val="nil"/>
            </w:tcBorders>
            <w:shd w:val="clear" w:color="auto" w:fill="auto"/>
            <w:vAlign w:val="center"/>
          </w:tcPr>
          <w:p w14:paraId="53613C6C" w14:textId="77777777" w:rsidR="00AF05B7" w:rsidRPr="00767A99" w:rsidRDefault="00AF05B7" w:rsidP="00AF05B7">
            <w:pPr>
              <w:spacing w:after="0"/>
              <w:jc w:val="center"/>
              <w:rPr>
                <w:rFonts w:ascii="Arial" w:hAnsi="Arial" w:cs="Arial"/>
                <w:color w:val="000000"/>
                <w:sz w:val="20"/>
                <w:szCs w:val="20"/>
              </w:rPr>
            </w:pPr>
            <w:r w:rsidRPr="00767A99">
              <w:rPr>
                <w:rFonts w:ascii="Arial" w:hAnsi="Arial" w:cs="Arial"/>
                <w:color w:val="000000"/>
                <w:sz w:val="20"/>
                <w:szCs w:val="20"/>
              </w:rPr>
              <w:t>12382</w:t>
            </w:r>
          </w:p>
        </w:tc>
        <w:tc>
          <w:tcPr>
            <w:tcW w:w="714" w:type="pct"/>
            <w:tcBorders>
              <w:top w:val="nil"/>
              <w:left w:val="nil"/>
              <w:bottom w:val="nil"/>
              <w:right w:val="nil"/>
            </w:tcBorders>
            <w:shd w:val="clear" w:color="auto" w:fill="auto"/>
            <w:vAlign w:val="center"/>
          </w:tcPr>
          <w:p w14:paraId="5457E1A9" w14:textId="77777777" w:rsidR="00AF05B7" w:rsidRPr="00B02DBF" w:rsidRDefault="00AF05B7" w:rsidP="00AF05B7">
            <w:pPr>
              <w:spacing w:after="0"/>
              <w:jc w:val="center"/>
              <w:rPr>
                <w:rFonts w:ascii="Arial" w:hAnsi="Arial" w:cs="Arial"/>
                <w:color w:val="000000"/>
                <w:sz w:val="20"/>
                <w:szCs w:val="20"/>
              </w:rPr>
            </w:pPr>
            <w:r w:rsidRPr="00B02DBF">
              <w:rPr>
                <w:rFonts w:ascii="Arial" w:hAnsi="Arial" w:cs="Arial"/>
                <w:color w:val="000000"/>
                <w:sz w:val="20"/>
                <w:szCs w:val="20"/>
              </w:rPr>
              <w:t>6.9%</w:t>
            </w:r>
          </w:p>
        </w:tc>
        <w:tc>
          <w:tcPr>
            <w:tcW w:w="714" w:type="pct"/>
            <w:tcBorders>
              <w:top w:val="nil"/>
              <w:left w:val="nil"/>
              <w:bottom w:val="nil"/>
              <w:right w:val="nil"/>
            </w:tcBorders>
            <w:shd w:val="clear" w:color="auto" w:fill="auto"/>
            <w:tcMar>
              <w:left w:w="0" w:type="dxa"/>
              <w:right w:w="0" w:type="dxa"/>
            </w:tcMar>
            <w:vAlign w:val="center"/>
          </w:tcPr>
          <w:p w14:paraId="4A78F5D9" w14:textId="77777777" w:rsidR="00AF05B7" w:rsidRPr="00B02DBF" w:rsidRDefault="00AF05B7" w:rsidP="00AF05B7">
            <w:pPr>
              <w:spacing w:after="0"/>
              <w:jc w:val="center"/>
              <w:rPr>
                <w:rFonts w:ascii="Arial" w:hAnsi="Arial" w:cs="Arial"/>
                <w:color w:val="000000"/>
                <w:sz w:val="20"/>
                <w:szCs w:val="20"/>
              </w:rPr>
            </w:pPr>
            <w:r w:rsidRPr="00B02DBF">
              <w:rPr>
                <w:rFonts w:ascii="Arial" w:hAnsi="Arial" w:cs="Arial"/>
                <w:color w:val="000000"/>
                <w:sz w:val="20"/>
                <w:szCs w:val="20"/>
              </w:rPr>
              <w:t>9.1%</w:t>
            </w:r>
          </w:p>
        </w:tc>
        <w:tc>
          <w:tcPr>
            <w:tcW w:w="715" w:type="pct"/>
            <w:tcBorders>
              <w:top w:val="nil"/>
              <w:left w:val="nil"/>
              <w:bottom w:val="nil"/>
              <w:right w:val="nil"/>
            </w:tcBorders>
            <w:shd w:val="clear" w:color="auto" w:fill="auto"/>
            <w:tcMar>
              <w:left w:w="0" w:type="dxa"/>
              <w:right w:w="0" w:type="dxa"/>
            </w:tcMar>
            <w:vAlign w:val="center"/>
          </w:tcPr>
          <w:p w14:paraId="1D7C5D6D" w14:textId="77777777" w:rsidR="00AF05B7" w:rsidRPr="00B02DBF" w:rsidRDefault="00AF05B7" w:rsidP="00AF05B7">
            <w:pPr>
              <w:spacing w:after="0"/>
              <w:jc w:val="center"/>
              <w:rPr>
                <w:rFonts w:ascii="Arial" w:hAnsi="Arial" w:cs="Arial"/>
                <w:color w:val="000000"/>
                <w:sz w:val="20"/>
                <w:szCs w:val="20"/>
              </w:rPr>
            </w:pPr>
            <w:r w:rsidRPr="00B02DBF">
              <w:rPr>
                <w:rFonts w:ascii="Arial" w:hAnsi="Arial" w:cs="Arial"/>
                <w:color w:val="000000"/>
                <w:sz w:val="20"/>
                <w:szCs w:val="20"/>
              </w:rPr>
              <w:t>1456</w:t>
            </w:r>
          </w:p>
        </w:tc>
        <w:tc>
          <w:tcPr>
            <w:tcW w:w="714" w:type="pct"/>
            <w:tcBorders>
              <w:top w:val="nil"/>
              <w:left w:val="nil"/>
              <w:bottom w:val="nil"/>
              <w:right w:val="nil"/>
            </w:tcBorders>
            <w:shd w:val="clear" w:color="auto" w:fill="auto"/>
            <w:vAlign w:val="center"/>
          </w:tcPr>
          <w:p w14:paraId="4718DF09" w14:textId="77777777" w:rsidR="00AF05B7" w:rsidRPr="00B02DBF" w:rsidRDefault="00AF05B7" w:rsidP="00AF05B7">
            <w:pPr>
              <w:spacing w:after="0"/>
              <w:jc w:val="center"/>
              <w:rPr>
                <w:rFonts w:ascii="Arial" w:hAnsi="Arial" w:cs="Arial"/>
                <w:color w:val="000000"/>
                <w:sz w:val="20"/>
                <w:szCs w:val="20"/>
              </w:rPr>
            </w:pPr>
            <w:r w:rsidRPr="00B02DBF">
              <w:rPr>
                <w:rFonts w:ascii="Arial" w:hAnsi="Arial" w:cs="Arial"/>
                <w:color w:val="000000"/>
                <w:sz w:val="20"/>
                <w:szCs w:val="20"/>
              </w:rPr>
              <w:t>5848</w:t>
            </w:r>
          </w:p>
        </w:tc>
      </w:tr>
      <w:tr w:rsidR="00AF05B7" w:rsidRPr="000D5722" w14:paraId="0A1F31FC" w14:textId="77777777" w:rsidTr="00AF05B7">
        <w:trPr>
          <w:jc w:val="center"/>
        </w:trPr>
        <w:tc>
          <w:tcPr>
            <w:tcW w:w="713" w:type="pct"/>
            <w:vAlign w:val="center"/>
          </w:tcPr>
          <w:p w14:paraId="1C2C13E1" w14:textId="77777777" w:rsidR="00AF05B7" w:rsidRPr="005E04FD" w:rsidRDefault="00AF05B7" w:rsidP="00AF05B7">
            <w:pPr>
              <w:spacing w:after="0"/>
              <w:jc w:val="center"/>
              <w:rPr>
                <w:rFonts w:ascii="Arial" w:hAnsi="Arial" w:cs="Arial"/>
                <w:b/>
                <w:sz w:val="20"/>
                <w:szCs w:val="20"/>
                <w:lang w:val="en-US"/>
              </w:rPr>
            </w:pPr>
            <w:r w:rsidRPr="005E04FD">
              <w:rPr>
                <w:rFonts w:ascii="Arial" w:hAnsi="Arial" w:cs="Arial"/>
                <w:b/>
                <w:sz w:val="20"/>
                <w:szCs w:val="20"/>
                <w:lang w:val="en-US"/>
              </w:rPr>
              <w:t>3</w:t>
            </w:r>
          </w:p>
        </w:tc>
        <w:tc>
          <w:tcPr>
            <w:tcW w:w="714" w:type="pct"/>
            <w:tcBorders>
              <w:top w:val="nil"/>
              <w:left w:val="nil"/>
              <w:bottom w:val="nil"/>
              <w:right w:val="nil"/>
            </w:tcBorders>
            <w:shd w:val="clear" w:color="auto" w:fill="auto"/>
            <w:vAlign w:val="center"/>
          </w:tcPr>
          <w:p w14:paraId="6203610C" w14:textId="77777777" w:rsidR="00AF05B7" w:rsidRPr="005E04FD" w:rsidRDefault="00AF05B7" w:rsidP="00AF05B7">
            <w:pPr>
              <w:spacing w:after="0"/>
              <w:jc w:val="center"/>
              <w:rPr>
                <w:rFonts w:ascii="Arial" w:hAnsi="Arial" w:cs="Arial"/>
                <w:color w:val="000000"/>
                <w:sz w:val="20"/>
                <w:szCs w:val="20"/>
              </w:rPr>
            </w:pPr>
            <w:r w:rsidRPr="005E04FD">
              <w:rPr>
                <w:rFonts w:ascii="Arial" w:hAnsi="Arial" w:cs="Arial"/>
                <w:color w:val="000000"/>
                <w:sz w:val="20"/>
                <w:szCs w:val="20"/>
              </w:rPr>
              <w:t>6779</w:t>
            </w:r>
          </w:p>
        </w:tc>
        <w:tc>
          <w:tcPr>
            <w:tcW w:w="715" w:type="pct"/>
            <w:tcBorders>
              <w:top w:val="nil"/>
              <w:left w:val="nil"/>
              <w:bottom w:val="nil"/>
              <w:right w:val="nil"/>
            </w:tcBorders>
            <w:shd w:val="clear" w:color="auto" w:fill="auto"/>
            <w:vAlign w:val="center"/>
          </w:tcPr>
          <w:p w14:paraId="36AF000C" w14:textId="77777777" w:rsidR="00AF05B7" w:rsidRPr="00767A99" w:rsidRDefault="00AF05B7" w:rsidP="00AF05B7">
            <w:pPr>
              <w:spacing w:after="0"/>
              <w:jc w:val="center"/>
              <w:rPr>
                <w:rFonts w:ascii="Arial" w:hAnsi="Arial" w:cs="Arial"/>
                <w:color w:val="000000"/>
                <w:sz w:val="20"/>
                <w:szCs w:val="20"/>
              </w:rPr>
            </w:pPr>
            <w:r w:rsidRPr="00767A99">
              <w:rPr>
                <w:rFonts w:ascii="Arial" w:hAnsi="Arial" w:cs="Arial"/>
                <w:color w:val="000000"/>
                <w:sz w:val="20"/>
                <w:szCs w:val="20"/>
              </w:rPr>
              <w:t>13253</w:t>
            </w:r>
          </w:p>
        </w:tc>
        <w:tc>
          <w:tcPr>
            <w:tcW w:w="714" w:type="pct"/>
            <w:tcBorders>
              <w:top w:val="nil"/>
              <w:left w:val="nil"/>
              <w:bottom w:val="nil"/>
              <w:right w:val="nil"/>
            </w:tcBorders>
            <w:shd w:val="clear" w:color="auto" w:fill="auto"/>
            <w:vAlign w:val="center"/>
          </w:tcPr>
          <w:p w14:paraId="72A19B68" w14:textId="77777777" w:rsidR="00AF05B7" w:rsidRPr="00B02DBF" w:rsidRDefault="00AF05B7" w:rsidP="00AF05B7">
            <w:pPr>
              <w:spacing w:after="0"/>
              <w:jc w:val="center"/>
              <w:rPr>
                <w:rFonts w:ascii="Arial" w:hAnsi="Arial" w:cs="Arial"/>
                <w:color w:val="000000"/>
                <w:sz w:val="20"/>
                <w:szCs w:val="20"/>
              </w:rPr>
            </w:pPr>
            <w:r w:rsidRPr="00B02DBF">
              <w:rPr>
                <w:rFonts w:ascii="Arial" w:hAnsi="Arial" w:cs="Arial"/>
                <w:color w:val="000000"/>
                <w:sz w:val="20"/>
                <w:szCs w:val="20"/>
              </w:rPr>
              <w:t>6.5%</w:t>
            </w:r>
          </w:p>
        </w:tc>
        <w:tc>
          <w:tcPr>
            <w:tcW w:w="714" w:type="pct"/>
            <w:tcBorders>
              <w:top w:val="nil"/>
              <w:left w:val="nil"/>
              <w:bottom w:val="nil"/>
              <w:right w:val="nil"/>
            </w:tcBorders>
            <w:shd w:val="clear" w:color="auto" w:fill="auto"/>
            <w:tcMar>
              <w:left w:w="0" w:type="dxa"/>
              <w:right w:w="0" w:type="dxa"/>
            </w:tcMar>
            <w:vAlign w:val="center"/>
          </w:tcPr>
          <w:p w14:paraId="3CD3D6D3" w14:textId="77777777" w:rsidR="00AF05B7" w:rsidRPr="00B02DBF" w:rsidRDefault="00AF05B7" w:rsidP="00AF05B7">
            <w:pPr>
              <w:spacing w:after="0"/>
              <w:jc w:val="center"/>
              <w:rPr>
                <w:rFonts w:ascii="Arial" w:hAnsi="Arial" w:cs="Arial"/>
                <w:color w:val="000000"/>
                <w:sz w:val="20"/>
                <w:szCs w:val="20"/>
              </w:rPr>
            </w:pPr>
            <w:r w:rsidRPr="00B02DBF">
              <w:rPr>
                <w:rFonts w:ascii="Arial" w:hAnsi="Arial" w:cs="Arial"/>
                <w:color w:val="000000"/>
                <w:sz w:val="20"/>
                <w:szCs w:val="20"/>
              </w:rPr>
              <w:t>8.9%</w:t>
            </w:r>
          </w:p>
        </w:tc>
        <w:tc>
          <w:tcPr>
            <w:tcW w:w="715" w:type="pct"/>
            <w:tcBorders>
              <w:top w:val="nil"/>
              <w:left w:val="nil"/>
              <w:bottom w:val="nil"/>
              <w:right w:val="nil"/>
            </w:tcBorders>
            <w:shd w:val="clear" w:color="auto" w:fill="auto"/>
            <w:tcMar>
              <w:left w:w="0" w:type="dxa"/>
              <w:right w:w="0" w:type="dxa"/>
            </w:tcMar>
            <w:vAlign w:val="center"/>
          </w:tcPr>
          <w:p w14:paraId="25E521D0" w14:textId="77777777" w:rsidR="00AF05B7" w:rsidRPr="00B02DBF" w:rsidRDefault="00AF05B7" w:rsidP="00AF05B7">
            <w:pPr>
              <w:spacing w:after="0"/>
              <w:jc w:val="center"/>
              <w:rPr>
                <w:rFonts w:ascii="Arial" w:hAnsi="Arial" w:cs="Arial"/>
                <w:color w:val="000000"/>
                <w:sz w:val="20"/>
                <w:szCs w:val="20"/>
              </w:rPr>
            </w:pPr>
            <w:r w:rsidRPr="00B02DBF">
              <w:rPr>
                <w:rFonts w:ascii="Arial" w:hAnsi="Arial" w:cs="Arial"/>
                <w:color w:val="000000"/>
                <w:sz w:val="20"/>
                <w:szCs w:val="20"/>
              </w:rPr>
              <w:t>1577</w:t>
            </w:r>
          </w:p>
        </w:tc>
        <w:tc>
          <w:tcPr>
            <w:tcW w:w="714" w:type="pct"/>
            <w:tcBorders>
              <w:top w:val="nil"/>
              <w:left w:val="nil"/>
              <w:bottom w:val="nil"/>
              <w:right w:val="nil"/>
            </w:tcBorders>
            <w:shd w:val="clear" w:color="auto" w:fill="auto"/>
            <w:vAlign w:val="center"/>
          </w:tcPr>
          <w:p w14:paraId="624EF523" w14:textId="77777777" w:rsidR="00AF05B7" w:rsidRPr="00B02DBF" w:rsidRDefault="00AF05B7" w:rsidP="00AF05B7">
            <w:pPr>
              <w:spacing w:after="0"/>
              <w:jc w:val="center"/>
              <w:rPr>
                <w:rFonts w:ascii="Arial" w:hAnsi="Arial" w:cs="Arial"/>
                <w:color w:val="000000"/>
                <w:sz w:val="20"/>
                <w:szCs w:val="20"/>
              </w:rPr>
            </w:pPr>
            <w:r w:rsidRPr="00B02DBF">
              <w:rPr>
                <w:rFonts w:ascii="Arial" w:hAnsi="Arial" w:cs="Arial"/>
                <w:color w:val="000000"/>
                <w:sz w:val="20"/>
                <w:szCs w:val="20"/>
              </w:rPr>
              <w:t>6052</w:t>
            </w:r>
          </w:p>
        </w:tc>
      </w:tr>
      <w:tr w:rsidR="00AF05B7" w:rsidRPr="000D5722" w14:paraId="18587713" w14:textId="77777777" w:rsidTr="00AF05B7">
        <w:trPr>
          <w:jc w:val="center"/>
        </w:trPr>
        <w:tc>
          <w:tcPr>
            <w:tcW w:w="713" w:type="pct"/>
            <w:vAlign w:val="center"/>
          </w:tcPr>
          <w:p w14:paraId="69CD4418" w14:textId="77777777" w:rsidR="00AF05B7" w:rsidRPr="005E04FD" w:rsidRDefault="00AF05B7" w:rsidP="00AF05B7">
            <w:pPr>
              <w:spacing w:after="0"/>
              <w:jc w:val="center"/>
              <w:rPr>
                <w:rFonts w:ascii="Arial" w:hAnsi="Arial" w:cs="Arial"/>
                <w:b/>
                <w:sz w:val="20"/>
                <w:szCs w:val="20"/>
                <w:lang w:val="en-US"/>
              </w:rPr>
            </w:pPr>
            <w:r w:rsidRPr="005E04FD">
              <w:rPr>
                <w:rFonts w:ascii="Arial" w:hAnsi="Arial" w:cs="Arial"/>
                <w:b/>
                <w:sz w:val="20"/>
                <w:szCs w:val="20"/>
                <w:lang w:val="en-US"/>
              </w:rPr>
              <w:t>4</w:t>
            </w:r>
          </w:p>
        </w:tc>
        <w:tc>
          <w:tcPr>
            <w:tcW w:w="714" w:type="pct"/>
            <w:tcBorders>
              <w:top w:val="nil"/>
              <w:left w:val="nil"/>
              <w:bottom w:val="nil"/>
              <w:right w:val="nil"/>
            </w:tcBorders>
            <w:shd w:val="clear" w:color="auto" w:fill="auto"/>
            <w:vAlign w:val="center"/>
          </w:tcPr>
          <w:p w14:paraId="02BA4BBA" w14:textId="77777777" w:rsidR="00AF05B7" w:rsidRPr="005E04FD" w:rsidRDefault="00AF05B7" w:rsidP="00AF05B7">
            <w:pPr>
              <w:spacing w:after="0"/>
              <w:jc w:val="center"/>
              <w:rPr>
                <w:rFonts w:ascii="Arial" w:hAnsi="Arial" w:cs="Arial"/>
                <w:color w:val="000000"/>
                <w:sz w:val="20"/>
                <w:szCs w:val="20"/>
              </w:rPr>
            </w:pPr>
            <w:r w:rsidRPr="005E04FD">
              <w:rPr>
                <w:rFonts w:ascii="Arial" w:hAnsi="Arial" w:cs="Arial"/>
                <w:color w:val="000000"/>
                <w:sz w:val="20"/>
                <w:szCs w:val="20"/>
              </w:rPr>
              <w:t>5948</w:t>
            </w:r>
          </w:p>
        </w:tc>
        <w:tc>
          <w:tcPr>
            <w:tcW w:w="715" w:type="pct"/>
            <w:tcBorders>
              <w:top w:val="nil"/>
              <w:left w:val="nil"/>
              <w:bottom w:val="nil"/>
              <w:right w:val="nil"/>
            </w:tcBorders>
            <w:shd w:val="clear" w:color="auto" w:fill="auto"/>
            <w:vAlign w:val="center"/>
          </w:tcPr>
          <w:p w14:paraId="3FF7CD7A" w14:textId="77777777" w:rsidR="00AF05B7" w:rsidRPr="00767A99" w:rsidRDefault="00AF05B7" w:rsidP="00AF05B7">
            <w:pPr>
              <w:spacing w:after="0"/>
              <w:jc w:val="center"/>
              <w:rPr>
                <w:rFonts w:ascii="Arial" w:hAnsi="Arial" w:cs="Arial"/>
                <w:color w:val="000000"/>
                <w:sz w:val="20"/>
                <w:szCs w:val="20"/>
              </w:rPr>
            </w:pPr>
            <w:r w:rsidRPr="00767A99">
              <w:rPr>
                <w:rFonts w:ascii="Arial" w:hAnsi="Arial" w:cs="Arial"/>
                <w:color w:val="000000"/>
                <w:sz w:val="20"/>
                <w:szCs w:val="20"/>
              </w:rPr>
              <w:t>12609</w:t>
            </w:r>
          </w:p>
        </w:tc>
        <w:tc>
          <w:tcPr>
            <w:tcW w:w="714" w:type="pct"/>
            <w:tcBorders>
              <w:top w:val="nil"/>
              <w:left w:val="nil"/>
              <w:bottom w:val="nil"/>
              <w:right w:val="nil"/>
            </w:tcBorders>
            <w:shd w:val="clear" w:color="auto" w:fill="auto"/>
            <w:vAlign w:val="center"/>
          </w:tcPr>
          <w:p w14:paraId="20928FED" w14:textId="77777777" w:rsidR="00AF05B7" w:rsidRPr="00B02DBF" w:rsidRDefault="00AF05B7" w:rsidP="00AF05B7">
            <w:pPr>
              <w:spacing w:after="0"/>
              <w:jc w:val="center"/>
              <w:rPr>
                <w:rFonts w:ascii="Arial" w:hAnsi="Arial" w:cs="Arial"/>
                <w:color w:val="000000"/>
                <w:sz w:val="20"/>
                <w:szCs w:val="20"/>
              </w:rPr>
            </w:pPr>
            <w:r w:rsidRPr="00B02DBF">
              <w:rPr>
                <w:rFonts w:ascii="Arial" w:hAnsi="Arial" w:cs="Arial"/>
                <w:color w:val="000000"/>
                <w:sz w:val="20"/>
                <w:szCs w:val="20"/>
              </w:rPr>
              <w:t>6.8%</w:t>
            </w:r>
          </w:p>
        </w:tc>
        <w:tc>
          <w:tcPr>
            <w:tcW w:w="714" w:type="pct"/>
            <w:tcBorders>
              <w:top w:val="nil"/>
              <w:left w:val="nil"/>
              <w:bottom w:val="nil"/>
              <w:right w:val="nil"/>
            </w:tcBorders>
            <w:shd w:val="clear" w:color="auto" w:fill="auto"/>
            <w:tcMar>
              <w:left w:w="0" w:type="dxa"/>
              <w:right w:w="0" w:type="dxa"/>
            </w:tcMar>
            <w:vAlign w:val="center"/>
          </w:tcPr>
          <w:p w14:paraId="31A82FF8" w14:textId="77777777" w:rsidR="00AF05B7" w:rsidRPr="00B02DBF" w:rsidRDefault="00AF05B7" w:rsidP="00AF05B7">
            <w:pPr>
              <w:spacing w:after="0"/>
              <w:jc w:val="center"/>
              <w:rPr>
                <w:rFonts w:ascii="Arial" w:hAnsi="Arial" w:cs="Arial"/>
                <w:color w:val="000000"/>
                <w:sz w:val="20"/>
                <w:szCs w:val="20"/>
              </w:rPr>
            </w:pPr>
            <w:r w:rsidRPr="00B02DBF">
              <w:rPr>
                <w:rFonts w:ascii="Arial" w:hAnsi="Arial" w:cs="Arial"/>
                <w:color w:val="000000"/>
                <w:sz w:val="20"/>
                <w:szCs w:val="20"/>
              </w:rPr>
              <w:t>9.0%</w:t>
            </w:r>
          </w:p>
        </w:tc>
        <w:tc>
          <w:tcPr>
            <w:tcW w:w="715" w:type="pct"/>
            <w:tcBorders>
              <w:top w:val="nil"/>
              <w:left w:val="nil"/>
              <w:bottom w:val="nil"/>
              <w:right w:val="nil"/>
            </w:tcBorders>
            <w:shd w:val="clear" w:color="auto" w:fill="auto"/>
            <w:tcMar>
              <w:left w:w="0" w:type="dxa"/>
              <w:right w:w="0" w:type="dxa"/>
            </w:tcMar>
            <w:vAlign w:val="center"/>
          </w:tcPr>
          <w:p w14:paraId="1C4511C4" w14:textId="77777777" w:rsidR="00AF05B7" w:rsidRPr="00B02DBF" w:rsidRDefault="00AF05B7" w:rsidP="00AF05B7">
            <w:pPr>
              <w:spacing w:after="0"/>
              <w:jc w:val="center"/>
              <w:rPr>
                <w:rFonts w:ascii="Arial" w:hAnsi="Arial" w:cs="Arial"/>
                <w:color w:val="000000"/>
                <w:sz w:val="20"/>
                <w:szCs w:val="20"/>
              </w:rPr>
            </w:pPr>
            <w:r w:rsidRPr="00B02DBF">
              <w:rPr>
                <w:rFonts w:ascii="Arial" w:hAnsi="Arial" w:cs="Arial"/>
                <w:color w:val="000000"/>
                <w:sz w:val="20"/>
                <w:szCs w:val="20"/>
              </w:rPr>
              <w:t>1452</w:t>
            </w:r>
          </w:p>
        </w:tc>
        <w:tc>
          <w:tcPr>
            <w:tcW w:w="714" w:type="pct"/>
            <w:tcBorders>
              <w:top w:val="nil"/>
              <w:left w:val="nil"/>
              <w:bottom w:val="nil"/>
              <w:right w:val="nil"/>
            </w:tcBorders>
            <w:shd w:val="clear" w:color="auto" w:fill="auto"/>
            <w:vAlign w:val="center"/>
          </w:tcPr>
          <w:p w14:paraId="20C7496C" w14:textId="77777777" w:rsidR="00AF05B7" w:rsidRPr="00B02DBF" w:rsidRDefault="00AF05B7" w:rsidP="00AF05B7">
            <w:pPr>
              <w:spacing w:after="0"/>
              <w:jc w:val="center"/>
              <w:rPr>
                <w:rFonts w:ascii="Arial" w:hAnsi="Arial" w:cs="Arial"/>
                <w:color w:val="000000"/>
                <w:sz w:val="20"/>
                <w:szCs w:val="20"/>
              </w:rPr>
            </w:pPr>
            <w:r w:rsidRPr="00B02DBF">
              <w:rPr>
                <w:rFonts w:ascii="Arial" w:hAnsi="Arial" w:cs="Arial"/>
                <w:color w:val="000000"/>
                <w:sz w:val="20"/>
                <w:szCs w:val="20"/>
              </w:rPr>
              <w:t>5838</w:t>
            </w:r>
          </w:p>
        </w:tc>
      </w:tr>
      <w:tr w:rsidR="00AF05B7" w:rsidRPr="000D5722" w14:paraId="76707545" w14:textId="77777777" w:rsidTr="00AF05B7">
        <w:trPr>
          <w:jc w:val="center"/>
        </w:trPr>
        <w:tc>
          <w:tcPr>
            <w:tcW w:w="713" w:type="pct"/>
            <w:vAlign w:val="center"/>
          </w:tcPr>
          <w:p w14:paraId="14DCC848" w14:textId="77777777" w:rsidR="00AF05B7" w:rsidRPr="005E04FD" w:rsidRDefault="00AF05B7" w:rsidP="00AF05B7">
            <w:pPr>
              <w:spacing w:after="0"/>
              <w:jc w:val="center"/>
              <w:rPr>
                <w:rFonts w:ascii="Arial" w:hAnsi="Arial" w:cs="Arial"/>
                <w:b/>
                <w:sz w:val="20"/>
                <w:szCs w:val="20"/>
                <w:lang w:val="en-US"/>
              </w:rPr>
            </w:pPr>
            <w:r w:rsidRPr="005E04FD">
              <w:rPr>
                <w:rFonts w:ascii="Arial" w:hAnsi="Arial" w:cs="Arial"/>
                <w:b/>
                <w:sz w:val="20"/>
                <w:szCs w:val="20"/>
                <w:lang w:val="en-US"/>
              </w:rPr>
              <w:t>5</w:t>
            </w:r>
          </w:p>
        </w:tc>
        <w:tc>
          <w:tcPr>
            <w:tcW w:w="714" w:type="pct"/>
            <w:tcBorders>
              <w:top w:val="nil"/>
              <w:left w:val="nil"/>
              <w:bottom w:val="nil"/>
              <w:right w:val="nil"/>
            </w:tcBorders>
            <w:shd w:val="clear" w:color="auto" w:fill="auto"/>
            <w:vAlign w:val="center"/>
          </w:tcPr>
          <w:p w14:paraId="74FC245B" w14:textId="77777777" w:rsidR="00AF05B7" w:rsidRPr="005E04FD" w:rsidRDefault="00AF05B7" w:rsidP="00AF05B7">
            <w:pPr>
              <w:spacing w:after="0"/>
              <w:jc w:val="center"/>
              <w:rPr>
                <w:rFonts w:ascii="Arial" w:hAnsi="Arial" w:cs="Arial"/>
                <w:color w:val="000000"/>
                <w:sz w:val="20"/>
                <w:szCs w:val="20"/>
              </w:rPr>
            </w:pPr>
            <w:r w:rsidRPr="005E04FD">
              <w:rPr>
                <w:rFonts w:ascii="Arial" w:hAnsi="Arial" w:cs="Arial"/>
                <w:color w:val="000000"/>
                <w:sz w:val="20"/>
                <w:szCs w:val="20"/>
              </w:rPr>
              <w:t>6921</w:t>
            </w:r>
          </w:p>
        </w:tc>
        <w:tc>
          <w:tcPr>
            <w:tcW w:w="715" w:type="pct"/>
            <w:tcBorders>
              <w:top w:val="nil"/>
              <w:left w:val="nil"/>
              <w:bottom w:val="nil"/>
              <w:right w:val="nil"/>
            </w:tcBorders>
            <w:shd w:val="clear" w:color="auto" w:fill="auto"/>
            <w:vAlign w:val="center"/>
          </w:tcPr>
          <w:p w14:paraId="080BABBA" w14:textId="77777777" w:rsidR="00AF05B7" w:rsidRPr="00767A99" w:rsidRDefault="00AF05B7" w:rsidP="00AF05B7">
            <w:pPr>
              <w:spacing w:after="0"/>
              <w:jc w:val="center"/>
              <w:rPr>
                <w:rFonts w:ascii="Arial" w:hAnsi="Arial" w:cs="Arial"/>
                <w:color w:val="000000"/>
                <w:sz w:val="20"/>
                <w:szCs w:val="20"/>
              </w:rPr>
            </w:pPr>
            <w:r w:rsidRPr="00767A99">
              <w:rPr>
                <w:rFonts w:ascii="Arial" w:hAnsi="Arial" w:cs="Arial"/>
                <w:color w:val="000000"/>
                <w:sz w:val="20"/>
                <w:szCs w:val="20"/>
              </w:rPr>
              <w:t>13480</w:t>
            </w:r>
          </w:p>
        </w:tc>
        <w:tc>
          <w:tcPr>
            <w:tcW w:w="714" w:type="pct"/>
            <w:tcBorders>
              <w:top w:val="nil"/>
              <w:left w:val="nil"/>
              <w:bottom w:val="nil"/>
              <w:right w:val="nil"/>
            </w:tcBorders>
            <w:shd w:val="clear" w:color="auto" w:fill="auto"/>
            <w:vAlign w:val="center"/>
          </w:tcPr>
          <w:p w14:paraId="42C7AB01" w14:textId="77777777" w:rsidR="00AF05B7" w:rsidRPr="00B02DBF" w:rsidRDefault="00AF05B7" w:rsidP="00AF05B7">
            <w:pPr>
              <w:spacing w:after="0"/>
              <w:jc w:val="center"/>
              <w:rPr>
                <w:rFonts w:ascii="Arial" w:hAnsi="Arial" w:cs="Arial"/>
                <w:color w:val="000000"/>
                <w:sz w:val="20"/>
                <w:szCs w:val="20"/>
              </w:rPr>
            </w:pPr>
            <w:r w:rsidRPr="00B02DBF">
              <w:rPr>
                <w:rFonts w:ascii="Arial" w:hAnsi="Arial" w:cs="Arial"/>
                <w:color w:val="000000"/>
                <w:sz w:val="20"/>
                <w:szCs w:val="20"/>
              </w:rPr>
              <w:t>6.5%</w:t>
            </w:r>
          </w:p>
        </w:tc>
        <w:tc>
          <w:tcPr>
            <w:tcW w:w="714" w:type="pct"/>
            <w:tcBorders>
              <w:top w:val="nil"/>
              <w:left w:val="nil"/>
              <w:bottom w:val="nil"/>
              <w:right w:val="nil"/>
            </w:tcBorders>
            <w:shd w:val="clear" w:color="auto" w:fill="auto"/>
            <w:tcMar>
              <w:left w:w="0" w:type="dxa"/>
              <w:right w:w="0" w:type="dxa"/>
            </w:tcMar>
            <w:vAlign w:val="center"/>
          </w:tcPr>
          <w:p w14:paraId="00F81431" w14:textId="77777777" w:rsidR="00AF05B7" w:rsidRPr="00B02DBF" w:rsidRDefault="00AF05B7" w:rsidP="00AF05B7">
            <w:pPr>
              <w:spacing w:after="0"/>
              <w:jc w:val="center"/>
              <w:rPr>
                <w:rFonts w:ascii="Arial" w:hAnsi="Arial" w:cs="Arial"/>
                <w:color w:val="000000"/>
                <w:sz w:val="20"/>
                <w:szCs w:val="20"/>
              </w:rPr>
            </w:pPr>
            <w:r w:rsidRPr="00B02DBF">
              <w:rPr>
                <w:rFonts w:ascii="Arial" w:hAnsi="Arial" w:cs="Arial"/>
                <w:color w:val="000000"/>
                <w:sz w:val="20"/>
                <w:szCs w:val="20"/>
              </w:rPr>
              <w:t>8.8%</w:t>
            </w:r>
          </w:p>
        </w:tc>
        <w:tc>
          <w:tcPr>
            <w:tcW w:w="715" w:type="pct"/>
            <w:tcBorders>
              <w:top w:val="nil"/>
              <w:left w:val="nil"/>
              <w:bottom w:val="nil"/>
              <w:right w:val="nil"/>
            </w:tcBorders>
            <w:shd w:val="clear" w:color="auto" w:fill="auto"/>
            <w:tcMar>
              <w:left w:w="0" w:type="dxa"/>
              <w:right w:w="0" w:type="dxa"/>
            </w:tcMar>
            <w:vAlign w:val="center"/>
          </w:tcPr>
          <w:p w14:paraId="482B5293" w14:textId="77777777" w:rsidR="00AF05B7" w:rsidRPr="00B02DBF" w:rsidRDefault="00AF05B7" w:rsidP="00AF05B7">
            <w:pPr>
              <w:spacing w:after="0"/>
              <w:jc w:val="center"/>
              <w:rPr>
                <w:rFonts w:ascii="Arial" w:hAnsi="Arial" w:cs="Arial"/>
                <w:color w:val="000000"/>
                <w:sz w:val="20"/>
                <w:szCs w:val="20"/>
              </w:rPr>
            </w:pPr>
            <w:r w:rsidRPr="00B02DBF">
              <w:rPr>
                <w:rFonts w:ascii="Arial" w:hAnsi="Arial" w:cs="Arial"/>
                <w:color w:val="000000"/>
                <w:sz w:val="20"/>
                <w:szCs w:val="20"/>
              </w:rPr>
              <w:t>1598</w:t>
            </w:r>
          </w:p>
        </w:tc>
        <w:tc>
          <w:tcPr>
            <w:tcW w:w="714" w:type="pct"/>
            <w:tcBorders>
              <w:top w:val="nil"/>
              <w:left w:val="nil"/>
              <w:bottom w:val="nil"/>
              <w:right w:val="nil"/>
            </w:tcBorders>
            <w:shd w:val="clear" w:color="auto" w:fill="auto"/>
            <w:vAlign w:val="center"/>
          </w:tcPr>
          <w:p w14:paraId="410BA2C7" w14:textId="77777777" w:rsidR="00AF05B7" w:rsidRPr="00B02DBF" w:rsidRDefault="00AF05B7" w:rsidP="00AF05B7">
            <w:pPr>
              <w:spacing w:after="0"/>
              <w:jc w:val="center"/>
              <w:rPr>
                <w:rFonts w:ascii="Arial" w:hAnsi="Arial" w:cs="Arial"/>
                <w:color w:val="000000"/>
                <w:sz w:val="20"/>
                <w:szCs w:val="20"/>
              </w:rPr>
            </w:pPr>
            <w:r w:rsidRPr="00B02DBF">
              <w:rPr>
                <w:rFonts w:ascii="Arial" w:hAnsi="Arial" w:cs="Arial"/>
                <w:color w:val="000000"/>
                <w:sz w:val="20"/>
                <w:szCs w:val="20"/>
              </w:rPr>
              <w:t>6090</w:t>
            </w:r>
          </w:p>
        </w:tc>
      </w:tr>
      <w:tr w:rsidR="00AF05B7" w:rsidRPr="000D5722" w14:paraId="2D3C9774" w14:textId="77777777" w:rsidTr="00AF05B7">
        <w:trPr>
          <w:jc w:val="center"/>
        </w:trPr>
        <w:tc>
          <w:tcPr>
            <w:tcW w:w="713" w:type="pct"/>
            <w:vAlign w:val="center"/>
          </w:tcPr>
          <w:p w14:paraId="534FD51F" w14:textId="77777777" w:rsidR="00AF05B7" w:rsidRPr="005E04FD" w:rsidRDefault="00AF05B7" w:rsidP="00AF05B7">
            <w:pPr>
              <w:spacing w:after="0"/>
              <w:jc w:val="center"/>
              <w:rPr>
                <w:rFonts w:ascii="Arial" w:hAnsi="Arial" w:cs="Arial"/>
                <w:b/>
                <w:sz w:val="20"/>
                <w:szCs w:val="20"/>
                <w:lang w:val="en-US"/>
              </w:rPr>
            </w:pPr>
            <w:r w:rsidRPr="005E04FD">
              <w:rPr>
                <w:rFonts w:ascii="Arial" w:hAnsi="Arial" w:cs="Arial"/>
                <w:b/>
                <w:sz w:val="20"/>
                <w:szCs w:val="20"/>
                <w:lang w:val="en-US"/>
              </w:rPr>
              <w:t>6</w:t>
            </w:r>
          </w:p>
        </w:tc>
        <w:tc>
          <w:tcPr>
            <w:tcW w:w="714" w:type="pct"/>
            <w:vAlign w:val="center"/>
          </w:tcPr>
          <w:p w14:paraId="38AFE63F" w14:textId="77777777" w:rsidR="00AF05B7" w:rsidRPr="005E04FD" w:rsidRDefault="00AF05B7" w:rsidP="00AF05B7">
            <w:pPr>
              <w:spacing w:after="0"/>
              <w:jc w:val="center"/>
              <w:rPr>
                <w:rFonts w:ascii="Arial" w:hAnsi="Arial" w:cs="Arial"/>
                <w:sz w:val="20"/>
                <w:szCs w:val="20"/>
                <w:lang w:val="en-US"/>
              </w:rPr>
            </w:pPr>
            <w:r w:rsidRPr="005E04FD">
              <w:rPr>
                <w:rFonts w:ascii="Arial" w:hAnsi="Arial" w:cs="Arial"/>
                <w:sz w:val="20"/>
                <w:szCs w:val="20"/>
                <w:lang w:val="en-US"/>
              </w:rPr>
              <w:t>7347</w:t>
            </w:r>
          </w:p>
        </w:tc>
        <w:tc>
          <w:tcPr>
            <w:tcW w:w="715" w:type="pct"/>
            <w:vAlign w:val="center"/>
          </w:tcPr>
          <w:p w14:paraId="4F20CC83" w14:textId="77777777" w:rsidR="00AF05B7" w:rsidRPr="00767A99" w:rsidRDefault="00AF05B7" w:rsidP="00AF05B7">
            <w:pPr>
              <w:spacing w:after="0"/>
              <w:jc w:val="center"/>
              <w:rPr>
                <w:rFonts w:ascii="Arial" w:hAnsi="Arial" w:cs="Arial"/>
                <w:sz w:val="20"/>
                <w:szCs w:val="20"/>
                <w:lang w:val="en-US"/>
              </w:rPr>
            </w:pPr>
            <w:r w:rsidRPr="00767A99">
              <w:rPr>
                <w:rFonts w:ascii="Arial" w:hAnsi="Arial" w:cs="Arial"/>
                <w:sz w:val="20"/>
                <w:szCs w:val="20"/>
                <w:lang w:val="en-US"/>
              </w:rPr>
              <w:t>14661</w:t>
            </w:r>
          </w:p>
        </w:tc>
        <w:tc>
          <w:tcPr>
            <w:tcW w:w="714" w:type="pct"/>
            <w:vAlign w:val="center"/>
          </w:tcPr>
          <w:p w14:paraId="38529E53" w14:textId="77777777" w:rsidR="00AF05B7" w:rsidRPr="00B02DBF" w:rsidRDefault="00AF05B7" w:rsidP="00AF05B7">
            <w:pPr>
              <w:spacing w:after="0"/>
              <w:jc w:val="center"/>
              <w:rPr>
                <w:rFonts w:ascii="Arial" w:hAnsi="Arial" w:cs="Arial"/>
                <w:sz w:val="20"/>
                <w:szCs w:val="20"/>
                <w:lang w:val="en-US"/>
              </w:rPr>
            </w:pPr>
            <w:r w:rsidRPr="00B02DBF">
              <w:rPr>
                <w:rFonts w:ascii="Arial" w:hAnsi="Arial" w:cs="Arial"/>
                <w:sz w:val="20"/>
                <w:szCs w:val="20"/>
                <w:lang w:val="en-US"/>
              </w:rPr>
              <w:t>7.8%</w:t>
            </w:r>
          </w:p>
        </w:tc>
        <w:tc>
          <w:tcPr>
            <w:tcW w:w="714" w:type="pct"/>
            <w:tcMar>
              <w:left w:w="0" w:type="dxa"/>
              <w:right w:w="0" w:type="dxa"/>
            </w:tcMar>
            <w:vAlign w:val="center"/>
          </w:tcPr>
          <w:p w14:paraId="54909CBC" w14:textId="77777777" w:rsidR="00AF05B7" w:rsidRPr="00B02DBF" w:rsidRDefault="00AF05B7" w:rsidP="00AF05B7">
            <w:pPr>
              <w:spacing w:after="0"/>
              <w:jc w:val="center"/>
              <w:rPr>
                <w:rFonts w:ascii="Arial" w:hAnsi="Arial" w:cs="Arial"/>
                <w:sz w:val="20"/>
                <w:szCs w:val="20"/>
                <w:lang w:val="en-US"/>
              </w:rPr>
            </w:pPr>
            <w:r w:rsidRPr="00B02DBF">
              <w:rPr>
                <w:rFonts w:ascii="Arial" w:hAnsi="Arial" w:cs="Arial"/>
                <w:sz w:val="20"/>
                <w:szCs w:val="20"/>
                <w:lang w:val="en-US"/>
              </w:rPr>
              <w:t>8.7%</w:t>
            </w:r>
          </w:p>
        </w:tc>
        <w:tc>
          <w:tcPr>
            <w:tcW w:w="715" w:type="pct"/>
            <w:tcMar>
              <w:left w:w="0" w:type="dxa"/>
              <w:right w:w="0" w:type="dxa"/>
            </w:tcMar>
            <w:vAlign w:val="center"/>
          </w:tcPr>
          <w:p w14:paraId="4AD9B62F" w14:textId="77777777" w:rsidR="00AF05B7" w:rsidRPr="00B02DBF" w:rsidRDefault="00AF05B7" w:rsidP="00AF05B7">
            <w:pPr>
              <w:spacing w:after="0"/>
              <w:jc w:val="center"/>
              <w:rPr>
                <w:rFonts w:ascii="Arial" w:hAnsi="Arial" w:cs="Arial"/>
                <w:sz w:val="20"/>
                <w:szCs w:val="20"/>
                <w:lang w:val="en-US"/>
              </w:rPr>
            </w:pPr>
            <w:r w:rsidRPr="00B02DBF">
              <w:rPr>
                <w:rFonts w:ascii="Arial" w:hAnsi="Arial" w:cs="Arial"/>
                <w:sz w:val="20"/>
                <w:szCs w:val="20"/>
                <w:lang w:val="en-US"/>
              </w:rPr>
              <w:t>3121</w:t>
            </w:r>
          </w:p>
        </w:tc>
        <w:tc>
          <w:tcPr>
            <w:tcW w:w="714" w:type="pct"/>
            <w:vAlign w:val="center"/>
          </w:tcPr>
          <w:p w14:paraId="1D2EF368" w14:textId="77777777" w:rsidR="00AF05B7" w:rsidRPr="00B02DBF" w:rsidRDefault="00AF05B7" w:rsidP="00AF05B7">
            <w:pPr>
              <w:spacing w:after="0"/>
              <w:jc w:val="center"/>
              <w:rPr>
                <w:rFonts w:ascii="Arial" w:hAnsi="Arial" w:cs="Arial"/>
                <w:sz w:val="20"/>
                <w:szCs w:val="20"/>
                <w:lang w:val="en-US"/>
              </w:rPr>
            </w:pPr>
            <w:r w:rsidRPr="00B02DBF">
              <w:rPr>
                <w:rFonts w:ascii="Arial" w:hAnsi="Arial" w:cs="Arial"/>
                <w:sz w:val="20"/>
                <w:szCs w:val="20"/>
                <w:lang w:val="en-US"/>
              </w:rPr>
              <w:t>6714</w:t>
            </w:r>
          </w:p>
        </w:tc>
      </w:tr>
    </w:tbl>
    <w:p w14:paraId="088AF93D" w14:textId="77777777" w:rsidR="00AF05B7" w:rsidRDefault="00AF05B7" w:rsidP="00AF05B7">
      <w:pPr>
        <w:jc w:val="both"/>
        <w:rPr>
          <w:rFonts w:ascii="Arial" w:hAnsi="Arial" w:cs="Arial"/>
          <w:b/>
        </w:rPr>
      </w:pPr>
    </w:p>
    <w:p w14:paraId="56884032" w14:textId="3AA78771" w:rsidR="00AF05B7" w:rsidRPr="00A60F85" w:rsidRDefault="00AF05B7" w:rsidP="00AF05B7">
      <w:pPr>
        <w:spacing w:line="276" w:lineRule="auto"/>
        <w:jc w:val="both"/>
        <w:rPr>
          <w:rFonts w:ascii="Arial" w:hAnsi="Arial" w:cs="Arial"/>
        </w:rPr>
      </w:pPr>
      <w:r>
        <w:rPr>
          <w:rFonts w:ascii="Arial" w:hAnsi="Arial" w:cs="Arial"/>
        </w:rPr>
        <w:t xml:space="preserve">The capex breakdown of the proposed schemes is illustrated in </w:t>
      </w:r>
      <w:r w:rsidRPr="00A60F85">
        <w:rPr>
          <w:rFonts w:ascii="Arial" w:hAnsi="Arial" w:cs="Arial"/>
        </w:rPr>
        <w:t xml:space="preserve">Figure </w:t>
      </w:r>
      <w:r w:rsidR="001B7CBF">
        <w:rPr>
          <w:rFonts w:ascii="Arial" w:hAnsi="Arial" w:cs="Arial"/>
        </w:rPr>
        <w:t>12</w:t>
      </w:r>
      <w:r>
        <w:rPr>
          <w:rFonts w:ascii="Arial" w:hAnsi="Arial" w:cs="Arial"/>
        </w:rPr>
        <w:t>.</w:t>
      </w:r>
      <w:r w:rsidRPr="00A60F85">
        <w:rPr>
          <w:rFonts w:ascii="Arial" w:hAnsi="Arial" w:cs="Arial"/>
        </w:rPr>
        <w:t xml:space="preserve"> </w:t>
      </w:r>
      <w:r>
        <w:rPr>
          <w:rFonts w:ascii="Arial" w:hAnsi="Arial" w:cs="Arial"/>
        </w:rPr>
        <w:t xml:space="preserve">It can be seen in the figure </w:t>
      </w:r>
      <w:r w:rsidRPr="00D35A54">
        <w:rPr>
          <w:rFonts w:ascii="Arial" w:hAnsi="Arial" w:cs="Arial"/>
        </w:rPr>
        <w:t xml:space="preserve">that </w:t>
      </w:r>
      <w:r>
        <w:rPr>
          <w:rFonts w:ascii="Arial" w:hAnsi="Arial" w:cs="Arial"/>
        </w:rPr>
        <w:t xml:space="preserve">the highest costs have been found </w:t>
      </w:r>
      <w:r w:rsidRPr="00D35A54">
        <w:rPr>
          <w:rFonts w:ascii="Arial" w:hAnsi="Arial" w:cs="Arial"/>
        </w:rPr>
        <w:t xml:space="preserve">in the network </w:t>
      </w:r>
      <w:r>
        <w:rPr>
          <w:rFonts w:ascii="Arial" w:hAnsi="Arial" w:cs="Arial"/>
        </w:rPr>
        <w:t>infrastructure which is the trenching of the pipework of the ambient loop with the drilling of boreholes</w:t>
      </w:r>
      <w:r w:rsidRPr="00D35A54">
        <w:rPr>
          <w:rFonts w:ascii="Arial" w:hAnsi="Arial" w:cs="Arial"/>
        </w:rPr>
        <w:t xml:space="preserve"> and</w:t>
      </w:r>
      <w:r>
        <w:rPr>
          <w:rFonts w:ascii="Arial" w:hAnsi="Arial" w:cs="Arial"/>
        </w:rPr>
        <w:t xml:space="preserve"> the energy centres and mechanical and electrical plant room’s infrastructure and connection costs forming the </w:t>
      </w:r>
      <w:r w:rsidRPr="00D35A54">
        <w:rPr>
          <w:rFonts w:ascii="Arial" w:hAnsi="Arial" w:cs="Arial"/>
        </w:rPr>
        <w:t xml:space="preserve">remainder. </w:t>
      </w:r>
      <w:r>
        <w:rPr>
          <w:rFonts w:ascii="Arial" w:hAnsi="Arial" w:cs="Arial"/>
        </w:rPr>
        <w:t xml:space="preserve">Therefore, the one the next steps of the GreenSCIES project will include value engineering of the prosed schemes which </w:t>
      </w:r>
      <w:r w:rsidRPr="00026BDF">
        <w:rPr>
          <w:rFonts w:ascii="Arial" w:hAnsi="Arial" w:cs="Arial"/>
        </w:rPr>
        <w:t xml:space="preserve">will </w:t>
      </w:r>
      <w:r>
        <w:rPr>
          <w:rFonts w:ascii="Arial" w:hAnsi="Arial" w:cs="Arial"/>
        </w:rPr>
        <w:t xml:space="preserve">develop ways to </w:t>
      </w:r>
      <w:r w:rsidRPr="00026BDF">
        <w:rPr>
          <w:rFonts w:ascii="Arial" w:hAnsi="Arial" w:cs="Arial"/>
        </w:rPr>
        <w:t>control costs associated with pipework, energy centres etc.</w:t>
      </w:r>
    </w:p>
    <w:p w14:paraId="4413B05B" w14:textId="77777777" w:rsidR="00AF05B7" w:rsidRDefault="00AF05B7" w:rsidP="00AF05B7">
      <w:pPr>
        <w:keepNext/>
        <w:jc w:val="center"/>
      </w:pPr>
      <w:r>
        <w:rPr>
          <w:rFonts w:ascii="Arial" w:hAnsi="Arial" w:cs="Arial"/>
          <w:b/>
          <w:noProof/>
          <w:lang w:eastAsia="en-GB"/>
        </w:rPr>
        <w:drawing>
          <wp:inline distT="0" distB="0" distL="0" distR="0" wp14:anchorId="1DBD953F" wp14:editId="2141BC1E">
            <wp:extent cx="4974828" cy="318662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14000" cy="3275770"/>
                    </a:xfrm>
                    <a:prstGeom prst="rect">
                      <a:avLst/>
                    </a:prstGeom>
                    <a:noFill/>
                  </pic:spPr>
                </pic:pic>
              </a:graphicData>
            </a:graphic>
          </wp:inline>
        </w:drawing>
      </w:r>
    </w:p>
    <w:p w14:paraId="42616601" w14:textId="00D1255A" w:rsidR="00AF05B7" w:rsidRDefault="00AF05B7" w:rsidP="00AF05B7">
      <w:pPr>
        <w:pStyle w:val="Caption"/>
        <w:jc w:val="center"/>
        <w:rPr>
          <w:rFonts w:ascii="Arial" w:hAnsi="Arial" w:cs="Arial"/>
          <w:b/>
        </w:rPr>
      </w:pPr>
      <w:r w:rsidRPr="00A60F85">
        <w:rPr>
          <w:rFonts w:ascii="Arial" w:hAnsi="Arial" w:cs="Arial"/>
          <w:b/>
        </w:rPr>
        <w:t xml:space="preserve">Figure </w:t>
      </w:r>
      <w:r w:rsidR="001B7CBF">
        <w:rPr>
          <w:rFonts w:ascii="Arial" w:hAnsi="Arial" w:cs="Arial"/>
          <w:b/>
        </w:rPr>
        <w:t xml:space="preserve">12 </w:t>
      </w:r>
      <w:r w:rsidR="001B7CBF" w:rsidRPr="00A60F85">
        <w:rPr>
          <w:rFonts w:ascii="Arial" w:hAnsi="Arial" w:cs="Arial"/>
          <w:b/>
        </w:rPr>
        <w:t>C</w:t>
      </w:r>
      <w:r w:rsidR="001B7CBF">
        <w:rPr>
          <w:rFonts w:ascii="Arial" w:hAnsi="Arial" w:cs="Arial"/>
          <w:b/>
        </w:rPr>
        <w:t>APEX</w:t>
      </w:r>
      <w:r w:rsidR="001B7CBF" w:rsidRPr="00A60F85">
        <w:rPr>
          <w:rFonts w:ascii="Arial" w:hAnsi="Arial" w:cs="Arial"/>
          <w:b/>
        </w:rPr>
        <w:t xml:space="preserve"> </w:t>
      </w:r>
      <w:r w:rsidRPr="00A60F85">
        <w:rPr>
          <w:rFonts w:ascii="Arial" w:hAnsi="Arial" w:cs="Arial"/>
          <w:b/>
        </w:rPr>
        <w:t>breakdown of the proposed GreenSCIES schemes</w:t>
      </w:r>
    </w:p>
    <w:p w14:paraId="01A77CDB" w14:textId="367A674D" w:rsidR="005F3716" w:rsidRPr="00C95F62" w:rsidRDefault="00593DD1" w:rsidP="00C95F62">
      <w:pPr>
        <w:jc w:val="both"/>
        <w:rPr>
          <w:rFonts w:ascii="Arial" w:hAnsi="Arial" w:cs="Arial"/>
          <w:b/>
        </w:rPr>
      </w:pPr>
      <w:r w:rsidRPr="00C95F62">
        <w:rPr>
          <w:rFonts w:ascii="Arial" w:hAnsi="Arial" w:cs="Arial"/>
          <w:b/>
        </w:rPr>
        <w:lastRenderedPageBreak/>
        <w:t xml:space="preserve">3.4 </w:t>
      </w:r>
      <w:r w:rsidR="005F3716" w:rsidRPr="00C95F62">
        <w:rPr>
          <w:rFonts w:ascii="Arial" w:hAnsi="Arial" w:cs="Arial"/>
          <w:b/>
        </w:rPr>
        <w:t>Discussion of results</w:t>
      </w:r>
    </w:p>
    <w:p w14:paraId="3569E294" w14:textId="65785D84" w:rsidR="000036A3" w:rsidRPr="009E1EB3" w:rsidRDefault="000036A3" w:rsidP="003B4E27">
      <w:pPr>
        <w:jc w:val="both"/>
        <w:rPr>
          <w:rFonts w:ascii="Arial" w:hAnsi="Arial" w:cs="Arial"/>
        </w:rPr>
      </w:pPr>
      <w:r w:rsidRPr="009E1EB3">
        <w:rPr>
          <w:rFonts w:ascii="Arial" w:hAnsi="Arial" w:cs="Arial"/>
        </w:rPr>
        <w:t xml:space="preserve">Typical results from the energyPro simulations for a winter and summer week for Scheme B, with all of the selected energy sources/technologies i.e. ATES, solar PV, V2G and bespoke batteries, are shown in </w:t>
      </w:r>
      <w:r w:rsidR="001B7CBF" w:rsidRPr="003B4E27">
        <w:rPr>
          <w:rFonts w:ascii="Arial" w:hAnsi="Arial" w:cs="Arial"/>
        </w:rPr>
        <w:t>Figures 8</w:t>
      </w:r>
      <w:r w:rsidRPr="003B4E27">
        <w:rPr>
          <w:rFonts w:ascii="Arial" w:hAnsi="Arial" w:cs="Arial"/>
        </w:rPr>
        <w:t xml:space="preserve"> and </w:t>
      </w:r>
      <w:r w:rsidR="001B7CBF" w:rsidRPr="003B4E27">
        <w:rPr>
          <w:rFonts w:ascii="Arial" w:hAnsi="Arial" w:cs="Arial"/>
        </w:rPr>
        <w:t>9</w:t>
      </w:r>
      <w:r w:rsidRPr="003B4E27">
        <w:rPr>
          <w:rFonts w:ascii="Arial" w:hAnsi="Arial" w:cs="Arial"/>
        </w:rPr>
        <w:t>.</w:t>
      </w:r>
      <w:r w:rsidRPr="009E1EB3">
        <w:rPr>
          <w:rFonts w:ascii="Arial" w:hAnsi="Arial" w:cs="Arial"/>
        </w:rPr>
        <w:t xml:space="preserve"> It is shown that the predicted variation in heating and cooling demand can be met for the Scheme B system, with the energy source capacities used. The only exception was for the cooling demand (for the data centres) in summer, whereby free cooling only using the cold borehole wells was insufficient, due to the lower heat demand for the network. Therefore, some additional cooling e.g. using chillers would be needed for part of the time. The operational cost for each of the energy source combinations i.e. scenarios, for both schemes, expressed in terms of OPEX revenue increase compared to the base case i.e. gas boilers, chillers and grid electricity, is shown </w:t>
      </w:r>
      <w:r w:rsidR="001B7CBF" w:rsidRPr="003B4E27">
        <w:rPr>
          <w:rFonts w:ascii="Arial" w:hAnsi="Arial" w:cs="Arial"/>
        </w:rPr>
        <w:t>in Figure 10</w:t>
      </w:r>
      <w:r w:rsidRPr="003B4E27">
        <w:rPr>
          <w:rFonts w:ascii="Arial" w:hAnsi="Arial" w:cs="Arial"/>
        </w:rPr>
        <w:t>.</w:t>
      </w:r>
      <w:r w:rsidRPr="009E1EB3">
        <w:rPr>
          <w:rFonts w:ascii="Arial" w:hAnsi="Arial" w:cs="Arial"/>
        </w:rPr>
        <w:t xml:space="preserve"> It is seen that the greatest OPEX revenue increase was achieved for the scenario where all of the energy source technologies were used, with an increase of 24% for Scheme A and 34% for Scheme B. However, when comparing the 25 year CO</w:t>
      </w:r>
      <w:r w:rsidRPr="009E1EB3">
        <w:rPr>
          <w:rFonts w:ascii="Arial" w:hAnsi="Arial" w:cs="Arial"/>
          <w:vertAlign w:val="subscript"/>
        </w:rPr>
        <w:t>2</w:t>
      </w:r>
      <w:r w:rsidRPr="009E1EB3">
        <w:rPr>
          <w:rFonts w:ascii="Arial" w:hAnsi="Arial" w:cs="Arial"/>
        </w:rPr>
        <w:t xml:space="preserve"> savings, similar % saving values were obtained for 3 of the scenarios, namely the ATES and solar PV; ATES, solar PV and V2G; and ATES, solar PV, V2G and bespoke batteries technologies, for both Schemes A and B. The main reason for this is considered to be that the main contributor to the carbon savings obtained is the solar PV electricity component.</w:t>
      </w:r>
    </w:p>
    <w:p w14:paraId="6CA71E7B" w14:textId="77777777" w:rsidR="000036A3" w:rsidRPr="003F21D3" w:rsidRDefault="000036A3" w:rsidP="003B4E27">
      <w:pPr>
        <w:jc w:val="both"/>
        <w:rPr>
          <w:rFonts w:ascii="Arial" w:hAnsi="Arial" w:cs="Arial"/>
        </w:rPr>
      </w:pPr>
      <w:r w:rsidRPr="003F21D3">
        <w:rPr>
          <w:rFonts w:ascii="Arial" w:hAnsi="Arial" w:cs="Arial"/>
        </w:rPr>
        <w:t>In terms of initial CAPEX, the scenario including all of the technologies was highest, as expected, however, the net present value (NPV) compared to the base case was also greatest for this scenario for both Schemes A and B.</w:t>
      </w:r>
    </w:p>
    <w:p w14:paraId="116D8007" w14:textId="36749F28" w:rsidR="005F3716" w:rsidRPr="00C95F62" w:rsidRDefault="000036A3" w:rsidP="00C95F62">
      <w:pPr>
        <w:spacing w:line="276" w:lineRule="auto"/>
        <w:jc w:val="both"/>
        <w:rPr>
          <w:rFonts w:ascii="Arial" w:hAnsi="Arial" w:cs="Arial"/>
        </w:rPr>
      </w:pPr>
      <w:r>
        <w:rPr>
          <w:rFonts w:ascii="Arial" w:hAnsi="Arial" w:cs="Arial"/>
        </w:rPr>
        <w:t>Overall, t</w:t>
      </w:r>
      <w:r w:rsidR="005F3716" w:rsidRPr="00C95F62">
        <w:rPr>
          <w:rFonts w:ascii="Arial" w:hAnsi="Arial" w:cs="Arial"/>
        </w:rPr>
        <w:t>he modelling shows that both schemes are financially viable against a case where the current case of gas boilers</w:t>
      </w:r>
      <w:r>
        <w:rPr>
          <w:rFonts w:ascii="Arial" w:hAnsi="Arial" w:cs="Arial"/>
        </w:rPr>
        <w:t xml:space="preserve">, </w:t>
      </w:r>
      <w:r w:rsidR="005F3716" w:rsidRPr="00C95F62">
        <w:rPr>
          <w:rFonts w:ascii="Arial" w:hAnsi="Arial" w:cs="Arial"/>
        </w:rPr>
        <w:t>electric chillers</w:t>
      </w:r>
      <w:r>
        <w:rPr>
          <w:rFonts w:ascii="Arial" w:hAnsi="Arial" w:cs="Arial"/>
        </w:rPr>
        <w:t xml:space="preserve">, and grid electricity </w:t>
      </w:r>
      <w:r w:rsidR="005F3716" w:rsidRPr="00C95F62">
        <w:rPr>
          <w:rFonts w:ascii="Arial" w:hAnsi="Arial" w:cs="Arial"/>
        </w:rPr>
        <w:t>are the counterfactual. This is despite a reduction in heat and cooling sales prices of 25% - which was the criteria for further development support from the UK research agency Innovate UK. It should be noted that this assessment includes two major subsidies in the form of the Renewable Heat Incentive and the Heat Network Investment Programme. Without these the scheme would not be economic at these heat/cooling prices. These subsidies are, however, themselves in place to correct market distortions in the pricing of gas and electricity. Electricity faces £70 per MWh of levies which are almost exclusively made up of the costs of decarbonising electricity. Gas, on the other hand, faces almost no levies. The government has chosen to fund the RHI from general taxation in contrast to previous policy where all programmes have been funded through a utility level.</w:t>
      </w:r>
    </w:p>
    <w:p w14:paraId="30D5554D" w14:textId="77777777" w:rsidR="005F3716" w:rsidRPr="00C95F62" w:rsidRDefault="005F3716" w:rsidP="00C95F62">
      <w:pPr>
        <w:spacing w:line="276" w:lineRule="auto"/>
        <w:jc w:val="both"/>
        <w:rPr>
          <w:rFonts w:ascii="Arial" w:hAnsi="Arial" w:cs="Arial"/>
        </w:rPr>
      </w:pPr>
      <w:r w:rsidRPr="00C95F62">
        <w:rPr>
          <w:rFonts w:ascii="Arial" w:hAnsi="Arial" w:cs="Arial"/>
        </w:rPr>
        <w:t>One question that arises from the analysis is how to determine the correct level of storage to be built into the scheme. We have used current mechanisms and prices to assess this.</w:t>
      </w:r>
    </w:p>
    <w:p w14:paraId="2C5BDB81" w14:textId="7C4E9D92" w:rsidR="005F3716" w:rsidRPr="00C95F62" w:rsidRDefault="005F3716" w:rsidP="00FB6B71">
      <w:pPr>
        <w:spacing w:line="276" w:lineRule="auto"/>
        <w:jc w:val="both"/>
        <w:rPr>
          <w:rFonts w:ascii="Arial" w:hAnsi="Arial" w:cs="Arial"/>
          <w:b/>
        </w:rPr>
      </w:pPr>
      <w:r w:rsidRPr="00C95F62">
        <w:rPr>
          <w:rFonts w:ascii="Arial" w:hAnsi="Arial" w:cs="Arial"/>
        </w:rPr>
        <w:t>Since the assessment was conducted</w:t>
      </w:r>
      <w:r w:rsidR="000036A3">
        <w:rPr>
          <w:rFonts w:ascii="Arial" w:hAnsi="Arial" w:cs="Arial"/>
        </w:rPr>
        <w:t>,</w:t>
      </w:r>
      <w:r w:rsidRPr="00C95F62">
        <w:rPr>
          <w:rFonts w:ascii="Arial" w:hAnsi="Arial" w:cs="Arial"/>
        </w:rPr>
        <w:t xml:space="preserve"> Ofgem, the UK energy markets regulator, has announced its intention to overhaul the charging system for distribution and transmission charges. These are to be shifted from a variable kWh based charge to fixed kV</w:t>
      </w:r>
      <w:r w:rsidR="000036A3">
        <w:rPr>
          <w:rFonts w:ascii="Arial" w:hAnsi="Arial" w:cs="Arial"/>
        </w:rPr>
        <w:t>A</w:t>
      </w:r>
      <w:r w:rsidRPr="00C95F62">
        <w:rPr>
          <w:rFonts w:ascii="Arial" w:hAnsi="Arial" w:cs="Arial"/>
        </w:rPr>
        <w:t xml:space="preserve"> based charge. This move severely undermines the market for “flex”. In public statements Ofgem have stated that they are looking at how this might be addressed and have suggested that Distribution Network Operator</w:t>
      </w:r>
      <w:r w:rsidR="00FB6B71">
        <w:rPr>
          <w:rFonts w:ascii="Arial" w:hAnsi="Arial" w:cs="Arial"/>
        </w:rPr>
        <w:t xml:space="preserve"> (</w:t>
      </w:r>
      <w:r w:rsidRPr="00C95F62">
        <w:rPr>
          <w:rFonts w:ascii="Arial" w:hAnsi="Arial" w:cs="Arial"/>
        </w:rPr>
        <w:t>DNO</w:t>
      </w:r>
      <w:r w:rsidR="00FB6B71">
        <w:rPr>
          <w:rFonts w:ascii="Arial" w:hAnsi="Arial" w:cs="Arial"/>
        </w:rPr>
        <w:t>)</w:t>
      </w:r>
      <w:r w:rsidRPr="00C95F62">
        <w:rPr>
          <w:rFonts w:ascii="Arial" w:hAnsi="Arial" w:cs="Arial"/>
        </w:rPr>
        <w:t xml:space="preserve">, offerings will help redress the balance. These could be in the form of payments to turn down demand in peak periods to avoid the need for reinforcement. These are already being offered by DNOs across the UK. </w:t>
      </w:r>
      <w:r w:rsidR="00FB6B71" w:rsidRPr="00FB6B71">
        <w:rPr>
          <w:rFonts w:ascii="Arial" w:hAnsi="Arial" w:cs="Arial"/>
        </w:rPr>
        <w:t>The area of Islington in question is not yet an area where capacity is constrained and where the DNO is inviting bids. However, as electrification progresses the need for reinforcement and therefore the value of being able to provide services to avoid constraints is likely to grow.</w:t>
      </w:r>
    </w:p>
    <w:p w14:paraId="5B00B0AA" w14:textId="2EB12960" w:rsidR="005F3716" w:rsidRPr="00C95F62" w:rsidRDefault="00593DD1" w:rsidP="00C95F62">
      <w:pPr>
        <w:jc w:val="both"/>
        <w:rPr>
          <w:rFonts w:ascii="Arial" w:hAnsi="Arial" w:cs="Arial"/>
          <w:b/>
        </w:rPr>
      </w:pPr>
      <w:r w:rsidRPr="00C95F62">
        <w:rPr>
          <w:rFonts w:ascii="Arial" w:hAnsi="Arial" w:cs="Arial"/>
          <w:b/>
        </w:rPr>
        <w:lastRenderedPageBreak/>
        <w:t>3.5</w:t>
      </w:r>
      <w:r w:rsidR="00AF05B7" w:rsidRPr="00C95F62">
        <w:rPr>
          <w:rFonts w:ascii="Arial" w:hAnsi="Arial" w:cs="Arial"/>
          <w:b/>
        </w:rPr>
        <w:t xml:space="preserve"> </w:t>
      </w:r>
      <w:r w:rsidR="005F3716" w:rsidRPr="00C95F62">
        <w:rPr>
          <w:rFonts w:ascii="Arial" w:hAnsi="Arial" w:cs="Arial"/>
          <w:b/>
        </w:rPr>
        <w:t>Limitations of the model</w:t>
      </w:r>
      <w:r>
        <w:rPr>
          <w:rFonts w:ascii="Arial" w:hAnsi="Arial" w:cs="Arial"/>
          <w:b/>
        </w:rPr>
        <w:t>ling</w:t>
      </w:r>
    </w:p>
    <w:p w14:paraId="77467122" w14:textId="67ED44AE" w:rsidR="00FB6B71" w:rsidRPr="00C95F62" w:rsidRDefault="00FB6B71" w:rsidP="00FB6B71">
      <w:pPr>
        <w:spacing w:line="276" w:lineRule="auto"/>
        <w:jc w:val="both"/>
        <w:rPr>
          <w:rFonts w:ascii="Arial" w:hAnsi="Arial" w:cs="Arial"/>
        </w:rPr>
      </w:pPr>
      <w:r w:rsidRPr="00C95F62">
        <w:rPr>
          <w:rFonts w:ascii="Arial" w:hAnsi="Arial" w:cs="Arial"/>
        </w:rPr>
        <w:t xml:space="preserve">There are a number of limitations of the model which the authors plan to address in future work. Temperatures play a significant role in the efficiency of the system. The use of the analytic energyPRO method </w:t>
      </w:r>
      <w:r>
        <w:rPr>
          <w:rFonts w:ascii="Arial" w:hAnsi="Arial" w:cs="Arial"/>
        </w:rPr>
        <w:t xml:space="preserve">permits </w:t>
      </w:r>
      <w:r w:rsidRPr="00C95F62">
        <w:rPr>
          <w:rFonts w:ascii="Arial" w:hAnsi="Arial" w:cs="Arial"/>
        </w:rPr>
        <w:t xml:space="preserve">the effect of temperatures </w:t>
      </w:r>
      <w:r>
        <w:rPr>
          <w:rFonts w:ascii="Arial" w:hAnsi="Arial" w:cs="Arial"/>
        </w:rPr>
        <w:t>to</w:t>
      </w:r>
      <w:r w:rsidRPr="00C95F62">
        <w:rPr>
          <w:rFonts w:ascii="Arial" w:hAnsi="Arial" w:cs="Arial"/>
        </w:rPr>
        <w:t xml:space="preserve"> be modelled but only as a static input - or output. </w:t>
      </w:r>
      <w:r>
        <w:rPr>
          <w:rFonts w:ascii="Arial" w:hAnsi="Arial" w:cs="Arial"/>
        </w:rPr>
        <w:t>A</w:t>
      </w:r>
      <w:r w:rsidRPr="00C95F62">
        <w:rPr>
          <w:rFonts w:ascii="Arial" w:hAnsi="Arial" w:cs="Arial"/>
        </w:rPr>
        <w:t>n output dynamically generated in the model in one half</w:t>
      </w:r>
      <w:r>
        <w:rPr>
          <w:rFonts w:ascii="Arial" w:hAnsi="Arial" w:cs="Arial"/>
        </w:rPr>
        <w:t xml:space="preserve"> </w:t>
      </w:r>
      <w:r w:rsidRPr="00C95F62">
        <w:rPr>
          <w:rFonts w:ascii="Arial" w:hAnsi="Arial" w:cs="Arial"/>
        </w:rPr>
        <w:t xml:space="preserve">hour cannot be transferred </w:t>
      </w:r>
      <w:r>
        <w:rPr>
          <w:rFonts w:ascii="Arial" w:hAnsi="Arial" w:cs="Arial"/>
        </w:rPr>
        <w:t xml:space="preserve">and used </w:t>
      </w:r>
      <w:r w:rsidRPr="00C95F62">
        <w:rPr>
          <w:rFonts w:ascii="Arial" w:hAnsi="Arial" w:cs="Arial"/>
        </w:rPr>
        <w:t xml:space="preserve">as an input </w:t>
      </w:r>
      <w:r>
        <w:rPr>
          <w:rFonts w:ascii="Arial" w:hAnsi="Arial" w:cs="Arial"/>
        </w:rPr>
        <w:t>for</w:t>
      </w:r>
      <w:r w:rsidRPr="00C95F62">
        <w:rPr>
          <w:rFonts w:ascii="Arial" w:hAnsi="Arial" w:cs="Arial"/>
        </w:rPr>
        <w:t xml:space="preserve"> the next. This means that the optimisation of the loop temperatures has not yet been conducted – as would </w:t>
      </w:r>
      <w:r>
        <w:rPr>
          <w:rFonts w:ascii="Arial" w:hAnsi="Arial" w:cs="Arial"/>
        </w:rPr>
        <w:t xml:space="preserve">be </w:t>
      </w:r>
      <w:r w:rsidRPr="00C95F62">
        <w:rPr>
          <w:rFonts w:ascii="Arial" w:hAnsi="Arial" w:cs="Arial"/>
        </w:rPr>
        <w:t>require</w:t>
      </w:r>
      <w:r>
        <w:rPr>
          <w:rFonts w:ascii="Arial" w:hAnsi="Arial" w:cs="Arial"/>
        </w:rPr>
        <w:t xml:space="preserve">d to determine the </w:t>
      </w:r>
      <w:r w:rsidRPr="00C95F62">
        <w:rPr>
          <w:rFonts w:ascii="Arial" w:hAnsi="Arial" w:cs="Arial"/>
        </w:rPr>
        <w:t xml:space="preserve">temperatures </w:t>
      </w:r>
      <w:r>
        <w:rPr>
          <w:rFonts w:ascii="Arial" w:hAnsi="Arial" w:cs="Arial"/>
        </w:rPr>
        <w:t>that</w:t>
      </w:r>
      <w:r w:rsidRPr="00C95F62">
        <w:rPr>
          <w:rFonts w:ascii="Arial" w:hAnsi="Arial" w:cs="Arial"/>
        </w:rPr>
        <w:t xml:space="preserve"> the loop </w:t>
      </w:r>
      <w:r>
        <w:rPr>
          <w:rFonts w:ascii="Arial" w:hAnsi="Arial" w:cs="Arial"/>
        </w:rPr>
        <w:t xml:space="preserve">should </w:t>
      </w:r>
      <w:r w:rsidRPr="00C95F62">
        <w:rPr>
          <w:rFonts w:ascii="Arial" w:hAnsi="Arial" w:cs="Arial"/>
        </w:rPr>
        <w:t>be operated at to maximise the COP of heating and cooling units on the network</w:t>
      </w:r>
      <w:r>
        <w:rPr>
          <w:rFonts w:ascii="Arial" w:hAnsi="Arial" w:cs="Arial"/>
        </w:rPr>
        <w:t>.</w:t>
      </w:r>
      <w:r w:rsidRPr="00C95F62">
        <w:rPr>
          <w:rFonts w:ascii="Arial" w:hAnsi="Arial" w:cs="Arial"/>
        </w:rPr>
        <w:t xml:space="preserve"> </w:t>
      </w:r>
      <w:r>
        <w:rPr>
          <w:rFonts w:ascii="Arial" w:hAnsi="Arial" w:cs="Arial"/>
        </w:rPr>
        <w:t>Other questions to be addressed include whether</w:t>
      </w:r>
      <w:r w:rsidRPr="00C95F62">
        <w:rPr>
          <w:rFonts w:ascii="Arial" w:hAnsi="Arial" w:cs="Arial"/>
        </w:rPr>
        <w:t xml:space="preserve"> the temperature of the loop </w:t>
      </w:r>
      <w:r>
        <w:rPr>
          <w:rFonts w:ascii="Arial" w:hAnsi="Arial" w:cs="Arial"/>
        </w:rPr>
        <w:t xml:space="preserve">should </w:t>
      </w:r>
      <w:r w:rsidRPr="00C95F62">
        <w:rPr>
          <w:rFonts w:ascii="Arial" w:hAnsi="Arial" w:cs="Arial"/>
        </w:rPr>
        <w:t>be allowed to float</w:t>
      </w:r>
      <w:r>
        <w:rPr>
          <w:rFonts w:ascii="Arial" w:hAnsi="Arial" w:cs="Arial"/>
        </w:rPr>
        <w:t>.</w:t>
      </w:r>
      <w:r w:rsidRPr="00C95F62">
        <w:rPr>
          <w:rFonts w:ascii="Arial" w:hAnsi="Arial" w:cs="Arial"/>
        </w:rPr>
        <w:t xml:space="preserve"> An alternative solver based method has </w:t>
      </w:r>
      <w:r>
        <w:rPr>
          <w:rFonts w:ascii="Arial" w:hAnsi="Arial" w:cs="Arial"/>
        </w:rPr>
        <w:t>recently</w:t>
      </w:r>
      <w:r w:rsidRPr="00C95F62">
        <w:rPr>
          <w:rFonts w:ascii="Arial" w:hAnsi="Arial" w:cs="Arial"/>
        </w:rPr>
        <w:t xml:space="preserve"> been added to energyPRO. Utilising the solver, it should soon be possib</w:t>
      </w:r>
      <w:r>
        <w:rPr>
          <w:rFonts w:ascii="Arial" w:hAnsi="Arial" w:cs="Arial"/>
        </w:rPr>
        <w:t>le to overcome this limitation.</w:t>
      </w:r>
    </w:p>
    <w:p w14:paraId="646F0D5A" w14:textId="77777777" w:rsidR="00FB6B71" w:rsidRPr="00C95F62" w:rsidRDefault="00FB6B71" w:rsidP="00FB6B71">
      <w:pPr>
        <w:spacing w:line="276" w:lineRule="auto"/>
        <w:jc w:val="both"/>
        <w:rPr>
          <w:rFonts w:ascii="Arial" w:hAnsi="Arial" w:cs="Arial"/>
        </w:rPr>
      </w:pPr>
      <w:r w:rsidRPr="00C95F62">
        <w:rPr>
          <w:rFonts w:ascii="Arial" w:hAnsi="Arial" w:cs="Arial"/>
        </w:rPr>
        <w:t>A further limitation is that the behaviour of the aquifer has yet to be modelled – its possible behaviour was simply represented as two alternative scenario extremes: “limitless” – as if it were a flowing body of water like a river or “ATES” - as if it were a static lake. This is largely due to the uncertainty as to the behaviour of the London aquifer - but again partly due to the non-chronological analytical energyPRO method.</w:t>
      </w:r>
    </w:p>
    <w:p w14:paraId="15D9BB14" w14:textId="77985724" w:rsidR="004B6808" w:rsidRDefault="004B6808" w:rsidP="004B6808">
      <w:pPr>
        <w:pStyle w:val="ListParagraph"/>
        <w:numPr>
          <w:ilvl w:val="0"/>
          <w:numId w:val="1"/>
        </w:numPr>
        <w:jc w:val="both"/>
        <w:rPr>
          <w:rFonts w:ascii="Arial" w:hAnsi="Arial" w:cs="Arial"/>
          <w:b/>
        </w:rPr>
      </w:pPr>
      <w:r>
        <w:rPr>
          <w:rFonts w:ascii="Arial" w:hAnsi="Arial" w:cs="Arial"/>
          <w:b/>
        </w:rPr>
        <w:t>CONCLUSIONS</w:t>
      </w:r>
      <w:r w:rsidR="008B3F88">
        <w:rPr>
          <w:rFonts w:ascii="Arial" w:hAnsi="Arial" w:cs="Arial"/>
          <w:b/>
        </w:rPr>
        <w:t xml:space="preserve"> AND NEXT STEPS</w:t>
      </w:r>
    </w:p>
    <w:p w14:paraId="4A935040" w14:textId="33D17529" w:rsidR="00755601" w:rsidRPr="00A60F85" w:rsidRDefault="003E154D" w:rsidP="00A60F85">
      <w:pPr>
        <w:jc w:val="both"/>
        <w:rPr>
          <w:rFonts w:ascii="Arial" w:hAnsi="Arial" w:cs="Arial"/>
        </w:rPr>
      </w:pPr>
      <w:r w:rsidRPr="003E154D">
        <w:rPr>
          <w:rFonts w:ascii="Arial" w:hAnsi="Arial" w:cs="Arial"/>
        </w:rPr>
        <w:t xml:space="preserve">The </w:t>
      </w:r>
      <w:r w:rsidR="00FB6B71">
        <w:rPr>
          <w:rFonts w:ascii="Arial" w:hAnsi="Arial" w:cs="Arial"/>
        </w:rPr>
        <w:t xml:space="preserve">paper has introduced a novel concept a smart energy </w:t>
      </w:r>
      <w:r w:rsidR="00FB6B71" w:rsidRPr="003E154D">
        <w:rPr>
          <w:rFonts w:ascii="Arial" w:hAnsi="Arial" w:cs="Arial"/>
        </w:rPr>
        <w:t xml:space="preserve">system </w:t>
      </w:r>
      <w:r w:rsidR="00FB6B71">
        <w:rPr>
          <w:rFonts w:ascii="Arial" w:hAnsi="Arial" w:cs="Arial"/>
        </w:rPr>
        <w:t xml:space="preserve">that </w:t>
      </w:r>
      <w:r w:rsidR="00FB6B71" w:rsidRPr="003E154D">
        <w:rPr>
          <w:rFonts w:ascii="Arial" w:hAnsi="Arial" w:cs="Arial"/>
        </w:rPr>
        <w:t xml:space="preserve">is based around a </w:t>
      </w:r>
      <w:r w:rsidR="00FB6B71">
        <w:rPr>
          <w:rFonts w:ascii="Arial" w:hAnsi="Arial" w:cs="Arial"/>
        </w:rPr>
        <w:t>5</w:t>
      </w:r>
      <w:r w:rsidR="00FB6B71" w:rsidRPr="00A60F85">
        <w:rPr>
          <w:rFonts w:ascii="Arial" w:hAnsi="Arial" w:cs="Arial"/>
          <w:vertAlign w:val="superscript"/>
        </w:rPr>
        <w:t>th</w:t>
      </w:r>
      <w:r w:rsidR="00FB6B71">
        <w:rPr>
          <w:rFonts w:ascii="Arial" w:hAnsi="Arial" w:cs="Arial"/>
        </w:rPr>
        <w:t xml:space="preserve"> generation (5G)</w:t>
      </w:r>
      <w:r w:rsidR="00FB6B71" w:rsidRPr="003E154D">
        <w:rPr>
          <w:rFonts w:ascii="Arial" w:hAnsi="Arial" w:cs="Arial"/>
        </w:rPr>
        <w:t xml:space="preserve"> ambient-temp</w:t>
      </w:r>
      <w:r w:rsidR="00FB6B71">
        <w:rPr>
          <w:rFonts w:ascii="Arial" w:hAnsi="Arial" w:cs="Arial"/>
        </w:rPr>
        <w:t xml:space="preserve">erature loop, integrating thermal, power </w:t>
      </w:r>
      <w:r w:rsidR="00FB6B71" w:rsidRPr="003E154D">
        <w:rPr>
          <w:rFonts w:ascii="Arial" w:hAnsi="Arial" w:cs="Arial"/>
        </w:rPr>
        <w:t xml:space="preserve">and </w:t>
      </w:r>
      <w:r w:rsidR="00FB6B71">
        <w:rPr>
          <w:rFonts w:ascii="Arial" w:hAnsi="Arial" w:cs="Arial"/>
        </w:rPr>
        <w:t>mobility energy vectors. The paper highlighted that energy system integration</w:t>
      </w:r>
      <w:r w:rsidR="00FB6B71" w:rsidRPr="003E154D">
        <w:rPr>
          <w:rFonts w:ascii="Arial" w:hAnsi="Arial" w:cs="Arial"/>
        </w:rPr>
        <w:t xml:space="preserve"> </w:t>
      </w:r>
      <w:r w:rsidR="00FB6B71">
        <w:rPr>
          <w:rFonts w:ascii="Arial" w:hAnsi="Arial" w:cs="Arial"/>
        </w:rPr>
        <w:t xml:space="preserve">with an ambient loop network </w:t>
      </w:r>
      <w:r w:rsidR="00FB6B71" w:rsidRPr="003E154D">
        <w:rPr>
          <w:rFonts w:ascii="Arial" w:hAnsi="Arial" w:cs="Arial"/>
        </w:rPr>
        <w:t xml:space="preserve">offers </w:t>
      </w:r>
      <w:r w:rsidR="00FB6B71">
        <w:rPr>
          <w:rFonts w:ascii="Arial" w:hAnsi="Arial" w:cs="Arial"/>
        </w:rPr>
        <w:t xml:space="preserve">significant advantages compared to higher temperature </w:t>
      </w:r>
      <w:r w:rsidR="00FB6B71" w:rsidRPr="003E154D">
        <w:rPr>
          <w:rFonts w:ascii="Arial" w:hAnsi="Arial" w:cs="Arial"/>
        </w:rPr>
        <w:t>networks, including exploitation of a wid</w:t>
      </w:r>
      <w:r w:rsidR="00FB6B71">
        <w:rPr>
          <w:rFonts w:ascii="Arial" w:hAnsi="Arial" w:cs="Arial"/>
        </w:rPr>
        <w:t xml:space="preserve">er range of waste-heat sources, </w:t>
      </w:r>
      <w:r w:rsidR="00FB6B71" w:rsidRPr="003E154D">
        <w:rPr>
          <w:rFonts w:ascii="Arial" w:hAnsi="Arial" w:cs="Arial"/>
        </w:rPr>
        <w:t>sharing of heating and cooling between building</w:t>
      </w:r>
      <w:r w:rsidR="00FB6B71">
        <w:rPr>
          <w:rFonts w:ascii="Arial" w:hAnsi="Arial" w:cs="Arial"/>
        </w:rPr>
        <w:t>s, and flexible access to renewable energy</w:t>
      </w:r>
      <w:r w:rsidR="00FB6B71" w:rsidRPr="003E154D">
        <w:rPr>
          <w:rFonts w:ascii="Arial" w:hAnsi="Arial" w:cs="Arial"/>
        </w:rPr>
        <w:t xml:space="preserve"> through storage and </w:t>
      </w:r>
      <w:r w:rsidR="00FB6B71">
        <w:rPr>
          <w:rFonts w:ascii="Arial" w:hAnsi="Arial" w:cs="Arial"/>
        </w:rPr>
        <w:t>smart</w:t>
      </w:r>
      <w:r w:rsidR="00FB6B71" w:rsidRPr="003E154D">
        <w:rPr>
          <w:rFonts w:ascii="Arial" w:hAnsi="Arial" w:cs="Arial"/>
        </w:rPr>
        <w:t xml:space="preserve"> controls.</w:t>
      </w:r>
      <w:r w:rsidR="00FB6B71">
        <w:rPr>
          <w:rFonts w:ascii="Arial" w:hAnsi="Arial" w:cs="Arial"/>
        </w:rPr>
        <w:t xml:space="preserve"> However, there have not been design methodologies introduced to date for such complex integrated energy systems. This paper introduced a novel methodology for implementing a </w:t>
      </w:r>
      <w:r w:rsidR="00FB6B71" w:rsidRPr="00ED1AEF">
        <w:rPr>
          <w:rFonts w:ascii="Arial" w:hAnsi="Arial" w:cs="Arial"/>
        </w:rPr>
        <w:t>low-carbon integrated whole energy system</w:t>
      </w:r>
      <w:r w:rsidR="00FB6B71">
        <w:rPr>
          <w:rFonts w:ascii="Arial" w:hAnsi="Arial" w:cs="Arial"/>
        </w:rPr>
        <w:t>. The methodology has been introduced by a concept design based on a dense urban area, in the London Borough of Islington (LBI). Although the paper used LBI as a case study, the approach could be implemented anywhere around the world. The paper also presented results from techno economic modelling of the proposed 5G schemes. The modelling</w:t>
      </w:r>
      <w:r w:rsidR="00FB6B71" w:rsidRPr="00A60F85">
        <w:rPr>
          <w:rFonts w:ascii="Arial" w:hAnsi="Arial" w:cs="Arial"/>
        </w:rPr>
        <w:t xml:space="preserve"> has shown that the </w:t>
      </w:r>
      <w:r w:rsidR="00FB6B71">
        <w:rPr>
          <w:rFonts w:ascii="Arial" w:hAnsi="Arial" w:cs="Arial"/>
        </w:rPr>
        <w:t>novel</w:t>
      </w:r>
      <w:r w:rsidR="00FB6B71" w:rsidRPr="00A60F85">
        <w:rPr>
          <w:rFonts w:ascii="Arial" w:hAnsi="Arial" w:cs="Arial"/>
        </w:rPr>
        <w:t xml:space="preserve"> 5G concept can be </w:t>
      </w:r>
      <w:r w:rsidR="00FB6B71">
        <w:rPr>
          <w:rFonts w:ascii="Arial" w:hAnsi="Arial" w:cs="Arial"/>
        </w:rPr>
        <w:t xml:space="preserve">both </w:t>
      </w:r>
      <w:r w:rsidR="00FB6B71" w:rsidRPr="00A60F85">
        <w:rPr>
          <w:rFonts w:ascii="Arial" w:hAnsi="Arial" w:cs="Arial"/>
        </w:rPr>
        <w:t xml:space="preserve">economic and carbonomic, giving affordable heating, cooling, and EV charging. </w:t>
      </w:r>
      <w:r w:rsidR="00FB6B71">
        <w:rPr>
          <w:rFonts w:ascii="Arial" w:hAnsi="Arial" w:cs="Arial"/>
        </w:rPr>
        <w:t xml:space="preserve">It was shown that </w:t>
      </w:r>
      <w:r w:rsidR="00FB6B71" w:rsidRPr="00D24273">
        <w:rPr>
          <w:rFonts w:ascii="Arial" w:hAnsi="Arial" w:cs="Arial"/>
        </w:rPr>
        <w:t xml:space="preserve">significant carbon savings </w:t>
      </w:r>
      <w:r w:rsidR="00FB6B71">
        <w:rPr>
          <w:rFonts w:ascii="Arial" w:hAnsi="Arial" w:cs="Arial"/>
        </w:rPr>
        <w:t xml:space="preserve">can be achieved if the 5G concept is implemented </w:t>
      </w:r>
      <w:r w:rsidR="00FB6B71" w:rsidRPr="00D24273">
        <w:rPr>
          <w:rFonts w:ascii="Arial" w:hAnsi="Arial" w:cs="Arial"/>
        </w:rPr>
        <w:t xml:space="preserve">with around 80% reduction </w:t>
      </w:r>
      <w:r w:rsidR="00FB6B71">
        <w:rPr>
          <w:rFonts w:ascii="Arial" w:hAnsi="Arial" w:cs="Arial"/>
        </w:rPr>
        <w:t xml:space="preserve">in carbon emissions </w:t>
      </w:r>
      <w:r w:rsidR="00FB6B71" w:rsidRPr="00D24273">
        <w:rPr>
          <w:rFonts w:ascii="Arial" w:hAnsi="Arial" w:cs="Arial"/>
        </w:rPr>
        <w:t xml:space="preserve">over the base case. </w:t>
      </w:r>
      <w:r w:rsidR="00FB6B71">
        <w:rPr>
          <w:rFonts w:ascii="Arial" w:hAnsi="Arial" w:cs="Arial"/>
        </w:rPr>
        <w:t xml:space="preserve">However, future predicted carbon savings are even higher </w:t>
      </w:r>
      <w:r w:rsidR="00FB6B71" w:rsidRPr="00D24273">
        <w:rPr>
          <w:rFonts w:ascii="Arial" w:hAnsi="Arial" w:cs="Arial"/>
        </w:rPr>
        <w:t xml:space="preserve">as the </w:t>
      </w:r>
      <w:r w:rsidR="00FB6B71">
        <w:rPr>
          <w:rFonts w:ascii="Arial" w:hAnsi="Arial" w:cs="Arial"/>
        </w:rPr>
        <w:t>electricity grid decarbonises</w:t>
      </w:r>
      <w:r w:rsidR="00FB6B71" w:rsidRPr="00D24273">
        <w:rPr>
          <w:rFonts w:ascii="Arial" w:hAnsi="Arial" w:cs="Arial"/>
        </w:rPr>
        <w:t xml:space="preserve"> further</w:t>
      </w:r>
      <w:r w:rsidR="00FB6B71">
        <w:rPr>
          <w:rFonts w:ascii="Arial" w:hAnsi="Arial" w:cs="Arial"/>
        </w:rPr>
        <w:t xml:space="preserve"> in many countries across the world</w:t>
      </w:r>
      <w:r w:rsidR="00FB6B71" w:rsidRPr="00D24273">
        <w:rPr>
          <w:rFonts w:ascii="Arial" w:hAnsi="Arial" w:cs="Arial"/>
        </w:rPr>
        <w:t>.</w:t>
      </w:r>
      <w:r w:rsidR="00FB6B71">
        <w:rPr>
          <w:rFonts w:ascii="Arial" w:hAnsi="Arial" w:cs="Arial"/>
        </w:rPr>
        <w:t xml:space="preserve"> In addition, the integrated 5G</w:t>
      </w:r>
      <w:r w:rsidR="00FB6B71" w:rsidRPr="00A60F85">
        <w:rPr>
          <w:rFonts w:ascii="Arial" w:hAnsi="Arial" w:cs="Arial"/>
        </w:rPr>
        <w:t xml:space="preserve"> approach </w:t>
      </w:r>
      <w:r w:rsidR="00FB6B71">
        <w:rPr>
          <w:rFonts w:ascii="Arial" w:hAnsi="Arial" w:cs="Arial"/>
        </w:rPr>
        <w:t xml:space="preserve">introduced in this paper also </w:t>
      </w:r>
      <w:r w:rsidR="00FB6B71" w:rsidRPr="00A60F85">
        <w:rPr>
          <w:rFonts w:ascii="Arial" w:hAnsi="Arial" w:cs="Arial"/>
        </w:rPr>
        <w:t>encourage</w:t>
      </w:r>
      <w:r w:rsidR="00FB6B71">
        <w:rPr>
          <w:rFonts w:ascii="Arial" w:hAnsi="Arial" w:cs="Arial"/>
        </w:rPr>
        <w:t>s</w:t>
      </w:r>
      <w:r w:rsidR="00FB6B71" w:rsidRPr="00A60F85">
        <w:rPr>
          <w:rFonts w:ascii="Arial" w:hAnsi="Arial" w:cs="Arial"/>
        </w:rPr>
        <w:t xml:space="preserve"> </w:t>
      </w:r>
      <w:r w:rsidR="00FB6B71">
        <w:rPr>
          <w:rFonts w:ascii="Arial" w:hAnsi="Arial" w:cs="Arial"/>
        </w:rPr>
        <w:t xml:space="preserve">the use of </w:t>
      </w:r>
      <w:r w:rsidR="00FB6B71" w:rsidRPr="00A60F85">
        <w:rPr>
          <w:rFonts w:ascii="Arial" w:hAnsi="Arial" w:cs="Arial"/>
        </w:rPr>
        <w:t>EV’s and V2G charging</w:t>
      </w:r>
      <w:r w:rsidR="00FB6B71">
        <w:rPr>
          <w:rFonts w:ascii="Arial" w:hAnsi="Arial" w:cs="Arial"/>
        </w:rPr>
        <w:t xml:space="preserve"> technologies,</w:t>
      </w:r>
      <w:r w:rsidR="00FB6B71" w:rsidRPr="00A60F85">
        <w:rPr>
          <w:rFonts w:ascii="Arial" w:hAnsi="Arial" w:cs="Arial"/>
        </w:rPr>
        <w:t xml:space="preserve"> resulting in improved air quality</w:t>
      </w:r>
      <w:r w:rsidR="00FB6B71">
        <w:rPr>
          <w:rFonts w:ascii="Arial" w:hAnsi="Arial" w:cs="Arial"/>
        </w:rPr>
        <w:t xml:space="preserve"> in the network localities</w:t>
      </w:r>
      <w:r w:rsidR="00FB6B71" w:rsidRPr="00A60F85">
        <w:rPr>
          <w:rFonts w:ascii="Arial" w:hAnsi="Arial" w:cs="Arial"/>
        </w:rPr>
        <w:t xml:space="preserve">. </w:t>
      </w:r>
      <w:r w:rsidR="00FB6B71">
        <w:rPr>
          <w:rFonts w:ascii="Arial" w:hAnsi="Arial" w:cs="Arial"/>
        </w:rPr>
        <w:t xml:space="preserve">Overall, the results of this paper have shown that the </w:t>
      </w:r>
      <w:r w:rsidR="00FB6B71" w:rsidRPr="00A60F85">
        <w:rPr>
          <w:rFonts w:ascii="Arial" w:hAnsi="Arial" w:cs="Arial"/>
        </w:rPr>
        <w:t xml:space="preserve">5G </w:t>
      </w:r>
      <w:r w:rsidR="00FB6B71">
        <w:rPr>
          <w:rFonts w:ascii="Arial" w:hAnsi="Arial" w:cs="Arial"/>
        </w:rPr>
        <w:t xml:space="preserve">concept is practical, </w:t>
      </w:r>
      <w:r w:rsidR="00FB6B71" w:rsidRPr="00A60F85">
        <w:rPr>
          <w:rFonts w:ascii="Arial" w:hAnsi="Arial" w:cs="Arial"/>
        </w:rPr>
        <w:t xml:space="preserve">buildable and </w:t>
      </w:r>
      <w:r w:rsidR="00FB6B71">
        <w:rPr>
          <w:rFonts w:ascii="Arial" w:hAnsi="Arial" w:cs="Arial"/>
        </w:rPr>
        <w:t xml:space="preserve">highly </w:t>
      </w:r>
      <w:r w:rsidR="00FB6B71" w:rsidRPr="00A60F85">
        <w:rPr>
          <w:rFonts w:ascii="Arial" w:hAnsi="Arial" w:cs="Arial"/>
        </w:rPr>
        <w:t>investable. 5G Smart energy networks can provide a community based approach to energy solutions</w:t>
      </w:r>
      <w:r w:rsidR="00FB6B71">
        <w:rPr>
          <w:rFonts w:ascii="Arial" w:hAnsi="Arial" w:cs="Arial"/>
        </w:rPr>
        <w:t xml:space="preserve"> around the globe</w:t>
      </w:r>
      <w:r w:rsidR="00FB6B71" w:rsidRPr="00A60F85">
        <w:rPr>
          <w:rFonts w:ascii="Arial" w:hAnsi="Arial" w:cs="Arial"/>
        </w:rPr>
        <w:t xml:space="preserve"> and is in tune with climate change awareness/expectations.</w:t>
      </w:r>
      <w:r w:rsidR="00FB6B71">
        <w:rPr>
          <w:rFonts w:ascii="Arial" w:hAnsi="Arial" w:cs="Arial"/>
        </w:rPr>
        <w:t xml:space="preserve"> </w:t>
      </w:r>
      <w:r w:rsidR="00FB6B71" w:rsidRPr="008D5B21">
        <w:rPr>
          <w:rFonts w:ascii="Arial" w:hAnsi="Arial" w:cs="Arial"/>
        </w:rPr>
        <w:t xml:space="preserve">The </w:t>
      </w:r>
      <w:r w:rsidR="00FB6B71">
        <w:rPr>
          <w:rFonts w:ascii="Arial" w:hAnsi="Arial" w:cs="Arial"/>
        </w:rPr>
        <w:t>next phase of the research will deliver a</w:t>
      </w:r>
      <w:r w:rsidR="00FB6B71" w:rsidRPr="00A60F85">
        <w:rPr>
          <w:rFonts w:ascii="Arial" w:hAnsi="Arial" w:cs="Arial"/>
        </w:rPr>
        <w:t xml:space="preserve"> detailed design study for an integrated, sm</w:t>
      </w:r>
      <w:r w:rsidR="00FB6B71">
        <w:rPr>
          <w:rFonts w:ascii="Arial" w:hAnsi="Arial" w:cs="Arial"/>
        </w:rPr>
        <w:t xml:space="preserve">art, local energy network </w:t>
      </w:r>
      <w:r w:rsidR="00FB6B71" w:rsidRPr="00A60F85">
        <w:rPr>
          <w:rFonts w:ascii="Arial" w:hAnsi="Arial" w:cs="Arial"/>
        </w:rPr>
        <w:t>for a large community</w:t>
      </w:r>
      <w:r w:rsidR="00FB6B71">
        <w:rPr>
          <w:rFonts w:ascii="Arial" w:hAnsi="Arial" w:cs="Arial"/>
        </w:rPr>
        <w:t xml:space="preserve"> in the London Borough of Islington</w:t>
      </w:r>
      <w:r w:rsidR="00FB6B71" w:rsidRPr="00A60F85">
        <w:rPr>
          <w:rFonts w:ascii="Arial" w:hAnsi="Arial" w:cs="Arial"/>
        </w:rPr>
        <w:t xml:space="preserve">, and a clear path to demonstrate the design and replicate it in the UK and </w:t>
      </w:r>
      <w:r w:rsidRPr="00A60F85">
        <w:rPr>
          <w:rFonts w:ascii="Arial" w:hAnsi="Arial" w:cs="Arial"/>
        </w:rPr>
        <w:t>globally.</w:t>
      </w:r>
      <w:r>
        <w:rPr>
          <w:rFonts w:ascii="Arial" w:hAnsi="Arial" w:cs="Arial"/>
        </w:rPr>
        <w:t xml:space="preserve"> </w:t>
      </w:r>
    </w:p>
    <w:p w14:paraId="14419B50" w14:textId="50EA2416" w:rsidR="00ED1A1D" w:rsidRDefault="00ED1A1D" w:rsidP="00CA18B4">
      <w:pPr>
        <w:jc w:val="both"/>
        <w:rPr>
          <w:rFonts w:ascii="Arial" w:hAnsi="Arial" w:cs="Arial"/>
          <w:b/>
        </w:rPr>
      </w:pPr>
      <w:r>
        <w:rPr>
          <w:rFonts w:ascii="Arial" w:hAnsi="Arial" w:cs="Arial"/>
          <w:b/>
        </w:rPr>
        <w:t>ACKNOWLEDGEMENT</w:t>
      </w:r>
    </w:p>
    <w:p w14:paraId="0A741A92" w14:textId="7B0FE728" w:rsidR="00EE7FC3" w:rsidRDefault="00ED1A1D" w:rsidP="00CA18B4">
      <w:pPr>
        <w:jc w:val="both"/>
        <w:rPr>
          <w:rFonts w:ascii="Arial" w:hAnsi="Arial" w:cs="Arial"/>
          <w:b/>
        </w:rPr>
      </w:pPr>
      <w:r w:rsidRPr="00ED1A1D">
        <w:rPr>
          <w:rFonts w:ascii="Arial" w:hAnsi="Arial" w:cs="Arial"/>
        </w:rPr>
        <w:t xml:space="preserve">Project GreenSCIES is being funded by InnovateUK, with significant support from all project partners and from </w:t>
      </w:r>
      <w:r w:rsidR="00E727EA">
        <w:rPr>
          <w:rFonts w:ascii="Arial" w:hAnsi="Arial" w:cs="Arial"/>
        </w:rPr>
        <w:t xml:space="preserve">EPSRC (Engineering Physical Sciences Research Council) via the </w:t>
      </w:r>
      <w:r w:rsidRPr="00ED1A1D">
        <w:rPr>
          <w:rFonts w:ascii="Arial" w:hAnsi="Arial" w:cs="Arial"/>
        </w:rPr>
        <w:t xml:space="preserve">Lot-NET </w:t>
      </w:r>
      <w:r w:rsidRPr="00ED1A1D">
        <w:rPr>
          <w:rFonts w:ascii="Arial" w:hAnsi="Arial" w:cs="Arial"/>
        </w:rPr>
        <w:lastRenderedPageBreak/>
        <w:t>(Low Temperature Heat Recovery and Distribution Network Technologies)</w:t>
      </w:r>
      <w:r w:rsidR="00E727EA">
        <w:rPr>
          <w:rFonts w:ascii="Arial" w:hAnsi="Arial" w:cs="Arial"/>
        </w:rPr>
        <w:t xml:space="preserve"> programme grant</w:t>
      </w:r>
      <w:r w:rsidRPr="00ED1A1D">
        <w:rPr>
          <w:rFonts w:ascii="Arial" w:hAnsi="Arial" w:cs="Arial"/>
        </w:rPr>
        <w:t xml:space="preserve"> in the UK.</w:t>
      </w:r>
    </w:p>
    <w:p w14:paraId="7618FD16" w14:textId="37769FF5" w:rsidR="003E40C8" w:rsidRPr="00CB11A0" w:rsidRDefault="006D0EBF" w:rsidP="00CA18B4">
      <w:pPr>
        <w:jc w:val="both"/>
        <w:rPr>
          <w:rFonts w:ascii="Arial" w:hAnsi="Arial" w:cs="Arial"/>
          <w:b/>
        </w:rPr>
      </w:pPr>
      <w:r w:rsidRPr="00CB11A0">
        <w:rPr>
          <w:rFonts w:ascii="Arial" w:hAnsi="Arial" w:cs="Arial"/>
          <w:b/>
        </w:rPr>
        <w:t>REFERENCES</w:t>
      </w:r>
    </w:p>
    <w:p w14:paraId="4FD01973" w14:textId="77777777" w:rsidR="00FB6B71" w:rsidRPr="00FB6B71" w:rsidRDefault="00FB6B71" w:rsidP="00FB6B71">
      <w:pPr>
        <w:spacing w:line="240" w:lineRule="auto"/>
        <w:rPr>
          <w:rFonts w:ascii="Arial" w:hAnsi="Arial" w:cs="Arial"/>
        </w:rPr>
      </w:pPr>
      <w:r w:rsidRPr="00FB6B71">
        <w:rPr>
          <w:rFonts w:ascii="Arial" w:hAnsi="Arial" w:cs="Arial"/>
        </w:rPr>
        <w:fldChar w:fldCharType="begin"/>
      </w:r>
      <w:r w:rsidRPr="00FB6B71">
        <w:rPr>
          <w:rFonts w:ascii="Arial" w:hAnsi="Arial" w:cs="Arial"/>
        </w:rPr>
        <w:instrText xml:space="preserve"> ADDIN ZOTERO_BIBL {"uncited":[],"omitted":[],"custom":[]} CSL_BIBLIOGRAPHY </w:instrText>
      </w:r>
      <w:r w:rsidRPr="00FB6B71">
        <w:rPr>
          <w:rFonts w:ascii="Arial" w:hAnsi="Arial" w:cs="Arial"/>
        </w:rPr>
        <w:fldChar w:fldCharType="separate"/>
      </w:r>
      <w:r w:rsidRPr="00FB6B71">
        <w:rPr>
          <w:rFonts w:ascii="Arial" w:hAnsi="Arial" w:cs="Arial"/>
        </w:rPr>
        <w:t xml:space="preserve">Andersen, A. N. and Østergaard, P. A. (2019) Analytic versus solver-based calculated daily operations of district energy plants, </w:t>
      </w:r>
      <w:r w:rsidRPr="00FB6B71">
        <w:rPr>
          <w:rFonts w:ascii="Arial" w:hAnsi="Arial" w:cs="Arial"/>
          <w:i/>
          <w:iCs/>
        </w:rPr>
        <w:t>Energy</w:t>
      </w:r>
      <w:r w:rsidRPr="00FB6B71">
        <w:rPr>
          <w:rFonts w:ascii="Arial" w:hAnsi="Arial" w:cs="Arial"/>
        </w:rPr>
        <w:t>, 175, pp. 333–344. DOI:10.1016/j.energy.2019.03.096.</w:t>
      </w:r>
    </w:p>
    <w:p w14:paraId="192B3697" w14:textId="61DA6C1E" w:rsidR="005D3687" w:rsidRPr="003B4E27" w:rsidRDefault="00FB6B71" w:rsidP="003B4E27">
      <w:pPr>
        <w:pStyle w:val="Bibliography"/>
        <w:spacing w:line="240" w:lineRule="auto"/>
        <w:rPr>
          <w:rFonts w:ascii="Arial" w:hAnsi="Arial" w:cs="Arial"/>
        </w:rPr>
      </w:pPr>
      <w:r w:rsidRPr="00FB6B71">
        <w:rPr>
          <w:rFonts w:ascii="Arial" w:hAnsi="Arial" w:cs="Arial"/>
        </w:rPr>
        <w:fldChar w:fldCharType="end"/>
      </w:r>
      <w:r w:rsidR="003E40C8" w:rsidRPr="00B40DB1">
        <w:rPr>
          <w:rFonts w:ascii="Arial" w:hAnsi="Arial" w:cs="Arial"/>
        </w:rPr>
        <w:fldChar w:fldCharType="begin"/>
      </w:r>
      <w:r w:rsidR="003E40C8" w:rsidRPr="00B40DB1">
        <w:rPr>
          <w:rFonts w:ascii="Arial" w:hAnsi="Arial" w:cs="Arial"/>
        </w:rPr>
        <w:instrText xml:space="preserve"> ADDIN ZOTERO_BIBL {"uncited":[],"omitted":[],"custom":[]} CSL_BIBLIOGRAPHY </w:instrText>
      </w:r>
      <w:r w:rsidR="003E40C8" w:rsidRPr="00B40DB1">
        <w:rPr>
          <w:rFonts w:ascii="Arial" w:hAnsi="Arial" w:cs="Arial"/>
        </w:rPr>
        <w:fldChar w:fldCharType="separate"/>
      </w:r>
      <w:r w:rsidR="005D3687" w:rsidRPr="003B4E27">
        <w:rPr>
          <w:rFonts w:ascii="Arial" w:hAnsi="Arial" w:cs="Arial"/>
        </w:rPr>
        <w:t xml:space="preserve">Aziz, A. S., Tajuddin, M. F. N., Adzman, M. R., Mohammed, M. F. and Ramli, M. A. M. (2020) Feasibility analysis of grid-connected and islanded operation of a solar PV microgrid system: A case study of Iraq, </w:t>
      </w:r>
      <w:r w:rsidR="005D3687" w:rsidRPr="003B4E27">
        <w:rPr>
          <w:rFonts w:ascii="Arial" w:hAnsi="Arial" w:cs="Arial"/>
          <w:i/>
          <w:iCs/>
        </w:rPr>
        <w:t>Energy</w:t>
      </w:r>
      <w:r w:rsidR="005D3687" w:rsidRPr="003B4E27">
        <w:rPr>
          <w:rFonts w:ascii="Arial" w:hAnsi="Arial" w:cs="Arial"/>
        </w:rPr>
        <w:t>, 191, pp. 116591. DOI:10.1016/j.energy.2019.116591.</w:t>
      </w:r>
    </w:p>
    <w:p w14:paraId="29DA066A" w14:textId="77777777" w:rsidR="005D3687" w:rsidRPr="003B4E27" w:rsidRDefault="005D3687" w:rsidP="003B4E27">
      <w:pPr>
        <w:pStyle w:val="Bibliography"/>
        <w:spacing w:line="240" w:lineRule="auto"/>
        <w:rPr>
          <w:rFonts w:ascii="Arial" w:hAnsi="Arial" w:cs="Arial"/>
        </w:rPr>
      </w:pPr>
      <w:r w:rsidRPr="003B4E27">
        <w:rPr>
          <w:rFonts w:ascii="Arial" w:hAnsi="Arial" w:cs="Arial"/>
        </w:rPr>
        <w:t xml:space="preserve">Ballo, I. F. (2015) Imagining energy futures: Sociotechnical imaginaries of the future Smart Grid in Norway, </w:t>
      </w:r>
      <w:r w:rsidRPr="003B4E27">
        <w:rPr>
          <w:rFonts w:ascii="Arial" w:hAnsi="Arial" w:cs="Arial"/>
          <w:i/>
          <w:iCs/>
        </w:rPr>
        <w:t>Energy Research &amp; Social Science</w:t>
      </w:r>
      <w:r w:rsidRPr="003B4E27">
        <w:rPr>
          <w:rFonts w:ascii="Arial" w:hAnsi="Arial" w:cs="Arial"/>
        </w:rPr>
        <w:t>, 9, pp. 9–20.</w:t>
      </w:r>
    </w:p>
    <w:p w14:paraId="2C34D5E5" w14:textId="05888548" w:rsidR="005D3687" w:rsidRPr="003B4E27" w:rsidRDefault="005D3687" w:rsidP="003B4E27">
      <w:pPr>
        <w:pStyle w:val="Bibliography"/>
        <w:spacing w:line="240" w:lineRule="auto"/>
        <w:rPr>
          <w:rFonts w:ascii="Arial" w:hAnsi="Arial" w:cs="Arial"/>
        </w:rPr>
      </w:pPr>
      <w:r w:rsidRPr="003B4E27">
        <w:rPr>
          <w:rFonts w:ascii="Arial" w:hAnsi="Arial" w:cs="Arial"/>
        </w:rPr>
        <w:t xml:space="preserve">BBC (2020) Ban on petrol and diesel car sales brought forward, </w:t>
      </w:r>
      <w:r w:rsidRPr="003B4E27">
        <w:rPr>
          <w:rFonts w:ascii="Arial" w:hAnsi="Arial" w:cs="Arial"/>
          <w:i/>
          <w:iCs/>
        </w:rPr>
        <w:t>BBC News</w:t>
      </w:r>
      <w:r w:rsidR="006111EA">
        <w:rPr>
          <w:rFonts w:ascii="Arial" w:hAnsi="Arial" w:cs="Arial"/>
        </w:rPr>
        <w:t>. Available from:</w:t>
      </w:r>
      <w:r w:rsidR="006111EA" w:rsidRPr="006111EA">
        <w:t xml:space="preserve"> </w:t>
      </w:r>
      <w:r w:rsidR="006111EA" w:rsidRPr="006111EA">
        <w:rPr>
          <w:rFonts w:ascii="Arial" w:hAnsi="Arial" w:cs="Arial"/>
        </w:rPr>
        <w:t>https://www.bbc.co.uk/news/science-environment-51366123</w:t>
      </w:r>
      <w:r w:rsidR="006111EA">
        <w:rPr>
          <w:rFonts w:ascii="Arial" w:hAnsi="Arial" w:cs="Arial"/>
        </w:rPr>
        <w:t xml:space="preserve"> [Accessed 14 February 2020].</w:t>
      </w:r>
    </w:p>
    <w:p w14:paraId="01FE6D50" w14:textId="77777777" w:rsidR="005D3687" w:rsidRPr="003B4E27" w:rsidRDefault="005D3687" w:rsidP="003B4E27">
      <w:pPr>
        <w:pStyle w:val="Bibliography"/>
        <w:spacing w:line="240" w:lineRule="auto"/>
        <w:rPr>
          <w:rFonts w:ascii="Arial" w:hAnsi="Arial" w:cs="Arial"/>
        </w:rPr>
      </w:pPr>
      <w:r w:rsidRPr="003B4E27">
        <w:rPr>
          <w:rFonts w:ascii="Arial" w:hAnsi="Arial" w:cs="Arial"/>
        </w:rPr>
        <w:t>BEIS (2018) Clean Growth - Transforming Heating - Overview of Current Evidence, pp. 136.</w:t>
      </w:r>
    </w:p>
    <w:p w14:paraId="18B4559B" w14:textId="46606F7A" w:rsidR="005D3687" w:rsidRPr="003B4E27" w:rsidRDefault="005D3687" w:rsidP="003B4E27">
      <w:pPr>
        <w:pStyle w:val="Bibliography"/>
        <w:spacing w:line="240" w:lineRule="auto"/>
        <w:rPr>
          <w:rFonts w:ascii="Arial" w:hAnsi="Arial" w:cs="Arial"/>
        </w:rPr>
      </w:pPr>
      <w:r w:rsidRPr="003B4E27">
        <w:rPr>
          <w:rFonts w:ascii="Arial" w:hAnsi="Arial" w:cs="Arial"/>
        </w:rPr>
        <w:t>BEIS (2019) 2018 UK G</w:t>
      </w:r>
      <w:r w:rsidR="006111EA" w:rsidRPr="003B4E27">
        <w:rPr>
          <w:rFonts w:ascii="Arial" w:hAnsi="Arial" w:cs="Arial"/>
        </w:rPr>
        <w:t xml:space="preserve">reenhouse </w:t>
      </w:r>
      <w:r w:rsidRPr="003B4E27">
        <w:rPr>
          <w:rFonts w:ascii="Arial" w:hAnsi="Arial" w:cs="Arial"/>
        </w:rPr>
        <w:t>G</w:t>
      </w:r>
      <w:r w:rsidR="006111EA" w:rsidRPr="003B4E27">
        <w:rPr>
          <w:rFonts w:ascii="Arial" w:hAnsi="Arial" w:cs="Arial"/>
        </w:rPr>
        <w:t>as</w:t>
      </w:r>
      <w:r w:rsidRPr="003B4E27">
        <w:rPr>
          <w:rFonts w:ascii="Arial" w:hAnsi="Arial" w:cs="Arial"/>
        </w:rPr>
        <w:t xml:space="preserve"> E</w:t>
      </w:r>
      <w:r w:rsidR="006111EA" w:rsidRPr="003B4E27">
        <w:rPr>
          <w:rFonts w:ascii="Arial" w:hAnsi="Arial" w:cs="Arial"/>
        </w:rPr>
        <w:t>missions</w:t>
      </w:r>
      <w:r w:rsidRPr="003B4E27">
        <w:rPr>
          <w:rFonts w:ascii="Arial" w:hAnsi="Arial" w:cs="Arial"/>
        </w:rPr>
        <w:t>, P</w:t>
      </w:r>
      <w:r w:rsidR="006111EA" w:rsidRPr="003B4E27">
        <w:rPr>
          <w:rFonts w:ascii="Arial" w:hAnsi="Arial" w:cs="Arial"/>
        </w:rPr>
        <w:t>rovisional</w:t>
      </w:r>
      <w:r w:rsidRPr="003B4E27">
        <w:rPr>
          <w:rFonts w:ascii="Arial" w:hAnsi="Arial" w:cs="Arial"/>
        </w:rPr>
        <w:t xml:space="preserve"> F</w:t>
      </w:r>
      <w:r w:rsidR="006111EA" w:rsidRPr="003B4E27">
        <w:rPr>
          <w:rFonts w:ascii="Arial" w:hAnsi="Arial" w:cs="Arial"/>
        </w:rPr>
        <w:t>igures</w:t>
      </w:r>
      <w:r w:rsidRPr="003B4E27">
        <w:rPr>
          <w:rFonts w:ascii="Arial" w:hAnsi="Arial" w:cs="Arial"/>
        </w:rPr>
        <w:t xml:space="preserve">, Statistical Release: National Statistics. Available from: </w:t>
      </w:r>
      <w:r w:rsidRPr="003B4E27">
        <w:rPr>
          <w:rFonts w:ascii="Arial" w:hAnsi="Arial" w:cs="Arial"/>
          <w:u w:val="single"/>
        </w:rPr>
        <w:t>https://assets.publishing.service.gov.uk/government/uploads/system/uploads/attachment_data/file/790626/2018-provisional-emissions-statistics-report.pdf</w:t>
      </w:r>
      <w:r w:rsidRPr="003B4E27">
        <w:rPr>
          <w:rFonts w:ascii="Arial" w:hAnsi="Arial" w:cs="Arial"/>
        </w:rPr>
        <w:t xml:space="preserve"> [Accessed </w:t>
      </w:r>
      <w:r w:rsidR="006111EA">
        <w:rPr>
          <w:rFonts w:ascii="Arial" w:hAnsi="Arial" w:cs="Arial"/>
        </w:rPr>
        <w:t>10 February 2020].</w:t>
      </w:r>
    </w:p>
    <w:p w14:paraId="5944CFFC" w14:textId="77777777" w:rsidR="005D3687" w:rsidRPr="003B4E27" w:rsidRDefault="005D3687" w:rsidP="003B4E27">
      <w:pPr>
        <w:pStyle w:val="Bibliography"/>
        <w:spacing w:line="240" w:lineRule="auto"/>
        <w:rPr>
          <w:rFonts w:ascii="Arial" w:hAnsi="Arial" w:cs="Arial"/>
        </w:rPr>
      </w:pPr>
      <w:r w:rsidRPr="003B4E27">
        <w:rPr>
          <w:rFonts w:ascii="Arial" w:hAnsi="Arial" w:cs="Arial"/>
        </w:rPr>
        <w:t xml:space="preserve">BRGM (2019) D2GRIDS: deploying new 5th generation local energy loops in North-West Europe | BRGM. Available from: </w:t>
      </w:r>
      <w:r w:rsidRPr="003B4E27">
        <w:rPr>
          <w:rFonts w:ascii="Arial" w:hAnsi="Arial" w:cs="Arial"/>
          <w:u w:val="single"/>
        </w:rPr>
        <w:t>https://www.brgm.eu/project/d2grids-deploying-new-5th-generation-local-energy-loops-north-west-europe</w:t>
      </w:r>
      <w:r w:rsidRPr="003B4E27">
        <w:rPr>
          <w:rFonts w:ascii="Arial" w:hAnsi="Arial" w:cs="Arial"/>
        </w:rPr>
        <w:t xml:space="preserve"> [Accessed 11 February 2020].</w:t>
      </w:r>
    </w:p>
    <w:p w14:paraId="3FEBDBA0" w14:textId="77777777" w:rsidR="005D3687" w:rsidRPr="003B4E27" w:rsidRDefault="005D3687" w:rsidP="003B4E27">
      <w:pPr>
        <w:pStyle w:val="Bibliography"/>
        <w:spacing w:line="240" w:lineRule="auto"/>
        <w:rPr>
          <w:rFonts w:ascii="Arial" w:hAnsi="Arial" w:cs="Arial"/>
        </w:rPr>
      </w:pPr>
      <w:r w:rsidRPr="003B4E27">
        <w:rPr>
          <w:rFonts w:ascii="Arial" w:hAnsi="Arial" w:cs="Arial"/>
        </w:rPr>
        <w:t xml:space="preserve">Buffa, S., Cozzini, M., D’Antoni, M., Baratieri, M. and Fedrizzi, R. (2019) 5th generation district heating and cooling systems: A review of existing cases in Europe, </w:t>
      </w:r>
      <w:r w:rsidRPr="003B4E27">
        <w:rPr>
          <w:rFonts w:ascii="Arial" w:hAnsi="Arial" w:cs="Arial"/>
          <w:i/>
          <w:iCs/>
        </w:rPr>
        <w:t>Renewable and Sustainable Energy Reviews</w:t>
      </w:r>
      <w:r w:rsidRPr="003B4E27">
        <w:rPr>
          <w:rFonts w:ascii="Arial" w:hAnsi="Arial" w:cs="Arial"/>
        </w:rPr>
        <w:t>, 104, pp. 504–522. DOI:10.1016/j.rser.2018.12.059.</w:t>
      </w:r>
    </w:p>
    <w:p w14:paraId="5655643D" w14:textId="77777777" w:rsidR="005D3687" w:rsidRPr="003B4E27" w:rsidRDefault="005D3687" w:rsidP="003B4E27">
      <w:pPr>
        <w:pStyle w:val="Bibliography"/>
        <w:spacing w:line="240" w:lineRule="auto"/>
        <w:rPr>
          <w:rFonts w:ascii="Arial" w:hAnsi="Arial" w:cs="Arial"/>
        </w:rPr>
      </w:pPr>
      <w:r w:rsidRPr="003B4E27">
        <w:rPr>
          <w:rFonts w:ascii="Arial" w:hAnsi="Arial" w:cs="Arial"/>
        </w:rPr>
        <w:t xml:space="preserve">Chen, Y.-H., Lu, S.-Y., Chang, Y.-R., Lee, T.-T. and Hu, M.-C. (2013) Economic analysis and optimal energy management models for microgrid systems: A case study in Taiwan, </w:t>
      </w:r>
      <w:r w:rsidRPr="003B4E27">
        <w:rPr>
          <w:rFonts w:ascii="Arial" w:hAnsi="Arial" w:cs="Arial"/>
          <w:i/>
          <w:iCs/>
        </w:rPr>
        <w:t>Applied Energy</w:t>
      </w:r>
      <w:r w:rsidRPr="003B4E27">
        <w:rPr>
          <w:rFonts w:ascii="Arial" w:hAnsi="Arial" w:cs="Arial"/>
        </w:rPr>
        <w:t>, 103, pp. 145–154. DOI:10.1016/j.apenergy.2012.09.023.</w:t>
      </w:r>
    </w:p>
    <w:p w14:paraId="24F34D35" w14:textId="77777777" w:rsidR="005D3687" w:rsidRPr="003B4E27" w:rsidRDefault="005D3687" w:rsidP="003B4E27">
      <w:pPr>
        <w:pStyle w:val="Bibliography"/>
        <w:spacing w:line="240" w:lineRule="auto"/>
        <w:rPr>
          <w:rFonts w:ascii="Arial" w:hAnsi="Arial" w:cs="Arial"/>
        </w:rPr>
      </w:pPr>
      <w:r w:rsidRPr="003B4E27">
        <w:rPr>
          <w:rFonts w:ascii="Arial" w:hAnsi="Arial" w:cs="Arial"/>
        </w:rPr>
        <w:t xml:space="preserve">Davies, G., Boot-Handford, N., Curry, D., Dennis, W., Ajileye, A., Revesz, A. and Maidment, G. (2019) Combining cooling of underground railways with heat recovery and reuse, </w:t>
      </w:r>
      <w:r w:rsidRPr="003B4E27">
        <w:rPr>
          <w:rFonts w:ascii="Arial" w:hAnsi="Arial" w:cs="Arial"/>
          <w:i/>
          <w:iCs/>
        </w:rPr>
        <w:t>Sustainable Cities and Society</w:t>
      </w:r>
      <w:r w:rsidRPr="003B4E27">
        <w:rPr>
          <w:rFonts w:ascii="Arial" w:hAnsi="Arial" w:cs="Arial"/>
        </w:rPr>
        <w:t>, 45, pp. 543–552.</w:t>
      </w:r>
    </w:p>
    <w:p w14:paraId="24E5A3F3" w14:textId="77777777" w:rsidR="005D3687" w:rsidRPr="003B4E27" w:rsidRDefault="005D3687" w:rsidP="003B4E27">
      <w:pPr>
        <w:pStyle w:val="Bibliography"/>
        <w:spacing w:line="240" w:lineRule="auto"/>
        <w:rPr>
          <w:rFonts w:ascii="Arial" w:hAnsi="Arial" w:cs="Arial"/>
        </w:rPr>
      </w:pPr>
      <w:r w:rsidRPr="003B4E27">
        <w:rPr>
          <w:rFonts w:ascii="Arial" w:hAnsi="Arial" w:cs="Arial"/>
        </w:rPr>
        <w:t xml:space="preserve">Davies, G. F., Maidment, G. G. and Tozer, R. M. (2016) Using data centres for combined heating and cooling: An investigation for London, </w:t>
      </w:r>
      <w:r w:rsidRPr="003B4E27">
        <w:rPr>
          <w:rFonts w:ascii="Arial" w:hAnsi="Arial" w:cs="Arial"/>
          <w:i/>
          <w:iCs/>
        </w:rPr>
        <w:t>Applied Thermal Engineering</w:t>
      </w:r>
      <w:r w:rsidRPr="003B4E27">
        <w:rPr>
          <w:rFonts w:ascii="Arial" w:hAnsi="Arial" w:cs="Arial"/>
        </w:rPr>
        <w:t>, 94, pp. 296–304.</w:t>
      </w:r>
    </w:p>
    <w:p w14:paraId="18CF75E0" w14:textId="77777777" w:rsidR="005D3687" w:rsidRPr="003B4E27" w:rsidRDefault="005D3687" w:rsidP="003B4E27">
      <w:pPr>
        <w:pStyle w:val="Bibliography"/>
        <w:spacing w:line="240" w:lineRule="auto"/>
        <w:rPr>
          <w:rFonts w:ascii="Arial" w:hAnsi="Arial" w:cs="Arial"/>
        </w:rPr>
      </w:pPr>
      <w:r w:rsidRPr="003B4E27">
        <w:rPr>
          <w:rFonts w:ascii="Arial" w:hAnsi="Arial" w:cs="Arial"/>
        </w:rPr>
        <w:t xml:space="preserve">Drysdale, D., Vad Mathiesen, B. and Lund, H. (2019) From Carbon Calculators to Energy System Analysis in Cities, </w:t>
      </w:r>
      <w:r w:rsidRPr="003B4E27">
        <w:rPr>
          <w:rFonts w:ascii="Arial" w:hAnsi="Arial" w:cs="Arial"/>
          <w:i/>
          <w:iCs/>
        </w:rPr>
        <w:t>Energies</w:t>
      </w:r>
      <w:r w:rsidRPr="003B4E27">
        <w:rPr>
          <w:rFonts w:ascii="Arial" w:hAnsi="Arial" w:cs="Arial"/>
        </w:rPr>
        <w:t>, 12 (12), pp. 2307. DOI:10.3390/en12122307.</w:t>
      </w:r>
    </w:p>
    <w:p w14:paraId="69E9C89F" w14:textId="77777777" w:rsidR="005D3687" w:rsidRPr="003B4E27" w:rsidRDefault="005D3687" w:rsidP="003B4E27">
      <w:pPr>
        <w:pStyle w:val="Bibliography"/>
        <w:spacing w:line="240" w:lineRule="auto"/>
        <w:rPr>
          <w:rFonts w:ascii="Arial" w:hAnsi="Arial" w:cs="Arial"/>
        </w:rPr>
      </w:pPr>
      <w:r w:rsidRPr="003B4E27">
        <w:rPr>
          <w:rFonts w:ascii="Arial" w:hAnsi="Arial" w:cs="Arial"/>
        </w:rPr>
        <w:t xml:space="preserve">EMD (2014, August 12) energyPRO - Simulate, analyze and optimize operations of energy plants, </w:t>
      </w:r>
      <w:r w:rsidRPr="003B4E27">
        <w:rPr>
          <w:rFonts w:ascii="Arial" w:hAnsi="Arial" w:cs="Arial"/>
          <w:i/>
          <w:iCs/>
        </w:rPr>
        <w:t>EMD International A/S</w:t>
      </w:r>
      <w:r w:rsidRPr="003B4E27">
        <w:rPr>
          <w:rFonts w:ascii="Arial" w:hAnsi="Arial" w:cs="Arial"/>
        </w:rPr>
        <w:t xml:space="preserve">. Available from: </w:t>
      </w:r>
      <w:r w:rsidRPr="003B4E27">
        <w:rPr>
          <w:rFonts w:ascii="Arial" w:hAnsi="Arial" w:cs="Arial"/>
          <w:u w:val="single"/>
        </w:rPr>
        <w:t>https://www.emd.dk/energypro/</w:t>
      </w:r>
    </w:p>
    <w:p w14:paraId="48C26915" w14:textId="77777777" w:rsidR="005D3687" w:rsidRPr="003B4E27" w:rsidRDefault="005D3687" w:rsidP="003B4E27">
      <w:pPr>
        <w:pStyle w:val="Bibliography"/>
        <w:spacing w:line="240" w:lineRule="auto"/>
        <w:rPr>
          <w:rFonts w:ascii="Arial" w:hAnsi="Arial" w:cs="Arial"/>
        </w:rPr>
      </w:pPr>
      <w:r w:rsidRPr="003B4E27">
        <w:rPr>
          <w:rFonts w:ascii="Arial" w:hAnsi="Arial" w:cs="Arial"/>
        </w:rPr>
        <w:t xml:space="preserve">ENA (2019) Open Networks Project – DSO Transition: Roadmap to 2030. Available from: </w:t>
      </w:r>
      <w:r w:rsidRPr="003B4E27">
        <w:rPr>
          <w:rFonts w:ascii="Arial" w:hAnsi="Arial" w:cs="Arial"/>
          <w:u w:val="single"/>
        </w:rPr>
        <w:t>http://www.energynetworks.org/assets/files/electricity/futures/Open_Networks/DSO%20Roadmap%20v6.0.pdf</w:t>
      </w:r>
      <w:r w:rsidRPr="003B4E27">
        <w:rPr>
          <w:rFonts w:ascii="Arial" w:hAnsi="Arial" w:cs="Arial"/>
        </w:rPr>
        <w:t xml:space="preserve"> [Accessed 26 November 2019].</w:t>
      </w:r>
    </w:p>
    <w:p w14:paraId="654624FE" w14:textId="0F12646C" w:rsidR="005D3687" w:rsidRPr="003B4E27" w:rsidRDefault="005D3687" w:rsidP="003B4E27">
      <w:pPr>
        <w:pStyle w:val="Bibliography"/>
        <w:spacing w:line="240" w:lineRule="auto"/>
        <w:rPr>
          <w:rFonts w:ascii="Arial" w:hAnsi="Arial" w:cs="Arial"/>
        </w:rPr>
      </w:pPr>
      <w:r w:rsidRPr="003B4E27">
        <w:rPr>
          <w:rFonts w:ascii="Arial" w:hAnsi="Arial" w:cs="Arial"/>
        </w:rPr>
        <w:lastRenderedPageBreak/>
        <w:t xml:space="preserve">EUROHEAT&amp;POWER (2017, December 14) ReUseHeat: Recovery of Urban Excess Heat, </w:t>
      </w:r>
      <w:r w:rsidRPr="003B4E27">
        <w:rPr>
          <w:rFonts w:ascii="Arial" w:hAnsi="Arial" w:cs="Arial"/>
          <w:i/>
          <w:iCs/>
        </w:rPr>
        <w:t>Euroheat &amp; Power</w:t>
      </w:r>
      <w:r w:rsidRPr="003B4E27">
        <w:rPr>
          <w:rFonts w:ascii="Arial" w:hAnsi="Arial" w:cs="Arial"/>
        </w:rPr>
        <w:t xml:space="preserve">. Available from: </w:t>
      </w:r>
      <w:r w:rsidRPr="003B4E27">
        <w:rPr>
          <w:rFonts w:ascii="Arial" w:hAnsi="Arial" w:cs="Arial"/>
          <w:u w:val="single"/>
        </w:rPr>
        <w:t>https://www.euroheat.org/our-projects/reuseheat-recovery-urban-excess-heat/</w:t>
      </w:r>
      <w:r w:rsidR="006111EA">
        <w:rPr>
          <w:rFonts w:ascii="Arial" w:hAnsi="Arial" w:cs="Arial"/>
          <w:u w:val="single"/>
        </w:rPr>
        <w:t xml:space="preserve"> </w:t>
      </w:r>
      <w:r w:rsidR="006111EA" w:rsidRPr="009E1EB3">
        <w:rPr>
          <w:rFonts w:ascii="Arial" w:hAnsi="Arial" w:cs="Arial"/>
        </w:rPr>
        <w:t xml:space="preserve">[Accessed </w:t>
      </w:r>
      <w:r w:rsidR="006111EA">
        <w:rPr>
          <w:rFonts w:ascii="Arial" w:hAnsi="Arial" w:cs="Arial"/>
        </w:rPr>
        <w:t>10 February</w:t>
      </w:r>
      <w:r w:rsidR="006111EA" w:rsidRPr="009E1EB3">
        <w:rPr>
          <w:rFonts w:ascii="Arial" w:hAnsi="Arial" w:cs="Arial"/>
        </w:rPr>
        <w:t xml:space="preserve"> 20</w:t>
      </w:r>
      <w:r w:rsidR="006111EA">
        <w:rPr>
          <w:rFonts w:ascii="Arial" w:hAnsi="Arial" w:cs="Arial"/>
        </w:rPr>
        <w:t>20</w:t>
      </w:r>
      <w:r w:rsidR="006111EA" w:rsidRPr="009E1EB3">
        <w:rPr>
          <w:rFonts w:ascii="Arial" w:hAnsi="Arial" w:cs="Arial"/>
        </w:rPr>
        <w:t>].</w:t>
      </w:r>
    </w:p>
    <w:p w14:paraId="4F06005C" w14:textId="77777777" w:rsidR="005D3687" w:rsidRPr="003B4E27" w:rsidRDefault="005D3687" w:rsidP="003B4E27">
      <w:pPr>
        <w:pStyle w:val="Bibliography"/>
        <w:spacing w:line="240" w:lineRule="auto"/>
        <w:rPr>
          <w:rFonts w:ascii="Arial" w:hAnsi="Arial" w:cs="Arial"/>
        </w:rPr>
      </w:pPr>
      <w:r w:rsidRPr="003B4E27">
        <w:rPr>
          <w:rFonts w:ascii="Arial" w:hAnsi="Arial" w:cs="Arial"/>
        </w:rPr>
        <w:t xml:space="preserve">GLA (2014, May 13) Secondary Heat Study – London’s Zero Carbon Energy Resource, </w:t>
      </w:r>
      <w:r w:rsidRPr="003B4E27">
        <w:rPr>
          <w:rFonts w:ascii="Arial" w:hAnsi="Arial" w:cs="Arial"/>
          <w:i/>
          <w:iCs/>
        </w:rPr>
        <w:t>London City Hall</w:t>
      </w:r>
      <w:r w:rsidRPr="003B4E27">
        <w:rPr>
          <w:rFonts w:ascii="Arial" w:hAnsi="Arial" w:cs="Arial"/>
        </w:rPr>
        <w:t xml:space="preserve">. Available from: </w:t>
      </w:r>
      <w:r w:rsidRPr="003B4E27">
        <w:rPr>
          <w:rFonts w:ascii="Arial" w:hAnsi="Arial" w:cs="Arial"/>
          <w:u w:val="single"/>
        </w:rPr>
        <w:t>https://www.london.gov.uk//WHAT-WE-DO/environment/environment-publications/secondary-heat-study-londons-zero-carbon-energy</w:t>
      </w:r>
      <w:r w:rsidRPr="003B4E27">
        <w:rPr>
          <w:rFonts w:ascii="Arial" w:hAnsi="Arial" w:cs="Arial"/>
        </w:rPr>
        <w:t xml:space="preserve"> [Accessed 26 June 2019].</w:t>
      </w:r>
    </w:p>
    <w:p w14:paraId="3448AC54" w14:textId="77777777" w:rsidR="005D3687" w:rsidRPr="003B4E27" w:rsidRDefault="005D3687" w:rsidP="003B4E27">
      <w:pPr>
        <w:pStyle w:val="Bibliography"/>
        <w:spacing w:line="240" w:lineRule="auto"/>
        <w:rPr>
          <w:rFonts w:ascii="Arial" w:hAnsi="Arial" w:cs="Arial"/>
        </w:rPr>
      </w:pPr>
      <w:r w:rsidRPr="003B4E27">
        <w:rPr>
          <w:rFonts w:ascii="Arial" w:hAnsi="Arial" w:cs="Arial"/>
        </w:rPr>
        <w:t xml:space="preserve">Goulden, M., Bedwell, B., Rennick-Egglestone, S., Rodden, T. and Spence, A. (2014) Smart grids, smart users? The role of the user in demand side management, </w:t>
      </w:r>
      <w:r w:rsidRPr="003B4E27">
        <w:rPr>
          <w:rFonts w:ascii="Arial" w:hAnsi="Arial" w:cs="Arial"/>
          <w:i/>
          <w:iCs/>
        </w:rPr>
        <w:t>Energy Research &amp; Social Science</w:t>
      </w:r>
      <w:r w:rsidRPr="003B4E27">
        <w:rPr>
          <w:rFonts w:ascii="Arial" w:hAnsi="Arial" w:cs="Arial"/>
        </w:rPr>
        <w:t>, 2, pp. 21–29.</w:t>
      </w:r>
    </w:p>
    <w:p w14:paraId="6307E35D" w14:textId="77777777" w:rsidR="005D3687" w:rsidRPr="003B4E27" w:rsidRDefault="005D3687" w:rsidP="003B4E27">
      <w:pPr>
        <w:pStyle w:val="Bibliography"/>
        <w:spacing w:line="240" w:lineRule="auto"/>
        <w:rPr>
          <w:rFonts w:ascii="Arial" w:hAnsi="Arial" w:cs="Arial"/>
        </w:rPr>
      </w:pPr>
      <w:r w:rsidRPr="003B4E27">
        <w:rPr>
          <w:rFonts w:ascii="Arial" w:hAnsi="Arial" w:cs="Arial"/>
        </w:rPr>
        <w:t xml:space="preserve">GOV.UK (2019a) Green Book supplementary guidance: valuation of energy use and greenhouse gas emissions for appraisal, </w:t>
      </w:r>
      <w:r w:rsidRPr="003B4E27">
        <w:rPr>
          <w:rFonts w:ascii="Arial" w:hAnsi="Arial" w:cs="Arial"/>
          <w:i/>
          <w:iCs/>
        </w:rPr>
        <w:t>GOV.UK</w:t>
      </w:r>
      <w:r w:rsidRPr="003B4E27">
        <w:rPr>
          <w:rFonts w:ascii="Arial" w:hAnsi="Arial" w:cs="Arial"/>
        </w:rPr>
        <w:t xml:space="preserve">. Available from: </w:t>
      </w:r>
      <w:r w:rsidRPr="003B4E27">
        <w:rPr>
          <w:rFonts w:ascii="Arial" w:hAnsi="Arial" w:cs="Arial"/>
          <w:u w:val="single"/>
        </w:rPr>
        <w:t>https://www.gov.uk/government/publications/valuation-of-energy-use-and-greenhouse-gas-emissions-for-appraisal</w:t>
      </w:r>
      <w:r w:rsidRPr="003B4E27">
        <w:rPr>
          <w:rFonts w:ascii="Arial" w:hAnsi="Arial" w:cs="Arial"/>
        </w:rPr>
        <w:t xml:space="preserve"> [Accessed 24 October 2019].</w:t>
      </w:r>
    </w:p>
    <w:p w14:paraId="40AA4040" w14:textId="77777777" w:rsidR="005D3687" w:rsidRPr="003B4E27" w:rsidRDefault="005D3687" w:rsidP="003B4E27">
      <w:pPr>
        <w:pStyle w:val="Bibliography"/>
        <w:spacing w:line="240" w:lineRule="auto"/>
        <w:rPr>
          <w:rFonts w:ascii="Arial" w:hAnsi="Arial" w:cs="Arial"/>
        </w:rPr>
      </w:pPr>
      <w:r w:rsidRPr="003B4E27">
        <w:rPr>
          <w:rFonts w:ascii="Arial" w:hAnsi="Arial" w:cs="Arial"/>
        </w:rPr>
        <w:t xml:space="preserve">GOV.UK (2019b) Spring Statement 2019: what you need to know, </w:t>
      </w:r>
      <w:r w:rsidRPr="003B4E27">
        <w:rPr>
          <w:rFonts w:ascii="Arial" w:hAnsi="Arial" w:cs="Arial"/>
          <w:i/>
          <w:iCs/>
        </w:rPr>
        <w:t>GOV.UK</w:t>
      </w:r>
      <w:r w:rsidRPr="003B4E27">
        <w:rPr>
          <w:rFonts w:ascii="Arial" w:hAnsi="Arial" w:cs="Arial"/>
        </w:rPr>
        <w:t xml:space="preserve">. Available from: </w:t>
      </w:r>
      <w:r w:rsidRPr="003B4E27">
        <w:rPr>
          <w:rFonts w:ascii="Arial" w:hAnsi="Arial" w:cs="Arial"/>
          <w:u w:val="single"/>
        </w:rPr>
        <w:t>https://www.gov.uk/government/news/spring-statement-2019-what-you-need-to-know</w:t>
      </w:r>
      <w:r w:rsidRPr="003B4E27">
        <w:rPr>
          <w:rFonts w:ascii="Arial" w:hAnsi="Arial" w:cs="Arial"/>
        </w:rPr>
        <w:t xml:space="preserve"> [Accessed 26 June 2019].</w:t>
      </w:r>
    </w:p>
    <w:p w14:paraId="5E6FAC71" w14:textId="77777777" w:rsidR="005D3687" w:rsidRPr="003B4E27" w:rsidRDefault="005D3687" w:rsidP="003B4E27">
      <w:pPr>
        <w:pStyle w:val="Bibliography"/>
        <w:spacing w:line="240" w:lineRule="auto"/>
        <w:rPr>
          <w:rFonts w:ascii="Arial" w:hAnsi="Arial" w:cs="Arial"/>
        </w:rPr>
      </w:pPr>
      <w:r w:rsidRPr="003B4E27">
        <w:rPr>
          <w:rFonts w:ascii="Arial" w:hAnsi="Arial" w:cs="Arial"/>
        </w:rPr>
        <w:t xml:space="preserve">Guelpa, E., Marincioni, L., Deputato, S., Capone, M., Amelio, S., Pochettino, E. and Verda, V. (2019) Demand side management in district heating networks: A real application, </w:t>
      </w:r>
      <w:r w:rsidRPr="003B4E27">
        <w:rPr>
          <w:rFonts w:ascii="Arial" w:hAnsi="Arial" w:cs="Arial"/>
          <w:i/>
          <w:iCs/>
        </w:rPr>
        <w:t>Energy</w:t>
      </w:r>
      <w:r w:rsidRPr="003B4E27">
        <w:rPr>
          <w:rFonts w:ascii="Arial" w:hAnsi="Arial" w:cs="Arial"/>
        </w:rPr>
        <w:t>, 182, pp. 433–442.</w:t>
      </w:r>
    </w:p>
    <w:p w14:paraId="7D37590B" w14:textId="77777777" w:rsidR="005D3687" w:rsidRPr="003B4E27" w:rsidRDefault="005D3687" w:rsidP="003B4E27">
      <w:pPr>
        <w:pStyle w:val="Bibliography"/>
        <w:spacing w:line="240" w:lineRule="auto"/>
        <w:rPr>
          <w:rFonts w:ascii="Arial" w:hAnsi="Arial" w:cs="Arial"/>
        </w:rPr>
      </w:pPr>
      <w:r w:rsidRPr="003B4E27">
        <w:rPr>
          <w:rFonts w:ascii="Arial" w:hAnsi="Arial" w:cs="Arial"/>
        </w:rPr>
        <w:t>IEA (2018) Renewable Heat Policies, Delivering clean heat solutions for the energy transition, pp. 57.</w:t>
      </w:r>
    </w:p>
    <w:p w14:paraId="4F5FEDB6" w14:textId="4DED3F64" w:rsidR="005D3687" w:rsidRPr="003B4E27" w:rsidRDefault="005D3687" w:rsidP="003B4E27">
      <w:pPr>
        <w:pStyle w:val="Bibliography"/>
        <w:spacing w:line="240" w:lineRule="auto"/>
        <w:rPr>
          <w:rFonts w:ascii="Arial" w:hAnsi="Arial" w:cs="Arial"/>
        </w:rPr>
      </w:pPr>
      <w:r w:rsidRPr="003B4E27">
        <w:rPr>
          <w:rFonts w:ascii="Arial" w:hAnsi="Arial" w:cs="Arial"/>
        </w:rPr>
        <w:t xml:space="preserve">Jones, P. (2019) A roadmap to achieve 5th generation heat networks in the UK, </w:t>
      </w:r>
      <w:r w:rsidR="006111EA">
        <w:rPr>
          <w:rFonts w:ascii="Arial" w:hAnsi="Arial" w:cs="Arial"/>
        </w:rPr>
        <w:t xml:space="preserve">2019 CIBSE Technical Symposium, </w:t>
      </w:r>
      <w:r w:rsidRPr="003B4E27">
        <w:rPr>
          <w:rFonts w:ascii="Arial" w:hAnsi="Arial" w:cs="Arial"/>
        </w:rPr>
        <w:t>Sheffield, UK</w:t>
      </w:r>
      <w:r w:rsidR="006111EA">
        <w:rPr>
          <w:rFonts w:ascii="Arial" w:hAnsi="Arial" w:cs="Arial"/>
        </w:rPr>
        <w:t>.</w:t>
      </w:r>
    </w:p>
    <w:p w14:paraId="2E2F3C8E" w14:textId="77777777" w:rsidR="005D3687" w:rsidRPr="003B4E27" w:rsidRDefault="005D3687" w:rsidP="003B4E27">
      <w:pPr>
        <w:pStyle w:val="Bibliography"/>
        <w:spacing w:line="240" w:lineRule="auto"/>
        <w:rPr>
          <w:rFonts w:ascii="Arial" w:hAnsi="Arial" w:cs="Arial"/>
        </w:rPr>
      </w:pPr>
      <w:r w:rsidRPr="003B4E27">
        <w:rPr>
          <w:rFonts w:ascii="Arial" w:hAnsi="Arial" w:cs="Arial"/>
        </w:rPr>
        <w:t xml:space="preserve">Jones, S. R., Gillott, M., Boukhanouf, R., Walker, G., Tunzi, M., Tetlow, D., Rodrigues, L. and Sumner, M. (2019) A System Design for Distributed Energy Generation in Low-Temperature District Heating (LTDH) Networks, </w:t>
      </w:r>
      <w:r w:rsidRPr="003B4E27">
        <w:rPr>
          <w:rFonts w:ascii="Arial" w:hAnsi="Arial" w:cs="Arial"/>
          <w:i/>
          <w:iCs/>
        </w:rPr>
        <w:t>Future Cities and Environment</w:t>
      </w:r>
      <w:r w:rsidRPr="003B4E27">
        <w:rPr>
          <w:rFonts w:ascii="Arial" w:hAnsi="Arial" w:cs="Arial"/>
        </w:rPr>
        <w:t>, 5 (1), pp. 2. DOI:10.5334/fce.44.</w:t>
      </w:r>
    </w:p>
    <w:p w14:paraId="6532DA77" w14:textId="77777777" w:rsidR="005D3687" w:rsidRPr="003B4E27" w:rsidRDefault="005D3687" w:rsidP="003B4E27">
      <w:pPr>
        <w:pStyle w:val="Bibliography"/>
        <w:spacing w:line="240" w:lineRule="auto"/>
        <w:rPr>
          <w:rFonts w:ascii="Arial" w:hAnsi="Arial" w:cs="Arial"/>
        </w:rPr>
      </w:pPr>
      <w:r w:rsidRPr="003B4E27">
        <w:rPr>
          <w:rFonts w:ascii="Arial" w:hAnsi="Arial" w:cs="Arial"/>
        </w:rPr>
        <w:t xml:space="preserve">Kauko, H., Kvalsvik, K. H., Rohde, D., Nord, N. and Utne, Å. (2018) Dynamic modeling of local district heating grids with prosumers: A case study for Norway, </w:t>
      </w:r>
      <w:r w:rsidRPr="003B4E27">
        <w:rPr>
          <w:rFonts w:ascii="Arial" w:hAnsi="Arial" w:cs="Arial"/>
          <w:i/>
          <w:iCs/>
        </w:rPr>
        <w:t>Energy</w:t>
      </w:r>
      <w:r w:rsidRPr="003B4E27">
        <w:rPr>
          <w:rFonts w:ascii="Arial" w:hAnsi="Arial" w:cs="Arial"/>
        </w:rPr>
        <w:t>, 151, pp. 261–271. DOI:10.1016/j.energy.2018.03.033.</w:t>
      </w:r>
    </w:p>
    <w:p w14:paraId="6AF400FD" w14:textId="77777777" w:rsidR="005D3687" w:rsidRPr="003B4E27" w:rsidRDefault="005D3687" w:rsidP="003B4E27">
      <w:pPr>
        <w:pStyle w:val="Bibliography"/>
        <w:spacing w:line="240" w:lineRule="auto"/>
        <w:rPr>
          <w:rFonts w:ascii="Arial" w:hAnsi="Arial" w:cs="Arial"/>
        </w:rPr>
      </w:pPr>
      <w:r w:rsidRPr="003B4E27">
        <w:rPr>
          <w:rFonts w:ascii="Arial" w:hAnsi="Arial" w:cs="Arial"/>
        </w:rPr>
        <w:t xml:space="preserve">LSBU (2019) Smart Energy Network study launches at London South Bank University. Available from: </w:t>
      </w:r>
      <w:r w:rsidRPr="003B4E27">
        <w:rPr>
          <w:rFonts w:ascii="Arial" w:hAnsi="Arial" w:cs="Arial"/>
          <w:u w:val="single"/>
        </w:rPr>
        <w:t>http://www.lsbu.ac.uk/about-us/news/smart-energy-network-study-launches</w:t>
      </w:r>
      <w:r w:rsidRPr="003B4E27">
        <w:rPr>
          <w:rFonts w:ascii="Arial" w:hAnsi="Arial" w:cs="Arial"/>
        </w:rPr>
        <w:t xml:space="preserve"> [Accessed 26 June 2019].</w:t>
      </w:r>
    </w:p>
    <w:p w14:paraId="2DD6CA1F" w14:textId="77777777" w:rsidR="005D3687" w:rsidRPr="003B4E27" w:rsidRDefault="005D3687" w:rsidP="003B4E27">
      <w:pPr>
        <w:pStyle w:val="Bibliography"/>
        <w:spacing w:line="240" w:lineRule="auto"/>
        <w:rPr>
          <w:rFonts w:ascii="Arial" w:hAnsi="Arial" w:cs="Arial"/>
        </w:rPr>
      </w:pPr>
      <w:r w:rsidRPr="003B4E27">
        <w:rPr>
          <w:rFonts w:ascii="Arial" w:hAnsi="Arial" w:cs="Arial"/>
        </w:rPr>
        <w:t xml:space="preserve">Lund, H., Duic, N., Østergaard, P. A. and Mathiesen, B. V. (2020) Perspectives on Smart Energy Systems from the SES4DH 2018 conference, </w:t>
      </w:r>
      <w:r w:rsidRPr="003B4E27">
        <w:rPr>
          <w:rFonts w:ascii="Arial" w:hAnsi="Arial" w:cs="Arial"/>
          <w:i/>
          <w:iCs/>
        </w:rPr>
        <w:t>Energy</w:t>
      </w:r>
      <w:r w:rsidRPr="003B4E27">
        <w:rPr>
          <w:rFonts w:ascii="Arial" w:hAnsi="Arial" w:cs="Arial"/>
        </w:rPr>
        <w:t>, 190, pp. 116318. DOI:10.1016/j.energy.2019.116318.</w:t>
      </w:r>
    </w:p>
    <w:p w14:paraId="2414C36E" w14:textId="77777777" w:rsidR="005D3687" w:rsidRPr="003B4E27" w:rsidRDefault="005D3687" w:rsidP="003B4E27">
      <w:pPr>
        <w:pStyle w:val="Bibliography"/>
        <w:spacing w:line="240" w:lineRule="auto"/>
        <w:rPr>
          <w:rFonts w:ascii="Arial" w:hAnsi="Arial" w:cs="Arial"/>
        </w:rPr>
      </w:pPr>
      <w:r w:rsidRPr="003B4E27">
        <w:rPr>
          <w:rFonts w:ascii="Arial" w:hAnsi="Arial" w:cs="Arial"/>
        </w:rPr>
        <w:t xml:space="preserve">Lund, H., Østergaard, P. A., Chang, M., Werner, S., Svendsen, S., Sorknæs, P., </w:t>
      </w:r>
      <w:r w:rsidRPr="003B4E27">
        <w:rPr>
          <w:rFonts w:ascii="Arial" w:hAnsi="Arial" w:cs="Arial"/>
          <w:i/>
          <w:iCs/>
        </w:rPr>
        <w:t>et al.</w:t>
      </w:r>
      <w:r w:rsidRPr="003B4E27">
        <w:rPr>
          <w:rFonts w:ascii="Arial" w:hAnsi="Arial" w:cs="Arial"/>
        </w:rPr>
        <w:t xml:space="preserve"> (2018) The status of 4th generation district heating: Research and results, </w:t>
      </w:r>
      <w:r w:rsidRPr="003B4E27">
        <w:rPr>
          <w:rFonts w:ascii="Arial" w:hAnsi="Arial" w:cs="Arial"/>
          <w:i/>
          <w:iCs/>
        </w:rPr>
        <w:t>Energy</w:t>
      </w:r>
      <w:r w:rsidRPr="003B4E27">
        <w:rPr>
          <w:rFonts w:ascii="Arial" w:hAnsi="Arial" w:cs="Arial"/>
        </w:rPr>
        <w:t>, 164, pp. 147–159. DOI:10.1016/j.energy.2018.08.206.</w:t>
      </w:r>
    </w:p>
    <w:p w14:paraId="4B9A2754" w14:textId="77777777" w:rsidR="005D3687" w:rsidRPr="003B4E27" w:rsidRDefault="005D3687" w:rsidP="003B4E27">
      <w:pPr>
        <w:pStyle w:val="Bibliography"/>
        <w:spacing w:line="240" w:lineRule="auto"/>
        <w:rPr>
          <w:rFonts w:ascii="Arial" w:hAnsi="Arial" w:cs="Arial"/>
        </w:rPr>
      </w:pPr>
      <w:r w:rsidRPr="003B4E27">
        <w:rPr>
          <w:rFonts w:ascii="Arial" w:hAnsi="Arial" w:cs="Arial"/>
        </w:rPr>
        <w:lastRenderedPageBreak/>
        <w:t xml:space="preserve">Lund, H., Werner, S., Wiltshire, R., Svendsen, S., Thorsen, J. E., Hvelplund, F. and Mathiesen, B. V. (2014) 4th Generation District Heating (4GDH): Integrating smart thermal grids into future sustainable energy systems, </w:t>
      </w:r>
      <w:r w:rsidRPr="003B4E27">
        <w:rPr>
          <w:rFonts w:ascii="Arial" w:hAnsi="Arial" w:cs="Arial"/>
          <w:i/>
          <w:iCs/>
        </w:rPr>
        <w:t>Energy</w:t>
      </w:r>
      <w:r w:rsidRPr="003B4E27">
        <w:rPr>
          <w:rFonts w:ascii="Arial" w:hAnsi="Arial" w:cs="Arial"/>
        </w:rPr>
        <w:t>, 68, pp. 1–11.</w:t>
      </w:r>
    </w:p>
    <w:p w14:paraId="73E3AF95" w14:textId="77777777" w:rsidR="005D3687" w:rsidRPr="003B4E27" w:rsidRDefault="005D3687" w:rsidP="003B4E27">
      <w:pPr>
        <w:pStyle w:val="Bibliography"/>
        <w:spacing w:line="240" w:lineRule="auto"/>
        <w:rPr>
          <w:rFonts w:ascii="Arial" w:hAnsi="Arial" w:cs="Arial"/>
        </w:rPr>
      </w:pPr>
      <w:r w:rsidRPr="003B4E27">
        <w:rPr>
          <w:rFonts w:ascii="Arial" w:hAnsi="Arial" w:cs="Arial"/>
        </w:rPr>
        <w:t xml:space="preserve">Lygnerud, K. and Werner, S. (2018) Risk assessment of industrial excess heat recovery in district heating systems, </w:t>
      </w:r>
      <w:r w:rsidRPr="003B4E27">
        <w:rPr>
          <w:rFonts w:ascii="Arial" w:hAnsi="Arial" w:cs="Arial"/>
          <w:i/>
          <w:iCs/>
        </w:rPr>
        <w:t>Energy</w:t>
      </w:r>
      <w:r w:rsidRPr="003B4E27">
        <w:rPr>
          <w:rFonts w:ascii="Arial" w:hAnsi="Arial" w:cs="Arial"/>
        </w:rPr>
        <w:t>, 151, pp. 430–441. DOI:10.1016/j.energy.2018.03.047.</w:t>
      </w:r>
    </w:p>
    <w:p w14:paraId="00D3E0D1" w14:textId="77777777" w:rsidR="005D3687" w:rsidRPr="003B4E27" w:rsidRDefault="005D3687" w:rsidP="003B4E27">
      <w:pPr>
        <w:pStyle w:val="Bibliography"/>
        <w:spacing w:line="240" w:lineRule="auto"/>
        <w:rPr>
          <w:rFonts w:ascii="Arial" w:hAnsi="Arial" w:cs="Arial"/>
        </w:rPr>
      </w:pPr>
      <w:r w:rsidRPr="003B4E27">
        <w:rPr>
          <w:rFonts w:ascii="Arial" w:hAnsi="Arial" w:cs="Arial"/>
        </w:rPr>
        <w:t xml:space="preserve">Nord, N., Nielsen, E. K. L., Kauko, H. and Tereshchenko, T. (2018) Challenges and potentials for low-temperature district heating implementation in Norway, </w:t>
      </w:r>
      <w:r w:rsidRPr="003B4E27">
        <w:rPr>
          <w:rFonts w:ascii="Arial" w:hAnsi="Arial" w:cs="Arial"/>
          <w:i/>
          <w:iCs/>
        </w:rPr>
        <w:t>Energy</w:t>
      </w:r>
      <w:r w:rsidRPr="003B4E27">
        <w:rPr>
          <w:rFonts w:ascii="Arial" w:hAnsi="Arial" w:cs="Arial"/>
        </w:rPr>
        <w:t>, 151, pp. 889–902.</w:t>
      </w:r>
    </w:p>
    <w:p w14:paraId="5B6464CD" w14:textId="77777777" w:rsidR="005D3687" w:rsidRPr="003B4E27" w:rsidRDefault="005D3687" w:rsidP="003B4E27">
      <w:pPr>
        <w:pStyle w:val="Bibliography"/>
        <w:spacing w:line="240" w:lineRule="auto"/>
        <w:rPr>
          <w:rFonts w:ascii="Arial" w:hAnsi="Arial" w:cs="Arial"/>
        </w:rPr>
      </w:pPr>
      <w:r w:rsidRPr="003B4E27">
        <w:rPr>
          <w:rFonts w:ascii="Arial" w:hAnsi="Arial" w:cs="Arial"/>
        </w:rPr>
        <w:t xml:space="preserve">Nwulu, N. I. and Xia, X. (2017) Optimal dispatch for a microgrid incorporating renewables and demand response, </w:t>
      </w:r>
      <w:r w:rsidRPr="003B4E27">
        <w:rPr>
          <w:rFonts w:ascii="Arial" w:hAnsi="Arial" w:cs="Arial"/>
          <w:i/>
          <w:iCs/>
        </w:rPr>
        <w:t>Renewable Energy</w:t>
      </w:r>
      <w:r w:rsidRPr="003B4E27">
        <w:rPr>
          <w:rFonts w:ascii="Arial" w:hAnsi="Arial" w:cs="Arial"/>
        </w:rPr>
        <w:t>, 101, pp. 16–28. DOI:10.1016/j.renene.2016.08.026.</w:t>
      </w:r>
    </w:p>
    <w:p w14:paraId="357BF320" w14:textId="77777777" w:rsidR="005D3687" w:rsidRPr="003B4E27" w:rsidRDefault="005D3687" w:rsidP="003B4E27">
      <w:pPr>
        <w:pStyle w:val="Bibliography"/>
        <w:spacing w:line="240" w:lineRule="auto"/>
        <w:rPr>
          <w:rFonts w:ascii="Arial" w:hAnsi="Arial" w:cs="Arial"/>
        </w:rPr>
      </w:pPr>
      <w:r w:rsidRPr="003B4E27">
        <w:rPr>
          <w:rFonts w:ascii="Arial" w:hAnsi="Arial" w:cs="Arial"/>
        </w:rPr>
        <w:t xml:space="preserve">Nyborg, S. and Røpke, I. (2013) Constructing users in the smart grid—insights from the Danish eFlex project, </w:t>
      </w:r>
      <w:r w:rsidRPr="003B4E27">
        <w:rPr>
          <w:rFonts w:ascii="Arial" w:hAnsi="Arial" w:cs="Arial"/>
          <w:i/>
          <w:iCs/>
        </w:rPr>
        <w:t>Energy Efficiency</w:t>
      </w:r>
      <w:r w:rsidRPr="003B4E27">
        <w:rPr>
          <w:rFonts w:ascii="Arial" w:hAnsi="Arial" w:cs="Arial"/>
        </w:rPr>
        <w:t>, 6 (4), pp. 655–670.</w:t>
      </w:r>
    </w:p>
    <w:p w14:paraId="6F2AF215" w14:textId="77777777" w:rsidR="005D3687" w:rsidRPr="003B4E27" w:rsidRDefault="005D3687" w:rsidP="003B4E27">
      <w:pPr>
        <w:pStyle w:val="Bibliography"/>
        <w:spacing w:line="240" w:lineRule="auto"/>
        <w:rPr>
          <w:rFonts w:ascii="Arial" w:hAnsi="Arial" w:cs="Arial"/>
        </w:rPr>
      </w:pPr>
      <w:r w:rsidRPr="003B4E27">
        <w:rPr>
          <w:rFonts w:ascii="Arial" w:hAnsi="Arial" w:cs="Arial"/>
        </w:rPr>
        <w:t xml:space="preserve">Ofgem (2020) Ofgem’s Decarbonisation Action Plan, </w:t>
      </w:r>
      <w:r w:rsidRPr="003B4E27">
        <w:rPr>
          <w:rFonts w:ascii="Arial" w:hAnsi="Arial" w:cs="Arial"/>
          <w:i/>
          <w:iCs/>
        </w:rPr>
        <w:t>Ofgem</w:t>
      </w:r>
      <w:r w:rsidRPr="003B4E27">
        <w:rPr>
          <w:rFonts w:ascii="Arial" w:hAnsi="Arial" w:cs="Arial"/>
        </w:rPr>
        <w:t xml:space="preserve">. Available from: </w:t>
      </w:r>
      <w:r w:rsidRPr="003B4E27">
        <w:rPr>
          <w:rFonts w:ascii="Arial" w:hAnsi="Arial" w:cs="Arial"/>
          <w:u w:val="single"/>
        </w:rPr>
        <w:t>https://www.ofgem.gov.uk/publications-and-updates/ofgem-s-decarbonisation-action-plan</w:t>
      </w:r>
      <w:r w:rsidRPr="003B4E27">
        <w:rPr>
          <w:rFonts w:ascii="Arial" w:hAnsi="Arial" w:cs="Arial"/>
        </w:rPr>
        <w:t xml:space="preserve"> [Accessed 11 February 2020].</w:t>
      </w:r>
    </w:p>
    <w:p w14:paraId="5D95F934" w14:textId="77777777" w:rsidR="005D3687" w:rsidRPr="003B4E27" w:rsidRDefault="005D3687" w:rsidP="003B4E27">
      <w:pPr>
        <w:pStyle w:val="Bibliography"/>
        <w:spacing w:line="240" w:lineRule="auto"/>
        <w:rPr>
          <w:rFonts w:ascii="Arial" w:hAnsi="Arial" w:cs="Arial"/>
        </w:rPr>
      </w:pPr>
      <w:r w:rsidRPr="003B4E27">
        <w:rPr>
          <w:rFonts w:ascii="Arial" w:hAnsi="Arial" w:cs="Arial"/>
        </w:rPr>
        <w:t xml:space="preserve">Pavić, I., Luburić, Z., Pandžić, H., Capuder, T. and Andročec, I. (2019) Defining and Evaluating Use Cases for Battery Energy Storage Investments: Case Study in Croatia, </w:t>
      </w:r>
      <w:r w:rsidRPr="003B4E27">
        <w:rPr>
          <w:rFonts w:ascii="Arial" w:hAnsi="Arial" w:cs="Arial"/>
          <w:i/>
          <w:iCs/>
        </w:rPr>
        <w:t>Energies</w:t>
      </w:r>
      <w:r w:rsidRPr="003B4E27">
        <w:rPr>
          <w:rFonts w:ascii="Arial" w:hAnsi="Arial" w:cs="Arial"/>
        </w:rPr>
        <w:t>, 12 (3), pp. 376.</w:t>
      </w:r>
    </w:p>
    <w:p w14:paraId="5D86172E" w14:textId="77777777" w:rsidR="005D3687" w:rsidRPr="003B4E27" w:rsidRDefault="005D3687" w:rsidP="003B4E27">
      <w:pPr>
        <w:pStyle w:val="Bibliography"/>
        <w:spacing w:line="240" w:lineRule="auto"/>
        <w:rPr>
          <w:rFonts w:ascii="Arial" w:hAnsi="Arial" w:cs="Arial"/>
        </w:rPr>
      </w:pPr>
      <w:r w:rsidRPr="003B4E27">
        <w:rPr>
          <w:rFonts w:ascii="Arial" w:hAnsi="Arial" w:cs="Arial"/>
        </w:rPr>
        <w:t xml:space="preserve">Pelda, J. and Holler, S. (2019) Spatial distribution of the theoretical potential of waste heat from sewage: A statistical approach, </w:t>
      </w:r>
      <w:r w:rsidRPr="003B4E27">
        <w:rPr>
          <w:rFonts w:ascii="Arial" w:hAnsi="Arial" w:cs="Arial"/>
          <w:i/>
          <w:iCs/>
        </w:rPr>
        <w:t>Energy</w:t>
      </w:r>
      <w:r w:rsidRPr="003B4E27">
        <w:rPr>
          <w:rFonts w:ascii="Arial" w:hAnsi="Arial" w:cs="Arial"/>
        </w:rPr>
        <w:t>, 180, pp. 751–762.</w:t>
      </w:r>
    </w:p>
    <w:p w14:paraId="7C343100" w14:textId="77777777" w:rsidR="005D3687" w:rsidRPr="003B4E27" w:rsidRDefault="005D3687" w:rsidP="003B4E27">
      <w:pPr>
        <w:pStyle w:val="Bibliography"/>
        <w:spacing w:line="240" w:lineRule="auto"/>
        <w:rPr>
          <w:rFonts w:ascii="Arial" w:hAnsi="Arial" w:cs="Arial"/>
        </w:rPr>
      </w:pPr>
      <w:r w:rsidRPr="003B4E27">
        <w:rPr>
          <w:rFonts w:ascii="Arial" w:hAnsi="Arial" w:cs="Arial"/>
        </w:rPr>
        <w:t xml:space="preserve">Reijnders, V., van der Laan, M. and Dijkstra, R. (2020) Energy communities: a Dutch case study, in: </w:t>
      </w:r>
      <w:r w:rsidRPr="003B4E27">
        <w:rPr>
          <w:rFonts w:ascii="Arial" w:hAnsi="Arial" w:cs="Arial"/>
          <w:i/>
          <w:iCs/>
        </w:rPr>
        <w:t>Behind and Beyond the Meter Digitalization, Aggregation, Optimization, Monetization</w:t>
      </w:r>
      <w:r w:rsidRPr="003B4E27">
        <w:rPr>
          <w:rFonts w:ascii="Arial" w:hAnsi="Arial" w:cs="Arial"/>
        </w:rPr>
        <w:t>.</w:t>
      </w:r>
    </w:p>
    <w:p w14:paraId="7948BF6A" w14:textId="77777777" w:rsidR="005D3687" w:rsidRPr="003B4E27" w:rsidRDefault="005D3687" w:rsidP="003B4E27">
      <w:pPr>
        <w:pStyle w:val="Bibliography"/>
        <w:spacing w:line="240" w:lineRule="auto"/>
        <w:rPr>
          <w:rFonts w:ascii="Arial" w:hAnsi="Arial" w:cs="Arial"/>
        </w:rPr>
      </w:pPr>
      <w:r w:rsidRPr="003B4E27">
        <w:rPr>
          <w:rFonts w:ascii="Arial" w:hAnsi="Arial" w:cs="Arial"/>
        </w:rPr>
        <w:t xml:space="preserve">Skjølsvold, T. M., Throndsen, W., Ryghaug, M., Fjells\aa, I. F. and Koksvik, G. H. (2018) Orchestrating households as collectives of participation in the distributed energy transition: New empirical and conceptual insights, </w:t>
      </w:r>
      <w:r w:rsidRPr="003B4E27">
        <w:rPr>
          <w:rFonts w:ascii="Arial" w:hAnsi="Arial" w:cs="Arial"/>
          <w:i/>
          <w:iCs/>
        </w:rPr>
        <w:t>Energy Research &amp; Social Science</w:t>
      </w:r>
      <w:r w:rsidRPr="003B4E27">
        <w:rPr>
          <w:rFonts w:ascii="Arial" w:hAnsi="Arial" w:cs="Arial"/>
        </w:rPr>
        <w:t>, 46, pp. 252–261.</w:t>
      </w:r>
    </w:p>
    <w:p w14:paraId="76E42D6E" w14:textId="77777777" w:rsidR="005D3687" w:rsidRPr="003B4E27" w:rsidRDefault="005D3687" w:rsidP="003B4E27">
      <w:pPr>
        <w:pStyle w:val="Bibliography"/>
        <w:spacing w:line="240" w:lineRule="auto"/>
        <w:rPr>
          <w:rFonts w:ascii="Arial" w:hAnsi="Arial" w:cs="Arial"/>
        </w:rPr>
      </w:pPr>
      <w:r w:rsidRPr="003B4E27">
        <w:rPr>
          <w:rFonts w:ascii="Arial" w:hAnsi="Arial" w:cs="Arial"/>
        </w:rPr>
        <w:t xml:space="preserve">Sorknæs, P., Lund, H., Skov, I. R., Djørup, S., Skytte, K., Morthorst, P. E. and Fausto, F. (2020) Smart Energy Markets - Future electricity, gas and heating markets, </w:t>
      </w:r>
      <w:r w:rsidRPr="003B4E27">
        <w:rPr>
          <w:rFonts w:ascii="Arial" w:hAnsi="Arial" w:cs="Arial"/>
          <w:i/>
          <w:iCs/>
        </w:rPr>
        <w:t>Renewable and Sustainable Energy Reviews</w:t>
      </w:r>
      <w:r w:rsidRPr="003B4E27">
        <w:rPr>
          <w:rFonts w:ascii="Arial" w:hAnsi="Arial" w:cs="Arial"/>
        </w:rPr>
        <w:t>, 119, pp. 109655. DOI:10.1016/j.rser.2019.109655.</w:t>
      </w:r>
    </w:p>
    <w:p w14:paraId="2AAFD2C4" w14:textId="77777777" w:rsidR="005D3687" w:rsidRPr="003B4E27" w:rsidRDefault="005D3687" w:rsidP="003B4E27">
      <w:pPr>
        <w:pStyle w:val="Bibliography"/>
        <w:spacing w:line="240" w:lineRule="auto"/>
        <w:rPr>
          <w:rFonts w:ascii="Arial" w:hAnsi="Arial" w:cs="Arial"/>
        </w:rPr>
      </w:pPr>
      <w:r w:rsidRPr="003B4E27">
        <w:rPr>
          <w:rFonts w:ascii="Arial" w:hAnsi="Arial" w:cs="Arial"/>
        </w:rPr>
        <w:t xml:space="preserve">Throndsen, W. (2017) What do experts talk about when they talk about users? Expectations and imagined users in the smart grid, </w:t>
      </w:r>
      <w:r w:rsidRPr="003B4E27">
        <w:rPr>
          <w:rFonts w:ascii="Arial" w:hAnsi="Arial" w:cs="Arial"/>
          <w:i/>
          <w:iCs/>
        </w:rPr>
        <w:t>Energy Efficiency</w:t>
      </w:r>
      <w:r w:rsidRPr="003B4E27">
        <w:rPr>
          <w:rFonts w:ascii="Arial" w:hAnsi="Arial" w:cs="Arial"/>
        </w:rPr>
        <w:t>, 10 (2), pp. 283–297.</w:t>
      </w:r>
    </w:p>
    <w:p w14:paraId="36358225" w14:textId="77777777" w:rsidR="005D3687" w:rsidRPr="003B4E27" w:rsidRDefault="005D3687" w:rsidP="003B4E27">
      <w:pPr>
        <w:pStyle w:val="Bibliography"/>
        <w:spacing w:line="240" w:lineRule="auto"/>
        <w:rPr>
          <w:rFonts w:ascii="Arial" w:hAnsi="Arial" w:cs="Arial"/>
        </w:rPr>
      </w:pPr>
      <w:r w:rsidRPr="003B4E27">
        <w:rPr>
          <w:rFonts w:ascii="Arial" w:hAnsi="Arial" w:cs="Arial"/>
        </w:rPr>
        <w:t xml:space="preserve">van der Kam, M. and van Sark, W. (2015) Smart charging of electric vehicles with photovoltaic power and vehicle-to-grid technology in a microgrid; a case study, </w:t>
      </w:r>
      <w:r w:rsidRPr="003B4E27">
        <w:rPr>
          <w:rFonts w:ascii="Arial" w:hAnsi="Arial" w:cs="Arial"/>
          <w:i/>
          <w:iCs/>
        </w:rPr>
        <w:t>Applied Energy</w:t>
      </w:r>
      <w:r w:rsidRPr="003B4E27">
        <w:rPr>
          <w:rFonts w:ascii="Arial" w:hAnsi="Arial" w:cs="Arial"/>
        </w:rPr>
        <w:t>, 152, pp. 20–30. DOI:10.1016/j.apenergy.2015.04.092.</w:t>
      </w:r>
    </w:p>
    <w:p w14:paraId="3DCE9038" w14:textId="77777777" w:rsidR="005D3687" w:rsidRPr="003B4E27" w:rsidRDefault="005D3687" w:rsidP="003B4E27">
      <w:pPr>
        <w:pStyle w:val="Bibliography"/>
        <w:spacing w:line="240" w:lineRule="auto"/>
        <w:rPr>
          <w:rFonts w:ascii="Arial" w:hAnsi="Arial" w:cs="Arial"/>
        </w:rPr>
      </w:pPr>
      <w:r w:rsidRPr="003B4E27">
        <w:rPr>
          <w:rFonts w:ascii="Arial" w:hAnsi="Arial" w:cs="Arial"/>
        </w:rPr>
        <w:t xml:space="preserve">Veilleux, G., Potisat, T., Pezim, D., Ribback, C., Ling, J., Krysztofiński, A., </w:t>
      </w:r>
      <w:r w:rsidRPr="003B4E27">
        <w:rPr>
          <w:rFonts w:ascii="Arial" w:hAnsi="Arial" w:cs="Arial"/>
          <w:i/>
          <w:iCs/>
        </w:rPr>
        <w:t>et al.</w:t>
      </w:r>
      <w:r w:rsidRPr="003B4E27">
        <w:rPr>
          <w:rFonts w:ascii="Arial" w:hAnsi="Arial" w:cs="Arial"/>
        </w:rPr>
        <w:t xml:space="preserve"> (2020) Techno-economic analysis of microgrid projects for rural electrification: A systematic approach to the redesign of Koh Jik off-grid case study, </w:t>
      </w:r>
      <w:r w:rsidRPr="003B4E27">
        <w:rPr>
          <w:rFonts w:ascii="Arial" w:hAnsi="Arial" w:cs="Arial"/>
          <w:i/>
          <w:iCs/>
        </w:rPr>
        <w:t>Energy for Sustainable Development</w:t>
      </w:r>
      <w:r w:rsidRPr="003B4E27">
        <w:rPr>
          <w:rFonts w:ascii="Arial" w:hAnsi="Arial" w:cs="Arial"/>
        </w:rPr>
        <w:t>, 54, pp. 1–13. DOI:10.1016/j.esd.2019.09.007.</w:t>
      </w:r>
    </w:p>
    <w:p w14:paraId="387F98D3" w14:textId="77777777" w:rsidR="005D3687" w:rsidRPr="003B4E27" w:rsidRDefault="005D3687" w:rsidP="003B4E27">
      <w:pPr>
        <w:pStyle w:val="Bibliography"/>
        <w:spacing w:line="240" w:lineRule="auto"/>
        <w:rPr>
          <w:rFonts w:ascii="Arial" w:hAnsi="Arial" w:cs="Arial"/>
        </w:rPr>
      </w:pPr>
      <w:r w:rsidRPr="003B4E27">
        <w:rPr>
          <w:rFonts w:ascii="Arial" w:hAnsi="Arial" w:cs="Arial"/>
        </w:rPr>
        <w:lastRenderedPageBreak/>
        <w:t xml:space="preserve">Volkova, A., Krupenski, I., Pieper, H., Ledvanov, A., Latõšov, E. and Siirde, A. (2019) Small low-temperature district heating network development prospects, </w:t>
      </w:r>
      <w:r w:rsidRPr="003B4E27">
        <w:rPr>
          <w:rFonts w:ascii="Arial" w:hAnsi="Arial" w:cs="Arial"/>
          <w:i/>
          <w:iCs/>
        </w:rPr>
        <w:t>Energy</w:t>
      </w:r>
      <w:r w:rsidRPr="003B4E27">
        <w:rPr>
          <w:rFonts w:ascii="Arial" w:hAnsi="Arial" w:cs="Arial"/>
        </w:rPr>
        <w:t>, 178, pp. 714–722. DOI:10.1016/j.energy.2019.04.083.</w:t>
      </w:r>
    </w:p>
    <w:p w14:paraId="1216A063" w14:textId="77777777" w:rsidR="005D3687" w:rsidRPr="003B4E27" w:rsidRDefault="005D3687" w:rsidP="003B4E27">
      <w:pPr>
        <w:pStyle w:val="Bibliography"/>
        <w:spacing w:line="240" w:lineRule="auto"/>
        <w:rPr>
          <w:rFonts w:ascii="Arial" w:hAnsi="Arial" w:cs="Arial"/>
        </w:rPr>
      </w:pPr>
      <w:r w:rsidRPr="003B4E27">
        <w:rPr>
          <w:rFonts w:ascii="Arial" w:hAnsi="Arial" w:cs="Arial"/>
        </w:rPr>
        <w:t xml:space="preserve">Wallsten, A. and Galis, V. (2019) The discreet charm of activeness: the vain construction of efficient smart grid users, </w:t>
      </w:r>
      <w:r w:rsidRPr="003B4E27">
        <w:rPr>
          <w:rFonts w:ascii="Arial" w:hAnsi="Arial" w:cs="Arial"/>
          <w:i/>
          <w:iCs/>
        </w:rPr>
        <w:t>Journal of Cultural Economy</w:t>
      </w:r>
      <w:r w:rsidRPr="003B4E27">
        <w:rPr>
          <w:rFonts w:ascii="Arial" w:hAnsi="Arial" w:cs="Arial"/>
        </w:rPr>
        <w:t>, 12 (6), pp. 571–589.</w:t>
      </w:r>
    </w:p>
    <w:p w14:paraId="09139F41" w14:textId="35DF9D21" w:rsidR="005D3687" w:rsidRPr="006111EA" w:rsidRDefault="005D3687" w:rsidP="003B4E27">
      <w:pPr>
        <w:pStyle w:val="Bibliography"/>
        <w:spacing w:line="240" w:lineRule="auto"/>
        <w:rPr>
          <w:rFonts w:ascii="Calibri" w:hAnsi="Calibri" w:cs="Calibri"/>
        </w:rPr>
      </w:pPr>
      <w:r w:rsidRPr="003B4E27">
        <w:rPr>
          <w:rFonts w:ascii="Arial" w:hAnsi="Arial" w:cs="Arial"/>
        </w:rPr>
        <w:t xml:space="preserve">Zhang, C., Wu, J., Cheng, M., Zhou, Y. and Long, C. (2016) A bidding system for peer-to-peer energy trading in a grid-connected microgrid, </w:t>
      </w:r>
      <w:r w:rsidRPr="003B4E27">
        <w:rPr>
          <w:rFonts w:ascii="Arial" w:hAnsi="Arial" w:cs="Arial"/>
          <w:i/>
          <w:iCs/>
        </w:rPr>
        <w:t>Energy Procedia</w:t>
      </w:r>
      <w:r w:rsidRPr="003B4E27">
        <w:rPr>
          <w:rFonts w:ascii="Arial" w:hAnsi="Arial" w:cs="Arial"/>
        </w:rPr>
        <w:t>, 103, pp. 147–152.</w:t>
      </w:r>
    </w:p>
    <w:p w14:paraId="0E444371" w14:textId="47BAF097" w:rsidR="006751ED" w:rsidRPr="006751ED" w:rsidRDefault="003E40C8" w:rsidP="006751ED">
      <w:pPr>
        <w:spacing w:line="240" w:lineRule="auto"/>
        <w:jc w:val="both"/>
        <w:rPr>
          <w:rFonts w:ascii="Arial" w:hAnsi="Arial" w:cs="Arial"/>
        </w:rPr>
      </w:pPr>
      <w:r w:rsidRPr="00B40DB1">
        <w:rPr>
          <w:rFonts w:ascii="Arial" w:hAnsi="Arial" w:cs="Arial"/>
        </w:rPr>
        <w:fldChar w:fldCharType="end"/>
      </w:r>
      <w:r w:rsidR="006751ED" w:rsidRPr="006751ED">
        <w:rPr>
          <w:rFonts w:ascii="Arial" w:hAnsi="Arial" w:cs="Arial"/>
        </w:rPr>
        <w:t>R. Ford, C. Maidment</w:t>
      </w:r>
      <w:r w:rsidR="006751ED">
        <w:rPr>
          <w:rFonts w:ascii="Arial" w:hAnsi="Arial" w:cs="Arial"/>
        </w:rPr>
        <w:t xml:space="preserve">, M. Fell, C. Vigurs, M. Morris </w:t>
      </w:r>
      <w:r w:rsidR="006751ED" w:rsidRPr="006751ED">
        <w:rPr>
          <w:rFonts w:ascii="Arial" w:hAnsi="Arial" w:cs="Arial"/>
        </w:rPr>
        <w:t>A framework for understanding and conceptualising smart local energy systems, University of Strathclyde Publishing, UK (2019)</w:t>
      </w:r>
    </w:p>
    <w:p w14:paraId="0C1C5C07" w14:textId="77777777" w:rsidR="004A03B7" w:rsidRDefault="004A03B7" w:rsidP="004A03B7">
      <w:pPr>
        <w:jc w:val="both"/>
        <w:rPr>
          <w:rFonts w:ascii="Arial" w:hAnsi="Arial" w:cs="Arial"/>
        </w:rPr>
      </w:pPr>
      <w:bookmarkStart w:id="4" w:name="_GoBack"/>
      <w:bookmarkEnd w:id="4"/>
    </w:p>
    <w:p w14:paraId="37032221" w14:textId="77777777" w:rsidR="00BB0ACF" w:rsidRPr="004A03B7" w:rsidRDefault="004A03B7" w:rsidP="004A03B7">
      <w:pPr>
        <w:jc w:val="both"/>
        <w:rPr>
          <w:rFonts w:ascii="Arial" w:hAnsi="Arial" w:cs="Arial"/>
        </w:rPr>
      </w:pPr>
      <w:r>
        <w:rPr>
          <w:rFonts w:ascii="Arial" w:hAnsi="Arial" w:cs="Arial"/>
        </w:rPr>
        <w:t xml:space="preserve"> </w:t>
      </w:r>
    </w:p>
    <w:sectPr w:rsidR="00BB0ACF" w:rsidRPr="004A03B7">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AD31747" w16cid:durableId="21E2A8F0"/>
  <w16cid:commentId w16cid:paraId="60821E20" w16cid:durableId="21E2A8F1"/>
  <w16cid:commentId w16cid:paraId="470E5135" w16cid:durableId="21E2A8F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E4FB02" w14:textId="77777777" w:rsidR="00C64038" w:rsidRDefault="00C64038" w:rsidP="00CC7982">
      <w:pPr>
        <w:spacing w:after="0" w:line="240" w:lineRule="auto"/>
      </w:pPr>
      <w:r>
        <w:separator/>
      </w:r>
    </w:p>
  </w:endnote>
  <w:endnote w:type="continuationSeparator" w:id="0">
    <w:p w14:paraId="387FB802" w14:textId="77777777" w:rsidR="00C64038" w:rsidRDefault="00C64038" w:rsidP="00CC7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D43E9F" w14:textId="77777777" w:rsidR="00C64038" w:rsidRDefault="00C64038" w:rsidP="00CC7982">
      <w:pPr>
        <w:spacing w:after="0" w:line="240" w:lineRule="auto"/>
      </w:pPr>
      <w:r>
        <w:separator/>
      </w:r>
    </w:p>
  </w:footnote>
  <w:footnote w:type="continuationSeparator" w:id="0">
    <w:p w14:paraId="083039DE" w14:textId="77777777" w:rsidR="00C64038" w:rsidRDefault="00C64038" w:rsidP="00CC79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9161DC"/>
    <w:multiLevelType w:val="multilevel"/>
    <w:tmpl w:val="EAF2039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F413910"/>
    <w:multiLevelType w:val="hybridMultilevel"/>
    <w:tmpl w:val="7C0A1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9A0676"/>
    <w:multiLevelType w:val="multilevel"/>
    <w:tmpl w:val="2000E542"/>
    <w:lvl w:ilvl="0">
      <w:start w:val="2"/>
      <w:numFmt w:val="decimal"/>
      <w:lvlText w:val="%1"/>
      <w:lvlJc w:val="left"/>
      <w:pPr>
        <w:ind w:left="498" w:hanging="498"/>
      </w:pPr>
      <w:rPr>
        <w:rFonts w:hint="default"/>
      </w:rPr>
    </w:lvl>
    <w:lvl w:ilvl="1">
      <w:start w:val="4"/>
      <w:numFmt w:val="decimal"/>
      <w:lvlText w:val="%1.%2"/>
      <w:lvlJc w:val="left"/>
      <w:pPr>
        <w:ind w:left="498" w:hanging="49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E9E6FB4"/>
    <w:multiLevelType w:val="hybridMultilevel"/>
    <w:tmpl w:val="4038F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F46348"/>
    <w:multiLevelType w:val="hybridMultilevel"/>
    <w:tmpl w:val="1A16377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B8F6F26"/>
    <w:multiLevelType w:val="multilevel"/>
    <w:tmpl w:val="3422863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5808610E"/>
    <w:multiLevelType w:val="hybridMultilevel"/>
    <w:tmpl w:val="248A3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9D26C6"/>
    <w:multiLevelType w:val="multilevel"/>
    <w:tmpl w:val="6090DED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C823B20"/>
    <w:multiLevelType w:val="hybridMultilevel"/>
    <w:tmpl w:val="D8582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4947A2"/>
    <w:multiLevelType w:val="hybridMultilevel"/>
    <w:tmpl w:val="A78AD4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3562248"/>
    <w:multiLevelType w:val="multilevel"/>
    <w:tmpl w:val="E8A6C904"/>
    <w:lvl w:ilvl="0">
      <w:start w:val="1"/>
      <w:numFmt w:val="decimal"/>
      <w:pStyle w:val="Heading1"/>
      <w:lvlText w:val="%1"/>
      <w:lvlJc w:val="left"/>
      <w:pPr>
        <w:tabs>
          <w:tab w:val="num" w:pos="432"/>
        </w:tabs>
        <w:ind w:left="432" w:hanging="432"/>
      </w:pPr>
      <w:rPr>
        <w:szCs w:val="28"/>
      </w:r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rPr>
        <w:rFonts w:ascii="Calibri" w:hAnsi="Calibri" w:cs="Calibri" w:hint="default"/>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74182086"/>
    <w:multiLevelType w:val="multilevel"/>
    <w:tmpl w:val="DADA8F2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41940A0"/>
    <w:multiLevelType w:val="hybridMultilevel"/>
    <w:tmpl w:val="E6F62F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9864C51"/>
    <w:multiLevelType w:val="hybridMultilevel"/>
    <w:tmpl w:val="FE70B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2"/>
  </w:num>
  <w:num w:numId="4">
    <w:abstractNumId w:val="2"/>
  </w:num>
  <w:num w:numId="5">
    <w:abstractNumId w:val="0"/>
  </w:num>
  <w:num w:numId="6">
    <w:abstractNumId w:val="1"/>
  </w:num>
  <w:num w:numId="7">
    <w:abstractNumId w:val="6"/>
  </w:num>
  <w:num w:numId="8">
    <w:abstractNumId w:val="9"/>
  </w:num>
  <w:num w:numId="9">
    <w:abstractNumId w:val="3"/>
  </w:num>
  <w:num w:numId="10">
    <w:abstractNumId w:val="8"/>
  </w:num>
  <w:num w:numId="11">
    <w:abstractNumId w:val="10"/>
  </w:num>
  <w:num w:numId="12">
    <w:abstractNumId w:val="11"/>
  </w:num>
  <w:num w:numId="13">
    <w:abstractNumId w:val="7"/>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rIwNDM0MjQysjA3NTdX0lEKTi0uzszPAykwrAUAkQiCvSwAAAA="/>
  </w:docVars>
  <w:rsids>
    <w:rsidRoot w:val="00BB0ACF"/>
    <w:rsid w:val="00001F7D"/>
    <w:rsid w:val="000036A3"/>
    <w:rsid w:val="00026BDF"/>
    <w:rsid w:val="00034123"/>
    <w:rsid w:val="00040461"/>
    <w:rsid w:val="00084076"/>
    <w:rsid w:val="000D5722"/>
    <w:rsid w:val="00103AC8"/>
    <w:rsid w:val="00123D6D"/>
    <w:rsid w:val="00131F7B"/>
    <w:rsid w:val="00141302"/>
    <w:rsid w:val="00150610"/>
    <w:rsid w:val="001622A2"/>
    <w:rsid w:val="001843EC"/>
    <w:rsid w:val="0018545C"/>
    <w:rsid w:val="001927A4"/>
    <w:rsid w:val="001A31F5"/>
    <w:rsid w:val="001B7CBF"/>
    <w:rsid w:val="001E1B9C"/>
    <w:rsid w:val="001F5DB3"/>
    <w:rsid w:val="00204739"/>
    <w:rsid w:val="002163FE"/>
    <w:rsid w:val="00222324"/>
    <w:rsid w:val="00231D08"/>
    <w:rsid w:val="00264239"/>
    <w:rsid w:val="0028707D"/>
    <w:rsid w:val="002877B4"/>
    <w:rsid w:val="00290B71"/>
    <w:rsid w:val="002B6B58"/>
    <w:rsid w:val="002C33AC"/>
    <w:rsid w:val="002C3450"/>
    <w:rsid w:val="002D6303"/>
    <w:rsid w:val="002F3661"/>
    <w:rsid w:val="002F5450"/>
    <w:rsid w:val="00341732"/>
    <w:rsid w:val="00343481"/>
    <w:rsid w:val="00347D1C"/>
    <w:rsid w:val="00363F16"/>
    <w:rsid w:val="003650ED"/>
    <w:rsid w:val="00371C95"/>
    <w:rsid w:val="00372CD9"/>
    <w:rsid w:val="00373102"/>
    <w:rsid w:val="00375631"/>
    <w:rsid w:val="00377B20"/>
    <w:rsid w:val="003B4E27"/>
    <w:rsid w:val="003D23F3"/>
    <w:rsid w:val="003D7E21"/>
    <w:rsid w:val="003E154D"/>
    <w:rsid w:val="003E40C8"/>
    <w:rsid w:val="0041120F"/>
    <w:rsid w:val="00416633"/>
    <w:rsid w:val="00433960"/>
    <w:rsid w:val="00460721"/>
    <w:rsid w:val="0046099A"/>
    <w:rsid w:val="0047637B"/>
    <w:rsid w:val="00484BA9"/>
    <w:rsid w:val="004950B7"/>
    <w:rsid w:val="004A03B7"/>
    <w:rsid w:val="004A23CD"/>
    <w:rsid w:val="004B0A1B"/>
    <w:rsid w:val="004B6808"/>
    <w:rsid w:val="004C0B18"/>
    <w:rsid w:val="004C7535"/>
    <w:rsid w:val="004F0DC3"/>
    <w:rsid w:val="004F31FF"/>
    <w:rsid w:val="004F7F5B"/>
    <w:rsid w:val="00505774"/>
    <w:rsid w:val="00506694"/>
    <w:rsid w:val="00513413"/>
    <w:rsid w:val="00515CF3"/>
    <w:rsid w:val="00525CAF"/>
    <w:rsid w:val="0052761D"/>
    <w:rsid w:val="00536009"/>
    <w:rsid w:val="005475F6"/>
    <w:rsid w:val="005503C6"/>
    <w:rsid w:val="00567677"/>
    <w:rsid w:val="00576770"/>
    <w:rsid w:val="00577C51"/>
    <w:rsid w:val="00582279"/>
    <w:rsid w:val="00583380"/>
    <w:rsid w:val="0059008F"/>
    <w:rsid w:val="00593DD1"/>
    <w:rsid w:val="005A65C5"/>
    <w:rsid w:val="005D3687"/>
    <w:rsid w:val="005E04FD"/>
    <w:rsid w:val="005E3856"/>
    <w:rsid w:val="005E6B10"/>
    <w:rsid w:val="005F2BCF"/>
    <w:rsid w:val="005F3716"/>
    <w:rsid w:val="0060271B"/>
    <w:rsid w:val="006111EA"/>
    <w:rsid w:val="00614B05"/>
    <w:rsid w:val="00622757"/>
    <w:rsid w:val="00624BBF"/>
    <w:rsid w:val="006254C1"/>
    <w:rsid w:val="00636C5C"/>
    <w:rsid w:val="006436B1"/>
    <w:rsid w:val="0064570A"/>
    <w:rsid w:val="006751ED"/>
    <w:rsid w:val="0067677B"/>
    <w:rsid w:val="00677F83"/>
    <w:rsid w:val="00686156"/>
    <w:rsid w:val="00695093"/>
    <w:rsid w:val="00697D0C"/>
    <w:rsid w:val="006A2FBE"/>
    <w:rsid w:val="006A321D"/>
    <w:rsid w:val="006A5767"/>
    <w:rsid w:val="006C1C93"/>
    <w:rsid w:val="006C220A"/>
    <w:rsid w:val="006C7C73"/>
    <w:rsid w:val="006D0EBF"/>
    <w:rsid w:val="006D1342"/>
    <w:rsid w:val="006F4D02"/>
    <w:rsid w:val="00724B86"/>
    <w:rsid w:val="0073063C"/>
    <w:rsid w:val="00732044"/>
    <w:rsid w:val="007335F8"/>
    <w:rsid w:val="00737250"/>
    <w:rsid w:val="00746DA1"/>
    <w:rsid w:val="00746E7A"/>
    <w:rsid w:val="00752B9F"/>
    <w:rsid w:val="00755601"/>
    <w:rsid w:val="00767A99"/>
    <w:rsid w:val="00772D4F"/>
    <w:rsid w:val="0077384F"/>
    <w:rsid w:val="007748A7"/>
    <w:rsid w:val="00774EF4"/>
    <w:rsid w:val="007865BE"/>
    <w:rsid w:val="007A115B"/>
    <w:rsid w:val="007A3267"/>
    <w:rsid w:val="007C40AA"/>
    <w:rsid w:val="0081100F"/>
    <w:rsid w:val="00817F4A"/>
    <w:rsid w:val="008459F8"/>
    <w:rsid w:val="00872B55"/>
    <w:rsid w:val="00890532"/>
    <w:rsid w:val="008A6745"/>
    <w:rsid w:val="008B3F88"/>
    <w:rsid w:val="008B6728"/>
    <w:rsid w:val="008C17CA"/>
    <w:rsid w:val="008C6D59"/>
    <w:rsid w:val="008C7F15"/>
    <w:rsid w:val="008D568F"/>
    <w:rsid w:val="008D5B21"/>
    <w:rsid w:val="008E0322"/>
    <w:rsid w:val="008E03FB"/>
    <w:rsid w:val="008E7692"/>
    <w:rsid w:val="008F0827"/>
    <w:rsid w:val="0090577E"/>
    <w:rsid w:val="0093136A"/>
    <w:rsid w:val="00955FFD"/>
    <w:rsid w:val="0096140A"/>
    <w:rsid w:val="009718D3"/>
    <w:rsid w:val="00986517"/>
    <w:rsid w:val="009A497C"/>
    <w:rsid w:val="009B5175"/>
    <w:rsid w:val="009C4193"/>
    <w:rsid w:val="009D5A63"/>
    <w:rsid w:val="009E0E99"/>
    <w:rsid w:val="009E53E3"/>
    <w:rsid w:val="009E62B3"/>
    <w:rsid w:val="009E7CD3"/>
    <w:rsid w:val="009F7626"/>
    <w:rsid w:val="00A04145"/>
    <w:rsid w:val="00A1244F"/>
    <w:rsid w:val="00A128DA"/>
    <w:rsid w:val="00A238AC"/>
    <w:rsid w:val="00A3230E"/>
    <w:rsid w:val="00A367CE"/>
    <w:rsid w:val="00A44019"/>
    <w:rsid w:val="00A534BE"/>
    <w:rsid w:val="00A60F85"/>
    <w:rsid w:val="00A62FAD"/>
    <w:rsid w:val="00A7230B"/>
    <w:rsid w:val="00A81576"/>
    <w:rsid w:val="00A93D15"/>
    <w:rsid w:val="00AA4C32"/>
    <w:rsid w:val="00AB1934"/>
    <w:rsid w:val="00AB3DBE"/>
    <w:rsid w:val="00AB6834"/>
    <w:rsid w:val="00AC51B7"/>
    <w:rsid w:val="00AC5417"/>
    <w:rsid w:val="00AC7256"/>
    <w:rsid w:val="00AD1C45"/>
    <w:rsid w:val="00AD3415"/>
    <w:rsid w:val="00AF05B7"/>
    <w:rsid w:val="00B002B2"/>
    <w:rsid w:val="00B02DBF"/>
    <w:rsid w:val="00B242C0"/>
    <w:rsid w:val="00B33D05"/>
    <w:rsid w:val="00B3444F"/>
    <w:rsid w:val="00B40DB1"/>
    <w:rsid w:val="00B74959"/>
    <w:rsid w:val="00B862FF"/>
    <w:rsid w:val="00B95BB4"/>
    <w:rsid w:val="00BB0ACF"/>
    <w:rsid w:val="00BC61F3"/>
    <w:rsid w:val="00BC72BA"/>
    <w:rsid w:val="00BE1F72"/>
    <w:rsid w:val="00BE4D30"/>
    <w:rsid w:val="00BF3E81"/>
    <w:rsid w:val="00C01C5F"/>
    <w:rsid w:val="00C07F78"/>
    <w:rsid w:val="00C10976"/>
    <w:rsid w:val="00C51B90"/>
    <w:rsid w:val="00C64038"/>
    <w:rsid w:val="00C72D39"/>
    <w:rsid w:val="00C740FC"/>
    <w:rsid w:val="00C83DFE"/>
    <w:rsid w:val="00C926B5"/>
    <w:rsid w:val="00C95CCC"/>
    <w:rsid w:val="00C95F62"/>
    <w:rsid w:val="00CA18B4"/>
    <w:rsid w:val="00CB11A0"/>
    <w:rsid w:val="00CC0051"/>
    <w:rsid w:val="00CC7982"/>
    <w:rsid w:val="00CD0D65"/>
    <w:rsid w:val="00CE29FE"/>
    <w:rsid w:val="00CE3AC4"/>
    <w:rsid w:val="00CF74AC"/>
    <w:rsid w:val="00D02D5A"/>
    <w:rsid w:val="00D24273"/>
    <w:rsid w:val="00D332CF"/>
    <w:rsid w:val="00D35A54"/>
    <w:rsid w:val="00D3640B"/>
    <w:rsid w:val="00D3649E"/>
    <w:rsid w:val="00D51DA7"/>
    <w:rsid w:val="00D55015"/>
    <w:rsid w:val="00D76672"/>
    <w:rsid w:val="00D8531B"/>
    <w:rsid w:val="00D92EAC"/>
    <w:rsid w:val="00D93C5B"/>
    <w:rsid w:val="00DB2037"/>
    <w:rsid w:val="00DB7E63"/>
    <w:rsid w:val="00DC5BB5"/>
    <w:rsid w:val="00DD52E3"/>
    <w:rsid w:val="00E01701"/>
    <w:rsid w:val="00E067F0"/>
    <w:rsid w:val="00E07F4F"/>
    <w:rsid w:val="00E10581"/>
    <w:rsid w:val="00E15DE4"/>
    <w:rsid w:val="00E3503D"/>
    <w:rsid w:val="00E545BC"/>
    <w:rsid w:val="00E727EA"/>
    <w:rsid w:val="00E74728"/>
    <w:rsid w:val="00E74A0B"/>
    <w:rsid w:val="00EA35C7"/>
    <w:rsid w:val="00EB436E"/>
    <w:rsid w:val="00EC0F84"/>
    <w:rsid w:val="00EC785F"/>
    <w:rsid w:val="00ED1A1D"/>
    <w:rsid w:val="00ED1AEF"/>
    <w:rsid w:val="00ED4E03"/>
    <w:rsid w:val="00EE2D81"/>
    <w:rsid w:val="00EE7FC3"/>
    <w:rsid w:val="00EF1466"/>
    <w:rsid w:val="00F049A8"/>
    <w:rsid w:val="00F0722B"/>
    <w:rsid w:val="00F3271E"/>
    <w:rsid w:val="00F61A70"/>
    <w:rsid w:val="00F9434C"/>
    <w:rsid w:val="00F967C9"/>
    <w:rsid w:val="00FA3511"/>
    <w:rsid w:val="00FB327C"/>
    <w:rsid w:val="00FB3350"/>
    <w:rsid w:val="00FB6B71"/>
    <w:rsid w:val="00FC40DC"/>
    <w:rsid w:val="00FE25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690D22"/>
  <w15:chartTrackingRefBased/>
  <w15:docId w15:val="{9C802DA3-05B3-4DE5-A4A7-D39CD1CAE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Section Heading"/>
    <w:basedOn w:val="Normal"/>
    <w:next w:val="Normal"/>
    <w:link w:val="Heading1Char"/>
    <w:qFormat/>
    <w:rsid w:val="005F3716"/>
    <w:pPr>
      <w:keepNext/>
      <w:pageBreakBefore/>
      <w:numPr>
        <w:numId w:val="11"/>
      </w:numPr>
      <w:pBdr>
        <w:bottom w:val="single" w:sz="4" w:space="1" w:color="auto"/>
      </w:pBdr>
      <w:spacing w:after="120" w:line="288" w:lineRule="auto"/>
      <w:outlineLvl w:val="0"/>
    </w:pPr>
    <w:rPr>
      <w:rFonts w:ascii="Calibri" w:eastAsia="Times New Roman" w:hAnsi="Calibri" w:cs="Calibri"/>
      <w:b/>
      <w:bCs/>
      <w:color w:val="51493E"/>
      <w:kern w:val="28"/>
      <w:sz w:val="28"/>
      <w:szCs w:val="28"/>
      <w:lang w:eastAsia="en-GB"/>
    </w:rPr>
  </w:style>
  <w:style w:type="paragraph" w:styleId="Heading2">
    <w:name w:val="heading 2"/>
    <w:aliases w:val="Heading 2- Grey,Heading 2- dark red"/>
    <w:basedOn w:val="Heading1"/>
    <w:next w:val="Normal"/>
    <w:link w:val="Heading2Char"/>
    <w:qFormat/>
    <w:rsid w:val="005F3716"/>
    <w:pPr>
      <w:pageBreakBefore w:val="0"/>
      <w:numPr>
        <w:ilvl w:val="1"/>
      </w:numPr>
      <w:pBdr>
        <w:bottom w:val="none" w:sz="0" w:space="0" w:color="auto"/>
      </w:pBdr>
      <w:outlineLvl w:val="1"/>
    </w:pPr>
    <w:rPr>
      <w:sz w:val="24"/>
      <w:szCs w:val="24"/>
    </w:rPr>
  </w:style>
  <w:style w:type="paragraph" w:styleId="Heading3">
    <w:name w:val="heading 3"/>
    <w:aliases w:val="Heading 3 - grey,Heading 3 - dark red"/>
    <w:basedOn w:val="Heading1"/>
    <w:next w:val="Normal"/>
    <w:link w:val="Heading3Char"/>
    <w:qFormat/>
    <w:rsid w:val="005F3716"/>
    <w:pPr>
      <w:pageBreakBefore w:val="0"/>
      <w:numPr>
        <w:ilvl w:val="2"/>
      </w:numPr>
      <w:pBdr>
        <w:bottom w:val="none" w:sz="0" w:space="0" w:color="auto"/>
      </w:pBdr>
      <w:outlineLvl w:val="2"/>
    </w:pPr>
    <w:rPr>
      <w:sz w:val="20"/>
      <w:szCs w:val="22"/>
    </w:rPr>
  </w:style>
  <w:style w:type="paragraph" w:styleId="Heading4">
    <w:name w:val="heading 4"/>
    <w:next w:val="Normal"/>
    <w:link w:val="Heading4Char"/>
    <w:qFormat/>
    <w:rsid w:val="005F3716"/>
    <w:pPr>
      <w:numPr>
        <w:ilvl w:val="3"/>
        <w:numId w:val="11"/>
      </w:numPr>
      <w:spacing w:after="120" w:line="288" w:lineRule="auto"/>
      <w:outlineLvl w:val="3"/>
    </w:pPr>
    <w:rPr>
      <w:rFonts w:ascii="Arial" w:eastAsia="Times New Roman" w:hAnsi="Arial" w:cs="Times New Roman"/>
      <w:bCs/>
      <w:color w:val="51493E"/>
      <w:kern w:val="28"/>
      <w:sz w:val="20"/>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AuthorName">
    <w:name w:val="02. Author Name"/>
    <w:basedOn w:val="Normal"/>
    <w:autoRedefine/>
    <w:qFormat/>
    <w:rsid w:val="00A128DA"/>
    <w:pPr>
      <w:tabs>
        <w:tab w:val="left" w:pos="3960"/>
        <w:tab w:val="left" w:pos="7560"/>
      </w:tabs>
      <w:spacing w:after="0" w:line="240" w:lineRule="auto"/>
    </w:pPr>
    <w:rPr>
      <w:rFonts w:ascii="Arial" w:eastAsia="Calibri" w:hAnsi="Arial" w:cs="Arial"/>
      <w:b/>
      <w:sz w:val="44"/>
      <w:szCs w:val="44"/>
      <w:lang w:val="en-US"/>
    </w:rPr>
  </w:style>
  <w:style w:type="paragraph" w:customStyle="1" w:styleId="04AbstractHeading">
    <w:name w:val="04. Abstract Heading"/>
    <w:basedOn w:val="Normal"/>
    <w:autoRedefine/>
    <w:qFormat/>
    <w:rsid w:val="00BB0ACF"/>
    <w:pPr>
      <w:tabs>
        <w:tab w:val="left" w:pos="3960"/>
        <w:tab w:val="left" w:pos="7560"/>
      </w:tabs>
      <w:spacing w:before="480" w:after="120" w:line="240" w:lineRule="auto"/>
    </w:pPr>
    <w:rPr>
      <w:rFonts w:ascii="Verdana" w:eastAsia="Calibri" w:hAnsi="Verdana" w:cs="Times New Roman"/>
      <w:b/>
      <w:caps/>
      <w:sz w:val="20"/>
      <w:szCs w:val="20"/>
      <w:lang w:val="en-US"/>
    </w:rPr>
  </w:style>
  <w:style w:type="paragraph" w:customStyle="1" w:styleId="10Level1Heading">
    <w:name w:val="10. Level 1 Heading"/>
    <w:basedOn w:val="Normal"/>
    <w:autoRedefine/>
    <w:qFormat/>
    <w:rsid w:val="00373102"/>
    <w:pPr>
      <w:autoSpaceDE w:val="0"/>
      <w:autoSpaceDN w:val="0"/>
      <w:adjustRightInd w:val="0"/>
      <w:spacing w:after="0" w:line="288" w:lineRule="auto"/>
      <w:jc w:val="both"/>
      <w:textAlignment w:val="center"/>
    </w:pPr>
    <w:rPr>
      <w:rFonts w:ascii="Arial" w:eastAsia="Calibri" w:hAnsi="Arial" w:cs="Arial"/>
      <w:lang w:val="en-US"/>
    </w:rPr>
  </w:style>
  <w:style w:type="paragraph" w:styleId="Bibliography">
    <w:name w:val="Bibliography"/>
    <w:basedOn w:val="Normal"/>
    <w:next w:val="Normal"/>
    <w:uiPriority w:val="37"/>
    <w:unhideWhenUsed/>
    <w:rsid w:val="003E40C8"/>
    <w:pPr>
      <w:spacing w:after="240" w:line="480" w:lineRule="auto"/>
    </w:pPr>
  </w:style>
  <w:style w:type="paragraph" w:styleId="Caption">
    <w:name w:val="caption"/>
    <w:basedOn w:val="Normal"/>
    <w:next w:val="Normal"/>
    <w:unhideWhenUsed/>
    <w:qFormat/>
    <w:rsid w:val="00CE29FE"/>
    <w:pPr>
      <w:spacing w:after="200" w:line="240" w:lineRule="auto"/>
    </w:pPr>
    <w:rPr>
      <w:i/>
      <w:iCs/>
      <w:color w:val="44546A" w:themeColor="text2"/>
      <w:sz w:val="18"/>
      <w:szCs w:val="18"/>
    </w:rPr>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695093"/>
    <w:pPr>
      <w:ind w:left="720"/>
      <w:contextualSpacing/>
    </w:pPr>
  </w:style>
  <w:style w:type="paragraph" w:customStyle="1" w:styleId="06BodyMaintext">
    <w:name w:val="06. Body [Main text]"/>
    <w:basedOn w:val="Normal"/>
    <w:autoRedefine/>
    <w:qFormat/>
    <w:rsid w:val="00593DD1"/>
    <w:pPr>
      <w:widowControl w:val="0"/>
      <w:autoSpaceDE w:val="0"/>
      <w:autoSpaceDN w:val="0"/>
      <w:adjustRightInd w:val="0"/>
      <w:spacing w:after="0" w:line="264" w:lineRule="auto"/>
      <w:jc w:val="both"/>
      <w:textAlignment w:val="center"/>
    </w:pPr>
    <w:rPr>
      <w:rFonts w:ascii="Arial" w:eastAsia="Calibri" w:hAnsi="Arial" w:cs="Arial"/>
      <w:b/>
      <w:bCs/>
      <w:szCs w:val="20"/>
      <w:lang w:val="en-US"/>
    </w:rPr>
  </w:style>
  <w:style w:type="paragraph" w:styleId="BalloonText">
    <w:name w:val="Balloon Text"/>
    <w:basedOn w:val="Normal"/>
    <w:link w:val="BalloonTextChar"/>
    <w:uiPriority w:val="99"/>
    <w:semiHidden/>
    <w:unhideWhenUsed/>
    <w:rsid w:val="00614B05"/>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14B05"/>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614B05"/>
    <w:rPr>
      <w:sz w:val="16"/>
      <w:szCs w:val="16"/>
    </w:rPr>
  </w:style>
  <w:style w:type="paragraph" w:styleId="CommentText">
    <w:name w:val="annotation text"/>
    <w:basedOn w:val="Normal"/>
    <w:link w:val="CommentTextChar"/>
    <w:uiPriority w:val="99"/>
    <w:semiHidden/>
    <w:unhideWhenUsed/>
    <w:rsid w:val="00614B05"/>
    <w:pPr>
      <w:spacing w:line="240" w:lineRule="auto"/>
    </w:pPr>
    <w:rPr>
      <w:sz w:val="20"/>
      <w:szCs w:val="20"/>
    </w:rPr>
  </w:style>
  <w:style w:type="character" w:customStyle="1" w:styleId="CommentTextChar">
    <w:name w:val="Comment Text Char"/>
    <w:basedOn w:val="DefaultParagraphFont"/>
    <w:link w:val="CommentText"/>
    <w:uiPriority w:val="99"/>
    <w:semiHidden/>
    <w:rsid w:val="00614B05"/>
    <w:rPr>
      <w:sz w:val="20"/>
      <w:szCs w:val="20"/>
    </w:rPr>
  </w:style>
  <w:style w:type="paragraph" w:styleId="CommentSubject">
    <w:name w:val="annotation subject"/>
    <w:basedOn w:val="CommentText"/>
    <w:next w:val="CommentText"/>
    <w:link w:val="CommentSubjectChar"/>
    <w:uiPriority w:val="99"/>
    <w:semiHidden/>
    <w:unhideWhenUsed/>
    <w:rsid w:val="00614B05"/>
    <w:rPr>
      <w:b/>
      <w:bCs/>
    </w:rPr>
  </w:style>
  <w:style w:type="character" w:customStyle="1" w:styleId="CommentSubjectChar">
    <w:name w:val="Comment Subject Char"/>
    <w:basedOn w:val="CommentTextChar"/>
    <w:link w:val="CommentSubject"/>
    <w:uiPriority w:val="99"/>
    <w:semiHidden/>
    <w:rsid w:val="00614B05"/>
    <w:rPr>
      <w:b/>
      <w:bCs/>
      <w:sz w:val="20"/>
      <w:szCs w:val="20"/>
    </w:rPr>
  </w:style>
  <w:style w:type="paragraph" w:styleId="EndnoteText">
    <w:name w:val="endnote text"/>
    <w:basedOn w:val="Normal"/>
    <w:link w:val="EndnoteTextChar"/>
    <w:uiPriority w:val="99"/>
    <w:semiHidden/>
    <w:unhideWhenUsed/>
    <w:rsid w:val="00CC798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C7982"/>
    <w:rPr>
      <w:sz w:val="20"/>
      <w:szCs w:val="20"/>
    </w:rPr>
  </w:style>
  <w:style w:type="character" w:styleId="EndnoteReference">
    <w:name w:val="endnote reference"/>
    <w:basedOn w:val="DefaultParagraphFont"/>
    <w:uiPriority w:val="99"/>
    <w:semiHidden/>
    <w:unhideWhenUsed/>
    <w:rsid w:val="00CC7982"/>
    <w:rPr>
      <w:vertAlign w:val="superscript"/>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CC7982"/>
  </w:style>
  <w:style w:type="character" w:customStyle="1" w:styleId="Heading1Char">
    <w:name w:val="Heading 1 Char"/>
    <w:aliases w:val="Section Heading Char"/>
    <w:basedOn w:val="DefaultParagraphFont"/>
    <w:link w:val="Heading1"/>
    <w:rsid w:val="005F3716"/>
    <w:rPr>
      <w:rFonts w:ascii="Calibri" w:eastAsia="Times New Roman" w:hAnsi="Calibri" w:cs="Calibri"/>
      <w:b/>
      <w:bCs/>
      <w:color w:val="51493E"/>
      <w:kern w:val="28"/>
      <w:sz w:val="28"/>
      <w:szCs w:val="28"/>
      <w:lang w:eastAsia="en-GB"/>
    </w:rPr>
  </w:style>
  <w:style w:type="character" w:customStyle="1" w:styleId="Heading2Char">
    <w:name w:val="Heading 2 Char"/>
    <w:aliases w:val="Heading 2- Grey Char,Heading 2- dark red Char"/>
    <w:basedOn w:val="DefaultParagraphFont"/>
    <w:link w:val="Heading2"/>
    <w:rsid w:val="005F3716"/>
    <w:rPr>
      <w:rFonts w:ascii="Calibri" w:eastAsia="Times New Roman" w:hAnsi="Calibri" w:cs="Calibri"/>
      <w:b/>
      <w:bCs/>
      <w:color w:val="51493E"/>
      <w:kern w:val="28"/>
      <w:sz w:val="24"/>
      <w:szCs w:val="24"/>
      <w:lang w:eastAsia="en-GB"/>
    </w:rPr>
  </w:style>
  <w:style w:type="character" w:customStyle="1" w:styleId="Heading3Char">
    <w:name w:val="Heading 3 Char"/>
    <w:aliases w:val="Heading 3 - grey Char,Heading 3 - dark red Char"/>
    <w:basedOn w:val="DefaultParagraphFont"/>
    <w:link w:val="Heading3"/>
    <w:rsid w:val="005F3716"/>
    <w:rPr>
      <w:rFonts w:ascii="Calibri" w:eastAsia="Times New Roman" w:hAnsi="Calibri" w:cs="Calibri"/>
      <w:b/>
      <w:bCs/>
      <w:color w:val="51493E"/>
      <w:kern w:val="28"/>
      <w:sz w:val="20"/>
      <w:lang w:eastAsia="en-GB"/>
    </w:rPr>
  </w:style>
  <w:style w:type="character" w:customStyle="1" w:styleId="Heading4Char">
    <w:name w:val="Heading 4 Char"/>
    <w:basedOn w:val="DefaultParagraphFont"/>
    <w:link w:val="Heading4"/>
    <w:rsid w:val="005F3716"/>
    <w:rPr>
      <w:rFonts w:ascii="Arial" w:eastAsia="Times New Roman" w:hAnsi="Arial" w:cs="Times New Roman"/>
      <w:bCs/>
      <w:color w:val="51493E"/>
      <w:kern w:val="28"/>
      <w:sz w:val="20"/>
      <w:szCs w:val="28"/>
      <w:lang w:eastAsia="en-GB"/>
    </w:rPr>
  </w:style>
  <w:style w:type="paragraph" w:styleId="PlainText">
    <w:name w:val="Plain Text"/>
    <w:basedOn w:val="Normal"/>
    <w:link w:val="PlainTextChar"/>
    <w:uiPriority w:val="99"/>
    <w:semiHidden/>
    <w:unhideWhenUsed/>
    <w:rsid w:val="005F3716"/>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5F3716"/>
    <w:rPr>
      <w:rFonts w:ascii="Calibri" w:hAnsi="Calibri"/>
      <w:szCs w:val="21"/>
    </w:rPr>
  </w:style>
  <w:style w:type="paragraph" w:styleId="FootnoteText">
    <w:name w:val="footnote text"/>
    <w:basedOn w:val="Normal"/>
    <w:link w:val="FootnoteTextChar"/>
    <w:uiPriority w:val="99"/>
    <w:semiHidden/>
    <w:unhideWhenUsed/>
    <w:rsid w:val="005F3716"/>
    <w:pPr>
      <w:spacing w:after="0" w:line="240" w:lineRule="auto"/>
    </w:pPr>
    <w:rPr>
      <w:rFonts w:ascii="Calibri" w:eastAsia="Times New Roman" w:hAnsi="Calibri" w:cs="Times New Roman"/>
      <w:sz w:val="20"/>
      <w:szCs w:val="20"/>
      <w:lang w:eastAsia="en-GB"/>
    </w:rPr>
  </w:style>
  <w:style w:type="character" w:customStyle="1" w:styleId="FootnoteTextChar">
    <w:name w:val="Footnote Text Char"/>
    <w:basedOn w:val="DefaultParagraphFont"/>
    <w:link w:val="FootnoteText"/>
    <w:uiPriority w:val="99"/>
    <w:semiHidden/>
    <w:rsid w:val="005F3716"/>
    <w:rPr>
      <w:rFonts w:ascii="Calibri" w:eastAsia="Times New Roman" w:hAnsi="Calibri" w:cs="Times New Roman"/>
      <w:sz w:val="20"/>
      <w:szCs w:val="20"/>
      <w:lang w:eastAsia="en-GB"/>
    </w:rPr>
  </w:style>
  <w:style w:type="character" w:styleId="FootnoteReference">
    <w:name w:val="footnote reference"/>
    <w:basedOn w:val="DefaultParagraphFont"/>
    <w:uiPriority w:val="99"/>
    <w:semiHidden/>
    <w:unhideWhenUsed/>
    <w:rsid w:val="005F3716"/>
    <w:rPr>
      <w:vertAlign w:val="superscript"/>
    </w:rPr>
  </w:style>
  <w:style w:type="character" w:styleId="Hyperlink">
    <w:name w:val="Hyperlink"/>
    <w:basedOn w:val="DefaultParagraphFont"/>
    <w:uiPriority w:val="99"/>
    <w:semiHidden/>
    <w:unhideWhenUsed/>
    <w:rsid w:val="005F3716"/>
    <w:rPr>
      <w:color w:val="0000FF"/>
      <w:u w:val="single"/>
    </w:rPr>
  </w:style>
  <w:style w:type="character" w:styleId="FollowedHyperlink">
    <w:name w:val="FollowedHyperlink"/>
    <w:basedOn w:val="DefaultParagraphFont"/>
    <w:uiPriority w:val="99"/>
    <w:semiHidden/>
    <w:unhideWhenUsed/>
    <w:rsid w:val="00AC54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449047">
      <w:bodyDiv w:val="1"/>
      <w:marLeft w:val="0"/>
      <w:marRight w:val="0"/>
      <w:marTop w:val="0"/>
      <w:marBottom w:val="0"/>
      <w:divBdr>
        <w:top w:val="none" w:sz="0" w:space="0" w:color="auto"/>
        <w:left w:val="none" w:sz="0" w:space="0" w:color="auto"/>
        <w:bottom w:val="none" w:sz="0" w:space="0" w:color="auto"/>
        <w:right w:val="none" w:sz="0" w:space="0" w:color="auto"/>
      </w:divBdr>
    </w:div>
    <w:div w:id="661548106">
      <w:bodyDiv w:val="1"/>
      <w:marLeft w:val="0"/>
      <w:marRight w:val="0"/>
      <w:marTop w:val="0"/>
      <w:marBottom w:val="0"/>
      <w:divBdr>
        <w:top w:val="none" w:sz="0" w:space="0" w:color="auto"/>
        <w:left w:val="none" w:sz="0" w:space="0" w:color="auto"/>
        <w:bottom w:val="none" w:sz="0" w:space="0" w:color="auto"/>
        <w:right w:val="none" w:sz="0" w:space="0" w:color="auto"/>
      </w:divBdr>
      <w:divsChild>
        <w:div w:id="1398819776">
          <w:marLeft w:val="0"/>
          <w:marRight w:val="0"/>
          <w:marTop w:val="0"/>
          <w:marBottom w:val="0"/>
          <w:divBdr>
            <w:top w:val="none" w:sz="0" w:space="0" w:color="auto"/>
            <w:left w:val="none" w:sz="0" w:space="0" w:color="auto"/>
            <w:bottom w:val="none" w:sz="0" w:space="0" w:color="auto"/>
            <w:right w:val="none" w:sz="0" w:space="0" w:color="auto"/>
          </w:divBdr>
          <w:divsChild>
            <w:div w:id="1751544215">
              <w:marLeft w:val="0"/>
              <w:marRight w:val="0"/>
              <w:marTop w:val="0"/>
              <w:marBottom w:val="0"/>
              <w:divBdr>
                <w:top w:val="none" w:sz="0" w:space="0" w:color="auto"/>
                <w:left w:val="none" w:sz="0" w:space="0" w:color="auto"/>
                <w:bottom w:val="none" w:sz="0" w:space="0" w:color="auto"/>
                <w:right w:val="none" w:sz="0" w:space="0" w:color="auto"/>
              </w:divBdr>
              <w:divsChild>
                <w:div w:id="1422142423">
                  <w:marLeft w:val="0"/>
                  <w:marRight w:val="0"/>
                  <w:marTop w:val="0"/>
                  <w:marBottom w:val="0"/>
                  <w:divBdr>
                    <w:top w:val="none" w:sz="0" w:space="0" w:color="auto"/>
                    <w:left w:val="none" w:sz="0" w:space="0" w:color="auto"/>
                    <w:bottom w:val="none" w:sz="0" w:space="0" w:color="auto"/>
                    <w:right w:val="none" w:sz="0" w:space="0" w:color="auto"/>
                  </w:divBdr>
                  <w:divsChild>
                    <w:div w:id="17422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510769">
      <w:bodyDiv w:val="1"/>
      <w:marLeft w:val="0"/>
      <w:marRight w:val="0"/>
      <w:marTop w:val="0"/>
      <w:marBottom w:val="0"/>
      <w:divBdr>
        <w:top w:val="none" w:sz="0" w:space="0" w:color="auto"/>
        <w:left w:val="none" w:sz="0" w:space="0" w:color="auto"/>
        <w:bottom w:val="none" w:sz="0" w:space="0" w:color="auto"/>
        <w:right w:val="none" w:sz="0" w:space="0" w:color="auto"/>
      </w:divBdr>
    </w:div>
    <w:div w:id="1231577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726F84-E6EF-4290-9066-58F795052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19095</Words>
  <Characters>108842</Characters>
  <Application>Microsoft Office Word</Application>
  <DocSecurity>0</DocSecurity>
  <Lines>907</Lines>
  <Paragraphs>255</Paragraphs>
  <ScaleCrop>false</ScaleCrop>
  <HeadingPairs>
    <vt:vector size="2" baseType="variant">
      <vt:variant>
        <vt:lpstr>Title</vt:lpstr>
      </vt:variant>
      <vt:variant>
        <vt:i4>1</vt:i4>
      </vt:variant>
    </vt:vector>
  </HeadingPairs>
  <TitlesOfParts>
    <vt:vector size="1" baseType="lpstr">
      <vt:lpstr/>
    </vt:vector>
  </TitlesOfParts>
  <Company>London South Bank University</Company>
  <LinksUpToDate>false</LinksUpToDate>
  <CharactersWithSpaces>127682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Revesz, Akos 2</dc:creator>
  <cp:keywords/>
  <dc:description/>
  <cp:lastModifiedBy>Revesz, Akos 2</cp:lastModifiedBy>
  <cp:revision>3</cp:revision>
  <dcterms:created xsi:type="dcterms:W3CDTF">2020-05-01T14:16:00Z</dcterms:created>
  <dcterms:modified xsi:type="dcterms:W3CDTF">2020-05-01T14:20:00Z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zotero-version="5.0.82"&gt;&lt;session id="UsaoVnYb"/&gt;&lt;style id="http://www.zotero.org/styles/harvard-london-south-bank-university" hasBibliography="1" bibliographyStyleHasBeenSet="1"/&gt;&lt;prefs&gt;&lt;pref name="fieldType" value="Field"/&gt;&lt;pref na</vt:lpwstr>
  </property>
  <property fmtid="{D5CDD505-2E9C-101B-9397-08002B2CF9AE}" pid="3" name="ZOTERO_PREF_2">
    <vt:lpwstr>me="automaticJournalAbbreviations" value="true"/&gt;&lt;/prefs&gt;&lt;/data&gt;</vt:lpwstr>
  </property>
  <property fmtid="{D5CDD505-2E9C-101B-9397-08002B2CF9AE}" pid="4" name="MSIP_Label_ba62f585-b40f-4ab9-bafe-39150f03d124_Enabled">
    <vt:lpwstr>true</vt:lpwstr>
  </property>
  <property fmtid="{D5CDD505-2E9C-101B-9397-08002B2CF9AE}" pid="5" name="MSIP_Label_ba62f585-b40f-4ab9-bafe-39150f03d124_SetDate">
    <vt:lpwstr>2020-02-03T14:15:21Z</vt:lpwstr>
  </property>
  <property fmtid="{D5CDD505-2E9C-101B-9397-08002B2CF9AE}" pid="6" name="MSIP_Label_ba62f585-b40f-4ab9-bafe-39150f03d124_Method">
    <vt:lpwstr>Standard</vt:lpwstr>
  </property>
  <property fmtid="{D5CDD505-2E9C-101B-9397-08002B2CF9AE}" pid="7" name="MSIP_Label_ba62f585-b40f-4ab9-bafe-39150f03d124_Name">
    <vt:lpwstr>OFFICIAL</vt:lpwstr>
  </property>
  <property fmtid="{D5CDD505-2E9C-101B-9397-08002B2CF9AE}" pid="8" name="MSIP_Label_ba62f585-b40f-4ab9-bafe-39150f03d124_SiteId">
    <vt:lpwstr>cbac7005-02c1-43eb-b497-e6492d1b2dd8</vt:lpwstr>
  </property>
  <property fmtid="{D5CDD505-2E9C-101B-9397-08002B2CF9AE}" pid="9" name="MSIP_Label_ba62f585-b40f-4ab9-bafe-39150f03d124_ActionId">
    <vt:lpwstr>dc05f4f4-ad47-4339-8615-0000bd511335</vt:lpwstr>
  </property>
  <property fmtid="{D5CDD505-2E9C-101B-9397-08002B2CF9AE}" pid="10" name="MSIP_Label_ba62f585-b40f-4ab9-bafe-39150f03d124_ContentBits">
    <vt:lpwstr>0</vt:lpwstr>
  </property>
</Properties>
</file>