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9AA3" w14:textId="72B53BCD" w:rsidR="00C91856" w:rsidRPr="003B57EA" w:rsidRDefault="00C91856" w:rsidP="00C91856">
      <w:pPr>
        <w:spacing w:line="480" w:lineRule="auto"/>
        <w:jc w:val="center"/>
        <w:rPr>
          <w:rFonts w:asciiTheme="majorBidi" w:hAnsiTheme="majorBidi" w:cstheme="majorBidi"/>
          <w:b/>
          <w:bCs/>
          <w:sz w:val="28"/>
          <w:szCs w:val="28"/>
        </w:rPr>
      </w:pPr>
      <w:bookmarkStart w:id="0" w:name="_Hlk111639483"/>
      <w:r w:rsidRPr="003B57EA">
        <w:rPr>
          <w:rFonts w:asciiTheme="majorBidi" w:hAnsiTheme="majorBidi" w:cstheme="majorBidi"/>
          <w:b/>
          <w:bCs/>
          <w:color w:val="000000"/>
          <w:sz w:val="28"/>
          <w:szCs w:val="28"/>
          <w:shd w:val="clear" w:color="auto" w:fill="FFFFFF"/>
        </w:rPr>
        <w:t>"</w:t>
      </w:r>
      <w:r w:rsidRPr="003B57EA">
        <w:rPr>
          <w:rFonts w:asciiTheme="majorBidi" w:hAnsiTheme="majorBidi" w:cstheme="majorBidi"/>
          <w:b/>
          <w:bCs/>
          <w:sz w:val="28"/>
          <w:szCs w:val="28"/>
        </w:rPr>
        <w:t>I have no control over how much time I play"</w:t>
      </w:r>
    </w:p>
    <w:p w14:paraId="687B4125" w14:textId="77777777" w:rsidR="00C91856" w:rsidRPr="003B57EA" w:rsidRDefault="00C91856" w:rsidP="00C91856">
      <w:pPr>
        <w:jc w:val="center"/>
        <w:rPr>
          <w:rFonts w:asciiTheme="majorBidi" w:hAnsiTheme="majorBidi" w:cstheme="majorBidi"/>
          <w:b/>
          <w:bCs/>
          <w:sz w:val="28"/>
          <w:szCs w:val="28"/>
        </w:rPr>
      </w:pPr>
      <w:r w:rsidRPr="003B57EA">
        <w:rPr>
          <w:rStyle w:val="cf01"/>
          <w:rFonts w:asciiTheme="majorBidi" w:hAnsiTheme="majorBidi" w:cstheme="majorBidi"/>
          <w:b/>
          <w:bCs/>
          <w:sz w:val="28"/>
          <w:szCs w:val="28"/>
        </w:rPr>
        <w:t xml:space="preserve">The Metacognitions about Online Gaming Scale: </w:t>
      </w:r>
      <w:r w:rsidRPr="003B57EA">
        <w:rPr>
          <w:rFonts w:asciiTheme="majorBidi" w:hAnsiTheme="majorBidi" w:cstheme="majorBidi"/>
          <w:b/>
          <w:bCs/>
          <w:color w:val="000000"/>
          <w:sz w:val="28"/>
          <w:szCs w:val="28"/>
          <w:shd w:val="clear" w:color="auto" w:fill="FFFFFF"/>
        </w:rPr>
        <w:t xml:space="preserve">Evidence from a cross-cultural validation </w:t>
      </w:r>
      <w:r w:rsidRPr="003B57EA">
        <w:rPr>
          <w:rFonts w:asciiTheme="majorBidi" w:hAnsiTheme="majorBidi" w:cstheme="majorBidi"/>
          <w:b/>
          <w:bCs/>
          <w:sz w:val="28"/>
          <w:szCs w:val="28"/>
        </w:rPr>
        <w:t>among Israeli adolescents</w:t>
      </w:r>
    </w:p>
    <w:p w14:paraId="5B7F11CA" w14:textId="77777777" w:rsidR="00C91856" w:rsidRPr="003B57EA" w:rsidRDefault="00C91856" w:rsidP="00C91856">
      <w:pPr>
        <w:spacing w:line="480" w:lineRule="auto"/>
        <w:jc w:val="center"/>
        <w:rPr>
          <w:rFonts w:asciiTheme="majorBidi" w:hAnsiTheme="majorBidi" w:cstheme="majorBidi"/>
          <w:b/>
          <w:bCs/>
        </w:rPr>
      </w:pPr>
    </w:p>
    <w:p w14:paraId="34DA5B0F" w14:textId="77777777" w:rsidR="00C91856" w:rsidRPr="003B57EA" w:rsidRDefault="00C91856" w:rsidP="00C91856">
      <w:pPr>
        <w:spacing w:line="480" w:lineRule="auto"/>
        <w:jc w:val="center"/>
        <w:rPr>
          <w:rFonts w:asciiTheme="majorBidi" w:hAnsiTheme="majorBidi" w:cstheme="majorBidi"/>
          <w:b/>
          <w:bCs/>
        </w:rPr>
      </w:pPr>
    </w:p>
    <w:p w14:paraId="37E41EC6" w14:textId="77777777" w:rsidR="00C91856" w:rsidRPr="003B57EA" w:rsidRDefault="00C91856" w:rsidP="00C91856">
      <w:pPr>
        <w:shd w:val="clear" w:color="auto" w:fill="FFFFFF"/>
        <w:spacing w:line="360" w:lineRule="auto"/>
        <w:contextualSpacing/>
        <w:jc w:val="center"/>
        <w:rPr>
          <w:rFonts w:asciiTheme="majorBidi" w:hAnsiTheme="majorBidi" w:cstheme="majorBidi"/>
          <w:b/>
          <w:bCs/>
          <w:vertAlign w:val="superscript"/>
          <w:lang w:val="it-IT"/>
        </w:rPr>
      </w:pPr>
      <w:r w:rsidRPr="003B57EA">
        <w:rPr>
          <w:rFonts w:asciiTheme="majorBidi" w:hAnsiTheme="majorBidi" w:cstheme="majorBidi"/>
          <w:lang w:val="it-IT"/>
        </w:rPr>
        <w:t>Yaniv Efrati</w:t>
      </w:r>
      <w:r w:rsidRPr="003B57EA">
        <w:rPr>
          <w:rFonts w:asciiTheme="majorBidi" w:hAnsiTheme="majorBidi" w:cstheme="majorBidi"/>
          <w:b/>
          <w:bCs/>
          <w:vertAlign w:val="superscript"/>
          <w:lang w:val="it-IT"/>
        </w:rPr>
        <w:t>a*</w:t>
      </w:r>
      <w:r w:rsidRPr="003B57EA">
        <w:rPr>
          <w:shd w:val="clear" w:color="auto" w:fill="FFFFFF"/>
          <w:lang w:val="it-IT"/>
        </w:rPr>
        <w:t>, and Marcantonio M. Spada</w:t>
      </w:r>
      <w:r w:rsidRPr="003B57EA">
        <w:rPr>
          <w:shd w:val="clear" w:color="auto" w:fill="FFFFFF"/>
          <w:vertAlign w:val="superscript"/>
          <w:lang w:val="it-IT"/>
        </w:rPr>
        <w:t>b</w:t>
      </w:r>
    </w:p>
    <w:p w14:paraId="457D60FB" w14:textId="77777777" w:rsidR="00C91856" w:rsidRPr="003B57EA" w:rsidRDefault="00C91856" w:rsidP="00C91856">
      <w:pPr>
        <w:shd w:val="clear" w:color="auto" w:fill="FFFFFF"/>
        <w:spacing w:line="360" w:lineRule="auto"/>
        <w:contextualSpacing/>
        <w:jc w:val="center"/>
        <w:rPr>
          <w:rFonts w:asciiTheme="majorBidi" w:hAnsiTheme="majorBidi" w:cstheme="majorBidi"/>
          <w:b/>
          <w:bCs/>
          <w:vertAlign w:val="superscript"/>
          <w:lang w:val="it-IT"/>
        </w:rPr>
      </w:pPr>
    </w:p>
    <w:p w14:paraId="75FE48DC" w14:textId="77777777" w:rsidR="00C91856" w:rsidRPr="003B57EA" w:rsidRDefault="00C91856" w:rsidP="00C91856">
      <w:pPr>
        <w:shd w:val="clear" w:color="auto" w:fill="FFFFFF"/>
        <w:jc w:val="center"/>
        <w:rPr>
          <w:b/>
          <w:bCs/>
        </w:rPr>
      </w:pPr>
      <w:r w:rsidRPr="003B57EA">
        <w:rPr>
          <w:vertAlign w:val="superscript"/>
        </w:rPr>
        <w:t>a</w:t>
      </w:r>
      <w:r w:rsidRPr="003B57EA">
        <w:rPr>
          <w:rFonts w:asciiTheme="majorBidi" w:hAnsiTheme="majorBidi" w:cstheme="majorBidi"/>
        </w:rPr>
        <w:t xml:space="preserve"> Bar-</w:t>
      </w:r>
      <w:proofErr w:type="spellStart"/>
      <w:r w:rsidRPr="003B57EA">
        <w:rPr>
          <w:rFonts w:asciiTheme="majorBidi" w:hAnsiTheme="majorBidi" w:cstheme="majorBidi"/>
        </w:rPr>
        <w:t>Ilan</w:t>
      </w:r>
      <w:proofErr w:type="spellEnd"/>
      <w:r w:rsidRPr="003B57EA">
        <w:rPr>
          <w:rFonts w:asciiTheme="majorBidi" w:hAnsiTheme="majorBidi" w:cstheme="majorBidi"/>
        </w:rPr>
        <w:t xml:space="preserve"> University, Faculty of Education, Ramat Gan, Israel.</w:t>
      </w:r>
    </w:p>
    <w:p w14:paraId="373E0B4C" w14:textId="77777777" w:rsidR="00C91856" w:rsidRPr="003B57EA" w:rsidRDefault="00C91856" w:rsidP="00C91856">
      <w:pPr>
        <w:pStyle w:val="Default"/>
        <w:jc w:val="center"/>
        <w:rPr>
          <w:rFonts w:ascii="Times New Roman" w:hAnsi="Times New Roman" w:cs="Times New Roman"/>
          <w:color w:val="auto"/>
          <w:lang w:val="en-GB"/>
        </w:rPr>
      </w:pPr>
      <w:r w:rsidRPr="003B57EA">
        <w:rPr>
          <w:rFonts w:ascii="Times New Roman" w:hAnsi="Times New Roman" w:cs="Times New Roman"/>
          <w:shd w:val="clear" w:color="auto" w:fill="FFFFFF"/>
          <w:vertAlign w:val="superscript"/>
        </w:rPr>
        <w:t xml:space="preserve">b </w:t>
      </w:r>
      <w:r w:rsidRPr="003B57EA">
        <w:rPr>
          <w:rFonts w:ascii="Times New Roman" w:hAnsi="Times New Roman" w:cs="Times New Roman"/>
          <w:color w:val="auto"/>
          <w:lang w:val="en-GB"/>
        </w:rPr>
        <w:t>School of Applied Sciences, London South Bank University, London, UK.</w:t>
      </w:r>
    </w:p>
    <w:p w14:paraId="06E2A75F" w14:textId="77777777" w:rsidR="00C86B80" w:rsidRPr="003B57EA" w:rsidRDefault="00C86B80">
      <w:pPr>
        <w:spacing w:line="480" w:lineRule="auto"/>
        <w:jc w:val="both"/>
        <w:rPr>
          <w:rStyle w:val="cf01"/>
          <w:rFonts w:asciiTheme="majorBidi" w:hAnsiTheme="majorBidi" w:cstheme="majorBidi"/>
          <w:b/>
          <w:bCs/>
          <w:sz w:val="28"/>
          <w:szCs w:val="28"/>
        </w:rPr>
      </w:pPr>
    </w:p>
    <w:p w14:paraId="491794B2" w14:textId="77777777" w:rsidR="00C86B80" w:rsidRPr="003B57EA" w:rsidRDefault="00C86B80">
      <w:pPr>
        <w:spacing w:line="480" w:lineRule="auto"/>
        <w:jc w:val="both"/>
        <w:rPr>
          <w:rStyle w:val="cf01"/>
          <w:rFonts w:asciiTheme="majorBidi" w:hAnsiTheme="majorBidi" w:cstheme="majorBidi"/>
          <w:b/>
          <w:bCs/>
          <w:sz w:val="28"/>
          <w:szCs w:val="28"/>
        </w:rPr>
      </w:pPr>
    </w:p>
    <w:p w14:paraId="0D8EAF65" w14:textId="77777777" w:rsidR="00C86B80" w:rsidRPr="003B57EA" w:rsidRDefault="00C86B80">
      <w:pPr>
        <w:spacing w:line="480" w:lineRule="auto"/>
        <w:jc w:val="both"/>
        <w:rPr>
          <w:rStyle w:val="cf01"/>
          <w:rFonts w:asciiTheme="majorBidi" w:hAnsiTheme="majorBidi" w:cstheme="majorBidi"/>
          <w:b/>
          <w:bCs/>
          <w:sz w:val="28"/>
          <w:szCs w:val="28"/>
        </w:rPr>
      </w:pPr>
    </w:p>
    <w:p w14:paraId="2159DD60" w14:textId="77777777" w:rsidR="00C86B80" w:rsidRPr="003B57EA" w:rsidRDefault="00C86B80">
      <w:pPr>
        <w:spacing w:line="480" w:lineRule="auto"/>
        <w:jc w:val="both"/>
        <w:rPr>
          <w:rStyle w:val="cf01"/>
          <w:rFonts w:asciiTheme="majorBidi" w:hAnsiTheme="majorBidi" w:cstheme="majorBidi"/>
          <w:b/>
          <w:bCs/>
          <w:sz w:val="28"/>
          <w:szCs w:val="28"/>
        </w:rPr>
      </w:pPr>
    </w:p>
    <w:p w14:paraId="66C9D063" w14:textId="77777777" w:rsidR="00C86B80" w:rsidRPr="003B57EA" w:rsidRDefault="00C86B80">
      <w:pPr>
        <w:spacing w:line="480" w:lineRule="auto"/>
        <w:jc w:val="both"/>
        <w:rPr>
          <w:rStyle w:val="cf01"/>
          <w:rFonts w:asciiTheme="majorBidi" w:hAnsiTheme="majorBidi" w:cstheme="majorBidi"/>
          <w:b/>
          <w:bCs/>
          <w:sz w:val="28"/>
          <w:szCs w:val="28"/>
        </w:rPr>
      </w:pPr>
    </w:p>
    <w:p w14:paraId="76A54C0F" w14:textId="77777777" w:rsidR="00C86B80" w:rsidRPr="003B57EA" w:rsidRDefault="00C86B80">
      <w:pPr>
        <w:spacing w:line="480" w:lineRule="auto"/>
        <w:jc w:val="both"/>
        <w:rPr>
          <w:rStyle w:val="cf01"/>
          <w:rFonts w:asciiTheme="majorBidi" w:hAnsiTheme="majorBidi" w:cstheme="majorBidi"/>
          <w:b/>
          <w:bCs/>
          <w:sz w:val="28"/>
          <w:szCs w:val="28"/>
        </w:rPr>
      </w:pPr>
    </w:p>
    <w:p w14:paraId="1938F89F" w14:textId="77777777" w:rsidR="00C86B80" w:rsidRPr="003B57EA" w:rsidRDefault="00C86B80">
      <w:pPr>
        <w:spacing w:line="480" w:lineRule="auto"/>
        <w:jc w:val="both"/>
        <w:rPr>
          <w:rStyle w:val="cf01"/>
          <w:rFonts w:asciiTheme="majorBidi" w:hAnsiTheme="majorBidi" w:cstheme="majorBidi"/>
          <w:b/>
          <w:bCs/>
          <w:sz w:val="28"/>
          <w:szCs w:val="28"/>
        </w:rPr>
      </w:pPr>
    </w:p>
    <w:p w14:paraId="4834D8F6" w14:textId="77777777" w:rsidR="00C86B80" w:rsidRPr="003B57EA" w:rsidRDefault="00C86B80">
      <w:pPr>
        <w:spacing w:line="480" w:lineRule="auto"/>
        <w:jc w:val="both"/>
        <w:rPr>
          <w:rStyle w:val="cf01"/>
          <w:rFonts w:asciiTheme="majorBidi" w:hAnsiTheme="majorBidi" w:cstheme="majorBidi"/>
          <w:b/>
          <w:bCs/>
          <w:sz w:val="28"/>
          <w:szCs w:val="28"/>
        </w:rPr>
      </w:pPr>
    </w:p>
    <w:p w14:paraId="3AD0AF97" w14:textId="77777777" w:rsidR="00C86B80" w:rsidRPr="003B57EA" w:rsidRDefault="00C86B80">
      <w:pPr>
        <w:spacing w:line="480" w:lineRule="auto"/>
        <w:jc w:val="both"/>
        <w:rPr>
          <w:rStyle w:val="cf01"/>
          <w:rFonts w:asciiTheme="majorBidi" w:hAnsiTheme="majorBidi" w:cstheme="majorBidi"/>
          <w:b/>
          <w:bCs/>
          <w:sz w:val="28"/>
          <w:szCs w:val="28"/>
        </w:rPr>
      </w:pPr>
    </w:p>
    <w:p w14:paraId="099DE993" w14:textId="77777777" w:rsidR="00C86B80" w:rsidRPr="003B57EA" w:rsidRDefault="00C86B80">
      <w:pPr>
        <w:spacing w:line="480" w:lineRule="auto"/>
        <w:jc w:val="both"/>
        <w:rPr>
          <w:rStyle w:val="cf01"/>
          <w:rFonts w:asciiTheme="majorBidi" w:hAnsiTheme="majorBidi" w:cstheme="majorBidi"/>
          <w:b/>
          <w:bCs/>
          <w:sz w:val="28"/>
          <w:szCs w:val="28"/>
        </w:rPr>
      </w:pPr>
    </w:p>
    <w:p w14:paraId="1832435C" w14:textId="77777777" w:rsidR="00C86B80" w:rsidRPr="003B57EA" w:rsidRDefault="00C86B80">
      <w:pPr>
        <w:spacing w:line="480" w:lineRule="auto"/>
        <w:jc w:val="both"/>
        <w:rPr>
          <w:rStyle w:val="cf01"/>
          <w:rFonts w:asciiTheme="majorBidi" w:hAnsiTheme="majorBidi" w:cstheme="majorBidi"/>
          <w:b/>
          <w:bCs/>
          <w:sz w:val="28"/>
          <w:szCs w:val="28"/>
        </w:rPr>
      </w:pPr>
    </w:p>
    <w:p w14:paraId="7CD5D12F" w14:textId="77777777" w:rsidR="00C86B80" w:rsidRPr="003B57EA" w:rsidRDefault="00C86B80">
      <w:pPr>
        <w:spacing w:line="480" w:lineRule="auto"/>
        <w:jc w:val="both"/>
        <w:rPr>
          <w:rStyle w:val="cf01"/>
          <w:rFonts w:asciiTheme="majorBidi" w:hAnsiTheme="majorBidi" w:cstheme="majorBidi"/>
          <w:b/>
          <w:bCs/>
          <w:sz w:val="28"/>
          <w:szCs w:val="28"/>
        </w:rPr>
      </w:pPr>
    </w:p>
    <w:p w14:paraId="3A603FD5" w14:textId="77777777" w:rsidR="00C86B80" w:rsidRPr="003B57EA" w:rsidRDefault="00C86B80">
      <w:pPr>
        <w:spacing w:line="480" w:lineRule="auto"/>
        <w:jc w:val="both"/>
        <w:rPr>
          <w:rStyle w:val="cf01"/>
          <w:rFonts w:asciiTheme="majorBidi" w:hAnsiTheme="majorBidi" w:cstheme="majorBidi"/>
          <w:b/>
          <w:bCs/>
          <w:sz w:val="28"/>
          <w:szCs w:val="28"/>
        </w:rPr>
      </w:pPr>
    </w:p>
    <w:p w14:paraId="036C2C60" w14:textId="77777777" w:rsidR="00C86B80" w:rsidRPr="003B57EA" w:rsidRDefault="00C86B80">
      <w:pPr>
        <w:spacing w:line="480" w:lineRule="auto"/>
        <w:jc w:val="both"/>
        <w:rPr>
          <w:rStyle w:val="cf01"/>
          <w:rFonts w:asciiTheme="majorBidi" w:hAnsiTheme="majorBidi" w:cstheme="majorBidi"/>
          <w:b/>
          <w:bCs/>
          <w:sz w:val="28"/>
          <w:szCs w:val="28"/>
        </w:rPr>
      </w:pPr>
    </w:p>
    <w:p w14:paraId="591E7E30" w14:textId="77777777" w:rsidR="00C86B80" w:rsidRPr="003B57EA" w:rsidRDefault="00C86B80">
      <w:pPr>
        <w:spacing w:line="480" w:lineRule="auto"/>
        <w:jc w:val="both"/>
        <w:rPr>
          <w:rStyle w:val="cf01"/>
          <w:rFonts w:asciiTheme="majorBidi" w:hAnsiTheme="majorBidi" w:cstheme="majorBidi"/>
          <w:b/>
          <w:bCs/>
          <w:sz w:val="28"/>
          <w:szCs w:val="28"/>
        </w:rPr>
      </w:pPr>
    </w:p>
    <w:p w14:paraId="67F2CE3B" w14:textId="77777777" w:rsidR="00C86B80" w:rsidRPr="003B57EA" w:rsidRDefault="00C86B80">
      <w:pPr>
        <w:spacing w:line="480" w:lineRule="auto"/>
        <w:jc w:val="both"/>
        <w:rPr>
          <w:rStyle w:val="cf01"/>
          <w:rFonts w:asciiTheme="majorBidi" w:hAnsiTheme="majorBidi" w:cstheme="majorBidi"/>
          <w:b/>
          <w:bCs/>
          <w:sz w:val="28"/>
          <w:szCs w:val="28"/>
        </w:rPr>
      </w:pPr>
    </w:p>
    <w:p w14:paraId="1A41F82A" w14:textId="1628D6C1" w:rsidR="00F601B8" w:rsidRPr="003B57EA" w:rsidRDefault="00F601B8">
      <w:pPr>
        <w:spacing w:line="480" w:lineRule="auto"/>
        <w:jc w:val="both"/>
        <w:rPr>
          <w:b/>
          <w:bCs/>
        </w:rPr>
      </w:pPr>
      <w:r w:rsidRPr="003B57EA">
        <w:rPr>
          <w:b/>
          <w:bCs/>
        </w:rPr>
        <w:lastRenderedPageBreak/>
        <w:t>Abstract</w:t>
      </w:r>
    </w:p>
    <w:p w14:paraId="25346B66" w14:textId="11C28070" w:rsidR="0015147A" w:rsidRPr="003B57EA" w:rsidRDefault="00F601B8" w:rsidP="00564AF3">
      <w:pPr>
        <w:spacing w:line="480" w:lineRule="auto"/>
        <w:jc w:val="both"/>
      </w:pPr>
      <w:r w:rsidRPr="003B57EA">
        <w:t xml:space="preserve">In </w:t>
      </w:r>
      <w:r w:rsidR="002F505F" w:rsidRPr="003B57EA">
        <w:t xml:space="preserve">the current </w:t>
      </w:r>
      <w:r w:rsidRPr="003B57EA">
        <w:t>study we evaluate</w:t>
      </w:r>
      <w:r w:rsidR="00606B0D" w:rsidRPr="003B57EA">
        <w:t>d</w:t>
      </w:r>
      <w:r w:rsidRPr="003B57EA">
        <w:t xml:space="preserve"> </w:t>
      </w:r>
      <w:r w:rsidR="00303D52" w:rsidRPr="003B57EA">
        <w:t xml:space="preserve">the </w:t>
      </w:r>
      <w:r w:rsidRPr="003B57EA">
        <w:t xml:space="preserve">psychometric properties of the </w:t>
      </w:r>
      <w:r w:rsidR="00946224" w:rsidRPr="003B57EA">
        <w:t>Metacognitions about Online Gaming Scale (</w:t>
      </w:r>
      <w:r w:rsidRPr="003B57EA">
        <w:t>MOGS</w:t>
      </w:r>
      <w:r w:rsidR="00946224" w:rsidRPr="003B57EA">
        <w:t>)</w:t>
      </w:r>
      <w:r w:rsidRPr="003B57EA">
        <w:t>, including its factor structure, reliability, and predictive validity among Israeli adolescents</w:t>
      </w:r>
      <w:r w:rsidR="004B6870" w:rsidRPr="003B57EA">
        <w:t xml:space="preserve"> </w:t>
      </w:r>
      <w:r w:rsidR="000F70C9" w:rsidRPr="003B57EA">
        <w:t xml:space="preserve">in a </w:t>
      </w:r>
      <w:r w:rsidR="00D80635" w:rsidRPr="003B57EA">
        <w:t>six-month</w:t>
      </w:r>
      <w:r w:rsidR="00E318AB" w:rsidRPr="003B57EA">
        <w:t xml:space="preserve"> </w:t>
      </w:r>
      <w:r w:rsidR="004B6870" w:rsidRPr="003B57EA">
        <w:t>prospective study</w:t>
      </w:r>
      <w:r w:rsidRPr="003B57EA">
        <w:t xml:space="preserve">. </w:t>
      </w:r>
      <w:r w:rsidR="00D80635" w:rsidRPr="003B57EA">
        <w:t xml:space="preserve">We also examined </w:t>
      </w:r>
      <w:r w:rsidR="00461D20" w:rsidRPr="003B57EA">
        <w:t xml:space="preserve">the </w:t>
      </w:r>
      <w:r w:rsidR="002E1504" w:rsidRPr="003B57EA">
        <w:t xml:space="preserve">usefulness </w:t>
      </w:r>
      <w:r w:rsidR="00461D20" w:rsidRPr="003B57EA">
        <w:t xml:space="preserve">of the </w:t>
      </w:r>
      <w:r w:rsidR="00D80635" w:rsidRPr="003B57EA">
        <w:t xml:space="preserve">MOGS </w:t>
      </w:r>
      <w:r w:rsidR="00F459A4" w:rsidRPr="003B57EA">
        <w:t>as a mediator of</w:t>
      </w:r>
      <w:r w:rsidR="004C34A7" w:rsidRPr="003B57EA">
        <w:t xml:space="preserve"> the </w:t>
      </w:r>
      <w:r w:rsidR="00D80635" w:rsidRPr="003B57EA">
        <w:t xml:space="preserve">effect of attachment patterns on </w:t>
      </w:r>
      <w:r w:rsidR="00C861BF" w:rsidRPr="003B57EA">
        <w:t>Internet Gaming Disorder (</w:t>
      </w:r>
      <w:r w:rsidR="00D80635" w:rsidRPr="003B57EA">
        <w:t>IGD</w:t>
      </w:r>
      <w:r w:rsidR="00C861BF" w:rsidRPr="003B57EA">
        <w:t>)</w:t>
      </w:r>
      <w:r w:rsidR="00D80635" w:rsidRPr="003B57EA">
        <w:t xml:space="preserve">, </w:t>
      </w:r>
      <w:r w:rsidR="00461D20" w:rsidRPr="003B57EA">
        <w:t>the</w:t>
      </w:r>
      <w:r w:rsidR="000F70C9" w:rsidRPr="003B57EA">
        <w:t xml:space="preserve"> </w:t>
      </w:r>
      <w:r w:rsidR="00D80635" w:rsidRPr="003B57EA">
        <w:t>preference for online social interactions</w:t>
      </w:r>
      <w:r w:rsidR="004C34A7" w:rsidRPr="003B57EA">
        <w:t>,</w:t>
      </w:r>
      <w:r w:rsidR="00D80635" w:rsidRPr="003B57EA">
        <w:t xml:space="preserve"> and </w:t>
      </w:r>
      <w:r w:rsidR="004C34A7" w:rsidRPr="003B57EA">
        <w:t xml:space="preserve">the </w:t>
      </w:r>
      <w:r w:rsidR="00D80635" w:rsidRPr="003B57EA">
        <w:t>motive</w:t>
      </w:r>
      <w:r w:rsidR="00303D52" w:rsidRPr="003B57EA">
        <w:t>s</w:t>
      </w:r>
      <w:r w:rsidR="00D80635" w:rsidRPr="003B57EA">
        <w:t xml:space="preserve"> for online gaming. </w:t>
      </w:r>
      <w:r w:rsidR="002208CB" w:rsidRPr="003B57EA">
        <w:t>The study population include</w:t>
      </w:r>
      <w:r w:rsidR="00606B0D" w:rsidRPr="003B57EA">
        <w:t>d</w:t>
      </w:r>
      <w:r w:rsidR="002208CB" w:rsidRPr="003B57EA">
        <w:t xml:space="preserve"> </w:t>
      </w:r>
      <w:r w:rsidR="002208CB" w:rsidRPr="003B57EA">
        <w:rPr>
          <w:rtl/>
        </w:rPr>
        <w:t>1</w:t>
      </w:r>
      <w:r w:rsidR="002208CB" w:rsidRPr="003B57EA">
        <w:t>,</w:t>
      </w:r>
      <w:r w:rsidR="002208CB" w:rsidRPr="003B57EA">
        <w:rPr>
          <w:rtl/>
        </w:rPr>
        <w:t>056</w:t>
      </w:r>
      <w:r w:rsidR="002208CB" w:rsidRPr="003B57EA">
        <w:t xml:space="preserve"> Israeli adolescents </w:t>
      </w:r>
      <w:r w:rsidR="00371B1A" w:rsidRPr="003B57EA">
        <w:t>(610 males and 446 females, M = 15.77, </w:t>
      </w:r>
      <w:r w:rsidR="00565A55" w:rsidRPr="003B57EA">
        <w:t>standard deviation (</w:t>
      </w:r>
      <w:r w:rsidR="00371B1A" w:rsidRPr="003B57EA">
        <w:t>SD</w:t>
      </w:r>
      <w:r w:rsidR="00565A55" w:rsidRPr="003B57EA">
        <w:t>)</w:t>
      </w:r>
      <w:r w:rsidR="00371B1A" w:rsidRPr="003B57EA">
        <w:t> = 1.</w:t>
      </w:r>
      <w:r w:rsidR="00371B1A" w:rsidRPr="003B57EA">
        <w:rPr>
          <w:rtl/>
        </w:rPr>
        <w:t>43</w:t>
      </w:r>
      <w:r w:rsidR="00371B1A" w:rsidRPr="003B57EA">
        <w:t>) with an age range of 13</w:t>
      </w:r>
      <w:r w:rsidR="00371B1A" w:rsidRPr="003B57EA">
        <w:rPr>
          <w:rtl/>
        </w:rPr>
        <w:t>–</w:t>
      </w:r>
      <w:r w:rsidR="00371B1A" w:rsidRPr="003B57EA">
        <w:t xml:space="preserve">18 years. The participants completed the </w:t>
      </w:r>
      <w:r w:rsidR="00566220" w:rsidRPr="003B57EA">
        <w:t xml:space="preserve">translated </w:t>
      </w:r>
      <w:r w:rsidR="00371B1A" w:rsidRPr="003B57EA">
        <w:t>Hebrew version of the MOGS</w:t>
      </w:r>
      <w:r w:rsidR="00385FB7" w:rsidRPr="003B57EA">
        <w:t xml:space="preserve"> </w:t>
      </w:r>
      <w:r w:rsidR="00902602" w:rsidRPr="003B57EA">
        <w:t xml:space="preserve">and measures on </w:t>
      </w:r>
      <w:r w:rsidR="00385FB7" w:rsidRPr="003B57EA">
        <w:t>attachment style, IGD, preference for online social interactions, emotion regulation</w:t>
      </w:r>
      <w:r w:rsidR="00C861BF" w:rsidRPr="003B57EA">
        <w:t>,</w:t>
      </w:r>
      <w:r w:rsidR="00385FB7" w:rsidRPr="003B57EA">
        <w:t xml:space="preserve"> and motives for online gaming. </w:t>
      </w:r>
      <w:r w:rsidR="002930E9" w:rsidRPr="003B57EA">
        <w:t>The analyses indicated that the factorial structure of the Hebrew</w:t>
      </w:r>
      <w:r w:rsidR="00FC2131" w:rsidRPr="003B57EA">
        <w:t xml:space="preserve"> </w:t>
      </w:r>
      <w:r w:rsidR="002930E9" w:rsidRPr="003B57EA">
        <w:t xml:space="preserve">MOGS comprised the expected two factors </w:t>
      </w:r>
      <w:r w:rsidR="00902602" w:rsidRPr="003B57EA">
        <w:t xml:space="preserve">at </w:t>
      </w:r>
      <w:r w:rsidR="002930E9" w:rsidRPr="003B57EA">
        <w:t>T1 and T2 (</w:t>
      </w:r>
      <w:r w:rsidR="00F014C7" w:rsidRPr="003B57EA">
        <w:t xml:space="preserve">a </w:t>
      </w:r>
      <w:r w:rsidR="001C10EC" w:rsidRPr="003B57EA">
        <w:t>six</w:t>
      </w:r>
      <w:r w:rsidR="002930E9" w:rsidRPr="003B57EA">
        <w:t xml:space="preserve">-month follow-up). We also found that positive and negative metacognitions significantly mediated the effect of attachment styles on IGD, </w:t>
      </w:r>
      <w:r w:rsidR="004C34A7" w:rsidRPr="003B57EA">
        <w:t xml:space="preserve">the </w:t>
      </w:r>
      <w:r w:rsidR="002930E9" w:rsidRPr="003B57EA">
        <w:t xml:space="preserve">preference for online social interactions, and </w:t>
      </w:r>
      <w:r w:rsidR="004C34A7" w:rsidRPr="003B57EA">
        <w:t xml:space="preserve">the </w:t>
      </w:r>
      <w:r w:rsidR="002930E9" w:rsidRPr="003B57EA">
        <w:t xml:space="preserve">motives for online gaming. </w:t>
      </w:r>
      <w:r w:rsidR="0015147A" w:rsidRPr="003B57EA">
        <w:t xml:space="preserve">The findings </w:t>
      </w:r>
      <w:r w:rsidR="0015147A" w:rsidRPr="003B57EA">
        <w:rPr>
          <w:rFonts w:eastAsia="Calibri"/>
        </w:rPr>
        <w:t xml:space="preserve">provide evidence that the Hebrew MOGS </w:t>
      </w:r>
      <w:r w:rsidR="0015147A" w:rsidRPr="003B57EA">
        <w:t>among Israeli adolescents</w:t>
      </w:r>
      <w:r w:rsidR="0015147A" w:rsidRPr="003B57EA">
        <w:rPr>
          <w:rFonts w:eastAsia="Calibri"/>
        </w:rPr>
        <w:t xml:space="preserve"> appears psychometrically appropriate </w:t>
      </w:r>
      <w:r w:rsidR="006C3380" w:rsidRPr="003B57EA">
        <w:rPr>
          <w:rFonts w:eastAsia="Calibri"/>
        </w:rPr>
        <w:t>for</w:t>
      </w:r>
      <w:r w:rsidR="0015147A" w:rsidRPr="003B57EA">
        <w:rPr>
          <w:rFonts w:eastAsia="Calibri"/>
        </w:rPr>
        <w:t xml:space="preserve"> use by researchers and practitioners dealing with the prevention and treatment of </w:t>
      </w:r>
      <w:r w:rsidR="00946224" w:rsidRPr="003B57EA">
        <w:rPr>
          <w:rFonts w:eastAsia="Calibri"/>
        </w:rPr>
        <w:t>IGD</w:t>
      </w:r>
      <w:r w:rsidR="0015147A" w:rsidRPr="003B57EA">
        <w:rPr>
          <w:rFonts w:eastAsia="Calibri"/>
        </w:rPr>
        <w:t>.</w:t>
      </w:r>
    </w:p>
    <w:p w14:paraId="6E4FA206" w14:textId="12986E0C" w:rsidR="00371B1A" w:rsidRPr="003B57EA" w:rsidRDefault="00371B1A" w:rsidP="00564AF3">
      <w:pPr>
        <w:spacing w:line="480" w:lineRule="auto"/>
        <w:jc w:val="both"/>
      </w:pPr>
    </w:p>
    <w:p w14:paraId="7CC28B56" w14:textId="129822A6" w:rsidR="00942FEB" w:rsidRPr="003B57EA" w:rsidRDefault="00942FEB" w:rsidP="00564AF3">
      <w:pPr>
        <w:spacing w:line="480" w:lineRule="auto"/>
        <w:jc w:val="both"/>
      </w:pPr>
    </w:p>
    <w:p w14:paraId="7175F545" w14:textId="554F5665" w:rsidR="00E21927" w:rsidRPr="003B57EA" w:rsidRDefault="00E21927" w:rsidP="00564AF3">
      <w:pPr>
        <w:spacing w:line="480" w:lineRule="auto"/>
        <w:jc w:val="both"/>
      </w:pPr>
    </w:p>
    <w:p w14:paraId="5FB2441F" w14:textId="54EC3486" w:rsidR="00E21927" w:rsidRPr="003B57EA" w:rsidRDefault="00E21927" w:rsidP="00564AF3">
      <w:pPr>
        <w:spacing w:line="480" w:lineRule="auto"/>
        <w:jc w:val="both"/>
      </w:pPr>
    </w:p>
    <w:p w14:paraId="04A7DBAA" w14:textId="77777777" w:rsidR="00E21927" w:rsidRPr="003B57EA" w:rsidRDefault="00E21927" w:rsidP="00564AF3">
      <w:pPr>
        <w:spacing w:line="480" w:lineRule="auto"/>
        <w:jc w:val="both"/>
      </w:pPr>
    </w:p>
    <w:p w14:paraId="151CC698" w14:textId="0BFB82D9" w:rsidR="00942FEB" w:rsidRPr="003B57EA" w:rsidRDefault="00942FEB" w:rsidP="00564AF3">
      <w:pPr>
        <w:spacing w:line="480" w:lineRule="auto"/>
        <w:jc w:val="both"/>
      </w:pPr>
    </w:p>
    <w:p w14:paraId="1DA0ADD8" w14:textId="2790434B" w:rsidR="00942FEB" w:rsidRPr="003B57EA" w:rsidRDefault="00E07808" w:rsidP="00E21927">
      <w:pPr>
        <w:contextualSpacing/>
        <w:jc w:val="both"/>
      </w:pPr>
      <w:r w:rsidRPr="003B57EA">
        <w:rPr>
          <w:rFonts w:asciiTheme="majorBidi" w:hAnsiTheme="majorBidi" w:cstheme="majorBidi"/>
          <w:b/>
          <w:bCs/>
        </w:rPr>
        <w:t xml:space="preserve">Keywords: </w:t>
      </w:r>
      <w:r w:rsidR="00E31388" w:rsidRPr="003B57EA">
        <w:rPr>
          <w:rFonts w:asciiTheme="majorBidi" w:hAnsiTheme="majorBidi" w:cstheme="majorBidi"/>
        </w:rPr>
        <w:t>e</w:t>
      </w:r>
      <w:r w:rsidR="00E21927" w:rsidRPr="003B57EA">
        <w:rPr>
          <w:rFonts w:asciiTheme="majorBidi" w:hAnsiTheme="majorBidi" w:cstheme="majorBidi"/>
        </w:rPr>
        <w:t xml:space="preserve">motion regulation; </w:t>
      </w:r>
      <w:r w:rsidRPr="003B57EA">
        <w:t>Internet Gaming Disorder</w:t>
      </w:r>
      <w:r w:rsidR="00E21927" w:rsidRPr="003B57EA">
        <w:t>;</w:t>
      </w:r>
      <w:r w:rsidRPr="003B57EA">
        <w:t xml:space="preserve"> </w:t>
      </w:r>
      <w:r w:rsidR="00E21927" w:rsidRPr="003B57EA">
        <w:t>m</w:t>
      </w:r>
      <w:r w:rsidRPr="003B57EA">
        <w:t>etacognitions</w:t>
      </w:r>
      <w:r w:rsidR="00E21927" w:rsidRPr="003B57EA">
        <w:t>;</w:t>
      </w:r>
      <w:r w:rsidRPr="003B57EA">
        <w:t xml:space="preserve"> motives for online gaming</w:t>
      </w:r>
      <w:r w:rsidR="00E21927" w:rsidRPr="003B57EA">
        <w:t>.</w:t>
      </w:r>
    </w:p>
    <w:p w14:paraId="226E8AB5" w14:textId="4B0C03D0" w:rsidR="002D5111" w:rsidRPr="003B57EA" w:rsidRDefault="0083620C" w:rsidP="00564AF3">
      <w:pPr>
        <w:spacing w:line="480" w:lineRule="auto"/>
        <w:jc w:val="center"/>
        <w:rPr>
          <w:b/>
          <w:bCs/>
        </w:rPr>
      </w:pPr>
      <w:r w:rsidRPr="003B57EA">
        <w:rPr>
          <w:b/>
          <w:bCs/>
          <w:shd w:val="clear" w:color="auto" w:fill="FFFFFF"/>
        </w:rPr>
        <w:lastRenderedPageBreak/>
        <w:t>“</w:t>
      </w:r>
      <w:r w:rsidR="002D5111" w:rsidRPr="003B57EA">
        <w:rPr>
          <w:b/>
          <w:bCs/>
        </w:rPr>
        <w:t>I have no control over how much time I play</w:t>
      </w:r>
      <w:r w:rsidRPr="003B57EA">
        <w:rPr>
          <w:b/>
          <w:bCs/>
        </w:rPr>
        <w:t>”</w:t>
      </w:r>
    </w:p>
    <w:p w14:paraId="05CBF742" w14:textId="77777777" w:rsidR="002D5111" w:rsidRPr="003B57EA" w:rsidRDefault="002D5111" w:rsidP="00564AF3">
      <w:pPr>
        <w:spacing w:line="480" w:lineRule="auto"/>
        <w:jc w:val="center"/>
        <w:rPr>
          <w:b/>
          <w:bCs/>
        </w:rPr>
      </w:pPr>
      <w:r w:rsidRPr="003B57EA">
        <w:rPr>
          <w:rStyle w:val="cf01"/>
          <w:rFonts w:ascii="Times New Roman" w:hAnsi="Times New Roman" w:cs="Times New Roman"/>
          <w:b/>
          <w:bCs/>
          <w:sz w:val="24"/>
          <w:szCs w:val="24"/>
        </w:rPr>
        <w:t xml:space="preserve">Metacognitions about Online Gaming Scale: </w:t>
      </w:r>
      <w:r w:rsidRPr="003B57EA">
        <w:rPr>
          <w:b/>
          <w:bCs/>
          <w:shd w:val="clear" w:color="auto" w:fill="FFFFFF"/>
        </w:rPr>
        <w:t xml:space="preserve">Evidence from a cross-cultural validation </w:t>
      </w:r>
      <w:r w:rsidRPr="003B57EA">
        <w:rPr>
          <w:b/>
          <w:bCs/>
        </w:rPr>
        <w:t>among Israeli adolescents</w:t>
      </w:r>
    </w:p>
    <w:p w14:paraId="2792ED6B" w14:textId="77777777" w:rsidR="002D5111" w:rsidRPr="003B57EA" w:rsidRDefault="002D5111">
      <w:pPr>
        <w:spacing w:line="480" w:lineRule="auto"/>
        <w:jc w:val="both"/>
        <w:rPr>
          <w:b/>
          <w:bCs/>
        </w:rPr>
      </w:pPr>
    </w:p>
    <w:p w14:paraId="420E3EA7" w14:textId="5D0518BD" w:rsidR="007F3F21" w:rsidRPr="003B57EA" w:rsidRDefault="00A42A83">
      <w:pPr>
        <w:spacing w:line="480" w:lineRule="auto"/>
        <w:jc w:val="both"/>
        <w:rPr>
          <w:b/>
          <w:bCs/>
        </w:rPr>
      </w:pPr>
      <w:r w:rsidRPr="003B57EA">
        <w:rPr>
          <w:b/>
          <w:bCs/>
        </w:rPr>
        <w:t>1. Introduction</w:t>
      </w:r>
    </w:p>
    <w:p w14:paraId="4037C9C0" w14:textId="1C0EB043" w:rsidR="00CB2153" w:rsidRPr="003B57EA" w:rsidRDefault="007F3F21">
      <w:pPr>
        <w:spacing w:line="480" w:lineRule="auto"/>
        <w:jc w:val="both"/>
        <w:rPr>
          <w:b/>
          <w:bCs/>
        </w:rPr>
      </w:pPr>
      <w:r w:rsidRPr="003B57EA">
        <w:t xml:space="preserve">Internet Gaming Disorder (IGD) is </w:t>
      </w:r>
      <w:r w:rsidR="00CB2153" w:rsidRPr="003B57EA">
        <w:t>a persistent and recurrent pattern of excessive and uncontrollable internet gaming, resulting</w:t>
      </w:r>
      <w:r w:rsidRPr="003B57EA">
        <w:t xml:space="preserve"> in a cluster of cognitive and behavioral symptoms, impaired daily functioning, and significant psychological distress (American Psychiatric Association, 2013; World Health Organization, 2019</w:t>
      </w:r>
      <w:r w:rsidR="00D84AF3" w:rsidRPr="003B57EA">
        <w:t xml:space="preserve">; </w:t>
      </w:r>
      <w:bookmarkStart w:id="1" w:name="bau0005"/>
      <w:r w:rsidR="00D84AF3" w:rsidRPr="003B57EA">
        <w:fldChar w:fldCharType="begin"/>
      </w:r>
      <w:r w:rsidR="00D84AF3" w:rsidRPr="003B57EA">
        <w:instrText xml:space="preserve"> HYPERLINK "https://www.sciencedirect.com/science/article/pii/S2352154622001103?via%3Dihub" \l "!" </w:instrText>
      </w:r>
      <w:r w:rsidR="00D84AF3" w:rsidRPr="003B57EA">
        <w:fldChar w:fldCharType="separate"/>
      </w:r>
      <w:proofErr w:type="spellStart"/>
      <w:r w:rsidR="00D84AF3" w:rsidRPr="003B57EA">
        <w:t>Király</w:t>
      </w:r>
      <w:proofErr w:type="spellEnd"/>
      <w:r w:rsidR="00D84AF3" w:rsidRPr="003B57EA">
        <w:t>,</w:t>
      </w:r>
      <w:r w:rsidR="00D84AF3" w:rsidRPr="003B57EA">
        <w:fldChar w:fldCharType="end"/>
      </w:r>
      <w:bookmarkStart w:id="2" w:name="bau0010"/>
      <w:bookmarkEnd w:id="1"/>
      <w:r w:rsidR="00D84AF3" w:rsidRPr="003B57EA">
        <w:t xml:space="preserve"> Potenza</w:t>
      </w:r>
      <w:bookmarkStart w:id="3" w:name="bau0015"/>
      <w:bookmarkEnd w:id="2"/>
      <w:r w:rsidR="00D84AF3" w:rsidRPr="003B57EA">
        <w:t xml:space="preserve">, and </w:t>
      </w:r>
      <w:hyperlink r:id="rId7" w:anchor="!" w:history="1">
        <w:r w:rsidR="00D84AF3" w:rsidRPr="003B57EA">
          <w:t>Demetrovics</w:t>
        </w:r>
      </w:hyperlink>
      <w:bookmarkEnd w:id="3"/>
      <w:r w:rsidR="00D84AF3" w:rsidRPr="003B57EA">
        <w:t>, 2022</w:t>
      </w:r>
      <w:r w:rsidRPr="003B57EA">
        <w:t xml:space="preserve">). </w:t>
      </w:r>
      <w:r w:rsidR="00E04DB1" w:rsidRPr="003B57EA">
        <w:t xml:space="preserve">Adolescents are </w:t>
      </w:r>
      <w:r w:rsidR="00630EF7" w:rsidRPr="003B57EA">
        <w:t xml:space="preserve">particularly </w:t>
      </w:r>
      <w:r w:rsidR="00E04DB1" w:rsidRPr="003B57EA">
        <w:t>vulnerable to IGD (</w:t>
      </w:r>
      <w:r w:rsidR="009C2957" w:rsidRPr="003B57EA">
        <w:t xml:space="preserve">Yu, </w:t>
      </w:r>
      <w:r w:rsidR="009C2957" w:rsidRPr="003B57EA">
        <w:rPr>
          <w:shd w:val="clear" w:color="auto" w:fill="FFFFFF"/>
        </w:rPr>
        <w:t>Mo, Zhang, Li, &amp; Lau,</w:t>
      </w:r>
      <w:r w:rsidR="009C2957" w:rsidRPr="003B57EA">
        <w:t xml:space="preserve"> 2022; </w:t>
      </w:r>
      <w:proofErr w:type="spellStart"/>
      <w:r w:rsidR="009C2957" w:rsidRPr="003B57EA">
        <w:rPr>
          <w:shd w:val="clear" w:color="auto" w:fill="FFFFFF"/>
        </w:rPr>
        <w:t>Lampropoulou</w:t>
      </w:r>
      <w:proofErr w:type="spellEnd"/>
      <w:r w:rsidR="009C2957" w:rsidRPr="003B57EA">
        <w:rPr>
          <w:shd w:val="clear" w:color="auto" w:fill="FFFFFF"/>
        </w:rPr>
        <w:t xml:space="preserve">, </w:t>
      </w:r>
      <w:proofErr w:type="spellStart"/>
      <w:r w:rsidR="009C2957" w:rsidRPr="003B57EA">
        <w:rPr>
          <w:shd w:val="clear" w:color="auto" w:fill="FFFFFF"/>
        </w:rPr>
        <w:t>Siomos</w:t>
      </w:r>
      <w:proofErr w:type="spellEnd"/>
      <w:r w:rsidR="009C2957" w:rsidRPr="003B57EA">
        <w:rPr>
          <w:shd w:val="clear" w:color="auto" w:fill="FFFFFF"/>
        </w:rPr>
        <w:t xml:space="preserve">, </w:t>
      </w:r>
      <w:proofErr w:type="spellStart"/>
      <w:r w:rsidR="009C2957" w:rsidRPr="003B57EA">
        <w:rPr>
          <w:shd w:val="clear" w:color="auto" w:fill="FFFFFF"/>
        </w:rPr>
        <w:t>Floros</w:t>
      </w:r>
      <w:proofErr w:type="spellEnd"/>
      <w:r w:rsidR="009C2957" w:rsidRPr="003B57EA">
        <w:rPr>
          <w:shd w:val="clear" w:color="auto" w:fill="FFFFFF"/>
        </w:rPr>
        <w:t xml:space="preserve">, &amp; Christodoulou, </w:t>
      </w:r>
      <w:r w:rsidR="009C2957" w:rsidRPr="003B57EA">
        <w:t>2022</w:t>
      </w:r>
      <w:r w:rsidR="00E04DB1" w:rsidRPr="003B57EA">
        <w:t xml:space="preserve">; </w:t>
      </w:r>
      <w:r w:rsidR="008A4959" w:rsidRPr="003B57EA">
        <w:t>Rosendo-Rios, Trott, &amp; Shukla, 2022)</w:t>
      </w:r>
      <w:r w:rsidR="00E04DB1" w:rsidRPr="003B57EA">
        <w:t xml:space="preserve">. </w:t>
      </w:r>
      <w:r w:rsidR="00D859C5" w:rsidRPr="003B57EA">
        <w:t xml:space="preserve">The prevalence </w:t>
      </w:r>
      <w:r w:rsidR="006C3380" w:rsidRPr="003B57EA">
        <w:t xml:space="preserve">of IGD </w:t>
      </w:r>
      <w:r w:rsidR="00D859C5" w:rsidRPr="003B57EA">
        <w:t>among adolescents ranges between 7% and 15% (</w:t>
      </w:r>
      <w:r w:rsidR="0036374F" w:rsidRPr="003B57EA">
        <w:t>Pontes et al., 2021</w:t>
      </w:r>
      <w:r w:rsidR="006C3380" w:rsidRPr="003B57EA">
        <w:t>)</w:t>
      </w:r>
      <w:r w:rsidR="00232168" w:rsidRPr="003B57EA">
        <w:t>.</w:t>
      </w:r>
      <w:r w:rsidR="006C3380" w:rsidRPr="003B57EA">
        <w:t xml:space="preserve"> </w:t>
      </w:r>
      <w:r w:rsidR="00232168" w:rsidRPr="003B57EA">
        <w:t xml:space="preserve">Other </w:t>
      </w:r>
      <w:r w:rsidR="00FB0AE6" w:rsidRPr="003B57EA">
        <w:t>studies suggest</w:t>
      </w:r>
      <w:r w:rsidR="00D859C5" w:rsidRPr="003B57EA">
        <w:t xml:space="preserve"> </w:t>
      </w:r>
      <w:r w:rsidR="006C3380" w:rsidRPr="003B57EA">
        <w:t xml:space="preserve">a </w:t>
      </w:r>
      <w:r w:rsidR="00850783" w:rsidRPr="003B57EA">
        <w:t>g</w:t>
      </w:r>
      <w:r w:rsidR="00FB0AE6" w:rsidRPr="003B57EA">
        <w:t xml:space="preserve">lobal prevalence </w:t>
      </w:r>
      <w:r w:rsidR="00630EF7" w:rsidRPr="003B57EA">
        <w:t xml:space="preserve">that </w:t>
      </w:r>
      <w:r w:rsidR="00D859C5" w:rsidRPr="003B57EA">
        <w:t>ranges from 2.47</w:t>
      </w:r>
      <w:r w:rsidR="006C3380" w:rsidRPr="003B57EA">
        <w:t>% to</w:t>
      </w:r>
      <w:r w:rsidR="00C1771B" w:rsidRPr="003B57EA">
        <w:t xml:space="preserve"> </w:t>
      </w:r>
      <w:r w:rsidR="00D859C5" w:rsidRPr="003B57EA">
        <w:t>3.05% (Pan et al., 2020; Stevens et al., 2021).</w:t>
      </w:r>
      <w:r w:rsidR="008A4959" w:rsidRPr="003B57EA">
        <w:t xml:space="preserve"> </w:t>
      </w:r>
      <w:r w:rsidR="00232168" w:rsidRPr="003B57EA">
        <w:t>Research suggests that IGD is rife among both genders but that boys and young men, with a rate of 19%, are at greater risk than girls and young women</w:t>
      </w:r>
      <w:r w:rsidR="00CB2153" w:rsidRPr="003B57EA">
        <w:t>,</w:t>
      </w:r>
      <w:r w:rsidR="00232168" w:rsidRPr="003B57EA">
        <w:t xml:space="preserve"> whose rate of IGD is at 7.8%</w:t>
      </w:r>
      <w:r w:rsidR="0004350F" w:rsidRPr="003B57EA">
        <w:t xml:space="preserve"> </w:t>
      </w:r>
      <w:r w:rsidR="008A4959" w:rsidRPr="003B57EA">
        <w:t>(</w:t>
      </w:r>
      <w:r w:rsidR="0036374F" w:rsidRPr="003B57EA">
        <w:t>Yu, Mo, Zhang, Li, &amp; Lau, 2021</w:t>
      </w:r>
      <w:r w:rsidR="008A4959" w:rsidRPr="003B57EA">
        <w:t xml:space="preserve">). With gaming industry revenues expected to reach </w:t>
      </w:r>
      <w:r w:rsidR="00786B25" w:rsidRPr="003B57EA">
        <w:t>above</w:t>
      </w:r>
      <w:r w:rsidR="008A4959" w:rsidRPr="003B57EA">
        <w:t xml:space="preserve"> $200 billion globally by 2023 (Statista, 2021), IGD may become even more </w:t>
      </w:r>
      <w:r w:rsidR="000A437D" w:rsidRPr="003B57EA">
        <w:t>widespread</w:t>
      </w:r>
      <w:r w:rsidR="000A437D" w:rsidRPr="003B57EA" w:rsidDel="000A437D">
        <w:t xml:space="preserve"> </w:t>
      </w:r>
      <w:r w:rsidR="008A4959" w:rsidRPr="003B57EA">
        <w:t>within this vulnerable population</w:t>
      </w:r>
      <w:r w:rsidR="00630EF7" w:rsidRPr="003B57EA">
        <w:t>, warranting</w:t>
      </w:r>
      <w:r w:rsidR="008A4959" w:rsidRPr="003B57EA">
        <w:t xml:space="preserve"> immediate attention</w:t>
      </w:r>
      <w:r w:rsidR="00630EF7" w:rsidRPr="003B57EA">
        <w:t xml:space="preserve">. </w:t>
      </w:r>
      <w:r w:rsidR="00D5191D" w:rsidRPr="003B57EA">
        <w:t xml:space="preserve">In Israel, </w:t>
      </w:r>
      <w:r w:rsidR="00C1771B" w:rsidRPr="003B57EA">
        <w:t xml:space="preserve">a </w:t>
      </w:r>
      <w:r w:rsidR="00D5191D" w:rsidRPr="003B57EA">
        <w:t xml:space="preserve">recent study </w:t>
      </w:r>
      <w:r w:rsidR="00902602" w:rsidRPr="003B57EA">
        <w:t xml:space="preserve">indicated </w:t>
      </w:r>
      <w:r w:rsidR="00D5191D" w:rsidRPr="003B57EA">
        <w:t xml:space="preserve">that 30% </w:t>
      </w:r>
      <w:r w:rsidR="009E686A" w:rsidRPr="003B57EA">
        <w:t xml:space="preserve">of the adolescents surveyed </w:t>
      </w:r>
      <w:r w:rsidR="00D5191D" w:rsidRPr="003B57EA">
        <w:t xml:space="preserve">self-perceived </w:t>
      </w:r>
      <w:r w:rsidR="000475D3" w:rsidRPr="003B57EA">
        <w:t xml:space="preserve">as having </w:t>
      </w:r>
      <w:r w:rsidR="00D5191D" w:rsidRPr="003B57EA">
        <w:t>IGD (Efrati &amp; Spada, 2022).</w:t>
      </w:r>
      <w:r w:rsidR="00DC2658" w:rsidRPr="003B57EA">
        <w:t xml:space="preserve"> </w:t>
      </w:r>
      <w:r w:rsidR="00D5191D" w:rsidRPr="003B57EA">
        <w:t xml:space="preserve">This alarmingly high prevalence </w:t>
      </w:r>
      <w:r w:rsidR="007444F7" w:rsidRPr="003B57EA">
        <w:t xml:space="preserve">of </w:t>
      </w:r>
      <w:r w:rsidR="00665C11" w:rsidRPr="003B57EA">
        <w:t>IGD</w:t>
      </w:r>
      <w:r w:rsidR="000A437D" w:rsidRPr="003B57EA">
        <w:t xml:space="preserve"> self-awareness among </w:t>
      </w:r>
      <w:r w:rsidR="000D4F29" w:rsidRPr="003B57EA">
        <w:t>adolescents</w:t>
      </w:r>
      <w:r w:rsidR="00D5191D" w:rsidRPr="003B57EA">
        <w:t xml:space="preserve">, accompanied </w:t>
      </w:r>
      <w:r w:rsidR="00CB2153" w:rsidRPr="003B57EA">
        <w:t xml:space="preserve">by </w:t>
      </w:r>
      <w:r w:rsidR="00D5191D" w:rsidRPr="003B57EA">
        <w:t xml:space="preserve">the </w:t>
      </w:r>
      <w:r w:rsidR="00CB2153" w:rsidRPr="003B57EA">
        <w:t xml:space="preserve">high </w:t>
      </w:r>
      <w:r w:rsidR="00D5191D" w:rsidRPr="003B57EA">
        <w:t>IGD rate</w:t>
      </w:r>
      <w:r w:rsidR="00902602" w:rsidRPr="003B57EA">
        <w:t>s</w:t>
      </w:r>
      <w:r w:rsidR="00D5191D" w:rsidRPr="003B57EA">
        <w:t xml:space="preserve">, underscores the </w:t>
      </w:r>
      <w:r w:rsidR="000D4F29" w:rsidRPr="003B57EA">
        <w:t>long-standing</w:t>
      </w:r>
      <w:r w:rsidR="00D5191D" w:rsidRPr="003B57EA">
        <w:t xml:space="preserve"> need </w:t>
      </w:r>
      <w:r w:rsidR="00350EC8" w:rsidRPr="003B57EA">
        <w:t xml:space="preserve">to </w:t>
      </w:r>
      <w:r w:rsidR="00D5191D" w:rsidRPr="003B57EA">
        <w:t xml:space="preserve">identify </w:t>
      </w:r>
      <w:r w:rsidR="00665C11" w:rsidRPr="003B57EA">
        <w:t xml:space="preserve">IGD’s </w:t>
      </w:r>
      <w:r w:rsidR="00D5191D" w:rsidRPr="003B57EA">
        <w:t xml:space="preserve">risk factors and </w:t>
      </w:r>
      <w:r w:rsidR="00350EC8" w:rsidRPr="003B57EA">
        <w:t>provide</w:t>
      </w:r>
      <w:r w:rsidR="00E8038D" w:rsidRPr="003B57EA">
        <w:t xml:space="preserve"> </w:t>
      </w:r>
      <w:r w:rsidR="00D5191D" w:rsidRPr="003B57EA">
        <w:t xml:space="preserve">reliable and valid assessment tools </w:t>
      </w:r>
      <w:r w:rsidR="00E8038D" w:rsidRPr="003B57EA">
        <w:t xml:space="preserve">and early interventions in </w:t>
      </w:r>
      <w:r w:rsidR="00D5191D" w:rsidRPr="003B57EA">
        <w:t xml:space="preserve">high-risk </w:t>
      </w:r>
      <w:r w:rsidR="00350EC8" w:rsidRPr="003B57EA">
        <w:t>adolescents</w:t>
      </w:r>
      <w:r w:rsidR="000F3196" w:rsidRPr="003B57EA">
        <w:t xml:space="preserve"> </w:t>
      </w:r>
      <w:r w:rsidR="007444F7" w:rsidRPr="003B57EA">
        <w:t>(</w:t>
      </w:r>
      <w:proofErr w:type="spellStart"/>
      <w:r w:rsidR="007444F7" w:rsidRPr="003B57EA">
        <w:t>Lampropoulou</w:t>
      </w:r>
      <w:proofErr w:type="spellEnd"/>
      <w:r w:rsidR="007444F7" w:rsidRPr="003B57EA">
        <w:rPr>
          <w:rtl/>
        </w:rPr>
        <w:t xml:space="preserve"> </w:t>
      </w:r>
      <w:r w:rsidR="007444F7" w:rsidRPr="003B57EA">
        <w:t>et al., 2022)</w:t>
      </w:r>
      <w:r w:rsidR="00D5191D" w:rsidRPr="003B57EA">
        <w:t xml:space="preserve">. </w:t>
      </w:r>
      <w:r w:rsidR="0078167B" w:rsidRPr="003B57EA">
        <w:t xml:space="preserve">Engaging with these objectives, the purpose of this study was to test the validity </w:t>
      </w:r>
      <w:r w:rsidR="0078167B" w:rsidRPr="003B57EA">
        <w:lastRenderedPageBreak/>
        <w:t>of Spada and Caselli</w:t>
      </w:r>
      <w:r w:rsidR="0083620C" w:rsidRPr="003B57EA">
        <w:t>’</w:t>
      </w:r>
      <w:r w:rsidR="0078167B" w:rsidRPr="003B57EA">
        <w:t xml:space="preserve">s (2017) </w:t>
      </w:r>
      <w:r w:rsidR="0083620C" w:rsidRPr="003B57EA">
        <w:t>“</w:t>
      </w:r>
      <w:r w:rsidR="0078167B" w:rsidRPr="003B57EA">
        <w:t>Metacognitions about Online Gaming Scale</w:t>
      </w:r>
      <w:r w:rsidR="0083620C" w:rsidRPr="003B57EA">
        <w:t>”</w:t>
      </w:r>
      <w:r w:rsidR="0078167B" w:rsidRPr="003B57EA">
        <w:t> (MOGS) for use in prospective studies on adolescents.</w:t>
      </w:r>
    </w:p>
    <w:p w14:paraId="7CD35C4C" w14:textId="39A43636" w:rsidR="004E5307" w:rsidRPr="003B57EA" w:rsidRDefault="00A42A83">
      <w:pPr>
        <w:spacing w:line="480" w:lineRule="auto"/>
        <w:jc w:val="both"/>
        <w:rPr>
          <w:b/>
          <w:bCs/>
        </w:rPr>
      </w:pPr>
      <w:r w:rsidRPr="003B57EA">
        <w:rPr>
          <w:b/>
          <w:bCs/>
        </w:rPr>
        <w:t>1.1. Metacognitions</w:t>
      </w:r>
      <w:r w:rsidR="00FF6273" w:rsidRPr="003B57EA">
        <w:rPr>
          <w:b/>
          <w:bCs/>
        </w:rPr>
        <w:t xml:space="preserve"> </w:t>
      </w:r>
      <w:r w:rsidRPr="003B57EA">
        <w:rPr>
          <w:b/>
          <w:bCs/>
        </w:rPr>
        <w:t>and IGD</w:t>
      </w:r>
    </w:p>
    <w:p w14:paraId="66B3FCB4" w14:textId="705030E2" w:rsidR="00D0568E" w:rsidRPr="003B57EA" w:rsidRDefault="00492768" w:rsidP="00FC5F87">
      <w:pPr>
        <w:spacing w:line="480" w:lineRule="auto"/>
        <w:jc w:val="both"/>
      </w:pPr>
      <w:r w:rsidRPr="003B57EA">
        <w:t xml:space="preserve">Metacognition refers to </w:t>
      </w:r>
      <w:r w:rsidR="00D0568E" w:rsidRPr="003B57EA">
        <w:t>“</w:t>
      </w:r>
      <w:r w:rsidRPr="003B57EA">
        <w:t xml:space="preserve">thinking about one’s </w:t>
      </w:r>
      <w:r w:rsidR="00D0568E" w:rsidRPr="003B57EA">
        <w:t xml:space="preserve">own </w:t>
      </w:r>
      <w:r w:rsidR="0074341E" w:rsidRPr="003B57EA">
        <w:t>thinking</w:t>
      </w:r>
      <w:r w:rsidR="0083620C" w:rsidRPr="003B57EA">
        <w:t>.”</w:t>
      </w:r>
      <w:r w:rsidR="00CB2153" w:rsidRPr="003B57EA">
        <w:t xml:space="preserve"> </w:t>
      </w:r>
      <w:r w:rsidR="0083620C" w:rsidRPr="003B57EA">
        <w:t xml:space="preserve">Any belief about one’s cognitive system </w:t>
      </w:r>
      <w:r w:rsidR="001A6A60" w:rsidRPr="003B57EA">
        <w:t>can</w:t>
      </w:r>
      <w:r w:rsidR="00651230" w:rsidRPr="003B57EA">
        <w:t xml:space="preserve"> </w:t>
      </w:r>
      <w:r w:rsidR="001A6A60" w:rsidRPr="003B57EA">
        <w:t>affect</w:t>
      </w:r>
      <w:r w:rsidR="00651230" w:rsidRPr="003B57EA">
        <w:t xml:space="preserve"> cognition management</w:t>
      </w:r>
      <w:r w:rsidR="001A6A60" w:rsidRPr="003B57EA">
        <w:t>,</w:t>
      </w:r>
      <w:r w:rsidR="00651230" w:rsidRPr="003B57EA">
        <w:t xml:space="preserve"> </w:t>
      </w:r>
      <w:r w:rsidR="001A6A60" w:rsidRPr="003B57EA">
        <w:t>self-</w:t>
      </w:r>
      <w:r w:rsidR="00651230" w:rsidRPr="003B57EA">
        <w:t>awareness, and</w:t>
      </w:r>
      <w:r w:rsidR="001A6A60" w:rsidRPr="003B57EA">
        <w:t xml:space="preserve"> our</w:t>
      </w:r>
      <w:r w:rsidR="00651230" w:rsidRPr="003B57EA">
        <w:t xml:space="preserve"> evaluation of the significance of cognitive-affective states</w:t>
      </w:r>
      <w:r w:rsidR="0083620C" w:rsidRPr="003B57EA">
        <w:t xml:space="preserve"> is metacognition</w:t>
      </w:r>
      <w:r w:rsidR="00651230" w:rsidRPr="003B57EA">
        <w:t xml:space="preserve"> (Wells &amp; Matthews, 1996). Metacognitions play</w:t>
      </w:r>
      <w:r w:rsidR="001A6A60" w:rsidRPr="003B57EA">
        <w:t xml:space="preserve"> a key role</w:t>
      </w:r>
      <w:r w:rsidR="00651230" w:rsidRPr="003B57EA">
        <w:t xml:space="preserve"> in </w:t>
      </w:r>
      <w:r w:rsidR="00052B9D" w:rsidRPr="003B57EA">
        <w:t>developing</w:t>
      </w:r>
      <w:r w:rsidR="00651230" w:rsidRPr="003B57EA">
        <w:t xml:space="preserve"> maladaptive coping strategies </w:t>
      </w:r>
      <w:r w:rsidR="00D35546" w:rsidRPr="003B57EA">
        <w:t xml:space="preserve">(e.g., extended thinking, monitoring for threat, thought suppression, and maladaptive behaviors) </w:t>
      </w:r>
      <w:r w:rsidR="00651230" w:rsidRPr="003B57EA">
        <w:t xml:space="preserve">that aggravate negative </w:t>
      </w:r>
      <w:r w:rsidR="001A6A60" w:rsidRPr="003B57EA">
        <w:t>emotional states</w:t>
      </w:r>
      <w:r w:rsidR="00651230" w:rsidRPr="003B57EA">
        <w:t> (Wells &amp; Matthews</w:t>
      </w:r>
      <w:r w:rsidR="00225EE1" w:rsidRPr="003B57EA">
        <w:t>,</w:t>
      </w:r>
      <w:r w:rsidR="00651230" w:rsidRPr="003B57EA">
        <w:t> 1994; 1996).  As a result, adolescents are at higher risk of engaging in addictive behaviors to avoid adverse life situations and</w:t>
      </w:r>
      <w:r w:rsidR="00052B9D" w:rsidRPr="003B57EA">
        <w:t xml:space="preserve"> </w:t>
      </w:r>
      <w:r w:rsidR="00651230" w:rsidRPr="003B57EA">
        <w:t>self-regulat</w:t>
      </w:r>
      <w:r w:rsidR="00052B9D" w:rsidRPr="003B57EA">
        <w:t xml:space="preserve">e their cognitive and emotional states </w:t>
      </w:r>
      <w:r w:rsidR="00651230" w:rsidRPr="003B57EA">
        <w:t>(Spada, Caselli, Nikcevic, &amp; Wells, 2015).</w:t>
      </w:r>
      <w:r w:rsidR="00D87456" w:rsidRPr="003B57EA">
        <w:t xml:space="preserve"> </w:t>
      </w:r>
      <w:bookmarkStart w:id="4" w:name="_Hlk123047469"/>
      <w:r w:rsidR="00DC77C9" w:rsidRPr="003B57EA">
        <w:rPr>
          <w:rFonts w:hint="cs"/>
        </w:rPr>
        <w:t>R</w:t>
      </w:r>
      <w:r w:rsidR="00DC77C9" w:rsidRPr="003B57EA">
        <w:t xml:space="preserve">ecent studies found that unhelpful metacognitions may be associated with a wide range of psychological disorders:  </w:t>
      </w:r>
      <w:r w:rsidR="00757174" w:rsidRPr="003B57EA">
        <w:t>emotion dysregulation (Mansueto et al., 2022), eating disorders (Palmieri et al., 2021)</w:t>
      </w:r>
      <w:r w:rsidR="00FC5F87" w:rsidRPr="003B57EA">
        <w:t>, and</w:t>
      </w:r>
      <w:r w:rsidR="00E21927" w:rsidRPr="003B57EA">
        <w:t xml:space="preserve"> numerous </w:t>
      </w:r>
      <w:hyperlink r:id="rId8" w:history="1">
        <w:r w:rsidR="00757174" w:rsidRPr="003B57EA">
          <w:t>psychopathologies</w:t>
        </w:r>
      </w:hyperlink>
      <w:r w:rsidR="00757174" w:rsidRPr="003B57EA">
        <w:t xml:space="preserve"> (Sun et al., 2017). </w:t>
      </w:r>
      <w:bookmarkEnd w:id="4"/>
      <w:r w:rsidR="004E5307" w:rsidRPr="003B57EA">
        <w:t>As metacognitions may vary across disorders (</w:t>
      </w:r>
      <w:proofErr w:type="spellStart"/>
      <w:r w:rsidR="004E5307" w:rsidRPr="003B57EA">
        <w:t>Casale</w:t>
      </w:r>
      <w:proofErr w:type="spellEnd"/>
      <w:r w:rsidR="004E5307" w:rsidRPr="003B57EA">
        <w:t xml:space="preserve"> et al., 2021), Spada and Caselli (2017) drew researchers’ attention </w:t>
      </w:r>
      <w:r w:rsidR="008A4578" w:rsidRPr="003B57EA">
        <w:t xml:space="preserve">away </w:t>
      </w:r>
      <w:r w:rsidR="004E5307" w:rsidRPr="003B57EA">
        <w:t>from generic metacognitions (i.e., generic beliefs about cognitive</w:t>
      </w:r>
      <w:r w:rsidR="00CB2153" w:rsidRPr="003B57EA">
        <w:t>-</w:t>
      </w:r>
      <w:r w:rsidR="004E5307" w:rsidRPr="003B57EA">
        <w:t xml:space="preserve">affective experiences such as “I need to control my mind at all times”) to specific metacognitions </w:t>
      </w:r>
      <w:r w:rsidR="00D0568E" w:rsidRPr="003B57EA">
        <w:t>concerning</w:t>
      </w:r>
      <w:r w:rsidR="004E5307" w:rsidRPr="003B57EA">
        <w:t xml:space="preserve"> IGD by developing </w:t>
      </w:r>
      <w:r w:rsidR="00023DE3" w:rsidRPr="003B57EA">
        <w:t xml:space="preserve">the </w:t>
      </w:r>
      <w:r w:rsidR="004E5307" w:rsidRPr="003B57EA">
        <w:t xml:space="preserve">MOGS. </w:t>
      </w:r>
      <w:bookmarkStart w:id="5" w:name="_Hlk106008819"/>
      <w:r w:rsidR="0074341E" w:rsidRPr="003B57EA">
        <w:t>Metacognitions about online gaming are theorized to guide cognitive appraisal</w:t>
      </w:r>
      <w:r w:rsidR="00CB2153" w:rsidRPr="003B57EA">
        <w:t>,</w:t>
      </w:r>
      <w:r w:rsidR="0074341E" w:rsidRPr="003B57EA">
        <w:t xml:space="preserve"> and coping style</w:t>
      </w:r>
      <w:r w:rsidR="00023DE3" w:rsidRPr="003B57EA">
        <w:t>s</w:t>
      </w:r>
      <w:r w:rsidR="0074341E" w:rsidRPr="003B57EA">
        <w:t xml:space="preserve"> and (dis)regulate behaviors during the pre- and post-engagement phases </w:t>
      </w:r>
      <w:r w:rsidR="007B1CD1" w:rsidRPr="003B57EA">
        <w:t>toward</w:t>
      </w:r>
      <w:r w:rsidR="0074341E" w:rsidRPr="003B57EA">
        <w:t xml:space="preserve"> external triggers (e.g., exposure to online gaming)</w:t>
      </w:r>
      <w:r w:rsidR="008602A8" w:rsidRPr="003B57EA">
        <w:t xml:space="preserve"> </w:t>
      </w:r>
      <w:bookmarkStart w:id="6" w:name="_Hlk123048418"/>
      <w:r w:rsidR="008602A8" w:rsidRPr="003B57EA">
        <w:t>(Dang et al., 2022)</w:t>
      </w:r>
      <w:r w:rsidR="0074341E" w:rsidRPr="003B57EA">
        <w:t xml:space="preserve">. </w:t>
      </w:r>
      <w:bookmarkEnd w:id="6"/>
    </w:p>
    <w:p w14:paraId="65311B77" w14:textId="34F2D1F9" w:rsidR="004E5307" w:rsidRPr="003B57EA" w:rsidRDefault="00E21927" w:rsidP="00564AF3">
      <w:pPr>
        <w:spacing w:line="480" w:lineRule="auto"/>
        <w:ind w:firstLine="720"/>
        <w:jc w:val="both"/>
      </w:pPr>
      <w:r w:rsidRPr="003B57EA">
        <w:rPr>
          <w:rFonts w:asciiTheme="majorBidi" w:hAnsiTheme="majorBidi" w:cstheme="majorBidi"/>
          <w:color w:val="222222"/>
          <w:shd w:val="clear" w:color="auto" w:fill="FFFFFF"/>
        </w:rPr>
        <w:t>Metacognitions</w:t>
      </w:r>
      <w:r w:rsidR="008602A8" w:rsidRPr="003B57EA">
        <w:rPr>
          <w:rFonts w:asciiTheme="majorBidi" w:hAnsiTheme="majorBidi" w:cstheme="majorBidi"/>
          <w:color w:val="222222"/>
          <w:shd w:val="clear" w:color="auto" w:fill="FFFFFF"/>
        </w:rPr>
        <w:t xml:space="preserve"> broadly take two forms</w:t>
      </w:r>
      <w:r w:rsidR="00D764E7" w:rsidRPr="003B57EA">
        <w:rPr>
          <w:rFonts w:asciiTheme="majorBidi" w:hAnsiTheme="majorBidi" w:cstheme="majorBidi" w:hint="cs"/>
          <w:color w:val="222222"/>
          <w:shd w:val="clear" w:color="auto" w:fill="FFFFFF"/>
          <w:rtl/>
        </w:rPr>
        <w:t xml:space="preserve"> </w:t>
      </w:r>
      <w:r w:rsidR="00D764E7" w:rsidRPr="003B57EA">
        <w:rPr>
          <w:rFonts w:asciiTheme="majorBidi" w:hAnsiTheme="majorBidi" w:cstheme="majorBidi"/>
          <w:color w:val="222222"/>
          <w:shd w:val="clear" w:color="auto" w:fill="FFFFFF"/>
        </w:rPr>
        <w:t>(</w:t>
      </w:r>
      <w:r w:rsidR="00D764E7" w:rsidRPr="003B57EA">
        <w:rPr>
          <w:spacing w:val="3"/>
          <w:bdr w:val="none" w:sz="0" w:space="0" w:color="auto" w:frame="1"/>
        </w:rPr>
        <w:t>Spada &amp; Caselli, 2017)</w:t>
      </w:r>
      <w:r w:rsidR="008602A8" w:rsidRPr="003B57EA">
        <w:rPr>
          <w:rFonts w:asciiTheme="majorBidi" w:hAnsiTheme="majorBidi" w:cstheme="majorBidi"/>
          <w:color w:val="222222"/>
          <w:shd w:val="clear" w:color="auto" w:fill="FFFFFF"/>
        </w:rPr>
        <w:t>: positive and negative</w:t>
      </w:r>
      <w:r w:rsidR="008602A8" w:rsidRPr="003B57EA">
        <w:rPr>
          <w:spacing w:val="-2"/>
        </w:rPr>
        <w:t xml:space="preserve">. </w:t>
      </w:r>
      <w:r w:rsidR="0074341E" w:rsidRPr="003B57EA">
        <w:rPr>
          <w:spacing w:val="-2"/>
        </w:rPr>
        <w:t>Positive metacognitions relate to the benefits of engaging in coping strategies for controlling cognitive</w:t>
      </w:r>
      <w:r w:rsidR="00CB2153" w:rsidRPr="003B57EA">
        <w:rPr>
          <w:spacing w:val="-2"/>
        </w:rPr>
        <w:t>-</w:t>
      </w:r>
      <w:r w:rsidR="0074341E" w:rsidRPr="003B57EA">
        <w:rPr>
          <w:spacing w:val="-2"/>
        </w:rPr>
        <w:t>affective experience</w:t>
      </w:r>
      <w:r w:rsidR="008A4578" w:rsidRPr="003B57EA">
        <w:rPr>
          <w:spacing w:val="-2"/>
        </w:rPr>
        <w:t>s</w:t>
      </w:r>
      <w:r w:rsidR="0074341E" w:rsidRPr="003B57EA">
        <w:rPr>
          <w:spacing w:val="-2"/>
        </w:rPr>
        <w:t xml:space="preserve"> (e.g., “</w:t>
      </w:r>
      <w:r w:rsidR="0074341E" w:rsidRPr="003B57EA">
        <w:t xml:space="preserve">Online gaming helps me control </w:t>
      </w:r>
      <w:r w:rsidR="0074341E" w:rsidRPr="003B57EA">
        <w:lastRenderedPageBreak/>
        <w:t>my negative thoughts</w:t>
      </w:r>
      <w:r w:rsidR="0074341E" w:rsidRPr="003B57EA">
        <w:rPr>
          <w:spacing w:val="-2"/>
        </w:rPr>
        <w:t xml:space="preserve">”) and are linked to </w:t>
      </w:r>
      <w:r w:rsidR="00CB2153" w:rsidRPr="003B57EA">
        <w:rPr>
          <w:spacing w:val="-2"/>
        </w:rPr>
        <w:t>activating</w:t>
      </w:r>
      <w:r w:rsidR="0074341E" w:rsidRPr="003B57EA">
        <w:rPr>
          <w:spacing w:val="-2"/>
        </w:rPr>
        <w:t xml:space="preserve"> such coping strategies. Negative metacognitions are judg</w:t>
      </w:r>
      <w:r w:rsidR="007B1CD1" w:rsidRPr="003B57EA">
        <w:rPr>
          <w:spacing w:val="-2"/>
        </w:rPr>
        <w:t>ments</w:t>
      </w:r>
      <w:r w:rsidR="0074341E" w:rsidRPr="003B57EA">
        <w:rPr>
          <w:spacing w:val="-2"/>
        </w:rPr>
        <w:t xml:space="preserve"> </w:t>
      </w:r>
      <w:r w:rsidR="00CB2153" w:rsidRPr="003B57EA">
        <w:rPr>
          <w:spacing w:val="-2"/>
        </w:rPr>
        <w:t>about</w:t>
      </w:r>
      <w:r w:rsidR="0074341E" w:rsidRPr="003B57EA">
        <w:rPr>
          <w:spacing w:val="-2"/>
        </w:rPr>
        <w:t xml:space="preserve"> perceived control over adopted coping strategies and </w:t>
      </w:r>
      <w:r w:rsidR="008A4578" w:rsidRPr="003B57EA">
        <w:rPr>
          <w:spacing w:val="-2"/>
        </w:rPr>
        <w:t xml:space="preserve">the </w:t>
      </w:r>
      <w:r w:rsidR="006D711D" w:rsidRPr="003B57EA">
        <w:rPr>
          <w:spacing w:val="-2"/>
        </w:rPr>
        <w:t xml:space="preserve">resulting </w:t>
      </w:r>
      <w:r w:rsidR="0074341E" w:rsidRPr="003B57EA">
        <w:rPr>
          <w:spacing w:val="-2"/>
        </w:rPr>
        <w:t>cognitive</w:t>
      </w:r>
      <w:r w:rsidR="00CB2153" w:rsidRPr="003B57EA">
        <w:rPr>
          <w:spacing w:val="-2"/>
        </w:rPr>
        <w:t>-</w:t>
      </w:r>
      <w:r w:rsidR="0074341E" w:rsidRPr="003B57EA">
        <w:rPr>
          <w:spacing w:val="-2"/>
        </w:rPr>
        <w:t>affective states (e.g., “</w:t>
      </w:r>
      <w:r w:rsidR="0074341E" w:rsidRPr="003B57EA">
        <w:t>I continue to play despite I think it would be better to stop</w:t>
      </w:r>
      <w:r w:rsidR="0074341E" w:rsidRPr="003B57EA">
        <w:rPr>
          <w:spacing w:val="-2"/>
        </w:rPr>
        <w:t xml:space="preserve">”). </w:t>
      </w:r>
      <w:r w:rsidR="00902602" w:rsidRPr="003B57EA">
        <w:rPr>
          <w:spacing w:val="-2"/>
        </w:rPr>
        <w:t xml:space="preserve">These types of metacognitions may hamper attempts at self-regulation and contribute to an escalation of psychological distress. </w:t>
      </w:r>
      <w:r w:rsidR="0074341E" w:rsidRPr="003B57EA">
        <w:rPr>
          <w:spacing w:val="-2"/>
        </w:rPr>
        <w:t>The ubiquitous role of positive and negative metacognitions in addictive behaviors has been widely evidenced across numerous studies</w:t>
      </w:r>
      <w:r w:rsidR="00902602" w:rsidRPr="003B57EA">
        <w:rPr>
          <w:spacing w:val="-2"/>
        </w:rPr>
        <w:t xml:space="preserve"> over the last 20 years</w:t>
      </w:r>
      <w:r w:rsidR="0074341E" w:rsidRPr="003B57EA">
        <w:rPr>
          <w:spacing w:val="-2"/>
        </w:rPr>
        <w:t xml:space="preserve"> (e.g., Spada et al., 2015; Hamonniere &amp; </w:t>
      </w:r>
      <w:proofErr w:type="spellStart"/>
      <w:r w:rsidR="0074341E" w:rsidRPr="003B57EA">
        <w:rPr>
          <w:spacing w:val="-2"/>
        </w:rPr>
        <w:t>Varescon</w:t>
      </w:r>
      <w:proofErr w:type="spellEnd"/>
      <w:r w:rsidR="0074341E" w:rsidRPr="003B57EA">
        <w:rPr>
          <w:spacing w:val="-2"/>
        </w:rPr>
        <w:t xml:space="preserve">, 2018). </w:t>
      </w:r>
      <w:r w:rsidR="004E5307" w:rsidRPr="003B57EA">
        <w:t>As shown by subsequent studies, specific metacognitions about online gaming have stronger associations with IGD (e.g., 0.45</w:t>
      </w:r>
      <w:r w:rsidR="00F8713F" w:rsidRPr="003B57EA">
        <w:t>–</w:t>
      </w:r>
      <w:r w:rsidR="004E5307" w:rsidRPr="003B57EA">
        <w:t xml:space="preserve">0.75; Akbari et al., 2021; </w:t>
      </w:r>
      <w:proofErr w:type="spellStart"/>
      <w:r w:rsidR="004E5307" w:rsidRPr="003B57EA">
        <w:t>Nazligül</w:t>
      </w:r>
      <w:proofErr w:type="spellEnd"/>
      <w:r w:rsidR="004E5307" w:rsidRPr="003B57EA">
        <w:t xml:space="preserve">, &amp; </w:t>
      </w:r>
      <w:proofErr w:type="spellStart"/>
      <w:r w:rsidR="004E5307" w:rsidRPr="003B57EA">
        <w:t>Süsen</w:t>
      </w:r>
      <w:proofErr w:type="spellEnd"/>
      <w:r w:rsidR="004E5307" w:rsidRPr="003B57EA">
        <w:t>, 2021</w:t>
      </w:r>
      <w:r w:rsidR="00846B3A" w:rsidRPr="003B57EA">
        <w:t xml:space="preserve">; </w:t>
      </w:r>
      <w:r w:rsidR="008B6754" w:rsidRPr="003B57EA">
        <w:t>Dang et al., 2022</w:t>
      </w:r>
      <w:r w:rsidR="000F5810" w:rsidRPr="003B57EA">
        <w:t xml:space="preserve">; Gandolfi, </w:t>
      </w:r>
      <w:proofErr w:type="spellStart"/>
      <w:r w:rsidR="000F5810" w:rsidRPr="003B57EA">
        <w:t>Soyturk</w:t>
      </w:r>
      <w:proofErr w:type="spellEnd"/>
      <w:r w:rsidR="000F5810" w:rsidRPr="003B57EA">
        <w:t xml:space="preserve">, &amp; </w:t>
      </w:r>
      <w:proofErr w:type="spellStart"/>
      <w:r w:rsidR="000F5810" w:rsidRPr="003B57EA">
        <w:t>Ferdig</w:t>
      </w:r>
      <w:proofErr w:type="spellEnd"/>
      <w:r w:rsidR="000F5810" w:rsidRPr="003B57EA">
        <w:t>, 2021)</w:t>
      </w:r>
      <w:r w:rsidR="004E5307" w:rsidRPr="003B57EA">
        <w:t xml:space="preserve"> compared to generic metacognitions (e.g., 0.1</w:t>
      </w:r>
      <w:r w:rsidR="00846B3A" w:rsidRPr="003B57EA">
        <w:t>2</w:t>
      </w:r>
      <w:r w:rsidR="00FE45A7" w:rsidRPr="003B57EA">
        <w:t>–</w:t>
      </w:r>
      <w:r w:rsidR="004E5307" w:rsidRPr="003B57EA">
        <w:t xml:space="preserve">0.33; </w:t>
      </w:r>
      <w:proofErr w:type="spellStart"/>
      <w:r w:rsidR="004E5307" w:rsidRPr="003B57EA">
        <w:t>Aydın</w:t>
      </w:r>
      <w:proofErr w:type="spellEnd"/>
      <w:r w:rsidR="004E5307" w:rsidRPr="003B57EA">
        <w:t xml:space="preserve"> et al., 2020; Zhang et al., 2020</w:t>
      </w:r>
      <w:r w:rsidR="00846B3A" w:rsidRPr="003B57EA">
        <w:t xml:space="preserve">; </w:t>
      </w:r>
      <w:r w:rsidR="008B6754" w:rsidRPr="003B57EA">
        <w:t>Efrati et al., 2021</w:t>
      </w:r>
      <w:r w:rsidR="004E5307" w:rsidRPr="003B57EA">
        <w:t>).</w:t>
      </w:r>
    </w:p>
    <w:bookmarkEnd w:id="5"/>
    <w:p w14:paraId="6B0E445D" w14:textId="7D930B5B" w:rsidR="00A42A83" w:rsidRPr="003B57EA" w:rsidRDefault="00A42A83">
      <w:pPr>
        <w:spacing w:line="480" w:lineRule="auto"/>
        <w:jc w:val="both"/>
        <w:rPr>
          <w:b/>
          <w:bCs/>
        </w:rPr>
      </w:pPr>
      <w:r w:rsidRPr="003B57EA">
        <w:rPr>
          <w:b/>
          <w:bCs/>
        </w:rPr>
        <w:t>1.2. Gaming motives</w:t>
      </w:r>
    </w:p>
    <w:p w14:paraId="499DC2B2" w14:textId="11FA5C49" w:rsidR="00586443" w:rsidRPr="003B57EA" w:rsidRDefault="005A0E57" w:rsidP="00564AF3">
      <w:pPr>
        <w:spacing w:line="480" w:lineRule="auto"/>
        <w:jc w:val="both"/>
      </w:pPr>
      <w:r w:rsidRPr="003B57EA">
        <w:t xml:space="preserve">Adolescents’ motives for gaming, which can transform a healthy recreational activity into a pathological addiction, are </w:t>
      </w:r>
      <w:r w:rsidR="00CB2153" w:rsidRPr="003B57EA">
        <w:t>signific</w:t>
      </w:r>
      <w:r w:rsidRPr="003B57EA">
        <w:t>ant predictors</w:t>
      </w:r>
      <w:r w:rsidR="00A42A83" w:rsidRPr="003B57EA">
        <w:t xml:space="preserve"> of IGD</w:t>
      </w:r>
      <w:r w:rsidR="00CD44D3" w:rsidRPr="003B57EA">
        <w:t xml:space="preserve"> </w:t>
      </w:r>
      <w:r w:rsidR="00A42A83" w:rsidRPr="003B57EA">
        <w:t xml:space="preserve">(Mills et al., 2018). </w:t>
      </w:r>
      <w:r w:rsidR="00EC70A6" w:rsidRPr="003B57EA">
        <w:t>Scholars agree that understanding the</w:t>
      </w:r>
      <w:r w:rsidR="00A42A83" w:rsidRPr="003B57EA">
        <w:t xml:space="preserve"> motives </w:t>
      </w:r>
      <w:r w:rsidR="00EC70A6" w:rsidRPr="003B57EA">
        <w:t xml:space="preserve">for gaming </w:t>
      </w:r>
      <w:r w:rsidR="00A42A83" w:rsidRPr="003B57EA">
        <w:t xml:space="preserve">is </w:t>
      </w:r>
      <w:r w:rsidR="00EC70A6" w:rsidRPr="003B57EA">
        <w:t>central to understanding the phenomenon of gaming addiction</w:t>
      </w:r>
      <w:r w:rsidR="00A42A83" w:rsidRPr="003B57EA">
        <w:t xml:space="preserve"> (</w:t>
      </w:r>
      <w:r w:rsidR="00183680" w:rsidRPr="003B57EA">
        <w:t xml:space="preserve">Akbari et al., 2021; </w:t>
      </w:r>
      <w:r w:rsidR="00A42A83" w:rsidRPr="003B57EA">
        <w:t>Lafrenière, Verner-</w:t>
      </w:r>
      <w:proofErr w:type="spellStart"/>
      <w:r w:rsidR="00A42A83" w:rsidRPr="003B57EA">
        <w:t>Filion</w:t>
      </w:r>
      <w:proofErr w:type="spellEnd"/>
      <w:r w:rsidR="00A42A83" w:rsidRPr="003B57EA">
        <w:t xml:space="preserve">, &amp; Vallerand, 2012; King &amp; </w:t>
      </w:r>
      <w:proofErr w:type="spellStart"/>
      <w:r w:rsidR="00A42A83" w:rsidRPr="003B57EA">
        <w:t>Delfabbro</w:t>
      </w:r>
      <w:proofErr w:type="spellEnd"/>
      <w:r w:rsidR="00A42A83" w:rsidRPr="003B57EA">
        <w:t xml:space="preserve">, 2009; </w:t>
      </w:r>
      <w:proofErr w:type="spellStart"/>
      <w:r w:rsidR="00A42A83" w:rsidRPr="003B57EA">
        <w:t>Moudiab</w:t>
      </w:r>
      <w:proofErr w:type="spellEnd"/>
      <w:r w:rsidR="00A42A83" w:rsidRPr="003B57EA">
        <w:t xml:space="preserve"> &amp; Spada, 2019</w:t>
      </w:r>
      <w:r w:rsidR="001D5B2F" w:rsidRPr="003B57EA">
        <w:t>; Marino et al., 2020</w:t>
      </w:r>
      <w:r w:rsidR="00A42A83" w:rsidRPr="003B57EA">
        <w:t xml:space="preserve">). Demetrovics </w:t>
      </w:r>
      <w:r w:rsidR="00EE1A0C" w:rsidRPr="003B57EA">
        <w:t>et al.</w:t>
      </w:r>
      <w:r w:rsidR="00A42A83" w:rsidRPr="003B57EA">
        <w:t xml:space="preserve"> (2011) identified seven motives for gaming</w:t>
      </w:r>
      <w:r w:rsidR="00844423" w:rsidRPr="003B57EA">
        <w:t xml:space="preserve"> using exploratory factor analysis. These are</w:t>
      </w:r>
      <w:r w:rsidR="00A42A83" w:rsidRPr="003B57EA">
        <w:t xml:space="preserve"> </w:t>
      </w:r>
      <w:r w:rsidR="003F7FE9" w:rsidRPr="003B57EA">
        <w:t xml:space="preserve">forming </w:t>
      </w:r>
      <w:r w:rsidR="00A42A83" w:rsidRPr="003B57EA">
        <w:t xml:space="preserve">social connections, escaping from reality, </w:t>
      </w:r>
      <w:r w:rsidR="003F7FE9" w:rsidRPr="003B57EA">
        <w:t xml:space="preserve">competing </w:t>
      </w:r>
      <w:r w:rsidR="00A42A83" w:rsidRPr="003B57EA">
        <w:t xml:space="preserve">with others, coping with distress, </w:t>
      </w:r>
      <w:r w:rsidR="00BB4E40" w:rsidRPr="003B57EA">
        <w:t>developing</w:t>
      </w:r>
      <w:r w:rsidR="003F7FE9" w:rsidRPr="003B57EA">
        <w:t xml:space="preserve"> </w:t>
      </w:r>
      <w:r w:rsidR="00A42A83" w:rsidRPr="003B57EA">
        <w:t>skill</w:t>
      </w:r>
      <w:r w:rsidR="003F7FE9" w:rsidRPr="003B57EA">
        <w:t>s</w:t>
      </w:r>
      <w:r w:rsidR="00A42A83" w:rsidRPr="003B57EA">
        <w:t xml:space="preserve">, </w:t>
      </w:r>
      <w:r w:rsidR="003F7FE9" w:rsidRPr="003B57EA">
        <w:t xml:space="preserve">engaging with </w:t>
      </w:r>
      <w:r w:rsidR="00A42A83" w:rsidRPr="003B57EA">
        <w:t>fantasy world</w:t>
      </w:r>
      <w:r w:rsidR="003F7FE9" w:rsidRPr="003B57EA">
        <w:t>s</w:t>
      </w:r>
      <w:r w:rsidR="00A42A83" w:rsidRPr="003B57EA">
        <w:t xml:space="preserve">, </w:t>
      </w:r>
      <w:r w:rsidR="00BB4E40" w:rsidRPr="003B57EA">
        <w:t xml:space="preserve">enjoying </w:t>
      </w:r>
      <w:r w:rsidR="00A42A83" w:rsidRPr="003B57EA">
        <w:t xml:space="preserve">recreation, and </w:t>
      </w:r>
      <w:r w:rsidR="00BB4E40" w:rsidRPr="003B57EA">
        <w:t xml:space="preserve">building </w:t>
      </w:r>
      <w:r w:rsidR="00A42A83" w:rsidRPr="003B57EA">
        <w:t>relation</w:t>
      </w:r>
      <w:r w:rsidR="00BB4E40" w:rsidRPr="003B57EA">
        <w:t>s</w:t>
      </w:r>
      <w:r w:rsidR="00A42A83" w:rsidRPr="003B57EA">
        <w:t xml:space="preserve">. </w:t>
      </w:r>
      <w:r w:rsidR="00844423" w:rsidRPr="003B57EA">
        <w:t>Yee (2006) added</w:t>
      </w:r>
      <w:r w:rsidR="00A42A83" w:rsidRPr="003B57EA">
        <w:t xml:space="preserve"> social motives, immersion, and achievement</w:t>
      </w:r>
      <w:r w:rsidR="00844423" w:rsidRPr="003B57EA">
        <w:t>. Achievement concerns motives related to</w:t>
      </w:r>
      <w:r w:rsidR="00A42A83" w:rsidRPr="003B57EA">
        <w:t xml:space="preserve"> power, domination, </w:t>
      </w:r>
      <w:r w:rsidR="00A076FD" w:rsidRPr="003B57EA">
        <w:t>rivalry</w:t>
      </w:r>
      <w:r w:rsidR="00A42A83" w:rsidRPr="003B57EA">
        <w:t>, provocation</w:t>
      </w:r>
      <w:r w:rsidR="00714B57" w:rsidRPr="003B57EA">
        <w:t xml:space="preserve"> and the like</w:t>
      </w:r>
      <w:r w:rsidR="00A42A83" w:rsidRPr="003B57EA">
        <w:t xml:space="preserve">. Social motives </w:t>
      </w:r>
      <w:r w:rsidR="00C35E84" w:rsidRPr="003B57EA">
        <w:t>relate to</w:t>
      </w:r>
      <w:r w:rsidR="00A42A83" w:rsidRPr="003B57EA">
        <w:t xml:space="preserve"> </w:t>
      </w:r>
      <w:r w:rsidR="00C35E84" w:rsidRPr="003B57EA">
        <w:t xml:space="preserve">forming </w:t>
      </w:r>
      <w:r w:rsidR="00A42A83" w:rsidRPr="003B57EA">
        <w:t>friends</w:t>
      </w:r>
      <w:r w:rsidR="00C35E84" w:rsidRPr="003B57EA">
        <w:t>hips</w:t>
      </w:r>
      <w:r w:rsidR="00A42A83" w:rsidRPr="003B57EA">
        <w:t>, helping others, self-disclosure, getting support</w:t>
      </w:r>
      <w:r w:rsidR="00E93291" w:rsidRPr="003B57EA">
        <w:t>,</w:t>
      </w:r>
      <w:r w:rsidR="00A42A83" w:rsidRPr="003B57EA">
        <w:t xml:space="preserve"> and teamwork. Immersion </w:t>
      </w:r>
      <w:r w:rsidR="00C35E84" w:rsidRPr="003B57EA">
        <w:lastRenderedPageBreak/>
        <w:t>concerns engaging with</w:t>
      </w:r>
      <w:r w:rsidR="00A42A83" w:rsidRPr="003B57EA">
        <w:t xml:space="preserve"> fantasy</w:t>
      </w:r>
      <w:r w:rsidR="00C35E84" w:rsidRPr="003B57EA">
        <w:t xml:space="preserve"> worlds and</w:t>
      </w:r>
      <w:r w:rsidR="00A42A83" w:rsidRPr="003B57EA">
        <w:t xml:space="preserve"> role-playing </w:t>
      </w:r>
      <w:r w:rsidR="00CB2153" w:rsidRPr="003B57EA">
        <w:t>to escape</w:t>
      </w:r>
      <w:r w:rsidR="00A42A83" w:rsidRPr="003B57EA">
        <w:t xml:space="preserve"> the real world and its problems (Yee, 2006). These gaming motives appear to be </w:t>
      </w:r>
      <w:r w:rsidR="00CB2153" w:rsidRPr="003B57EA">
        <w:t xml:space="preserve">critical </w:t>
      </w:r>
      <w:r w:rsidR="00A42A83" w:rsidRPr="003B57EA">
        <w:t>determinants of IGD (</w:t>
      </w:r>
      <w:r w:rsidR="004E60C4" w:rsidRPr="003B57EA">
        <w:rPr>
          <w:shd w:val="clear" w:color="auto" w:fill="FFFFFF"/>
        </w:rPr>
        <w:t>Wang, &amp; Cheng, 2022</w:t>
      </w:r>
      <w:r w:rsidR="00A42A83" w:rsidRPr="003B57EA">
        <w:t>).</w:t>
      </w:r>
      <w:r w:rsidR="00DF1573" w:rsidRPr="003B57EA">
        <w:t xml:space="preserve"> </w:t>
      </w:r>
      <w:r w:rsidR="00586443" w:rsidRPr="003B57EA">
        <w:t xml:space="preserve">Therefore, the first aim of </w:t>
      </w:r>
      <w:r w:rsidR="006421B4" w:rsidRPr="003B57EA">
        <w:t>this</w:t>
      </w:r>
      <w:r w:rsidR="00586443" w:rsidRPr="003B57EA">
        <w:t xml:space="preserve"> study</w:t>
      </w:r>
      <w:r w:rsidR="00DF1573" w:rsidRPr="003B57EA">
        <w:t>,</w:t>
      </w:r>
      <w:r w:rsidR="00586443" w:rsidRPr="003B57EA">
        <w:t xml:space="preserve"> to examine </w:t>
      </w:r>
      <w:r w:rsidR="00DF1573" w:rsidRPr="003B57EA">
        <w:t>metacognitions about online gaming</w:t>
      </w:r>
      <w:r w:rsidR="00A076FD" w:rsidRPr="003B57EA">
        <w:t>,</w:t>
      </w:r>
      <w:r w:rsidR="00586443" w:rsidRPr="003B57EA">
        <w:t xml:space="preserve"> should be explored as </w:t>
      </w:r>
      <w:r w:rsidR="00A076FD" w:rsidRPr="003B57EA">
        <w:t xml:space="preserve">a </w:t>
      </w:r>
      <w:r w:rsidR="00586443" w:rsidRPr="003B57EA">
        <w:t xml:space="preserve">potential </w:t>
      </w:r>
      <w:r w:rsidR="00A076FD" w:rsidRPr="003B57EA">
        <w:t xml:space="preserve">connection </w:t>
      </w:r>
      <w:r w:rsidR="00586443" w:rsidRPr="003B57EA">
        <w:t xml:space="preserve">to </w:t>
      </w:r>
      <w:r w:rsidR="00DF1573" w:rsidRPr="003B57EA">
        <w:t>gaming motives</w:t>
      </w:r>
      <w:r w:rsidR="00586443" w:rsidRPr="003B57EA">
        <w:t>.</w:t>
      </w:r>
    </w:p>
    <w:p w14:paraId="615E4D03" w14:textId="1879DACD" w:rsidR="00586443" w:rsidRPr="003B57EA" w:rsidRDefault="00DF1573" w:rsidP="00564AF3">
      <w:pPr>
        <w:spacing w:line="480" w:lineRule="auto"/>
        <w:jc w:val="both"/>
        <w:rPr>
          <w:b/>
          <w:bCs/>
          <w:rtl/>
        </w:rPr>
      </w:pPr>
      <w:r w:rsidRPr="003B57EA">
        <w:rPr>
          <w:b/>
          <w:bCs/>
        </w:rPr>
        <w:t>1.3 Emotion regulation strategies</w:t>
      </w:r>
    </w:p>
    <w:p w14:paraId="46891A61" w14:textId="5569691E" w:rsidR="00C66D2A" w:rsidRPr="003B57EA" w:rsidRDefault="0004112D" w:rsidP="00564AF3">
      <w:pPr>
        <w:autoSpaceDE w:val="0"/>
        <w:autoSpaceDN w:val="0"/>
        <w:adjustRightInd w:val="0"/>
        <w:snapToGrid w:val="0"/>
        <w:spacing w:line="480" w:lineRule="auto"/>
        <w:jc w:val="both"/>
      </w:pPr>
      <w:r w:rsidRPr="003B57EA">
        <w:t>Another connection</w:t>
      </w:r>
      <w:r w:rsidR="00902602" w:rsidRPr="003B57EA">
        <w:t>,</w:t>
      </w:r>
      <w:r w:rsidRPr="003B57EA">
        <w:t xml:space="preserve"> </w:t>
      </w:r>
      <w:r w:rsidR="00CB2153" w:rsidRPr="003B57EA">
        <w:t xml:space="preserve">between metacognitions about online gaming and emotion regulation strategies in adolescents </w:t>
      </w:r>
      <w:r w:rsidR="00902602" w:rsidRPr="003B57EA">
        <w:t xml:space="preserve">may </w:t>
      </w:r>
      <w:r w:rsidR="00CB2153" w:rsidRPr="003B57EA">
        <w:t>exist</w:t>
      </w:r>
      <w:r w:rsidR="00772E61" w:rsidRPr="003B57EA">
        <w:t xml:space="preserve">. </w:t>
      </w:r>
      <w:r w:rsidR="00AE1D93" w:rsidRPr="003B57EA">
        <w:t xml:space="preserve">Scholars concerned with healthy psychological development have increasingly recognized the importance of developing socially appropriate and adaptive skills to </w:t>
      </w:r>
      <w:r w:rsidR="00772E61" w:rsidRPr="003B57EA">
        <w:t>manage or regulate emotions (</w:t>
      </w:r>
      <w:r w:rsidR="006421B4" w:rsidRPr="003B57EA">
        <w:t xml:space="preserve">Matthews, Webb, &amp; </w:t>
      </w:r>
      <w:proofErr w:type="spellStart"/>
      <w:r w:rsidR="006421B4" w:rsidRPr="003B57EA">
        <w:t>Sheppes</w:t>
      </w:r>
      <w:proofErr w:type="spellEnd"/>
      <w:r w:rsidR="006421B4" w:rsidRPr="003B57EA">
        <w:t xml:space="preserve">, 2021; </w:t>
      </w:r>
      <w:r w:rsidR="00772E61" w:rsidRPr="003B57EA">
        <w:t>Cole, Michel, &amp; Teti, 1994;</w:t>
      </w:r>
      <w:r w:rsidR="00772E61" w:rsidRPr="003B57EA">
        <w:rPr>
          <w:rtl/>
        </w:rPr>
        <w:t xml:space="preserve"> </w:t>
      </w:r>
      <w:r w:rsidR="00772E61" w:rsidRPr="003B57EA">
        <w:t xml:space="preserve">Morris, Silk, Steinberg, Myers, &amp; Robinson, 2007; Southam-Gerow &amp; Kendall, 2002). Emotion regulation </w:t>
      </w:r>
      <w:r w:rsidR="00EB0417" w:rsidRPr="003B57EA">
        <w:t xml:space="preserve">requires </w:t>
      </w:r>
      <w:r w:rsidR="00772E61" w:rsidRPr="003B57EA">
        <w:t xml:space="preserve">intrinsic and extrinsic processes </w:t>
      </w:r>
      <w:r w:rsidR="00CD44D3" w:rsidRPr="003B57EA">
        <w:rPr>
          <w:rStyle w:val="cf01"/>
          <w:rFonts w:ascii="Times New Roman" w:hAnsi="Times New Roman" w:cs="Times New Roman"/>
          <w:sz w:val="24"/>
          <w:szCs w:val="24"/>
        </w:rPr>
        <w:t>that move a person toward goal accomplishmen</w:t>
      </w:r>
      <w:r w:rsidR="00902602" w:rsidRPr="003B57EA">
        <w:rPr>
          <w:rStyle w:val="cf01"/>
          <w:rFonts w:ascii="Times New Roman" w:hAnsi="Times New Roman" w:cs="Times New Roman"/>
          <w:sz w:val="24"/>
          <w:szCs w:val="24"/>
        </w:rPr>
        <w:t>t</w:t>
      </w:r>
      <w:r w:rsidR="00CD44D3" w:rsidRPr="003B57EA" w:rsidDel="00CD44D3">
        <w:t xml:space="preserve"> </w:t>
      </w:r>
      <w:r w:rsidR="00772E61" w:rsidRPr="003B57EA">
        <w:t>(Thompson, 1994</w:t>
      </w:r>
      <w:r w:rsidR="00671866" w:rsidRPr="003B57EA">
        <w:t xml:space="preserve">). These </w:t>
      </w:r>
      <w:r w:rsidR="00772E61" w:rsidRPr="003B57EA">
        <w:t>can be conscious</w:t>
      </w:r>
      <w:r w:rsidR="00EB0417" w:rsidRPr="003B57EA">
        <w:t xml:space="preserve"> and require effort</w:t>
      </w:r>
      <w:r w:rsidR="00772E61" w:rsidRPr="003B57EA">
        <w:t xml:space="preserve"> or unconscious</w:t>
      </w:r>
      <w:r w:rsidR="00EB0417" w:rsidRPr="003B57EA">
        <w:t xml:space="preserve"> and </w:t>
      </w:r>
      <w:r w:rsidR="00772E61" w:rsidRPr="003B57EA">
        <w:t>automatic</w:t>
      </w:r>
      <w:r w:rsidR="00902602" w:rsidRPr="003B57EA">
        <w:t xml:space="preserve"> or ‘effortless’</w:t>
      </w:r>
      <w:r w:rsidR="00772E61" w:rsidRPr="003B57EA">
        <w:t xml:space="preserve"> (Cole et al., 1994; Gross &amp; Thompson, 2007; Thompson, 1994)</w:t>
      </w:r>
      <w:r w:rsidR="00EB0417" w:rsidRPr="003B57EA">
        <w:t>.</w:t>
      </w:r>
      <w:r w:rsidR="00902602" w:rsidRPr="003B57EA">
        <w:t xml:space="preserve"> </w:t>
      </w:r>
      <w:r w:rsidR="003B7233" w:rsidRPr="003B57EA">
        <w:t>T</w:t>
      </w:r>
      <w:r w:rsidR="00772E61" w:rsidRPr="003B57EA">
        <w:t xml:space="preserve">wo </w:t>
      </w:r>
      <w:r w:rsidR="003B7233" w:rsidRPr="003B57EA">
        <w:t xml:space="preserve">principal </w:t>
      </w:r>
      <w:r w:rsidR="00772E61" w:rsidRPr="003B57EA">
        <w:t>emotion regulation strategies</w:t>
      </w:r>
      <w:r w:rsidR="003B7233" w:rsidRPr="003B57EA">
        <w:t xml:space="preserve"> exist.</w:t>
      </w:r>
      <w:r w:rsidR="00C47255" w:rsidRPr="003B57EA">
        <w:t xml:space="preserve"> The first is</w:t>
      </w:r>
      <w:r w:rsidR="00671866" w:rsidRPr="003B57EA">
        <w:t xml:space="preserve"> </w:t>
      </w:r>
      <w:r w:rsidR="00772E61" w:rsidRPr="003B57EA">
        <w:t>cognitive reappraisal</w:t>
      </w:r>
      <w:r w:rsidR="003B7233" w:rsidRPr="003B57EA">
        <w:t>, which concerns the redefinition of</w:t>
      </w:r>
      <w:r w:rsidR="00772E61" w:rsidRPr="003B57EA">
        <w:t xml:space="preserve"> </w:t>
      </w:r>
      <w:r w:rsidR="003B7233" w:rsidRPr="003B57EA">
        <w:t xml:space="preserve">situations giving rise to </w:t>
      </w:r>
      <w:r w:rsidR="00772E61" w:rsidRPr="003B57EA">
        <w:t>emotion</w:t>
      </w:r>
      <w:r w:rsidR="003B7233" w:rsidRPr="003B57EA">
        <w:t>al responses</w:t>
      </w:r>
      <w:r w:rsidR="00772E61" w:rsidRPr="003B57EA">
        <w:t xml:space="preserve"> </w:t>
      </w:r>
      <w:r w:rsidR="003B7233" w:rsidRPr="003B57EA">
        <w:t xml:space="preserve">such that the </w:t>
      </w:r>
      <w:r w:rsidR="00772E61" w:rsidRPr="003B57EA">
        <w:t>emotional impact</w:t>
      </w:r>
      <w:r w:rsidR="00902602" w:rsidRPr="003B57EA">
        <w:t xml:space="preserve"> </w:t>
      </w:r>
      <w:r w:rsidR="003B7233" w:rsidRPr="003B57EA">
        <w:t>is changed</w:t>
      </w:r>
      <w:r w:rsidR="00C47255" w:rsidRPr="003B57EA">
        <w:t>.</w:t>
      </w:r>
      <w:r w:rsidR="00902602" w:rsidRPr="003B57EA">
        <w:t xml:space="preserve"> </w:t>
      </w:r>
      <w:r w:rsidR="00C47255" w:rsidRPr="003B57EA">
        <w:t xml:space="preserve">The second is </w:t>
      </w:r>
      <w:r w:rsidR="00772E61" w:rsidRPr="003B57EA">
        <w:t>expressive suppression</w:t>
      </w:r>
      <w:r w:rsidR="00C47255" w:rsidRPr="003B57EA">
        <w:t xml:space="preserve"> which is an inhibition of </w:t>
      </w:r>
      <w:r w:rsidR="00772E61" w:rsidRPr="003B57EA">
        <w:t>ongoing emotion-expressive behavior (</w:t>
      </w:r>
      <w:proofErr w:type="spellStart"/>
      <w:r w:rsidR="00772E61" w:rsidRPr="003B57EA">
        <w:t>Gullone</w:t>
      </w:r>
      <w:proofErr w:type="spellEnd"/>
      <w:r w:rsidR="00772E61" w:rsidRPr="003B57EA">
        <w:t xml:space="preserve"> &amp; </w:t>
      </w:r>
      <w:proofErr w:type="spellStart"/>
      <w:r w:rsidR="00772E61" w:rsidRPr="003B57EA">
        <w:t>Taffe</w:t>
      </w:r>
      <w:proofErr w:type="spellEnd"/>
      <w:r w:rsidR="00772E61" w:rsidRPr="003B57EA">
        <w:t xml:space="preserve">, 2012). </w:t>
      </w:r>
      <w:r w:rsidR="000D6122" w:rsidRPr="003B57EA">
        <w:rPr>
          <w:rFonts w:asciiTheme="majorBidi" w:hAnsiTheme="majorBidi" w:cstheme="majorBidi"/>
          <w:color w:val="222222"/>
          <w:shd w:val="clear" w:color="auto" w:fill="FFFFFF"/>
        </w:rPr>
        <w:t xml:space="preserve">Within the framework of the Self-Regulatory Executive Function </w:t>
      </w:r>
      <w:r w:rsidR="00E21927" w:rsidRPr="003B57EA">
        <w:rPr>
          <w:rFonts w:asciiTheme="majorBidi" w:hAnsiTheme="majorBidi" w:cstheme="majorBidi"/>
          <w:color w:val="222222"/>
          <w:shd w:val="clear" w:color="auto" w:fill="FFFFFF"/>
        </w:rPr>
        <w:t xml:space="preserve">model </w:t>
      </w:r>
      <w:r w:rsidR="000D6122" w:rsidRPr="003B57EA">
        <w:rPr>
          <w:rFonts w:asciiTheme="majorBidi" w:hAnsiTheme="majorBidi" w:cstheme="majorBidi"/>
          <w:color w:val="222222"/>
          <w:shd w:val="clear" w:color="auto" w:fill="FFFFFF"/>
        </w:rPr>
        <w:t>(</w:t>
      </w:r>
      <w:r w:rsidR="00E21927" w:rsidRPr="003B57EA">
        <w:rPr>
          <w:rFonts w:asciiTheme="majorBidi" w:hAnsiTheme="majorBidi" w:cstheme="majorBidi"/>
          <w:color w:val="222222"/>
          <w:shd w:val="clear" w:color="auto" w:fill="FFFFFF"/>
        </w:rPr>
        <w:t xml:space="preserve">S-REF; </w:t>
      </w:r>
      <w:r w:rsidR="000D6122" w:rsidRPr="003B57EA">
        <w:rPr>
          <w:rFonts w:asciiTheme="majorBidi" w:hAnsiTheme="majorBidi" w:cstheme="majorBidi"/>
          <w:color w:val="222222"/>
          <w:shd w:val="clear" w:color="auto" w:fill="FFFFFF"/>
        </w:rPr>
        <w:t xml:space="preserve">Wells, 2011; Wells and Matthews, 1994, 1996), a recent study suggested that difficulties in emotion regulation could be related </w:t>
      </w:r>
      <w:r w:rsidR="00E21927" w:rsidRPr="003B57EA">
        <w:rPr>
          <w:rFonts w:asciiTheme="majorBidi" w:hAnsiTheme="majorBidi" w:cstheme="majorBidi"/>
          <w:color w:val="222222"/>
          <w:shd w:val="clear" w:color="auto" w:fill="FFFFFF"/>
        </w:rPr>
        <w:t>to</w:t>
      </w:r>
      <w:r w:rsidR="000D6122" w:rsidRPr="003B57EA">
        <w:rPr>
          <w:rFonts w:asciiTheme="majorBidi" w:hAnsiTheme="majorBidi" w:cstheme="majorBidi"/>
          <w:color w:val="222222"/>
          <w:shd w:val="clear" w:color="auto" w:fill="FFFFFF"/>
        </w:rPr>
        <w:t xml:space="preserve"> </w:t>
      </w:r>
      <w:r w:rsidR="00E21927" w:rsidRPr="003B57EA">
        <w:rPr>
          <w:rFonts w:asciiTheme="majorBidi" w:hAnsiTheme="majorBidi" w:cstheme="majorBidi"/>
          <w:color w:val="222222"/>
          <w:shd w:val="clear" w:color="auto" w:fill="FFFFFF"/>
        </w:rPr>
        <w:t>the presence of</w:t>
      </w:r>
      <w:r w:rsidR="000D6122" w:rsidRPr="003B57EA">
        <w:rPr>
          <w:rFonts w:asciiTheme="majorBidi" w:hAnsiTheme="majorBidi" w:cstheme="majorBidi"/>
          <w:color w:val="222222"/>
          <w:shd w:val="clear" w:color="auto" w:fill="FFFFFF"/>
        </w:rPr>
        <w:t xml:space="preserve"> unhelpful </w:t>
      </w:r>
      <w:r w:rsidR="00E21927" w:rsidRPr="003B57EA">
        <w:rPr>
          <w:rFonts w:asciiTheme="majorBidi" w:hAnsiTheme="majorBidi" w:cstheme="majorBidi"/>
          <w:color w:val="222222"/>
          <w:shd w:val="clear" w:color="auto" w:fill="FFFFFF"/>
        </w:rPr>
        <w:t>metacognitions</w:t>
      </w:r>
      <w:r w:rsidR="000D6122" w:rsidRPr="003B57EA">
        <w:rPr>
          <w:rFonts w:asciiTheme="majorBidi" w:hAnsiTheme="majorBidi" w:cstheme="majorBidi"/>
          <w:color w:val="222222"/>
          <w:shd w:val="clear" w:color="auto" w:fill="FFFFFF"/>
        </w:rPr>
        <w:t xml:space="preserve"> and repetitive negative thinking</w:t>
      </w:r>
      <w:r w:rsidR="00E21927" w:rsidRPr="003B57EA">
        <w:rPr>
          <w:rFonts w:asciiTheme="majorBidi" w:hAnsiTheme="majorBidi" w:cstheme="majorBidi"/>
          <w:color w:val="222222"/>
          <w:shd w:val="clear" w:color="auto" w:fill="FFFFFF"/>
        </w:rPr>
        <w:t xml:space="preserve"> patterns</w:t>
      </w:r>
      <w:r w:rsidR="000D6122" w:rsidRPr="003B57EA">
        <w:rPr>
          <w:rFonts w:asciiTheme="majorBidi" w:hAnsiTheme="majorBidi" w:cstheme="majorBidi"/>
          <w:color w:val="222222"/>
          <w:shd w:val="clear" w:color="auto" w:fill="FFFFFF"/>
        </w:rPr>
        <w:t xml:space="preserve"> (see Mansueto et al., 2022</w:t>
      </w:r>
      <w:r w:rsidR="000D6122" w:rsidRPr="003B57EA">
        <w:rPr>
          <w:rFonts w:asciiTheme="majorBidi" w:hAnsiTheme="majorBidi" w:cstheme="majorBidi" w:hint="cs"/>
          <w:color w:val="222222"/>
          <w:shd w:val="clear" w:color="auto" w:fill="FFFFFF"/>
          <w:rtl/>
        </w:rPr>
        <w:t>(</w:t>
      </w:r>
      <w:r w:rsidR="000D6122" w:rsidRPr="003B57EA">
        <w:rPr>
          <w:rFonts w:asciiTheme="majorBidi" w:hAnsiTheme="majorBidi" w:cstheme="majorBidi"/>
          <w:color w:val="222222"/>
          <w:shd w:val="clear" w:color="auto" w:fill="FFFFFF"/>
        </w:rPr>
        <w:t xml:space="preserve">. </w:t>
      </w:r>
      <w:r w:rsidR="00772E61" w:rsidRPr="003B57EA">
        <w:t xml:space="preserve">Emotion regulation has a therapeutic role in treating </w:t>
      </w:r>
      <w:r w:rsidR="001D175D" w:rsidRPr="003B57EA">
        <w:t>harmful</w:t>
      </w:r>
      <w:r w:rsidR="00772E61" w:rsidRPr="003B57EA">
        <w:t xml:space="preserve"> behaviors such as </w:t>
      </w:r>
      <w:r w:rsidR="00565A55" w:rsidRPr="003B57EA">
        <w:t>IGD</w:t>
      </w:r>
      <w:r w:rsidR="00772E61" w:rsidRPr="003B57EA">
        <w:t xml:space="preserve"> (Wu et al., 2020), substance use (</w:t>
      </w:r>
      <w:proofErr w:type="spellStart"/>
      <w:r w:rsidR="00772E61" w:rsidRPr="003B57EA">
        <w:t>Cavicchioli</w:t>
      </w:r>
      <w:proofErr w:type="spellEnd"/>
      <w:r w:rsidR="00772E61" w:rsidRPr="003B57EA">
        <w:t xml:space="preserve"> et al., 2019), and gambling</w:t>
      </w:r>
      <w:r w:rsidR="001D175D" w:rsidRPr="003B57EA">
        <w:t xml:space="preserve"> addiction</w:t>
      </w:r>
      <w:r w:rsidR="00772E61" w:rsidRPr="003B57EA">
        <w:t xml:space="preserve"> </w:t>
      </w:r>
      <w:r w:rsidR="00772E61" w:rsidRPr="003B57EA">
        <w:lastRenderedPageBreak/>
        <w:t>(</w:t>
      </w:r>
      <w:proofErr w:type="spellStart"/>
      <w:r w:rsidR="00772E61" w:rsidRPr="003B57EA">
        <w:t>Rogier</w:t>
      </w:r>
      <w:proofErr w:type="spellEnd"/>
      <w:r w:rsidR="00772E61" w:rsidRPr="003B57EA">
        <w:t xml:space="preserve"> &amp; </w:t>
      </w:r>
      <w:proofErr w:type="spellStart"/>
      <w:r w:rsidR="00772E61" w:rsidRPr="003B57EA">
        <w:t>Velotti</w:t>
      </w:r>
      <w:proofErr w:type="spellEnd"/>
      <w:r w:rsidR="00772E61" w:rsidRPr="003B57EA">
        <w:t>, 2018). Evidence also suggests that poor emotion regulation, excessive use of suppression</w:t>
      </w:r>
      <w:r w:rsidR="00902602" w:rsidRPr="003B57EA">
        <w:t>,</w:t>
      </w:r>
      <w:r w:rsidR="00772E61" w:rsidRPr="003B57EA">
        <w:t xml:space="preserve"> and less frequent reappraisal may be significant predictor</w:t>
      </w:r>
      <w:r w:rsidR="00CB2153" w:rsidRPr="003B57EA">
        <w:t>s</w:t>
      </w:r>
      <w:r w:rsidR="00772E61" w:rsidRPr="003B57EA">
        <w:t xml:space="preserve"> of </w:t>
      </w:r>
      <w:r w:rsidR="009C7B5D" w:rsidRPr="003B57EA">
        <w:t xml:space="preserve">IGD. Recently, </w:t>
      </w:r>
      <w:r w:rsidR="009C7B5D" w:rsidRPr="003B57EA">
        <w:rPr>
          <w:shd w:val="clear" w:color="auto" w:fill="FFFFFF"/>
        </w:rPr>
        <w:t>Yen et al</w:t>
      </w:r>
      <w:r w:rsidR="00972E33" w:rsidRPr="003B57EA">
        <w:rPr>
          <w:shd w:val="clear" w:color="auto" w:fill="FFFFFF"/>
        </w:rPr>
        <w:t>.</w:t>
      </w:r>
      <w:r w:rsidR="009C7B5D" w:rsidRPr="003B57EA">
        <w:rPr>
          <w:shd w:val="clear" w:color="auto" w:fill="FFFFFF"/>
        </w:rPr>
        <w:t xml:space="preserve"> (2018) found that</w:t>
      </w:r>
      <w:r w:rsidR="009C7B5D" w:rsidRPr="003B57EA">
        <w:t xml:space="preserve"> </w:t>
      </w:r>
      <w:r w:rsidR="00C66D2A" w:rsidRPr="003B57EA">
        <w:t>a group diagnosed with</w:t>
      </w:r>
      <w:r w:rsidR="00EC4397" w:rsidRPr="003B57EA">
        <w:t xml:space="preserve"> </w:t>
      </w:r>
      <w:r w:rsidR="009C7B5D" w:rsidRPr="003B57EA">
        <w:t>IGD had significantly lower cognitive reappraisal strategies</w:t>
      </w:r>
      <w:r w:rsidR="008824D1" w:rsidRPr="003B57EA">
        <w:t xml:space="preserve"> </w:t>
      </w:r>
      <w:r w:rsidR="009C7B5D" w:rsidRPr="003B57EA">
        <w:t xml:space="preserve">and greater expressive suppression strategies than the control group and </w:t>
      </w:r>
      <w:r w:rsidR="00C66D2A" w:rsidRPr="003B57EA">
        <w:t xml:space="preserve">that </w:t>
      </w:r>
      <w:r w:rsidR="009C7B5D" w:rsidRPr="003B57EA">
        <w:t xml:space="preserve">cognitive reappraisal negatively </w:t>
      </w:r>
      <w:r w:rsidR="00902602" w:rsidRPr="003B57EA">
        <w:t xml:space="preserve">predicted </w:t>
      </w:r>
      <w:r w:rsidR="009C7B5D" w:rsidRPr="003B57EA">
        <w:t xml:space="preserve">IGD and expressive suppression positively </w:t>
      </w:r>
      <w:r w:rsidR="00902602" w:rsidRPr="003B57EA">
        <w:t xml:space="preserve">predicted </w:t>
      </w:r>
      <w:r w:rsidR="009C7B5D" w:rsidRPr="003B57EA">
        <w:t>IGD.</w:t>
      </w:r>
    </w:p>
    <w:p w14:paraId="4AD51A29" w14:textId="14AB5708" w:rsidR="001A7370" w:rsidRPr="003B57EA" w:rsidRDefault="00633037" w:rsidP="00564AF3">
      <w:pPr>
        <w:autoSpaceDE w:val="0"/>
        <w:autoSpaceDN w:val="0"/>
        <w:adjustRightInd w:val="0"/>
        <w:snapToGrid w:val="0"/>
        <w:spacing w:line="480" w:lineRule="auto"/>
        <w:ind w:firstLine="720"/>
        <w:jc w:val="both"/>
        <w:rPr>
          <w:rtl/>
        </w:rPr>
      </w:pPr>
      <w:r w:rsidRPr="003B57EA">
        <w:t>Furthermore, Caplan’s (2010) cognitive-behavioral model of internet addiction has been used to show how a preference for online social interaction (POSI) can aggravate the adverse effects of disordered gaming both directly and indirectly through emotion regulation (</w:t>
      </w:r>
      <w:proofErr w:type="spellStart"/>
      <w:r w:rsidRPr="003B57EA">
        <w:t>Haagasma</w:t>
      </w:r>
      <w:proofErr w:type="spellEnd"/>
      <w:r w:rsidRPr="003B57EA">
        <w:t xml:space="preserve"> et al., 2013). </w:t>
      </w:r>
      <w:r w:rsidR="00996914" w:rsidRPr="003B57EA">
        <w:t xml:space="preserve">In addition, </w:t>
      </w:r>
      <w:r w:rsidR="00EF435D" w:rsidRPr="003B57EA">
        <w:t xml:space="preserve">Marino et al. (2020) </w:t>
      </w:r>
      <w:r w:rsidR="00FB0747" w:rsidRPr="003B57EA">
        <w:t>found</w:t>
      </w:r>
      <w:r w:rsidR="00902602" w:rsidRPr="003B57EA">
        <w:t>,</w:t>
      </w:r>
      <w:r w:rsidR="00FB0747" w:rsidRPr="003B57EA">
        <w:t xml:space="preserve"> in a study </w:t>
      </w:r>
      <w:r w:rsidR="00EF435D" w:rsidRPr="003B57EA">
        <w:t xml:space="preserve">on </w:t>
      </w:r>
      <w:r w:rsidR="00FB0747" w:rsidRPr="003B57EA">
        <w:t>543</w:t>
      </w:r>
      <w:r w:rsidR="00E114BB" w:rsidRPr="003B57EA">
        <w:t xml:space="preserve"> Italian gamers</w:t>
      </w:r>
      <w:r w:rsidR="00902602" w:rsidRPr="003B57EA">
        <w:t>,</w:t>
      </w:r>
      <w:r w:rsidR="00FB0747" w:rsidRPr="003B57EA">
        <w:t xml:space="preserve"> </w:t>
      </w:r>
      <w:r w:rsidR="00E114BB" w:rsidRPr="003B57EA">
        <w:t xml:space="preserve">that POSI </w:t>
      </w:r>
      <w:r w:rsidR="00071655" w:rsidRPr="003B57EA">
        <w:t>correlated</w:t>
      </w:r>
      <w:r w:rsidR="00071655" w:rsidRPr="003B57EA" w:rsidDel="00071655">
        <w:t xml:space="preserve"> </w:t>
      </w:r>
      <w:r w:rsidR="00EF435D" w:rsidRPr="003B57EA">
        <w:t>with positive and negative metacognitions about online gaming and IGD.</w:t>
      </w:r>
      <w:r w:rsidR="00E114BB" w:rsidRPr="003B57EA">
        <w:t xml:space="preserve"> </w:t>
      </w:r>
      <w:r w:rsidR="00615E3B" w:rsidRPr="003B57EA">
        <w:t xml:space="preserve">Therefore, the second aim of </w:t>
      </w:r>
      <w:r w:rsidR="00F5095E" w:rsidRPr="003B57EA">
        <w:t>this</w:t>
      </w:r>
      <w:r w:rsidR="00615E3B" w:rsidRPr="003B57EA">
        <w:t xml:space="preserve"> study</w:t>
      </w:r>
      <w:r w:rsidR="00071655" w:rsidRPr="003B57EA">
        <w:t xml:space="preserve"> </w:t>
      </w:r>
      <w:r w:rsidR="00E21927" w:rsidRPr="003B57EA">
        <w:t>was</w:t>
      </w:r>
      <w:r w:rsidR="00071655" w:rsidRPr="003B57EA">
        <w:t xml:space="preserve"> </w:t>
      </w:r>
      <w:r w:rsidR="00615E3B" w:rsidRPr="003B57EA">
        <w:t xml:space="preserve">to examine </w:t>
      </w:r>
      <w:r w:rsidR="00772E61" w:rsidRPr="003B57EA">
        <w:t xml:space="preserve">adolescents </w:t>
      </w:r>
      <w:r w:rsidR="007062F5" w:rsidRPr="003B57EA">
        <w:t xml:space="preserve">exhibiting </w:t>
      </w:r>
      <w:r w:rsidR="00772E61" w:rsidRPr="003B57EA">
        <w:t xml:space="preserve">difficulties </w:t>
      </w:r>
      <w:r w:rsidR="007062F5" w:rsidRPr="003B57EA">
        <w:t xml:space="preserve">with </w:t>
      </w:r>
      <w:r w:rsidR="00772E61" w:rsidRPr="003B57EA">
        <w:t xml:space="preserve">cognitive emotion regulation (reappraisal and suppression) </w:t>
      </w:r>
      <w:r w:rsidR="00E114BB" w:rsidRPr="003B57EA">
        <w:t xml:space="preserve">and POSI </w:t>
      </w:r>
      <w:r w:rsidR="00071655" w:rsidRPr="003B57EA">
        <w:t xml:space="preserve">and </w:t>
      </w:r>
      <w:r w:rsidR="00D7605D" w:rsidRPr="003B57EA">
        <w:t>determine the association, if any, with</w:t>
      </w:r>
      <w:r w:rsidR="001D419F" w:rsidRPr="003B57EA">
        <w:t xml:space="preserve"> </w:t>
      </w:r>
      <w:r w:rsidR="00FA3F67" w:rsidRPr="003B57EA">
        <w:t>metacognitions about online gaming</w:t>
      </w:r>
      <w:r w:rsidR="00772E61" w:rsidRPr="003B57EA">
        <w:t xml:space="preserve"> </w:t>
      </w:r>
      <w:r w:rsidR="00BB1385" w:rsidRPr="003B57EA">
        <w:t xml:space="preserve">and </w:t>
      </w:r>
      <w:r w:rsidR="00FA3F67" w:rsidRPr="003B57EA">
        <w:t>IGD</w:t>
      </w:r>
      <w:r w:rsidR="001D419F" w:rsidRPr="003B57EA">
        <w:t>.</w:t>
      </w:r>
    </w:p>
    <w:p w14:paraId="483BA6F0" w14:textId="35EF9654" w:rsidR="004A7384" w:rsidRPr="003B57EA" w:rsidRDefault="004A7384" w:rsidP="00564AF3">
      <w:pPr>
        <w:autoSpaceDE w:val="0"/>
        <w:autoSpaceDN w:val="0"/>
        <w:adjustRightInd w:val="0"/>
        <w:snapToGrid w:val="0"/>
        <w:spacing w:line="480" w:lineRule="auto"/>
        <w:jc w:val="both"/>
        <w:rPr>
          <w:b/>
          <w:bCs/>
          <w:lang w:val="x-none"/>
        </w:rPr>
      </w:pPr>
      <w:r w:rsidRPr="003B57EA">
        <w:rPr>
          <w:b/>
          <w:bCs/>
        </w:rPr>
        <w:t xml:space="preserve">1.4 </w:t>
      </w:r>
      <w:r w:rsidRPr="003B57EA">
        <w:rPr>
          <w:b/>
          <w:bCs/>
          <w:lang w:val="x-none"/>
        </w:rPr>
        <w:t>Attachment orientations</w:t>
      </w:r>
    </w:p>
    <w:p w14:paraId="338029E4" w14:textId="06CB38A1" w:rsidR="004A7384" w:rsidRPr="003B57EA" w:rsidRDefault="004A7384" w:rsidP="00564AF3">
      <w:pPr>
        <w:autoSpaceDE w:val="0"/>
        <w:autoSpaceDN w:val="0"/>
        <w:adjustRightInd w:val="0"/>
        <w:snapToGrid w:val="0"/>
        <w:spacing w:line="480" w:lineRule="auto"/>
        <w:jc w:val="both"/>
        <w:rPr>
          <w:lang w:val="x-none"/>
        </w:rPr>
      </w:pPr>
      <w:r w:rsidRPr="003B57EA">
        <w:rPr>
          <w:lang w:val="x-none"/>
        </w:rPr>
        <w:t xml:space="preserve">Attachment orientations are </w:t>
      </w:r>
      <w:r w:rsidR="00203C86" w:rsidRPr="003B57EA">
        <w:rPr>
          <w:lang w:val="en-ZA"/>
        </w:rPr>
        <w:t>formed</w:t>
      </w:r>
      <w:r w:rsidR="00203C86" w:rsidRPr="003B57EA">
        <w:rPr>
          <w:lang w:val="x-none"/>
        </w:rPr>
        <w:t xml:space="preserve"> </w:t>
      </w:r>
      <w:r w:rsidR="00203C86" w:rsidRPr="003B57EA">
        <w:rPr>
          <w:lang w:val="en-ZA"/>
        </w:rPr>
        <w:t>in</w:t>
      </w:r>
      <w:r w:rsidR="00203C86" w:rsidRPr="003B57EA">
        <w:rPr>
          <w:lang w:val="x-none"/>
        </w:rPr>
        <w:t xml:space="preserve"> </w:t>
      </w:r>
      <w:r w:rsidRPr="003B57EA">
        <w:rPr>
          <w:lang w:val="x-none"/>
        </w:rPr>
        <w:t xml:space="preserve">infancy </w:t>
      </w:r>
      <w:r w:rsidR="00203C86" w:rsidRPr="003B57EA">
        <w:rPr>
          <w:lang w:val="en-GB"/>
        </w:rPr>
        <w:t>in response to interactions with primary caregivers</w:t>
      </w:r>
      <w:r w:rsidRPr="003B57EA">
        <w:rPr>
          <w:lang w:val="x-none"/>
        </w:rPr>
        <w:t xml:space="preserve"> (see Mikulincer &amp; Shaver, 2016</w:t>
      </w:r>
      <w:r w:rsidR="00203C86" w:rsidRPr="003B57EA">
        <w:rPr>
          <w:lang w:val="en-ZA"/>
        </w:rPr>
        <w:t>).</w:t>
      </w:r>
      <w:r w:rsidR="003F7BCD" w:rsidRPr="003B57EA">
        <w:rPr>
          <w:lang w:val="en-ZA"/>
        </w:rPr>
        <w:t xml:space="preserve"> </w:t>
      </w:r>
      <w:r w:rsidR="00203C86" w:rsidRPr="003B57EA">
        <w:rPr>
          <w:lang w:val="en-ZA"/>
        </w:rPr>
        <w:t>I</w:t>
      </w:r>
      <w:r w:rsidR="00203C86" w:rsidRPr="003B57EA">
        <w:rPr>
          <w:lang w:val="x-none"/>
        </w:rPr>
        <w:t>nfant</w:t>
      </w:r>
      <w:r w:rsidR="00203C86" w:rsidRPr="003B57EA">
        <w:rPr>
          <w:lang w:val="en-ZA"/>
        </w:rPr>
        <w:t>s</w:t>
      </w:r>
      <w:r w:rsidR="00203C86" w:rsidRPr="003B57EA">
        <w:rPr>
          <w:lang w:val="x-none"/>
        </w:rPr>
        <w:t xml:space="preserve"> develop secure bond</w:t>
      </w:r>
      <w:r w:rsidR="00203C86" w:rsidRPr="003B57EA">
        <w:rPr>
          <w:lang w:val="en-ZA"/>
        </w:rPr>
        <w:t>s</w:t>
      </w:r>
      <w:r w:rsidR="00203C86" w:rsidRPr="003B57EA">
        <w:rPr>
          <w:lang w:val="x-none"/>
        </w:rPr>
        <w:t xml:space="preserve"> </w:t>
      </w:r>
      <w:r w:rsidR="00203C86" w:rsidRPr="003B57EA">
        <w:rPr>
          <w:lang w:val="en-ZA"/>
        </w:rPr>
        <w:t>with</w:t>
      </w:r>
      <w:r w:rsidR="00203C86" w:rsidRPr="003B57EA">
        <w:rPr>
          <w:lang w:val="x-none"/>
        </w:rPr>
        <w:t xml:space="preserve"> attachment figure</w:t>
      </w:r>
      <w:r w:rsidR="00203C86" w:rsidRPr="003B57EA">
        <w:rPr>
          <w:lang w:val="en-ZA"/>
        </w:rPr>
        <w:t>s</w:t>
      </w:r>
      <w:r w:rsidR="00203C86" w:rsidRPr="003B57EA">
        <w:rPr>
          <w:lang w:val="x-none"/>
        </w:rPr>
        <w:t xml:space="preserve"> (i.e., attachment security)</w:t>
      </w:r>
      <w:r w:rsidR="003F7BCD" w:rsidRPr="003B57EA">
        <w:rPr>
          <w:lang w:val="en-ZA"/>
        </w:rPr>
        <w:t xml:space="preserve"> </w:t>
      </w:r>
      <w:r w:rsidR="00203C86" w:rsidRPr="003B57EA">
        <w:rPr>
          <w:lang w:val="en-ZA"/>
        </w:rPr>
        <w:t>w</w:t>
      </w:r>
      <w:r w:rsidRPr="003B57EA">
        <w:rPr>
          <w:lang w:val="x-none"/>
        </w:rPr>
        <w:t xml:space="preserve">hen </w:t>
      </w:r>
      <w:r w:rsidR="00203C86" w:rsidRPr="003B57EA">
        <w:rPr>
          <w:lang w:val="en-GB"/>
        </w:rPr>
        <w:t>the latter provide</w:t>
      </w:r>
      <w:r w:rsidRPr="003B57EA">
        <w:rPr>
          <w:lang w:val="x-none"/>
        </w:rPr>
        <w:t xml:space="preserve"> support and </w:t>
      </w:r>
      <w:r w:rsidR="00FD12D5" w:rsidRPr="003B57EA">
        <w:rPr>
          <w:lang w:val="en-GB"/>
        </w:rPr>
        <w:t>satisf</w:t>
      </w:r>
      <w:r w:rsidR="00203C86" w:rsidRPr="003B57EA">
        <w:rPr>
          <w:lang w:val="en-GB"/>
        </w:rPr>
        <w:t>y</w:t>
      </w:r>
      <w:r w:rsidR="00CB2153" w:rsidRPr="003B57EA">
        <w:rPr>
          <w:lang w:val="en-GB"/>
        </w:rPr>
        <w:t xml:space="preserve"> </w:t>
      </w:r>
      <w:r w:rsidR="00203C86" w:rsidRPr="003B57EA">
        <w:t xml:space="preserve">the infants’ needs </w:t>
      </w:r>
      <w:r w:rsidRPr="003B57EA">
        <w:rPr>
          <w:lang w:val="en-GB"/>
        </w:rPr>
        <w:t>(e</w:t>
      </w:r>
      <w:r w:rsidRPr="003B57EA">
        <w:t xml:space="preserve">.g., </w:t>
      </w:r>
      <w:proofErr w:type="spellStart"/>
      <w:r w:rsidRPr="003B57EA">
        <w:rPr>
          <w:lang w:val="en-GB"/>
        </w:rPr>
        <w:t>fo</w:t>
      </w:r>
      <w:proofErr w:type="spellEnd"/>
      <w:r w:rsidRPr="003B57EA">
        <w:t xml:space="preserve">r </w:t>
      </w:r>
      <w:r w:rsidRPr="003B57EA">
        <w:rPr>
          <w:lang w:val="en-GB"/>
        </w:rPr>
        <w:t>c</w:t>
      </w:r>
      <w:proofErr w:type="spellStart"/>
      <w:r w:rsidRPr="003B57EA">
        <w:t>omfort</w:t>
      </w:r>
      <w:proofErr w:type="spellEnd"/>
      <w:r w:rsidRPr="003B57EA">
        <w:t xml:space="preserve"> and security)</w:t>
      </w:r>
      <w:r w:rsidR="00203C86" w:rsidRPr="003B57EA">
        <w:t>. Infants whose needs are satisfied develop a view of themselves as loveable and grow to see others as dependable.</w:t>
      </w:r>
      <w:r w:rsidR="003F7BCD" w:rsidRPr="003B57EA">
        <w:rPr>
          <w:lang w:val="en-ZA"/>
        </w:rPr>
        <w:t xml:space="preserve"> </w:t>
      </w:r>
      <w:r w:rsidR="006B0A0D" w:rsidRPr="003B57EA">
        <w:rPr>
          <w:lang w:val="en-ZA"/>
        </w:rPr>
        <w:t>Individuals with a secure attachment style</w:t>
      </w:r>
      <w:r w:rsidRPr="003B57EA">
        <w:rPr>
          <w:lang w:val="x-none"/>
        </w:rPr>
        <w:t xml:space="preserve"> are more </w:t>
      </w:r>
      <w:r w:rsidR="006B0A0D" w:rsidRPr="003B57EA">
        <w:rPr>
          <w:lang w:val="en-ZA"/>
        </w:rPr>
        <w:t>sociable</w:t>
      </w:r>
      <w:r w:rsidRPr="003B57EA">
        <w:rPr>
          <w:lang w:val="x-none"/>
        </w:rPr>
        <w:t xml:space="preserve"> and develop </w:t>
      </w:r>
      <w:r w:rsidR="006B0A0D" w:rsidRPr="003B57EA">
        <w:rPr>
          <w:lang w:val="en-ZA"/>
        </w:rPr>
        <w:t>well-adjusted</w:t>
      </w:r>
      <w:r w:rsidR="006B0A0D" w:rsidRPr="003B57EA">
        <w:rPr>
          <w:lang w:val="x-none"/>
        </w:rPr>
        <w:t xml:space="preserve"> </w:t>
      </w:r>
      <w:r w:rsidR="006B0A0D" w:rsidRPr="003B57EA">
        <w:rPr>
          <w:lang w:val="en-ZA"/>
        </w:rPr>
        <w:t>relationships</w:t>
      </w:r>
      <w:r w:rsidR="006B0A0D" w:rsidRPr="003B57EA">
        <w:rPr>
          <w:lang w:val="x-none"/>
        </w:rPr>
        <w:t xml:space="preserve"> </w:t>
      </w:r>
      <w:r w:rsidRPr="003B57EA">
        <w:rPr>
          <w:lang w:val="x-none"/>
        </w:rPr>
        <w:t>with family, friends, and romantic partners.</w:t>
      </w:r>
    </w:p>
    <w:p w14:paraId="56D3EE76" w14:textId="1A4EAC10" w:rsidR="004A7384" w:rsidRPr="003B57EA" w:rsidRDefault="00B53C3F" w:rsidP="00564AF3">
      <w:pPr>
        <w:autoSpaceDE w:val="0"/>
        <w:autoSpaceDN w:val="0"/>
        <w:adjustRightInd w:val="0"/>
        <w:snapToGrid w:val="0"/>
        <w:spacing w:line="480" w:lineRule="auto"/>
        <w:ind w:firstLine="720"/>
        <w:jc w:val="both"/>
        <w:rPr>
          <w:lang w:val="x-none"/>
        </w:rPr>
      </w:pPr>
      <w:r w:rsidRPr="003B57EA">
        <w:rPr>
          <w:lang w:val="en-ZA"/>
        </w:rPr>
        <w:t>Where</w:t>
      </w:r>
      <w:r w:rsidR="004A7384" w:rsidRPr="003B57EA">
        <w:rPr>
          <w:lang w:val="x-none"/>
        </w:rPr>
        <w:t xml:space="preserve"> parental support is in</w:t>
      </w:r>
      <w:r w:rsidR="004A7384" w:rsidRPr="003B57EA">
        <w:t>adequate</w:t>
      </w:r>
      <w:r w:rsidR="004A7384" w:rsidRPr="003B57EA">
        <w:rPr>
          <w:lang w:val="en-GB"/>
        </w:rPr>
        <w:t>,</w:t>
      </w:r>
      <w:r w:rsidR="004A7384" w:rsidRPr="003B57EA">
        <w:rPr>
          <w:lang w:val="x-none"/>
        </w:rPr>
        <w:t xml:space="preserve"> infants </w:t>
      </w:r>
      <w:r w:rsidR="004A7384" w:rsidRPr="003B57EA">
        <w:t>may</w:t>
      </w:r>
      <w:r w:rsidR="004A7384" w:rsidRPr="003B57EA">
        <w:rPr>
          <w:lang w:val="x-none"/>
        </w:rPr>
        <w:t xml:space="preserve"> develop insecure attachment </w:t>
      </w:r>
      <w:r w:rsidRPr="003B57EA">
        <w:rPr>
          <w:lang w:val="en-ZA"/>
        </w:rPr>
        <w:t>styles</w:t>
      </w:r>
      <w:r w:rsidRPr="003B57EA">
        <w:rPr>
          <w:lang w:val="x-none"/>
        </w:rPr>
        <w:t xml:space="preserve"> </w:t>
      </w:r>
      <w:r w:rsidR="004A7384" w:rsidRPr="003B57EA">
        <w:rPr>
          <w:lang w:val="x-none"/>
        </w:rPr>
        <w:t xml:space="preserve">that are </w:t>
      </w:r>
      <w:r w:rsidRPr="003B57EA">
        <w:rPr>
          <w:lang w:val="en-ZA"/>
        </w:rPr>
        <w:t>divided into anxious and avoidant styles</w:t>
      </w:r>
      <w:r w:rsidR="003F7BCD" w:rsidRPr="003B57EA">
        <w:rPr>
          <w:lang w:val="en-ZA"/>
        </w:rPr>
        <w:t xml:space="preserve"> </w:t>
      </w:r>
      <w:r w:rsidR="004A7384" w:rsidRPr="003B57EA">
        <w:rPr>
          <w:lang w:val="x-none"/>
        </w:rPr>
        <w:t xml:space="preserve">(Brennan, Clark, &amp; Shaver, </w:t>
      </w:r>
      <w:r w:rsidR="004A7384" w:rsidRPr="003B57EA">
        <w:rPr>
          <w:lang w:val="x-none"/>
        </w:rPr>
        <w:lastRenderedPageBreak/>
        <w:t xml:space="preserve">1998; Collins &amp; Allard, 2004). </w:t>
      </w:r>
      <w:r w:rsidR="004A7384" w:rsidRPr="003B57EA">
        <w:rPr>
          <w:lang w:val="en-GB"/>
        </w:rPr>
        <w:t xml:space="preserve">When </w:t>
      </w:r>
      <w:r w:rsidR="004A7384" w:rsidRPr="003B57EA">
        <w:rPr>
          <w:lang w:val="x-none"/>
        </w:rPr>
        <w:t>caregivers</w:t>
      </w:r>
      <w:r w:rsidR="00D51315" w:rsidRPr="003B57EA">
        <w:rPr>
          <w:lang w:val="en-ZA"/>
        </w:rPr>
        <w:t xml:space="preserve"> fail to satisfy an infant’s needs</w:t>
      </w:r>
      <w:r w:rsidR="003D5985" w:rsidRPr="003B57EA">
        <w:rPr>
          <w:lang w:val="en-ZA"/>
        </w:rPr>
        <w:t>,</w:t>
      </w:r>
      <w:r w:rsidR="004A7384" w:rsidRPr="003B57EA">
        <w:rPr>
          <w:lang w:val="x-none"/>
        </w:rPr>
        <w:t xml:space="preserve"> and </w:t>
      </w:r>
      <w:r w:rsidR="00D51315" w:rsidRPr="003B57EA">
        <w:rPr>
          <w:lang w:val="en-ZA"/>
        </w:rPr>
        <w:t>support and care is wanting or erratic</w:t>
      </w:r>
      <w:r w:rsidR="004A7384" w:rsidRPr="003B57EA">
        <w:rPr>
          <w:lang w:val="x-none"/>
        </w:rPr>
        <w:t xml:space="preserve">, </w:t>
      </w:r>
      <w:r w:rsidR="00D51315" w:rsidRPr="003B57EA">
        <w:rPr>
          <w:lang w:val="en-ZA"/>
        </w:rPr>
        <w:t xml:space="preserve">children may develop a </w:t>
      </w:r>
      <w:r w:rsidR="004A7384" w:rsidRPr="003B57EA">
        <w:rPr>
          <w:lang w:val="x-none"/>
        </w:rPr>
        <w:t xml:space="preserve">fear of abandonment </w:t>
      </w:r>
      <w:r w:rsidR="004A7384" w:rsidRPr="003B57EA">
        <w:rPr>
          <w:lang w:val="en-GB"/>
        </w:rPr>
        <w:t>and rejection</w:t>
      </w:r>
      <w:r w:rsidR="004A7384" w:rsidRPr="003B57EA">
        <w:rPr>
          <w:lang w:val="x-none"/>
        </w:rPr>
        <w:t xml:space="preserve">. </w:t>
      </w:r>
      <w:r w:rsidR="00D51315" w:rsidRPr="003B57EA">
        <w:rPr>
          <w:lang w:val="en-ZA"/>
        </w:rPr>
        <w:t>A</w:t>
      </w:r>
      <w:r w:rsidR="004A7384" w:rsidRPr="003B57EA">
        <w:rPr>
          <w:lang w:val="x-none"/>
        </w:rPr>
        <w:t xml:space="preserve">nxiously attached </w:t>
      </w:r>
      <w:r w:rsidR="00D51315" w:rsidRPr="003B57EA">
        <w:rPr>
          <w:lang w:val="en-ZA"/>
        </w:rPr>
        <w:t>individuals</w:t>
      </w:r>
      <w:r w:rsidR="00D51315" w:rsidRPr="003B57EA">
        <w:rPr>
          <w:lang w:val="x-none"/>
        </w:rPr>
        <w:t xml:space="preserve"> </w:t>
      </w:r>
      <w:r w:rsidR="004A7384" w:rsidRPr="003B57EA">
        <w:rPr>
          <w:lang w:val="x-none"/>
        </w:rPr>
        <w:t xml:space="preserve">are characterized by an unfulfilled </w:t>
      </w:r>
      <w:r w:rsidR="00D51315" w:rsidRPr="003B57EA">
        <w:rPr>
          <w:lang w:val="en-ZA"/>
        </w:rPr>
        <w:t>need</w:t>
      </w:r>
      <w:r w:rsidR="00D51315" w:rsidRPr="003B57EA">
        <w:rPr>
          <w:lang w:val="x-none"/>
        </w:rPr>
        <w:t xml:space="preserve"> </w:t>
      </w:r>
      <w:r w:rsidR="004A7384" w:rsidRPr="003B57EA">
        <w:rPr>
          <w:lang w:val="x-none"/>
        </w:rPr>
        <w:t>for affection</w:t>
      </w:r>
      <w:r w:rsidR="00D51315" w:rsidRPr="003B57EA">
        <w:rPr>
          <w:lang w:val="en-ZA"/>
        </w:rPr>
        <w:t xml:space="preserve"> incommensurate with the amount of affection they </w:t>
      </w:r>
      <w:proofErr w:type="gramStart"/>
      <w:r w:rsidR="00D51315" w:rsidRPr="003B57EA">
        <w:rPr>
          <w:lang w:val="en-ZA"/>
        </w:rPr>
        <w:t>actually receive</w:t>
      </w:r>
      <w:proofErr w:type="gramEnd"/>
      <w:r w:rsidR="003D5985" w:rsidRPr="003B57EA">
        <w:rPr>
          <w:lang w:val="en-ZA"/>
        </w:rPr>
        <w:t xml:space="preserve"> </w:t>
      </w:r>
      <w:r w:rsidR="004A7384" w:rsidRPr="003B57EA">
        <w:rPr>
          <w:lang w:val="x-none"/>
        </w:rPr>
        <w:t xml:space="preserve">(Birnbaum, Reis, Mikulincer, Gillath, &amp; Orpaz, 2006). </w:t>
      </w:r>
      <w:r w:rsidR="00DC5B14" w:rsidRPr="003B57EA">
        <w:rPr>
          <w:lang w:val="en-ZA"/>
        </w:rPr>
        <w:t xml:space="preserve"> Cold </w:t>
      </w:r>
      <w:r w:rsidR="004A7384" w:rsidRPr="003B57EA">
        <w:rPr>
          <w:lang w:val="x-none"/>
        </w:rPr>
        <w:t xml:space="preserve">and </w:t>
      </w:r>
      <w:r w:rsidR="00DC5B14" w:rsidRPr="003B57EA">
        <w:rPr>
          <w:lang w:val="x-none"/>
        </w:rPr>
        <w:t>distan</w:t>
      </w:r>
      <w:r w:rsidR="00DC5B14" w:rsidRPr="003B57EA">
        <w:rPr>
          <w:lang w:val="en-ZA"/>
        </w:rPr>
        <w:t>t</w:t>
      </w:r>
      <w:r w:rsidR="00DC5B14" w:rsidRPr="003B57EA">
        <w:rPr>
          <w:lang w:val="x-none"/>
        </w:rPr>
        <w:t xml:space="preserve"> </w:t>
      </w:r>
      <w:r w:rsidR="004A7384" w:rsidRPr="003B57EA">
        <w:rPr>
          <w:lang w:val="x-none"/>
        </w:rPr>
        <w:t>caregiving</w:t>
      </w:r>
      <w:r w:rsidR="003D5985" w:rsidRPr="003B57EA">
        <w:rPr>
          <w:lang w:val="en-ZA"/>
        </w:rPr>
        <w:t xml:space="preserve"> </w:t>
      </w:r>
      <w:r w:rsidR="00DC5B14" w:rsidRPr="003B57EA">
        <w:rPr>
          <w:lang w:val="en-ZA"/>
        </w:rPr>
        <w:t>can cause infants to develop</w:t>
      </w:r>
      <w:r w:rsidR="004A7384" w:rsidRPr="003B57EA">
        <w:rPr>
          <w:lang w:val="x-none"/>
        </w:rPr>
        <w:t xml:space="preserve"> </w:t>
      </w:r>
      <w:r w:rsidR="00DC5B14" w:rsidRPr="003B57EA">
        <w:rPr>
          <w:lang w:val="en-ZA"/>
        </w:rPr>
        <w:t xml:space="preserve">an avoidant attachment style and to </w:t>
      </w:r>
      <w:r w:rsidR="004A7384" w:rsidRPr="003B57EA">
        <w:rPr>
          <w:lang w:val="x-none"/>
        </w:rPr>
        <w:t xml:space="preserve">view others as untrustworthy and undependable. </w:t>
      </w:r>
      <w:r w:rsidR="005007B9" w:rsidRPr="003B57EA">
        <w:rPr>
          <w:lang w:val="en-ZA"/>
        </w:rPr>
        <w:t>I</w:t>
      </w:r>
      <w:r w:rsidR="004A7384" w:rsidRPr="003B57EA">
        <w:rPr>
          <w:lang w:val="x-none"/>
        </w:rPr>
        <w:t>ndividuals</w:t>
      </w:r>
      <w:r w:rsidR="005007B9" w:rsidRPr="003B57EA">
        <w:rPr>
          <w:lang w:val="en-ZA"/>
        </w:rPr>
        <w:t xml:space="preserve"> with this attachment style</w:t>
      </w:r>
      <w:r w:rsidR="004A7384" w:rsidRPr="003B57EA">
        <w:rPr>
          <w:lang w:val="x-none"/>
        </w:rPr>
        <w:t xml:space="preserve"> </w:t>
      </w:r>
      <w:r w:rsidR="005007B9" w:rsidRPr="003B57EA">
        <w:rPr>
          <w:lang w:val="en-ZA"/>
        </w:rPr>
        <w:t xml:space="preserve">tend to </w:t>
      </w:r>
      <w:r w:rsidR="004A7384" w:rsidRPr="003B57EA">
        <w:rPr>
          <w:lang w:val="x-none"/>
        </w:rPr>
        <w:t>emotionally distance themselves from intimate relationships (Smith, Murphy, &amp; Coats, 1999).</w:t>
      </w:r>
    </w:p>
    <w:p w14:paraId="1B700E85" w14:textId="7420EEC5" w:rsidR="004A7384" w:rsidRPr="003B57EA" w:rsidRDefault="00191A4D" w:rsidP="00564AF3">
      <w:pPr>
        <w:autoSpaceDE w:val="0"/>
        <w:autoSpaceDN w:val="0"/>
        <w:adjustRightInd w:val="0"/>
        <w:snapToGrid w:val="0"/>
        <w:spacing w:line="480" w:lineRule="auto"/>
        <w:ind w:firstLine="720"/>
        <w:jc w:val="both"/>
        <w:rPr>
          <w:rtl/>
        </w:rPr>
      </w:pPr>
      <w:r w:rsidRPr="003B57EA">
        <w:rPr>
          <w:lang w:val="en-ZA"/>
        </w:rPr>
        <w:t>T</w:t>
      </w:r>
      <w:r w:rsidR="004A7384" w:rsidRPr="003B57EA">
        <w:rPr>
          <w:lang w:val="x-none"/>
        </w:rPr>
        <w:t xml:space="preserve">he links between attachment orientations and </w:t>
      </w:r>
      <w:r w:rsidR="00BC1C35" w:rsidRPr="003B57EA">
        <w:t>IGD</w:t>
      </w:r>
      <w:r w:rsidR="004A7384" w:rsidRPr="003B57EA">
        <w:rPr>
          <w:lang w:val="x-none"/>
        </w:rPr>
        <w:t xml:space="preserve"> </w:t>
      </w:r>
      <w:r w:rsidR="004A7384" w:rsidRPr="003B57EA">
        <w:rPr>
          <w:lang w:val="en-GB"/>
        </w:rPr>
        <w:t>ha</w:t>
      </w:r>
      <w:proofErr w:type="spellStart"/>
      <w:r w:rsidR="004A7384" w:rsidRPr="003B57EA">
        <w:t>ve</w:t>
      </w:r>
      <w:proofErr w:type="spellEnd"/>
      <w:r w:rsidR="004A7384" w:rsidRPr="003B57EA">
        <w:t xml:space="preserve"> been shown to be</w:t>
      </w:r>
      <w:r w:rsidR="004A7384" w:rsidRPr="003B57EA">
        <w:rPr>
          <w:lang w:val="x-none"/>
        </w:rPr>
        <w:t xml:space="preserve"> </w:t>
      </w:r>
      <w:r w:rsidR="00BC1C35" w:rsidRPr="003B57EA">
        <w:rPr>
          <w:lang w:val="x-none"/>
        </w:rPr>
        <w:t xml:space="preserve">weak or </w:t>
      </w:r>
      <w:r w:rsidR="00463394" w:rsidRPr="003B57EA">
        <w:t xml:space="preserve">to </w:t>
      </w:r>
      <w:r w:rsidR="0050314B" w:rsidRPr="003B57EA">
        <w:t>have</w:t>
      </w:r>
      <w:r w:rsidR="00463394" w:rsidRPr="003B57EA">
        <w:t xml:space="preserve"> </w:t>
      </w:r>
      <w:r w:rsidR="00BC1C35" w:rsidRPr="003B57EA">
        <w:rPr>
          <w:lang w:val="x-none"/>
        </w:rPr>
        <w:t xml:space="preserve">no direct association </w:t>
      </w:r>
      <w:r w:rsidRPr="003B57EA">
        <w:rPr>
          <w:lang w:val="en-ZA"/>
        </w:rPr>
        <w:t xml:space="preserve">in some studies </w:t>
      </w:r>
      <w:r w:rsidR="00BC1C35" w:rsidRPr="003B57EA">
        <w:rPr>
          <w:lang w:val="x-none"/>
        </w:rPr>
        <w:t>(e.g., King &amp; Delfabbro, 2017; Throuvala, Janikian, Griffiths, Rennoldson, &amp; Kuss, 2019</w:t>
      </w:r>
      <w:r w:rsidR="00207E3C" w:rsidRPr="003B57EA">
        <w:rPr>
          <w:lang w:val="x-none"/>
        </w:rPr>
        <w:t>; Teng, Griffiths, Nie, Xiang, &amp; Guo, 2020</w:t>
      </w:r>
      <w:r w:rsidR="00BC1C35" w:rsidRPr="003B57EA">
        <w:rPr>
          <w:lang w:val="x-none"/>
        </w:rPr>
        <w:t xml:space="preserve">). However, </w:t>
      </w:r>
      <w:r w:rsidRPr="003B57EA">
        <w:rPr>
          <w:lang w:val="en-ZA"/>
        </w:rPr>
        <w:t xml:space="preserve">other studies </w:t>
      </w:r>
      <w:r w:rsidR="00BC1C35" w:rsidRPr="003B57EA">
        <w:rPr>
          <w:lang w:val="x-none"/>
        </w:rPr>
        <w:t>suggest</w:t>
      </w:r>
      <w:r w:rsidR="004B1B71" w:rsidRPr="003B57EA">
        <w:rPr>
          <w:lang w:val="en-ZA"/>
        </w:rPr>
        <w:t xml:space="preserve"> </w:t>
      </w:r>
      <w:r w:rsidR="00463394" w:rsidRPr="003B57EA">
        <w:t xml:space="preserve">that </w:t>
      </w:r>
      <w:r w:rsidR="00BC1C35" w:rsidRPr="003B57EA">
        <w:rPr>
          <w:lang w:val="x-none"/>
        </w:rPr>
        <w:t>perceived insecure attachments (e.g., lower trust, lower levels of communication, and higher levels</w:t>
      </w:r>
      <w:r w:rsidR="00BC1C35" w:rsidRPr="003B57EA">
        <w:t xml:space="preserve"> </w:t>
      </w:r>
      <w:r w:rsidR="00BC1C35" w:rsidRPr="003B57EA">
        <w:rPr>
          <w:lang w:val="x-none"/>
        </w:rPr>
        <w:t>of alienation)</w:t>
      </w:r>
      <w:r w:rsidR="00A0384B" w:rsidRPr="003B57EA">
        <w:t>,</w:t>
      </w:r>
      <w:r w:rsidR="00BC1C35" w:rsidRPr="003B57EA">
        <w:rPr>
          <w:lang w:val="x-none"/>
        </w:rPr>
        <w:t xml:space="preserve"> </w:t>
      </w:r>
      <w:r w:rsidR="00A0384B" w:rsidRPr="003B57EA">
        <w:rPr>
          <w:lang w:val="x-none"/>
        </w:rPr>
        <w:t>including parental attachment</w:t>
      </w:r>
      <w:r w:rsidR="00A0384B" w:rsidRPr="003B57EA">
        <w:t>,</w:t>
      </w:r>
      <w:r w:rsidR="00A0384B" w:rsidRPr="003B57EA">
        <w:rPr>
          <w:lang w:val="x-none"/>
        </w:rPr>
        <w:t xml:space="preserve"> </w:t>
      </w:r>
      <w:r w:rsidR="00BC1C35" w:rsidRPr="003B57EA">
        <w:rPr>
          <w:lang w:val="x-none"/>
        </w:rPr>
        <w:t xml:space="preserve">are </w:t>
      </w:r>
      <w:r w:rsidR="00BF0FAE" w:rsidRPr="003B57EA">
        <w:rPr>
          <w:lang w:val="en-ZA"/>
        </w:rPr>
        <w:t>associated with</w:t>
      </w:r>
      <w:r w:rsidR="00BC1C35" w:rsidRPr="003B57EA">
        <w:t xml:space="preserve"> </w:t>
      </w:r>
      <w:r w:rsidR="00BC1C35" w:rsidRPr="003B57EA">
        <w:rPr>
          <w:lang w:val="x-none"/>
        </w:rPr>
        <w:t>IGD (Estevez, Jauregui, &amp;</w:t>
      </w:r>
      <w:r w:rsidR="00BC1C35" w:rsidRPr="003B57EA">
        <w:t xml:space="preserve"> </w:t>
      </w:r>
      <w:r w:rsidR="00BC1C35" w:rsidRPr="003B57EA">
        <w:rPr>
          <w:lang w:val="x-none"/>
        </w:rPr>
        <w:t>Lopez-Gonzalez, 2019; Schneider, King, &amp; Delfabbro, 2017;</w:t>
      </w:r>
      <w:r w:rsidR="00BC1C35" w:rsidRPr="003B57EA">
        <w:t xml:space="preserve"> </w:t>
      </w:r>
      <w:r w:rsidR="00BC1C35" w:rsidRPr="003B57EA">
        <w:rPr>
          <w:lang w:val="x-none"/>
        </w:rPr>
        <w:t>Wang, Ho, Chan, &amp; Tse, 2015; Zhu, Zhang, Yu, &amp; Bao,</w:t>
      </w:r>
      <w:r w:rsidR="00BC1C35" w:rsidRPr="003B57EA">
        <w:t xml:space="preserve"> </w:t>
      </w:r>
      <w:r w:rsidR="00BC1C35" w:rsidRPr="003B57EA">
        <w:rPr>
          <w:lang w:val="x-none"/>
        </w:rPr>
        <w:t>2015)</w:t>
      </w:r>
      <w:r w:rsidR="00BC1C35" w:rsidRPr="003B57EA">
        <w:t>.</w:t>
      </w:r>
      <w:r w:rsidR="00CB2153" w:rsidRPr="003B57EA">
        <w:t xml:space="preserve"> </w:t>
      </w:r>
      <w:r w:rsidR="00463394" w:rsidRPr="003B57EA">
        <w:rPr>
          <w:lang w:val="x-none"/>
        </w:rPr>
        <w:t>Consequently</w:t>
      </w:r>
      <w:r w:rsidR="004A7384" w:rsidRPr="003B57EA">
        <w:rPr>
          <w:lang w:val="x-none"/>
        </w:rPr>
        <w:t>, it seems that attachment insecurity</w:t>
      </w:r>
      <w:r w:rsidR="00463394" w:rsidRPr="003B57EA">
        <w:t xml:space="preserve">, </w:t>
      </w:r>
      <w:r w:rsidR="004A7384" w:rsidRPr="003B57EA">
        <w:rPr>
          <w:lang w:val="en-GB"/>
        </w:rPr>
        <w:t>linked to</w:t>
      </w:r>
      <w:r w:rsidR="004A7384" w:rsidRPr="003B57EA">
        <w:rPr>
          <w:lang w:val="x-none"/>
        </w:rPr>
        <w:t xml:space="preserve"> various social dysfunctions, </w:t>
      </w:r>
      <w:r w:rsidR="004A7384" w:rsidRPr="003B57EA">
        <w:t>high</w:t>
      </w:r>
      <w:r w:rsidR="004A7384" w:rsidRPr="003B57EA">
        <w:rPr>
          <w:lang w:val="en-GB"/>
        </w:rPr>
        <w:t xml:space="preserve"> </w:t>
      </w:r>
      <w:r w:rsidR="004A7384" w:rsidRPr="003B57EA">
        <w:t>levels of psychological</w:t>
      </w:r>
      <w:r w:rsidR="004A7384" w:rsidRPr="003B57EA">
        <w:rPr>
          <w:lang w:val="x-none"/>
        </w:rPr>
        <w:t xml:space="preserve"> distress</w:t>
      </w:r>
      <w:r w:rsidR="004A7384" w:rsidRPr="003B57EA">
        <w:rPr>
          <w:lang w:val="en-GB"/>
        </w:rPr>
        <w:t>,</w:t>
      </w:r>
      <w:r w:rsidR="004A7384" w:rsidRPr="003B57EA">
        <w:rPr>
          <w:lang w:val="x-none"/>
        </w:rPr>
        <w:t xml:space="preserve"> and emotion dysregulation</w:t>
      </w:r>
      <w:r w:rsidR="00463394" w:rsidRPr="003B57EA">
        <w:rPr>
          <w:lang w:val="en-GB"/>
        </w:rPr>
        <w:t>,</w:t>
      </w:r>
      <w:r w:rsidR="004A7384" w:rsidRPr="003B57EA">
        <w:rPr>
          <w:lang w:val="x-none"/>
        </w:rPr>
        <w:t xml:space="preserve"> </w:t>
      </w:r>
      <w:r w:rsidR="00E21927" w:rsidRPr="003B57EA">
        <w:rPr>
          <w:lang w:val="en-GB"/>
        </w:rPr>
        <w:t xml:space="preserve">may </w:t>
      </w:r>
      <w:r w:rsidR="004A7384" w:rsidRPr="003B57EA">
        <w:t>create</w:t>
      </w:r>
      <w:r w:rsidR="004A7384" w:rsidRPr="003B57EA">
        <w:rPr>
          <w:lang w:val="x-none"/>
        </w:rPr>
        <w:t xml:space="preserve"> a predisposition for </w:t>
      </w:r>
      <w:r w:rsidR="00D426AF" w:rsidRPr="003B57EA">
        <w:rPr>
          <w:rStyle w:val="cf01"/>
          <w:rFonts w:ascii="Times New Roman" w:hAnsi="Times New Roman" w:cs="Times New Roman"/>
          <w:sz w:val="24"/>
          <w:szCs w:val="24"/>
        </w:rPr>
        <w:t>metacognitions about online gaming</w:t>
      </w:r>
      <w:r w:rsidR="007161B7" w:rsidRPr="003B57EA">
        <w:t xml:space="preserve"> and IGD</w:t>
      </w:r>
      <w:r w:rsidR="004A7384" w:rsidRPr="003B57EA">
        <w:rPr>
          <w:lang w:val="x-none"/>
        </w:rPr>
        <w:t xml:space="preserve">. </w:t>
      </w:r>
      <w:r w:rsidR="004A7384" w:rsidRPr="003B57EA">
        <w:t xml:space="preserve">Therefore, the </w:t>
      </w:r>
      <w:r w:rsidR="007161B7" w:rsidRPr="003B57EA">
        <w:t>third</w:t>
      </w:r>
      <w:r w:rsidR="004A7384" w:rsidRPr="003B57EA">
        <w:t xml:space="preserve"> aim of </w:t>
      </w:r>
      <w:r w:rsidR="008B2E55" w:rsidRPr="003B57EA">
        <w:t>this</w:t>
      </w:r>
      <w:r w:rsidR="004A7384" w:rsidRPr="003B57EA">
        <w:t xml:space="preserve"> study</w:t>
      </w:r>
      <w:r w:rsidR="004A7384" w:rsidRPr="003B57EA">
        <w:rPr>
          <w:lang w:val="x-none"/>
        </w:rPr>
        <w:t xml:space="preserve"> </w:t>
      </w:r>
      <w:r w:rsidR="00E21927" w:rsidRPr="003B57EA">
        <w:rPr>
          <w:lang w:val="en-GB"/>
        </w:rPr>
        <w:t>was</w:t>
      </w:r>
      <w:r w:rsidR="004A7384" w:rsidRPr="003B57EA">
        <w:rPr>
          <w:lang w:val="x-none"/>
        </w:rPr>
        <w:t xml:space="preserve"> to examine</w:t>
      </w:r>
      <w:r w:rsidR="004A7384" w:rsidRPr="003B57EA">
        <w:t xml:space="preserve"> whether attachment insecurities should be explored </w:t>
      </w:r>
      <w:r w:rsidR="00463394" w:rsidRPr="003B57EA">
        <w:t xml:space="preserve">as </w:t>
      </w:r>
      <w:r w:rsidR="006B6BFD" w:rsidRPr="003B57EA">
        <w:t xml:space="preserve">having </w:t>
      </w:r>
      <w:r w:rsidR="00463394" w:rsidRPr="003B57EA">
        <w:t xml:space="preserve">a possible </w:t>
      </w:r>
      <w:r w:rsidR="006B6BFD" w:rsidRPr="003B57EA">
        <w:t xml:space="preserve">correlation </w:t>
      </w:r>
      <w:r w:rsidR="00463394" w:rsidRPr="003B57EA">
        <w:t>to</w:t>
      </w:r>
      <w:r w:rsidR="004A7384" w:rsidRPr="003B57EA">
        <w:t xml:space="preserve"> </w:t>
      </w:r>
      <w:r w:rsidR="006B6BFD" w:rsidRPr="003B57EA">
        <w:t xml:space="preserve">the </w:t>
      </w:r>
      <w:r w:rsidR="00B73936" w:rsidRPr="003B57EA">
        <w:t>MOGS and IGD</w:t>
      </w:r>
      <w:r w:rsidR="004A7384" w:rsidRPr="003B57EA">
        <w:t>.</w:t>
      </w:r>
    </w:p>
    <w:p w14:paraId="45AA6FAE" w14:textId="585E1BEC" w:rsidR="002E0DAC" w:rsidRPr="003B57EA" w:rsidRDefault="006D6CB3" w:rsidP="00564AF3">
      <w:pPr>
        <w:spacing w:line="480" w:lineRule="auto"/>
        <w:jc w:val="both"/>
        <w:rPr>
          <w:b/>
          <w:bCs/>
        </w:rPr>
      </w:pPr>
      <w:r w:rsidRPr="003B57EA">
        <w:rPr>
          <w:b/>
          <w:bCs/>
        </w:rPr>
        <w:t xml:space="preserve">1.5 </w:t>
      </w:r>
      <w:r w:rsidR="002E0DAC" w:rsidRPr="003B57EA">
        <w:rPr>
          <w:b/>
          <w:bCs/>
        </w:rPr>
        <w:t>The current study</w:t>
      </w:r>
    </w:p>
    <w:p w14:paraId="3E54A843" w14:textId="05927B96" w:rsidR="00A42A83" w:rsidRPr="003B57EA" w:rsidRDefault="00633037" w:rsidP="00475A67">
      <w:pPr>
        <w:spacing w:line="480" w:lineRule="auto"/>
        <w:jc w:val="both"/>
      </w:pPr>
      <w:r w:rsidRPr="003B57EA">
        <w:t xml:space="preserve">Given the dearth of research on adolescents and MOGS, particularly 6-month prospective studies, this project had two goals: 1) </w:t>
      </w:r>
      <w:r w:rsidR="00D11DA0" w:rsidRPr="003B57EA">
        <w:t xml:space="preserve">to </w:t>
      </w:r>
      <w:r w:rsidRPr="003B57EA">
        <w:t xml:space="preserve">investigate the psychometric features of the MOGS, including factor structure, reliability, and predictive validity </w:t>
      </w:r>
      <w:r w:rsidRPr="003B57EA">
        <w:lastRenderedPageBreak/>
        <w:t xml:space="preserve">among Israeli adolescents </w:t>
      </w:r>
      <w:r w:rsidR="00D11DA0" w:rsidRPr="003B57EA">
        <w:t xml:space="preserve">in the form of a </w:t>
      </w:r>
      <w:r w:rsidRPr="003B57EA">
        <w:t xml:space="preserve">6-month prospective </w:t>
      </w:r>
      <w:r w:rsidR="00D11DA0" w:rsidRPr="003B57EA">
        <w:t>study</w:t>
      </w:r>
      <w:r w:rsidRPr="003B57EA">
        <w:t xml:space="preserve">; </w:t>
      </w:r>
      <w:r w:rsidR="002E0DAC" w:rsidRPr="003B57EA">
        <w:t xml:space="preserve">and </w:t>
      </w:r>
      <w:r w:rsidR="00312D7D" w:rsidRPr="003B57EA">
        <w:t>2</w:t>
      </w:r>
      <w:r w:rsidR="002E0DAC" w:rsidRPr="003B57EA">
        <w:t xml:space="preserve">) to examine </w:t>
      </w:r>
      <w:r w:rsidR="006B2A86" w:rsidRPr="003B57EA">
        <w:t xml:space="preserve">the </w:t>
      </w:r>
      <w:r w:rsidR="0022708B" w:rsidRPr="003B57EA">
        <w:t xml:space="preserve">MOGS </w:t>
      </w:r>
      <w:r w:rsidR="00312D7D" w:rsidRPr="003B57EA">
        <w:t xml:space="preserve">as a </w:t>
      </w:r>
      <w:r w:rsidR="0022708B" w:rsidRPr="003B57EA">
        <w:t>theoretical model</w:t>
      </w:r>
      <w:r w:rsidR="00312D7D" w:rsidRPr="003B57EA">
        <w:t xml:space="preserve"> that</w:t>
      </w:r>
      <w:r w:rsidR="0022708B" w:rsidRPr="003B57EA">
        <w:t xml:space="preserve"> mediate</w:t>
      </w:r>
      <w:r w:rsidR="00312D7D" w:rsidRPr="003B57EA">
        <w:t>s</w:t>
      </w:r>
      <w:r w:rsidR="0022708B" w:rsidRPr="003B57EA">
        <w:t xml:space="preserve"> the effect of attachment patterns on IGD, </w:t>
      </w:r>
      <w:r w:rsidR="00312D7D" w:rsidRPr="003B57EA">
        <w:t xml:space="preserve">the </w:t>
      </w:r>
      <w:r w:rsidR="00565A55" w:rsidRPr="003B57EA">
        <w:t>POSIs</w:t>
      </w:r>
      <w:r w:rsidR="0022708B" w:rsidRPr="003B57EA">
        <w:t>, and motives for online gaming.</w:t>
      </w:r>
      <w:r w:rsidR="002E0DAC" w:rsidRPr="003B57EA">
        <w:t xml:space="preserve"> </w:t>
      </w:r>
    </w:p>
    <w:p w14:paraId="3E9558EF" w14:textId="3CC3DB2B" w:rsidR="007019AF" w:rsidRPr="003B57EA" w:rsidRDefault="006D6CB3" w:rsidP="00564AF3">
      <w:pPr>
        <w:spacing w:line="480" w:lineRule="auto"/>
        <w:jc w:val="both"/>
        <w:rPr>
          <w:b/>
          <w:bCs/>
        </w:rPr>
      </w:pPr>
      <w:r w:rsidRPr="003B57EA">
        <w:rPr>
          <w:b/>
          <w:bCs/>
        </w:rPr>
        <w:t xml:space="preserve">2. </w:t>
      </w:r>
      <w:r w:rsidR="007019AF" w:rsidRPr="003B57EA">
        <w:rPr>
          <w:b/>
          <w:bCs/>
        </w:rPr>
        <w:t>Method</w:t>
      </w:r>
    </w:p>
    <w:p w14:paraId="02819182" w14:textId="15DAEC38" w:rsidR="007019AF" w:rsidRPr="003B57EA" w:rsidRDefault="006D6CB3" w:rsidP="00564AF3">
      <w:pPr>
        <w:spacing w:line="480" w:lineRule="auto"/>
        <w:jc w:val="both"/>
        <w:rPr>
          <w:b/>
          <w:bCs/>
        </w:rPr>
      </w:pPr>
      <w:r w:rsidRPr="003B57EA">
        <w:rPr>
          <w:b/>
          <w:bCs/>
        </w:rPr>
        <w:t xml:space="preserve">2.1 </w:t>
      </w:r>
      <w:r w:rsidR="007019AF" w:rsidRPr="003B57EA">
        <w:rPr>
          <w:b/>
          <w:bCs/>
        </w:rPr>
        <w:t>Participants</w:t>
      </w:r>
    </w:p>
    <w:p w14:paraId="417AF25B" w14:textId="581CD89A" w:rsidR="00297395" w:rsidRPr="003B57EA" w:rsidRDefault="007019AF" w:rsidP="00564AF3">
      <w:pPr>
        <w:spacing w:line="480" w:lineRule="auto"/>
        <w:contextualSpacing/>
        <w:jc w:val="both"/>
      </w:pPr>
      <w:r w:rsidRPr="003B57EA">
        <w:t xml:space="preserve">The study population </w:t>
      </w:r>
      <w:r w:rsidR="00F1140C" w:rsidRPr="003B57EA">
        <w:t>co</w:t>
      </w:r>
      <w:r w:rsidR="00CB2153" w:rsidRPr="003B57EA">
        <w:t>mprised</w:t>
      </w:r>
      <w:r w:rsidR="003B2827" w:rsidRPr="003B57EA">
        <w:t xml:space="preserve"> </w:t>
      </w:r>
      <w:r w:rsidR="002C1498" w:rsidRPr="003B57EA">
        <w:rPr>
          <w:rtl/>
        </w:rPr>
        <w:t>1</w:t>
      </w:r>
      <w:r w:rsidRPr="003B57EA">
        <w:t>,</w:t>
      </w:r>
      <w:r w:rsidRPr="003B57EA">
        <w:rPr>
          <w:rtl/>
        </w:rPr>
        <w:t>0</w:t>
      </w:r>
      <w:r w:rsidR="002C1498" w:rsidRPr="003B57EA">
        <w:rPr>
          <w:rtl/>
        </w:rPr>
        <w:t>56</w:t>
      </w:r>
      <w:r w:rsidRPr="003B57EA">
        <w:t xml:space="preserve"> </w:t>
      </w:r>
      <w:r w:rsidR="00CB2153" w:rsidRPr="003B57EA">
        <w:t>Israeli Jewish</w:t>
      </w:r>
      <w:r w:rsidRPr="003B57EA">
        <w:t xml:space="preserve"> adolescents from the general community (</w:t>
      </w:r>
      <w:r w:rsidR="002C1498" w:rsidRPr="003B57EA">
        <w:t>610</w:t>
      </w:r>
      <w:r w:rsidRPr="003B57EA">
        <w:t xml:space="preserve"> males and </w:t>
      </w:r>
      <w:r w:rsidR="002C1498" w:rsidRPr="003B57EA">
        <w:t>446</w:t>
      </w:r>
      <w:r w:rsidRPr="003B57EA">
        <w:t xml:space="preserve"> females), </w:t>
      </w:r>
      <w:r w:rsidR="006B2A86" w:rsidRPr="003B57EA">
        <w:t xml:space="preserve">with </w:t>
      </w:r>
      <w:r w:rsidRPr="003B57EA">
        <w:t>age</w:t>
      </w:r>
      <w:r w:rsidR="003B2827" w:rsidRPr="003B57EA">
        <w:t xml:space="preserve">s </w:t>
      </w:r>
      <w:r w:rsidR="006B2A86" w:rsidRPr="003B57EA">
        <w:t xml:space="preserve">ranging </w:t>
      </w:r>
      <w:r w:rsidR="003B2827" w:rsidRPr="003B57EA">
        <w:t>from</w:t>
      </w:r>
      <w:r w:rsidRPr="003B57EA">
        <w:t xml:space="preserve"> 1</w:t>
      </w:r>
      <w:r w:rsidR="00891E63" w:rsidRPr="003B57EA">
        <w:t>3</w:t>
      </w:r>
      <w:r w:rsidR="003B2827" w:rsidRPr="003B57EA">
        <w:t xml:space="preserve"> to 1</w:t>
      </w:r>
      <w:r w:rsidR="00891E63" w:rsidRPr="003B57EA">
        <w:t>8</w:t>
      </w:r>
      <w:r w:rsidRPr="003B57EA">
        <w:t xml:space="preserve"> (M = 1</w:t>
      </w:r>
      <w:r w:rsidR="00224A99" w:rsidRPr="003B57EA">
        <w:t>5</w:t>
      </w:r>
      <w:r w:rsidRPr="003B57EA">
        <w:t>.</w:t>
      </w:r>
      <w:r w:rsidR="00224A99" w:rsidRPr="003B57EA">
        <w:t>77</w:t>
      </w:r>
      <w:r w:rsidRPr="003B57EA">
        <w:t>, SD = 1.</w:t>
      </w:r>
      <w:r w:rsidR="00224A99" w:rsidRPr="003B57EA">
        <w:rPr>
          <w:rtl/>
        </w:rPr>
        <w:t>43</w:t>
      </w:r>
      <w:r w:rsidR="003B2827" w:rsidRPr="003B57EA">
        <w:t xml:space="preserve">). All participants were </w:t>
      </w:r>
      <w:r w:rsidRPr="003B57EA">
        <w:t>enrolled in the eighth (n</w:t>
      </w:r>
      <w:r w:rsidR="00F1140C" w:rsidRPr="003B57EA">
        <w:t xml:space="preserve"> </w:t>
      </w:r>
      <w:r w:rsidRPr="003B57EA">
        <w:t xml:space="preserve">= </w:t>
      </w:r>
      <w:r w:rsidR="00891E63" w:rsidRPr="003B57EA">
        <w:t xml:space="preserve">133; </w:t>
      </w:r>
      <w:r w:rsidR="00C11188" w:rsidRPr="003B57EA">
        <w:t>12.7%</w:t>
      </w:r>
      <w:r w:rsidRPr="003B57EA">
        <w:t>), ninth (n</w:t>
      </w:r>
      <w:r w:rsidR="00F1140C" w:rsidRPr="003B57EA">
        <w:t xml:space="preserve"> </w:t>
      </w:r>
      <w:r w:rsidRPr="003B57EA">
        <w:t xml:space="preserve">= </w:t>
      </w:r>
      <w:r w:rsidR="00C11188" w:rsidRPr="003B57EA">
        <w:rPr>
          <w:rtl/>
        </w:rPr>
        <w:t>161</w:t>
      </w:r>
      <w:r w:rsidR="00C11188" w:rsidRPr="003B57EA">
        <w:t>; 15.4%</w:t>
      </w:r>
      <w:r w:rsidRPr="003B57EA">
        <w:t xml:space="preserve">), </w:t>
      </w:r>
      <w:r w:rsidR="002D48A4" w:rsidRPr="003B57EA">
        <w:t xml:space="preserve">10th </w:t>
      </w:r>
      <w:r w:rsidRPr="003B57EA">
        <w:t xml:space="preserve">(n = </w:t>
      </w:r>
      <w:r w:rsidR="00C11188" w:rsidRPr="003B57EA">
        <w:t>225; 21.5%</w:t>
      </w:r>
      <w:r w:rsidRPr="003B57EA">
        <w:t xml:space="preserve">), </w:t>
      </w:r>
      <w:r w:rsidR="002D48A4" w:rsidRPr="003B57EA">
        <w:t xml:space="preserve">11th </w:t>
      </w:r>
      <w:r w:rsidRPr="003B57EA">
        <w:t xml:space="preserve">(n = </w:t>
      </w:r>
      <w:r w:rsidR="00C11188" w:rsidRPr="003B57EA">
        <w:t>270; 25.8%</w:t>
      </w:r>
      <w:r w:rsidRPr="003B57EA">
        <w:t xml:space="preserve">), and </w:t>
      </w:r>
      <w:r w:rsidR="002D48A4" w:rsidRPr="003B57EA">
        <w:t xml:space="preserve">12th </w:t>
      </w:r>
      <w:r w:rsidRPr="003B57EA">
        <w:t xml:space="preserve">(n = </w:t>
      </w:r>
      <w:r w:rsidR="00C11188" w:rsidRPr="003B57EA">
        <w:t>259; 24.7%</w:t>
      </w:r>
      <w:r w:rsidRPr="003B57EA">
        <w:t>) grades. Most (96</w:t>
      </w:r>
      <w:r w:rsidR="001509BD" w:rsidRPr="003B57EA">
        <w:t>.8</w:t>
      </w:r>
      <w:r w:rsidRPr="003B57EA">
        <w:t xml:space="preserve">%) were native Israelis. Socioeconomically, </w:t>
      </w:r>
      <w:r w:rsidR="00B7150F" w:rsidRPr="003B57EA">
        <w:t xml:space="preserve">the </w:t>
      </w:r>
      <w:r w:rsidR="00E21927" w:rsidRPr="003B57EA">
        <w:t>participants</w:t>
      </w:r>
      <w:r w:rsidR="00B7150F" w:rsidRPr="003B57EA">
        <w:t xml:space="preserve"> </w:t>
      </w:r>
      <w:r w:rsidRPr="003B57EA">
        <w:t>described their level</w:t>
      </w:r>
      <w:r w:rsidR="00CB2153" w:rsidRPr="003B57EA">
        <w:t>s</w:t>
      </w:r>
      <w:r w:rsidRPr="003B57EA">
        <w:t xml:space="preserve"> as being very bad</w:t>
      </w:r>
      <w:r w:rsidR="003B2827" w:rsidRPr="003B57EA">
        <w:t xml:space="preserve"> (0.3%)</w:t>
      </w:r>
      <w:r w:rsidRPr="003B57EA">
        <w:t>, bad</w:t>
      </w:r>
      <w:r w:rsidR="003B2827" w:rsidRPr="003B57EA">
        <w:t xml:space="preserve"> (2.2%)</w:t>
      </w:r>
      <w:r w:rsidRPr="003B57EA">
        <w:t>, good</w:t>
      </w:r>
      <w:r w:rsidR="003B2827" w:rsidRPr="003B57EA">
        <w:t xml:space="preserve"> (58%)</w:t>
      </w:r>
      <w:r w:rsidRPr="003B57EA">
        <w:t>, and very good</w:t>
      </w:r>
      <w:r w:rsidR="003B2827" w:rsidRPr="003B57EA">
        <w:t xml:space="preserve"> (39.5%)</w:t>
      </w:r>
      <w:r w:rsidRPr="003B57EA">
        <w:t xml:space="preserve">. In terms of religious affiliation, the sample consisted of </w:t>
      </w:r>
      <w:r w:rsidR="001509BD" w:rsidRPr="003B57EA">
        <w:t>507</w:t>
      </w:r>
      <w:r w:rsidRPr="003B57EA">
        <w:t xml:space="preserve"> (48%) self-reported religious individuals, of which </w:t>
      </w:r>
      <w:r w:rsidR="001509BD" w:rsidRPr="003B57EA">
        <w:t>223</w:t>
      </w:r>
      <w:r w:rsidRPr="003B57EA">
        <w:t xml:space="preserve"> (</w:t>
      </w:r>
      <w:r w:rsidR="001509BD" w:rsidRPr="003B57EA">
        <w:t>21.1</w:t>
      </w:r>
      <w:r w:rsidRPr="003B57EA">
        <w:t xml:space="preserve">%) </w:t>
      </w:r>
      <w:r w:rsidR="00186A29" w:rsidRPr="003B57EA">
        <w:t xml:space="preserve">considered themselves </w:t>
      </w:r>
      <w:r w:rsidRPr="003B57EA">
        <w:t xml:space="preserve">traditional, </w:t>
      </w:r>
      <w:r w:rsidR="001509BD" w:rsidRPr="003B57EA">
        <w:t>252</w:t>
      </w:r>
      <w:r w:rsidRPr="003B57EA">
        <w:t xml:space="preserve"> (2</w:t>
      </w:r>
      <w:r w:rsidR="001509BD" w:rsidRPr="003B57EA">
        <w:t>3</w:t>
      </w:r>
      <w:r w:rsidRPr="003B57EA">
        <w:t>.</w:t>
      </w:r>
      <w:r w:rsidR="001509BD" w:rsidRPr="003B57EA">
        <w:t>9</w:t>
      </w:r>
      <w:r w:rsidRPr="003B57EA">
        <w:t xml:space="preserve">%) secular, and </w:t>
      </w:r>
      <w:r w:rsidR="001509BD" w:rsidRPr="003B57EA">
        <w:t>74</w:t>
      </w:r>
      <w:r w:rsidRPr="003B57EA">
        <w:t xml:space="preserve"> (</w:t>
      </w:r>
      <w:r w:rsidR="001509BD" w:rsidRPr="003B57EA">
        <w:t>7</w:t>
      </w:r>
      <w:r w:rsidRPr="003B57EA">
        <w:t>%) ultra-Orthodox.</w:t>
      </w:r>
      <w:r w:rsidR="003D3083" w:rsidRPr="003B57EA">
        <w:t xml:space="preserve"> </w:t>
      </w:r>
      <w:r w:rsidR="0048325F" w:rsidRPr="003B57EA">
        <w:t xml:space="preserve">Participants </w:t>
      </w:r>
      <w:r w:rsidR="00F1140C" w:rsidRPr="003B57EA">
        <w:t>had the opportunity to</w:t>
      </w:r>
      <w:r w:rsidR="0048325F" w:rsidRPr="003B57EA">
        <w:t xml:space="preserve"> mark multiple genres and game types, and they indicated the following preferences: </w:t>
      </w:r>
      <w:r w:rsidR="003D3083" w:rsidRPr="003B57EA">
        <w:t xml:space="preserve">Massively </w:t>
      </w:r>
      <w:r w:rsidR="00AA2F09" w:rsidRPr="003B57EA">
        <w:t>M</w:t>
      </w:r>
      <w:r w:rsidR="003D3083" w:rsidRPr="003B57EA">
        <w:t xml:space="preserve">ultiplayer </w:t>
      </w:r>
      <w:r w:rsidR="00AA2F09" w:rsidRPr="003B57EA">
        <w:t>O</w:t>
      </w:r>
      <w:r w:rsidR="003D3083" w:rsidRPr="003B57EA">
        <w:t xml:space="preserve">nline </w:t>
      </w:r>
      <w:r w:rsidR="00AA2F09" w:rsidRPr="003B57EA">
        <w:t>R</w:t>
      </w:r>
      <w:r w:rsidR="003D3083" w:rsidRPr="003B57EA">
        <w:t xml:space="preserve">ole-playing </w:t>
      </w:r>
      <w:r w:rsidR="00AA2F09" w:rsidRPr="003B57EA">
        <w:t>G</w:t>
      </w:r>
      <w:r w:rsidR="003D3083" w:rsidRPr="003B57EA">
        <w:t>ame (MMORPG; n=543; 51%), First-</w:t>
      </w:r>
      <w:r w:rsidR="00AA2F09" w:rsidRPr="003B57EA">
        <w:t>P</w:t>
      </w:r>
      <w:r w:rsidR="003D3083" w:rsidRPr="003B57EA">
        <w:t xml:space="preserve">erson </w:t>
      </w:r>
      <w:r w:rsidR="00AA2F09" w:rsidRPr="003B57EA">
        <w:t>S</w:t>
      </w:r>
      <w:r w:rsidR="003D3083" w:rsidRPr="003B57EA">
        <w:t>hooter (FPS; n= 358; 34%), Role-</w:t>
      </w:r>
      <w:r w:rsidR="00AA2F09" w:rsidRPr="003B57EA">
        <w:t>P</w:t>
      </w:r>
      <w:r w:rsidR="003D3083" w:rsidRPr="003B57EA">
        <w:t xml:space="preserve">laying </w:t>
      </w:r>
      <w:r w:rsidR="00AA2F09" w:rsidRPr="003B57EA">
        <w:t>G</w:t>
      </w:r>
      <w:r w:rsidR="003D3083" w:rsidRPr="003B57EA">
        <w:t xml:space="preserve">ame (RPG; n= </w:t>
      </w:r>
      <w:r w:rsidR="005B03F9" w:rsidRPr="003B57EA">
        <w:t>241; 23%)</w:t>
      </w:r>
      <w:r w:rsidR="003D3083" w:rsidRPr="003B57EA">
        <w:t xml:space="preserve">; </w:t>
      </w:r>
      <w:r w:rsidR="005B03F9" w:rsidRPr="003B57EA">
        <w:t xml:space="preserve">Multiplayer </w:t>
      </w:r>
      <w:r w:rsidR="00AA2F09" w:rsidRPr="003B57EA">
        <w:t>O</w:t>
      </w:r>
      <w:r w:rsidR="005B03F9" w:rsidRPr="003B57EA">
        <w:t xml:space="preserve">nline </w:t>
      </w:r>
      <w:r w:rsidR="00AA2F09" w:rsidRPr="003B57EA">
        <w:t>B</w:t>
      </w:r>
      <w:r w:rsidR="005B03F9" w:rsidRPr="003B57EA">
        <w:t xml:space="preserve">attle </w:t>
      </w:r>
      <w:r w:rsidR="00AA2F09" w:rsidRPr="003B57EA">
        <w:t>A</w:t>
      </w:r>
      <w:r w:rsidR="005B03F9" w:rsidRPr="003B57EA">
        <w:t>rena (</w:t>
      </w:r>
      <w:r w:rsidR="003D3083" w:rsidRPr="003B57EA">
        <w:t>MOBA</w:t>
      </w:r>
      <w:r w:rsidR="005B03F9" w:rsidRPr="003B57EA">
        <w:t>; n=308; 29%)</w:t>
      </w:r>
      <w:r w:rsidR="003D3083" w:rsidRPr="003B57EA">
        <w:t>.</w:t>
      </w:r>
    </w:p>
    <w:p w14:paraId="0C8E0D65" w14:textId="28DDC109" w:rsidR="007019AF" w:rsidRPr="003B57EA" w:rsidRDefault="006D6CB3">
      <w:pPr>
        <w:spacing w:line="480" w:lineRule="auto"/>
        <w:jc w:val="both"/>
        <w:rPr>
          <w:b/>
          <w:bCs/>
          <w:i/>
          <w:iCs/>
        </w:rPr>
      </w:pPr>
      <w:r w:rsidRPr="003B57EA">
        <w:rPr>
          <w:b/>
          <w:bCs/>
        </w:rPr>
        <w:t xml:space="preserve">2.2 </w:t>
      </w:r>
      <w:r w:rsidR="007019AF" w:rsidRPr="003B57EA">
        <w:rPr>
          <w:b/>
          <w:bCs/>
        </w:rPr>
        <w:t>Measures</w:t>
      </w:r>
    </w:p>
    <w:p w14:paraId="77B8F627" w14:textId="77777777" w:rsidR="009123C7" w:rsidRPr="003B57EA" w:rsidRDefault="006D6CB3">
      <w:pPr>
        <w:autoSpaceDE w:val="0"/>
        <w:autoSpaceDN w:val="0"/>
        <w:adjustRightInd w:val="0"/>
        <w:snapToGrid w:val="0"/>
        <w:spacing w:line="480" w:lineRule="auto"/>
        <w:jc w:val="both"/>
      </w:pPr>
      <w:r w:rsidRPr="003B57EA">
        <w:rPr>
          <w:b/>
          <w:bCs/>
        </w:rPr>
        <w:t xml:space="preserve">2.2.1 </w:t>
      </w:r>
      <w:r w:rsidR="007019AF" w:rsidRPr="003B57EA">
        <w:rPr>
          <w:b/>
          <w:bCs/>
        </w:rPr>
        <w:t>Sociodemographic variables</w:t>
      </w:r>
    </w:p>
    <w:p w14:paraId="2418C93B" w14:textId="65AE61D0" w:rsidR="009123C7" w:rsidRPr="003B57EA" w:rsidRDefault="00CF1FD6" w:rsidP="00113B0E">
      <w:pPr>
        <w:autoSpaceDE w:val="0"/>
        <w:autoSpaceDN w:val="0"/>
        <w:adjustRightInd w:val="0"/>
        <w:snapToGrid w:val="0"/>
        <w:spacing w:line="480" w:lineRule="auto"/>
        <w:jc w:val="both"/>
      </w:pPr>
      <w:r w:rsidRPr="003B57EA">
        <w:t>Adolescents provided information about their age (13-18), biological sex (male, female), level of religiosity (traditional, secular, religious, ultra-Orthodox), immigration status (Israeli, immigrant), and financial position (SES; divided into the categories of “very good,” “good,” “bad,” and “very bad”).</w:t>
      </w:r>
    </w:p>
    <w:p w14:paraId="6DEB488B" w14:textId="77777777" w:rsidR="00E21927" w:rsidRPr="003B57EA" w:rsidRDefault="00E21927" w:rsidP="00113B0E">
      <w:pPr>
        <w:autoSpaceDE w:val="0"/>
        <w:autoSpaceDN w:val="0"/>
        <w:adjustRightInd w:val="0"/>
        <w:snapToGrid w:val="0"/>
        <w:spacing w:line="480" w:lineRule="auto"/>
        <w:jc w:val="both"/>
      </w:pPr>
    </w:p>
    <w:p w14:paraId="0E71E89D" w14:textId="77777777" w:rsidR="009123C7" w:rsidRPr="003B57EA" w:rsidRDefault="006D6CB3">
      <w:pPr>
        <w:autoSpaceDE w:val="0"/>
        <w:autoSpaceDN w:val="0"/>
        <w:adjustRightInd w:val="0"/>
        <w:snapToGrid w:val="0"/>
        <w:spacing w:line="480" w:lineRule="auto"/>
        <w:jc w:val="both"/>
        <w:rPr>
          <w:b/>
          <w:bCs/>
        </w:rPr>
      </w:pPr>
      <w:r w:rsidRPr="003B57EA">
        <w:rPr>
          <w:b/>
          <w:bCs/>
        </w:rPr>
        <w:lastRenderedPageBreak/>
        <w:t xml:space="preserve">2.2.2 </w:t>
      </w:r>
      <w:r w:rsidR="001A44FF" w:rsidRPr="003B57EA">
        <w:rPr>
          <w:b/>
          <w:bCs/>
        </w:rPr>
        <w:t>Preference for Online Social Interactions</w:t>
      </w:r>
    </w:p>
    <w:p w14:paraId="46EA517A" w14:textId="6CA8798A" w:rsidR="0083620C" w:rsidRPr="003B57EA" w:rsidRDefault="00C462D4">
      <w:pPr>
        <w:autoSpaceDE w:val="0"/>
        <w:autoSpaceDN w:val="0"/>
        <w:adjustRightInd w:val="0"/>
        <w:snapToGrid w:val="0"/>
        <w:spacing w:line="480" w:lineRule="auto"/>
        <w:jc w:val="both"/>
      </w:pPr>
      <w:r w:rsidRPr="003B57EA">
        <w:t xml:space="preserve">The </w:t>
      </w:r>
      <w:r w:rsidR="00747108" w:rsidRPr="003B57EA">
        <w:t xml:space="preserve">POSI of the </w:t>
      </w:r>
      <w:r w:rsidR="0083620C" w:rsidRPr="003B57EA">
        <w:t>Generalized Problematic Internet Use Scale 2 (GPIUS2; Caplan, 2010)</w:t>
      </w:r>
      <w:r w:rsidRPr="003B57EA">
        <w:t xml:space="preserve"> was translated into Hebrew and </w:t>
      </w:r>
      <w:proofErr w:type="gramStart"/>
      <w:r w:rsidRPr="003B57EA">
        <w:t>back-verified</w:t>
      </w:r>
      <w:proofErr w:type="gramEnd"/>
      <w:r w:rsidR="0083620C" w:rsidRPr="003B57EA">
        <w:t xml:space="preserve">. The subscale </w:t>
      </w:r>
      <w:r w:rsidRPr="003B57EA">
        <w:t>consists</w:t>
      </w:r>
      <w:r w:rsidR="0083620C" w:rsidRPr="003B57EA">
        <w:t xml:space="preserve"> of three items (for example</w:t>
      </w:r>
      <w:r w:rsidRPr="003B57EA">
        <w:t xml:space="preserve"> –</w:t>
      </w:r>
      <w:r w:rsidR="0083620C" w:rsidRPr="003B57EA">
        <w:t xml:space="preserve"> “Online social interaction is more comfortable for me than face-to-face interaction”). Participants </w:t>
      </w:r>
      <w:r w:rsidRPr="003B57EA">
        <w:t>rated</w:t>
      </w:r>
      <w:r w:rsidR="0083620C" w:rsidRPr="003B57EA">
        <w:t xml:space="preserve"> their agreement with each statement </w:t>
      </w:r>
      <w:r w:rsidRPr="003B57EA">
        <w:t>out of eight</w:t>
      </w:r>
      <w:r w:rsidR="0083620C" w:rsidRPr="003B57EA">
        <w:t xml:space="preserve"> (1= “absolutely disagree” to 8= “certainly agree”). Cronbach’s alpha for the scale in this study was 0.86 (T1) and.89 (T2). A total score was calculated by averaging the items</w:t>
      </w:r>
      <w:r w:rsidRPr="003B57EA">
        <w:t>.</w:t>
      </w:r>
      <w:r w:rsidR="0083620C" w:rsidRPr="003B57EA">
        <w:t xml:space="preserve"> </w:t>
      </w:r>
      <w:r w:rsidRPr="003B57EA">
        <w:t>H</w:t>
      </w:r>
      <w:r w:rsidR="0083620C" w:rsidRPr="003B57EA">
        <w:t>igher values signify higher degrees of POSI.</w:t>
      </w:r>
    </w:p>
    <w:p w14:paraId="2CA579ED" w14:textId="6441AF2E" w:rsidR="009123C7" w:rsidRPr="003B57EA" w:rsidRDefault="006D6CB3">
      <w:pPr>
        <w:autoSpaceDE w:val="0"/>
        <w:autoSpaceDN w:val="0"/>
        <w:adjustRightInd w:val="0"/>
        <w:snapToGrid w:val="0"/>
        <w:spacing w:line="480" w:lineRule="auto"/>
        <w:jc w:val="both"/>
      </w:pPr>
      <w:r w:rsidRPr="003B57EA">
        <w:rPr>
          <w:b/>
          <w:bCs/>
        </w:rPr>
        <w:t xml:space="preserve">2.2.3 </w:t>
      </w:r>
      <w:r w:rsidR="009123C7" w:rsidRPr="003B57EA">
        <w:rPr>
          <w:b/>
          <w:bCs/>
        </w:rPr>
        <w:t>IGD</w:t>
      </w:r>
    </w:p>
    <w:p w14:paraId="2CBA8517" w14:textId="2064A585" w:rsidR="009123C7" w:rsidRPr="003B57EA" w:rsidRDefault="00474E5E" w:rsidP="0083620C">
      <w:pPr>
        <w:autoSpaceDE w:val="0"/>
        <w:autoSpaceDN w:val="0"/>
        <w:adjustRightInd w:val="0"/>
        <w:snapToGrid w:val="0"/>
        <w:spacing w:line="480" w:lineRule="auto"/>
        <w:jc w:val="both"/>
        <w:rPr>
          <w:b/>
          <w:bCs/>
        </w:rPr>
      </w:pPr>
      <w:r w:rsidRPr="003B57EA">
        <w:rPr>
          <w:spacing w:val="3"/>
          <w:bdr w:val="none" w:sz="0" w:space="0" w:color="auto" w:frame="1"/>
        </w:rPr>
        <w:t xml:space="preserve">The severity of </w:t>
      </w:r>
      <w:r w:rsidR="00B77B8C" w:rsidRPr="003B57EA">
        <w:rPr>
          <w:spacing w:val="3"/>
          <w:bdr w:val="none" w:sz="0" w:space="0" w:color="auto" w:frame="1"/>
        </w:rPr>
        <w:t>I</w:t>
      </w:r>
      <w:r w:rsidR="007B1CD1" w:rsidRPr="003B57EA">
        <w:rPr>
          <w:spacing w:val="3"/>
          <w:bdr w:val="none" w:sz="0" w:space="0" w:color="auto" w:frame="1"/>
        </w:rPr>
        <w:t>GD</w:t>
      </w:r>
      <w:r w:rsidRPr="003B57EA">
        <w:rPr>
          <w:spacing w:val="3"/>
          <w:bdr w:val="none" w:sz="0" w:space="0" w:color="auto" w:frame="1"/>
        </w:rPr>
        <w:t xml:space="preserve"> and its detrimental effects over </w:t>
      </w:r>
      <w:r w:rsidR="00CB2153" w:rsidRPr="003B57EA">
        <w:rPr>
          <w:spacing w:val="3"/>
          <w:bdr w:val="none" w:sz="0" w:space="0" w:color="auto" w:frame="1"/>
        </w:rPr>
        <w:t>12 months</w:t>
      </w:r>
      <w:r w:rsidRPr="003B57EA">
        <w:rPr>
          <w:spacing w:val="3"/>
          <w:bdr w:val="none" w:sz="0" w:space="0" w:color="auto" w:frame="1"/>
        </w:rPr>
        <w:t xml:space="preserve"> were assessed using a version of the nine-item short form of the Internet Gaming Disorder Scale (Pontes &amp; Griffiths, 2015) based on the nine IGD </w:t>
      </w:r>
      <w:r w:rsidR="009B1D91" w:rsidRPr="003B57EA">
        <w:rPr>
          <w:spacing w:val="3"/>
          <w:bdr w:val="none" w:sz="0" w:space="0" w:color="auto" w:frame="1"/>
        </w:rPr>
        <w:t xml:space="preserve">items defined in the </w:t>
      </w:r>
      <w:r w:rsidR="00231BA9" w:rsidRPr="003B57EA">
        <w:rPr>
          <w:spacing w:val="3"/>
          <w:bdr w:val="none" w:sz="0" w:space="0" w:color="auto" w:frame="1"/>
        </w:rPr>
        <w:t>American Psychiatric Association’s</w:t>
      </w:r>
      <w:r w:rsidR="00231BA9" w:rsidRPr="003B57EA">
        <w:rPr>
          <w:shd w:val="clear" w:color="auto" w:fill="FFFFFF"/>
        </w:rPr>
        <w:t xml:space="preserve"> </w:t>
      </w:r>
      <w:r w:rsidR="009B1D91" w:rsidRPr="003B57EA">
        <w:rPr>
          <w:shd w:val="clear" w:color="auto" w:fill="FFFFFF"/>
        </w:rPr>
        <w:t>Diagnostic and Statistical Manual of Mental Disorders, Fifth Edition</w:t>
      </w:r>
      <w:r w:rsidR="009B1D91" w:rsidRPr="003B57EA" w:rsidDel="009B1D91">
        <w:rPr>
          <w:spacing w:val="3"/>
          <w:bdr w:val="none" w:sz="0" w:space="0" w:color="auto" w:frame="1"/>
        </w:rPr>
        <w:t xml:space="preserve"> </w:t>
      </w:r>
      <w:r w:rsidRPr="003B57EA">
        <w:rPr>
          <w:spacing w:val="3"/>
          <w:bdr w:val="none" w:sz="0" w:space="0" w:color="auto" w:frame="1"/>
        </w:rPr>
        <w:t xml:space="preserve">(2013). Items </w:t>
      </w:r>
      <w:r w:rsidRPr="003B57EA">
        <w:rPr>
          <w:bdr w:val="none" w:sz="0" w:space="0" w:color="auto" w:frame="1"/>
        </w:rPr>
        <w:t>were translated into Hebrew by Efrati et al. (2021).</w:t>
      </w:r>
      <w:r w:rsidRPr="003B57EA">
        <w:rPr>
          <w:spacing w:val="3"/>
          <w:bdr w:val="none" w:sz="0" w:space="0" w:color="auto" w:frame="1"/>
        </w:rPr>
        <w:t xml:space="preserve"> </w:t>
      </w:r>
      <w:r w:rsidR="0083620C" w:rsidRPr="003B57EA">
        <w:rPr>
          <w:spacing w:val="3"/>
          <w:bdr w:val="none" w:sz="0" w:space="0" w:color="auto" w:frame="1"/>
        </w:rPr>
        <w:t>Responses are graded on a 5-point scale (1 = never</w:t>
      </w:r>
      <w:r w:rsidR="0086013E" w:rsidRPr="003B57EA">
        <w:rPr>
          <w:spacing w:val="3"/>
          <w:bdr w:val="none" w:sz="0" w:space="0" w:color="auto" w:frame="1"/>
        </w:rPr>
        <w:t>;</w:t>
      </w:r>
      <w:r w:rsidR="0083620C" w:rsidRPr="003B57EA">
        <w:rPr>
          <w:spacing w:val="3"/>
          <w:bdr w:val="none" w:sz="0" w:space="0" w:color="auto" w:frame="1"/>
        </w:rPr>
        <w:t xml:space="preserve"> 5 = very often). Cronbach’s alpha for the scale in this study was 0.86 (T1) and.89 (T2). </w:t>
      </w:r>
      <w:r w:rsidR="0081583F" w:rsidRPr="003B57EA">
        <w:t xml:space="preserve">We also computed a total IGD </w:t>
      </w:r>
      <w:proofErr w:type="gramStart"/>
      <w:r w:rsidR="0081583F" w:rsidRPr="003B57EA">
        <w:t>score, and</w:t>
      </w:r>
      <w:proofErr w:type="gramEnd"/>
      <w:r w:rsidR="0081583F" w:rsidRPr="003B57EA">
        <w:t xml:space="preserve"> used the cut-off of 36 (from 45) to appraised the possible presence of IGD. </w:t>
      </w:r>
      <w:bookmarkStart w:id="7" w:name="_Hlk123731935"/>
      <w:r w:rsidR="0086013E" w:rsidRPr="003B57EA">
        <w:rPr>
          <w:spacing w:val="3"/>
          <w:bdr w:val="none" w:sz="0" w:space="0" w:color="auto" w:frame="1"/>
        </w:rPr>
        <w:t xml:space="preserve">A mean </w:t>
      </w:r>
      <w:r w:rsidR="0065776A" w:rsidRPr="003B57EA">
        <w:rPr>
          <w:spacing w:val="3"/>
          <w:bdr w:val="none" w:sz="0" w:space="0" w:color="auto" w:frame="1"/>
        </w:rPr>
        <w:t>s</w:t>
      </w:r>
      <w:r w:rsidR="0086013E" w:rsidRPr="003B57EA">
        <w:rPr>
          <w:spacing w:val="3"/>
          <w:bdr w:val="none" w:sz="0" w:space="0" w:color="auto" w:frame="1"/>
        </w:rPr>
        <w:t>core was produced for all items and</w:t>
      </w:r>
      <w:r w:rsidR="0083620C" w:rsidRPr="003B57EA">
        <w:rPr>
          <w:spacing w:val="3"/>
          <w:bdr w:val="none" w:sz="0" w:space="0" w:color="auto" w:frame="1"/>
        </w:rPr>
        <w:t xml:space="preserve"> higher scores signif</w:t>
      </w:r>
      <w:r w:rsidR="0086013E" w:rsidRPr="003B57EA">
        <w:rPr>
          <w:spacing w:val="3"/>
          <w:bdr w:val="none" w:sz="0" w:space="0" w:color="auto" w:frame="1"/>
        </w:rPr>
        <w:t>ied</w:t>
      </w:r>
      <w:r w:rsidR="0083620C" w:rsidRPr="003B57EA">
        <w:rPr>
          <w:spacing w:val="3"/>
          <w:bdr w:val="none" w:sz="0" w:space="0" w:color="auto" w:frame="1"/>
        </w:rPr>
        <w:t xml:space="preserve"> greater IGD severity.</w:t>
      </w:r>
      <w:r w:rsidR="0081583F" w:rsidRPr="003B57EA">
        <w:rPr>
          <w:spacing w:val="3"/>
          <w:bdr w:val="none" w:sz="0" w:space="0" w:color="auto" w:frame="1"/>
        </w:rPr>
        <w:t xml:space="preserve"> </w:t>
      </w:r>
      <w:bookmarkEnd w:id="7"/>
      <w:r w:rsidR="002702A7" w:rsidRPr="003B57EA">
        <w:rPr>
          <w:spacing w:val="3"/>
          <w:bdr w:val="none" w:sz="0" w:space="0" w:color="auto" w:frame="1"/>
        </w:rPr>
        <w:t xml:space="preserve">We found that 2.17% (n=23) at T1, and 1.89% (n=20) at T2 of our participants reported IGD. </w:t>
      </w:r>
      <w:r w:rsidR="006D6CB3" w:rsidRPr="003B57EA">
        <w:rPr>
          <w:b/>
          <w:bCs/>
        </w:rPr>
        <w:t xml:space="preserve">2.2.4 </w:t>
      </w:r>
      <w:r w:rsidR="009B3D7A" w:rsidRPr="003B57EA">
        <w:rPr>
          <w:b/>
          <w:bCs/>
        </w:rPr>
        <w:t>The Metacognitions about Online Gaming Scale</w:t>
      </w:r>
    </w:p>
    <w:p w14:paraId="12946F72" w14:textId="1D555389" w:rsidR="0083620C" w:rsidRPr="003B57EA" w:rsidRDefault="0083620C" w:rsidP="0083620C">
      <w:pPr>
        <w:autoSpaceDE w:val="0"/>
        <w:autoSpaceDN w:val="0"/>
        <w:adjustRightInd w:val="0"/>
        <w:snapToGrid w:val="0"/>
        <w:spacing w:line="480" w:lineRule="auto"/>
        <w:jc w:val="both"/>
        <w:rPr>
          <w:spacing w:val="3"/>
          <w:bdr w:val="none" w:sz="0" w:space="0" w:color="auto" w:frame="1"/>
        </w:rPr>
      </w:pPr>
      <w:r w:rsidRPr="003B57EA">
        <w:rPr>
          <w:spacing w:val="3"/>
          <w:bdr w:val="none" w:sz="0" w:space="0" w:color="auto" w:frame="1"/>
        </w:rPr>
        <w:t xml:space="preserve">The MOGS (Spada &amp; Caselli, 2017) </w:t>
      </w:r>
      <w:r w:rsidR="00E21927" w:rsidRPr="003B57EA">
        <w:rPr>
          <w:spacing w:val="3"/>
          <w:bdr w:val="none" w:sz="0" w:space="0" w:color="auto" w:frame="1"/>
        </w:rPr>
        <w:t>was used to measure</w:t>
      </w:r>
      <w:r w:rsidRPr="003B57EA">
        <w:rPr>
          <w:spacing w:val="3"/>
          <w:bdr w:val="none" w:sz="0" w:space="0" w:color="auto" w:frame="1"/>
        </w:rPr>
        <w:t xml:space="preserve"> positive and negative metacognitions about online gaming. The MOGS, like</w:t>
      </w:r>
      <w:r w:rsidR="00747108" w:rsidRPr="003B57EA">
        <w:rPr>
          <w:spacing w:val="3"/>
          <w:bdr w:val="none" w:sz="0" w:space="0" w:color="auto" w:frame="1"/>
        </w:rPr>
        <w:t xml:space="preserve"> the</w:t>
      </w:r>
      <w:r w:rsidRPr="003B57EA">
        <w:rPr>
          <w:spacing w:val="3"/>
          <w:bdr w:val="none" w:sz="0" w:space="0" w:color="auto" w:frame="1"/>
        </w:rPr>
        <w:t xml:space="preserve"> POSI, was translated </w:t>
      </w:r>
      <w:r w:rsidR="00747108" w:rsidRPr="003B57EA">
        <w:rPr>
          <w:spacing w:val="3"/>
          <w:bdr w:val="none" w:sz="0" w:space="0" w:color="auto" w:frame="1"/>
        </w:rPr>
        <w:t xml:space="preserve">into Hebrew and </w:t>
      </w:r>
      <w:proofErr w:type="gramStart"/>
      <w:r w:rsidR="00747108" w:rsidRPr="003B57EA">
        <w:rPr>
          <w:spacing w:val="3"/>
          <w:bdr w:val="none" w:sz="0" w:space="0" w:color="auto" w:frame="1"/>
        </w:rPr>
        <w:t>back-verified</w:t>
      </w:r>
      <w:proofErr w:type="gramEnd"/>
      <w:r w:rsidRPr="003B57EA">
        <w:rPr>
          <w:spacing w:val="3"/>
          <w:bdr w:val="none" w:sz="0" w:space="0" w:color="auto" w:frame="1"/>
        </w:rPr>
        <w:t>. The scale is divided into two factors, each of which is measured by six items: “positive metacognitions about online gaming” (P-MOG) relates to the effectiveness of online gaming as a strategy for cognitive-affective self-</w:t>
      </w:r>
      <w:r w:rsidRPr="003B57EA">
        <w:rPr>
          <w:spacing w:val="3"/>
          <w:bdr w:val="none" w:sz="0" w:space="0" w:color="auto" w:frame="1"/>
        </w:rPr>
        <w:lastRenderedPageBreak/>
        <w:t>regulation (e.g., “Online gaming helps me to control my negative thoughts”), and “negative metacognitions about online gaming” (N-MOG) pertains to a lack of control and</w:t>
      </w:r>
      <w:r w:rsidR="00747108" w:rsidRPr="003B57EA">
        <w:rPr>
          <w:spacing w:val="3"/>
          <w:bdr w:val="none" w:sz="0" w:space="0" w:color="auto" w:frame="1"/>
        </w:rPr>
        <w:t xml:space="preserve"> </w:t>
      </w:r>
      <w:r w:rsidRPr="003B57EA">
        <w:rPr>
          <w:spacing w:val="3"/>
          <w:bdr w:val="none" w:sz="0" w:space="0" w:color="auto" w:frame="1"/>
        </w:rPr>
        <w:t>the dangers of online gaming and</w:t>
      </w:r>
      <w:r w:rsidR="00393B6F" w:rsidRPr="003B57EA">
        <w:rPr>
          <w:spacing w:val="3"/>
          <w:bdr w:val="none" w:sz="0" w:space="0" w:color="auto" w:frame="1"/>
        </w:rPr>
        <w:t xml:space="preserve"> </w:t>
      </w:r>
      <w:r w:rsidRPr="003B57EA">
        <w:rPr>
          <w:spacing w:val="3"/>
          <w:bdr w:val="none" w:sz="0" w:space="0" w:color="auto" w:frame="1"/>
        </w:rPr>
        <w:t xml:space="preserve">thoughts about online gaming   </w:t>
      </w:r>
      <w:r w:rsidR="009B3D7A" w:rsidRPr="003B57EA">
        <w:rPr>
          <w:spacing w:val="3"/>
          <w:bdr w:val="none" w:sz="0" w:space="0" w:color="auto" w:frame="1"/>
        </w:rPr>
        <w:t xml:space="preserve">(e.g., </w:t>
      </w:r>
      <w:r w:rsidR="009B3D7A" w:rsidRPr="003B57EA">
        <w:rPr>
          <w:rFonts w:hint="eastAsia"/>
          <w:spacing w:val="3"/>
          <w:bdr w:val="none" w:sz="0" w:space="0" w:color="auto" w:frame="1"/>
        </w:rPr>
        <w:t>“</w:t>
      </w:r>
      <w:r w:rsidR="009B3D7A" w:rsidRPr="003B57EA">
        <w:rPr>
          <w:spacing w:val="3"/>
          <w:bdr w:val="none" w:sz="0" w:space="0" w:color="auto" w:frame="1"/>
        </w:rPr>
        <w:t>I have no control over how much time I play</w:t>
      </w:r>
      <w:r w:rsidR="009B3D7A" w:rsidRPr="003B57EA">
        <w:rPr>
          <w:rFonts w:hint="eastAsia"/>
          <w:spacing w:val="3"/>
          <w:bdr w:val="none" w:sz="0" w:space="0" w:color="auto" w:frame="1"/>
        </w:rPr>
        <w:t>”</w:t>
      </w:r>
      <w:r w:rsidR="009B3D7A" w:rsidRPr="003B57EA">
        <w:rPr>
          <w:spacing w:val="3"/>
          <w:bdr w:val="none" w:sz="0" w:space="0" w:color="auto" w:frame="1"/>
        </w:rPr>
        <w:t xml:space="preserve">). </w:t>
      </w:r>
      <w:r w:rsidRPr="003B57EA">
        <w:rPr>
          <w:spacing w:val="3"/>
          <w:bdr w:val="none" w:sz="0" w:space="0" w:color="auto" w:frame="1"/>
        </w:rPr>
        <w:t xml:space="preserve">Participants then scored the extent to which they agreed with each statement (ranging from 1 = “do not agree” to 4 = “agree very much”). </w:t>
      </w:r>
      <w:r w:rsidR="00393B6F" w:rsidRPr="003B57EA">
        <w:rPr>
          <w:spacing w:val="3"/>
          <w:bdr w:val="none" w:sz="0" w:space="0" w:color="auto" w:frame="1"/>
        </w:rPr>
        <w:t>T</w:t>
      </w:r>
      <w:r w:rsidRPr="003B57EA">
        <w:rPr>
          <w:spacing w:val="3"/>
          <w:bdr w:val="none" w:sz="0" w:space="0" w:color="auto" w:frame="1"/>
        </w:rPr>
        <w:t xml:space="preserve">he Cronbach’s alpha for the scale was </w:t>
      </w:r>
      <w:r w:rsidR="00E21927" w:rsidRPr="003B57EA">
        <w:rPr>
          <w:spacing w:val="3"/>
          <w:bdr w:val="none" w:sz="0" w:space="0" w:color="auto" w:frame="1"/>
        </w:rPr>
        <w:t>0</w:t>
      </w:r>
      <w:r w:rsidRPr="003B57EA">
        <w:rPr>
          <w:spacing w:val="3"/>
          <w:bdr w:val="none" w:sz="0" w:space="0" w:color="auto" w:frame="1"/>
        </w:rPr>
        <w:t>.85 (T1) and</w:t>
      </w:r>
      <w:r w:rsidR="00E21927" w:rsidRPr="003B57EA">
        <w:rPr>
          <w:spacing w:val="3"/>
          <w:bdr w:val="none" w:sz="0" w:space="0" w:color="auto" w:frame="1"/>
        </w:rPr>
        <w:t xml:space="preserve"> 0</w:t>
      </w:r>
      <w:r w:rsidRPr="003B57EA">
        <w:rPr>
          <w:spacing w:val="3"/>
          <w:bdr w:val="none" w:sz="0" w:space="0" w:color="auto" w:frame="1"/>
        </w:rPr>
        <w:t>.85 (T2) for positive metacognitions and</w:t>
      </w:r>
      <w:r w:rsidR="00E21927" w:rsidRPr="003B57EA">
        <w:rPr>
          <w:spacing w:val="3"/>
          <w:bdr w:val="none" w:sz="0" w:space="0" w:color="auto" w:frame="1"/>
        </w:rPr>
        <w:t xml:space="preserve"> 0</w:t>
      </w:r>
      <w:r w:rsidRPr="003B57EA">
        <w:rPr>
          <w:spacing w:val="3"/>
          <w:bdr w:val="none" w:sz="0" w:space="0" w:color="auto" w:frame="1"/>
        </w:rPr>
        <w:t>.88 (T1) and</w:t>
      </w:r>
      <w:r w:rsidR="00E21927" w:rsidRPr="003B57EA">
        <w:rPr>
          <w:spacing w:val="3"/>
          <w:bdr w:val="none" w:sz="0" w:space="0" w:color="auto" w:frame="1"/>
        </w:rPr>
        <w:t xml:space="preserve"> 0</w:t>
      </w:r>
      <w:r w:rsidRPr="003B57EA">
        <w:rPr>
          <w:spacing w:val="3"/>
          <w:bdr w:val="none" w:sz="0" w:space="0" w:color="auto" w:frame="1"/>
        </w:rPr>
        <w:t>.91 (T2) for negative metacognitions. A total score was calculated by averaging the items, with higher scores signifying higher degrees of metacognition.</w:t>
      </w:r>
    </w:p>
    <w:p w14:paraId="73CAC861" w14:textId="7CB3A380" w:rsidR="009123C7" w:rsidRPr="003B57EA" w:rsidRDefault="006D6CB3" w:rsidP="0083620C">
      <w:pPr>
        <w:autoSpaceDE w:val="0"/>
        <w:autoSpaceDN w:val="0"/>
        <w:adjustRightInd w:val="0"/>
        <w:snapToGrid w:val="0"/>
        <w:spacing w:line="480" w:lineRule="auto"/>
        <w:jc w:val="both"/>
        <w:rPr>
          <w:b/>
          <w:bCs/>
          <w:spacing w:val="3"/>
          <w:bdr w:val="none" w:sz="0" w:space="0" w:color="auto" w:frame="1"/>
        </w:rPr>
      </w:pPr>
      <w:r w:rsidRPr="003B57EA">
        <w:rPr>
          <w:b/>
          <w:bCs/>
          <w:spacing w:val="3"/>
          <w:bdr w:val="none" w:sz="0" w:space="0" w:color="auto" w:frame="1"/>
        </w:rPr>
        <w:t xml:space="preserve">2.2.5 </w:t>
      </w:r>
      <w:r w:rsidR="0075480F" w:rsidRPr="003B57EA">
        <w:rPr>
          <w:b/>
          <w:bCs/>
          <w:spacing w:val="3"/>
          <w:bdr w:val="none" w:sz="0" w:space="0" w:color="auto" w:frame="1"/>
        </w:rPr>
        <w:t>The Motives for Online Gaming Questionnaire</w:t>
      </w:r>
    </w:p>
    <w:p w14:paraId="5033BBE5" w14:textId="75475F3A" w:rsidR="0075480F" w:rsidRPr="003B57EA" w:rsidRDefault="00393B6F">
      <w:pPr>
        <w:autoSpaceDE w:val="0"/>
        <w:autoSpaceDN w:val="0"/>
        <w:adjustRightInd w:val="0"/>
        <w:snapToGrid w:val="0"/>
        <w:spacing w:line="480" w:lineRule="auto"/>
        <w:jc w:val="both"/>
        <w:rPr>
          <w:spacing w:val="3"/>
          <w:bdr w:val="none" w:sz="0" w:space="0" w:color="auto" w:frame="1"/>
        </w:rPr>
      </w:pPr>
      <w:r w:rsidRPr="003B57EA">
        <w:rPr>
          <w:spacing w:val="3"/>
          <w:bdr w:val="none" w:sz="0" w:space="0" w:color="auto" w:frame="1"/>
        </w:rPr>
        <w:t xml:space="preserve">Motives for online gaming were assessed using the </w:t>
      </w:r>
      <w:r w:rsidR="00CB2153" w:rsidRPr="003B57EA">
        <w:rPr>
          <w:spacing w:val="3"/>
          <w:bdr w:val="none" w:sz="0" w:space="0" w:color="auto" w:frame="1"/>
        </w:rPr>
        <w:t>Motives for Online Gaming Questionnaire (Demetrovics et al., 2011)</w:t>
      </w:r>
      <w:r w:rsidR="0075480F" w:rsidRPr="003B57EA">
        <w:rPr>
          <w:spacing w:val="3"/>
          <w:bdr w:val="none" w:sz="0" w:space="0" w:color="auto" w:frame="1"/>
        </w:rPr>
        <w:t xml:space="preserve">. Items were translated from English to Hebrew by three independent psychologists </w:t>
      </w:r>
      <w:r w:rsidRPr="003B57EA">
        <w:rPr>
          <w:spacing w:val="3"/>
          <w:bdr w:val="none" w:sz="0" w:space="0" w:color="auto" w:frame="1"/>
        </w:rPr>
        <w:t>and verified by back-translation into Hebrew by a bilingual expert in the field</w:t>
      </w:r>
      <w:r w:rsidR="0075480F" w:rsidRPr="003B57EA">
        <w:rPr>
          <w:spacing w:val="3"/>
          <w:bdr w:val="none" w:sz="0" w:space="0" w:color="auto" w:frame="1"/>
        </w:rPr>
        <w:t xml:space="preserve">. Participants </w:t>
      </w:r>
      <w:r w:rsidRPr="003B57EA">
        <w:rPr>
          <w:spacing w:val="3"/>
          <w:bdr w:val="none" w:sz="0" w:space="0" w:color="auto" w:frame="1"/>
        </w:rPr>
        <w:t xml:space="preserve">scored the </w:t>
      </w:r>
      <w:r w:rsidR="0075480F" w:rsidRPr="003B57EA">
        <w:rPr>
          <w:spacing w:val="3"/>
          <w:bdr w:val="none" w:sz="0" w:space="0" w:color="auto" w:frame="1"/>
        </w:rPr>
        <w:t>frequency of each of the 27 items over the last 12 months on a 5-point scale (</w:t>
      </w:r>
      <w:r w:rsidR="00A44910" w:rsidRPr="003B57EA">
        <w:rPr>
          <w:spacing w:val="3"/>
          <w:bdr w:val="none" w:sz="0" w:space="0" w:color="auto" w:frame="1"/>
        </w:rPr>
        <w:t xml:space="preserve">ranging </w:t>
      </w:r>
      <w:r w:rsidR="0075480F" w:rsidRPr="003B57EA">
        <w:rPr>
          <w:spacing w:val="3"/>
          <w:bdr w:val="none" w:sz="0" w:space="0" w:color="auto" w:frame="1"/>
        </w:rPr>
        <w:t>from 1</w:t>
      </w:r>
      <w:r w:rsidR="00A44910" w:rsidRPr="003B57EA">
        <w:rPr>
          <w:spacing w:val="3"/>
          <w:bdr w:val="none" w:sz="0" w:space="0" w:color="auto" w:frame="1"/>
        </w:rPr>
        <w:t xml:space="preserve"> </w:t>
      </w:r>
      <w:r w:rsidR="0075480F" w:rsidRPr="003B57EA">
        <w:rPr>
          <w:spacing w:val="3"/>
          <w:bdr w:val="none" w:sz="0" w:space="0" w:color="auto" w:frame="1"/>
        </w:rPr>
        <w:t xml:space="preserve">= “never” to 5 = “almost always/always”). </w:t>
      </w:r>
      <w:r w:rsidRPr="003B57EA">
        <w:rPr>
          <w:spacing w:val="3"/>
          <w:bdr w:val="none" w:sz="0" w:space="0" w:color="auto" w:frame="1"/>
        </w:rPr>
        <w:t>S</w:t>
      </w:r>
      <w:r w:rsidR="0075480F" w:rsidRPr="003B57EA">
        <w:rPr>
          <w:spacing w:val="3"/>
          <w:bdr w:val="none" w:sz="0" w:space="0" w:color="auto" w:frame="1"/>
        </w:rPr>
        <w:t>even motivational dimensions</w:t>
      </w:r>
      <w:r w:rsidRPr="003B57EA">
        <w:rPr>
          <w:spacing w:val="3"/>
          <w:bdr w:val="none" w:sz="0" w:space="0" w:color="auto" w:frame="1"/>
        </w:rPr>
        <w:t xml:space="preserve"> characterized the scale</w:t>
      </w:r>
      <w:r w:rsidR="0075480F" w:rsidRPr="003B57EA">
        <w:rPr>
          <w:spacing w:val="3"/>
          <w:bdr w:val="none" w:sz="0" w:space="0" w:color="auto" w:frame="1"/>
        </w:rPr>
        <w:t xml:space="preserve">: </w:t>
      </w:r>
      <w:r w:rsidR="00A44910" w:rsidRPr="003B57EA">
        <w:rPr>
          <w:spacing w:val="3"/>
          <w:bdr w:val="none" w:sz="0" w:space="0" w:color="auto" w:frame="1"/>
        </w:rPr>
        <w:t>1)</w:t>
      </w:r>
      <w:r w:rsidR="0075480F" w:rsidRPr="003B57EA">
        <w:rPr>
          <w:spacing w:val="3"/>
          <w:bdr w:val="none" w:sz="0" w:space="0" w:color="auto" w:frame="1"/>
        </w:rPr>
        <w:t xml:space="preserve"> social (</w:t>
      </w:r>
      <w:r w:rsidR="00A44910" w:rsidRPr="003B57EA">
        <w:rPr>
          <w:spacing w:val="3"/>
          <w:bdr w:val="none" w:sz="0" w:space="0" w:color="auto" w:frame="1"/>
        </w:rPr>
        <w:t xml:space="preserve">four </w:t>
      </w:r>
      <w:r w:rsidR="0075480F" w:rsidRPr="003B57EA">
        <w:rPr>
          <w:spacing w:val="3"/>
          <w:bdr w:val="none" w:sz="0" w:space="0" w:color="auto" w:frame="1"/>
        </w:rPr>
        <w:t xml:space="preserve">items; e.g., “because gaming gives me company”; </w:t>
      </w:r>
      <w:r w:rsidR="00AE12BF" w:rsidRPr="003B57EA">
        <w:t>Cronbach’s alpha was</w:t>
      </w:r>
      <w:r w:rsidR="00AE12BF" w:rsidRPr="003B57EA">
        <w:rPr>
          <w:spacing w:val="3"/>
          <w:bdr w:val="none" w:sz="0" w:space="0" w:color="auto" w:frame="1"/>
        </w:rPr>
        <w:t xml:space="preserve"> </w:t>
      </w:r>
      <w:r w:rsidR="00A123B2" w:rsidRPr="003B57EA">
        <w:rPr>
          <w:spacing w:val="3"/>
          <w:bdr w:val="none" w:sz="0" w:space="0" w:color="auto" w:frame="1"/>
        </w:rPr>
        <w:t>0</w:t>
      </w:r>
      <w:r w:rsidR="0075480F" w:rsidRPr="003B57EA">
        <w:rPr>
          <w:spacing w:val="3"/>
          <w:bdr w:val="none" w:sz="0" w:space="0" w:color="auto" w:frame="1"/>
        </w:rPr>
        <w:t>.</w:t>
      </w:r>
      <w:r w:rsidR="00FC59F8" w:rsidRPr="003B57EA">
        <w:rPr>
          <w:spacing w:val="3"/>
          <w:bdr w:val="none" w:sz="0" w:space="0" w:color="auto" w:frame="1"/>
        </w:rPr>
        <w:t>82</w:t>
      </w:r>
      <w:r w:rsidR="00AE12BF" w:rsidRPr="003B57EA">
        <w:rPr>
          <w:spacing w:val="3"/>
          <w:bdr w:val="none" w:sz="0" w:space="0" w:color="auto" w:frame="1"/>
        </w:rPr>
        <w:t xml:space="preserve"> (T1) and </w:t>
      </w:r>
      <w:r w:rsidR="00A123B2" w:rsidRPr="003B57EA">
        <w:rPr>
          <w:spacing w:val="3"/>
          <w:bdr w:val="none" w:sz="0" w:space="0" w:color="auto" w:frame="1"/>
        </w:rPr>
        <w:t>0</w:t>
      </w:r>
      <w:r w:rsidR="00AE12BF" w:rsidRPr="003B57EA">
        <w:rPr>
          <w:spacing w:val="3"/>
          <w:bdr w:val="none" w:sz="0" w:space="0" w:color="auto" w:frame="1"/>
        </w:rPr>
        <w:t>.84 (T2</w:t>
      </w:r>
      <w:r w:rsidR="00A44910" w:rsidRPr="003B57EA">
        <w:rPr>
          <w:spacing w:val="3"/>
          <w:bdr w:val="none" w:sz="0" w:space="0" w:color="auto" w:frame="1"/>
        </w:rPr>
        <w:t>); 2)</w:t>
      </w:r>
      <w:r w:rsidR="0075480F" w:rsidRPr="003B57EA">
        <w:rPr>
          <w:spacing w:val="3"/>
          <w:bdr w:val="none" w:sz="0" w:space="0" w:color="auto" w:frame="1"/>
        </w:rPr>
        <w:t xml:space="preserve"> escape (</w:t>
      </w:r>
      <w:r w:rsidR="00A44910" w:rsidRPr="003B57EA">
        <w:rPr>
          <w:spacing w:val="3"/>
          <w:bdr w:val="none" w:sz="0" w:space="0" w:color="auto" w:frame="1"/>
        </w:rPr>
        <w:t xml:space="preserve">four </w:t>
      </w:r>
      <w:r w:rsidR="0075480F" w:rsidRPr="003B57EA">
        <w:rPr>
          <w:spacing w:val="3"/>
          <w:bdr w:val="none" w:sz="0" w:space="0" w:color="auto" w:frame="1"/>
        </w:rPr>
        <w:t xml:space="preserve">items; e.g., “because gaming helps me escape reality”; </w:t>
      </w:r>
      <w:r w:rsidR="00AE12BF" w:rsidRPr="003B57EA">
        <w:t xml:space="preserve">Cronbach’s alpha was </w:t>
      </w:r>
      <w:r w:rsidR="00A123B2" w:rsidRPr="003B57EA">
        <w:t>0</w:t>
      </w:r>
      <w:r w:rsidR="0075480F" w:rsidRPr="003B57EA">
        <w:rPr>
          <w:spacing w:val="3"/>
          <w:bdr w:val="none" w:sz="0" w:space="0" w:color="auto" w:frame="1"/>
        </w:rPr>
        <w:t>.8</w:t>
      </w:r>
      <w:r w:rsidR="00FC59F8" w:rsidRPr="003B57EA">
        <w:rPr>
          <w:spacing w:val="3"/>
          <w:bdr w:val="none" w:sz="0" w:space="0" w:color="auto" w:frame="1"/>
        </w:rPr>
        <w:t>8</w:t>
      </w:r>
      <w:r w:rsidR="00AE12BF" w:rsidRPr="003B57EA">
        <w:rPr>
          <w:spacing w:val="3"/>
          <w:bdr w:val="none" w:sz="0" w:space="0" w:color="auto" w:frame="1"/>
        </w:rPr>
        <w:t xml:space="preserve"> (T1) and </w:t>
      </w:r>
      <w:r w:rsidR="00A123B2" w:rsidRPr="003B57EA">
        <w:rPr>
          <w:spacing w:val="3"/>
          <w:bdr w:val="none" w:sz="0" w:space="0" w:color="auto" w:frame="1"/>
        </w:rPr>
        <w:t>0</w:t>
      </w:r>
      <w:r w:rsidR="00AE12BF" w:rsidRPr="003B57EA">
        <w:rPr>
          <w:spacing w:val="3"/>
          <w:bdr w:val="none" w:sz="0" w:space="0" w:color="auto" w:frame="1"/>
        </w:rPr>
        <w:t>.88 (T2</w:t>
      </w:r>
      <w:r w:rsidR="00A44910" w:rsidRPr="003B57EA">
        <w:rPr>
          <w:spacing w:val="3"/>
          <w:bdr w:val="none" w:sz="0" w:space="0" w:color="auto" w:frame="1"/>
        </w:rPr>
        <w:t>); 3)</w:t>
      </w:r>
      <w:r w:rsidR="0075480F" w:rsidRPr="003B57EA">
        <w:rPr>
          <w:spacing w:val="3"/>
          <w:bdr w:val="none" w:sz="0" w:space="0" w:color="auto" w:frame="1"/>
        </w:rPr>
        <w:t xml:space="preserve"> competition (4 items; e.g., “because it is good to feel that I am better than others”; </w:t>
      </w:r>
      <w:r w:rsidR="007D4BCF" w:rsidRPr="003B57EA">
        <w:t>Cronbach’s alpha was</w:t>
      </w:r>
      <w:r w:rsidR="007D4BCF" w:rsidRPr="003B57EA">
        <w:rPr>
          <w:spacing w:val="3"/>
          <w:bdr w:val="none" w:sz="0" w:space="0" w:color="auto" w:frame="1"/>
        </w:rPr>
        <w:t xml:space="preserve"> </w:t>
      </w:r>
      <w:r w:rsidR="00A123B2" w:rsidRPr="003B57EA">
        <w:rPr>
          <w:spacing w:val="3"/>
          <w:bdr w:val="none" w:sz="0" w:space="0" w:color="auto" w:frame="1"/>
        </w:rPr>
        <w:t>0</w:t>
      </w:r>
      <w:r w:rsidR="0075480F" w:rsidRPr="003B57EA">
        <w:rPr>
          <w:spacing w:val="3"/>
          <w:bdr w:val="none" w:sz="0" w:space="0" w:color="auto" w:frame="1"/>
        </w:rPr>
        <w:t>.8</w:t>
      </w:r>
      <w:r w:rsidR="00FC59F8" w:rsidRPr="003B57EA">
        <w:rPr>
          <w:spacing w:val="3"/>
          <w:bdr w:val="none" w:sz="0" w:space="0" w:color="auto" w:frame="1"/>
        </w:rPr>
        <w:t>2</w:t>
      </w:r>
      <w:r w:rsidR="007D4BCF" w:rsidRPr="003B57EA">
        <w:rPr>
          <w:spacing w:val="3"/>
          <w:bdr w:val="none" w:sz="0" w:space="0" w:color="auto" w:frame="1"/>
        </w:rPr>
        <w:t xml:space="preserve"> (T1) and </w:t>
      </w:r>
      <w:r w:rsidR="00A123B2" w:rsidRPr="003B57EA">
        <w:rPr>
          <w:spacing w:val="3"/>
          <w:bdr w:val="none" w:sz="0" w:space="0" w:color="auto" w:frame="1"/>
        </w:rPr>
        <w:t>0</w:t>
      </w:r>
      <w:r w:rsidR="007D4BCF" w:rsidRPr="003B57EA">
        <w:rPr>
          <w:spacing w:val="3"/>
          <w:bdr w:val="none" w:sz="0" w:space="0" w:color="auto" w:frame="1"/>
        </w:rPr>
        <w:t>.8</w:t>
      </w:r>
      <w:r w:rsidR="00DC0AB5" w:rsidRPr="003B57EA">
        <w:rPr>
          <w:spacing w:val="3"/>
          <w:bdr w:val="none" w:sz="0" w:space="0" w:color="auto" w:frame="1"/>
        </w:rPr>
        <w:t>2</w:t>
      </w:r>
      <w:r w:rsidR="007D4BCF" w:rsidRPr="003B57EA">
        <w:rPr>
          <w:spacing w:val="3"/>
          <w:bdr w:val="none" w:sz="0" w:space="0" w:color="auto" w:frame="1"/>
        </w:rPr>
        <w:t xml:space="preserve"> (T2</w:t>
      </w:r>
      <w:r w:rsidR="00A44910" w:rsidRPr="003B57EA">
        <w:rPr>
          <w:spacing w:val="3"/>
          <w:bdr w:val="none" w:sz="0" w:space="0" w:color="auto" w:frame="1"/>
        </w:rPr>
        <w:t>); 4</w:t>
      </w:r>
      <w:r w:rsidR="0075480F" w:rsidRPr="003B57EA">
        <w:rPr>
          <w:spacing w:val="3"/>
          <w:bdr w:val="none" w:sz="0" w:space="0" w:color="auto" w:frame="1"/>
        </w:rPr>
        <w:t xml:space="preserve">) skill development (4 items; e.g., “because it improves my coordination skills”; </w:t>
      </w:r>
      <w:r w:rsidR="00DC0AB5" w:rsidRPr="003B57EA">
        <w:t>Cronbach’s alpha was</w:t>
      </w:r>
      <w:r w:rsidR="00DC0AB5" w:rsidRPr="003B57EA">
        <w:rPr>
          <w:spacing w:val="3"/>
          <w:bdr w:val="none" w:sz="0" w:space="0" w:color="auto" w:frame="1"/>
        </w:rPr>
        <w:t xml:space="preserve"> </w:t>
      </w:r>
      <w:r w:rsidR="0075480F" w:rsidRPr="003B57EA">
        <w:rPr>
          <w:spacing w:val="3"/>
          <w:bdr w:val="none" w:sz="0" w:space="0" w:color="auto" w:frame="1"/>
        </w:rPr>
        <w:t>0.8</w:t>
      </w:r>
      <w:r w:rsidR="00FC59F8" w:rsidRPr="003B57EA">
        <w:rPr>
          <w:spacing w:val="3"/>
          <w:bdr w:val="none" w:sz="0" w:space="0" w:color="auto" w:frame="1"/>
        </w:rPr>
        <w:t>1</w:t>
      </w:r>
      <w:r w:rsidR="00DC0AB5" w:rsidRPr="003B57EA">
        <w:rPr>
          <w:spacing w:val="3"/>
          <w:bdr w:val="none" w:sz="0" w:space="0" w:color="auto" w:frame="1"/>
        </w:rPr>
        <w:t xml:space="preserve"> (T1) and </w:t>
      </w:r>
      <w:r w:rsidR="00A123B2" w:rsidRPr="003B57EA">
        <w:rPr>
          <w:spacing w:val="3"/>
          <w:bdr w:val="none" w:sz="0" w:space="0" w:color="auto" w:frame="1"/>
        </w:rPr>
        <w:t>0</w:t>
      </w:r>
      <w:r w:rsidR="00DC0AB5" w:rsidRPr="003B57EA">
        <w:rPr>
          <w:spacing w:val="3"/>
          <w:bdr w:val="none" w:sz="0" w:space="0" w:color="auto" w:frame="1"/>
        </w:rPr>
        <w:t>.83 (T2</w:t>
      </w:r>
      <w:r w:rsidR="00A44910" w:rsidRPr="003B57EA">
        <w:rPr>
          <w:spacing w:val="3"/>
          <w:bdr w:val="none" w:sz="0" w:space="0" w:color="auto" w:frame="1"/>
        </w:rPr>
        <w:t xml:space="preserve">); </w:t>
      </w:r>
      <w:r w:rsidR="007562B8" w:rsidRPr="003B57EA">
        <w:rPr>
          <w:spacing w:val="3"/>
          <w:bdr w:val="none" w:sz="0" w:space="0" w:color="auto" w:frame="1"/>
        </w:rPr>
        <w:t>5</w:t>
      </w:r>
      <w:r w:rsidR="0075480F" w:rsidRPr="003B57EA">
        <w:rPr>
          <w:spacing w:val="3"/>
          <w:bdr w:val="none" w:sz="0" w:space="0" w:color="auto" w:frame="1"/>
        </w:rPr>
        <w:t xml:space="preserve">) coping (4 items; e.g., “because gaming helps me get into a better mood”; </w:t>
      </w:r>
      <w:r w:rsidR="00DC0AB5" w:rsidRPr="003B57EA">
        <w:t>Cronbach’s alpha was</w:t>
      </w:r>
      <w:r w:rsidR="00DC0AB5" w:rsidRPr="003B57EA">
        <w:rPr>
          <w:spacing w:val="3"/>
          <w:bdr w:val="none" w:sz="0" w:space="0" w:color="auto" w:frame="1"/>
        </w:rPr>
        <w:t xml:space="preserve"> </w:t>
      </w:r>
      <w:r w:rsidR="0075480F" w:rsidRPr="003B57EA">
        <w:rPr>
          <w:spacing w:val="3"/>
          <w:bdr w:val="none" w:sz="0" w:space="0" w:color="auto" w:frame="1"/>
        </w:rPr>
        <w:t>0.</w:t>
      </w:r>
      <w:r w:rsidR="00FC59F8" w:rsidRPr="003B57EA">
        <w:rPr>
          <w:spacing w:val="3"/>
          <w:bdr w:val="none" w:sz="0" w:space="0" w:color="auto" w:frame="1"/>
        </w:rPr>
        <w:t>88</w:t>
      </w:r>
      <w:r w:rsidR="00DC0AB5" w:rsidRPr="003B57EA">
        <w:rPr>
          <w:spacing w:val="3"/>
          <w:bdr w:val="none" w:sz="0" w:space="0" w:color="auto" w:frame="1"/>
        </w:rPr>
        <w:t xml:space="preserve"> (T1) and .89 (T2</w:t>
      </w:r>
      <w:r w:rsidR="00A44910" w:rsidRPr="003B57EA">
        <w:rPr>
          <w:spacing w:val="3"/>
          <w:bdr w:val="none" w:sz="0" w:space="0" w:color="auto" w:frame="1"/>
        </w:rPr>
        <w:t>); 6</w:t>
      </w:r>
      <w:r w:rsidR="0075480F" w:rsidRPr="003B57EA">
        <w:rPr>
          <w:spacing w:val="3"/>
          <w:bdr w:val="none" w:sz="0" w:space="0" w:color="auto" w:frame="1"/>
        </w:rPr>
        <w:t xml:space="preserve">) fantasy (4 items; e.g., “because I can do things that I am unable to do or not allowed to do in real life”; </w:t>
      </w:r>
      <w:r w:rsidR="00DC0AB5" w:rsidRPr="003B57EA">
        <w:t>Cronbach’s alpha was</w:t>
      </w:r>
      <w:r w:rsidR="00DC0AB5" w:rsidRPr="003B57EA">
        <w:rPr>
          <w:spacing w:val="3"/>
          <w:bdr w:val="none" w:sz="0" w:space="0" w:color="auto" w:frame="1"/>
        </w:rPr>
        <w:t xml:space="preserve"> </w:t>
      </w:r>
      <w:r w:rsidR="0075480F" w:rsidRPr="003B57EA">
        <w:rPr>
          <w:spacing w:val="3"/>
          <w:bdr w:val="none" w:sz="0" w:space="0" w:color="auto" w:frame="1"/>
        </w:rPr>
        <w:t>0.8</w:t>
      </w:r>
      <w:r w:rsidR="00FC59F8" w:rsidRPr="003B57EA">
        <w:rPr>
          <w:spacing w:val="3"/>
          <w:bdr w:val="none" w:sz="0" w:space="0" w:color="auto" w:frame="1"/>
        </w:rPr>
        <w:t>4</w:t>
      </w:r>
      <w:r w:rsidR="00DC0AB5" w:rsidRPr="003B57EA">
        <w:rPr>
          <w:spacing w:val="3"/>
          <w:bdr w:val="none" w:sz="0" w:space="0" w:color="auto" w:frame="1"/>
        </w:rPr>
        <w:t xml:space="preserve"> (T1) and </w:t>
      </w:r>
      <w:r w:rsidR="00DC0AB5" w:rsidRPr="003B57EA">
        <w:rPr>
          <w:spacing w:val="3"/>
          <w:bdr w:val="none" w:sz="0" w:space="0" w:color="auto" w:frame="1"/>
        </w:rPr>
        <w:lastRenderedPageBreak/>
        <w:t>.86 (T2</w:t>
      </w:r>
      <w:r w:rsidR="00A44910" w:rsidRPr="003B57EA">
        <w:rPr>
          <w:spacing w:val="3"/>
          <w:bdr w:val="none" w:sz="0" w:space="0" w:color="auto" w:frame="1"/>
        </w:rPr>
        <w:t xml:space="preserve">); </w:t>
      </w:r>
      <w:r w:rsidR="0075480F" w:rsidRPr="003B57EA">
        <w:rPr>
          <w:spacing w:val="3"/>
          <w:bdr w:val="none" w:sz="0" w:space="0" w:color="auto" w:frame="1"/>
        </w:rPr>
        <w:t xml:space="preserve">and </w:t>
      </w:r>
      <w:r w:rsidR="00A44910" w:rsidRPr="003B57EA">
        <w:rPr>
          <w:spacing w:val="3"/>
          <w:bdr w:val="none" w:sz="0" w:space="0" w:color="auto" w:frame="1"/>
        </w:rPr>
        <w:t>7</w:t>
      </w:r>
      <w:r w:rsidR="0075480F" w:rsidRPr="003B57EA">
        <w:rPr>
          <w:spacing w:val="3"/>
          <w:bdr w:val="none" w:sz="0" w:space="0" w:color="auto" w:frame="1"/>
        </w:rPr>
        <w:t xml:space="preserve">) recreation (3 items; e.g., “because it is entertaining”; </w:t>
      </w:r>
      <w:r w:rsidR="00DC0AB5" w:rsidRPr="003B57EA">
        <w:t>Cronbach’s alpha was</w:t>
      </w:r>
      <w:r w:rsidR="0075480F" w:rsidRPr="003B57EA">
        <w:rPr>
          <w:spacing w:val="3"/>
          <w:bdr w:val="none" w:sz="0" w:space="0" w:color="auto" w:frame="1"/>
        </w:rPr>
        <w:t xml:space="preserve"> 0.</w:t>
      </w:r>
      <w:r w:rsidR="00AE12BF" w:rsidRPr="003B57EA">
        <w:rPr>
          <w:spacing w:val="3"/>
          <w:bdr w:val="none" w:sz="0" w:space="0" w:color="auto" w:frame="1"/>
        </w:rPr>
        <w:t>81</w:t>
      </w:r>
      <w:r w:rsidR="00DC0AB5" w:rsidRPr="003B57EA">
        <w:rPr>
          <w:spacing w:val="3"/>
          <w:bdr w:val="none" w:sz="0" w:space="0" w:color="auto" w:frame="1"/>
        </w:rPr>
        <w:t xml:space="preserve"> (T1) and </w:t>
      </w:r>
      <w:r w:rsidR="00A123B2" w:rsidRPr="003B57EA">
        <w:rPr>
          <w:spacing w:val="3"/>
          <w:bdr w:val="none" w:sz="0" w:space="0" w:color="auto" w:frame="1"/>
        </w:rPr>
        <w:t>0</w:t>
      </w:r>
      <w:r w:rsidR="00DC0AB5" w:rsidRPr="003B57EA">
        <w:rPr>
          <w:spacing w:val="3"/>
          <w:bdr w:val="none" w:sz="0" w:space="0" w:color="auto" w:frame="1"/>
        </w:rPr>
        <w:t>.80 (T2)</w:t>
      </w:r>
      <w:r w:rsidR="0075480F" w:rsidRPr="003B57EA">
        <w:rPr>
          <w:spacing w:val="3"/>
          <w:bdr w:val="none" w:sz="0" w:space="0" w:color="auto" w:frame="1"/>
        </w:rPr>
        <w:t>. Items were averaged to obtain seven scores for each motivational dimension</w:t>
      </w:r>
      <w:r w:rsidRPr="003B57EA">
        <w:rPr>
          <w:spacing w:val="3"/>
          <w:bdr w:val="none" w:sz="0" w:space="0" w:color="auto" w:frame="1"/>
        </w:rPr>
        <w:t>.</w:t>
      </w:r>
      <w:r w:rsidR="0075480F" w:rsidRPr="003B57EA">
        <w:rPr>
          <w:spacing w:val="3"/>
          <w:bdr w:val="none" w:sz="0" w:space="0" w:color="auto" w:frame="1"/>
        </w:rPr>
        <w:t xml:space="preserve"> </w:t>
      </w:r>
      <w:r w:rsidRPr="003B57EA">
        <w:rPr>
          <w:spacing w:val="3"/>
          <w:bdr w:val="none" w:sz="0" w:space="0" w:color="auto" w:frame="1"/>
        </w:rPr>
        <w:t>H</w:t>
      </w:r>
      <w:r w:rsidR="0075480F" w:rsidRPr="003B57EA">
        <w:rPr>
          <w:spacing w:val="3"/>
          <w:bdr w:val="none" w:sz="0" w:space="0" w:color="auto" w:frame="1"/>
        </w:rPr>
        <w:t xml:space="preserve">igher scores </w:t>
      </w:r>
      <w:r w:rsidR="00085207" w:rsidRPr="003B57EA">
        <w:rPr>
          <w:spacing w:val="3"/>
          <w:bdr w:val="none" w:sz="0" w:space="0" w:color="auto" w:frame="1"/>
        </w:rPr>
        <w:t>represent</w:t>
      </w:r>
      <w:r w:rsidRPr="003B57EA">
        <w:rPr>
          <w:spacing w:val="3"/>
          <w:bdr w:val="none" w:sz="0" w:space="0" w:color="auto" w:frame="1"/>
        </w:rPr>
        <w:t>ed</w:t>
      </w:r>
      <w:r w:rsidR="00085207" w:rsidRPr="003B57EA">
        <w:rPr>
          <w:spacing w:val="3"/>
          <w:bdr w:val="none" w:sz="0" w:space="0" w:color="auto" w:frame="1"/>
        </w:rPr>
        <w:t xml:space="preserve"> </w:t>
      </w:r>
      <w:r w:rsidR="0075480F" w:rsidRPr="003B57EA">
        <w:rPr>
          <w:spacing w:val="3"/>
          <w:bdr w:val="none" w:sz="0" w:space="0" w:color="auto" w:frame="1"/>
        </w:rPr>
        <w:t>higher levels of each motive.</w:t>
      </w:r>
    </w:p>
    <w:p w14:paraId="60609966" w14:textId="20CC6CC3" w:rsidR="007E1FA9" w:rsidRPr="003B57EA" w:rsidRDefault="006D6CB3" w:rsidP="00812833">
      <w:pPr>
        <w:autoSpaceDE w:val="0"/>
        <w:autoSpaceDN w:val="0"/>
        <w:adjustRightInd w:val="0"/>
        <w:spacing w:line="480" w:lineRule="auto"/>
        <w:jc w:val="both"/>
        <w:rPr>
          <w:b/>
          <w:bCs/>
        </w:rPr>
      </w:pPr>
      <w:r w:rsidRPr="003B57EA">
        <w:rPr>
          <w:b/>
          <w:bCs/>
        </w:rPr>
        <w:t xml:space="preserve">2.2.6 </w:t>
      </w:r>
      <w:r w:rsidR="007E1FA9" w:rsidRPr="003B57EA">
        <w:rPr>
          <w:b/>
          <w:bCs/>
        </w:rPr>
        <w:t>The Emotion Regulation Questionnaire for Children and Adolescents</w:t>
      </w:r>
      <w:r w:rsidR="007E1FA9" w:rsidRPr="003B57EA">
        <w:t xml:space="preserve"> </w:t>
      </w:r>
      <w:r w:rsidR="007562B8" w:rsidRPr="003B57EA">
        <w:t>D</w:t>
      </w:r>
      <w:r w:rsidR="007E1FA9" w:rsidRPr="003B57EA">
        <w:t xml:space="preserve">eveloped by </w:t>
      </w:r>
      <w:proofErr w:type="spellStart"/>
      <w:r w:rsidR="007E1FA9" w:rsidRPr="003B57EA">
        <w:t>Gullone</w:t>
      </w:r>
      <w:proofErr w:type="spellEnd"/>
      <w:r w:rsidR="007E1FA9" w:rsidRPr="003B57EA">
        <w:t xml:space="preserve"> and </w:t>
      </w:r>
      <w:proofErr w:type="spellStart"/>
      <w:r w:rsidR="007E1FA9" w:rsidRPr="003B57EA">
        <w:t>Taffe</w:t>
      </w:r>
      <w:proofErr w:type="spellEnd"/>
      <w:r w:rsidR="007E1FA9" w:rsidRPr="003B57EA">
        <w:t xml:space="preserve"> (2012), </w:t>
      </w:r>
      <w:r w:rsidR="007562B8" w:rsidRPr="003B57EA">
        <w:t xml:space="preserve">the Emotion Regulation Questionnaire for Children and Adolescents (ERQ–CA) </w:t>
      </w:r>
      <w:r w:rsidR="007E1FA9" w:rsidRPr="003B57EA">
        <w:t>was based on the ERQ</w:t>
      </w:r>
      <w:r w:rsidR="00085207" w:rsidRPr="003B57EA">
        <w:t xml:space="preserve"> </w:t>
      </w:r>
      <w:r w:rsidR="007E1FA9" w:rsidRPr="003B57EA">
        <w:t xml:space="preserve">(Gross &amp; John, 2003). The </w:t>
      </w:r>
      <w:r w:rsidR="007562B8" w:rsidRPr="003B57EA">
        <w:t xml:space="preserve">questionnaire </w:t>
      </w:r>
      <w:r w:rsidR="007E1FA9" w:rsidRPr="003B57EA">
        <w:t xml:space="preserve">contains 10-item scales for assessing the </w:t>
      </w:r>
      <w:r w:rsidR="007562B8" w:rsidRPr="003B57EA">
        <w:t xml:space="preserve">emotion regulation </w:t>
      </w:r>
      <w:r w:rsidR="007E1FA9" w:rsidRPr="003B57EA">
        <w:t>strategies of cognitive reappraisal (CR) and expressive suppression</w:t>
      </w:r>
      <w:r w:rsidR="00FD1FC1" w:rsidRPr="003B57EA">
        <w:t xml:space="preserve"> </w:t>
      </w:r>
      <w:r w:rsidR="007E1FA9" w:rsidRPr="003B57EA">
        <w:t>(ES)</w:t>
      </w:r>
      <w:r w:rsidR="00BA287B" w:rsidRPr="003B57EA">
        <w:t>; CR consists of six items</w:t>
      </w:r>
      <w:r w:rsidR="00CB2153" w:rsidRPr="003B57EA">
        <w:t>,</w:t>
      </w:r>
      <w:r w:rsidR="00BA287B" w:rsidRPr="003B57EA">
        <w:t xml:space="preserve"> and ES consists of</w:t>
      </w:r>
      <w:r w:rsidR="007E1FA9" w:rsidRPr="003B57EA">
        <w:t xml:space="preserve"> </w:t>
      </w:r>
      <w:r w:rsidR="00BA287B" w:rsidRPr="003B57EA">
        <w:t>four</w:t>
      </w:r>
      <w:r w:rsidR="007E1FA9" w:rsidRPr="003B57EA">
        <w:t xml:space="preserve">. </w:t>
      </w:r>
      <w:r w:rsidR="001D39FB" w:rsidRPr="003B57EA">
        <w:t>A</w:t>
      </w:r>
      <w:r w:rsidR="007E1FA9" w:rsidRPr="003B57EA">
        <w:t xml:space="preserve"> 5-point Likert response scale </w:t>
      </w:r>
      <w:r w:rsidR="001D39FB" w:rsidRPr="003B57EA">
        <w:t xml:space="preserve">was used to measure responses </w:t>
      </w:r>
      <w:r w:rsidR="007E1FA9" w:rsidRPr="003B57EA">
        <w:t xml:space="preserve">(1 </w:t>
      </w:r>
      <w:r w:rsidR="00BA287B" w:rsidRPr="003B57EA">
        <w:t xml:space="preserve">= </w:t>
      </w:r>
      <w:r w:rsidR="007E1FA9" w:rsidRPr="003B57EA">
        <w:t xml:space="preserve">strongly disagree, 5 </w:t>
      </w:r>
      <w:r w:rsidR="00BA287B" w:rsidRPr="003B57EA">
        <w:t xml:space="preserve">= </w:t>
      </w:r>
      <w:r w:rsidR="007E1FA9" w:rsidRPr="003B57EA">
        <w:t>strongly agree)</w:t>
      </w:r>
      <w:r w:rsidR="001D39FB" w:rsidRPr="003B57EA">
        <w:t>.</w:t>
      </w:r>
      <w:r w:rsidR="007E1FA9" w:rsidRPr="003B57EA">
        <w:t xml:space="preserve"> </w:t>
      </w:r>
      <w:r w:rsidR="001D39FB" w:rsidRPr="003B57EA">
        <w:t>H</w:t>
      </w:r>
      <w:r w:rsidR="007E1FA9" w:rsidRPr="003B57EA">
        <w:t>igher scores indicat</w:t>
      </w:r>
      <w:r w:rsidR="001D39FB" w:rsidRPr="003B57EA">
        <w:t>e</w:t>
      </w:r>
      <w:r w:rsidR="007E1FA9" w:rsidRPr="003B57EA">
        <w:t xml:space="preserve"> </w:t>
      </w:r>
      <w:r w:rsidR="001D39FB" w:rsidRPr="003B57EA">
        <w:t>more frequent use of each emotion re</w:t>
      </w:r>
      <w:r w:rsidR="00225EE1" w:rsidRPr="003B57EA">
        <w:t>gu</w:t>
      </w:r>
      <w:r w:rsidR="001D39FB" w:rsidRPr="003B57EA">
        <w:t>lation</w:t>
      </w:r>
      <w:r w:rsidR="007E1FA9" w:rsidRPr="003B57EA">
        <w:t xml:space="preserve"> strategy. Examples of such statements </w:t>
      </w:r>
      <w:r w:rsidR="00BA287B" w:rsidRPr="003B57EA">
        <w:t xml:space="preserve">include </w:t>
      </w:r>
      <w:r w:rsidR="007E1FA9" w:rsidRPr="003B57EA">
        <w:t>“When I want to feel happier, I think about something different” (Item 1</w:t>
      </w:r>
      <w:r w:rsidR="00BA287B" w:rsidRPr="003B57EA">
        <w:t xml:space="preserve">) </w:t>
      </w:r>
      <w:r w:rsidR="007E1FA9" w:rsidRPr="003B57EA">
        <w:t xml:space="preserve">and “I control my feelings by not showing them” (Item 6). We used the Hebrew version (Efrati &amp; </w:t>
      </w:r>
      <w:proofErr w:type="spellStart"/>
      <w:r w:rsidR="007E1FA9" w:rsidRPr="003B57EA">
        <w:t>Amichai</w:t>
      </w:r>
      <w:proofErr w:type="spellEnd"/>
      <w:r w:rsidR="007E1FA9" w:rsidRPr="003B57EA">
        <w:t>-Hamburger, 2020). Cronbach’s alpha was</w:t>
      </w:r>
      <w:r w:rsidR="00DD72FD" w:rsidRPr="003B57EA">
        <w:t xml:space="preserve"> </w:t>
      </w:r>
      <w:r w:rsidR="00A123B2" w:rsidRPr="003B57EA">
        <w:t>0</w:t>
      </w:r>
      <w:r w:rsidR="007E1FA9" w:rsidRPr="003B57EA">
        <w:t>.79</w:t>
      </w:r>
      <w:r w:rsidR="00422B7A" w:rsidRPr="003B57EA">
        <w:t xml:space="preserve"> (T1)</w:t>
      </w:r>
      <w:r w:rsidR="007E1FA9" w:rsidRPr="003B57EA">
        <w:t xml:space="preserve"> </w:t>
      </w:r>
      <w:r w:rsidR="00422B7A" w:rsidRPr="003B57EA">
        <w:t xml:space="preserve">and </w:t>
      </w:r>
      <w:r w:rsidR="00A123B2" w:rsidRPr="003B57EA">
        <w:t>0</w:t>
      </w:r>
      <w:r w:rsidR="00422B7A" w:rsidRPr="003B57EA">
        <w:t xml:space="preserve">.81 (T2) </w:t>
      </w:r>
      <w:r w:rsidR="007E1FA9" w:rsidRPr="003B57EA">
        <w:t>for reappraisal and</w:t>
      </w:r>
      <w:r w:rsidR="00422B7A" w:rsidRPr="003B57EA">
        <w:t xml:space="preserve"> </w:t>
      </w:r>
      <w:r w:rsidR="00A123B2" w:rsidRPr="003B57EA">
        <w:t>0</w:t>
      </w:r>
      <w:r w:rsidR="007E1FA9" w:rsidRPr="003B57EA">
        <w:t>.7</w:t>
      </w:r>
      <w:r w:rsidR="00422B7A" w:rsidRPr="003B57EA">
        <w:t xml:space="preserve">4 (T1) and </w:t>
      </w:r>
      <w:r w:rsidR="00A123B2" w:rsidRPr="003B57EA">
        <w:t>0</w:t>
      </w:r>
      <w:r w:rsidR="00422B7A" w:rsidRPr="003B57EA">
        <w:t xml:space="preserve">.75 (T2) </w:t>
      </w:r>
      <w:r w:rsidR="007E1FA9" w:rsidRPr="003B57EA">
        <w:t>for suppression.</w:t>
      </w:r>
      <w:r w:rsidR="00085207" w:rsidRPr="003B57EA">
        <w:t xml:space="preserve"> </w:t>
      </w:r>
    </w:p>
    <w:p w14:paraId="3ECDA152" w14:textId="77777777" w:rsidR="009123C7" w:rsidRPr="003B57EA" w:rsidRDefault="006D6CB3">
      <w:pPr>
        <w:autoSpaceDE w:val="0"/>
        <w:autoSpaceDN w:val="0"/>
        <w:adjustRightInd w:val="0"/>
        <w:spacing w:line="480" w:lineRule="auto"/>
        <w:jc w:val="both"/>
        <w:rPr>
          <w:b/>
          <w:lang w:val="en-GB"/>
        </w:rPr>
      </w:pPr>
      <w:r w:rsidRPr="003B57EA">
        <w:rPr>
          <w:b/>
          <w:lang w:val="en-GB"/>
        </w:rPr>
        <w:t xml:space="preserve">2.2.7 </w:t>
      </w:r>
      <w:r w:rsidR="00E7018E" w:rsidRPr="003B57EA">
        <w:rPr>
          <w:b/>
          <w:lang w:val="en-GB"/>
        </w:rPr>
        <w:t>Attachment Style Classification Questionnaire</w:t>
      </w:r>
    </w:p>
    <w:p w14:paraId="0258C017" w14:textId="2882E28B" w:rsidR="00D469A4" w:rsidRPr="003B57EA" w:rsidRDefault="00E7018E">
      <w:pPr>
        <w:autoSpaceDE w:val="0"/>
        <w:autoSpaceDN w:val="0"/>
        <w:adjustRightInd w:val="0"/>
        <w:spacing w:line="480" w:lineRule="auto"/>
        <w:jc w:val="both"/>
        <w:rPr>
          <w:b/>
          <w:bCs/>
        </w:rPr>
      </w:pPr>
      <w:r w:rsidRPr="003B57EA">
        <w:t xml:space="preserve">This questionnaire </w:t>
      </w:r>
      <w:r w:rsidR="009123C7" w:rsidRPr="003B57EA">
        <w:rPr>
          <w:lang w:val="en-GB"/>
        </w:rPr>
        <w:t>(</w:t>
      </w:r>
      <w:proofErr w:type="spellStart"/>
      <w:r w:rsidR="009123C7" w:rsidRPr="003B57EA">
        <w:rPr>
          <w:lang w:val="en-GB"/>
        </w:rPr>
        <w:t>Finzi</w:t>
      </w:r>
      <w:proofErr w:type="spellEnd"/>
      <w:r w:rsidR="009123C7" w:rsidRPr="003B57EA">
        <w:rPr>
          <w:lang w:val="en-GB"/>
        </w:rPr>
        <w:t xml:space="preserve"> et al., 1996; </w:t>
      </w:r>
      <w:proofErr w:type="spellStart"/>
      <w:r w:rsidR="009123C7" w:rsidRPr="003B57EA">
        <w:rPr>
          <w:lang w:val="en-GB"/>
        </w:rPr>
        <w:t>Finzi</w:t>
      </w:r>
      <w:proofErr w:type="spellEnd"/>
      <w:r w:rsidR="009123C7" w:rsidRPr="003B57EA">
        <w:rPr>
          <w:lang w:val="en-GB"/>
        </w:rPr>
        <w:t xml:space="preserve"> et al., 2000) </w:t>
      </w:r>
      <w:r w:rsidRPr="003B57EA">
        <w:t>is an adaptation for children of the Hebrew version (</w:t>
      </w:r>
      <w:proofErr w:type="spellStart"/>
      <w:r w:rsidRPr="003B57EA">
        <w:t>Mikulincer</w:t>
      </w:r>
      <w:proofErr w:type="spellEnd"/>
      <w:r w:rsidRPr="003B57EA">
        <w:t xml:space="preserve"> et al., 1990) of Hazan and Shaver</w:t>
      </w:r>
      <w:r w:rsidR="00C63785" w:rsidRPr="003B57EA">
        <w:t>’</w:t>
      </w:r>
      <w:r w:rsidRPr="003B57EA">
        <w:t xml:space="preserve">s (1987) questionnaire for the classification of attachment styles in adults. The questionnaire contains 15 items divided into three factors, which </w:t>
      </w:r>
      <w:r w:rsidR="00C63785" w:rsidRPr="003B57EA">
        <w:t>were based on</w:t>
      </w:r>
      <w:r w:rsidR="00CB2153" w:rsidRPr="003B57EA">
        <w:t xml:space="preserve"> Ainsworth’</w:t>
      </w:r>
      <w:r w:rsidRPr="003B57EA">
        <w:t xml:space="preserve">s </w:t>
      </w:r>
      <w:r w:rsidR="00D22109" w:rsidRPr="003B57EA">
        <w:t xml:space="preserve">(1970) </w:t>
      </w:r>
      <w:r w:rsidRPr="003B57EA">
        <w:t>three attachment patterns: secure (e.g.</w:t>
      </w:r>
      <w:r w:rsidR="00BA287B" w:rsidRPr="003B57EA">
        <w:t>,</w:t>
      </w:r>
      <w:r w:rsidRPr="003B57EA">
        <w:t xml:space="preserve"> “I usually believe that others who are close to me will not leave me”), anxious/ambivalent (e.g.</w:t>
      </w:r>
      <w:r w:rsidR="00BA287B" w:rsidRPr="003B57EA">
        <w:t>,</w:t>
      </w:r>
      <w:r w:rsidRPr="003B57EA">
        <w:t xml:space="preserve"> “I’m sometimes afraid that no one really loves me”), and avoidant (e.g.</w:t>
      </w:r>
      <w:r w:rsidR="00BA287B" w:rsidRPr="003B57EA">
        <w:t>,</w:t>
      </w:r>
      <w:r w:rsidRPr="003B57EA">
        <w:t xml:space="preserve"> “I find it uncomfortable and get annoyed when someone tries to get too close to me”). The </w:t>
      </w:r>
      <w:r w:rsidR="00D22109" w:rsidRPr="003B57EA">
        <w:t xml:space="preserve">participants </w:t>
      </w:r>
      <w:r w:rsidRPr="003B57EA">
        <w:t xml:space="preserve">were asked to read each item </w:t>
      </w:r>
      <w:r w:rsidRPr="003B57EA">
        <w:lastRenderedPageBreak/>
        <w:t xml:space="preserve">and to rate the extent to which the item described themselves on a 5-point scale, with scores ranging from 1 (not at all) to 5 (very much). </w:t>
      </w:r>
      <w:r w:rsidR="002F2821" w:rsidRPr="003B57EA">
        <w:t>Cronbach’s alpha was .82 (T1) and .82 (T2) for attachment anxiety and</w:t>
      </w:r>
      <w:r w:rsidR="00422B7A" w:rsidRPr="003B57EA">
        <w:t xml:space="preserve"> </w:t>
      </w:r>
      <w:r w:rsidR="00A123B2" w:rsidRPr="003B57EA">
        <w:t>0</w:t>
      </w:r>
      <w:r w:rsidR="002F2821" w:rsidRPr="003B57EA">
        <w:t xml:space="preserve">.72 </w:t>
      </w:r>
      <w:r w:rsidR="00422B7A" w:rsidRPr="003B57EA">
        <w:t xml:space="preserve">(T1) and </w:t>
      </w:r>
      <w:r w:rsidR="00A123B2" w:rsidRPr="003B57EA">
        <w:t>0</w:t>
      </w:r>
      <w:r w:rsidR="00422B7A" w:rsidRPr="003B57EA">
        <w:t xml:space="preserve">.74 (T2) </w:t>
      </w:r>
      <w:r w:rsidR="002F2821" w:rsidRPr="003B57EA">
        <w:t xml:space="preserve">for </w:t>
      </w:r>
      <w:r w:rsidR="00422B7A" w:rsidRPr="003B57EA">
        <w:t>attachment avoidance</w:t>
      </w:r>
      <w:r w:rsidR="002F2821" w:rsidRPr="003B57EA">
        <w:t>.</w:t>
      </w:r>
      <w:r w:rsidR="00085207" w:rsidRPr="003B57EA">
        <w:t xml:space="preserve"> </w:t>
      </w:r>
    </w:p>
    <w:p w14:paraId="17578740" w14:textId="17B0BA27" w:rsidR="007019AF" w:rsidRPr="003B57EA" w:rsidRDefault="006D6CB3">
      <w:pPr>
        <w:autoSpaceDE w:val="0"/>
        <w:autoSpaceDN w:val="0"/>
        <w:adjustRightInd w:val="0"/>
        <w:spacing w:line="480" w:lineRule="auto"/>
        <w:jc w:val="both"/>
        <w:rPr>
          <w:b/>
          <w:bCs/>
          <w:i/>
          <w:iCs/>
        </w:rPr>
      </w:pPr>
      <w:r w:rsidRPr="003B57EA">
        <w:rPr>
          <w:b/>
          <w:bCs/>
        </w:rPr>
        <w:t xml:space="preserve">2.3 </w:t>
      </w:r>
      <w:r w:rsidR="007019AF" w:rsidRPr="003B57EA">
        <w:rPr>
          <w:b/>
          <w:bCs/>
        </w:rPr>
        <w:t>Procedure</w:t>
      </w:r>
    </w:p>
    <w:p w14:paraId="13EC55BB" w14:textId="4039A6FE" w:rsidR="007019AF" w:rsidRPr="003B57EA" w:rsidRDefault="007019AF" w:rsidP="00812833">
      <w:pPr>
        <w:spacing w:line="480" w:lineRule="auto"/>
        <w:jc w:val="both"/>
      </w:pPr>
      <w:r w:rsidRPr="003B57EA">
        <w:t xml:space="preserve">The study was presented to participants as a research project on </w:t>
      </w:r>
      <w:r w:rsidR="000D6F27" w:rsidRPr="003B57EA">
        <w:t xml:space="preserve">metacognitions </w:t>
      </w:r>
      <w:r w:rsidR="004973EF" w:rsidRPr="003B57EA">
        <w:t xml:space="preserve">about </w:t>
      </w:r>
      <w:r w:rsidR="000D6F27" w:rsidRPr="003B57EA">
        <w:t xml:space="preserve">online gaming </w:t>
      </w:r>
      <w:r w:rsidRPr="003B57EA">
        <w:t xml:space="preserve">in Jewish adolescents from various regions of Israel (eastern, central, southern, or northern parts of Israel). </w:t>
      </w:r>
      <w:r w:rsidR="00127465" w:rsidRPr="003B57EA">
        <w:t xml:space="preserve">Recruiting was done through </w:t>
      </w:r>
      <w:r w:rsidR="00CB2153" w:rsidRPr="003B57EA">
        <w:t>bulletin boards and</w:t>
      </w:r>
      <w:r w:rsidRPr="003B57EA">
        <w:t xml:space="preserve"> online forums. </w:t>
      </w:r>
      <w:r w:rsidR="00127465" w:rsidRPr="003B57EA">
        <w:t>Research assistants used the online questionnaire platform Q</w:t>
      </w:r>
      <w:r w:rsidRPr="003B57EA">
        <w:t>ualtrics</w:t>
      </w:r>
      <w:r w:rsidR="00127465" w:rsidRPr="003B57EA">
        <w:t xml:space="preserve"> to </w:t>
      </w:r>
      <w:r w:rsidRPr="003B57EA">
        <w:t>distribute</w:t>
      </w:r>
      <w:r w:rsidR="00127465" w:rsidRPr="003B57EA">
        <w:t xml:space="preserve"> the questionnaires</w:t>
      </w:r>
      <w:r w:rsidRPr="003B57EA">
        <w:t xml:space="preserve">. </w:t>
      </w:r>
      <w:r w:rsidR="00127465" w:rsidRPr="003B57EA">
        <w:t>The research assistants contacted p</w:t>
      </w:r>
      <w:r w:rsidRPr="003B57EA">
        <w:t>arents</w:t>
      </w:r>
      <w:r w:rsidR="00127465" w:rsidRPr="003B57EA">
        <w:t xml:space="preserve"> of adolescents who expressed interest</w:t>
      </w:r>
      <w:r w:rsidRPr="003B57EA">
        <w:t xml:space="preserve"> </w:t>
      </w:r>
      <w:r w:rsidR="00127465" w:rsidRPr="003B57EA">
        <w:t>and</w:t>
      </w:r>
      <w:r w:rsidRPr="003B57EA">
        <w:t xml:space="preserve"> asked </w:t>
      </w:r>
      <w:r w:rsidR="00127465" w:rsidRPr="003B57EA">
        <w:t>them to review the</w:t>
      </w:r>
      <w:r w:rsidRPr="003B57EA">
        <w:t xml:space="preserve"> questionnaires and </w:t>
      </w:r>
      <w:r w:rsidR="00127465" w:rsidRPr="003B57EA">
        <w:t>provide informed parental consent if they agreed.</w:t>
      </w:r>
      <w:r w:rsidRPr="003B57EA">
        <w:t xml:space="preserve"> </w:t>
      </w:r>
      <w:r w:rsidR="00127465" w:rsidRPr="003B57EA">
        <w:t>A</w:t>
      </w:r>
      <w:r w:rsidRPr="003B57EA">
        <w:t xml:space="preserve"> link</w:t>
      </w:r>
      <w:r w:rsidR="00127465" w:rsidRPr="003B57EA">
        <w:t xml:space="preserve"> </w:t>
      </w:r>
      <w:r w:rsidRPr="003B57EA">
        <w:t xml:space="preserve">to the online survey was </w:t>
      </w:r>
      <w:r w:rsidR="00127465" w:rsidRPr="003B57EA">
        <w:t xml:space="preserve">then </w:t>
      </w:r>
      <w:r w:rsidRPr="003B57EA">
        <w:t>sent to participant</w:t>
      </w:r>
      <w:r w:rsidR="008C5676" w:rsidRPr="003B57EA">
        <w:t>s</w:t>
      </w:r>
      <w:r w:rsidRPr="003B57EA">
        <w:t>.</w:t>
      </w:r>
      <w:r w:rsidR="00127465" w:rsidRPr="003B57EA">
        <w:t xml:space="preserve"> Anonymity was guaranteed and participants were reassured of such.</w:t>
      </w:r>
      <w:r w:rsidRPr="003B57EA">
        <w:t xml:space="preserve"> Participants </w:t>
      </w:r>
      <w:r w:rsidR="00127465" w:rsidRPr="003B57EA">
        <w:t>were required to</w:t>
      </w:r>
      <w:r w:rsidRPr="003B57EA">
        <w:t xml:space="preserve"> </w:t>
      </w:r>
      <w:r w:rsidR="00127465" w:rsidRPr="003B57EA">
        <w:t>perform</w:t>
      </w:r>
      <w:r w:rsidRPr="003B57EA">
        <w:t xml:space="preserve"> the survey </w:t>
      </w:r>
      <w:r w:rsidR="00127465" w:rsidRPr="003B57EA">
        <w:t>at home and in private</w:t>
      </w:r>
      <w:r w:rsidRPr="003B57EA">
        <w:t xml:space="preserve">. </w:t>
      </w:r>
      <w:r w:rsidR="00127465" w:rsidRPr="003B57EA">
        <w:t>Upon receipt of a signed informed consent form, questionnaires were presented randomly</w:t>
      </w:r>
      <w:r w:rsidRPr="003B57EA">
        <w:t xml:space="preserve">. All questionnaires were in Hebrew. </w:t>
      </w:r>
      <w:r w:rsidR="008C5676" w:rsidRPr="003B57EA">
        <w:t>Finally</w:t>
      </w:r>
      <w:r w:rsidRPr="003B57EA">
        <w:t xml:space="preserve">, an online debriefing </w:t>
      </w:r>
      <w:r w:rsidR="008C5676" w:rsidRPr="003B57EA">
        <w:t>took place</w:t>
      </w:r>
      <w:r w:rsidR="00CB2153" w:rsidRPr="003B57EA">
        <w:t>,</w:t>
      </w:r>
      <w:r w:rsidR="008C5676" w:rsidRPr="003B57EA">
        <w:t xml:space="preserve"> </w:t>
      </w:r>
      <w:r w:rsidRPr="003B57EA">
        <w:t xml:space="preserve">and participants were thanked for their participation. </w:t>
      </w:r>
      <w:r w:rsidR="00FF652C" w:rsidRPr="003B57EA">
        <w:t>Participants</w:t>
      </w:r>
      <w:r w:rsidR="004973EF" w:rsidRPr="003B57EA">
        <w:t xml:space="preserve"> were sampled twice in a baseline assessment and at </w:t>
      </w:r>
      <w:r w:rsidR="008C5676" w:rsidRPr="003B57EA">
        <w:t xml:space="preserve">a </w:t>
      </w:r>
      <w:r w:rsidR="007D2975" w:rsidRPr="003B57EA">
        <w:t>6</w:t>
      </w:r>
      <w:r w:rsidR="004973EF" w:rsidRPr="003B57EA">
        <w:t>-month follow-up measurement.</w:t>
      </w:r>
      <w:r w:rsidR="00FF652C" w:rsidRPr="003B57EA">
        <w:t xml:space="preserve"> </w:t>
      </w:r>
      <w:r w:rsidRPr="003B57EA">
        <w:t xml:space="preserve">The </w:t>
      </w:r>
      <w:r w:rsidR="00CB2153" w:rsidRPr="003B57EA">
        <w:t>Institutional Review Board approved the procedure</w:t>
      </w:r>
      <w:r w:rsidRPr="003B57EA">
        <w:t>.</w:t>
      </w:r>
    </w:p>
    <w:p w14:paraId="2D97A0F0" w14:textId="77777777" w:rsidR="009A46BE" w:rsidRPr="003B57EA" w:rsidRDefault="009A46BE" w:rsidP="009A46BE">
      <w:pPr>
        <w:spacing w:line="480" w:lineRule="auto"/>
        <w:jc w:val="both"/>
        <w:rPr>
          <w:b/>
          <w:bCs/>
        </w:rPr>
      </w:pPr>
      <w:r w:rsidRPr="003B57EA">
        <w:rPr>
          <w:b/>
          <w:bCs/>
        </w:rPr>
        <w:t>3. Data analysis</w:t>
      </w:r>
    </w:p>
    <w:p w14:paraId="2D05D0A9" w14:textId="77777777" w:rsidR="009A46BE" w:rsidRPr="003B57EA" w:rsidRDefault="009A46BE" w:rsidP="009A46BE">
      <w:pPr>
        <w:spacing w:line="480" w:lineRule="auto"/>
        <w:jc w:val="both"/>
      </w:pPr>
      <w:r w:rsidRPr="003B57EA">
        <w:t xml:space="preserve">In the first section of the results, we set out to validate the Hebrew version of the </w:t>
      </w:r>
      <w:r w:rsidRPr="003B57EA">
        <w:rPr>
          <w:rFonts w:asciiTheme="majorBidi" w:hAnsiTheme="majorBidi" w:cstheme="majorBidi"/>
          <w:color w:val="222222"/>
          <w:shd w:val="clear" w:color="auto" w:fill="FFFFFF"/>
        </w:rPr>
        <w:t>MOGS</w:t>
      </w:r>
      <w:r w:rsidRPr="003B57EA">
        <w:t xml:space="preserve"> (Spada &amp; Caselli, 2017). To do so, we employed Exploratory Graph Analysis </w:t>
      </w:r>
      <w:r w:rsidRPr="003B57EA">
        <w:fldChar w:fldCharType="begin"/>
      </w:r>
      <w:r w:rsidRPr="003B57EA">
        <w:instrText xml:space="preserve"> ADDIN EN.CITE &lt;EndNote&gt;&lt;Cite&gt;&lt;Author&gt;Golino&lt;/Author&gt;&lt;Year&gt;2020&lt;/Year&gt;&lt;RecNum&gt;1529&lt;/RecNum&gt;&lt;Prefix&gt;EGA`; &lt;/Prefix&gt;&lt;DisplayText&gt;(EGA; Golino et al., 2020)&lt;/DisplayText&gt;&lt;record&gt;&lt;rec-number&gt;1529&lt;/rec-number&gt;&lt;foreign-keys&gt;&lt;key app="EN" db-id="ztsaedd5vzta9oedvf1vxfxuv5etrz2exf9w" timestamp="1647286073" guid="d797835c-d325-41dc-9a85-e3cbb58a134d"&gt;1529&lt;/key&gt;&lt;/foreign-keys&gt;&lt;ref-type name="Journal Article"&gt;17&lt;/ref-type&gt;&lt;contributors&gt;&lt;authors&gt;&lt;author&gt;Golino, Hudson&lt;/author&gt;&lt;author&gt;Shi, Dingjing&lt;/author&gt;&lt;author&gt;Christensen, Alexander P&lt;/author&gt;&lt;author&gt;Garrido, Luis Eduardo&lt;/author&gt;&lt;author&gt;Nieto, Maria Dolores&lt;/author&gt;&lt;author&gt;Sadana, Ritu&lt;/author&gt;&lt;author&gt;Thiyagarajan, Jotheeswaran Amuthavalli&lt;/author&gt;&lt;author&gt;Martinez-Molina, Agustin&lt;/author&gt;&lt;/authors&gt;&lt;/contributors&gt;&lt;titles&gt;&lt;title&gt;Investigating the performance of exploratory graph analysis and traditional techniques to identify the number of latent factors: A simulation and tutorial&lt;/title&gt;&lt;secondary-title&gt;Psychological Methods&lt;/secondary-title&gt;&lt;/titles&gt;&lt;periodical&gt;&lt;full-title&gt;Psychological Methods&lt;/full-title&gt;&lt;/periodical&gt;&lt;pages&gt;292&lt;/pages&gt;&lt;volume&gt;25&lt;/volume&gt;&lt;number&gt;3&lt;/number&gt;&lt;dates&gt;&lt;year&gt;2020&lt;/year&gt;&lt;/dates&gt;&lt;isbn&gt;1939-1463&lt;/isbn&gt;&lt;urls&gt;&lt;/urls&gt;&lt;/record&gt;&lt;/Cite&gt;&lt;/EndNote&gt;</w:instrText>
      </w:r>
      <w:r w:rsidRPr="003B57EA">
        <w:fldChar w:fldCharType="separate"/>
      </w:r>
      <w:r w:rsidRPr="003B57EA">
        <w:rPr>
          <w:noProof/>
        </w:rPr>
        <w:t>(EGA; Golino et al., 2020)</w:t>
      </w:r>
      <w:r w:rsidRPr="003B57EA">
        <w:fldChar w:fldCharType="end"/>
      </w:r>
      <w:r w:rsidRPr="003B57EA">
        <w:t xml:space="preserve"> using </w:t>
      </w:r>
      <w:proofErr w:type="spellStart"/>
      <w:r w:rsidRPr="003B57EA">
        <w:rPr>
          <w:i/>
          <w:iCs/>
        </w:rPr>
        <w:t>EGAnet</w:t>
      </w:r>
      <w:proofErr w:type="spellEnd"/>
      <w:r w:rsidRPr="003B57EA">
        <w:t xml:space="preserve"> R package – a network psychometrics method that uses undirected network models for the assessment of psychometric properties of questionnaires. EGA was used to verify the number of factors using graphical lasso </w:t>
      </w:r>
      <w:r w:rsidRPr="003B57EA">
        <w:fldChar w:fldCharType="begin"/>
      </w:r>
      <w:r w:rsidRPr="003B57EA">
        <w:instrText xml:space="preserve"> ADDIN EN.CITE &lt;EndNote&gt;&lt;Cite&gt;&lt;Author&gt;Friedman&lt;/Author&gt;&lt;Year&gt;2008&lt;/Year&gt;&lt;RecNum&gt;1528&lt;/RecNum&gt;&lt;DisplayText&gt;(Friedman et al., 2008)&lt;/DisplayText&gt;&lt;record&gt;&lt;rec-number&gt;1528&lt;/rec-number&gt;&lt;foreign-keys&gt;&lt;key app="EN" db-id="ztsaedd5vzta9oedvf1vxfxuv5etrz2exf9w" timestamp="1647285998" guid="51b498da-88e1-4b23-afd0-373bcacef24b"&gt;1528&lt;/key&gt;&lt;/foreign-keys&gt;&lt;ref-type name="Journal Article"&gt;17&lt;/ref-type&gt;&lt;contributors&gt;&lt;authors&gt;&lt;author&gt;Friedman, Jerome&lt;/author&gt;&lt;author&gt;Hastie, Trevor&lt;/author&gt;&lt;author&gt;Tibshirani, Robert&lt;/author&gt;&lt;/authors&gt;&lt;/contributors&gt;&lt;titles&gt;&lt;title&gt;Sparse inverse covariance estimation with the graphical lasso&lt;/title&gt;&lt;secondary-title&gt;Biostatistics&lt;/secondary-title&gt;&lt;/titles&gt;&lt;periodical&gt;&lt;full-title&gt;Biostatistics&lt;/full-title&gt;&lt;/periodical&gt;&lt;pages&gt;432-441&lt;/pages&gt;&lt;volume&gt;9&lt;/volume&gt;&lt;number&gt;3&lt;/number&gt;&lt;dates&gt;&lt;year&gt;2008&lt;/year&gt;&lt;/dates&gt;&lt;isbn&gt;1465-4644&lt;/isbn&gt;&lt;urls&gt;&lt;/urls&gt;&lt;/record&gt;&lt;/Cite&gt;&lt;/EndNote&gt;</w:instrText>
      </w:r>
      <w:r w:rsidRPr="003B57EA">
        <w:fldChar w:fldCharType="separate"/>
      </w:r>
      <w:r w:rsidRPr="003B57EA">
        <w:rPr>
          <w:noProof/>
        </w:rPr>
        <w:t>(Friedman et al., 2008)</w:t>
      </w:r>
      <w:r w:rsidRPr="003B57EA">
        <w:fldChar w:fldCharType="end"/>
      </w:r>
      <w:r w:rsidRPr="003B57EA">
        <w:t xml:space="preserve"> and the items that are associated with each factor. Network </w:t>
      </w:r>
      <w:r w:rsidRPr="003B57EA">
        <w:lastRenderedPageBreak/>
        <w:t xml:space="preserve">loadings, which are roughly equivalent to factor loadings, are reported using </w:t>
      </w:r>
      <w:proofErr w:type="spellStart"/>
      <w:r w:rsidRPr="003B57EA">
        <w:rPr>
          <w:i/>
          <w:iCs/>
        </w:rPr>
        <w:t>net.loads</w:t>
      </w:r>
      <w:proofErr w:type="spellEnd"/>
      <w:r w:rsidRPr="003B57EA">
        <w:rPr>
          <w:i/>
          <w:iCs/>
        </w:rPr>
        <w:t>()</w:t>
      </w:r>
      <w:r w:rsidRPr="003B57EA">
        <w:t xml:space="preserve">, with suggested general effect size guidelines for network loadings of 0.15 for small, 0.25 for moderate, and 0.35 for large </w:t>
      </w:r>
      <w:r w:rsidRPr="003B57EA">
        <w:fldChar w:fldCharType="begin"/>
      </w:r>
      <w:r w:rsidRPr="003B57EA">
        <w:instrText xml:space="preserve"> ADDIN EN.CITE &lt;EndNote&gt;&lt;Cite&gt;&lt;Author&gt;Christensen&lt;/Author&gt;&lt;Year&gt;2021&lt;/Year&gt;&lt;RecNum&gt;1530&lt;/RecNum&gt;&lt;DisplayText&gt;(Christensen &amp;amp; Golino, 2021)&lt;/DisplayText&gt;&lt;record&gt;&lt;rec-number&gt;1530&lt;/rec-number&gt;&lt;foreign-keys&gt;&lt;key app="EN" db-id="ztsaedd5vzta9oedvf1vxfxuv5etrz2exf9w" timestamp="1647287807" guid="8702d84c-be5c-4440-b2d6-a1abce1186be"&gt;1530&lt;/key&gt;&lt;/foreign-keys&gt;&lt;ref-type name="Journal Article"&gt;17&lt;/ref-type&gt;&lt;contributors&gt;&lt;authors&gt;&lt;author&gt;Christensen, Alexander P&lt;/author&gt;&lt;author&gt;Golino, Hudson&lt;/author&gt;&lt;/authors&gt;&lt;/contributors&gt;&lt;titles&gt;&lt;title&gt;On the equivalency of factor and network loadings&lt;/title&gt;&lt;secondary-title&gt;Behavior research methods&lt;/secondary-title&gt;&lt;/titles&gt;&lt;periodical&gt;&lt;full-title&gt;Behavior Research Methods&lt;/full-title&gt;&lt;/periodical&gt;&lt;pages&gt;1563-1580&lt;/pages&gt;&lt;volume&gt;53&lt;/volume&gt;&lt;number&gt;4&lt;/number&gt;&lt;dates&gt;&lt;year&gt;2021&lt;/year&gt;&lt;/dates&gt;&lt;isbn&gt;1554-3528&lt;/isbn&gt;&lt;urls&gt;&lt;/urls&gt;&lt;/record&gt;&lt;/Cite&gt;&lt;/EndNote&gt;</w:instrText>
      </w:r>
      <w:r w:rsidRPr="003B57EA">
        <w:fldChar w:fldCharType="separate"/>
      </w:r>
      <w:r w:rsidRPr="003B57EA">
        <w:rPr>
          <w:noProof/>
        </w:rPr>
        <w:t>(Christensen &amp; Golino, 2021)</w:t>
      </w:r>
      <w:r w:rsidRPr="003B57EA">
        <w:fldChar w:fldCharType="end"/>
      </w:r>
      <w:r w:rsidRPr="003B57EA">
        <w:t xml:space="preserve">. Next, to examine the stability of the EGA and therefore of the underlying construct of the Hebrew-MOGS, we followed the analysis with Bootstrap Exploratory Graph Analysis with 5,000 resampling cycles. We also assessed the stability of each of the 12 items using the </w:t>
      </w:r>
      <w:proofErr w:type="spellStart"/>
      <w:proofErr w:type="gramStart"/>
      <w:r w:rsidRPr="003B57EA">
        <w:rPr>
          <w:i/>
          <w:iCs/>
        </w:rPr>
        <w:t>itemStability</w:t>
      </w:r>
      <w:proofErr w:type="spellEnd"/>
      <w:r w:rsidRPr="003B57EA">
        <w:rPr>
          <w:i/>
          <w:iCs/>
        </w:rPr>
        <w:t>(</w:t>
      </w:r>
      <w:proofErr w:type="gramEnd"/>
      <w:r w:rsidRPr="003B57EA">
        <w:rPr>
          <w:i/>
          <w:iCs/>
        </w:rPr>
        <w:t>)</w:t>
      </w:r>
      <w:r w:rsidRPr="003B57EA">
        <w:t xml:space="preserve"> function with a minimum cut-point of 75% stability. We corroborated the results of the EGA with a Confirmatory Factor Analysis (CFA) with maximum likelihood estimation with robust standard errors and a mean- and variance- adjusted test statistic (</w:t>
      </w:r>
      <w:proofErr w:type="gramStart"/>
      <w:r w:rsidRPr="003B57EA">
        <w:t>MLMVS;</w:t>
      </w:r>
      <w:proofErr w:type="gramEnd"/>
      <w:r w:rsidRPr="003B57EA">
        <w:t xml:space="preserve"> i.e. the Satterthwaite approach) using </w:t>
      </w:r>
      <w:proofErr w:type="spellStart"/>
      <w:r w:rsidRPr="003B57EA">
        <w:rPr>
          <w:i/>
          <w:iCs/>
        </w:rPr>
        <w:t>lavaan</w:t>
      </w:r>
      <w:proofErr w:type="spellEnd"/>
      <w:r w:rsidRPr="003B57EA">
        <w:t xml:space="preserve"> Structural Equation Modeling (SEM) R package. Model fit was estimated by Comparative Fit Index (CFI), Tucker Lewis Index (TLI), Root Mean Square Error of Approximation (RMSEA), and Standardized Root Mean Square Residual (SRMR). CFI and TLI &gt; .90 and RMSEA and SRMR &lt; .07 are acceptable. We finalized the first section by a test-retest reliability of the Hebrew-MOGS over a period of 6 months by intraclass correlation coefficient (ICC ≥ 0.50 as acceptable; Koo &amp; Li, 2016) using the </w:t>
      </w:r>
      <w:proofErr w:type="spellStart"/>
      <w:r w:rsidRPr="003B57EA">
        <w:rPr>
          <w:i/>
          <w:iCs/>
        </w:rPr>
        <w:t>irr</w:t>
      </w:r>
      <w:proofErr w:type="spellEnd"/>
      <w:r w:rsidRPr="003B57EA">
        <w:t xml:space="preserve"> R package, and with convergence validity that was tested by bivariate correlations between MOGS and IGD, preference for online social interactions, motives for online gaming, and emotion regulation strategies. All measures were taken from T1.</w:t>
      </w:r>
    </w:p>
    <w:p w14:paraId="5322A315" w14:textId="77777777" w:rsidR="009A46BE" w:rsidRPr="003B57EA" w:rsidRDefault="009A46BE" w:rsidP="009A46BE">
      <w:pPr>
        <w:spacing w:line="480" w:lineRule="auto"/>
        <w:ind w:firstLine="720"/>
        <w:jc w:val="both"/>
        <w:rPr>
          <w:rtl/>
        </w:rPr>
      </w:pPr>
      <w:r w:rsidRPr="003B57EA">
        <w:t>The second part of the results began with a descriptive examination of the Hebrew-MOGS facets (</w:t>
      </w:r>
      <w:proofErr w:type="gramStart"/>
      <w:r w:rsidRPr="003B57EA">
        <w:t>i.e.</w:t>
      </w:r>
      <w:proofErr w:type="gramEnd"/>
      <w:r w:rsidRPr="003B57EA">
        <w:t xml:space="preserve"> negative and positive metacognitions about online gaming) followed by an </w:t>
      </w:r>
      <w:proofErr w:type="spellStart"/>
      <w:r w:rsidRPr="003B57EA">
        <w:t>Mahalanobis</w:t>
      </w:r>
      <w:proofErr w:type="spellEnd"/>
      <w:r w:rsidRPr="003B57EA">
        <w:t xml:space="preserve">-Minimum Covariance Determinant (MMCD) test for detecting multivariate outliers in the main study measures (i.e. metacognitions, attachment patterns [anxiety, avoidance], IGD, preference for online social interactions, and motives for online gaming). The analyses detected 159 multivariate outliers. </w:t>
      </w:r>
      <w:r w:rsidRPr="003B57EA">
        <w:lastRenderedPageBreak/>
        <w:t>Accordingly, we employed robust analyses to avoid the possible bias of analyzing data with multiple outliers. Specifically, we examined whether negative and positive metacognitions about online gaming mediate the effect of attachment pattern that are crystalized in early years of life on IGD, preference for online social interactions, and motives for online gaming. To ensure directionality, attachment patterns and metacognitions were taken from T1 (given that attachment patterns were found develop in early years and remain moderately stable over time), and IGD, preference for online social interactions, and motives for online gaming from T2 (</w:t>
      </w:r>
      <w:proofErr w:type="gramStart"/>
      <w:r w:rsidRPr="003B57EA">
        <w:t>i.e.</w:t>
      </w:r>
      <w:proofErr w:type="gramEnd"/>
      <w:r w:rsidRPr="003B57EA">
        <w:t xml:space="preserve"> 6-month follow-up). To do so, we estimated hierarchical robust regression models with an MM-estimator in which we (</w:t>
      </w:r>
      <w:proofErr w:type="spellStart"/>
      <w:r w:rsidRPr="003B57EA">
        <w:t>i</w:t>
      </w:r>
      <w:proofErr w:type="spellEnd"/>
      <w:r w:rsidRPr="003B57EA">
        <w:t xml:space="preserve">) predicted whether metacognitions are predicted by attachment patterns, and (ii) whether metacognitions predict IGD, preference for online social interactions, and motives for online gaming while controlling for attachment patterns. In these models, we also controlled for adolescents’ gender, age, religiosity, and socioeconomic status. Models were estimated with the </w:t>
      </w:r>
      <w:proofErr w:type="spellStart"/>
      <w:proofErr w:type="gramStart"/>
      <w:r w:rsidRPr="003B57EA">
        <w:rPr>
          <w:i/>
          <w:iCs/>
        </w:rPr>
        <w:t>rlm</w:t>
      </w:r>
      <w:proofErr w:type="spellEnd"/>
      <w:r w:rsidRPr="003B57EA">
        <w:rPr>
          <w:i/>
          <w:iCs/>
        </w:rPr>
        <w:t>(</w:t>
      </w:r>
      <w:proofErr w:type="gramEnd"/>
      <w:r w:rsidRPr="003B57EA">
        <w:rPr>
          <w:i/>
          <w:iCs/>
        </w:rPr>
        <w:t>)</w:t>
      </w:r>
      <w:r w:rsidRPr="003B57EA">
        <w:t xml:space="preserve"> function of the </w:t>
      </w:r>
      <w:r w:rsidRPr="003B57EA">
        <w:rPr>
          <w:i/>
          <w:iCs/>
        </w:rPr>
        <w:t>MASS</w:t>
      </w:r>
      <w:r w:rsidRPr="003B57EA">
        <w:t xml:space="preserve"> R package; Causal Mediation Analyses were then used to appraise the significance of the indirect paths from attachment patterns via metacognitions to IGD, preference for online social interactions, and motives for online gaming. Significance was estimated using bias-corrected and accelerated (</w:t>
      </w:r>
      <w:proofErr w:type="spellStart"/>
      <w:r w:rsidRPr="003B57EA">
        <w:t>BCa</w:t>
      </w:r>
      <w:proofErr w:type="spellEnd"/>
      <w:r w:rsidRPr="003B57EA">
        <w:t>) confidence intervals with 1,000 Monte Carlo draws. In the final step, we conducted sensitivity analyses for each significant indirect path to assess its sensitivity for possible unobserved confounding variables.</w:t>
      </w:r>
    </w:p>
    <w:p w14:paraId="72D7459A" w14:textId="77777777" w:rsidR="009A46BE" w:rsidRPr="003B57EA" w:rsidRDefault="009A46BE" w:rsidP="009A46BE">
      <w:pPr>
        <w:spacing w:line="480" w:lineRule="auto"/>
        <w:jc w:val="both"/>
        <w:rPr>
          <w:b/>
          <w:bCs/>
        </w:rPr>
      </w:pPr>
      <w:r w:rsidRPr="003B57EA">
        <w:rPr>
          <w:b/>
          <w:bCs/>
        </w:rPr>
        <w:t>4. Results</w:t>
      </w:r>
    </w:p>
    <w:p w14:paraId="47961124" w14:textId="77777777" w:rsidR="009A46BE" w:rsidRPr="003B57EA" w:rsidRDefault="009A46BE" w:rsidP="009A46BE">
      <w:pPr>
        <w:spacing w:line="480" w:lineRule="auto"/>
        <w:jc w:val="both"/>
        <w:rPr>
          <w:b/>
          <w:bCs/>
        </w:rPr>
      </w:pPr>
      <w:r w:rsidRPr="003B57EA">
        <w:rPr>
          <w:b/>
          <w:bCs/>
        </w:rPr>
        <w:t>4.1 Validation of the Hebrew-MOGS version</w:t>
      </w:r>
    </w:p>
    <w:p w14:paraId="631C7701" w14:textId="77777777" w:rsidR="009A46BE" w:rsidRPr="003B57EA" w:rsidRDefault="009A46BE" w:rsidP="009A46BE">
      <w:pPr>
        <w:spacing w:line="480" w:lineRule="auto"/>
        <w:jc w:val="both"/>
      </w:pPr>
      <w:r w:rsidRPr="003B57EA">
        <w:t xml:space="preserve">The EGAs network results are presented in Figure 1 and network loadings in Table 1. The analyses indicated that the factorial structure of the Hebrew-MOGS comprised the expected two factors in T1 and T2 (6-month follow-up): items 1-6 were loaded on one </w:t>
      </w:r>
      <w:r w:rsidRPr="003B57EA">
        <w:lastRenderedPageBreak/>
        <w:t xml:space="preserve">network consisted of negative metacognitions about online gaming, and items 7-12 on a second network consisted of positive metacognitions about online gaming. When estimating the stability of the EGAs by bootstrapping with 5,000 resampling cycles, the analysis indicated exceptionally high stability: SE = .014, with CI for the number of factors ranging from 1.97 to 2.03 at T1, and SE = 0 at T2. Accordingly, 99.98% and 100% of the samples drawn produced a 2-factor solution (with 0.02% producing a 3-factor solution at T1). All items had 100% stability across all resampling cycles. A CFA that was used to corroborate the EGA solution, verify the factorial structure in each time point, </w:t>
      </w:r>
      <w:r w:rsidRPr="003B57EA">
        <w:rPr>
          <w:i/>
          <w:iCs/>
        </w:rPr>
        <w:t>χ</w:t>
      </w:r>
      <w:r w:rsidRPr="003B57EA">
        <w:rPr>
          <w:i/>
          <w:iCs/>
          <w:vertAlign w:val="superscript"/>
        </w:rPr>
        <w:t>2</w:t>
      </w:r>
      <w:r w:rsidRPr="003B57EA">
        <w:rPr>
          <w:vertAlign w:val="subscript"/>
        </w:rPr>
        <w:t>(42.46)</w:t>
      </w:r>
      <w:r w:rsidRPr="003B57EA">
        <w:t xml:space="preserve"> = 239.27, </w:t>
      </w:r>
      <w:r w:rsidRPr="003B57EA">
        <w:rPr>
          <w:i/>
          <w:iCs/>
        </w:rPr>
        <w:t>p</w:t>
      </w:r>
      <w:r w:rsidRPr="003B57EA">
        <w:t xml:space="preserve"> &lt; .01, </w:t>
      </w:r>
      <w:r w:rsidRPr="003B57EA">
        <w:rPr>
          <w:i/>
          <w:iCs/>
        </w:rPr>
        <w:t>CFI</w:t>
      </w:r>
      <w:r w:rsidRPr="003B57EA">
        <w:t xml:space="preserve"> = .94, </w:t>
      </w:r>
      <w:r w:rsidRPr="003B57EA">
        <w:rPr>
          <w:i/>
          <w:iCs/>
        </w:rPr>
        <w:t>TLI</w:t>
      </w:r>
      <w:r w:rsidRPr="003B57EA">
        <w:t xml:space="preserve"> = .93, </w:t>
      </w:r>
      <w:r w:rsidRPr="003B57EA">
        <w:rPr>
          <w:i/>
          <w:iCs/>
        </w:rPr>
        <w:t>RMSEA</w:t>
      </w:r>
      <w:r w:rsidRPr="003B57EA">
        <w:t xml:space="preserve"> = .066 (90% confidence interval [CI] of .06, .073), </w:t>
      </w:r>
      <w:r w:rsidRPr="003B57EA">
        <w:rPr>
          <w:i/>
          <w:iCs/>
        </w:rPr>
        <w:t>SRMR</w:t>
      </w:r>
      <w:r w:rsidRPr="003B57EA">
        <w:t xml:space="preserve"> = .046 for T1, </w:t>
      </w:r>
      <w:r w:rsidRPr="003B57EA">
        <w:rPr>
          <w:i/>
          <w:iCs/>
        </w:rPr>
        <w:t>χ</w:t>
      </w:r>
      <w:r w:rsidRPr="003B57EA">
        <w:rPr>
          <w:i/>
          <w:iCs/>
          <w:vertAlign w:val="superscript"/>
        </w:rPr>
        <w:t>2</w:t>
      </w:r>
      <w:r w:rsidRPr="003B57EA">
        <w:rPr>
          <w:vertAlign w:val="subscript"/>
        </w:rPr>
        <w:t>(38.34)</w:t>
      </w:r>
      <w:r w:rsidRPr="003B57EA">
        <w:t xml:space="preserve"> = 195.89, </w:t>
      </w:r>
      <w:r w:rsidRPr="003B57EA">
        <w:rPr>
          <w:i/>
          <w:iCs/>
        </w:rPr>
        <w:t>p</w:t>
      </w:r>
      <w:r w:rsidRPr="003B57EA">
        <w:t xml:space="preserve"> &lt; .01, </w:t>
      </w:r>
      <w:r w:rsidRPr="003B57EA">
        <w:rPr>
          <w:i/>
          <w:iCs/>
        </w:rPr>
        <w:t>CFI</w:t>
      </w:r>
      <w:r w:rsidRPr="003B57EA">
        <w:t xml:space="preserve"> = .95, </w:t>
      </w:r>
      <w:r w:rsidRPr="003B57EA">
        <w:rPr>
          <w:i/>
          <w:iCs/>
        </w:rPr>
        <w:t>TLI</w:t>
      </w:r>
      <w:r w:rsidRPr="003B57EA">
        <w:t xml:space="preserve"> = .93, </w:t>
      </w:r>
      <w:r w:rsidRPr="003B57EA">
        <w:rPr>
          <w:i/>
          <w:iCs/>
        </w:rPr>
        <w:t>RMSEA</w:t>
      </w:r>
      <w:r w:rsidRPr="003B57EA">
        <w:t xml:space="preserve"> = .062 (90% confidence interval [CI] of .056, .069), </w:t>
      </w:r>
      <w:r w:rsidRPr="003B57EA">
        <w:rPr>
          <w:i/>
          <w:iCs/>
        </w:rPr>
        <w:t>SRMR</w:t>
      </w:r>
      <w:r w:rsidRPr="003B57EA">
        <w:t xml:space="preserve"> = .045 for 6-month follow-up. Finally, a test-retest reliability showed high consistency over a period of 6 months, </w:t>
      </w:r>
      <w:r w:rsidRPr="003B57EA">
        <w:rPr>
          <w:i/>
          <w:iCs/>
        </w:rPr>
        <w:t>ICC</w:t>
      </w:r>
      <w:r w:rsidRPr="003B57EA">
        <w:t xml:space="preserve"> = .585, 95% CI of .544, .623. Description information regarding the metacognition clusters is presented in Figure 2.</w:t>
      </w:r>
    </w:p>
    <w:p w14:paraId="560E54E7" w14:textId="77777777" w:rsidR="009A46BE" w:rsidRPr="003B57EA" w:rsidRDefault="009A46BE" w:rsidP="009A46BE">
      <w:pPr>
        <w:spacing w:line="480" w:lineRule="auto"/>
        <w:ind w:firstLine="720"/>
        <w:jc w:val="both"/>
      </w:pPr>
      <w:r w:rsidRPr="003B57EA">
        <w:t>Table 2 presents bivariate correlations between metacognitions and IGD, preference for online social interactions, motives for online gaming (social, escape, competition, coping, skill development, fantasy, recreation), and emotion regulation strategies (suppression, reappraisal) for examining convergence validity. As expected, the analyses indicated positive and significant correlations between metacognitions and all related measures. In keeping with predictions, weak correlations were found with emotion regulation strategies, moderate correlations with preference for online social interactions and motives for online gaming, and strong correlations with IGD.</w:t>
      </w:r>
    </w:p>
    <w:p w14:paraId="7EDBFF33" w14:textId="77777777" w:rsidR="009A46BE" w:rsidRPr="003B57EA" w:rsidRDefault="009A46BE" w:rsidP="009A46BE">
      <w:pPr>
        <w:spacing w:line="480" w:lineRule="auto"/>
        <w:jc w:val="both"/>
        <w:rPr>
          <w:b/>
          <w:bCs/>
        </w:rPr>
      </w:pPr>
      <w:r w:rsidRPr="003B57EA">
        <w:rPr>
          <w:b/>
          <w:bCs/>
        </w:rPr>
        <w:t>4.2 Attachment patterns and Metacognitions</w:t>
      </w:r>
    </w:p>
    <w:p w14:paraId="58DA4D33" w14:textId="77777777" w:rsidR="009A46BE" w:rsidRPr="003B57EA" w:rsidRDefault="009A46BE" w:rsidP="009A46BE">
      <w:pPr>
        <w:spacing w:line="480" w:lineRule="auto"/>
        <w:jc w:val="both"/>
      </w:pPr>
      <w:r w:rsidRPr="003B57EA">
        <w:t>Results are presented in Table 3a. The analyses indicated that the higher participants’ attachment insecurity (</w:t>
      </w:r>
      <w:proofErr w:type="gramStart"/>
      <w:r w:rsidRPr="003B57EA">
        <w:t>i.e.</w:t>
      </w:r>
      <w:proofErr w:type="gramEnd"/>
      <w:r w:rsidRPr="003B57EA">
        <w:t xml:space="preserve"> anxiety and/or avoidance), the higher the negative and </w:t>
      </w:r>
      <w:r w:rsidRPr="003B57EA">
        <w:lastRenderedPageBreak/>
        <w:t>positive metacognitions about online gaming. Regarding the covariates, the analyses revealed that boys had significantly higher negative and positive metacognitions about online gaming than girls, older and/or more religious adolescents had fewer positive metacognitions about online gaming, and adolescents with higher SES had more negative metacognitions about online gaming than adolescents with lower SES.</w:t>
      </w:r>
    </w:p>
    <w:p w14:paraId="49D0792A" w14:textId="77777777" w:rsidR="009A46BE" w:rsidRPr="003B57EA" w:rsidRDefault="009A46BE" w:rsidP="009A46BE">
      <w:pPr>
        <w:spacing w:line="480" w:lineRule="auto"/>
        <w:jc w:val="both"/>
        <w:rPr>
          <w:b/>
          <w:bCs/>
        </w:rPr>
      </w:pPr>
      <w:r w:rsidRPr="003B57EA">
        <w:rPr>
          <w:b/>
        </w:rPr>
        <w:t xml:space="preserve">4.2.1 </w:t>
      </w:r>
      <w:r w:rsidRPr="003B57EA">
        <w:rPr>
          <w:b/>
          <w:bCs/>
        </w:rPr>
        <w:t xml:space="preserve">Metacognitions </w:t>
      </w:r>
      <w:r w:rsidRPr="003B57EA">
        <w:rPr>
          <w:b/>
          <w:bCs/>
        </w:rPr>
        <w:sym w:font="Symbol" w:char="F0DE"/>
      </w:r>
      <w:r w:rsidRPr="003B57EA">
        <w:rPr>
          <w:b/>
          <w:bCs/>
        </w:rPr>
        <w:t xml:space="preserve"> IGD, preference for online social interactions, and motives for online gaming, controlling for attachment patterns</w:t>
      </w:r>
    </w:p>
    <w:p w14:paraId="5DC51FB7" w14:textId="77777777" w:rsidR="009A46BE" w:rsidRPr="003B57EA" w:rsidRDefault="009A46BE" w:rsidP="009A46BE">
      <w:pPr>
        <w:spacing w:line="480" w:lineRule="auto"/>
        <w:jc w:val="both"/>
      </w:pPr>
      <w:r w:rsidRPr="003B57EA">
        <w:t>Results are presented in Table 3b. The analyses indicated that after controlling for attachment patterns, the higher adolescents’ negative and/or positive metacognitions about online gaming, the higher their IGD, preference for online social interactions, and motives for online gaming (except for recreation that was only associated with positive metacognitions). Regarding the covariates, the analyses revealed that older adolescents had higher motivation for social benefits of gaming, boys had higher motivation for competition and recreation than girls, and religious adolescents had less IGD, and lower motivation for social, escape, coping fantasy and recreation as compared with secular adolescents. Finally, regarding attachment patterns, the analyses revealed that attachment anxiety was linked with higher motivation to escape and less to compete; attachment avoidance was associated with higher IGD, preference for online social interactions, and motivations to escape, cope, develop skills, and create a fantasy online world.</w:t>
      </w:r>
    </w:p>
    <w:p w14:paraId="6E5E990D" w14:textId="77777777" w:rsidR="009A46BE" w:rsidRPr="003B57EA" w:rsidRDefault="009A46BE" w:rsidP="009A46BE">
      <w:pPr>
        <w:spacing w:line="480" w:lineRule="auto"/>
        <w:jc w:val="both"/>
        <w:rPr>
          <w:b/>
          <w:bCs/>
        </w:rPr>
      </w:pPr>
      <w:r w:rsidRPr="003B57EA">
        <w:rPr>
          <w:b/>
        </w:rPr>
        <w:t>4.2.2</w:t>
      </w:r>
      <w:r w:rsidRPr="003B57EA">
        <w:t xml:space="preserve"> </w:t>
      </w:r>
      <w:r w:rsidRPr="003B57EA">
        <w:rPr>
          <w:b/>
          <w:bCs/>
        </w:rPr>
        <w:t>Indirect paths and sensitivity analyses</w:t>
      </w:r>
    </w:p>
    <w:p w14:paraId="3E22854E" w14:textId="77777777" w:rsidR="009A46BE" w:rsidRPr="003B57EA" w:rsidRDefault="009A46BE" w:rsidP="009A46BE">
      <w:pPr>
        <w:spacing w:line="480" w:lineRule="auto"/>
        <w:jc w:val="both"/>
      </w:pPr>
      <w:r w:rsidRPr="003B57EA">
        <w:t xml:space="preserve">Results are summarized in Table 4 and Figure 3. The analyses indicated that positive and negative metacognitions significantly mediated the effect of attachment anxiety on IGD, preference for online social interactions, and motives for online gaming (apart from negative metacognitions that did not mediate the effect of anxiety on motivation </w:t>
      </w:r>
      <w:r w:rsidRPr="003B57EA">
        <w:lastRenderedPageBreak/>
        <w:t>for recreation). These mediation paths accounted for much of the effect of attachment anxiety such that the indirect effect via negative metacognitions accounted for 69.12%, in average, of the total effect (average sensitivity of 0.23), and via positive metacognitions an average of 69.95% of the total effect (average sensitivity of 0.24). In fact, attachment anxiety was only directly associated with more motivation to escape and less motivation for competition after accounting for metacognitions.</w:t>
      </w:r>
    </w:p>
    <w:p w14:paraId="4D60C54C" w14:textId="77777777" w:rsidR="009A46BE" w:rsidRPr="003B57EA" w:rsidRDefault="009A46BE" w:rsidP="009A46BE">
      <w:pPr>
        <w:spacing w:line="480" w:lineRule="auto"/>
        <w:jc w:val="both"/>
      </w:pPr>
      <w:r w:rsidRPr="003B57EA">
        <w:tab/>
        <w:t>Regarding attachment avoidance, the analyses revealed that similarly to attachment anxiety, positive and negative metacognitions significantly mediated the effect of attachment avoidance on IGD, preference for online social interactions, and motives for online gaming (apart from negative metacognitions that did not mediate the effect of avoidance on motivation for recreation). Unlike anxiety, these mediation paths did not account for much of the effect of attachment avoidance such that the indirect effect via negative metacognitions accounted for only 30.12%, in average, of the total effect (average sensitivity of 0.23), and via positive metacognitions an average of only 30.36% of the total effect (average sensitivity of 0.24). In fact, attachment avoidance was directly associated with most of the measures even after accounting for metacognitions. Specifically, it was directly linked with more IGD and preference for online social interactions, and higher motivations to escape, cope, develop skills and create a fantasy online world.</w:t>
      </w:r>
    </w:p>
    <w:p w14:paraId="000361EF" w14:textId="756F2C16" w:rsidR="006D6CB3" w:rsidRPr="003B57EA" w:rsidRDefault="006D6CB3">
      <w:pPr>
        <w:spacing w:line="480" w:lineRule="auto"/>
        <w:jc w:val="both"/>
        <w:rPr>
          <w:rFonts w:eastAsia="Calibri"/>
          <w:b/>
          <w:bCs/>
        </w:rPr>
      </w:pPr>
      <w:r w:rsidRPr="003B57EA">
        <w:rPr>
          <w:rFonts w:eastAsia="Calibri"/>
          <w:b/>
          <w:bCs/>
        </w:rPr>
        <w:t>5. Discussion</w:t>
      </w:r>
    </w:p>
    <w:p w14:paraId="106A01E4" w14:textId="68F69A21" w:rsidR="008E791B" w:rsidRPr="003B57EA" w:rsidRDefault="00190CE2">
      <w:pPr>
        <w:spacing w:line="480" w:lineRule="auto"/>
        <w:jc w:val="both"/>
      </w:pPr>
      <w:r w:rsidRPr="003B57EA">
        <w:t>Metacognitions about online gaming</w:t>
      </w:r>
      <w:r w:rsidR="002972E8" w:rsidRPr="003B57EA">
        <w:t xml:space="preserve"> </w:t>
      </w:r>
      <w:r w:rsidR="009123C7" w:rsidRPr="003B57EA">
        <w:t xml:space="preserve">have been </w:t>
      </w:r>
      <w:r w:rsidRPr="003B57EA">
        <w:t xml:space="preserve">highlighted as </w:t>
      </w:r>
      <w:r w:rsidR="009123C7" w:rsidRPr="003B57EA">
        <w:t xml:space="preserve">a </w:t>
      </w:r>
      <w:r w:rsidR="00CB2153" w:rsidRPr="003B57EA">
        <w:t xml:space="preserve">critical </w:t>
      </w:r>
      <w:r w:rsidRPr="003B57EA">
        <w:t xml:space="preserve">factor that could contribute to problematic behavior throughout adolescence (Akbari et al., </w:t>
      </w:r>
      <w:r w:rsidR="00BB3B27" w:rsidRPr="003B57EA">
        <w:t>2021</w:t>
      </w:r>
      <w:r w:rsidRPr="003B57EA">
        <w:t xml:space="preserve">). However, </w:t>
      </w:r>
      <w:r w:rsidR="009123C7" w:rsidRPr="003B57EA">
        <w:t xml:space="preserve">knowledge of </w:t>
      </w:r>
      <w:r w:rsidRPr="003B57EA">
        <w:t>metacognitions about online gaming</w:t>
      </w:r>
      <w:r w:rsidR="00C37CFD" w:rsidRPr="003B57EA">
        <w:t xml:space="preserve"> among adolesce</w:t>
      </w:r>
      <w:r w:rsidR="009123C7" w:rsidRPr="003B57EA">
        <w:t>nts</w:t>
      </w:r>
      <w:r w:rsidR="00C37CFD" w:rsidRPr="003B57EA">
        <w:t xml:space="preserve"> is </w:t>
      </w:r>
      <w:r w:rsidR="003B2426" w:rsidRPr="003B57EA">
        <w:t xml:space="preserve">still </w:t>
      </w:r>
      <w:r w:rsidR="00C37CFD" w:rsidRPr="003B57EA">
        <w:t>limited</w:t>
      </w:r>
      <w:r w:rsidRPr="003B57EA">
        <w:t xml:space="preserve">. </w:t>
      </w:r>
      <w:r w:rsidR="009B0462" w:rsidRPr="003B57EA">
        <w:t xml:space="preserve">We </w:t>
      </w:r>
      <w:r w:rsidRPr="003B57EA">
        <w:t xml:space="preserve">focused on factors </w:t>
      </w:r>
      <w:r w:rsidR="009B0462" w:rsidRPr="003B57EA">
        <w:t xml:space="preserve">that could account for the </w:t>
      </w:r>
      <w:r w:rsidR="008E791B" w:rsidRPr="003B57EA">
        <w:t>psychometric properties of the MOGS</w:t>
      </w:r>
      <w:r w:rsidR="009B0462" w:rsidRPr="003B57EA">
        <w:t>. These were</w:t>
      </w:r>
      <w:r w:rsidR="008E791B" w:rsidRPr="003B57EA">
        <w:t xml:space="preserve"> factor structure</w:t>
      </w:r>
      <w:r w:rsidR="00CB2153" w:rsidRPr="003B57EA">
        <w:t>,</w:t>
      </w:r>
      <w:r w:rsidR="003B2426" w:rsidRPr="003B57EA">
        <w:t xml:space="preserve"> </w:t>
      </w:r>
      <w:r w:rsidR="008E791B" w:rsidRPr="003B57EA">
        <w:t>reliability</w:t>
      </w:r>
      <w:r w:rsidR="00CB2153" w:rsidRPr="003B57EA">
        <w:t>,</w:t>
      </w:r>
      <w:r w:rsidR="003B2426" w:rsidRPr="003B57EA">
        <w:t xml:space="preserve"> </w:t>
      </w:r>
      <w:r w:rsidR="009123C7" w:rsidRPr="003B57EA">
        <w:t xml:space="preserve">and </w:t>
      </w:r>
      <w:r w:rsidR="008E791B" w:rsidRPr="003B57EA">
        <w:t>predictive validity</w:t>
      </w:r>
      <w:r w:rsidRPr="003B57EA">
        <w:t xml:space="preserve">. To do so, </w:t>
      </w:r>
      <w:r w:rsidR="00663604" w:rsidRPr="003B57EA">
        <w:lastRenderedPageBreak/>
        <w:t xml:space="preserve">we conducted a large-scale </w:t>
      </w:r>
      <w:r w:rsidR="00106A10" w:rsidRPr="003B57EA">
        <w:t xml:space="preserve">prospective </w:t>
      </w:r>
      <w:r w:rsidR="00663604" w:rsidRPr="003B57EA">
        <w:t xml:space="preserve">study involving 1,056 </w:t>
      </w:r>
      <w:r w:rsidR="00CB2153" w:rsidRPr="003B57EA">
        <w:t>Israeli Jewish</w:t>
      </w:r>
      <w:r w:rsidR="00663604" w:rsidRPr="003B57EA">
        <w:t xml:space="preserve"> adolescents from the general population. </w:t>
      </w:r>
      <w:r w:rsidR="003B2426" w:rsidRPr="003B57EA">
        <w:t>W</w:t>
      </w:r>
      <w:r w:rsidR="00C37CFD" w:rsidRPr="003B57EA">
        <w:t xml:space="preserve">e </w:t>
      </w:r>
      <w:r w:rsidR="00CB2153" w:rsidRPr="003B57EA">
        <w:t>were able to</w:t>
      </w:r>
      <w:r w:rsidRPr="003B57EA">
        <w:t xml:space="preserve"> examine the contribution of </w:t>
      </w:r>
      <w:r w:rsidR="003B2426" w:rsidRPr="003B57EA">
        <w:t xml:space="preserve">the </w:t>
      </w:r>
      <w:r w:rsidR="008E791B" w:rsidRPr="003B57EA">
        <w:t xml:space="preserve">MOGS as a </w:t>
      </w:r>
      <w:r w:rsidR="000772FB" w:rsidRPr="003B57EA">
        <w:t xml:space="preserve">mediator </w:t>
      </w:r>
      <w:r w:rsidR="003B2426" w:rsidRPr="003B57EA">
        <w:t xml:space="preserve">of </w:t>
      </w:r>
      <w:r w:rsidR="008E791B" w:rsidRPr="003B57EA">
        <w:t>the effect</w:t>
      </w:r>
      <w:r w:rsidR="00C4765C" w:rsidRPr="003B57EA">
        <w:t>s</w:t>
      </w:r>
      <w:r w:rsidR="008E791B" w:rsidRPr="003B57EA">
        <w:t xml:space="preserve"> of attachment patterns on IGD, </w:t>
      </w:r>
      <w:r w:rsidR="00565A55" w:rsidRPr="003B57EA">
        <w:t>POSIs</w:t>
      </w:r>
      <w:r w:rsidR="008E791B" w:rsidRPr="003B57EA">
        <w:t>, and motives for online gaming</w:t>
      </w:r>
      <w:r w:rsidR="00495362" w:rsidRPr="003B57EA">
        <w:t>.</w:t>
      </w:r>
    </w:p>
    <w:p w14:paraId="287F5A67" w14:textId="3C630C6B" w:rsidR="00827CE3" w:rsidRPr="003B57EA" w:rsidRDefault="006D6CB3">
      <w:pPr>
        <w:spacing w:line="480" w:lineRule="auto"/>
        <w:ind w:firstLine="720"/>
        <w:jc w:val="both"/>
        <w:rPr>
          <w:rFonts w:eastAsia="Calibri"/>
        </w:rPr>
      </w:pPr>
      <w:r w:rsidRPr="003B57EA">
        <w:rPr>
          <w:rFonts w:eastAsia="Calibri"/>
        </w:rPr>
        <w:t xml:space="preserve">Overall, </w:t>
      </w:r>
      <w:r w:rsidR="00BA09ED" w:rsidRPr="003B57EA">
        <w:rPr>
          <w:rFonts w:eastAsia="Calibri"/>
        </w:rPr>
        <w:t>we</w:t>
      </w:r>
      <w:r w:rsidRPr="003B57EA">
        <w:rPr>
          <w:rFonts w:eastAsia="Calibri"/>
        </w:rPr>
        <w:t xml:space="preserve"> </w:t>
      </w:r>
      <w:r w:rsidR="00F8156C" w:rsidRPr="003B57EA">
        <w:t xml:space="preserve">corroborated the results of the EGA with a CFA </w:t>
      </w:r>
      <w:r w:rsidRPr="003B57EA">
        <w:rPr>
          <w:rFonts w:eastAsia="Calibri"/>
        </w:rPr>
        <w:t>of the MOGS</w:t>
      </w:r>
      <w:r w:rsidR="00BA09ED" w:rsidRPr="003B57EA">
        <w:rPr>
          <w:rFonts w:eastAsia="Calibri"/>
        </w:rPr>
        <w:t>,</w:t>
      </w:r>
      <w:r w:rsidRPr="003B57EA">
        <w:rPr>
          <w:rFonts w:eastAsia="Calibri"/>
        </w:rPr>
        <w:t xml:space="preserve"> suggesting that </w:t>
      </w:r>
      <w:r w:rsidR="00CB2153" w:rsidRPr="003B57EA">
        <w:rPr>
          <w:rFonts w:eastAsia="Calibri"/>
        </w:rPr>
        <w:t>the Hebrew MOGS can optimally measure metacognitions about online gaming</w:t>
      </w:r>
      <w:r w:rsidRPr="003B57EA">
        <w:rPr>
          <w:rFonts w:eastAsia="Calibri"/>
        </w:rPr>
        <w:t xml:space="preserve"> within a </w:t>
      </w:r>
      <w:r w:rsidR="000A37B8" w:rsidRPr="003B57EA">
        <w:rPr>
          <w:rFonts w:eastAsia="Calibri"/>
        </w:rPr>
        <w:t>two</w:t>
      </w:r>
      <w:r w:rsidRPr="003B57EA">
        <w:rPr>
          <w:rFonts w:eastAsia="Calibri"/>
        </w:rPr>
        <w:t>-factor latent construct</w:t>
      </w:r>
      <w:r w:rsidR="000A37B8" w:rsidRPr="003B57EA">
        <w:rPr>
          <w:rFonts w:eastAsia="Calibri"/>
        </w:rPr>
        <w:t>:</w:t>
      </w:r>
      <w:r w:rsidRPr="003B57EA">
        <w:rPr>
          <w:rFonts w:eastAsia="Calibri"/>
        </w:rPr>
        <w:t xml:space="preserve"> “</w:t>
      </w:r>
      <w:r w:rsidR="003563C1" w:rsidRPr="003B57EA">
        <w:rPr>
          <w:rFonts w:eastAsia="Calibri"/>
        </w:rPr>
        <w:t xml:space="preserve">negative </w:t>
      </w:r>
      <w:r w:rsidRPr="003B57EA">
        <w:rPr>
          <w:rFonts w:eastAsia="Calibri"/>
        </w:rPr>
        <w:t>metacognitions</w:t>
      </w:r>
      <w:r w:rsidR="00707C40" w:rsidRPr="003B57EA">
        <w:rPr>
          <w:rFonts w:eastAsia="Calibri"/>
        </w:rPr>
        <w:t xml:space="preserve">” </w:t>
      </w:r>
      <w:r w:rsidRPr="003B57EA">
        <w:rPr>
          <w:rFonts w:eastAsia="Calibri"/>
        </w:rPr>
        <w:t>and “</w:t>
      </w:r>
      <w:r w:rsidR="003563C1" w:rsidRPr="003B57EA">
        <w:rPr>
          <w:rFonts w:eastAsia="Calibri"/>
        </w:rPr>
        <w:t xml:space="preserve">positive </w:t>
      </w:r>
      <w:r w:rsidRPr="003B57EA">
        <w:rPr>
          <w:rFonts w:eastAsia="Calibri"/>
        </w:rPr>
        <w:t>metacognitions</w:t>
      </w:r>
      <w:r w:rsidR="00BD62CA" w:rsidRPr="003B57EA">
        <w:rPr>
          <w:rFonts w:eastAsia="Calibri"/>
        </w:rPr>
        <w:t>.</w:t>
      </w:r>
      <w:r w:rsidRPr="003B57EA">
        <w:rPr>
          <w:rFonts w:eastAsia="Calibri"/>
        </w:rPr>
        <w:t>”</w:t>
      </w:r>
      <w:r w:rsidR="000A37B8" w:rsidRPr="003B57EA">
        <w:rPr>
          <w:rFonts w:eastAsia="Calibri"/>
        </w:rPr>
        <w:t xml:space="preserve"> </w:t>
      </w:r>
      <w:r w:rsidRPr="003B57EA">
        <w:rPr>
          <w:rFonts w:eastAsia="Calibri"/>
        </w:rPr>
        <w:t>These results a</w:t>
      </w:r>
      <w:r w:rsidR="00CB2153" w:rsidRPr="003B57EA">
        <w:rPr>
          <w:rFonts w:eastAsia="Calibri"/>
        </w:rPr>
        <w:t>lign</w:t>
      </w:r>
      <w:r w:rsidRPr="003B57EA">
        <w:rPr>
          <w:rFonts w:eastAsia="Calibri"/>
        </w:rPr>
        <w:t xml:space="preserve"> with the study in Spada and Caselli’s (2017) work on the development of the MOGS. Cronbach</w:t>
      </w:r>
      <w:r w:rsidR="00CB2153" w:rsidRPr="003B57EA">
        <w:rPr>
          <w:rFonts w:eastAsia="Calibri"/>
        </w:rPr>
        <w:t>’</w:t>
      </w:r>
      <w:r w:rsidRPr="003B57EA">
        <w:rPr>
          <w:rFonts w:eastAsia="Calibri"/>
        </w:rPr>
        <w:t>s alpha coefficients for all factors and the total score were good</w:t>
      </w:r>
      <w:r w:rsidR="00BA09ED" w:rsidRPr="003B57EA">
        <w:rPr>
          <w:rFonts w:eastAsia="Calibri"/>
        </w:rPr>
        <w:t xml:space="preserve"> </w:t>
      </w:r>
      <w:r w:rsidR="00BD62CA" w:rsidRPr="003B57EA">
        <w:t xml:space="preserve">at the </w:t>
      </w:r>
      <w:r w:rsidR="003563C1" w:rsidRPr="003B57EA">
        <w:t>6</w:t>
      </w:r>
      <w:r w:rsidR="00BA09ED" w:rsidRPr="003B57EA">
        <w:t>-month follow-up</w:t>
      </w:r>
      <w:r w:rsidR="00BA09ED" w:rsidRPr="003B57EA">
        <w:rPr>
          <w:rFonts w:eastAsia="Calibri"/>
        </w:rPr>
        <w:t xml:space="preserve"> </w:t>
      </w:r>
      <w:r w:rsidRPr="003B57EA">
        <w:rPr>
          <w:rFonts w:eastAsia="Calibri"/>
        </w:rPr>
        <w:t>(</w:t>
      </w:r>
      <w:r w:rsidR="00BD62CA" w:rsidRPr="003B57EA">
        <w:rPr>
          <w:rFonts w:eastAsia="Calibri"/>
        </w:rPr>
        <w:t xml:space="preserve">ranging </w:t>
      </w:r>
      <w:r w:rsidRPr="003B57EA">
        <w:rPr>
          <w:rFonts w:eastAsia="Calibri"/>
        </w:rPr>
        <w:t>from 0.</w:t>
      </w:r>
      <w:r w:rsidR="00827CE3" w:rsidRPr="003B57EA">
        <w:rPr>
          <w:rFonts w:eastAsia="Calibri"/>
        </w:rPr>
        <w:t>85</w:t>
      </w:r>
      <w:r w:rsidRPr="003B57EA">
        <w:rPr>
          <w:rFonts w:eastAsia="Calibri"/>
        </w:rPr>
        <w:t xml:space="preserve"> to 0.9</w:t>
      </w:r>
      <w:r w:rsidR="00827CE3" w:rsidRPr="003B57EA">
        <w:rPr>
          <w:rFonts w:eastAsia="Calibri"/>
        </w:rPr>
        <w:t>1</w:t>
      </w:r>
      <w:r w:rsidRPr="003B57EA">
        <w:rPr>
          <w:rFonts w:eastAsia="Calibri"/>
        </w:rPr>
        <w:t>) and in line with the original self-report measure development (Spada &amp; Caselli, 2017).</w:t>
      </w:r>
    </w:p>
    <w:p w14:paraId="13060A8A" w14:textId="0F2A9ECC" w:rsidR="00755344" w:rsidRPr="003B57EA" w:rsidRDefault="00987504">
      <w:pPr>
        <w:spacing w:line="480" w:lineRule="auto"/>
        <w:ind w:firstLine="720"/>
        <w:jc w:val="both"/>
      </w:pPr>
      <w:r w:rsidRPr="003B57EA">
        <w:t xml:space="preserve">In keeping with </w:t>
      </w:r>
      <w:r w:rsidR="002972E8" w:rsidRPr="003B57EA">
        <w:t xml:space="preserve">convergence validity </w:t>
      </w:r>
      <w:r w:rsidRPr="003B57EA">
        <w:t xml:space="preserve">predictions, adolescents reported </w:t>
      </w:r>
      <w:r w:rsidR="00755344" w:rsidRPr="003B57EA">
        <w:t>positive and significant correlations between metacognitions and all related measures</w:t>
      </w:r>
      <w:r w:rsidR="00513C00" w:rsidRPr="003B57EA">
        <w:t xml:space="preserve"> as part of </w:t>
      </w:r>
      <w:r w:rsidR="005167BF" w:rsidRPr="003B57EA">
        <w:t xml:space="preserve">the </w:t>
      </w:r>
      <w:r w:rsidR="00513C00" w:rsidRPr="003B57EA">
        <w:t>psychometric properties of the MOGS</w:t>
      </w:r>
      <w:r w:rsidR="00755344" w:rsidRPr="003B57EA">
        <w:t xml:space="preserve">. </w:t>
      </w:r>
      <w:r w:rsidRPr="003B57EA">
        <w:t>Moreover, as we expected, we found</w:t>
      </w:r>
      <w:r w:rsidR="00755344" w:rsidRPr="003B57EA">
        <w:t xml:space="preserve"> weak correlations with emotion regulation strategies, moderate correlations with preference</w:t>
      </w:r>
      <w:r w:rsidR="005167BF" w:rsidRPr="003B57EA">
        <w:t>s</w:t>
      </w:r>
      <w:r w:rsidR="00755344" w:rsidRPr="003B57EA">
        <w:t xml:space="preserve"> for online social interactions and motives for online gaming, and strong correlations with IGD. </w:t>
      </w:r>
      <w:r w:rsidR="001655E0" w:rsidRPr="003B57EA">
        <w:t xml:space="preserve">This finding is in line with </w:t>
      </w:r>
      <w:r w:rsidR="006879AB" w:rsidRPr="003B57EA">
        <w:t>previous research</w:t>
      </w:r>
      <w:r w:rsidR="001655E0" w:rsidRPr="003B57EA">
        <w:t xml:space="preserve"> </w:t>
      </w:r>
      <w:r w:rsidR="00515B11" w:rsidRPr="003B57EA">
        <w:t xml:space="preserve">that </w:t>
      </w:r>
      <w:r w:rsidR="005167BF" w:rsidRPr="003B57EA">
        <w:t xml:space="preserve">shows </w:t>
      </w:r>
      <w:r w:rsidR="00D24DF5" w:rsidRPr="003B57EA">
        <w:t>strong correlations with IGD</w:t>
      </w:r>
      <w:r w:rsidR="005167BF" w:rsidRPr="003B57EA">
        <w:t>;</w:t>
      </w:r>
      <w:r w:rsidR="00D24DF5" w:rsidRPr="003B57EA">
        <w:t xml:space="preserve"> </w:t>
      </w:r>
      <w:r w:rsidR="005167BF" w:rsidRPr="003B57EA">
        <w:t>specifically,</w:t>
      </w:r>
      <w:r w:rsidR="005167BF" w:rsidRPr="003B57EA" w:rsidDel="005167BF">
        <w:t xml:space="preserve"> </w:t>
      </w:r>
      <w:r w:rsidR="00513C00" w:rsidRPr="003B57EA">
        <w:t>n</w:t>
      </w:r>
      <w:r w:rsidR="00D24DF5" w:rsidRPr="003B57EA">
        <w:t xml:space="preserve">egative </w:t>
      </w:r>
      <w:r w:rsidR="00513C00" w:rsidRPr="003B57EA">
        <w:t>m</w:t>
      </w:r>
      <w:r w:rsidR="00D24DF5" w:rsidRPr="003B57EA">
        <w:t>etacognitions</w:t>
      </w:r>
      <w:r w:rsidR="006879AB" w:rsidRPr="003B57EA">
        <w:t xml:space="preserve"> (Marino et al., 2020; Akbari et al., 202</w:t>
      </w:r>
      <w:r w:rsidR="0036374F" w:rsidRPr="003B57EA">
        <w:t>1</w:t>
      </w:r>
      <w:r w:rsidR="006879AB" w:rsidRPr="003B57EA">
        <w:t>)</w:t>
      </w:r>
      <w:r w:rsidR="00504A3B" w:rsidRPr="003B57EA">
        <w:t xml:space="preserve"> reflect </w:t>
      </w:r>
      <w:r w:rsidR="00CB2153" w:rsidRPr="003B57EA">
        <w:t>adolescents’ beliefs</w:t>
      </w:r>
      <w:r w:rsidR="006B2810" w:rsidRPr="003B57EA">
        <w:t xml:space="preserve"> </w:t>
      </w:r>
      <w:r w:rsidR="005167BF" w:rsidRPr="003B57EA">
        <w:t xml:space="preserve">regarding their lack of </w:t>
      </w:r>
      <w:r w:rsidR="00504A3B" w:rsidRPr="003B57EA">
        <w:t xml:space="preserve">control over </w:t>
      </w:r>
      <w:r w:rsidR="005167BF" w:rsidRPr="003B57EA">
        <w:t>gaming</w:t>
      </w:r>
      <w:r w:rsidR="00504A3B" w:rsidRPr="003B57EA">
        <w:t xml:space="preserve">. These beliefs, possibly activated during or after playing, may lead to continued </w:t>
      </w:r>
      <w:r w:rsidR="006B2810" w:rsidRPr="003B57EA">
        <w:t xml:space="preserve">gaming </w:t>
      </w:r>
      <w:r w:rsidR="00504A3B" w:rsidRPr="003B57EA">
        <w:t>to reduce</w:t>
      </w:r>
      <w:r w:rsidR="004B4B47" w:rsidRPr="003B57EA">
        <w:t xml:space="preserve"> </w:t>
      </w:r>
      <w:r w:rsidR="00504A3B" w:rsidRPr="003B57EA">
        <w:t>negative affect with the paradoxical effect of increasing it (Marino &amp; Spada, 2017).</w:t>
      </w:r>
    </w:p>
    <w:p w14:paraId="0C6A11E7" w14:textId="6199A62E" w:rsidR="002702A7" w:rsidRPr="003B57EA" w:rsidRDefault="0068415F" w:rsidP="002702A7">
      <w:pPr>
        <w:spacing w:line="480" w:lineRule="auto"/>
        <w:ind w:firstLine="720"/>
        <w:jc w:val="both"/>
        <w:rPr>
          <w:rtl/>
        </w:rPr>
      </w:pPr>
      <w:bookmarkStart w:id="8" w:name="_Hlk123731423"/>
      <w:r w:rsidRPr="003B57EA">
        <w:t xml:space="preserve">Consistent with studies on </w:t>
      </w:r>
      <w:r w:rsidRPr="003B57EA">
        <w:rPr>
          <w:rFonts w:asciiTheme="majorBidi" w:hAnsiTheme="majorBidi" w:cstheme="majorBidi"/>
          <w:shd w:val="clear" w:color="auto" w:fill="FFFFFF"/>
        </w:rPr>
        <w:t xml:space="preserve">IGD </w:t>
      </w:r>
      <w:r w:rsidR="00CF3816" w:rsidRPr="003B57EA">
        <w:rPr>
          <w:rFonts w:asciiTheme="majorBidi" w:hAnsiTheme="majorBidi" w:cstheme="majorBidi"/>
          <w:shd w:val="clear" w:color="auto" w:fill="FFFFFF"/>
        </w:rPr>
        <w:t xml:space="preserve">prevalence among </w:t>
      </w:r>
      <w:r w:rsidR="00CF3816" w:rsidRPr="003B57EA">
        <w:t>adolescents,</w:t>
      </w:r>
      <w:r w:rsidR="00CF3816" w:rsidRPr="003B57EA">
        <w:rPr>
          <w:rFonts w:asciiTheme="majorBidi" w:hAnsiTheme="majorBidi" w:cstheme="majorBidi"/>
          <w:shd w:val="clear" w:color="auto" w:fill="FFFFFF"/>
        </w:rPr>
        <w:t xml:space="preserve"> we found that </w:t>
      </w:r>
      <w:r w:rsidR="00CF3816" w:rsidRPr="003B57EA">
        <w:rPr>
          <w:spacing w:val="3"/>
          <w:bdr w:val="none" w:sz="0" w:space="0" w:color="auto" w:frame="1"/>
        </w:rPr>
        <w:t xml:space="preserve">2.17% (n=23) </w:t>
      </w:r>
      <w:r w:rsidR="002702A7" w:rsidRPr="003B57EA">
        <w:rPr>
          <w:spacing w:val="3"/>
          <w:bdr w:val="none" w:sz="0" w:space="0" w:color="auto" w:frame="1"/>
        </w:rPr>
        <w:t>at</w:t>
      </w:r>
      <w:r w:rsidR="00CF3816" w:rsidRPr="003B57EA">
        <w:rPr>
          <w:spacing w:val="3"/>
          <w:bdr w:val="none" w:sz="0" w:space="0" w:color="auto" w:frame="1"/>
        </w:rPr>
        <w:t xml:space="preserve"> T1, and 1.89% (n=20) </w:t>
      </w:r>
      <w:r w:rsidR="002702A7" w:rsidRPr="003B57EA">
        <w:rPr>
          <w:spacing w:val="3"/>
          <w:bdr w:val="none" w:sz="0" w:space="0" w:color="auto" w:frame="1"/>
        </w:rPr>
        <w:t>at</w:t>
      </w:r>
      <w:r w:rsidR="00CF3816" w:rsidRPr="003B57EA">
        <w:rPr>
          <w:spacing w:val="3"/>
          <w:bdr w:val="none" w:sz="0" w:space="0" w:color="auto" w:frame="1"/>
        </w:rPr>
        <w:t xml:space="preserve"> T2 </w:t>
      </w:r>
      <w:r w:rsidR="002702A7" w:rsidRPr="003B57EA">
        <w:rPr>
          <w:spacing w:val="3"/>
          <w:bdr w:val="none" w:sz="0" w:space="0" w:color="auto" w:frame="1"/>
        </w:rPr>
        <w:t xml:space="preserve">of our participants reported </w:t>
      </w:r>
      <w:r w:rsidR="00CF3816" w:rsidRPr="003B57EA">
        <w:rPr>
          <w:spacing w:val="3"/>
          <w:bdr w:val="none" w:sz="0" w:space="0" w:color="auto" w:frame="1"/>
        </w:rPr>
        <w:t xml:space="preserve">IGD. </w:t>
      </w:r>
      <w:r w:rsidR="002702A7" w:rsidRPr="003B57EA">
        <w:rPr>
          <w:spacing w:val="3"/>
          <w:bdr w:val="none" w:sz="0" w:space="0" w:color="auto" w:frame="1"/>
        </w:rPr>
        <w:t>A</w:t>
      </w:r>
      <w:r w:rsidR="00CF3816" w:rsidRPr="003B57EA">
        <w:t xml:space="preserve"> systematic review by </w:t>
      </w:r>
      <w:r w:rsidR="00CF3816" w:rsidRPr="003B57EA">
        <w:rPr>
          <w:rFonts w:asciiTheme="majorBidi" w:hAnsiTheme="majorBidi" w:cstheme="majorBidi"/>
          <w:color w:val="222222"/>
          <w:shd w:val="clear" w:color="auto" w:fill="FFFFFF"/>
        </w:rPr>
        <w:t>Paulus</w:t>
      </w:r>
      <w:r w:rsidR="00CF3816" w:rsidRPr="003B57EA">
        <w:t xml:space="preserve"> et al., (2018) found a median IGD prevalence of 5.5% and </w:t>
      </w:r>
      <w:r w:rsidR="00CF3816" w:rsidRPr="003B57EA">
        <w:lastRenderedPageBreak/>
        <w:t xml:space="preserve">a median of 2.0% for population-based studies. </w:t>
      </w:r>
      <w:r w:rsidR="003F356E" w:rsidRPr="003B57EA">
        <w:t xml:space="preserve">However, research shows that the prevalence of IGD has been increasing, especially among adolescents in recent years (8.8%; Gao et al., 2022). </w:t>
      </w:r>
      <w:r w:rsidR="002702A7" w:rsidRPr="003B57EA">
        <w:t xml:space="preserve">A possible explanation for our findings is that more than half of our sample reported being religious. In a religious society like Israel, where </w:t>
      </w:r>
      <w:proofErr w:type="gramStart"/>
      <w:r w:rsidR="002702A7" w:rsidRPr="003B57EA">
        <w:t>the majority of</w:t>
      </w:r>
      <w:proofErr w:type="gramEnd"/>
      <w:r w:rsidR="002702A7" w:rsidRPr="003B57EA">
        <w:t xml:space="preserve"> the population </w:t>
      </w:r>
      <w:proofErr w:type="spellStart"/>
      <w:r w:rsidR="002702A7" w:rsidRPr="003B57EA">
        <w:t>os</w:t>
      </w:r>
      <w:proofErr w:type="spellEnd"/>
      <w:r w:rsidR="002702A7" w:rsidRPr="003B57EA">
        <w:t xml:space="preserve"> geographically concentrated in dense residential neighborhoods, children and adolescents are educated in institutions that are under constant supervision, and the experience of mobility and access to technology is very limited (Rosenberg, </w:t>
      </w:r>
      <w:proofErr w:type="spellStart"/>
      <w:r w:rsidR="002702A7" w:rsidRPr="003B57EA">
        <w:t>Blondheim</w:t>
      </w:r>
      <w:proofErr w:type="spellEnd"/>
      <w:r w:rsidR="002702A7" w:rsidRPr="003B57EA">
        <w:t xml:space="preserve">, &amp; Katz, 2019). </w:t>
      </w:r>
    </w:p>
    <w:bookmarkEnd w:id="8"/>
    <w:p w14:paraId="60DE6461" w14:textId="45A1CEB1" w:rsidR="005908FC" w:rsidRPr="003B57EA" w:rsidRDefault="004B2E97" w:rsidP="0010065E">
      <w:pPr>
        <w:spacing w:line="480" w:lineRule="auto"/>
        <w:ind w:firstLine="720"/>
        <w:jc w:val="both"/>
        <w:rPr>
          <w:rtl/>
        </w:rPr>
      </w:pPr>
      <w:r w:rsidRPr="003B57EA">
        <w:t xml:space="preserve">We hypothesized that metacognitions mediate the effect of attachment patterns on IGD, </w:t>
      </w:r>
      <w:r w:rsidR="00565A55" w:rsidRPr="003B57EA">
        <w:t>POSIs</w:t>
      </w:r>
      <w:r w:rsidRPr="003B57EA">
        <w:t xml:space="preserve">, </w:t>
      </w:r>
      <w:r w:rsidR="004B4B47" w:rsidRPr="003B57EA">
        <w:t xml:space="preserve">and </w:t>
      </w:r>
      <w:r w:rsidRPr="003B57EA">
        <w:t xml:space="preserve">motives for online gaming. </w:t>
      </w:r>
      <w:r w:rsidR="005908FC" w:rsidRPr="003B57EA">
        <w:t xml:space="preserve">Unsurprisingly, and in keeping with the </w:t>
      </w:r>
      <w:r w:rsidR="003563C1" w:rsidRPr="003B57EA">
        <w:t>hypothesis</w:t>
      </w:r>
      <w:r w:rsidR="005908FC" w:rsidRPr="003B57EA">
        <w:t xml:space="preserve">, boys had significantly higher negative and positive metacognitions about online gaming than girls, older and more religious adolescents had fewer positive metacognitions about online gaming, and adolescents with higher </w:t>
      </w:r>
      <w:r w:rsidR="00F83426" w:rsidRPr="003B57EA">
        <w:t xml:space="preserve">SES </w:t>
      </w:r>
      <w:r w:rsidR="005908FC" w:rsidRPr="003B57EA">
        <w:t>had more negative metacognitions about online gaming than adolescents with lower SES.</w:t>
      </w:r>
      <w:r w:rsidR="00D557DF" w:rsidRPr="003B57EA">
        <w:t xml:space="preserve"> This finding is in line with research </w:t>
      </w:r>
      <w:r w:rsidR="004B4B47" w:rsidRPr="003B57EA">
        <w:t xml:space="preserve">findings </w:t>
      </w:r>
      <w:r w:rsidR="00D557DF" w:rsidRPr="003B57EA">
        <w:t xml:space="preserve">that boys </w:t>
      </w:r>
      <w:r w:rsidR="00767D8C" w:rsidRPr="003B57EA">
        <w:t>show</w:t>
      </w:r>
      <w:r w:rsidR="00767D8C" w:rsidRPr="003B57EA" w:rsidDel="00767D8C">
        <w:t xml:space="preserve"> </w:t>
      </w:r>
      <w:r w:rsidR="00D557DF" w:rsidRPr="003B57EA">
        <w:t xml:space="preserve">higher </w:t>
      </w:r>
      <w:r w:rsidR="00B25DBB" w:rsidRPr="003B57EA">
        <w:t>level</w:t>
      </w:r>
      <w:r w:rsidR="00767D8C" w:rsidRPr="003B57EA">
        <w:t>s</w:t>
      </w:r>
      <w:r w:rsidR="00B25DBB" w:rsidRPr="003B57EA">
        <w:t xml:space="preserve"> of </w:t>
      </w:r>
      <w:r w:rsidR="00216918" w:rsidRPr="003B57EA">
        <w:t>metacognitions</w:t>
      </w:r>
      <w:r w:rsidR="00216918" w:rsidRPr="003B57EA">
        <w:rPr>
          <w:lang w:val="en-GB"/>
        </w:rPr>
        <w:t xml:space="preserve"> (Dang et al., 2022). </w:t>
      </w:r>
      <w:r w:rsidR="00B52F03" w:rsidRPr="003B57EA">
        <w:t xml:space="preserve">Results were also in line with </w:t>
      </w:r>
      <w:r w:rsidR="00F60759" w:rsidRPr="003B57EA">
        <w:t>recent research that</w:t>
      </w:r>
      <w:r w:rsidR="00F575D6" w:rsidRPr="003B57EA">
        <w:t xml:space="preserve"> young age (Efrati et al., 2021) and </w:t>
      </w:r>
      <w:r w:rsidR="00F71BE9" w:rsidRPr="003B57EA">
        <w:t>lower religiosity</w:t>
      </w:r>
      <w:r w:rsidR="00F575D6" w:rsidRPr="003B57EA">
        <w:t xml:space="preserve"> (Efrati &amp; Spada, 2022) indicate more IGD</w:t>
      </w:r>
      <w:r w:rsidR="00216918" w:rsidRPr="003B57EA">
        <w:t xml:space="preserve"> (which may explain the fewer positive metacognitions)</w:t>
      </w:r>
      <w:r w:rsidR="00F60759" w:rsidRPr="003B57EA">
        <w:t xml:space="preserve">. </w:t>
      </w:r>
      <w:r w:rsidR="00F77F9D" w:rsidRPr="003B57EA">
        <w:t xml:space="preserve">In </w:t>
      </w:r>
      <w:r w:rsidR="00B26A11" w:rsidRPr="003B57EA">
        <w:t xml:space="preserve">contrast </w:t>
      </w:r>
      <w:r w:rsidR="00767D8C" w:rsidRPr="003B57EA">
        <w:t xml:space="preserve">to </w:t>
      </w:r>
      <w:r w:rsidR="00B26A11" w:rsidRPr="003B57EA">
        <w:t>our finding</w:t>
      </w:r>
      <w:r w:rsidR="00CB2153" w:rsidRPr="003B57EA">
        <w:t>s</w:t>
      </w:r>
      <w:r w:rsidR="00B26A11" w:rsidRPr="003B57EA">
        <w:t xml:space="preserve"> about SES, </w:t>
      </w:r>
      <w:r w:rsidR="00767D8C" w:rsidRPr="003B57EA">
        <w:t xml:space="preserve">a </w:t>
      </w:r>
      <w:r w:rsidR="00B26A11" w:rsidRPr="003B57EA">
        <w:t xml:space="preserve">recent study </w:t>
      </w:r>
      <w:r w:rsidR="00767D8C" w:rsidRPr="003B57EA">
        <w:t xml:space="preserve">did </w:t>
      </w:r>
      <w:r w:rsidR="00B26A11" w:rsidRPr="003B57EA">
        <w:t xml:space="preserve">not </w:t>
      </w:r>
      <w:r w:rsidR="00767D8C" w:rsidRPr="003B57EA">
        <w:t xml:space="preserve">find </w:t>
      </w:r>
      <w:r w:rsidR="00B26A11" w:rsidRPr="003B57EA">
        <w:t>correlation</w:t>
      </w:r>
      <w:r w:rsidR="00767D8C" w:rsidRPr="003B57EA">
        <w:t>s</w:t>
      </w:r>
      <w:r w:rsidR="00B26A11" w:rsidRPr="003B57EA">
        <w:t xml:space="preserve"> between SES and metacognitions </w:t>
      </w:r>
      <w:r w:rsidR="00BF1450" w:rsidRPr="003B57EA">
        <w:t xml:space="preserve">(Marino et al., 2019). One possibility </w:t>
      </w:r>
      <w:r w:rsidR="00767D8C" w:rsidRPr="003B57EA">
        <w:t>could be the</w:t>
      </w:r>
      <w:r w:rsidR="00BF1450" w:rsidRPr="003B57EA">
        <w:t xml:space="preserve"> use </w:t>
      </w:r>
      <w:r w:rsidR="00767D8C" w:rsidRPr="003B57EA">
        <w:t xml:space="preserve">of </w:t>
      </w:r>
      <w:r w:rsidR="00BF1450" w:rsidRPr="003B57EA">
        <w:t>generic metacognition</w:t>
      </w:r>
      <w:r w:rsidR="00A123B2" w:rsidRPr="003B57EA">
        <w:t>s</w:t>
      </w:r>
      <w:r w:rsidR="00BF1450" w:rsidRPr="003B57EA">
        <w:t xml:space="preserve"> </w:t>
      </w:r>
      <w:bookmarkStart w:id="9" w:name="_Hlk123068545"/>
      <w:r w:rsidR="002876BB" w:rsidRPr="003B57EA">
        <w:t>(</w:t>
      </w:r>
      <w:r w:rsidR="00C4003E" w:rsidRPr="003B57EA">
        <w:t>Metacognitions Questionnaire</w:t>
      </w:r>
      <w:r w:rsidR="00E61342" w:rsidRPr="003B57EA">
        <w:t xml:space="preserve">; </w:t>
      </w:r>
      <w:r w:rsidR="00E61342" w:rsidRPr="003B57EA">
        <w:rPr>
          <w:rFonts w:asciiTheme="majorBidi" w:hAnsiTheme="majorBidi" w:cstheme="majorBidi"/>
          <w:shd w:val="clear" w:color="auto" w:fill="FFFFFF"/>
        </w:rPr>
        <w:t>Wells, &amp; Cartwright-Hatton, 2004</w:t>
      </w:r>
      <w:bookmarkEnd w:id="9"/>
      <w:r w:rsidR="002876BB" w:rsidRPr="003B57EA">
        <w:t>)</w:t>
      </w:r>
      <w:r w:rsidR="00545FAC" w:rsidRPr="003B57EA">
        <w:t xml:space="preserve"> tools</w:t>
      </w:r>
      <w:r w:rsidR="00C304BC" w:rsidRPr="003B57EA">
        <w:t xml:space="preserve">. Another reason </w:t>
      </w:r>
      <w:r w:rsidR="00166098" w:rsidRPr="003B57EA">
        <w:t xml:space="preserve">is </w:t>
      </w:r>
      <w:r w:rsidR="002876BB" w:rsidRPr="003B57EA">
        <w:t xml:space="preserve">the </w:t>
      </w:r>
      <w:r w:rsidR="00767D8C" w:rsidRPr="003B57EA">
        <w:t xml:space="preserve">difference </w:t>
      </w:r>
      <w:r w:rsidR="002876BB" w:rsidRPr="003B57EA">
        <w:t xml:space="preserve">between problematic Facebook use </w:t>
      </w:r>
      <w:r w:rsidR="00D141EE" w:rsidRPr="003B57EA">
        <w:t xml:space="preserve">which </w:t>
      </w:r>
      <w:r w:rsidR="00767D8C" w:rsidRPr="003B57EA">
        <w:t>is less</w:t>
      </w:r>
      <w:r w:rsidR="00D141EE" w:rsidRPr="003B57EA">
        <w:t xml:space="preserve"> </w:t>
      </w:r>
      <w:r w:rsidR="00545FAC" w:rsidRPr="003B57EA">
        <w:t xml:space="preserve">common in </w:t>
      </w:r>
      <w:r w:rsidR="00767D8C" w:rsidRPr="003B57EA">
        <w:t xml:space="preserve">adolescents </w:t>
      </w:r>
      <w:r w:rsidR="00CB2153" w:rsidRPr="003B57EA">
        <w:t>than</w:t>
      </w:r>
      <w:r w:rsidR="00D141EE" w:rsidRPr="003B57EA">
        <w:t xml:space="preserve"> </w:t>
      </w:r>
      <w:r w:rsidR="00CB2153" w:rsidRPr="003B57EA">
        <w:t>online gaming</w:t>
      </w:r>
      <w:r w:rsidR="002876BB" w:rsidRPr="003B57EA">
        <w:t xml:space="preserve">. </w:t>
      </w:r>
      <w:r w:rsidR="00D141EE" w:rsidRPr="003B57EA">
        <w:t xml:space="preserve">Moreover, </w:t>
      </w:r>
      <w:r w:rsidR="009114FF" w:rsidRPr="003B57EA">
        <w:t xml:space="preserve">adolescents with higher SES </w:t>
      </w:r>
      <w:r w:rsidR="00C72707" w:rsidRPr="003B57EA">
        <w:t xml:space="preserve">were </w:t>
      </w:r>
      <w:r w:rsidR="009114FF" w:rsidRPr="003B57EA">
        <w:t>found to be more</w:t>
      </w:r>
      <w:r w:rsidR="007A1E3D" w:rsidRPr="003B57EA">
        <w:t xml:space="preserve"> at</w:t>
      </w:r>
      <w:r w:rsidR="009114FF" w:rsidRPr="003B57EA">
        <w:t xml:space="preserve"> risk </w:t>
      </w:r>
      <w:r w:rsidR="00C72707" w:rsidRPr="003B57EA">
        <w:t xml:space="preserve">for </w:t>
      </w:r>
      <w:r w:rsidR="007A1E3D" w:rsidRPr="003B57EA">
        <w:t xml:space="preserve">addictive behavior on the </w:t>
      </w:r>
      <w:r w:rsidR="00707C40" w:rsidRPr="003B57EA">
        <w:t>I</w:t>
      </w:r>
      <w:r w:rsidR="007A1E3D" w:rsidRPr="003B57EA">
        <w:t>nternet and gaming (</w:t>
      </w:r>
      <w:proofErr w:type="spellStart"/>
      <w:r w:rsidR="007A1E3D" w:rsidRPr="003B57EA">
        <w:t>Petruzelka</w:t>
      </w:r>
      <w:proofErr w:type="spellEnd"/>
      <w:r w:rsidR="007A1E3D" w:rsidRPr="003B57EA">
        <w:t xml:space="preserve"> et al., 2020</w:t>
      </w:r>
      <w:r w:rsidR="00887322" w:rsidRPr="003B57EA">
        <w:t xml:space="preserve">; </w:t>
      </w:r>
      <w:proofErr w:type="spellStart"/>
      <w:r w:rsidR="00887322" w:rsidRPr="003B57EA">
        <w:t>Toker</w:t>
      </w:r>
      <w:proofErr w:type="spellEnd"/>
      <w:r w:rsidR="00887322" w:rsidRPr="003B57EA">
        <w:t xml:space="preserve"> &amp; </w:t>
      </w:r>
      <w:proofErr w:type="spellStart"/>
      <w:r w:rsidR="00887322" w:rsidRPr="003B57EA">
        <w:t>Baturay</w:t>
      </w:r>
      <w:proofErr w:type="spellEnd"/>
      <w:r w:rsidR="00887322" w:rsidRPr="003B57EA">
        <w:t>, 2016</w:t>
      </w:r>
      <w:r w:rsidR="00C72707" w:rsidRPr="003B57EA">
        <w:t xml:space="preserve">), possibly due to </w:t>
      </w:r>
      <w:r w:rsidR="00C83C1F" w:rsidRPr="003B57EA">
        <w:t xml:space="preserve">more awareness </w:t>
      </w:r>
      <w:r w:rsidR="007A1E3D" w:rsidRPr="003B57EA">
        <w:t>(</w:t>
      </w:r>
      <w:r w:rsidR="000D4583" w:rsidRPr="003B57EA">
        <w:t>parents</w:t>
      </w:r>
      <w:r w:rsidR="00F71BE9" w:rsidRPr="003B57EA">
        <w:t>’</w:t>
      </w:r>
      <w:r w:rsidR="007A1E3D" w:rsidRPr="003B57EA">
        <w:t xml:space="preserve"> education or school </w:t>
      </w:r>
      <w:r w:rsidR="007A1E3D" w:rsidRPr="003B57EA">
        <w:lastRenderedPageBreak/>
        <w:t>prevent</w:t>
      </w:r>
      <w:r w:rsidR="00C72707" w:rsidRPr="003B57EA">
        <w:t>ion</w:t>
      </w:r>
      <w:r w:rsidR="007A1E3D" w:rsidRPr="003B57EA">
        <w:t xml:space="preserve"> program</w:t>
      </w:r>
      <w:r w:rsidR="00C72707" w:rsidRPr="003B57EA">
        <w:t>s</w:t>
      </w:r>
      <w:r w:rsidR="007A1E3D" w:rsidRPr="003B57EA">
        <w:t xml:space="preserve">) </w:t>
      </w:r>
      <w:r w:rsidR="00C83C1F" w:rsidRPr="003B57EA">
        <w:t xml:space="preserve">of </w:t>
      </w:r>
      <w:r w:rsidR="007418F5" w:rsidRPr="003B57EA">
        <w:t xml:space="preserve">problematic behavior </w:t>
      </w:r>
      <w:r w:rsidR="002D0C1B" w:rsidRPr="003B57EA">
        <w:t xml:space="preserve">regarding </w:t>
      </w:r>
      <w:r w:rsidR="00C83C1F" w:rsidRPr="003B57EA">
        <w:t>online gaming</w:t>
      </w:r>
      <w:r w:rsidR="007418F5" w:rsidRPr="003B57EA">
        <w:t>,</w:t>
      </w:r>
      <w:r w:rsidR="00C83C1F" w:rsidRPr="003B57EA">
        <w:t xml:space="preserve"> </w:t>
      </w:r>
      <w:r w:rsidR="00C72707" w:rsidRPr="003B57EA">
        <w:t xml:space="preserve">which </w:t>
      </w:r>
      <w:r w:rsidR="00C83C1F" w:rsidRPr="003B57EA">
        <w:t xml:space="preserve">may lead to </w:t>
      </w:r>
      <w:r w:rsidR="007C4429" w:rsidRPr="003B57EA">
        <w:t>more negative metacognitions about online gaming</w:t>
      </w:r>
      <w:r w:rsidR="00C83C1F" w:rsidRPr="003B57EA">
        <w:t>.</w:t>
      </w:r>
    </w:p>
    <w:p w14:paraId="60481FCC" w14:textId="5F84B184" w:rsidR="007A2DDC" w:rsidRPr="003B57EA" w:rsidRDefault="00375EDD" w:rsidP="0010065E">
      <w:pPr>
        <w:spacing w:line="480" w:lineRule="auto"/>
        <w:ind w:firstLine="720"/>
        <w:jc w:val="both"/>
        <w:rPr>
          <w:rtl/>
        </w:rPr>
      </w:pPr>
      <w:r w:rsidRPr="003B57EA">
        <w:t xml:space="preserve">Aside from </w:t>
      </w:r>
      <w:r w:rsidR="00FF7E35" w:rsidRPr="003B57EA">
        <w:t xml:space="preserve">the </w:t>
      </w:r>
      <w:r w:rsidRPr="003B57EA">
        <w:t xml:space="preserve">correlation between metacognitions about online gaming and other measures, </w:t>
      </w:r>
      <w:r w:rsidR="00CB2153" w:rsidRPr="003B57EA">
        <w:t>we examined this correlation in this study</w:t>
      </w:r>
      <w:r w:rsidRPr="003B57EA">
        <w:t xml:space="preserve"> </w:t>
      </w:r>
      <w:r w:rsidR="00150695" w:rsidRPr="003B57EA">
        <w:t xml:space="preserve">after </w:t>
      </w:r>
      <w:r w:rsidR="009B7831" w:rsidRPr="003B57EA">
        <w:t>controlling for attachment patter</w:t>
      </w:r>
      <w:r w:rsidR="00FF7E35" w:rsidRPr="003B57EA">
        <w:t>n</w:t>
      </w:r>
      <w:r w:rsidR="009B7831" w:rsidRPr="003B57EA">
        <w:t>s</w:t>
      </w:r>
      <w:r w:rsidR="00150695" w:rsidRPr="003B57EA">
        <w:t>.</w:t>
      </w:r>
      <w:r w:rsidR="009B7831" w:rsidRPr="003B57EA">
        <w:t xml:space="preserve"> </w:t>
      </w:r>
      <w:r w:rsidR="00150695" w:rsidRPr="003B57EA">
        <w:t xml:space="preserve">Results indicated that </w:t>
      </w:r>
      <w:r w:rsidR="009B7831" w:rsidRPr="003B57EA">
        <w:t xml:space="preserve">the higher </w:t>
      </w:r>
      <w:r w:rsidR="002D0C1B" w:rsidRPr="003B57EA">
        <w:t xml:space="preserve">an </w:t>
      </w:r>
      <w:r w:rsidR="009B7831" w:rsidRPr="003B57EA">
        <w:t>adolescent</w:t>
      </w:r>
      <w:r w:rsidR="002D0C1B" w:rsidRPr="003B57EA">
        <w:t>’</w:t>
      </w:r>
      <w:r w:rsidR="009B7831" w:rsidRPr="003B57EA">
        <w:t xml:space="preserve">s negative and/or positive metacognitions about online gaming, the </w:t>
      </w:r>
      <w:r w:rsidR="00FF7E35" w:rsidRPr="003B57EA">
        <w:t xml:space="preserve">more severe </w:t>
      </w:r>
      <w:r w:rsidR="009B7831" w:rsidRPr="003B57EA">
        <w:t>their IGD</w:t>
      </w:r>
      <w:r w:rsidR="008429B1" w:rsidRPr="003B57EA">
        <w:t xml:space="preserve">, </w:t>
      </w:r>
      <w:r w:rsidR="00CB2153" w:rsidRPr="003B57EA">
        <w:t xml:space="preserve">and </w:t>
      </w:r>
      <w:r w:rsidR="00FF7E35" w:rsidRPr="003B57EA">
        <w:t xml:space="preserve">the greater their </w:t>
      </w:r>
      <w:r w:rsidR="00565A55" w:rsidRPr="003B57EA">
        <w:t>POSIs</w:t>
      </w:r>
      <w:r w:rsidR="009B7831" w:rsidRPr="003B57EA">
        <w:t xml:space="preserve"> and motives for online gaming</w:t>
      </w:r>
      <w:r w:rsidR="00834DB5" w:rsidRPr="003B57EA">
        <w:t xml:space="preserve">. </w:t>
      </w:r>
      <w:r w:rsidR="003C1BD3" w:rsidRPr="003B57EA">
        <w:t xml:space="preserve">These findings correspond with previous studies on </w:t>
      </w:r>
      <w:r w:rsidR="00F71BE9" w:rsidRPr="003B57EA">
        <w:t xml:space="preserve">adolescents </w:t>
      </w:r>
      <w:r w:rsidR="00400D4F" w:rsidRPr="003B57EA">
        <w:t>and gamers</w:t>
      </w:r>
      <w:r w:rsidR="003C1BD3" w:rsidRPr="003B57EA">
        <w:t xml:space="preserve"> indicating </w:t>
      </w:r>
      <w:r w:rsidR="00630E2A" w:rsidRPr="003B57EA">
        <w:t xml:space="preserve">correlation between </w:t>
      </w:r>
      <w:r w:rsidR="008A0B2C" w:rsidRPr="003B57EA">
        <w:t>metacognitions about online gaming and IGD (Dang et al., 2022; Akbari et al., 2021</w:t>
      </w:r>
      <w:r w:rsidR="00400D4F" w:rsidRPr="003B57EA">
        <w:t>)</w:t>
      </w:r>
      <w:r w:rsidR="00FF7E35" w:rsidRPr="003B57EA">
        <w:t>,</w:t>
      </w:r>
      <w:r w:rsidR="00400D4F" w:rsidRPr="003B57EA">
        <w:t xml:space="preserve"> </w:t>
      </w:r>
      <w:r w:rsidR="00565A55" w:rsidRPr="003B57EA">
        <w:t>POSIs</w:t>
      </w:r>
      <w:r w:rsidR="00400D4F" w:rsidRPr="003B57EA">
        <w:t xml:space="preserve">, and motives for online gaming (Marino et al., 2020). </w:t>
      </w:r>
      <w:r w:rsidR="00897588" w:rsidRPr="003B57EA">
        <w:t xml:space="preserve">Specifically, the current study </w:t>
      </w:r>
      <w:r w:rsidR="00257ADE" w:rsidRPr="003B57EA">
        <w:t xml:space="preserve">also </w:t>
      </w:r>
      <w:r w:rsidR="00EB0A15" w:rsidRPr="003B57EA">
        <w:t xml:space="preserve">focused </w:t>
      </w:r>
      <w:r w:rsidR="00257ADE" w:rsidRPr="003B57EA">
        <w:t>on demographic aspects</w:t>
      </w:r>
      <w:r w:rsidR="00CB2153" w:rsidRPr="003B57EA">
        <w:t>. It</w:t>
      </w:r>
      <w:r w:rsidR="00EB0A15" w:rsidRPr="003B57EA">
        <w:t xml:space="preserve"> </w:t>
      </w:r>
      <w:r w:rsidR="00897588" w:rsidRPr="003B57EA">
        <w:t xml:space="preserve">revealed that older adolescents had higher motivation for </w:t>
      </w:r>
      <w:r w:rsidR="00EB0A15" w:rsidRPr="003B57EA">
        <w:t xml:space="preserve">the </w:t>
      </w:r>
      <w:r w:rsidR="00897588" w:rsidRPr="003B57EA">
        <w:t>social benefits of gaming</w:t>
      </w:r>
      <w:r w:rsidR="00461794" w:rsidRPr="003B57EA">
        <w:t xml:space="preserve">, </w:t>
      </w:r>
      <w:r w:rsidR="00EB0A15" w:rsidRPr="003B57EA">
        <w:t xml:space="preserve">which </w:t>
      </w:r>
      <w:r w:rsidR="00461794" w:rsidRPr="003B57EA">
        <w:t xml:space="preserve">may be related to </w:t>
      </w:r>
      <w:r w:rsidR="00EB0A15" w:rsidRPr="003B57EA">
        <w:t>their</w:t>
      </w:r>
      <w:r w:rsidR="00461794" w:rsidRPr="003B57EA">
        <w:t xml:space="preserve"> affinity </w:t>
      </w:r>
      <w:r w:rsidR="00EB0A15" w:rsidRPr="003B57EA">
        <w:t>for technology as “</w:t>
      </w:r>
      <w:r w:rsidR="00461794" w:rsidRPr="003B57EA">
        <w:t xml:space="preserve">digital </w:t>
      </w:r>
      <w:r w:rsidR="00EB0A15" w:rsidRPr="003B57EA">
        <w:t xml:space="preserve">natives” </w:t>
      </w:r>
      <w:r w:rsidR="00627FF8" w:rsidRPr="003B57EA">
        <w:t>(</w:t>
      </w:r>
      <w:proofErr w:type="spellStart"/>
      <w:r w:rsidR="00627FF8" w:rsidRPr="003B57EA">
        <w:t>Andreassen</w:t>
      </w:r>
      <w:proofErr w:type="spellEnd"/>
      <w:r w:rsidR="00627FF8" w:rsidRPr="003B57EA">
        <w:t xml:space="preserve"> et al., 2016)</w:t>
      </w:r>
      <w:r w:rsidR="00461794" w:rsidRPr="003B57EA">
        <w:t xml:space="preserve"> and the developmental tasks of this </w:t>
      </w:r>
      <w:r w:rsidR="00EB0A15" w:rsidRPr="003B57EA">
        <w:t xml:space="preserve">older </w:t>
      </w:r>
      <w:r w:rsidR="00461794" w:rsidRPr="003B57EA">
        <w:t>age period (personal goals vs life optimization</w:t>
      </w:r>
      <w:r w:rsidR="00EB0A15" w:rsidRPr="003B57EA">
        <w:t xml:space="preserve">; </w:t>
      </w:r>
      <w:r w:rsidR="001906F5" w:rsidRPr="003B57EA">
        <w:t>Freund</w:t>
      </w:r>
      <w:r w:rsidR="00EB0A15" w:rsidRPr="003B57EA">
        <w:t xml:space="preserve"> </w:t>
      </w:r>
      <w:r w:rsidR="001906F5" w:rsidRPr="003B57EA">
        <w:t xml:space="preserve">&amp; </w:t>
      </w:r>
      <w:proofErr w:type="spellStart"/>
      <w:r w:rsidR="001906F5" w:rsidRPr="003B57EA">
        <w:t>Baltes</w:t>
      </w:r>
      <w:proofErr w:type="spellEnd"/>
      <w:r w:rsidR="001906F5" w:rsidRPr="003B57EA">
        <w:t>, 1998)</w:t>
      </w:r>
      <w:r w:rsidR="00461794" w:rsidRPr="003B57EA">
        <w:t>.</w:t>
      </w:r>
      <w:r w:rsidR="001906F5" w:rsidRPr="003B57EA">
        <w:t xml:space="preserve"> In addition, we found that</w:t>
      </w:r>
      <w:r w:rsidR="00897588" w:rsidRPr="003B57EA">
        <w:t xml:space="preserve"> boys had </w:t>
      </w:r>
      <w:r w:rsidR="00EB0A15" w:rsidRPr="003B57EA">
        <w:t xml:space="preserve">a </w:t>
      </w:r>
      <w:r w:rsidR="00897588" w:rsidRPr="003B57EA">
        <w:t>higher motivation for competition and recreation than girls</w:t>
      </w:r>
      <w:r w:rsidR="000D1A93" w:rsidRPr="003B57EA">
        <w:t xml:space="preserve">. </w:t>
      </w:r>
      <w:r w:rsidR="00AE6047" w:rsidRPr="003B57EA">
        <w:t xml:space="preserve">Demetrovics et al. (2011) </w:t>
      </w:r>
      <w:r w:rsidR="000D1A93" w:rsidRPr="003B57EA">
        <w:t xml:space="preserve">found </w:t>
      </w:r>
      <w:r w:rsidR="00AE6047" w:rsidRPr="003B57EA">
        <w:t xml:space="preserve">this result </w:t>
      </w:r>
      <w:r w:rsidR="00CB2153" w:rsidRPr="003B57EA">
        <w:t>i</w:t>
      </w:r>
      <w:r w:rsidR="000D1A93" w:rsidRPr="003B57EA">
        <w:t xml:space="preserve">n </w:t>
      </w:r>
      <w:r w:rsidR="00AE6047" w:rsidRPr="003B57EA">
        <w:t xml:space="preserve">a </w:t>
      </w:r>
      <w:r w:rsidR="000D1A93" w:rsidRPr="003B57EA">
        <w:t>Hungarian sample of 3,818</w:t>
      </w:r>
      <w:r w:rsidR="00897588" w:rsidRPr="003B57EA">
        <w:t xml:space="preserve"> </w:t>
      </w:r>
      <w:r w:rsidR="000D1A93" w:rsidRPr="003B57EA">
        <w:t>participants</w:t>
      </w:r>
      <w:r w:rsidR="00AE6047" w:rsidRPr="003B57EA">
        <w:t>;</w:t>
      </w:r>
      <w:r w:rsidR="000D1A93" w:rsidRPr="003B57EA">
        <w:t xml:space="preserve"> </w:t>
      </w:r>
      <w:r w:rsidR="00E3249E" w:rsidRPr="003B57EA">
        <w:t>in contrast</w:t>
      </w:r>
      <w:r w:rsidR="00AE6047" w:rsidRPr="003B57EA">
        <w:t xml:space="preserve">, our study found that </w:t>
      </w:r>
      <w:r w:rsidR="00E3249E" w:rsidRPr="003B57EA">
        <w:t>female</w:t>
      </w:r>
      <w:r w:rsidR="00AE6047" w:rsidRPr="003B57EA">
        <w:t>s</w:t>
      </w:r>
      <w:r w:rsidR="00E3249E" w:rsidRPr="003B57EA">
        <w:t xml:space="preserve"> </w:t>
      </w:r>
      <w:r w:rsidR="00AE6047" w:rsidRPr="003B57EA">
        <w:t xml:space="preserve">had a higher motivation for </w:t>
      </w:r>
      <w:r w:rsidR="00E3249E" w:rsidRPr="003B57EA">
        <w:t>recreation than male</w:t>
      </w:r>
      <w:r w:rsidR="00AE6047" w:rsidRPr="003B57EA">
        <w:t>s</w:t>
      </w:r>
      <w:r w:rsidR="00B55FEE" w:rsidRPr="003B57EA">
        <w:t>.</w:t>
      </w:r>
      <w:r w:rsidR="00E3249E" w:rsidRPr="003B57EA">
        <w:t xml:space="preserve"> </w:t>
      </w:r>
      <w:r w:rsidR="00E25ACE" w:rsidRPr="003B57EA">
        <w:t>One explanation is</w:t>
      </w:r>
      <w:r w:rsidR="00E3249E" w:rsidRPr="003B57EA">
        <w:t xml:space="preserve"> </w:t>
      </w:r>
      <w:r w:rsidR="00E25ACE" w:rsidRPr="003B57EA">
        <w:t xml:space="preserve">age </w:t>
      </w:r>
      <w:r w:rsidR="00E3249E" w:rsidRPr="003B57EA">
        <w:t>difference</w:t>
      </w:r>
      <w:r w:rsidR="00E25ACE" w:rsidRPr="003B57EA">
        <w:t xml:space="preserve">: </w:t>
      </w:r>
      <w:r w:rsidR="00B55FEE" w:rsidRPr="003B57EA">
        <w:t>age</w:t>
      </w:r>
      <w:r w:rsidR="00E25ACE" w:rsidRPr="003B57EA">
        <w:t>s</w:t>
      </w:r>
      <w:r w:rsidR="00B55FEE" w:rsidRPr="003B57EA">
        <w:t xml:space="preserve"> 14</w:t>
      </w:r>
      <w:r w:rsidR="00F6646F" w:rsidRPr="003B57EA">
        <w:t xml:space="preserve"> to </w:t>
      </w:r>
      <w:r w:rsidR="00B55FEE" w:rsidRPr="003B57EA">
        <w:t xml:space="preserve">17 </w:t>
      </w:r>
      <w:r w:rsidR="00E25ACE" w:rsidRPr="003B57EA">
        <w:t xml:space="preserve">scored </w:t>
      </w:r>
      <w:r w:rsidR="00B55FEE" w:rsidRPr="003B57EA">
        <w:t xml:space="preserve">the lowest </w:t>
      </w:r>
      <w:r w:rsidR="00E25ACE" w:rsidRPr="003B57EA">
        <w:t>for</w:t>
      </w:r>
      <w:r w:rsidR="00B55FEE" w:rsidRPr="003B57EA">
        <w:t xml:space="preserve"> recreation (Demetrovics et al., 2011)</w:t>
      </w:r>
      <w:r w:rsidR="00E3249E" w:rsidRPr="003B57EA">
        <w:t xml:space="preserve">. </w:t>
      </w:r>
      <w:r w:rsidR="00B55FEE" w:rsidRPr="003B57EA">
        <w:t xml:space="preserve">In addition, </w:t>
      </w:r>
      <w:r w:rsidR="00897588" w:rsidRPr="003B57EA">
        <w:t xml:space="preserve">religious adolescents </w:t>
      </w:r>
      <w:r w:rsidR="00A82946" w:rsidRPr="003B57EA">
        <w:t>had a lower</w:t>
      </w:r>
      <w:r w:rsidR="00897588" w:rsidRPr="003B57EA">
        <w:t xml:space="preserve"> </w:t>
      </w:r>
      <w:r w:rsidR="00E25ACE" w:rsidRPr="003B57EA">
        <w:t xml:space="preserve">incidence of </w:t>
      </w:r>
      <w:r w:rsidR="00897588" w:rsidRPr="003B57EA">
        <w:t>IGD and lower motivation for social, escape, coping fantasy</w:t>
      </w:r>
      <w:r w:rsidR="00E25ACE" w:rsidRPr="003B57EA">
        <w:t>,</w:t>
      </w:r>
      <w:r w:rsidR="00897588" w:rsidRPr="003B57EA">
        <w:t xml:space="preserve"> and recreation </w:t>
      </w:r>
      <w:r w:rsidR="00CB2153" w:rsidRPr="003B57EA">
        <w:t>than</w:t>
      </w:r>
      <w:r w:rsidR="00897588" w:rsidRPr="003B57EA">
        <w:t xml:space="preserve"> secular adolescents.</w:t>
      </w:r>
      <w:r w:rsidR="007E1739" w:rsidRPr="003B57EA">
        <w:t xml:space="preserve"> </w:t>
      </w:r>
      <w:r w:rsidR="00E25ACE" w:rsidRPr="003B57EA">
        <w:t xml:space="preserve">A previous study </w:t>
      </w:r>
      <w:r w:rsidR="00846DD8" w:rsidRPr="003B57EA">
        <w:t xml:space="preserve">on Israeli </w:t>
      </w:r>
      <w:r w:rsidR="001C453A" w:rsidRPr="003B57EA">
        <w:t xml:space="preserve">adolescents </w:t>
      </w:r>
      <w:r w:rsidR="00CB262A" w:rsidRPr="003B57EA">
        <w:t>indicate</w:t>
      </w:r>
      <w:r w:rsidR="00E25ACE" w:rsidRPr="003B57EA">
        <w:t>s</w:t>
      </w:r>
      <w:r w:rsidR="00846DD8" w:rsidRPr="003B57EA">
        <w:t xml:space="preserve"> </w:t>
      </w:r>
      <w:r w:rsidR="00E25ACE" w:rsidRPr="003B57EA">
        <w:t xml:space="preserve">a lower prevalence of </w:t>
      </w:r>
      <w:r w:rsidR="00846DD8" w:rsidRPr="003B57EA">
        <w:t xml:space="preserve">IGD for </w:t>
      </w:r>
      <w:r w:rsidR="00ED1C96" w:rsidRPr="003B57EA">
        <w:t>religious</w:t>
      </w:r>
      <w:r w:rsidR="00846DD8" w:rsidRPr="003B57EA">
        <w:t xml:space="preserve"> </w:t>
      </w:r>
      <w:r w:rsidR="00F6646F" w:rsidRPr="003B57EA">
        <w:t xml:space="preserve">adolescents </w:t>
      </w:r>
      <w:r w:rsidR="00CB2153" w:rsidRPr="003B57EA">
        <w:t>than</w:t>
      </w:r>
      <w:r w:rsidR="00846DD8" w:rsidRPr="003B57EA">
        <w:t xml:space="preserve"> secular </w:t>
      </w:r>
      <w:r w:rsidR="004908F1" w:rsidRPr="003B57EA">
        <w:t xml:space="preserve">adolescents </w:t>
      </w:r>
      <w:r w:rsidR="00846DD8" w:rsidRPr="003B57EA">
        <w:t xml:space="preserve">(Efrati &amp; Spada, 2022), but we </w:t>
      </w:r>
      <w:r w:rsidR="00CB2153" w:rsidRPr="003B57EA">
        <w:t>could not</w:t>
      </w:r>
      <w:r w:rsidR="004908F1" w:rsidRPr="003B57EA">
        <w:t xml:space="preserve"> find</w:t>
      </w:r>
      <w:r w:rsidR="00846DD8" w:rsidRPr="003B57EA">
        <w:t xml:space="preserve"> </w:t>
      </w:r>
      <w:r w:rsidR="00F33C36" w:rsidRPr="003B57EA">
        <w:t xml:space="preserve">research </w:t>
      </w:r>
      <w:r w:rsidR="001C453A" w:rsidRPr="003B57EA">
        <w:t xml:space="preserve">indicating </w:t>
      </w:r>
      <w:r w:rsidR="00ED1C96" w:rsidRPr="003B57EA">
        <w:t>differences</w:t>
      </w:r>
      <w:r w:rsidR="00846DD8" w:rsidRPr="003B57EA">
        <w:t xml:space="preserve"> by </w:t>
      </w:r>
      <w:r w:rsidR="004908F1" w:rsidRPr="003B57EA">
        <w:t xml:space="preserve">religion </w:t>
      </w:r>
      <w:r w:rsidR="00CB2153" w:rsidRPr="003B57EA">
        <w:t xml:space="preserve">in </w:t>
      </w:r>
      <w:r w:rsidR="004908F1" w:rsidRPr="003B57EA">
        <w:t xml:space="preserve">the </w:t>
      </w:r>
      <w:r w:rsidR="00ED1C96" w:rsidRPr="003B57EA">
        <w:t xml:space="preserve">motivation of </w:t>
      </w:r>
      <w:r w:rsidR="00707C40" w:rsidRPr="003B57EA">
        <w:t>I</w:t>
      </w:r>
      <w:r w:rsidR="00ED1C96" w:rsidRPr="003B57EA">
        <w:t>nternet gaming</w:t>
      </w:r>
      <w:r w:rsidR="004908F1" w:rsidRPr="003B57EA">
        <w:t xml:space="preserve">. Future </w:t>
      </w:r>
      <w:r w:rsidR="00F33C36" w:rsidRPr="003B57EA">
        <w:t xml:space="preserve">research </w:t>
      </w:r>
      <w:r w:rsidR="00F6646F" w:rsidRPr="003B57EA">
        <w:t xml:space="preserve">is </w:t>
      </w:r>
      <w:r w:rsidR="00F33C36" w:rsidRPr="003B57EA">
        <w:t>needed</w:t>
      </w:r>
      <w:r w:rsidR="004908F1" w:rsidRPr="003B57EA">
        <w:t xml:space="preserve"> in this area</w:t>
      </w:r>
      <w:r w:rsidR="00ED1C96" w:rsidRPr="003B57EA">
        <w:t xml:space="preserve">. </w:t>
      </w:r>
      <w:r w:rsidR="00CB262A" w:rsidRPr="003B57EA">
        <w:t xml:space="preserve">Finally, </w:t>
      </w:r>
      <w:r w:rsidR="00E85AD4" w:rsidRPr="003B57EA">
        <w:t xml:space="preserve">regarding attachment patterns, </w:t>
      </w:r>
      <w:r w:rsidR="005C4872" w:rsidRPr="003B57EA">
        <w:t>a</w:t>
      </w:r>
      <w:r w:rsidR="00541CD5" w:rsidRPr="003B57EA">
        <w:t xml:space="preserve">n </w:t>
      </w:r>
      <w:r w:rsidR="001C7518" w:rsidRPr="003B57EA">
        <w:t xml:space="preserve">anxious </w:t>
      </w:r>
      <w:r w:rsidR="00541CD5" w:rsidRPr="003B57EA">
        <w:t xml:space="preserve">attachment style is </w:t>
      </w:r>
      <w:r w:rsidR="00541CD5" w:rsidRPr="003B57EA">
        <w:lastRenderedPageBreak/>
        <w:t xml:space="preserve">typical of </w:t>
      </w:r>
      <w:r w:rsidR="00C73D97" w:rsidRPr="003B57EA">
        <w:t xml:space="preserve">adolescents </w:t>
      </w:r>
      <w:r w:rsidR="00541CD5" w:rsidRPr="003B57EA">
        <w:t xml:space="preserve">who </w:t>
      </w:r>
      <w:r w:rsidR="00C73D97" w:rsidRPr="003B57EA">
        <w:t>seek</w:t>
      </w:r>
      <w:r w:rsidR="00541CD5" w:rsidRPr="003B57EA">
        <w:t xml:space="preserve"> closeness, support, affection, and love but lack the conviction that they will be able to meet their goal</w:t>
      </w:r>
      <w:r w:rsidR="004908F1" w:rsidRPr="003B57EA">
        <w:t>s</w:t>
      </w:r>
      <w:r w:rsidR="00541CD5" w:rsidRPr="003B57EA">
        <w:t xml:space="preserve"> and fear rejection. Thus, higher motivation to escape and less to compete may serve as a substitute for those adolescents who harbor attachment anxiety. </w:t>
      </w:r>
      <w:r w:rsidR="004908F1" w:rsidRPr="003B57EA">
        <w:t xml:space="preserve">For </w:t>
      </w:r>
      <w:r w:rsidR="00541CD5" w:rsidRPr="003B57EA">
        <w:t xml:space="preserve">different reasons, </w:t>
      </w:r>
      <w:r w:rsidR="004908F1" w:rsidRPr="003B57EA">
        <w:t xml:space="preserve">adolescents </w:t>
      </w:r>
      <w:r w:rsidR="00541CD5" w:rsidRPr="003B57EA">
        <w:t xml:space="preserve">who </w:t>
      </w:r>
      <w:r w:rsidR="00F02443" w:rsidRPr="003B57EA">
        <w:t xml:space="preserve">indicate attachment avoidance </w:t>
      </w:r>
      <w:r w:rsidR="00541CD5" w:rsidRPr="003B57EA">
        <w:t xml:space="preserve">may </w:t>
      </w:r>
      <w:r w:rsidR="004908F1" w:rsidRPr="003B57EA">
        <w:t xml:space="preserve">be </w:t>
      </w:r>
      <w:r w:rsidR="00541CD5" w:rsidRPr="003B57EA">
        <w:t>seek</w:t>
      </w:r>
      <w:r w:rsidR="004908F1" w:rsidRPr="003B57EA">
        <w:t>ing</w:t>
      </w:r>
      <w:r w:rsidR="00F02443" w:rsidRPr="003B57EA">
        <w:t xml:space="preserve"> </w:t>
      </w:r>
      <w:r w:rsidR="00541CD5" w:rsidRPr="003B57EA">
        <w:t xml:space="preserve">compensation for </w:t>
      </w:r>
      <w:r w:rsidR="004908F1" w:rsidRPr="003B57EA">
        <w:t xml:space="preserve">a </w:t>
      </w:r>
      <w:r w:rsidR="00541CD5" w:rsidRPr="003B57EA">
        <w:t>lack of warmth, closeness, and</w:t>
      </w:r>
      <w:r w:rsidR="00F02443" w:rsidRPr="003B57EA">
        <w:t xml:space="preserve"> </w:t>
      </w:r>
      <w:r w:rsidR="00541CD5" w:rsidRPr="003B57EA">
        <w:t>intimacy</w:t>
      </w:r>
      <w:r w:rsidR="004908F1" w:rsidRPr="003B57EA">
        <w:t xml:space="preserve"> in their lives</w:t>
      </w:r>
      <w:r w:rsidR="00541CD5" w:rsidRPr="003B57EA">
        <w:t xml:space="preserve">. Research has shown that </w:t>
      </w:r>
      <w:r w:rsidR="00787A76" w:rsidRPr="003B57EA">
        <w:t xml:space="preserve">pornography use </w:t>
      </w:r>
      <w:r w:rsidR="00CB2153" w:rsidRPr="003B57EA">
        <w:t>compensates for avoiding</w:t>
      </w:r>
      <w:r w:rsidR="00F02443" w:rsidRPr="003B57EA">
        <w:t xml:space="preserve"> </w:t>
      </w:r>
      <w:r w:rsidR="00541CD5" w:rsidRPr="003B57EA">
        <w:t>attachment and loneliness (Efrati</w:t>
      </w:r>
      <w:r w:rsidR="00F02443" w:rsidRPr="003B57EA">
        <w:t xml:space="preserve"> </w:t>
      </w:r>
      <w:r w:rsidR="00541CD5" w:rsidRPr="003B57EA">
        <w:t xml:space="preserve">&amp; </w:t>
      </w:r>
      <w:proofErr w:type="spellStart"/>
      <w:r w:rsidR="00541CD5" w:rsidRPr="003B57EA">
        <w:t>Amichai</w:t>
      </w:r>
      <w:proofErr w:type="spellEnd"/>
      <w:r w:rsidR="00541CD5" w:rsidRPr="003B57EA">
        <w:t>-Hamburger, 201</w:t>
      </w:r>
      <w:r w:rsidR="00F02443" w:rsidRPr="003B57EA">
        <w:t>9</w:t>
      </w:r>
      <w:r w:rsidR="00541CD5" w:rsidRPr="003B57EA">
        <w:t xml:space="preserve">). Therefore, it is </w:t>
      </w:r>
      <w:r w:rsidR="00CB2153" w:rsidRPr="003B57EA">
        <w:t>un</w:t>
      </w:r>
      <w:r w:rsidR="00541CD5" w:rsidRPr="003B57EA">
        <w:t>surprising</w:t>
      </w:r>
      <w:r w:rsidR="00F02443" w:rsidRPr="003B57EA">
        <w:t xml:space="preserve"> </w:t>
      </w:r>
      <w:r w:rsidR="00541CD5" w:rsidRPr="003B57EA">
        <w:t xml:space="preserve">that </w:t>
      </w:r>
      <w:r w:rsidR="00A672F2" w:rsidRPr="003B57EA">
        <w:t xml:space="preserve">attachment avoidance was associated with </w:t>
      </w:r>
      <w:r w:rsidR="004908F1" w:rsidRPr="003B57EA">
        <w:t xml:space="preserve">a </w:t>
      </w:r>
      <w:r w:rsidR="00A672F2" w:rsidRPr="003B57EA">
        <w:t xml:space="preserve">higher </w:t>
      </w:r>
      <w:r w:rsidR="004908F1" w:rsidRPr="003B57EA">
        <w:t xml:space="preserve">rate of </w:t>
      </w:r>
      <w:r w:rsidR="00A672F2" w:rsidRPr="003B57EA">
        <w:t xml:space="preserve">IGD, </w:t>
      </w:r>
      <w:r w:rsidR="002807C5" w:rsidRPr="003B57EA">
        <w:t xml:space="preserve">a </w:t>
      </w:r>
      <w:r w:rsidR="00565A55" w:rsidRPr="003B57EA">
        <w:t>POSIs</w:t>
      </w:r>
      <w:r w:rsidR="00A672F2" w:rsidRPr="003B57EA">
        <w:t>, and motivations to escape, cope, develop skills, and create a</w:t>
      </w:r>
      <w:r w:rsidR="00CB2153" w:rsidRPr="003B57EA">
        <w:t>n online fantasy</w:t>
      </w:r>
      <w:r w:rsidR="00A672F2" w:rsidRPr="003B57EA">
        <w:t xml:space="preserve"> world.</w:t>
      </w:r>
    </w:p>
    <w:p w14:paraId="0EC96A31" w14:textId="77777777" w:rsidR="008A7F5A" w:rsidRPr="003B57EA" w:rsidRDefault="00F54E32" w:rsidP="008A7F5A">
      <w:pPr>
        <w:spacing w:line="480" w:lineRule="auto"/>
        <w:ind w:firstLine="720"/>
        <w:jc w:val="both"/>
      </w:pPr>
      <w:r w:rsidRPr="003B57EA">
        <w:t>Consistent with previous research (</w:t>
      </w:r>
      <w:proofErr w:type="spellStart"/>
      <w:r w:rsidR="00F30945" w:rsidRPr="003B57EA">
        <w:t>Casale</w:t>
      </w:r>
      <w:proofErr w:type="spellEnd"/>
      <w:r w:rsidR="00F30945" w:rsidRPr="003B57EA">
        <w:t xml:space="preserve">, Caplan, &amp; Fioravanti, 2016; </w:t>
      </w:r>
      <w:proofErr w:type="spellStart"/>
      <w:r w:rsidR="00F30945" w:rsidRPr="003B57EA">
        <w:t>Casale</w:t>
      </w:r>
      <w:proofErr w:type="spellEnd"/>
      <w:r w:rsidR="00F30945" w:rsidRPr="003B57EA">
        <w:t xml:space="preserve">, </w:t>
      </w:r>
      <w:proofErr w:type="spellStart"/>
      <w:r w:rsidR="00F30945" w:rsidRPr="003B57EA">
        <w:t>Musicò</w:t>
      </w:r>
      <w:proofErr w:type="spellEnd"/>
      <w:r w:rsidR="00F30945" w:rsidRPr="003B57EA">
        <w:t xml:space="preserve">, &amp; Spada, 2021; Marino et al., 2019), </w:t>
      </w:r>
      <w:r w:rsidRPr="003B57EA">
        <w:t xml:space="preserve">metacognitions </w:t>
      </w:r>
      <w:r w:rsidR="00545FAC" w:rsidRPr="003B57EA">
        <w:t xml:space="preserve">were found to </w:t>
      </w:r>
      <w:r w:rsidR="00CB2153" w:rsidRPr="003B57EA">
        <w:t>mediate</w:t>
      </w:r>
      <w:r w:rsidRPr="003B57EA">
        <w:t xml:space="preserve"> </w:t>
      </w:r>
      <w:r w:rsidR="00545FAC" w:rsidRPr="003B57EA">
        <w:t xml:space="preserve">the </w:t>
      </w:r>
      <w:r w:rsidRPr="003B57EA">
        <w:t xml:space="preserve">relationship between potential risk factors and </w:t>
      </w:r>
      <w:r w:rsidR="00F30945" w:rsidRPr="003B57EA">
        <w:t>problematic technological</w:t>
      </w:r>
      <w:r w:rsidR="00DF39F4" w:rsidRPr="003B57EA">
        <w:t xml:space="preserve"> </w:t>
      </w:r>
      <w:r w:rsidR="00F30945" w:rsidRPr="003B57EA">
        <w:t>behavior</w:t>
      </w:r>
      <w:r w:rsidRPr="003B57EA">
        <w:t xml:space="preserve"> in</w:t>
      </w:r>
      <w:r w:rsidR="00F30945" w:rsidRPr="003B57EA">
        <w:t xml:space="preserve"> </w:t>
      </w:r>
      <w:r w:rsidRPr="003B57EA">
        <w:t>general</w:t>
      </w:r>
      <w:r w:rsidR="002807C5" w:rsidRPr="003B57EA">
        <w:t xml:space="preserve">. Our </w:t>
      </w:r>
      <w:r w:rsidR="00050080" w:rsidRPr="003B57EA">
        <w:t xml:space="preserve">findings indicate that positive and negative metacognitions significantly mediated the effect of attachment anxiety </w:t>
      </w:r>
      <w:r w:rsidR="001763FD" w:rsidRPr="003B57EA">
        <w:t xml:space="preserve">and avoidance </w:t>
      </w:r>
      <w:r w:rsidR="002807C5" w:rsidRPr="003B57EA">
        <w:t xml:space="preserve">for </w:t>
      </w:r>
      <w:r w:rsidR="00050080" w:rsidRPr="003B57EA">
        <w:t>IGD, POSI, and motives for online gaming.</w:t>
      </w:r>
      <w:r w:rsidR="00EA046A" w:rsidRPr="003B57EA">
        <w:t xml:space="preserve"> </w:t>
      </w:r>
      <w:r w:rsidR="005B6ED5" w:rsidRPr="003B57EA">
        <w:t>As a result of their childhood experiences, anxious</w:t>
      </w:r>
      <w:r w:rsidR="00EA046A" w:rsidRPr="003B57EA">
        <w:t xml:space="preserve"> </w:t>
      </w:r>
      <w:r w:rsidR="005B6ED5" w:rsidRPr="003B57EA">
        <w:t xml:space="preserve">adolescents are oriented </w:t>
      </w:r>
      <w:r w:rsidR="00EA046A" w:rsidRPr="003B57EA">
        <w:t xml:space="preserve">toward </w:t>
      </w:r>
      <w:r w:rsidR="005B6ED5" w:rsidRPr="003B57EA">
        <w:t xml:space="preserve">danger </w:t>
      </w:r>
      <w:r w:rsidR="00EA046A" w:rsidRPr="003B57EA">
        <w:t>monitoring</w:t>
      </w:r>
      <w:r w:rsidR="00CB2153" w:rsidRPr="003B57EA">
        <w:t>, tend to focus on perceived signs of abandonment and threat,</w:t>
      </w:r>
      <w:r w:rsidR="005B6ED5" w:rsidRPr="003B57EA">
        <w:t xml:space="preserve"> and are prone to rumination</w:t>
      </w:r>
      <w:r w:rsidR="00EA046A" w:rsidRPr="003B57EA">
        <w:t xml:space="preserve"> (Malik, Wells, &amp; </w:t>
      </w:r>
      <w:proofErr w:type="spellStart"/>
      <w:r w:rsidR="00EA046A" w:rsidRPr="003B57EA">
        <w:t>Wittkowski</w:t>
      </w:r>
      <w:proofErr w:type="spellEnd"/>
      <w:r w:rsidR="00EA046A" w:rsidRPr="003B57EA">
        <w:t xml:space="preserve">, 2015). </w:t>
      </w:r>
      <w:r w:rsidR="00F43018" w:rsidRPr="003B57EA">
        <w:t>Anxiety in</w:t>
      </w:r>
      <w:r w:rsidR="00EA046A" w:rsidRPr="003B57EA">
        <w:t xml:space="preserve"> </w:t>
      </w:r>
      <w:r w:rsidR="00471CBD" w:rsidRPr="003B57EA">
        <w:t xml:space="preserve">adolescents </w:t>
      </w:r>
      <w:r w:rsidR="00F43018" w:rsidRPr="003B57EA">
        <w:t xml:space="preserve">is </w:t>
      </w:r>
      <w:r w:rsidR="00EA046A" w:rsidRPr="003B57EA">
        <w:t xml:space="preserve">likely to </w:t>
      </w:r>
      <w:r w:rsidR="00F43018" w:rsidRPr="003B57EA">
        <w:t xml:space="preserve">result in </w:t>
      </w:r>
      <w:r w:rsidR="003D0E60" w:rsidRPr="003B57EA">
        <w:t>a belief that</w:t>
      </w:r>
      <w:r w:rsidR="00EA046A" w:rsidRPr="003B57EA">
        <w:t xml:space="preserve"> perseverative thinking</w:t>
      </w:r>
      <w:r w:rsidR="003D0E60" w:rsidRPr="003B57EA">
        <w:t xml:space="preserve"> is </w:t>
      </w:r>
      <w:r w:rsidR="00CB2153" w:rsidRPr="003B57EA">
        <w:t>valuable</w:t>
      </w:r>
      <w:r w:rsidR="00EA046A" w:rsidRPr="003B57EA">
        <w:t xml:space="preserve"> and negative beliefs about thought uncontrollability and danger (Caselli et al., 2017). Conversely, </w:t>
      </w:r>
      <w:r w:rsidR="00471CBD" w:rsidRPr="003B57EA">
        <w:t xml:space="preserve">adolescents </w:t>
      </w:r>
      <w:proofErr w:type="spellStart"/>
      <w:r w:rsidR="00471CBD" w:rsidRPr="003B57EA">
        <w:t>characterised</w:t>
      </w:r>
      <w:proofErr w:type="spellEnd"/>
      <w:r w:rsidR="00471CBD" w:rsidRPr="003B57EA">
        <w:t xml:space="preserve"> by</w:t>
      </w:r>
      <w:r w:rsidR="00EA046A" w:rsidRPr="003B57EA">
        <w:t xml:space="preserve"> attachment avoidance </w:t>
      </w:r>
      <w:r w:rsidR="00471CBD" w:rsidRPr="003B57EA">
        <w:t>tend towards</w:t>
      </w:r>
      <w:r w:rsidR="00EA046A" w:rsidRPr="003B57EA">
        <w:t xml:space="preserve"> thought suppression</w:t>
      </w:r>
      <w:r w:rsidR="00CB2153" w:rsidRPr="003B57EA">
        <w:t>, repressing natural threats,</w:t>
      </w:r>
      <w:r w:rsidR="00EA046A" w:rsidRPr="003B57EA">
        <w:t xml:space="preserve"> and </w:t>
      </w:r>
      <w:r w:rsidR="00471CBD" w:rsidRPr="003B57EA">
        <w:t>denying</w:t>
      </w:r>
      <w:r w:rsidR="00CB2153" w:rsidRPr="003B57EA">
        <w:t xml:space="preserve"> </w:t>
      </w:r>
      <w:r w:rsidR="00EA046A" w:rsidRPr="003B57EA">
        <w:t>the</w:t>
      </w:r>
      <w:r w:rsidR="00471CBD" w:rsidRPr="003B57EA">
        <w:t>ir</w:t>
      </w:r>
      <w:r w:rsidR="00EA046A" w:rsidRPr="003B57EA">
        <w:t xml:space="preserve"> need for closeness. </w:t>
      </w:r>
      <w:r w:rsidR="005C2014" w:rsidRPr="003B57EA">
        <w:t>Avoidant</w:t>
      </w:r>
      <w:r w:rsidR="00CB2153" w:rsidRPr="003B57EA">
        <w:t>-</w:t>
      </w:r>
      <w:r w:rsidR="00EA046A" w:rsidRPr="003B57EA">
        <w:t>style</w:t>
      </w:r>
      <w:r w:rsidR="005C2014" w:rsidRPr="003B57EA">
        <w:t xml:space="preserve"> adolescents</w:t>
      </w:r>
      <w:r w:rsidR="00EA046A" w:rsidRPr="003B57EA">
        <w:t xml:space="preserve"> </w:t>
      </w:r>
      <w:r w:rsidR="005C2014" w:rsidRPr="003B57EA">
        <w:t xml:space="preserve">may </w:t>
      </w:r>
      <w:r w:rsidR="00EA046A" w:rsidRPr="003B57EA">
        <w:t xml:space="preserve">believe </w:t>
      </w:r>
      <w:r w:rsidR="005C2014" w:rsidRPr="003B57EA">
        <w:t xml:space="preserve">in the danger and uncontrollability of </w:t>
      </w:r>
      <w:r w:rsidR="00EA046A" w:rsidRPr="003B57EA">
        <w:t>thoughts and emotions</w:t>
      </w:r>
      <w:r w:rsidR="005C2014" w:rsidRPr="003B57EA">
        <w:t xml:space="preserve"> and attempt to mitigate this danger by controlling their thoughts</w:t>
      </w:r>
      <w:r w:rsidR="00EA046A" w:rsidRPr="003B57EA">
        <w:t xml:space="preserve"> (Caselli et al., 2017; Moss, Erskine, Albery, Allen, &amp; Georgiou, 2015). </w:t>
      </w:r>
    </w:p>
    <w:p w14:paraId="2D0C4E00" w14:textId="4B1DC522" w:rsidR="00EA046A" w:rsidRPr="003B57EA" w:rsidRDefault="008612BE" w:rsidP="008A7F5A">
      <w:pPr>
        <w:spacing w:line="480" w:lineRule="auto"/>
        <w:ind w:firstLine="720"/>
        <w:jc w:val="both"/>
      </w:pPr>
      <w:r w:rsidRPr="003B57EA">
        <w:lastRenderedPageBreak/>
        <w:t xml:space="preserve">Maladaptive </w:t>
      </w:r>
      <w:r w:rsidR="00EA046A" w:rsidRPr="003B57EA">
        <w:t>metacognitions</w:t>
      </w:r>
      <w:r w:rsidR="006056A4" w:rsidRPr="003B57EA">
        <w:t xml:space="preserve"> resulting from anxious attachment</w:t>
      </w:r>
      <w:r w:rsidR="00EA046A" w:rsidRPr="003B57EA">
        <w:t xml:space="preserve"> </w:t>
      </w:r>
      <w:r w:rsidRPr="003B57EA">
        <w:t>appear</w:t>
      </w:r>
      <w:r w:rsidR="006056A4" w:rsidRPr="003B57EA">
        <w:t xml:space="preserve"> to be</w:t>
      </w:r>
      <w:r w:rsidR="00EA046A" w:rsidRPr="003B57EA">
        <w:t xml:space="preserve"> associated with higher levels of IGD</w:t>
      </w:r>
      <w:r w:rsidR="00733FFB" w:rsidRPr="003B57EA">
        <w:t>, POSI, and motives for online gaming.</w:t>
      </w:r>
      <w:r w:rsidR="00E61342" w:rsidRPr="003B57EA">
        <w:t xml:space="preserve"> </w:t>
      </w:r>
      <w:r w:rsidR="00E61342" w:rsidRPr="003B57EA">
        <w:rPr>
          <w:rFonts w:asciiTheme="majorBidi" w:hAnsiTheme="majorBidi" w:cstheme="majorBidi"/>
          <w:shd w:val="clear" w:color="auto" w:fill="FFFFFF"/>
        </w:rPr>
        <w:t>These finding</w:t>
      </w:r>
      <w:r w:rsidR="00A123B2" w:rsidRPr="003B57EA">
        <w:rPr>
          <w:rFonts w:asciiTheme="majorBidi" w:hAnsiTheme="majorBidi" w:cstheme="majorBidi"/>
          <w:shd w:val="clear" w:color="auto" w:fill="FFFFFF"/>
        </w:rPr>
        <w:t>s</w:t>
      </w:r>
      <w:r w:rsidR="00E61342" w:rsidRPr="003B57EA">
        <w:rPr>
          <w:rFonts w:asciiTheme="majorBidi" w:hAnsiTheme="majorBidi" w:cstheme="majorBidi"/>
          <w:shd w:val="clear" w:color="auto" w:fill="FFFFFF"/>
        </w:rPr>
        <w:t xml:space="preserve"> </w:t>
      </w:r>
      <w:r w:rsidR="00A123B2" w:rsidRPr="003B57EA">
        <w:rPr>
          <w:rFonts w:asciiTheme="majorBidi" w:hAnsiTheme="majorBidi" w:cstheme="majorBidi"/>
          <w:shd w:val="clear" w:color="auto" w:fill="FFFFFF"/>
        </w:rPr>
        <w:t>are</w:t>
      </w:r>
      <w:r w:rsidR="00E61342" w:rsidRPr="003B57EA">
        <w:rPr>
          <w:rFonts w:asciiTheme="majorBidi" w:hAnsiTheme="majorBidi" w:cstheme="majorBidi"/>
          <w:shd w:val="clear" w:color="auto" w:fill="FFFFFF"/>
        </w:rPr>
        <w:t xml:space="preserve"> consistent with an overview of the literature (Mansueto et al., 2019) </w:t>
      </w:r>
      <w:r w:rsidR="00A123B2" w:rsidRPr="003B57EA">
        <w:rPr>
          <w:rFonts w:asciiTheme="majorBidi" w:hAnsiTheme="majorBidi" w:cstheme="majorBidi"/>
          <w:shd w:val="clear" w:color="auto" w:fill="FFFFFF"/>
        </w:rPr>
        <w:t xml:space="preserve">which </w:t>
      </w:r>
      <w:r w:rsidR="00E61342" w:rsidRPr="003B57EA">
        <w:rPr>
          <w:rFonts w:asciiTheme="majorBidi" w:hAnsiTheme="majorBidi" w:cstheme="majorBidi"/>
          <w:shd w:val="clear" w:color="auto" w:fill="FFFFFF"/>
        </w:rPr>
        <w:t xml:space="preserve">suggested that the exposure to early adverse experiences (e.g., childhood abuse, childhood neglect) might be associated with unhelpful </w:t>
      </w:r>
      <w:r w:rsidR="00A123B2" w:rsidRPr="003B57EA">
        <w:rPr>
          <w:rFonts w:asciiTheme="majorBidi" w:hAnsiTheme="majorBidi" w:cstheme="majorBidi"/>
          <w:shd w:val="clear" w:color="auto" w:fill="FFFFFF"/>
        </w:rPr>
        <w:t>metacognitions and that these metacognitions</w:t>
      </w:r>
      <w:r w:rsidR="00E61342" w:rsidRPr="003B57EA">
        <w:rPr>
          <w:rFonts w:asciiTheme="majorBidi" w:hAnsiTheme="majorBidi" w:cstheme="majorBidi"/>
          <w:shd w:val="clear" w:color="auto" w:fill="FFFFFF"/>
        </w:rPr>
        <w:t xml:space="preserve"> may mediate the association between early adverse experiences and poor psychological health.</w:t>
      </w:r>
    </w:p>
    <w:p w14:paraId="27BABF4D" w14:textId="7712404F" w:rsidR="00A123B2" w:rsidRPr="003B57EA" w:rsidRDefault="00A123B2" w:rsidP="0010065E">
      <w:pPr>
        <w:spacing w:line="480" w:lineRule="auto"/>
        <w:ind w:firstLine="720"/>
        <w:jc w:val="both"/>
      </w:pPr>
      <w:r w:rsidRPr="003B57EA">
        <w:t>Our findings indicate that Metacognitive Therapy (Wells, 200</w:t>
      </w:r>
      <w:r w:rsidR="00B048AF" w:rsidRPr="003B57EA">
        <w:t>9</w:t>
      </w:r>
      <w:r w:rsidRPr="003B57EA">
        <w:t xml:space="preserve">) interventions may be of benefit in the treatment of IGD. These interventions focus on the restructuring of unhelpful metacognitions together with the interruption of </w:t>
      </w:r>
      <w:proofErr w:type="spellStart"/>
      <w:r w:rsidRPr="003B57EA">
        <w:t>maldaptive</w:t>
      </w:r>
      <w:proofErr w:type="spellEnd"/>
      <w:r w:rsidRPr="003B57EA">
        <w:t xml:space="preserve"> forms of self-regulation, such as worry, rumination and desire thinking. Some studies </w:t>
      </w:r>
      <w:proofErr w:type="spellStart"/>
      <w:r w:rsidRPr="003B57EA">
        <w:t>habe</w:t>
      </w:r>
      <w:proofErr w:type="spellEnd"/>
      <w:r w:rsidRPr="003B57EA">
        <w:t xml:space="preserve"> shown the benefits of Metacognitive Therapy in the treatment of addictive </w:t>
      </w:r>
      <w:proofErr w:type="spellStart"/>
      <w:r w:rsidRPr="003B57EA">
        <w:t>behaviours</w:t>
      </w:r>
      <w:proofErr w:type="spellEnd"/>
      <w:r w:rsidRPr="003B57EA">
        <w:t>, for example Alcohol Use Disorder (</w:t>
      </w:r>
      <w:r w:rsidR="00B048AF" w:rsidRPr="003B57EA">
        <w:t>Caselli et al., 2018).</w:t>
      </w:r>
    </w:p>
    <w:p w14:paraId="1495A058" w14:textId="763B1C6D" w:rsidR="009E338B" w:rsidRPr="003B57EA" w:rsidRDefault="009E338B" w:rsidP="0010065E">
      <w:pPr>
        <w:spacing w:line="480" w:lineRule="auto"/>
        <w:ind w:firstLine="720"/>
        <w:jc w:val="both"/>
        <w:rPr>
          <w:rtl/>
        </w:rPr>
      </w:pPr>
      <w:r w:rsidRPr="003B57EA">
        <w:t>Although our main premises were supported, the study has several limitations. The study is correlational</w:t>
      </w:r>
      <w:r w:rsidR="00CB2153" w:rsidRPr="003B57EA">
        <w:t>,</w:t>
      </w:r>
      <w:r w:rsidRPr="003B57EA">
        <w:t xml:space="preserve"> and so precludes conclusions regarding causal processes. Although we employed </w:t>
      </w:r>
      <w:r w:rsidR="00346CC8" w:rsidRPr="003B57EA">
        <w:t xml:space="preserve">a </w:t>
      </w:r>
      <w:r w:rsidRPr="003B57EA">
        <w:t>prospective assessment of metacognitions and</w:t>
      </w:r>
      <w:r w:rsidR="00346CC8" w:rsidRPr="003B57EA">
        <w:t>,</w:t>
      </w:r>
      <w:r w:rsidRPr="003B57EA">
        <w:t xml:space="preserve"> </w:t>
      </w:r>
      <w:r w:rsidR="000F2C9F" w:rsidRPr="003B57EA">
        <w:t>therefore,</w:t>
      </w:r>
      <w:r w:rsidRPr="003B57EA">
        <w:t xml:space="preserve"> can appraise the directionality of the associations, </w:t>
      </w:r>
      <w:r w:rsidR="00346CC8" w:rsidRPr="003B57EA">
        <w:t xml:space="preserve">caution </w:t>
      </w:r>
      <w:r w:rsidRPr="003B57EA">
        <w:t xml:space="preserve">is warranted when implementing the current findings into interventions. In addition, the research population was comprised </w:t>
      </w:r>
      <w:r w:rsidR="009A70DF" w:rsidRPr="003B57EA">
        <w:t xml:space="preserve">of </w:t>
      </w:r>
      <w:r w:rsidR="00CB2153" w:rsidRPr="003B57EA">
        <w:t>Israeli Jewish</w:t>
      </w:r>
      <w:r w:rsidRPr="003B57EA">
        <w:t xml:space="preserve"> </w:t>
      </w:r>
      <w:r w:rsidR="00093F5D" w:rsidRPr="003B57EA">
        <w:t>adolescents</w:t>
      </w:r>
      <w:r w:rsidRPr="003B57EA">
        <w:t>. Future studies should examine other diverse ethnic and cultural</w:t>
      </w:r>
      <w:r w:rsidR="00CB2153" w:rsidRPr="003B57EA">
        <w:t xml:space="preserve"> adolescent</w:t>
      </w:r>
      <w:r w:rsidRPr="003B57EA">
        <w:t xml:space="preserve"> populations to ascertain the replicability and </w:t>
      </w:r>
      <w:r w:rsidR="00346CC8" w:rsidRPr="003B57EA">
        <w:t xml:space="preserve">generalization </w:t>
      </w:r>
      <w:r w:rsidRPr="003B57EA">
        <w:t>of the findings.</w:t>
      </w:r>
      <w:r w:rsidR="00B048AF" w:rsidRPr="003B57EA">
        <w:t xml:space="preserve"> Directions for future research will also have to include the determination as to whether metacognitions change during treatment or whether they predict treatment outcomes. Further </w:t>
      </w:r>
      <w:proofErr w:type="spellStart"/>
      <w:r w:rsidR="00B048AF" w:rsidRPr="003B57EA">
        <w:t>comparions</w:t>
      </w:r>
      <w:proofErr w:type="spellEnd"/>
      <w:r w:rsidR="00B048AF" w:rsidRPr="003B57EA">
        <w:t xml:space="preserve"> between of metacognitions and other constructs (e.g., personality traits, affective states, etc.) in predicting IGD would we of value to investigate.</w:t>
      </w:r>
    </w:p>
    <w:p w14:paraId="4B3517E6" w14:textId="43703908" w:rsidR="009E338B" w:rsidRPr="003B57EA" w:rsidRDefault="009E338B" w:rsidP="0010065E">
      <w:pPr>
        <w:spacing w:line="480" w:lineRule="auto"/>
        <w:ind w:firstLine="720"/>
        <w:jc w:val="both"/>
      </w:pPr>
      <w:r w:rsidRPr="003B57EA">
        <w:lastRenderedPageBreak/>
        <w:t xml:space="preserve">Despite the limitations of </w:t>
      </w:r>
      <w:r w:rsidR="00232756" w:rsidRPr="003B57EA">
        <w:t>this</w:t>
      </w:r>
      <w:r w:rsidRPr="003B57EA">
        <w:t xml:space="preserve"> study, </w:t>
      </w:r>
      <w:r w:rsidR="000F2C9F" w:rsidRPr="003B57EA">
        <w:t xml:space="preserve">we </w:t>
      </w:r>
      <w:r w:rsidRPr="003B57EA">
        <w:t xml:space="preserve">view </w:t>
      </w:r>
      <w:r w:rsidR="00C222B3" w:rsidRPr="003B57EA">
        <w:t>its findings</w:t>
      </w:r>
      <w:r w:rsidRPr="003B57EA">
        <w:t xml:space="preserve"> as an important step </w:t>
      </w:r>
      <w:r w:rsidR="00C222B3" w:rsidRPr="003B57EA">
        <w:t xml:space="preserve">towards </w:t>
      </w:r>
      <w:r w:rsidRPr="003B57EA">
        <w:t xml:space="preserve">understanding the dynamics of </w:t>
      </w:r>
      <w:r w:rsidR="000F2C9F" w:rsidRPr="003B57EA">
        <w:t xml:space="preserve">metacognitions </w:t>
      </w:r>
      <w:r w:rsidRPr="003B57EA">
        <w:t xml:space="preserve">in the development </w:t>
      </w:r>
      <w:r w:rsidR="00B4405C" w:rsidRPr="003B57EA">
        <w:t xml:space="preserve">of </w:t>
      </w:r>
      <w:r w:rsidR="000F2C9F" w:rsidRPr="003B57EA">
        <w:t>IGD</w:t>
      </w:r>
      <w:r w:rsidRPr="003B57EA">
        <w:t xml:space="preserve"> </w:t>
      </w:r>
      <w:r w:rsidR="003371C4" w:rsidRPr="003B57EA">
        <w:t xml:space="preserve">in </w:t>
      </w:r>
      <w:r w:rsidRPr="003B57EA">
        <w:t xml:space="preserve">adolescents. </w:t>
      </w:r>
      <w:r w:rsidR="00B4405C" w:rsidRPr="003B57EA">
        <w:t>Based on our findings, t</w:t>
      </w:r>
      <w:r w:rsidRPr="003B57EA">
        <w:t xml:space="preserve">herapy </w:t>
      </w:r>
      <w:r w:rsidR="00B4405C" w:rsidRPr="003B57EA">
        <w:t>has</w:t>
      </w:r>
      <w:r w:rsidRPr="003B57EA">
        <w:t xml:space="preserve"> the potential to deliver more focused help to adolescents with a disposition toward </w:t>
      </w:r>
      <w:r w:rsidR="000F2C9F" w:rsidRPr="003B57EA">
        <w:t>IGD</w:t>
      </w:r>
      <w:r w:rsidRPr="003B57EA">
        <w:t xml:space="preserve">. It is </w:t>
      </w:r>
      <w:r w:rsidR="00CB2153" w:rsidRPr="003B57EA">
        <w:t xml:space="preserve">crucial </w:t>
      </w:r>
      <w:r w:rsidRPr="003B57EA">
        <w:t xml:space="preserve">to increase therapists’ awareness of the benefits of considering the role of </w:t>
      </w:r>
      <w:r w:rsidR="000F2C9F" w:rsidRPr="003B57EA">
        <w:t>metacognitions</w:t>
      </w:r>
      <w:r w:rsidRPr="003B57EA">
        <w:t xml:space="preserve"> when dealing with</w:t>
      </w:r>
      <w:r w:rsidRPr="003B57EA">
        <w:rPr>
          <w:rtl/>
        </w:rPr>
        <w:t xml:space="preserve"> </w:t>
      </w:r>
      <w:r w:rsidR="000F2C9F" w:rsidRPr="003B57EA">
        <w:t>IGD</w:t>
      </w:r>
      <w:r w:rsidRPr="003B57EA">
        <w:t xml:space="preserve"> symptoms</w:t>
      </w:r>
      <w:r w:rsidR="00B4405C" w:rsidRPr="003B57EA">
        <w:t xml:space="preserve"> and </w:t>
      </w:r>
      <w:r w:rsidRPr="003B57EA">
        <w:t xml:space="preserve">adding </w:t>
      </w:r>
      <w:r w:rsidR="000F2C9F" w:rsidRPr="003B57EA">
        <w:t>cognitive</w:t>
      </w:r>
      <w:r w:rsidRPr="003B57EA">
        <w:t xml:space="preserve"> approach</w:t>
      </w:r>
      <w:r w:rsidR="00B048AF" w:rsidRPr="003B57EA">
        <w:t>es</w:t>
      </w:r>
      <w:r w:rsidRPr="003B57EA">
        <w:t xml:space="preserve"> to individual therapy for adolescents </w:t>
      </w:r>
      <w:r w:rsidR="00B4405C" w:rsidRPr="003B57EA">
        <w:t xml:space="preserve">experiencing </w:t>
      </w:r>
      <w:r w:rsidR="000F2C9F" w:rsidRPr="003B57EA">
        <w:t>IGD</w:t>
      </w:r>
      <w:r w:rsidRPr="003B57EA">
        <w:t>.</w:t>
      </w:r>
    </w:p>
    <w:p w14:paraId="61CE188A" w14:textId="5E892174" w:rsidR="002702A7" w:rsidRPr="003B57EA" w:rsidRDefault="002702A7" w:rsidP="00E01BBC">
      <w:pPr>
        <w:spacing w:line="480" w:lineRule="auto"/>
        <w:rPr>
          <w:rFonts w:asciiTheme="majorBidi" w:hAnsiTheme="majorBidi" w:cstheme="majorBidi"/>
        </w:rPr>
      </w:pPr>
    </w:p>
    <w:p w14:paraId="4DD54AD0" w14:textId="0AA3E814" w:rsidR="002702A7" w:rsidRPr="003B57EA" w:rsidRDefault="002702A7" w:rsidP="00E01BBC">
      <w:pPr>
        <w:spacing w:line="480" w:lineRule="auto"/>
        <w:rPr>
          <w:rFonts w:asciiTheme="majorBidi" w:hAnsiTheme="majorBidi" w:cstheme="majorBidi"/>
        </w:rPr>
      </w:pPr>
    </w:p>
    <w:p w14:paraId="4D0B0AED" w14:textId="3BAF00C3" w:rsidR="002702A7" w:rsidRPr="003B57EA" w:rsidRDefault="002702A7" w:rsidP="00E01BBC">
      <w:pPr>
        <w:spacing w:line="480" w:lineRule="auto"/>
        <w:rPr>
          <w:rFonts w:asciiTheme="majorBidi" w:hAnsiTheme="majorBidi" w:cstheme="majorBidi"/>
        </w:rPr>
      </w:pPr>
    </w:p>
    <w:p w14:paraId="43BD0A70" w14:textId="46463D1C" w:rsidR="002702A7" w:rsidRPr="003B57EA" w:rsidRDefault="002702A7" w:rsidP="00E01BBC">
      <w:pPr>
        <w:spacing w:line="480" w:lineRule="auto"/>
        <w:rPr>
          <w:rFonts w:asciiTheme="majorBidi" w:hAnsiTheme="majorBidi" w:cstheme="majorBidi"/>
        </w:rPr>
      </w:pPr>
    </w:p>
    <w:p w14:paraId="0FA32D85" w14:textId="021612B3" w:rsidR="002702A7" w:rsidRPr="003B57EA" w:rsidRDefault="002702A7" w:rsidP="00E01BBC">
      <w:pPr>
        <w:spacing w:line="480" w:lineRule="auto"/>
        <w:rPr>
          <w:rFonts w:asciiTheme="majorBidi" w:hAnsiTheme="majorBidi" w:cstheme="majorBidi"/>
        </w:rPr>
      </w:pPr>
    </w:p>
    <w:p w14:paraId="23D8062A" w14:textId="31714863" w:rsidR="002702A7" w:rsidRPr="003B57EA" w:rsidRDefault="002702A7" w:rsidP="00E01BBC">
      <w:pPr>
        <w:spacing w:line="480" w:lineRule="auto"/>
        <w:rPr>
          <w:rFonts w:asciiTheme="majorBidi" w:hAnsiTheme="majorBidi" w:cstheme="majorBidi"/>
        </w:rPr>
      </w:pPr>
    </w:p>
    <w:p w14:paraId="61F2C140" w14:textId="38EC9270" w:rsidR="002702A7" w:rsidRPr="003B57EA" w:rsidRDefault="002702A7" w:rsidP="00E01BBC">
      <w:pPr>
        <w:spacing w:line="480" w:lineRule="auto"/>
        <w:rPr>
          <w:rFonts w:asciiTheme="majorBidi" w:hAnsiTheme="majorBidi" w:cstheme="majorBidi"/>
        </w:rPr>
      </w:pPr>
    </w:p>
    <w:p w14:paraId="66BA9286" w14:textId="1E941598" w:rsidR="002702A7" w:rsidRPr="003B57EA" w:rsidRDefault="002702A7" w:rsidP="00E01BBC">
      <w:pPr>
        <w:spacing w:line="480" w:lineRule="auto"/>
        <w:rPr>
          <w:rFonts w:asciiTheme="majorBidi" w:hAnsiTheme="majorBidi" w:cstheme="majorBidi"/>
        </w:rPr>
      </w:pPr>
    </w:p>
    <w:p w14:paraId="320D25D0" w14:textId="3D705BE1" w:rsidR="002702A7" w:rsidRPr="003B57EA" w:rsidRDefault="002702A7" w:rsidP="00E01BBC">
      <w:pPr>
        <w:spacing w:line="480" w:lineRule="auto"/>
        <w:rPr>
          <w:rFonts w:asciiTheme="majorBidi" w:hAnsiTheme="majorBidi" w:cstheme="majorBidi"/>
        </w:rPr>
      </w:pPr>
    </w:p>
    <w:p w14:paraId="1A818CE0" w14:textId="77062172" w:rsidR="002702A7" w:rsidRPr="003B57EA" w:rsidRDefault="002702A7" w:rsidP="00E01BBC">
      <w:pPr>
        <w:spacing w:line="480" w:lineRule="auto"/>
        <w:rPr>
          <w:rFonts w:asciiTheme="majorBidi" w:hAnsiTheme="majorBidi" w:cstheme="majorBidi"/>
        </w:rPr>
      </w:pPr>
    </w:p>
    <w:p w14:paraId="413E1BD5" w14:textId="06BE9951" w:rsidR="002702A7" w:rsidRPr="003B57EA" w:rsidRDefault="002702A7" w:rsidP="00E01BBC">
      <w:pPr>
        <w:spacing w:line="480" w:lineRule="auto"/>
        <w:rPr>
          <w:rFonts w:asciiTheme="majorBidi" w:hAnsiTheme="majorBidi" w:cstheme="majorBidi"/>
        </w:rPr>
      </w:pPr>
    </w:p>
    <w:p w14:paraId="590C7138" w14:textId="4D606568" w:rsidR="002702A7" w:rsidRPr="003B57EA" w:rsidRDefault="002702A7" w:rsidP="00E01BBC">
      <w:pPr>
        <w:spacing w:line="480" w:lineRule="auto"/>
        <w:rPr>
          <w:rFonts w:asciiTheme="majorBidi" w:hAnsiTheme="majorBidi" w:cstheme="majorBidi"/>
        </w:rPr>
      </w:pPr>
    </w:p>
    <w:p w14:paraId="061F2E7C" w14:textId="75470D81" w:rsidR="002702A7" w:rsidRPr="003B57EA" w:rsidRDefault="002702A7" w:rsidP="00E01BBC">
      <w:pPr>
        <w:spacing w:line="480" w:lineRule="auto"/>
        <w:rPr>
          <w:rFonts w:asciiTheme="majorBidi" w:hAnsiTheme="majorBidi" w:cstheme="majorBidi"/>
        </w:rPr>
      </w:pPr>
    </w:p>
    <w:p w14:paraId="41DE127D" w14:textId="7F780C5D" w:rsidR="002702A7" w:rsidRPr="003B57EA" w:rsidRDefault="002702A7" w:rsidP="00E01BBC">
      <w:pPr>
        <w:spacing w:line="480" w:lineRule="auto"/>
        <w:rPr>
          <w:rFonts w:asciiTheme="majorBidi" w:hAnsiTheme="majorBidi" w:cstheme="majorBidi"/>
        </w:rPr>
      </w:pPr>
    </w:p>
    <w:p w14:paraId="3B7F4C83" w14:textId="1DA719D4" w:rsidR="002702A7" w:rsidRPr="003B57EA" w:rsidRDefault="002702A7" w:rsidP="00E01BBC">
      <w:pPr>
        <w:spacing w:line="480" w:lineRule="auto"/>
        <w:rPr>
          <w:rFonts w:asciiTheme="majorBidi" w:hAnsiTheme="majorBidi" w:cstheme="majorBidi"/>
        </w:rPr>
      </w:pPr>
    </w:p>
    <w:p w14:paraId="2E96A47F" w14:textId="643164BE" w:rsidR="002702A7" w:rsidRPr="003B57EA" w:rsidRDefault="002702A7" w:rsidP="00E01BBC">
      <w:pPr>
        <w:spacing w:line="480" w:lineRule="auto"/>
        <w:rPr>
          <w:rFonts w:asciiTheme="majorBidi" w:hAnsiTheme="majorBidi" w:cstheme="majorBidi"/>
        </w:rPr>
      </w:pPr>
    </w:p>
    <w:p w14:paraId="55F2A73C" w14:textId="59069D4F" w:rsidR="002702A7" w:rsidRPr="003B57EA" w:rsidRDefault="002702A7" w:rsidP="00E01BBC">
      <w:pPr>
        <w:spacing w:line="480" w:lineRule="auto"/>
        <w:rPr>
          <w:rFonts w:asciiTheme="majorBidi" w:hAnsiTheme="majorBidi" w:cstheme="majorBidi"/>
        </w:rPr>
      </w:pPr>
    </w:p>
    <w:p w14:paraId="6DCDCAD8" w14:textId="77777777" w:rsidR="002702A7" w:rsidRPr="003B57EA" w:rsidRDefault="002702A7" w:rsidP="00E01BBC">
      <w:pPr>
        <w:spacing w:line="480" w:lineRule="auto"/>
        <w:rPr>
          <w:rFonts w:asciiTheme="majorBidi" w:hAnsiTheme="majorBidi" w:cstheme="majorBidi"/>
        </w:rPr>
      </w:pPr>
    </w:p>
    <w:p w14:paraId="3C32E647" w14:textId="35142B4E" w:rsidR="00374A30" w:rsidRPr="003B57EA" w:rsidRDefault="007A2DDC" w:rsidP="00E01BBC">
      <w:pPr>
        <w:spacing w:line="480" w:lineRule="auto"/>
        <w:rPr>
          <w:rFonts w:asciiTheme="majorBidi" w:hAnsiTheme="majorBidi" w:cstheme="majorBidi"/>
        </w:rPr>
      </w:pPr>
      <w:r w:rsidRPr="003B57EA">
        <w:rPr>
          <w:rFonts w:asciiTheme="majorBidi" w:hAnsiTheme="majorBidi" w:cstheme="majorBidi"/>
        </w:rPr>
        <w:lastRenderedPageBreak/>
        <w:t>Table 1</w:t>
      </w:r>
    </w:p>
    <w:p w14:paraId="4E594462" w14:textId="455B7BB5" w:rsidR="00EE1863" w:rsidRPr="003B57EA" w:rsidRDefault="007A2DDC" w:rsidP="00EE1863">
      <w:pPr>
        <w:spacing w:line="480" w:lineRule="auto"/>
        <w:rPr>
          <w:rFonts w:asciiTheme="majorBidi" w:hAnsiTheme="majorBidi" w:cstheme="majorBidi"/>
          <w:i/>
        </w:rPr>
      </w:pPr>
      <w:r w:rsidRPr="003B57EA">
        <w:rPr>
          <w:rFonts w:asciiTheme="majorBidi" w:hAnsiTheme="majorBidi" w:cstheme="majorBidi"/>
          <w:i/>
        </w:rPr>
        <w:t xml:space="preserve">Network loadings </w:t>
      </w:r>
      <w:r w:rsidR="00EB19B5" w:rsidRPr="003B57EA">
        <w:rPr>
          <w:rFonts w:asciiTheme="majorBidi" w:hAnsiTheme="majorBidi" w:cstheme="majorBidi"/>
          <w:i/>
        </w:rPr>
        <w:t xml:space="preserve">of the Hebrew-MOGS version </w:t>
      </w:r>
      <w:r w:rsidRPr="003B57EA">
        <w:rPr>
          <w:rFonts w:asciiTheme="majorBidi" w:hAnsiTheme="majorBidi" w:cstheme="majorBidi"/>
          <w:i/>
        </w:rPr>
        <w:t xml:space="preserve">based on </w:t>
      </w:r>
      <w:r w:rsidR="00EB19B5" w:rsidRPr="003B57EA">
        <w:rPr>
          <w:rFonts w:asciiTheme="majorBidi" w:hAnsiTheme="majorBidi" w:cstheme="majorBidi"/>
          <w:i/>
        </w:rPr>
        <w:t>EGAs</w:t>
      </w:r>
      <w:r w:rsidR="00C4003E" w:rsidRPr="003B57EA">
        <w:rPr>
          <w:rFonts w:asciiTheme="majorBidi" w:hAnsiTheme="majorBidi" w:cstheme="majorBidi"/>
          <w:i/>
        </w:rPr>
        <w:t>.</w:t>
      </w:r>
    </w:p>
    <w:tbl>
      <w:tblPr>
        <w:tblW w:w="5000" w:type="pct"/>
        <w:tblLook w:val="04A0" w:firstRow="1" w:lastRow="0" w:firstColumn="1" w:lastColumn="0" w:noHBand="0" w:noVBand="1"/>
      </w:tblPr>
      <w:tblGrid>
        <w:gridCol w:w="1662"/>
        <w:gridCol w:w="1661"/>
        <w:gridCol w:w="1661"/>
        <w:gridCol w:w="1661"/>
        <w:gridCol w:w="1661"/>
      </w:tblGrid>
      <w:tr w:rsidR="00FE2D9B" w:rsidRPr="003B57EA" w14:paraId="5BD85C7F" w14:textId="77777777" w:rsidTr="00EB19B5">
        <w:trPr>
          <w:trHeight w:val="320"/>
        </w:trPr>
        <w:tc>
          <w:tcPr>
            <w:tcW w:w="1000" w:type="pct"/>
            <w:tcBorders>
              <w:top w:val="double" w:sz="4" w:space="0" w:color="auto"/>
              <w:left w:val="nil"/>
              <w:bottom w:val="nil"/>
              <w:right w:val="nil"/>
            </w:tcBorders>
            <w:shd w:val="clear" w:color="auto" w:fill="auto"/>
            <w:noWrap/>
            <w:vAlign w:val="bottom"/>
            <w:hideMark/>
          </w:tcPr>
          <w:p w14:paraId="55E28E82" w14:textId="77777777" w:rsidR="00946974" w:rsidRPr="003B57EA" w:rsidRDefault="00946974">
            <w:pPr>
              <w:rPr>
                <w:rFonts w:asciiTheme="majorBidi" w:hAnsiTheme="majorBidi" w:cstheme="majorBidi"/>
                <w:sz w:val="20"/>
                <w:szCs w:val="20"/>
              </w:rPr>
            </w:pPr>
          </w:p>
        </w:tc>
        <w:tc>
          <w:tcPr>
            <w:tcW w:w="2000" w:type="pct"/>
            <w:gridSpan w:val="2"/>
            <w:tcBorders>
              <w:top w:val="double" w:sz="4" w:space="0" w:color="auto"/>
              <w:left w:val="nil"/>
              <w:bottom w:val="nil"/>
              <w:right w:val="nil"/>
            </w:tcBorders>
            <w:shd w:val="clear" w:color="auto" w:fill="auto"/>
            <w:noWrap/>
            <w:vAlign w:val="center"/>
            <w:hideMark/>
          </w:tcPr>
          <w:p w14:paraId="66D03516" w14:textId="59B5EE5D" w:rsidR="00946974" w:rsidRPr="003B57EA" w:rsidRDefault="00946974" w:rsidP="00946974">
            <w:pPr>
              <w:jc w:val="center"/>
              <w:rPr>
                <w:rFonts w:asciiTheme="majorBidi" w:hAnsiTheme="majorBidi" w:cstheme="majorBidi"/>
              </w:rPr>
            </w:pPr>
            <w:r w:rsidRPr="003B57EA">
              <w:rPr>
                <w:rFonts w:asciiTheme="majorBidi" w:hAnsiTheme="majorBidi" w:cstheme="majorBidi"/>
              </w:rPr>
              <w:t>Time 1</w:t>
            </w:r>
          </w:p>
        </w:tc>
        <w:tc>
          <w:tcPr>
            <w:tcW w:w="2000" w:type="pct"/>
            <w:gridSpan w:val="2"/>
            <w:tcBorders>
              <w:top w:val="double" w:sz="4" w:space="0" w:color="auto"/>
              <w:left w:val="nil"/>
              <w:bottom w:val="nil"/>
              <w:right w:val="nil"/>
            </w:tcBorders>
            <w:shd w:val="clear" w:color="auto" w:fill="auto"/>
            <w:noWrap/>
            <w:vAlign w:val="center"/>
            <w:hideMark/>
          </w:tcPr>
          <w:p w14:paraId="5447A6D7" w14:textId="741160A7" w:rsidR="00946974" w:rsidRPr="003B57EA" w:rsidRDefault="00946974" w:rsidP="00946974">
            <w:pPr>
              <w:jc w:val="center"/>
              <w:rPr>
                <w:rFonts w:asciiTheme="majorBidi" w:hAnsiTheme="majorBidi" w:cstheme="majorBidi"/>
              </w:rPr>
            </w:pPr>
            <w:r w:rsidRPr="003B57EA">
              <w:rPr>
                <w:rFonts w:asciiTheme="majorBidi" w:hAnsiTheme="majorBidi" w:cstheme="majorBidi"/>
              </w:rPr>
              <w:t>Time 2 (6-month follow-up)</w:t>
            </w:r>
          </w:p>
        </w:tc>
      </w:tr>
      <w:tr w:rsidR="00FE2D9B" w:rsidRPr="003B57EA" w14:paraId="04E88B47" w14:textId="77777777" w:rsidTr="00EB19B5">
        <w:trPr>
          <w:trHeight w:val="320"/>
        </w:trPr>
        <w:tc>
          <w:tcPr>
            <w:tcW w:w="1000" w:type="pct"/>
            <w:tcBorders>
              <w:top w:val="nil"/>
              <w:left w:val="nil"/>
              <w:bottom w:val="single" w:sz="4" w:space="0" w:color="auto"/>
              <w:right w:val="nil"/>
            </w:tcBorders>
            <w:shd w:val="clear" w:color="auto" w:fill="auto"/>
            <w:noWrap/>
            <w:vAlign w:val="bottom"/>
            <w:hideMark/>
          </w:tcPr>
          <w:p w14:paraId="16615E8A" w14:textId="77777777" w:rsidR="00EB19B5" w:rsidRPr="003B57EA" w:rsidRDefault="00EB19B5" w:rsidP="00EB19B5">
            <w:pPr>
              <w:rPr>
                <w:rFonts w:asciiTheme="majorBidi" w:hAnsiTheme="majorBidi" w:cstheme="majorBidi"/>
                <w:sz w:val="20"/>
                <w:szCs w:val="20"/>
              </w:rPr>
            </w:pPr>
          </w:p>
        </w:tc>
        <w:tc>
          <w:tcPr>
            <w:tcW w:w="1000" w:type="pct"/>
            <w:tcBorders>
              <w:top w:val="nil"/>
              <w:left w:val="nil"/>
              <w:bottom w:val="single" w:sz="4" w:space="0" w:color="auto"/>
              <w:right w:val="nil"/>
            </w:tcBorders>
            <w:shd w:val="clear" w:color="auto" w:fill="auto"/>
            <w:noWrap/>
            <w:vAlign w:val="center"/>
            <w:hideMark/>
          </w:tcPr>
          <w:p w14:paraId="307484EA" w14:textId="77370D3C" w:rsidR="00EB19B5" w:rsidRPr="003B57EA" w:rsidRDefault="00EB19B5" w:rsidP="00EB19B5">
            <w:pPr>
              <w:jc w:val="center"/>
              <w:rPr>
                <w:rFonts w:asciiTheme="majorBidi" w:hAnsiTheme="majorBidi" w:cstheme="majorBidi"/>
              </w:rPr>
            </w:pPr>
            <w:r w:rsidRPr="003B57EA">
              <w:rPr>
                <w:rFonts w:asciiTheme="majorBidi" w:hAnsiTheme="majorBidi" w:cstheme="majorBidi"/>
              </w:rPr>
              <w:t>Negative</w:t>
            </w:r>
          </w:p>
        </w:tc>
        <w:tc>
          <w:tcPr>
            <w:tcW w:w="1000" w:type="pct"/>
            <w:tcBorders>
              <w:top w:val="nil"/>
              <w:left w:val="nil"/>
              <w:bottom w:val="single" w:sz="4" w:space="0" w:color="auto"/>
              <w:right w:val="nil"/>
            </w:tcBorders>
            <w:shd w:val="clear" w:color="auto" w:fill="auto"/>
            <w:noWrap/>
            <w:vAlign w:val="center"/>
            <w:hideMark/>
          </w:tcPr>
          <w:p w14:paraId="011BC201" w14:textId="75FAB340" w:rsidR="00EB19B5" w:rsidRPr="003B57EA" w:rsidRDefault="00EB19B5" w:rsidP="00EB19B5">
            <w:pPr>
              <w:jc w:val="center"/>
              <w:rPr>
                <w:rFonts w:asciiTheme="majorBidi" w:hAnsiTheme="majorBidi" w:cstheme="majorBidi"/>
              </w:rPr>
            </w:pPr>
            <w:r w:rsidRPr="003B57EA">
              <w:rPr>
                <w:rFonts w:asciiTheme="majorBidi" w:hAnsiTheme="majorBidi" w:cstheme="majorBidi"/>
              </w:rPr>
              <w:t>Positive</w:t>
            </w:r>
          </w:p>
        </w:tc>
        <w:tc>
          <w:tcPr>
            <w:tcW w:w="1000" w:type="pct"/>
            <w:tcBorders>
              <w:top w:val="nil"/>
              <w:left w:val="nil"/>
              <w:bottom w:val="single" w:sz="4" w:space="0" w:color="auto"/>
              <w:right w:val="nil"/>
            </w:tcBorders>
            <w:shd w:val="clear" w:color="auto" w:fill="auto"/>
            <w:noWrap/>
            <w:vAlign w:val="center"/>
            <w:hideMark/>
          </w:tcPr>
          <w:p w14:paraId="20EE4E4C" w14:textId="5BDEA66E" w:rsidR="00EB19B5" w:rsidRPr="003B57EA" w:rsidRDefault="00EB19B5" w:rsidP="00EB19B5">
            <w:pPr>
              <w:jc w:val="center"/>
              <w:rPr>
                <w:rFonts w:asciiTheme="majorBidi" w:hAnsiTheme="majorBidi" w:cstheme="majorBidi"/>
              </w:rPr>
            </w:pPr>
            <w:r w:rsidRPr="003B57EA">
              <w:rPr>
                <w:rFonts w:asciiTheme="majorBidi" w:hAnsiTheme="majorBidi" w:cstheme="majorBidi"/>
              </w:rPr>
              <w:t>Negative</w:t>
            </w:r>
          </w:p>
        </w:tc>
        <w:tc>
          <w:tcPr>
            <w:tcW w:w="1000" w:type="pct"/>
            <w:tcBorders>
              <w:top w:val="nil"/>
              <w:left w:val="nil"/>
              <w:bottom w:val="single" w:sz="4" w:space="0" w:color="auto"/>
              <w:right w:val="nil"/>
            </w:tcBorders>
            <w:shd w:val="clear" w:color="auto" w:fill="auto"/>
            <w:noWrap/>
            <w:vAlign w:val="center"/>
            <w:hideMark/>
          </w:tcPr>
          <w:p w14:paraId="713E7A59" w14:textId="2EAFA00A" w:rsidR="00EB19B5" w:rsidRPr="003B57EA" w:rsidRDefault="00EB19B5" w:rsidP="00EB19B5">
            <w:pPr>
              <w:jc w:val="center"/>
              <w:rPr>
                <w:rFonts w:asciiTheme="majorBidi" w:hAnsiTheme="majorBidi" w:cstheme="majorBidi"/>
              </w:rPr>
            </w:pPr>
            <w:r w:rsidRPr="003B57EA">
              <w:rPr>
                <w:rFonts w:asciiTheme="majorBidi" w:hAnsiTheme="majorBidi" w:cstheme="majorBidi"/>
              </w:rPr>
              <w:t>Positive</w:t>
            </w:r>
          </w:p>
        </w:tc>
      </w:tr>
      <w:tr w:rsidR="00FE2D9B" w:rsidRPr="003B57EA" w14:paraId="181A15AC" w14:textId="77777777" w:rsidTr="00EB19B5">
        <w:trPr>
          <w:trHeight w:val="320"/>
        </w:trPr>
        <w:tc>
          <w:tcPr>
            <w:tcW w:w="1000" w:type="pct"/>
            <w:tcBorders>
              <w:top w:val="single" w:sz="4" w:space="0" w:color="auto"/>
              <w:left w:val="nil"/>
              <w:bottom w:val="nil"/>
              <w:right w:val="nil"/>
            </w:tcBorders>
            <w:shd w:val="clear" w:color="auto" w:fill="auto"/>
            <w:noWrap/>
            <w:vAlign w:val="bottom"/>
            <w:hideMark/>
          </w:tcPr>
          <w:p w14:paraId="6833E40E" w14:textId="77777777" w:rsidR="00946974" w:rsidRPr="003B57EA" w:rsidRDefault="00946974">
            <w:pPr>
              <w:rPr>
                <w:rFonts w:asciiTheme="majorBidi" w:hAnsiTheme="majorBidi" w:cstheme="majorBidi"/>
              </w:rPr>
            </w:pPr>
            <w:r w:rsidRPr="003B57EA">
              <w:rPr>
                <w:rFonts w:asciiTheme="majorBidi" w:hAnsiTheme="majorBidi" w:cstheme="majorBidi"/>
              </w:rPr>
              <w:t>MOGS1</w:t>
            </w:r>
          </w:p>
        </w:tc>
        <w:tc>
          <w:tcPr>
            <w:tcW w:w="1000" w:type="pct"/>
            <w:tcBorders>
              <w:top w:val="nil"/>
              <w:left w:val="nil"/>
              <w:bottom w:val="nil"/>
              <w:right w:val="nil"/>
            </w:tcBorders>
            <w:shd w:val="clear" w:color="auto" w:fill="auto"/>
            <w:noWrap/>
            <w:vAlign w:val="bottom"/>
            <w:hideMark/>
          </w:tcPr>
          <w:p w14:paraId="29C0CEF2"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0.19</w:t>
            </w:r>
          </w:p>
        </w:tc>
        <w:tc>
          <w:tcPr>
            <w:tcW w:w="1000" w:type="pct"/>
            <w:tcBorders>
              <w:top w:val="nil"/>
              <w:left w:val="nil"/>
              <w:bottom w:val="nil"/>
              <w:right w:val="nil"/>
            </w:tcBorders>
            <w:shd w:val="clear" w:color="auto" w:fill="auto"/>
            <w:noWrap/>
            <w:vAlign w:val="bottom"/>
            <w:hideMark/>
          </w:tcPr>
          <w:p w14:paraId="64CFD5EE"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144EF843"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0.22</w:t>
            </w:r>
          </w:p>
        </w:tc>
        <w:tc>
          <w:tcPr>
            <w:tcW w:w="1000" w:type="pct"/>
            <w:tcBorders>
              <w:top w:val="nil"/>
              <w:left w:val="nil"/>
              <w:bottom w:val="nil"/>
              <w:right w:val="nil"/>
            </w:tcBorders>
            <w:shd w:val="clear" w:color="auto" w:fill="auto"/>
            <w:noWrap/>
            <w:vAlign w:val="bottom"/>
            <w:hideMark/>
          </w:tcPr>
          <w:p w14:paraId="3496CBED" w14:textId="77777777" w:rsidR="00946974" w:rsidRPr="003B57EA" w:rsidRDefault="00946974" w:rsidP="00946974">
            <w:pPr>
              <w:jc w:val="center"/>
              <w:rPr>
                <w:rFonts w:asciiTheme="majorBidi" w:hAnsiTheme="majorBidi" w:cstheme="majorBidi"/>
              </w:rPr>
            </w:pPr>
          </w:p>
        </w:tc>
      </w:tr>
      <w:tr w:rsidR="00FE2D9B" w:rsidRPr="003B57EA" w14:paraId="63B60CB3" w14:textId="77777777" w:rsidTr="00946974">
        <w:trPr>
          <w:trHeight w:val="320"/>
        </w:trPr>
        <w:tc>
          <w:tcPr>
            <w:tcW w:w="1000" w:type="pct"/>
            <w:tcBorders>
              <w:top w:val="nil"/>
              <w:left w:val="nil"/>
              <w:bottom w:val="nil"/>
              <w:right w:val="nil"/>
            </w:tcBorders>
            <w:shd w:val="clear" w:color="auto" w:fill="auto"/>
            <w:noWrap/>
            <w:vAlign w:val="bottom"/>
            <w:hideMark/>
          </w:tcPr>
          <w:p w14:paraId="3BBE2168" w14:textId="77777777" w:rsidR="00946974" w:rsidRPr="003B57EA" w:rsidRDefault="00946974">
            <w:pPr>
              <w:rPr>
                <w:rFonts w:asciiTheme="majorBidi" w:hAnsiTheme="majorBidi" w:cstheme="majorBidi"/>
              </w:rPr>
            </w:pPr>
            <w:r w:rsidRPr="003B57EA">
              <w:rPr>
                <w:rFonts w:asciiTheme="majorBidi" w:hAnsiTheme="majorBidi" w:cstheme="majorBidi"/>
              </w:rPr>
              <w:t>MOGS2</w:t>
            </w:r>
          </w:p>
        </w:tc>
        <w:tc>
          <w:tcPr>
            <w:tcW w:w="1000" w:type="pct"/>
            <w:tcBorders>
              <w:top w:val="nil"/>
              <w:left w:val="nil"/>
              <w:bottom w:val="nil"/>
              <w:right w:val="nil"/>
            </w:tcBorders>
            <w:shd w:val="clear" w:color="auto" w:fill="auto"/>
            <w:noWrap/>
            <w:vAlign w:val="bottom"/>
            <w:hideMark/>
          </w:tcPr>
          <w:p w14:paraId="081455EC"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0.34</w:t>
            </w:r>
          </w:p>
        </w:tc>
        <w:tc>
          <w:tcPr>
            <w:tcW w:w="1000" w:type="pct"/>
            <w:tcBorders>
              <w:top w:val="nil"/>
              <w:left w:val="nil"/>
              <w:bottom w:val="nil"/>
              <w:right w:val="nil"/>
            </w:tcBorders>
            <w:shd w:val="clear" w:color="auto" w:fill="auto"/>
            <w:noWrap/>
            <w:vAlign w:val="bottom"/>
            <w:hideMark/>
          </w:tcPr>
          <w:p w14:paraId="0F30E89F"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6258E3D7"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0.31</w:t>
            </w:r>
          </w:p>
        </w:tc>
        <w:tc>
          <w:tcPr>
            <w:tcW w:w="1000" w:type="pct"/>
            <w:tcBorders>
              <w:top w:val="nil"/>
              <w:left w:val="nil"/>
              <w:bottom w:val="nil"/>
              <w:right w:val="nil"/>
            </w:tcBorders>
            <w:shd w:val="clear" w:color="auto" w:fill="auto"/>
            <w:noWrap/>
            <w:vAlign w:val="bottom"/>
            <w:hideMark/>
          </w:tcPr>
          <w:p w14:paraId="0729A545" w14:textId="77777777" w:rsidR="00946974" w:rsidRPr="003B57EA" w:rsidRDefault="00946974" w:rsidP="00946974">
            <w:pPr>
              <w:jc w:val="center"/>
              <w:rPr>
                <w:rFonts w:asciiTheme="majorBidi" w:hAnsiTheme="majorBidi" w:cstheme="majorBidi"/>
              </w:rPr>
            </w:pPr>
          </w:p>
        </w:tc>
      </w:tr>
      <w:tr w:rsidR="00FE2D9B" w:rsidRPr="003B57EA" w14:paraId="5532E4A3" w14:textId="77777777" w:rsidTr="00946974">
        <w:trPr>
          <w:trHeight w:val="320"/>
        </w:trPr>
        <w:tc>
          <w:tcPr>
            <w:tcW w:w="1000" w:type="pct"/>
            <w:tcBorders>
              <w:top w:val="nil"/>
              <w:left w:val="nil"/>
              <w:bottom w:val="nil"/>
              <w:right w:val="nil"/>
            </w:tcBorders>
            <w:shd w:val="clear" w:color="auto" w:fill="auto"/>
            <w:noWrap/>
            <w:vAlign w:val="bottom"/>
            <w:hideMark/>
          </w:tcPr>
          <w:p w14:paraId="5A12178D" w14:textId="77777777" w:rsidR="00946974" w:rsidRPr="003B57EA" w:rsidRDefault="00946974">
            <w:pPr>
              <w:rPr>
                <w:rFonts w:asciiTheme="majorBidi" w:hAnsiTheme="majorBidi" w:cstheme="majorBidi"/>
              </w:rPr>
            </w:pPr>
            <w:r w:rsidRPr="003B57EA">
              <w:rPr>
                <w:rFonts w:asciiTheme="majorBidi" w:hAnsiTheme="majorBidi" w:cstheme="majorBidi"/>
              </w:rPr>
              <w:t>MOGS3</w:t>
            </w:r>
          </w:p>
        </w:tc>
        <w:tc>
          <w:tcPr>
            <w:tcW w:w="1000" w:type="pct"/>
            <w:tcBorders>
              <w:top w:val="nil"/>
              <w:left w:val="nil"/>
              <w:bottom w:val="nil"/>
              <w:right w:val="nil"/>
            </w:tcBorders>
            <w:shd w:val="clear" w:color="auto" w:fill="auto"/>
            <w:noWrap/>
            <w:vAlign w:val="bottom"/>
            <w:hideMark/>
          </w:tcPr>
          <w:p w14:paraId="031E64FA"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0.38</w:t>
            </w:r>
          </w:p>
        </w:tc>
        <w:tc>
          <w:tcPr>
            <w:tcW w:w="1000" w:type="pct"/>
            <w:tcBorders>
              <w:top w:val="nil"/>
              <w:left w:val="nil"/>
              <w:bottom w:val="nil"/>
              <w:right w:val="nil"/>
            </w:tcBorders>
            <w:shd w:val="clear" w:color="auto" w:fill="auto"/>
            <w:noWrap/>
            <w:vAlign w:val="bottom"/>
            <w:hideMark/>
          </w:tcPr>
          <w:p w14:paraId="40147BC0"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6CDC3FAE"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0.39</w:t>
            </w:r>
          </w:p>
        </w:tc>
        <w:tc>
          <w:tcPr>
            <w:tcW w:w="1000" w:type="pct"/>
            <w:tcBorders>
              <w:top w:val="nil"/>
              <w:left w:val="nil"/>
              <w:bottom w:val="nil"/>
              <w:right w:val="nil"/>
            </w:tcBorders>
            <w:shd w:val="clear" w:color="auto" w:fill="auto"/>
            <w:noWrap/>
            <w:vAlign w:val="bottom"/>
            <w:hideMark/>
          </w:tcPr>
          <w:p w14:paraId="5883D944" w14:textId="77777777" w:rsidR="00946974" w:rsidRPr="003B57EA" w:rsidRDefault="00946974" w:rsidP="00946974">
            <w:pPr>
              <w:jc w:val="center"/>
              <w:rPr>
                <w:rFonts w:asciiTheme="majorBidi" w:hAnsiTheme="majorBidi" w:cstheme="majorBidi"/>
              </w:rPr>
            </w:pPr>
          </w:p>
        </w:tc>
      </w:tr>
      <w:tr w:rsidR="00FE2D9B" w:rsidRPr="003B57EA" w14:paraId="6C25D752" w14:textId="77777777" w:rsidTr="00946974">
        <w:trPr>
          <w:trHeight w:val="320"/>
        </w:trPr>
        <w:tc>
          <w:tcPr>
            <w:tcW w:w="1000" w:type="pct"/>
            <w:tcBorders>
              <w:top w:val="nil"/>
              <w:left w:val="nil"/>
              <w:bottom w:val="nil"/>
              <w:right w:val="nil"/>
            </w:tcBorders>
            <w:shd w:val="clear" w:color="auto" w:fill="auto"/>
            <w:noWrap/>
            <w:vAlign w:val="bottom"/>
            <w:hideMark/>
          </w:tcPr>
          <w:p w14:paraId="1C7A2060" w14:textId="77777777" w:rsidR="00946974" w:rsidRPr="003B57EA" w:rsidRDefault="00946974">
            <w:pPr>
              <w:rPr>
                <w:rFonts w:asciiTheme="majorBidi" w:hAnsiTheme="majorBidi" w:cstheme="majorBidi"/>
              </w:rPr>
            </w:pPr>
            <w:r w:rsidRPr="003B57EA">
              <w:rPr>
                <w:rFonts w:asciiTheme="majorBidi" w:hAnsiTheme="majorBidi" w:cstheme="majorBidi"/>
              </w:rPr>
              <w:t>MOGS4</w:t>
            </w:r>
          </w:p>
        </w:tc>
        <w:tc>
          <w:tcPr>
            <w:tcW w:w="1000" w:type="pct"/>
            <w:tcBorders>
              <w:top w:val="nil"/>
              <w:left w:val="nil"/>
              <w:bottom w:val="nil"/>
              <w:right w:val="nil"/>
            </w:tcBorders>
            <w:shd w:val="clear" w:color="auto" w:fill="auto"/>
            <w:noWrap/>
            <w:vAlign w:val="bottom"/>
            <w:hideMark/>
          </w:tcPr>
          <w:p w14:paraId="1438D094"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0.33</w:t>
            </w:r>
          </w:p>
        </w:tc>
        <w:tc>
          <w:tcPr>
            <w:tcW w:w="1000" w:type="pct"/>
            <w:tcBorders>
              <w:top w:val="nil"/>
              <w:left w:val="nil"/>
              <w:bottom w:val="nil"/>
              <w:right w:val="nil"/>
            </w:tcBorders>
            <w:shd w:val="clear" w:color="auto" w:fill="auto"/>
            <w:noWrap/>
            <w:vAlign w:val="bottom"/>
            <w:hideMark/>
          </w:tcPr>
          <w:p w14:paraId="62A67F1A"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2866F146"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0.36</w:t>
            </w:r>
          </w:p>
        </w:tc>
        <w:tc>
          <w:tcPr>
            <w:tcW w:w="1000" w:type="pct"/>
            <w:tcBorders>
              <w:top w:val="nil"/>
              <w:left w:val="nil"/>
              <w:bottom w:val="nil"/>
              <w:right w:val="nil"/>
            </w:tcBorders>
            <w:shd w:val="clear" w:color="auto" w:fill="auto"/>
            <w:noWrap/>
            <w:vAlign w:val="bottom"/>
            <w:hideMark/>
          </w:tcPr>
          <w:p w14:paraId="1042C254" w14:textId="77777777" w:rsidR="00946974" w:rsidRPr="003B57EA" w:rsidRDefault="00946974" w:rsidP="00946974">
            <w:pPr>
              <w:jc w:val="center"/>
              <w:rPr>
                <w:rFonts w:asciiTheme="majorBidi" w:hAnsiTheme="majorBidi" w:cstheme="majorBidi"/>
              </w:rPr>
            </w:pPr>
          </w:p>
        </w:tc>
      </w:tr>
      <w:tr w:rsidR="00FE2D9B" w:rsidRPr="003B57EA" w14:paraId="5D589A39" w14:textId="77777777" w:rsidTr="00946974">
        <w:trPr>
          <w:trHeight w:val="320"/>
        </w:trPr>
        <w:tc>
          <w:tcPr>
            <w:tcW w:w="1000" w:type="pct"/>
            <w:tcBorders>
              <w:top w:val="nil"/>
              <w:left w:val="nil"/>
              <w:bottom w:val="nil"/>
              <w:right w:val="nil"/>
            </w:tcBorders>
            <w:shd w:val="clear" w:color="auto" w:fill="auto"/>
            <w:noWrap/>
            <w:vAlign w:val="bottom"/>
            <w:hideMark/>
          </w:tcPr>
          <w:p w14:paraId="02C25795" w14:textId="77777777" w:rsidR="00946974" w:rsidRPr="003B57EA" w:rsidRDefault="00946974">
            <w:pPr>
              <w:rPr>
                <w:rFonts w:asciiTheme="majorBidi" w:hAnsiTheme="majorBidi" w:cstheme="majorBidi"/>
              </w:rPr>
            </w:pPr>
            <w:r w:rsidRPr="003B57EA">
              <w:rPr>
                <w:rFonts w:asciiTheme="majorBidi" w:hAnsiTheme="majorBidi" w:cstheme="majorBidi"/>
              </w:rPr>
              <w:t>MOGS5</w:t>
            </w:r>
          </w:p>
        </w:tc>
        <w:tc>
          <w:tcPr>
            <w:tcW w:w="1000" w:type="pct"/>
            <w:tcBorders>
              <w:top w:val="nil"/>
              <w:left w:val="nil"/>
              <w:bottom w:val="nil"/>
              <w:right w:val="nil"/>
            </w:tcBorders>
            <w:shd w:val="clear" w:color="auto" w:fill="auto"/>
            <w:noWrap/>
            <w:vAlign w:val="bottom"/>
            <w:hideMark/>
          </w:tcPr>
          <w:p w14:paraId="74A6AD17"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0.34</w:t>
            </w:r>
          </w:p>
        </w:tc>
        <w:tc>
          <w:tcPr>
            <w:tcW w:w="1000" w:type="pct"/>
            <w:tcBorders>
              <w:top w:val="nil"/>
              <w:left w:val="nil"/>
              <w:bottom w:val="nil"/>
              <w:right w:val="nil"/>
            </w:tcBorders>
            <w:shd w:val="clear" w:color="auto" w:fill="auto"/>
            <w:noWrap/>
            <w:vAlign w:val="bottom"/>
            <w:hideMark/>
          </w:tcPr>
          <w:p w14:paraId="394B53E1"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19DDA759"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0.35</w:t>
            </w:r>
          </w:p>
        </w:tc>
        <w:tc>
          <w:tcPr>
            <w:tcW w:w="1000" w:type="pct"/>
            <w:tcBorders>
              <w:top w:val="nil"/>
              <w:left w:val="nil"/>
              <w:bottom w:val="nil"/>
              <w:right w:val="nil"/>
            </w:tcBorders>
            <w:shd w:val="clear" w:color="auto" w:fill="auto"/>
            <w:noWrap/>
            <w:vAlign w:val="bottom"/>
            <w:hideMark/>
          </w:tcPr>
          <w:p w14:paraId="6769B52E" w14:textId="77777777" w:rsidR="00946974" w:rsidRPr="003B57EA" w:rsidRDefault="00946974" w:rsidP="00946974">
            <w:pPr>
              <w:jc w:val="center"/>
              <w:rPr>
                <w:rFonts w:asciiTheme="majorBidi" w:hAnsiTheme="majorBidi" w:cstheme="majorBidi"/>
              </w:rPr>
            </w:pPr>
          </w:p>
        </w:tc>
      </w:tr>
      <w:tr w:rsidR="00FE2D9B" w:rsidRPr="003B57EA" w14:paraId="7A364400" w14:textId="77777777" w:rsidTr="00946974">
        <w:trPr>
          <w:trHeight w:val="320"/>
        </w:trPr>
        <w:tc>
          <w:tcPr>
            <w:tcW w:w="1000" w:type="pct"/>
            <w:tcBorders>
              <w:top w:val="nil"/>
              <w:left w:val="nil"/>
              <w:bottom w:val="nil"/>
              <w:right w:val="nil"/>
            </w:tcBorders>
            <w:shd w:val="clear" w:color="auto" w:fill="auto"/>
            <w:noWrap/>
            <w:vAlign w:val="bottom"/>
            <w:hideMark/>
          </w:tcPr>
          <w:p w14:paraId="2B2167DB" w14:textId="77777777" w:rsidR="00946974" w:rsidRPr="003B57EA" w:rsidRDefault="00946974">
            <w:pPr>
              <w:rPr>
                <w:rFonts w:asciiTheme="majorBidi" w:hAnsiTheme="majorBidi" w:cstheme="majorBidi"/>
              </w:rPr>
            </w:pPr>
            <w:r w:rsidRPr="003B57EA">
              <w:rPr>
                <w:rFonts w:asciiTheme="majorBidi" w:hAnsiTheme="majorBidi" w:cstheme="majorBidi"/>
              </w:rPr>
              <w:t>MOGS6</w:t>
            </w:r>
          </w:p>
        </w:tc>
        <w:tc>
          <w:tcPr>
            <w:tcW w:w="1000" w:type="pct"/>
            <w:tcBorders>
              <w:top w:val="nil"/>
              <w:left w:val="nil"/>
              <w:bottom w:val="nil"/>
              <w:right w:val="nil"/>
            </w:tcBorders>
            <w:shd w:val="clear" w:color="auto" w:fill="auto"/>
            <w:noWrap/>
            <w:vAlign w:val="bottom"/>
            <w:hideMark/>
          </w:tcPr>
          <w:p w14:paraId="3B9A0CA8"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0.28</w:t>
            </w:r>
          </w:p>
        </w:tc>
        <w:tc>
          <w:tcPr>
            <w:tcW w:w="1000" w:type="pct"/>
            <w:tcBorders>
              <w:top w:val="nil"/>
              <w:left w:val="nil"/>
              <w:bottom w:val="nil"/>
              <w:right w:val="nil"/>
            </w:tcBorders>
            <w:shd w:val="clear" w:color="auto" w:fill="auto"/>
            <w:noWrap/>
            <w:vAlign w:val="bottom"/>
            <w:hideMark/>
          </w:tcPr>
          <w:p w14:paraId="1FE4698B"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18B1AB2D"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0.31</w:t>
            </w:r>
          </w:p>
        </w:tc>
        <w:tc>
          <w:tcPr>
            <w:tcW w:w="1000" w:type="pct"/>
            <w:tcBorders>
              <w:top w:val="nil"/>
              <w:left w:val="nil"/>
              <w:bottom w:val="nil"/>
              <w:right w:val="nil"/>
            </w:tcBorders>
            <w:shd w:val="clear" w:color="auto" w:fill="auto"/>
            <w:noWrap/>
            <w:vAlign w:val="bottom"/>
            <w:hideMark/>
          </w:tcPr>
          <w:p w14:paraId="7300A13B" w14:textId="77777777" w:rsidR="00946974" w:rsidRPr="003B57EA" w:rsidRDefault="00946974" w:rsidP="00946974">
            <w:pPr>
              <w:jc w:val="center"/>
              <w:rPr>
                <w:rFonts w:asciiTheme="majorBidi" w:hAnsiTheme="majorBidi" w:cstheme="majorBidi"/>
              </w:rPr>
            </w:pPr>
          </w:p>
        </w:tc>
      </w:tr>
      <w:tr w:rsidR="00FE2D9B" w:rsidRPr="003B57EA" w14:paraId="2F9D3427" w14:textId="77777777" w:rsidTr="00946974">
        <w:trPr>
          <w:trHeight w:val="320"/>
        </w:trPr>
        <w:tc>
          <w:tcPr>
            <w:tcW w:w="1000" w:type="pct"/>
            <w:tcBorders>
              <w:top w:val="nil"/>
              <w:left w:val="nil"/>
              <w:bottom w:val="nil"/>
              <w:right w:val="nil"/>
            </w:tcBorders>
            <w:shd w:val="clear" w:color="auto" w:fill="auto"/>
            <w:noWrap/>
            <w:vAlign w:val="bottom"/>
            <w:hideMark/>
          </w:tcPr>
          <w:p w14:paraId="0EDB9FAD" w14:textId="77777777" w:rsidR="00946974" w:rsidRPr="003B57EA" w:rsidRDefault="00946974">
            <w:pPr>
              <w:rPr>
                <w:rFonts w:asciiTheme="majorBidi" w:hAnsiTheme="majorBidi" w:cstheme="majorBidi"/>
              </w:rPr>
            </w:pPr>
            <w:r w:rsidRPr="003B57EA">
              <w:rPr>
                <w:rFonts w:asciiTheme="majorBidi" w:hAnsiTheme="majorBidi" w:cstheme="majorBidi"/>
              </w:rPr>
              <w:t>MOGS7</w:t>
            </w:r>
          </w:p>
        </w:tc>
        <w:tc>
          <w:tcPr>
            <w:tcW w:w="1000" w:type="pct"/>
            <w:tcBorders>
              <w:top w:val="nil"/>
              <w:left w:val="nil"/>
              <w:bottom w:val="nil"/>
              <w:right w:val="nil"/>
            </w:tcBorders>
            <w:shd w:val="clear" w:color="auto" w:fill="auto"/>
            <w:noWrap/>
            <w:vAlign w:val="bottom"/>
            <w:hideMark/>
          </w:tcPr>
          <w:p w14:paraId="1A896413"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23D0F788"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0.22</w:t>
            </w:r>
          </w:p>
        </w:tc>
        <w:tc>
          <w:tcPr>
            <w:tcW w:w="1000" w:type="pct"/>
            <w:tcBorders>
              <w:top w:val="nil"/>
              <w:left w:val="nil"/>
              <w:bottom w:val="nil"/>
              <w:right w:val="nil"/>
            </w:tcBorders>
            <w:shd w:val="clear" w:color="auto" w:fill="auto"/>
            <w:noWrap/>
            <w:vAlign w:val="bottom"/>
            <w:hideMark/>
          </w:tcPr>
          <w:p w14:paraId="22B4F2F3"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12D92641"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0.25</w:t>
            </w:r>
          </w:p>
        </w:tc>
      </w:tr>
      <w:tr w:rsidR="00FE2D9B" w:rsidRPr="003B57EA" w14:paraId="5B1B1EB9" w14:textId="77777777" w:rsidTr="00946974">
        <w:trPr>
          <w:trHeight w:val="320"/>
        </w:trPr>
        <w:tc>
          <w:tcPr>
            <w:tcW w:w="1000" w:type="pct"/>
            <w:tcBorders>
              <w:top w:val="nil"/>
              <w:left w:val="nil"/>
              <w:bottom w:val="nil"/>
              <w:right w:val="nil"/>
            </w:tcBorders>
            <w:shd w:val="clear" w:color="auto" w:fill="auto"/>
            <w:noWrap/>
            <w:vAlign w:val="bottom"/>
            <w:hideMark/>
          </w:tcPr>
          <w:p w14:paraId="3CE679E9" w14:textId="77777777" w:rsidR="00946974" w:rsidRPr="003B57EA" w:rsidRDefault="00946974">
            <w:pPr>
              <w:rPr>
                <w:rFonts w:asciiTheme="majorBidi" w:hAnsiTheme="majorBidi" w:cstheme="majorBidi"/>
              </w:rPr>
            </w:pPr>
            <w:r w:rsidRPr="003B57EA">
              <w:rPr>
                <w:rFonts w:asciiTheme="majorBidi" w:hAnsiTheme="majorBidi" w:cstheme="majorBidi"/>
              </w:rPr>
              <w:t>MOGS8</w:t>
            </w:r>
          </w:p>
        </w:tc>
        <w:tc>
          <w:tcPr>
            <w:tcW w:w="1000" w:type="pct"/>
            <w:tcBorders>
              <w:top w:val="nil"/>
              <w:left w:val="nil"/>
              <w:bottom w:val="nil"/>
              <w:right w:val="nil"/>
            </w:tcBorders>
            <w:shd w:val="clear" w:color="auto" w:fill="auto"/>
            <w:noWrap/>
            <w:vAlign w:val="bottom"/>
            <w:hideMark/>
          </w:tcPr>
          <w:p w14:paraId="70DFACE5"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4FF8B172"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0.40</w:t>
            </w:r>
          </w:p>
        </w:tc>
        <w:tc>
          <w:tcPr>
            <w:tcW w:w="1000" w:type="pct"/>
            <w:tcBorders>
              <w:top w:val="nil"/>
              <w:left w:val="nil"/>
              <w:bottom w:val="nil"/>
              <w:right w:val="nil"/>
            </w:tcBorders>
            <w:shd w:val="clear" w:color="auto" w:fill="auto"/>
            <w:noWrap/>
            <w:vAlign w:val="bottom"/>
            <w:hideMark/>
          </w:tcPr>
          <w:p w14:paraId="12BC3DC1"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5A99D8B3"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0.38</w:t>
            </w:r>
          </w:p>
        </w:tc>
      </w:tr>
      <w:tr w:rsidR="00FE2D9B" w:rsidRPr="003B57EA" w14:paraId="1EAB490B" w14:textId="77777777" w:rsidTr="00946974">
        <w:trPr>
          <w:trHeight w:val="320"/>
        </w:trPr>
        <w:tc>
          <w:tcPr>
            <w:tcW w:w="1000" w:type="pct"/>
            <w:tcBorders>
              <w:top w:val="nil"/>
              <w:left w:val="nil"/>
              <w:bottom w:val="nil"/>
              <w:right w:val="nil"/>
            </w:tcBorders>
            <w:shd w:val="clear" w:color="auto" w:fill="auto"/>
            <w:noWrap/>
            <w:vAlign w:val="bottom"/>
            <w:hideMark/>
          </w:tcPr>
          <w:p w14:paraId="3A7674ED" w14:textId="77777777" w:rsidR="00946974" w:rsidRPr="003B57EA" w:rsidRDefault="00946974">
            <w:pPr>
              <w:rPr>
                <w:rFonts w:asciiTheme="majorBidi" w:hAnsiTheme="majorBidi" w:cstheme="majorBidi"/>
              </w:rPr>
            </w:pPr>
            <w:r w:rsidRPr="003B57EA">
              <w:rPr>
                <w:rFonts w:asciiTheme="majorBidi" w:hAnsiTheme="majorBidi" w:cstheme="majorBidi"/>
              </w:rPr>
              <w:t>MOGS9</w:t>
            </w:r>
          </w:p>
        </w:tc>
        <w:tc>
          <w:tcPr>
            <w:tcW w:w="1000" w:type="pct"/>
            <w:tcBorders>
              <w:top w:val="nil"/>
              <w:left w:val="nil"/>
              <w:bottom w:val="nil"/>
              <w:right w:val="nil"/>
            </w:tcBorders>
            <w:shd w:val="clear" w:color="auto" w:fill="auto"/>
            <w:noWrap/>
            <w:vAlign w:val="bottom"/>
            <w:hideMark/>
          </w:tcPr>
          <w:p w14:paraId="6D707A24"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0F0AB350"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0.38</w:t>
            </w:r>
          </w:p>
        </w:tc>
        <w:tc>
          <w:tcPr>
            <w:tcW w:w="1000" w:type="pct"/>
            <w:tcBorders>
              <w:top w:val="nil"/>
              <w:left w:val="nil"/>
              <w:bottom w:val="nil"/>
              <w:right w:val="nil"/>
            </w:tcBorders>
            <w:shd w:val="clear" w:color="auto" w:fill="auto"/>
            <w:noWrap/>
            <w:vAlign w:val="bottom"/>
            <w:hideMark/>
          </w:tcPr>
          <w:p w14:paraId="288DBDD5"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60B86FF1"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0.40</w:t>
            </w:r>
          </w:p>
        </w:tc>
      </w:tr>
      <w:tr w:rsidR="00FE2D9B" w:rsidRPr="003B57EA" w14:paraId="057D093C" w14:textId="77777777" w:rsidTr="00946974">
        <w:trPr>
          <w:trHeight w:val="320"/>
        </w:trPr>
        <w:tc>
          <w:tcPr>
            <w:tcW w:w="1000" w:type="pct"/>
            <w:tcBorders>
              <w:top w:val="nil"/>
              <w:left w:val="nil"/>
              <w:bottom w:val="nil"/>
              <w:right w:val="nil"/>
            </w:tcBorders>
            <w:shd w:val="clear" w:color="auto" w:fill="auto"/>
            <w:noWrap/>
            <w:vAlign w:val="bottom"/>
            <w:hideMark/>
          </w:tcPr>
          <w:p w14:paraId="2C1DF254" w14:textId="77777777" w:rsidR="00946974" w:rsidRPr="003B57EA" w:rsidRDefault="00946974">
            <w:pPr>
              <w:rPr>
                <w:rFonts w:asciiTheme="majorBidi" w:hAnsiTheme="majorBidi" w:cstheme="majorBidi"/>
              </w:rPr>
            </w:pPr>
            <w:r w:rsidRPr="003B57EA">
              <w:rPr>
                <w:rFonts w:asciiTheme="majorBidi" w:hAnsiTheme="majorBidi" w:cstheme="majorBidi"/>
              </w:rPr>
              <w:t>MOGS10</w:t>
            </w:r>
          </w:p>
        </w:tc>
        <w:tc>
          <w:tcPr>
            <w:tcW w:w="1000" w:type="pct"/>
            <w:tcBorders>
              <w:top w:val="nil"/>
              <w:left w:val="nil"/>
              <w:bottom w:val="nil"/>
              <w:right w:val="nil"/>
            </w:tcBorders>
            <w:shd w:val="clear" w:color="auto" w:fill="auto"/>
            <w:noWrap/>
            <w:vAlign w:val="bottom"/>
            <w:hideMark/>
          </w:tcPr>
          <w:p w14:paraId="13E6575C"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06B22BE8"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0.34</w:t>
            </w:r>
          </w:p>
        </w:tc>
        <w:tc>
          <w:tcPr>
            <w:tcW w:w="1000" w:type="pct"/>
            <w:tcBorders>
              <w:top w:val="nil"/>
              <w:left w:val="nil"/>
              <w:bottom w:val="nil"/>
              <w:right w:val="nil"/>
            </w:tcBorders>
            <w:shd w:val="clear" w:color="auto" w:fill="auto"/>
            <w:noWrap/>
            <w:vAlign w:val="bottom"/>
            <w:hideMark/>
          </w:tcPr>
          <w:p w14:paraId="7C4B21B1"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69588F44"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0.34</w:t>
            </w:r>
          </w:p>
        </w:tc>
      </w:tr>
      <w:tr w:rsidR="00FE2D9B" w:rsidRPr="003B57EA" w14:paraId="429E0F1A" w14:textId="77777777" w:rsidTr="00946974">
        <w:trPr>
          <w:trHeight w:val="320"/>
        </w:trPr>
        <w:tc>
          <w:tcPr>
            <w:tcW w:w="1000" w:type="pct"/>
            <w:tcBorders>
              <w:top w:val="nil"/>
              <w:left w:val="nil"/>
              <w:bottom w:val="nil"/>
              <w:right w:val="nil"/>
            </w:tcBorders>
            <w:shd w:val="clear" w:color="auto" w:fill="auto"/>
            <w:noWrap/>
            <w:vAlign w:val="bottom"/>
            <w:hideMark/>
          </w:tcPr>
          <w:p w14:paraId="28D7FAFF" w14:textId="77777777" w:rsidR="00946974" w:rsidRPr="003B57EA" w:rsidRDefault="00946974">
            <w:pPr>
              <w:rPr>
                <w:rFonts w:asciiTheme="majorBidi" w:hAnsiTheme="majorBidi" w:cstheme="majorBidi"/>
              </w:rPr>
            </w:pPr>
            <w:r w:rsidRPr="003B57EA">
              <w:rPr>
                <w:rFonts w:asciiTheme="majorBidi" w:hAnsiTheme="majorBidi" w:cstheme="majorBidi"/>
              </w:rPr>
              <w:t>MOGS11</w:t>
            </w:r>
          </w:p>
        </w:tc>
        <w:tc>
          <w:tcPr>
            <w:tcW w:w="1000" w:type="pct"/>
            <w:tcBorders>
              <w:top w:val="nil"/>
              <w:left w:val="nil"/>
              <w:bottom w:val="nil"/>
              <w:right w:val="nil"/>
            </w:tcBorders>
            <w:shd w:val="clear" w:color="auto" w:fill="auto"/>
            <w:noWrap/>
            <w:vAlign w:val="bottom"/>
            <w:hideMark/>
          </w:tcPr>
          <w:p w14:paraId="00C4C4F5"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17C4A6F3"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0.42</w:t>
            </w:r>
          </w:p>
        </w:tc>
        <w:tc>
          <w:tcPr>
            <w:tcW w:w="1000" w:type="pct"/>
            <w:tcBorders>
              <w:top w:val="nil"/>
              <w:left w:val="nil"/>
              <w:bottom w:val="nil"/>
              <w:right w:val="nil"/>
            </w:tcBorders>
            <w:shd w:val="clear" w:color="auto" w:fill="auto"/>
            <w:noWrap/>
            <w:vAlign w:val="bottom"/>
            <w:hideMark/>
          </w:tcPr>
          <w:p w14:paraId="6E4577BE" w14:textId="77777777" w:rsidR="00946974" w:rsidRPr="003B57EA" w:rsidRDefault="00946974" w:rsidP="00946974">
            <w:pPr>
              <w:jc w:val="center"/>
              <w:rPr>
                <w:rFonts w:asciiTheme="majorBidi" w:hAnsiTheme="majorBidi" w:cstheme="majorBidi"/>
              </w:rPr>
            </w:pPr>
          </w:p>
        </w:tc>
        <w:tc>
          <w:tcPr>
            <w:tcW w:w="1000" w:type="pct"/>
            <w:tcBorders>
              <w:top w:val="nil"/>
              <w:left w:val="nil"/>
              <w:bottom w:val="nil"/>
              <w:right w:val="nil"/>
            </w:tcBorders>
            <w:shd w:val="clear" w:color="auto" w:fill="auto"/>
            <w:noWrap/>
            <w:vAlign w:val="bottom"/>
            <w:hideMark/>
          </w:tcPr>
          <w:p w14:paraId="7A0F9397"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0.39</w:t>
            </w:r>
          </w:p>
        </w:tc>
      </w:tr>
      <w:tr w:rsidR="00FE2D9B" w:rsidRPr="003B57EA" w14:paraId="319DD336" w14:textId="77777777" w:rsidTr="00EB19B5">
        <w:trPr>
          <w:trHeight w:val="320"/>
        </w:trPr>
        <w:tc>
          <w:tcPr>
            <w:tcW w:w="1000" w:type="pct"/>
            <w:tcBorders>
              <w:top w:val="nil"/>
              <w:left w:val="nil"/>
              <w:bottom w:val="single" w:sz="4" w:space="0" w:color="auto"/>
              <w:right w:val="nil"/>
            </w:tcBorders>
            <w:shd w:val="clear" w:color="auto" w:fill="auto"/>
            <w:noWrap/>
            <w:vAlign w:val="bottom"/>
            <w:hideMark/>
          </w:tcPr>
          <w:p w14:paraId="44B62D0A" w14:textId="77777777" w:rsidR="00946974" w:rsidRPr="003B57EA" w:rsidRDefault="00946974">
            <w:pPr>
              <w:rPr>
                <w:rFonts w:asciiTheme="majorBidi" w:hAnsiTheme="majorBidi" w:cstheme="majorBidi"/>
              </w:rPr>
            </w:pPr>
            <w:r w:rsidRPr="003B57EA">
              <w:rPr>
                <w:rFonts w:asciiTheme="majorBidi" w:hAnsiTheme="majorBidi" w:cstheme="majorBidi"/>
              </w:rPr>
              <w:t>MOGS12</w:t>
            </w:r>
          </w:p>
        </w:tc>
        <w:tc>
          <w:tcPr>
            <w:tcW w:w="1000" w:type="pct"/>
            <w:tcBorders>
              <w:top w:val="nil"/>
              <w:left w:val="nil"/>
              <w:bottom w:val="single" w:sz="4" w:space="0" w:color="auto"/>
              <w:right w:val="nil"/>
            </w:tcBorders>
            <w:shd w:val="clear" w:color="auto" w:fill="auto"/>
            <w:noWrap/>
            <w:vAlign w:val="bottom"/>
            <w:hideMark/>
          </w:tcPr>
          <w:p w14:paraId="1BEAB53F" w14:textId="77777777" w:rsidR="00946974" w:rsidRPr="003B57EA" w:rsidRDefault="00946974" w:rsidP="00946974">
            <w:pPr>
              <w:jc w:val="center"/>
              <w:rPr>
                <w:rFonts w:asciiTheme="majorBidi" w:hAnsiTheme="majorBidi" w:cstheme="majorBidi"/>
              </w:rPr>
            </w:pPr>
          </w:p>
        </w:tc>
        <w:tc>
          <w:tcPr>
            <w:tcW w:w="1000" w:type="pct"/>
            <w:tcBorders>
              <w:top w:val="nil"/>
              <w:left w:val="nil"/>
              <w:bottom w:val="single" w:sz="4" w:space="0" w:color="auto"/>
              <w:right w:val="nil"/>
            </w:tcBorders>
            <w:shd w:val="clear" w:color="auto" w:fill="auto"/>
            <w:noWrap/>
            <w:vAlign w:val="bottom"/>
            <w:hideMark/>
          </w:tcPr>
          <w:p w14:paraId="1637F8D9"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0.21</w:t>
            </w:r>
          </w:p>
        </w:tc>
        <w:tc>
          <w:tcPr>
            <w:tcW w:w="1000" w:type="pct"/>
            <w:tcBorders>
              <w:top w:val="nil"/>
              <w:left w:val="nil"/>
              <w:bottom w:val="single" w:sz="4" w:space="0" w:color="auto"/>
              <w:right w:val="nil"/>
            </w:tcBorders>
            <w:shd w:val="clear" w:color="auto" w:fill="auto"/>
            <w:noWrap/>
            <w:vAlign w:val="bottom"/>
            <w:hideMark/>
          </w:tcPr>
          <w:p w14:paraId="7C5250D4" w14:textId="77777777" w:rsidR="00946974" w:rsidRPr="003B57EA" w:rsidRDefault="00946974" w:rsidP="00946974">
            <w:pPr>
              <w:jc w:val="center"/>
              <w:rPr>
                <w:rFonts w:asciiTheme="majorBidi" w:hAnsiTheme="majorBidi" w:cstheme="majorBidi"/>
              </w:rPr>
            </w:pPr>
          </w:p>
        </w:tc>
        <w:tc>
          <w:tcPr>
            <w:tcW w:w="1000" w:type="pct"/>
            <w:tcBorders>
              <w:top w:val="nil"/>
              <w:left w:val="nil"/>
              <w:bottom w:val="single" w:sz="4" w:space="0" w:color="auto"/>
              <w:right w:val="nil"/>
            </w:tcBorders>
            <w:shd w:val="clear" w:color="auto" w:fill="auto"/>
            <w:noWrap/>
            <w:vAlign w:val="bottom"/>
            <w:hideMark/>
          </w:tcPr>
          <w:p w14:paraId="7CF3D776" w14:textId="77777777" w:rsidR="00946974" w:rsidRPr="003B57EA" w:rsidRDefault="00946974" w:rsidP="00946974">
            <w:pPr>
              <w:jc w:val="center"/>
              <w:rPr>
                <w:rFonts w:asciiTheme="majorBidi" w:hAnsiTheme="majorBidi" w:cstheme="majorBidi"/>
              </w:rPr>
            </w:pPr>
            <w:r w:rsidRPr="003B57EA">
              <w:rPr>
                <w:rFonts w:asciiTheme="majorBidi" w:hAnsiTheme="majorBidi" w:cstheme="majorBidi"/>
              </w:rPr>
              <w:t>0.26</w:t>
            </w:r>
          </w:p>
        </w:tc>
      </w:tr>
      <w:tr w:rsidR="00FE2D9B" w:rsidRPr="003B57EA" w14:paraId="6A578383" w14:textId="77777777" w:rsidTr="00EC735B">
        <w:trPr>
          <w:trHeight w:val="320"/>
        </w:trPr>
        <w:tc>
          <w:tcPr>
            <w:tcW w:w="1000" w:type="pct"/>
            <w:tcBorders>
              <w:top w:val="single" w:sz="4" w:space="0" w:color="auto"/>
              <w:left w:val="nil"/>
              <w:bottom w:val="double" w:sz="4" w:space="0" w:color="auto"/>
              <w:right w:val="nil"/>
            </w:tcBorders>
            <w:shd w:val="clear" w:color="auto" w:fill="auto"/>
            <w:noWrap/>
            <w:vAlign w:val="bottom"/>
            <w:hideMark/>
          </w:tcPr>
          <w:p w14:paraId="0EBC9683" w14:textId="065C16F0" w:rsidR="00946974" w:rsidRPr="003B57EA" w:rsidRDefault="00EB19B5">
            <w:pPr>
              <w:jc w:val="right"/>
              <w:rPr>
                <w:rFonts w:asciiTheme="majorBidi" w:hAnsiTheme="majorBidi" w:cstheme="majorBidi"/>
              </w:rPr>
            </w:pPr>
            <w:r w:rsidRPr="003B57EA">
              <w:rPr>
                <w:rFonts w:asciiTheme="majorBidi" w:hAnsiTheme="majorBidi" w:cstheme="majorBidi"/>
              </w:rPr>
              <w:t xml:space="preserve">Cronbach’s </w:t>
            </w:r>
            <w:r w:rsidRPr="003B57EA">
              <w:rPr>
                <w:rFonts w:asciiTheme="majorBidi" w:hAnsiTheme="majorBidi" w:cstheme="majorBidi"/>
              </w:rPr>
              <w:sym w:font="Symbol" w:char="F061"/>
            </w:r>
          </w:p>
        </w:tc>
        <w:tc>
          <w:tcPr>
            <w:tcW w:w="1000" w:type="pct"/>
            <w:tcBorders>
              <w:top w:val="single" w:sz="4" w:space="0" w:color="auto"/>
              <w:left w:val="nil"/>
              <w:bottom w:val="double" w:sz="4" w:space="0" w:color="auto"/>
              <w:right w:val="nil"/>
            </w:tcBorders>
            <w:shd w:val="clear" w:color="auto" w:fill="auto"/>
            <w:noWrap/>
            <w:vAlign w:val="center"/>
            <w:hideMark/>
          </w:tcPr>
          <w:p w14:paraId="73E6D589" w14:textId="77CD6F56" w:rsidR="00946974" w:rsidRPr="003B57EA" w:rsidRDefault="00EC735B" w:rsidP="00EC735B">
            <w:pPr>
              <w:jc w:val="center"/>
              <w:rPr>
                <w:rFonts w:asciiTheme="majorBidi" w:hAnsiTheme="majorBidi" w:cstheme="majorBidi"/>
              </w:rPr>
            </w:pPr>
            <w:r w:rsidRPr="003B57EA">
              <w:rPr>
                <w:rFonts w:asciiTheme="majorBidi" w:hAnsiTheme="majorBidi" w:cstheme="majorBidi"/>
              </w:rPr>
              <w:t>0.83</w:t>
            </w:r>
          </w:p>
        </w:tc>
        <w:tc>
          <w:tcPr>
            <w:tcW w:w="1000" w:type="pct"/>
            <w:tcBorders>
              <w:top w:val="single" w:sz="4" w:space="0" w:color="auto"/>
              <w:left w:val="nil"/>
              <w:bottom w:val="double" w:sz="4" w:space="0" w:color="auto"/>
              <w:right w:val="nil"/>
            </w:tcBorders>
            <w:shd w:val="clear" w:color="auto" w:fill="auto"/>
            <w:noWrap/>
            <w:vAlign w:val="center"/>
            <w:hideMark/>
          </w:tcPr>
          <w:p w14:paraId="799AE094" w14:textId="7246CFA4" w:rsidR="00946974" w:rsidRPr="003B57EA" w:rsidRDefault="00EC735B" w:rsidP="00EC735B">
            <w:pPr>
              <w:jc w:val="center"/>
              <w:rPr>
                <w:rFonts w:asciiTheme="majorBidi" w:hAnsiTheme="majorBidi" w:cstheme="majorBidi"/>
              </w:rPr>
            </w:pPr>
            <w:r w:rsidRPr="003B57EA">
              <w:rPr>
                <w:rFonts w:asciiTheme="majorBidi" w:hAnsiTheme="majorBidi" w:cstheme="majorBidi"/>
              </w:rPr>
              <w:t>0.88</w:t>
            </w:r>
          </w:p>
        </w:tc>
        <w:tc>
          <w:tcPr>
            <w:tcW w:w="1000" w:type="pct"/>
            <w:tcBorders>
              <w:top w:val="single" w:sz="4" w:space="0" w:color="auto"/>
              <w:left w:val="nil"/>
              <w:bottom w:val="double" w:sz="4" w:space="0" w:color="auto"/>
              <w:right w:val="nil"/>
            </w:tcBorders>
            <w:shd w:val="clear" w:color="auto" w:fill="auto"/>
            <w:noWrap/>
            <w:vAlign w:val="center"/>
            <w:hideMark/>
          </w:tcPr>
          <w:p w14:paraId="45A678B0" w14:textId="0E97EE99" w:rsidR="00946974" w:rsidRPr="003B57EA" w:rsidRDefault="00EC735B" w:rsidP="00EC735B">
            <w:pPr>
              <w:jc w:val="center"/>
              <w:rPr>
                <w:rFonts w:asciiTheme="majorBidi" w:hAnsiTheme="majorBidi" w:cstheme="majorBidi"/>
              </w:rPr>
            </w:pPr>
            <w:r w:rsidRPr="003B57EA">
              <w:rPr>
                <w:rFonts w:asciiTheme="majorBidi" w:hAnsiTheme="majorBidi" w:cstheme="majorBidi"/>
              </w:rPr>
              <w:t>0.85</w:t>
            </w:r>
          </w:p>
        </w:tc>
        <w:tc>
          <w:tcPr>
            <w:tcW w:w="1000" w:type="pct"/>
            <w:tcBorders>
              <w:top w:val="single" w:sz="4" w:space="0" w:color="auto"/>
              <w:left w:val="nil"/>
              <w:bottom w:val="double" w:sz="4" w:space="0" w:color="auto"/>
              <w:right w:val="nil"/>
            </w:tcBorders>
            <w:shd w:val="clear" w:color="auto" w:fill="auto"/>
            <w:noWrap/>
            <w:vAlign w:val="center"/>
            <w:hideMark/>
          </w:tcPr>
          <w:p w14:paraId="1E70D992" w14:textId="0A09AF6A" w:rsidR="00946974" w:rsidRPr="003B57EA" w:rsidRDefault="00EC735B" w:rsidP="00EC735B">
            <w:pPr>
              <w:jc w:val="center"/>
              <w:rPr>
                <w:rFonts w:asciiTheme="majorBidi" w:hAnsiTheme="majorBidi" w:cstheme="majorBidi"/>
              </w:rPr>
            </w:pPr>
            <w:r w:rsidRPr="003B57EA">
              <w:rPr>
                <w:rFonts w:asciiTheme="majorBidi" w:hAnsiTheme="majorBidi" w:cstheme="majorBidi"/>
              </w:rPr>
              <w:t>0.90</w:t>
            </w:r>
          </w:p>
        </w:tc>
      </w:tr>
    </w:tbl>
    <w:p w14:paraId="180218DA" w14:textId="42E77834" w:rsidR="000C590F" w:rsidRPr="003B57EA" w:rsidRDefault="00DB4FBB" w:rsidP="0010065E">
      <w:pPr>
        <w:jc w:val="both"/>
        <w:rPr>
          <w:rFonts w:asciiTheme="majorBidi" w:hAnsiTheme="majorBidi" w:cstheme="majorBidi"/>
        </w:rPr>
      </w:pPr>
      <w:r w:rsidRPr="003B57EA">
        <w:rPr>
          <w:rFonts w:asciiTheme="majorBidi" w:hAnsiTheme="majorBidi" w:cstheme="majorBidi"/>
        </w:rPr>
        <w:t>Note. G</w:t>
      </w:r>
      <w:r w:rsidRPr="003B57EA">
        <w:rPr>
          <w:rFonts w:asciiTheme="majorBidi" w:eastAsiaTheme="minorHAnsi" w:hAnsiTheme="majorBidi" w:cstheme="majorBidi"/>
        </w:rPr>
        <w:t xml:space="preserve">eneral effect size guidelines for network loadings </w:t>
      </w:r>
      <w:r w:rsidR="00EB19B5" w:rsidRPr="003B57EA">
        <w:rPr>
          <w:rFonts w:asciiTheme="majorBidi" w:eastAsiaTheme="minorHAnsi" w:hAnsiTheme="majorBidi" w:cstheme="majorBidi"/>
        </w:rPr>
        <w:t>are</w:t>
      </w:r>
      <w:r w:rsidRPr="003B57EA">
        <w:rPr>
          <w:rFonts w:asciiTheme="majorBidi" w:eastAsiaTheme="minorHAnsi" w:hAnsiTheme="majorBidi" w:cstheme="majorBidi"/>
        </w:rPr>
        <w:t xml:space="preserve"> 0.15 for small, 0.25 for moderate, and 0.35 for large</w:t>
      </w:r>
      <w:r w:rsidRPr="003B57EA">
        <w:rPr>
          <w:rFonts w:asciiTheme="majorBidi" w:hAnsiTheme="majorBidi" w:cstheme="majorBidi"/>
        </w:rPr>
        <w:t>.</w:t>
      </w:r>
    </w:p>
    <w:p w14:paraId="44FB486B" w14:textId="77777777" w:rsidR="000C590F" w:rsidRPr="003B57EA" w:rsidRDefault="000C590F">
      <w:pPr>
        <w:spacing w:line="480" w:lineRule="auto"/>
        <w:rPr>
          <w:rFonts w:asciiTheme="majorBidi" w:hAnsiTheme="majorBidi" w:cstheme="majorBidi"/>
        </w:rPr>
      </w:pPr>
      <w:r w:rsidRPr="003B57EA">
        <w:rPr>
          <w:rFonts w:asciiTheme="majorBidi" w:hAnsiTheme="majorBidi" w:cstheme="majorBidi"/>
        </w:rPr>
        <w:br w:type="page"/>
      </w:r>
    </w:p>
    <w:p w14:paraId="62B4C1F0" w14:textId="77777777" w:rsidR="0073340A" w:rsidRPr="003B57EA" w:rsidRDefault="0073340A" w:rsidP="0073340A">
      <w:pPr>
        <w:widowControl w:val="0"/>
        <w:autoSpaceDE w:val="0"/>
        <w:autoSpaceDN w:val="0"/>
        <w:adjustRightInd w:val="0"/>
        <w:sectPr w:rsidR="0073340A" w:rsidRPr="003B57EA" w:rsidSect="0037287F">
          <w:footerReference w:type="default" r:id="rId9"/>
          <w:pgSz w:w="11906" w:h="16838"/>
          <w:pgMar w:top="1440" w:right="1800" w:bottom="1440" w:left="1800" w:header="708" w:footer="708" w:gutter="0"/>
          <w:cols w:space="708"/>
          <w:bidi/>
          <w:rtlGutter/>
          <w:docGrid w:linePitch="360"/>
        </w:sectPr>
      </w:pPr>
    </w:p>
    <w:p w14:paraId="748CE23F" w14:textId="77777777" w:rsidR="0073340A" w:rsidRPr="003B57EA" w:rsidRDefault="0073340A" w:rsidP="0073340A">
      <w:pPr>
        <w:widowControl w:val="0"/>
        <w:autoSpaceDE w:val="0"/>
        <w:autoSpaceDN w:val="0"/>
        <w:adjustRightInd w:val="0"/>
      </w:pPr>
      <w:r w:rsidRPr="003B57EA">
        <w:lastRenderedPageBreak/>
        <w:t>Table 2</w:t>
      </w:r>
    </w:p>
    <w:p w14:paraId="5BD077D5" w14:textId="77777777" w:rsidR="0073340A" w:rsidRPr="003B57EA" w:rsidRDefault="0073340A" w:rsidP="0073340A">
      <w:pPr>
        <w:widowControl w:val="0"/>
        <w:autoSpaceDE w:val="0"/>
        <w:autoSpaceDN w:val="0"/>
        <w:adjustRightInd w:val="0"/>
      </w:pPr>
    </w:p>
    <w:p w14:paraId="67920469" w14:textId="77777777" w:rsidR="0073340A" w:rsidRPr="003B57EA" w:rsidRDefault="0073340A" w:rsidP="0073340A">
      <w:pPr>
        <w:widowControl w:val="0"/>
        <w:autoSpaceDE w:val="0"/>
        <w:autoSpaceDN w:val="0"/>
        <w:adjustRightInd w:val="0"/>
        <w:rPr>
          <w:i/>
          <w:iCs/>
        </w:rPr>
      </w:pPr>
      <w:r w:rsidRPr="003B57EA">
        <w:rPr>
          <w:i/>
          <w:iCs/>
        </w:rPr>
        <w:t xml:space="preserve">Means, standard deviations, and correlations with confidence intervals </w:t>
      </w:r>
    </w:p>
    <w:p w14:paraId="67C02EC5" w14:textId="77777777" w:rsidR="0073340A" w:rsidRPr="003B57EA" w:rsidRDefault="0073340A" w:rsidP="0073340A">
      <w:pPr>
        <w:widowControl w:val="0"/>
        <w:autoSpaceDE w:val="0"/>
        <w:autoSpaceDN w:val="0"/>
        <w:adjustRightInd w:val="0"/>
      </w:pPr>
    </w:p>
    <w:tbl>
      <w:tblPr>
        <w:tblW w:w="0" w:type="auto"/>
        <w:tblCellMar>
          <w:left w:w="100" w:type="dxa"/>
          <w:right w:w="100" w:type="dxa"/>
        </w:tblCellMar>
        <w:tblLook w:val="0000" w:firstRow="0" w:lastRow="0" w:firstColumn="0" w:lastColumn="0" w:noHBand="0" w:noVBand="0"/>
      </w:tblPr>
      <w:tblGrid>
        <w:gridCol w:w="4088"/>
        <w:gridCol w:w="903"/>
        <w:gridCol w:w="903"/>
        <w:gridCol w:w="2042"/>
        <w:gridCol w:w="1990"/>
        <w:gridCol w:w="2042"/>
        <w:gridCol w:w="1990"/>
      </w:tblGrid>
      <w:tr w:rsidR="0073340A" w:rsidRPr="003B57EA" w14:paraId="67F05337" w14:textId="77777777" w:rsidTr="007D2867">
        <w:tc>
          <w:tcPr>
            <w:tcW w:w="0" w:type="auto"/>
            <w:tcBorders>
              <w:top w:val="single" w:sz="6" w:space="0" w:color="auto"/>
              <w:left w:val="nil"/>
              <w:bottom w:val="nil"/>
              <w:right w:val="nil"/>
            </w:tcBorders>
            <w:vAlign w:val="center"/>
          </w:tcPr>
          <w:p w14:paraId="52CF3AB8"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Variable</w:t>
            </w:r>
          </w:p>
        </w:tc>
        <w:tc>
          <w:tcPr>
            <w:tcW w:w="0" w:type="auto"/>
            <w:tcBorders>
              <w:top w:val="single" w:sz="6" w:space="0" w:color="auto"/>
              <w:left w:val="nil"/>
              <w:bottom w:val="nil"/>
              <w:right w:val="nil"/>
            </w:tcBorders>
            <w:vAlign w:val="center"/>
          </w:tcPr>
          <w:p w14:paraId="730C880C"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i/>
                <w:iCs/>
                <w:sz w:val="22"/>
                <w:szCs w:val="22"/>
              </w:rPr>
              <w:t>M</w:t>
            </w:r>
          </w:p>
        </w:tc>
        <w:tc>
          <w:tcPr>
            <w:tcW w:w="0" w:type="auto"/>
            <w:tcBorders>
              <w:top w:val="single" w:sz="6" w:space="0" w:color="auto"/>
              <w:left w:val="nil"/>
              <w:bottom w:val="nil"/>
              <w:right w:val="nil"/>
            </w:tcBorders>
            <w:vAlign w:val="center"/>
          </w:tcPr>
          <w:p w14:paraId="42CC2115"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i/>
                <w:iCs/>
                <w:sz w:val="22"/>
                <w:szCs w:val="22"/>
              </w:rPr>
              <w:t>SD</w:t>
            </w:r>
          </w:p>
        </w:tc>
        <w:tc>
          <w:tcPr>
            <w:tcW w:w="0" w:type="auto"/>
            <w:tcBorders>
              <w:top w:val="single" w:sz="6" w:space="0" w:color="auto"/>
              <w:left w:val="nil"/>
              <w:bottom w:val="nil"/>
              <w:right w:val="nil"/>
            </w:tcBorders>
            <w:vAlign w:val="center"/>
          </w:tcPr>
          <w:p w14:paraId="2C1DEBAF"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sz w:val="22"/>
                <w:szCs w:val="22"/>
              </w:rPr>
              <w:t>Negative</w:t>
            </w:r>
          </w:p>
          <w:p w14:paraId="12E7763D"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sz w:val="22"/>
                <w:szCs w:val="22"/>
              </w:rPr>
              <w:t xml:space="preserve"> Metacognitions (T1)</w:t>
            </w:r>
          </w:p>
        </w:tc>
        <w:tc>
          <w:tcPr>
            <w:tcW w:w="0" w:type="auto"/>
            <w:tcBorders>
              <w:top w:val="single" w:sz="6" w:space="0" w:color="auto"/>
              <w:left w:val="nil"/>
              <w:bottom w:val="nil"/>
              <w:right w:val="nil"/>
            </w:tcBorders>
            <w:vAlign w:val="center"/>
          </w:tcPr>
          <w:p w14:paraId="54AFB795"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sz w:val="22"/>
                <w:szCs w:val="22"/>
              </w:rPr>
              <w:t xml:space="preserve">Positive </w:t>
            </w:r>
          </w:p>
          <w:p w14:paraId="7422BC85"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sz w:val="22"/>
                <w:szCs w:val="22"/>
              </w:rPr>
              <w:t>Metacognitions (T1)</w:t>
            </w:r>
          </w:p>
        </w:tc>
        <w:tc>
          <w:tcPr>
            <w:tcW w:w="0" w:type="auto"/>
            <w:tcBorders>
              <w:top w:val="single" w:sz="6" w:space="0" w:color="auto"/>
              <w:left w:val="nil"/>
              <w:bottom w:val="nil"/>
              <w:right w:val="nil"/>
            </w:tcBorders>
            <w:vAlign w:val="center"/>
          </w:tcPr>
          <w:p w14:paraId="73A74202"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sz w:val="22"/>
                <w:szCs w:val="22"/>
              </w:rPr>
              <w:t>Negative</w:t>
            </w:r>
          </w:p>
          <w:p w14:paraId="729C4521"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sz w:val="22"/>
                <w:szCs w:val="22"/>
              </w:rPr>
              <w:t xml:space="preserve"> Metacognitions (T2)</w:t>
            </w:r>
          </w:p>
        </w:tc>
        <w:tc>
          <w:tcPr>
            <w:tcW w:w="0" w:type="auto"/>
            <w:tcBorders>
              <w:top w:val="single" w:sz="6" w:space="0" w:color="auto"/>
              <w:left w:val="nil"/>
              <w:bottom w:val="nil"/>
              <w:right w:val="nil"/>
            </w:tcBorders>
            <w:vAlign w:val="center"/>
          </w:tcPr>
          <w:p w14:paraId="7014ED4F"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sz w:val="22"/>
                <w:szCs w:val="22"/>
              </w:rPr>
              <w:t xml:space="preserve">Positive </w:t>
            </w:r>
          </w:p>
          <w:p w14:paraId="6DE0E64F" w14:textId="77777777" w:rsidR="0073340A" w:rsidRPr="003B57EA" w:rsidRDefault="0073340A" w:rsidP="007D2867">
            <w:pPr>
              <w:widowControl w:val="0"/>
              <w:autoSpaceDE w:val="0"/>
              <w:autoSpaceDN w:val="0"/>
              <w:adjustRightInd w:val="0"/>
              <w:jc w:val="center"/>
              <w:rPr>
                <w:rFonts w:asciiTheme="majorBidi" w:hAnsiTheme="majorBidi"/>
                <w:sz w:val="22"/>
                <w:szCs w:val="22"/>
              </w:rPr>
            </w:pPr>
            <w:r w:rsidRPr="003B57EA">
              <w:rPr>
                <w:rFonts w:asciiTheme="majorBidi" w:hAnsiTheme="majorBidi"/>
                <w:sz w:val="22"/>
                <w:szCs w:val="22"/>
              </w:rPr>
              <w:t>Metacognitions (T2)</w:t>
            </w:r>
          </w:p>
        </w:tc>
      </w:tr>
      <w:tr w:rsidR="0073340A" w:rsidRPr="003B57EA" w14:paraId="0417F66B" w14:textId="77777777" w:rsidTr="007D2867">
        <w:tc>
          <w:tcPr>
            <w:tcW w:w="0" w:type="auto"/>
            <w:tcBorders>
              <w:top w:val="nil"/>
              <w:left w:val="nil"/>
              <w:bottom w:val="nil"/>
              <w:right w:val="nil"/>
            </w:tcBorders>
            <w:vAlign w:val="center"/>
          </w:tcPr>
          <w:p w14:paraId="09B56230"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Expressive suppression (T1)</w:t>
            </w:r>
          </w:p>
        </w:tc>
        <w:tc>
          <w:tcPr>
            <w:tcW w:w="0" w:type="auto"/>
            <w:tcBorders>
              <w:top w:val="nil"/>
              <w:left w:val="nil"/>
              <w:bottom w:val="nil"/>
              <w:right w:val="nil"/>
            </w:tcBorders>
            <w:vAlign w:val="center"/>
          </w:tcPr>
          <w:p w14:paraId="0E8492E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2.72</w:t>
            </w:r>
          </w:p>
        </w:tc>
        <w:tc>
          <w:tcPr>
            <w:tcW w:w="0" w:type="auto"/>
            <w:tcBorders>
              <w:top w:val="nil"/>
              <w:left w:val="nil"/>
              <w:bottom w:val="nil"/>
              <w:right w:val="nil"/>
            </w:tcBorders>
            <w:vAlign w:val="center"/>
          </w:tcPr>
          <w:p w14:paraId="0F05262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0.82</w:t>
            </w:r>
          </w:p>
        </w:tc>
        <w:tc>
          <w:tcPr>
            <w:tcW w:w="0" w:type="auto"/>
            <w:tcBorders>
              <w:top w:val="nil"/>
              <w:left w:val="nil"/>
              <w:bottom w:val="nil"/>
              <w:right w:val="nil"/>
            </w:tcBorders>
            <w:vAlign w:val="center"/>
          </w:tcPr>
          <w:p w14:paraId="5395656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.21**</w:t>
            </w:r>
          </w:p>
        </w:tc>
        <w:tc>
          <w:tcPr>
            <w:tcW w:w="0" w:type="auto"/>
            <w:tcBorders>
              <w:top w:val="nil"/>
              <w:left w:val="nil"/>
              <w:bottom w:val="nil"/>
              <w:right w:val="nil"/>
            </w:tcBorders>
            <w:vAlign w:val="center"/>
          </w:tcPr>
          <w:p w14:paraId="25602C5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.25**</w:t>
            </w:r>
          </w:p>
        </w:tc>
        <w:tc>
          <w:tcPr>
            <w:tcW w:w="0" w:type="auto"/>
            <w:tcBorders>
              <w:top w:val="nil"/>
              <w:left w:val="nil"/>
              <w:bottom w:val="nil"/>
              <w:right w:val="nil"/>
            </w:tcBorders>
            <w:vAlign w:val="center"/>
          </w:tcPr>
          <w:p w14:paraId="7590B14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w:t>
            </w:r>
          </w:p>
        </w:tc>
        <w:tc>
          <w:tcPr>
            <w:tcW w:w="0" w:type="auto"/>
            <w:tcBorders>
              <w:top w:val="nil"/>
              <w:left w:val="nil"/>
              <w:bottom w:val="nil"/>
              <w:right w:val="nil"/>
            </w:tcBorders>
            <w:vAlign w:val="center"/>
          </w:tcPr>
          <w:p w14:paraId="4AED13A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.27**</w:t>
            </w:r>
          </w:p>
        </w:tc>
      </w:tr>
      <w:tr w:rsidR="0073340A" w:rsidRPr="003B57EA" w14:paraId="3EB0DAA0" w14:textId="77777777" w:rsidTr="007D2867">
        <w:tc>
          <w:tcPr>
            <w:tcW w:w="0" w:type="auto"/>
            <w:tcBorders>
              <w:top w:val="nil"/>
              <w:left w:val="nil"/>
              <w:bottom w:val="nil"/>
              <w:right w:val="nil"/>
            </w:tcBorders>
            <w:vAlign w:val="center"/>
          </w:tcPr>
          <w:p w14:paraId="265506F1"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6F81B8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743D01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F9222D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[.15, .27]</w:t>
            </w:r>
          </w:p>
        </w:tc>
        <w:tc>
          <w:tcPr>
            <w:tcW w:w="0" w:type="auto"/>
            <w:tcBorders>
              <w:top w:val="nil"/>
              <w:left w:val="nil"/>
              <w:bottom w:val="nil"/>
              <w:right w:val="nil"/>
            </w:tcBorders>
            <w:vAlign w:val="center"/>
          </w:tcPr>
          <w:p w14:paraId="444EBBC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[.20, .31]</w:t>
            </w:r>
          </w:p>
        </w:tc>
        <w:tc>
          <w:tcPr>
            <w:tcW w:w="0" w:type="auto"/>
            <w:tcBorders>
              <w:top w:val="nil"/>
              <w:left w:val="nil"/>
              <w:bottom w:val="nil"/>
              <w:right w:val="nil"/>
            </w:tcBorders>
            <w:vAlign w:val="center"/>
          </w:tcPr>
          <w:p w14:paraId="1B8704A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[.12, .23]</w:t>
            </w:r>
          </w:p>
        </w:tc>
        <w:tc>
          <w:tcPr>
            <w:tcW w:w="0" w:type="auto"/>
            <w:tcBorders>
              <w:top w:val="nil"/>
              <w:left w:val="nil"/>
              <w:bottom w:val="nil"/>
              <w:right w:val="nil"/>
            </w:tcBorders>
            <w:vAlign w:val="center"/>
          </w:tcPr>
          <w:p w14:paraId="25C982E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[.22, .33]</w:t>
            </w:r>
          </w:p>
        </w:tc>
      </w:tr>
      <w:tr w:rsidR="0073340A" w:rsidRPr="003B57EA" w14:paraId="74000AA1" w14:textId="77777777" w:rsidTr="007D2867">
        <w:tc>
          <w:tcPr>
            <w:tcW w:w="0" w:type="auto"/>
            <w:tcBorders>
              <w:top w:val="nil"/>
              <w:left w:val="nil"/>
              <w:bottom w:val="nil"/>
              <w:right w:val="nil"/>
            </w:tcBorders>
            <w:vAlign w:val="center"/>
          </w:tcPr>
          <w:p w14:paraId="21BFF0C3"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B842B0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87287B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CCEA80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F1178F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C5BC80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8154B8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7020327C" w14:textId="77777777" w:rsidTr="007D2867">
        <w:tc>
          <w:tcPr>
            <w:tcW w:w="0" w:type="auto"/>
            <w:tcBorders>
              <w:top w:val="nil"/>
              <w:left w:val="nil"/>
              <w:bottom w:val="nil"/>
              <w:right w:val="nil"/>
            </w:tcBorders>
            <w:vAlign w:val="center"/>
          </w:tcPr>
          <w:p w14:paraId="40A4BB5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Cognitive reappraisal (T1)</w:t>
            </w:r>
          </w:p>
        </w:tc>
        <w:tc>
          <w:tcPr>
            <w:tcW w:w="0" w:type="auto"/>
            <w:tcBorders>
              <w:top w:val="nil"/>
              <w:left w:val="nil"/>
              <w:bottom w:val="nil"/>
              <w:right w:val="nil"/>
            </w:tcBorders>
            <w:vAlign w:val="center"/>
          </w:tcPr>
          <w:p w14:paraId="0AB41EB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3.12</w:t>
            </w:r>
          </w:p>
        </w:tc>
        <w:tc>
          <w:tcPr>
            <w:tcW w:w="0" w:type="auto"/>
            <w:tcBorders>
              <w:top w:val="nil"/>
              <w:left w:val="nil"/>
              <w:bottom w:val="nil"/>
              <w:right w:val="nil"/>
            </w:tcBorders>
            <w:vAlign w:val="center"/>
          </w:tcPr>
          <w:p w14:paraId="3B0B6D6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0.72</w:t>
            </w:r>
          </w:p>
        </w:tc>
        <w:tc>
          <w:tcPr>
            <w:tcW w:w="0" w:type="auto"/>
            <w:tcBorders>
              <w:top w:val="nil"/>
              <w:left w:val="nil"/>
              <w:bottom w:val="nil"/>
              <w:right w:val="nil"/>
            </w:tcBorders>
            <w:vAlign w:val="center"/>
          </w:tcPr>
          <w:p w14:paraId="4072071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.09**</w:t>
            </w:r>
          </w:p>
        </w:tc>
        <w:tc>
          <w:tcPr>
            <w:tcW w:w="0" w:type="auto"/>
            <w:tcBorders>
              <w:top w:val="nil"/>
              <w:left w:val="nil"/>
              <w:bottom w:val="nil"/>
              <w:right w:val="nil"/>
            </w:tcBorders>
            <w:vAlign w:val="center"/>
          </w:tcPr>
          <w:p w14:paraId="7186563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.20**</w:t>
            </w:r>
          </w:p>
        </w:tc>
        <w:tc>
          <w:tcPr>
            <w:tcW w:w="0" w:type="auto"/>
            <w:tcBorders>
              <w:top w:val="nil"/>
              <w:left w:val="nil"/>
              <w:bottom w:val="nil"/>
              <w:right w:val="nil"/>
            </w:tcBorders>
            <w:vAlign w:val="center"/>
          </w:tcPr>
          <w:p w14:paraId="49A7696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.07*</w:t>
            </w:r>
          </w:p>
        </w:tc>
        <w:tc>
          <w:tcPr>
            <w:tcW w:w="0" w:type="auto"/>
            <w:tcBorders>
              <w:top w:val="nil"/>
              <w:left w:val="nil"/>
              <w:bottom w:val="nil"/>
              <w:right w:val="nil"/>
            </w:tcBorders>
            <w:vAlign w:val="center"/>
          </w:tcPr>
          <w:p w14:paraId="36838F6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w:t>
            </w:r>
          </w:p>
        </w:tc>
      </w:tr>
      <w:tr w:rsidR="0073340A" w:rsidRPr="003B57EA" w14:paraId="5AAC2530" w14:textId="77777777" w:rsidTr="007D2867">
        <w:tc>
          <w:tcPr>
            <w:tcW w:w="0" w:type="auto"/>
            <w:tcBorders>
              <w:top w:val="nil"/>
              <w:left w:val="nil"/>
              <w:bottom w:val="nil"/>
              <w:right w:val="nil"/>
            </w:tcBorders>
            <w:vAlign w:val="center"/>
          </w:tcPr>
          <w:p w14:paraId="1E3DAC5F"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F0A6C9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DF4998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BB36EA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[.03, .15]</w:t>
            </w:r>
          </w:p>
        </w:tc>
        <w:tc>
          <w:tcPr>
            <w:tcW w:w="0" w:type="auto"/>
            <w:tcBorders>
              <w:top w:val="nil"/>
              <w:left w:val="nil"/>
              <w:bottom w:val="nil"/>
              <w:right w:val="nil"/>
            </w:tcBorders>
            <w:vAlign w:val="center"/>
          </w:tcPr>
          <w:p w14:paraId="2DA8812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[.14, .26]</w:t>
            </w:r>
          </w:p>
        </w:tc>
        <w:tc>
          <w:tcPr>
            <w:tcW w:w="0" w:type="auto"/>
            <w:tcBorders>
              <w:top w:val="nil"/>
              <w:left w:val="nil"/>
              <w:bottom w:val="nil"/>
              <w:right w:val="nil"/>
            </w:tcBorders>
            <w:vAlign w:val="center"/>
          </w:tcPr>
          <w:p w14:paraId="346FFE3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[.00, .13]</w:t>
            </w:r>
          </w:p>
        </w:tc>
        <w:tc>
          <w:tcPr>
            <w:tcW w:w="0" w:type="auto"/>
            <w:tcBorders>
              <w:top w:val="nil"/>
              <w:left w:val="nil"/>
              <w:bottom w:val="nil"/>
              <w:right w:val="nil"/>
            </w:tcBorders>
            <w:vAlign w:val="center"/>
          </w:tcPr>
          <w:p w14:paraId="4777D17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[.12, .23]</w:t>
            </w:r>
          </w:p>
        </w:tc>
      </w:tr>
      <w:tr w:rsidR="0073340A" w:rsidRPr="003B57EA" w14:paraId="57FBCDC5" w14:textId="77777777" w:rsidTr="007D2867">
        <w:tc>
          <w:tcPr>
            <w:tcW w:w="0" w:type="auto"/>
            <w:tcBorders>
              <w:top w:val="nil"/>
              <w:left w:val="nil"/>
              <w:bottom w:val="nil"/>
              <w:right w:val="nil"/>
            </w:tcBorders>
            <w:vAlign w:val="center"/>
          </w:tcPr>
          <w:p w14:paraId="191B838C"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F9254E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BD0AB0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F3D84A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616F07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91380A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C3BAA2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4AE40E76" w14:textId="77777777" w:rsidTr="007D2867">
        <w:tc>
          <w:tcPr>
            <w:tcW w:w="0" w:type="auto"/>
            <w:tcBorders>
              <w:top w:val="nil"/>
              <w:left w:val="nil"/>
              <w:bottom w:val="nil"/>
              <w:right w:val="nil"/>
            </w:tcBorders>
            <w:vAlign w:val="center"/>
          </w:tcPr>
          <w:p w14:paraId="7211E777"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Internet Gaming Disorder (IGD) (T1)</w:t>
            </w:r>
          </w:p>
        </w:tc>
        <w:tc>
          <w:tcPr>
            <w:tcW w:w="0" w:type="auto"/>
            <w:tcBorders>
              <w:top w:val="nil"/>
              <w:left w:val="nil"/>
              <w:bottom w:val="nil"/>
              <w:right w:val="nil"/>
            </w:tcBorders>
            <w:vAlign w:val="center"/>
          </w:tcPr>
          <w:p w14:paraId="33E9A576" w14:textId="4059BED1" w:rsidR="0073340A" w:rsidRPr="003B57EA" w:rsidRDefault="006905D2"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hint="cs"/>
                <w:sz w:val="22"/>
                <w:szCs w:val="22"/>
                <w:rtl/>
              </w:rPr>
              <w:t>17.98</w:t>
            </w:r>
          </w:p>
        </w:tc>
        <w:tc>
          <w:tcPr>
            <w:tcW w:w="0" w:type="auto"/>
            <w:tcBorders>
              <w:top w:val="nil"/>
              <w:left w:val="nil"/>
              <w:bottom w:val="nil"/>
              <w:right w:val="nil"/>
            </w:tcBorders>
            <w:vAlign w:val="center"/>
          </w:tcPr>
          <w:p w14:paraId="257D62A1" w14:textId="50F6C719" w:rsidR="0073340A" w:rsidRPr="003B57EA" w:rsidRDefault="0081583F"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hint="cs"/>
                <w:sz w:val="22"/>
                <w:szCs w:val="22"/>
                <w:rtl/>
              </w:rPr>
              <w:t>6</w:t>
            </w:r>
            <w:r w:rsidR="0073340A" w:rsidRPr="003B57EA">
              <w:rPr>
                <w:rFonts w:asciiTheme="majorBidi" w:hAnsiTheme="majorBidi"/>
                <w:sz w:val="22"/>
                <w:szCs w:val="22"/>
              </w:rPr>
              <w:t>.</w:t>
            </w:r>
            <w:r w:rsidRPr="003B57EA">
              <w:rPr>
                <w:rFonts w:asciiTheme="majorBidi" w:hAnsiTheme="majorBidi" w:hint="cs"/>
                <w:sz w:val="22"/>
                <w:szCs w:val="22"/>
                <w:rtl/>
              </w:rPr>
              <w:t>87</w:t>
            </w:r>
          </w:p>
        </w:tc>
        <w:tc>
          <w:tcPr>
            <w:tcW w:w="0" w:type="auto"/>
            <w:tcBorders>
              <w:top w:val="nil"/>
              <w:left w:val="nil"/>
              <w:bottom w:val="nil"/>
              <w:right w:val="nil"/>
            </w:tcBorders>
            <w:vAlign w:val="center"/>
          </w:tcPr>
          <w:p w14:paraId="563D8E4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.75**</w:t>
            </w:r>
          </w:p>
        </w:tc>
        <w:tc>
          <w:tcPr>
            <w:tcW w:w="0" w:type="auto"/>
            <w:tcBorders>
              <w:top w:val="nil"/>
              <w:left w:val="nil"/>
              <w:bottom w:val="nil"/>
              <w:right w:val="nil"/>
            </w:tcBorders>
            <w:vAlign w:val="center"/>
          </w:tcPr>
          <w:p w14:paraId="128756A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.57**</w:t>
            </w:r>
          </w:p>
        </w:tc>
        <w:tc>
          <w:tcPr>
            <w:tcW w:w="0" w:type="auto"/>
            <w:tcBorders>
              <w:top w:val="nil"/>
              <w:left w:val="nil"/>
              <w:bottom w:val="nil"/>
              <w:right w:val="nil"/>
            </w:tcBorders>
            <w:vAlign w:val="center"/>
          </w:tcPr>
          <w:p w14:paraId="6D1485A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.57**</w:t>
            </w:r>
          </w:p>
        </w:tc>
        <w:tc>
          <w:tcPr>
            <w:tcW w:w="0" w:type="auto"/>
            <w:tcBorders>
              <w:top w:val="nil"/>
              <w:left w:val="nil"/>
              <w:bottom w:val="nil"/>
              <w:right w:val="nil"/>
            </w:tcBorders>
            <w:vAlign w:val="center"/>
          </w:tcPr>
          <w:p w14:paraId="475960D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.46**</w:t>
            </w:r>
          </w:p>
        </w:tc>
      </w:tr>
      <w:tr w:rsidR="0073340A" w:rsidRPr="003B57EA" w14:paraId="3197DB6A" w14:textId="77777777" w:rsidTr="007D2867">
        <w:tc>
          <w:tcPr>
            <w:tcW w:w="0" w:type="auto"/>
            <w:tcBorders>
              <w:top w:val="nil"/>
              <w:left w:val="nil"/>
              <w:bottom w:val="nil"/>
              <w:right w:val="nil"/>
            </w:tcBorders>
            <w:vAlign w:val="center"/>
          </w:tcPr>
          <w:p w14:paraId="2A0BAB3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CB461D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F19DDB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E5C0F0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[.72, .77]</w:t>
            </w:r>
          </w:p>
        </w:tc>
        <w:tc>
          <w:tcPr>
            <w:tcW w:w="0" w:type="auto"/>
            <w:tcBorders>
              <w:top w:val="nil"/>
              <w:left w:val="nil"/>
              <w:bottom w:val="nil"/>
              <w:right w:val="nil"/>
            </w:tcBorders>
            <w:vAlign w:val="center"/>
          </w:tcPr>
          <w:p w14:paraId="1CB8321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[.52, .61]</w:t>
            </w:r>
          </w:p>
        </w:tc>
        <w:tc>
          <w:tcPr>
            <w:tcW w:w="0" w:type="auto"/>
            <w:tcBorders>
              <w:top w:val="nil"/>
              <w:left w:val="nil"/>
              <w:bottom w:val="nil"/>
              <w:right w:val="nil"/>
            </w:tcBorders>
            <w:vAlign w:val="center"/>
          </w:tcPr>
          <w:p w14:paraId="616673F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[.53, .61]</w:t>
            </w:r>
          </w:p>
        </w:tc>
        <w:tc>
          <w:tcPr>
            <w:tcW w:w="0" w:type="auto"/>
            <w:tcBorders>
              <w:top w:val="nil"/>
              <w:left w:val="nil"/>
              <w:bottom w:val="nil"/>
              <w:right w:val="nil"/>
            </w:tcBorders>
            <w:vAlign w:val="center"/>
          </w:tcPr>
          <w:p w14:paraId="327AF1B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[.41, .50]</w:t>
            </w:r>
          </w:p>
        </w:tc>
      </w:tr>
      <w:tr w:rsidR="0073340A" w:rsidRPr="003B57EA" w14:paraId="6586CD28" w14:textId="77777777" w:rsidTr="007D2867">
        <w:tc>
          <w:tcPr>
            <w:tcW w:w="0" w:type="auto"/>
            <w:tcBorders>
              <w:top w:val="nil"/>
              <w:left w:val="nil"/>
              <w:bottom w:val="nil"/>
              <w:right w:val="nil"/>
            </w:tcBorders>
            <w:vAlign w:val="center"/>
          </w:tcPr>
          <w:p w14:paraId="29C9347F"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6EFAE7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404421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268AE7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4FB09D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DB45BE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B37C4D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705409CB" w14:textId="77777777" w:rsidTr="007D2867">
        <w:tc>
          <w:tcPr>
            <w:tcW w:w="0" w:type="auto"/>
            <w:tcBorders>
              <w:top w:val="nil"/>
              <w:left w:val="nil"/>
              <w:bottom w:val="nil"/>
              <w:right w:val="nil"/>
            </w:tcBorders>
            <w:vAlign w:val="center"/>
          </w:tcPr>
          <w:p w14:paraId="7F79770E"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Preference for Online Social Interactions (T1)</w:t>
            </w:r>
          </w:p>
        </w:tc>
        <w:tc>
          <w:tcPr>
            <w:tcW w:w="0" w:type="auto"/>
            <w:tcBorders>
              <w:top w:val="nil"/>
              <w:left w:val="nil"/>
              <w:bottom w:val="nil"/>
              <w:right w:val="nil"/>
            </w:tcBorders>
            <w:vAlign w:val="center"/>
          </w:tcPr>
          <w:p w14:paraId="71D95A2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2.56</w:t>
            </w:r>
          </w:p>
        </w:tc>
        <w:tc>
          <w:tcPr>
            <w:tcW w:w="0" w:type="auto"/>
            <w:tcBorders>
              <w:top w:val="nil"/>
              <w:left w:val="nil"/>
              <w:bottom w:val="nil"/>
              <w:right w:val="nil"/>
            </w:tcBorders>
            <w:vAlign w:val="center"/>
          </w:tcPr>
          <w:p w14:paraId="3A63A28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1.75</w:t>
            </w:r>
          </w:p>
        </w:tc>
        <w:tc>
          <w:tcPr>
            <w:tcW w:w="0" w:type="auto"/>
            <w:tcBorders>
              <w:top w:val="nil"/>
              <w:left w:val="nil"/>
              <w:bottom w:val="nil"/>
              <w:right w:val="nil"/>
            </w:tcBorders>
            <w:vAlign w:val="center"/>
          </w:tcPr>
          <w:p w14:paraId="1B5F806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.51**</w:t>
            </w:r>
          </w:p>
        </w:tc>
        <w:tc>
          <w:tcPr>
            <w:tcW w:w="0" w:type="auto"/>
            <w:tcBorders>
              <w:top w:val="nil"/>
              <w:left w:val="nil"/>
              <w:bottom w:val="nil"/>
              <w:right w:val="nil"/>
            </w:tcBorders>
            <w:vAlign w:val="center"/>
          </w:tcPr>
          <w:p w14:paraId="39CD6AA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.40**</w:t>
            </w:r>
          </w:p>
        </w:tc>
        <w:tc>
          <w:tcPr>
            <w:tcW w:w="0" w:type="auto"/>
            <w:tcBorders>
              <w:top w:val="nil"/>
              <w:left w:val="nil"/>
              <w:bottom w:val="nil"/>
              <w:right w:val="nil"/>
            </w:tcBorders>
            <w:vAlign w:val="center"/>
          </w:tcPr>
          <w:p w14:paraId="18803DF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.38**</w:t>
            </w:r>
          </w:p>
        </w:tc>
        <w:tc>
          <w:tcPr>
            <w:tcW w:w="0" w:type="auto"/>
            <w:tcBorders>
              <w:top w:val="nil"/>
              <w:left w:val="nil"/>
              <w:bottom w:val="nil"/>
              <w:right w:val="nil"/>
            </w:tcBorders>
            <w:vAlign w:val="center"/>
          </w:tcPr>
          <w:p w14:paraId="0AD6DFC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.32**</w:t>
            </w:r>
          </w:p>
        </w:tc>
      </w:tr>
      <w:tr w:rsidR="0073340A" w:rsidRPr="003B57EA" w14:paraId="47EB7A46" w14:textId="77777777" w:rsidTr="007D2867">
        <w:tc>
          <w:tcPr>
            <w:tcW w:w="0" w:type="auto"/>
            <w:tcBorders>
              <w:top w:val="nil"/>
              <w:left w:val="nil"/>
              <w:bottom w:val="nil"/>
              <w:right w:val="nil"/>
            </w:tcBorders>
            <w:vAlign w:val="center"/>
          </w:tcPr>
          <w:p w14:paraId="6308A08A"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D03A84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05B4C9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996EBF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[.46, .55]</w:t>
            </w:r>
          </w:p>
        </w:tc>
        <w:tc>
          <w:tcPr>
            <w:tcW w:w="0" w:type="auto"/>
            <w:tcBorders>
              <w:top w:val="nil"/>
              <w:left w:val="nil"/>
              <w:bottom w:val="nil"/>
              <w:right w:val="nil"/>
            </w:tcBorders>
            <w:vAlign w:val="center"/>
          </w:tcPr>
          <w:p w14:paraId="2DE64C5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[.35, .45]</w:t>
            </w:r>
          </w:p>
        </w:tc>
        <w:tc>
          <w:tcPr>
            <w:tcW w:w="0" w:type="auto"/>
            <w:tcBorders>
              <w:top w:val="nil"/>
              <w:left w:val="nil"/>
              <w:bottom w:val="nil"/>
              <w:right w:val="nil"/>
            </w:tcBorders>
            <w:vAlign w:val="center"/>
          </w:tcPr>
          <w:p w14:paraId="770BDD6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 .43]</w:t>
            </w:r>
          </w:p>
        </w:tc>
        <w:tc>
          <w:tcPr>
            <w:tcW w:w="0" w:type="auto"/>
            <w:tcBorders>
              <w:top w:val="nil"/>
              <w:left w:val="nil"/>
              <w:bottom w:val="nil"/>
              <w:right w:val="nil"/>
            </w:tcBorders>
            <w:vAlign w:val="center"/>
          </w:tcPr>
          <w:p w14:paraId="1D39A7E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[.26, .37]</w:t>
            </w:r>
          </w:p>
        </w:tc>
      </w:tr>
      <w:tr w:rsidR="0073340A" w:rsidRPr="003B57EA" w14:paraId="4989C44C" w14:textId="77777777" w:rsidTr="007D2867">
        <w:tc>
          <w:tcPr>
            <w:tcW w:w="0" w:type="auto"/>
            <w:tcBorders>
              <w:top w:val="nil"/>
              <w:left w:val="nil"/>
              <w:bottom w:val="nil"/>
              <w:right w:val="nil"/>
            </w:tcBorders>
            <w:vAlign w:val="center"/>
          </w:tcPr>
          <w:p w14:paraId="2FBEA71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Motives for online gaming (T1)</w:t>
            </w:r>
          </w:p>
        </w:tc>
        <w:tc>
          <w:tcPr>
            <w:tcW w:w="0" w:type="auto"/>
            <w:tcBorders>
              <w:top w:val="nil"/>
              <w:left w:val="nil"/>
              <w:bottom w:val="nil"/>
              <w:right w:val="nil"/>
            </w:tcBorders>
            <w:vAlign w:val="center"/>
          </w:tcPr>
          <w:p w14:paraId="401D317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B00663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95E5C1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3FEDD5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37DC19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A78DB8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053DF0D7" w14:textId="77777777" w:rsidTr="007D2867">
        <w:tc>
          <w:tcPr>
            <w:tcW w:w="0" w:type="auto"/>
            <w:tcBorders>
              <w:top w:val="nil"/>
              <w:left w:val="nil"/>
              <w:bottom w:val="nil"/>
              <w:right w:val="nil"/>
            </w:tcBorders>
            <w:vAlign w:val="center"/>
          </w:tcPr>
          <w:p w14:paraId="453C68AF"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Social</w:t>
            </w:r>
          </w:p>
        </w:tc>
        <w:tc>
          <w:tcPr>
            <w:tcW w:w="0" w:type="auto"/>
            <w:tcBorders>
              <w:top w:val="nil"/>
              <w:left w:val="nil"/>
              <w:bottom w:val="nil"/>
              <w:right w:val="nil"/>
            </w:tcBorders>
            <w:vAlign w:val="center"/>
          </w:tcPr>
          <w:p w14:paraId="3988C99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1.99</w:t>
            </w:r>
          </w:p>
        </w:tc>
        <w:tc>
          <w:tcPr>
            <w:tcW w:w="0" w:type="auto"/>
            <w:tcBorders>
              <w:top w:val="nil"/>
              <w:left w:val="nil"/>
              <w:bottom w:val="nil"/>
              <w:right w:val="nil"/>
            </w:tcBorders>
            <w:vAlign w:val="center"/>
          </w:tcPr>
          <w:p w14:paraId="4FAA21F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0.94</w:t>
            </w:r>
          </w:p>
        </w:tc>
        <w:tc>
          <w:tcPr>
            <w:tcW w:w="0" w:type="auto"/>
            <w:tcBorders>
              <w:top w:val="nil"/>
              <w:left w:val="nil"/>
              <w:bottom w:val="nil"/>
              <w:right w:val="nil"/>
            </w:tcBorders>
            <w:vAlign w:val="center"/>
          </w:tcPr>
          <w:p w14:paraId="4CE5A31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.44**</w:t>
            </w:r>
          </w:p>
        </w:tc>
        <w:tc>
          <w:tcPr>
            <w:tcW w:w="0" w:type="auto"/>
            <w:tcBorders>
              <w:top w:val="nil"/>
              <w:left w:val="nil"/>
              <w:bottom w:val="nil"/>
              <w:right w:val="nil"/>
            </w:tcBorders>
            <w:vAlign w:val="center"/>
          </w:tcPr>
          <w:p w14:paraId="20AFC46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.52**</w:t>
            </w:r>
          </w:p>
        </w:tc>
        <w:tc>
          <w:tcPr>
            <w:tcW w:w="0" w:type="auto"/>
            <w:tcBorders>
              <w:top w:val="nil"/>
              <w:left w:val="nil"/>
              <w:bottom w:val="nil"/>
              <w:right w:val="nil"/>
            </w:tcBorders>
            <w:vAlign w:val="center"/>
          </w:tcPr>
          <w:p w14:paraId="120EDC6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w:t>
            </w:r>
          </w:p>
        </w:tc>
        <w:tc>
          <w:tcPr>
            <w:tcW w:w="0" w:type="auto"/>
            <w:tcBorders>
              <w:top w:val="nil"/>
              <w:left w:val="nil"/>
              <w:bottom w:val="nil"/>
              <w:right w:val="nil"/>
            </w:tcBorders>
            <w:vAlign w:val="center"/>
          </w:tcPr>
          <w:p w14:paraId="5F2ABA6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.39**</w:t>
            </w:r>
          </w:p>
        </w:tc>
      </w:tr>
      <w:tr w:rsidR="0073340A" w:rsidRPr="003B57EA" w14:paraId="67F2B27C" w14:textId="77777777" w:rsidTr="007D2867">
        <w:tc>
          <w:tcPr>
            <w:tcW w:w="0" w:type="auto"/>
            <w:tcBorders>
              <w:top w:val="nil"/>
              <w:left w:val="nil"/>
              <w:bottom w:val="nil"/>
              <w:right w:val="nil"/>
            </w:tcBorders>
            <w:vAlign w:val="center"/>
          </w:tcPr>
          <w:p w14:paraId="344D1F67"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DBA8E3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8EE4E4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93E27D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[.39, .49]</w:t>
            </w:r>
          </w:p>
        </w:tc>
        <w:tc>
          <w:tcPr>
            <w:tcW w:w="0" w:type="auto"/>
            <w:tcBorders>
              <w:top w:val="nil"/>
              <w:left w:val="nil"/>
              <w:bottom w:val="nil"/>
              <w:right w:val="nil"/>
            </w:tcBorders>
            <w:vAlign w:val="center"/>
          </w:tcPr>
          <w:p w14:paraId="608BAE2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[.47, .56]</w:t>
            </w:r>
          </w:p>
        </w:tc>
        <w:tc>
          <w:tcPr>
            <w:tcW w:w="0" w:type="auto"/>
            <w:tcBorders>
              <w:top w:val="nil"/>
              <w:left w:val="nil"/>
              <w:bottom w:val="nil"/>
              <w:right w:val="nil"/>
            </w:tcBorders>
            <w:vAlign w:val="center"/>
          </w:tcPr>
          <w:p w14:paraId="69A53E5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[.27, .38]</w:t>
            </w:r>
          </w:p>
        </w:tc>
        <w:tc>
          <w:tcPr>
            <w:tcW w:w="0" w:type="auto"/>
            <w:tcBorders>
              <w:top w:val="nil"/>
              <w:left w:val="nil"/>
              <w:bottom w:val="nil"/>
              <w:right w:val="nil"/>
            </w:tcBorders>
            <w:vAlign w:val="center"/>
          </w:tcPr>
          <w:p w14:paraId="0354D16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[.34, .44]</w:t>
            </w:r>
          </w:p>
        </w:tc>
      </w:tr>
      <w:tr w:rsidR="0073340A" w:rsidRPr="003B57EA" w14:paraId="69A90FF7" w14:textId="77777777" w:rsidTr="007D2867">
        <w:tc>
          <w:tcPr>
            <w:tcW w:w="0" w:type="auto"/>
            <w:tcBorders>
              <w:top w:val="nil"/>
              <w:left w:val="nil"/>
              <w:bottom w:val="nil"/>
              <w:right w:val="nil"/>
            </w:tcBorders>
            <w:vAlign w:val="center"/>
          </w:tcPr>
          <w:p w14:paraId="64B63D3A"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E57C66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863C35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64AFEC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61E293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E20BB0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8B52DC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36526818" w14:textId="77777777" w:rsidTr="007D2867">
        <w:tc>
          <w:tcPr>
            <w:tcW w:w="0" w:type="auto"/>
            <w:tcBorders>
              <w:top w:val="nil"/>
              <w:left w:val="nil"/>
              <w:bottom w:val="nil"/>
              <w:right w:val="nil"/>
            </w:tcBorders>
            <w:vAlign w:val="center"/>
          </w:tcPr>
          <w:p w14:paraId="15D6622E"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Escape</w:t>
            </w:r>
          </w:p>
        </w:tc>
        <w:tc>
          <w:tcPr>
            <w:tcW w:w="0" w:type="auto"/>
            <w:tcBorders>
              <w:top w:val="nil"/>
              <w:left w:val="nil"/>
              <w:bottom w:val="nil"/>
              <w:right w:val="nil"/>
            </w:tcBorders>
            <w:vAlign w:val="center"/>
          </w:tcPr>
          <w:p w14:paraId="5C81445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1.89</w:t>
            </w:r>
          </w:p>
        </w:tc>
        <w:tc>
          <w:tcPr>
            <w:tcW w:w="0" w:type="auto"/>
            <w:tcBorders>
              <w:top w:val="nil"/>
              <w:left w:val="nil"/>
              <w:bottom w:val="nil"/>
              <w:right w:val="nil"/>
            </w:tcBorders>
            <w:vAlign w:val="center"/>
          </w:tcPr>
          <w:p w14:paraId="6626CDC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0.94</w:t>
            </w:r>
          </w:p>
        </w:tc>
        <w:tc>
          <w:tcPr>
            <w:tcW w:w="0" w:type="auto"/>
            <w:tcBorders>
              <w:top w:val="nil"/>
              <w:left w:val="nil"/>
              <w:bottom w:val="nil"/>
              <w:right w:val="nil"/>
            </w:tcBorders>
            <w:vAlign w:val="center"/>
          </w:tcPr>
          <w:p w14:paraId="79B27E1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.57**</w:t>
            </w:r>
          </w:p>
        </w:tc>
        <w:tc>
          <w:tcPr>
            <w:tcW w:w="0" w:type="auto"/>
            <w:tcBorders>
              <w:top w:val="nil"/>
              <w:left w:val="nil"/>
              <w:bottom w:val="nil"/>
              <w:right w:val="nil"/>
            </w:tcBorders>
            <w:vAlign w:val="center"/>
          </w:tcPr>
          <w:p w14:paraId="4F9C879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.61**</w:t>
            </w:r>
          </w:p>
        </w:tc>
        <w:tc>
          <w:tcPr>
            <w:tcW w:w="0" w:type="auto"/>
            <w:tcBorders>
              <w:top w:val="nil"/>
              <w:left w:val="nil"/>
              <w:bottom w:val="nil"/>
              <w:right w:val="nil"/>
            </w:tcBorders>
            <w:vAlign w:val="center"/>
          </w:tcPr>
          <w:p w14:paraId="430B2F5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.45**</w:t>
            </w:r>
          </w:p>
        </w:tc>
        <w:tc>
          <w:tcPr>
            <w:tcW w:w="0" w:type="auto"/>
            <w:tcBorders>
              <w:top w:val="nil"/>
              <w:left w:val="nil"/>
              <w:bottom w:val="nil"/>
              <w:right w:val="nil"/>
            </w:tcBorders>
            <w:vAlign w:val="center"/>
          </w:tcPr>
          <w:p w14:paraId="1F23AA8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.48**</w:t>
            </w:r>
          </w:p>
        </w:tc>
      </w:tr>
      <w:tr w:rsidR="0073340A" w:rsidRPr="003B57EA" w14:paraId="5322D9A3" w14:textId="77777777" w:rsidTr="007D2867">
        <w:tc>
          <w:tcPr>
            <w:tcW w:w="0" w:type="auto"/>
            <w:tcBorders>
              <w:top w:val="nil"/>
              <w:left w:val="nil"/>
              <w:bottom w:val="nil"/>
              <w:right w:val="nil"/>
            </w:tcBorders>
            <w:vAlign w:val="center"/>
          </w:tcPr>
          <w:p w14:paraId="12703325"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566BE6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1A426F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178147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[.53, .61]</w:t>
            </w:r>
          </w:p>
        </w:tc>
        <w:tc>
          <w:tcPr>
            <w:tcW w:w="0" w:type="auto"/>
            <w:tcBorders>
              <w:top w:val="nil"/>
              <w:left w:val="nil"/>
              <w:bottom w:val="nil"/>
              <w:right w:val="nil"/>
            </w:tcBorders>
            <w:vAlign w:val="center"/>
          </w:tcPr>
          <w:p w14:paraId="46B61CA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[.57, .64]</w:t>
            </w:r>
          </w:p>
        </w:tc>
        <w:tc>
          <w:tcPr>
            <w:tcW w:w="0" w:type="auto"/>
            <w:tcBorders>
              <w:top w:val="nil"/>
              <w:left w:val="nil"/>
              <w:bottom w:val="nil"/>
              <w:right w:val="nil"/>
            </w:tcBorders>
            <w:vAlign w:val="center"/>
          </w:tcPr>
          <w:p w14:paraId="53762EF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[.40, .49]</w:t>
            </w:r>
          </w:p>
        </w:tc>
        <w:tc>
          <w:tcPr>
            <w:tcW w:w="0" w:type="auto"/>
            <w:tcBorders>
              <w:top w:val="nil"/>
              <w:left w:val="nil"/>
              <w:bottom w:val="nil"/>
              <w:right w:val="nil"/>
            </w:tcBorders>
            <w:vAlign w:val="center"/>
          </w:tcPr>
          <w:p w14:paraId="77F37D8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[.43, .52]</w:t>
            </w:r>
          </w:p>
        </w:tc>
      </w:tr>
      <w:tr w:rsidR="0073340A" w:rsidRPr="003B57EA" w14:paraId="123304D3" w14:textId="77777777" w:rsidTr="007D2867">
        <w:tc>
          <w:tcPr>
            <w:tcW w:w="0" w:type="auto"/>
            <w:tcBorders>
              <w:top w:val="nil"/>
              <w:left w:val="nil"/>
              <w:bottom w:val="nil"/>
              <w:right w:val="nil"/>
            </w:tcBorders>
            <w:vAlign w:val="center"/>
          </w:tcPr>
          <w:p w14:paraId="7B043454"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B586CD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A54EE9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751F96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ED91F5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A93EDF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81C569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1CE1962D" w14:textId="77777777" w:rsidTr="007D2867">
        <w:tc>
          <w:tcPr>
            <w:tcW w:w="0" w:type="auto"/>
            <w:tcBorders>
              <w:top w:val="nil"/>
              <w:left w:val="nil"/>
              <w:bottom w:val="nil"/>
              <w:right w:val="nil"/>
            </w:tcBorders>
            <w:vAlign w:val="center"/>
          </w:tcPr>
          <w:p w14:paraId="4A4CD2F1"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Competition</w:t>
            </w:r>
          </w:p>
        </w:tc>
        <w:tc>
          <w:tcPr>
            <w:tcW w:w="0" w:type="auto"/>
            <w:tcBorders>
              <w:top w:val="nil"/>
              <w:left w:val="nil"/>
              <w:bottom w:val="nil"/>
              <w:right w:val="nil"/>
            </w:tcBorders>
            <w:vAlign w:val="center"/>
          </w:tcPr>
          <w:p w14:paraId="00453B8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2.38</w:t>
            </w:r>
          </w:p>
        </w:tc>
        <w:tc>
          <w:tcPr>
            <w:tcW w:w="0" w:type="auto"/>
            <w:tcBorders>
              <w:top w:val="nil"/>
              <w:left w:val="nil"/>
              <w:bottom w:val="nil"/>
              <w:right w:val="nil"/>
            </w:tcBorders>
            <w:vAlign w:val="center"/>
          </w:tcPr>
          <w:p w14:paraId="7B0A351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1.04</w:t>
            </w:r>
          </w:p>
        </w:tc>
        <w:tc>
          <w:tcPr>
            <w:tcW w:w="0" w:type="auto"/>
            <w:tcBorders>
              <w:top w:val="nil"/>
              <w:left w:val="nil"/>
              <w:bottom w:val="nil"/>
              <w:right w:val="nil"/>
            </w:tcBorders>
            <w:vAlign w:val="center"/>
          </w:tcPr>
          <w:p w14:paraId="51A374E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.44**</w:t>
            </w:r>
          </w:p>
        </w:tc>
        <w:tc>
          <w:tcPr>
            <w:tcW w:w="0" w:type="auto"/>
            <w:tcBorders>
              <w:top w:val="nil"/>
              <w:left w:val="nil"/>
              <w:bottom w:val="nil"/>
              <w:right w:val="nil"/>
            </w:tcBorders>
            <w:vAlign w:val="center"/>
          </w:tcPr>
          <w:p w14:paraId="06C9413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.43**</w:t>
            </w:r>
          </w:p>
        </w:tc>
        <w:tc>
          <w:tcPr>
            <w:tcW w:w="0" w:type="auto"/>
            <w:tcBorders>
              <w:top w:val="nil"/>
              <w:left w:val="nil"/>
              <w:bottom w:val="nil"/>
              <w:right w:val="nil"/>
            </w:tcBorders>
            <w:vAlign w:val="center"/>
          </w:tcPr>
          <w:p w14:paraId="71D7159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w:t>
            </w:r>
          </w:p>
        </w:tc>
        <w:tc>
          <w:tcPr>
            <w:tcW w:w="0" w:type="auto"/>
            <w:tcBorders>
              <w:top w:val="nil"/>
              <w:left w:val="nil"/>
              <w:bottom w:val="nil"/>
              <w:right w:val="nil"/>
            </w:tcBorders>
            <w:vAlign w:val="center"/>
          </w:tcPr>
          <w:p w14:paraId="636460C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.30**</w:t>
            </w:r>
          </w:p>
        </w:tc>
      </w:tr>
      <w:tr w:rsidR="0073340A" w:rsidRPr="003B57EA" w14:paraId="0D20DDBC" w14:textId="77777777" w:rsidTr="007D2867">
        <w:tc>
          <w:tcPr>
            <w:tcW w:w="0" w:type="auto"/>
            <w:tcBorders>
              <w:top w:val="nil"/>
              <w:left w:val="nil"/>
              <w:bottom w:val="nil"/>
              <w:right w:val="nil"/>
            </w:tcBorders>
            <w:vAlign w:val="center"/>
          </w:tcPr>
          <w:p w14:paraId="154AF4B2"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79A1AE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E07836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14A200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[.39, .49]</w:t>
            </w:r>
          </w:p>
        </w:tc>
        <w:tc>
          <w:tcPr>
            <w:tcW w:w="0" w:type="auto"/>
            <w:tcBorders>
              <w:top w:val="nil"/>
              <w:left w:val="nil"/>
              <w:bottom w:val="nil"/>
              <w:right w:val="nil"/>
            </w:tcBorders>
            <w:vAlign w:val="center"/>
          </w:tcPr>
          <w:p w14:paraId="03BC6DC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[.38, .47]</w:t>
            </w:r>
          </w:p>
        </w:tc>
        <w:tc>
          <w:tcPr>
            <w:tcW w:w="0" w:type="auto"/>
            <w:tcBorders>
              <w:top w:val="nil"/>
              <w:left w:val="nil"/>
              <w:bottom w:val="nil"/>
              <w:right w:val="nil"/>
            </w:tcBorders>
            <w:vAlign w:val="center"/>
          </w:tcPr>
          <w:p w14:paraId="6ECB9FE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[.27, .38]</w:t>
            </w:r>
          </w:p>
        </w:tc>
        <w:tc>
          <w:tcPr>
            <w:tcW w:w="0" w:type="auto"/>
            <w:tcBorders>
              <w:top w:val="nil"/>
              <w:left w:val="nil"/>
              <w:bottom w:val="nil"/>
              <w:right w:val="nil"/>
            </w:tcBorders>
            <w:vAlign w:val="center"/>
          </w:tcPr>
          <w:p w14:paraId="14C2B83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[.25, .36]</w:t>
            </w:r>
          </w:p>
        </w:tc>
      </w:tr>
      <w:tr w:rsidR="0073340A" w:rsidRPr="003B57EA" w14:paraId="0086BE78" w14:textId="77777777" w:rsidTr="007D2867">
        <w:tc>
          <w:tcPr>
            <w:tcW w:w="0" w:type="auto"/>
            <w:tcBorders>
              <w:top w:val="nil"/>
              <w:left w:val="nil"/>
              <w:bottom w:val="nil"/>
              <w:right w:val="nil"/>
            </w:tcBorders>
            <w:vAlign w:val="center"/>
          </w:tcPr>
          <w:p w14:paraId="40E7360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110CEB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CD6F4F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D812B5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F69364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253EAB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85FDBF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64B439D3" w14:textId="77777777" w:rsidTr="007D2867">
        <w:tc>
          <w:tcPr>
            <w:tcW w:w="0" w:type="auto"/>
            <w:tcBorders>
              <w:top w:val="nil"/>
              <w:left w:val="nil"/>
              <w:bottom w:val="nil"/>
              <w:right w:val="nil"/>
            </w:tcBorders>
            <w:vAlign w:val="center"/>
          </w:tcPr>
          <w:p w14:paraId="4C45C15B"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Coping</w:t>
            </w:r>
          </w:p>
        </w:tc>
        <w:tc>
          <w:tcPr>
            <w:tcW w:w="0" w:type="auto"/>
            <w:tcBorders>
              <w:top w:val="nil"/>
              <w:left w:val="nil"/>
              <w:bottom w:val="nil"/>
              <w:right w:val="nil"/>
            </w:tcBorders>
            <w:vAlign w:val="center"/>
          </w:tcPr>
          <w:p w14:paraId="2B17B00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2.12</w:t>
            </w:r>
          </w:p>
        </w:tc>
        <w:tc>
          <w:tcPr>
            <w:tcW w:w="0" w:type="auto"/>
            <w:tcBorders>
              <w:top w:val="nil"/>
              <w:left w:val="nil"/>
              <w:bottom w:val="nil"/>
              <w:right w:val="nil"/>
            </w:tcBorders>
            <w:vAlign w:val="center"/>
          </w:tcPr>
          <w:p w14:paraId="46C7E38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0.93</w:t>
            </w:r>
          </w:p>
        </w:tc>
        <w:tc>
          <w:tcPr>
            <w:tcW w:w="0" w:type="auto"/>
            <w:tcBorders>
              <w:top w:val="nil"/>
              <w:left w:val="nil"/>
              <w:bottom w:val="nil"/>
              <w:right w:val="nil"/>
            </w:tcBorders>
            <w:vAlign w:val="center"/>
          </w:tcPr>
          <w:p w14:paraId="7D71026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.51**</w:t>
            </w:r>
          </w:p>
        </w:tc>
        <w:tc>
          <w:tcPr>
            <w:tcW w:w="0" w:type="auto"/>
            <w:tcBorders>
              <w:top w:val="nil"/>
              <w:left w:val="nil"/>
              <w:bottom w:val="nil"/>
              <w:right w:val="nil"/>
            </w:tcBorders>
            <w:vAlign w:val="center"/>
          </w:tcPr>
          <w:p w14:paraId="7376A22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.69**</w:t>
            </w:r>
          </w:p>
        </w:tc>
        <w:tc>
          <w:tcPr>
            <w:tcW w:w="0" w:type="auto"/>
            <w:tcBorders>
              <w:top w:val="nil"/>
              <w:left w:val="nil"/>
              <w:bottom w:val="nil"/>
              <w:right w:val="nil"/>
            </w:tcBorders>
            <w:vAlign w:val="center"/>
          </w:tcPr>
          <w:p w14:paraId="29389A5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.37**</w:t>
            </w:r>
          </w:p>
        </w:tc>
        <w:tc>
          <w:tcPr>
            <w:tcW w:w="0" w:type="auto"/>
            <w:tcBorders>
              <w:top w:val="nil"/>
              <w:left w:val="nil"/>
              <w:bottom w:val="nil"/>
              <w:right w:val="nil"/>
            </w:tcBorders>
            <w:vAlign w:val="center"/>
          </w:tcPr>
          <w:p w14:paraId="7B8627D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.53**</w:t>
            </w:r>
          </w:p>
        </w:tc>
      </w:tr>
      <w:tr w:rsidR="0073340A" w:rsidRPr="003B57EA" w14:paraId="53F7B7F3" w14:textId="77777777" w:rsidTr="007D2867">
        <w:tc>
          <w:tcPr>
            <w:tcW w:w="0" w:type="auto"/>
            <w:tcBorders>
              <w:top w:val="nil"/>
              <w:left w:val="nil"/>
              <w:bottom w:val="nil"/>
              <w:right w:val="nil"/>
            </w:tcBorders>
            <w:vAlign w:val="center"/>
          </w:tcPr>
          <w:p w14:paraId="711B4D42"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F6FD59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062AC9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48424C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[.46, .55]</w:t>
            </w:r>
          </w:p>
        </w:tc>
        <w:tc>
          <w:tcPr>
            <w:tcW w:w="0" w:type="auto"/>
            <w:tcBorders>
              <w:top w:val="nil"/>
              <w:left w:val="nil"/>
              <w:bottom w:val="nil"/>
              <w:right w:val="nil"/>
            </w:tcBorders>
            <w:vAlign w:val="center"/>
          </w:tcPr>
          <w:p w14:paraId="7C83ACC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[.66, .72]</w:t>
            </w:r>
          </w:p>
        </w:tc>
        <w:tc>
          <w:tcPr>
            <w:tcW w:w="0" w:type="auto"/>
            <w:tcBorders>
              <w:top w:val="nil"/>
              <w:left w:val="nil"/>
              <w:bottom w:val="nil"/>
              <w:right w:val="nil"/>
            </w:tcBorders>
            <w:vAlign w:val="center"/>
          </w:tcPr>
          <w:p w14:paraId="62890B6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[.32, .42]</w:t>
            </w:r>
          </w:p>
        </w:tc>
        <w:tc>
          <w:tcPr>
            <w:tcW w:w="0" w:type="auto"/>
            <w:tcBorders>
              <w:top w:val="nil"/>
              <w:left w:val="nil"/>
              <w:bottom w:val="nil"/>
              <w:right w:val="nil"/>
            </w:tcBorders>
            <w:vAlign w:val="center"/>
          </w:tcPr>
          <w:p w14:paraId="3E86C9C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[.48, .57]</w:t>
            </w:r>
          </w:p>
        </w:tc>
      </w:tr>
      <w:tr w:rsidR="0073340A" w:rsidRPr="003B57EA" w14:paraId="161D8A7D" w14:textId="77777777" w:rsidTr="007D2867">
        <w:tc>
          <w:tcPr>
            <w:tcW w:w="0" w:type="auto"/>
            <w:tcBorders>
              <w:top w:val="nil"/>
              <w:left w:val="nil"/>
              <w:bottom w:val="nil"/>
              <w:right w:val="nil"/>
            </w:tcBorders>
            <w:vAlign w:val="center"/>
          </w:tcPr>
          <w:p w14:paraId="6158CB41"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67A5E9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F8CC3B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63D280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335B1F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DF9429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E7DAB3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6FADD77C" w14:textId="77777777" w:rsidTr="007D2867">
        <w:tc>
          <w:tcPr>
            <w:tcW w:w="0" w:type="auto"/>
            <w:tcBorders>
              <w:top w:val="nil"/>
              <w:left w:val="nil"/>
              <w:bottom w:val="nil"/>
              <w:right w:val="nil"/>
            </w:tcBorders>
            <w:vAlign w:val="center"/>
          </w:tcPr>
          <w:p w14:paraId="0656916A"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lastRenderedPageBreak/>
              <w:t xml:space="preserve">         Skill development</w:t>
            </w:r>
          </w:p>
        </w:tc>
        <w:tc>
          <w:tcPr>
            <w:tcW w:w="0" w:type="auto"/>
            <w:tcBorders>
              <w:top w:val="nil"/>
              <w:left w:val="nil"/>
              <w:bottom w:val="nil"/>
              <w:right w:val="nil"/>
            </w:tcBorders>
            <w:vAlign w:val="center"/>
          </w:tcPr>
          <w:p w14:paraId="4215453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2.08</w:t>
            </w:r>
          </w:p>
        </w:tc>
        <w:tc>
          <w:tcPr>
            <w:tcW w:w="0" w:type="auto"/>
            <w:tcBorders>
              <w:top w:val="nil"/>
              <w:left w:val="nil"/>
              <w:bottom w:val="nil"/>
              <w:right w:val="nil"/>
            </w:tcBorders>
            <w:vAlign w:val="center"/>
          </w:tcPr>
          <w:p w14:paraId="450DCB5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1.06</w:t>
            </w:r>
          </w:p>
        </w:tc>
        <w:tc>
          <w:tcPr>
            <w:tcW w:w="0" w:type="auto"/>
            <w:tcBorders>
              <w:top w:val="nil"/>
              <w:left w:val="nil"/>
              <w:bottom w:val="nil"/>
              <w:right w:val="nil"/>
            </w:tcBorders>
            <w:vAlign w:val="center"/>
          </w:tcPr>
          <w:p w14:paraId="3D3E997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.32**</w:t>
            </w:r>
          </w:p>
        </w:tc>
        <w:tc>
          <w:tcPr>
            <w:tcW w:w="0" w:type="auto"/>
            <w:tcBorders>
              <w:top w:val="nil"/>
              <w:left w:val="nil"/>
              <w:bottom w:val="nil"/>
              <w:right w:val="nil"/>
            </w:tcBorders>
            <w:vAlign w:val="center"/>
          </w:tcPr>
          <w:p w14:paraId="2591D09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.49**</w:t>
            </w:r>
          </w:p>
        </w:tc>
        <w:tc>
          <w:tcPr>
            <w:tcW w:w="0" w:type="auto"/>
            <w:tcBorders>
              <w:top w:val="nil"/>
              <w:left w:val="nil"/>
              <w:bottom w:val="nil"/>
              <w:right w:val="nil"/>
            </w:tcBorders>
            <w:vAlign w:val="center"/>
          </w:tcPr>
          <w:p w14:paraId="65FC9F8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.24**</w:t>
            </w:r>
          </w:p>
        </w:tc>
        <w:tc>
          <w:tcPr>
            <w:tcW w:w="0" w:type="auto"/>
            <w:tcBorders>
              <w:top w:val="nil"/>
              <w:left w:val="nil"/>
              <w:bottom w:val="nil"/>
              <w:right w:val="nil"/>
            </w:tcBorders>
            <w:vAlign w:val="center"/>
          </w:tcPr>
          <w:p w14:paraId="277FDF7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.37**</w:t>
            </w:r>
          </w:p>
        </w:tc>
      </w:tr>
      <w:tr w:rsidR="0073340A" w:rsidRPr="003B57EA" w14:paraId="685B85A9" w14:textId="77777777" w:rsidTr="007D2867">
        <w:tc>
          <w:tcPr>
            <w:tcW w:w="0" w:type="auto"/>
            <w:tcBorders>
              <w:top w:val="nil"/>
              <w:left w:val="nil"/>
              <w:bottom w:val="nil"/>
              <w:right w:val="nil"/>
            </w:tcBorders>
            <w:vAlign w:val="center"/>
          </w:tcPr>
          <w:p w14:paraId="7B30B3C4"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66D72F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FE15FC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4251A0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[.27, .38]</w:t>
            </w:r>
          </w:p>
        </w:tc>
        <w:tc>
          <w:tcPr>
            <w:tcW w:w="0" w:type="auto"/>
            <w:tcBorders>
              <w:top w:val="nil"/>
              <w:left w:val="nil"/>
              <w:bottom w:val="nil"/>
              <w:right w:val="nil"/>
            </w:tcBorders>
            <w:vAlign w:val="center"/>
          </w:tcPr>
          <w:p w14:paraId="1E6487B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[.45, .54]</w:t>
            </w:r>
          </w:p>
        </w:tc>
        <w:tc>
          <w:tcPr>
            <w:tcW w:w="0" w:type="auto"/>
            <w:tcBorders>
              <w:top w:val="nil"/>
              <w:left w:val="nil"/>
              <w:bottom w:val="nil"/>
              <w:right w:val="nil"/>
            </w:tcBorders>
            <w:vAlign w:val="center"/>
          </w:tcPr>
          <w:p w14:paraId="11B8278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 .29]</w:t>
            </w:r>
          </w:p>
        </w:tc>
        <w:tc>
          <w:tcPr>
            <w:tcW w:w="0" w:type="auto"/>
            <w:tcBorders>
              <w:top w:val="nil"/>
              <w:left w:val="nil"/>
              <w:bottom w:val="nil"/>
              <w:right w:val="nil"/>
            </w:tcBorders>
            <w:vAlign w:val="center"/>
          </w:tcPr>
          <w:p w14:paraId="60D1B6B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[.32, .43]</w:t>
            </w:r>
          </w:p>
        </w:tc>
      </w:tr>
      <w:tr w:rsidR="0073340A" w:rsidRPr="003B57EA" w14:paraId="55E22C1C" w14:textId="77777777" w:rsidTr="007D2867">
        <w:tc>
          <w:tcPr>
            <w:tcW w:w="0" w:type="auto"/>
            <w:tcBorders>
              <w:top w:val="nil"/>
              <w:left w:val="nil"/>
              <w:bottom w:val="nil"/>
              <w:right w:val="nil"/>
            </w:tcBorders>
            <w:vAlign w:val="center"/>
          </w:tcPr>
          <w:p w14:paraId="1A2395EA"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23AEC9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993AB7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12492D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3225A4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7EE78F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2A4587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4CEA9CEA" w14:textId="77777777" w:rsidTr="007D2867">
        <w:tc>
          <w:tcPr>
            <w:tcW w:w="0" w:type="auto"/>
            <w:tcBorders>
              <w:top w:val="nil"/>
              <w:left w:val="nil"/>
              <w:bottom w:val="nil"/>
              <w:right w:val="nil"/>
            </w:tcBorders>
            <w:vAlign w:val="center"/>
          </w:tcPr>
          <w:p w14:paraId="60C3236F"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Fantasy</w:t>
            </w:r>
          </w:p>
        </w:tc>
        <w:tc>
          <w:tcPr>
            <w:tcW w:w="0" w:type="auto"/>
            <w:tcBorders>
              <w:top w:val="nil"/>
              <w:left w:val="nil"/>
              <w:bottom w:val="nil"/>
              <w:right w:val="nil"/>
            </w:tcBorders>
            <w:vAlign w:val="center"/>
          </w:tcPr>
          <w:p w14:paraId="39333D6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1.84</w:t>
            </w:r>
          </w:p>
        </w:tc>
        <w:tc>
          <w:tcPr>
            <w:tcW w:w="0" w:type="auto"/>
            <w:tcBorders>
              <w:top w:val="nil"/>
              <w:left w:val="nil"/>
              <w:bottom w:val="nil"/>
              <w:right w:val="nil"/>
            </w:tcBorders>
            <w:vAlign w:val="center"/>
          </w:tcPr>
          <w:p w14:paraId="7DC8723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0.96</w:t>
            </w:r>
          </w:p>
        </w:tc>
        <w:tc>
          <w:tcPr>
            <w:tcW w:w="0" w:type="auto"/>
            <w:tcBorders>
              <w:top w:val="nil"/>
              <w:left w:val="nil"/>
              <w:bottom w:val="nil"/>
              <w:right w:val="nil"/>
            </w:tcBorders>
            <w:vAlign w:val="center"/>
          </w:tcPr>
          <w:p w14:paraId="0DD265E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.49**</w:t>
            </w:r>
          </w:p>
        </w:tc>
        <w:tc>
          <w:tcPr>
            <w:tcW w:w="0" w:type="auto"/>
            <w:tcBorders>
              <w:top w:val="nil"/>
              <w:left w:val="nil"/>
              <w:bottom w:val="nil"/>
              <w:right w:val="nil"/>
            </w:tcBorders>
            <w:vAlign w:val="center"/>
          </w:tcPr>
          <w:p w14:paraId="5B9AF75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.46**</w:t>
            </w:r>
          </w:p>
        </w:tc>
        <w:tc>
          <w:tcPr>
            <w:tcW w:w="0" w:type="auto"/>
            <w:tcBorders>
              <w:top w:val="nil"/>
              <w:left w:val="nil"/>
              <w:bottom w:val="nil"/>
              <w:right w:val="nil"/>
            </w:tcBorders>
            <w:vAlign w:val="center"/>
          </w:tcPr>
          <w:p w14:paraId="630FFB4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.37**</w:t>
            </w:r>
          </w:p>
        </w:tc>
        <w:tc>
          <w:tcPr>
            <w:tcW w:w="0" w:type="auto"/>
            <w:tcBorders>
              <w:top w:val="nil"/>
              <w:left w:val="nil"/>
              <w:bottom w:val="nil"/>
              <w:right w:val="nil"/>
            </w:tcBorders>
            <w:vAlign w:val="center"/>
          </w:tcPr>
          <w:p w14:paraId="7727CCD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.39**</w:t>
            </w:r>
          </w:p>
        </w:tc>
      </w:tr>
      <w:tr w:rsidR="0073340A" w:rsidRPr="003B57EA" w14:paraId="1CA54435" w14:textId="77777777" w:rsidTr="007D2867">
        <w:tc>
          <w:tcPr>
            <w:tcW w:w="0" w:type="auto"/>
            <w:tcBorders>
              <w:top w:val="nil"/>
              <w:left w:val="nil"/>
              <w:bottom w:val="nil"/>
              <w:right w:val="nil"/>
            </w:tcBorders>
            <w:vAlign w:val="center"/>
          </w:tcPr>
          <w:p w14:paraId="5F928F0D"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486E1F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5972DA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3BE20C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[.44, .53]</w:t>
            </w:r>
          </w:p>
        </w:tc>
        <w:tc>
          <w:tcPr>
            <w:tcW w:w="0" w:type="auto"/>
            <w:tcBorders>
              <w:top w:val="nil"/>
              <w:left w:val="nil"/>
              <w:bottom w:val="nil"/>
              <w:right w:val="nil"/>
            </w:tcBorders>
            <w:vAlign w:val="center"/>
          </w:tcPr>
          <w:p w14:paraId="0FFB467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[.41, .51]</w:t>
            </w:r>
          </w:p>
        </w:tc>
        <w:tc>
          <w:tcPr>
            <w:tcW w:w="0" w:type="auto"/>
            <w:tcBorders>
              <w:top w:val="nil"/>
              <w:left w:val="nil"/>
              <w:bottom w:val="nil"/>
              <w:right w:val="nil"/>
            </w:tcBorders>
            <w:vAlign w:val="center"/>
          </w:tcPr>
          <w:p w14:paraId="35CBC9A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[.31, .42]</w:t>
            </w:r>
          </w:p>
        </w:tc>
        <w:tc>
          <w:tcPr>
            <w:tcW w:w="0" w:type="auto"/>
            <w:tcBorders>
              <w:top w:val="nil"/>
              <w:left w:val="nil"/>
              <w:bottom w:val="nil"/>
              <w:right w:val="nil"/>
            </w:tcBorders>
            <w:vAlign w:val="center"/>
          </w:tcPr>
          <w:p w14:paraId="6603035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 .44]</w:t>
            </w:r>
          </w:p>
        </w:tc>
      </w:tr>
      <w:tr w:rsidR="0073340A" w:rsidRPr="003B57EA" w14:paraId="0128025E" w14:textId="77777777" w:rsidTr="007D2867">
        <w:tc>
          <w:tcPr>
            <w:tcW w:w="0" w:type="auto"/>
            <w:tcBorders>
              <w:top w:val="nil"/>
              <w:left w:val="nil"/>
              <w:bottom w:val="nil"/>
              <w:right w:val="nil"/>
            </w:tcBorders>
            <w:vAlign w:val="center"/>
          </w:tcPr>
          <w:p w14:paraId="0B365FED"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00AC33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7EEFC3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64E22B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E96BFC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848852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128B15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3D2B9E0C" w14:textId="77777777" w:rsidTr="007D2867">
        <w:tc>
          <w:tcPr>
            <w:tcW w:w="0" w:type="auto"/>
            <w:tcBorders>
              <w:top w:val="nil"/>
              <w:left w:val="nil"/>
              <w:bottom w:val="nil"/>
              <w:right w:val="nil"/>
            </w:tcBorders>
            <w:vAlign w:val="center"/>
          </w:tcPr>
          <w:p w14:paraId="76EF869E"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Recreation</w:t>
            </w:r>
          </w:p>
        </w:tc>
        <w:tc>
          <w:tcPr>
            <w:tcW w:w="0" w:type="auto"/>
            <w:tcBorders>
              <w:top w:val="nil"/>
              <w:left w:val="nil"/>
              <w:bottom w:val="nil"/>
              <w:right w:val="nil"/>
            </w:tcBorders>
            <w:vAlign w:val="center"/>
          </w:tcPr>
          <w:p w14:paraId="5E0C5DA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3.30</w:t>
            </w:r>
          </w:p>
        </w:tc>
        <w:tc>
          <w:tcPr>
            <w:tcW w:w="0" w:type="auto"/>
            <w:tcBorders>
              <w:top w:val="nil"/>
              <w:left w:val="nil"/>
              <w:bottom w:val="nil"/>
              <w:right w:val="nil"/>
            </w:tcBorders>
            <w:vAlign w:val="center"/>
          </w:tcPr>
          <w:p w14:paraId="1B709CA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1.15</w:t>
            </w:r>
          </w:p>
        </w:tc>
        <w:tc>
          <w:tcPr>
            <w:tcW w:w="0" w:type="auto"/>
            <w:tcBorders>
              <w:top w:val="nil"/>
              <w:left w:val="nil"/>
              <w:bottom w:val="nil"/>
              <w:right w:val="nil"/>
            </w:tcBorders>
            <w:vAlign w:val="center"/>
          </w:tcPr>
          <w:p w14:paraId="4A3701E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.21**</w:t>
            </w:r>
          </w:p>
        </w:tc>
        <w:tc>
          <w:tcPr>
            <w:tcW w:w="0" w:type="auto"/>
            <w:tcBorders>
              <w:top w:val="nil"/>
              <w:left w:val="nil"/>
              <w:bottom w:val="nil"/>
              <w:right w:val="nil"/>
            </w:tcBorders>
            <w:vAlign w:val="center"/>
          </w:tcPr>
          <w:p w14:paraId="3B517E3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.38**</w:t>
            </w:r>
          </w:p>
        </w:tc>
        <w:tc>
          <w:tcPr>
            <w:tcW w:w="0" w:type="auto"/>
            <w:tcBorders>
              <w:top w:val="nil"/>
              <w:left w:val="nil"/>
              <w:bottom w:val="nil"/>
              <w:right w:val="nil"/>
            </w:tcBorders>
            <w:vAlign w:val="center"/>
          </w:tcPr>
          <w:p w14:paraId="4065039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.13**</w:t>
            </w:r>
          </w:p>
        </w:tc>
        <w:tc>
          <w:tcPr>
            <w:tcW w:w="0" w:type="auto"/>
            <w:tcBorders>
              <w:top w:val="nil"/>
              <w:left w:val="nil"/>
              <w:bottom w:val="nil"/>
              <w:right w:val="nil"/>
            </w:tcBorders>
            <w:vAlign w:val="center"/>
          </w:tcPr>
          <w:p w14:paraId="7E4877D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.34**</w:t>
            </w:r>
          </w:p>
        </w:tc>
      </w:tr>
      <w:tr w:rsidR="0073340A" w:rsidRPr="003B57EA" w14:paraId="636D36F8" w14:textId="77777777" w:rsidTr="007D2867">
        <w:tc>
          <w:tcPr>
            <w:tcW w:w="0" w:type="auto"/>
            <w:tcBorders>
              <w:top w:val="nil"/>
              <w:left w:val="nil"/>
              <w:bottom w:val="nil"/>
              <w:right w:val="nil"/>
            </w:tcBorders>
            <w:vAlign w:val="center"/>
          </w:tcPr>
          <w:p w14:paraId="4D5B0BE6"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8E452B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A46205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F540FC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[.15, .26]</w:t>
            </w:r>
          </w:p>
        </w:tc>
        <w:tc>
          <w:tcPr>
            <w:tcW w:w="0" w:type="auto"/>
            <w:tcBorders>
              <w:top w:val="nil"/>
              <w:left w:val="nil"/>
              <w:bottom w:val="nil"/>
              <w:right w:val="nil"/>
            </w:tcBorders>
            <w:vAlign w:val="center"/>
          </w:tcPr>
          <w:p w14:paraId="36EE6BD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 .43]</w:t>
            </w:r>
          </w:p>
        </w:tc>
        <w:tc>
          <w:tcPr>
            <w:tcW w:w="0" w:type="auto"/>
            <w:tcBorders>
              <w:top w:val="nil"/>
              <w:left w:val="nil"/>
              <w:bottom w:val="nil"/>
              <w:right w:val="nil"/>
            </w:tcBorders>
            <w:vAlign w:val="center"/>
          </w:tcPr>
          <w:p w14:paraId="73ACA89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[.07, .18]</w:t>
            </w:r>
          </w:p>
        </w:tc>
        <w:tc>
          <w:tcPr>
            <w:tcW w:w="0" w:type="auto"/>
            <w:tcBorders>
              <w:top w:val="nil"/>
              <w:left w:val="nil"/>
              <w:bottom w:val="nil"/>
              <w:right w:val="nil"/>
            </w:tcBorders>
            <w:vAlign w:val="center"/>
          </w:tcPr>
          <w:p w14:paraId="41CCA89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[.29, .39]</w:t>
            </w:r>
          </w:p>
        </w:tc>
      </w:tr>
      <w:tr w:rsidR="0073340A" w:rsidRPr="003B57EA" w14:paraId="42EF26DA" w14:textId="77777777" w:rsidTr="007D2867">
        <w:tc>
          <w:tcPr>
            <w:tcW w:w="0" w:type="auto"/>
            <w:tcBorders>
              <w:top w:val="nil"/>
              <w:left w:val="nil"/>
              <w:bottom w:val="nil"/>
              <w:right w:val="nil"/>
            </w:tcBorders>
            <w:vAlign w:val="center"/>
          </w:tcPr>
          <w:p w14:paraId="6FE2C12D"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919C99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D56A10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F6BA1B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F26E69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268AF7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51FE05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24C5BB88" w14:textId="77777777" w:rsidTr="007D2867">
        <w:tc>
          <w:tcPr>
            <w:tcW w:w="0" w:type="auto"/>
            <w:tcBorders>
              <w:top w:val="nil"/>
              <w:left w:val="nil"/>
              <w:bottom w:val="nil"/>
              <w:right w:val="nil"/>
            </w:tcBorders>
            <w:vAlign w:val="center"/>
          </w:tcPr>
          <w:p w14:paraId="6BB25594"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Expressive suppression (T2)</w:t>
            </w:r>
          </w:p>
        </w:tc>
        <w:tc>
          <w:tcPr>
            <w:tcW w:w="0" w:type="auto"/>
            <w:tcBorders>
              <w:top w:val="nil"/>
              <w:left w:val="nil"/>
              <w:bottom w:val="nil"/>
              <w:right w:val="nil"/>
            </w:tcBorders>
            <w:vAlign w:val="center"/>
          </w:tcPr>
          <w:p w14:paraId="338A0D8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2.73</w:t>
            </w:r>
          </w:p>
        </w:tc>
        <w:tc>
          <w:tcPr>
            <w:tcW w:w="0" w:type="auto"/>
            <w:tcBorders>
              <w:top w:val="nil"/>
              <w:left w:val="nil"/>
              <w:bottom w:val="nil"/>
              <w:right w:val="nil"/>
            </w:tcBorders>
            <w:vAlign w:val="center"/>
          </w:tcPr>
          <w:p w14:paraId="5236743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0.83</w:t>
            </w:r>
          </w:p>
        </w:tc>
        <w:tc>
          <w:tcPr>
            <w:tcW w:w="0" w:type="auto"/>
            <w:tcBorders>
              <w:top w:val="nil"/>
              <w:left w:val="nil"/>
              <w:bottom w:val="nil"/>
              <w:right w:val="nil"/>
            </w:tcBorders>
            <w:vAlign w:val="center"/>
          </w:tcPr>
          <w:p w14:paraId="0E1589A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w:t>
            </w:r>
          </w:p>
        </w:tc>
        <w:tc>
          <w:tcPr>
            <w:tcW w:w="0" w:type="auto"/>
            <w:tcBorders>
              <w:top w:val="nil"/>
              <w:left w:val="nil"/>
              <w:bottom w:val="nil"/>
              <w:right w:val="nil"/>
            </w:tcBorders>
            <w:vAlign w:val="center"/>
          </w:tcPr>
          <w:p w14:paraId="6B4F529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.21**</w:t>
            </w:r>
          </w:p>
        </w:tc>
        <w:tc>
          <w:tcPr>
            <w:tcW w:w="0" w:type="auto"/>
            <w:tcBorders>
              <w:top w:val="nil"/>
              <w:left w:val="nil"/>
              <w:bottom w:val="nil"/>
              <w:right w:val="nil"/>
            </w:tcBorders>
            <w:vAlign w:val="center"/>
          </w:tcPr>
          <w:p w14:paraId="5D20532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.29**</w:t>
            </w:r>
          </w:p>
        </w:tc>
        <w:tc>
          <w:tcPr>
            <w:tcW w:w="0" w:type="auto"/>
            <w:tcBorders>
              <w:top w:val="nil"/>
              <w:left w:val="nil"/>
              <w:bottom w:val="nil"/>
              <w:right w:val="nil"/>
            </w:tcBorders>
            <w:vAlign w:val="center"/>
          </w:tcPr>
          <w:p w14:paraId="3C22F96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.34**</w:t>
            </w:r>
          </w:p>
        </w:tc>
      </w:tr>
      <w:tr w:rsidR="0073340A" w:rsidRPr="003B57EA" w14:paraId="457A8808" w14:textId="77777777" w:rsidTr="007D2867">
        <w:tc>
          <w:tcPr>
            <w:tcW w:w="0" w:type="auto"/>
            <w:tcBorders>
              <w:top w:val="nil"/>
              <w:left w:val="nil"/>
              <w:bottom w:val="nil"/>
              <w:right w:val="nil"/>
            </w:tcBorders>
            <w:vAlign w:val="center"/>
          </w:tcPr>
          <w:p w14:paraId="50B81A36"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1D2603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EC2B6B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EE93B7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[.12, .24]</w:t>
            </w:r>
          </w:p>
        </w:tc>
        <w:tc>
          <w:tcPr>
            <w:tcW w:w="0" w:type="auto"/>
            <w:tcBorders>
              <w:top w:val="nil"/>
              <w:left w:val="nil"/>
              <w:bottom w:val="nil"/>
              <w:right w:val="nil"/>
            </w:tcBorders>
            <w:vAlign w:val="center"/>
          </w:tcPr>
          <w:p w14:paraId="649A1C2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[.16, .27]</w:t>
            </w:r>
          </w:p>
        </w:tc>
        <w:tc>
          <w:tcPr>
            <w:tcW w:w="0" w:type="auto"/>
            <w:tcBorders>
              <w:top w:val="nil"/>
              <w:left w:val="nil"/>
              <w:bottom w:val="nil"/>
              <w:right w:val="nil"/>
            </w:tcBorders>
            <w:vAlign w:val="center"/>
          </w:tcPr>
          <w:p w14:paraId="0737675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[.23, .34]</w:t>
            </w:r>
          </w:p>
        </w:tc>
        <w:tc>
          <w:tcPr>
            <w:tcW w:w="0" w:type="auto"/>
            <w:tcBorders>
              <w:top w:val="nil"/>
              <w:left w:val="nil"/>
              <w:bottom w:val="nil"/>
              <w:right w:val="nil"/>
            </w:tcBorders>
            <w:vAlign w:val="center"/>
          </w:tcPr>
          <w:p w14:paraId="7384B75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[.29, .40]</w:t>
            </w:r>
          </w:p>
        </w:tc>
      </w:tr>
      <w:tr w:rsidR="0073340A" w:rsidRPr="003B57EA" w14:paraId="74C50D54" w14:textId="77777777" w:rsidTr="007D2867">
        <w:tc>
          <w:tcPr>
            <w:tcW w:w="0" w:type="auto"/>
            <w:tcBorders>
              <w:top w:val="nil"/>
              <w:left w:val="nil"/>
              <w:bottom w:val="nil"/>
              <w:right w:val="nil"/>
            </w:tcBorders>
            <w:vAlign w:val="center"/>
          </w:tcPr>
          <w:p w14:paraId="08C16577"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E5E2F7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E4ED82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1C6D20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374B84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FCF46A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DD7397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1732C70B" w14:textId="77777777" w:rsidTr="007D2867">
        <w:tc>
          <w:tcPr>
            <w:tcW w:w="0" w:type="auto"/>
            <w:tcBorders>
              <w:top w:val="nil"/>
              <w:left w:val="nil"/>
              <w:bottom w:val="nil"/>
              <w:right w:val="nil"/>
            </w:tcBorders>
            <w:vAlign w:val="center"/>
          </w:tcPr>
          <w:p w14:paraId="469D5437"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Cognitive reappraisal (T2)</w:t>
            </w:r>
          </w:p>
        </w:tc>
        <w:tc>
          <w:tcPr>
            <w:tcW w:w="0" w:type="auto"/>
            <w:tcBorders>
              <w:top w:val="nil"/>
              <w:left w:val="nil"/>
              <w:bottom w:val="nil"/>
              <w:right w:val="nil"/>
            </w:tcBorders>
            <w:vAlign w:val="center"/>
          </w:tcPr>
          <w:p w14:paraId="1CB48FD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3.13</w:t>
            </w:r>
          </w:p>
        </w:tc>
        <w:tc>
          <w:tcPr>
            <w:tcW w:w="0" w:type="auto"/>
            <w:tcBorders>
              <w:top w:val="nil"/>
              <w:left w:val="nil"/>
              <w:bottom w:val="nil"/>
              <w:right w:val="nil"/>
            </w:tcBorders>
            <w:vAlign w:val="center"/>
          </w:tcPr>
          <w:p w14:paraId="55FEADA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0.76</w:t>
            </w:r>
          </w:p>
        </w:tc>
        <w:tc>
          <w:tcPr>
            <w:tcW w:w="0" w:type="auto"/>
            <w:tcBorders>
              <w:top w:val="nil"/>
              <w:left w:val="nil"/>
              <w:bottom w:val="nil"/>
              <w:right w:val="nil"/>
            </w:tcBorders>
            <w:vAlign w:val="center"/>
          </w:tcPr>
          <w:p w14:paraId="2658C04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.07*</w:t>
            </w:r>
          </w:p>
        </w:tc>
        <w:tc>
          <w:tcPr>
            <w:tcW w:w="0" w:type="auto"/>
            <w:tcBorders>
              <w:top w:val="nil"/>
              <w:left w:val="nil"/>
              <w:bottom w:val="nil"/>
              <w:right w:val="nil"/>
            </w:tcBorders>
            <w:vAlign w:val="center"/>
          </w:tcPr>
          <w:p w14:paraId="35D4364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.16**</w:t>
            </w:r>
          </w:p>
        </w:tc>
        <w:tc>
          <w:tcPr>
            <w:tcW w:w="0" w:type="auto"/>
            <w:tcBorders>
              <w:top w:val="nil"/>
              <w:left w:val="nil"/>
              <w:bottom w:val="nil"/>
              <w:right w:val="nil"/>
            </w:tcBorders>
            <w:vAlign w:val="center"/>
          </w:tcPr>
          <w:p w14:paraId="2932681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.13**</w:t>
            </w:r>
          </w:p>
        </w:tc>
        <w:tc>
          <w:tcPr>
            <w:tcW w:w="0" w:type="auto"/>
            <w:tcBorders>
              <w:top w:val="nil"/>
              <w:left w:val="nil"/>
              <w:bottom w:val="nil"/>
              <w:right w:val="nil"/>
            </w:tcBorders>
            <w:vAlign w:val="center"/>
          </w:tcPr>
          <w:p w14:paraId="0DD09D6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.26**</w:t>
            </w:r>
          </w:p>
        </w:tc>
      </w:tr>
      <w:tr w:rsidR="0073340A" w:rsidRPr="003B57EA" w14:paraId="176F5B92" w14:textId="77777777" w:rsidTr="007D2867">
        <w:tc>
          <w:tcPr>
            <w:tcW w:w="0" w:type="auto"/>
            <w:tcBorders>
              <w:top w:val="nil"/>
              <w:left w:val="nil"/>
              <w:bottom w:val="nil"/>
              <w:right w:val="nil"/>
            </w:tcBorders>
            <w:vAlign w:val="center"/>
          </w:tcPr>
          <w:p w14:paraId="120AAFF0"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F0C53D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6F94E2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537E8F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[.01, .13]</w:t>
            </w:r>
          </w:p>
        </w:tc>
        <w:tc>
          <w:tcPr>
            <w:tcW w:w="0" w:type="auto"/>
            <w:tcBorders>
              <w:top w:val="nil"/>
              <w:left w:val="nil"/>
              <w:bottom w:val="nil"/>
              <w:right w:val="nil"/>
            </w:tcBorders>
            <w:vAlign w:val="center"/>
          </w:tcPr>
          <w:p w14:paraId="3CF1FBF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[.10, .22]</w:t>
            </w:r>
          </w:p>
        </w:tc>
        <w:tc>
          <w:tcPr>
            <w:tcW w:w="0" w:type="auto"/>
            <w:tcBorders>
              <w:top w:val="nil"/>
              <w:left w:val="nil"/>
              <w:bottom w:val="nil"/>
              <w:right w:val="nil"/>
            </w:tcBorders>
            <w:vAlign w:val="center"/>
          </w:tcPr>
          <w:p w14:paraId="2A5B11B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[.07, .19]</w:t>
            </w:r>
          </w:p>
        </w:tc>
        <w:tc>
          <w:tcPr>
            <w:tcW w:w="0" w:type="auto"/>
            <w:tcBorders>
              <w:top w:val="nil"/>
              <w:left w:val="nil"/>
              <w:bottom w:val="nil"/>
              <w:right w:val="nil"/>
            </w:tcBorders>
            <w:vAlign w:val="center"/>
          </w:tcPr>
          <w:p w14:paraId="02C33FB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[.20, .31]</w:t>
            </w:r>
          </w:p>
        </w:tc>
      </w:tr>
      <w:tr w:rsidR="0073340A" w:rsidRPr="003B57EA" w14:paraId="5F5D6F93" w14:textId="77777777" w:rsidTr="007D2867">
        <w:tc>
          <w:tcPr>
            <w:tcW w:w="0" w:type="auto"/>
            <w:tcBorders>
              <w:top w:val="nil"/>
              <w:left w:val="nil"/>
              <w:bottom w:val="nil"/>
              <w:right w:val="nil"/>
            </w:tcBorders>
            <w:vAlign w:val="center"/>
          </w:tcPr>
          <w:p w14:paraId="2618A398"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A48C78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51A45B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BF0D9D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1E0EF1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D40CF6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A613C9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4A4EAEB2" w14:textId="77777777" w:rsidTr="007D2867">
        <w:tc>
          <w:tcPr>
            <w:tcW w:w="0" w:type="auto"/>
            <w:tcBorders>
              <w:top w:val="nil"/>
              <w:left w:val="nil"/>
              <w:bottom w:val="nil"/>
              <w:right w:val="nil"/>
            </w:tcBorders>
            <w:vAlign w:val="center"/>
          </w:tcPr>
          <w:p w14:paraId="1E8E3FA2"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Internet Gaming Disorder (IGD) (T2)</w:t>
            </w:r>
          </w:p>
        </w:tc>
        <w:tc>
          <w:tcPr>
            <w:tcW w:w="0" w:type="auto"/>
            <w:tcBorders>
              <w:top w:val="nil"/>
              <w:left w:val="nil"/>
              <w:bottom w:val="nil"/>
              <w:right w:val="nil"/>
            </w:tcBorders>
            <w:vAlign w:val="center"/>
          </w:tcPr>
          <w:p w14:paraId="522BEC89" w14:textId="1B6FC1B3" w:rsidR="0073340A" w:rsidRPr="003B57EA" w:rsidRDefault="00A07350"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18.0</w:t>
            </w:r>
          </w:p>
        </w:tc>
        <w:tc>
          <w:tcPr>
            <w:tcW w:w="0" w:type="auto"/>
            <w:tcBorders>
              <w:top w:val="nil"/>
              <w:left w:val="nil"/>
              <w:bottom w:val="nil"/>
              <w:right w:val="nil"/>
            </w:tcBorders>
            <w:vAlign w:val="center"/>
          </w:tcPr>
          <w:p w14:paraId="7A1E36EE" w14:textId="23B272AF" w:rsidR="0073340A" w:rsidRPr="003B57EA" w:rsidRDefault="00A07350"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7.22</w:t>
            </w:r>
          </w:p>
        </w:tc>
        <w:tc>
          <w:tcPr>
            <w:tcW w:w="0" w:type="auto"/>
            <w:tcBorders>
              <w:top w:val="nil"/>
              <w:left w:val="nil"/>
              <w:bottom w:val="nil"/>
              <w:right w:val="nil"/>
            </w:tcBorders>
            <w:vAlign w:val="center"/>
          </w:tcPr>
          <w:p w14:paraId="742E4FA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.55**</w:t>
            </w:r>
          </w:p>
        </w:tc>
        <w:tc>
          <w:tcPr>
            <w:tcW w:w="0" w:type="auto"/>
            <w:tcBorders>
              <w:top w:val="nil"/>
              <w:left w:val="nil"/>
              <w:bottom w:val="nil"/>
              <w:right w:val="nil"/>
            </w:tcBorders>
            <w:vAlign w:val="center"/>
          </w:tcPr>
          <w:p w14:paraId="2FB1C76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.40**</w:t>
            </w:r>
          </w:p>
        </w:tc>
        <w:tc>
          <w:tcPr>
            <w:tcW w:w="0" w:type="auto"/>
            <w:tcBorders>
              <w:top w:val="nil"/>
              <w:left w:val="nil"/>
              <w:bottom w:val="nil"/>
              <w:right w:val="nil"/>
            </w:tcBorders>
            <w:vAlign w:val="center"/>
          </w:tcPr>
          <w:p w14:paraId="523B944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.78**</w:t>
            </w:r>
          </w:p>
        </w:tc>
        <w:tc>
          <w:tcPr>
            <w:tcW w:w="0" w:type="auto"/>
            <w:tcBorders>
              <w:top w:val="nil"/>
              <w:left w:val="nil"/>
              <w:bottom w:val="nil"/>
              <w:right w:val="nil"/>
            </w:tcBorders>
            <w:vAlign w:val="center"/>
          </w:tcPr>
          <w:p w14:paraId="52B379A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.56**</w:t>
            </w:r>
          </w:p>
        </w:tc>
      </w:tr>
      <w:tr w:rsidR="0073340A" w:rsidRPr="003B57EA" w14:paraId="59FDC00E" w14:textId="77777777" w:rsidTr="007D2867">
        <w:tc>
          <w:tcPr>
            <w:tcW w:w="0" w:type="auto"/>
            <w:tcBorders>
              <w:top w:val="nil"/>
              <w:left w:val="nil"/>
              <w:bottom w:val="nil"/>
              <w:right w:val="nil"/>
            </w:tcBorders>
            <w:vAlign w:val="center"/>
          </w:tcPr>
          <w:p w14:paraId="4790B0E4"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4DEE69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640AE1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A6422B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[.51, .59]</w:t>
            </w:r>
          </w:p>
        </w:tc>
        <w:tc>
          <w:tcPr>
            <w:tcW w:w="0" w:type="auto"/>
            <w:tcBorders>
              <w:top w:val="nil"/>
              <w:left w:val="nil"/>
              <w:bottom w:val="nil"/>
              <w:right w:val="nil"/>
            </w:tcBorders>
            <w:vAlign w:val="center"/>
          </w:tcPr>
          <w:p w14:paraId="2E93B4D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[.34, .45]</w:t>
            </w:r>
          </w:p>
        </w:tc>
        <w:tc>
          <w:tcPr>
            <w:tcW w:w="0" w:type="auto"/>
            <w:tcBorders>
              <w:top w:val="nil"/>
              <w:left w:val="nil"/>
              <w:bottom w:val="nil"/>
              <w:right w:val="nil"/>
            </w:tcBorders>
            <w:vAlign w:val="center"/>
          </w:tcPr>
          <w:p w14:paraId="738CB1E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[.76, .80]</w:t>
            </w:r>
          </w:p>
        </w:tc>
        <w:tc>
          <w:tcPr>
            <w:tcW w:w="0" w:type="auto"/>
            <w:tcBorders>
              <w:top w:val="nil"/>
              <w:left w:val="nil"/>
              <w:bottom w:val="nil"/>
              <w:right w:val="nil"/>
            </w:tcBorders>
            <w:vAlign w:val="center"/>
          </w:tcPr>
          <w:p w14:paraId="7792E8E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[.52, .60]</w:t>
            </w:r>
          </w:p>
        </w:tc>
      </w:tr>
      <w:tr w:rsidR="0073340A" w:rsidRPr="003B57EA" w14:paraId="0CC677C5" w14:textId="77777777" w:rsidTr="007D2867">
        <w:tc>
          <w:tcPr>
            <w:tcW w:w="0" w:type="auto"/>
            <w:tcBorders>
              <w:top w:val="nil"/>
              <w:left w:val="nil"/>
              <w:bottom w:val="nil"/>
              <w:right w:val="nil"/>
            </w:tcBorders>
            <w:vAlign w:val="center"/>
          </w:tcPr>
          <w:p w14:paraId="76BDC6B4"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97CDDA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64F353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7BA578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2BBAA8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48A05D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E0FBCB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4717F262" w14:textId="77777777" w:rsidTr="007D2867">
        <w:tc>
          <w:tcPr>
            <w:tcW w:w="0" w:type="auto"/>
            <w:tcBorders>
              <w:top w:val="nil"/>
              <w:left w:val="nil"/>
              <w:bottom w:val="nil"/>
              <w:right w:val="nil"/>
            </w:tcBorders>
            <w:vAlign w:val="center"/>
          </w:tcPr>
          <w:p w14:paraId="34ED6D26"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Preference for Online Social Interactions (T2)</w:t>
            </w:r>
          </w:p>
        </w:tc>
        <w:tc>
          <w:tcPr>
            <w:tcW w:w="0" w:type="auto"/>
            <w:tcBorders>
              <w:top w:val="nil"/>
              <w:left w:val="nil"/>
              <w:bottom w:val="nil"/>
              <w:right w:val="nil"/>
            </w:tcBorders>
            <w:vAlign w:val="center"/>
          </w:tcPr>
          <w:p w14:paraId="1381279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2.69</w:t>
            </w:r>
          </w:p>
        </w:tc>
        <w:tc>
          <w:tcPr>
            <w:tcW w:w="0" w:type="auto"/>
            <w:tcBorders>
              <w:top w:val="nil"/>
              <w:left w:val="nil"/>
              <w:bottom w:val="nil"/>
              <w:right w:val="nil"/>
            </w:tcBorders>
            <w:vAlign w:val="center"/>
          </w:tcPr>
          <w:p w14:paraId="5CD7BA9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1.81</w:t>
            </w:r>
          </w:p>
        </w:tc>
        <w:tc>
          <w:tcPr>
            <w:tcW w:w="0" w:type="auto"/>
            <w:tcBorders>
              <w:top w:val="nil"/>
              <w:left w:val="nil"/>
              <w:bottom w:val="nil"/>
              <w:right w:val="nil"/>
            </w:tcBorders>
            <w:vAlign w:val="center"/>
          </w:tcPr>
          <w:p w14:paraId="5B1D452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.39**</w:t>
            </w:r>
          </w:p>
        </w:tc>
        <w:tc>
          <w:tcPr>
            <w:tcW w:w="0" w:type="auto"/>
            <w:tcBorders>
              <w:top w:val="nil"/>
              <w:left w:val="nil"/>
              <w:bottom w:val="nil"/>
              <w:right w:val="nil"/>
            </w:tcBorders>
            <w:vAlign w:val="center"/>
          </w:tcPr>
          <w:p w14:paraId="0CF312B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.28**</w:t>
            </w:r>
          </w:p>
        </w:tc>
        <w:tc>
          <w:tcPr>
            <w:tcW w:w="0" w:type="auto"/>
            <w:tcBorders>
              <w:top w:val="nil"/>
              <w:left w:val="nil"/>
              <w:bottom w:val="nil"/>
              <w:right w:val="nil"/>
            </w:tcBorders>
            <w:vAlign w:val="center"/>
          </w:tcPr>
          <w:p w14:paraId="64226BC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.56**</w:t>
            </w:r>
          </w:p>
        </w:tc>
        <w:tc>
          <w:tcPr>
            <w:tcW w:w="0" w:type="auto"/>
            <w:tcBorders>
              <w:top w:val="nil"/>
              <w:left w:val="nil"/>
              <w:bottom w:val="nil"/>
              <w:right w:val="nil"/>
            </w:tcBorders>
            <w:vAlign w:val="center"/>
          </w:tcPr>
          <w:p w14:paraId="178E3F1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.41**</w:t>
            </w:r>
          </w:p>
        </w:tc>
      </w:tr>
      <w:tr w:rsidR="0073340A" w:rsidRPr="003B57EA" w14:paraId="23EE8807" w14:textId="77777777" w:rsidTr="007D2867">
        <w:tc>
          <w:tcPr>
            <w:tcW w:w="0" w:type="auto"/>
            <w:tcBorders>
              <w:top w:val="nil"/>
              <w:left w:val="nil"/>
              <w:bottom w:val="nil"/>
              <w:right w:val="nil"/>
            </w:tcBorders>
            <w:vAlign w:val="center"/>
          </w:tcPr>
          <w:p w14:paraId="7CBA71F0"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7B20A5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44257E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034407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 .44]</w:t>
            </w:r>
          </w:p>
        </w:tc>
        <w:tc>
          <w:tcPr>
            <w:tcW w:w="0" w:type="auto"/>
            <w:tcBorders>
              <w:top w:val="nil"/>
              <w:left w:val="nil"/>
              <w:bottom w:val="nil"/>
              <w:right w:val="nil"/>
            </w:tcBorders>
            <w:vAlign w:val="center"/>
          </w:tcPr>
          <w:p w14:paraId="0F9B055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[.22, .33]</w:t>
            </w:r>
          </w:p>
        </w:tc>
        <w:tc>
          <w:tcPr>
            <w:tcW w:w="0" w:type="auto"/>
            <w:tcBorders>
              <w:top w:val="nil"/>
              <w:left w:val="nil"/>
              <w:bottom w:val="nil"/>
              <w:right w:val="nil"/>
            </w:tcBorders>
            <w:vAlign w:val="center"/>
          </w:tcPr>
          <w:p w14:paraId="492936E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[.51, .60]</w:t>
            </w:r>
          </w:p>
        </w:tc>
        <w:tc>
          <w:tcPr>
            <w:tcW w:w="0" w:type="auto"/>
            <w:tcBorders>
              <w:top w:val="nil"/>
              <w:left w:val="nil"/>
              <w:bottom w:val="nil"/>
              <w:right w:val="nil"/>
            </w:tcBorders>
            <w:vAlign w:val="center"/>
          </w:tcPr>
          <w:p w14:paraId="4D2BC9E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[.36, .46]</w:t>
            </w:r>
          </w:p>
        </w:tc>
      </w:tr>
      <w:tr w:rsidR="0073340A" w:rsidRPr="003B57EA" w14:paraId="421A73B2" w14:textId="77777777" w:rsidTr="007D2867">
        <w:tc>
          <w:tcPr>
            <w:tcW w:w="0" w:type="auto"/>
            <w:tcBorders>
              <w:top w:val="nil"/>
              <w:left w:val="nil"/>
              <w:bottom w:val="nil"/>
              <w:right w:val="nil"/>
            </w:tcBorders>
            <w:vAlign w:val="center"/>
          </w:tcPr>
          <w:p w14:paraId="10E542D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Motives for online gaming (T2)</w:t>
            </w:r>
          </w:p>
        </w:tc>
        <w:tc>
          <w:tcPr>
            <w:tcW w:w="0" w:type="auto"/>
            <w:tcBorders>
              <w:top w:val="nil"/>
              <w:left w:val="nil"/>
              <w:bottom w:val="nil"/>
              <w:right w:val="nil"/>
            </w:tcBorders>
            <w:vAlign w:val="center"/>
          </w:tcPr>
          <w:p w14:paraId="46422B3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37FBEA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6C2144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E912C0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252FDE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4E28BD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2C1E23AE" w14:textId="77777777" w:rsidTr="007D2867">
        <w:tc>
          <w:tcPr>
            <w:tcW w:w="0" w:type="auto"/>
            <w:tcBorders>
              <w:top w:val="nil"/>
              <w:left w:val="nil"/>
              <w:bottom w:val="nil"/>
              <w:right w:val="nil"/>
            </w:tcBorders>
            <w:vAlign w:val="center"/>
          </w:tcPr>
          <w:p w14:paraId="0BD548F0"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Social</w:t>
            </w:r>
          </w:p>
        </w:tc>
        <w:tc>
          <w:tcPr>
            <w:tcW w:w="0" w:type="auto"/>
            <w:tcBorders>
              <w:top w:val="nil"/>
              <w:left w:val="nil"/>
              <w:bottom w:val="nil"/>
              <w:right w:val="nil"/>
            </w:tcBorders>
            <w:vAlign w:val="center"/>
          </w:tcPr>
          <w:p w14:paraId="105BC76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2.01</w:t>
            </w:r>
          </w:p>
        </w:tc>
        <w:tc>
          <w:tcPr>
            <w:tcW w:w="0" w:type="auto"/>
            <w:tcBorders>
              <w:top w:val="nil"/>
              <w:left w:val="nil"/>
              <w:bottom w:val="nil"/>
              <w:right w:val="nil"/>
            </w:tcBorders>
            <w:vAlign w:val="center"/>
          </w:tcPr>
          <w:p w14:paraId="2BFE68D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0.94</w:t>
            </w:r>
          </w:p>
        </w:tc>
        <w:tc>
          <w:tcPr>
            <w:tcW w:w="0" w:type="auto"/>
            <w:tcBorders>
              <w:top w:val="nil"/>
              <w:left w:val="nil"/>
              <w:bottom w:val="nil"/>
              <w:right w:val="nil"/>
            </w:tcBorders>
            <w:vAlign w:val="center"/>
          </w:tcPr>
          <w:p w14:paraId="5A086AC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.34**</w:t>
            </w:r>
          </w:p>
        </w:tc>
        <w:tc>
          <w:tcPr>
            <w:tcW w:w="0" w:type="auto"/>
            <w:tcBorders>
              <w:top w:val="nil"/>
              <w:left w:val="nil"/>
              <w:bottom w:val="nil"/>
              <w:right w:val="nil"/>
            </w:tcBorders>
            <w:vAlign w:val="center"/>
          </w:tcPr>
          <w:p w14:paraId="0FF42A8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.38**</w:t>
            </w:r>
          </w:p>
        </w:tc>
        <w:tc>
          <w:tcPr>
            <w:tcW w:w="0" w:type="auto"/>
            <w:tcBorders>
              <w:top w:val="nil"/>
              <w:left w:val="nil"/>
              <w:bottom w:val="nil"/>
              <w:right w:val="nil"/>
            </w:tcBorders>
            <w:vAlign w:val="center"/>
          </w:tcPr>
          <w:p w14:paraId="250F802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.48**</w:t>
            </w:r>
          </w:p>
        </w:tc>
        <w:tc>
          <w:tcPr>
            <w:tcW w:w="0" w:type="auto"/>
            <w:tcBorders>
              <w:top w:val="nil"/>
              <w:left w:val="nil"/>
              <w:bottom w:val="nil"/>
              <w:right w:val="nil"/>
            </w:tcBorders>
            <w:vAlign w:val="center"/>
          </w:tcPr>
          <w:p w14:paraId="5EB3A06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.49**</w:t>
            </w:r>
          </w:p>
        </w:tc>
      </w:tr>
      <w:tr w:rsidR="0073340A" w:rsidRPr="003B57EA" w14:paraId="5A24FFEE" w14:textId="77777777" w:rsidTr="007D2867">
        <w:tc>
          <w:tcPr>
            <w:tcW w:w="0" w:type="auto"/>
            <w:tcBorders>
              <w:top w:val="nil"/>
              <w:left w:val="nil"/>
              <w:bottom w:val="nil"/>
              <w:right w:val="nil"/>
            </w:tcBorders>
            <w:vAlign w:val="center"/>
          </w:tcPr>
          <w:p w14:paraId="1B4B98E3"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E350BA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40D526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E1DE9A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[.29, .39]</w:t>
            </w:r>
          </w:p>
        </w:tc>
        <w:tc>
          <w:tcPr>
            <w:tcW w:w="0" w:type="auto"/>
            <w:tcBorders>
              <w:top w:val="nil"/>
              <w:left w:val="nil"/>
              <w:bottom w:val="nil"/>
              <w:right w:val="nil"/>
            </w:tcBorders>
            <w:vAlign w:val="center"/>
          </w:tcPr>
          <w:p w14:paraId="3C991E5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 .43]</w:t>
            </w:r>
          </w:p>
        </w:tc>
        <w:tc>
          <w:tcPr>
            <w:tcW w:w="0" w:type="auto"/>
            <w:tcBorders>
              <w:top w:val="nil"/>
              <w:left w:val="nil"/>
              <w:bottom w:val="nil"/>
              <w:right w:val="nil"/>
            </w:tcBorders>
            <w:vAlign w:val="center"/>
          </w:tcPr>
          <w:p w14:paraId="592D6FF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[.43, .52]</w:t>
            </w:r>
          </w:p>
        </w:tc>
        <w:tc>
          <w:tcPr>
            <w:tcW w:w="0" w:type="auto"/>
            <w:tcBorders>
              <w:top w:val="nil"/>
              <w:left w:val="nil"/>
              <w:bottom w:val="nil"/>
              <w:right w:val="nil"/>
            </w:tcBorders>
            <w:vAlign w:val="center"/>
          </w:tcPr>
          <w:p w14:paraId="3F2DC68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[.45, .54]</w:t>
            </w:r>
          </w:p>
        </w:tc>
      </w:tr>
      <w:tr w:rsidR="0073340A" w:rsidRPr="003B57EA" w14:paraId="2AD4FF43" w14:textId="77777777" w:rsidTr="007D2867">
        <w:tc>
          <w:tcPr>
            <w:tcW w:w="0" w:type="auto"/>
            <w:tcBorders>
              <w:top w:val="nil"/>
              <w:left w:val="nil"/>
              <w:bottom w:val="nil"/>
              <w:right w:val="nil"/>
            </w:tcBorders>
            <w:vAlign w:val="center"/>
          </w:tcPr>
          <w:p w14:paraId="587B28B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7D6243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D371D4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66A1BF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FBF5B9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B28DA8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953B1B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2B20BA5B" w14:textId="77777777" w:rsidTr="007D2867">
        <w:tc>
          <w:tcPr>
            <w:tcW w:w="0" w:type="auto"/>
            <w:tcBorders>
              <w:top w:val="nil"/>
              <w:left w:val="nil"/>
              <w:bottom w:val="nil"/>
              <w:right w:val="nil"/>
            </w:tcBorders>
            <w:vAlign w:val="center"/>
          </w:tcPr>
          <w:p w14:paraId="48518202"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Escape</w:t>
            </w:r>
          </w:p>
        </w:tc>
        <w:tc>
          <w:tcPr>
            <w:tcW w:w="0" w:type="auto"/>
            <w:tcBorders>
              <w:top w:val="nil"/>
              <w:left w:val="nil"/>
              <w:bottom w:val="nil"/>
              <w:right w:val="nil"/>
            </w:tcBorders>
            <w:vAlign w:val="center"/>
          </w:tcPr>
          <w:p w14:paraId="79F56A4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2.02</w:t>
            </w:r>
          </w:p>
        </w:tc>
        <w:tc>
          <w:tcPr>
            <w:tcW w:w="0" w:type="auto"/>
            <w:tcBorders>
              <w:top w:val="nil"/>
              <w:left w:val="nil"/>
              <w:bottom w:val="nil"/>
              <w:right w:val="nil"/>
            </w:tcBorders>
            <w:vAlign w:val="center"/>
          </w:tcPr>
          <w:p w14:paraId="56FC1B8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1.00</w:t>
            </w:r>
          </w:p>
        </w:tc>
        <w:tc>
          <w:tcPr>
            <w:tcW w:w="0" w:type="auto"/>
            <w:tcBorders>
              <w:top w:val="nil"/>
              <w:left w:val="nil"/>
              <w:bottom w:val="nil"/>
              <w:right w:val="nil"/>
            </w:tcBorders>
            <w:vAlign w:val="center"/>
          </w:tcPr>
          <w:p w14:paraId="20B9318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.39**</w:t>
            </w:r>
          </w:p>
        </w:tc>
        <w:tc>
          <w:tcPr>
            <w:tcW w:w="0" w:type="auto"/>
            <w:tcBorders>
              <w:top w:val="nil"/>
              <w:left w:val="nil"/>
              <w:bottom w:val="nil"/>
              <w:right w:val="nil"/>
            </w:tcBorders>
            <w:vAlign w:val="center"/>
          </w:tcPr>
          <w:p w14:paraId="7BAD20C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.41**</w:t>
            </w:r>
          </w:p>
        </w:tc>
        <w:tc>
          <w:tcPr>
            <w:tcW w:w="0" w:type="auto"/>
            <w:tcBorders>
              <w:top w:val="nil"/>
              <w:left w:val="nil"/>
              <w:bottom w:val="nil"/>
              <w:right w:val="nil"/>
            </w:tcBorders>
            <w:vAlign w:val="center"/>
          </w:tcPr>
          <w:p w14:paraId="3BCFDA0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.58**</w:t>
            </w:r>
          </w:p>
        </w:tc>
        <w:tc>
          <w:tcPr>
            <w:tcW w:w="0" w:type="auto"/>
            <w:tcBorders>
              <w:top w:val="nil"/>
              <w:left w:val="nil"/>
              <w:bottom w:val="nil"/>
              <w:right w:val="nil"/>
            </w:tcBorders>
            <w:vAlign w:val="center"/>
          </w:tcPr>
          <w:p w14:paraId="2FECD12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.64**</w:t>
            </w:r>
          </w:p>
        </w:tc>
      </w:tr>
      <w:tr w:rsidR="0073340A" w:rsidRPr="003B57EA" w14:paraId="442482C8" w14:textId="77777777" w:rsidTr="007D2867">
        <w:tc>
          <w:tcPr>
            <w:tcW w:w="0" w:type="auto"/>
            <w:tcBorders>
              <w:top w:val="nil"/>
              <w:left w:val="nil"/>
              <w:bottom w:val="nil"/>
              <w:right w:val="nil"/>
            </w:tcBorders>
            <w:vAlign w:val="center"/>
          </w:tcPr>
          <w:p w14:paraId="219A1232"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EB8D98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47E40A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A82FF0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[.34, .44]</w:t>
            </w:r>
          </w:p>
        </w:tc>
        <w:tc>
          <w:tcPr>
            <w:tcW w:w="0" w:type="auto"/>
            <w:tcBorders>
              <w:top w:val="nil"/>
              <w:left w:val="nil"/>
              <w:bottom w:val="nil"/>
              <w:right w:val="nil"/>
            </w:tcBorders>
            <w:vAlign w:val="center"/>
          </w:tcPr>
          <w:p w14:paraId="0E7E06B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[.36, .46]</w:t>
            </w:r>
          </w:p>
        </w:tc>
        <w:tc>
          <w:tcPr>
            <w:tcW w:w="0" w:type="auto"/>
            <w:tcBorders>
              <w:top w:val="nil"/>
              <w:left w:val="nil"/>
              <w:bottom w:val="nil"/>
              <w:right w:val="nil"/>
            </w:tcBorders>
            <w:vAlign w:val="center"/>
          </w:tcPr>
          <w:p w14:paraId="13D427E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[.53, .61]</w:t>
            </w:r>
          </w:p>
        </w:tc>
        <w:tc>
          <w:tcPr>
            <w:tcW w:w="0" w:type="auto"/>
            <w:tcBorders>
              <w:top w:val="nil"/>
              <w:left w:val="nil"/>
              <w:bottom w:val="nil"/>
              <w:right w:val="nil"/>
            </w:tcBorders>
            <w:vAlign w:val="center"/>
          </w:tcPr>
          <w:p w14:paraId="4D0B435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[.60, .68]</w:t>
            </w:r>
          </w:p>
        </w:tc>
      </w:tr>
      <w:tr w:rsidR="0073340A" w:rsidRPr="003B57EA" w14:paraId="274A345B" w14:textId="77777777" w:rsidTr="007D2867">
        <w:tc>
          <w:tcPr>
            <w:tcW w:w="0" w:type="auto"/>
            <w:tcBorders>
              <w:top w:val="nil"/>
              <w:left w:val="nil"/>
              <w:bottom w:val="nil"/>
              <w:right w:val="nil"/>
            </w:tcBorders>
            <w:vAlign w:val="center"/>
          </w:tcPr>
          <w:p w14:paraId="47BA0261"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5FA274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8C1485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A0166B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2CE089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52B823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12F1BC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544F313E" w14:textId="77777777" w:rsidTr="007D2867">
        <w:tc>
          <w:tcPr>
            <w:tcW w:w="0" w:type="auto"/>
            <w:tcBorders>
              <w:top w:val="nil"/>
              <w:left w:val="nil"/>
              <w:bottom w:val="nil"/>
              <w:right w:val="nil"/>
            </w:tcBorders>
            <w:vAlign w:val="center"/>
          </w:tcPr>
          <w:p w14:paraId="64C75954"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Competition</w:t>
            </w:r>
          </w:p>
        </w:tc>
        <w:tc>
          <w:tcPr>
            <w:tcW w:w="0" w:type="auto"/>
            <w:tcBorders>
              <w:top w:val="nil"/>
              <w:left w:val="nil"/>
              <w:bottom w:val="nil"/>
              <w:right w:val="nil"/>
            </w:tcBorders>
            <w:vAlign w:val="center"/>
          </w:tcPr>
          <w:p w14:paraId="4EBAD64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2.34</w:t>
            </w:r>
          </w:p>
        </w:tc>
        <w:tc>
          <w:tcPr>
            <w:tcW w:w="0" w:type="auto"/>
            <w:tcBorders>
              <w:top w:val="nil"/>
              <w:left w:val="nil"/>
              <w:bottom w:val="nil"/>
              <w:right w:val="nil"/>
            </w:tcBorders>
            <w:vAlign w:val="center"/>
          </w:tcPr>
          <w:p w14:paraId="70BBA88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1.02</w:t>
            </w:r>
          </w:p>
        </w:tc>
        <w:tc>
          <w:tcPr>
            <w:tcW w:w="0" w:type="auto"/>
            <w:tcBorders>
              <w:top w:val="nil"/>
              <w:left w:val="nil"/>
              <w:bottom w:val="nil"/>
              <w:right w:val="nil"/>
            </w:tcBorders>
            <w:vAlign w:val="center"/>
          </w:tcPr>
          <w:p w14:paraId="6A3C2B9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.32**</w:t>
            </w:r>
          </w:p>
        </w:tc>
        <w:tc>
          <w:tcPr>
            <w:tcW w:w="0" w:type="auto"/>
            <w:tcBorders>
              <w:top w:val="nil"/>
              <w:left w:val="nil"/>
              <w:bottom w:val="nil"/>
              <w:right w:val="nil"/>
            </w:tcBorders>
            <w:vAlign w:val="center"/>
          </w:tcPr>
          <w:p w14:paraId="2161FC4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.30**</w:t>
            </w:r>
          </w:p>
        </w:tc>
        <w:tc>
          <w:tcPr>
            <w:tcW w:w="0" w:type="auto"/>
            <w:tcBorders>
              <w:top w:val="nil"/>
              <w:left w:val="nil"/>
              <w:bottom w:val="nil"/>
              <w:right w:val="nil"/>
            </w:tcBorders>
            <w:vAlign w:val="center"/>
          </w:tcPr>
          <w:p w14:paraId="47180C4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.47**</w:t>
            </w:r>
          </w:p>
        </w:tc>
        <w:tc>
          <w:tcPr>
            <w:tcW w:w="0" w:type="auto"/>
            <w:tcBorders>
              <w:top w:val="nil"/>
              <w:left w:val="nil"/>
              <w:bottom w:val="nil"/>
              <w:right w:val="nil"/>
            </w:tcBorders>
            <w:vAlign w:val="center"/>
          </w:tcPr>
          <w:p w14:paraId="009AF90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.44**</w:t>
            </w:r>
          </w:p>
        </w:tc>
      </w:tr>
      <w:tr w:rsidR="0073340A" w:rsidRPr="003B57EA" w14:paraId="08D9DB80" w14:textId="77777777" w:rsidTr="007D2867">
        <w:tc>
          <w:tcPr>
            <w:tcW w:w="0" w:type="auto"/>
            <w:tcBorders>
              <w:top w:val="nil"/>
              <w:left w:val="nil"/>
              <w:bottom w:val="nil"/>
              <w:right w:val="nil"/>
            </w:tcBorders>
            <w:vAlign w:val="center"/>
          </w:tcPr>
          <w:p w14:paraId="7D20F2DC"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411D75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B7EC9F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A1807B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[.26, .37]</w:t>
            </w:r>
          </w:p>
        </w:tc>
        <w:tc>
          <w:tcPr>
            <w:tcW w:w="0" w:type="auto"/>
            <w:tcBorders>
              <w:top w:val="nil"/>
              <w:left w:val="nil"/>
              <w:bottom w:val="nil"/>
              <w:right w:val="nil"/>
            </w:tcBorders>
            <w:vAlign w:val="center"/>
          </w:tcPr>
          <w:p w14:paraId="06EBD2D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[.25, .36]</w:t>
            </w:r>
          </w:p>
        </w:tc>
        <w:tc>
          <w:tcPr>
            <w:tcW w:w="0" w:type="auto"/>
            <w:tcBorders>
              <w:top w:val="nil"/>
              <w:left w:val="nil"/>
              <w:bottom w:val="nil"/>
              <w:right w:val="nil"/>
            </w:tcBorders>
            <w:vAlign w:val="center"/>
          </w:tcPr>
          <w:p w14:paraId="20053FB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[.42, .51]</w:t>
            </w:r>
          </w:p>
        </w:tc>
        <w:tc>
          <w:tcPr>
            <w:tcW w:w="0" w:type="auto"/>
            <w:tcBorders>
              <w:top w:val="nil"/>
              <w:left w:val="nil"/>
              <w:bottom w:val="nil"/>
              <w:right w:val="nil"/>
            </w:tcBorders>
            <w:vAlign w:val="center"/>
          </w:tcPr>
          <w:p w14:paraId="046A9B7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[.39, .49]</w:t>
            </w:r>
          </w:p>
        </w:tc>
      </w:tr>
      <w:tr w:rsidR="0073340A" w:rsidRPr="003B57EA" w14:paraId="3924A9C4" w14:textId="77777777" w:rsidTr="007D2867">
        <w:tc>
          <w:tcPr>
            <w:tcW w:w="0" w:type="auto"/>
            <w:tcBorders>
              <w:top w:val="nil"/>
              <w:left w:val="nil"/>
              <w:bottom w:val="nil"/>
              <w:right w:val="nil"/>
            </w:tcBorders>
            <w:vAlign w:val="center"/>
          </w:tcPr>
          <w:p w14:paraId="28C67FBD"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21F3F0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3C14F9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A18786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7D0DC7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2A7A10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3D90F1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2E1278B1" w14:textId="77777777" w:rsidTr="007D2867">
        <w:tc>
          <w:tcPr>
            <w:tcW w:w="0" w:type="auto"/>
            <w:tcBorders>
              <w:top w:val="nil"/>
              <w:left w:val="nil"/>
              <w:bottom w:val="nil"/>
              <w:right w:val="nil"/>
            </w:tcBorders>
            <w:vAlign w:val="center"/>
          </w:tcPr>
          <w:p w14:paraId="4E9197D3"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Coping</w:t>
            </w:r>
          </w:p>
        </w:tc>
        <w:tc>
          <w:tcPr>
            <w:tcW w:w="0" w:type="auto"/>
            <w:tcBorders>
              <w:top w:val="nil"/>
              <w:left w:val="nil"/>
              <w:bottom w:val="nil"/>
              <w:right w:val="nil"/>
            </w:tcBorders>
            <w:vAlign w:val="center"/>
          </w:tcPr>
          <w:p w14:paraId="427A486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2.17</w:t>
            </w:r>
          </w:p>
        </w:tc>
        <w:tc>
          <w:tcPr>
            <w:tcW w:w="0" w:type="auto"/>
            <w:tcBorders>
              <w:top w:val="nil"/>
              <w:left w:val="nil"/>
              <w:bottom w:val="nil"/>
              <w:right w:val="nil"/>
            </w:tcBorders>
            <w:vAlign w:val="center"/>
          </w:tcPr>
          <w:p w14:paraId="68386D9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0.94</w:t>
            </w:r>
          </w:p>
        </w:tc>
        <w:tc>
          <w:tcPr>
            <w:tcW w:w="0" w:type="auto"/>
            <w:tcBorders>
              <w:top w:val="nil"/>
              <w:left w:val="nil"/>
              <w:bottom w:val="nil"/>
              <w:right w:val="nil"/>
            </w:tcBorders>
            <w:vAlign w:val="center"/>
          </w:tcPr>
          <w:p w14:paraId="57D0E8F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.38**</w:t>
            </w:r>
          </w:p>
        </w:tc>
        <w:tc>
          <w:tcPr>
            <w:tcW w:w="0" w:type="auto"/>
            <w:tcBorders>
              <w:top w:val="nil"/>
              <w:left w:val="nil"/>
              <w:bottom w:val="nil"/>
              <w:right w:val="nil"/>
            </w:tcBorders>
            <w:vAlign w:val="center"/>
          </w:tcPr>
          <w:p w14:paraId="0486EF0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.47**</w:t>
            </w:r>
          </w:p>
        </w:tc>
        <w:tc>
          <w:tcPr>
            <w:tcW w:w="0" w:type="auto"/>
            <w:tcBorders>
              <w:top w:val="nil"/>
              <w:left w:val="nil"/>
              <w:bottom w:val="nil"/>
              <w:right w:val="nil"/>
            </w:tcBorders>
            <w:vAlign w:val="center"/>
          </w:tcPr>
          <w:p w14:paraId="478DA7F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.54**</w:t>
            </w:r>
          </w:p>
        </w:tc>
        <w:tc>
          <w:tcPr>
            <w:tcW w:w="0" w:type="auto"/>
            <w:tcBorders>
              <w:top w:val="nil"/>
              <w:left w:val="nil"/>
              <w:bottom w:val="nil"/>
              <w:right w:val="nil"/>
            </w:tcBorders>
            <w:vAlign w:val="center"/>
          </w:tcPr>
          <w:p w14:paraId="20711A8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.71**</w:t>
            </w:r>
          </w:p>
        </w:tc>
      </w:tr>
      <w:tr w:rsidR="0073340A" w:rsidRPr="003B57EA" w14:paraId="78265DBC" w14:textId="77777777" w:rsidTr="007D2867">
        <w:tc>
          <w:tcPr>
            <w:tcW w:w="0" w:type="auto"/>
            <w:tcBorders>
              <w:top w:val="nil"/>
              <w:left w:val="nil"/>
              <w:bottom w:val="nil"/>
              <w:right w:val="nil"/>
            </w:tcBorders>
            <w:vAlign w:val="center"/>
          </w:tcPr>
          <w:p w14:paraId="15ACF020"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lastRenderedPageBreak/>
              <w:t xml:space="preserve"> </w:t>
            </w:r>
          </w:p>
        </w:tc>
        <w:tc>
          <w:tcPr>
            <w:tcW w:w="0" w:type="auto"/>
            <w:tcBorders>
              <w:top w:val="nil"/>
              <w:left w:val="nil"/>
              <w:bottom w:val="nil"/>
              <w:right w:val="nil"/>
            </w:tcBorders>
            <w:vAlign w:val="center"/>
          </w:tcPr>
          <w:p w14:paraId="2684BC9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D43B2D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930AE9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 .43]</w:t>
            </w:r>
          </w:p>
        </w:tc>
        <w:tc>
          <w:tcPr>
            <w:tcW w:w="0" w:type="auto"/>
            <w:tcBorders>
              <w:top w:val="nil"/>
              <w:left w:val="nil"/>
              <w:bottom w:val="nil"/>
              <w:right w:val="nil"/>
            </w:tcBorders>
            <w:vAlign w:val="center"/>
          </w:tcPr>
          <w:p w14:paraId="1BA75B9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[.42, .52]</w:t>
            </w:r>
          </w:p>
        </w:tc>
        <w:tc>
          <w:tcPr>
            <w:tcW w:w="0" w:type="auto"/>
            <w:tcBorders>
              <w:top w:val="nil"/>
              <w:left w:val="nil"/>
              <w:bottom w:val="nil"/>
              <w:right w:val="nil"/>
            </w:tcBorders>
            <w:vAlign w:val="center"/>
          </w:tcPr>
          <w:p w14:paraId="7E72275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[.49, .58]</w:t>
            </w:r>
          </w:p>
        </w:tc>
        <w:tc>
          <w:tcPr>
            <w:tcW w:w="0" w:type="auto"/>
            <w:tcBorders>
              <w:top w:val="nil"/>
              <w:left w:val="nil"/>
              <w:bottom w:val="nil"/>
              <w:right w:val="nil"/>
            </w:tcBorders>
            <w:vAlign w:val="center"/>
          </w:tcPr>
          <w:p w14:paraId="7C5C333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[.68, .74]</w:t>
            </w:r>
          </w:p>
        </w:tc>
      </w:tr>
      <w:tr w:rsidR="0073340A" w:rsidRPr="003B57EA" w14:paraId="6BE0BB58" w14:textId="77777777" w:rsidTr="007D2867">
        <w:tc>
          <w:tcPr>
            <w:tcW w:w="0" w:type="auto"/>
            <w:tcBorders>
              <w:top w:val="nil"/>
              <w:left w:val="nil"/>
              <w:bottom w:val="nil"/>
              <w:right w:val="nil"/>
            </w:tcBorders>
            <w:vAlign w:val="center"/>
          </w:tcPr>
          <w:p w14:paraId="72E6E683"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F261B1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3EAF43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7A6A84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F93B47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0801EC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E29FD2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2B4A3652" w14:textId="77777777" w:rsidTr="007D2867">
        <w:tc>
          <w:tcPr>
            <w:tcW w:w="0" w:type="auto"/>
            <w:tcBorders>
              <w:top w:val="nil"/>
              <w:left w:val="nil"/>
              <w:bottom w:val="nil"/>
              <w:right w:val="nil"/>
            </w:tcBorders>
            <w:vAlign w:val="center"/>
          </w:tcPr>
          <w:p w14:paraId="27800F70"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Skill development</w:t>
            </w:r>
          </w:p>
        </w:tc>
        <w:tc>
          <w:tcPr>
            <w:tcW w:w="0" w:type="auto"/>
            <w:tcBorders>
              <w:top w:val="nil"/>
              <w:left w:val="nil"/>
              <w:bottom w:val="nil"/>
              <w:right w:val="nil"/>
            </w:tcBorders>
            <w:vAlign w:val="center"/>
          </w:tcPr>
          <w:p w14:paraId="76DD07E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2.15</w:t>
            </w:r>
          </w:p>
        </w:tc>
        <w:tc>
          <w:tcPr>
            <w:tcW w:w="0" w:type="auto"/>
            <w:tcBorders>
              <w:top w:val="nil"/>
              <w:left w:val="nil"/>
              <w:bottom w:val="nil"/>
              <w:right w:val="nil"/>
            </w:tcBorders>
            <w:vAlign w:val="center"/>
          </w:tcPr>
          <w:p w14:paraId="18848541"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1.03</w:t>
            </w:r>
          </w:p>
        </w:tc>
        <w:tc>
          <w:tcPr>
            <w:tcW w:w="0" w:type="auto"/>
            <w:tcBorders>
              <w:top w:val="nil"/>
              <w:left w:val="nil"/>
              <w:bottom w:val="nil"/>
              <w:right w:val="nil"/>
            </w:tcBorders>
            <w:vAlign w:val="center"/>
          </w:tcPr>
          <w:p w14:paraId="2EF8D6C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.23**</w:t>
            </w:r>
          </w:p>
        </w:tc>
        <w:tc>
          <w:tcPr>
            <w:tcW w:w="0" w:type="auto"/>
            <w:tcBorders>
              <w:top w:val="nil"/>
              <w:left w:val="nil"/>
              <w:bottom w:val="nil"/>
              <w:right w:val="nil"/>
            </w:tcBorders>
            <w:vAlign w:val="center"/>
          </w:tcPr>
          <w:p w14:paraId="1B541A5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w:t>
            </w:r>
          </w:p>
        </w:tc>
        <w:tc>
          <w:tcPr>
            <w:tcW w:w="0" w:type="auto"/>
            <w:tcBorders>
              <w:top w:val="nil"/>
              <w:left w:val="nil"/>
              <w:bottom w:val="nil"/>
              <w:right w:val="nil"/>
            </w:tcBorders>
            <w:vAlign w:val="center"/>
          </w:tcPr>
          <w:p w14:paraId="048315C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.37**</w:t>
            </w:r>
          </w:p>
        </w:tc>
        <w:tc>
          <w:tcPr>
            <w:tcW w:w="0" w:type="auto"/>
            <w:tcBorders>
              <w:top w:val="nil"/>
              <w:left w:val="nil"/>
              <w:bottom w:val="nil"/>
              <w:right w:val="nil"/>
            </w:tcBorders>
            <w:vAlign w:val="center"/>
          </w:tcPr>
          <w:p w14:paraId="33E6760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.49**</w:t>
            </w:r>
          </w:p>
        </w:tc>
      </w:tr>
      <w:tr w:rsidR="0073340A" w:rsidRPr="003B57EA" w14:paraId="71CF10DF" w14:textId="77777777" w:rsidTr="007D2867">
        <w:tc>
          <w:tcPr>
            <w:tcW w:w="0" w:type="auto"/>
            <w:tcBorders>
              <w:top w:val="nil"/>
              <w:left w:val="nil"/>
              <w:bottom w:val="nil"/>
              <w:right w:val="nil"/>
            </w:tcBorders>
            <w:vAlign w:val="center"/>
          </w:tcPr>
          <w:p w14:paraId="5912AA7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3C22D71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FA3A11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366FD1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 .29]</w:t>
            </w:r>
          </w:p>
        </w:tc>
        <w:tc>
          <w:tcPr>
            <w:tcW w:w="0" w:type="auto"/>
            <w:tcBorders>
              <w:top w:val="nil"/>
              <w:left w:val="nil"/>
              <w:bottom w:val="nil"/>
              <w:right w:val="nil"/>
            </w:tcBorders>
            <w:vAlign w:val="center"/>
          </w:tcPr>
          <w:p w14:paraId="0108352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[.28, .39]</w:t>
            </w:r>
          </w:p>
        </w:tc>
        <w:tc>
          <w:tcPr>
            <w:tcW w:w="0" w:type="auto"/>
            <w:tcBorders>
              <w:top w:val="nil"/>
              <w:left w:val="nil"/>
              <w:bottom w:val="nil"/>
              <w:right w:val="nil"/>
            </w:tcBorders>
            <w:vAlign w:val="center"/>
          </w:tcPr>
          <w:p w14:paraId="32EAB0F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[.32, .42]</w:t>
            </w:r>
          </w:p>
        </w:tc>
        <w:tc>
          <w:tcPr>
            <w:tcW w:w="0" w:type="auto"/>
            <w:tcBorders>
              <w:top w:val="nil"/>
              <w:left w:val="nil"/>
              <w:bottom w:val="nil"/>
              <w:right w:val="nil"/>
            </w:tcBorders>
            <w:vAlign w:val="center"/>
          </w:tcPr>
          <w:p w14:paraId="7093D13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[.44, .53]</w:t>
            </w:r>
          </w:p>
        </w:tc>
      </w:tr>
      <w:tr w:rsidR="0073340A" w:rsidRPr="003B57EA" w14:paraId="119375B7" w14:textId="77777777" w:rsidTr="007D2867">
        <w:tc>
          <w:tcPr>
            <w:tcW w:w="0" w:type="auto"/>
            <w:tcBorders>
              <w:top w:val="nil"/>
              <w:left w:val="nil"/>
              <w:bottom w:val="nil"/>
              <w:right w:val="nil"/>
            </w:tcBorders>
            <w:vAlign w:val="center"/>
          </w:tcPr>
          <w:p w14:paraId="2FC73F6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9D8777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06CAFC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4A150E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6BAA347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BABA50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2E7CC4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398B4663" w14:textId="77777777" w:rsidTr="007D2867">
        <w:tc>
          <w:tcPr>
            <w:tcW w:w="0" w:type="auto"/>
            <w:tcBorders>
              <w:top w:val="nil"/>
              <w:left w:val="nil"/>
              <w:bottom w:val="nil"/>
              <w:right w:val="nil"/>
            </w:tcBorders>
            <w:vAlign w:val="center"/>
          </w:tcPr>
          <w:p w14:paraId="6117A561"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Fantasy</w:t>
            </w:r>
          </w:p>
        </w:tc>
        <w:tc>
          <w:tcPr>
            <w:tcW w:w="0" w:type="auto"/>
            <w:tcBorders>
              <w:top w:val="nil"/>
              <w:left w:val="nil"/>
              <w:bottom w:val="nil"/>
              <w:right w:val="nil"/>
            </w:tcBorders>
            <w:vAlign w:val="center"/>
          </w:tcPr>
          <w:p w14:paraId="6330580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1.91</w:t>
            </w:r>
          </w:p>
        </w:tc>
        <w:tc>
          <w:tcPr>
            <w:tcW w:w="0" w:type="auto"/>
            <w:tcBorders>
              <w:top w:val="nil"/>
              <w:left w:val="nil"/>
              <w:bottom w:val="nil"/>
              <w:right w:val="nil"/>
            </w:tcBorders>
            <w:vAlign w:val="center"/>
          </w:tcPr>
          <w:p w14:paraId="50AEAE1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0.97</w:t>
            </w:r>
          </w:p>
        </w:tc>
        <w:tc>
          <w:tcPr>
            <w:tcW w:w="0" w:type="auto"/>
            <w:tcBorders>
              <w:top w:val="nil"/>
              <w:left w:val="nil"/>
              <w:bottom w:val="nil"/>
              <w:right w:val="nil"/>
            </w:tcBorders>
            <w:vAlign w:val="center"/>
          </w:tcPr>
          <w:p w14:paraId="585940C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.34**</w:t>
            </w:r>
          </w:p>
        </w:tc>
        <w:tc>
          <w:tcPr>
            <w:tcW w:w="0" w:type="auto"/>
            <w:tcBorders>
              <w:top w:val="nil"/>
              <w:left w:val="nil"/>
              <w:bottom w:val="nil"/>
              <w:right w:val="nil"/>
            </w:tcBorders>
            <w:vAlign w:val="center"/>
          </w:tcPr>
          <w:p w14:paraId="73171AB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.33**</w:t>
            </w:r>
          </w:p>
        </w:tc>
        <w:tc>
          <w:tcPr>
            <w:tcW w:w="0" w:type="auto"/>
            <w:tcBorders>
              <w:top w:val="nil"/>
              <w:left w:val="nil"/>
              <w:bottom w:val="nil"/>
              <w:right w:val="nil"/>
            </w:tcBorders>
            <w:vAlign w:val="center"/>
          </w:tcPr>
          <w:p w14:paraId="5869959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.52**</w:t>
            </w:r>
          </w:p>
        </w:tc>
        <w:tc>
          <w:tcPr>
            <w:tcW w:w="0" w:type="auto"/>
            <w:tcBorders>
              <w:top w:val="nil"/>
              <w:left w:val="nil"/>
              <w:bottom w:val="nil"/>
              <w:right w:val="nil"/>
            </w:tcBorders>
            <w:vAlign w:val="center"/>
          </w:tcPr>
          <w:p w14:paraId="659C558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.50**</w:t>
            </w:r>
          </w:p>
        </w:tc>
      </w:tr>
      <w:tr w:rsidR="0073340A" w:rsidRPr="003B57EA" w14:paraId="448A6DAE" w14:textId="77777777" w:rsidTr="007D2867">
        <w:tc>
          <w:tcPr>
            <w:tcW w:w="0" w:type="auto"/>
            <w:tcBorders>
              <w:top w:val="nil"/>
              <w:left w:val="nil"/>
              <w:bottom w:val="nil"/>
              <w:right w:val="nil"/>
            </w:tcBorders>
            <w:vAlign w:val="center"/>
          </w:tcPr>
          <w:p w14:paraId="2F180BF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890184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B0097A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0C6305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[.29, .39]</w:t>
            </w:r>
          </w:p>
        </w:tc>
        <w:tc>
          <w:tcPr>
            <w:tcW w:w="0" w:type="auto"/>
            <w:tcBorders>
              <w:top w:val="nil"/>
              <w:left w:val="nil"/>
              <w:bottom w:val="nil"/>
              <w:right w:val="nil"/>
            </w:tcBorders>
            <w:vAlign w:val="center"/>
          </w:tcPr>
          <w:p w14:paraId="0E3A4C0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[.27, .38]</w:t>
            </w:r>
          </w:p>
        </w:tc>
        <w:tc>
          <w:tcPr>
            <w:tcW w:w="0" w:type="auto"/>
            <w:tcBorders>
              <w:top w:val="nil"/>
              <w:left w:val="nil"/>
              <w:bottom w:val="nil"/>
              <w:right w:val="nil"/>
            </w:tcBorders>
            <w:vAlign w:val="center"/>
          </w:tcPr>
          <w:p w14:paraId="6D84A0F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[.47, .56]</w:t>
            </w:r>
          </w:p>
        </w:tc>
        <w:tc>
          <w:tcPr>
            <w:tcW w:w="0" w:type="auto"/>
            <w:tcBorders>
              <w:top w:val="nil"/>
              <w:left w:val="nil"/>
              <w:bottom w:val="nil"/>
              <w:right w:val="nil"/>
            </w:tcBorders>
            <w:vAlign w:val="center"/>
          </w:tcPr>
          <w:p w14:paraId="1420AC9B"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[.46, .55]</w:t>
            </w:r>
          </w:p>
        </w:tc>
      </w:tr>
      <w:tr w:rsidR="0073340A" w:rsidRPr="003B57EA" w14:paraId="63189152" w14:textId="77777777" w:rsidTr="007D2867">
        <w:tc>
          <w:tcPr>
            <w:tcW w:w="0" w:type="auto"/>
            <w:tcBorders>
              <w:top w:val="nil"/>
              <w:left w:val="nil"/>
              <w:bottom w:val="nil"/>
              <w:right w:val="nil"/>
            </w:tcBorders>
            <w:vAlign w:val="center"/>
          </w:tcPr>
          <w:p w14:paraId="0D9E8EF8"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6DF830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7B19F13"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43049F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1B93173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4EEB4E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49F01E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03066064" w14:textId="77777777" w:rsidTr="007D2867">
        <w:tc>
          <w:tcPr>
            <w:tcW w:w="0" w:type="auto"/>
            <w:tcBorders>
              <w:top w:val="nil"/>
              <w:left w:val="nil"/>
              <w:bottom w:val="nil"/>
              <w:right w:val="nil"/>
            </w:tcBorders>
            <w:vAlign w:val="center"/>
          </w:tcPr>
          <w:p w14:paraId="408BDC8B"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Recreation</w:t>
            </w:r>
          </w:p>
        </w:tc>
        <w:tc>
          <w:tcPr>
            <w:tcW w:w="0" w:type="auto"/>
            <w:tcBorders>
              <w:top w:val="nil"/>
              <w:left w:val="nil"/>
              <w:bottom w:val="nil"/>
              <w:right w:val="nil"/>
            </w:tcBorders>
            <w:vAlign w:val="center"/>
          </w:tcPr>
          <w:p w14:paraId="50988D99"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3.25</w:t>
            </w:r>
          </w:p>
        </w:tc>
        <w:tc>
          <w:tcPr>
            <w:tcW w:w="0" w:type="auto"/>
            <w:tcBorders>
              <w:top w:val="nil"/>
              <w:left w:val="nil"/>
              <w:bottom w:val="nil"/>
              <w:right w:val="nil"/>
            </w:tcBorders>
            <w:vAlign w:val="center"/>
          </w:tcPr>
          <w:p w14:paraId="077CFCE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1.15</w:t>
            </w:r>
          </w:p>
        </w:tc>
        <w:tc>
          <w:tcPr>
            <w:tcW w:w="0" w:type="auto"/>
            <w:tcBorders>
              <w:top w:val="nil"/>
              <w:left w:val="nil"/>
              <w:bottom w:val="nil"/>
              <w:right w:val="nil"/>
            </w:tcBorders>
            <w:vAlign w:val="center"/>
          </w:tcPr>
          <w:p w14:paraId="60FEE6F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.13**</w:t>
            </w:r>
          </w:p>
        </w:tc>
        <w:tc>
          <w:tcPr>
            <w:tcW w:w="0" w:type="auto"/>
            <w:tcBorders>
              <w:top w:val="nil"/>
              <w:left w:val="nil"/>
              <w:bottom w:val="nil"/>
              <w:right w:val="nil"/>
            </w:tcBorders>
            <w:vAlign w:val="center"/>
          </w:tcPr>
          <w:p w14:paraId="2DF02CD0"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.31**</w:t>
            </w:r>
          </w:p>
        </w:tc>
        <w:tc>
          <w:tcPr>
            <w:tcW w:w="0" w:type="auto"/>
            <w:tcBorders>
              <w:top w:val="nil"/>
              <w:left w:val="nil"/>
              <w:bottom w:val="nil"/>
              <w:right w:val="nil"/>
            </w:tcBorders>
            <w:vAlign w:val="center"/>
          </w:tcPr>
          <w:p w14:paraId="71F3E42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.21**</w:t>
            </w:r>
          </w:p>
        </w:tc>
        <w:tc>
          <w:tcPr>
            <w:tcW w:w="0" w:type="auto"/>
            <w:tcBorders>
              <w:top w:val="nil"/>
              <w:left w:val="nil"/>
              <w:bottom w:val="nil"/>
              <w:right w:val="nil"/>
            </w:tcBorders>
            <w:vAlign w:val="center"/>
          </w:tcPr>
          <w:p w14:paraId="34859087"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.46**</w:t>
            </w:r>
          </w:p>
        </w:tc>
      </w:tr>
      <w:tr w:rsidR="0073340A" w:rsidRPr="003B57EA" w14:paraId="479D46F7" w14:textId="77777777" w:rsidTr="007D2867">
        <w:tc>
          <w:tcPr>
            <w:tcW w:w="0" w:type="auto"/>
            <w:tcBorders>
              <w:top w:val="nil"/>
              <w:left w:val="nil"/>
              <w:bottom w:val="nil"/>
              <w:right w:val="nil"/>
            </w:tcBorders>
            <w:vAlign w:val="center"/>
          </w:tcPr>
          <w:p w14:paraId="26AC8B89"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4471CAE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C810ED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E23975D"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[.07, .19]</w:t>
            </w:r>
          </w:p>
        </w:tc>
        <w:tc>
          <w:tcPr>
            <w:tcW w:w="0" w:type="auto"/>
            <w:tcBorders>
              <w:top w:val="nil"/>
              <w:left w:val="nil"/>
              <w:bottom w:val="nil"/>
              <w:right w:val="nil"/>
            </w:tcBorders>
            <w:vAlign w:val="center"/>
          </w:tcPr>
          <w:p w14:paraId="1672A04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[.25, .36]</w:t>
            </w:r>
          </w:p>
        </w:tc>
        <w:tc>
          <w:tcPr>
            <w:tcW w:w="0" w:type="auto"/>
            <w:tcBorders>
              <w:top w:val="nil"/>
              <w:left w:val="nil"/>
              <w:bottom w:val="nil"/>
              <w:right w:val="nil"/>
            </w:tcBorders>
            <w:vAlign w:val="center"/>
          </w:tcPr>
          <w:p w14:paraId="467BA74C"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[.15, .26]</w:t>
            </w:r>
          </w:p>
        </w:tc>
        <w:tc>
          <w:tcPr>
            <w:tcW w:w="0" w:type="auto"/>
            <w:tcBorders>
              <w:top w:val="nil"/>
              <w:left w:val="nil"/>
              <w:bottom w:val="nil"/>
              <w:right w:val="nil"/>
            </w:tcBorders>
            <w:vAlign w:val="center"/>
          </w:tcPr>
          <w:p w14:paraId="10CDF0D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[.41, .51]</w:t>
            </w:r>
          </w:p>
        </w:tc>
      </w:tr>
      <w:tr w:rsidR="0073340A" w:rsidRPr="003B57EA" w14:paraId="4B6035A8" w14:textId="77777777" w:rsidTr="007D2867">
        <w:tc>
          <w:tcPr>
            <w:tcW w:w="0" w:type="auto"/>
            <w:tcBorders>
              <w:top w:val="nil"/>
              <w:left w:val="nil"/>
              <w:bottom w:val="nil"/>
              <w:right w:val="nil"/>
            </w:tcBorders>
            <w:vAlign w:val="center"/>
          </w:tcPr>
          <w:p w14:paraId="77B849EB" w14:textId="77777777" w:rsidR="0073340A" w:rsidRPr="003B57EA" w:rsidRDefault="0073340A" w:rsidP="007D2867">
            <w:pPr>
              <w:widowControl w:val="0"/>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73F8B48E"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73392EA"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0097E11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5DA21CA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F31CD1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c>
          <w:tcPr>
            <w:tcW w:w="0" w:type="auto"/>
            <w:tcBorders>
              <w:top w:val="nil"/>
              <w:left w:val="nil"/>
              <w:bottom w:val="nil"/>
              <w:right w:val="nil"/>
            </w:tcBorders>
            <w:vAlign w:val="center"/>
          </w:tcPr>
          <w:p w14:paraId="2496E1C6"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 xml:space="preserve"> </w:t>
            </w:r>
          </w:p>
        </w:tc>
      </w:tr>
      <w:tr w:rsidR="0073340A" w:rsidRPr="003B57EA" w14:paraId="77E6E3B2" w14:textId="77777777" w:rsidTr="007D2867">
        <w:tc>
          <w:tcPr>
            <w:tcW w:w="0" w:type="auto"/>
            <w:tcBorders>
              <w:top w:val="nil"/>
              <w:left w:val="nil"/>
              <w:bottom w:val="single" w:sz="6" w:space="0" w:color="auto"/>
              <w:right w:val="nil"/>
            </w:tcBorders>
            <w:vAlign w:val="center"/>
          </w:tcPr>
          <w:p w14:paraId="44F747DF" w14:textId="77777777" w:rsidR="0073340A" w:rsidRPr="003B57EA" w:rsidRDefault="0073340A" w:rsidP="007D2867">
            <w:pPr>
              <w:widowControl w:val="0"/>
              <w:autoSpaceDE w:val="0"/>
              <w:autoSpaceDN w:val="0"/>
              <w:adjustRightInd w:val="0"/>
              <w:jc w:val="right"/>
              <w:rPr>
                <w:rFonts w:asciiTheme="majorBidi" w:hAnsiTheme="majorBidi"/>
                <w:i/>
                <w:iCs/>
                <w:sz w:val="22"/>
                <w:szCs w:val="22"/>
              </w:rPr>
            </w:pPr>
            <w:r w:rsidRPr="003B57EA">
              <w:rPr>
                <w:rFonts w:asciiTheme="majorBidi" w:hAnsiTheme="majorBidi"/>
                <w:i/>
                <w:iCs/>
                <w:sz w:val="22"/>
                <w:szCs w:val="22"/>
              </w:rPr>
              <w:t>M (SD)</w:t>
            </w:r>
          </w:p>
        </w:tc>
        <w:tc>
          <w:tcPr>
            <w:tcW w:w="0" w:type="auto"/>
            <w:tcBorders>
              <w:top w:val="nil"/>
              <w:left w:val="nil"/>
              <w:bottom w:val="single" w:sz="6" w:space="0" w:color="auto"/>
              <w:right w:val="nil"/>
            </w:tcBorders>
            <w:vAlign w:val="center"/>
          </w:tcPr>
          <w:p w14:paraId="5D8D07AF"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p>
        </w:tc>
        <w:tc>
          <w:tcPr>
            <w:tcW w:w="0" w:type="auto"/>
            <w:tcBorders>
              <w:top w:val="nil"/>
              <w:left w:val="nil"/>
              <w:bottom w:val="single" w:sz="6" w:space="0" w:color="auto"/>
              <w:right w:val="nil"/>
            </w:tcBorders>
            <w:vAlign w:val="center"/>
          </w:tcPr>
          <w:p w14:paraId="066C9DF8"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p>
        </w:tc>
        <w:tc>
          <w:tcPr>
            <w:tcW w:w="0" w:type="auto"/>
            <w:tcBorders>
              <w:top w:val="nil"/>
              <w:left w:val="nil"/>
              <w:bottom w:val="single" w:sz="6" w:space="0" w:color="auto"/>
              <w:right w:val="nil"/>
            </w:tcBorders>
            <w:vAlign w:val="center"/>
          </w:tcPr>
          <w:p w14:paraId="0FF4DAF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1.80 (0.60)</w:t>
            </w:r>
          </w:p>
        </w:tc>
        <w:tc>
          <w:tcPr>
            <w:tcW w:w="0" w:type="auto"/>
            <w:tcBorders>
              <w:top w:val="nil"/>
              <w:left w:val="nil"/>
              <w:bottom w:val="single" w:sz="6" w:space="0" w:color="auto"/>
              <w:right w:val="nil"/>
            </w:tcBorders>
            <w:vAlign w:val="center"/>
          </w:tcPr>
          <w:p w14:paraId="3F80B4C2"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2.10 (0.72)</w:t>
            </w:r>
          </w:p>
        </w:tc>
        <w:tc>
          <w:tcPr>
            <w:tcW w:w="0" w:type="auto"/>
            <w:tcBorders>
              <w:top w:val="nil"/>
              <w:left w:val="nil"/>
              <w:bottom w:val="single" w:sz="6" w:space="0" w:color="auto"/>
              <w:right w:val="nil"/>
            </w:tcBorders>
            <w:vAlign w:val="center"/>
          </w:tcPr>
          <w:p w14:paraId="47A34274"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1.79 (0.62)</w:t>
            </w:r>
          </w:p>
        </w:tc>
        <w:tc>
          <w:tcPr>
            <w:tcW w:w="0" w:type="auto"/>
            <w:tcBorders>
              <w:top w:val="nil"/>
              <w:left w:val="nil"/>
              <w:bottom w:val="single" w:sz="6" w:space="0" w:color="auto"/>
              <w:right w:val="nil"/>
            </w:tcBorders>
            <w:vAlign w:val="center"/>
          </w:tcPr>
          <w:p w14:paraId="5D393D05" w14:textId="77777777" w:rsidR="0073340A" w:rsidRPr="003B57EA" w:rsidRDefault="0073340A" w:rsidP="007D2867">
            <w:pPr>
              <w:widowControl w:val="0"/>
              <w:tabs>
                <w:tab w:val="decimal" w:leader="dot" w:pos="428"/>
              </w:tabs>
              <w:autoSpaceDE w:val="0"/>
              <w:autoSpaceDN w:val="0"/>
              <w:adjustRightInd w:val="0"/>
              <w:rPr>
                <w:rFonts w:asciiTheme="majorBidi" w:hAnsiTheme="majorBidi"/>
                <w:sz w:val="22"/>
                <w:szCs w:val="22"/>
              </w:rPr>
            </w:pPr>
            <w:r w:rsidRPr="003B57EA">
              <w:rPr>
                <w:rFonts w:asciiTheme="majorBidi" w:hAnsiTheme="majorBidi"/>
                <w:sz w:val="22"/>
                <w:szCs w:val="22"/>
              </w:rPr>
              <w:t>2.13 (0.74)</w:t>
            </w:r>
          </w:p>
        </w:tc>
      </w:tr>
    </w:tbl>
    <w:p w14:paraId="6FBA1FAB" w14:textId="77777777" w:rsidR="0073340A" w:rsidRPr="003B57EA" w:rsidRDefault="0073340A" w:rsidP="0073340A">
      <w:pPr>
        <w:widowControl w:val="0"/>
        <w:autoSpaceDE w:val="0"/>
        <w:autoSpaceDN w:val="0"/>
        <w:adjustRightInd w:val="0"/>
      </w:pPr>
    </w:p>
    <w:p w14:paraId="525DD4A3" w14:textId="77777777" w:rsidR="0073340A" w:rsidRPr="003B57EA" w:rsidRDefault="0073340A" w:rsidP="0073340A">
      <w:pPr>
        <w:widowControl w:val="0"/>
        <w:autoSpaceDE w:val="0"/>
        <w:autoSpaceDN w:val="0"/>
        <w:adjustRightInd w:val="0"/>
      </w:pPr>
      <w:r w:rsidRPr="003B57EA">
        <w:rPr>
          <w:i/>
          <w:iCs/>
        </w:rPr>
        <w:t>Note.</w:t>
      </w:r>
      <w:r w:rsidRPr="003B57EA">
        <w:t xml:space="preserve"> </w:t>
      </w:r>
      <w:r w:rsidRPr="003B57EA">
        <w:rPr>
          <w:i/>
          <w:iCs/>
        </w:rPr>
        <w:t>M</w:t>
      </w:r>
      <w:r w:rsidRPr="003B57EA">
        <w:t xml:space="preserve"> and </w:t>
      </w:r>
      <w:r w:rsidRPr="003B57EA">
        <w:rPr>
          <w:i/>
          <w:iCs/>
        </w:rPr>
        <w:t>SD</w:t>
      </w:r>
      <w:r w:rsidRPr="003B57EA">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w:t>
      </w:r>
      <w:proofErr w:type="gramStart"/>
      <w:r w:rsidRPr="003B57EA">
        <w:t>indicates</w:t>
      </w:r>
      <w:proofErr w:type="gramEnd"/>
      <w:r w:rsidRPr="003B57EA">
        <w:t xml:space="preserve"> </w:t>
      </w:r>
      <w:r w:rsidRPr="003B57EA">
        <w:rPr>
          <w:i/>
          <w:iCs/>
        </w:rPr>
        <w:t>p</w:t>
      </w:r>
      <w:r w:rsidRPr="003B57EA">
        <w:t xml:space="preserve"> &lt; .05. ** indicates </w:t>
      </w:r>
      <w:r w:rsidRPr="003B57EA">
        <w:rPr>
          <w:i/>
          <w:iCs/>
        </w:rPr>
        <w:t>p</w:t>
      </w:r>
      <w:r w:rsidRPr="003B57EA">
        <w:t xml:space="preserve"> &lt; .01.</w:t>
      </w:r>
    </w:p>
    <w:p w14:paraId="717E7614" w14:textId="77777777" w:rsidR="0073340A" w:rsidRPr="003B57EA" w:rsidRDefault="0073340A" w:rsidP="000E6F29">
      <w:pPr>
        <w:widowControl w:val="0"/>
        <w:autoSpaceDE w:val="0"/>
        <w:autoSpaceDN w:val="0"/>
        <w:adjustRightInd w:val="0"/>
        <w:spacing w:line="480" w:lineRule="auto"/>
        <w:rPr>
          <w:rtl/>
        </w:rPr>
      </w:pPr>
    </w:p>
    <w:p w14:paraId="50F23034" w14:textId="77777777" w:rsidR="0073340A" w:rsidRPr="003B57EA" w:rsidRDefault="0073340A" w:rsidP="000E6F29">
      <w:pPr>
        <w:widowControl w:val="0"/>
        <w:autoSpaceDE w:val="0"/>
        <w:autoSpaceDN w:val="0"/>
        <w:adjustRightInd w:val="0"/>
        <w:spacing w:line="480" w:lineRule="auto"/>
        <w:rPr>
          <w:rtl/>
        </w:rPr>
      </w:pPr>
    </w:p>
    <w:p w14:paraId="315B1048" w14:textId="77777777" w:rsidR="0073340A" w:rsidRPr="003B57EA" w:rsidRDefault="0073340A" w:rsidP="000E6F29">
      <w:pPr>
        <w:widowControl w:val="0"/>
        <w:autoSpaceDE w:val="0"/>
        <w:autoSpaceDN w:val="0"/>
        <w:adjustRightInd w:val="0"/>
        <w:spacing w:line="480" w:lineRule="auto"/>
        <w:rPr>
          <w:rtl/>
        </w:rPr>
      </w:pPr>
    </w:p>
    <w:p w14:paraId="60508F0C" w14:textId="77777777" w:rsidR="0073340A" w:rsidRPr="003B57EA" w:rsidRDefault="0073340A" w:rsidP="000E6F29">
      <w:pPr>
        <w:widowControl w:val="0"/>
        <w:autoSpaceDE w:val="0"/>
        <w:autoSpaceDN w:val="0"/>
        <w:adjustRightInd w:val="0"/>
        <w:spacing w:line="480" w:lineRule="auto"/>
        <w:rPr>
          <w:rtl/>
        </w:rPr>
      </w:pPr>
    </w:p>
    <w:p w14:paraId="6A5057FC" w14:textId="77777777" w:rsidR="0073340A" w:rsidRPr="003B57EA" w:rsidRDefault="0073340A" w:rsidP="000E6F29">
      <w:pPr>
        <w:widowControl w:val="0"/>
        <w:autoSpaceDE w:val="0"/>
        <w:autoSpaceDN w:val="0"/>
        <w:adjustRightInd w:val="0"/>
        <w:spacing w:line="480" w:lineRule="auto"/>
        <w:rPr>
          <w:rtl/>
        </w:rPr>
      </w:pPr>
    </w:p>
    <w:p w14:paraId="34B121E5" w14:textId="77777777" w:rsidR="0073340A" w:rsidRPr="003B57EA" w:rsidRDefault="0073340A" w:rsidP="000E6F29">
      <w:pPr>
        <w:widowControl w:val="0"/>
        <w:autoSpaceDE w:val="0"/>
        <w:autoSpaceDN w:val="0"/>
        <w:adjustRightInd w:val="0"/>
        <w:spacing w:line="480" w:lineRule="auto"/>
        <w:rPr>
          <w:rtl/>
        </w:rPr>
      </w:pPr>
    </w:p>
    <w:p w14:paraId="3AE0BC2C" w14:textId="77777777" w:rsidR="0073340A" w:rsidRPr="003B57EA" w:rsidRDefault="0073340A" w:rsidP="000E6F29">
      <w:pPr>
        <w:widowControl w:val="0"/>
        <w:autoSpaceDE w:val="0"/>
        <w:autoSpaceDN w:val="0"/>
        <w:adjustRightInd w:val="0"/>
        <w:spacing w:line="480" w:lineRule="auto"/>
        <w:rPr>
          <w:rtl/>
        </w:rPr>
      </w:pPr>
    </w:p>
    <w:p w14:paraId="152CB6D8" w14:textId="77777777" w:rsidR="0073340A" w:rsidRPr="003B57EA" w:rsidRDefault="0073340A" w:rsidP="000E6F29">
      <w:pPr>
        <w:widowControl w:val="0"/>
        <w:autoSpaceDE w:val="0"/>
        <w:autoSpaceDN w:val="0"/>
        <w:adjustRightInd w:val="0"/>
        <w:spacing w:line="480" w:lineRule="auto"/>
        <w:rPr>
          <w:rtl/>
        </w:rPr>
      </w:pPr>
    </w:p>
    <w:p w14:paraId="266332E2" w14:textId="77777777" w:rsidR="0073340A" w:rsidRPr="003B57EA" w:rsidRDefault="0073340A" w:rsidP="000E6F29">
      <w:pPr>
        <w:widowControl w:val="0"/>
        <w:autoSpaceDE w:val="0"/>
        <w:autoSpaceDN w:val="0"/>
        <w:adjustRightInd w:val="0"/>
        <w:spacing w:line="480" w:lineRule="auto"/>
        <w:sectPr w:rsidR="0073340A" w:rsidRPr="003B57EA" w:rsidSect="0073340A">
          <w:pgSz w:w="16838" w:h="11906" w:orient="landscape"/>
          <w:pgMar w:top="1797" w:right="1440" w:bottom="1797" w:left="1440" w:header="708" w:footer="708" w:gutter="0"/>
          <w:cols w:space="708"/>
          <w:bidi/>
          <w:rtlGutter/>
          <w:docGrid w:linePitch="360"/>
        </w:sectPr>
      </w:pPr>
    </w:p>
    <w:p w14:paraId="76A8E259" w14:textId="1D6C54BB" w:rsidR="000E6F29" w:rsidRPr="003B57EA" w:rsidRDefault="000E6F29" w:rsidP="000E6F29">
      <w:pPr>
        <w:widowControl w:val="0"/>
        <w:autoSpaceDE w:val="0"/>
        <w:autoSpaceDN w:val="0"/>
        <w:adjustRightInd w:val="0"/>
        <w:spacing w:line="480" w:lineRule="auto"/>
      </w:pPr>
      <w:r w:rsidRPr="003B57EA">
        <w:lastRenderedPageBreak/>
        <w:t>Table 3a</w:t>
      </w:r>
    </w:p>
    <w:p w14:paraId="480079C0" w14:textId="2CF8A314" w:rsidR="000E6F29" w:rsidRPr="003B57EA" w:rsidRDefault="000E6F29" w:rsidP="00515BB8">
      <w:pPr>
        <w:widowControl w:val="0"/>
        <w:autoSpaceDE w:val="0"/>
        <w:autoSpaceDN w:val="0"/>
        <w:adjustRightInd w:val="0"/>
        <w:jc w:val="both"/>
        <w:rPr>
          <w:i/>
        </w:rPr>
      </w:pPr>
      <w:r w:rsidRPr="003B57EA">
        <w:rPr>
          <w:i/>
        </w:rPr>
        <w:t>Robust MM-estimator coefficients for predicting metacognitions by attachment patterns</w:t>
      </w:r>
      <w:r w:rsidR="00C4003E" w:rsidRPr="003B57EA">
        <w:rPr>
          <w:i/>
        </w:rPr>
        <w:t>.</w:t>
      </w:r>
    </w:p>
    <w:p w14:paraId="554B99AF" w14:textId="77777777" w:rsidR="000E6F29" w:rsidRPr="003B57EA" w:rsidRDefault="000E6F29" w:rsidP="000E6F29"/>
    <w:tbl>
      <w:tblPr>
        <w:tblW w:w="8571" w:type="dxa"/>
        <w:tblLayout w:type="fixed"/>
        <w:tblCellMar>
          <w:top w:w="15" w:type="dxa"/>
          <w:left w:w="15" w:type="dxa"/>
          <w:bottom w:w="15" w:type="dxa"/>
          <w:right w:w="15" w:type="dxa"/>
        </w:tblCellMar>
        <w:tblLook w:val="04A0" w:firstRow="1" w:lastRow="0" w:firstColumn="1" w:lastColumn="0" w:noHBand="0" w:noVBand="1"/>
      </w:tblPr>
      <w:tblGrid>
        <w:gridCol w:w="1814"/>
        <w:gridCol w:w="988"/>
        <w:gridCol w:w="1605"/>
        <w:gridCol w:w="911"/>
        <w:gridCol w:w="7"/>
        <w:gridCol w:w="957"/>
        <w:gridCol w:w="1379"/>
        <w:gridCol w:w="903"/>
        <w:gridCol w:w="7"/>
      </w:tblGrid>
      <w:tr w:rsidR="00FE2D9B" w:rsidRPr="003B57EA" w14:paraId="74EA9410" w14:textId="77777777" w:rsidTr="00C4003E">
        <w:tc>
          <w:tcPr>
            <w:tcW w:w="1814" w:type="dxa"/>
            <w:tcBorders>
              <w:top w:val="double" w:sz="6" w:space="0" w:color="auto"/>
            </w:tcBorders>
            <w:tcMar>
              <w:top w:w="113" w:type="dxa"/>
              <w:left w:w="113" w:type="dxa"/>
              <w:bottom w:w="113" w:type="dxa"/>
              <w:right w:w="113" w:type="dxa"/>
            </w:tcMar>
            <w:vAlign w:val="center"/>
            <w:hideMark/>
          </w:tcPr>
          <w:p w14:paraId="5053ADBC" w14:textId="77777777" w:rsidR="000E6F29" w:rsidRPr="003B57EA" w:rsidRDefault="000E6F29" w:rsidP="00746005">
            <w:pPr>
              <w:rPr>
                <w:b/>
                <w:bCs/>
              </w:rPr>
            </w:pPr>
            <w:r w:rsidRPr="003B57EA">
              <w:rPr>
                <w:b/>
                <w:bCs/>
              </w:rPr>
              <w:t> </w:t>
            </w:r>
          </w:p>
        </w:tc>
        <w:tc>
          <w:tcPr>
            <w:tcW w:w="3511" w:type="dxa"/>
            <w:gridSpan w:val="4"/>
            <w:tcBorders>
              <w:top w:val="double" w:sz="6" w:space="0" w:color="auto"/>
            </w:tcBorders>
            <w:tcMar>
              <w:top w:w="113" w:type="dxa"/>
              <w:left w:w="113" w:type="dxa"/>
              <w:bottom w:w="113" w:type="dxa"/>
              <w:right w:w="113" w:type="dxa"/>
            </w:tcMar>
            <w:vAlign w:val="center"/>
            <w:hideMark/>
          </w:tcPr>
          <w:p w14:paraId="353CD300" w14:textId="77777777" w:rsidR="000E6F29" w:rsidRPr="003B57EA" w:rsidRDefault="000E6F29" w:rsidP="00746005">
            <w:pPr>
              <w:jc w:val="center"/>
              <w:rPr>
                <w:b/>
                <w:bCs/>
              </w:rPr>
            </w:pPr>
            <w:r w:rsidRPr="003B57EA">
              <w:rPr>
                <w:b/>
                <w:bCs/>
              </w:rPr>
              <w:t>Negative metacognitions</w:t>
            </w:r>
          </w:p>
        </w:tc>
        <w:tc>
          <w:tcPr>
            <w:tcW w:w="3246" w:type="dxa"/>
            <w:gridSpan w:val="4"/>
            <w:tcBorders>
              <w:top w:val="double" w:sz="6" w:space="0" w:color="auto"/>
            </w:tcBorders>
            <w:tcMar>
              <w:top w:w="113" w:type="dxa"/>
              <w:left w:w="113" w:type="dxa"/>
              <w:bottom w:w="113" w:type="dxa"/>
              <w:right w:w="113" w:type="dxa"/>
            </w:tcMar>
            <w:vAlign w:val="center"/>
            <w:hideMark/>
          </w:tcPr>
          <w:p w14:paraId="79776856" w14:textId="77777777" w:rsidR="000E6F29" w:rsidRPr="003B57EA" w:rsidRDefault="000E6F29" w:rsidP="00746005">
            <w:pPr>
              <w:jc w:val="center"/>
              <w:rPr>
                <w:b/>
                <w:bCs/>
              </w:rPr>
            </w:pPr>
            <w:r w:rsidRPr="003B57EA">
              <w:rPr>
                <w:b/>
                <w:bCs/>
              </w:rPr>
              <w:t>Positive metacognitions</w:t>
            </w:r>
          </w:p>
        </w:tc>
      </w:tr>
      <w:tr w:rsidR="00FE2D9B" w:rsidRPr="003B57EA" w14:paraId="73D7236C" w14:textId="77777777" w:rsidTr="00C4003E">
        <w:trPr>
          <w:gridAfter w:val="1"/>
          <w:wAfter w:w="7" w:type="dxa"/>
        </w:trPr>
        <w:tc>
          <w:tcPr>
            <w:tcW w:w="1814" w:type="dxa"/>
            <w:tcBorders>
              <w:bottom w:val="single" w:sz="6" w:space="0" w:color="auto"/>
            </w:tcBorders>
            <w:vAlign w:val="center"/>
            <w:hideMark/>
          </w:tcPr>
          <w:p w14:paraId="663F2E82" w14:textId="77777777" w:rsidR="000E6F29" w:rsidRPr="003B57EA" w:rsidRDefault="000E6F29" w:rsidP="00746005">
            <w:pPr>
              <w:rPr>
                <w:i/>
                <w:iCs/>
              </w:rPr>
            </w:pPr>
            <w:r w:rsidRPr="003B57EA">
              <w:rPr>
                <w:i/>
                <w:iCs/>
              </w:rPr>
              <w:t>Predictors</w:t>
            </w:r>
          </w:p>
        </w:tc>
        <w:tc>
          <w:tcPr>
            <w:tcW w:w="988" w:type="dxa"/>
            <w:tcBorders>
              <w:bottom w:val="single" w:sz="6" w:space="0" w:color="auto"/>
            </w:tcBorders>
            <w:vAlign w:val="center"/>
            <w:hideMark/>
          </w:tcPr>
          <w:p w14:paraId="20E82571" w14:textId="77777777" w:rsidR="000E6F29" w:rsidRPr="003B57EA" w:rsidRDefault="000E6F29" w:rsidP="00746005">
            <w:pPr>
              <w:jc w:val="center"/>
              <w:rPr>
                <w:i/>
                <w:iCs/>
              </w:rPr>
            </w:pPr>
            <w:r w:rsidRPr="003B57EA">
              <w:rPr>
                <w:i/>
                <w:iCs/>
              </w:rPr>
              <w:t>Estimates</w:t>
            </w:r>
          </w:p>
        </w:tc>
        <w:tc>
          <w:tcPr>
            <w:tcW w:w="1605" w:type="dxa"/>
            <w:tcBorders>
              <w:bottom w:val="single" w:sz="6" w:space="0" w:color="auto"/>
            </w:tcBorders>
            <w:vAlign w:val="center"/>
            <w:hideMark/>
          </w:tcPr>
          <w:p w14:paraId="04F12F54" w14:textId="77777777" w:rsidR="000E6F29" w:rsidRPr="003B57EA" w:rsidRDefault="000E6F29" w:rsidP="00746005">
            <w:pPr>
              <w:jc w:val="center"/>
              <w:rPr>
                <w:i/>
                <w:iCs/>
              </w:rPr>
            </w:pPr>
            <w:r w:rsidRPr="003B57EA">
              <w:rPr>
                <w:i/>
                <w:iCs/>
              </w:rPr>
              <w:t>CI</w:t>
            </w:r>
          </w:p>
        </w:tc>
        <w:tc>
          <w:tcPr>
            <w:tcW w:w="911" w:type="dxa"/>
            <w:tcBorders>
              <w:bottom w:val="single" w:sz="6" w:space="0" w:color="auto"/>
            </w:tcBorders>
            <w:vAlign w:val="center"/>
            <w:hideMark/>
          </w:tcPr>
          <w:p w14:paraId="33B163BC" w14:textId="77777777" w:rsidR="000E6F29" w:rsidRPr="003B57EA" w:rsidRDefault="000E6F29" w:rsidP="00746005">
            <w:pPr>
              <w:jc w:val="center"/>
              <w:rPr>
                <w:i/>
                <w:iCs/>
              </w:rPr>
            </w:pPr>
            <w:r w:rsidRPr="003B57EA">
              <w:rPr>
                <w:i/>
                <w:iCs/>
              </w:rPr>
              <w:t>p</w:t>
            </w:r>
          </w:p>
        </w:tc>
        <w:tc>
          <w:tcPr>
            <w:tcW w:w="964" w:type="dxa"/>
            <w:gridSpan w:val="2"/>
            <w:tcBorders>
              <w:bottom w:val="single" w:sz="6" w:space="0" w:color="auto"/>
            </w:tcBorders>
            <w:vAlign w:val="center"/>
            <w:hideMark/>
          </w:tcPr>
          <w:p w14:paraId="374C024F" w14:textId="77777777" w:rsidR="000E6F29" w:rsidRPr="003B57EA" w:rsidRDefault="000E6F29" w:rsidP="00746005">
            <w:pPr>
              <w:jc w:val="center"/>
              <w:rPr>
                <w:i/>
                <w:iCs/>
              </w:rPr>
            </w:pPr>
            <w:r w:rsidRPr="003B57EA">
              <w:rPr>
                <w:i/>
                <w:iCs/>
              </w:rPr>
              <w:t>Estimates</w:t>
            </w:r>
          </w:p>
        </w:tc>
        <w:tc>
          <w:tcPr>
            <w:tcW w:w="1379" w:type="dxa"/>
            <w:tcBorders>
              <w:bottom w:val="single" w:sz="6" w:space="0" w:color="auto"/>
            </w:tcBorders>
            <w:vAlign w:val="center"/>
            <w:hideMark/>
          </w:tcPr>
          <w:p w14:paraId="7A015076" w14:textId="77777777" w:rsidR="000E6F29" w:rsidRPr="003B57EA" w:rsidRDefault="000E6F29" w:rsidP="00746005">
            <w:pPr>
              <w:jc w:val="center"/>
              <w:rPr>
                <w:i/>
                <w:iCs/>
              </w:rPr>
            </w:pPr>
            <w:r w:rsidRPr="003B57EA">
              <w:rPr>
                <w:i/>
                <w:iCs/>
              </w:rPr>
              <w:t>CI</w:t>
            </w:r>
          </w:p>
        </w:tc>
        <w:tc>
          <w:tcPr>
            <w:tcW w:w="903" w:type="dxa"/>
            <w:tcBorders>
              <w:bottom w:val="single" w:sz="6" w:space="0" w:color="auto"/>
            </w:tcBorders>
            <w:vAlign w:val="center"/>
            <w:hideMark/>
          </w:tcPr>
          <w:p w14:paraId="1F78AED0" w14:textId="77777777" w:rsidR="000E6F29" w:rsidRPr="003B57EA" w:rsidRDefault="000E6F29" w:rsidP="00746005">
            <w:pPr>
              <w:jc w:val="center"/>
              <w:rPr>
                <w:i/>
                <w:iCs/>
              </w:rPr>
            </w:pPr>
            <w:r w:rsidRPr="003B57EA">
              <w:rPr>
                <w:i/>
                <w:iCs/>
              </w:rPr>
              <w:t>p</w:t>
            </w:r>
          </w:p>
        </w:tc>
      </w:tr>
      <w:tr w:rsidR="00FE2D9B" w:rsidRPr="003B57EA" w14:paraId="045F495C" w14:textId="77777777" w:rsidTr="00C4003E">
        <w:trPr>
          <w:gridAfter w:val="1"/>
          <w:wAfter w:w="7" w:type="dxa"/>
        </w:trPr>
        <w:tc>
          <w:tcPr>
            <w:tcW w:w="1814" w:type="dxa"/>
            <w:tcMar>
              <w:top w:w="113" w:type="dxa"/>
              <w:left w:w="113" w:type="dxa"/>
              <w:bottom w:w="113" w:type="dxa"/>
              <w:right w:w="113" w:type="dxa"/>
            </w:tcMar>
            <w:hideMark/>
          </w:tcPr>
          <w:p w14:paraId="1F76D97A" w14:textId="77777777" w:rsidR="000E6F29" w:rsidRPr="003B57EA" w:rsidRDefault="000E6F29" w:rsidP="00746005">
            <w:r w:rsidRPr="003B57EA">
              <w:t>(Intercept)</w:t>
            </w:r>
          </w:p>
        </w:tc>
        <w:tc>
          <w:tcPr>
            <w:tcW w:w="988" w:type="dxa"/>
            <w:tcMar>
              <w:top w:w="113" w:type="dxa"/>
              <w:left w:w="113" w:type="dxa"/>
              <w:bottom w:w="113" w:type="dxa"/>
              <w:right w:w="113" w:type="dxa"/>
            </w:tcMar>
            <w:hideMark/>
          </w:tcPr>
          <w:p w14:paraId="2D81DEE2" w14:textId="77777777" w:rsidR="000E6F29" w:rsidRPr="003B57EA" w:rsidRDefault="000E6F29" w:rsidP="00746005">
            <w:pPr>
              <w:jc w:val="center"/>
            </w:pPr>
            <w:r w:rsidRPr="003B57EA">
              <w:t>1.13</w:t>
            </w:r>
          </w:p>
        </w:tc>
        <w:tc>
          <w:tcPr>
            <w:tcW w:w="1605" w:type="dxa"/>
            <w:tcMar>
              <w:top w:w="113" w:type="dxa"/>
              <w:left w:w="113" w:type="dxa"/>
              <w:bottom w:w="113" w:type="dxa"/>
              <w:right w:w="113" w:type="dxa"/>
            </w:tcMar>
            <w:hideMark/>
          </w:tcPr>
          <w:p w14:paraId="6A505B77" w14:textId="77777777" w:rsidR="000E6F29" w:rsidRPr="003B57EA" w:rsidRDefault="000E6F29" w:rsidP="00746005">
            <w:pPr>
              <w:jc w:val="center"/>
            </w:pPr>
            <w:r w:rsidRPr="003B57EA">
              <w:t>0.74 – 1.51</w:t>
            </w:r>
          </w:p>
        </w:tc>
        <w:tc>
          <w:tcPr>
            <w:tcW w:w="911" w:type="dxa"/>
            <w:tcMar>
              <w:top w:w="113" w:type="dxa"/>
              <w:left w:w="113" w:type="dxa"/>
              <w:bottom w:w="113" w:type="dxa"/>
              <w:right w:w="113" w:type="dxa"/>
            </w:tcMar>
            <w:hideMark/>
          </w:tcPr>
          <w:p w14:paraId="27D1DC7E" w14:textId="77777777" w:rsidR="000E6F29" w:rsidRPr="003B57EA" w:rsidRDefault="000E6F29" w:rsidP="00746005">
            <w:pPr>
              <w:jc w:val="center"/>
            </w:pPr>
            <w:r w:rsidRPr="003B57EA">
              <w:rPr>
                <w:rStyle w:val="Strong"/>
              </w:rPr>
              <w:t>&lt;0.001</w:t>
            </w:r>
          </w:p>
        </w:tc>
        <w:tc>
          <w:tcPr>
            <w:tcW w:w="964" w:type="dxa"/>
            <w:gridSpan w:val="2"/>
            <w:tcMar>
              <w:top w:w="113" w:type="dxa"/>
              <w:left w:w="113" w:type="dxa"/>
              <w:bottom w:w="113" w:type="dxa"/>
              <w:right w:w="113" w:type="dxa"/>
            </w:tcMar>
            <w:hideMark/>
          </w:tcPr>
          <w:p w14:paraId="390495B5" w14:textId="77777777" w:rsidR="000E6F29" w:rsidRPr="003B57EA" w:rsidRDefault="000E6F29" w:rsidP="00746005">
            <w:pPr>
              <w:jc w:val="center"/>
            </w:pPr>
            <w:r w:rsidRPr="003B57EA">
              <w:t>2.04</w:t>
            </w:r>
          </w:p>
        </w:tc>
        <w:tc>
          <w:tcPr>
            <w:tcW w:w="1379" w:type="dxa"/>
            <w:tcMar>
              <w:top w:w="113" w:type="dxa"/>
              <w:left w:w="113" w:type="dxa"/>
              <w:bottom w:w="113" w:type="dxa"/>
              <w:right w:w="113" w:type="dxa"/>
            </w:tcMar>
            <w:hideMark/>
          </w:tcPr>
          <w:p w14:paraId="7FF0029D" w14:textId="77777777" w:rsidR="000E6F29" w:rsidRPr="003B57EA" w:rsidRDefault="000E6F29" w:rsidP="00746005">
            <w:pPr>
              <w:jc w:val="center"/>
            </w:pPr>
            <w:r w:rsidRPr="003B57EA">
              <w:t>1.54 – 2.53</w:t>
            </w:r>
          </w:p>
        </w:tc>
        <w:tc>
          <w:tcPr>
            <w:tcW w:w="903" w:type="dxa"/>
            <w:tcMar>
              <w:top w:w="113" w:type="dxa"/>
              <w:left w:w="113" w:type="dxa"/>
              <w:bottom w:w="113" w:type="dxa"/>
              <w:right w:w="113" w:type="dxa"/>
            </w:tcMar>
            <w:hideMark/>
          </w:tcPr>
          <w:p w14:paraId="35A13447" w14:textId="77777777" w:rsidR="000E6F29" w:rsidRPr="003B57EA" w:rsidRDefault="000E6F29" w:rsidP="00746005">
            <w:pPr>
              <w:jc w:val="center"/>
            </w:pPr>
            <w:r w:rsidRPr="003B57EA">
              <w:rPr>
                <w:rStyle w:val="Strong"/>
              </w:rPr>
              <w:t>&lt;0.001</w:t>
            </w:r>
          </w:p>
        </w:tc>
      </w:tr>
      <w:tr w:rsidR="00FE2D9B" w:rsidRPr="003B57EA" w14:paraId="622704CF" w14:textId="77777777" w:rsidTr="00C4003E">
        <w:trPr>
          <w:gridAfter w:val="1"/>
          <w:wAfter w:w="7" w:type="dxa"/>
        </w:trPr>
        <w:tc>
          <w:tcPr>
            <w:tcW w:w="1814" w:type="dxa"/>
            <w:tcMar>
              <w:top w:w="113" w:type="dxa"/>
              <w:left w:w="113" w:type="dxa"/>
              <w:bottom w:w="113" w:type="dxa"/>
              <w:right w:w="113" w:type="dxa"/>
            </w:tcMar>
            <w:hideMark/>
          </w:tcPr>
          <w:p w14:paraId="568DFF6D" w14:textId="6C9AE14E" w:rsidR="000E6F29" w:rsidRPr="003B57EA" w:rsidRDefault="000E6F29" w:rsidP="00A62CCB">
            <w:r w:rsidRPr="003B57EA">
              <w:t xml:space="preserve">Attachment </w:t>
            </w:r>
            <w:r w:rsidR="00545FAC" w:rsidRPr="003B57EA">
              <w:t>anxiety</w:t>
            </w:r>
          </w:p>
        </w:tc>
        <w:tc>
          <w:tcPr>
            <w:tcW w:w="988" w:type="dxa"/>
            <w:tcMar>
              <w:top w:w="113" w:type="dxa"/>
              <w:left w:w="113" w:type="dxa"/>
              <w:bottom w:w="113" w:type="dxa"/>
              <w:right w:w="113" w:type="dxa"/>
            </w:tcMar>
            <w:hideMark/>
          </w:tcPr>
          <w:p w14:paraId="208CCA7F" w14:textId="77777777" w:rsidR="000E6F29" w:rsidRPr="003B57EA" w:rsidRDefault="000E6F29" w:rsidP="00746005">
            <w:pPr>
              <w:jc w:val="center"/>
            </w:pPr>
            <w:r w:rsidRPr="003B57EA">
              <w:t>0.19</w:t>
            </w:r>
          </w:p>
        </w:tc>
        <w:tc>
          <w:tcPr>
            <w:tcW w:w="1605" w:type="dxa"/>
            <w:tcMar>
              <w:top w:w="113" w:type="dxa"/>
              <w:left w:w="113" w:type="dxa"/>
              <w:bottom w:w="113" w:type="dxa"/>
              <w:right w:w="113" w:type="dxa"/>
            </w:tcMar>
            <w:hideMark/>
          </w:tcPr>
          <w:p w14:paraId="54413211" w14:textId="77777777" w:rsidR="000E6F29" w:rsidRPr="003B57EA" w:rsidRDefault="000E6F29" w:rsidP="00746005">
            <w:pPr>
              <w:jc w:val="center"/>
            </w:pPr>
            <w:r w:rsidRPr="003B57EA">
              <w:t>0.15 – 0.23</w:t>
            </w:r>
          </w:p>
        </w:tc>
        <w:tc>
          <w:tcPr>
            <w:tcW w:w="911" w:type="dxa"/>
            <w:tcMar>
              <w:top w:w="113" w:type="dxa"/>
              <w:left w:w="113" w:type="dxa"/>
              <w:bottom w:w="113" w:type="dxa"/>
              <w:right w:w="113" w:type="dxa"/>
            </w:tcMar>
            <w:hideMark/>
          </w:tcPr>
          <w:p w14:paraId="642A9E66" w14:textId="77777777" w:rsidR="000E6F29" w:rsidRPr="003B57EA" w:rsidRDefault="000E6F29" w:rsidP="00746005">
            <w:pPr>
              <w:jc w:val="center"/>
            </w:pPr>
            <w:r w:rsidRPr="003B57EA">
              <w:rPr>
                <w:rStyle w:val="Strong"/>
              </w:rPr>
              <w:t>&lt;0.001</w:t>
            </w:r>
          </w:p>
        </w:tc>
        <w:tc>
          <w:tcPr>
            <w:tcW w:w="964" w:type="dxa"/>
            <w:gridSpan w:val="2"/>
            <w:tcMar>
              <w:top w:w="113" w:type="dxa"/>
              <w:left w:w="113" w:type="dxa"/>
              <w:bottom w:w="113" w:type="dxa"/>
              <w:right w:w="113" w:type="dxa"/>
            </w:tcMar>
            <w:hideMark/>
          </w:tcPr>
          <w:p w14:paraId="520BA24B" w14:textId="77777777" w:rsidR="000E6F29" w:rsidRPr="003B57EA" w:rsidRDefault="000E6F29" w:rsidP="00746005">
            <w:pPr>
              <w:jc w:val="center"/>
            </w:pPr>
            <w:r w:rsidRPr="003B57EA">
              <w:t>0.22</w:t>
            </w:r>
          </w:p>
        </w:tc>
        <w:tc>
          <w:tcPr>
            <w:tcW w:w="1379" w:type="dxa"/>
            <w:tcMar>
              <w:top w:w="113" w:type="dxa"/>
              <w:left w:w="113" w:type="dxa"/>
              <w:bottom w:w="113" w:type="dxa"/>
              <w:right w:w="113" w:type="dxa"/>
            </w:tcMar>
            <w:hideMark/>
          </w:tcPr>
          <w:p w14:paraId="235DFF06" w14:textId="77777777" w:rsidR="000E6F29" w:rsidRPr="003B57EA" w:rsidRDefault="000E6F29" w:rsidP="00746005">
            <w:pPr>
              <w:jc w:val="center"/>
            </w:pPr>
            <w:r w:rsidRPr="003B57EA">
              <w:t>0.16 – 0.28</w:t>
            </w:r>
          </w:p>
        </w:tc>
        <w:tc>
          <w:tcPr>
            <w:tcW w:w="903" w:type="dxa"/>
            <w:tcMar>
              <w:top w:w="113" w:type="dxa"/>
              <w:left w:w="113" w:type="dxa"/>
              <w:bottom w:w="113" w:type="dxa"/>
              <w:right w:w="113" w:type="dxa"/>
            </w:tcMar>
            <w:hideMark/>
          </w:tcPr>
          <w:p w14:paraId="680D529B" w14:textId="77777777" w:rsidR="000E6F29" w:rsidRPr="003B57EA" w:rsidRDefault="000E6F29" w:rsidP="00746005">
            <w:pPr>
              <w:jc w:val="center"/>
            </w:pPr>
            <w:r w:rsidRPr="003B57EA">
              <w:rPr>
                <w:rStyle w:val="Strong"/>
              </w:rPr>
              <w:t>&lt;0.001</w:t>
            </w:r>
          </w:p>
        </w:tc>
      </w:tr>
      <w:tr w:rsidR="00FE2D9B" w:rsidRPr="003B57EA" w14:paraId="6461BA00" w14:textId="77777777" w:rsidTr="00C4003E">
        <w:trPr>
          <w:gridAfter w:val="1"/>
          <w:wAfter w:w="7" w:type="dxa"/>
        </w:trPr>
        <w:tc>
          <w:tcPr>
            <w:tcW w:w="1814" w:type="dxa"/>
            <w:tcMar>
              <w:top w:w="113" w:type="dxa"/>
              <w:left w:w="113" w:type="dxa"/>
              <w:bottom w:w="113" w:type="dxa"/>
              <w:right w:w="113" w:type="dxa"/>
            </w:tcMar>
            <w:hideMark/>
          </w:tcPr>
          <w:p w14:paraId="0DF066BF" w14:textId="77777777" w:rsidR="000E6F29" w:rsidRPr="003B57EA" w:rsidRDefault="000E6F29" w:rsidP="00746005">
            <w:r w:rsidRPr="003B57EA">
              <w:t>Attachment avoidance</w:t>
            </w:r>
          </w:p>
        </w:tc>
        <w:tc>
          <w:tcPr>
            <w:tcW w:w="988" w:type="dxa"/>
            <w:tcMar>
              <w:top w:w="113" w:type="dxa"/>
              <w:left w:w="113" w:type="dxa"/>
              <w:bottom w:w="113" w:type="dxa"/>
              <w:right w:w="113" w:type="dxa"/>
            </w:tcMar>
            <w:hideMark/>
          </w:tcPr>
          <w:p w14:paraId="5AA2764A" w14:textId="77777777" w:rsidR="000E6F29" w:rsidRPr="003B57EA" w:rsidRDefault="000E6F29" w:rsidP="00746005">
            <w:pPr>
              <w:jc w:val="center"/>
            </w:pPr>
            <w:r w:rsidRPr="003B57EA">
              <w:t>0.14</w:t>
            </w:r>
          </w:p>
        </w:tc>
        <w:tc>
          <w:tcPr>
            <w:tcW w:w="1605" w:type="dxa"/>
            <w:tcMar>
              <w:top w:w="113" w:type="dxa"/>
              <w:left w:w="113" w:type="dxa"/>
              <w:bottom w:w="113" w:type="dxa"/>
              <w:right w:w="113" w:type="dxa"/>
            </w:tcMar>
            <w:hideMark/>
          </w:tcPr>
          <w:p w14:paraId="25A0EAF9" w14:textId="77777777" w:rsidR="000E6F29" w:rsidRPr="003B57EA" w:rsidRDefault="000E6F29" w:rsidP="00746005">
            <w:pPr>
              <w:jc w:val="center"/>
            </w:pPr>
            <w:r w:rsidRPr="003B57EA">
              <w:t>0.08 – 0.19</w:t>
            </w:r>
          </w:p>
        </w:tc>
        <w:tc>
          <w:tcPr>
            <w:tcW w:w="911" w:type="dxa"/>
            <w:tcMar>
              <w:top w:w="113" w:type="dxa"/>
              <w:left w:w="113" w:type="dxa"/>
              <w:bottom w:w="113" w:type="dxa"/>
              <w:right w:w="113" w:type="dxa"/>
            </w:tcMar>
            <w:hideMark/>
          </w:tcPr>
          <w:p w14:paraId="29631020" w14:textId="77777777" w:rsidR="000E6F29" w:rsidRPr="003B57EA" w:rsidRDefault="000E6F29" w:rsidP="00746005">
            <w:pPr>
              <w:jc w:val="center"/>
            </w:pPr>
            <w:r w:rsidRPr="003B57EA">
              <w:rPr>
                <w:rStyle w:val="Strong"/>
              </w:rPr>
              <w:t>&lt;0.001</w:t>
            </w:r>
          </w:p>
        </w:tc>
        <w:tc>
          <w:tcPr>
            <w:tcW w:w="964" w:type="dxa"/>
            <w:gridSpan w:val="2"/>
            <w:tcMar>
              <w:top w:w="113" w:type="dxa"/>
              <w:left w:w="113" w:type="dxa"/>
              <w:bottom w:w="113" w:type="dxa"/>
              <w:right w:w="113" w:type="dxa"/>
            </w:tcMar>
            <w:hideMark/>
          </w:tcPr>
          <w:p w14:paraId="586E61E8" w14:textId="77777777" w:rsidR="000E6F29" w:rsidRPr="003B57EA" w:rsidRDefault="000E6F29" w:rsidP="00746005">
            <w:pPr>
              <w:jc w:val="center"/>
            </w:pPr>
            <w:r w:rsidRPr="003B57EA">
              <w:t>0.13</w:t>
            </w:r>
          </w:p>
        </w:tc>
        <w:tc>
          <w:tcPr>
            <w:tcW w:w="1379" w:type="dxa"/>
            <w:tcMar>
              <w:top w:w="113" w:type="dxa"/>
              <w:left w:w="113" w:type="dxa"/>
              <w:bottom w:w="113" w:type="dxa"/>
              <w:right w:w="113" w:type="dxa"/>
            </w:tcMar>
            <w:hideMark/>
          </w:tcPr>
          <w:p w14:paraId="1DAEE9A9" w14:textId="77777777" w:rsidR="000E6F29" w:rsidRPr="003B57EA" w:rsidRDefault="000E6F29" w:rsidP="00746005">
            <w:pPr>
              <w:jc w:val="center"/>
            </w:pPr>
            <w:r w:rsidRPr="003B57EA">
              <w:t>0.06 – 0.19</w:t>
            </w:r>
          </w:p>
        </w:tc>
        <w:tc>
          <w:tcPr>
            <w:tcW w:w="903" w:type="dxa"/>
            <w:tcMar>
              <w:top w:w="113" w:type="dxa"/>
              <w:left w:w="113" w:type="dxa"/>
              <w:bottom w:w="113" w:type="dxa"/>
              <w:right w:w="113" w:type="dxa"/>
            </w:tcMar>
            <w:hideMark/>
          </w:tcPr>
          <w:p w14:paraId="5A46ACD8" w14:textId="77777777" w:rsidR="000E6F29" w:rsidRPr="003B57EA" w:rsidRDefault="000E6F29" w:rsidP="00746005">
            <w:pPr>
              <w:jc w:val="center"/>
            </w:pPr>
            <w:r w:rsidRPr="003B57EA">
              <w:rPr>
                <w:rStyle w:val="Strong"/>
              </w:rPr>
              <w:t>&lt;0.001</w:t>
            </w:r>
          </w:p>
        </w:tc>
      </w:tr>
      <w:tr w:rsidR="00FE2D9B" w:rsidRPr="003B57EA" w14:paraId="6D3DC4D5" w14:textId="77777777" w:rsidTr="00C4003E">
        <w:trPr>
          <w:gridAfter w:val="1"/>
          <w:wAfter w:w="7" w:type="dxa"/>
        </w:trPr>
        <w:tc>
          <w:tcPr>
            <w:tcW w:w="1814" w:type="dxa"/>
            <w:tcMar>
              <w:top w:w="113" w:type="dxa"/>
              <w:left w:w="113" w:type="dxa"/>
              <w:bottom w:w="113" w:type="dxa"/>
              <w:right w:w="113" w:type="dxa"/>
            </w:tcMar>
            <w:hideMark/>
          </w:tcPr>
          <w:p w14:paraId="1429828C" w14:textId="77777777" w:rsidR="000E6F29" w:rsidRPr="003B57EA" w:rsidRDefault="000E6F29" w:rsidP="00746005">
            <w:r w:rsidRPr="003B57EA">
              <w:t>Gender</w:t>
            </w:r>
          </w:p>
        </w:tc>
        <w:tc>
          <w:tcPr>
            <w:tcW w:w="988" w:type="dxa"/>
            <w:tcMar>
              <w:top w:w="113" w:type="dxa"/>
              <w:left w:w="113" w:type="dxa"/>
              <w:bottom w:w="113" w:type="dxa"/>
              <w:right w:w="113" w:type="dxa"/>
            </w:tcMar>
            <w:hideMark/>
          </w:tcPr>
          <w:p w14:paraId="1781E198" w14:textId="77777777" w:rsidR="000E6F29" w:rsidRPr="003B57EA" w:rsidRDefault="000E6F29" w:rsidP="00746005">
            <w:pPr>
              <w:jc w:val="center"/>
            </w:pPr>
            <w:r w:rsidRPr="003B57EA">
              <w:t>-0.12</w:t>
            </w:r>
          </w:p>
        </w:tc>
        <w:tc>
          <w:tcPr>
            <w:tcW w:w="1605" w:type="dxa"/>
            <w:tcMar>
              <w:top w:w="113" w:type="dxa"/>
              <w:left w:w="113" w:type="dxa"/>
              <w:bottom w:w="113" w:type="dxa"/>
              <w:right w:w="113" w:type="dxa"/>
            </w:tcMar>
            <w:hideMark/>
          </w:tcPr>
          <w:p w14:paraId="6CB8488D" w14:textId="77777777" w:rsidR="000E6F29" w:rsidRPr="003B57EA" w:rsidRDefault="000E6F29" w:rsidP="00746005">
            <w:pPr>
              <w:jc w:val="center"/>
            </w:pPr>
            <w:r w:rsidRPr="003B57EA">
              <w:t>-0.19 – -0.05</w:t>
            </w:r>
          </w:p>
        </w:tc>
        <w:tc>
          <w:tcPr>
            <w:tcW w:w="911" w:type="dxa"/>
            <w:tcMar>
              <w:top w:w="113" w:type="dxa"/>
              <w:left w:w="113" w:type="dxa"/>
              <w:bottom w:w="113" w:type="dxa"/>
              <w:right w:w="113" w:type="dxa"/>
            </w:tcMar>
            <w:hideMark/>
          </w:tcPr>
          <w:p w14:paraId="74C43C3C" w14:textId="77777777" w:rsidR="000E6F29" w:rsidRPr="003B57EA" w:rsidRDefault="000E6F29" w:rsidP="00746005">
            <w:pPr>
              <w:jc w:val="center"/>
            </w:pPr>
            <w:r w:rsidRPr="003B57EA">
              <w:rPr>
                <w:rStyle w:val="Strong"/>
              </w:rPr>
              <w:t>0.001</w:t>
            </w:r>
          </w:p>
        </w:tc>
        <w:tc>
          <w:tcPr>
            <w:tcW w:w="964" w:type="dxa"/>
            <w:gridSpan w:val="2"/>
            <w:tcMar>
              <w:top w:w="113" w:type="dxa"/>
              <w:left w:w="113" w:type="dxa"/>
              <w:bottom w:w="113" w:type="dxa"/>
              <w:right w:w="113" w:type="dxa"/>
            </w:tcMar>
            <w:hideMark/>
          </w:tcPr>
          <w:p w14:paraId="2747C31C" w14:textId="77777777" w:rsidR="000E6F29" w:rsidRPr="003B57EA" w:rsidRDefault="000E6F29" w:rsidP="00746005">
            <w:pPr>
              <w:jc w:val="center"/>
            </w:pPr>
            <w:r w:rsidRPr="003B57EA">
              <w:t>-0.26</w:t>
            </w:r>
          </w:p>
        </w:tc>
        <w:tc>
          <w:tcPr>
            <w:tcW w:w="1379" w:type="dxa"/>
            <w:tcMar>
              <w:top w:w="113" w:type="dxa"/>
              <w:left w:w="113" w:type="dxa"/>
              <w:bottom w:w="113" w:type="dxa"/>
              <w:right w:w="113" w:type="dxa"/>
            </w:tcMar>
            <w:hideMark/>
          </w:tcPr>
          <w:p w14:paraId="0714BFA6" w14:textId="77777777" w:rsidR="000E6F29" w:rsidRPr="003B57EA" w:rsidRDefault="000E6F29" w:rsidP="00746005">
            <w:pPr>
              <w:jc w:val="center"/>
            </w:pPr>
            <w:r w:rsidRPr="003B57EA">
              <w:t>-0.35 – -0.17</w:t>
            </w:r>
          </w:p>
        </w:tc>
        <w:tc>
          <w:tcPr>
            <w:tcW w:w="903" w:type="dxa"/>
            <w:tcMar>
              <w:top w:w="113" w:type="dxa"/>
              <w:left w:w="113" w:type="dxa"/>
              <w:bottom w:w="113" w:type="dxa"/>
              <w:right w:w="113" w:type="dxa"/>
            </w:tcMar>
            <w:hideMark/>
          </w:tcPr>
          <w:p w14:paraId="4208F8CE" w14:textId="77777777" w:rsidR="000E6F29" w:rsidRPr="003B57EA" w:rsidRDefault="000E6F29" w:rsidP="00746005">
            <w:pPr>
              <w:jc w:val="center"/>
            </w:pPr>
            <w:r w:rsidRPr="003B57EA">
              <w:rPr>
                <w:rStyle w:val="Strong"/>
              </w:rPr>
              <w:t>&lt;0.001</w:t>
            </w:r>
          </w:p>
        </w:tc>
      </w:tr>
      <w:tr w:rsidR="00FE2D9B" w:rsidRPr="003B57EA" w14:paraId="08326814" w14:textId="77777777" w:rsidTr="00C4003E">
        <w:trPr>
          <w:gridAfter w:val="1"/>
          <w:wAfter w:w="7" w:type="dxa"/>
        </w:trPr>
        <w:tc>
          <w:tcPr>
            <w:tcW w:w="1814" w:type="dxa"/>
            <w:tcMar>
              <w:top w:w="113" w:type="dxa"/>
              <w:left w:w="113" w:type="dxa"/>
              <w:bottom w:w="113" w:type="dxa"/>
              <w:right w:w="113" w:type="dxa"/>
            </w:tcMar>
            <w:hideMark/>
          </w:tcPr>
          <w:p w14:paraId="75B522F3" w14:textId="77777777" w:rsidR="000E6F29" w:rsidRPr="003B57EA" w:rsidRDefault="000E6F29" w:rsidP="00746005">
            <w:r w:rsidRPr="003B57EA">
              <w:t>Age</w:t>
            </w:r>
          </w:p>
        </w:tc>
        <w:tc>
          <w:tcPr>
            <w:tcW w:w="988" w:type="dxa"/>
            <w:tcMar>
              <w:top w:w="113" w:type="dxa"/>
              <w:left w:w="113" w:type="dxa"/>
              <w:bottom w:w="113" w:type="dxa"/>
              <w:right w:w="113" w:type="dxa"/>
            </w:tcMar>
            <w:hideMark/>
          </w:tcPr>
          <w:p w14:paraId="410AC2FB" w14:textId="77777777" w:rsidR="000E6F29" w:rsidRPr="003B57EA" w:rsidRDefault="000E6F29" w:rsidP="00746005">
            <w:pPr>
              <w:jc w:val="center"/>
            </w:pPr>
            <w:r w:rsidRPr="003B57EA">
              <w:t>-0.01</w:t>
            </w:r>
          </w:p>
        </w:tc>
        <w:tc>
          <w:tcPr>
            <w:tcW w:w="1605" w:type="dxa"/>
            <w:tcMar>
              <w:top w:w="113" w:type="dxa"/>
              <w:left w:w="113" w:type="dxa"/>
              <w:bottom w:w="113" w:type="dxa"/>
              <w:right w:w="113" w:type="dxa"/>
            </w:tcMar>
            <w:hideMark/>
          </w:tcPr>
          <w:p w14:paraId="54E6F704" w14:textId="77777777" w:rsidR="000E6F29" w:rsidRPr="003B57EA" w:rsidRDefault="000E6F29" w:rsidP="00746005">
            <w:pPr>
              <w:jc w:val="center"/>
            </w:pPr>
            <w:r w:rsidRPr="003B57EA">
              <w:t>-0.03 – 0.01</w:t>
            </w:r>
          </w:p>
        </w:tc>
        <w:tc>
          <w:tcPr>
            <w:tcW w:w="911" w:type="dxa"/>
            <w:tcMar>
              <w:top w:w="113" w:type="dxa"/>
              <w:left w:w="113" w:type="dxa"/>
              <w:bottom w:w="113" w:type="dxa"/>
              <w:right w:w="113" w:type="dxa"/>
            </w:tcMar>
            <w:hideMark/>
          </w:tcPr>
          <w:p w14:paraId="3B9F3A82" w14:textId="77777777" w:rsidR="000E6F29" w:rsidRPr="003B57EA" w:rsidRDefault="000E6F29" w:rsidP="00746005">
            <w:pPr>
              <w:jc w:val="center"/>
            </w:pPr>
            <w:r w:rsidRPr="003B57EA">
              <w:t>0.401</w:t>
            </w:r>
          </w:p>
        </w:tc>
        <w:tc>
          <w:tcPr>
            <w:tcW w:w="964" w:type="dxa"/>
            <w:gridSpan w:val="2"/>
            <w:tcMar>
              <w:top w:w="113" w:type="dxa"/>
              <w:left w:w="113" w:type="dxa"/>
              <w:bottom w:w="113" w:type="dxa"/>
              <w:right w:w="113" w:type="dxa"/>
            </w:tcMar>
            <w:hideMark/>
          </w:tcPr>
          <w:p w14:paraId="66944FD6" w14:textId="77777777" w:rsidR="000E6F29" w:rsidRPr="003B57EA" w:rsidRDefault="000E6F29" w:rsidP="00746005">
            <w:pPr>
              <w:jc w:val="center"/>
            </w:pPr>
            <w:r w:rsidRPr="003B57EA">
              <w:t>-0.03</w:t>
            </w:r>
          </w:p>
        </w:tc>
        <w:tc>
          <w:tcPr>
            <w:tcW w:w="1379" w:type="dxa"/>
            <w:tcMar>
              <w:top w:w="113" w:type="dxa"/>
              <w:left w:w="113" w:type="dxa"/>
              <w:bottom w:w="113" w:type="dxa"/>
              <w:right w:w="113" w:type="dxa"/>
            </w:tcMar>
            <w:hideMark/>
          </w:tcPr>
          <w:p w14:paraId="62C7B0F0" w14:textId="77777777" w:rsidR="000E6F29" w:rsidRPr="003B57EA" w:rsidRDefault="000E6F29" w:rsidP="00746005">
            <w:pPr>
              <w:jc w:val="center"/>
            </w:pPr>
            <w:r w:rsidRPr="003B57EA">
              <w:t>-0.06 – -0.00</w:t>
            </w:r>
          </w:p>
        </w:tc>
        <w:tc>
          <w:tcPr>
            <w:tcW w:w="903" w:type="dxa"/>
            <w:tcMar>
              <w:top w:w="113" w:type="dxa"/>
              <w:left w:w="113" w:type="dxa"/>
              <w:bottom w:w="113" w:type="dxa"/>
              <w:right w:w="113" w:type="dxa"/>
            </w:tcMar>
            <w:hideMark/>
          </w:tcPr>
          <w:p w14:paraId="21DBCC1E" w14:textId="77777777" w:rsidR="000E6F29" w:rsidRPr="003B57EA" w:rsidRDefault="000E6F29" w:rsidP="00746005">
            <w:pPr>
              <w:jc w:val="center"/>
            </w:pPr>
            <w:r w:rsidRPr="003B57EA">
              <w:rPr>
                <w:rStyle w:val="Strong"/>
              </w:rPr>
              <w:t>0.045</w:t>
            </w:r>
          </w:p>
        </w:tc>
      </w:tr>
      <w:tr w:rsidR="00FE2D9B" w:rsidRPr="003B57EA" w14:paraId="002B21DC" w14:textId="77777777" w:rsidTr="00C4003E">
        <w:trPr>
          <w:gridAfter w:val="1"/>
          <w:wAfter w:w="7" w:type="dxa"/>
        </w:trPr>
        <w:tc>
          <w:tcPr>
            <w:tcW w:w="1814" w:type="dxa"/>
            <w:tcMar>
              <w:top w:w="113" w:type="dxa"/>
              <w:left w:w="113" w:type="dxa"/>
              <w:bottom w:w="113" w:type="dxa"/>
              <w:right w:w="113" w:type="dxa"/>
            </w:tcMar>
            <w:hideMark/>
          </w:tcPr>
          <w:p w14:paraId="10CF7E31" w14:textId="77777777" w:rsidR="000E6F29" w:rsidRPr="003B57EA" w:rsidRDefault="000E6F29" w:rsidP="00746005">
            <w:r w:rsidRPr="003B57EA">
              <w:t>Religiosity</w:t>
            </w:r>
          </w:p>
        </w:tc>
        <w:tc>
          <w:tcPr>
            <w:tcW w:w="988" w:type="dxa"/>
            <w:tcMar>
              <w:top w:w="113" w:type="dxa"/>
              <w:left w:w="113" w:type="dxa"/>
              <w:bottom w:w="113" w:type="dxa"/>
              <w:right w:w="113" w:type="dxa"/>
            </w:tcMar>
            <w:hideMark/>
          </w:tcPr>
          <w:p w14:paraId="0328D6C0" w14:textId="77777777" w:rsidR="000E6F29" w:rsidRPr="003B57EA" w:rsidRDefault="000E6F29" w:rsidP="00746005">
            <w:pPr>
              <w:jc w:val="center"/>
            </w:pPr>
            <w:r w:rsidRPr="003B57EA">
              <w:t>-0.02</w:t>
            </w:r>
          </w:p>
        </w:tc>
        <w:tc>
          <w:tcPr>
            <w:tcW w:w="1605" w:type="dxa"/>
            <w:tcMar>
              <w:top w:w="113" w:type="dxa"/>
              <w:left w:w="113" w:type="dxa"/>
              <w:bottom w:w="113" w:type="dxa"/>
              <w:right w:w="113" w:type="dxa"/>
            </w:tcMar>
            <w:hideMark/>
          </w:tcPr>
          <w:p w14:paraId="50C33906" w14:textId="77777777" w:rsidR="000E6F29" w:rsidRPr="003B57EA" w:rsidRDefault="000E6F29" w:rsidP="00746005">
            <w:pPr>
              <w:jc w:val="center"/>
            </w:pPr>
            <w:r w:rsidRPr="003B57EA">
              <w:t>-0.05 – 0.02</w:t>
            </w:r>
          </w:p>
        </w:tc>
        <w:tc>
          <w:tcPr>
            <w:tcW w:w="911" w:type="dxa"/>
            <w:tcMar>
              <w:top w:w="113" w:type="dxa"/>
              <w:left w:w="113" w:type="dxa"/>
              <w:bottom w:w="113" w:type="dxa"/>
              <w:right w:w="113" w:type="dxa"/>
            </w:tcMar>
            <w:hideMark/>
          </w:tcPr>
          <w:p w14:paraId="6C6F7AA3" w14:textId="77777777" w:rsidR="000E6F29" w:rsidRPr="003B57EA" w:rsidRDefault="000E6F29" w:rsidP="00746005">
            <w:pPr>
              <w:jc w:val="center"/>
            </w:pPr>
            <w:r w:rsidRPr="003B57EA">
              <w:t>0.424</w:t>
            </w:r>
          </w:p>
        </w:tc>
        <w:tc>
          <w:tcPr>
            <w:tcW w:w="964" w:type="dxa"/>
            <w:gridSpan w:val="2"/>
            <w:tcMar>
              <w:top w:w="113" w:type="dxa"/>
              <w:left w:w="113" w:type="dxa"/>
              <w:bottom w:w="113" w:type="dxa"/>
              <w:right w:w="113" w:type="dxa"/>
            </w:tcMar>
            <w:hideMark/>
          </w:tcPr>
          <w:p w14:paraId="0BC0BFCC" w14:textId="77777777" w:rsidR="000E6F29" w:rsidRPr="003B57EA" w:rsidRDefault="000E6F29" w:rsidP="00746005">
            <w:pPr>
              <w:jc w:val="center"/>
            </w:pPr>
            <w:r w:rsidRPr="003B57EA">
              <w:t>-0.06</w:t>
            </w:r>
          </w:p>
        </w:tc>
        <w:tc>
          <w:tcPr>
            <w:tcW w:w="1379" w:type="dxa"/>
            <w:tcMar>
              <w:top w:w="113" w:type="dxa"/>
              <w:left w:w="113" w:type="dxa"/>
              <w:bottom w:w="113" w:type="dxa"/>
              <w:right w:w="113" w:type="dxa"/>
            </w:tcMar>
            <w:hideMark/>
          </w:tcPr>
          <w:p w14:paraId="7C8A9CE5" w14:textId="77777777" w:rsidR="000E6F29" w:rsidRPr="003B57EA" w:rsidRDefault="000E6F29" w:rsidP="00746005">
            <w:pPr>
              <w:jc w:val="center"/>
            </w:pPr>
            <w:r w:rsidRPr="003B57EA">
              <w:t>-0.11 – -0.02</w:t>
            </w:r>
          </w:p>
        </w:tc>
        <w:tc>
          <w:tcPr>
            <w:tcW w:w="903" w:type="dxa"/>
            <w:tcMar>
              <w:top w:w="113" w:type="dxa"/>
              <w:left w:w="113" w:type="dxa"/>
              <w:bottom w:w="113" w:type="dxa"/>
              <w:right w:w="113" w:type="dxa"/>
            </w:tcMar>
            <w:hideMark/>
          </w:tcPr>
          <w:p w14:paraId="6CB1E856" w14:textId="77777777" w:rsidR="000E6F29" w:rsidRPr="003B57EA" w:rsidRDefault="000E6F29" w:rsidP="00746005">
            <w:pPr>
              <w:jc w:val="center"/>
            </w:pPr>
            <w:r w:rsidRPr="003B57EA">
              <w:rPr>
                <w:rStyle w:val="Strong"/>
              </w:rPr>
              <w:t>0.010</w:t>
            </w:r>
          </w:p>
        </w:tc>
      </w:tr>
      <w:tr w:rsidR="00FE2D9B" w:rsidRPr="003B57EA" w14:paraId="1D68292D" w14:textId="77777777" w:rsidTr="00C4003E">
        <w:trPr>
          <w:gridAfter w:val="1"/>
          <w:wAfter w:w="7" w:type="dxa"/>
        </w:trPr>
        <w:tc>
          <w:tcPr>
            <w:tcW w:w="1814" w:type="dxa"/>
            <w:tcMar>
              <w:top w:w="113" w:type="dxa"/>
              <w:left w:w="113" w:type="dxa"/>
              <w:bottom w:w="113" w:type="dxa"/>
              <w:right w:w="113" w:type="dxa"/>
            </w:tcMar>
            <w:hideMark/>
          </w:tcPr>
          <w:p w14:paraId="11BE96B8" w14:textId="77777777" w:rsidR="000E6F29" w:rsidRPr="003B57EA" w:rsidRDefault="000E6F29" w:rsidP="00746005">
            <w:r w:rsidRPr="003B57EA">
              <w:t>SES</w:t>
            </w:r>
          </w:p>
        </w:tc>
        <w:tc>
          <w:tcPr>
            <w:tcW w:w="988" w:type="dxa"/>
            <w:tcMar>
              <w:top w:w="113" w:type="dxa"/>
              <w:left w:w="113" w:type="dxa"/>
              <w:bottom w:w="113" w:type="dxa"/>
              <w:right w:w="113" w:type="dxa"/>
            </w:tcMar>
            <w:hideMark/>
          </w:tcPr>
          <w:p w14:paraId="57A8C13F" w14:textId="77777777" w:rsidR="000E6F29" w:rsidRPr="003B57EA" w:rsidRDefault="000E6F29" w:rsidP="00746005">
            <w:pPr>
              <w:jc w:val="center"/>
            </w:pPr>
            <w:r w:rsidRPr="003B57EA">
              <w:t>0.09</w:t>
            </w:r>
          </w:p>
        </w:tc>
        <w:tc>
          <w:tcPr>
            <w:tcW w:w="1605" w:type="dxa"/>
            <w:tcMar>
              <w:top w:w="113" w:type="dxa"/>
              <w:left w:w="113" w:type="dxa"/>
              <w:bottom w:w="113" w:type="dxa"/>
              <w:right w:w="113" w:type="dxa"/>
            </w:tcMar>
            <w:hideMark/>
          </w:tcPr>
          <w:p w14:paraId="000A8323" w14:textId="77777777" w:rsidR="000E6F29" w:rsidRPr="003B57EA" w:rsidRDefault="000E6F29" w:rsidP="00746005">
            <w:pPr>
              <w:jc w:val="center"/>
            </w:pPr>
            <w:r w:rsidRPr="003B57EA">
              <w:t>0.03 – 0.15</w:t>
            </w:r>
          </w:p>
        </w:tc>
        <w:tc>
          <w:tcPr>
            <w:tcW w:w="911" w:type="dxa"/>
            <w:tcMar>
              <w:top w:w="113" w:type="dxa"/>
              <w:left w:w="113" w:type="dxa"/>
              <w:bottom w:w="113" w:type="dxa"/>
              <w:right w:w="113" w:type="dxa"/>
            </w:tcMar>
            <w:hideMark/>
          </w:tcPr>
          <w:p w14:paraId="2E5574F6" w14:textId="77777777" w:rsidR="000E6F29" w:rsidRPr="003B57EA" w:rsidRDefault="000E6F29" w:rsidP="00746005">
            <w:pPr>
              <w:jc w:val="center"/>
            </w:pPr>
            <w:r w:rsidRPr="003B57EA">
              <w:rPr>
                <w:rStyle w:val="Strong"/>
              </w:rPr>
              <w:t>0.006</w:t>
            </w:r>
          </w:p>
        </w:tc>
        <w:tc>
          <w:tcPr>
            <w:tcW w:w="964" w:type="dxa"/>
            <w:gridSpan w:val="2"/>
            <w:tcMar>
              <w:top w:w="113" w:type="dxa"/>
              <w:left w:w="113" w:type="dxa"/>
              <w:bottom w:w="113" w:type="dxa"/>
              <w:right w:w="113" w:type="dxa"/>
            </w:tcMar>
            <w:hideMark/>
          </w:tcPr>
          <w:p w14:paraId="1F74D165" w14:textId="77777777" w:rsidR="000E6F29" w:rsidRPr="003B57EA" w:rsidRDefault="000E6F29" w:rsidP="00746005">
            <w:pPr>
              <w:jc w:val="center"/>
            </w:pPr>
            <w:r w:rsidRPr="003B57EA">
              <w:t>0.07</w:t>
            </w:r>
          </w:p>
        </w:tc>
        <w:tc>
          <w:tcPr>
            <w:tcW w:w="1379" w:type="dxa"/>
            <w:tcMar>
              <w:top w:w="113" w:type="dxa"/>
              <w:left w:w="113" w:type="dxa"/>
              <w:bottom w:w="113" w:type="dxa"/>
              <w:right w:w="113" w:type="dxa"/>
            </w:tcMar>
            <w:hideMark/>
          </w:tcPr>
          <w:p w14:paraId="5F91D081" w14:textId="77777777" w:rsidR="000E6F29" w:rsidRPr="003B57EA" w:rsidRDefault="000E6F29" w:rsidP="00746005">
            <w:pPr>
              <w:jc w:val="center"/>
            </w:pPr>
            <w:r w:rsidRPr="003B57EA">
              <w:t>-0.01 – 0.15</w:t>
            </w:r>
          </w:p>
        </w:tc>
        <w:tc>
          <w:tcPr>
            <w:tcW w:w="903" w:type="dxa"/>
            <w:tcMar>
              <w:top w:w="113" w:type="dxa"/>
              <w:left w:w="113" w:type="dxa"/>
              <w:bottom w:w="113" w:type="dxa"/>
              <w:right w:w="113" w:type="dxa"/>
            </w:tcMar>
            <w:hideMark/>
          </w:tcPr>
          <w:p w14:paraId="77F8C345" w14:textId="77777777" w:rsidR="000E6F29" w:rsidRPr="003B57EA" w:rsidRDefault="000E6F29" w:rsidP="00746005">
            <w:pPr>
              <w:jc w:val="center"/>
            </w:pPr>
            <w:r w:rsidRPr="003B57EA">
              <w:t>0.097</w:t>
            </w:r>
          </w:p>
        </w:tc>
      </w:tr>
      <w:tr w:rsidR="000E6F29" w:rsidRPr="003B57EA" w14:paraId="30B2F324" w14:textId="77777777" w:rsidTr="00C4003E">
        <w:tc>
          <w:tcPr>
            <w:tcW w:w="1814" w:type="dxa"/>
            <w:tcBorders>
              <w:top w:val="single" w:sz="6" w:space="0" w:color="auto"/>
            </w:tcBorders>
            <w:tcMar>
              <w:top w:w="57" w:type="dxa"/>
              <w:left w:w="113" w:type="dxa"/>
              <w:bottom w:w="57" w:type="dxa"/>
              <w:right w:w="113" w:type="dxa"/>
            </w:tcMar>
            <w:hideMark/>
          </w:tcPr>
          <w:p w14:paraId="4000679C" w14:textId="77777777" w:rsidR="000E6F29" w:rsidRPr="003B57EA" w:rsidRDefault="000E6F29" w:rsidP="00746005">
            <w:pPr>
              <w:jc w:val="right"/>
              <w:rPr>
                <w:i/>
                <w:iCs/>
              </w:rPr>
            </w:pPr>
            <w:r w:rsidRPr="003B57EA">
              <w:rPr>
                <w:i/>
                <w:iCs/>
              </w:rPr>
              <w:t>R-squared</w:t>
            </w:r>
          </w:p>
        </w:tc>
        <w:tc>
          <w:tcPr>
            <w:tcW w:w="3511" w:type="dxa"/>
            <w:gridSpan w:val="4"/>
            <w:tcBorders>
              <w:top w:val="single" w:sz="6" w:space="0" w:color="auto"/>
            </w:tcBorders>
            <w:tcMar>
              <w:top w:w="57" w:type="dxa"/>
              <w:left w:w="113" w:type="dxa"/>
              <w:bottom w:w="57" w:type="dxa"/>
              <w:right w:w="113" w:type="dxa"/>
            </w:tcMar>
            <w:hideMark/>
          </w:tcPr>
          <w:p w14:paraId="6A93915A" w14:textId="77777777" w:rsidR="000E6F29" w:rsidRPr="003B57EA" w:rsidRDefault="000E6F29" w:rsidP="00746005">
            <w:pPr>
              <w:jc w:val="center"/>
            </w:pPr>
            <w:r w:rsidRPr="003B57EA">
              <w:t>17.11%</w:t>
            </w:r>
          </w:p>
        </w:tc>
        <w:tc>
          <w:tcPr>
            <w:tcW w:w="3246" w:type="dxa"/>
            <w:gridSpan w:val="4"/>
            <w:tcBorders>
              <w:top w:val="single" w:sz="6" w:space="0" w:color="auto"/>
            </w:tcBorders>
            <w:tcMar>
              <w:top w:w="57" w:type="dxa"/>
              <w:left w:w="113" w:type="dxa"/>
              <w:bottom w:w="57" w:type="dxa"/>
              <w:right w:w="113" w:type="dxa"/>
            </w:tcMar>
            <w:hideMark/>
          </w:tcPr>
          <w:p w14:paraId="3A3C270D" w14:textId="77777777" w:rsidR="000E6F29" w:rsidRPr="003B57EA" w:rsidRDefault="000E6F29" w:rsidP="00746005">
            <w:pPr>
              <w:jc w:val="center"/>
            </w:pPr>
            <w:r w:rsidRPr="003B57EA">
              <w:t>14.14%</w:t>
            </w:r>
          </w:p>
        </w:tc>
      </w:tr>
    </w:tbl>
    <w:p w14:paraId="5C26889D" w14:textId="77777777" w:rsidR="000E6F29" w:rsidRPr="003B57EA" w:rsidRDefault="000E6F29" w:rsidP="000E6F29"/>
    <w:p w14:paraId="0BAFB9C1" w14:textId="60C12AE4" w:rsidR="005F42E6" w:rsidRPr="003B57EA" w:rsidRDefault="0073340A">
      <w:pPr>
        <w:spacing w:line="480" w:lineRule="auto"/>
        <w:rPr>
          <w:rFonts w:asciiTheme="majorBidi" w:hAnsiTheme="majorBidi" w:cstheme="majorBidi"/>
        </w:rPr>
      </w:pPr>
      <w:r w:rsidRPr="003B57EA">
        <w:t>Note. SES = socio-economic status; CI = 95% confidence intervals for the regression coefficients.</w:t>
      </w:r>
    </w:p>
    <w:p w14:paraId="052779D7" w14:textId="5679EC32" w:rsidR="000E6F29" w:rsidRPr="003B57EA" w:rsidRDefault="000E6F29">
      <w:pPr>
        <w:spacing w:line="480" w:lineRule="auto"/>
        <w:rPr>
          <w:rFonts w:asciiTheme="majorBidi" w:hAnsiTheme="majorBidi" w:cstheme="majorBidi"/>
        </w:rPr>
      </w:pPr>
    </w:p>
    <w:p w14:paraId="1E6711C2" w14:textId="7320FFE9" w:rsidR="000E6F29" w:rsidRPr="003B57EA" w:rsidRDefault="000E6F29">
      <w:pPr>
        <w:spacing w:line="480" w:lineRule="auto"/>
        <w:rPr>
          <w:rFonts w:asciiTheme="majorBidi" w:hAnsiTheme="majorBidi" w:cstheme="majorBidi"/>
        </w:rPr>
      </w:pPr>
    </w:p>
    <w:p w14:paraId="540695F0" w14:textId="1BB3019D" w:rsidR="000E6F29" w:rsidRPr="003B57EA" w:rsidRDefault="000E6F29">
      <w:pPr>
        <w:spacing w:line="480" w:lineRule="auto"/>
        <w:rPr>
          <w:rFonts w:asciiTheme="majorBidi" w:hAnsiTheme="majorBidi" w:cstheme="majorBidi"/>
        </w:rPr>
      </w:pPr>
    </w:p>
    <w:p w14:paraId="3D51AD51" w14:textId="0172C8A2" w:rsidR="000E6F29" w:rsidRPr="003B57EA" w:rsidRDefault="000E6F29">
      <w:pPr>
        <w:spacing w:line="480" w:lineRule="auto"/>
        <w:rPr>
          <w:rFonts w:asciiTheme="majorBidi" w:hAnsiTheme="majorBidi" w:cstheme="majorBidi"/>
        </w:rPr>
      </w:pPr>
    </w:p>
    <w:p w14:paraId="2B8797EA" w14:textId="0BDBB42B" w:rsidR="000E6F29" w:rsidRPr="003B57EA" w:rsidRDefault="000E6F29">
      <w:pPr>
        <w:spacing w:line="480" w:lineRule="auto"/>
        <w:rPr>
          <w:rFonts w:asciiTheme="majorBidi" w:hAnsiTheme="majorBidi" w:cstheme="majorBidi"/>
        </w:rPr>
      </w:pPr>
    </w:p>
    <w:p w14:paraId="069B9188" w14:textId="192AB735" w:rsidR="000E6F29" w:rsidRPr="003B57EA" w:rsidRDefault="000E6F29">
      <w:pPr>
        <w:spacing w:line="480" w:lineRule="auto"/>
        <w:rPr>
          <w:rFonts w:asciiTheme="majorBidi" w:hAnsiTheme="majorBidi" w:cstheme="majorBidi"/>
        </w:rPr>
      </w:pPr>
    </w:p>
    <w:p w14:paraId="16C32F35" w14:textId="58F6AFE6" w:rsidR="000E6F29" w:rsidRPr="003B57EA" w:rsidRDefault="000E6F29">
      <w:pPr>
        <w:spacing w:line="480" w:lineRule="auto"/>
        <w:rPr>
          <w:rFonts w:asciiTheme="majorBidi" w:hAnsiTheme="majorBidi" w:cstheme="majorBidi"/>
        </w:rPr>
      </w:pPr>
    </w:p>
    <w:p w14:paraId="0AC6F020" w14:textId="0CF6A417" w:rsidR="000E6F29" w:rsidRPr="003B57EA" w:rsidRDefault="000E6F29">
      <w:pPr>
        <w:spacing w:line="480" w:lineRule="auto"/>
        <w:rPr>
          <w:rFonts w:asciiTheme="majorBidi" w:hAnsiTheme="majorBidi" w:cstheme="majorBidi"/>
        </w:rPr>
      </w:pPr>
    </w:p>
    <w:p w14:paraId="6D01BD20" w14:textId="76C16C5B" w:rsidR="000E6F29" w:rsidRPr="003B57EA" w:rsidRDefault="000E6F29">
      <w:pPr>
        <w:spacing w:line="480" w:lineRule="auto"/>
        <w:rPr>
          <w:rFonts w:asciiTheme="majorBidi" w:hAnsiTheme="majorBidi" w:cstheme="majorBidi"/>
        </w:rPr>
      </w:pPr>
    </w:p>
    <w:p w14:paraId="42D95A78" w14:textId="77777777" w:rsidR="000E6F29" w:rsidRPr="003B57EA" w:rsidRDefault="000E6F29" w:rsidP="000E6F29">
      <w:pPr>
        <w:widowControl w:val="0"/>
        <w:autoSpaceDE w:val="0"/>
        <w:autoSpaceDN w:val="0"/>
        <w:adjustRightInd w:val="0"/>
        <w:spacing w:line="480" w:lineRule="auto"/>
        <w:sectPr w:rsidR="000E6F29" w:rsidRPr="003B57EA" w:rsidSect="0073340A">
          <w:pgSz w:w="11906" w:h="16838"/>
          <w:pgMar w:top="1440" w:right="1797" w:bottom="1440" w:left="1797" w:header="708" w:footer="708" w:gutter="0"/>
          <w:cols w:space="708"/>
          <w:bidi/>
          <w:rtlGutter/>
          <w:docGrid w:linePitch="360"/>
        </w:sectPr>
      </w:pPr>
    </w:p>
    <w:p w14:paraId="16E6ED0B" w14:textId="0E7F69BE" w:rsidR="000E6F29" w:rsidRPr="003B57EA" w:rsidRDefault="000E6F29" w:rsidP="000E6F29">
      <w:pPr>
        <w:widowControl w:val="0"/>
        <w:autoSpaceDE w:val="0"/>
        <w:autoSpaceDN w:val="0"/>
        <w:adjustRightInd w:val="0"/>
        <w:spacing w:line="480" w:lineRule="auto"/>
      </w:pPr>
      <w:r w:rsidRPr="003B57EA">
        <w:lastRenderedPageBreak/>
        <w:t>Table 3b</w:t>
      </w:r>
    </w:p>
    <w:p w14:paraId="34207911" w14:textId="630409CB" w:rsidR="000E6F29" w:rsidRPr="003B57EA" w:rsidRDefault="000E6F29" w:rsidP="00671981">
      <w:pPr>
        <w:widowControl w:val="0"/>
        <w:autoSpaceDE w:val="0"/>
        <w:autoSpaceDN w:val="0"/>
        <w:adjustRightInd w:val="0"/>
        <w:jc w:val="both"/>
        <w:rPr>
          <w:i/>
        </w:rPr>
      </w:pPr>
      <w:r w:rsidRPr="003B57EA">
        <w:rPr>
          <w:i/>
        </w:rPr>
        <w:t>Robust MM-estimator coefficients for IGD, preference for online social interactions, and motives for online gaming by metacognitions while controlling for attachment patterns</w:t>
      </w:r>
      <w:r w:rsidR="00C4003E" w:rsidRPr="003B57EA">
        <w:rPr>
          <w:i/>
        </w:rPr>
        <w:t>.</w:t>
      </w:r>
    </w:p>
    <w:p w14:paraId="5CD1523F" w14:textId="77777777" w:rsidR="000E6F29" w:rsidRPr="003B57EA" w:rsidRDefault="000E6F29" w:rsidP="000E6F29"/>
    <w:tbl>
      <w:tblPr>
        <w:tblW w:w="0" w:type="auto"/>
        <w:tblCellMar>
          <w:top w:w="15" w:type="dxa"/>
          <w:left w:w="15" w:type="dxa"/>
          <w:bottom w:w="15" w:type="dxa"/>
          <w:right w:w="15" w:type="dxa"/>
        </w:tblCellMar>
        <w:tblLook w:val="04A0" w:firstRow="1" w:lastRow="0" w:firstColumn="1" w:lastColumn="0" w:noHBand="0" w:noVBand="1"/>
      </w:tblPr>
      <w:tblGrid>
        <w:gridCol w:w="2619"/>
        <w:gridCol w:w="964"/>
        <w:gridCol w:w="1466"/>
        <w:gridCol w:w="903"/>
        <w:gridCol w:w="964"/>
        <w:gridCol w:w="1466"/>
        <w:gridCol w:w="903"/>
        <w:gridCol w:w="964"/>
        <w:gridCol w:w="1466"/>
        <w:gridCol w:w="903"/>
      </w:tblGrid>
      <w:tr w:rsidR="00FE2D9B" w:rsidRPr="003B57EA" w14:paraId="53FF93A7" w14:textId="77777777" w:rsidTr="00746005">
        <w:tc>
          <w:tcPr>
            <w:tcW w:w="0" w:type="auto"/>
            <w:tcBorders>
              <w:top w:val="double" w:sz="6" w:space="0" w:color="auto"/>
            </w:tcBorders>
            <w:tcMar>
              <w:top w:w="113" w:type="dxa"/>
              <w:left w:w="113" w:type="dxa"/>
              <w:bottom w:w="113" w:type="dxa"/>
              <w:right w:w="113" w:type="dxa"/>
            </w:tcMar>
            <w:vAlign w:val="center"/>
            <w:hideMark/>
          </w:tcPr>
          <w:p w14:paraId="654D2941" w14:textId="77777777" w:rsidR="000E6F29" w:rsidRPr="003B57EA" w:rsidRDefault="000E6F29" w:rsidP="00746005">
            <w:pPr>
              <w:rPr>
                <w:b/>
                <w:bCs/>
              </w:rPr>
            </w:pPr>
            <w:r w:rsidRPr="003B57EA">
              <w:rPr>
                <w:b/>
                <w:bCs/>
              </w:rPr>
              <w:t> </w:t>
            </w:r>
          </w:p>
        </w:tc>
        <w:tc>
          <w:tcPr>
            <w:tcW w:w="0" w:type="auto"/>
            <w:gridSpan w:val="3"/>
            <w:tcBorders>
              <w:top w:val="double" w:sz="6" w:space="0" w:color="auto"/>
            </w:tcBorders>
            <w:tcMar>
              <w:top w:w="113" w:type="dxa"/>
              <w:left w:w="113" w:type="dxa"/>
              <w:bottom w:w="113" w:type="dxa"/>
              <w:right w:w="113" w:type="dxa"/>
            </w:tcMar>
            <w:vAlign w:val="center"/>
            <w:hideMark/>
          </w:tcPr>
          <w:p w14:paraId="5C3491CE" w14:textId="77777777" w:rsidR="000E6F29" w:rsidRPr="003B57EA" w:rsidRDefault="000E6F29" w:rsidP="00746005">
            <w:pPr>
              <w:jc w:val="center"/>
              <w:rPr>
                <w:b/>
                <w:bCs/>
              </w:rPr>
            </w:pPr>
            <w:r w:rsidRPr="003B57EA">
              <w:rPr>
                <w:b/>
                <w:bCs/>
              </w:rPr>
              <w:t>IGD</w:t>
            </w:r>
          </w:p>
        </w:tc>
        <w:tc>
          <w:tcPr>
            <w:tcW w:w="0" w:type="auto"/>
            <w:gridSpan w:val="3"/>
            <w:tcBorders>
              <w:top w:val="double" w:sz="6" w:space="0" w:color="auto"/>
            </w:tcBorders>
            <w:tcMar>
              <w:top w:w="113" w:type="dxa"/>
              <w:left w:w="113" w:type="dxa"/>
              <w:bottom w:w="113" w:type="dxa"/>
              <w:right w:w="113" w:type="dxa"/>
            </w:tcMar>
            <w:vAlign w:val="center"/>
            <w:hideMark/>
          </w:tcPr>
          <w:p w14:paraId="67CA7AF4" w14:textId="77777777" w:rsidR="000E6F29" w:rsidRPr="003B57EA" w:rsidRDefault="000E6F29" w:rsidP="00746005">
            <w:pPr>
              <w:jc w:val="center"/>
              <w:rPr>
                <w:b/>
                <w:bCs/>
              </w:rPr>
            </w:pPr>
            <w:r w:rsidRPr="003B57EA">
              <w:rPr>
                <w:b/>
                <w:bCs/>
              </w:rPr>
              <w:t>POSI</w:t>
            </w:r>
          </w:p>
        </w:tc>
        <w:tc>
          <w:tcPr>
            <w:tcW w:w="0" w:type="auto"/>
            <w:gridSpan w:val="3"/>
            <w:tcBorders>
              <w:top w:val="double" w:sz="6" w:space="0" w:color="auto"/>
            </w:tcBorders>
            <w:tcMar>
              <w:top w:w="113" w:type="dxa"/>
              <w:left w:w="113" w:type="dxa"/>
              <w:bottom w:w="113" w:type="dxa"/>
              <w:right w:w="113" w:type="dxa"/>
            </w:tcMar>
            <w:vAlign w:val="center"/>
            <w:hideMark/>
          </w:tcPr>
          <w:p w14:paraId="5DDBCACA" w14:textId="77777777" w:rsidR="000E6F29" w:rsidRPr="003B57EA" w:rsidRDefault="000E6F29" w:rsidP="00746005">
            <w:pPr>
              <w:jc w:val="center"/>
              <w:rPr>
                <w:b/>
                <w:bCs/>
              </w:rPr>
            </w:pPr>
            <w:r w:rsidRPr="003B57EA">
              <w:rPr>
                <w:b/>
                <w:bCs/>
              </w:rPr>
              <w:t>Social motivation</w:t>
            </w:r>
          </w:p>
        </w:tc>
      </w:tr>
      <w:tr w:rsidR="00FE2D9B" w:rsidRPr="003B57EA" w14:paraId="31F2D2B3" w14:textId="77777777" w:rsidTr="00746005">
        <w:tc>
          <w:tcPr>
            <w:tcW w:w="0" w:type="auto"/>
            <w:tcBorders>
              <w:bottom w:val="single" w:sz="6" w:space="0" w:color="auto"/>
            </w:tcBorders>
            <w:vAlign w:val="center"/>
            <w:hideMark/>
          </w:tcPr>
          <w:p w14:paraId="0ED05991" w14:textId="77777777" w:rsidR="000E6F29" w:rsidRPr="003B57EA" w:rsidRDefault="000E6F29" w:rsidP="00746005">
            <w:pPr>
              <w:rPr>
                <w:i/>
                <w:iCs/>
              </w:rPr>
            </w:pPr>
            <w:r w:rsidRPr="003B57EA">
              <w:rPr>
                <w:i/>
                <w:iCs/>
              </w:rPr>
              <w:t>Predictors</w:t>
            </w:r>
          </w:p>
        </w:tc>
        <w:tc>
          <w:tcPr>
            <w:tcW w:w="0" w:type="auto"/>
            <w:tcBorders>
              <w:bottom w:val="single" w:sz="6" w:space="0" w:color="auto"/>
            </w:tcBorders>
            <w:vAlign w:val="center"/>
            <w:hideMark/>
          </w:tcPr>
          <w:p w14:paraId="6A08D8BB" w14:textId="77777777" w:rsidR="000E6F29" w:rsidRPr="003B57EA" w:rsidRDefault="000E6F29" w:rsidP="00746005">
            <w:pPr>
              <w:jc w:val="center"/>
              <w:rPr>
                <w:i/>
                <w:iCs/>
              </w:rPr>
            </w:pPr>
            <w:r w:rsidRPr="003B57EA">
              <w:rPr>
                <w:i/>
                <w:iCs/>
              </w:rPr>
              <w:t>Estimates</w:t>
            </w:r>
          </w:p>
        </w:tc>
        <w:tc>
          <w:tcPr>
            <w:tcW w:w="0" w:type="auto"/>
            <w:tcBorders>
              <w:bottom w:val="single" w:sz="6" w:space="0" w:color="auto"/>
            </w:tcBorders>
            <w:vAlign w:val="center"/>
            <w:hideMark/>
          </w:tcPr>
          <w:p w14:paraId="706F5B97" w14:textId="77777777" w:rsidR="000E6F29" w:rsidRPr="003B57EA" w:rsidRDefault="000E6F29" w:rsidP="00746005">
            <w:pPr>
              <w:jc w:val="center"/>
              <w:rPr>
                <w:i/>
                <w:iCs/>
              </w:rPr>
            </w:pPr>
            <w:r w:rsidRPr="003B57EA">
              <w:rPr>
                <w:i/>
                <w:iCs/>
              </w:rPr>
              <w:t>CI</w:t>
            </w:r>
          </w:p>
        </w:tc>
        <w:tc>
          <w:tcPr>
            <w:tcW w:w="0" w:type="auto"/>
            <w:tcBorders>
              <w:bottom w:val="single" w:sz="6" w:space="0" w:color="auto"/>
            </w:tcBorders>
            <w:vAlign w:val="center"/>
            <w:hideMark/>
          </w:tcPr>
          <w:p w14:paraId="7B19B201" w14:textId="77777777" w:rsidR="000E6F29" w:rsidRPr="003B57EA" w:rsidRDefault="000E6F29" w:rsidP="00746005">
            <w:pPr>
              <w:jc w:val="center"/>
              <w:rPr>
                <w:i/>
                <w:iCs/>
              </w:rPr>
            </w:pPr>
            <w:r w:rsidRPr="003B57EA">
              <w:rPr>
                <w:i/>
                <w:iCs/>
              </w:rPr>
              <w:t>p</w:t>
            </w:r>
          </w:p>
        </w:tc>
        <w:tc>
          <w:tcPr>
            <w:tcW w:w="0" w:type="auto"/>
            <w:tcBorders>
              <w:bottom w:val="single" w:sz="6" w:space="0" w:color="auto"/>
            </w:tcBorders>
            <w:vAlign w:val="center"/>
            <w:hideMark/>
          </w:tcPr>
          <w:p w14:paraId="23CEBDD6" w14:textId="77777777" w:rsidR="000E6F29" w:rsidRPr="003B57EA" w:rsidRDefault="000E6F29" w:rsidP="00746005">
            <w:pPr>
              <w:jc w:val="center"/>
              <w:rPr>
                <w:i/>
                <w:iCs/>
              </w:rPr>
            </w:pPr>
            <w:r w:rsidRPr="003B57EA">
              <w:rPr>
                <w:i/>
                <w:iCs/>
              </w:rPr>
              <w:t>Estimates</w:t>
            </w:r>
          </w:p>
        </w:tc>
        <w:tc>
          <w:tcPr>
            <w:tcW w:w="0" w:type="auto"/>
            <w:tcBorders>
              <w:bottom w:val="single" w:sz="6" w:space="0" w:color="auto"/>
            </w:tcBorders>
            <w:vAlign w:val="center"/>
            <w:hideMark/>
          </w:tcPr>
          <w:p w14:paraId="4D557CC1" w14:textId="77777777" w:rsidR="000E6F29" w:rsidRPr="003B57EA" w:rsidRDefault="000E6F29" w:rsidP="00746005">
            <w:pPr>
              <w:jc w:val="center"/>
              <w:rPr>
                <w:i/>
                <w:iCs/>
              </w:rPr>
            </w:pPr>
            <w:r w:rsidRPr="003B57EA">
              <w:rPr>
                <w:i/>
                <w:iCs/>
              </w:rPr>
              <w:t>CI</w:t>
            </w:r>
          </w:p>
        </w:tc>
        <w:tc>
          <w:tcPr>
            <w:tcW w:w="0" w:type="auto"/>
            <w:tcBorders>
              <w:bottom w:val="single" w:sz="6" w:space="0" w:color="auto"/>
            </w:tcBorders>
            <w:vAlign w:val="center"/>
            <w:hideMark/>
          </w:tcPr>
          <w:p w14:paraId="639FD2ED" w14:textId="77777777" w:rsidR="000E6F29" w:rsidRPr="003B57EA" w:rsidRDefault="000E6F29" w:rsidP="00746005">
            <w:pPr>
              <w:jc w:val="center"/>
              <w:rPr>
                <w:i/>
                <w:iCs/>
              </w:rPr>
            </w:pPr>
            <w:r w:rsidRPr="003B57EA">
              <w:rPr>
                <w:i/>
                <w:iCs/>
              </w:rPr>
              <w:t>p</w:t>
            </w:r>
          </w:p>
        </w:tc>
        <w:tc>
          <w:tcPr>
            <w:tcW w:w="0" w:type="auto"/>
            <w:tcBorders>
              <w:bottom w:val="single" w:sz="6" w:space="0" w:color="auto"/>
            </w:tcBorders>
            <w:vAlign w:val="center"/>
            <w:hideMark/>
          </w:tcPr>
          <w:p w14:paraId="056BADA3" w14:textId="77777777" w:rsidR="000E6F29" w:rsidRPr="003B57EA" w:rsidRDefault="000E6F29" w:rsidP="00746005">
            <w:pPr>
              <w:jc w:val="center"/>
              <w:rPr>
                <w:i/>
                <w:iCs/>
              </w:rPr>
            </w:pPr>
            <w:r w:rsidRPr="003B57EA">
              <w:rPr>
                <w:i/>
                <w:iCs/>
              </w:rPr>
              <w:t>Estimates</w:t>
            </w:r>
          </w:p>
        </w:tc>
        <w:tc>
          <w:tcPr>
            <w:tcW w:w="0" w:type="auto"/>
            <w:tcBorders>
              <w:bottom w:val="single" w:sz="6" w:space="0" w:color="auto"/>
            </w:tcBorders>
            <w:vAlign w:val="center"/>
            <w:hideMark/>
          </w:tcPr>
          <w:p w14:paraId="0EF0EA09" w14:textId="77777777" w:rsidR="000E6F29" w:rsidRPr="003B57EA" w:rsidRDefault="000E6F29" w:rsidP="00746005">
            <w:pPr>
              <w:jc w:val="center"/>
              <w:rPr>
                <w:i/>
                <w:iCs/>
              </w:rPr>
            </w:pPr>
            <w:r w:rsidRPr="003B57EA">
              <w:rPr>
                <w:i/>
                <w:iCs/>
              </w:rPr>
              <w:t>CI</w:t>
            </w:r>
          </w:p>
        </w:tc>
        <w:tc>
          <w:tcPr>
            <w:tcW w:w="0" w:type="auto"/>
            <w:tcBorders>
              <w:bottom w:val="single" w:sz="6" w:space="0" w:color="auto"/>
            </w:tcBorders>
            <w:vAlign w:val="center"/>
            <w:hideMark/>
          </w:tcPr>
          <w:p w14:paraId="4B4F0800" w14:textId="77777777" w:rsidR="000E6F29" w:rsidRPr="003B57EA" w:rsidRDefault="000E6F29" w:rsidP="00746005">
            <w:pPr>
              <w:jc w:val="center"/>
              <w:rPr>
                <w:i/>
                <w:iCs/>
              </w:rPr>
            </w:pPr>
            <w:r w:rsidRPr="003B57EA">
              <w:rPr>
                <w:i/>
                <w:iCs/>
              </w:rPr>
              <w:t>p</w:t>
            </w:r>
          </w:p>
        </w:tc>
      </w:tr>
      <w:tr w:rsidR="00FE2D9B" w:rsidRPr="003B57EA" w14:paraId="235D707B" w14:textId="77777777" w:rsidTr="00746005">
        <w:tc>
          <w:tcPr>
            <w:tcW w:w="0" w:type="auto"/>
            <w:tcMar>
              <w:top w:w="113" w:type="dxa"/>
              <w:left w:w="113" w:type="dxa"/>
              <w:bottom w:w="113" w:type="dxa"/>
              <w:right w:w="113" w:type="dxa"/>
            </w:tcMar>
            <w:hideMark/>
          </w:tcPr>
          <w:p w14:paraId="4B89E9AE" w14:textId="77777777" w:rsidR="000E6F29" w:rsidRPr="003B57EA" w:rsidRDefault="000E6F29" w:rsidP="00746005">
            <w:r w:rsidRPr="003B57EA">
              <w:t>(Intercept)</w:t>
            </w:r>
          </w:p>
        </w:tc>
        <w:tc>
          <w:tcPr>
            <w:tcW w:w="0" w:type="auto"/>
            <w:tcMar>
              <w:top w:w="113" w:type="dxa"/>
              <w:left w:w="113" w:type="dxa"/>
              <w:bottom w:w="113" w:type="dxa"/>
              <w:right w:w="113" w:type="dxa"/>
            </w:tcMar>
            <w:hideMark/>
          </w:tcPr>
          <w:p w14:paraId="04D68B16" w14:textId="77777777" w:rsidR="000E6F29" w:rsidRPr="003B57EA" w:rsidRDefault="000E6F29" w:rsidP="00746005">
            <w:pPr>
              <w:jc w:val="center"/>
            </w:pPr>
            <w:r w:rsidRPr="003B57EA">
              <w:t>-0.00</w:t>
            </w:r>
          </w:p>
        </w:tc>
        <w:tc>
          <w:tcPr>
            <w:tcW w:w="0" w:type="auto"/>
            <w:tcMar>
              <w:top w:w="113" w:type="dxa"/>
              <w:left w:w="113" w:type="dxa"/>
              <w:bottom w:w="113" w:type="dxa"/>
              <w:right w:w="113" w:type="dxa"/>
            </w:tcMar>
            <w:hideMark/>
          </w:tcPr>
          <w:p w14:paraId="35A27A6C" w14:textId="77777777" w:rsidR="000E6F29" w:rsidRPr="003B57EA" w:rsidRDefault="000E6F29" w:rsidP="00746005">
            <w:pPr>
              <w:jc w:val="center"/>
            </w:pPr>
            <w:r w:rsidRPr="003B57EA">
              <w:t>-0.44 – 0.44</w:t>
            </w:r>
          </w:p>
        </w:tc>
        <w:tc>
          <w:tcPr>
            <w:tcW w:w="0" w:type="auto"/>
            <w:tcMar>
              <w:top w:w="113" w:type="dxa"/>
              <w:left w:w="113" w:type="dxa"/>
              <w:bottom w:w="113" w:type="dxa"/>
              <w:right w:w="113" w:type="dxa"/>
            </w:tcMar>
            <w:hideMark/>
          </w:tcPr>
          <w:p w14:paraId="353F5A40" w14:textId="77777777" w:rsidR="000E6F29" w:rsidRPr="003B57EA" w:rsidRDefault="000E6F29" w:rsidP="00746005">
            <w:pPr>
              <w:jc w:val="center"/>
            </w:pPr>
            <w:r w:rsidRPr="003B57EA">
              <w:t>0.998</w:t>
            </w:r>
          </w:p>
        </w:tc>
        <w:tc>
          <w:tcPr>
            <w:tcW w:w="0" w:type="auto"/>
            <w:tcMar>
              <w:top w:w="113" w:type="dxa"/>
              <w:left w:w="113" w:type="dxa"/>
              <w:bottom w:w="113" w:type="dxa"/>
              <w:right w:w="113" w:type="dxa"/>
            </w:tcMar>
            <w:hideMark/>
          </w:tcPr>
          <w:p w14:paraId="5A761AFF" w14:textId="77777777" w:rsidR="000E6F29" w:rsidRPr="003B57EA" w:rsidRDefault="000E6F29" w:rsidP="00746005">
            <w:pPr>
              <w:jc w:val="center"/>
            </w:pPr>
            <w:r w:rsidRPr="003B57EA">
              <w:t>-1.41</w:t>
            </w:r>
          </w:p>
        </w:tc>
        <w:tc>
          <w:tcPr>
            <w:tcW w:w="0" w:type="auto"/>
            <w:tcMar>
              <w:top w:w="113" w:type="dxa"/>
              <w:left w:w="113" w:type="dxa"/>
              <w:bottom w:w="113" w:type="dxa"/>
              <w:right w:w="113" w:type="dxa"/>
            </w:tcMar>
            <w:hideMark/>
          </w:tcPr>
          <w:p w14:paraId="7FF688FE" w14:textId="77777777" w:rsidR="000E6F29" w:rsidRPr="003B57EA" w:rsidRDefault="000E6F29" w:rsidP="00746005">
            <w:pPr>
              <w:jc w:val="center"/>
            </w:pPr>
            <w:r w:rsidRPr="003B57EA">
              <w:t>-2.58 – -0.24</w:t>
            </w:r>
          </w:p>
        </w:tc>
        <w:tc>
          <w:tcPr>
            <w:tcW w:w="0" w:type="auto"/>
            <w:tcMar>
              <w:top w:w="113" w:type="dxa"/>
              <w:left w:w="113" w:type="dxa"/>
              <w:bottom w:w="113" w:type="dxa"/>
              <w:right w:w="113" w:type="dxa"/>
            </w:tcMar>
            <w:hideMark/>
          </w:tcPr>
          <w:p w14:paraId="2FF268BE" w14:textId="77777777" w:rsidR="000E6F29" w:rsidRPr="003B57EA" w:rsidRDefault="000E6F29" w:rsidP="00746005">
            <w:pPr>
              <w:jc w:val="center"/>
            </w:pPr>
            <w:r w:rsidRPr="003B57EA">
              <w:rPr>
                <w:rStyle w:val="Strong"/>
              </w:rPr>
              <w:t>0.018</w:t>
            </w:r>
          </w:p>
        </w:tc>
        <w:tc>
          <w:tcPr>
            <w:tcW w:w="0" w:type="auto"/>
            <w:tcMar>
              <w:top w:w="113" w:type="dxa"/>
              <w:left w:w="113" w:type="dxa"/>
              <w:bottom w:w="113" w:type="dxa"/>
              <w:right w:w="113" w:type="dxa"/>
            </w:tcMar>
            <w:hideMark/>
          </w:tcPr>
          <w:p w14:paraId="01A90D3B" w14:textId="77777777" w:rsidR="000E6F29" w:rsidRPr="003B57EA" w:rsidRDefault="000E6F29" w:rsidP="00746005">
            <w:pPr>
              <w:jc w:val="center"/>
            </w:pPr>
            <w:r w:rsidRPr="003B57EA">
              <w:t>0.45</w:t>
            </w:r>
          </w:p>
        </w:tc>
        <w:tc>
          <w:tcPr>
            <w:tcW w:w="0" w:type="auto"/>
            <w:tcMar>
              <w:top w:w="113" w:type="dxa"/>
              <w:left w:w="113" w:type="dxa"/>
              <w:bottom w:w="113" w:type="dxa"/>
              <w:right w:w="113" w:type="dxa"/>
            </w:tcMar>
            <w:hideMark/>
          </w:tcPr>
          <w:p w14:paraId="4D6D397E" w14:textId="77777777" w:rsidR="000E6F29" w:rsidRPr="003B57EA" w:rsidRDefault="000E6F29" w:rsidP="00746005">
            <w:pPr>
              <w:jc w:val="center"/>
            </w:pPr>
            <w:r w:rsidRPr="003B57EA">
              <w:t>-0.17 – 1.07</w:t>
            </w:r>
          </w:p>
        </w:tc>
        <w:tc>
          <w:tcPr>
            <w:tcW w:w="0" w:type="auto"/>
            <w:tcMar>
              <w:top w:w="113" w:type="dxa"/>
              <w:left w:w="113" w:type="dxa"/>
              <w:bottom w:w="113" w:type="dxa"/>
              <w:right w:w="113" w:type="dxa"/>
            </w:tcMar>
            <w:hideMark/>
          </w:tcPr>
          <w:p w14:paraId="7243854B" w14:textId="77777777" w:rsidR="000E6F29" w:rsidRPr="003B57EA" w:rsidRDefault="000E6F29" w:rsidP="00746005">
            <w:pPr>
              <w:jc w:val="center"/>
            </w:pPr>
            <w:r w:rsidRPr="003B57EA">
              <w:t>0.151</w:t>
            </w:r>
          </w:p>
        </w:tc>
      </w:tr>
      <w:tr w:rsidR="00FE2D9B" w:rsidRPr="003B57EA" w14:paraId="1FA20D13" w14:textId="77777777" w:rsidTr="00746005">
        <w:tc>
          <w:tcPr>
            <w:tcW w:w="0" w:type="auto"/>
            <w:tcMar>
              <w:top w:w="113" w:type="dxa"/>
              <w:left w:w="113" w:type="dxa"/>
              <w:bottom w:w="113" w:type="dxa"/>
              <w:right w:w="113" w:type="dxa"/>
            </w:tcMar>
            <w:hideMark/>
          </w:tcPr>
          <w:p w14:paraId="52B0D741" w14:textId="77777777" w:rsidR="000E6F29" w:rsidRPr="003B57EA" w:rsidRDefault="000E6F29" w:rsidP="00746005">
            <w:r w:rsidRPr="003B57EA">
              <w:t>Negative metacognitions</w:t>
            </w:r>
          </w:p>
        </w:tc>
        <w:tc>
          <w:tcPr>
            <w:tcW w:w="0" w:type="auto"/>
            <w:tcMar>
              <w:top w:w="113" w:type="dxa"/>
              <w:left w:w="113" w:type="dxa"/>
              <w:bottom w:w="113" w:type="dxa"/>
              <w:right w:w="113" w:type="dxa"/>
            </w:tcMar>
            <w:hideMark/>
          </w:tcPr>
          <w:p w14:paraId="653EB7C5" w14:textId="77777777" w:rsidR="000E6F29" w:rsidRPr="003B57EA" w:rsidRDefault="000E6F29" w:rsidP="00746005">
            <w:pPr>
              <w:jc w:val="center"/>
            </w:pPr>
            <w:r w:rsidRPr="003B57EA">
              <w:t>0.61</w:t>
            </w:r>
          </w:p>
        </w:tc>
        <w:tc>
          <w:tcPr>
            <w:tcW w:w="0" w:type="auto"/>
            <w:tcMar>
              <w:top w:w="113" w:type="dxa"/>
              <w:left w:w="113" w:type="dxa"/>
              <w:bottom w:w="113" w:type="dxa"/>
              <w:right w:w="113" w:type="dxa"/>
            </w:tcMar>
            <w:hideMark/>
          </w:tcPr>
          <w:p w14:paraId="321CF4A2" w14:textId="77777777" w:rsidR="000E6F29" w:rsidRPr="003B57EA" w:rsidRDefault="000E6F29" w:rsidP="00746005">
            <w:pPr>
              <w:jc w:val="center"/>
            </w:pPr>
            <w:r w:rsidRPr="003B57EA">
              <w:t>0.54 – 0.69</w:t>
            </w:r>
          </w:p>
        </w:tc>
        <w:tc>
          <w:tcPr>
            <w:tcW w:w="0" w:type="auto"/>
            <w:tcMar>
              <w:top w:w="113" w:type="dxa"/>
              <w:left w:w="113" w:type="dxa"/>
              <w:bottom w:w="113" w:type="dxa"/>
              <w:right w:w="113" w:type="dxa"/>
            </w:tcMar>
            <w:hideMark/>
          </w:tcPr>
          <w:p w14:paraId="1BE1AC31"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3B979643" w14:textId="77777777" w:rsidR="000E6F29" w:rsidRPr="003B57EA" w:rsidRDefault="000E6F29" w:rsidP="00746005">
            <w:pPr>
              <w:jc w:val="center"/>
            </w:pPr>
            <w:r w:rsidRPr="003B57EA">
              <w:t>0.99</w:t>
            </w:r>
          </w:p>
        </w:tc>
        <w:tc>
          <w:tcPr>
            <w:tcW w:w="0" w:type="auto"/>
            <w:tcMar>
              <w:top w:w="113" w:type="dxa"/>
              <w:left w:w="113" w:type="dxa"/>
              <w:bottom w:w="113" w:type="dxa"/>
              <w:right w:w="113" w:type="dxa"/>
            </w:tcMar>
            <w:hideMark/>
          </w:tcPr>
          <w:p w14:paraId="416C669A" w14:textId="77777777" w:rsidR="000E6F29" w:rsidRPr="003B57EA" w:rsidRDefault="000E6F29" w:rsidP="00746005">
            <w:pPr>
              <w:jc w:val="center"/>
            </w:pPr>
            <w:r w:rsidRPr="003B57EA">
              <w:t>0.79 – 1.20</w:t>
            </w:r>
          </w:p>
        </w:tc>
        <w:tc>
          <w:tcPr>
            <w:tcW w:w="0" w:type="auto"/>
            <w:tcMar>
              <w:top w:w="113" w:type="dxa"/>
              <w:left w:w="113" w:type="dxa"/>
              <w:bottom w:w="113" w:type="dxa"/>
              <w:right w:w="113" w:type="dxa"/>
            </w:tcMar>
            <w:hideMark/>
          </w:tcPr>
          <w:p w14:paraId="76A8E8C0"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48F6008A" w14:textId="77777777" w:rsidR="000E6F29" w:rsidRPr="003B57EA" w:rsidRDefault="000E6F29" w:rsidP="00746005">
            <w:pPr>
              <w:jc w:val="center"/>
            </w:pPr>
            <w:r w:rsidRPr="003B57EA">
              <w:t>0.34</w:t>
            </w:r>
          </w:p>
        </w:tc>
        <w:tc>
          <w:tcPr>
            <w:tcW w:w="0" w:type="auto"/>
            <w:tcMar>
              <w:top w:w="113" w:type="dxa"/>
              <w:left w:w="113" w:type="dxa"/>
              <w:bottom w:w="113" w:type="dxa"/>
              <w:right w:w="113" w:type="dxa"/>
            </w:tcMar>
            <w:hideMark/>
          </w:tcPr>
          <w:p w14:paraId="207F9277" w14:textId="77777777" w:rsidR="000E6F29" w:rsidRPr="003B57EA" w:rsidRDefault="000E6F29" w:rsidP="00746005">
            <w:pPr>
              <w:jc w:val="center"/>
            </w:pPr>
            <w:r w:rsidRPr="003B57EA">
              <w:t>0.23 – 0.44</w:t>
            </w:r>
          </w:p>
        </w:tc>
        <w:tc>
          <w:tcPr>
            <w:tcW w:w="0" w:type="auto"/>
            <w:tcMar>
              <w:top w:w="113" w:type="dxa"/>
              <w:left w:w="113" w:type="dxa"/>
              <w:bottom w:w="113" w:type="dxa"/>
              <w:right w:w="113" w:type="dxa"/>
            </w:tcMar>
            <w:hideMark/>
          </w:tcPr>
          <w:p w14:paraId="59229B06" w14:textId="77777777" w:rsidR="000E6F29" w:rsidRPr="003B57EA" w:rsidRDefault="000E6F29" w:rsidP="00746005">
            <w:pPr>
              <w:jc w:val="center"/>
            </w:pPr>
            <w:r w:rsidRPr="003B57EA">
              <w:rPr>
                <w:rStyle w:val="Strong"/>
              </w:rPr>
              <w:t>&lt;0.001</w:t>
            </w:r>
          </w:p>
        </w:tc>
      </w:tr>
      <w:tr w:rsidR="00FE2D9B" w:rsidRPr="003B57EA" w14:paraId="0F32656A" w14:textId="77777777" w:rsidTr="00746005">
        <w:tc>
          <w:tcPr>
            <w:tcW w:w="0" w:type="auto"/>
            <w:tcMar>
              <w:top w:w="113" w:type="dxa"/>
              <w:left w:w="113" w:type="dxa"/>
              <w:bottom w:w="113" w:type="dxa"/>
              <w:right w:w="113" w:type="dxa"/>
            </w:tcMar>
            <w:hideMark/>
          </w:tcPr>
          <w:p w14:paraId="26DC47DA" w14:textId="77777777" w:rsidR="000E6F29" w:rsidRPr="003B57EA" w:rsidRDefault="000E6F29" w:rsidP="00746005">
            <w:r w:rsidRPr="003B57EA">
              <w:t>Positive metacognitions</w:t>
            </w:r>
          </w:p>
        </w:tc>
        <w:tc>
          <w:tcPr>
            <w:tcW w:w="0" w:type="auto"/>
            <w:tcMar>
              <w:top w:w="113" w:type="dxa"/>
              <w:left w:w="113" w:type="dxa"/>
              <w:bottom w:w="113" w:type="dxa"/>
              <w:right w:w="113" w:type="dxa"/>
            </w:tcMar>
            <w:hideMark/>
          </w:tcPr>
          <w:p w14:paraId="6BBD47A4" w14:textId="77777777" w:rsidR="000E6F29" w:rsidRPr="003B57EA" w:rsidRDefault="000E6F29" w:rsidP="00746005">
            <w:pPr>
              <w:jc w:val="center"/>
            </w:pPr>
            <w:r w:rsidRPr="003B57EA">
              <w:t>0.16</w:t>
            </w:r>
          </w:p>
        </w:tc>
        <w:tc>
          <w:tcPr>
            <w:tcW w:w="0" w:type="auto"/>
            <w:tcMar>
              <w:top w:w="113" w:type="dxa"/>
              <w:left w:w="113" w:type="dxa"/>
              <w:bottom w:w="113" w:type="dxa"/>
              <w:right w:w="113" w:type="dxa"/>
            </w:tcMar>
            <w:hideMark/>
          </w:tcPr>
          <w:p w14:paraId="5772496D" w14:textId="77777777" w:rsidR="000E6F29" w:rsidRPr="003B57EA" w:rsidRDefault="000E6F29" w:rsidP="00746005">
            <w:pPr>
              <w:jc w:val="center"/>
            </w:pPr>
            <w:r w:rsidRPr="003B57EA">
              <w:t>0.10 – 0.23</w:t>
            </w:r>
          </w:p>
        </w:tc>
        <w:tc>
          <w:tcPr>
            <w:tcW w:w="0" w:type="auto"/>
            <w:tcMar>
              <w:top w:w="113" w:type="dxa"/>
              <w:left w:w="113" w:type="dxa"/>
              <w:bottom w:w="113" w:type="dxa"/>
              <w:right w:w="113" w:type="dxa"/>
            </w:tcMar>
            <w:hideMark/>
          </w:tcPr>
          <w:p w14:paraId="5677B556"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49747CCF" w14:textId="77777777" w:rsidR="000E6F29" w:rsidRPr="003B57EA" w:rsidRDefault="000E6F29" w:rsidP="00746005">
            <w:pPr>
              <w:jc w:val="center"/>
            </w:pPr>
            <w:r w:rsidRPr="003B57EA">
              <w:t>0.19</w:t>
            </w:r>
          </w:p>
        </w:tc>
        <w:tc>
          <w:tcPr>
            <w:tcW w:w="0" w:type="auto"/>
            <w:tcMar>
              <w:top w:w="113" w:type="dxa"/>
              <w:left w:w="113" w:type="dxa"/>
              <w:bottom w:w="113" w:type="dxa"/>
              <w:right w:w="113" w:type="dxa"/>
            </w:tcMar>
            <w:hideMark/>
          </w:tcPr>
          <w:p w14:paraId="14E4DF81" w14:textId="77777777" w:rsidR="000E6F29" w:rsidRPr="003B57EA" w:rsidRDefault="000E6F29" w:rsidP="00746005">
            <w:pPr>
              <w:jc w:val="center"/>
            </w:pPr>
            <w:r w:rsidRPr="003B57EA">
              <w:t>0.03 – 0.36</w:t>
            </w:r>
          </w:p>
        </w:tc>
        <w:tc>
          <w:tcPr>
            <w:tcW w:w="0" w:type="auto"/>
            <w:tcMar>
              <w:top w:w="113" w:type="dxa"/>
              <w:left w:w="113" w:type="dxa"/>
              <w:bottom w:w="113" w:type="dxa"/>
              <w:right w:w="113" w:type="dxa"/>
            </w:tcMar>
            <w:hideMark/>
          </w:tcPr>
          <w:p w14:paraId="2B5F0439" w14:textId="77777777" w:rsidR="000E6F29" w:rsidRPr="003B57EA" w:rsidRDefault="000E6F29" w:rsidP="00746005">
            <w:pPr>
              <w:jc w:val="center"/>
            </w:pPr>
            <w:r w:rsidRPr="003B57EA">
              <w:rPr>
                <w:rStyle w:val="Strong"/>
              </w:rPr>
              <w:t>0.022</w:t>
            </w:r>
          </w:p>
        </w:tc>
        <w:tc>
          <w:tcPr>
            <w:tcW w:w="0" w:type="auto"/>
            <w:tcMar>
              <w:top w:w="113" w:type="dxa"/>
              <w:left w:w="113" w:type="dxa"/>
              <w:bottom w:w="113" w:type="dxa"/>
              <w:right w:w="113" w:type="dxa"/>
            </w:tcMar>
            <w:hideMark/>
          </w:tcPr>
          <w:p w14:paraId="7731C68F" w14:textId="77777777" w:rsidR="000E6F29" w:rsidRPr="003B57EA" w:rsidRDefault="000E6F29" w:rsidP="00746005">
            <w:pPr>
              <w:jc w:val="center"/>
            </w:pPr>
            <w:r w:rsidRPr="003B57EA">
              <w:t>0.35</w:t>
            </w:r>
          </w:p>
        </w:tc>
        <w:tc>
          <w:tcPr>
            <w:tcW w:w="0" w:type="auto"/>
            <w:tcMar>
              <w:top w:w="113" w:type="dxa"/>
              <w:left w:w="113" w:type="dxa"/>
              <w:bottom w:w="113" w:type="dxa"/>
              <w:right w:w="113" w:type="dxa"/>
            </w:tcMar>
            <w:hideMark/>
          </w:tcPr>
          <w:p w14:paraId="4B9B6392" w14:textId="77777777" w:rsidR="000E6F29" w:rsidRPr="003B57EA" w:rsidRDefault="000E6F29" w:rsidP="00746005">
            <w:pPr>
              <w:jc w:val="center"/>
            </w:pPr>
            <w:r w:rsidRPr="003B57EA">
              <w:t>0.26 – 0.43</w:t>
            </w:r>
          </w:p>
        </w:tc>
        <w:tc>
          <w:tcPr>
            <w:tcW w:w="0" w:type="auto"/>
            <w:tcMar>
              <w:top w:w="113" w:type="dxa"/>
              <w:left w:w="113" w:type="dxa"/>
              <w:bottom w:w="113" w:type="dxa"/>
              <w:right w:w="113" w:type="dxa"/>
            </w:tcMar>
            <w:hideMark/>
          </w:tcPr>
          <w:p w14:paraId="2347A930" w14:textId="77777777" w:rsidR="000E6F29" w:rsidRPr="003B57EA" w:rsidRDefault="000E6F29" w:rsidP="00746005">
            <w:pPr>
              <w:jc w:val="center"/>
            </w:pPr>
            <w:r w:rsidRPr="003B57EA">
              <w:rPr>
                <w:rStyle w:val="Strong"/>
              </w:rPr>
              <w:t>&lt;0.001</w:t>
            </w:r>
          </w:p>
        </w:tc>
      </w:tr>
      <w:tr w:rsidR="00FE2D9B" w:rsidRPr="003B57EA" w14:paraId="0AF4939D" w14:textId="77777777" w:rsidTr="00746005">
        <w:tc>
          <w:tcPr>
            <w:tcW w:w="0" w:type="auto"/>
            <w:tcMar>
              <w:top w:w="113" w:type="dxa"/>
              <w:left w:w="113" w:type="dxa"/>
              <w:bottom w:w="113" w:type="dxa"/>
              <w:right w:w="113" w:type="dxa"/>
            </w:tcMar>
            <w:hideMark/>
          </w:tcPr>
          <w:p w14:paraId="1B695838" w14:textId="77777777" w:rsidR="000E6F29" w:rsidRPr="003B57EA" w:rsidRDefault="000E6F29" w:rsidP="00746005">
            <w:r w:rsidRPr="003B57EA">
              <w:t>Attachment anxiety</w:t>
            </w:r>
          </w:p>
        </w:tc>
        <w:tc>
          <w:tcPr>
            <w:tcW w:w="0" w:type="auto"/>
            <w:tcMar>
              <w:top w:w="113" w:type="dxa"/>
              <w:left w:w="113" w:type="dxa"/>
              <w:bottom w:w="113" w:type="dxa"/>
              <w:right w:w="113" w:type="dxa"/>
            </w:tcMar>
            <w:hideMark/>
          </w:tcPr>
          <w:p w14:paraId="336A257A"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0A2C7797" w14:textId="77777777" w:rsidR="000E6F29" w:rsidRPr="003B57EA" w:rsidRDefault="000E6F29" w:rsidP="00746005">
            <w:pPr>
              <w:jc w:val="center"/>
            </w:pPr>
            <w:r w:rsidRPr="003B57EA">
              <w:t>-0.01 – 0.08</w:t>
            </w:r>
          </w:p>
        </w:tc>
        <w:tc>
          <w:tcPr>
            <w:tcW w:w="0" w:type="auto"/>
            <w:tcMar>
              <w:top w:w="113" w:type="dxa"/>
              <w:left w:w="113" w:type="dxa"/>
              <w:bottom w:w="113" w:type="dxa"/>
              <w:right w:w="113" w:type="dxa"/>
            </w:tcMar>
            <w:hideMark/>
          </w:tcPr>
          <w:p w14:paraId="66F48D28" w14:textId="77777777" w:rsidR="000E6F29" w:rsidRPr="003B57EA" w:rsidRDefault="000E6F29" w:rsidP="00746005">
            <w:pPr>
              <w:jc w:val="center"/>
            </w:pPr>
            <w:r w:rsidRPr="003B57EA">
              <w:t>0.167</w:t>
            </w:r>
          </w:p>
        </w:tc>
        <w:tc>
          <w:tcPr>
            <w:tcW w:w="0" w:type="auto"/>
            <w:tcMar>
              <w:top w:w="113" w:type="dxa"/>
              <w:left w:w="113" w:type="dxa"/>
              <w:bottom w:w="113" w:type="dxa"/>
              <w:right w:w="113" w:type="dxa"/>
            </w:tcMar>
            <w:hideMark/>
          </w:tcPr>
          <w:p w14:paraId="4ED8254D" w14:textId="77777777" w:rsidR="000E6F29" w:rsidRPr="003B57EA" w:rsidRDefault="000E6F29" w:rsidP="00746005">
            <w:pPr>
              <w:jc w:val="center"/>
            </w:pPr>
            <w:r w:rsidRPr="003B57EA">
              <w:t>0.06</w:t>
            </w:r>
          </w:p>
        </w:tc>
        <w:tc>
          <w:tcPr>
            <w:tcW w:w="0" w:type="auto"/>
            <w:tcMar>
              <w:top w:w="113" w:type="dxa"/>
              <w:left w:w="113" w:type="dxa"/>
              <w:bottom w:w="113" w:type="dxa"/>
              <w:right w:w="113" w:type="dxa"/>
            </w:tcMar>
            <w:hideMark/>
          </w:tcPr>
          <w:p w14:paraId="551BD8C8" w14:textId="77777777" w:rsidR="000E6F29" w:rsidRPr="003B57EA" w:rsidRDefault="000E6F29" w:rsidP="00746005">
            <w:pPr>
              <w:jc w:val="center"/>
            </w:pPr>
            <w:r w:rsidRPr="003B57EA">
              <w:t>-0.07 – 0.20</w:t>
            </w:r>
          </w:p>
        </w:tc>
        <w:tc>
          <w:tcPr>
            <w:tcW w:w="0" w:type="auto"/>
            <w:tcMar>
              <w:top w:w="113" w:type="dxa"/>
              <w:left w:w="113" w:type="dxa"/>
              <w:bottom w:w="113" w:type="dxa"/>
              <w:right w:w="113" w:type="dxa"/>
            </w:tcMar>
            <w:hideMark/>
          </w:tcPr>
          <w:p w14:paraId="28585A62" w14:textId="77777777" w:rsidR="000E6F29" w:rsidRPr="003B57EA" w:rsidRDefault="000E6F29" w:rsidP="00746005">
            <w:pPr>
              <w:jc w:val="center"/>
            </w:pPr>
            <w:r w:rsidRPr="003B57EA">
              <w:t>0.354</w:t>
            </w:r>
          </w:p>
        </w:tc>
        <w:tc>
          <w:tcPr>
            <w:tcW w:w="0" w:type="auto"/>
            <w:tcMar>
              <w:top w:w="113" w:type="dxa"/>
              <w:left w:w="113" w:type="dxa"/>
              <w:bottom w:w="113" w:type="dxa"/>
              <w:right w:w="113" w:type="dxa"/>
            </w:tcMar>
            <w:hideMark/>
          </w:tcPr>
          <w:p w14:paraId="60902064" w14:textId="77777777" w:rsidR="000E6F29" w:rsidRPr="003B57EA" w:rsidRDefault="000E6F29" w:rsidP="00746005">
            <w:pPr>
              <w:jc w:val="center"/>
            </w:pPr>
            <w:r w:rsidRPr="003B57EA">
              <w:t>-0.04</w:t>
            </w:r>
          </w:p>
        </w:tc>
        <w:tc>
          <w:tcPr>
            <w:tcW w:w="0" w:type="auto"/>
            <w:tcMar>
              <w:top w:w="113" w:type="dxa"/>
              <w:left w:w="113" w:type="dxa"/>
              <w:bottom w:w="113" w:type="dxa"/>
              <w:right w:w="113" w:type="dxa"/>
            </w:tcMar>
            <w:hideMark/>
          </w:tcPr>
          <w:p w14:paraId="14377E6A" w14:textId="77777777" w:rsidR="000E6F29" w:rsidRPr="003B57EA" w:rsidRDefault="000E6F29" w:rsidP="00746005">
            <w:pPr>
              <w:jc w:val="center"/>
            </w:pPr>
            <w:r w:rsidRPr="003B57EA">
              <w:t>-0.11 – 0.03</w:t>
            </w:r>
          </w:p>
        </w:tc>
        <w:tc>
          <w:tcPr>
            <w:tcW w:w="0" w:type="auto"/>
            <w:tcMar>
              <w:top w:w="113" w:type="dxa"/>
              <w:left w:w="113" w:type="dxa"/>
              <w:bottom w:w="113" w:type="dxa"/>
              <w:right w:w="113" w:type="dxa"/>
            </w:tcMar>
            <w:hideMark/>
          </w:tcPr>
          <w:p w14:paraId="2FF95312" w14:textId="77777777" w:rsidR="000E6F29" w:rsidRPr="003B57EA" w:rsidRDefault="000E6F29" w:rsidP="00746005">
            <w:pPr>
              <w:jc w:val="center"/>
            </w:pPr>
            <w:r w:rsidRPr="003B57EA">
              <w:t>0.251</w:t>
            </w:r>
          </w:p>
        </w:tc>
      </w:tr>
      <w:tr w:rsidR="00FE2D9B" w:rsidRPr="003B57EA" w14:paraId="036C34DA" w14:textId="77777777" w:rsidTr="00746005">
        <w:tc>
          <w:tcPr>
            <w:tcW w:w="0" w:type="auto"/>
            <w:tcMar>
              <w:top w:w="113" w:type="dxa"/>
              <w:left w:w="113" w:type="dxa"/>
              <w:bottom w:w="113" w:type="dxa"/>
              <w:right w:w="113" w:type="dxa"/>
            </w:tcMar>
            <w:hideMark/>
          </w:tcPr>
          <w:p w14:paraId="63CF98BE" w14:textId="77777777" w:rsidR="000E6F29" w:rsidRPr="003B57EA" w:rsidRDefault="000E6F29" w:rsidP="00746005">
            <w:r w:rsidRPr="003B57EA">
              <w:t>Attachment avoidance</w:t>
            </w:r>
          </w:p>
        </w:tc>
        <w:tc>
          <w:tcPr>
            <w:tcW w:w="0" w:type="auto"/>
            <w:tcMar>
              <w:top w:w="113" w:type="dxa"/>
              <w:left w:w="113" w:type="dxa"/>
              <w:bottom w:w="113" w:type="dxa"/>
              <w:right w:w="113" w:type="dxa"/>
            </w:tcMar>
            <w:hideMark/>
          </w:tcPr>
          <w:p w14:paraId="2E239F65" w14:textId="77777777" w:rsidR="000E6F29" w:rsidRPr="003B57EA" w:rsidRDefault="000E6F29" w:rsidP="00746005">
            <w:pPr>
              <w:jc w:val="center"/>
            </w:pPr>
            <w:r w:rsidRPr="003B57EA">
              <w:t>0.11</w:t>
            </w:r>
          </w:p>
        </w:tc>
        <w:tc>
          <w:tcPr>
            <w:tcW w:w="0" w:type="auto"/>
            <w:tcMar>
              <w:top w:w="113" w:type="dxa"/>
              <w:left w:w="113" w:type="dxa"/>
              <w:bottom w:w="113" w:type="dxa"/>
              <w:right w:w="113" w:type="dxa"/>
            </w:tcMar>
            <w:hideMark/>
          </w:tcPr>
          <w:p w14:paraId="27A6AE86" w14:textId="77777777" w:rsidR="000E6F29" w:rsidRPr="003B57EA" w:rsidRDefault="000E6F29" w:rsidP="00746005">
            <w:pPr>
              <w:jc w:val="center"/>
            </w:pPr>
            <w:r w:rsidRPr="003B57EA">
              <w:t>0.06 – 0.17</w:t>
            </w:r>
          </w:p>
        </w:tc>
        <w:tc>
          <w:tcPr>
            <w:tcW w:w="0" w:type="auto"/>
            <w:tcMar>
              <w:top w:w="113" w:type="dxa"/>
              <w:left w:w="113" w:type="dxa"/>
              <w:bottom w:w="113" w:type="dxa"/>
              <w:right w:w="113" w:type="dxa"/>
            </w:tcMar>
            <w:hideMark/>
          </w:tcPr>
          <w:p w14:paraId="4082136F"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59307179" w14:textId="77777777" w:rsidR="000E6F29" w:rsidRPr="003B57EA" w:rsidRDefault="000E6F29" w:rsidP="00746005">
            <w:pPr>
              <w:jc w:val="center"/>
            </w:pPr>
            <w:r w:rsidRPr="003B57EA">
              <w:t>0.36</w:t>
            </w:r>
          </w:p>
        </w:tc>
        <w:tc>
          <w:tcPr>
            <w:tcW w:w="0" w:type="auto"/>
            <w:tcMar>
              <w:top w:w="113" w:type="dxa"/>
              <w:left w:w="113" w:type="dxa"/>
              <w:bottom w:w="113" w:type="dxa"/>
              <w:right w:w="113" w:type="dxa"/>
            </w:tcMar>
            <w:hideMark/>
          </w:tcPr>
          <w:p w14:paraId="327E1B3B" w14:textId="77777777" w:rsidR="000E6F29" w:rsidRPr="003B57EA" w:rsidRDefault="000E6F29" w:rsidP="00746005">
            <w:pPr>
              <w:jc w:val="center"/>
            </w:pPr>
            <w:r w:rsidRPr="003B57EA">
              <w:t>0.20 – 0.51</w:t>
            </w:r>
          </w:p>
        </w:tc>
        <w:tc>
          <w:tcPr>
            <w:tcW w:w="0" w:type="auto"/>
            <w:tcMar>
              <w:top w:w="113" w:type="dxa"/>
              <w:left w:w="113" w:type="dxa"/>
              <w:bottom w:w="113" w:type="dxa"/>
              <w:right w:w="113" w:type="dxa"/>
            </w:tcMar>
            <w:hideMark/>
          </w:tcPr>
          <w:p w14:paraId="2AE76BF8"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0B25D227" w14:textId="77777777" w:rsidR="000E6F29" w:rsidRPr="003B57EA" w:rsidRDefault="000E6F29" w:rsidP="00746005">
            <w:pPr>
              <w:jc w:val="center"/>
            </w:pPr>
            <w:r w:rsidRPr="003B57EA">
              <w:t>0.02</w:t>
            </w:r>
          </w:p>
        </w:tc>
        <w:tc>
          <w:tcPr>
            <w:tcW w:w="0" w:type="auto"/>
            <w:tcMar>
              <w:top w:w="113" w:type="dxa"/>
              <w:left w:w="113" w:type="dxa"/>
              <w:bottom w:w="113" w:type="dxa"/>
              <w:right w:w="113" w:type="dxa"/>
            </w:tcMar>
            <w:hideMark/>
          </w:tcPr>
          <w:p w14:paraId="44FBD977" w14:textId="77777777" w:rsidR="000E6F29" w:rsidRPr="003B57EA" w:rsidRDefault="000E6F29" w:rsidP="00746005">
            <w:pPr>
              <w:jc w:val="center"/>
            </w:pPr>
            <w:r w:rsidRPr="003B57EA">
              <w:t>-0.07 – 0.10</w:t>
            </w:r>
          </w:p>
        </w:tc>
        <w:tc>
          <w:tcPr>
            <w:tcW w:w="0" w:type="auto"/>
            <w:tcMar>
              <w:top w:w="113" w:type="dxa"/>
              <w:left w:w="113" w:type="dxa"/>
              <w:bottom w:w="113" w:type="dxa"/>
              <w:right w:w="113" w:type="dxa"/>
            </w:tcMar>
            <w:hideMark/>
          </w:tcPr>
          <w:p w14:paraId="0CD28605" w14:textId="77777777" w:rsidR="000E6F29" w:rsidRPr="003B57EA" w:rsidRDefault="000E6F29" w:rsidP="00746005">
            <w:pPr>
              <w:jc w:val="center"/>
            </w:pPr>
            <w:r w:rsidRPr="003B57EA">
              <w:t>0.708</w:t>
            </w:r>
          </w:p>
        </w:tc>
      </w:tr>
      <w:tr w:rsidR="00FE2D9B" w:rsidRPr="003B57EA" w14:paraId="05CC5ABD" w14:textId="77777777" w:rsidTr="00746005">
        <w:tc>
          <w:tcPr>
            <w:tcW w:w="0" w:type="auto"/>
            <w:tcMar>
              <w:top w:w="113" w:type="dxa"/>
              <w:left w:w="113" w:type="dxa"/>
              <w:bottom w:w="113" w:type="dxa"/>
              <w:right w:w="113" w:type="dxa"/>
            </w:tcMar>
            <w:hideMark/>
          </w:tcPr>
          <w:p w14:paraId="69344A29" w14:textId="77777777" w:rsidR="000E6F29" w:rsidRPr="003B57EA" w:rsidRDefault="000E6F29" w:rsidP="00746005">
            <w:r w:rsidRPr="003B57EA">
              <w:t>Gender</w:t>
            </w:r>
          </w:p>
        </w:tc>
        <w:tc>
          <w:tcPr>
            <w:tcW w:w="0" w:type="auto"/>
            <w:tcMar>
              <w:top w:w="113" w:type="dxa"/>
              <w:left w:w="113" w:type="dxa"/>
              <w:bottom w:w="113" w:type="dxa"/>
              <w:right w:w="113" w:type="dxa"/>
            </w:tcMar>
            <w:hideMark/>
          </w:tcPr>
          <w:p w14:paraId="160E053A" w14:textId="77777777" w:rsidR="000E6F29" w:rsidRPr="003B57EA" w:rsidRDefault="000E6F29" w:rsidP="00746005">
            <w:pPr>
              <w:jc w:val="center"/>
            </w:pPr>
            <w:r w:rsidRPr="003B57EA">
              <w:t>-0.07</w:t>
            </w:r>
          </w:p>
        </w:tc>
        <w:tc>
          <w:tcPr>
            <w:tcW w:w="0" w:type="auto"/>
            <w:tcMar>
              <w:top w:w="113" w:type="dxa"/>
              <w:left w:w="113" w:type="dxa"/>
              <w:bottom w:w="113" w:type="dxa"/>
              <w:right w:w="113" w:type="dxa"/>
            </w:tcMar>
            <w:hideMark/>
          </w:tcPr>
          <w:p w14:paraId="32EB3EFD" w14:textId="77777777" w:rsidR="000E6F29" w:rsidRPr="003B57EA" w:rsidRDefault="000E6F29" w:rsidP="00746005">
            <w:pPr>
              <w:jc w:val="center"/>
            </w:pPr>
            <w:r w:rsidRPr="003B57EA">
              <w:t>-0.14 – 0.01</w:t>
            </w:r>
          </w:p>
        </w:tc>
        <w:tc>
          <w:tcPr>
            <w:tcW w:w="0" w:type="auto"/>
            <w:tcMar>
              <w:top w:w="113" w:type="dxa"/>
              <w:left w:w="113" w:type="dxa"/>
              <w:bottom w:w="113" w:type="dxa"/>
              <w:right w:w="113" w:type="dxa"/>
            </w:tcMar>
            <w:hideMark/>
          </w:tcPr>
          <w:p w14:paraId="05DC3D3D" w14:textId="77777777" w:rsidR="000E6F29" w:rsidRPr="003B57EA" w:rsidRDefault="000E6F29" w:rsidP="00746005">
            <w:pPr>
              <w:jc w:val="center"/>
            </w:pPr>
            <w:r w:rsidRPr="003B57EA">
              <w:t>0.084</w:t>
            </w:r>
          </w:p>
        </w:tc>
        <w:tc>
          <w:tcPr>
            <w:tcW w:w="0" w:type="auto"/>
            <w:tcMar>
              <w:top w:w="113" w:type="dxa"/>
              <w:left w:w="113" w:type="dxa"/>
              <w:bottom w:w="113" w:type="dxa"/>
              <w:right w:w="113" w:type="dxa"/>
            </w:tcMar>
            <w:hideMark/>
          </w:tcPr>
          <w:p w14:paraId="6D261204" w14:textId="77777777" w:rsidR="000E6F29" w:rsidRPr="003B57EA" w:rsidRDefault="000E6F29" w:rsidP="00746005">
            <w:pPr>
              <w:jc w:val="center"/>
            </w:pPr>
            <w:r w:rsidRPr="003B57EA">
              <w:t>-0.02</w:t>
            </w:r>
          </w:p>
        </w:tc>
        <w:tc>
          <w:tcPr>
            <w:tcW w:w="0" w:type="auto"/>
            <w:tcMar>
              <w:top w:w="113" w:type="dxa"/>
              <w:left w:w="113" w:type="dxa"/>
              <w:bottom w:w="113" w:type="dxa"/>
              <w:right w:w="113" w:type="dxa"/>
            </w:tcMar>
            <w:hideMark/>
          </w:tcPr>
          <w:p w14:paraId="688E20E2" w14:textId="77777777" w:rsidR="000E6F29" w:rsidRPr="003B57EA" w:rsidRDefault="000E6F29" w:rsidP="00746005">
            <w:pPr>
              <w:jc w:val="center"/>
            </w:pPr>
            <w:r w:rsidRPr="003B57EA">
              <w:t>-0.23 – 0.18</w:t>
            </w:r>
          </w:p>
        </w:tc>
        <w:tc>
          <w:tcPr>
            <w:tcW w:w="0" w:type="auto"/>
            <w:tcMar>
              <w:top w:w="113" w:type="dxa"/>
              <w:left w:w="113" w:type="dxa"/>
              <w:bottom w:w="113" w:type="dxa"/>
              <w:right w:w="113" w:type="dxa"/>
            </w:tcMar>
            <w:hideMark/>
          </w:tcPr>
          <w:p w14:paraId="2F905AA4" w14:textId="77777777" w:rsidR="000E6F29" w:rsidRPr="003B57EA" w:rsidRDefault="000E6F29" w:rsidP="00746005">
            <w:pPr>
              <w:jc w:val="center"/>
            </w:pPr>
            <w:r w:rsidRPr="003B57EA">
              <w:t>0.824</w:t>
            </w:r>
          </w:p>
        </w:tc>
        <w:tc>
          <w:tcPr>
            <w:tcW w:w="0" w:type="auto"/>
            <w:tcMar>
              <w:top w:w="113" w:type="dxa"/>
              <w:left w:w="113" w:type="dxa"/>
              <w:bottom w:w="113" w:type="dxa"/>
              <w:right w:w="113" w:type="dxa"/>
            </w:tcMar>
            <w:hideMark/>
          </w:tcPr>
          <w:p w14:paraId="4FF20591" w14:textId="77777777" w:rsidR="000E6F29" w:rsidRPr="003B57EA" w:rsidRDefault="000E6F29" w:rsidP="00746005">
            <w:pPr>
              <w:jc w:val="center"/>
            </w:pPr>
            <w:r w:rsidRPr="003B57EA">
              <w:t>-0.08</w:t>
            </w:r>
          </w:p>
        </w:tc>
        <w:tc>
          <w:tcPr>
            <w:tcW w:w="0" w:type="auto"/>
            <w:tcMar>
              <w:top w:w="113" w:type="dxa"/>
              <w:left w:w="113" w:type="dxa"/>
              <w:bottom w:w="113" w:type="dxa"/>
              <w:right w:w="113" w:type="dxa"/>
            </w:tcMar>
            <w:hideMark/>
          </w:tcPr>
          <w:p w14:paraId="12CC6A2A" w14:textId="77777777" w:rsidR="000E6F29" w:rsidRPr="003B57EA" w:rsidRDefault="000E6F29" w:rsidP="00746005">
            <w:pPr>
              <w:jc w:val="center"/>
            </w:pPr>
            <w:r w:rsidRPr="003B57EA">
              <w:t>-0.19 – 0.03</w:t>
            </w:r>
          </w:p>
        </w:tc>
        <w:tc>
          <w:tcPr>
            <w:tcW w:w="0" w:type="auto"/>
            <w:tcMar>
              <w:top w:w="113" w:type="dxa"/>
              <w:left w:w="113" w:type="dxa"/>
              <w:bottom w:w="113" w:type="dxa"/>
              <w:right w:w="113" w:type="dxa"/>
            </w:tcMar>
            <w:hideMark/>
          </w:tcPr>
          <w:p w14:paraId="4711829B" w14:textId="77777777" w:rsidR="000E6F29" w:rsidRPr="003B57EA" w:rsidRDefault="000E6F29" w:rsidP="00746005">
            <w:pPr>
              <w:jc w:val="center"/>
            </w:pPr>
            <w:r w:rsidRPr="003B57EA">
              <w:t>0.135</w:t>
            </w:r>
          </w:p>
        </w:tc>
      </w:tr>
      <w:tr w:rsidR="00FE2D9B" w:rsidRPr="003B57EA" w14:paraId="21D4AE4D" w14:textId="77777777" w:rsidTr="00746005">
        <w:tc>
          <w:tcPr>
            <w:tcW w:w="0" w:type="auto"/>
            <w:tcMar>
              <w:top w:w="113" w:type="dxa"/>
              <w:left w:w="113" w:type="dxa"/>
              <w:bottom w:w="113" w:type="dxa"/>
              <w:right w:w="113" w:type="dxa"/>
            </w:tcMar>
            <w:hideMark/>
          </w:tcPr>
          <w:p w14:paraId="0BC1C3C1" w14:textId="77777777" w:rsidR="000E6F29" w:rsidRPr="003B57EA" w:rsidRDefault="000E6F29" w:rsidP="00746005">
            <w:r w:rsidRPr="003B57EA">
              <w:t>Age</w:t>
            </w:r>
          </w:p>
        </w:tc>
        <w:tc>
          <w:tcPr>
            <w:tcW w:w="0" w:type="auto"/>
            <w:tcMar>
              <w:top w:w="113" w:type="dxa"/>
              <w:left w:w="113" w:type="dxa"/>
              <w:bottom w:w="113" w:type="dxa"/>
              <w:right w:w="113" w:type="dxa"/>
            </w:tcMar>
            <w:hideMark/>
          </w:tcPr>
          <w:p w14:paraId="237F7458" w14:textId="77777777" w:rsidR="000E6F29" w:rsidRPr="003B57EA" w:rsidRDefault="000E6F29" w:rsidP="00746005">
            <w:pPr>
              <w:jc w:val="center"/>
            </w:pPr>
            <w:r w:rsidRPr="003B57EA">
              <w:t>0.02</w:t>
            </w:r>
          </w:p>
        </w:tc>
        <w:tc>
          <w:tcPr>
            <w:tcW w:w="0" w:type="auto"/>
            <w:tcMar>
              <w:top w:w="113" w:type="dxa"/>
              <w:left w:w="113" w:type="dxa"/>
              <w:bottom w:w="113" w:type="dxa"/>
              <w:right w:w="113" w:type="dxa"/>
            </w:tcMar>
            <w:hideMark/>
          </w:tcPr>
          <w:p w14:paraId="6B9F1468" w14:textId="77777777" w:rsidR="000E6F29" w:rsidRPr="003B57EA" w:rsidRDefault="000E6F29" w:rsidP="00746005">
            <w:pPr>
              <w:jc w:val="center"/>
            </w:pPr>
            <w:r w:rsidRPr="003B57EA">
              <w:t>-0.00 – 0.04</w:t>
            </w:r>
          </w:p>
        </w:tc>
        <w:tc>
          <w:tcPr>
            <w:tcW w:w="0" w:type="auto"/>
            <w:tcMar>
              <w:top w:w="113" w:type="dxa"/>
              <w:left w:w="113" w:type="dxa"/>
              <w:bottom w:w="113" w:type="dxa"/>
              <w:right w:w="113" w:type="dxa"/>
            </w:tcMar>
            <w:hideMark/>
          </w:tcPr>
          <w:p w14:paraId="50DEBBB6" w14:textId="77777777" w:rsidR="000E6F29" w:rsidRPr="003B57EA" w:rsidRDefault="000E6F29" w:rsidP="00746005">
            <w:pPr>
              <w:jc w:val="center"/>
            </w:pPr>
            <w:r w:rsidRPr="003B57EA">
              <w:t>0.081</w:t>
            </w:r>
          </w:p>
        </w:tc>
        <w:tc>
          <w:tcPr>
            <w:tcW w:w="0" w:type="auto"/>
            <w:tcMar>
              <w:top w:w="113" w:type="dxa"/>
              <w:left w:w="113" w:type="dxa"/>
              <w:bottom w:w="113" w:type="dxa"/>
              <w:right w:w="113" w:type="dxa"/>
            </w:tcMar>
            <w:hideMark/>
          </w:tcPr>
          <w:p w14:paraId="0BD41E8B" w14:textId="77777777" w:rsidR="000E6F29" w:rsidRPr="003B57EA" w:rsidRDefault="000E6F29" w:rsidP="00746005">
            <w:pPr>
              <w:jc w:val="center"/>
            </w:pPr>
            <w:r w:rsidRPr="003B57EA">
              <w:t>0.06</w:t>
            </w:r>
          </w:p>
        </w:tc>
        <w:tc>
          <w:tcPr>
            <w:tcW w:w="0" w:type="auto"/>
            <w:tcMar>
              <w:top w:w="113" w:type="dxa"/>
              <w:left w:w="113" w:type="dxa"/>
              <w:bottom w:w="113" w:type="dxa"/>
              <w:right w:w="113" w:type="dxa"/>
            </w:tcMar>
            <w:hideMark/>
          </w:tcPr>
          <w:p w14:paraId="63A483C6" w14:textId="77777777" w:rsidR="000E6F29" w:rsidRPr="003B57EA" w:rsidRDefault="000E6F29" w:rsidP="00746005">
            <w:pPr>
              <w:jc w:val="center"/>
            </w:pPr>
            <w:r w:rsidRPr="003B57EA">
              <w:t>-0.00 – 0.12</w:t>
            </w:r>
          </w:p>
        </w:tc>
        <w:tc>
          <w:tcPr>
            <w:tcW w:w="0" w:type="auto"/>
            <w:tcMar>
              <w:top w:w="113" w:type="dxa"/>
              <w:left w:w="113" w:type="dxa"/>
              <w:bottom w:w="113" w:type="dxa"/>
              <w:right w:w="113" w:type="dxa"/>
            </w:tcMar>
            <w:hideMark/>
          </w:tcPr>
          <w:p w14:paraId="3960357F" w14:textId="77777777" w:rsidR="000E6F29" w:rsidRPr="003B57EA" w:rsidRDefault="000E6F29" w:rsidP="00746005">
            <w:pPr>
              <w:jc w:val="center"/>
            </w:pPr>
            <w:r w:rsidRPr="003B57EA">
              <w:t>0.061</w:t>
            </w:r>
          </w:p>
        </w:tc>
        <w:tc>
          <w:tcPr>
            <w:tcW w:w="0" w:type="auto"/>
            <w:tcMar>
              <w:top w:w="113" w:type="dxa"/>
              <w:left w:w="113" w:type="dxa"/>
              <w:bottom w:w="113" w:type="dxa"/>
              <w:right w:w="113" w:type="dxa"/>
            </w:tcMar>
            <w:hideMark/>
          </w:tcPr>
          <w:p w14:paraId="3AF11890" w14:textId="77777777" w:rsidR="000E6F29" w:rsidRPr="003B57EA" w:rsidRDefault="000E6F29" w:rsidP="00746005">
            <w:pPr>
              <w:jc w:val="center"/>
            </w:pPr>
            <w:r w:rsidRPr="003B57EA">
              <w:t>0.04</w:t>
            </w:r>
          </w:p>
        </w:tc>
        <w:tc>
          <w:tcPr>
            <w:tcW w:w="0" w:type="auto"/>
            <w:tcMar>
              <w:top w:w="113" w:type="dxa"/>
              <w:left w:w="113" w:type="dxa"/>
              <w:bottom w:w="113" w:type="dxa"/>
              <w:right w:w="113" w:type="dxa"/>
            </w:tcMar>
            <w:hideMark/>
          </w:tcPr>
          <w:p w14:paraId="4E481478" w14:textId="77777777" w:rsidR="000E6F29" w:rsidRPr="003B57EA" w:rsidRDefault="000E6F29" w:rsidP="00746005">
            <w:pPr>
              <w:jc w:val="center"/>
            </w:pPr>
            <w:r w:rsidRPr="003B57EA">
              <w:t>0.01 – 0.08</w:t>
            </w:r>
          </w:p>
        </w:tc>
        <w:tc>
          <w:tcPr>
            <w:tcW w:w="0" w:type="auto"/>
            <w:tcMar>
              <w:top w:w="113" w:type="dxa"/>
              <w:left w:w="113" w:type="dxa"/>
              <w:bottom w:w="113" w:type="dxa"/>
              <w:right w:w="113" w:type="dxa"/>
            </w:tcMar>
            <w:hideMark/>
          </w:tcPr>
          <w:p w14:paraId="3E46165C" w14:textId="77777777" w:rsidR="000E6F29" w:rsidRPr="003B57EA" w:rsidRDefault="000E6F29" w:rsidP="00746005">
            <w:pPr>
              <w:jc w:val="center"/>
            </w:pPr>
            <w:r w:rsidRPr="003B57EA">
              <w:rPr>
                <w:rStyle w:val="Strong"/>
              </w:rPr>
              <w:t>0.008</w:t>
            </w:r>
          </w:p>
        </w:tc>
      </w:tr>
      <w:tr w:rsidR="00FE2D9B" w:rsidRPr="003B57EA" w14:paraId="74263F64" w14:textId="77777777" w:rsidTr="00746005">
        <w:tc>
          <w:tcPr>
            <w:tcW w:w="0" w:type="auto"/>
            <w:tcMar>
              <w:top w:w="113" w:type="dxa"/>
              <w:left w:w="113" w:type="dxa"/>
              <w:bottom w:w="113" w:type="dxa"/>
              <w:right w:w="113" w:type="dxa"/>
            </w:tcMar>
            <w:hideMark/>
          </w:tcPr>
          <w:p w14:paraId="772F8282" w14:textId="77777777" w:rsidR="000E6F29" w:rsidRPr="003B57EA" w:rsidRDefault="000E6F29" w:rsidP="00746005">
            <w:r w:rsidRPr="003B57EA">
              <w:t>Religiosity</w:t>
            </w:r>
          </w:p>
        </w:tc>
        <w:tc>
          <w:tcPr>
            <w:tcW w:w="0" w:type="auto"/>
            <w:tcMar>
              <w:top w:w="113" w:type="dxa"/>
              <w:left w:w="113" w:type="dxa"/>
              <w:bottom w:w="113" w:type="dxa"/>
              <w:right w:w="113" w:type="dxa"/>
            </w:tcMar>
            <w:hideMark/>
          </w:tcPr>
          <w:p w14:paraId="74AE9A74" w14:textId="77777777" w:rsidR="000E6F29" w:rsidRPr="003B57EA" w:rsidRDefault="000E6F29" w:rsidP="00746005">
            <w:pPr>
              <w:jc w:val="center"/>
            </w:pPr>
            <w:r w:rsidRPr="003B57EA">
              <w:t>-0.04</w:t>
            </w:r>
          </w:p>
        </w:tc>
        <w:tc>
          <w:tcPr>
            <w:tcW w:w="0" w:type="auto"/>
            <w:tcMar>
              <w:top w:w="113" w:type="dxa"/>
              <w:left w:w="113" w:type="dxa"/>
              <w:bottom w:w="113" w:type="dxa"/>
              <w:right w:w="113" w:type="dxa"/>
            </w:tcMar>
            <w:hideMark/>
          </w:tcPr>
          <w:p w14:paraId="69683D43" w14:textId="77777777" w:rsidR="000E6F29" w:rsidRPr="003B57EA" w:rsidRDefault="000E6F29" w:rsidP="00746005">
            <w:pPr>
              <w:jc w:val="center"/>
            </w:pPr>
            <w:r w:rsidRPr="003B57EA">
              <w:t>-0.08 – -0.00</w:t>
            </w:r>
          </w:p>
        </w:tc>
        <w:tc>
          <w:tcPr>
            <w:tcW w:w="0" w:type="auto"/>
            <w:tcMar>
              <w:top w:w="113" w:type="dxa"/>
              <w:left w:w="113" w:type="dxa"/>
              <w:bottom w:w="113" w:type="dxa"/>
              <w:right w:w="113" w:type="dxa"/>
            </w:tcMar>
            <w:hideMark/>
          </w:tcPr>
          <w:p w14:paraId="5F032D8C" w14:textId="77777777" w:rsidR="000E6F29" w:rsidRPr="003B57EA" w:rsidRDefault="000E6F29" w:rsidP="00746005">
            <w:pPr>
              <w:jc w:val="center"/>
            </w:pPr>
            <w:r w:rsidRPr="003B57EA">
              <w:rPr>
                <w:rStyle w:val="Strong"/>
              </w:rPr>
              <w:t>0.037</w:t>
            </w:r>
          </w:p>
        </w:tc>
        <w:tc>
          <w:tcPr>
            <w:tcW w:w="0" w:type="auto"/>
            <w:tcMar>
              <w:top w:w="113" w:type="dxa"/>
              <w:left w:w="113" w:type="dxa"/>
              <w:bottom w:w="113" w:type="dxa"/>
              <w:right w:w="113" w:type="dxa"/>
            </w:tcMar>
            <w:hideMark/>
          </w:tcPr>
          <w:p w14:paraId="17F73784" w14:textId="77777777" w:rsidR="000E6F29" w:rsidRPr="003B57EA" w:rsidRDefault="000E6F29" w:rsidP="00746005">
            <w:pPr>
              <w:jc w:val="center"/>
            </w:pPr>
            <w:r w:rsidRPr="003B57EA">
              <w:t>-0.10</w:t>
            </w:r>
          </w:p>
        </w:tc>
        <w:tc>
          <w:tcPr>
            <w:tcW w:w="0" w:type="auto"/>
            <w:tcMar>
              <w:top w:w="113" w:type="dxa"/>
              <w:left w:w="113" w:type="dxa"/>
              <w:bottom w:w="113" w:type="dxa"/>
              <w:right w:w="113" w:type="dxa"/>
            </w:tcMar>
            <w:hideMark/>
          </w:tcPr>
          <w:p w14:paraId="02198CC3" w14:textId="77777777" w:rsidR="000E6F29" w:rsidRPr="003B57EA" w:rsidRDefault="000E6F29" w:rsidP="00746005">
            <w:pPr>
              <w:jc w:val="center"/>
            </w:pPr>
            <w:r w:rsidRPr="003B57EA">
              <w:t>-0.21 – 0.01</w:t>
            </w:r>
          </w:p>
        </w:tc>
        <w:tc>
          <w:tcPr>
            <w:tcW w:w="0" w:type="auto"/>
            <w:tcMar>
              <w:top w:w="113" w:type="dxa"/>
              <w:left w:w="113" w:type="dxa"/>
              <w:bottom w:w="113" w:type="dxa"/>
              <w:right w:w="113" w:type="dxa"/>
            </w:tcMar>
            <w:hideMark/>
          </w:tcPr>
          <w:p w14:paraId="2939C518" w14:textId="77777777" w:rsidR="000E6F29" w:rsidRPr="003B57EA" w:rsidRDefault="000E6F29" w:rsidP="00746005">
            <w:pPr>
              <w:jc w:val="center"/>
            </w:pPr>
            <w:r w:rsidRPr="003B57EA">
              <w:t>0.068</w:t>
            </w:r>
          </w:p>
        </w:tc>
        <w:tc>
          <w:tcPr>
            <w:tcW w:w="0" w:type="auto"/>
            <w:tcMar>
              <w:top w:w="113" w:type="dxa"/>
              <w:left w:w="113" w:type="dxa"/>
              <w:bottom w:w="113" w:type="dxa"/>
              <w:right w:w="113" w:type="dxa"/>
            </w:tcMar>
            <w:hideMark/>
          </w:tcPr>
          <w:p w14:paraId="284B02AA" w14:textId="77777777" w:rsidR="000E6F29" w:rsidRPr="003B57EA" w:rsidRDefault="000E6F29" w:rsidP="00746005">
            <w:pPr>
              <w:jc w:val="center"/>
            </w:pPr>
            <w:r w:rsidRPr="003B57EA">
              <w:t>-0.18</w:t>
            </w:r>
          </w:p>
        </w:tc>
        <w:tc>
          <w:tcPr>
            <w:tcW w:w="0" w:type="auto"/>
            <w:tcMar>
              <w:top w:w="113" w:type="dxa"/>
              <w:left w:w="113" w:type="dxa"/>
              <w:bottom w:w="113" w:type="dxa"/>
              <w:right w:w="113" w:type="dxa"/>
            </w:tcMar>
            <w:hideMark/>
          </w:tcPr>
          <w:p w14:paraId="60B1EF2D" w14:textId="77777777" w:rsidR="000E6F29" w:rsidRPr="003B57EA" w:rsidRDefault="000E6F29" w:rsidP="00746005">
            <w:pPr>
              <w:jc w:val="center"/>
            </w:pPr>
            <w:r w:rsidRPr="003B57EA">
              <w:t>-0.24 – -0.12</w:t>
            </w:r>
          </w:p>
        </w:tc>
        <w:tc>
          <w:tcPr>
            <w:tcW w:w="0" w:type="auto"/>
            <w:tcMar>
              <w:top w:w="113" w:type="dxa"/>
              <w:left w:w="113" w:type="dxa"/>
              <w:bottom w:w="113" w:type="dxa"/>
              <w:right w:w="113" w:type="dxa"/>
            </w:tcMar>
            <w:hideMark/>
          </w:tcPr>
          <w:p w14:paraId="25316CC3" w14:textId="77777777" w:rsidR="000E6F29" w:rsidRPr="003B57EA" w:rsidRDefault="000E6F29" w:rsidP="00746005">
            <w:pPr>
              <w:jc w:val="center"/>
            </w:pPr>
            <w:r w:rsidRPr="003B57EA">
              <w:rPr>
                <w:rStyle w:val="Strong"/>
              </w:rPr>
              <w:t>&lt;0.001</w:t>
            </w:r>
          </w:p>
        </w:tc>
      </w:tr>
      <w:tr w:rsidR="00FE2D9B" w:rsidRPr="003B57EA" w14:paraId="737AE8AB" w14:textId="77777777" w:rsidTr="00746005">
        <w:tc>
          <w:tcPr>
            <w:tcW w:w="0" w:type="auto"/>
            <w:tcMar>
              <w:top w:w="113" w:type="dxa"/>
              <w:left w:w="113" w:type="dxa"/>
              <w:bottom w:w="113" w:type="dxa"/>
              <w:right w:w="113" w:type="dxa"/>
            </w:tcMar>
            <w:hideMark/>
          </w:tcPr>
          <w:p w14:paraId="7A5AD543" w14:textId="77777777" w:rsidR="000E6F29" w:rsidRPr="003B57EA" w:rsidRDefault="000E6F29" w:rsidP="00746005">
            <w:r w:rsidRPr="003B57EA">
              <w:t>SES</w:t>
            </w:r>
          </w:p>
        </w:tc>
        <w:tc>
          <w:tcPr>
            <w:tcW w:w="0" w:type="auto"/>
            <w:tcMar>
              <w:top w:w="113" w:type="dxa"/>
              <w:left w:w="113" w:type="dxa"/>
              <w:bottom w:w="113" w:type="dxa"/>
              <w:right w:w="113" w:type="dxa"/>
            </w:tcMar>
            <w:hideMark/>
          </w:tcPr>
          <w:p w14:paraId="09B467F3" w14:textId="77777777" w:rsidR="000E6F29" w:rsidRPr="003B57EA" w:rsidRDefault="000E6F29" w:rsidP="00746005">
            <w:pPr>
              <w:jc w:val="center"/>
            </w:pPr>
            <w:r w:rsidRPr="003B57EA">
              <w:t>-0.01</w:t>
            </w:r>
          </w:p>
        </w:tc>
        <w:tc>
          <w:tcPr>
            <w:tcW w:w="0" w:type="auto"/>
            <w:tcMar>
              <w:top w:w="113" w:type="dxa"/>
              <w:left w:w="113" w:type="dxa"/>
              <w:bottom w:w="113" w:type="dxa"/>
              <w:right w:w="113" w:type="dxa"/>
            </w:tcMar>
            <w:hideMark/>
          </w:tcPr>
          <w:p w14:paraId="69048B73" w14:textId="77777777" w:rsidR="000E6F29" w:rsidRPr="003B57EA" w:rsidRDefault="000E6F29" w:rsidP="00746005">
            <w:pPr>
              <w:jc w:val="center"/>
            </w:pPr>
            <w:r w:rsidRPr="003B57EA">
              <w:t>-0.08 – 0.06</w:t>
            </w:r>
          </w:p>
        </w:tc>
        <w:tc>
          <w:tcPr>
            <w:tcW w:w="0" w:type="auto"/>
            <w:tcMar>
              <w:top w:w="113" w:type="dxa"/>
              <w:left w:w="113" w:type="dxa"/>
              <w:bottom w:w="113" w:type="dxa"/>
              <w:right w:w="113" w:type="dxa"/>
            </w:tcMar>
            <w:hideMark/>
          </w:tcPr>
          <w:p w14:paraId="6E66A120" w14:textId="77777777" w:rsidR="000E6F29" w:rsidRPr="003B57EA" w:rsidRDefault="000E6F29" w:rsidP="00746005">
            <w:pPr>
              <w:jc w:val="center"/>
            </w:pPr>
            <w:r w:rsidRPr="003B57EA">
              <w:t>0.815</w:t>
            </w:r>
          </w:p>
        </w:tc>
        <w:tc>
          <w:tcPr>
            <w:tcW w:w="0" w:type="auto"/>
            <w:tcMar>
              <w:top w:w="113" w:type="dxa"/>
              <w:left w:w="113" w:type="dxa"/>
              <w:bottom w:w="113" w:type="dxa"/>
              <w:right w:w="113" w:type="dxa"/>
            </w:tcMar>
            <w:hideMark/>
          </w:tcPr>
          <w:p w14:paraId="72404D78" w14:textId="77777777" w:rsidR="000E6F29" w:rsidRPr="003B57EA" w:rsidRDefault="000E6F29" w:rsidP="00746005">
            <w:pPr>
              <w:jc w:val="center"/>
            </w:pPr>
            <w:r w:rsidRPr="003B57EA">
              <w:t>-0.02</w:t>
            </w:r>
          </w:p>
        </w:tc>
        <w:tc>
          <w:tcPr>
            <w:tcW w:w="0" w:type="auto"/>
            <w:tcMar>
              <w:top w:w="113" w:type="dxa"/>
              <w:left w:w="113" w:type="dxa"/>
              <w:bottom w:w="113" w:type="dxa"/>
              <w:right w:w="113" w:type="dxa"/>
            </w:tcMar>
            <w:hideMark/>
          </w:tcPr>
          <w:p w14:paraId="27E8F6BF" w14:textId="77777777" w:rsidR="000E6F29" w:rsidRPr="003B57EA" w:rsidRDefault="000E6F29" w:rsidP="00746005">
            <w:pPr>
              <w:jc w:val="center"/>
            </w:pPr>
            <w:r w:rsidRPr="003B57EA">
              <w:t>-0.21 – 0.16</w:t>
            </w:r>
          </w:p>
        </w:tc>
        <w:tc>
          <w:tcPr>
            <w:tcW w:w="0" w:type="auto"/>
            <w:tcMar>
              <w:top w:w="113" w:type="dxa"/>
              <w:left w:w="113" w:type="dxa"/>
              <w:bottom w:w="113" w:type="dxa"/>
              <w:right w:w="113" w:type="dxa"/>
            </w:tcMar>
            <w:hideMark/>
          </w:tcPr>
          <w:p w14:paraId="2F4EC47F" w14:textId="77777777" w:rsidR="000E6F29" w:rsidRPr="003B57EA" w:rsidRDefault="000E6F29" w:rsidP="00746005">
            <w:pPr>
              <w:jc w:val="center"/>
            </w:pPr>
            <w:r w:rsidRPr="003B57EA">
              <w:t>0.829</w:t>
            </w:r>
          </w:p>
        </w:tc>
        <w:tc>
          <w:tcPr>
            <w:tcW w:w="0" w:type="auto"/>
            <w:tcMar>
              <w:top w:w="113" w:type="dxa"/>
              <w:left w:w="113" w:type="dxa"/>
              <w:bottom w:w="113" w:type="dxa"/>
              <w:right w:w="113" w:type="dxa"/>
            </w:tcMar>
            <w:hideMark/>
          </w:tcPr>
          <w:p w14:paraId="7BD4FE12"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3523F2C0" w14:textId="77777777" w:rsidR="000E6F29" w:rsidRPr="003B57EA" w:rsidRDefault="000E6F29" w:rsidP="00746005">
            <w:pPr>
              <w:jc w:val="center"/>
            </w:pPr>
            <w:r w:rsidRPr="003B57EA">
              <w:t>-0.06 – 0.13</w:t>
            </w:r>
          </w:p>
        </w:tc>
        <w:tc>
          <w:tcPr>
            <w:tcW w:w="0" w:type="auto"/>
            <w:tcMar>
              <w:top w:w="113" w:type="dxa"/>
              <w:left w:w="113" w:type="dxa"/>
              <w:bottom w:w="113" w:type="dxa"/>
              <w:right w:w="113" w:type="dxa"/>
            </w:tcMar>
            <w:hideMark/>
          </w:tcPr>
          <w:p w14:paraId="3F246D1E" w14:textId="77777777" w:rsidR="000E6F29" w:rsidRPr="003B57EA" w:rsidRDefault="000E6F29" w:rsidP="00746005">
            <w:pPr>
              <w:jc w:val="center"/>
            </w:pPr>
            <w:r w:rsidRPr="003B57EA">
              <w:t>0.494</w:t>
            </w:r>
          </w:p>
        </w:tc>
      </w:tr>
      <w:tr w:rsidR="000E6F29" w:rsidRPr="003B57EA" w14:paraId="26213D81" w14:textId="77777777" w:rsidTr="00746005">
        <w:tc>
          <w:tcPr>
            <w:tcW w:w="0" w:type="auto"/>
            <w:tcBorders>
              <w:top w:val="single" w:sz="6" w:space="0" w:color="auto"/>
            </w:tcBorders>
            <w:tcMar>
              <w:top w:w="57" w:type="dxa"/>
              <w:left w:w="113" w:type="dxa"/>
              <w:bottom w:w="57" w:type="dxa"/>
              <w:right w:w="113" w:type="dxa"/>
            </w:tcMar>
            <w:hideMark/>
          </w:tcPr>
          <w:p w14:paraId="4D3CE0FB" w14:textId="77777777" w:rsidR="000E6F29" w:rsidRPr="003B57EA" w:rsidRDefault="000E6F29" w:rsidP="00746005">
            <w:pPr>
              <w:jc w:val="right"/>
            </w:pPr>
            <w:r w:rsidRPr="003B57EA">
              <w:t>R-squared</w:t>
            </w:r>
          </w:p>
        </w:tc>
        <w:tc>
          <w:tcPr>
            <w:tcW w:w="0" w:type="auto"/>
            <w:gridSpan w:val="3"/>
            <w:tcBorders>
              <w:top w:val="single" w:sz="6" w:space="0" w:color="auto"/>
            </w:tcBorders>
            <w:tcMar>
              <w:top w:w="57" w:type="dxa"/>
              <w:left w:w="113" w:type="dxa"/>
              <w:bottom w:w="57" w:type="dxa"/>
              <w:right w:w="113" w:type="dxa"/>
            </w:tcMar>
            <w:hideMark/>
          </w:tcPr>
          <w:p w14:paraId="338FD693" w14:textId="77777777" w:rsidR="000E6F29" w:rsidRPr="003B57EA" w:rsidRDefault="000E6F29" w:rsidP="00746005">
            <w:pPr>
              <w:jc w:val="center"/>
            </w:pPr>
            <w:r w:rsidRPr="003B57EA">
              <w:t>32.04%</w:t>
            </w:r>
          </w:p>
        </w:tc>
        <w:tc>
          <w:tcPr>
            <w:tcW w:w="0" w:type="auto"/>
            <w:gridSpan w:val="3"/>
            <w:tcBorders>
              <w:top w:val="single" w:sz="6" w:space="0" w:color="auto"/>
            </w:tcBorders>
            <w:tcMar>
              <w:top w:w="57" w:type="dxa"/>
              <w:left w:w="113" w:type="dxa"/>
              <w:bottom w:w="57" w:type="dxa"/>
              <w:right w:w="113" w:type="dxa"/>
            </w:tcMar>
            <w:hideMark/>
          </w:tcPr>
          <w:p w14:paraId="302793A1" w14:textId="77777777" w:rsidR="000E6F29" w:rsidRPr="003B57EA" w:rsidRDefault="000E6F29" w:rsidP="00746005">
            <w:pPr>
              <w:spacing w:line="360" w:lineRule="auto"/>
              <w:jc w:val="center"/>
            </w:pPr>
            <w:r w:rsidRPr="003B57EA">
              <w:t>16.96%</w:t>
            </w:r>
          </w:p>
        </w:tc>
        <w:tc>
          <w:tcPr>
            <w:tcW w:w="0" w:type="auto"/>
            <w:gridSpan w:val="3"/>
            <w:tcBorders>
              <w:top w:val="single" w:sz="6" w:space="0" w:color="auto"/>
            </w:tcBorders>
            <w:tcMar>
              <w:top w:w="57" w:type="dxa"/>
              <w:left w:w="113" w:type="dxa"/>
              <w:bottom w:w="57" w:type="dxa"/>
              <w:right w:w="113" w:type="dxa"/>
            </w:tcMar>
            <w:hideMark/>
          </w:tcPr>
          <w:p w14:paraId="7957533D" w14:textId="77777777" w:rsidR="000E6F29" w:rsidRPr="003B57EA" w:rsidRDefault="000E6F29" w:rsidP="00746005">
            <w:pPr>
              <w:jc w:val="center"/>
            </w:pPr>
            <w:r w:rsidRPr="003B57EA">
              <w:t>19.86%</w:t>
            </w:r>
          </w:p>
        </w:tc>
      </w:tr>
    </w:tbl>
    <w:p w14:paraId="64413888" w14:textId="77777777" w:rsidR="000E6F29" w:rsidRPr="003B57EA" w:rsidRDefault="000E6F29" w:rsidP="000E6F29"/>
    <w:tbl>
      <w:tblPr>
        <w:tblW w:w="0" w:type="auto"/>
        <w:tblCellMar>
          <w:top w:w="15" w:type="dxa"/>
          <w:left w:w="15" w:type="dxa"/>
          <w:bottom w:w="15" w:type="dxa"/>
          <w:right w:w="15" w:type="dxa"/>
        </w:tblCellMar>
        <w:tblLook w:val="04A0" w:firstRow="1" w:lastRow="0" w:firstColumn="1" w:lastColumn="0" w:noHBand="0" w:noVBand="1"/>
      </w:tblPr>
      <w:tblGrid>
        <w:gridCol w:w="2619"/>
        <w:gridCol w:w="964"/>
        <w:gridCol w:w="1466"/>
        <w:gridCol w:w="903"/>
        <w:gridCol w:w="964"/>
        <w:gridCol w:w="1466"/>
        <w:gridCol w:w="903"/>
        <w:gridCol w:w="964"/>
        <w:gridCol w:w="1466"/>
        <w:gridCol w:w="903"/>
      </w:tblGrid>
      <w:tr w:rsidR="00FE2D9B" w:rsidRPr="003B57EA" w14:paraId="546D9D91" w14:textId="77777777" w:rsidTr="00746005">
        <w:tc>
          <w:tcPr>
            <w:tcW w:w="0" w:type="auto"/>
            <w:tcBorders>
              <w:top w:val="double" w:sz="6" w:space="0" w:color="auto"/>
            </w:tcBorders>
            <w:tcMar>
              <w:top w:w="113" w:type="dxa"/>
              <w:left w:w="113" w:type="dxa"/>
              <w:bottom w:w="113" w:type="dxa"/>
              <w:right w:w="113" w:type="dxa"/>
            </w:tcMar>
            <w:vAlign w:val="center"/>
            <w:hideMark/>
          </w:tcPr>
          <w:p w14:paraId="35229BDD" w14:textId="77777777" w:rsidR="000E6F29" w:rsidRPr="003B57EA" w:rsidRDefault="000E6F29" w:rsidP="00746005">
            <w:pPr>
              <w:rPr>
                <w:b/>
                <w:bCs/>
              </w:rPr>
            </w:pPr>
            <w:r w:rsidRPr="003B57EA">
              <w:rPr>
                <w:b/>
                <w:bCs/>
              </w:rPr>
              <w:t> </w:t>
            </w:r>
          </w:p>
        </w:tc>
        <w:tc>
          <w:tcPr>
            <w:tcW w:w="0" w:type="auto"/>
            <w:gridSpan w:val="3"/>
            <w:tcBorders>
              <w:top w:val="double" w:sz="6" w:space="0" w:color="auto"/>
            </w:tcBorders>
            <w:tcMar>
              <w:top w:w="113" w:type="dxa"/>
              <w:left w:w="113" w:type="dxa"/>
              <w:bottom w:w="113" w:type="dxa"/>
              <w:right w:w="113" w:type="dxa"/>
            </w:tcMar>
            <w:vAlign w:val="center"/>
            <w:hideMark/>
          </w:tcPr>
          <w:p w14:paraId="643B799D" w14:textId="77777777" w:rsidR="00A62CCB" w:rsidRPr="003B57EA" w:rsidRDefault="00A62CCB" w:rsidP="00746005">
            <w:pPr>
              <w:jc w:val="center"/>
              <w:rPr>
                <w:b/>
                <w:bCs/>
              </w:rPr>
            </w:pPr>
          </w:p>
          <w:p w14:paraId="0BC23AB1" w14:textId="7D5C97E0" w:rsidR="000E6F29" w:rsidRPr="003B57EA" w:rsidRDefault="000E6F29" w:rsidP="00746005">
            <w:pPr>
              <w:jc w:val="center"/>
              <w:rPr>
                <w:b/>
                <w:bCs/>
              </w:rPr>
            </w:pPr>
            <w:r w:rsidRPr="003B57EA">
              <w:rPr>
                <w:b/>
                <w:bCs/>
              </w:rPr>
              <w:lastRenderedPageBreak/>
              <w:t>Escape</w:t>
            </w:r>
          </w:p>
        </w:tc>
        <w:tc>
          <w:tcPr>
            <w:tcW w:w="0" w:type="auto"/>
            <w:gridSpan w:val="3"/>
            <w:tcBorders>
              <w:top w:val="double" w:sz="6" w:space="0" w:color="auto"/>
            </w:tcBorders>
            <w:tcMar>
              <w:top w:w="113" w:type="dxa"/>
              <w:left w:w="113" w:type="dxa"/>
              <w:bottom w:w="113" w:type="dxa"/>
              <w:right w:w="113" w:type="dxa"/>
            </w:tcMar>
            <w:vAlign w:val="center"/>
            <w:hideMark/>
          </w:tcPr>
          <w:p w14:paraId="565F658A" w14:textId="77777777" w:rsidR="00A62CCB" w:rsidRPr="003B57EA" w:rsidRDefault="00A62CCB" w:rsidP="00746005">
            <w:pPr>
              <w:jc w:val="center"/>
              <w:rPr>
                <w:b/>
                <w:bCs/>
              </w:rPr>
            </w:pPr>
          </w:p>
          <w:p w14:paraId="35523DC4" w14:textId="491C1BB2" w:rsidR="000E6F29" w:rsidRPr="003B57EA" w:rsidRDefault="000E6F29" w:rsidP="00746005">
            <w:pPr>
              <w:jc w:val="center"/>
              <w:rPr>
                <w:b/>
                <w:bCs/>
              </w:rPr>
            </w:pPr>
            <w:r w:rsidRPr="003B57EA">
              <w:rPr>
                <w:b/>
                <w:bCs/>
              </w:rPr>
              <w:lastRenderedPageBreak/>
              <w:t>Competition</w:t>
            </w:r>
          </w:p>
        </w:tc>
        <w:tc>
          <w:tcPr>
            <w:tcW w:w="0" w:type="auto"/>
            <w:gridSpan w:val="3"/>
            <w:tcBorders>
              <w:top w:val="double" w:sz="6" w:space="0" w:color="auto"/>
            </w:tcBorders>
            <w:tcMar>
              <w:top w:w="113" w:type="dxa"/>
              <w:left w:w="113" w:type="dxa"/>
              <w:bottom w:w="113" w:type="dxa"/>
              <w:right w:w="113" w:type="dxa"/>
            </w:tcMar>
            <w:vAlign w:val="center"/>
            <w:hideMark/>
          </w:tcPr>
          <w:p w14:paraId="4BD40322" w14:textId="77777777" w:rsidR="00A62CCB" w:rsidRPr="003B57EA" w:rsidRDefault="00A62CCB" w:rsidP="00746005">
            <w:pPr>
              <w:jc w:val="center"/>
              <w:rPr>
                <w:b/>
                <w:bCs/>
              </w:rPr>
            </w:pPr>
          </w:p>
          <w:p w14:paraId="2F185B26" w14:textId="24041630" w:rsidR="000E6F29" w:rsidRPr="003B57EA" w:rsidRDefault="000E6F29" w:rsidP="00746005">
            <w:pPr>
              <w:jc w:val="center"/>
              <w:rPr>
                <w:b/>
                <w:bCs/>
              </w:rPr>
            </w:pPr>
            <w:r w:rsidRPr="003B57EA">
              <w:rPr>
                <w:b/>
                <w:bCs/>
              </w:rPr>
              <w:lastRenderedPageBreak/>
              <w:t>Coping</w:t>
            </w:r>
          </w:p>
        </w:tc>
      </w:tr>
      <w:tr w:rsidR="00FE2D9B" w:rsidRPr="003B57EA" w14:paraId="31B2AC3D" w14:textId="77777777" w:rsidTr="00746005">
        <w:tc>
          <w:tcPr>
            <w:tcW w:w="0" w:type="auto"/>
            <w:tcBorders>
              <w:bottom w:val="single" w:sz="6" w:space="0" w:color="auto"/>
            </w:tcBorders>
            <w:vAlign w:val="center"/>
            <w:hideMark/>
          </w:tcPr>
          <w:p w14:paraId="0C429893" w14:textId="77777777" w:rsidR="000E6F29" w:rsidRPr="003B57EA" w:rsidRDefault="000E6F29" w:rsidP="00746005">
            <w:pPr>
              <w:rPr>
                <w:i/>
                <w:iCs/>
              </w:rPr>
            </w:pPr>
            <w:r w:rsidRPr="003B57EA">
              <w:rPr>
                <w:i/>
                <w:iCs/>
              </w:rPr>
              <w:lastRenderedPageBreak/>
              <w:t>Predictors</w:t>
            </w:r>
          </w:p>
        </w:tc>
        <w:tc>
          <w:tcPr>
            <w:tcW w:w="0" w:type="auto"/>
            <w:tcBorders>
              <w:bottom w:val="single" w:sz="6" w:space="0" w:color="auto"/>
            </w:tcBorders>
            <w:vAlign w:val="center"/>
            <w:hideMark/>
          </w:tcPr>
          <w:p w14:paraId="71E3EB28" w14:textId="77777777" w:rsidR="000E6F29" w:rsidRPr="003B57EA" w:rsidRDefault="000E6F29" w:rsidP="00746005">
            <w:pPr>
              <w:jc w:val="center"/>
              <w:rPr>
                <w:i/>
                <w:iCs/>
              </w:rPr>
            </w:pPr>
            <w:r w:rsidRPr="003B57EA">
              <w:rPr>
                <w:i/>
                <w:iCs/>
              </w:rPr>
              <w:t>Estimates</w:t>
            </w:r>
          </w:p>
        </w:tc>
        <w:tc>
          <w:tcPr>
            <w:tcW w:w="0" w:type="auto"/>
            <w:tcBorders>
              <w:bottom w:val="single" w:sz="6" w:space="0" w:color="auto"/>
            </w:tcBorders>
            <w:vAlign w:val="center"/>
            <w:hideMark/>
          </w:tcPr>
          <w:p w14:paraId="4FC160BB" w14:textId="77777777" w:rsidR="000E6F29" w:rsidRPr="003B57EA" w:rsidRDefault="000E6F29" w:rsidP="00746005">
            <w:pPr>
              <w:jc w:val="center"/>
              <w:rPr>
                <w:i/>
                <w:iCs/>
              </w:rPr>
            </w:pPr>
            <w:r w:rsidRPr="003B57EA">
              <w:rPr>
                <w:i/>
                <w:iCs/>
              </w:rPr>
              <w:t>CI</w:t>
            </w:r>
          </w:p>
        </w:tc>
        <w:tc>
          <w:tcPr>
            <w:tcW w:w="0" w:type="auto"/>
            <w:tcBorders>
              <w:bottom w:val="single" w:sz="6" w:space="0" w:color="auto"/>
            </w:tcBorders>
            <w:vAlign w:val="center"/>
            <w:hideMark/>
          </w:tcPr>
          <w:p w14:paraId="48A8C1DF" w14:textId="77777777" w:rsidR="000E6F29" w:rsidRPr="003B57EA" w:rsidRDefault="000E6F29" w:rsidP="00746005">
            <w:pPr>
              <w:jc w:val="center"/>
              <w:rPr>
                <w:i/>
                <w:iCs/>
              </w:rPr>
            </w:pPr>
            <w:r w:rsidRPr="003B57EA">
              <w:rPr>
                <w:i/>
                <w:iCs/>
              </w:rPr>
              <w:t>p</w:t>
            </w:r>
          </w:p>
        </w:tc>
        <w:tc>
          <w:tcPr>
            <w:tcW w:w="0" w:type="auto"/>
            <w:tcBorders>
              <w:bottom w:val="single" w:sz="6" w:space="0" w:color="auto"/>
            </w:tcBorders>
            <w:vAlign w:val="center"/>
            <w:hideMark/>
          </w:tcPr>
          <w:p w14:paraId="0D225CFC" w14:textId="77777777" w:rsidR="000E6F29" w:rsidRPr="003B57EA" w:rsidRDefault="000E6F29" w:rsidP="00746005">
            <w:pPr>
              <w:jc w:val="center"/>
              <w:rPr>
                <w:i/>
                <w:iCs/>
              </w:rPr>
            </w:pPr>
            <w:r w:rsidRPr="003B57EA">
              <w:rPr>
                <w:i/>
                <w:iCs/>
              </w:rPr>
              <w:t>Estimates</w:t>
            </w:r>
          </w:p>
        </w:tc>
        <w:tc>
          <w:tcPr>
            <w:tcW w:w="0" w:type="auto"/>
            <w:tcBorders>
              <w:bottom w:val="single" w:sz="6" w:space="0" w:color="auto"/>
            </w:tcBorders>
            <w:vAlign w:val="center"/>
            <w:hideMark/>
          </w:tcPr>
          <w:p w14:paraId="7A55E245" w14:textId="77777777" w:rsidR="000E6F29" w:rsidRPr="003B57EA" w:rsidRDefault="000E6F29" w:rsidP="00746005">
            <w:pPr>
              <w:jc w:val="center"/>
              <w:rPr>
                <w:i/>
                <w:iCs/>
              </w:rPr>
            </w:pPr>
            <w:r w:rsidRPr="003B57EA">
              <w:rPr>
                <w:i/>
                <w:iCs/>
              </w:rPr>
              <w:t>CI</w:t>
            </w:r>
          </w:p>
        </w:tc>
        <w:tc>
          <w:tcPr>
            <w:tcW w:w="0" w:type="auto"/>
            <w:tcBorders>
              <w:bottom w:val="single" w:sz="6" w:space="0" w:color="auto"/>
            </w:tcBorders>
            <w:vAlign w:val="center"/>
            <w:hideMark/>
          </w:tcPr>
          <w:p w14:paraId="4BD67025" w14:textId="77777777" w:rsidR="000E6F29" w:rsidRPr="003B57EA" w:rsidRDefault="000E6F29" w:rsidP="00746005">
            <w:pPr>
              <w:jc w:val="center"/>
              <w:rPr>
                <w:i/>
                <w:iCs/>
              </w:rPr>
            </w:pPr>
            <w:r w:rsidRPr="003B57EA">
              <w:rPr>
                <w:i/>
                <w:iCs/>
              </w:rPr>
              <w:t>p</w:t>
            </w:r>
          </w:p>
        </w:tc>
        <w:tc>
          <w:tcPr>
            <w:tcW w:w="0" w:type="auto"/>
            <w:tcBorders>
              <w:bottom w:val="single" w:sz="6" w:space="0" w:color="auto"/>
            </w:tcBorders>
            <w:vAlign w:val="center"/>
            <w:hideMark/>
          </w:tcPr>
          <w:p w14:paraId="7C9917AD" w14:textId="77777777" w:rsidR="000E6F29" w:rsidRPr="003B57EA" w:rsidRDefault="000E6F29" w:rsidP="00746005">
            <w:pPr>
              <w:jc w:val="center"/>
              <w:rPr>
                <w:i/>
                <w:iCs/>
              </w:rPr>
            </w:pPr>
            <w:r w:rsidRPr="003B57EA">
              <w:rPr>
                <w:i/>
                <w:iCs/>
              </w:rPr>
              <w:t>Estimates</w:t>
            </w:r>
          </w:p>
        </w:tc>
        <w:tc>
          <w:tcPr>
            <w:tcW w:w="0" w:type="auto"/>
            <w:tcBorders>
              <w:bottom w:val="single" w:sz="6" w:space="0" w:color="auto"/>
            </w:tcBorders>
            <w:vAlign w:val="center"/>
            <w:hideMark/>
          </w:tcPr>
          <w:p w14:paraId="182E38B1" w14:textId="77777777" w:rsidR="000E6F29" w:rsidRPr="003B57EA" w:rsidRDefault="000E6F29" w:rsidP="00746005">
            <w:pPr>
              <w:jc w:val="center"/>
              <w:rPr>
                <w:i/>
                <w:iCs/>
              </w:rPr>
            </w:pPr>
            <w:r w:rsidRPr="003B57EA">
              <w:rPr>
                <w:i/>
                <w:iCs/>
              </w:rPr>
              <w:t>CI</w:t>
            </w:r>
          </w:p>
        </w:tc>
        <w:tc>
          <w:tcPr>
            <w:tcW w:w="0" w:type="auto"/>
            <w:tcBorders>
              <w:bottom w:val="single" w:sz="6" w:space="0" w:color="auto"/>
            </w:tcBorders>
            <w:vAlign w:val="center"/>
            <w:hideMark/>
          </w:tcPr>
          <w:p w14:paraId="4041A70E" w14:textId="77777777" w:rsidR="000E6F29" w:rsidRPr="003B57EA" w:rsidRDefault="000E6F29" w:rsidP="00746005">
            <w:pPr>
              <w:jc w:val="center"/>
              <w:rPr>
                <w:i/>
                <w:iCs/>
              </w:rPr>
            </w:pPr>
            <w:r w:rsidRPr="003B57EA">
              <w:rPr>
                <w:i/>
                <w:iCs/>
              </w:rPr>
              <w:t>p</w:t>
            </w:r>
          </w:p>
        </w:tc>
      </w:tr>
      <w:tr w:rsidR="00FE2D9B" w:rsidRPr="003B57EA" w14:paraId="166175D5" w14:textId="77777777" w:rsidTr="00746005">
        <w:tc>
          <w:tcPr>
            <w:tcW w:w="0" w:type="auto"/>
            <w:tcMar>
              <w:top w:w="113" w:type="dxa"/>
              <w:left w:w="113" w:type="dxa"/>
              <w:bottom w:w="113" w:type="dxa"/>
              <w:right w:w="113" w:type="dxa"/>
            </w:tcMar>
            <w:hideMark/>
          </w:tcPr>
          <w:p w14:paraId="2E866612" w14:textId="77777777" w:rsidR="000E6F29" w:rsidRPr="003B57EA" w:rsidRDefault="000E6F29" w:rsidP="00746005">
            <w:r w:rsidRPr="003B57EA">
              <w:t>(Intercept)</w:t>
            </w:r>
          </w:p>
        </w:tc>
        <w:tc>
          <w:tcPr>
            <w:tcW w:w="0" w:type="auto"/>
            <w:tcMar>
              <w:top w:w="113" w:type="dxa"/>
              <w:left w:w="113" w:type="dxa"/>
              <w:bottom w:w="113" w:type="dxa"/>
              <w:right w:w="113" w:type="dxa"/>
            </w:tcMar>
            <w:hideMark/>
          </w:tcPr>
          <w:p w14:paraId="75068612" w14:textId="77777777" w:rsidR="000E6F29" w:rsidRPr="003B57EA" w:rsidRDefault="000E6F29" w:rsidP="00746005">
            <w:pPr>
              <w:jc w:val="center"/>
            </w:pPr>
            <w:r w:rsidRPr="003B57EA">
              <w:t>-0.60</w:t>
            </w:r>
          </w:p>
        </w:tc>
        <w:tc>
          <w:tcPr>
            <w:tcW w:w="0" w:type="auto"/>
            <w:tcMar>
              <w:top w:w="113" w:type="dxa"/>
              <w:left w:w="113" w:type="dxa"/>
              <w:bottom w:w="113" w:type="dxa"/>
              <w:right w:w="113" w:type="dxa"/>
            </w:tcMar>
            <w:hideMark/>
          </w:tcPr>
          <w:p w14:paraId="16524FF6" w14:textId="77777777" w:rsidR="000E6F29" w:rsidRPr="003B57EA" w:rsidRDefault="000E6F29" w:rsidP="00746005">
            <w:pPr>
              <w:jc w:val="center"/>
            </w:pPr>
            <w:r w:rsidRPr="003B57EA">
              <w:t>-1.21 – 0.01</w:t>
            </w:r>
          </w:p>
        </w:tc>
        <w:tc>
          <w:tcPr>
            <w:tcW w:w="0" w:type="auto"/>
            <w:tcMar>
              <w:top w:w="113" w:type="dxa"/>
              <w:left w:w="113" w:type="dxa"/>
              <w:bottom w:w="113" w:type="dxa"/>
              <w:right w:w="113" w:type="dxa"/>
            </w:tcMar>
            <w:hideMark/>
          </w:tcPr>
          <w:p w14:paraId="6ED247BD" w14:textId="77777777" w:rsidR="000E6F29" w:rsidRPr="003B57EA" w:rsidRDefault="000E6F29" w:rsidP="00746005">
            <w:pPr>
              <w:jc w:val="center"/>
            </w:pPr>
            <w:r w:rsidRPr="003B57EA">
              <w:t>0.055</w:t>
            </w:r>
          </w:p>
        </w:tc>
        <w:tc>
          <w:tcPr>
            <w:tcW w:w="0" w:type="auto"/>
            <w:tcMar>
              <w:top w:w="113" w:type="dxa"/>
              <w:left w:w="113" w:type="dxa"/>
              <w:bottom w:w="113" w:type="dxa"/>
              <w:right w:w="113" w:type="dxa"/>
            </w:tcMar>
            <w:hideMark/>
          </w:tcPr>
          <w:p w14:paraId="1417006B" w14:textId="77777777" w:rsidR="000E6F29" w:rsidRPr="003B57EA" w:rsidRDefault="000E6F29" w:rsidP="00746005">
            <w:pPr>
              <w:jc w:val="center"/>
            </w:pPr>
            <w:r w:rsidRPr="003B57EA">
              <w:t>1.14</w:t>
            </w:r>
          </w:p>
        </w:tc>
        <w:tc>
          <w:tcPr>
            <w:tcW w:w="0" w:type="auto"/>
            <w:tcMar>
              <w:top w:w="113" w:type="dxa"/>
              <w:left w:w="113" w:type="dxa"/>
              <w:bottom w:w="113" w:type="dxa"/>
              <w:right w:w="113" w:type="dxa"/>
            </w:tcMar>
            <w:hideMark/>
          </w:tcPr>
          <w:p w14:paraId="5177CBEE" w14:textId="77777777" w:rsidR="000E6F29" w:rsidRPr="003B57EA" w:rsidRDefault="000E6F29" w:rsidP="00746005">
            <w:pPr>
              <w:jc w:val="center"/>
            </w:pPr>
            <w:r w:rsidRPr="003B57EA">
              <w:t>0.42 – 1.85</w:t>
            </w:r>
          </w:p>
        </w:tc>
        <w:tc>
          <w:tcPr>
            <w:tcW w:w="0" w:type="auto"/>
            <w:tcMar>
              <w:top w:w="113" w:type="dxa"/>
              <w:left w:w="113" w:type="dxa"/>
              <w:bottom w:w="113" w:type="dxa"/>
              <w:right w:w="113" w:type="dxa"/>
            </w:tcMar>
            <w:hideMark/>
          </w:tcPr>
          <w:p w14:paraId="7BD7591A" w14:textId="77777777" w:rsidR="000E6F29" w:rsidRPr="003B57EA" w:rsidRDefault="000E6F29" w:rsidP="00746005">
            <w:pPr>
              <w:jc w:val="center"/>
            </w:pPr>
            <w:r w:rsidRPr="003B57EA">
              <w:rPr>
                <w:rStyle w:val="Strong"/>
              </w:rPr>
              <w:t>0.002</w:t>
            </w:r>
          </w:p>
        </w:tc>
        <w:tc>
          <w:tcPr>
            <w:tcW w:w="0" w:type="auto"/>
            <w:tcMar>
              <w:top w:w="113" w:type="dxa"/>
              <w:left w:w="113" w:type="dxa"/>
              <w:bottom w:w="113" w:type="dxa"/>
              <w:right w:w="113" w:type="dxa"/>
            </w:tcMar>
            <w:hideMark/>
          </w:tcPr>
          <w:p w14:paraId="0F822D04" w14:textId="77777777" w:rsidR="000E6F29" w:rsidRPr="003B57EA" w:rsidRDefault="000E6F29" w:rsidP="00746005">
            <w:pPr>
              <w:jc w:val="center"/>
            </w:pPr>
            <w:r w:rsidRPr="003B57EA">
              <w:t>0.27</w:t>
            </w:r>
          </w:p>
        </w:tc>
        <w:tc>
          <w:tcPr>
            <w:tcW w:w="0" w:type="auto"/>
            <w:tcMar>
              <w:top w:w="113" w:type="dxa"/>
              <w:left w:w="113" w:type="dxa"/>
              <w:bottom w:w="113" w:type="dxa"/>
              <w:right w:w="113" w:type="dxa"/>
            </w:tcMar>
            <w:hideMark/>
          </w:tcPr>
          <w:p w14:paraId="10059B98" w14:textId="77777777" w:rsidR="000E6F29" w:rsidRPr="003B57EA" w:rsidRDefault="000E6F29" w:rsidP="00746005">
            <w:pPr>
              <w:jc w:val="center"/>
            </w:pPr>
            <w:r w:rsidRPr="003B57EA">
              <w:t>-0.32 – 0.86</w:t>
            </w:r>
          </w:p>
        </w:tc>
        <w:tc>
          <w:tcPr>
            <w:tcW w:w="0" w:type="auto"/>
            <w:tcMar>
              <w:top w:w="113" w:type="dxa"/>
              <w:left w:w="113" w:type="dxa"/>
              <w:bottom w:w="113" w:type="dxa"/>
              <w:right w:w="113" w:type="dxa"/>
            </w:tcMar>
            <w:hideMark/>
          </w:tcPr>
          <w:p w14:paraId="422EBEFB" w14:textId="77777777" w:rsidR="000E6F29" w:rsidRPr="003B57EA" w:rsidRDefault="000E6F29" w:rsidP="00746005">
            <w:pPr>
              <w:jc w:val="center"/>
            </w:pPr>
            <w:r w:rsidRPr="003B57EA">
              <w:t>0.373</w:t>
            </w:r>
          </w:p>
        </w:tc>
      </w:tr>
      <w:tr w:rsidR="00FE2D9B" w:rsidRPr="003B57EA" w14:paraId="5F1E78C2" w14:textId="77777777" w:rsidTr="00746005">
        <w:tc>
          <w:tcPr>
            <w:tcW w:w="0" w:type="auto"/>
            <w:tcMar>
              <w:top w:w="113" w:type="dxa"/>
              <w:left w:w="113" w:type="dxa"/>
              <w:bottom w:w="113" w:type="dxa"/>
              <w:right w:w="113" w:type="dxa"/>
            </w:tcMar>
            <w:hideMark/>
          </w:tcPr>
          <w:p w14:paraId="33F22D45" w14:textId="77777777" w:rsidR="000E6F29" w:rsidRPr="003B57EA" w:rsidRDefault="000E6F29" w:rsidP="00746005">
            <w:r w:rsidRPr="003B57EA">
              <w:t>Negative metacognitions</w:t>
            </w:r>
          </w:p>
        </w:tc>
        <w:tc>
          <w:tcPr>
            <w:tcW w:w="0" w:type="auto"/>
            <w:tcMar>
              <w:top w:w="113" w:type="dxa"/>
              <w:left w:w="113" w:type="dxa"/>
              <w:bottom w:w="113" w:type="dxa"/>
              <w:right w:w="113" w:type="dxa"/>
            </w:tcMar>
            <w:hideMark/>
          </w:tcPr>
          <w:p w14:paraId="6CBF6F14" w14:textId="77777777" w:rsidR="000E6F29" w:rsidRPr="003B57EA" w:rsidRDefault="000E6F29" w:rsidP="00746005">
            <w:pPr>
              <w:jc w:val="center"/>
            </w:pPr>
            <w:r w:rsidRPr="003B57EA">
              <w:t>0.40</w:t>
            </w:r>
          </w:p>
        </w:tc>
        <w:tc>
          <w:tcPr>
            <w:tcW w:w="0" w:type="auto"/>
            <w:tcMar>
              <w:top w:w="113" w:type="dxa"/>
              <w:left w:w="113" w:type="dxa"/>
              <w:bottom w:w="113" w:type="dxa"/>
              <w:right w:w="113" w:type="dxa"/>
            </w:tcMar>
            <w:hideMark/>
          </w:tcPr>
          <w:p w14:paraId="07154941" w14:textId="77777777" w:rsidR="000E6F29" w:rsidRPr="003B57EA" w:rsidRDefault="000E6F29" w:rsidP="00746005">
            <w:pPr>
              <w:jc w:val="center"/>
            </w:pPr>
            <w:r w:rsidRPr="003B57EA">
              <w:t>0.29 – 0.50</w:t>
            </w:r>
          </w:p>
        </w:tc>
        <w:tc>
          <w:tcPr>
            <w:tcW w:w="0" w:type="auto"/>
            <w:tcMar>
              <w:top w:w="113" w:type="dxa"/>
              <w:left w:w="113" w:type="dxa"/>
              <w:bottom w:w="113" w:type="dxa"/>
              <w:right w:w="113" w:type="dxa"/>
            </w:tcMar>
            <w:hideMark/>
          </w:tcPr>
          <w:p w14:paraId="56A8072C"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0728048B" w14:textId="77777777" w:rsidR="000E6F29" w:rsidRPr="003B57EA" w:rsidRDefault="000E6F29" w:rsidP="00746005">
            <w:pPr>
              <w:jc w:val="center"/>
            </w:pPr>
            <w:r w:rsidRPr="003B57EA">
              <w:t>0.43</w:t>
            </w:r>
          </w:p>
        </w:tc>
        <w:tc>
          <w:tcPr>
            <w:tcW w:w="0" w:type="auto"/>
            <w:tcMar>
              <w:top w:w="113" w:type="dxa"/>
              <w:left w:w="113" w:type="dxa"/>
              <w:bottom w:w="113" w:type="dxa"/>
              <w:right w:w="113" w:type="dxa"/>
            </w:tcMar>
            <w:hideMark/>
          </w:tcPr>
          <w:p w14:paraId="25430F01" w14:textId="77777777" w:rsidR="000E6F29" w:rsidRPr="003B57EA" w:rsidRDefault="000E6F29" w:rsidP="00746005">
            <w:pPr>
              <w:jc w:val="center"/>
            </w:pPr>
            <w:r w:rsidRPr="003B57EA">
              <w:t>0.30 – 0.55</w:t>
            </w:r>
          </w:p>
        </w:tc>
        <w:tc>
          <w:tcPr>
            <w:tcW w:w="0" w:type="auto"/>
            <w:tcMar>
              <w:top w:w="113" w:type="dxa"/>
              <w:left w:w="113" w:type="dxa"/>
              <w:bottom w:w="113" w:type="dxa"/>
              <w:right w:w="113" w:type="dxa"/>
            </w:tcMar>
            <w:hideMark/>
          </w:tcPr>
          <w:p w14:paraId="18A37048"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5117489B" w14:textId="77777777" w:rsidR="000E6F29" w:rsidRPr="003B57EA" w:rsidRDefault="000E6F29" w:rsidP="00746005">
            <w:pPr>
              <w:jc w:val="center"/>
            </w:pPr>
            <w:r w:rsidRPr="003B57EA">
              <w:t>0.29</w:t>
            </w:r>
          </w:p>
        </w:tc>
        <w:tc>
          <w:tcPr>
            <w:tcW w:w="0" w:type="auto"/>
            <w:tcMar>
              <w:top w:w="113" w:type="dxa"/>
              <w:left w:w="113" w:type="dxa"/>
              <w:bottom w:w="113" w:type="dxa"/>
              <w:right w:w="113" w:type="dxa"/>
            </w:tcMar>
            <w:hideMark/>
          </w:tcPr>
          <w:p w14:paraId="054942F8" w14:textId="77777777" w:rsidR="000E6F29" w:rsidRPr="003B57EA" w:rsidRDefault="000E6F29" w:rsidP="00746005">
            <w:pPr>
              <w:jc w:val="center"/>
            </w:pPr>
            <w:r w:rsidRPr="003B57EA">
              <w:t>0.19 – 0.39</w:t>
            </w:r>
          </w:p>
        </w:tc>
        <w:tc>
          <w:tcPr>
            <w:tcW w:w="0" w:type="auto"/>
            <w:tcMar>
              <w:top w:w="113" w:type="dxa"/>
              <w:left w:w="113" w:type="dxa"/>
              <w:bottom w:w="113" w:type="dxa"/>
              <w:right w:w="113" w:type="dxa"/>
            </w:tcMar>
            <w:hideMark/>
          </w:tcPr>
          <w:p w14:paraId="669AE3B5" w14:textId="77777777" w:rsidR="000E6F29" w:rsidRPr="003B57EA" w:rsidRDefault="000E6F29" w:rsidP="00746005">
            <w:pPr>
              <w:jc w:val="center"/>
            </w:pPr>
            <w:r w:rsidRPr="003B57EA">
              <w:rPr>
                <w:rStyle w:val="Strong"/>
              </w:rPr>
              <w:t>&lt;0.001</w:t>
            </w:r>
          </w:p>
        </w:tc>
      </w:tr>
      <w:tr w:rsidR="00FE2D9B" w:rsidRPr="003B57EA" w14:paraId="49496DD3" w14:textId="77777777" w:rsidTr="00746005">
        <w:tc>
          <w:tcPr>
            <w:tcW w:w="0" w:type="auto"/>
            <w:tcMar>
              <w:top w:w="113" w:type="dxa"/>
              <w:left w:w="113" w:type="dxa"/>
              <w:bottom w:w="113" w:type="dxa"/>
              <w:right w:w="113" w:type="dxa"/>
            </w:tcMar>
            <w:hideMark/>
          </w:tcPr>
          <w:p w14:paraId="2F0B9ACC" w14:textId="77777777" w:rsidR="000E6F29" w:rsidRPr="003B57EA" w:rsidRDefault="000E6F29" w:rsidP="00746005">
            <w:r w:rsidRPr="003B57EA">
              <w:t>Positive metacognitions</w:t>
            </w:r>
          </w:p>
        </w:tc>
        <w:tc>
          <w:tcPr>
            <w:tcW w:w="0" w:type="auto"/>
            <w:tcMar>
              <w:top w:w="113" w:type="dxa"/>
              <w:left w:w="113" w:type="dxa"/>
              <w:bottom w:w="113" w:type="dxa"/>
              <w:right w:w="113" w:type="dxa"/>
            </w:tcMar>
            <w:hideMark/>
          </w:tcPr>
          <w:p w14:paraId="6B3E424C" w14:textId="77777777" w:rsidR="000E6F29" w:rsidRPr="003B57EA" w:rsidRDefault="000E6F29" w:rsidP="00746005">
            <w:pPr>
              <w:jc w:val="center"/>
            </w:pPr>
            <w:r w:rsidRPr="003B57EA">
              <w:t>0.35</w:t>
            </w:r>
          </w:p>
        </w:tc>
        <w:tc>
          <w:tcPr>
            <w:tcW w:w="0" w:type="auto"/>
            <w:tcMar>
              <w:top w:w="113" w:type="dxa"/>
              <w:left w:w="113" w:type="dxa"/>
              <w:bottom w:w="113" w:type="dxa"/>
              <w:right w:w="113" w:type="dxa"/>
            </w:tcMar>
            <w:hideMark/>
          </w:tcPr>
          <w:p w14:paraId="4E8254AB" w14:textId="77777777" w:rsidR="000E6F29" w:rsidRPr="003B57EA" w:rsidRDefault="000E6F29" w:rsidP="00746005">
            <w:pPr>
              <w:jc w:val="center"/>
            </w:pPr>
            <w:r w:rsidRPr="003B57EA">
              <w:t>0.26 – 0.43</w:t>
            </w:r>
          </w:p>
        </w:tc>
        <w:tc>
          <w:tcPr>
            <w:tcW w:w="0" w:type="auto"/>
            <w:tcMar>
              <w:top w:w="113" w:type="dxa"/>
              <w:left w:w="113" w:type="dxa"/>
              <w:bottom w:w="113" w:type="dxa"/>
              <w:right w:w="113" w:type="dxa"/>
            </w:tcMar>
            <w:hideMark/>
          </w:tcPr>
          <w:p w14:paraId="78F71615"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3A172E66" w14:textId="77777777" w:rsidR="000E6F29" w:rsidRPr="003B57EA" w:rsidRDefault="000E6F29" w:rsidP="00746005">
            <w:pPr>
              <w:jc w:val="center"/>
            </w:pPr>
            <w:r w:rsidRPr="003B57EA">
              <w:t>0.26</w:t>
            </w:r>
          </w:p>
        </w:tc>
        <w:tc>
          <w:tcPr>
            <w:tcW w:w="0" w:type="auto"/>
            <w:tcMar>
              <w:top w:w="113" w:type="dxa"/>
              <w:left w:w="113" w:type="dxa"/>
              <w:bottom w:w="113" w:type="dxa"/>
              <w:right w:w="113" w:type="dxa"/>
            </w:tcMar>
            <w:hideMark/>
          </w:tcPr>
          <w:p w14:paraId="265BC1D1" w14:textId="77777777" w:rsidR="000E6F29" w:rsidRPr="003B57EA" w:rsidRDefault="000E6F29" w:rsidP="00746005">
            <w:pPr>
              <w:jc w:val="center"/>
            </w:pPr>
            <w:r w:rsidRPr="003B57EA">
              <w:t>0.16 – 0.36</w:t>
            </w:r>
          </w:p>
        </w:tc>
        <w:tc>
          <w:tcPr>
            <w:tcW w:w="0" w:type="auto"/>
            <w:tcMar>
              <w:top w:w="113" w:type="dxa"/>
              <w:left w:w="113" w:type="dxa"/>
              <w:bottom w:w="113" w:type="dxa"/>
              <w:right w:w="113" w:type="dxa"/>
            </w:tcMar>
            <w:hideMark/>
          </w:tcPr>
          <w:p w14:paraId="292742B3"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62368359" w14:textId="77777777" w:rsidR="000E6F29" w:rsidRPr="003B57EA" w:rsidRDefault="000E6F29" w:rsidP="00746005">
            <w:pPr>
              <w:jc w:val="center"/>
            </w:pPr>
            <w:r w:rsidRPr="003B57EA">
              <w:t>0.48</w:t>
            </w:r>
          </w:p>
        </w:tc>
        <w:tc>
          <w:tcPr>
            <w:tcW w:w="0" w:type="auto"/>
            <w:tcMar>
              <w:top w:w="113" w:type="dxa"/>
              <w:left w:w="113" w:type="dxa"/>
              <w:bottom w:w="113" w:type="dxa"/>
              <w:right w:w="113" w:type="dxa"/>
            </w:tcMar>
            <w:hideMark/>
          </w:tcPr>
          <w:p w14:paraId="6059E19E" w14:textId="77777777" w:rsidR="000E6F29" w:rsidRPr="003B57EA" w:rsidRDefault="000E6F29" w:rsidP="00746005">
            <w:pPr>
              <w:jc w:val="center"/>
            </w:pPr>
            <w:r w:rsidRPr="003B57EA">
              <w:t>0.40 – 0.57</w:t>
            </w:r>
          </w:p>
        </w:tc>
        <w:tc>
          <w:tcPr>
            <w:tcW w:w="0" w:type="auto"/>
            <w:tcMar>
              <w:top w:w="113" w:type="dxa"/>
              <w:left w:w="113" w:type="dxa"/>
              <w:bottom w:w="113" w:type="dxa"/>
              <w:right w:w="113" w:type="dxa"/>
            </w:tcMar>
            <w:hideMark/>
          </w:tcPr>
          <w:p w14:paraId="73316700" w14:textId="77777777" w:rsidR="000E6F29" w:rsidRPr="003B57EA" w:rsidRDefault="000E6F29" w:rsidP="00746005">
            <w:pPr>
              <w:jc w:val="center"/>
            </w:pPr>
            <w:r w:rsidRPr="003B57EA">
              <w:rPr>
                <w:rStyle w:val="Strong"/>
              </w:rPr>
              <w:t>&lt;0.001</w:t>
            </w:r>
          </w:p>
        </w:tc>
      </w:tr>
      <w:tr w:rsidR="00FE2D9B" w:rsidRPr="003B57EA" w14:paraId="74A93A28" w14:textId="77777777" w:rsidTr="00746005">
        <w:tc>
          <w:tcPr>
            <w:tcW w:w="0" w:type="auto"/>
            <w:tcMar>
              <w:top w:w="113" w:type="dxa"/>
              <w:left w:w="113" w:type="dxa"/>
              <w:bottom w:w="113" w:type="dxa"/>
              <w:right w:w="113" w:type="dxa"/>
            </w:tcMar>
            <w:hideMark/>
          </w:tcPr>
          <w:p w14:paraId="21071730" w14:textId="77777777" w:rsidR="000E6F29" w:rsidRPr="003B57EA" w:rsidRDefault="000E6F29" w:rsidP="00746005">
            <w:r w:rsidRPr="003B57EA">
              <w:t>Attachment anxiety</w:t>
            </w:r>
          </w:p>
        </w:tc>
        <w:tc>
          <w:tcPr>
            <w:tcW w:w="0" w:type="auto"/>
            <w:tcMar>
              <w:top w:w="113" w:type="dxa"/>
              <w:left w:w="113" w:type="dxa"/>
              <w:bottom w:w="113" w:type="dxa"/>
              <w:right w:w="113" w:type="dxa"/>
            </w:tcMar>
            <w:hideMark/>
          </w:tcPr>
          <w:p w14:paraId="2811569E" w14:textId="77777777" w:rsidR="000E6F29" w:rsidRPr="003B57EA" w:rsidRDefault="000E6F29" w:rsidP="00746005">
            <w:pPr>
              <w:jc w:val="center"/>
            </w:pPr>
            <w:r w:rsidRPr="003B57EA">
              <w:t>0.10</w:t>
            </w:r>
          </w:p>
        </w:tc>
        <w:tc>
          <w:tcPr>
            <w:tcW w:w="0" w:type="auto"/>
            <w:tcMar>
              <w:top w:w="113" w:type="dxa"/>
              <w:left w:w="113" w:type="dxa"/>
              <w:bottom w:w="113" w:type="dxa"/>
              <w:right w:w="113" w:type="dxa"/>
            </w:tcMar>
            <w:hideMark/>
          </w:tcPr>
          <w:p w14:paraId="3C34BE7F" w14:textId="77777777" w:rsidR="000E6F29" w:rsidRPr="003B57EA" w:rsidRDefault="000E6F29" w:rsidP="00746005">
            <w:pPr>
              <w:jc w:val="center"/>
            </w:pPr>
            <w:r w:rsidRPr="003B57EA">
              <w:t>0.03 – 0.17</w:t>
            </w:r>
          </w:p>
        </w:tc>
        <w:tc>
          <w:tcPr>
            <w:tcW w:w="0" w:type="auto"/>
            <w:tcMar>
              <w:top w:w="113" w:type="dxa"/>
              <w:left w:w="113" w:type="dxa"/>
              <w:bottom w:w="113" w:type="dxa"/>
              <w:right w:w="113" w:type="dxa"/>
            </w:tcMar>
            <w:hideMark/>
          </w:tcPr>
          <w:p w14:paraId="4E7CD279" w14:textId="77777777" w:rsidR="000E6F29" w:rsidRPr="003B57EA" w:rsidRDefault="000E6F29" w:rsidP="00746005">
            <w:pPr>
              <w:jc w:val="center"/>
            </w:pPr>
            <w:r w:rsidRPr="003B57EA">
              <w:rPr>
                <w:rStyle w:val="Strong"/>
              </w:rPr>
              <w:t>0.006</w:t>
            </w:r>
          </w:p>
        </w:tc>
        <w:tc>
          <w:tcPr>
            <w:tcW w:w="0" w:type="auto"/>
            <w:tcMar>
              <w:top w:w="113" w:type="dxa"/>
              <w:left w:w="113" w:type="dxa"/>
              <w:bottom w:w="113" w:type="dxa"/>
              <w:right w:w="113" w:type="dxa"/>
            </w:tcMar>
            <w:hideMark/>
          </w:tcPr>
          <w:p w14:paraId="25A3389C" w14:textId="77777777" w:rsidR="000E6F29" w:rsidRPr="003B57EA" w:rsidRDefault="000E6F29" w:rsidP="00746005">
            <w:pPr>
              <w:jc w:val="center"/>
            </w:pPr>
            <w:r w:rsidRPr="003B57EA">
              <w:t>-0.09</w:t>
            </w:r>
          </w:p>
        </w:tc>
        <w:tc>
          <w:tcPr>
            <w:tcW w:w="0" w:type="auto"/>
            <w:tcMar>
              <w:top w:w="113" w:type="dxa"/>
              <w:left w:w="113" w:type="dxa"/>
              <w:bottom w:w="113" w:type="dxa"/>
              <w:right w:w="113" w:type="dxa"/>
            </w:tcMar>
            <w:hideMark/>
          </w:tcPr>
          <w:p w14:paraId="01BF8B8C" w14:textId="77777777" w:rsidR="000E6F29" w:rsidRPr="003B57EA" w:rsidRDefault="000E6F29" w:rsidP="00746005">
            <w:pPr>
              <w:jc w:val="center"/>
            </w:pPr>
            <w:r w:rsidRPr="003B57EA">
              <w:t>-0.17 – -0.01</w:t>
            </w:r>
          </w:p>
        </w:tc>
        <w:tc>
          <w:tcPr>
            <w:tcW w:w="0" w:type="auto"/>
            <w:tcMar>
              <w:top w:w="113" w:type="dxa"/>
              <w:left w:w="113" w:type="dxa"/>
              <w:bottom w:w="113" w:type="dxa"/>
              <w:right w:w="113" w:type="dxa"/>
            </w:tcMar>
            <w:hideMark/>
          </w:tcPr>
          <w:p w14:paraId="2C59294A" w14:textId="77777777" w:rsidR="000E6F29" w:rsidRPr="003B57EA" w:rsidRDefault="000E6F29" w:rsidP="00746005">
            <w:pPr>
              <w:jc w:val="center"/>
            </w:pPr>
            <w:r w:rsidRPr="003B57EA">
              <w:rPr>
                <w:rStyle w:val="Strong"/>
              </w:rPr>
              <w:t>0.030</w:t>
            </w:r>
          </w:p>
        </w:tc>
        <w:tc>
          <w:tcPr>
            <w:tcW w:w="0" w:type="auto"/>
            <w:tcMar>
              <w:top w:w="113" w:type="dxa"/>
              <w:left w:w="113" w:type="dxa"/>
              <w:bottom w:w="113" w:type="dxa"/>
              <w:right w:w="113" w:type="dxa"/>
            </w:tcMar>
            <w:hideMark/>
          </w:tcPr>
          <w:p w14:paraId="7391D4E6" w14:textId="77777777" w:rsidR="000E6F29" w:rsidRPr="003B57EA" w:rsidRDefault="000E6F29" w:rsidP="00746005">
            <w:pPr>
              <w:jc w:val="center"/>
            </w:pPr>
            <w:r w:rsidRPr="003B57EA">
              <w:t>0.02</w:t>
            </w:r>
          </w:p>
        </w:tc>
        <w:tc>
          <w:tcPr>
            <w:tcW w:w="0" w:type="auto"/>
            <w:tcMar>
              <w:top w:w="113" w:type="dxa"/>
              <w:left w:w="113" w:type="dxa"/>
              <w:bottom w:w="113" w:type="dxa"/>
              <w:right w:w="113" w:type="dxa"/>
            </w:tcMar>
            <w:hideMark/>
          </w:tcPr>
          <w:p w14:paraId="3CA1644E" w14:textId="77777777" w:rsidR="000E6F29" w:rsidRPr="003B57EA" w:rsidRDefault="000E6F29" w:rsidP="00746005">
            <w:pPr>
              <w:jc w:val="center"/>
            </w:pPr>
            <w:r w:rsidRPr="003B57EA">
              <w:t>-0.04 – 0.09</w:t>
            </w:r>
          </w:p>
        </w:tc>
        <w:tc>
          <w:tcPr>
            <w:tcW w:w="0" w:type="auto"/>
            <w:tcMar>
              <w:top w:w="113" w:type="dxa"/>
              <w:left w:w="113" w:type="dxa"/>
              <w:bottom w:w="113" w:type="dxa"/>
              <w:right w:w="113" w:type="dxa"/>
            </w:tcMar>
            <w:hideMark/>
          </w:tcPr>
          <w:p w14:paraId="1691DBC8" w14:textId="77777777" w:rsidR="000E6F29" w:rsidRPr="003B57EA" w:rsidRDefault="000E6F29" w:rsidP="00746005">
            <w:pPr>
              <w:jc w:val="center"/>
            </w:pPr>
            <w:r w:rsidRPr="003B57EA">
              <w:t>0.483</w:t>
            </w:r>
          </w:p>
        </w:tc>
      </w:tr>
      <w:tr w:rsidR="00FE2D9B" w:rsidRPr="003B57EA" w14:paraId="68F5F0C5" w14:textId="77777777" w:rsidTr="00746005">
        <w:tc>
          <w:tcPr>
            <w:tcW w:w="0" w:type="auto"/>
            <w:tcMar>
              <w:top w:w="113" w:type="dxa"/>
              <w:left w:w="113" w:type="dxa"/>
              <w:bottom w:w="113" w:type="dxa"/>
              <w:right w:w="113" w:type="dxa"/>
            </w:tcMar>
            <w:hideMark/>
          </w:tcPr>
          <w:p w14:paraId="1B28FAB5" w14:textId="77777777" w:rsidR="000E6F29" w:rsidRPr="003B57EA" w:rsidRDefault="000E6F29" w:rsidP="00746005">
            <w:r w:rsidRPr="003B57EA">
              <w:t>Attachment avoidance</w:t>
            </w:r>
          </w:p>
        </w:tc>
        <w:tc>
          <w:tcPr>
            <w:tcW w:w="0" w:type="auto"/>
            <w:tcMar>
              <w:top w:w="113" w:type="dxa"/>
              <w:left w:w="113" w:type="dxa"/>
              <w:bottom w:w="113" w:type="dxa"/>
              <w:right w:w="113" w:type="dxa"/>
            </w:tcMar>
            <w:hideMark/>
          </w:tcPr>
          <w:p w14:paraId="0E26B412" w14:textId="77777777" w:rsidR="000E6F29" w:rsidRPr="003B57EA" w:rsidRDefault="000E6F29" w:rsidP="00746005">
            <w:pPr>
              <w:jc w:val="center"/>
            </w:pPr>
            <w:r w:rsidRPr="003B57EA">
              <w:t>0.14</w:t>
            </w:r>
          </w:p>
        </w:tc>
        <w:tc>
          <w:tcPr>
            <w:tcW w:w="0" w:type="auto"/>
            <w:tcMar>
              <w:top w:w="113" w:type="dxa"/>
              <w:left w:w="113" w:type="dxa"/>
              <w:bottom w:w="113" w:type="dxa"/>
              <w:right w:w="113" w:type="dxa"/>
            </w:tcMar>
            <w:hideMark/>
          </w:tcPr>
          <w:p w14:paraId="7DD6C07F" w14:textId="77777777" w:rsidR="000E6F29" w:rsidRPr="003B57EA" w:rsidRDefault="000E6F29" w:rsidP="00746005">
            <w:pPr>
              <w:jc w:val="center"/>
            </w:pPr>
            <w:r w:rsidRPr="003B57EA">
              <w:t>0.06 – 0.22</w:t>
            </w:r>
          </w:p>
        </w:tc>
        <w:tc>
          <w:tcPr>
            <w:tcW w:w="0" w:type="auto"/>
            <w:tcMar>
              <w:top w:w="113" w:type="dxa"/>
              <w:left w:w="113" w:type="dxa"/>
              <w:bottom w:w="113" w:type="dxa"/>
              <w:right w:w="113" w:type="dxa"/>
            </w:tcMar>
            <w:hideMark/>
          </w:tcPr>
          <w:p w14:paraId="32A3BD8D" w14:textId="77777777" w:rsidR="000E6F29" w:rsidRPr="003B57EA" w:rsidRDefault="000E6F29" w:rsidP="00746005">
            <w:pPr>
              <w:jc w:val="center"/>
            </w:pPr>
            <w:r w:rsidRPr="003B57EA">
              <w:rPr>
                <w:rStyle w:val="Strong"/>
              </w:rPr>
              <w:t>0.001</w:t>
            </w:r>
          </w:p>
        </w:tc>
        <w:tc>
          <w:tcPr>
            <w:tcW w:w="0" w:type="auto"/>
            <w:tcMar>
              <w:top w:w="113" w:type="dxa"/>
              <w:left w:w="113" w:type="dxa"/>
              <w:bottom w:w="113" w:type="dxa"/>
              <w:right w:w="113" w:type="dxa"/>
            </w:tcMar>
            <w:hideMark/>
          </w:tcPr>
          <w:p w14:paraId="4EAB95F9" w14:textId="77777777" w:rsidR="000E6F29" w:rsidRPr="003B57EA" w:rsidRDefault="000E6F29" w:rsidP="00746005">
            <w:pPr>
              <w:jc w:val="center"/>
            </w:pPr>
            <w:r w:rsidRPr="003B57EA">
              <w:t>0.08</w:t>
            </w:r>
          </w:p>
        </w:tc>
        <w:tc>
          <w:tcPr>
            <w:tcW w:w="0" w:type="auto"/>
            <w:tcMar>
              <w:top w:w="113" w:type="dxa"/>
              <w:left w:w="113" w:type="dxa"/>
              <w:bottom w:w="113" w:type="dxa"/>
              <w:right w:w="113" w:type="dxa"/>
            </w:tcMar>
            <w:hideMark/>
          </w:tcPr>
          <w:p w14:paraId="27A563CD" w14:textId="77777777" w:rsidR="000E6F29" w:rsidRPr="003B57EA" w:rsidRDefault="000E6F29" w:rsidP="00746005">
            <w:pPr>
              <w:jc w:val="center"/>
            </w:pPr>
            <w:r w:rsidRPr="003B57EA">
              <w:t>-0.01 – 0.17</w:t>
            </w:r>
          </w:p>
        </w:tc>
        <w:tc>
          <w:tcPr>
            <w:tcW w:w="0" w:type="auto"/>
            <w:tcMar>
              <w:top w:w="113" w:type="dxa"/>
              <w:left w:w="113" w:type="dxa"/>
              <w:bottom w:w="113" w:type="dxa"/>
              <w:right w:w="113" w:type="dxa"/>
            </w:tcMar>
            <w:hideMark/>
          </w:tcPr>
          <w:p w14:paraId="0EF269FF" w14:textId="77777777" w:rsidR="000E6F29" w:rsidRPr="003B57EA" w:rsidRDefault="000E6F29" w:rsidP="00746005">
            <w:pPr>
              <w:jc w:val="center"/>
            </w:pPr>
            <w:r w:rsidRPr="003B57EA">
              <w:t>0.095</w:t>
            </w:r>
          </w:p>
        </w:tc>
        <w:tc>
          <w:tcPr>
            <w:tcW w:w="0" w:type="auto"/>
            <w:tcMar>
              <w:top w:w="113" w:type="dxa"/>
              <w:left w:w="113" w:type="dxa"/>
              <w:bottom w:w="113" w:type="dxa"/>
              <w:right w:w="113" w:type="dxa"/>
            </w:tcMar>
            <w:hideMark/>
          </w:tcPr>
          <w:p w14:paraId="04D909CC" w14:textId="77777777" w:rsidR="000E6F29" w:rsidRPr="003B57EA" w:rsidRDefault="000E6F29" w:rsidP="00746005">
            <w:pPr>
              <w:jc w:val="center"/>
            </w:pPr>
            <w:r w:rsidRPr="003B57EA">
              <w:t>0.13</w:t>
            </w:r>
          </w:p>
        </w:tc>
        <w:tc>
          <w:tcPr>
            <w:tcW w:w="0" w:type="auto"/>
            <w:tcMar>
              <w:top w:w="113" w:type="dxa"/>
              <w:left w:w="113" w:type="dxa"/>
              <w:bottom w:w="113" w:type="dxa"/>
              <w:right w:w="113" w:type="dxa"/>
            </w:tcMar>
            <w:hideMark/>
          </w:tcPr>
          <w:p w14:paraId="15598664" w14:textId="77777777" w:rsidR="000E6F29" w:rsidRPr="003B57EA" w:rsidRDefault="000E6F29" w:rsidP="00746005">
            <w:pPr>
              <w:jc w:val="center"/>
            </w:pPr>
            <w:r w:rsidRPr="003B57EA">
              <w:t>0.05 – 0.20</w:t>
            </w:r>
          </w:p>
        </w:tc>
        <w:tc>
          <w:tcPr>
            <w:tcW w:w="0" w:type="auto"/>
            <w:tcMar>
              <w:top w:w="113" w:type="dxa"/>
              <w:left w:w="113" w:type="dxa"/>
              <w:bottom w:w="113" w:type="dxa"/>
              <w:right w:w="113" w:type="dxa"/>
            </w:tcMar>
            <w:hideMark/>
          </w:tcPr>
          <w:p w14:paraId="26857568" w14:textId="77777777" w:rsidR="000E6F29" w:rsidRPr="003B57EA" w:rsidRDefault="000E6F29" w:rsidP="00746005">
            <w:pPr>
              <w:jc w:val="center"/>
            </w:pPr>
            <w:r w:rsidRPr="003B57EA">
              <w:rPr>
                <w:rStyle w:val="Strong"/>
              </w:rPr>
              <w:t>0.002</w:t>
            </w:r>
          </w:p>
        </w:tc>
      </w:tr>
      <w:tr w:rsidR="00FE2D9B" w:rsidRPr="003B57EA" w14:paraId="75BA3A71" w14:textId="77777777" w:rsidTr="00746005">
        <w:tc>
          <w:tcPr>
            <w:tcW w:w="0" w:type="auto"/>
            <w:tcMar>
              <w:top w:w="113" w:type="dxa"/>
              <w:left w:w="113" w:type="dxa"/>
              <w:bottom w:w="113" w:type="dxa"/>
              <w:right w:w="113" w:type="dxa"/>
            </w:tcMar>
            <w:hideMark/>
          </w:tcPr>
          <w:p w14:paraId="3E22952D" w14:textId="77777777" w:rsidR="000E6F29" w:rsidRPr="003B57EA" w:rsidRDefault="000E6F29" w:rsidP="00746005">
            <w:r w:rsidRPr="003B57EA">
              <w:t>Gender</w:t>
            </w:r>
          </w:p>
        </w:tc>
        <w:tc>
          <w:tcPr>
            <w:tcW w:w="0" w:type="auto"/>
            <w:tcMar>
              <w:top w:w="113" w:type="dxa"/>
              <w:left w:w="113" w:type="dxa"/>
              <w:bottom w:w="113" w:type="dxa"/>
              <w:right w:w="113" w:type="dxa"/>
            </w:tcMar>
            <w:hideMark/>
          </w:tcPr>
          <w:p w14:paraId="4FC1B07F" w14:textId="77777777" w:rsidR="000E6F29" w:rsidRPr="003B57EA" w:rsidRDefault="000E6F29" w:rsidP="00746005">
            <w:pPr>
              <w:jc w:val="center"/>
            </w:pPr>
            <w:r w:rsidRPr="003B57EA">
              <w:t>0.07</w:t>
            </w:r>
          </w:p>
        </w:tc>
        <w:tc>
          <w:tcPr>
            <w:tcW w:w="0" w:type="auto"/>
            <w:tcMar>
              <w:top w:w="113" w:type="dxa"/>
              <w:left w:w="113" w:type="dxa"/>
              <w:bottom w:w="113" w:type="dxa"/>
              <w:right w:w="113" w:type="dxa"/>
            </w:tcMar>
            <w:hideMark/>
          </w:tcPr>
          <w:p w14:paraId="549CC71C" w14:textId="77777777" w:rsidR="000E6F29" w:rsidRPr="003B57EA" w:rsidRDefault="000E6F29" w:rsidP="00746005">
            <w:pPr>
              <w:jc w:val="center"/>
            </w:pPr>
            <w:r w:rsidRPr="003B57EA">
              <w:t>-0.04 – 0.18</w:t>
            </w:r>
          </w:p>
        </w:tc>
        <w:tc>
          <w:tcPr>
            <w:tcW w:w="0" w:type="auto"/>
            <w:tcMar>
              <w:top w:w="113" w:type="dxa"/>
              <w:left w:w="113" w:type="dxa"/>
              <w:bottom w:w="113" w:type="dxa"/>
              <w:right w:w="113" w:type="dxa"/>
            </w:tcMar>
            <w:hideMark/>
          </w:tcPr>
          <w:p w14:paraId="1D8F683F" w14:textId="77777777" w:rsidR="000E6F29" w:rsidRPr="003B57EA" w:rsidRDefault="000E6F29" w:rsidP="00746005">
            <w:pPr>
              <w:jc w:val="center"/>
            </w:pPr>
            <w:r w:rsidRPr="003B57EA">
              <w:t>0.192</w:t>
            </w:r>
          </w:p>
        </w:tc>
        <w:tc>
          <w:tcPr>
            <w:tcW w:w="0" w:type="auto"/>
            <w:tcMar>
              <w:top w:w="113" w:type="dxa"/>
              <w:left w:w="113" w:type="dxa"/>
              <w:bottom w:w="113" w:type="dxa"/>
              <w:right w:w="113" w:type="dxa"/>
            </w:tcMar>
            <w:hideMark/>
          </w:tcPr>
          <w:p w14:paraId="219F0205" w14:textId="77777777" w:rsidR="000E6F29" w:rsidRPr="003B57EA" w:rsidRDefault="000E6F29" w:rsidP="00746005">
            <w:pPr>
              <w:jc w:val="center"/>
            </w:pPr>
            <w:r w:rsidRPr="003B57EA">
              <w:t>-0.40</w:t>
            </w:r>
          </w:p>
        </w:tc>
        <w:tc>
          <w:tcPr>
            <w:tcW w:w="0" w:type="auto"/>
            <w:tcMar>
              <w:top w:w="113" w:type="dxa"/>
              <w:left w:w="113" w:type="dxa"/>
              <w:bottom w:w="113" w:type="dxa"/>
              <w:right w:w="113" w:type="dxa"/>
            </w:tcMar>
            <w:hideMark/>
          </w:tcPr>
          <w:p w14:paraId="6C1D3814" w14:textId="77777777" w:rsidR="000E6F29" w:rsidRPr="003B57EA" w:rsidRDefault="000E6F29" w:rsidP="00746005">
            <w:pPr>
              <w:jc w:val="center"/>
            </w:pPr>
            <w:r w:rsidRPr="003B57EA">
              <w:t>-0.53 – -0.28</w:t>
            </w:r>
          </w:p>
        </w:tc>
        <w:tc>
          <w:tcPr>
            <w:tcW w:w="0" w:type="auto"/>
            <w:tcMar>
              <w:top w:w="113" w:type="dxa"/>
              <w:left w:w="113" w:type="dxa"/>
              <w:bottom w:w="113" w:type="dxa"/>
              <w:right w:w="113" w:type="dxa"/>
            </w:tcMar>
            <w:hideMark/>
          </w:tcPr>
          <w:p w14:paraId="37FD554C"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0CBE0C2B" w14:textId="77777777" w:rsidR="000E6F29" w:rsidRPr="003B57EA" w:rsidRDefault="000E6F29" w:rsidP="00746005">
            <w:pPr>
              <w:jc w:val="center"/>
            </w:pPr>
            <w:r w:rsidRPr="003B57EA">
              <w:t>-0.11</w:t>
            </w:r>
          </w:p>
        </w:tc>
        <w:tc>
          <w:tcPr>
            <w:tcW w:w="0" w:type="auto"/>
            <w:tcMar>
              <w:top w:w="113" w:type="dxa"/>
              <w:left w:w="113" w:type="dxa"/>
              <w:bottom w:w="113" w:type="dxa"/>
              <w:right w:w="113" w:type="dxa"/>
            </w:tcMar>
            <w:hideMark/>
          </w:tcPr>
          <w:p w14:paraId="71E59301" w14:textId="77777777" w:rsidR="000E6F29" w:rsidRPr="003B57EA" w:rsidRDefault="000E6F29" w:rsidP="00746005">
            <w:pPr>
              <w:jc w:val="center"/>
            </w:pPr>
            <w:r w:rsidRPr="003B57EA">
              <w:t>-0.22 – -0.01</w:t>
            </w:r>
          </w:p>
        </w:tc>
        <w:tc>
          <w:tcPr>
            <w:tcW w:w="0" w:type="auto"/>
            <w:tcMar>
              <w:top w:w="113" w:type="dxa"/>
              <w:left w:w="113" w:type="dxa"/>
              <w:bottom w:w="113" w:type="dxa"/>
              <w:right w:w="113" w:type="dxa"/>
            </w:tcMar>
            <w:hideMark/>
          </w:tcPr>
          <w:p w14:paraId="0F456ED9" w14:textId="77777777" w:rsidR="000E6F29" w:rsidRPr="003B57EA" w:rsidRDefault="000E6F29" w:rsidP="00746005">
            <w:pPr>
              <w:jc w:val="center"/>
            </w:pPr>
            <w:r w:rsidRPr="003B57EA">
              <w:rPr>
                <w:rStyle w:val="Strong"/>
              </w:rPr>
              <w:t>0.037</w:t>
            </w:r>
          </w:p>
        </w:tc>
      </w:tr>
      <w:tr w:rsidR="00FE2D9B" w:rsidRPr="003B57EA" w14:paraId="29B33E89" w14:textId="77777777" w:rsidTr="00746005">
        <w:tc>
          <w:tcPr>
            <w:tcW w:w="0" w:type="auto"/>
            <w:tcMar>
              <w:top w:w="113" w:type="dxa"/>
              <w:left w:w="113" w:type="dxa"/>
              <w:bottom w:w="113" w:type="dxa"/>
              <w:right w:w="113" w:type="dxa"/>
            </w:tcMar>
            <w:hideMark/>
          </w:tcPr>
          <w:p w14:paraId="0461096D" w14:textId="77777777" w:rsidR="000E6F29" w:rsidRPr="003B57EA" w:rsidRDefault="000E6F29" w:rsidP="00746005">
            <w:r w:rsidRPr="003B57EA">
              <w:t>Age</w:t>
            </w:r>
          </w:p>
        </w:tc>
        <w:tc>
          <w:tcPr>
            <w:tcW w:w="0" w:type="auto"/>
            <w:tcMar>
              <w:top w:w="113" w:type="dxa"/>
              <w:left w:w="113" w:type="dxa"/>
              <w:bottom w:w="113" w:type="dxa"/>
              <w:right w:w="113" w:type="dxa"/>
            </w:tcMar>
            <w:hideMark/>
          </w:tcPr>
          <w:p w14:paraId="19B33E31"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0C659BFF" w14:textId="77777777" w:rsidR="000E6F29" w:rsidRPr="003B57EA" w:rsidRDefault="000E6F29" w:rsidP="00746005">
            <w:pPr>
              <w:jc w:val="center"/>
            </w:pPr>
            <w:r w:rsidRPr="003B57EA">
              <w:t>-0.00 – 0.07</w:t>
            </w:r>
          </w:p>
        </w:tc>
        <w:tc>
          <w:tcPr>
            <w:tcW w:w="0" w:type="auto"/>
            <w:tcMar>
              <w:top w:w="113" w:type="dxa"/>
              <w:left w:w="113" w:type="dxa"/>
              <w:bottom w:w="113" w:type="dxa"/>
              <w:right w:w="113" w:type="dxa"/>
            </w:tcMar>
            <w:hideMark/>
          </w:tcPr>
          <w:p w14:paraId="311E2FF9" w14:textId="77777777" w:rsidR="000E6F29" w:rsidRPr="003B57EA" w:rsidRDefault="000E6F29" w:rsidP="00746005">
            <w:pPr>
              <w:jc w:val="center"/>
            </w:pPr>
            <w:r w:rsidRPr="003B57EA">
              <w:t>0.053</w:t>
            </w:r>
          </w:p>
        </w:tc>
        <w:tc>
          <w:tcPr>
            <w:tcW w:w="0" w:type="auto"/>
            <w:tcMar>
              <w:top w:w="113" w:type="dxa"/>
              <w:left w:w="113" w:type="dxa"/>
              <w:bottom w:w="113" w:type="dxa"/>
              <w:right w:w="113" w:type="dxa"/>
            </w:tcMar>
            <w:hideMark/>
          </w:tcPr>
          <w:p w14:paraId="6E232EFB"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56CE56FB" w14:textId="77777777" w:rsidR="000E6F29" w:rsidRPr="003B57EA" w:rsidRDefault="000E6F29" w:rsidP="00746005">
            <w:pPr>
              <w:jc w:val="center"/>
            </w:pPr>
            <w:r w:rsidRPr="003B57EA">
              <w:t>-0.01 – 0.07</w:t>
            </w:r>
          </w:p>
        </w:tc>
        <w:tc>
          <w:tcPr>
            <w:tcW w:w="0" w:type="auto"/>
            <w:tcMar>
              <w:top w:w="113" w:type="dxa"/>
              <w:left w:w="113" w:type="dxa"/>
              <w:bottom w:w="113" w:type="dxa"/>
              <w:right w:w="113" w:type="dxa"/>
            </w:tcMar>
            <w:hideMark/>
          </w:tcPr>
          <w:p w14:paraId="44EBC881" w14:textId="77777777" w:rsidR="000E6F29" w:rsidRPr="003B57EA" w:rsidRDefault="000E6F29" w:rsidP="00746005">
            <w:pPr>
              <w:jc w:val="center"/>
            </w:pPr>
            <w:r w:rsidRPr="003B57EA">
              <w:t>0.109</w:t>
            </w:r>
          </w:p>
        </w:tc>
        <w:tc>
          <w:tcPr>
            <w:tcW w:w="0" w:type="auto"/>
            <w:tcMar>
              <w:top w:w="113" w:type="dxa"/>
              <w:left w:w="113" w:type="dxa"/>
              <w:bottom w:w="113" w:type="dxa"/>
              <w:right w:w="113" w:type="dxa"/>
            </w:tcMar>
            <w:hideMark/>
          </w:tcPr>
          <w:p w14:paraId="2477D73B" w14:textId="77777777" w:rsidR="000E6F29" w:rsidRPr="003B57EA" w:rsidRDefault="000E6F29" w:rsidP="00746005">
            <w:pPr>
              <w:jc w:val="center"/>
            </w:pPr>
            <w:r w:rsidRPr="003B57EA">
              <w:t>0.02</w:t>
            </w:r>
          </w:p>
        </w:tc>
        <w:tc>
          <w:tcPr>
            <w:tcW w:w="0" w:type="auto"/>
            <w:tcMar>
              <w:top w:w="113" w:type="dxa"/>
              <w:left w:w="113" w:type="dxa"/>
              <w:bottom w:w="113" w:type="dxa"/>
              <w:right w:w="113" w:type="dxa"/>
            </w:tcMar>
            <w:hideMark/>
          </w:tcPr>
          <w:p w14:paraId="2488A829" w14:textId="77777777" w:rsidR="000E6F29" w:rsidRPr="003B57EA" w:rsidRDefault="000E6F29" w:rsidP="00746005">
            <w:pPr>
              <w:jc w:val="center"/>
            </w:pPr>
            <w:r w:rsidRPr="003B57EA">
              <w:t>-0.01 – 0.05</w:t>
            </w:r>
          </w:p>
        </w:tc>
        <w:tc>
          <w:tcPr>
            <w:tcW w:w="0" w:type="auto"/>
            <w:tcMar>
              <w:top w:w="113" w:type="dxa"/>
              <w:left w:w="113" w:type="dxa"/>
              <w:bottom w:w="113" w:type="dxa"/>
              <w:right w:w="113" w:type="dxa"/>
            </w:tcMar>
            <w:hideMark/>
          </w:tcPr>
          <w:p w14:paraId="29A7E970" w14:textId="77777777" w:rsidR="000E6F29" w:rsidRPr="003B57EA" w:rsidRDefault="000E6F29" w:rsidP="00746005">
            <w:pPr>
              <w:jc w:val="center"/>
            </w:pPr>
            <w:r w:rsidRPr="003B57EA">
              <w:t>0.189</w:t>
            </w:r>
          </w:p>
        </w:tc>
      </w:tr>
      <w:tr w:rsidR="00FE2D9B" w:rsidRPr="003B57EA" w14:paraId="1C9DB13A" w14:textId="77777777" w:rsidTr="00746005">
        <w:tc>
          <w:tcPr>
            <w:tcW w:w="0" w:type="auto"/>
            <w:tcMar>
              <w:top w:w="113" w:type="dxa"/>
              <w:left w:w="113" w:type="dxa"/>
              <w:bottom w:w="113" w:type="dxa"/>
              <w:right w:w="113" w:type="dxa"/>
            </w:tcMar>
            <w:hideMark/>
          </w:tcPr>
          <w:p w14:paraId="5C72E73C" w14:textId="77777777" w:rsidR="000E6F29" w:rsidRPr="003B57EA" w:rsidRDefault="000E6F29" w:rsidP="00746005">
            <w:r w:rsidRPr="003B57EA">
              <w:t>Religiosity</w:t>
            </w:r>
          </w:p>
        </w:tc>
        <w:tc>
          <w:tcPr>
            <w:tcW w:w="0" w:type="auto"/>
            <w:tcMar>
              <w:top w:w="113" w:type="dxa"/>
              <w:left w:w="113" w:type="dxa"/>
              <w:bottom w:w="113" w:type="dxa"/>
              <w:right w:w="113" w:type="dxa"/>
            </w:tcMar>
            <w:hideMark/>
          </w:tcPr>
          <w:p w14:paraId="3F1DBDFE" w14:textId="77777777" w:rsidR="000E6F29" w:rsidRPr="003B57EA" w:rsidRDefault="000E6F29" w:rsidP="00746005">
            <w:pPr>
              <w:jc w:val="center"/>
            </w:pPr>
            <w:r w:rsidRPr="003B57EA">
              <w:t>-0.08</w:t>
            </w:r>
          </w:p>
        </w:tc>
        <w:tc>
          <w:tcPr>
            <w:tcW w:w="0" w:type="auto"/>
            <w:tcMar>
              <w:top w:w="113" w:type="dxa"/>
              <w:left w:w="113" w:type="dxa"/>
              <w:bottom w:w="113" w:type="dxa"/>
              <w:right w:w="113" w:type="dxa"/>
            </w:tcMar>
            <w:hideMark/>
          </w:tcPr>
          <w:p w14:paraId="730E80E7" w14:textId="77777777" w:rsidR="000E6F29" w:rsidRPr="003B57EA" w:rsidRDefault="000E6F29" w:rsidP="00746005">
            <w:pPr>
              <w:jc w:val="center"/>
            </w:pPr>
            <w:r w:rsidRPr="003B57EA">
              <w:t>-0.14 – -0.02</w:t>
            </w:r>
          </w:p>
        </w:tc>
        <w:tc>
          <w:tcPr>
            <w:tcW w:w="0" w:type="auto"/>
            <w:tcMar>
              <w:top w:w="113" w:type="dxa"/>
              <w:left w:w="113" w:type="dxa"/>
              <w:bottom w:w="113" w:type="dxa"/>
              <w:right w:w="113" w:type="dxa"/>
            </w:tcMar>
            <w:hideMark/>
          </w:tcPr>
          <w:p w14:paraId="0E7410A3" w14:textId="77777777" w:rsidR="000E6F29" w:rsidRPr="003B57EA" w:rsidRDefault="000E6F29" w:rsidP="00746005">
            <w:pPr>
              <w:jc w:val="center"/>
            </w:pPr>
            <w:r w:rsidRPr="003B57EA">
              <w:rPr>
                <w:rStyle w:val="Strong"/>
              </w:rPr>
              <w:t>0.006</w:t>
            </w:r>
          </w:p>
        </w:tc>
        <w:tc>
          <w:tcPr>
            <w:tcW w:w="0" w:type="auto"/>
            <w:tcMar>
              <w:top w:w="113" w:type="dxa"/>
              <w:left w:w="113" w:type="dxa"/>
              <w:bottom w:w="113" w:type="dxa"/>
              <w:right w:w="113" w:type="dxa"/>
            </w:tcMar>
            <w:hideMark/>
          </w:tcPr>
          <w:p w14:paraId="15AEF44A"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73DE81C3" w14:textId="77777777" w:rsidR="000E6F29" w:rsidRPr="003B57EA" w:rsidRDefault="000E6F29" w:rsidP="00746005">
            <w:pPr>
              <w:jc w:val="center"/>
            </w:pPr>
            <w:r w:rsidRPr="003B57EA">
              <w:t>-0.10 – 0.03</w:t>
            </w:r>
          </w:p>
        </w:tc>
        <w:tc>
          <w:tcPr>
            <w:tcW w:w="0" w:type="auto"/>
            <w:tcMar>
              <w:top w:w="113" w:type="dxa"/>
              <w:left w:w="113" w:type="dxa"/>
              <w:bottom w:w="113" w:type="dxa"/>
              <w:right w:w="113" w:type="dxa"/>
            </w:tcMar>
            <w:hideMark/>
          </w:tcPr>
          <w:p w14:paraId="3A250F99" w14:textId="77777777" w:rsidR="000E6F29" w:rsidRPr="003B57EA" w:rsidRDefault="000E6F29" w:rsidP="00746005">
            <w:pPr>
              <w:jc w:val="center"/>
            </w:pPr>
            <w:r w:rsidRPr="003B57EA">
              <w:t>0.301</w:t>
            </w:r>
          </w:p>
        </w:tc>
        <w:tc>
          <w:tcPr>
            <w:tcW w:w="0" w:type="auto"/>
            <w:tcMar>
              <w:top w:w="113" w:type="dxa"/>
              <w:left w:w="113" w:type="dxa"/>
              <w:bottom w:w="113" w:type="dxa"/>
              <w:right w:w="113" w:type="dxa"/>
            </w:tcMar>
            <w:hideMark/>
          </w:tcPr>
          <w:p w14:paraId="3AD440DE" w14:textId="77777777" w:rsidR="000E6F29" w:rsidRPr="003B57EA" w:rsidRDefault="000E6F29" w:rsidP="00746005">
            <w:pPr>
              <w:jc w:val="center"/>
            </w:pPr>
            <w:r w:rsidRPr="003B57EA">
              <w:t>-0.08</w:t>
            </w:r>
          </w:p>
        </w:tc>
        <w:tc>
          <w:tcPr>
            <w:tcW w:w="0" w:type="auto"/>
            <w:tcMar>
              <w:top w:w="113" w:type="dxa"/>
              <w:left w:w="113" w:type="dxa"/>
              <w:bottom w:w="113" w:type="dxa"/>
              <w:right w:w="113" w:type="dxa"/>
            </w:tcMar>
            <w:hideMark/>
          </w:tcPr>
          <w:p w14:paraId="7BC947C8" w14:textId="77777777" w:rsidR="000E6F29" w:rsidRPr="003B57EA" w:rsidRDefault="000E6F29" w:rsidP="00746005">
            <w:pPr>
              <w:jc w:val="center"/>
            </w:pPr>
            <w:r w:rsidRPr="003B57EA">
              <w:t>-0.14 – -0.03</w:t>
            </w:r>
          </w:p>
        </w:tc>
        <w:tc>
          <w:tcPr>
            <w:tcW w:w="0" w:type="auto"/>
            <w:tcMar>
              <w:top w:w="113" w:type="dxa"/>
              <w:left w:w="113" w:type="dxa"/>
              <w:bottom w:w="113" w:type="dxa"/>
              <w:right w:w="113" w:type="dxa"/>
            </w:tcMar>
            <w:hideMark/>
          </w:tcPr>
          <w:p w14:paraId="73D3BA44" w14:textId="77777777" w:rsidR="000E6F29" w:rsidRPr="003B57EA" w:rsidRDefault="000E6F29" w:rsidP="00746005">
            <w:pPr>
              <w:jc w:val="center"/>
            </w:pPr>
            <w:r w:rsidRPr="003B57EA">
              <w:rPr>
                <w:rStyle w:val="Strong"/>
              </w:rPr>
              <w:t>0.003</w:t>
            </w:r>
          </w:p>
        </w:tc>
      </w:tr>
      <w:tr w:rsidR="00FE2D9B" w:rsidRPr="003B57EA" w14:paraId="44385BEB" w14:textId="77777777" w:rsidTr="00746005">
        <w:tc>
          <w:tcPr>
            <w:tcW w:w="0" w:type="auto"/>
            <w:tcMar>
              <w:top w:w="113" w:type="dxa"/>
              <w:left w:w="113" w:type="dxa"/>
              <w:bottom w:w="113" w:type="dxa"/>
              <w:right w:w="113" w:type="dxa"/>
            </w:tcMar>
            <w:hideMark/>
          </w:tcPr>
          <w:p w14:paraId="68A4AE8C" w14:textId="77777777" w:rsidR="000E6F29" w:rsidRPr="003B57EA" w:rsidRDefault="000E6F29" w:rsidP="00746005">
            <w:r w:rsidRPr="003B57EA">
              <w:t>SES</w:t>
            </w:r>
          </w:p>
        </w:tc>
        <w:tc>
          <w:tcPr>
            <w:tcW w:w="0" w:type="auto"/>
            <w:tcMar>
              <w:top w:w="113" w:type="dxa"/>
              <w:left w:w="113" w:type="dxa"/>
              <w:bottom w:w="113" w:type="dxa"/>
              <w:right w:w="113" w:type="dxa"/>
            </w:tcMar>
            <w:hideMark/>
          </w:tcPr>
          <w:p w14:paraId="10C91EB5"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0EABC42C" w14:textId="77777777" w:rsidR="000E6F29" w:rsidRPr="003B57EA" w:rsidRDefault="000E6F29" w:rsidP="00746005">
            <w:pPr>
              <w:jc w:val="center"/>
            </w:pPr>
            <w:r w:rsidRPr="003B57EA">
              <w:t>-0.07 – 0.12</w:t>
            </w:r>
          </w:p>
        </w:tc>
        <w:tc>
          <w:tcPr>
            <w:tcW w:w="0" w:type="auto"/>
            <w:tcMar>
              <w:top w:w="113" w:type="dxa"/>
              <w:left w:w="113" w:type="dxa"/>
              <w:bottom w:w="113" w:type="dxa"/>
              <w:right w:w="113" w:type="dxa"/>
            </w:tcMar>
            <w:hideMark/>
          </w:tcPr>
          <w:p w14:paraId="6E918B39" w14:textId="77777777" w:rsidR="000E6F29" w:rsidRPr="003B57EA" w:rsidRDefault="000E6F29" w:rsidP="00746005">
            <w:pPr>
              <w:jc w:val="center"/>
            </w:pPr>
            <w:r w:rsidRPr="003B57EA">
              <w:t>0.562</w:t>
            </w:r>
          </w:p>
        </w:tc>
        <w:tc>
          <w:tcPr>
            <w:tcW w:w="0" w:type="auto"/>
            <w:tcMar>
              <w:top w:w="113" w:type="dxa"/>
              <w:left w:w="113" w:type="dxa"/>
              <w:bottom w:w="113" w:type="dxa"/>
              <w:right w:w="113" w:type="dxa"/>
            </w:tcMar>
            <w:hideMark/>
          </w:tcPr>
          <w:p w14:paraId="6096EF3C"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1964AF6F" w14:textId="77777777" w:rsidR="000E6F29" w:rsidRPr="003B57EA" w:rsidRDefault="000E6F29" w:rsidP="00746005">
            <w:pPr>
              <w:jc w:val="center"/>
            </w:pPr>
            <w:r w:rsidRPr="003B57EA">
              <w:t>-0.08 – 0.14</w:t>
            </w:r>
          </w:p>
        </w:tc>
        <w:tc>
          <w:tcPr>
            <w:tcW w:w="0" w:type="auto"/>
            <w:tcMar>
              <w:top w:w="113" w:type="dxa"/>
              <w:left w:w="113" w:type="dxa"/>
              <w:bottom w:w="113" w:type="dxa"/>
              <w:right w:w="113" w:type="dxa"/>
            </w:tcMar>
            <w:hideMark/>
          </w:tcPr>
          <w:p w14:paraId="46AAF89C" w14:textId="77777777" w:rsidR="000E6F29" w:rsidRPr="003B57EA" w:rsidRDefault="000E6F29" w:rsidP="00746005">
            <w:pPr>
              <w:jc w:val="center"/>
            </w:pPr>
            <w:r w:rsidRPr="003B57EA">
              <w:t>0.594</w:t>
            </w:r>
          </w:p>
        </w:tc>
        <w:tc>
          <w:tcPr>
            <w:tcW w:w="0" w:type="auto"/>
            <w:tcMar>
              <w:top w:w="113" w:type="dxa"/>
              <w:left w:w="113" w:type="dxa"/>
              <w:bottom w:w="113" w:type="dxa"/>
              <w:right w:w="113" w:type="dxa"/>
            </w:tcMar>
            <w:hideMark/>
          </w:tcPr>
          <w:p w14:paraId="281056DC"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15E0F5C4" w14:textId="77777777" w:rsidR="000E6F29" w:rsidRPr="003B57EA" w:rsidRDefault="000E6F29" w:rsidP="00746005">
            <w:pPr>
              <w:jc w:val="center"/>
            </w:pPr>
            <w:r w:rsidRPr="003B57EA">
              <w:t>-0.12 – 0.06</w:t>
            </w:r>
          </w:p>
        </w:tc>
        <w:tc>
          <w:tcPr>
            <w:tcW w:w="0" w:type="auto"/>
            <w:tcMar>
              <w:top w:w="113" w:type="dxa"/>
              <w:left w:w="113" w:type="dxa"/>
              <w:bottom w:w="113" w:type="dxa"/>
              <w:right w:w="113" w:type="dxa"/>
            </w:tcMar>
            <w:hideMark/>
          </w:tcPr>
          <w:p w14:paraId="72410A63" w14:textId="77777777" w:rsidR="000E6F29" w:rsidRPr="003B57EA" w:rsidRDefault="000E6F29" w:rsidP="00746005">
            <w:pPr>
              <w:jc w:val="center"/>
            </w:pPr>
            <w:r w:rsidRPr="003B57EA">
              <w:t>0.550</w:t>
            </w:r>
          </w:p>
        </w:tc>
      </w:tr>
      <w:tr w:rsidR="000E6F29" w:rsidRPr="003B57EA" w14:paraId="04C5EFD4" w14:textId="77777777" w:rsidTr="00746005">
        <w:tc>
          <w:tcPr>
            <w:tcW w:w="0" w:type="auto"/>
            <w:tcBorders>
              <w:top w:val="single" w:sz="6" w:space="0" w:color="auto"/>
            </w:tcBorders>
            <w:tcMar>
              <w:top w:w="57" w:type="dxa"/>
              <w:left w:w="113" w:type="dxa"/>
              <w:bottom w:w="57" w:type="dxa"/>
              <w:right w:w="113" w:type="dxa"/>
            </w:tcMar>
            <w:hideMark/>
          </w:tcPr>
          <w:p w14:paraId="412B2C33" w14:textId="77777777" w:rsidR="000E6F29" w:rsidRPr="003B57EA" w:rsidRDefault="000E6F29" w:rsidP="00746005">
            <w:pPr>
              <w:jc w:val="right"/>
            </w:pPr>
            <w:r w:rsidRPr="003B57EA">
              <w:t>R-squared</w:t>
            </w:r>
          </w:p>
        </w:tc>
        <w:tc>
          <w:tcPr>
            <w:tcW w:w="0" w:type="auto"/>
            <w:gridSpan w:val="3"/>
            <w:tcBorders>
              <w:top w:val="single" w:sz="6" w:space="0" w:color="auto"/>
            </w:tcBorders>
            <w:tcMar>
              <w:top w:w="57" w:type="dxa"/>
              <w:left w:w="113" w:type="dxa"/>
              <w:bottom w:w="57" w:type="dxa"/>
              <w:right w:w="113" w:type="dxa"/>
            </w:tcMar>
            <w:hideMark/>
          </w:tcPr>
          <w:p w14:paraId="304B7499" w14:textId="77777777" w:rsidR="000E6F29" w:rsidRPr="003B57EA" w:rsidRDefault="000E6F29" w:rsidP="00746005">
            <w:pPr>
              <w:jc w:val="center"/>
            </w:pPr>
            <w:r w:rsidRPr="003B57EA">
              <w:t>22.73%</w:t>
            </w:r>
          </w:p>
        </w:tc>
        <w:tc>
          <w:tcPr>
            <w:tcW w:w="0" w:type="auto"/>
            <w:gridSpan w:val="3"/>
            <w:tcBorders>
              <w:top w:val="single" w:sz="6" w:space="0" w:color="auto"/>
            </w:tcBorders>
            <w:tcMar>
              <w:top w:w="57" w:type="dxa"/>
              <w:left w:w="113" w:type="dxa"/>
              <w:bottom w:w="57" w:type="dxa"/>
              <w:right w:w="113" w:type="dxa"/>
            </w:tcMar>
            <w:hideMark/>
          </w:tcPr>
          <w:p w14:paraId="59C4E3C7" w14:textId="77777777" w:rsidR="000E6F29" w:rsidRPr="003B57EA" w:rsidRDefault="000E6F29" w:rsidP="00746005">
            <w:pPr>
              <w:jc w:val="center"/>
            </w:pPr>
            <w:r w:rsidRPr="003B57EA">
              <w:t>16.58%</w:t>
            </w:r>
          </w:p>
        </w:tc>
        <w:tc>
          <w:tcPr>
            <w:tcW w:w="0" w:type="auto"/>
            <w:gridSpan w:val="3"/>
            <w:tcBorders>
              <w:top w:val="single" w:sz="6" w:space="0" w:color="auto"/>
            </w:tcBorders>
            <w:tcMar>
              <w:top w:w="57" w:type="dxa"/>
              <w:left w:w="113" w:type="dxa"/>
              <w:bottom w:w="57" w:type="dxa"/>
              <w:right w:w="113" w:type="dxa"/>
            </w:tcMar>
            <w:hideMark/>
          </w:tcPr>
          <w:p w14:paraId="71632D18" w14:textId="77777777" w:rsidR="000E6F29" w:rsidRPr="003B57EA" w:rsidRDefault="000E6F29" w:rsidP="00746005">
            <w:pPr>
              <w:jc w:val="center"/>
            </w:pPr>
            <w:r w:rsidRPr="003B57EA">
              <w:t>25.92%</w:t>
            </w:r>
          </w:p>
        </w:tc>
      </w:tr>
    </w:tbl>
    <w:p w14:paraId="388E401A" w14:textId="77777777" w:rsidR="000E6F29" w:rsidRPr="003B57EA" w:rsidRDefault="000E6F29" w:rsidP="000E6F29"/>
    <w:p w14:paraId="443E061A" w14:textId="51C3FC9A" w:rsidR="000E6F29" w:rsidRPr="003B57EA" w:rsidRDefault="000E6F29" w:rsidP="000E6F29"/>
    <w:p w14:paraId="66BE7F2D" w14:textId="211E2AE8" w:rsidR="00A62CCB" w:rsidRPr="003B57EA" w:rsidRDefault="00A62CCB" w:rsidP="000E6F29"/>
    <w:p w14:paraId="1D60C5F9" w14:textId="354AFF5B" w:rsidR="00A62CCB" w:rsidRPr="003B57EA" w:rsidRDefault="00A62CCB" w:rsidP="000E6F29"/>
    <w:p w14:paraId="1933255F" w14:textId="1C8AD76E" w:rsidR="00A62CCB" w:rsidRPr="003B57EA" w:rsidRDefault="00A62CCB" w:rsidP="000E6F29"/>
    <w:p w14:paraId="15775B99" w14:textId="1EA5094E" w:rsidR="00A62CCB" w:rsidRPr="003B57EA" w:rsidRDefault="00A62CCB" w:rsidP="000E6F29"/>
    <w:p w14:paraId="3C62C1FD" w14:textId="27A01A7B" w:rsidR="00A62CCB" w:rsidRPr="003B57EA" w:rsidRDefault="00A62CCB" w:rsidP="000E6F29"/>
    <w:p w14:paraId="4424BA00" w14:textId="77777777" w:rsidR="00A62CCB" w:rsidRPr="003B57EA" w:rsidRDefault="00A62CCB" w:rsidP="000E6F29"/>
    <w:tbl>
      <w:tblPr>
        <w:tblW w:w="0" w:type="auto"/>
        <w:tblCellMar>
          <w:top w:w="15" w:type="dxa"/>
          <w:left w:w="15" w:type="dxa"/>
          <w:bottom w:w="15" w:type="dxa"/>
          <w:right w:w="15" w:type="dxa"/>
        </w:tblCellMar>
        <w:tblLook w:val="04A0" w:firstRow="1" w:lastRow="0" w:firstColumn="1" w:lastColumn="0" w:noHBand="0" w:noVBand="1"/>
      </w:tblPr>
      <w:tblGrid>
        <w:gridCol w:w="2619"/>
        <w:gridCol w:w="964"/>
        <w:gridCol w:w="1386"/>
        <w:gridCol w:w="903"/>
        <w:gridCol w:w="964"/>
        <w:gridCol w:w="1466"/>
        <w:gridCol w:w="903"/>
        <w:gridCol w:w="964"/>
        <w:gridCol w:w="1466"/>
        <w:gridCol w:w="903"/>
      </w:tblGrid>
      <w:tr w:rsidR="00FE2D9B" w:rsidRPr="003B57EA" w14:paraId="5B32B012" w14:textId="77777777" w:rsidTr="00746005">
        <w:tc>
          <w:tcPr>
            <w:tcW w:w="0" w:type="auto"/>
            <w:tcBorders>
              <w:top w:val="double" w:sz="6" w:space="0" w:color="auto"/>
            </w:tcBorders>
            <w:tcMar>
              <w:top w:w="113" w:type="dxa"/>
              <w:left w:w="113" w:type="dxa"/>
              <w:bottom w:w="113" w:type="dxa"/>
              <w:right w:w="113" w:type="dxa"/>
            </w:tcMar>
            <w:vAlign w:val="center"/>
            <w:hideMark/>
          </w:tcPr>
          <w:p w14:paraId="1A7CF96D" w14:textId="77777777" w:rsidR="000E6F29" w:rsidRPr="003B57EA" w:rsidRDefault="000E6F29" w:rsidP="00746005">
            <w:pPr>
              <w:rPr>
                <w:b/>
                <w:bCs/>
              </w:rPr>
            </w:pPr>
            <w:r w:rsidRPr="003B57EA">
              <w:rPr>
                <w:b/>
                <w:bCs/>
              </w:rPr>
              <w:lastRenderedPageBreak/>
              <w:t> </w:t>
            </w:r>
          </w:p>
        </w:tc>
        <w:tc>
          <w:tcPr>
            <w:tcW w:w="0" w:type="auto"/>
            <w:gridSpan w:val="3"/>
            <w:tcBorders>
              <w:top w:val="double" w:sz="6" w:space="0" w:color="auto"/>
            </w:tcBorders>
            <w:tcMar>
              <w:top w:w="113" w:type="dxa"/>
              <w:left w:w="113" w:type="dxa"/>
              <w:bottom w:w="113" w:type="dxa"/>
              <w:right w:w="113" w:type="dxa"/>
            </w:tcMar>
            <w:vAlign w:val="center"/>
            <w:hideMark/>
          </w:tcPr>
          <w:p w14:paraId="4779863E" w14:textId="77777777" w:rsidR="000E6F29" w:rsidRPr="003B57EA" w:rsidRDefault="000E6F29" w:rsidP="00746005">
            <w:pPr>
              <w:jc w:val="center"/>
              <w:rPr>
                <w:b/>
                <w:bCs/>
              </w:rPr>
            </w:pPr>
            <w:r w:rsidRPr="003B57EA">
              <w:rPr>
                <w:b/>
                <w:bCs/>
              </w:rPr>
              <w:t>Skill development</w:t>
            </w:r>
          </w:p>
        </w:tc>
        <w:tc>
          <w:tcPr>
            <w:tcW w:w="0" w:type="auto"/>
            <w:gridSpan w:val="3"/>
            <w:tcBorders>
              <w:top w:val="double" w:sz="6" w:space="0" w:color="auto"/>
            </w:tcBorders>
            <w:tcMar>
              <w:top w:w="113" w:type="dxa"/>
              <w:left w:w="113" w:type="dxa"/>
              <w:bottom w:w="113" w:type="dxa"/>
              <w:right w:w="113" w:type="dxa"/>
            </w:tcMar>
            <w:vAlign w:val="center"/>
            <w:hideMark/>
          </w:tcPr>
          <w:p w14:paraId="1C1FC27B" w14:textId="77777777" w:rsidR="000E6F29" w:rsidRPr="003B57EA" w:rsidRDefault="000E6F29" w:rsidP="00746005">
            <w:pPr>
              <w:jc w:val="center"/>
              <w:rPr>
                <w:b/>
                <w:bCs/>
              </w:rPr>
            </w:pPr>
            <w:r w:rsidRPr="003B57EA">
              <w:rPr>
                <w:b/>
                <w:bCs/>
              </w:rPr>
              <w:t>Fantasy</w:t>
            </w:r>
          </w:p>
        </w:tc>
        <w:tc>
          <w:tcPr>
            <w:tcW w:w="0" w:type="auto"/>
            <w:gridSpan w:val="3"/>
            <w:tcBorders>
              <w:top w:val="double" w:sz="6" w:space="0" w:color="auto"/>
            </w:tcBorders>
            <w:tcMar>
              <w:top w:w="113" w:type="dxa"/>
              <w:left w:w="113" w:type="dxa"/>
              <w:bottom w:w="113" w:type="dxa"/>
              <w:right w:w="113" w:type="dxa"/>
            </w:tcMar>
            <w:vAlign w:val="center"/>
            <w:hideMark/>
          </w:tcPr>
          <w:p w14:paraId="0974A6E1" w14:textId="77777777" w:rsidR="000E6F29" w:rsidRPr="003B57EA" w:rsidRDefault="000E6F29" w:rsidP="00746005">
            <w:pPr>
              <w:jc w:val="center"/>
              <w:rPr>
                <w:b/>
                <w:bCs/>
              </w:rPr>
            </w:pPr>
            <w:r w:rsidRPr="003B57EA">
              <w:rPr>
                <w:b/>
                <w:bCs/>
              </w:rPr>
              <w:t>Recreation</w:t>
            </w:r>
          </w:p>
        </w:tc>
      </w:tr>
      <w:tr w:rsidR="00FE2D9B" w:rsidRPr="003B57EA" w14:paraId="36A1FC98" w14:textId="77777777" w:rsidTr="00746005">
        <w:tc>
          <w:tcPr>
            <w:tcW w:w="0" w:type="auto"/>
            <w:tcBorders>
              <w:bottom w:val="single" w:sz="6" w:space="0" w:color="auto"/>
            </w:tcBorders>
            <w:vAlign w:val="center"/>
            <w:hideMark/>
          </w:tcPr>
          <w:p w14:paraId="4299946E" w14:textId="77777777" w:rsidR="000E6F29" w:rsidRPr="003B57EA" w:rsidRDefault="000E6F29" w:rsidP="00746005">
            <w:pPr>
              <w:rPr>
                <w:i/>
                <w:iCs/>
              </w:rPr>
            </w:pPr>
            <w:r w:rsidRPr="003B57EA">
              <w:rPr>
                <w:i/>
                <w:iCs/>
              </w:rPr>
              <w:t>Predictors</w:t>
            </w:r>
          </w:p>
        </w:tc>
        <w:tc>
          <w:tcPr>
            <w:tcW w:w="0" w:type="auto"/>
            <w:tcBorders>
              <w:bottom w:val="single" w:sz="6" w:space="0" w:color="auto"/>
            </w:tcBorders>
            <w:vAlign w:val="center"/>
            <w:hideMark/>
          </w:tcPr>
          <w:p w14:paraId="18E01D66" w14:textId="77777777" w:rsidR="000E6F29" w:rsidRPr="003B57EA" w:rsidRDefault="000E6F29" w:rsidP="00746005">
            <w:pPr>
              <w:jc w:val="center"/>
              <w:rPr>
                <w:i/>
                <w:iCs/>
              </w:rPr>
            </w:pPr>
            <w:r w:rsidRPr="003B57EA">
              <w:rPr>
                <w:i/>
                <w:iCs/>
              </w:rPr>
              <w:t>Estimates</w:t>
            </w:r>
          </w:p>
        </w:tc>
        <w:tc>
          <w:tcPr>
            <w:tcW w:w="0" w:type="auto"/>
            <w:tcBorders>
              <w:bottom w:val="single" w:sz="6" w:space="0" w:color="auto"/>
            </w:tcBorders>
            <w:vAlign w:val="center"/>
            <w:hideMark/>
          </w:tcPr>
          <w:p w14:paraId="68D498EF" w14:textId="77777777" w:rsidR="000E6F29" w:rsidRPr="003B57EA" w:rsidRDefault="000E6F29" w:rsidP="00746005">
            <w:pPr>
              <w:jc w:val="center"/>
              <w:rPr>
                <w:i/>
                <w:iCs/>
              </w:rPr>
            </w:pPr>
            <w:r w:rsidRPr="003B57EA">
              <w:rPr>
                <w:i/>
                <w:iCs/>
              </w:rPr>
              <w:t>CI</w:t>
            </w:r>
          </w:p>
        </w:tc>
        <w:tc>
          <w:tcPr>
            <w:tcW w:w="0" w:type="auto"/>
            <w:tcBorders>
              <w:bottom w:val="single" w:sz="6" w:space="0" w:color="auto"/>
            </w:tcBorders>
            <w:vAlign w:val="center"/>
            <w:hideMark/>
          </w:tcPr>
          <w:p w14:paraId="3EFC0295" w14:textId="77777777" w:rsidR="000E6F29" w:rsidRPr="003B57EA" w:rsidRDefault="000E6F29" w:rsidP="00746005">
            <w:pPr>
              <w:jc w:val="center"/>
              <w:rPr>
                <w:i/>
                <w:iCs/>
              </w:rPr>
            </w:pPr>
            <w:r w:rsidRPr="003B57EA">
              <w:rPr>
                <w:i/>
                <w:iCs/>
              </w:rPr>
              <w:t>p</w:t>
            </w:r>
          </w:p>
        </w:tc>
        <w:tc>
          <w:tcPr>
            <w:tcW w:w="0" w:type="auto"/>
            <w:tcBorders>
              <w:bottom w:val="single" w:sz="6" w:space="0" w:color="auto"/>
            </w:tcBorders>
            <w:vAlign w:val="center"/>
            <w:hideMark/>
          </w:tcPr>
          <w:p w14:paraId="64FBEE56" w14:textId="77777777" w:rsidR="000E6F29" w:rsidRPr="003B57EA" w:rsidRDefault="000E6F29" w:rsidP="00746005">
            <w:pPr>
              <w:jc w:val="center"/>
              <w:rPr>
                <w:i/>
                <w:iCs/>
              </w:rPr>
            </w:pPr>
            <w:r w:rsidRPr="003B57EA">
              <w:rPr>
                <w:i/>
                <w:iCs/>
              </w:rPr>
              <w:t>Estimates</w:t>
            </w:r>
          </w:p>
        </w:tc>
        <w:tc>
          <w:tcPr>
            <w:tcW w:w="0" w:type="auto"/>
            <w:tcBorders>
              <w:bottom w:val="single" w:sz="6" w:space="0" w:color="auto"/>
            </w:tcBorders>
            <w:vAlign w:val="center"/>
            <w:hideMark/>
          </w:tcPr>
          <w:p w14:paraId="2FF33BC6" w14:textId="77777777" w:rsidR="000E6F29" w:rsidRPr="003B57EA" w:rsidRDefault="000E6F29" w:rsidP="00746005">
            <w:pPr>
              <w:jc w:val="center"/>
              <w:rPr>
                <w:i/>
                <w:iCs/>
              </w:rPr>
            </w:pPr>
            <w:r w:rsidRPr="003B57EA">
              <w:rPr>
                <w:i/>
                <w:iCs/>
              </w:rPr>
              <w:t>CI</w:t>
            </w:r>
          </w:p>
        </w:tc>
        <w:tc>
          <w:tcPr>
            <w:tcW w:w="0" w:type="auto"/>
            <w:tcBorders>
              <w:bottom w:val="single" w:sz="6" w:space="0" w:color="auto"/>
            </w:tcBorders>
            <w:vAlign w:val="center"/>
            <w:hideMark/>
          </w:tcPr>
          <w:p w14:paraId="2148EF4D" w14:textId="77777777" w:rsidR="000E6F29" w:rsidRPr="003B57EA" w:rsidRDefault="000E6F29" w:rsidP="00746005">
            <w:pPr>
              <w:jc w:val="center"/>
              <w:rPr>
                <w:i/>
                <w:iCs/>
              </w:rPr>
            </w:pPr>
            <w:r w:rsidRPr="003B57EA">
              <w:rPr>
                <w:i/>
                <w:iCs/>
              </w:rPr>
              <w:t>p</w:t>
            </w:r>
          </w:p>
        </w:tc>
        <w:tc>
          <w:tcPr>
            <w:tcW w:w="0" w:type="auto"/>
            <w:tcBorders>
              <w:bottom w:val="single" w:sz="6" w:space="0" w:color="auto"/>
            </w:tcBorders>
            <w:vAlign w:val="center"/>
            <w:hideMark/>
          </w:tcPr>
          <w:p w14:paraId="061124AF" w14:textId="77777777" w:rsidR="000E6F29" w:rsidRPr="003B57EA" w:rsidRDefault="000E6F29" w:rsidP="00746005">
            <w:pPr>
              <w:jc w:val="center"/>
              <w:rPr>
                <w:i/>
                <w:iCs/>
              </w:rPr>
            </w:pPr>
            <w:r w:rsidRPr="003B57EA">
              <w:rPr>
                <w:i/>
                <w:iCs/>
              </w:rPr>
              <w:t>Estimates</w:t>
            </w:r>
          </w:p>
        </w:tc>
        <w:tc>
          <w:tcPr>
            <w:tcW w:w="0" w:type="auto"/>
            <w:tcBorders>
              <w:bottom w:val="single" w:sz="6" w:space="0" w:color="auto"/>
            </w:tcBorders>
            <w:vAlign w:val="center"/>
            <w:hideMark/>
          </w:tcPr>
          <w:p w14:paraId="5AB8FA88" w14:textId="77777777" w:rsidR="000E6F29" w:rsidRPr="003B57EA" w:rsidRDefault="000E6F29" w:rsidP="00746005">
            <w:pPr>
              <w:jc w:val="center"/>
              <w:rPr>
                <w:i/>
                <w:iCs/>
              </w:rPr>
            </w:pPr>
            <w:r w:rsidRPr="003B57EA">
              <w:rPr>
                <w:i/>
                <w:iCs/>
              </w:rPr>
              <w:t>CI</w:t>
            </w:r>
          </w:p>
        </w:tc>
        <w:tc>
          <w:tcPr>
            <w:tcW w:w="0" w:type="auto"/>
            <w:tcBorders>
              <w:bottom w:val="single" w:sz="6" w:space="0" w:color="auto"/>
            </w:tcBorders>
            <w:vAlign w:val="center"/>
            <w:hideMark/>
          </w:tcPr>
          <w:p w14:paraId="05700CA6" w14:textId="77777777" w:rsidR="000E6F29" w:rsidRPr="003B57EA" w:rsidRDefault="000E6F29" w:rsidP="00746005">
            <w:pPr>
              <w:jc w:val="center"/>
              <w:rPr>
                <w:i/>
                <w:iCs/>
              </w:rPr>
            </w:pPr>
            <w:r w:rsidRPr="003B57EA">
              <w:rPr>
                <w:i/>
                <w:iCs/>
              </w:rPr>
              <w:t>p</w:t>
            </w:r>
          </w:p>
        </w:tc>
      </w:tr>
      <w:tr w:rsidR="00FE2D9B" w:rsidRPr="003B57EA" w14:paraId="0AC8FECA" w14:textId="77777777" w:rsidTr="00746005">
        <w:tc>
          <w:tcPr>
            <w:tcW w:w="0" w:type="auto"/>
            <w:tcMar>
              <w:top w:w="113" w:type="dxa"/>
              <w:left w:w="113" w:type="dxa"/>
              <w:bottom w:w="113" w:type="dxa"/>
              <w:right w:w="113" w:type="dxa"/>
            </w:tcMar>
            <w:hideMark/>
          </w:tcPr>
          <w:p w14:paraId="7F642736" w14:textId="77777777" w:rsidR="000E6F29" w:rsidRPr="003B57EA" w:rsidRDefault="000E6F29" w:rsidP="00746005">
            <w:r w:rsidRPr="003B57EA">
              <w:t>(Intercept)</w:t>
            </w:r>
          </w:p>
        </w:tc>
        <w:tc>
          <w:tcPr>
            <w:tcW w:w="0" w:type="auto"/>
            <w:tcMar>
              <w:top w:w="113" w:type="dxa"/>
              <w:left w:w="113" w:type="dxa"/>
              <w:bottom w:w="113" w:type="dxa"/>
              <w:right w:w="113" w:type="dxa"/>
            </w:tcMar>
            <w:hideMark/>
          </w:tcPr>
          <w:p w14:paraId="40413435" w14:textId="77777777" w:rsidR="000E6F29" w:rsidRPr="003B57EA" w:rsidRDefault="000E6F29" w:rsidP="00746005">
            <w:pPr>
              <w:jc w:val="center"/>
            </w:pPr>
            <w:r w:rsidRPr="003B57EA">
              <w:t>0.79</w:t>
            </w:r>
          </w:p>
        </w:tc>
        <w:tc>
          <w:tcPr>
            <w:tcW w:w="0" w:type="auto"/>
            <w:tcMar>
              <w:top w:w="113" w:type="dxa"/>
              <w:left w:w="113" w:type="dxa"/>
              <w:bottom w:w="113" w:type="dxa"/>
              <w:right w:w="113" w:type="dxa"/>
            </w:tcMar>
            <w:hideMark/>
          </w:tcPr>
          <w:p w14:paraId="207CBD2F" w14:textId="77777777" w:rsidR="000E6F29" w:rsidRPr="003B57EA" w:rsidRDefault="000E6F29" w:rsidP="00746005">
            <w:pPr>
              <w:jc w:val="center"/>
            </w:pPr>
            <w:r w:rsidRPr="003B57EA">
              <w:t>0.06 – 1.53</w:t>
            </w:r>
          </w:p>
        </w:tc>
        <w:tc>
          <w:tcPr>
            <w:tcW w:w="0" w:type="auto"/>
            <w:tcMar>
              <w:top w:w="113" w:type="dxa"/>
              <w:left w:w="113" w:type="dxa"/>
              <w:bottom w:w="113" w:type="dxa"/>
              <w:right w:w="113" w:type="dxa"/>
            </w:tcMar>
            <w:hideMark/>
          </w:tcPr>
          <w:p w14:paraId="6C726513" w14:textId="77777777" w:rsidR="000E6F29" w:rsidRPr="003B57EA" w:rsidRDefault="000E6F29" w:rsidP="00746005">
            <w:pPr>
              <w:jc w:val="center"/>
            </w:pPr>
            <w:r w:rsidRPr="003B57EA">
              <w:rPr>
                <w:rStyle w:val="Strong"/>
              </w:rPr>
              <w:t>0.035</w:t>
            </w:r>
          </w:p>
        </w:tc>
        <w:tc>
          <w:tcPr>
            <w:tcW w:w="0" w:type="auto"/>
            <w:tcMar>
              <w:top w:w="113" w:type="dxa"/>
              <w:left w:w="113" w:type="dxa"/>
              <w:bottom w:w="113" w:type="dxa"/>
              <w:right w:w="113" w:type="dxa"/>
            </w:tcMar>
            <w:hideMark/>
          </w:tcPr>
          <w:p w14:paraId="7B9C8229" w14:textId="77777777" w:rsidR="000E6F29" w:rsidRPr="003B57EA" w:rsidRDefault="000E6F29" w:rsidP="00746005">
            <w:pPr>
              <w:jc w:val="center"/>
            </w:pPr>
            <w:r w:rsidRPr="003B57EA">
              <w:t>0.08</w:t>
            </w:r>
          </w:p>
        </w:tc>
        <w:tc>
          <w:tcPr>
            <w:tcW w:w="0" w:type="auto"/>
            <w:tcMar>
              <w:top w:w="113" w:type="dxa"/>
              <w:left w:w="113" w:type="dxa"/>
              <w:bottom w:w="113" w:type="dxa"/>
              <w:right w:w="113" w:type="dxa"/>
            </w:tcMar>
            <w:hideMark/>
          </w:tcPr>
          <w:p w14:paraId="3E3A4D44" w14:textId="77777777" w:rsidR="000E6F29" w:rsidRPr="003B57EA" w:rsidRDefault="000E6F29" w:rsidP="00746005">
            <w:pPr>
              <w:jc w:val="center"/>
            </w:pPr>
            <w:r w:rsidRPr="003B57EA">
              <w:t>-0.53 – 0.69</w:t>
            </w:r>
          </w:p>
        </w:tc>
        <w:tc>
          <w:tcPr>
            <w:tcW w:w="0" w:type="auto"/>
            <w:tcMar>
              <w:top w:w="113" w:type="dxa"/>
              <w:left w:w="113" w:type="dxa"/>
              <w:bottom w:w="113" w:type="dxa"/>
              <w:right w:w="113" w:type="dxa"/>
            </w:tcMar>
            <w:hideMark/>
          </w:tcPr>
          <w:p w14:paraId="5DB2F29B" w14:textId="77777777" w:rsidR="000E6F29" w:rsidRPr="003B57EA" w:rsidRDefault="000E6F29" w:rsidP="00746005">
            <w:pPr>
              <w:jc w:val="center"/>
            </w:pPr>
            <w:r w:rsidRPr="003B57EA">
              <w:t>0.786</w:t>
            </w:r>
          </w:p>
        </w:tc>
        <w:tc>
          <w:tcPr>
            <w:tcW w:w="0" w:type="auto"/>
            <w:tcMar>
              <w:top w:w="113" w:type="dxa"/>
              <w:left w:w="113" w:type="dxa"/>
              <w:bottom w:w="113" w:type="dxa"/>
              <w:right w:w="113" w:type="dxa"/>
            </w:tcMar>
            <w:hideMark/>
          </w:tcPr>
          <w:p w14:paraId="35121A66" w14:textId="77777777" w:rsidR="000E6F29" w:rsidRPr="003B57EA" w:rsidRDefault="000E6F29" w:rsidP="00746005">
            <w:pPr>
              <w:jc w:val="center"/>
            </w:pPr>
            <w:r w:rsidRPr="003B57EA">
              <w:t>3.53</w:t>
            </w:r>
          </w:p>
        </w:tc>
        <w:tc>
          <w:tcPr>
            <w:tcW w:w="0" w:type="auto"/>
            <w:tcMar>
              <w:top w:w="113" w:type="dxa"/>
              <w:left w:w="113" w:type="dxa"/>
              <w:bottom w:w="113" w:type="dxa"/>
              <w:right w:w="113" w:type="dxa"/>
            </w:tcMar>
            <w:hideMark/>
          </w:tcPr>
          <w:p w14:paraId="128B78B9" w14:textId="77777777" w:rsidR="000E6F29" w:rsidRPr="003B57EA" w:rsidRDefault="000E6F29" w:rsidP="00746005">
            <w:pPr>
              <w:jc w:val="center"/>
            </w:pPr>
            <w:r w:rsidRPr="003B57EA">
              <w:t>2.69 – 4.37</w:t>
            </w:r>
          </w:p>
        </w:tc>
        <w:tc>
          <w:tcPr>
            <w:tcW w:w="0" w:type="auto"/>
            <w:tcMar>
              <w:top w:w="113" w:type="dxa"/>
              <w:left w:w="113" w:type="dxa"/>
              <w:bottom w:w="113" w:type="dxa"/>
              <w:right w:w="113" w:type="dxa"/>
            </w:tcMar>
            <w:hideMark/>
          </w:tcPr>
          <w:p w14:paraId="0BA3177E" w14:textId="77777777" w:rsidR="000E6F29" w:rsidRPr="003B57EA" w:rsidRDefault="000E6F29" w:rsidP="00746005">
            <w:pPr>
              <w:jc w:val="center"/>
            </w:pPr>
            <w:r w:rsidRPr="003B57EA">
              <w:rPr>
                <w:rStyle w:val="Strong"/>
              </w:rPr>
              <w:t>&lt;0.001</w:t>
            </w:r>
          </w:p>
        </w:tc>
      </w:tr>
      <w:tr w:rsidR="00FE2D9B" w:rsidRPr="003B57EA" w14:paraId="5779183C" w14:textId="77777777" w:rsidTr="00746005">
        <w:tc>
          <w:tcPr>
            <w:tcW w:w="0" w:type="auto"/>
            <w:tcMar>
              <w:top w:w="113" w:type="dxa"/>
              <w:left w:w="113" w:type="dxa"/>
              <w:bottom w:w="113" w:type="dxa"/>
              <w:right w:w="113" w:type="dxa"/>
            </w:tcMar>
            <w:hideMark/>
          </w:tcPr>
          <w:p w14:paraId="5BE33FD5" w14:textId="77777777" w:rsidR="000E6F29" w:rsidRPr="003B57EA" w:rsidRDefault="000E6F29" w:rsidP="00746005">
            <w:r w:rsidRPr="003B57EA">
              <w:t>Negative metacognitions</w:t>
            </w:r>
          </w:p>
        </w:tc>
        <w:tc>
          <w:tcPr>
            <w:tcW w:w="0" w:type="auto"/>
            <w:tcMar>
              <w:top w:w="113" w:type="dxa"/>
              <w:left w:w="113" w:type="dxa"/>
              <w:bottom w:w="113" w:type="dxa"/>
              <w:right w:w="113" w:type="dxa"/>
            </w:tcMar>
            <w:hideMark/>
          </w:tcPr>
          <w:p w14:paraId="3814ADEA" w14:textId="77777777" w:rsidR="000E6F29" w:rsidRPr="003B57EA" w:rsidRDefault="000E6F29" w:rsidP="00746005">
            <w:pPr>
              <w:jc w:val="center"/>
            </w:pPr>
            <w:r w:rsidRPr="003B57EA">
              <w:t>0.18</w:t>
            </w:r>
          </w:p>
        </w:tc>
        <w:tc>
          <w:tcPr>
            <w:tcW w:w="0" w:type="auto"/>
            <w:tcMar>
              <w:top w:w="113" w:type="dxa"/>
              <w:left w:w="113" w:type="dxa"/>
              <w:bottom w:w="113" w:type="dxa"/>
              <w:right w:w="113" w:type="dxa"/>
            </w:tcMar>
            <w:hideMark/>
          </w:tcPr>
          <w:p w14:paraId="0C60B431" w14:textId="77777777" w:rsidR="000E6F29" w:rsidRPr="003B57EA" w:rsidRDefault="000E6F29" w:rsidP="00746005">
            <w:pPr>
              <w:jc w:val="center"/>
            </w:pPr>
            <w:r w:rsidRPr="003B57EA">
              <w:t>0.05 – 0.31</w:t>
            </w:r>
          </w:p>
        </w:tc>
        <w:tc>
          <w:tcPr>
            <w:tcW w:w="0" w:type="auto"/>
            <w:tcMar>
              <w:top w:w="113" w:type="dxa"/>
              <w:left w:w="113" w:type="dxa"/>
              <w:bottom w:w="113" w:type="dxa"/>
              <w:right w:w="113" w:type="dxa"/>
            </w:tcMar>
            <w:hideMark/>
          </w:tcPr>
          <w:p w14:paraId="74ED6888" w14:textId="77777777" w:rsidR="000E6F29" w:rsidRPr="003B57EA" w:rsidRDefault="000E6F29" w:rsidP="00746005">
            <w:pPr>
              <w:jc w:val="center"/>
            </w:pPr>
            <w:r w:rsidRPr="003B57EA">
              <w:rPr>
                <w:rStyle w:val="Strong"/>
              </w:rPr>
              <w:t>0.006</w:t>
            </w:r>
          </w:p>
        </w:tc>
        <w:tc>
          <w:tcPr>
            <w:tcW w:w="0" w:type="auto"/>
            <w:tcMar>
              <w:top w:w="113" w:type="dxa"/>
              <w:left w:w="113" w:type="dxa"/>
              <w:bottom w:w="113" w:type="dxa"/>
              <w:right w:w="113" w:type="dxa"/>
            </w:tcMar>
            <w:hideMark/>
          </w:tcPr>
          <w:p w14:paraId="52D0141A" w14:textId="77777777" w:rsidR="000E6F29" w:rsidRPr="003B57EA" w:rsidRDefault="000E6F29" w:rsidP="00746005">
            <w:pPr>
              <w:jc w:val="center"/>
            </w:pPr>
            <w:r w:rsidRPr="003B57EA">
              <w:t>0.41</w:t>
            </w:r>
          </w:p>
        </w:tc>
        <w:tc>
          <w:tcPr>
            <w:tcW w:w="0" w:type="auto"/>
            <w:tcMar>
              <w:top w:w="113" w:type="dxa"/>
              <w:left w:w="113" w:type="dxa"/>
              <w:bottom w:w="113" w:type="dxa"/>
              <w:right w:w="113" w:type="dxa"/>
            </w:tcMar>
            <w:hideMark/>
          </w:tcPr>
          <w:p w14:paraId="13A01C77" w14:textId="77777777" w:rsidR="000E6F29" w:rsidRPr="003B57EA" w:rsidRDefault="000E6F29" w:rsidP="00746005">
            <w:pPr>
              <w:jc w:val="center"/>
            </w:pPr>
            <w:r w:rsidRPr="003B57EA">
              <w:t>0.31 – 0.52</w:t>
            </w:r>
          </w:p>
        </w:tc>
        <w:tc>
          <w:tcPr>
            <w:tcW w:w="0" w:type="auto"/>
            <w:tcMar>
              <w:top w:w="113" w:type="dxa"/>
              <w:left w:w="113" w:type="dxa"/>
              <w:bottom w:w="113" w:type="dxa"/>
              <w:right w:w="113" w:type="dxa"/>
            </w:tcMar>
            <w:hideMark/>
          </w:tcPr>
          <w:p w14:paraId="0070ADBE"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7DC60173" w14:textId="77777777" w:rsidR="000E6F29" w:rsidRPr="003B57EA" w:rsidRDefault="000E6F29" w:rsidP="00746005">
            <w:pPr>
              <w:jc w:val="center"/>
            </w:pPr>
            <w:r w:rsidRPr="003B57EA">
              <w:t>-0.09</w:t>
            </w:r>
          </w:p>
        </w:tc>
        <w:tc>
          <w:tcPr>
            <w:tcW w:w="0" w:type="auto"/>
            <w:tcMar>
              <w:top w:w="113" w:type="dxa"/>
              <w:left w:w="113" w:type="dxa"/>
              <w:bottom w:w="113" w:type="dxa"/>
              <w:right w:w="113" w:type="dxa"/>
            </w:tcMar>
            <w:hideMark/>
          </w:tcPr>
          <w:p w14:paraId="30329828" w14:textId="77777777" w:rsidR="000E6F29" w:rsidRPr="003B57EA" w:rsidRDefault="000E6F29" w:rsidP="00746005">
            <w:pPr>
              <w:jc w:val="center"/>
            </w:pPr>
            <w:r w:rsidRPr="003B57EA">
              <w:t>-0.23 – 0.06</w:t>
            </w:r>
          </w:p>
        </w:tc>
        <w:tc>
          <w:tcPr>
            <w:tcW w:w="0" w:type="auto"/>
            <w:tcMar>
              <w:top w:w="113" w:type="dxa"/>
              <w:left w:w="113" w:type="dxa"/>
              <w:bottom w:w="113" w:type="dxa"/>
              <w:right w:w="113" w:type="dxa"/>
            </w:tcMar>
            <w:hideMark/>
          </w:tcPr>
          <w:p w14:paraId="200413D2" w14:textId="77777777" w:rsidR="000E6F29" w:rsidRPr="003B57EA" w:rsidRDefault="000E6F29" w:rsidP="00746005">
            <w:pPr>
              <w:jc w:val="center"/>
            </w:pPr>
            <w:r w:rsidRPr="003B57EA">
              <w:t>0.242</w:t>
            </w:r>
          </w:p>
        </w:tc>
      </w:tr>
      <w:tr w:rsidR="00FE2D9B" w:rsidRPr="003B57EA" w14:paraId="3BEAF494" w14:textId="77777777" w:rsidTr="00746005">
        <w:tc>
          <w:tcPr>
            <w:tcW w:w="0" w:type="auto"/>
            <w:tcMar>
              <w:top w:w="113" w:type="dxa"/>
              <w:left w:w="113" w:type="dxa"/>
              <w:bottom w:w="113" w:type="dxa"/>
              <w:right w:w="113" w:type="dxa"/>
            </w:tcMar>
            <w:hideMark/>
          </w:tcPr>
          <w:p w14:paraId="5BA3916F" w14:textId="77777777" w:rsidR="000E6F29" w:rsidRPr="003B57EA" w:rsidRDefault="000E6F29" w:rsidP="00746005">
            <w:r w:rsidRPr="003B57EA">
              <w:t>Positive metacognitions</w:t>
            </w:r>
          </w:p>
        </w:tc>
        <w:tc>
          <w:tcPr>
            <w:tcW w:w="0" w:type="auto"/>
            <w:tcMar>
              <w:top w:w="113" w:type="dxa"/>
              <w:left w:w="113" w:type="dxa"/>
              <w:bottom w:w="113" w:type="dxa"/>
              <w:right w:w="113" w:type="dxa"/>
            </w:tcMar>
            <w:hideMark/>
          </w:tcPr>
          <w:p w14:paraId="2D0F2EC9" w14:textId="77777777" w:rsidR="000E6F29" w:rsidRPr="003B57EA" w:rsidRDefault="000E6F29" w:rsidP="00746005">
            <w:pPr>
              <w:jc w:val="center"/>
            </w:pPr>
            <w:r w:rsidRPr="003B57EA">
              <w:t>0.40</w:t>
            </w:r>
          </w:p>
        </w:tc>
        <w:tc>
          <w:tcPr>
            <w:tcW w:w="0" w:type="auto"/>
            <w:tcMar>
              <w:top w:w="113" w:type="dxa"/>
              <w:left w:w="113" w:type="dxa"/>
              <w:bottom w:w="113" w:type="dxa"/>
              <w:right w:w="113" w:type="dxa"/>
            </w:tcMar>
            <w:hideMark/>
          </w:tcPr>
          <w:p w14:paraId="3A82983B" w14:textId="77777777" w:rsidR="000E6F29" w:rsidRPr="003B57EA" w:rsidRDefault="000E6F29" w:rsidP="00746005">
            <w:pPr>
              <w:jc w:val="center"/>
            </w:pPr>
            <w:r w:rsidRPr="003B57EA">
              <w:t>0.29 – 0.50</w:t>
            </w:r>
          </w:p>
        </w:tc>
        <w:tc>
          <w:tcPr>
            <w:tcW w:w="0" w:type="auto"/>
            <w:tcMar>
              <w:top w:w="113" w:type="dxa"/>
              <w:left w:w="113" w:type="dxa"/>
              <w:bottom w:w="113" w:type="dxa"/>
              <w:right w:w="113" w:type="dxa"/>
            </w:tcMar>
            <w:hideMark/>
          </w:tcPr>
          <w:p w14:paraId="3F16E6A7"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6C9B58A0" w14:textId="77777777" w:rsidR="000E6F29" w:rsidRPr="003B57EA" w:rsidRDefault="000E6F29" w:rsidP="00746005">
            <w:pPr>
              <w:jc w:val="center"/>
            </w:pPr>
            <w:r w:rsidRPr="003B57EA">
              <w:t>0.21</w:t>
            </w:r>
          </w:p>
        </w:tc>
        <w:tc>
          <w:tcPr>
            <w:tcW w:w="0" w:type="auto"/>
            <w:tcMar>
              <w:top w:w="113" w:type="dxa"/>
              <w:left w:w="113" w:type="dxa"/>
              <w:bottom w:w="113" w:type="dxa"/>
              <w:right w:w="113" w:type="dxa"/>
            </w:tcMar>
            <w:hideMark/>
          </w:tcPr>
          <w:p w14:paraId="1EA3E8AA" w14:textId="77777777" w:rsidR="000E6F29" w:rsidRPr="003B57EA" w:rsidRDefault="000E6F29" w:rsidP="00746005">
            <w:pPr>
              <w:jc w:val="center"/>
            </w:pPr>
            <w:r w:rsidRPr="003B57EA">
              <w:t>0.12 – 0.30</w:t>
            </w:r>
          </w:p>
        </w:tc>
        <w:tc>
          <w:tcPr>
            <w:tcW w:w="0" w:type="auto"/>
            <w:tcMar>
              <w:top w:w="113" w:type="dxa"/>
              <w:left w:w="113" w:type="dxa"/>
              <w:bottom w:w="113" w:type="dxa"/>
              <w:right w:w="113" w:type="dxa"/>
            </w:tcMar>
            <w:hideMark/>
          </w:tcPr>
          <w:p w14:paraId="11218306" w14:textId="77777777" w:rsidR="000E6F29" w:rsidRPr="003B57EA" w:rsidRDefault="000E6F29" w:rsidP="00746005">
            <w:pPr>
              <w:jc w:val="center"/>
            </w:pPr>
            <w:r w:rsidRPr="003B57EA">
              <w:rPr>
                <w:rStyle w:val="Strong"/>
              </w:rPr>
              <w:t>&lt;0.001</w:t>
            </w:r>
          </w:p>
        </w:tc>
        <w:tc>
          <w:tcPr>
            <w:tcW w:w="0" w:type="auto"/>
            <w:tcMar>
              <w:top w:w="113" w:type="dxa"/>
              <w:left w:w="113" w:type="dxa"/>
              <w:bottom w:w="113" w:type="dxa"/>
              <w:right w:w="113" w:type="dxa"/>
            </w:tcMar>
            <w:hideMark/>
          </w:tcPr>
          <w:p w14:paraId="4DAC38AC" w14:textId="77777777" w:rsidR="000E6F29" w:rsidRPr="003B57EA" w:rsidRDefault="000E6F29" w:rsidP="00746005">
            <w:pPr>
              <w:jc w:val="center"/>
            </w:pPr>
            <w:r w:rsidRPr="003B57EA">
              <w:t>0.53</w:t>
            </w:r>
          </w:p>
        </w:tc>
        <w:tc>
          <w:tcPr>
            <w:tcW w:w="0" w:type="auto"/>
            <w:tcMar>
              <w:top w:w="113" w:type="dxa"/>
              <w:left w:w="113" w:type="dxa"/>
              <w:bottom w:w="113" w:type="dxa"/>
              <w:right w:w="113" w:type="dxa"/>
            </w:tcMar>
            <w:hideMark/>
          </w:tcPr>
          <w:p w14:paraId="630700DD" w14:textId="77777777" w:rsidR="000E6F29" w:rsidRPr="003B57EA" w:rsidRDefault="000E6F29" w:rsidP="00746005">
            <w:pPr>
              <w:jc w:val="center"/>
            </w:pPr>
            <w:r w:rsidRPr="003B57EA">
              <w:t>0.41 – 0.65</w:t>
            </w:r>
          </w:p>
        </w:tc>
        <w:tc>
          <w:tcPr>
            <w:tcW w:w="0" w:type="auto"/>
            <w:tcMar>
              <w:top w:w="113" w:type="dxa"/>
              <w:left w:w="113" w:type="dxa"/>
              <w:bottom w:w="113" w:type="dxa"/>
              <w:right w:w="113" w:type="dxa"/>
            </w:tcMar>
            <w:hideMark/>
          </w:tcPr>
          <w:p w14:paraId="1EB90B15" w14:textId="77777777" w:rsidR="000E6F29" w:rsidRPr="003B57EA" w:rsidRDefault="000E6F29" w:rsidP="00746005">
            <w:pPr>
              <w:jc w:val="center"/>
            </w:pPr>
            <w:r w:rsidRPr="003B57EA">
              <w:rPr>
                <w:rStyle w:val="Strong"/>
              </w:rPr>
              <w:t>&lt;0.001</w:t>
            </w:r>
          </w:p>
        </w:tc>
      </w:tr>
      <w:tr w:rsidR="00FE2D9B" w:rsidRPr="003B57EA" w14:paraId="500689A7" w14:textId="77777777" w:rsidTr="00746005">
        <w:tc>
          <w:tcPr>
            <w:tcW w:w="0" w:type="auto"/>
            <w:tcMar>
              <w:top w:w="113" w:type="dxa"/>
              <w:left w:w="113" w:type="dxa"/>
              <w:bottom w:w="113" w:type="dxa"/>
              <w:right w:w="113" w:type="dxa"/>
            </w:tcMar>
            <w:hideMark/>
          </w:tcPr>
          <w:p w14:paraId="3FB5A456" w14:textId="77777777" w:rsidR="000E6F29" w:rsidRPr="003B57EA" w:rsidRDefault="000E6F29" w:rsidP="00746005">
            <w:r w:rsidRPr="003B57EA">
              <w:t>Attachment anxiety</w:t>
            </w:r>
          </w:p>
        </w:tc>
        <w:tc>
          <w:tcPr>
            <w:tcW w:w="0" w:type="auto"/>
            <w:tcMar>
              <w:top w:w="113" w:type="dxa"/>
              <w:left w:w="113" w:type="dxa"/>
              <w:bottom w:w="113" w:type="dxa"/>
              <w:right w:w="113" w:type="dxa"/>
            </w:tcMar>
            <w:hideMark/>
          </w:tcPr>
          <w:p w14:paraId="366E5787" w14:textId="77777777" w:rsidR="000E6F29" w:rsidRPr="003B57EA" w:rsidRDefault="000E6F29" w:rsidP="00746005">
            <w:pPr>
              <w:jc w:val="center"/>
            </w:pPr>
            <w:r w:rsidRPr="003B57EA">
              <w:t>-0.08</w:t>
            </w:r>
          </w:p>
        </w:tc>
        <w:tc>
          <w:tcPr>
            <w:tcW w:w="0" w:type="auto"/>
            <w:tcMar>
              <w:top w:w="113" w:type="dxa"/>
              <w:left w:w="113" w:type="dxa"/>
              <w:bottom w:w="113" w:type="dxa"/>
              <w:right w:w="113" w:type="dxa"/>
            </w:tcMar>
            <w:hideMark/>
          </w:tcPr>
          <w:p w14:paraId="4220992E" w14:textId="77777777" w:rsidR="000E6F29" w:rsidRPr="003B57EA" w:rsidRDefault="000E6F29" w:rsidP="00746005">
            <w:pPr>
              <w:jc w:val="center"/>
            </w:pPr>
            <w:r w:rsidRPr="003B57EA">
              <w:t>-0.17 – 0.00</w:t>
            </w:r>
          </w:p>
        </w:tc>
        <w:tc>
          <w:tcPr>
            <w:tcW w:w="0" w:type="auto"/>
            <w:tcMar>
              <w:top w:w="113" w:type="dxa"/>
              <w:left w:w="113" w:type="dxa"/>
              <w:bottom w:w="113" w:type="dxa"/>
              <w:right w:w="113" w:type="dxa"/>
            </w:tcMar>
            <w:hideMark/>
          </w:tcPr>
          <w:p w14:paraId="77A149F5" w14:textId="77777777" w:rsidR="000E6F29" w:rsidRPr="003B57EA" w:rsidRDefault="000E6F29" w:rsidP="00746005">
            <w:pPr>
              <w:jc w:val="center"/>
            </w:pPr>
            <w:r w:rsidRPr="003B57EA">
              <w:t>0.053</w:t>
            </w:r>
          </w:p>
        </w:tc>
        <w:tc>
          <w:tcPr>
            <w:tcW w:w="0" w:type="auto"/>
            <w:tcMar>
              <w:top w:w="113" w:type="dxa"/>
              <w:left w:w="113" w:type="dxa"/>
              <w:bottom w:w="113" w:type="dxa"/>
              <w:right w:w="113" w:type="dxa"/>
            </w:tcMar>
            <w:hideMark/>
          </w:tcPr>
          <w:p w14:paraId="019F2A74" w14:textId="77777777" w:rsidR="000E6F29" w:rsidRPr="003B57EA" w:rsidRDefault="000E6F29" w:rsidP="00746005">
            <w:pPr>
              <w:jc w:val="center"/>
            </w:pPr>
            <w:r w:rsidRPr="003B57EA">
              <w:t>0.05</w:t>
            </w:r>
          </w:p>
        </w:tc>
        <w:tc>
          <w:tcPr>
            <w:tcW w:w="0" w:type="auto"/>
            <w:tcMar>
              <w:top w:w="113" w:type="dxa"/>
              <w:left w:w="113" w:type="dxa"/>
              <w:bottom w:w="113" w:type="dxa"/>
              <w:right w:w="113" w:type="dxa"/>
            </w:tcMar>
            <w:hideMark/>
          </w:tcPr>
          <w:p w14:paraId="522C4DBA" w14:textId="77777777" w:rsidR="000E6F29" w:rsidRPr="003B57EA" w:rsidRDefault="000E6F29" w:rsidP="00746005">
            <w:pPr>
              <w:jc w:val="center"/>
            </w:pPr>
            <w:r w:rsidRPr="003B57EA">
              <w:t>-0.02 – 0.12</w:t>
            </w:r>
          </w:p>
        </w:tc>
        <w:tc>
          <w:tcPr>
            <w:tcW w:w="0" w:type="auto"/>
            <w:tcMar>
              <w:top w:w="113" w:type="dxa"/>
              <w:left w:w="113" w:type="dxa"/>
              <w:bottom w:w="113" w:type="dxa"/>
              <w:right w:w="113" w:type="dxa"/>
            </w:tcMar>
            <w:hideMark/>
          </w:tcPr>
          <w:p w14:paraId="08AEAB25" w14:textId="77777777" w:rsidR="000E6F29" w:rsidRPr="003B57EA" w:rsidRDefault="000E6F29" w:rsidP="00746005">
            <w:pPr>
              <w:jc w:val="center"/>
            </w:pPr>
            <w:r w:rsidRPr="003B57EA">
              <w:t>0.160</w:t>
            </w:r>
          </w:p>
        </w:tc>
        <w:tc>
          <w:tcPr>
            <w:tcW w:w="0" w:type="auto"/>
            <w:tcMar>
              <w:top w:w="113" w:type="dxa"/>
              <w:left w:w="113" w:type="dxa"/>
              <w:bottom w:w="113" w:type="dxa"/>
              <w:right w:w="113" w:type="dxa"/>
            </w:tcMar>
            <w:hideMark/>
          </w:tcPr>
          <w:p w14:paraId="2FE86FD4" w14:textId="77777777" w:rsidR="000E6F29" w:rsidRPr="003B57EA" w:rsidRDefault="000E6F29" w:rsidP="00746005">
            <w:pPr>
              <w:jc w:val="center"/>
            </w:pPr>
            <w:r w:rsidRPr="003B57EA">
              <w:t>0.02</w:t>
            </w:r>
          </w:p>
        </w:tc>
        <w:tc>
          <w:tcPr>
            <w:tcW w:w="0" w:type="auto"/>
            <w:tcMar>
              <w:top w:w="113" w:type="dxa"/>
              <w:left w:w="113" w:type="dxa"/>
              <w:bottom w:w="113" w:type="dxa"/>
              <w:right w:w="113" w:type="dxa"/>
            </w:tcMar>
            <w:hideMark/>
          </w:tcPr>
          <w:p w14:paraId="0316D323" w14:textId="77777777" w:rsidR="000E6F29" w:rsidRPr="003B57EA" w:rsidRDefault="000E6F29" w:rsidP="00746005">
            <w:pPr>
              <w:jc w:val="center"/>
            </w:pPr>
            <w:r w:rsidRPr="003B57EA">
              <w:t>-0.07 – 0.12</w:t>
            </w:r>
          </w:p>
        </w:tc>
        <w:tc>
          <w:tcPr>
            <w:tcW w:w="0" w:type="auto"/>
            <w:tcMar>
              <w:top w:w="113" w:type="dxa"/>
              <w:left w:w="113" w:type="dxa"/>
              <w:bottom w:w="113" w:type="dxa"/>
              <w:right w:w="113" w:type="dxa"/>
            </w:tcMar>
            <w:hideMark/>
          </w:tcPr>
          <w:p w14:paraId="1DAEA542" w14:textId="77777777" w:rsidR="000E6F29" w:rsidRPr="003B57EA" w:rsidRDefault="000E6F29" w:rsidP="00746005">
            <w:pPr>
              <w:jc w:val="center"/>
            </w:pPr>
            <w:r w:rsidRPr="003B57EA">
              <w:t>0.673</w:t>
            </w:r>
          </w:p>
        </w:tc>
      </w:tr>
      <w:tr w:rsidR="00FE2D9B" w:rsidRPr="003B57EA" w14:paraId="5ECB3E5E" w14:textId="77777777" w:rsidTr="00746005">
        <w:tc>
          <w:tcPr>
            <w:tcW w:w="0" w:type="auto"/>
            <w:tcMar>
              <w:top w:w="113" w:type="dxa"/>
              <w:left w:w="113" w:type="dxa"/>
              <w:bottom w:w="113" w:type="dxa"/>
              <w:right w:w="113" w:type="dxa"/>
            </w:tcMar>
            <w:hideMark/>
          </w:tcPr>
          <w:p w14:paraId="25DBB0C0" w14:textId="77777777" w:rsidR="000E6F29" w:rsidRPr="003B57EA" w:rsidRDefault="000E6F29" w:rsidP="00746005">
            <w:r w:rsidRPr="003B57EA">
              <w:t>Attachment avoidance</w:t>
            </w:r>
          </w:p>
        </w:tc>
        <w:tc>
          <w:tcPr>
            <w:tcW w:w="0" w:type="auto"/>
            <w:tcMar>
              <w:top w:w="113" w:type="dxa"/>
              <w:left w:w="113" w:type="dxa"/>
              <w:bottom w:w="113" w:type="dxa"/>
              <w:right w:w="113" w:type="dxa"/>
            </w:tcMar>
            <w:hideMark/>
          </w:tcPr>
          <w:p w14:paraId="78186A7F" w14:textId="77777777" w:rsidR="000E6F29" w:rsidRPr="003B57EA" w:rsidRDefault="000E6F29" w:rsidP="00746005">
            <w:pPr>
              <w:jc w:val="center"/>
            </w:pPr>
            <w:r w:rsidRPr="003B57EA">
              <w:t>0.14</w:t>
            </w:r>
          </w:p>
        </w:tc>
        <w:tc>
          <w:tcPr>
            <w:tcW w:w="0" w:type="auto"/>
            <w:tcMar>
              <w:top w:w="113" w:type="dxa"/>
              <w:left w:w="113" w:type="dxa"/>
              <w:bottom w:w="113" w:type="dxa"/>
              <w:right w:w="113" w:type="dxa"/>
            </w:tcMar>
            <w:hideMark/>
          </w:tcPr>
          <w:p w14:paraId="5BBA858B" w14:textId="77777777" w:rsidR="000E6F29" w:rsidRPr="003B57EA" w:rsidRDefault="000E6F29" w:rsidP="00746005">
            <w:pPr>
              <w:jc w:val="center"/>
            </w:pPr>
            <w:r w:rsidRPr="003B57EA">
              <w:t>0.05 – 0.24</w:t>
            </w:r>
          </w:p>
        </w:tc>
        <w:tc>
          <w:tcPr>
            <w:tcW w:w="0" w:type="auto"/>
            <w:tcMar>
              <w:top w:w="113" w:type="dxa"/>
              <w:left w:w="113" w:type="dxa"/>
              <w:bottom w:w="113" w:type="dxa"/>
              <w:right w:w="113" w:type="dxa"/>
            </w:tcMar>
            <w:hideMark/>
          </w:tcPr>
          <w:p w14:paraId="1DA205A2" w14:textId="77777777" w:rsidR="000E6F29" w:rsidRPr="003B57EA" w:rsidRDefault="000E6F29" w:rsidP="00746005">
            <w:pPr>
              <w:jc w:val="center"/>
            </w:pPr>
            <w:r w:rsidRPr="003B57EA">
              <w:rPr>
                <w:rStyle w:val="Strong"/>
              </w:rPr>
              <w:t>0.004</w:t>
            </w:r>
          </w:p>
        </w:tc>
        <w:tc>
          <w:tcPr>
            <w:tcW w:w="0" w:type="auto"/>
            <w:tcMar>
              <w:top w:w="113" w:type="dxa"/>
              <w:left w:w="113" w:type="dxa"/>
              <w:bottom w:w="113" w:type="dxa"/>
              <w:right w:w="113" w:type="dxa"/>
            </w:tcMar>
            <w:hideMark/>
          </w:tcPr>
          <w:p w14:paraId="6BBECD0C" w14:textId="77777777" w:rsidR="000E6F29" w:rsidRPr="003B57EA" w:rsidRDefault="000E6F29" w:rsidP="00746005">
            <w:pPr>
              <w:jc w:val="center"/>
            </w:pPr>
            <w:r w:rsidRPr="003B57EA">
              <w:t>0.09</w:t>
            </w:r>
          </w:p>
        </w:tc>
        <w:tc>
          <w:tcPr>
            <w:tcW w:w="0" w:type="auto"/>
            <w:tcMar>
              <w:top w:w="113" w:type="dxa"/>
              <w:left w:w="113" w:type="dxa"/>
              <w:bottom w:w="113" w:type="dxa"/>
              <w:right w:w="113" w:type="dxa"/>
            </w:tcMar>
            <w:hideMark/>
          </w:tcPr>
          <w:p w14:paraId="11CD4437" w14:textId="77777777" w:rsidR="000E6F29" w:rsidRPr="003B57EA" w:rsidRDefault="000E6F29" w:rsidP="00746005">
            <w:pPr>
              <w:jc w:val="center"/>
            </w:pPr>
            <w:r w:rsidRPr="003B57EA">
              <w:t>0.01 – 0.17</w:t>
            </w:r>
          </w:p>
        </w:tc>
        <w:tc>
          <w:tcPr>
            <w:tcW w:w="0" w:type="auto"/>
            <w:tcMar>
              <w:top w:w="113" w:type="dxa"/>
              <w:left w:w="113" w:type="dxa"/>
              <w:bottom w:w="113" w:type="dxa"/>
              <w:right w:w="113" w:type="dxa"/>
            </w:tcMar>
            <w:hideMark/>
          </w:tcPr>
          <w:p w14:paraId="0ABEB964" w14:textId="77777777" w:rsidR="000E6F29" w:rsidRPr="003B57EA" w:rsidRDefault="000E6F29" w:rsidP="00746005">
            <w:pPr>
              <w:jc w:val="center"/>
            </w:pPr>
            <w:r w:rsidRPr="003B57EA">
              <w:rPr>
                <w:rStyle w:val="Strong"/>
              </w:rPr>
              <w:t>0.031</w:t>
            </w:r>
          </w:p>
        </w:tc>
        <w:tc>
          <w:tcPr>
            <w:tcW w:w="0" w:type="auto"/>
            <w:tcMar>
              <w:top w:w="113" w:type="dxa"/>
              <w:left w:w="113" w:type="dxa"/>
              <w:bottom w:w="113" w:type="dxa"/>
              <w:right w:w="113" w:type="dxa"/>
            </w:tcMar>
            <w:hideMark/>
          </w:tcPr>
          <w:p w14:paraId="51DAE8C6"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5620DDA7" w14:textId="77777777" w:rsidR="000E6F29" w:rsidRPr="003B57EA" w:rsidRDefault="000E6F29" w:rsidP="00746005">
            <w:pPr>
              <w:jc w:val="center"/>
            </w:pPr>
            <w:r w:rsidRPr="003B57EA">
              <w:t>-0.14 – 0.08</w:t>
            </w:r>
          </w:p>
        </w:tc>
        <w:tc>
          <w:tcPr>
            <w:tcW w:w="0" w:type="auto"/>
            <w:tcMar>
              <w:top w:w="113" w:type="dxa"/>
              <w:left w:w="113" w:type="dxa"/>
              <w:bottom w:w="113" w:type="dxa"/>
              <w:right w:w="113" w:type="dxa"/>
            </w:tcMar>
            <w:hideMark/>
          </w:tcPr>
          <w:p w14:paraId="45E434D2" w14:textId="77777777" w:rsidR="000E6F29" w:rsidRPr="003B57EA" w:rsidRDefault="000E6F29" w:rsidP="00746005">
            <w:pPr>
              <w:jc w:val="center"/>
            </w:pPr>
            <w:r w:rsidRPr="003B57EA">
              <w:t>0.604</w:t>
            </w:r>
          </w:p>
        </w:tc>
      </w:tr>
      <w:tr w:rsidR="00FE2D9B" w:rsidRPr="003B57EA" w14:paraId="32E8E3E9" w14:textId="77777777" w:rsidTr="00746005">
        <w:tc>
          <w:tcPr>
            <w:tcW w:w="0" w:type="auto"/>
            <w:tcMar>
              <w:top w:w="113" w:type="dxa"/>
              <w:left w:w="113" w:type="dxa"/>
              <w:bottom w:w="113" w:type="dxa"/>
              <w:right w:w="113" w:type="dxa"/>
            </w:tcMar>
            <w:hideMark/>
          </w:tcPr>
          <w:p w14:paraId="3624936F" w14:textId="77777777" w:rsidR="000E6F29" w:rsidRPr="003B57EA" w:rsidRDefault="000E6F29" w:rsidP="00746005">
            <w:r w:rsidRPr="003B57EA">
              <w:t>Gender</w:t>
            </w:r>
          </w:p>
        </w:tc>
        <w:tc>
          <w:tcPr>
            <w:tcW w:w="0" w:type="auto"/>
            <w:tcMar>
              <w:top w:w="113" w:type="dxa"/>
              <w:left w:w="113" w:type="dxa"/>
              <w:bottom w:w="113" w:type="dxa"/>
              <w:right w:w="113" w:type="dxa"/>
            </w:tcMar>
            <w:hideMark/>
          </w:tcPr>
          <w:p w14:paraId="3438E9C2" w14:textId="77777777" w:rsidR="000E6F29" w:rsidRPr="003B57EA" w:rsidRDefault="000E6F29" w:rsidP="00746005">
            <w:pPr>
              <w:jc w:val="center"/>
            </w:pPr>
            <w:r w:rsidRPr="003B57EA">
              <w:t>-0.12</w:t>
            </w:r>
          </w:p>
        </w:tc>
        <w:tc>
          <w:tcPr>
            <w:tcW w:w="0" w:type="auto"/>
            <w:tcMar>
              <w:top w:w="113" w:type="dxa"/>
              <w:left w:w="113" w:type="dxa"/>
              <w:bottom w:w="113" w:type="dxa"/>
              <w:right w:w="113" w:type="dxa"/>
            </w:tcMar>
            <w:hideMark/>
          </w:tcPr>
          <w:p w14:paraId="066C888E" w14:textId="77777777" w:rsidR="000E6F29" w:rsidRPr="003B57EA" w:rsidRDefault="000E6F29" w:rsidP="00746005">
            <w:pPr>
              <w:jc w:val="center"/>
            </w:pPr>
            <w:r w:rsidRPr="003B57EA">
              <w:t>-0.25 – 0.01</w:t>
            </w:r>
          </w:p>
        </w:tc>
        <w:tc>
          <w:tcPr>
            <w:tcW w:w="0" w:type="auto"/>
            <w:tcMar>
              <w:top w:w="113" w:type="dxa"/>
              <w:left w:w="113" w:type="dxa"/>
              <w:bottom w:w="113" w:type="dxa"/>
              <w:right w:w="113" w:type="dxa"/>
            </w:tcMar>
            <w:hideMark/>
          </w:tcPr>
          <w:p w14:paraId="0CBF513B" w14:textId="77777777" w:rsidR="000E6F29" w:rsidRPr="003B57EA" w:rsidRDefault="000E6F29" w:rsidP="00746005">
            <w:pPr>
              <w:jc w:val="center"/>
            </w:pPr>
            <w:r w:rsidRPr="003B57EA">
              <w:t>0.060</w:t>
            </w:r>
          </w:p>
        </w:tc>
        <w:tc>
          <w:tcPr>
            <w:tcW w:w="0" w:type="auto"/>
            <w:tcMar>
              <w:top w:w="113" w:type="dxa"/>
              <w:left w:w="113" w:type="dxa"/>
              <w:bottom w:w="113" w:type="dxa"/>
              <w:right w:w="113" w:type="dxa"/>
            </w:tcMar>
            <w:hideMark/>
          </w:tcPr>
          <w:p w14:paraId="229C0D44" w14:textId="77777777" w:rsidR="000E6F29" w:rsidRPr="003B57EA" w:rsidRDefault="000E6F29" w:rsidP="00746005">
            <w:pPr>
              <w:jc w:val="center"/>
            </w:pPr>
            <w:r w:rsidRPr="003B57EA">
              <w:t>-0.05</w:t>
            </w:r>
          </w:p>
        </w:tc>
        <w:tc>
          <w:tcPr>
            <w:tcW w:w="0" w:type="auto"/>
            <w:tcMar>
              <w:top w:w="113" w:type="dxa"/>
              <w:left w:w="113" w:type="dxa"/>
              <w:bottom w:w="113" w:type="dxa"/>
              <w:right w:w="113" w:type="dxa"/>
            </w:tcMar>
            <w:hideMark/>
          </w:tcPr>
          <w:p w14:paraId="57B5B275" w14:textId="77777777" w:rsidR="000E6F29" w:rsidRPr="003B57EA" w:rsidRDefault="000E6F29" w:rsidP="00746005">
            <w:pPr>
              <w:jc w:val="center"/>
            </w:pPr>
            <w:r w:rsidRPr="003B57EA">
              <w:t>-0.16 – 0.05</w:t>
            </w:r>
          </w:p>
        </w:tc>
        <w:tc>
          <w:tcPr>
            <w:tcW w:w="0" w:type="auto"/>
            <w:tcMar>
              <w:top w:w="113" w:type="dxa"/>
              <w:left w:w="113" w:type="dxa"/>
              <w:bottom w:w="113" w:type="dxa"/>
              <w:right w:w="113" w:type="dxa"/>
            </w:tcMar>
            <w:hideMark/>
          </w:tcPr>
          <w:p w14:paraId="708C1AA7" w14:textId="77777777" w:rsidR="000E6F29" w:rsidRPr="003B57EA" w:rsidRDefault="000E6F29" w:rsidP="00746005">
            <w:pPr>
              <w:jc w:val="center"/>
            </w:pPr>
            <w:r w:rsidRPr="003B57EA">
              <w:t>0.333</w:t>
            </w:r>
          </w:p>
        </w:tc>
        <w:tc>
          <w:tcPr>
            <w:tcW w:w="0" w:type="auto"/>
            <w:tcMar>
              <w:top w:w="113" w:type="dxa"/>
              <w:left w:w="113" w:type="dxa"/>
              <w:bottom w:w="113" w:type="dxa"/>
              <w:right w:w="113" w:type="dxa"/>
            </w:tcMar>
            <w:hideMark/>
          </w:tcPr>
          <w:p w14:paraId="49E764F0" w14:textId="77777777" w:rsidR="000E6F29" w:rsidRPr="003B57EA" w:rsidRDefault="000E6F29" w:rsidP="00746005">
            <w:pPr>
              <w:jc w:val="center"/>
            </w:pPr>
            <w:r w:rsidRPr="003B57EA">
              <w:t>-0.34</w:t>
            </w:r>
          </w:p>
        </w:tc>
        <w:tc>
          <w:tcPr>
            <w:tcW w:w="0" w:type="auto"/>
            <w:tcMar>
              <w:top w:w="113" w:type="dxa"/>
              <w:left w:w="113" w:type="dxa"/>
              <w:bottom w:w="113" w:type="dxa"/>
              <w:right w:w="113" w:type="dxa"/>
            </w:tcMar>
            <w:hideMark/>
          </w:tcPr>
          <w:p w14:paraId="4D183729" w14:textId="77777777" w:rsidR="000E6F29" w:rsidRPr="003B57EA" w:rsidRDefault="000E6F29" w:rsidP="00746005">
            <w:pPr>
              <w:jc w:val="center"/>
            </w:pPr>
            <w:r w:rsidRPr="003B57EA">
              <w:t>-0.49 – -0.19</w:t>
            </w:r>
          </w:p>
        </w:tc>
        <w:tc>
          <w:tcPr>
            <w:tcW w:w="0" w:type="auto"/>
            <w:tcMar>
              <w:top w:w="113" w:type="dxa"/>
              <w:left w:w="113" w:type="dxa"/>
              <w:bottom w:w="113" w:type="dxa"/>
              <w:right w:w="113" w:type="dxa"/>
            </w:tcMar>
            <w:hideMark/>
          </w:tcPr>
          <w:p w14:paraId="3508EFEB" w14:textId="77777777" w:rsidR="000E6F29" w:rsidRPr="003B57EA" w:rsidRDefault="000E6F29" w:rsidP="00746005">
            <w:pPr>
              <w:jc w:val="center"/>
            </w:pPr>
            <w:r w:rsidRPr="003B57EA">
              <w:rPr>
                <w:rStyle w:val="Strong"/>
              </w:rPr>
              <w:t>&lt;0.001</w:t>
            </w:r>
          </w:p>
        </w:tc>
      </w:tr>
      <w:tr w:rsidR="00FE2D9B" w:rsidRPr="003B57EA" w14:paraId="52F91B97" w14:textId="77777777" w:rsidTr="00746005">
        <w:tc>
          <w:tcPr>
            <w:tcW w:w="0" w:type="auto"/>
            <w:tcMar>
              <w:top w:w="113" w:type="dxa"/>
              <w:left w:w="113" w:type="dxa"/>
              <w:bottom w:w="113" w:type="dxa"/>
              <w:right w:w="113" w:type="dxa"/>
            </w:tcMar>
            <w:hideMark/>
          </w:tcPr>
          <w:p w14:paraId="2B7C3DCF" w14:textId="77777777" w:rsidR="000E6F29" w:rsidRPr="003B57EA" w:rsidRDefault="000E6F29" w:rsidP="00746005">
            <w:r w:rsidRPr="003B57EA">
              <w:t>Age</w:t>
            </w:r>
          </w:p>
        </w:tc>
        <w:tc>
          <w:tcPr>
            <w:tcW w:w="0" w:type="auto"/>
            <w:tcMar>
              <w:top w:w="113" w:type="dxa"/>
              <w:left w:w="113" w:type="dxa"/>
              <w:bottom w:w="113" w:type="dxa"/>
              <w:right w:w="113" w:type="dxa"/>
            </w:tcMar>
            <w:hideMark/>
          </w:tcPr>
          <w:p w14:paraId="585BF1B5" w14:textId="77777777" w:rsidR="000E6F29" w:rsidRPr="003B57EA" w:rsidRDefault="000E6F29" w:rsidP="00746005">
            <w:pPr>
              <w:jc w:val="center"/>
            </w:pPr>
            <w:r w:rsidRPr="003B57EA">
              <w:t>0.01</w:t>
            </w:r>
          </w:p>
        </w:tc>
        <w:tc>
          <w:tcPr>
            <w:tcW w:w="0" w:type="auto"/>
            <w:tcMar>
              <w:top w:w="113" w:type="dxa"/>
              <w:left w:w="113" w:type="dxa"/>
              <w:bottom w:w="113" w:type="dxa"/>
              <w:right w:w="113" w:type="dxa"/>
            </w:tcMar>
            <w:hideMark/>
          </w:tcPr>
          <w:p w14:paraId="5A549FD8" w14:textId="77777777" w:rsidR="000E6F29" w:rsidRPr="003B57EA" w:rsidRDefault="000E6F29" w:rsidP="00746005">
            <w:pPr>
              <w:jc w:val="center"/>
            </w:pPr>
            <w:r w:rsidRPr="003B57EA">
              <w:t>-0.03 – 0.05</w:t>
            </w:r>
          </w:p>
        </w:tc>
        <w:tc>
          <w:tcPr>
            <w:tcW w:w="0" w:type="auto"/>
            <w:tcMar>
              <w:top w:w="113" w:type="dxa"/>
              <w:left w:w="113" w:type="dxa"/>
              <w:bottom w:w="113" w:type="dxa"/>
              <w:right w:w="113" w:type="dxa"/>
            </w:tcMar>
            <w:hideMark/>
          </w:tcPr>
          <w:p w14:paraId="7B84FB4E" w14:textId="77777777" w:rsidR="000E6F29" w:rsidRPr="003B57EA" w:rsidRDefault="000E6F29" w:rsidP="00746005">
            <w:pPr>
              <w:jc w:val="center"/>
            </w:pPr>
            <w:r w:rsidRPr="003B57EA">
              <w:t>0.545</w:t>
            </w:r>
          </w:p>
        </w:tc>
        <w:tc>
          <w:tcPr>
            <w:tcW w:w="0" w:type="auto"/>
            <w:tcMar>
              <w:top w:w="113" w:type="dxa"/>
              <w:left w:w="113" w:type="dxa"/>
              <w:bottom w:w="113" w:type="dxa"/>
              <w:right w:w="113" w:type="dxa"/>
            </w:tcMar>
            <w:hideMark/>
          </w:tcPr>
          <w:p w14:paraId="37A9D75F" w14:textId="77777777" w:rsidR="000E6F29" w:rsidRPr="003B57EA" w:rsidRDefault="000E6F29" w:rsidP="00746005">
            <w:pPr>
              <w:jc w:val="center"/>
            </w:pPr>
            <w:r w:rsidRPr="003B57EA">
              <w:t>0.02</w:t>
            </w:r>
          </w:p>
        </w:tc>
        <w:tc>
          <w:tcPr>
            <w:tcW w:w="0" w:type="auto"/>
            <w:tcMar>
              <w:top w:w="113" w:type="dxa"/>
              <w:left w:w="113" w:type="dxa"/>
              <w:bottom w:w="113" w:type="dxa"/>
              <w:right w:w="113" w:type="dxa"/>
            </w:tcMar>
            <w:hideMark/>
          </w:tcPr>
          <w:p w14:paraId="09B8310E" w14:textId="77777777" w:rsidR="000E6F29" w:rsidRPr="003B57EA" w:rsidRDefault="000E6F29" w:rsidP="00746005">
            <w:pPr>
              <w:jc w:val="center"/>
            </w:pPr>
            <w:r w:rsidRPr="003B57EA">
              <w:t>-0.01 – 0.05</w:t>
            </w:r>
          </w:p>
        </w:tc>
        <w:tc>
          <w:tcPr>
            <w:tcW w:w="0" w:type="auto"/>
            <w:tcMar>
              <w:top w:w="113" w:type="dxa"/>
              <w:left w:w="113" w:type="dxa"/>
              <w:bottom w:w="113" w:type="dxa"/>
              <w:right w:w="113" w:type="dxa"/>
            </w:tcMar>
            <w:hideMark/>
          </w:tcPr>
          <w:p w14:paraId="7A3E9BE2" w14:textId="77777777" w:rsidR="000E6F29" w:rsidRPr="003B57EA" w:rsidRDefault="000E6F29" w:rsidP="00746005">
            <w:pPr>
              <w:jc w:val="center"/>
            </w:pPr>
            <w:r w:rsidRPr="003B57EA">
              <w:t>0.199</w:t>
            </w:r>
          </w:p>
        </w:tc>
        <w:tc>
          <w:tcPr>
            <w:tcW w:w="0" w:type="auto"/>
            <w:tcMar>
              <w:top w:w="113" w:type="dxa"/>
              <w:left w:w="113" w:type="dxa"/>
              <w:bottom w:w="113" w:type="dxa"/>
              <w:right w:w="113" w:type="dxa"/>
            </w:tcMar>
            <w:hideMark/>
          </w:tcPr>
          <w:p w14:paraId="4EEF16FA" w14:textId="77777777" w:rsidR="000E6F29" w:rsidRPr="003B57EA" w:rsidRDefault="000E6F29" w:rsidP="00746005">
            <w:pPr>
              <w:jc w:val="center"/>
            </w:pPr>
            <w:r w:rsidRPr="003B57EA">
              <w:t>-0.02</w:t>
            </w:r>
          </w:p>
        </w:tc>
        <w:tc>
          <w:tcPr>
            <w:tcW w:w="0" w:type="auto"/>
            <w:tcMar>
              <w:top w:w="113" w:type="dxa"/>
              <w:left w:w="113" w:type="dxa"/>
              <w:bottom w:w="113" w:type="dxa"/>
              <w:right w:w="113" w:type="dxa"/>
            </w:tcMar>
            <w:hideMark/>
          </w:tcPr>
          <w:p w14:paraId="4551419F" w14:textId="77777777" w:rsidR="000E6F29" w:rsidRPr="003B57EA" w:rsidRDefault="000E6F29" w:rsidP="00746005">
            <w:pPr>
              <w:jc w:val="center"/>
            </w:pPr>
            <w:r w:rsidRPr="003B57EA">
              <w:t>-0.07 – 0.02</w:t>
            </w:r>
          </w:p>
        </w:tc>
        <w:tc>
          <w:tcPr>
            <w:tcW w:w="0" w:type="auto"/>
            <w:tcMar>
              <w:top w:w="113" w:type="dxa"/>
              <w:left w:w="113" w:type="dxa"/>
              <w:bottom w:w="113" w:type="dxa"/>
              <w:right w:w="113" w:type="dxa"/>
            </w:tcMar>
            <w:hideMark/>
          </w:tcPr>
          <w:p w14:paraId="594F5191" w14:textId="77777777" w:rsidR="000E6F29" w:rsidRPr="003B57EA" w:rsidRDefault="000E6F29" w:rsidP="00746005">
            <w:pPr>
              <w:jc w:val="center"/>
            </w:pPr>
            <w:r w:rsidRPr="003B57EA">
              <w:t>0.286</w:t>
            </w:r>
          </w:p>
        </w:tc>
      </w:tr>
      <w:tr w:rsidR="00FE2D9B" w:rsidRPr="003B57EA" w14:paraId="1C8723DF" w14:textId="77777777" w:rsidTr="00746005">
        <w:tc>
          <w:tcPr>
            <w:tcW w:w="0" w:type="auto"/>
            <w:tcMar>
              <w:top w:w="113" w:type="dxa"/>
              <w:left w:w="113" w:type="dxa"/>
              <w:bottom w:w="113" w:type="dxa"/>
              <w:right w:w="113" w:type="dxa"/>
            </w:tcMar>
            <w:hideMark/>
          </w:tcPr>
          <w:p w14:paraId="39A4499F" w14:textId="77777777" w:rsidR="000E6F29" w:rsidRPr="003B57EA" w:rsidRDefault="000E6F29" w:rsidP="00746005">
            <w:r w:rsidRPr="003B57EA">
              <w:t>Religiosity</w:t>
            </w:r>
          </w:p>
        </w:tc>
        <w:tc>
          <w:tcPr>
            <w:tcW w:w="0" w:type="auto"/>
            <w:tcMar>
              <w:top w:w="113" w:type="dxa"/>
              <w:left w:w="113" w:type="dxa"/>
              <w:bottom w:w="113" w:type="dxa"/>
              <w:right w:w="113" w:type="dxa"/>
            </w:tcMar>
            <w:hideMark/>
          </w:tcPr>
          <w:p w14:paraId="6EA92376" w14:textId="77777777" w:rsidR="000E6F29" w:rsidRPr="003B57EA" w:rsidRDefault="000E6F29" w:rsidP="00746005">
            <w:pPr>
              <w:jc w:val="center"/>
            </w:pPr>
            <w:r w:rsidRPr="003B57EA">
              <w:t>-0.06</w:t>
            </w:r>
          </w:p>
        </w:tc>
        <w:tc>
          <w:tcPr>
            <w:tcW w:w="0" w:type="auto"/>
            <w:tcMar>
              <w:top w:w="113" w:type="dxa"/>
              <w:left w:w="113" w:type="dxa"/>
              <w:bottom w:w="113" w:type="dxa"/>
              <w:right w:w="113" w:type="dxa"/>
            </w:tcMar>
            <w:hideMark/>
          </w:tcPr>
          <w:p w14:paraId="69C269BD" w14:textId="77777777" w:rsidR="000E6F29" w:rsidRPr="003B57EA" w:rsidRDefault="000E6F29" w:rsidP="00746005">
            <w:pPr>
              <w:jc w:val="center"/>
            </w:pPr>
            <w:r w:rsidRPr="003B57EA">
              <w:t>-0.13 – 0.00</w:t>
            </w:r>
          </w:p>
        </w:tc>
        <w:tc>
          <w:tcPr>
            <w:tcW w:w="0" w:type="auto"/>
            <w:tcMar>
              <w:top w:w="113" w:type="dxa"/>
              <w:left w:w="113" w:type="dxa"/>
              <w:bottom w:w="113" w:type="dxa"/>
              <w:right w:w="113" w:type="dxa"/>
            </w:tcMar>
            <w:hideMark/>
          </w:tcPr>
          <w:p w14:paraId="625F6BDF" w14:textId="77777777" w:rsidR="000E6F29" w:rsidRPr="003B57EA" w:rsidRDefault="000E6F29" w:rsidP="00746005">
            <w:pPr>
              <w:jc w:val="center"/>
            </w:pPr>
            <w:r w:rsidRPr="003B57EA">
              <w:t>0.064</w:t>
            </w:r>
          </w:p>
        </w:tc>
        <w:tc>
          <w:tcPr>
            <w:tcW w:w="0" w:type="auto"/>
            <w:tcMar>
              <w:top w:w="113" w:type="dxa"/>
              <w:left w:w="113" w:type="dxa"/>
              <w:bottom w:w="113" w:type="dxa"/>
              <w:right w:w="113" w:type="dxa"/>
            </w:tcMar>
            <w:hideMark/>
          </w:tcPr>
          <w:p w14:paraId="01BA3FA7" w14:textId="77777777" w:rsidR="000E6F29" w:rsidRPr="003B57EA" w:rsidRDefault="000E6F29" w:rsidP="00746005">
            <w:pPr>
              <w:jc w:val="center"/>
            </w:pPr>
            <w:r w:rsidRPr="003B57EA">
              <w:t>-0.08</w:t>
            </w:r>
          </w:p>
        </w:tc>
        <w:tc>
          <w:tcPr>
            <w:tcW w:w="0" w:type="auto"/>
            <w:tcMar>
              <w:top w:w="113" w:type="dxa"/>
              <w:left w:w="113" w:type="dxa"/>
              <w:bottom w:w="113" w:type="dxa"/>
              <w:right w:w="113" w:type="dxa"/>
            </w:tcMar>
            <w:hideMark/>
          </w:tcPr>
          <w:p w14:paraId="6128A3E3" w14:textId="77777777" w:rsidR="000E6F29" w:rsidRPr="003B57EA" w:rsidRDefault="000E6F29" w:rsidP="00746005">
            <w:pPr>
              <w:jc w:val="center"/>
            </w:pPr>
            <w:r w:rsidRPr="003B57EA">
              <w:t>-0.14 – -0.03</w:t>
            </w:r>
          </w:p>
        </w:tc>
        <w:tc>
          <w:tcPr>
            <w:tcW w:w="0" w:type="auto"/>
            <w:tcMar>
              <w:top w:w="113" w:type="dxa"/>
              <w:left w:w="113" w:type="dxa"/>
              <w:bottom w:w="113" w:type="dxa"/>
              <w:right w:w="113" w:type="dxa"/>
            </w:tcMar>
            <w:hideMark/>
          </w:tcPr>
          <w:p w14:paraId="6F241A79" w14:textId="77777777" w:rsidR="000E6F29" w:rsidRPr="003B57EA" w:rsidRDefault="000E6F29" w:rsidP="00746005">
            <w:pPr>
              <w:jc w:val="center"/>
            </w:pPr>
            <w:r w:rsidRPr="003B57EA">
              <w:rPr>
                <w:rStyle w:val="Strong"/>
              </w:rPr>
              <w:t>0.003</w:t>
            </w:r>
          </w:p>
        </w:tc>
        <w:tc>
          <w:tcPr>
            <w:tcW w:w="0" w:type="auto"/>
            <w:tcMar>
              <w:top w:w="113" w:type="dxa"/>
              <w:left w:w="113" w:type="dxa"/>
              <w:bottom w:w="113" w:type="dxa"/>
              <w:right w:w="113" w:type="dxa"/>
            </w:tcMar>
            <w:hideMark/>
          </w:tcPr>
          <w:p w14:paraId="57189116" w14:textId="77777777" w:rsidR="000E6F29" w:rsidRPr="003B57EA" w:rsidRDefault="000E6F29" w:rsidP="00746005">
            <w:pPr>
              <w:jc w:val="center"/>
            </w:pPr>
            <w:r w:rsidRPr="003B57EA">
              <w:t>-0.13</w:t>
            </w:r>
          </w:p>
        </w:tc>
        <w:tc>
          <w:tcPr>
            <w:tcW w:w="0" w:type="auto"/>
            <w:tcMar>
              <w:top w:w="113" w:type="dxa"/>
              <w:left w:w="113" w:type="dxa"/>
              <w:bottom w:w="113" w:type="dxa"/>
              <w:right w:w="113" w:type="dxa"/>
            </w:tcMar>
            <w:hideMark/>
          </w:tcPr>
          <w:p w14:paraId="6482E004" w14:textId="77777777" w:rsidR="000E6F29" w:rsidRPr="003B57EA" w:rsidRDefault="000E6F29" w:rsidP="00746005">
            <w:pPr>
              <w:jc w:val="center"/>
            </w:pPr>
            <w:r w:rsidRPr="003B57EA">
              <w:t>-0.21 – -0.05</w:t>
            </w:r>
          </w:p>
        </w:tc>
        <w:tc>
          <w:tcPr>
            <w:tcW w:w="0" w:type="auto"/>
            <w:tcMar>
              <w:top w:w="113" w:type="dxa"/>
              <w:left w:w="113" w:type="dxa"/>
              <w:bottom w:w="113" w:type="dxa"/>
              <w:right w:w="113" w:type="dxa"/>
            </w:tcMar>
            <w:hideMark/>
          </w:tcPr>
          <w:p w14:paraId="0BD8F04B" w14:textId="77777777" w:rsidR="000E6F29" w:rsidRPr="003B57EA" w:rsidRDefault="000E6F29" w:rsidP="00746005">
            <w:pPr>
              <w:jc w:val="center"/>
            </w:pPr>
            <w:r w:rsidRPr="003B57EA">
              <w:rPr>
                <w:rStyle w:val="Strong"/>
              </w:rPr>
              <w:t>0.001</w:t>
            </w:r>
          </w:p>
        </w:tc>
      </w:tr>
      <w:tr w:rsidR="00FE2D9B" w:rsidRPr="003B57EA" w14:paraId="6760906A" w14:textId="77777777" w:rsidTr="00746005">
        <w:tc>
          <w:tcPr>
            <w:tcW w:w="0" w:type="auto"/>
            <w:tcMar>
              <w:top w:w="113" w:type="dxa"/>
              <w:left w:w="113" w:type="dxa"/>
              <w:bottom w:w="113" w:type="dxa"/>
              <w:right w:w="113" w:type="dxa"/>
            </w:tcMar>
            <w:hideMark/>
          </w:tcPr>
          <w:p w14:paraId="0777E573" w14:textId="77777777" w:rsidR="000E6F29" w:rsidRPr="003B57EA" w:rsidRDefault="000E6F29" w:rsidP="00746005">
            <w:r w:rsidRPr="003B57EA">
              <w:t>SES</w:t>
            </w:r>
          </w:p>
        </w:tc>
        <w:tc>
          <w:tcPr>
            <w:tcW w:w="0" w:type="auto"/>
            <w:tcMar>
              <w:top w:w="113" w:type="dxa"/>
              <w:left w:w="113" w:type="dxa"/>
              <w:bottom w:w="113" w:type="dxa"/>
              <w:right w:w="113" w:type="dxa"/>
            </w:tcMar>
            <w:hideMark/>
          </w:tcPr>
          <w:p w14:paraId="1DAA328A" w14:textId="77777777" w:rsidR="000E6F29" w:rsidRPr="003B57EA" w:rsidRDefault="000E6F29" w:rsidP="00746005">
            <w:pPr>
              <w:jc w:val="center"/>
            </w:pPr>
            <w:r w:rsidRPr="003B57EA">
              <w:t>0.08</w:t>
            </w:r>
          </w:p>
        </w:tc>
        <w:tc>
          <w:tcPr>
            <w:tcW w:w="0" w:type="auto"/>
            <w:tcMar>
              <w:top w:w="113" w:type="dxa"/>
              <w:left w:w="113" w:type="dxa"/>
              <w:bottom w:w="113" w:type="dxa"/>
              <w:right w:w="113" w:type="dxa"/>
            </w:tcMar>
            <w:hideMark/>
          </w:tcPr>
          <w:p w14:paraId="25618FBB" w14:textId="77777777" w:rsidR="000E6F29" w:rsidRPr="003B57EA" w:rsidRDefault="000E6F29" w:rsidP="00746005">
            <w:pPr>
              <w:jc w:val="center"/>
            </w:pPr>
            <w:r w:rsidRPr="003B57EA">
              <w:t>-0.04 – 0.19</w:t>
            </w:r>
          </w:p>
        </w:tc>
        <w:tc>
          <w:tcPr>
            <w:tcW w:w="0" w:type="auto"/>
            <w:tcMar>
              <w:top w:w="113" w:type="dxa"/>
              <w:left w:w="113" w:type="dxa"/>
              <w:bottom w:w="113" w:type="dxa"/>
              <w:right w:w="113" w:type="dxa"/>
            </w:tcMar>
            <w:hideMark/>
          </w:tcPr>
          <w:p w14:paraId="2AD3CA3B" w14:textId="77777777" w:rsidR="000E6F29" w:rsidRPr="003B57EA" w:rsidRDefault="000E6F29" w:rsidP="00746005">
            <w:pPr>
              <w:jc w:val="center"/>
            </w:pPr>
            <w:r w:rsidRPr="003B57EA">
              <w:t>0.200</w:t>
            </w:r>
          </w:p>
        </w:tc>
        <w:tc>
          <w:tcPr>
            <w:tcW w:w="0" w:type="auto"/>
            <w:tcMar>
              <w:top w:w="113" w:type="dxa"/>
              <w:left w:w="113" w:type="dxa"/>
              <w:bottom w:w="113" w:type="dxa"/>
              <w:right w:w="113" w:type="dxa"/>
            </w:tcMar>
            <w:hideMark/>
          </w:tcPr>
          <w:p w14:paraId="1A021659" w14:textId="77777777" w:rsidR="000E6F29" w:rsidRPr="003B57EA" w:rsidRDefault="000E6F29" w:rsidP="00746005">
            <w:pPr>
              <w:jc w:val="center"/>
            </w:pPr>
            <w:r w:rsidRPr="003B57EA">
              <w:t>0.03</w:t>
            </w:r>
          </w:p>
        </w:tc>
        <w:tc>
          <w:tcPr>
            <w:tcW w:w="0" w:type="auto"/>
            <w:tcMar>
              <w:top w:w="113" w:type="dxa"/>
              <w:left w:w="113" w:type="dxa"/>
              <w:bottom w:w="113" w:type="dxa"/>
              <w:right w:w="113" w:type="dxa"/>
            </w:tcMar>
            <w:hideMark/>
          </w:tcPr>
          <w:p w14:paraId="5D2010CC" w14:textId="77777777" w:rsidR="000E6F29" w:rsidRPr="003B57EA" w:rsidRDefault="000E6F29" w:rsidP="00746005">
            <w:pPr>
              <w:jc w:val="center"/>
            </w:pPr>
            <w:r w:rsidRPr="003B57EA">
              <w:t>-0.07 – 0.13</w:t>
            </w:r>
          </w:p>
        </w:tc>
        <w:tc>
          <w:tcPr>
            <w:tcW w:w="0" w:type="auto"/>
            <w:tcMar>
              <w:top w:w="113" w:type="dxa"/>
              <w:left w:w="113" w:type="dxa"/>
              <w:bottom w:w="113" w:type="dxa"/>
              <w:right w:w="113" w:type="dxa"/>
            </w:tcMar>
            <w:hideMark/>
          </w:tcPr>
          <w:p w14:paraId="3231525A" w14:textId="77777777" w:rsidR="000E6F29" w:rsidRPr="003B57EA" w:rsidRDefault="000E6F29" w:rsidP="00746005">
            <w:pPr>
              <w:jc w:val="center"/>
            </w:pPr>
            <w:r w:rsidRPr="003B57EA">
              <w:t>0.529</w:t>
            </w:r>
          </w:p>
        </w:tc>
        <w:tc>
          <w:tcPr>
            <w:tcW w:w="0" w:type="auto"/>
            <w:tcMar>
              <w:top w:w="113" w:type="dxa"/>
              <w:left w:w="113" w:type="dxa"/>
              <w:bottom w:w="113" w:type="dxa"/>
              <w:right w:w="113" w:type="dxa"/>
            </w:tcMar>
            <w:hideMark/>
          </w:tcPr>
          <w:p w14:paraId="29312448" w14:textId="77777777" w:rsidR="000E6F29" w:rsidRPr="003B57EA" w:rsidRDefault="000E6F29" w:rsidP="00746005">
            <w:pPr>
              <w:jc w:val="center"/>
            </w:pPr>
            <w:r w:rsidRPr="003B57EA">
              <w:t>-0.01</w:t>
            </w:r>
          </w:p>
        </w:tc>
        <w:tc>
          <w:tcPr>
            <w:tcW w:w="0" w:type="auto"/>
            <w:tcMar>
              <w:top w:w="113" w:type="dxa"/>
              <w:left w:w="113" w:type="dxa"/>
              <w:bottom w:w="113" w:type="dxa"/>
              <w:right w:w="113" w:type="dxa"/>
            </w:tcMar>
            <w:hideMark/>
          </w:tcPr>
          <w:p w14:paraId="5D49B2F9" w14:textId="77777777" w:rsidR="000E6F29" w:rsidRPr="003B57EA" w:rsidRDefault="000E6F29" w:rsidP="00746005">
            <w:pPr>
              <w:jc w:val="center"/>
            </w:pPr>
            <w:r w:rsidRPr="003B57EA">
              <w:t>-0.15 – 0.12</w:t>
            </w:r>
          </w:p>
        </w:tc>
        <w:tc>
          <w:tcPr>
            <w:tcW w:w="0" w:type="auto"/>
            <w:tcMar>
              <w:top w:w="113" w:type="dxa"/>
              <w:left w:w="113" w:type="dxa"/>
              <w:bottom w:w="113" w:type="dxa"/>
              <w:right w:w="113" w:type="dxa"/>
            </w:tcMar>
            <w:hideMark/>
          </w:tcPr>
          <w:p w14:paraId="6F63EBF9" w14:textId="77777777" w:rsidR="000E6F29" w:rsidRPr="003B57EA" w:rsidRDefault="000E6F29" w:rsidP="00746005">
            <w:pPr>
              <w:jc w:val="center"/>
            </w:pPr>
            <w:r w:rsidRPr="003B57EA">
              <w:t>0.827</w:t>
            </w:r>
          </w:p>
        </w:tc>
      </w:tr>
      <w:tr w:rsidR="000E6F29" w:rsidRPr="003B57EA" w14:paraId="5BF836FE" w14:textId="77777777" w:rsidTr="00746005">
        <w:tc>
          <w:tcPr>
            <w:tcW w:w="0" w:type="auto"/>
            <w:tcBorders>
              <w:top w:val="single" w:sz="6" w:space="0" w:color="auto"/>
            </w:tcBorders>
            <w:tcMar>
              <w:top w:w="57" w:type="dxa"/>
              <w:left w:w="113" w:type="dxa"/>
              <w:bottom w:w="57" w:type="dxa"/>
              <w:right w:w="113" w:type="dxa"/>
            </w:tcMar>
            <w:hideMark/>
          </w:tcPr>
          <w:p w14:paraId="7E910E24" w14:textId="77777777" w:rsidR="000E6F29" w:rsidRPr="003B57EA" w:rsidRDefault="000E6F29" w:rsidP="00746005">
            <w:pPr>
              <w:jc w:val="right"/>
            </w:pPr>
            <w:r w:rsidRPr="003B57EA">
              <w:t>R-squared</w:t>
            </w:r>
          </w:p>
        </w:tc>
        <w:tc>
          <w:tcPr>
            <w:tcW w:w="0" w:type="auto"/>
            <w:gridSpan w:val="3"/>
            <w:tcBorders>
              <w:top w:val="single" w:sz="6" w:space="0" w:color="auto"/>
            </w:tcBorders>
            <w:tcMar>
              <w:top w:w="57" w:type="dxa"/>
              <w:left w:w="113" w:type="dxa"/>
              <w:bottom w:w="57" w:type="dxa"/>
              <w:right w:w="113" w:type="dxa"/>
            </w:tcMar>
            <w:hideMark/>
          </w:tcPr>
          <w:p w14:paraId="1DD880E7" w14:textId="77777777" w:rsidR="000E6F29" w:rsidRPr="003B57EA" w:rsidRDefault="000E6F29" w:rsidP="00746005">
            <w:pPr>
              <w:jc w:val="center"/>
            </w:pPr>
            <w:r w:rsidRPr="003B57EA">
              <w:t>13.02%</w:t>
            </w:r>
          </w:p>
        </w:tc>
        <w:tc>
          <w:tcPr>
            <w:tcW w:w="0" w:type="auto"/>
            <w:gridSpan w:val="3"/>
            <w:tcBorders>
              <w:top w:val="single" w:sz="6" w:space="0" w:color="auto"/>
            </w:tcBorders>
            <w:tcMar>
              <w:top w:w="57" w:type="dxa"/>
              <w:left w:w="113" w:type="dxa"/>
              <w:bottom w:w="57" w:type="dxa"/>
              <w:right w:w="113" w:type="dxa"/>
            </w:tcMar>
            <w:hideMark/>
          </w:tcPr>
          <w:p w14:paraId="15D5E148" w14:textId="77777777" w:rsidR="000E6F29" w:rsidRPr="003B57EA" w:rsidRDefault="000E6F29" w:rsidP="00746005">
            <w:pPr>
              <w:jc w:val="center"/>
            </w:pPr>
            <w:r w:rsidRPr="003B57EA">
              <w:t>12.43%</w:t>
            </w:r>
          </w:p>
        </w:tc>
        <w:tc>
          <w:tcPr>
            <w:tcW w:w="0" w:type="auto"/>
            <w:gridSpan w:val="3"/>
            <w:tcBorders>
              <w:top w:val="single" w:sz="6" w:space="0" w:color="auto"/>
            </w:tcBorders>
            <w:tcMar>
              <w:top w:w="57" w:type="dxa"/>
              <w:left w:w="113" w:type="dxa"/>
              <w:bottom w:w="57" w:type="dxa"/>
              <w:right w:w="113" w:type="dxa"/>
            </w:tcMar>
            <w:hideMark/>
          </w:tcPr>
          <w:p w14:paraId="493045F2" w14:textId="77777777" w:rsidR="000E6F29" w:rsidRPr="003B57EA" w:rsidRDefault="000E6F29" w:rsidP="00746005">
            <w:pPr>
              <w:jc w:val="center"/>
            </w:pPr>
            <w:r w:rsidRPr="003B57EA">
              <w:t>13.38%</w:t>
            </w:r>
          </w:p>
        </w:tc>
      </w:tr>
    </w:tbl>
    <w:p w14:paraId="5C62A58F" w14:textId="77777777" w:rsidR="000E6F29" w:rsidRPr="003B57EA" w:rsidRDefault="000E6F29" w:rsidP="000E6F29"/>
    <w:p w14:paraId="7566E973" w14:textId="77777777" w:rsidR="000E6F29" w:rsidRPr="003B57EA" w:rsidRDefault="000E6F29">
      <w:pPr>
        <w:spacing w:line="480" w:lineRule="auto"/>
        <w:rPr>
          <w:rFonts w:asciiTheme="majorBidi" w:hAnsiTheme="majorBidi" w:cstheme="majorBidi"/>
        </w:rPr>
      </w:pPr>
    </w:p>
    <w:p w14:paraId="57F9DC64" w14:textId="77777777" w:rsidR="007C4DE6" w:rsidRPr="003B57EA" w:rsidRDefault="007C4DE6" w:rsidP="007C4DE6">
      <w:pPr>
        <w:spacing w:line="480" w:lineRule="auto"/>
        <w:rPr>
          <w:rFonts w:asciiTheme="majorBidi" w:hAnsiTheme="majorBidi" w:cstheme="majorBidi"/>
          <w:sz w:val="22"/>
          <w:szCs w:val="22"/>
        </w:rPr>
      </w:pPr>
    </w:p>
    <w:p w14:paraId="47176011" w14:textId="77777777" w:rsidR="007C4DE6" w:rsidRPr="003B57EA" w:rsidRDefault="007C4DE6" w:rsidP="007C4DE6">
      <w:pPr>
        <w:spacing w:line="480" w:lineRule="auto"/>
        <w:rPr>
          <w:rFonts w:asciiTheme="majorBidi" w:hAnsiTheme="majorBidi" w:cstheme="majorBidi"/>
          <w:sz w:val="22"/>
          <w:szCs w:val="22"/>
        </w:rPr>
      </w:pPr>
    </w:p>
    <w:p w14:paraId="6A5A6C43" w14:textId="77777777" w:rsidR="007C4DE6" w:rsidRPr="003B57EA" w:rsidRDefault="007C4DE6" w:rsidP="007C4DE6">
      <w:pPr>
        <w:spacing w:line="480" w:lineRule="auto"/>
        <w:rPr>
          <w:rFonts w:asciiTheme="majorBidi" w:hAnsiTheme="majorBidi" w:cstheme="majorBidi"/>
          <w:sz w:val="22"/>
          <w:szCs w:val="22"/>
        </w:rPr>
      </w:pPr>
    </w:p>
    <w:p w14:paraId="3CF17719" w14:textId="627326A4" w:rsidR="007C4DE6" w:rsidRPr="003B57EA" w:rsidRDefault="007C4DE6" w:rsidP="007C4DE6">
      <w:pPr>
        <w:spacing w:line="480" w:lineRule="auto"/>
        <w:rPr>
          <w:rFonts w:asciiTheme="majorBidi" w:hAnsiTheme="majorBidi" w:cstheme="majorBidi"/>
          <w:sz w:val="22"/>
          <w:szCs w:val="22"/>
        </w:rPr>
      </w:pPr>
      <w:r w:rsidRPr="003B57EA">
        <w:rPr>
          <w:rFonts w:asciiTheme="majorBidi" w:hAnsiTheme="majorBidi" w:cstheme="majorBidi"/>
          <w:sz w:val="22"/>
          <w:szCs w:val="22"/>
        </w:rPr>
        <w:lastRenderedPageBreak/>
        <w:t>Table 4</w:t>
      </w:r>
    </w:p>
    <w:p w14:paraId="1672CF47" w14:textId="09642C4C" w:rsidR="007C4DE6" w:rsidRPr="003B57EA" w:rsidRDefault="007C4DE6" w:rsidP="007C4DE6">
      <w:pPr>
        <w:spacing w:line="480" w:lineRule="auto"/>
        <w:rPr>
          <w:rFonts w:asciiTheme="majorBidi" w:hAnsiTheme="majorBidi" w:cstheme="majorBidi"/>
          <w:i/>
          <w:sz w:val="22"/>
          <w:szCs w:val="22"/>
        </w:rPr>
      </w:pPr>
      <w:r w:rsidRPr="003B57EA">
        <w:rPr>
          <w:rFonts w:asciiTheme="majorBidi" w:hAnsiTheme="majorBidi" w:cstheme="majorBidi"/>
          <w:i/>
          <w:sz w:val="22"/>
          <w:szCs w:val="22"/>
        </w:rPr>
        <w:t>Indirect and direct path significance and sensitivity analyses</w:t>
      </w:r>
      <w:r w:rsidR="00C4003E" w:rsidRPr="003B57EA">
        <w:rPr>
          <w:rFonts w:asciiTheme="majorBidi" w:hAnsiTheme="majorBidi" w:cstheme="majorBidi"/>
          <w:i/>
          <w:sz w:val="22"/>
          <w:szCs w:val="22"/>
        </w:rPr>
        <w:t>.</w:t>
      </w:r>
    </w:p>
    <w:tbl>
      <w:tblPr>
        <w:tblW w:w="0" w:type="auto"/>
        <w:tblLook w:val="04A0" w:firstRow="1" w:lastRow="0" w:firstColumn="1" w:lastColumn="0" w:noHBand="0" w:noVBand="1"/>
      </w:tblPr>
      <w:tblGrid>
        <w:gridCol w:w="2100"/>
        <w:gridCol w:w="424"/>
        <w:gridCol w:w="2310"/>
        <w:gridCol w:w="424"/>
        <w:gridCol w:w="1750"/>
        <w:gridCol w:w="1826"/>
        <w:gridCol w:w="1931"/>
        <w:gridCol w:w="1010"/>
        <w:gridCol w:w="1115"/>
      </w:tblGrid>
      <w:tr w:rsidR="00FE2D9B" w:rsidRPr="003B57EA" w14:paraId="0F1B7562" w14:textId="77777777" w:rsidTr="00746005">
        <w:trPr>
          <w:trHeight w:val="320"/>
        </w:trPr>
        <w:tc>
          <w:tcPr>
            <w:tcW w:w="0" w:type="auto"/>
            <w:tcBorders>
              <w:top w:val="double" w:sz="4" w:space="0" w:color="auto"/>
              <w:left w:val="nil"/>
              <w:bottom w:val="single" w:sz="4" w:space="0" w:color="auto"/>
              <w:right w:val="nil"/>
            </w:tcBorders>
            <w:shd w:val="clear" w:color="auto" w:fill="auto"/>
            <w:noWrap/>
            <w:vAlign w:val="bottom"/>
            <w:hideMark/>
          </w:tcPr>
          <w:p w14:paraId="4D869E6D" w14:textId="77777777" w:rsidR="007C4DE6" w:rsidRPr="003B57EA" w:rsidRDefault="007C4DE6" w:rsidP="00746005">
            <w:pPr>
              <w:rPr>
                <w:rFonts w:asciiTheme="majorBidi" w:hAnsiTheme="majorBidi" w:cstheme="majorBidi"/>
                <w:sz w:val="21"/>
                <w:szCs w:val="21"/>
              </w:rPr>
            </w:pPr>
          </w:p>
        </w:tc>
        <w:tc>
          <w:tcPr>
            <w:tcW w:w="0" w:type="auto"/>
            <w:tcBorders>
              <w:top w:val="double" w:sz="4" w:space="0" w:color="auto"/>
              <w:left w:val="nil"/>
              <w:bottom w:val="single" w:sz="4" w:space="0" w:color="auto"/>
              <w:right w:val="nil"/>
            </w:tcBorders>
            <w:shd w:val="clear" w:color="auto" w:fill="auto"/>
            <w:noWrap/>
            <w:vAlign w:val="bottom"/>
            <w:hideMark/>
          </w:tcPr>
          <w:p w14:paraId="407887F3" w14:textId="77777777" w:rsidR="007C4DE6" w:rsidRPr="003B57EA" w:rsidRDefault="007C4DE6" w:rsidP="00746005">
            <w:pPr>
              <w:rPr>
                <w:rFonts w:asciiTheme="majorBidi" w:hAnsiTheme="majorBidi" w:cstheme="majorBidi"/>
                <w:sz w:val="21"/>
                <w:szCs w:val="21"/>
              </w:rPr>
            </w:pPr>
          </w:p>
        </w:tc>
        <w:tc>
          <w:tcPr>
            <w:tcW w:w="0" w:type="auto"/>
            <w:tcBorders>
              <w:top w:val="double" w:sz="4" w:space="0" w:color="auto"/>
              <w:left w:val="nil"/>
              <w:bottom w:val="single" w:sz="4" w:space="0" w:color="auto"/>
              <w:right w:val="nil"/>
            </w:tcBorders>
            <w:shd w:val="clear" w:color="auto" w:fill="auto"/>
            <w:noWrap/>
            <w:vAlign w:val="bottom"/>
            <w:hideMark/>
          </w:tcPr>
          <w:p w14:paraId="6B0452A3" w14:textId="77777777" w:rsidR="007C4DE6" w:rsidRPr="003B57EA" w:rsidRDefault="007C4DE6" w:rsidP="00746005">
            <w:pPr>
              <w:rPr>
                <w:rFonts w:asciiTheme="majorBidi" w:hAnsiTheme="majorBidi" w:cstheme="majorBidi"/>
                <w:sz w:val="21"/>
                <w:szCs w:val="21"/>
              </w:rPr>
            </w:pPr>
          </w:p>
        </w:tc>
        <w:tc>
          <w:tcPr>
            <w:tcW w:w="0" w:type="auto"/>
            <w:tcBorders>
              <w:top w:val="double" w:sz="4" w:space="0" w:color="auto"/>
              <w:left w:val="nil"/>
              <w:bottom w:val="single" w:sz="4" w:space="0" w:color="auto"/>
              <w:right w:val="nil"/>
            </w:tcBorders>
            <w:shd w:val="clear" w:color="auto" w:fill="auto"/>
            <w:noWrap/>
            <w:vAlign w:val="bottom"/>
            <w:hideMark/>
          </w:tcPr>
          <w:p w14:paraId="1FE31D7F" w14:textId="77777777" w:rsidR="007C4DE6" w:rsidRPr="003B57EA" w:rsidRDefault="007C4DE6" w:rsidP="00746005">
            <w:pPr>
              <w:rPr>
                <w:rFonts w:asciiTheme="majorBidi" w:hAnsiTheme="majorBidi" w:cstheme="majorBidi"/>
                <w:sz w:val="21"/>
                <w:szCs w:val="21"/>
              </w:rPr>
            </w:pPr>
          </w:p>
        </w:tc>
        <w:tc>
          <w:tcPr>
            <w:tcW w:w="0" w:type="auto"/>
            <w:tcBorders>
              <w:top w:val="double" w:sz="4" w:space="0" w:color="auto"/>
              <w:left w:val="nil"/>
              <w:bottom w:val="single" w:sz="4" w:space="0" w:color="auto"/>
              <w:right w:val="nil"/>
            </w:tcBorders>
            <w:shd w:val="clear" w:color="auto" w:fill="auto"/>
            <w:noWrap/>
            <w:vAlign w:val="bottom"/>
            <w:hideMark/>
          </w:tcPr>
          <w:p w14:paraId="66EF425D" w14:textId="77777777" w:rsidR="007C4DE6" w:rsidRPr="003B57EA" w:rsidRDefault="007C4DE6" w:rsidP="00746005">
            <w:pPr>
              <w:rPr>
                <w:rFonts w:asciiTheme="majorBidi" w:hAnsiTheme="majorBidi" w:cstheme="majorBidi"/>
                <w:sz w:val="21"/>
                <w:szCs w:val="21"/>
              </w:rPr>
            </w:pPr>
          </w:p>
        </w:tc>
        <w:tc>
          <w:tcPr>
            <w:tcW w:w="0" w:type="auto"/>
            <w:tcBorders>
              <w:top w:val="double" w:sz="4" w:space="0" w:color="auto"/>
              <w:left w:val="nil"/>
              <w:bottom w:val="single" w:sz="4" w:space="0" w:color="auto"/>
              <w:right w:val="nil"/>
            </w:tcBorders>
            <w:shd w:val="clear" w:color="auto" w:fill="auto"/>
            <w:noWrap/>
            <w:vAlign w:val="center"/>
            <w:hideMark/>
          </w:tcPr>
          <w:p w14:paraId="03D1D09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ACME</w:t>
            </w:r>
          </w:p>
          <w:p w14:paraId="233BEC6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(95% CI)</w:t>
            </w:r>
          </w:p>
        </w:tc>
        <w:tc>
          <w:tcPr>
            <w:tcW w:w="0" w:type="auto"/>
            <w:tcBorders>
              <w:top w:val="double" w:sz="4" w:space="0" w:color="auto"/>
              <w:left w:val="nil"/>
              <w:bottom w:val="single" w:sz="4" w:space="0" w:color="auto"/>
              <w:right w:val="nil"/>
            </w:tcBorders>
            <w:shd w:val="clear" w:color="auto" w:fill="auto"/>
            <w:noWrap/>
            <w:vAlign w:val="center"/>
            <w:hideMark/>
          </w:tcPr>
          <w:p w14:paraId="4CE9D495"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ADE</w:t>
            </w:r>
          </w:p>
          <w:p w14:paraId="418D40CE"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(95% CI)</w:t>
            </w:r>
          </w:p>
        </w:tc>
        <w:tc>
          <w:tcPr>
            <w:tcW w:w="0" w:type="auto"/>
            <w:tcBorders>
              <w:top w:val="double" w:sz="4" w:space="0" w:color="auto"/>
              <w:left w:val="nil"/>
              <w:bottom w:val="single" w:sz="4" w:space="0" w:color="auto"/>
              <w:right w:val="nil"/>
            </w:tcBorders>
            <w:shd w:val="clear" w:color="auto" w:fill="auto"/>
            <w:noWrap/>
            <w:vAlign w:val="center"/>
            <w:hideMark/>
          </w:tcPr>
          <w:p w14:paraId="62FBEF28"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Prop.</w:t>
            </w:r>
          </w:p>
          <w:p w14:paraId="7612C6F1"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Mediated</w:t>
            </w:r>
          </w:p>
        </w:tc>
        <w:tc>
          <w:tcPr>
            <w:tcW w:w="0" w:type="auto"/>
            <w:tcBorders>
              <w:top w:val="double" w:sz="4" w:space="0" w:color="auto"/>
              <w:left w:val="nil"/>
              <w:bottom w:val="single" w:sz="4" w:space="0" w:color="auto"/>
              <w:right w:val="nil"/>
            </w:tcBorders>
            <w:shd w:val="clear" w:color="auto" w:fill="auto"/>
            <w:noWrap/>
            <w:vAlign w:val="center"/>
            <w:hideMark/>
          </w:tcPr>
          <w:p w14:paraId="4966FD9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Sensitivity</w:t>
            </w:r>
          </w:p>
        </w:tc>
      </w:tr>
      <w:tr w:rsidR="00FE2D9B" w:rsidRPr="003B57EA" w14:paraId="23406E68" w14:textId="77777777" w:rsidTr="00746005">
        <w:trPr>
          <w:trHeight w:val="320"/>
        </w:trPr>
        <w:tc>
          <w:tcPr>
            <w:tcW w:w="0" w:type="auto"/>
            <w:tcBorders>
              <w:top w:val="single" w:sz="4" w:space="0" w:color="auto"/>
              <w:left w:val="nil"/>
              <w:bottom w:val="nil"/>
              <w:right w:val="nil"/>
            </w:tcBorders>
            <w:shd w:val="clear" w:color="auto" w:fill="auto"/>
            <w:noWrap/>
            <w:vAlign w:val="bottom"/>
            <w:hideMark/>
          </w:tcPr>
          <w:p w14:paraId="2B72D6D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single" w:sz="4" w:space="0" w:color="auto"/>
              <w:left w:val="nil"/>
              <w:bottom w:val="nil"/>
              <w:right w:val="nil"/>
            </w:tcBorders>
            <w:shd w:val="clear" w:color="auto" w:fill="auto"/>
            <w:noWrap/>
            <w:vAlign w:val="bottom"/>
            <w:hideMark/>
          </w:tcPr>
          <w:p w14:paraId="6FA7DBD3"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single" w:sz="4" w:space="0" w:color="auto"/>
              <w:left w:val="nil"/>
              <w:bottom w:val="nil"/>
              <w:right w:val="nil"/>
            </w:tcBorders>
            <w:shd w:val="clear" w:color="auto" w:fill="auto"/>
            <w:noWrap/>
            <w:vAlign w:val="bottom"/>
            <w:hideMark/>
          </w:tcPr>
          <w:p w14:paraId="15A92DE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single" w:sz="4" w:space="0" w:color="auto"/>
              <w:left w:val="nil"/>
              <w:bottom w:val="nil"/>
              <w:right w:val="nil"/>
            </w:tcBorders>
            <w:shd w:val="clear" w:color="auto" w:fill="auto"/>
            <w:noWrap/>
            <w:hideMark/>
          </w:tcPr>
          <w:p w14:paraId="1653DC1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single" w:sz="4" w:space="0" w:color="auto"/>
              <w:left w:val="nil"/>
              <w:bottom w:val="nil"/>
              <w:right w:val="nil"/>
            </w:tcBorders>
            <w:shd w:val="clear" w:color="auto" w:fill="auto"/>
            <w:noWrap/>
            <w:vAlign w:val="bottom"/>
            <w:hideMark/>
          </w:tcPr>
          <w:p w14:paraId="2A2FA6B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IGD</w:t>
            </w:r>
          </w:p>
        </w:tc>
        <w:tc>
          <w:tcPr>
            <w:tcW w:w="0" w:type="auto"/>
            <w:tcBorders>
              <w:top w:val="single" w:sz="4" w:space="0" w:color="auto"/>
              <w:left w:val="nil"/>
              <w:bottom w:val="nil"/>
              <w:right w:val="nil"/>
            </w:tcBorders>
            <w:shd w:val="clear" w:color="auto" w:fill="auto"/>
            <w:noWrap/>
            <w:vAlign w:val="center"/>
            <w:hideMark/>
          </w:tcPr>
          <w:p w14:paraId="011B891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 (.07, .</w:t>
            </w:r>
            <w:proofErr w:type="gramStart"/>
            <w:r w:rsidRPr="003B57EA">
              <w:rPr>
                <w:rFonts w:asciiTheme="majorBidi" w:hAnsiTheme="majorBidi" w:cstheme="majorBidi"/>
                <w:sz w:val="21"/>
                <w:szCs w:val="21"/>
              </w:rPr>
              <w:t>14)*</w:t>
            </w:r>
            <w:proofErr w:type="gramEnd"/>
            <w:r w:rsidRPr="003B57EA">
              <w:rPr>
                <w:rFonts w:asciiTheme="majorBidi" w:hAnsiTheme="majorBidi" w:cstheme="majorBidi"/>
                <w:sz w:val="21"/>
                <w:szCs w:val="21"/>
              </w:rPr>
              <w:t>**</w:t>
            </w:r>
          </w:p>
        </w:tc>
        <w:tc>
          <w:tcPr>
            <w:tcW w:w="0" w:type="auto"/>
            <w:tcBorders>
              <w:top w:val="single" w:sz="4" w:space="0" w:color="auto"/>
              <w:left w:val="nil"/>
              <w:bottom w:val="nil"/>
              <w:right w:val="nil"/>
            </w:tcBorders>
            <w:shd w:val="clear" w:color="auto" w:fill="auto"/>
            <w:noWrap/>
            <w:vAlign w:val="center"/>
            <w:hideMark/>
          </w:tcPr>
          <w:p w14:paraId="1866B2D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0.02 (-.04, .07)</w:t>
            </w:r>
          </w:p>
        </w:tc>
        <w:tc>
          <w:tcPr>
            <w:tcW w:w="0" w:type="auto"/>
            <w:tcBorders>
              <w:top w:val="single" w:sz="4" w:space="0" w:color="auto"/>
              <w:left w:val="nil"/>
              <w:bottom w:val="nil"/>
              <w:right w:val="nil"/>
            </w:tcBorders>
            <w:shd w:val="clear" w:color="auto" w:fill="auto"/>
            <w:noWrap/>
            <w:vAlign w:val="center"/>
            <w:hideMark/>
          </w:tcPr>
          <w:p w14:paraId="36E87FA9"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86.16%</w:t>
            </w:r>
          </w:p>
        </w:tc>
        <w:tc>
          <w:tcPr>
            <w:tcW w:w="0" w:type="auto"/>
            <w:tcBorders>
              <w:top w:val="single" w:sz="4" w:space="0" w:color="auto"/>
              <w:left w:val="nil"/>
              <w:bottom w:val="nil"/>
              <w:right w:val="nil"/>
            </w:tcBorders>
            <w:shd w:val="clear" w:color="auto" w:fill="auto"/>
            <w:noWrap/>
            <w:vAlign w:val="center"/>
            <w:hideMark/>
          </w:tcPr>
          <w:p w14:paraId="10763E4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0.40</w:t>
            </w:r>
          </w:p>
        </w:tc>
      </w:tr>
      <w:tr w:rsidR="00FE2D9B" w:rsidRPr="003B57EA" w14:paraId="208CFD59" w14:textId="77777777" w:rsidTr="00746005">
        <w:trPr>
          <w:trHeight w:val="320"/>
        </w:trPr>
        <w:tc>
          <w:tcPr>
            <w:tcW w:w="0" w:type="auto"/>
            <w:tcBorders>
              <w:top w:val="nil"/>
              <w:left w:val="nil"/>
              <w:bottom w:val="nil"/>
              <w:right w:val="nil"/>
            </w:tcBorders>
            <w:shd w:val="clear" w:color="auto" w:fill="auto"/>
            <w:noWrap/>
            <w:vAlign w:val="bottom"/>
            <w:hideMark/>
          </w:tcPr>
          <w:p w14:paraId="79D8573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7B976F43"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B944ED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03A2089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A306B62"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w:t>
            </w:r>
          </w:p>
        </w:tc>
        <w:tc>
          <w:tcPr>
            <w:tcW w:w="0" w:type="auto"/>
            <w:tcBorders>
              <w:top w:val="nil"/>
              <w:left w:val="nil"/>
              <w:bottom w:val="nil"/>
              <w:right w:val="nil"/>
            </w:tcBorders>
            <w:shd w:val="clear" w:color="auto" w:fill="auto"/>
            <w:noWrap/>
            <w:vAlign w:val="center"/>
            <w:hideMark/>
          </w:tcPr>
          <w:p w14:paraId="2E94895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0.15 (.10, .</w:t>
            </w:r>
            <w:proofErr w:type="gramStart"/>
            <w:r w:rsidRPr="003B57EA">
              <w:rPr>
                <w:rFonts w:asciiTheme="majorBidi" w:hAnsiTheme="majorBidi" w:cstheme="majorBidi"/>
                <w:sz w:val="21"/>
                <w:szCs w:val="21"/>
              </w:rPr>
              <w:t>22)*</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1365701A"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0.05 (-.11, .20)</w:t>
            </w:r>
          </w:p>
        </w:tc>
        <w:tc>
          <w:tcPr>
            <w:tcW w:w="0" w:type="auto"/>
            <w:tcBorders>
              <w:top w:val="nil"/>
              <w:left w:val="nil"/>
              <w:bottom w:val="nil"/>
              <w:right w:val="nil"/>
            </w:tcBorders>
            <w:shd w:val="clear" w:color="auto" w:fill="auto"/>
            <w:noWrap/>
            <w:vAlign w:val="center"/>
            <w:hideMark/>
          </w:tcPr>
          <w:p w14:paraId="358A505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75.30%</w:t>
            </w:r>
          </w:p>
        </w:tc>
        <w:tc>
          <w:tcPr>
            <w:tcW w:w="0" w:type="auto"/>
            <w:tcBorders>
              <w:top w:val="nil"/>
              <w:left w:val="nil"/>
              <w:bottom w:val="nil"/>
              <w:right w:val="nil"/>
            </w:tcBorders>
            <w:shd w:val="clear" w:color="auto" w:fill="auto"/>
            <w:noWrap/>
            <w:vAlign w:val="center"/>
            <w:hideMark/>
          </w:tcPr>
          <w:p w14:paraId="1638EA9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r w:rsidR="00FE2D9B" w:rsidRPr="003B57EA" w14:paraId="43B35D64" w14:textId="77777777" w:rsidTr="00746005">
        <w:trPr>
          <w:trHeight w:val="320"/>
        </w:trPr>
        <w:tc>
          <w:tcPr>
            <w:tcW w:w="0" w:type="auto"/>
            <w:tcBorders>
              <w:top w:val="nil"/>
              <w:left w:val="nil"/>
              <w:bottom w:val="nil"/>
              <w:right w:val="nil"/>
            </w:tcBorders>
            <w:shd w:val="clear" w:color="auto" w:fill="auto"/>
            <w:noWrap/>
            <w:vAlign w:val="bottom"/>
            <w:hideMark/>
          </w:tcPr>
          <w:p w14:paraId="5BE00C4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3D4414E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7E2A739"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4D363695"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3D8DC2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Social</w:t>
            </w:r>
          </w:p>
        </w:tc>
        <w:tc>
          <w:tcPr>
            <w:tcW w:w="0" w:type="auto"/>
            <w:tcBorders>
              <w:top w:val="nil"/>
              <w:left w:val="nil"/>
              <w:bottom w:val="nil"/>
              <w:right w:val="nil"/>
            </w:tcBorders>
            <w:shd w:val="clear" w:color="auto" w:fill="auto"/>
            <w:noWrap/>
            <w:vAlign w:val="center"/>
            <w:hideMark/>
          </w:tcPr>
          <w:p w14:paraId="21829ED5"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0.06 (.03, .</w:t>
            </w:r>
            <w:proofErr w:type="gramStart"/>
            <w:r w:rsidRPr="003B57EA">
              <w:rPr>
                <w:rFonts w:asciiTheme="majorBidi" w:hAnsiTheme="majorBidi" w:cstheme="majorBidi"/>
                <w:sz w:val="21"/>
                <w:szCs w:val="21"/>
              </w:rPr>
              <w:t>08)*</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2B1422FA"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(-.12, .03)</w:t>
            </w:r>
          </w:p>
        </w:tc>
        <w:tc>
          <w:tcPr>
            <w:tcW w:w="0" w:type="auto"/>
            <w:tcBorders>
              <w:top w:val="nil"/>
              <w:left w:val="nil"/>
              <w:bottom w:val="nil"/>
              <w:right w:val="nil"/>
            </w:tcBorders>
            <w:shd w:val="clear" w:color="auto" w:fill="auto"/>
            <w:noWrap/>
            <w:vAlign w:val="center"/>
            <w:hideMark/>
          </w:tcPr>
          <w:p w14:paraId="3E8EA33E"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100.0%</w:t>
            </w:r>
          </w:p>
        </w:tc>
        <w:tc>
          <w:tcPr>
            <w:tcW w:w="0" w:type="auto"/>
            <w:tcBorders>
              <w:top w:val="nil"/>
              <w:left w:val="nil"/>
              <w:bottom w:val="nil"/>
              <w:right w:val="nil"/>
            </w:tcBorders>
            <w:shd w:val="clear" w:color="auto" w:fill="auto"/>
            <w:noWrap/>
            <w:vAlign w:val="center"/>
            <w:hideMark/>
          </w:tcPr>
          <w:p w14:paraId="011953E0"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08865EEF" w14:textId="77777777" w:rsidTr="00746005">
        <w:trPr>
          <w:trHeight w:val="320"/>
        </w:trPr>
        <w:tc>
          <w:tcPr>
            <w:tcW w:w="0" w:type="auto"/>
            <w:tcBorders>
              <w:top w:val="nil"/>
              <w:left w:val="nil"/>
              <w:bottom w:val="nil"/>
              <w:right w:val="nil"/>
            </w:tcBorders>
            <w:shd w:val="clear" w:color="auto" w:fill="auto"/>
            <w:noWrap/>
            <w:vAlign w:val="bottom"/>
            <w:hideMark/>
          </w:tcPr>
          <w:p w14:paraId="531294D4"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0AE4639C"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6CDFBE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5746FCB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95A63F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Escape</w:t>
            </w:r>
          </w:p>
        </w:tc>
        <w:tc>
          <w:tcPr>
            <w:tcW w:w="0" w:type="auto"/>
            <w:tcBorders>
              <w:top w:val="nil"/>
              <w:left w:val="nil"/>
              <w:bottom w:val="nil"/>
              <w:right w:val="nil"/>
            </w:tcBorders>
            <w:shd w:val="clear" w:color="auto" w:fill="auto"/>
            <w:noWrap/>
            <w:vAlign w:val="center"/>
            <w:hideMark/>
          </w:tcPr>
          <w:p w14:paraId="7BBA6A0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0.05 (.03, .</w:t>
            </w:r>
            <w:proofErr w:type="gramStart"/>
            <w:r w:rsidRPr="003B57EA">
              <w:rPr>
                <w:rFonts w:asciiTheme="majorBidi" w:hAnsiTheme="majorBidi" w:cstheme="majorBidi"/>
                <w:sz w:val="21"/>
                <w:szCs w:val="21"/>
              </w:rPr>
              <w:t>08)*</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398354B5"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 (.02,.</w:t>
            </w:r>
            <w:proofErr w:type="gramStart"/>
            <w:r w:rsidRPr="003B57EA">
              <w:rPr>
                <w:rFonts w:asciiTheme="majorBidi" w:hAnsiTheme="majorBidi" w:cstheme="majorBidi"/>
                <w:sz w:val="21"/>
                <w:szCs w:val="21"/>
              </w:rPr>
              <w:t>19)*</w:t>
            </w:r>
            <w:proofErr w:type="gramEnd"/>
          </w:p>
        </w:tc>
        <w:tc>
          <w:tcPr>
            <w:tcW w:w="0" w:type="auto"/>
            <w:tcBorders>
              <w:top w:val="nil"/>
              <w:left w:val="nil"/>
              <w:bottom w:val="nil"/>
              <w:right w:val="nil"/>
            </w:tcBorders>
            <w:shd w:val="clear" w:color="auto" w:fill="auto"/>
            <w:noWrap/>
            <w:vAlign w:val="center"/>
            <w:hideMark/>
          </w:tcPr>
          <w:p w14:paraId="7E55717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34.56%</w:t>
            </w:r>
          </w:p>
        </w:tc>
        <w:tc>
          <w:tcPr>
            <w:tcW w:w="0" w:type="auto"/>
            <w:tcBorders>
              <w:top w:val="nil"/>
              <w:left w:val="nil"/>
              <w:bottom w:val="nil"/>
              <w:right w:val="nil"/>
            </w:tcBorders>
            <w:shd w:val="clear" w:color="auto" w:fill="auto"/>
            <w:noWrap/>
            <w:vAlign w:val="center"/>
            <w:hideMark/>
          </w:tcPr>
          <w:p w14:paraId="2EEE56D8"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7CAC030F" w14:textId="77777777" w:rsidTr="00746005">
        <w:trPr>
          <w:trHeight w:val="320"/>
        </w:trPr>
        <w:tc>
          <w:tcPr>
            <w:tcW w:w="0" w:type="auto"/>
            <w:tcBorders>
              <w:top w:val="nil"/>
              <w:left w:val="nil"/>
              <w:bottom w:val="nil"/>
              <w:right w:val="nil"/>
            </w:tcBorders>
            <w:shd w:val="clear" w:color="auto" w:fill="auto"/>
            <w:noWrap/>
            <w:vAlign w:val="bottom"/>
            <w:hideMark/>
          </w:tcPr>
          <w:p w14:paraId="25F4AEB9"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36DFB604"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F5683E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750E3310"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CC9F555"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Competition</w:t>
            </w:r>
          </w:p>
        </w:tc>
        <w:tc>
          <w:tcPr>
            <w:tcW w:w="0" w:type="auto"/>
            <w:tcBorders>
              <w:top w:val="nil"/>
              <w:left w:val="nil"/>
              <w:bottom w:val="nil"/>
              <w:right w:val="nil"/>
            </w:tcBorders>
            <w:shd w:val="clear" w:color="auto" w:fill="auto"/>
            <w:noWrap/>
            <w:vAlign w:val="center"/>
            <w:hideMark/>
          </w:tcPr>
          <w:p w14:paraId="2AD595E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0.07 (.05, .</w:t>
            </w:r>
            <w:proofErr w:type="gramStart"/>
            <w:r w:rsidRPr="003B57EA">
              <w:rPr>
                <w:rFonts w:asciiTheme="majorBidi" w:hAnsiTheme="majorBidi" w:cstheme="majorBidi"/>
                <w:sz w:val="21"/>
                <w:szCs w:val="21"/>
              </w:rPr>
              <w:t>10)*</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5EE5429E"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-0.09(-.</w:t>
            </w:r>
            <w:proofErr w:type="gramStart"/>
            <w:r w:rsidRPr="003B57EA">
              <w:rPr>
                <w:rFonts w:asciiTheme="majorBidi" w:hAnsiTheme="majorBidi" w:cstheme="majorBidi"/>
                <w:sz w:val="21"/>
                <w:szCs w:val="21"/>
              </w:rPr>
              <w:t>17,-</w:t>
            </w:r>
            <w:proofErr w:type="gramEnd"/>
            <w:r w:rsidRPr="003B57EA">
              <w:rPr>
                <w:rFonts w:asciiTheme="majorBidi" w:hAnsiTheme="majorBidi" w:cstheme="majorBidi"/>
                <w:sz w:val="21"/>
                <w:szCs w:val="21"/>
              </w:rPr>
              <w:t>.01)*</w:t>
            </w:r>
          </w:p>
        </w:tc>
        <w:tc>
          <w:tcPr>
            <w:tcW w:w="0" w:type="auto"/>
            <w:tcBorders>
              <w:top w:val="nil"/>
              <w:left w:val="nil"/>
              <w:bottom w:val="nil"/>
              <w:right w:val="nil"/>
            </w:tcBorders>
            <w:shd w:val="clear" w:color="auto" w:fill="auto"/>
            <w:noWrap/>
            <w:vAlign w:val="center"/>
            <w:hideMark/>
          </w:tcPr>
          <w:p w14:paraId="1C3996F8"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100.0%</w:t>
            </w:r>
          </w:p>
        </w:tc>
        <w:tc>
          <w:tcPr>
            <w:tcW w:w="0" w:type="auto"/>
            <w:tcBorders>
              <w:top w:val="nil"/>
              <w:left w:val="nil"/>
              <w:bottom w:val="nil"/>
              <w:right w:val="nil"/>
            </w:tcBorders>
            <w:shd w:val="clear" w:color="auto" w:fill="auto"/>
            <w:noWrap/>
            <w:vAlign w:val="center"/>
            <w:hideMark/>
          </w:tcPr>
          <w:p w14:paraId="68616D5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060CC62B" w14:textId="77777777" w:rsidTr="00746005">
        <w:trPr>
          <w:trHeight w:val="320"/>
        </w:trPr>
        <w:tc>
          <w:tcPr>
            <w:tcW w:w="0" w:type="auto"/>
            <w:tcBorders>
              <w:top w:val="nil"/>
              <w:left w:val="nil"/>
              <w:bottom w:val="nil"/>
              <w:right w:val="nil"/>
            </w:tcBorders>
            <w:shd w:val="clear" w:color="auto" w:fill="auto"/>
            <w:noWrap/>
            <w:vAlign w:val="bottom"/>
            <w:hideMark/>
          </w:tcPr>
          <w:p w14:paraId="6DFE449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4E9A55A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11D4F12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313497A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49AA886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Coping</w:t>
            </w:r>
          </w:p>
        </w:tc>
        <w:tc>
          <w:tcPr>
            <w:tcW w:w="0" w:type="auto"/>
            <w:tcBorders>
              <w:top w:val="nil"/>
              <w:left w:val="nil"/>
              <w:bottom w:val="nil"/>
              <w:right w:val="nil"/>
            </w:tcBorders>
            <w:shd w:val="clear" w:color="auto" w:fill="auto"/>
            <w:noWrap/>
            <w:vAlign w:val="center"/>
            <w:hideMark/>
          </w:tcPr>
          <w:p w14:paraId="2E3FD41A"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0.05 (.02, .</w:t>
            </w:r>
            <w:proofErr w:type="gramStart"/>
            <w:r w:rsidRPr="003B57EA">
              <w:rPr>
                <w:rFonts w:asciiTheme="majorBidi" w:hAnsiTheme="majorBidi" w:cstheme="majorBidi"/>
                <w:sz w:val="21"/>
                <w:szCs w:val="21"/>
              </w:rPr>
              <w:t>07)*</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61B8A68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0.02 (-.05, .10)</w:t>
            </w:r>
          </w:p>
        </w:tc>
        <w:tc>
          <w:tcPr>
            <w:tcW w:w="0" w:type="auto"/>
            <w:tcBorders>
              <w:top w:val="nil"/>
              <w:left w:val="nil"/>
              <w:bottom w:val="nil"/>
              <w:right w:val="nil"/>
            </w:tcBorders>
            <w:shd w:val="clear" w:color="auto" w:fill="auto"/>
            <w:noWrap/>
            <w:vAlign w:val="center"/>
            <w:hideMark/>
          </w:tcPr>
          <w:p w14:paraId="03D8CAD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64.05%</w:t>
            </w:r>
          </w:p>
        </w:tc>
        <w:tc>
          <w:tcPr>
            <w:tcW w:w="0" w:type="auto"/>
            <w:tcBorders>
              <w:top w:val="nil"/>
              <w:left w:val="nil"/>
              <w:bottom w:val="nil"/>
              <w:right w:val="nil"/>
            </w:tcBorders>
            <w:shd w:val="clear" w:color="auto" w:fill="auto"/>
            <w:noWrap/>
            <w:vAlign w:val="center"/>
            <w:hideMark/>
          </w:tcPr>
          <w:p w14:paraId="2EEAF02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78DB9DA7" w14:textId="77777777" w:rsidTr="00746005">
        <w:trPr>
          <w:trHeight w:val="320"/>
        </w:trPr>
        <w:tc>
          <w:tcPr>
            <w:tcW w:w="0" w:type="auto"/>
            <w:tcBorders>
              <w:top w:val="nil"/>
              <w:left w:val="nil"/>
              <w:bottom w:val="nil"/>
              <w:right w:val="nil"/>
            </w:tcBorders>
            <w:shd w:val="clear" w:color="auto" w:fill="auto"/>
            <w:noWrap/>
            <w:vAlign w:val="bottom"/>
            <w:hideMark/>
          </w:tcPr>
          <w:p w14:paraId="331B0E9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300BFF84"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7562F10"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205856E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80B7AF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 xml:space="preserve">Skill development </w:t>
            </w:r>
          </w:p>
        </w:tc>
        <w:tc>
          <w:tcPr>
            <w:tcW w:w="0" w:type="auto"/>
            <w:tcBorders>
              <w:top w:val="nil"/>
              <w:left w:val="nil"/>
              <w:bottom w:val="nil"/>
              <w:right w:val="nil"/>
            </w:tcBorders>
            <w:shd w:val="clear" w:color="auto" w:fill="auto"/>
            <w:noWrap/>
            <w:vAlign w:val="center"/>
            <w:hideMark/>
          </w:tcPr>
          <w:p w14:paraId="6B7950C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0.02 (.00, .</w:t>
            </w:r>
            <w:proofErr w:type="gramStart"/>
            <w:r w:rsidRPr="003B57EA">
              <w:rPr>
                <w:rFonts w:asciiTheme="majorBidi" w:hAnsiTheme="majorBidi" w:cstheme="majorBidi"/>
                <w:sz w:val="21"/>
                <w:szCs w:val="21"/>
              </w:rPr>
              <w:t>05)*</w:t>
            </w:r>
            <w:proofErr w:type="gramEnd"/>
          </w:p>
        </w:tc>
        <w:tc>
          <w:tcPr>
            <w:tcW w:w="0" w:type="auto"/>
            <w:tcBorders>
              <w:top w:val="nil"/>
              <w:left w:val="nil"/>
              <w:bottom w:val="nil"/>
              <w:right w:val="nil"/>
            </w:tcBorders>
            <w:shd w:val="clear" w:color="auto" w:fill="auto"/>
            <w:noWrap/>
            <w:vAlign w:val="center"/>
            <w:hideMark/>
          </w:tcPr>
          <w:p w14:paraId="281C2C9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-0.09 (-.17, .00)</w:t>
            </w:r>
          </w:p>
        </w:tc>
        <w:tc>
          <w:tcPr>
            <w:tcW w:w="0" w:type="auto"/>
            <w:tcBorders>
              <w:top w:val="nil"/>
              <w:left w:val="nil"/>
              <w:bottom w:val="nil"/>
              <w:right w:val="nil"/>
            </w:tcBorders>
            <w:shd w:val="clear" w:color="auto" w:fill="auto"/>
            <w:noWrap/>
            <w:vAlign w:val="center"/>
            <w:hideMark/>
          </w:tcPr>
          <w:p w14:paraId="5BE6ADE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33.14%</w:t>
            </w:r>
          </w:p>
        </w:tc>
        <w:tc>
          <w:tcPr>
            <w:tcW w:w="0" w:type="auto"/>
            <w:tcBorders>
              <w:top w:val="nil"/>
              <w:left w:val="nil"/>
              <w:bottom w:val="nil"/>
              <w:right w:val="nil"/>
            </w:tcBorders>
            <w:shd w:val="clear" w:color="auto" w:fill="auto"/>
            <w:noWrap/>
            <w:vAlign w:val="center"/>
            <w:hideMark/>
          </w:tcPr>
          <w:p w14:paraId="3BA9B6EE"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w:t>
            </w:r>
          </w:p>
        </w:tc>
      </w:tr>
      <w:tr w:rsidR="00FE2D9B" w:rsidRPr="003B57EA" w14:paraId="54106509" w14:textId="77777777" w:rsidTr="00746005">
        <w:trPr>
          <w:trHeight w:val="320"/>
        </w:trPr>
        <w:tc>
          <w:tcPr>
            <w:tcW w:w="0" w:type="auto"/>
            <w:tcBorders>
              <w:top w:val="nil"/>
              <w:left w:val="nil"/>
              <w:bottom w:val="nil"/>
              <w:right w:val="nil"/>
            </w:tcBorders>
            <w:shd w:val="clear" w:color="auto" w:fill="auto"/>
            <w:noWrap/>
            <w:vAlign w:val="bottom"/>
            <w:hideMark/>
          </w:tcPr>
          <w:p w14:paraId="1C3BFDA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447F2F1C"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E3F228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371CA1A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60738E1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Fantasy</w:t>
            </w:r>
          </w:p>
        </w:tc>
        <w:tc>
          <w:tcPr>
            <w:tcW w:w="0" w:type="auto"/>
            <w:tcBorders>
              <w:top w:val="nil"/>
              <w:left w:val="nil"/>
              <w:bottom w:val="nil"/>
              <w:right w:val="nil"/>
            </w:tcBorders>
            <w:shd w:val="clear" w:color="auto" w:fill="auto"/>
            <w:noWrap/>
            <w:vAlign w:val="center"/>
            <w:hideMark/>
          </w:tcPr>
          <w:p w14:paraId="4C1EE830"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0.06 (.04, .</w:t>
            </w:r>
            <w:proofErr w:type="gramStart"/>
            <w:r w:rsidRPr="003B57EA">
              <w:rPr>
                <w:rFonts w:asciiTheme="majorBidi" w:hAnsiTheme="majorBidi" w:cstheme="majorBidi"/>
                <w:sz w:val="21"/>
                <w:szCs w:val="21"/>
              </w:rPr>
              <w:t>09)*</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58BE5F7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(-.04, .11)</w:t>
            </w:r>
          </w:p>
        </w:tc>
        <w:tc>
          <w:tcPr>
            <w:tcW w:w="0" w:type="auto"/>
            <w:tcBorders>
              <w:top w:val="nil"/>
              <w:left w:val="nil"/>
              <w:bottom w:val="nil"/>
              <w:right w:val="nil"/>
            </w:tcBorders>
            <w:shd w:val="clear" w:color="auto" w:fill="auto"/>
            <w:noWrap/>
            <w:vAlign w:val="center"/>
            <w:hideMark/>
          </w:tcPr>
          <w:p w14:paraId="1A62276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59.78%</w:t>
            </w:r>
          </w:p>
        </w:tc>
        <w:tc>
          <w:tcPr>
            <w:tcW w:w="0" w:type="auto"/>
            <w:tcBorders>
              <w:top w:val="nil"/>
              <w:left w:val="nil"/>
              <w:bottom w:val="nil"/>
              <w:right w:val="nil"/>
            </w:tcBorders>
            <w:shd w:val="clear" w:color="auto" w:fill="auto"/>
            <w:noWrap/>
            <w:vAlign w:val="center"/>
            <w:hideMark/>
          </w:tcPr>
          <w:p w14:paraId="428DC6C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23B14D6A" w14:textId="77777777" w:rsidTr="00746005">
        <w:trPr>
          <w:trHeight w:val="320"/>
        </w:trPr>
        <w:tc>
          <w:tcPr>
            <w:tcW w:w="0" w:type="auto"/>
            <w:tcBorders>
              <w:top w:val="nil"/>
              <w:left w:val="nil"/>
              <w:bottom w:val="nil"/>
              <w:right w:val="nil"/>
            </w:tcBorders>
            <w:shd w:val="clear" w:color="auto" w:fill="auto"/>
            <w:noWrap/>
            <w:vAlign w:val="bottom"/>
            <w:hideMark/>
          </w:tcPr>
          <w:p w14:paraId="1400FDD0"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0515CB7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02C335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2ABB05B3"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63D65D1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Recreation</w:t>
            </w:r>
          </w:p>
        </w:tc>
        <w:tc>
          <w:tcPr>
            <w:tcW w:w="0" w:type="auto"/>
            <w:tcBorders>
              <w:top w:val="nil"/>
              <w:left w:val="nil"/>
              <w:bottom w:val="nil"/>
              <w:right w:val="nil"/>
            </w:tcBorders>
            <w:shd w:val="clear" w:color="auto" w:fill="auto"/>
            <w:noWrap/>
            <w:vAlign w:val="center"/>
            <w:hideMark/>
          </w:tcPr>
          <w:p w14:paraId="31BF57D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-0.01 (-.04, .01)</w:t>
            </w:r>
          </w:p>
        </w:tc>
        <w:tc>
          <w:tcPr>
            <w:tcW w:w="0" w:type="auto"/>
            <w:tcBorders>
              <w:top w:val="nil"/>
              <w:left w:val="nil"/>
              <w:bottom w:val="nil"/>
              <w:right w:val="nil"/>
            </w:tcBorders>
            <w:shd w:val="clear" w:color="auto" w:fill="auto"/>
            <w:noWrap/>
            <w:vAlign w:val="center"/>
            <w:hideMark/>
          </w:tcPr>
          <w:p w14:paraId="149983F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0.02 (-.07, .11)</w:t>
            </w:r>
          </w:p>
        </w:tc>
        <w:tc>
          <w:tcPr>
            <w:tcW w:w="0" w:type="auto"/>
            <w:tcBorders>
              <w:top w:val="nil"/>
              <w:left w:val="nil"/>
              <w:bottom w:val="nil"/>
              <w:right w:val="nil"/>
            </w:tcBorders>
            <w:shd w:val="clear" w:color="auto" w:fill="auto"/>
            <w:noWrap/>
            <w:vAlign w:val="center"/>
            <w:hideMark/>
          </w:tcPr>
          <w:p w14:paraId="6068385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1.11%</w:t>
            </w:r>
          </w:p>
        </w:tc>
        <w:tc>
          <w:tcPr>
            <w:tcW w:w="0" w:type="auto"/>
            <w:tcBorders>
              <w:top w:val="nil"/>
              <w:left w:val="nil"/>
              <w:bottom w:val="nil"/>
              <w:right w:val="nil"/>
            </w:tcBorders>
            <w:shd w:val="clear" w:color="auto" w:fill="auto"/>
            <w:noWrap/>
            <w:vAlign w:val="center"/>
            <w:hideMark/>
          </w:tcPr>
          <w:p w14:paraId="1945BEB1"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0.00</w:t>
            </w:r>
          </w:p>
        </w:tc>
      </w:tr>
      <w:tr w:rsidR="00FE2D9B" w:rsidRPr="003B57EA" w14:paraId="40D5EFC7" w14:textId="77777777" w:rsidTr="00746005">
        <w:trPr>
          <w:trHeight w:val="320"/>
        </w:trPr>
        <w:tc>
          <w:tcPr>
            <w:tcW w:w="0" w:type="auto"/>
            <w:tcBorders>
              <w:top w:val="nil"/>
              <w:left w:val="nil"/>
              <w:bottom w:val="nil"/>
              <w:right w:val="nil"/>
            </w:tcBorders>
            <w:shd w:val="clear" w:color="auto" w:fill="auto"/>
            <w:noWrap/>
            <w:vAlign w:val="bottom"/>
            <w:hideMark/>
          </w:tcPr>
          <w:p w14:paraId="63F3AF6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169DD339"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FBCF764" w14:textId="7C0943DF"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4F6B8E52"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6C3FB534"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IGD</w:t>
            </w:r>
          </w:p>
        </w:tc>
        <w:tc>
          <w:tcPr>
            <w:tcW w:w="0" w:type="auto"/>
            <w:tcBorders>
              <w:top w:val="nil"/>
              <w:left w:val="nil"/>
              <w:bottom w:val="nil"/>
              <w:right w:val="nil"/>
            </w:tcBorders>
            <w:shd w:val="clear" w:color="auto" w:fill="auto"/>
            <w:noWrap/>
            <w:vAlign w:val="center"/>
            <w:hideMark/>
          </w:tcPr>
          <w:p w14:paraId="63178ECA"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0.03 (.01, .</w:t>
            </w:r>
            <w:proofErr w:type="gramStart"/>
            <w:r w:rsidRPr="003B57EA">
              <w:rPr>
                <w:rFonts w:asciiTheme="majorBidi" w:hAnsiTheme="majorBidi" w:cstheme="majorBidi"/>
                <w:sz w:val="21"/>
                <w:szCs w:val="21"/>
              </w:rPr>
              <w:t>04)*</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19CDC1D0"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0.02 (-.03, .07)</w:t>
            </w:r>
          </w:p>
        </w:tc>
        <w:tc>
          <w:tcPr>
            <w:tcW w:w="0" w:type="auto"/>
            <w:tcBorders>
              <w:top w:val="nil"/>
              <w:left w:val="nil"/>
              <w:bottom w:val="nil"/>
              <w:right w:val="nil"/>
            </w:tcBorders>
            <w:shd w:val="clear" w:color="auto" w:fill="auto"/>
            <w:noWrap/>
            <w:vAlign w:val="center"/>
            <w:hideMark/>
          </w:tcPr>
          <w:p w14:paraId="059107A8"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57.95%</w:t>
            </w:r>
          </w:p>
        </w:tc>
        <w:tc>
          <w:tcPr>
            <w:tcW w:w="0" w:type="auto"/>
            <w:tcBorders>
              <w:top w:val="nil"/>
              <w:left w:val="nil"/>
              <w:bottom w:val="nil"/>
              <w:right w:val="nil"/>
            </w:tcBorders>
            <w:shd w:val="clear" w:color="auto" w:fill="auto"/>
            <w:noWrap/>
            <w:vAlign w:val="center"/>
            <w:hideMark/>
          </w:tcPr>
          <w:p w14:paraId="27DF694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w:t>
            </w:r>
          </w:p>
        </w:tc>
      </w:tr>
      <w:tr w:rsidR="00FE2D9B" w:rsidRPr="003B57EA" w14:paraId="06899BC8" w14:textId="77777777" w:rsidTr="00746005">
        <w:trPr>
          <w:trHeight w:val="320"/>
        </w:trPr>
        <w:tc>
          <w:tcPr>
            <w:tcW w:w="0" w:type="auto"/>
            <w:tcBorders>
              <w:top w:val="nil"/>
              <w:left w:val="nil"/>
              <w:bottom w:val="nil"/>
              <w:right w:val="nil"/>
            </w:tcBorders>
            <w:shd w:val="clear" w:color="auto" w:fill="auto"/>
            <w:noWrap/>
            <w:vAlign w:val="bottom"/>
            <w:hideMark/>
          </w:tcPr>
          <w:p w14:paraId="6A5C8739"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7ABC7F0E"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2C6324C3" w14:textId="66CD67CE"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72861D3C"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1E1C832E"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w:t>
            </w:r>
          </w:p>
        </w:tc>
        <w:tc>
          <w:tcPr>
            <w:tcW w:w="0" w:type="auto"/>
            <w:tcBorders>
              <w:top w:val="nil"/>
              <w:left w:val="nil"/>
              <w:bottom w:val="nil"/>
              <w:right w:val="nil"/>
            </w:tcBorders>
            <w:shd w:val="clear" w:color="auto" w:fill="auto"/>
            <w:noWrap/>
            <w:vAlign w:val="center"/>
            <w:hideMark/>
          </w:tcPr>
          <w:p w14:paraId="46E14344"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(.00, .</w:t>
            </w:r>
            <w:proofErr w:type="gramStart"/>
            <w:r w:rsidRPr="003B57EA">
              <w:rPr>
                <w:rFonts w:asciiTheme="majorBidi" w:hAnsiTheme="majorBidi" w:cstheme="majorBidi"/>
                <w:sz w:val="21"/>
                <w:szCs w:val="21"/>
              </w:rPr>
              <w:t>07)*</w:t>
            </w:r>
            <w:proofErr w:type="gramEnd"/>
          </w:p>
        </w:tc>
        <w:tc>
          <w:tcPr>
            <w:tcW w:w="0" w:type="auto"/>
            <w:tcBorders>
              <w:top w:val="nil"/>
              <w:left w:val="nil"/>
              <w:bottom w:val="nil"/>
              <w:right w:val="nil"/>
            </w:tcBorders>
            <w:shd w:val="clear" w:color="auto" w:fill="auto"/>
            <w:noWrap/>
            <w:vAlign w:val="center"/>
            <w:hideMark/>
          </w:tcPr>
          <w:p w14:paraId="4ADE737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(-.11, .20)</w:t>
            </w:r>
          </w:p>
        </w:tc>
        <w:tc>
          <w:tcPr>
            <w:tcW w:w="0" w:type="auto"/>
            <w:tcBorders>
              <w:top w:val="nil"/>
              <w:left w:val="nil"/>
              <w:bottom w:val="nil"/>
              <w:right w:val="nil"/>
            </w:tcBorders>
            <w:shd w:val="clear" w:color="auto" w:fill="auto"/>
            <w:noWrap/>
            <w:vAlign w:val="center"/>
            <w:hideMark/>
          </w:tcPr>
          <w:p w14:paraId="52FFE44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32.63%</w:t>
            </w:r>
          </w:p>
        </w:tc>
        <w:tc>
          <w:tcPr>
            <w:tcW w:w="0" w:type="auto"/>
            <w:tcBorders>
              <w:top w:val="nil"/>
              <w:left w:val="nil"/>
              <w:bottom w:val="nil"/>
              <w:right w:val="nil"/>
            </w:tcBorders>
            <w:shd w:val="clear" w:color="auto" w:fill="auto"/>
            <w:noWrap/>
            <w:vAlign w:val="center"/>
            <w:hideMark/>
          </w:tcPr>
          <w:p w14:paraId="3DE49DE1"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w:t>
            </w:r>
          </w:p>
        </w:tc>
      </w:tr>
      <w:tr w:rsidR="00FE2D9B" w:rsidRPr="003B57EA" w14:paraId="2FE3BDA4" w14:textId="77777777" w:rsidTr="00746005">
        <w:trPr>
          <w:trHeight w:val="320"/>
        </w:trPr>
        <w:tc>
          <w:tcPr>
            <w:tcW w:w="0" w:type="auto"/>
            <w:tcBorders>
              <w:top w:val="nil"/>
              <w:left w:val="nil"/>
              <w:bottom w:val="nil"/>
              <w:right w:val="nil"/>
            </w:tcBorders>
            <w:shd w:val="clear" w:color="auto" w:fill="auto"/>
            <w:noWrap/>
            <w:vAlign w:val="bottom"/>
            <w:hideMark/>
          </w:tcPr>
          <w:p w14:paraId="6829EF5E"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2BD0CD54"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0461E3BD" w14:textId="610234FC"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3A6A836E"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2340EE8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Social</w:t>
            </w:r>
          </w:p>
        </w:tc>
        <w:tc>
          <w:tcPr>
            <w:tcW w:w="0" w:type="auto"/>
            <w:tcBorders>
              <w:top w:val="nil"/>
              <w:left w:val="nil"/>
              <w:bottom w:val="nil"/>
              <w:right w:val="nil"/>
            </w:tcBorders>
            <w:shd w:val="clear" w:color="auto" w:fill="auto"/>
            <w:noWrap/>
            <w:vAlign w:val="center"/>
            <w:hideMark/>
          </w:tcPr>
          <w:p w14:paraId="0D0B632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0.07 (.05, .</w:t>
            </w:r>
            <w:proofErr w:type="gramStart"/>
            <w:r w:rsidRPr="003B57EA">
              <w:rPr>
                <w:rFonts w:asciiTheme="majorBidi" w:hAnsiTheme="majorBidi" w:cstheme="majorBidi"/>
                <w:sz w:val="21"/>
                <w:szCs w:val="21"/>
              </w:rPr>
              <w:t>10)*</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08E8565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(-.12, .03)</w:t>
            </w:r>
          </w:p>
        </w:tc>
        <w:tc>
          <w:tcPr>
            <w:tcW w:w="0" w:type="auto"/>
            <w:tcBorders>
              <w:top w:val="nil"/>
              <w:left w:val="nil"/>
              <w:bottom w:val="nil"/>
              <w:right w:val="nil"/>
            </w:tcBorders>
            <w:shd w:val="clear" w:color="auto" w:fill="auto"/>
            <w:noWrap/>
            <w:vAlign w:val="center"/>
            <w:hideMark/>
          </w:tcPr>
          <w:p w14:paraId="54443844"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100.0%</w:t>
            </w:r>
          </w:p>
        </w:tc>
        <w:tc>
          <w:tcPr>
            <w:tcW w:w="0" w:type="auto"/>
            <w:tcBorders>
              <w:top w:val="nil"/>
              <w:left w:val="nil"/>
              <w:bottom w:val="nil"/>
              <w:right w:val="nil"/>
            </w:tcBorders>
            <w:shd w:val="clear" w:color="auto" w:fill="auto"/>
            <w:noWrap/>
            <w:vAlign w:val="center"/>
            <w:hideMark/>
          </w:tcPr>
          <w:p w14:paraId="582F768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r w:rsidR="00FE2D9B" w:rsidRPr="003B57EA" w14:paraId="0E384228" w14:textId="77777777" w:rsidTr="00746005">
        <w:trPr>
          <w:trHeight w:val="320"/>
        </w:trPr>
        <w:tc>
          <w:tcPr>
            <w:tcW w:w="0" w:type="auto"/>
            <w:tcBorders>
              <w:top w:val="nil"/>
              <w:left w:val="nil"/>
              <w:bottom w:val="nil"/>
              <w:right w:val="nil"/>
            </w:tcBorders>
            <w:shd w:val="clear" w:color="auto" w:fill="auto"/>
            <w:noWrap/>
            <w:vAlign w:val="bottom"/>
            <w:hideMark/>
          </w:tcPr>
          <w:p w14:paraId="4EEEFBD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413F6674"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84A4EB3" w14:textId="36A5979A"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15BA0BB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1D600110"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Escape</w:t>
            </w:r>
          </w:p>
        </w:tc>
        <w:tc>
          <w:tcPr>
            <w:tcW w:w="0" w:type="auto"/>
            <w:tcBorders>
              <w:top w:val="nil"/>
              <w:left w:val="nil"/>
              <w:bottom w:val="nil"/>
              <w:right w:val="nil"/>
            </w:tcBorders>
            <w:shd w:val="clear" w:color="auto" w:fill="auto"/>
            <w:noWrap/>
            <w:vAlign w:val="center"/>
            <w:hideMark/>
          </w:tcPr>
          <w:p w14:paraId="07158248"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0.08 (.05, .</w:t>
            </w:r>
            <w:proofErr w:type="gramStart"/>
            <w:r w:rsidRPr="003B57EA">
              <w:rPr>
                <w:rFonts w:asciiTheme="majorBidi" w:hAnsiTheme="majorBidi" w:cstheme="majorBidi"/>
                <w:sz w:val="21"/>
                <w:szCs w:val="21"/>
              </w:rPr>
              <w:t>10)*</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5F33B1D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 (.03, .</w:t>
            </w:r>
            <w:proofErr w:type="gramStart"/>
            <w:r w:rsidRPr="003B57EA">
              <w:rPr>
                <w:rFonts w:asciiTheme="majorBidi" w:hAnsiTheme="majorBidi" w:cstheme="majorBidi"/>
                <w:sz w:val="21"/>
                <w:szCs w:val="21"/>
              </w:rPr>
              <w:t>18)*</w:t>
            </w:r>
            <w:proofErr w:type="gramEnd"/>
          </w:p>
        </w:tc>
        <w:tc>
          <w:tcPr>
            <w:tcW w:w="0" w:type="auto"/>
            <w:tcBorders>
              <w:top w:val="nil"/>
              <w:left w:val="nil"/>
              <w:bottom w:val="nil"/>
              <w:right w:val="nil"/>
            </w:tcBorders>
            <w:shd w:val="clear" w:color="auto" w:fill="auto"/>
            <w:noWrap/>
            <w:vAlign w:val="center"/>
            <w:hideMark/>
          </w:tcPr>
          <w:p w14:paraId="5D3B3D7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42.34%</w:t>
            </w:r>
          </w:p>
        </w:tc>
        <w:tc>
          <w:tcPr>
            <w:tcW w:w="0" w:type="auto"/>
            <w:tcBorders>
              <w:top w:val="nil"/>
              <w:left w:val="nil"/>
              <w:bottom w:val="nil"/>
              <w:right w:val="nil"/>
            </w:tcBorders>
            <w:shd w:val="clear" w:color="auto" w:fill="auto"/>
            <w:noWrap/>
            <w:vAlign w:val="center"/>
            <w:hideMark/>
          </w:tcPr>
          <w:p w14:paraId="44B27B7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r w:rsidR="00FE2D9B" w:rsidRPr="003B57EA" w14:paraId="5F488FD2" w14:textId="77777777" w:rsidTr="00746005">
        <w:trPr>
          <w:trHeight w:val="320"/>
        </w:trPr>
        <w:tc>
          <w:tcPr>
            <w:tcW w:w="0" w:type="auto"/>
            <w:tcBorders>
              <w:top w:val="nil"/>
              <w:left w:val="nil"/>
              <w:bottom w:val="nil"/>
              <w:right w:val="nil"/>
            </w:tcBorders>
            <w:shd w:val="clear" w:color="auto" w:fill="auto"/>
            <w:noWrap/>
            <w:vAlign w:val="bottom"/>
            <w:hideMark/>
          </w:tcPr>
          <w:p w14:paraId="1F4EA08C"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2671CE30"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6FFCB2B" w14:textId="3C793F94"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4E22389E"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11E2D2F4"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Competition</w:t>
            </w:r>
          </w:p>
        </w:tc>
        <w:tc>
          <w:tcPr>
            <w:tcW w:w="0" w:type="auto"/>
            <w:tcBorders>
              <w:top w:val="nil"/>
              <w:left w:val="nil"/>
              <w:bottom w:val="nil"/>
              <w:right w:val="nil"/>
            </w:tcBorders>
            <w:shd w:val="clear" w:color="auto" w:fill="auto"/>
            <w:noWrap/>
            <w:vAlign w:val="center"/>
            <w:hideMark/>
          </w:tcPr>
          <w:p w14:paraId="45C38E0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0.05 (.03, .</w:t>
            </w:r>
            <w:proofErr w:type="gramStart"/>
            <w:r w:rsidRPr="003B57EA">
              <w:rPr>
                <w:rFonts w:asciiTheme="majorBidi" w:hAnsiTheme="majorBidi" w:cstheme="majorBidi"/>
                <w:sz w:val="21"/>
                <w:szCs w:val="21"/>
              </w:rPr>
              <w:t>08)*</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7A2D06B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-0.09 (-.17, -.</w:t>
            </w:r>
            <w:proofErr w:type="gramStart"/>
            <w:r w:rsidRPr="003B57EA">
              <w:rPr>
                <w:rFonts w:asciiTheme="majorBidi" w:hAnsiTheme="majorBidi" w:cstheme="majorBidi"/>
                <w:sz w:val="21"/>
                <w:szCs w:val="21"/>
              </w:rPr>
              <w:t>01)*</w:t>
            </w:r>
            <w:proofErr w:type="gramEnd"/>
          </w:p>
        </w:tc>
        <w:tc>
          <w:tcPr>
            <w:tcW w:w="0" w:type="auto"/>
            <w:tcBorders>
              <w:top w:val="nil"/>
              <w:left w:val="nil"/>
              <w:bottom w:val="nil"/>
              <w:right w:val="nil"/>
            </w:tcBorders>
            <w:shd w:val="clear" w:color="auto" w:fill="auto"/>
            <w:noWrap/>
            <w:vAlign w:val="center"/>
            <w:hideMark/>
          </w:tcPr>
          <w:p w14:paraId="2C66DE8A"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79.05%</w:t>
            </w:r>
          </w:p>
        </w:tc>
        <w:tc>
          <w:tcPr>
            <w:tcW w:w="0" w:type="auto"/>
            <w:tcBorders>
              <w:top w:val="nil"/>
              <w:left w:val="nil"/>
              <w:bottom w:val="nil"/>
              <w:right w:val="nil"/>
            </w:tcBorders>
            <w:shd w:val="clear" w:color="auto" w:fill="auto"/>
            <w:noWrap/>
            <w:vAlign w:val="center"/>
            <w:hideMark/>
          </w:tcPr>
          <w:p w14:paraId="017421F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15A434FA" w14:textId="77777777" w:rsidTr="00746005">
        <w:trPr>
          <w:trHeight w:val="320"/>
        </w:trPr>
        <w:tc>
          <w:tcPr>
            <w:tcW w:w="0" w:type="auto"/>
            <w:tcBorders>
              <w:top w:val="nil"/>
              <w:left w:val="nil"/>
              <w:bottom w:val="nil"/>
              <w:right w:val="nil"/>
            </w:tcBorders>
            <w:shd w:val="clear" w:color="auto" w:fill="auto"/>
            <w:noWrap/>
            <w:vAlign w:val="bottom"/>
            <w:hideMark/>
          </w:tcPr>
          <w:p w14:paraId="7DC24BD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21E5947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F7E373A" w14:textId="2482D0BE"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2819B8A3"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DCD15C2"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Coping</w:t>
            </w:r>
          </w:p>
        </w:tc>
        <w:tc>
          <w:tcPr>
            <w:tcW w:w="0" w:type="auto"/>
            <w:tcBorders>
              <w:top w:val="nil"/>
              <w:left w:val="nil"/>
              <w:bottom w:val="nil"/>
              <w:right w:val="nil"/>
            </w:tcBorders>
            <w:shd w:val="clear" w:color="auto" w:fill="auto"/>
            <w:noWrap/>
            <w:vAlign w:val="center"/>
            <w:hideMark/>
          </w:tcPr>
          <w:p w14:paraId="3FC8BDC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 (.07, .</w:t>
            </w:r>
            <w:proofErr w:type="gramStart"/>
            <w:r w:rsidRPr="003B57EA">
              <w:rPr>
                <w:rFonts w:asciiTheme="majorBidi" w:hAnsiTheme="majorBidi" w:cstheme="majorBidi"/>
                <w:sz w:val="21"/>
                <w:szCs w:val="21"/>
              </w:rPr>
              <w:t>13)*</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1325FA94"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0.03 (-.05, .10)</w:t>
            </w:r>
          </w:p>
        </w:tc>
        <w:tc>
          <w:tcPr>
            <w:tcW w:w="0" w:type="auto"/>
            <w:tcBorders>
              <w:top w:val="nil"/>
              <w:left w:val="nil"/>
              <w:bottom w:val="nil"/>
              <w:right w:val="nil"/>
            </w:tcBorders>
            <w:shd w:val="clear" w:color="auto" w:fill="auto"/>
            <w:noWrap/>
            <w:vAlign w:val="center"/>
            <w:hideMark/>
          </w:tcPr>
          <w:p w14:paraId="330AAD79"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77.55%</w:t>
            </w:r>
          </w:p>
        </w:tc>
        <w:tc>
          <w:tcPr>
            <w:tcW w:w="0" w:type="auto"/>
            <w:tcBorders>
              <w:top w:val="nil"/>
              <w:left w:val="nil"/>
              <w:bottom w:val="nil"/>
              <w:right w:val="nil"/>
            </w:tcBorders>
            <w:shd w:val="clear" w:color="auto" w:fill="auto"/>
            <w:noWrap/>
            <w:vAlign w:val="center"/>
            <w:hideMark/>
          </w:tcPr>
          <w:p w14:paraId="3BADCD2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0.40</w:t>
            </w:r>
          </w:p>
        </w:tc>
      </w:tr>
      <w:tr w:rsidR="00FE2D9B" w:rsidRPr="003B57EA" w14:paraId="3E4AA68F" w14:textId="77777777" w:rsidTr="00746005">
        <w:trPr>
          <w:trHeight w:val="320"/>
        </w:trPr>
        <w:tc>
          <w:tcPr>
            <w:tcW w:w="0" w:type="auto"/>
            <w:tcBorders>
              <w:top w:val="nil"/>
              <w:left w:val="nil"/>
              <w:bottom w:val="nil"/>
              <w:right w:val="nil"/>
            </w:tcBorders>
            <w:shd w:val="clear" w:color="auto" w:fill="auto"/>
            <w:noWrap/>
            <w:vAlign w:val="bottom"/>
            <w:hideMark/>
          </w:tcPr>
          <w:p w14:paraId="57910C32"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728DCEE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45474D9B" w14:textId="5FDA4FC0"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5B791D7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06CE04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 xml:space="preserve">Skill development </w:t>
            </w:r>
          </w:p>
        </w:tc>
        <w:tc>
          <w:tcPr>
            <w:tcW w:w="0" w:type="auto"/>
            <w:tcBorders>
              <w:top w:val="nil"/>
              <w:left w:val="nil"/>
              <w:bottom w:val="nil"/>
              <w:right w:val="nil"/>
            </w:tcBorders>
            <w:shd w:val="clear" w:color="auto" w:fill="auto"/>
            <w:noWrap/>
            <w:vAlign w:val="center"/>
            <w:hideMark/>
          </w:tcPr>
          <w:p w14:paraId="7BE519DF"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0.08 (.06, .</w:t>
            </w:r>
            <w:proofErr w:type="gramStart"/>
            <w:r w:rsidRPr="003B57EA">
              <w:rPr>
                <w:rFonts w:asciiTheme="majorBidi" w:hAnsiTheme="majorBidi" w:cstheme="majorBidi"/>
                <w:sz w:val="21"/>
                <w:szCs w:val="21"/>
              </w:rPr>
              <w:t>12)*</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1F1E798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-0.08 (-.17, .00)</w:t>
            </w:r>
          </w:p>
        </w:tc>
        <w:tc>
          <w:tcPr>
            <w:tcW w:w="0" w:type="auto"/>
            <w:tcBorders>
              <w:top w:val="nil"/>
              <w:left w:val="nil"/>
              <w:bottom w:val="nil"/>
              <w:right w:val="nil"/>
            </w:tcBorders>
            <w:shd w:val="clear" w:color="auto" w:fill="auto"/>
            <w:noWrap/>
            <w:vAlign w:val="center"/>
            <w:hideMark/>
          </w:tcPr>
          <w:p w14:paraId="6F29BB4F"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100.0%</w:t>
            </w:r>
          </w:p>
        </w:tc>
        <w:tc>
          <w:tcPr>
            <w:tcW w:w="0" w:type="auto"/>
            <w:tcBorders>
              <w:top w:val="nil"/>
              <w:left w:val="nil"/>
              <w:bottom w:val="nil"/>
              <w:right w:val="nil"/>
            </w:tcBorders>
            <w:shd w:val="clear" w:color="auto" w:fill="auto"/>
            <w:noWrap/>
            <w:vAlign w:val="center"/>
            <w:hideMark/>
          </w:tcPr>
          <w:p w14:paraId="2F03C288"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r w:rsidR="00FE2D9B" w:rsidRPr="003B57EA" w14:paraId="766A4978" w14:textId="77777777" w:rsidTr="00746005">
        <w:trPr>
          <w:trHeight w:val="320"/>
        </w:trPr>
        <w:tc>
          <w:tcPr>
            <w:tcW w:w="0" w:type="auto"/>
            <w:tcBorders>
              <w:top w:val="nil"/>
              <w:left w:val="nil"/>
              <w:bottom w:val="nil"/>
              <w:right w:val="nil"/>
            </w:tcBorders>
            <w:shd w:val="clear" w:color="auto" w:fill="auto"/>
            <w:noWrap/>
            <w:vAlign w:val="bottom"/>
            <w:hideMark/>
          </w:tcPr>
          <w:p w14:paraId="50E49CE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6D644BC4"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BBB9617" w14:textId="12F0B544"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2679BBC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2726CAA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Fantasy</w:t>
            </w:r>
          </w:p>
        </w:tc>
        <w:tc>
          <w:tcPr>
            <w:tcW w:w="0" w:type="auto"/>
            <w:tcBorders>
              <w:top w:val="nil"/>
              <w:left w:val="nil"/>
              <w:bottom w:val="nil"/>
              <w:right w:val="nil"/>
            </w:tcBorders>
            <w:shd w:val="clear" w:color="auto" w:fill="auto"/>
            <w:noWrap/>
            <w:vAlign w:val="center"/>
            <w:hideMark/>
          </w:tcPr>
          <w:p w14:paraId="1639CD21"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0.05 (.03, .</w:t>
            </w:r>
            <w:proofErr w:type="gramStart"/>
            <w:r w:rsidRPr="003B57EA">
              <w:rPr>
                <w:rFonts w:asciiTheme="majorBidi" w:hAnsiTheme="majorBidi" w:cstheme="majorBidi"/>
                <w:sz w:val="21"/>
                <w:szCs w:val="21"/>
              </w:rPr>
              <w:t>07)*</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427F17A5"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(-.03, .11)</w:t>
            </w:r>
          </w:p>
        </w:tc>
        <w:tc>
          <w:tcPr>
            <w:tcW w:w="0" w:type="auto"/>
            <w:tcBorders>
              <w:top w:val="nil"/>
              <w:left w:val="nil"/>
              <w:bottom w:val="nil"/>
              <w:right w:val="nil"/>
            </w:tcBorders>
            <w:shd w:val="clear" w:color="auto" w:fill="auto"/>
            <w:noWrap/>
            <w:vAlign w:val="center"/>
            <w:hideMark/>
          </w:tcPr>
          <w:p w14:paraId="20BAF8A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55.01%</w:t>
            </w:r>
          </w:p>
        </w:tc>
        <w:tc>
          <w:tcPr>
            <w:tcW w:w="0" w:type="auto"/>
            <w:tcBorders>
              <w:top w:val="nil"/>
              <w:left w:val="nil"/>
              <w:bottom w:val="nil"/>
              <w:right w:val="nil"/>
            </w:tcBorders>
            <w:shd w:val="clear" w:color="auto" w:fill="auto"/>
            <w:noWrap/>
            <w:vAlign w:val="center"/>
            <w:hideMark/>
          </w:tcPr>
          <w:p w14:paraId="3FE2AF4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308E4144" w14:textId="77777777" w:rsidTr="00746005">
        <w:trPr>
          <w:trHeight w:val="320"/>
        </w:trPr>
        <w:tc>
          <w:tcPr>
            <w:tcW w:w="0" w:type="auto"/>
            <w:tcBorders>
              <w:top w:val="nil"/>
              <w:left w:val="nil"/>
              <w:bottom w:val="nil"/>
              <w:right w:val="nil"/>
            </w:tcBorders>
            <w:shd w:val="clear" w:color="auto" w:fill="auto"/>
            <w:noWrap/>
            <w:vAlign w:val="bottom"/>
            <w:hideMark/>
          </w:tcPr>
          <w:p w14:paraId="66918045"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anxiety</w:t>
            </w:r>
          </w:p>
        </w:tc>
        <w:tc>
          <w:tcPr>
            <w:tcW w:w="0" w:type="auto"/>
            <w:tcBorders>
              <w:top w:val="nil"/>
              <w:left w:val="nil"/>
              <w:bottom w:val="nil"/>
              <w:right w:val="nil"/>
            </w:tcBorders>
            <w:shd w:val="clear" w:color="auto" w:fill="auto"/>
            <w:noWrap/>
            <w:hideMark/>
          </w:tcPr>
          <w:p w14:paraId="76F2C4A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A7063CF" w14:textId="7F78D118"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24B1EE5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910656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Recreation</w:t>
            </w:r>
          </w:p>
        </w:tc>
        <w:tc>
          <w:tcPr>
            <w:tcW w:w="0" w:type="auto"/>
            <w:tcBorders>
              <w:top w:val="nil"/>
              <w:left w:val="nil"/>
              <w:bottom w:val="nil"/>
              <w:right w:val="nil"/>
            </w:tcBorders>
            <w:shd w:val="clear" w:color="auto" w:fill="auto"/>
            <w:noWrap/>
            <w:vAlign w:val="center"/>
            <w:hideMark/>
          </w:tcPr>
          <w:p w14:paraId="650F014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 (.07, .</w:t>
            </w:r>
            <w:proofErr w:type="gramStart"/>
            <w:r w:rsidRPr="003B57EA">
              <w:rPr>
                <w:rFonts w:asciiTheme="majorBidi" w:hAnsiTheme="majorBidi" w:cstheme="majorBidi"/>
                <w:sz w:val="21"/>
                <w:szCs w:val="21"/>
              </w:rPr>
              <w:t>14)*</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0BB1BB7F"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0.02 (-.07, .11)</w:t>
            </w:r>
          </w:p>
        </w:tc>
        <w:tc>
          <w:tcPr>
            <w:tcW w:w="0" w:type="auto"/>
            <w:tcBorders>
              <w:top w:val="nil"/>
              <w:left w:val="nil"/>
              <w:bottom w:val="nil"/>
              <w:right w:val="nil"/>
            </w:tcBorders>
            <w:shd w:val="clear" w:color="auto" w:fill="auto"/>
            <w:noWrap/>
            <w:vAlign w:val="center"/>
            <w:hideMark/>
          </w:tcPr>
          <w:p w14:paraId="3C72A66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84.89%</w:t>
            </w:r>
          </w:p>
        </w:tc>
        <w:tc>
          <w:tcPr>
            <w:tcW w:w="0" w:type="auto"/>
            <w:tcBorders>
              <w:top w:val="nil"/>
              <w:left w:val="nil"/>
              <w:bottom w:val="nil"/>
              <w:right w:val="nil"/>
            </w:tcBorders>
            <w:shd w:val="clear" w:color="auto" w:fill="auto"/>
            <w:noWrap/>
            <w:vAlign w:val="center"/>
            <w:hideMark/>
          </w:tcPr>
          <w:p w14:paraId="156721F4"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r w:rsidR="00FE2D9B" w:rsidRPr="003B57EA" w14:paraId="39022C27" w14:textId="77777777" w:rsidTr="00746005">
        <w:trPr>
          <w:trHeight w:val="320"/>
        </w:trPr>
        <w:tc>
          <w:tcPr>
            <w:tcW w:w="0" w:type="auto"/>
            <w:tcBorders>
              <w:top w:val="nil"/>
              <w:left w:val="nil"/>
              <w:bottom w:val="nil"/>
              <w:right w:val="nil"/>
            </w:tcBorders>
            <w:shd w:val="clear" w:color="auto" w:fill="auto"/>
            <w:noWrap/>
            <w:vAlign w:val="bottom"/>
            <w:hideMark/>
          </w:tcPr>
          <w:p w14:paraId="5C6AAD4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0387A73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0626919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10AC38EE"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A10CB9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IGD</w:t>
            </w:r>
          </w:p>
        </w:tc>
        <w:tc>
          <w:tcPr>
            <w:tcW w:w="0" w:type="auto"/>
            <w:tcBorders>
              <w:top w:val="nil"/>
              <w:left w:val="nil"/>
              <w:bottom w:val="nil"/>
              <w:right w:val="nil"/>
            </w:tcBorders>
            <w:shd w:val="clear" w:color="auto" w:fill="auto"/>
            <w:noWrap/>
            <w:vAlign w:val="center"/>
            <w:hideMark/>
          </w:tcPr>
          <w:p w14:paraId="315F447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0.08 (.05, .</w:t>
            </w:r>
            <w:proofErr w:type="gramStart"/>
            <w:r w:rsidRPr="003B57EA">
              <w:rPr>
                <w:rFonts w:asciiTheme="majorBidi" w:hAnsiTheme="majorBidi" w:cstheme="majorBidi"/>
                <w:sz w:val="21"/>
                <w:szCs w:val="21"/>
              </w:rPr>
              <w:t>12)*</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2ED320B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0.13 (.06, .</w:t>
            </w:r>
            <w:proofErr w:type="gramStart"/>
            <w:r w:rsidRPr="003B57EA">
              <w:rPr>
                <w:rFonts w:asciiTheme="majorBidi" w:hAnsiTheme="majorBidi" w:cstheme="majorBidi"/>
                <w:sz w:val="21"/>
                <w:szCs w:val="21"/>
              </w:rPr>
              <w:t>20)*</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749AD3E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38.07%</w:t>
            </w:r>
          </w:p>
        </w:tc>
        <w:tc>
          <w:tcPr>
            <w:tcW w:w="0" w:type="auto"/>
            <w:tcBorders>
              <w:top w:val="nil"/>
              <w:left w:val="nil"/>
              <w:bottom w:val="nil"/>
              <w:right w:val="nil"/>
            </w:tcBorders>
            <w:shd w:val="clear" w:color="auto" w:fill="auto"/>
            <w:noWrap/>
            <w:vAlign w:val="center"/>
            <w:hideMark/>
          </w:tcPr>
          <w:p w14:paraId="72BF894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0.40</w:t>
            </w:r>
          </w:p>
        </w:tc>
      </w:tr>
      <w:tr w:rsidR="00FE2D9B" w:rsidRPr="003B57EA" w14:paraId="75AFEF60" w14:textId="77777777" w:rsidTr="00746005">
        <w:trPr>
          <w:trHeight w:val="320"/>
        </w:trPr>
        <w:tc>
          <w:tcPr>
            <w:tcW w:w="0" w:type="auto"/>
            <w:tcBorders>
              <w:top w:val="nil"/>
              <w:left w:val="nil"/>
              <w:bottom w:val="nil"/>
              <w:right w:val="nil"/>
            </w:tcBorders>
            <w:shd w:val="clear" w:color="auto" w:fill="auto"/>
            <w:noWrap/>
            <w:vAlign w:val="bottom"/>
            <w:hideMark/>
          </w:tcPr>
          <w:p w14:paraId="2364B96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6A2940B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4BA585D3"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280BD07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68490C6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w:t>
            </w:r>
          </w:p>
        </w:tc>
        <w:tc>
          <w:tcPr>
            <w:tcW w:w="0" w:type="auto"/>
            <w:tcBorders>
              <w:top w:val="nil"/>
              <w:left w:val="nil"/>
              <w:bottom w:val="nil"/>
              <w:right w:val="nil"/>
            </w:tcBorders>
            <w:shd w:val="clear" w:color="auto" w:fill="auto"/>
            <w:noWrap/>
            <w:vAlign w:val="center"/>
            <w:hideMark/>
          </w:tcPr>
          <w:p w14:paraId="556E3EA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0.12 (.08, .</w:t>
            </w:r>
            <w:proofErr w:type="gramStart"/>
            <w:r w:rsidRPr="003B57EA">
              <w:rPr>
                <w:rFonts w:asciiTheme="majorBidi" w:hAnsiTheme="majorBidi" w:cstheme="majorBidi"/>
                <w:sz w:val="21"/>
                <w:szCs w:val="21"/>
              </w:rPr>
              <w:t>19)*</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0165BDE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 xml:space="preserve">0.41 (0.23, </w:t>
            </w:r>
            <w:proofErr w:type="gramStart"/>
            <w:r w:rsidRPr="003B57EA">
              <w:rPr>
                <w:rFonts w:asciiTheme="majorBidi" w:hAnsiTheme="majorBidi" w:cstheme="majorBidi"/>
                <w:sz w:val="21"/>
                <w:szCs w:val="21"/>
              </w:rPr>
              <w:t>0.58)*</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3733BDE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23.00%</w:t>
            </w:r>
          </w:p>
        </w:tc>
        <w:tc>
          <w:tcPr>
            <w:tcW w:w="0" w:type="auto"/>
            <w:tcBorders>
              <w:top w:val="nil"/>
              <w:left w:val="nil"/>
              <w:bottom w:val="nil"/>
              <w:right w:val="nil"/>
            </w:tcBorders>
            <w:shd w:val="clear" w:color="auto" w:fill="auto"/>
            <w:noWrap/>
            <w:vAlign w:val="center"/>
            <w:hideMark/>
          </w:tcPr>
          <w:p w14:paraId="570854F4"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r w:rsidR="00FE2D9B" w:rsidRPr="003B57EA" w14:paraId="796480E0" w14:textId="77777777" w:rsidTr="00746005">
        <w:trPr>
          <w:trHeight w:val="320"/>
        </w:trPr>
        <w:tc>
          <w:tcPr>
            <w:tcW w:w="0" w:type="auto"/>
            <w:tcBorders>
              <w:top w:val="nil"/>
              <w:left w:val="nil"/>
              <w:bottom w:val="nil"/>
              <w:right w:val="nil"/>
            </w:tcBorders>
            <w:shd w:val="clear" w:color="auto" w:fill="auto"/>
            <w:noWrap/>
            <w:vAlign w:val="bottom"/>
            <w:hideMark/>
          </w:tcPr>
          <w:p w14:paraId="797F34C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2019914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0FE77E4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3EE34A32"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0A23E0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Social</w:t>
            </w:r>
          </w:p>
        </w:tc>
        <w:tc>
          <w:tcPr>
            <w:tcW w:w="0" w:type="auto"/>
            <w:tcBorders>
              <w:top w:val="nil"/>
              <w:left w:val="nil"/>
              <w:bottom w:val="nil"/>
              <w:right w:val="nil"/>
            </w:tcBorders>
            <w:shd w:val="clear" w:color="auto" w:fill="auto"/>
            <w:noWrap/>
            <w:vAlign w:val="center"/>
            <w:hideMark/>
          </w:tcPr>
          <w:p w14:paraId="5B33430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(.02, .</w:t>
            </w:r>
            <w:proofErr w:type="gramStart"/>
            <w:r w:rsidRPr="003B57EA">
              <w:rPr>
                <w:rFonts w:asciiTheme="majorBidi" w:hAnsiTheme="majorBidi" w:cstheme="majorBidi"/>
                <w:sz w:val="21"/>
                <w:szCs w:val="21"/>
              </w:rPr>
              <w:t>07)*</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58A02AC1"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0.05 (-.05, .13)</w:t>
            </w:r>
          </w:p>
        </w:tc>
        <w:tc>
          <w:tcPr>
            <w:tcW w:w="0" w:type="auto"/>
            <w:tcBorders>
              <w:top w:val="nil"/>
              <w:left w:val="nil"/>
              <w:bottom w:val="nil"/>
              <w:right w:val="nil"/>
            </w:tcBorders>
            <w:shd w:val="clear" w:color="auto" w:fill="auto"/>
            <w:noWrap/>
            <w:vAlign w:val="center"/>
            <w:hideMark/>
          </w:tcPr>
          <w:p w14:paraId="1395109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46.12%</w:t>
            </w:r>
          </w:p>
        </w:tc>
        <w:tc>
          <w:tcPr>
            <w:tcW w:w="0" w:type="auto"/>
            <w:tcBorders>
              <w:top w:val="nil"/>
              <w:left w:val="nil"/>
              <w:bottom w:val="nil"/>
              <w:right w:val="nil"/>
            </w:tcBorders>
            <w:shd w:val="clear" w:color="auto" w:fill="auto"/>
            <w:noWrap/>
            <w:vAlign w:val="center"/>
            <w:hideMark/>
          </w:tcPr>
          <w:p w14:paraId="58A97E70"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63BF3400" w14:textId="77777777" w:rsidTr="00746005">
        <w:trPr>
          <w:trHeight w:val="320"/>
        </w:trPr>
        <w:tc>
          <w:tcPr>
            <w:tcW w:w="0" w:type="auto"/>
            <w:tcBorders>
              <w:top w:val="nil"/>
              <w:left w:val="nil"/>
              <w:bottom w:val="nil"/>
              <w:right w:val="nil"/>
            </w:tcBorders>
            <w:shd w:val="clear" w:color="auto" w:fill="auto"/>
            <w:noWrap/>
            <w:vAlign w:val="bottom"/>
            <w:hideMark/>
          </w:tcPr>
          <w:p w14:paraId="1FB10AB0"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lastRenderedPageBreak/>
              <w:t>Attachment avoidance</w:t>
            </w:r>
          </w:p>
        </w:tc>
        <w:tc>
          <w:tcPr>
            <w:tcW w:w="0" w:type="auto"/>
            <w:tcBorders>
              <w:top w:val="nil"/>
              <w:left w:val="nil"/>
              <w:bottom w:val="nil"/>
              <w:right w:val="nil"/>
            </w:tcBorders>
            <w:shd w:val="clear" w:color="auto" w:fill="auto"/>
            <w:noWrap/>
            <w:hideMark/>
          </w:tcPr>
          <w:p w14:paraId="65F3B869"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1F6700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7633CAB9"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BF51EC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Escape</w:t>
            </w:r>
          </w:p>
        </w:tc>
        <w:tc>
          <w:tcPr>
            <w:tcW w:w="0" w:type="auto"/>
            <w:tcBorders>
              <w:top w:val="nil"/>
              <w:left w:val="nil"/>
              <w:bottom w:val="nil"/>
              <w:right w:val="nil"/>
            </w:tcBorders>
            <w:shd w:val="clear" w:color="auto" w:fill="auto"/>
            <w:noWrap/>
            <w:vAlign w:val="center"/>
            <w:hideMark/>
          </w:tcPr>
          <w:p w14:paraId="45AAB6FF"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(.02, .</w:t>
            </w:r>
            <w:proofErr w:type="gramStart"/>
            <w:r w:rsidRPr="003B57EA">
              <w:rPr>
                <w:rFonts w:asciiTheme="majorBidi" w:hAnsiTheme="majorBidi" w:cstheme="majorBidi"/>
                <w:sz w:val="21"/>
                <w:szCs w:val="21"/>
              </w:rPr>
              <w:t>07)*</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413B3465"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0.15 (.06, .</w:t>
            </w:r>
            <w:proofErr w:type="gramStart"/>
            <w:r w:rsidRPr="003B57EA">
              <w:rPr>
                <w:rFonts w:asciiTheme="majorBidi" w:hAnsiTheme="majorBidi" w:cstheme="majorBidi"/>
                <w:sz w:val="21"/>
                <w:szCs w:val="21"/>
              </w:rPr>
              <w:t>24)*</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1755E5C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21.20%</w:t>
            </w:r>
          </w:p>
        </w:tc>
        <w:tc>
          <w:tcPr>
            <w:tcW w:w="0" w:type="auto"/>
            <w:tcBorders>
              <w:top w:val="nil"/>
              <w:left w:val="nil"/>
              <w:bottom w:val="nil"/>
              <w:right w:val="nil"/>
            </w:tcBorders>
            <w:shd w:val="clear" w:color="auto" w:fill="auto"/>
            <w:noWrap/>
            <w:vAlign w:val="center"/>
            <w:hideMark/>
          </w:tcPr>
          <w:p w14:paraId="555CCA0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01D4B246" w14:textId="77777777" w:rsidTr="00746005">
        <w:trPr>
          <w:trHeight w:val="320"/>
        </w:trPr>
        <w:tc>
          <w:tcPr>
            <w:tcW w:w="0" w:type="auto"/>
            <w:tcBorders>
              <w:top w:val="nil"/>
              <w:left w:val="nil"/>
              <w:bottom w:val="nil"/>
              <w:right w:val="nil"/>
            </w:tcBorders>
            <w:shd w:val="clear" w:color="auto" w:fill="auto"/>
            <w:noWrap/>
            <w:vAlign w:val="bottom"/>
            <w:hideMark/>
          </w:tcPr>
          <w:p w14:paraId="393ACC73"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1FC23990"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926FE5C"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67F9005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68ED94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Competition</w:t>
            </w:r>
          </w:p>
        </w:tc>
        <w:tc>
          <w:tcPr>
            <w:tcW w:w="0" w:type="auto"/>
            <w:tcBorders>
              <w:top w:val="nil"/>
              <w:left w:val="nil"/>
              <w:bottom w:val="nil"/>
              <w:right w:val="nil"/>
            </w:tcBorders>
            <w:shd w:val="clear" w:color="auto" w:fill="auto"/>
            <w:noWrap/>
            <w:vAlign w:val="center"/>
            <w:hideMark/>
          </w:tcPr>
          <w:p w14:paraId="41316FA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0.06 (.03, .</w:t>
            </w:r>
            <w:proofErr w:type="gramStart"/>
            <w:r w:rsidRPr="003B57EA">
              <w:rPr>
                <w:rFonts w:asciiTheme="majorBidi" w:hAnsiTheme="majorBidi" w:cstheme="majorBidi"/>
                <w:sz w:val="21"/>
                <w:szCs w:val="21"/>
              </w:rPr>
              <w:t>09)*</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20960A41"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0.08 (-.02, .17)</w:t>
            </w:r>
          </w:p>
        </w:tc>
        <w:tc>
          <w:tcPr>
            <w:tcW w:w="0" w:type="auto"/>
            <w:tcBorders>
              <w:top w:val="nil"/>
              <w:left w:val="nil"/>
              <w:bottom w:val="nil"/>
              <w:right w:val="nil"/>
            </w:tcBorders>
            <w:shd w:val="clear" w:color="auto" w:fill="auto"/>
            <w:noWrap/>
            <w:vAlign w:val="center"/>
            <w:hideMark/>
          </w:tcPr>
          <w:p w14:paraId="37142140"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42.17%</w:t>
            </w:r>
          </w:p>
        </w:tc>
        <w:tc>
          <w:tcPr>
            <w:tcW w:w="0" w:type="auto"/>
            <w:tcBorders>
              <w:top w:val="nil"/>
              <w:left w:val="nil"/>
              <w:bottom w:val="nil"/>
              <w:right w:val="nil"/>
            </w:tcBorders>
            <w:shd w:val="clear" w:color="auto" w:fill="auto"/>
            <w:noWrap/>
            <w:vAlign w:val="center"/>
            <w:hideMark/>
          </w:tcPr>
          <w:p w14:paraId="1A4C729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32D5C04F" w14:textId="77777777" w:rsidTr="00746005">
        <w:trPr>
          <w:trHeight w:val="320"/>
        </w:trPr>
        <w:tc>
          <w:tcPr>
            <w:tcW w:w="0" w:type="auto"/>
            <w:tcBorders>
              <w:top w:val="nil"/>
              <w:left w:val="nil"/>
              <w:bottom w:val="nil"/>
              <w:right w:val="nil"/>
            </w:tcBorders>
            <w:shd w:val="clear" w:color="auto" w:fill="auto"/>
            <w:noWrap/>
            <w:vAlign w:val="bottom"/>
            <w:hideMark/>
          </w:tcPr>
          <w:p w14:paraId="57C7C95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2685263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D18019E"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7D02EAF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3FD7E3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Coping</w:t>
            </w:r>
          </w:p>
        </w:tc>
        <w:tc>
          <w:tcPr>
            <w:tcW w:w="0" w:type="auto"/>
            <w:tcBorders>
              <w:top w:val="nil"/>
              <w:left w:val="nil"/>
              <w:bottom w:val="nil"/>
              <w:right w:val="nil"/>
            </w:tcBorders>
            <w:shd w:val="clear" w:color="auto" w:fill="auto"/>
            <w:noWrap/>
            <w:vAlign w:val="center"/>
            <w:hideMark/>
          </w:tcPr>
          <w:p w14:paraId="5EDF03E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(.02, .</w:t>
            </w:r>
            <w:proofErr w:type="gramStart"/>
            <w:r w:rsidRPr="003B57EA">
              <w:rPr>
                <w:rFonts w:asciiTheme="majorBidi" w:hAnsiTheme="majorBidi" w:cstheme="majorBidi"/>
                <w:sz w:val="21"/>
                <w:szCs w:val="21"/>
              </w:rPr>
              <w:t>06)*</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2CA68B1E"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0.11 (.02, .</w:t>
            </w:r>
            <w:proofErr w:type="gramStart"/>
            <w:r w:rsidRPr="003B57EA">
              <w:rPr>
                <w:rFonts w:asciiTheme="majorBidi" w:hAnsiTheme="majorBidi" w:cstheme="majorBidi"/>
                <w:sz w:val="21"/>
                <w:szCs w:val="21"/>
              </w:rPr>
              <w:t>20)*</w:t>
            </w:r>
            <w:proofErr w:type="gramEnd"/>
          </w:p>
        </w:tc>
        <w:tc>
          <w:tcPr>
            <w:tcW w:w="0" w:type="auto"/>
            <w:tcBorders>
              <w:top w:val="nil"/>
              <w:left w:val="nil"/>
              <w:bottom w:val="nil"/>
              <w:right w:val="nil"/>
            </w:tcBorders>
            <w:shd w:val="clear" w:color="auto" w:fill="auto"/>
            <w:noWrap/>
            <w:vAlign w:val="center"/>
            <w:hideMark/>
          </w:tcPr>
          <w:p w14:paraId="0C33C695"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25.65%</w:t>
            </w:r>
          </w:p>
        </w:tc>
        <w:tc>
          <w:tcPr>
            <w:tcW w:w="0" w:type="auto"/>
            <w:tcBorders>
              <w:top w:val="nil"/>
              <w:left w:val="nil"/>
              <w:bottom w:val="nil"/>
              <w:right w:val="nil"/>
            </w:tcBorders>
            <w:shd w:val="clear" w:color="auto" w:fill="auto"/>
            <w:noWrap/>
            <w:vAlign w:val="center"/>
            <w:hideMark/>
          </w:tcPr>
          <w:p w14:paraId="3955FCF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4DA90E9B" w14:textId="77777777" w:rsidTr="00746005">
        <w:trPr>
          <w:trHeight w:val="320"/>
        </w:trPr>
        <w:tc>
          <w:tcPr>
            <w:tcW w:w="0" w:type="auto"/>
            <w:tcBorders>
              <w:top w:val="nil"/>
              <w:left w:val="nil"/>
              <w:bottom w:val="nil"/>
              <w:right w:val="nil"/>
            </w:tcBorders>
            <w:shd w:val="clear" w:color="auto" w:fill="auto"/>
            <w:noWrap/>
            <w:vAlign w:val="bottom"/>
            <w:hideMark/>
          </w:tcPr>
          <w:p w14:paraId="4D3F5BDC"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12B3D380"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17C5A16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13CDC65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83E8385"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 xml:space="preserve">Skill development </w:t>
            </w:r>
          </w:p>
        </w:tc>
        <w:tc>
          <w:tcPr>
            <w:tcW w:w="0" w:type="auto"/>
            <w:tcBorders>
              <w:top w:val="nil"/>
              <w:left w:val="nil"/>
              <w:bottom w:val="nil"/>
              <w:right w:val="nil"/>
            </w:tcBorders>
            <w:shd w:val="clear" w:color="auto" w:fill="auto"/>
            <w:noWrap/>
            <w:vAlign w:val="center"/>
            <w:hideMark/>
          </w:tcPr>
          <w:p w14:paraId="71485A95"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0.02 (.00, .</w:t>
            </w:r>
            <w:proofErr w:type="gramStart"/>
            <w:r w:rsidRPr="003B57EA">
              <w:rPr>
                <w:rFonts w:asciiTheme="majorBidi" w:hAnsiTheme="majorBidi" w:cstheme="majorBidi"/>
                <w:sz w:val="21"/>
                <w:szCs w:val="21"/>
              </w:rPr>
              <w:t>04)*</w:t>
            </w:r>
            <w:proofErr w:type="gramEnd"/>
          </w:p>
        </w:tc>
        <w:tc>
          <w:tcPr>
            <w:tcW w:w="0" w:type="auto"/>
            <w:tcBorders>
              <w:top w:val="nil"/>
              <w:left w:val="nil"/>
              <w:bottom w:val="nil"/>
              <w:right w:val="nil"/>
            </w:tcBorders>
            <w:shd w:val="clear" w:color="auto" w:fill="auto"/>
            <w:noWrap/>
            <w:vAlign w:val="center"/>
            <w:hideMark/>
          </w:tcPr>
          <w:p w14:paraId="7FC7FB1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0.13 (.03, .</w:t>
            </w:r>
            <w:proofErr w:type="gramStart"/>
            <w:r w:rsidRPr="003B57EA">
              <w:rPr>
                <w:rFonts w:asciiTheme="majorBidi" w:hAnsiTheme="majorBidi" w:cstheme="majorBidi"/>
                <w:sz w:val="21"/>
                <w:szCs w:val="21"/>
              </w:rPr>
              <w:t>23)*</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35F8900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13.01%</w:t>
            </w:r>
          </w:p>
        </w:tc>
        <w:tc>
          <w:tcPr>
            <w:tcW w:w="0" w:type="auto"/>
            <w:tcBorders>
              <w:top w:val="nil"/>
              <w:left w:val="nil"/>
              <w:bottom w:val="nil"/>
              <w:right w:val="nil"/>
            </w:tcBorders>
            <w:shd w:val="clear" w:color="auto" w:fill="auto"/>
            <w:noWrap/>
            <w:vAlign w:val="center"/>
            <w:hideMark/>
          </w:tcPr>
          <w:p w14:paraId="1BBA1AF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w:t>
            </w:r>
          </w:p>
        </w:tc>
      </w:tr>
      <w:tr w:rsidR="00FE2D9B" w:rsidRPr="003B57EA" w14:paraId="47661378" w14:textId="77777777" w:rsidTr="00746005">
        <w:trPr>
          <w:trHeight w:val="320"/>
        </w:trPr>
        <w:tc>
          <w:tcPr>
            <w:tcW w:w="0" w:type="auto"/>
            <w:tcBorders>
              <w:top w:val="nil"/>
              <w:left w:val="nil"/>
              <w:bottom w:val="nil"/>
              <w:right w:val="nil"/>
            </w:tcBorders>
            <w:shd w:val="clear" w:color="auto" w:fill="auto"/>
            <w:noWrap/>
            <w:vAlign w:val="bottom"/>
            <w:hideMark/>
          </w:tcPr>
          <w:p w14:paraId="69A235D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0EF8314E"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628839A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1F189DF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0E713F4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Fantasy</w:t>
            </w:r>
          </w:p>
        </w:tc>
        <w:tc>
          <w:tcPr>
            <w:tcW w:w="0" w:type="auto"/>
            <w:tcBorders>
              <w:top w:val="nil"/>
              <w:left w:val="nil"/>
              <w:bottom w:val="nil"/>
              <w:right w:val="nil"/>
            </w:tcBorders>
            <w:shd w:val="clear" w:color="auto" w:fill="auto"/>
            <w:noWrap/>
            <w:vAlign w:val="center"/>
            <w:hideMark/>
          </w:tcPr>
          <w:p w14:paraId="2995A79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0.05 (.02, .</w:t>
            </w:r>
            <w:proofErr w:type="gramStart"/>
            <w:r w:rsidRPr="003B57EA">
              <w:rPr>
                <w:rFonts w:asciiTheme="majorBidi" w:hAnsiTheme="majorBidi" w:cstheme="majorBidi"/>
                <w:sz w:val="21"/>
                <w:szCs w:val="21"/>
              </w:rPr>
              <w:t>08)*</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6D4B1E0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 (.02, .</w:t>
            </w:r>
            <w:proofErr w:type="gramStart"/>
            <w:r w:rsidRPr="003B57EA">
              <w:rPr>
                <w:rFonts w:asciiTheme="majorBidi" w:hAnsiTheme="majorBidi" w:cstheme="majorBidi"/>
                <w:sz w:val="21"/>
                <w:szCs w:val="21"/>
              </w:rPr>
              <w:t>19)*</w:t>
            </w:r>
            <w:proofErr w:type="gramEnd"/>
          </w:p>
        </w:tc>
        <w:tc>
          <w:tcPr>
            <w:tcW w:w="0" w:type="auto"/>
            <w:tcBorders>
              <w:top w:val="nil"/>
              <w:left w:val="nil"/>
              <w:bottom w:val="nil"/>
              <w:right w:val="nil"/>
            </w:tcBorders>
            <w:shd w:val="clear" w:color="auto" w:fill="auto"/>
            <w:noWrap/>
            <w:vAlign w:val="center"/>
            <w:hideMark/>
          </w:tcPr>
          <w:p w14:paraId="75CCBC8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31.76%</w:t>
            </w:r>
          </w:p>
        </w:tc>
        <w:tc>
          <w:tcPr>
            <w:tcW w:w="0" w:type="auto"/>
            <w:tcBorders>
              <w:top w:val="nil"/>
              <w:left w:val="nil"/>
              <w:bottom w:val="nil"/>
              <w:right w:val="nil"/>
            </w:tcBorders>
            <w:shd w:val="clear" w:color="auto" w:fill="auto"/>
            <w:noWrap/>
            <w:vAlign w:val="center"/>
            <w:hideMark/>
          </w:tcPr>
          <w:p w14:paraId="4A695EC9"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72359CDF" w14:textId="77777777" w:rsidTr="00746005">
        <w:trPr>
          <w:trHeight w:val="320"/>
        </w:trPr>
        <w:tc>
          <w:tcPr>
            <w:tcW w:w="0" w:type="auto"/>
            <w:tcBorders>
              <w:top w:val="nil"/>
              <w:left w:val="nil"/>
              <w:bottom w:val="nil"/>
              <w:right w:val="nil"/>
            </w:tcBorders>
            <w:shd w:val="clear" w:color="auto" w:fill="auto"/>
            <w:noWrap/>
            <w:vAlign w:val="bottom"/>
            <w:hideMark/>
          </w:tcPr>
          <w:p w14:paraId="3205C34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2220543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4D4C1713"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Negative metacognitions</w:t>
            </w:r>
          </w:p>
        </w:tc>
        <w:tc>
          <w:tcPr>
            <w:tcW w:w="0" w:type="auto"/>
            <w:tcBorders>
              <w:top w:val="nil"/>
              <w:left w:val="nil"/>
              <w:bottom w:val="nil"/>
              <w:right w:val="nil"/>
            </w:tcBorders>
            <w:shd w:val="clear" w:color="auto" w:fill="auto"/>
            <w:noWrap/>
            <w:hideMark/>
          </w:tcPr>
          <w:p w14:paraId="7B1E243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4E605CE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Recreation</w:t>
            </w:r>
          </w:p>
        </w:tc>
        <w:tc>
          <w:tcPr>
            <w:tcW w:w="0" w:type="auto"/>
            <w:tcBorders>
              <w:top w:val="nil"/>
              <w:left w:val="nil"/>
              <w:bottom w:val="nil"/>
              <w:right w:val="nil"/>
            </w:tcBorders>
            <w:shd w:val="clear" w:color="auto" w:fill="auto"/>
            <w:noWrap/>
            <w:vAlign w:val="center"/>
            <w:hideMark/>
          </w:tcPr>
          <w:p w14:paraId="61D8B46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-0.01(-.03, .01)</w:t>
            </w:r>
          </w:p>
        </w:tc>
        <w:tc>
          <w:tcPr>
            <w:tcW w:w="0" w:type="auto"/>
            <w:tcBorders>
              <w:top w:val="nil"/>
              <w:left w:val="nil"/>
              <w:bottom w:val="nil"/>
              <w:right w:val="nil"/>
            </w:tcBorders>
            <w:shd w:val="clear" w:color="auto" w:fill="auto"/>
            <w:noWrap/>
            <w:vAlign w:val="center"/>
            <w:hideMark/>
          </w:tcPr>
          <w:p w14:paraId="518DACE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-0.03 (-.14, .08)</w:t>
            </w:r>
          </w:p>
        </w:tc>
        <w:tc>
          <w:tcPr>
            <w:tcW w:w="0" w:type="auto"/>
            <w:tcBorders>
              <w:top w:val="nil"/>
              <w:left w:val="nil"/>
              <w:bottom w:val="nil"/>
              <w:right w:val="nil"/>
            </w:tcBorders>
            <w:shd w:val="clear" w:color="auto" w:fill="auto"/>
            <w:noWrap/>
            <w:vAlign w:val="center"/>
            <w:hideMark/>
          </w:tcPr>
          <w:p w14:paraId="432E2F4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11.90%</w:t>
            </w:r>
          </w:p>
        </w:tc>
        <w:tc>
          <w:tcPr>
            <w:tcW w:w="0" w:type="auto"/>
            <w:tcBorders>
              <w:top w:val="nil"/>
              <w:left w:val="nil"/>
              <w:bottom w:val="nil"/>
              <w:right w:val="nil"/>
            </w:tcBorders>
            <w:shd w:val="clear" w:color="auto" w:fill="auto"/>
            <w:noWrap/>
            <w:vAlign w:val="center"/>
            <w:hideMark/>
          </w:tcPr>
          <w:p w14:paraId="5DD93E3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0.00</w:t>
            </w:r>
          </w:p>
        </w:tc>
      </w:tr>
      <w:tr w:rsidR="00FE2D9B" w:rsidRPr="003B57EA" w14:paraId="3099EB61" w14:textId="77777777" w:rsidTr="00746005">
        <w:trPr>
          <w:trHeight w:val="320"/>
        </w:trPr>
        <w:tc>
          <w:tcPr>
            <w:tcW w:w="0" w:type="auto"/>
            <w:tcBorders>
              <w:top w:val="nil"/>
              <w:left w:val="nil"/>
              <w:bottom w:val="nil"/>
              <w:right w:val="nil"/>
            </w:tcBorders>
            <w:shd w:val="clear" w:color="auto" w:fill="auto"/>
            <w:noWrap/>
            <w:vAlign w:val="bottom"/>
            <w:hideMark/>
          </w:tcPr>
          <w:p w14:paraId="0DD01AB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039E84B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735692A8" w14:textId="6D67049D"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5B4534FC"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090E8E6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IGD</w:t>
            </w:r>
          </w:p>
        </w:tc>
        <w:tc>
          <w:tcPr>
            <w:tcW w:w="0" w:type="auto"/>
            <w:tcBorders>
              <w:top w:val="nil"/>
              <w:left w:val="nil"/>
              <w:bottom w:val="nil"/>
              <w:right w:val="nil"/>
            </w:tcBorders>
            <w:shd w:val="clear" w:color="auto" w:fill="auto"/>
            <w:noWrap/>
            <w:vAlign w:val="center"/>
            <w:hideMark/>
          </w:tcPr>
          <w:p w14:paraId="0E7AAE2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0.02 (.01, .</w:t>
            </w:r>
            <w:proofErr w:type="gramStart"/>
            <w:r w:rsidRPr="003B57EA">
              <w:rPr>
                <w:rFonts w:asciiTheme="majorBidi" w:hAnsiTheme="majorBidi" w:cstheme="majorBidi"/>
                <w:sz w:val="21"/>
                <w:szCs w:val="21"/>
              </w:rPr>
              <w:t>03)*</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13773395"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0.13 (.06, .</w:t>
            </w:r>
            <w:proofErr w:type="gramStart"/>
            <w:r w:rsidRPr="003B57EA">
              <w:rPr>
                <w:rFonts w:asciiTheme="majorBidi" w:hAnsiTheme="majorBidi" w:cstheme="majorBidi"/>
                <w:sz w:val="21"/>
                <w:szCs w:val="21"/>
              </w:rPr>
              <w:t>20)*</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5F029DD0"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10.04%</w:t>
            </w:r>
          </w:p>
        </w:tc>
        <w:tc>
          <w:tcPr>
            <w:tcW w:w="0" w:type="auto"/>
            <w:tcBorders>
              <w:top w:val="nil"/>
              <w:left w:val="nil"/>
              <w:bottom w:val="nil"/>
              <w:right w:val="nil"/>
            </w:tcBorders>
            <w:shd w:val="clear" w:color="auto" w:fill="auto"/>
            <w:noWrap/>
            <w:vAlign w:val="center"/>
            <w:hideMark/>
          </w:tcPr>
          <w:p w14:paraId="026D27B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w:t>
            </w:r>
          </w:p>
        </w:tc>
      </w:tr>
      <w:tr w:rsidR="00FE2D9B" w:rsidRPr="003B57EA" w14:paraId="6BC9F0CC" w14:textId="77777777" w:rsidTr="00746005">
        <w:trPr>
          <w:trHeight w:val="320"/>
        </w:trPr>
        <w:tc>
          <w:tcPr>
            <w:tcW w:w="0" w:type="auto"/>
            <w:tcBorders>
              <w:top w:val="nil"/>
              <w:left w:val="nil"/>
              <w:bottom w:val="nil"/>
              <w:right w:val="nil"/>
            </w:tcBorders>
            <w:shd w:val="clear" w:color="auto" w:fill="auto"/>
            <w:noWrap/>
            <w:vAlign w:val="bottom"/>
            <w:hideMark/>
          </w:tcPr>
          <w:p w14:paraId="1BE7B5C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2335F72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685754CE" w14:textId="159D7E41"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795D412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099A02C3"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w:t>
            </w:r>
          </w:p>
        </w:tc>
        <w:tc>
          <w:tcPr>
            <w:tcW w:w="0" w:type="auto"/>
            <w:tcBorders>
              <w:top w:val="nil"/>
              <w:left w:val="nil"/>
              <w:bottom w:val="nil"/>
              <w:right w:val="nil"/>
            </w:tcBorders>
            <w:shd w:val="clear" w:color="auto" w:fill="auto"/>
            <w:noWrap/>
            <w:vAlign w:val="center"/>
            <w:hideMark/>
          </w:tcPr>
          <w:p w14:paraId="7468BB4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0.02 (.00, .</w:t>
            </w:r>
            <w:proofErr w:type="gramStart"/>
            <w:r w:rsidRPr="003B57EA">
              <w:rPr>
                <w:rFonts w:asciiTheme="majorBidi" w:hAnsiTheme="majorBidi" w:cstheme="majorBidi"/>
                <w:sz w:val="21"/>
                <w:szCs w:val="21"/>
              </w:rPr>
              <w:t>05)*</w:t>
            </w:r>
            <w:proofErr w:type="gramEnd"/>
          </w:p>
        </w:tc>
        <w:tc>
          <w:tcPr>
            <w:tcW w:w="0" w:type="auto"/>
            <w:tcBorders>
              <w:top w:val="nil"/>
              <w:left w:val="nil"/>
              <w:bottom w:val="nil"/>
              <w:right w:val="nil"/>
            </w:tcBorders>
            <w:shd w:val="clear" w:color="auto" w:fill="auto"/>
            <w:noWrap/>
            <w:vAlign w:val="center"/>
            <w:hideMark/>
          </w:tcPr>
          <w:p w14:paraId="70E61EE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0.41 (.22, .</w:t>
            </w:r>
            <w:proofErr w:type="gramStart"/>
            <w:r w:rsidRPr="003B57EA">
              <w:rPr>
                <w:rFonts w:asciiTheme="majorBidi" w:hAnsiTheme="majorBidi" w:cstheme="majorBidi"/>
                <w:sz w:val="21"/>
                <w:szCs w:val="21"/>
              </w:rPr>
              <w:t>59)*</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473BC102"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4.55%</w:t>
            </w:r>
          </w:p>
        </w:tc>
        <w:tc>
          <w:tcPr>
            <w:tcW w:w="0" w:type="auto"/>
            <w:tcBorders>
              <w:top w:val="nil"/>
              <w:left w:val="nil"/>
              <w:bottom w:val="nil"/>
              <w:right w:val="nil"/>
            </w:tcBorders>
            <w:shd w:val="clear" w:color="auto" w:fill="auto"/>
            <w:noWrap/>
            <w:vAlign w:val="center"/>
            <w:hideMark/>
          </w:tcPr>
          <w:p w14:paraId="5A683BC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w:t>
            </w:r>
          </w:p>
        </w:tc>
      </w:tr>
      <w:tr w:rsidR="00FE2D9B" w:rsidRPr="003B57EA" w14:paraId="6883271C" w14:textId="77777777" w:rsidTr="00746005">
        <w:trPr>
          <w:trHeight w:val="320"/>
        </w:trPr>
        <w:tc>
          <w:tcPr>
            <w:tcW w:w="0" w:type="auto"/>
            <w:tcBorders>
              <w:top w:val="nil"/>
              <w:left w:val="nil"/>
              <w:bottom w:val="nil"/>
              <w:right w:val="nil"/>
            </w:tcBorders>
            <w:shd w:val="clear" w:color="auto" w:fill="auto"/>
            <w:noWrap/>
            <w:vAlign w:val="bottom"/>
            <w:hideMark/>
          </w:tcPr>
          <w:p w14:paraId="3D27A218"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3482406C"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03EE3093" w14:textId="0ABE0A1A"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63CA39D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601AB18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Social</w:t>
            </w:r>
          </w:p>
        </w:tc>
        <w:tc>
          <w:tcPr>
            <w:tcW w:w="0" w:type="auto"/>
            <w:tcBorders>
              <w:top w:val="nil"/>
              <w:left w:val="nil"/>
              <w:bottom w:val="nil"/>
              <w:right w:val="nil"/>
            </w:tcBorders>
            <w:shd w:val="clear" w:color="auto" w:fill="auto"/>
            <w:noWrap/>
            <w:vAlign w:val="center"/>
            <w:hideMark/>
          </w:tcPr>
          <w:p w14:paraId="7B1A0EAA"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(.02, .</w:t>
            </w:r>
            <w:proofErr w:type="gramStart"/>
            <w:r w:rsidRPr="003B57EA">
              <w:rPr>
                <w:rFonts w:asciiTheme="majorBidi" w:hAnsiTheme="majorBidi" w:cstheme="majorBidi"/>
                <w:sz w:val="21"/>
                <w:szCs w:val="21"/>
              </w:rPr>
              <w:t>06)*</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31B1828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(-.04, .12)</w:t>
            </w:r>
          </w:p>
        </w:tc>
        <w:tc>
          <w:tcPr>
            <w:tcW w:w="0" w:type="auto"/>
            <w:tcBorders>
              <w:top w:val="nil"/>
              <w:left w:val="nil"/>
              <w:bottom w:val="nil"/>
              <w:right w:val="nil"/>
            </w:tcBorders>
            <w:shd w:val="clear" w:color="auto" w:fill="auto"/>
            <w:noWrap/>
            <w:vAlign w:val="center"/>
            <w:hideMark/>
          </w:tcPr>
          <w:p w14:paraId="01EA1931"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48.84%</w:t>
            </w:r>
          </w:p>
        </w:tc>
        <w:tc>
          <w:tcPr>
            <w:tcW w:w="0" w:type="auto"/>
            <w:tcBorders>
              <w:top w:val="nil"/>
              <w:left w:val="nil"/>
              <w:bottom w:val="nil"/>
              <w:right w:val="nil"/>
            </w:tcBorders>
            <w:shd w:val="clear" w:color="auto" w:fill="auto"/>
            <w:noWrap/>
            <w:vAlign w:val="center"/>
            <w:hideMark/>
          </w:tcPr>
          <w:p w14:paraId="0CD52899"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r w:rsidR="00FE2D9B" w:rsidRPr="003B57EA" w14:paraId="7A724B67" w14:textId="77777777" w:rsidTr="00746005">
        <w:trPr>
          <w:trHeight w:val="320"/>
        </w:trPr>
        <w:tc>
          <w:tcPr>
            <w:tcW w:w="0" w:type="auto"/>
            <w:tcBorders>
              <w:top w:val="nil"/>
              <w:left w:val="nil"/>
              <w:bottom w:val="nil"/>
              <w:right w:val="nil"/>
            </w:tcBorders>
            <w:shd w:val="clear" w:color="auto" w:fill="auto"/>
            <w:noWrap/>
            <w:vAlign w:val="bottom"/>
            <w:hideMark/>
          </w:tcPr>
          <w:p w14:paraId="0A80507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779C37C7"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F14B6DE" w14:textId="39C48966"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18B839F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6E939D7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Escape</w:t>
            </w:r>
          </w:p>
        </w:tc>
        <w:tc>
          <w:tcPr>
            <w:tcW w:w="0" w:type="auto"/>
            <w:tcBorders>
              <w:top w:val="nil"/>
              <w:left w:val="nil"/>
              <w:bottom w:val="nil"/>
              <w:right w:val="nil"/>
            </w:tcBorders>
            <w:shd w:val="clear" w:color="auto" w:fill="auto"/>
            <w:noWrap/>
            <w:vAlign w:val="center"/>
            <w:hideMark/>
          </w:tcPr>
          <w:p w14:paraId="300D43B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0.04 (0.02, .</w:t>
            </w:r>
            <w:proofErr w:type="gramStart"/>
            <w:r w:rsidRPr="003B57EA">
              <w:rPr>
                <w:rFonts w:asciiTheme="majorBidi" w:hAnsiTheme="majorBidi" w:cstheme="majorBidi"/>
                <w:sz w:val="21"/>
                <w:szCs w:val="21"/>
              </w:rPr>
              <w:t>07)*</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07EC6B3A"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0.15 (.07, .</w:t>
            </w:r>
            <w:proofErr w:type="gramStart"/>
            <w:r w:rsidRPr="003B57EA">
              <w:rPr>
                <w:rFonts w:asciiTheme="majorBidi" w:hAnsiTheme="majorBidi" w:cstheme="majorBidi"/>
                <w:sz w:val="21"/>
                <w:szCs w:val="21"/>
              </w:rPr>
              <w:t>25)*</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13DA4114"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21.55%</w:t>
            </w:r>
          </w:p>
        </w:tc>
        <w:tc>
          <w:tcPr>
            <w:tcW w:w="0" w:type="auto"/>
            <w:tcBorders>
              <w:top w:val="nil"/>
              <w:left w:val="nil"/>
              <w:bottom w:val="nil"/>
              <w:right w:val="nil"/>
            </w:tcBorders>
            <w:shd w:val="clear" w:color="auto" w:fill="auto"/>
            <w:noWrap/>
            <w:vAlign w:val="center"/>
            <w:hideMark/>
          </w:tcPr>
          <w:p w14:paraId="36FF47CD"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r w:rsidR="00FE2D9B" w:rsidRPr="003B57EA" w14:paraId="3B0B4DFB" w14:textId="77777777" w:rsidTr="00746005">
        <w:trPr>
          <w:trHeight w:val="320"/>
        </w:trPr>
        <w:tc>
          <w:tcPr>
            <w:tcW w:w="0" w:type="auto"/>
            <w:tcBorders>
              <w:top w:val="nil"/>
              <w:left w:val="nil"/>
              <w:bottom w:val="nil"/>
              <w:right w:val="nil"/>
            </w:tcBorders>
            <w:shd w:val="clear" w:color="auto" w:fill="auto"/>
            <w:noWrap/>
            <w:vAlign w:val="bottom"/>
            <w:hideMark/>
          </w:tcPr>
          <w:p w14:paraId="0DC396A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237704E5"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28038D93" w14:textId="451FBE75"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2B5B05B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DF6F1A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Competition</w:t>
            </w:r>
          </w:p>
        </w:tc>
        <w:tc>
          <w:tcPr>
            <w:tcW w:w="0" w:type="auto"/>
            <w:tcBorders>
              <w:top w:val="nil"/>
              <w:left w:val="nil"/>
              <w:bottom w:val="nil"/>
              <w:right w:val="nil"/>
            </w:tcBorders>
            <w:shd w:val="clear" w:color="auto" w:fill="auto"/>
            <w:noWrap/>
            <w:vAlign w:val="center"/>
            <w:hideMark/>
          </w:tcPr>
          <w:p w14:paraId="65A09783"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0.03 (.01, .</w:t>
            </w:r>
            <w:proofErr w:type="gramStart"/>
            <w:r w:rsidRPr="003B57EA">
              <w:rPr>
                <w:rFonts w:asciiTheme="majorBidi" w:hAnsiTheme="majorBidi" w:cstheme="majorBidi"/>
                <w:sz w:val="21"/>
                <w:szCs w:val="21"/>
              </w:rPr>
              <w:t>05)*</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5CE15740"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0.08 (-.02, .17)</w:t>
            </w:r>
          </w:p>
        </w:tc>
        <w:tc>
          <w:tcPr>
            <w:tcW w:w="0" w:type="auto"/>
            <w:tcBorders>
              <w:top w:val="nil"/>
              <w:left w:val="nil"/>
              <w:bottom w:val="nil"/>
              <w:right w:val="nil"/>
            </w:tcBorders>
            <w:shd w:val="clear" w:color="auto" w:fill="auto"/>
            <w:noWrap/>
            <w:vAlign w:val="center"/>
            <w:hideMark/>
          </w:tcPr>
          <w:p w14:paraId="4BDD2A3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24.98%</w:t>
            </w:r>
          </w:p>
        </w:tc>
        <w:tc>
          <w:tcPr>
            <w:tcW w:w="0" w:type="auto"/>
            <w:tcBorders>
              <w:top w:val="nil"/>
              <w:left w:val="nil"/>
              <w:bottom w:val="nil"/>
              <w:right w:val="nil"/>
            </w:tcBorders>
            <w:shd w:val="clear" w:color="auto" w:fill="auto"/>
            <w:noWrap/>
            <w:vAlign w:val="center"/>
            <w:hideMark/>
          </w:tcPr>
          <w:p w14:paraId="7EA92C09"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69103C53" w14:textId="77777777" w:rsidTr="00746005">
        <w:trPr>
          <w:trHeight w:val="320"/>
        </w:trPr>
        <w:tc>
          <w:tcPr>
            <w:tcW w:w="0" w:type="auto"/>
            <w:tcBorders>
              <w:top w:val="nil"/>
              <w:left w:val="nil"/>
              <w:bottom w:val="nil"/>
              <w:right w:val="nil"/>
            </w:tcBorders>
            <w:shd w:val="clear" w:color="auto" w:fill="auto"/>
            <w:noWrap/>
            <w:vAlign w:val="bottom"/>
            <w:hideMark/>
          </w:tcPr>
          <w:p w14:paraId="3BBB61A3"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1E9D80A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1B5E8494" w14:textId="3F46768C"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1410F4CA"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698BA6B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Coping</w:t>
            </w:r>
          </w:p>
        </w:tc>
        <w:tc>
          <w:tcPr>
            <w:tcW w:w="0" w:type="auto"/>
            <w:tcBorders>
              <w:top w:val="nil"/>
              <w:left w:val="nil"/>
              <w:bottom w:val="nil"/>
              <w:right w:val="nil"/>
            </w:tcBorders>
            <w:shd w:val="clear" w:color="auto" w:fill="auto"/>
            <w:noWrap/>
            <w:vAlign w:val="center"/>
            <w:hideMark/>
          </w:tcPr>
          <w:p w14:paraId="2D88E48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0.05 (.02, .</w:t>
            </w:r>
            <w:proofErr w:type="gramStart"/>
            <w:r w:rsidRPr="003B57EA">
              <w:rPr>
                <w:rFonts w:asciiTheme="majorBidi" w:hAnsiTheme="majorBidi" w:cstheme="majorBidi"/>
                <w:sz w:val="21"/>
                <w:szCs w:val="21"/>
              </w:rPr>
              <w:t>08)*</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77B3BB2C"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0.11 (.02, .</w:t>
            </w:r>
            <w:proofErr w:type="gramStart"/>
            <w:r w:rsidRPr="003B57EA">
              <w:rPr>
                <w:rFonts w:asciiTheme="majorBidi" w:hAnsiTheme="majorBidi" w:cstheme="majorBidi"/>
                <w:sz w:val="21"/>
                <w:szCs w:val="21"/>
              </w:rPr>
              <w:t>20)*</w:t>
            </w:r>
            <w:proofErr w:type="gramEnd"/>
          </w:p>
        </w:tc>
        <w:tc>
          <w:tcPr>
            <w:tcW w:w="0" w:type="auto"/>
            <w:tcBorders>
              <w:top w:val="nil"/>
              <w:left w:val="nil"/>
              <w:bottom w:val="nil"/>
              <w:right w:val="nil"/>
            </w:tcBorders>
            <w:shd w:val="clear" w:color="auto" w:fill="auto"/>
            <w:noWrap/>
            <w:vAlign w:val="center"/>
            <w:hideMark/>
          </w:tcPr>
          <w:p w14:paraId="452086AA"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32.83%</w:t>
            </w:r>
          </w:p>
        </w:tc>
        <w:tc>
          <w:tcPr>
            <w:tcW w:w="0" w:type="auto"/>
            <w:tcBorders>
              <w:top w:val="nil"/>
              <w:left w:val="nil"/>
              <w:bottom w:val="nil"/>
              <w:right w:val="nil"/>
            </w:tcBorders>
            <w:shd w:val="clear" w:color="auto" w:fill="auto"/>
            <w:noWrap/>
            <w:vAlign w:val="center"/>
            <w:hideMark/>
          </w:tcPr>
          <w:p w14:paraId="0BDAEF05"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0.40</w:t>
            </w:r>
          </w:p>
        </w:tc>
      </w:tr>
      <w:tr w:rsidR="00FE2D9B" w:rsidRPr="003B57EA" w14:paraId="47C7559B" w14:textId="77777777" w:rsidTr="00746005">
        <w:trPr>
          <w:trHeight w:val="320"/>
        </w:trPr>
        <w:tc>
          <w:tcPr>
            <w:tcW w:w="0" w:type="auto"/>
            <w:tcBorders>
              <w:top w:val="nil"/>
              <w:left w:val="nil"/>
              <w:bottom w:val="nil"/>
              <w:right w:val="nil"/>
            </w:tcBorders>
            <w:shd w:val="clear" w:color="auto" w:fill="auto"/>
            <w:noWrap/>
            <w:vAlign w:val="bottom"/>
            <w:hideMark/>
          </w:tcPr>
          <w:p w14:paraId="2EE72E1F"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75E1194D"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57948819" w14:textId="08CC10CB"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7835FAEC"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49E839C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 xml:space="preserve">Skill development </w:t>
            </w:r>
          </w:p>
        </w:tc>
        <w:tc>
          <w:tcPr>
            <w:tcW w:w="0" w:type="auto"/>
            <w:tcBorders>
              <w:top w:val="nil"/>
              <w:left w:val="nil"/>
              <w:bottom w:val="nil"/>
              <w:right w:val="nil"/>
            </w:tcBorders>
            <w:shd w:val="clear" w:color="auto" w:fill="auto"/>
            <w:noWrap/>
            <w:vAlign w:val="center"/>
            <w:hideMark/>
          </w:tcPr>
          <w:p w14:paraId="6CFC6B11"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0.05 (.02, .</w:t>
            </w:r>
            <w:proofErr w:type="gramStart"/>
            <w:r w:rsidRPr="003B57EA">
              <w:rPr>
                <w:rFonts w:asciiTheme="majorBidi" w:hAnsiTheme="majorBidi" w:cstheme="majorBidi"/>
                <w:sz w:val="21"/>
                <w:szCs w:val="21"/>
              </w:rPr>
              <w:t>08)*</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2AA44FB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0.13 (.04, .</w:t>
            </w:r>
            <w:proofErr w:type="gramStart"/>
            <w:r w:rsidRPr="003B57EA">
              <w:rPr>
                <w:rFonts w:asciiTheme="majorBidi" w:hAnsiTheme="majorBidi" w:cstheme="majorBidi"/>
                <w:sz w:val="21"/>
                <w:szCs w:val="21"/>
              </w:rPr>
              <w:t>23)*</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7C9389C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26.15%</w:t>
            </w:r>
          </w:p>
        </w:tc>
        <w:tc>
          <w:tcPr>
            <w:tcW w:w="0" w:type="auto"/>
            <w:tcBorders>
              <w:top w:val="nil"/>
              <w:left w:val="nil"/>
              <w:bottom w:val="nil"/>
              <w:right w:val="nil"/>
            </w:tcBorders>
            <w:shd w:val="clear" w:color="auto" w:fill="auto"/>
            <w:noWrap/>
            <w:vAlign w:val="center"/>
            <w:hideMark/>
          </w:tcPr>
          <w:p w14:paraId="4319971F"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r w:rsidR="00FE2D9B" w:rsidRPr="003B57EA" w14:paraId="6D551121" w14:textId="77777777" w:rsidTr="00746005">
        <w:trPr>
          <w:trHeight w:val="320"/>
        </w:trPr>
        <w:tc>
          <w:tcPr>
            <w:tcW w:w="0" w:type="auto"/>
            <w:tcBorders>
              <w:top w:val="nil"/>
              <w:left w:val="nil"/>
              <w:bottom w:val="nil"/>
              <w:right w:val="nil"/>
            </w:tcBorders>
            <w:shd w:val="clear" w:color="auto" w:fill="auto"/>
            <w:noWrap/>
            <w:vAlign w:val="bottom"/>
            <w:hideMark/>
          </w:tcPr>
          <w:p w14:paraId="452BF0E0"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nil"/>
              <w:right w:val="nil"/>
            </w:tcBorders>
            <w:shd w:val="clear" w:color="auto" w:fill="auto"/>
            <w:noWrap/>
            <w:hideMark/>
          </w:tcPr>
          <w:p w14:paraId="41C4ABD9"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310181F1" w14:textId="3CB39A12"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nil"/>
              <w:right w:val="nil"/>
            </w:tcBorders>
            <w:shd w:val="clear" w:color="auto" w:fill="auto"/>
            <w:noWrap/>
            <w:hideMark/>
          </w:tcPr>
          <w:p w14:paraId="21E2D9C9"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nil"/>
              <w:right w:val="nil"/>
            </w:tcBorders>
            <w:shd w:val="clear" w:color="auto" w:fill="auto"/>
            <w:noWrap/>
            <w:vAlign w:val="bottom"/>
            <w:hideMark/>
          </w:tcPr>
          <w:p w14:paraId="16C9C8B1"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Fantasy</w:t>
            </w:r>
          </w:p>
        </w:tc>
        <w:tc>
          <w:tcPr>
            <w:tcW w:w="0" w:type="auto"/>
            <w:tcBorders>
              <w:top w:val="nil"/>
              <w:left w:val="nil"/>
              <w:bottom w:val="nil"/>
              <w:right w:val="nil"/>
            </w:tcBorders>
            <w:shd w:val="clear" w:color="auto" w:fill="auto"/>
            <w:noWrap/>
            <w:vAlign w:val="center"/>
            <w:hideMark/>
          </w:tcPr>
          <w:p w14:paraId="5624EB84"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0.03 (.01, .</w:t>
            </w:r>
            <w:proofErr w:type="gramStart"/>
            <w:r w:rsidRPr="003B57EA">
              <w:rPr>
                <w:rFonts w:asciiTheme="majorBidi" w:hAnsiTheme="majorBidi" w:cstheme="majorBidi"/>
                <w:sz w:val="21"/>
                <w:szCs w:val="21"/>
              </w:rPr>
              <w:t>05)*</w:t>
            </w:r>
            <w:proofErr w:type="gramEnd"/>
            <w:r w:rsidRPr="003B57EA">
              <w:rPr>
                <w:rFonts w:asciiTheme="majorBidi" w:hAnsiTheme="majorBidi" w:cstheme="majorBidi"/>
                <w:sz w:val="21"/>
                <w:szCs w:val="21"/>
              </w:rPr>
              <w:t>*</w:t>
            </w:r>
          </w:p>
        </w:tc>
        <w:tc>
          <w:tcPr>
            <w:tcW w:w="0" w:type="auto"/>
            <w:tcBorders>
              <w:top w:val="nil"/>
              <w:left w:val="nil"/>
              <w:bottom w:val="nil"/>
              <w:right w:val="nil"/>
            </w:tcBorders>
            <w:shd w:val="clear" w:color="auto" w:fill="auto"/>
            <w:noWrap/>
            <w:vAlign w:val="center"/>
            <w:hideMark/>
          </w:tcPr>
          <w:p w14:paraId="616C1027"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0.10 (.02, .</w:t>
            </w:r>
            <w:proofErr w:type="gramStart"/>
            <w:r w:rsidRPr="003B57EA">
              <w:rPr>
                <w:rFonts w:asciiTheme="majorBidi" w:hAnsiTheme="majorBidi" w:cstheme="majorBidi"/>
                <w:sz w:val="21"/>
                <w:szCs w:val="21"/>
              </w:rPr>
              <w:t>19)*</w:t>
            </w:r>
            <w:proofErr w:type="gramEnd"/>
          </w:p>
        </w:tc>
        <w:tc>
          <w:tcPr>
            <w:tcW w:w="0" w:type="auto"/>
            <w:tcBorders>
              <w:top w:val="nil"/>
              <w:left w:val="nil"/>
              <w:bottom w:val="nil"/>
              <w:right w:val="nil"/>
            </w:tcBorders>
            <w:shd w:val="clear" w:color="auto" w:fill="auto"/>
            <w:noWrap/>
            <w:vAlign w:val="center"/>
            <w:hideMark/>
          </w:tcPr>
          <w:p w14:paraId="09B482E9"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20.76%</w:t>
            </w:r>
          </w:p>
        </w:tc>
        <w:tc>
          <w:tcPr>
            <w:tcW w:w="0" w:type="auto"/>
            <w:tcBorders>
              <w:top w:val="nil"/>
              <w:left w:val="nil"/>
              <w:bottom w:val="nil"/>
              <w:right w:val="nil"/>
            </w:tcBorders>
            <w:shd w:val="clear" w:color="auto" w:fill="auto"/>
            <w:noWrap/>
            <w:vAlign w:val="center"/>
            <w:hideMark/>
          </w:tcPr>
          <w:p w14:paraId="6D0ED6D8"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0.20</w:t>
            </w:r>
          </w:p>
        </w:tc>
      </w:tr>
      <w:tr w:rsidR="00FE2D9B" w:rsidRPr="003B57EA" w14:paraId="665CE5C9" w14:textId="77777777" w:rsidTr="00746005">
        <w:trPr>
          <w:trHeight w:val="320"/>
        </w:trPr>
        <w:tc>
          <w:tcPr>
            <w:tcW w:w="0" w:type="auto"/>
            <w:tcBorders>
              <w:top w:val="nil"/>
              <w:left w:val="nil"/>
              <w:bottom w:val="double" w:sz="4" w:space="0" w:color="auto"/>
              <w:right w:val="nil"/>
            </w:tcBorders>
            <w:shd w:val="clear" w:color="auto" w:fill="auto"/>
            <w:noWrap/>
            <w:vAlign w:val="bottom"/>
            <w:hideMark/>
          </w:tcPr>
          <w:p w14:paraId="737F1825"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Attachment avoidance</w:t>
            </w:r>
          </w:p>
        </w:tc>
        <w:tc>
          <w:tcPr>
            <w:tcW w:w="0" w:type="auto"/>
            <w:tcBorders>
              <w:top w:val="nil"/>
              <w:left w:val="nil"/>
              <w:bottom w:val="double" w:sz="4" w:space="0" w:color="auto"/>
              <w:right w:val="nil"/>
            </w:tcBorders>
            <w:shd w:val="clear" w:color="auto" w:fill="auto"/>
            <w:noWrap/>
            <w:hideMark/>
          </w:tcPr>
          <w:p w14:paraId="6DCE38B4"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double" w:sz="4" w:space="0" w:color="auto"/>
              <w:right w:val="nil"/>
            </w:tcBorders>
            <w:shd w:val="clear" w:color="auto" w:fill="auto"/>
            <w:noWrap/>
            <w:vAlign w:val="bottom"/>
            <w:hideMark/>
          </w:tcPr>
          <w:p w14:paraId="1B623593" w14:textId="2D23EC3F"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Positive metacognitio</w:t>
            </w:r>
            <w:r w:rsidR="00A62CCB" w:rsidRPr="003B57EA">
              <w:rPr>
                <w:rFonts w:asciiTheme="majorBidi" w:hAnsiTheme="majorBidi" w:cstheme="majorBidi"/>
                <w:sz w:val="21"/>
                <w:szCs w:val="21"/>
              </w:rPr>
              <w:t>n</w:t>
            </w:r>
            <w:r w:rsidRPr="003B57EA">
              <w:rPr>
                <w:rFonts w:asciiTheme="majorBidi" w:hAnsiTheme="majorBidi" w:cstheme="majorBidi"/>
                <w:sz w:val="21"/>
                <w:szCs w:val="21"/>
              </w:rPr>
              <w:t>s</w:t>
            </w:r>
          </w:p>
        </w:tc>
        <w:tc>
          <w:tcPr>
            <w:tcW w:w="0" w:type="auto"/>
            <w:tcBorders>
              <w:top w:val="nil"/>
              <w:left w:val="nil"/>
              <w:bottom w:val="double" w:sz="4" w:space="0" w:color="auto"/>
              <w:right w:val="nil"/>
            </w:tcBorders>
            <w:shd w:val="clear" w:color="auto" w:fill="auto"/>
            <w:noWrap/>
            <w:hideMark/>
          </w:tcPr>
          <w:p w14:paraId="21ADF656"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sym w:font="Symbol" w:char="F0DE"/>
            </w:r>
          </w:p>
        </w:tc>
        <w:tc>
          <w:tcPr>
            <w:tcW w:w="0" w:type="auto"/>
            <w:tcBorders>
              <w:top w:val="nil"/>
              <w:left w:val="nil"/>
              <w:bottom w:val="double" w:sz="4" w:space="0" w:color="auto"/>
              <w:right w:val="nil"/>
            </w:tcBorders>
            <w:shd w:val="clear" w:color="auto" w:fill="auto"/>
            <w:noWrap/>
            <w:vAlign w:val="bottom"/>
            <w:hideMark/>
          </w:tcPr>
          <w:p w14:paraId="29D001FB" w14:textId="77777777" w:rsidR="007C4DE6" w:rsidRPr="003B57EA" w:rsidRDefault="007C4DE6" w:rsidP="00746005">
            <w:pPr>
              <w:rPr>
                <w:rFonts w:asciiTheme="majorBidi" w:hAnsiTheme="majorBidi" w:cstheme="majorBidi"/>
                <w:sz w:val="21"/>
                <w:szCs w:val="21"/>
              </w:rPr>
            </w:pPr>
            <w:r w:rsidRPr="003B57EA">
              <w:rPr>
                <w:rFonts w:asciiTheme="majorBidi" w:hAnsiTheme="majorBidi" w:cstheme="majorBidi"/>
                <w:sz w:val="21"/>
                <w:szCs w:val="21"/>
              </w:rPr>
              <w:t>Recreation</w:t>
            </w:r>
          </w:p>
        </w:tc>
        <w:tc>
          <w:tcPr>
            <w:tcW w:w="0" w:type="auto"/>
            <w:tcBorders>
              <w:top w:val="nil"/>
              <w:left w:val="nil"/>
              <w:bottom w:val="double" w:sz="4" w:space="0" w:color="auto"/>
              <w:right w:val="nil"/>
            </w:tcBorders>
            <w:shd w:val="clear" w:color="auto" w:fill="auto"/>
            <w:noWrap/>
            <w:vAlign w:val="center"/>
            <w:hideMark/>
          </w:tcPr>
          <w:p w14:paraId="2BE8D1A0"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0.06 (.03, .</w:t>
            </w:r>
            <w:proofErr w:type="gramStart"/>
            <w:r w:rsidRPr="003B57EA">
              <w:rPr>
                <w:rFonts w:asciiTheme="majorBidi" w:hAnsiTheme="majorBidi" w:cstheme="majorBidi"/>
                <w:sz w:val="21"/>
                <w:szCs w:val="21"/>
              </w:rPr>
              <w:t>10)*</w:t>
            </w:r>
            <w:proofErr w:type="gramEnd"/>
            <w:r w:rsidRPr="003B57EA">
              <w:rPr>
                <w:rFonts w:asciiTheme="majorBidi" w:hAnsiTheme="majorBidi" w:cstheme="majorBidi"/>
                <w:sz w:val="21"/>
                <w:szCs w:val="21"/>
              </w:rPr>
              <w:t>*</w:t>
            </w:r>
          </w:p>
        </w:tc>
        <w:tc>
          <w:tcPr>
            <w:tcW w:w="0" w:type="auto"/>
            <w:tcBorders>
              <w:top w:val="nil"/>
              <w:left w:val="nil"/>
              <w:bottom w:val="double" w:sz="4" w:space="0" w:color="auto"/>
              <w:right w:val="nil"/>
            </w:tcBorders>
            <w:shd w:val="clear" w:color="auto" w:fill="auto"/>
            <w:noWrap/>
            <w:vAlign w:val="center"/>
            <w:hideMark/>
          </w:tcPr>
          <w:p w14:paraId="1DBEBFFE"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-0.03 (-.14, .07)</w:t>
            </w:r>
          </w:p>
        </w:tc>
        <w:tc>
          <w:tcPr>
            <w:tcW w:w="0" w:type="auto"/>
            <w:tcBorders>
              <w:top w:val="nil"/>
              <w:left w:val="nil"/>
              <w:bottom w:val="double" w:sz="4" w:space="0" w:color="auto"/>
              <w:right w:val="nil"/>
            </w:tcBorders>
            <w:shd w:val="clear" w:color="auto" w:fill="auto"/>
            <w:noWrap/>
            <w:vAlign w:val="center"/>
            <w:hideMark/>
          </w:tcPr>
          <w:p w14:paraId="39D83716"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83.57%</w:t>
            </w:r>
          </w:p>
        </w:tc>
        <w:tc>
          <w:tcPr>
            <w:tcW w:w="0" w:type="auto"/>
            <w:tcBorders>
              <w:top w:val="nil"/>
              <w:left w:val="nil"/>
              <w:bottom w:val="double" w:sz="4" w:space="0" w:color="auto"/>
              <w:right w:val="nil"/>
            </w:tcBorders>
            <w:shd w:val="clear" w:color="auto" w:fill="auto"/>
            <w:noWrap/>
            <w:vAlign w:val="center"/>
            <w:hideMark/>
          </w:tcPr>
          <w:p w14:paraId="36C6093B" w14:textId="77777777" w:rsidR="007C4DE6" w:rsidRPr="003B57EA" w:rsidRDefault="007C4DE6" w:rsidP="00746005">
            <w:pPr>
              <w:jc w:val="center"/>
              <w:rPr>
                <w:rFonts w:asciiTheme="majorBidi" w:hAnsiTheme="majorBidi" w:cstheme="majorBidi"/>
                <w:sz w:val="21"/>
                <w:szCs w:val="21"/>
              </w:rPr>
            </w:pPr>
            <w:r w:rsidRPr="003B57EA">
              <w:rPr>
                <w:rFonts w:asciiTheme="majorBidi" w:hAnsiTheme="majorBidi" w:cstheme="majorBidi"/>
                <w:sz w:val="21"/>
                <w:szCs w:val="21"/>
              </w:rPr>
              <w:t>0.30</w:t>
            </w:r>
          </w:p>
        </w:tc>
      </w:tr>
    </w:tbl>
    <w:p w14:paraId="14E8498E" w14:textId="606D4202" w:rsidR="007C4DE6" w:rsidRPr="003B57EA" w:rsidRDefault="007C4DE6" w:rsidP="00E414CF">
      <w:pPr>
        <w:jc w:val="both"/>
        <w:rPr>
          <w:rFonts w:asciiTheme="majorBidi" w:hAnsiTheme="majorBidi" w:cstheme="majorBidi"/>
          <w:sz w:val="22"/>
          <w:szCs w:val="22"/>
        </w:rPr>
      </w:pPr>
      <w:r w:rsidRPr="003B57EA">
        <w:rPr>
          <w:rFonts w:asciiTheme="majorBidi" w:hAnsiTheme="majorBidi" w:cstheme="majorBidi"/>
          <w:sz w:val="22"/>
          <w:szCs w:val="22"/>
        </w:rPr>
        <w:t xml:space="preserve">Note. * </w:t>
      </w:r>
      <w:r w:rsidRPr="003B57EA">
        <w:rPr>
          <w:rFonts w:asciiTheme="majorBidi" w:hAnsiTheme="majorBidi" w:cstheme="majorBidi"/>
          <w:i/>
          <w:iCs/>
          <w:sz w:val="22"/>
          <w:szCs w:val="22"/>
        </w:rPr>
        <w:t>p</w:t>
      </w:r>
      <w:r w:rsidRPr="003B57EA">
        <w:rPr>
          <w:rFonts w:asciiTheme="majorBidi" w:hAnsiTheme="majorBidi" w:cstheme="majorBidi"/>
          <w:sz w:val="22"/>
          <w:szCs w:val="22"/>
        </w:rPr>
        <w:t xml:space="preserve"> &lt; .05, ** </w:t>
      </w:r>
      <w:r w:rsidRPr="003B57EA">
        <w:rPr>
          <w:rFonts w:asciiTheme="majorBidi" w:hAnsiTheme="majorBidi" w:cstheme="majorBidi"/>
          <w:i/>
          <w:iCs/>
          <w:sz w:val="22"/>
          <w:szCs w:val="22"/>
        </w:rPr>
        <w:t>p</w:t>
      </w:r>
      <w:r w:rsidRPr="003B57EA">
        <w:rPr>
          <w:rFonts w:asciiTheme="majorBidi" w:hAnsiTheme="majorBidi" w:cstheme="majorBidi"/>
          <w:sz w:val="22"/>
          <w:szCs w:val="22"/>
        </w:rPr>
        <w:t xml:space="preserve"> &lt; .01, *** </w:t>
      </w:r>
      <w:r w:rsidRPr="003B57EA">
        <w:rPr>
          <w:rFonts w:asciiTheme="majorBidi" w:hAnsiTheme="majorBidi" w:cstheme="majorBidi"/>
          <w:i/>
          <w:iCs/>
          <w:sz w:val="22"/>
          <w:szCs w:val="22"/>
        </w:rPr>
        <w:t>p</w:t>
      </w:r>
      <w:r w:rsidRPr="003B57EA">
        <w:rPr>
          <w:rFonts w:asciiTheme="majorBidi" w:hAnsiTheme="majorBidi" w:cstheme="majorBidi"/>
          <w:sz w:val="22"/>
          <w:szCs w:val="22"/>
        </w:rPr>
        <w:t xml:space="preserve"> &lt; .001. IGD = </w:t>
      </w:r>
      <w:r w:rsidR="009123C7" w:rsidRPr="003B57EA">
        <w:rPr>
          <w:rFonts w:asciiTheme="majorBidi" w:hAnsiTheme="majorBidi" w:cstheme="majorBidi"/>
        </w:rPr>
        <w:t>I</w:t>
      </w:r>
      <w:r w:rsidRPr="003B57EA">
        <w:rPr>
          <w:rFonts w:asciiTheme="majorBidi" w:hAnsiTheme="majorBidi" w:cstheme="majorBidi"/>
        </w:rPr>
        <w:t xml:space="preserve">nternet </w:t>
      </w:r>
      <w:r w:rsidR="009123C7" w:rsidRPr="003B57EA">
        <w:rPr>
          <w:rFonts w:asciiTheme="majorBidi" w:hAnsiTheme="majorBidi" w:cstheme="majorBidi"/>
        </w:rPr>
        <w:t>G</w:t>
      </w:r>
      <w:r w:rsidRPr="003B57EA">
        <w:rPr>
          <w:rFonts w:asciiTheme="majorBidi" w:hAnsiTheme="majorBidi" w:cstheme="majorBidi"/>
        </w:rPr>
        <w:t xml:space="preserve">aming </w:t>
      </w:r>
      <w:r w:rsidR="009123C7" w:rsidRPr="003B57EA">
        <w:rPr>
          <w:rFonts w:asciiTheme="majorBidi" w:hAnsiTheme="majorBidi" w:cstheme="majorBidi"/>
        </w:rPr>
        <w:t>Disorder</w:t>
      </w:r>
      <w:r w:rsidRPr="003B57EA">
        <w:rPr>
          <w:rFonts w:asciiTheme="majorBidi" w:hAnsiTheme="majorBidi" w:cstheme="majorBidi"/>
        </w:rPr>
        <w:t xml:space="preserve">, POSI = </w:t>
      </w:r>
      <w:r w:rsidR="00A62CCB" w:rsidRPr="003B57EA">
        <w:rPr>
          <w:rFonts w:asciiTheme="majorBidi" w:hAnsiTheme="majorBidi" w:cstheme="majorBidi"/>
        </w:rPr>
        <w:t xml:space="preserve">Preference </w:t>
      </w:r>
      <w:r w:rsidRPr="003B57EA">
        <w:rPr>
          <w:rFonts w:asciiTheme="majorBidi" w:hAnsiTheme="majorBidi" w:cstheme="majorBidi"/>
        </w:rPr>
        <w:t xml:space="preserve">for </w:t>
      </w:r>
      <w:r w:rsidR="00A62CCB" w:rsidRPr="003B57EA">
        <w:rPr>
          <w:rFonts w:asciiTheme="majorBidi" w:hAnsiTheme="majorBidi" w:cstheme="majorBidi"/>
        </w:rPr>
        <w:t>Online Social Interactions</w:t>
      </w:r>
      <w:r w:rsidRPr="003B57EA">
        <w:rPr>
          <w:rFonts w:asciiTheme="majorBidi" w:hAnsiTheme="majorBidi" w:cstheme="majorBidi"/>
        </w:rPr>
        <w:t xml:space="preserve">, ACME = average causal mediation effects, ADE = average direct effect; higher sensitivity values refer to less plausible effect for unobserved confounding variables. </w:t>
      </w:r>
    </w:p>
    <w:p w14:paraId="74085459" w14:textId="77777777" w:rsidR="0073340A" w:rsidRPr="003B57EA" w:rsidRDefault="0073340A" w:rsidP="000C590F">
      <w:pPr>
        <w:rPr>
          <w:rFonts w:asciiTheme="majorBidi" w:hAnsiTheme="majorBidi" w:cstheme="majorBidi"/>
        </w:rPr>
        <w:sectPr w:rsidR="0073340A" w:rsidRPr="003B57EA" w:rsidSect="0073340A">
          <w:pgSz w:w="16838" w:h="11906" w:orient="landscape"/>
          <w:pgMar w:top="1797" w:right="1440" w:bottom="1797" w:left="1440" w:header="709" w:footer="709" w:gutter="0"/>
          <w:cols w:space="708"/>
          <w:bidi/>
          <w:rtlGutter/>
          <w:docGrid w:linePitch="360"/>
        </w:sectPr>
      </w:pPr>
    </w:p>
    <w:p w14:paraId="137CB2C9" w14:textId="40BE556E" w:rsidR="00F64D3F" w:rsidRPr="003B57EA" w:rsidRDefault="0093086F" w:rsidP="000C590F">
      <w:pPr>
        <w:rPr>
          <w:rFonts w:asciiTheme="majorBidi" w:hAnsiTheme="majorBidi" w:cstheme="majorBidi"/>
        </w:rPr>
      </w:pPr>
      <w:r w:rsidRPr="003B57EA">
        <w:rPr>
          <w:rFonts w:asciiTheme="majorBidi" w:hAnsiTheme="majorBidi" w:cstheme="majorBidi"/>
          <w:noProof/>
          <w:lang w:val="en-GB" w:eastAsia="en-GB" w:bidi="ar-SA"/>
        </w:rPr>
        <w:lastRenderedPageBreak/>
        <w:drawing>
          <wp:inline distT="0" distB="0" distL="0" distR="0" wp14:anchorId="1811E340" wp14:editId="2FD49585">
            <wp:extent cx="6400800" cy="3200400"/>
            <wp:effectExtent l="0" t="0" r="0" b="0"/>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31143" cy="3215572"/>
                    </a:xfrm>
                    <a:prstGeom prst="rect">
                      <a:avLst/>
                    </a:prstGeom>
                  </pic:spPr>
                </pic:pic>
              </a:graphicData>
            </a:graphic>
          </wp:inline>
        </w:drawing>
      </w:r>
    </w:p>
    <w:p w14:paraId="3B67127C" w14:textId="13C149DA" w:rsidR="00325DC8" w:rsidRPr="003B57EA" w:rsidRDefault="00374A30" w:rsidP="00BE6211">
      <w:pPr>
        <w:jc w:val="both"/>
        <w:rPr>
          <w:rFonts w:asciiTheme="majorBidi" w:hAnsiTheme="majorBidi" w:cstheme="majorBidi"/>
          <w:iCs/>
        </w:rPr>
        <w:sectPr w:rsidR="00325DC8" w:rsidRPr="003B57EA" w:rsidSect="0073340A">
          <w:pgSz w:w="11906" w:h="16838"/>
          <w:pgMar w:top="1440" w:right="1797" w:bottom="1440" w:left="1797" w:header="709" w:footer="709" w:gutter="0"/>
          <w:cols w:space="708"/>
          <w:bidi/>
          <w:rtlGutter/>
          <w:docGrid w:linePitch="360"/>
        </w:sectPr>
      </w:pPr>
      <w:r w:rsidRPr="003B57EA">
        <w:rPr>
          <w:rFonts w:asciiTheme="majorBidi" w:hAnsiTheme="majorBidi" w:cstheme="majorBidi"/>
          <w:iCs/>
        </w:rPr>
        <w:t>Figure 1</w:t>
      </w:r>
      <w:r w:rsidR="00BE6211" w:rsidRPr="003B57EA">
        <w:rPr>
          <w:rFonts w:asciiTheme="majorBidi" w:hAnsiTheme="majorBidi" w:cstheme="majorBidi"/>
          <w:iCs/>
        </w:rPr>
        <w:t xml:space="preserve">. </w:t>
      </w:r>
      <w:r w:rsidR="0081476A" w:rsidRPr="003B57EA">
        <w:rPr>
          <w:rFonts w:asciiTheme="majorBidi" w:hAnsiTheme="majorBidi" w:cstheme="majorBidi"/>
          <w:i/>
        </w:rPr>
        <w:t>EGA results</w:t>
      </w:r>
      <w:r w:rsidR="0093086F" w:rsidRPr="003B57EA">
        <w:rPr>
          <w:rFonts w:asciiTheme="majorBidi" w:hAnsiTheme="majorBidi" w:cstheme="majorBidi"/>
          <w:i/>
        </w:rPr>
        <w:t xml:space="preserve"> at T1</w:t>
      </w:r>
      <w:r w:rsidR="00F64D3F" w:rsidRPr="003B57EA">
        <w:rPr>
          <w:rFonts w:asciiTheme="majorBidi" w:hAnsiTheme="majorBidi" w:cstheme="majorBidi"/>
          <w:i/>
        </w:rPr>
        <w:t xml:space="preserve"> (</w:t>
      </w:r>
      <w:r w:rsidR="003611D1" w:rsidRPr="003B57EA">
        <w:rPr>
          <w:rFonts w:asciiTheme="majorBidi" w:hAnsiTheme="majorBidi" w:cstheme="majorBidi"/>
          <w:i/>
        </w:rPr>
        <w:t>A</w:t>
      </w:r>
      <w:r w:rsidR="00F64D3F" w:rsidRPr="003B57EA">
        <w:rPr>
          <w:rFonts w:asciiTheme="majorBidi" w:hAnsiTheme="majorBidi" w:cstheme="majorBidi"/>
          <w:i/>
        </w:rPr>
        <w:t xml:space="preserve">) and </w:t>
      </w:r>
      <w:r w:rsidR="0093086F" w:rsidRPr="003B57EA">
        <w:rPr>
          <w:rFonts w:asciiTheme="majorBidi" w:hAnsiTheme="majorBidi" w:cstheme="majorBidi"/>
          <w:i/>
        </w:rPr>
        <w:t xml:space="preserve">T2 </w:t>
      </w:r>
      <w:r w:rsidR="00F64D3F" w:rsidRPr="003B57EA">
        <w:rPr>
          <w:rFonts w:asciiTheme="majorBidi" w:hAnsiTheme="majorBidi" w:cstheme="majorBidi"/>
          <w:i/>
        </w:rPr>
        <w:t>(</w:t>
      </w:r>
      <w:proofErr w:type="gramStart"/>
      <w:r w:rsidR="003611D1" w:rsidRPr="003B57EA">
        <w:rPr>
          <w:rFonts w:asciiTheme="majorBidi" w:hAnsiTheme="majorBidi" w:cstheme="majorBidi"/>
          <w:i/>
        </w:rPr>
        <w:t>i.e.</w:t>
      </w:r>
      <w:proofErr w:type="gramEnd"/>
      <w:r w:rsidR="003611D1" w:rsidRPr="003B57EA">
        <w:rPr>
          <w:rFonts w:asciiTheme="majorBidi" w:hAnsiTheme="majorBidi" w:cstheme="majorBidi"/>
          <w:i/>
        </w:rPr>
        <w:t xml:space="preserve"> 6-month follow-up; B</w:t>
      </w:r>
      <w:r w:rsidR="00F64D3F" w:rsidRPr="003B57EA">
        <w:rPr>
          <w:rFonts w:asciiTheme="majorBidi" w:hAnsiTheme="majorBidi" w:cstheme="majorBidi"/>
          <w:i/>
        </w:rPr>
        <w:t xml:space="preserve">). The factorial structure of the </w:t>
      </w:r>
      <w:r w:rsidR="003611D1" w:rsidRPr="003B57EA">
        <w:rPr>
          <w:rFonts w:asciiTheme="majorBidi" w:hAnsiTheme="majorBidi" w:cstheme="majorBidi"/>
          <w:i/>
        </w:rPr>
        <w:t>Hebrew-MOGS</w:t>
      </w:r>
      <w:r w:rsidR="00B646AA" w:rsidRPr="003B57EA">
        <w:rPr>
          <w:rFonts w:asciiTheme="majorBidi" w:hAnsiTheme="majorBidi" w:cstheme="majorBidi"/>
          <w:i/>
        </w:rPr>
        <w:t xml:space="preserve"> comprised </w:t>
      </w:r>
      <w:r w:rsidR="003611D1" w:rsidRPr="003B57EA">
        <w:rPr>
          <w:rFonts w:asciiTheme="majorBidi" w:hAnsiTheme="majorBidi" w:cstheme="majorBidi"/>
          <w:i/>
        </w:rPr>
        <w:t>the expected 2-factors of negative and positive metacognitions.</w:t>
      </w:r>
    </w:p>
    <w:p w14:paraId="4E715FFC" w14:textId="6EF1A4A7" w:rsidR="00DB5B39" w:rsidRPr="003B57EA" w:rsidRDefault="00E81D32" w:rsidP="00DB5B39">
      <w:pPr>
        <w:tabs>
          <w:tab w:val="left" w:pos="5948"/>
        </w:tabs>
        <w:rPr>
          <w:rFonts w:asciiTheme="majorBidi" w:hAnsiTheme="majorBidi" w:cstheme="majorBidi"/>
        </w:rPr>
      </w:pPr>
      <w:r w:rsidRPr="003B57EA">
        <w:rPr>
          <w:rFonts w:asciiTheme="majorBidi" w:hAnsiTheme="majorBidi" w:cstheme="majorBidi"/>
          <w:noProof/>
          <w:lang w:val="en-GB" w:eastAsia="en-GB" w:bidi="ar-SA"/>
        </w:rPr>
        <w:lastRenderedPageBreak/>
        <w:drawing>
          <wp:inline distT="0" distB="0" distL="0" distR="0" wp14:anchorId="47469614" wp14:editId="4194C3F5">
            <wp:extent cx="6319054" cy="5416658"/>
            <wp:effectExtent l="0" t="0" r="5715" b="0"/>
            <wp:docPr id="18" name="Picture 1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histo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2443" cy="5445279"/>
                    </a:xfrm>
                    <a:prstGeom prst="rect">
                      <a:avLst/>
                    </a:prstGeom>
                  </pic:spPr>
                </pic:pic>
              </a:graphicData>
            </a:graphic>
          </wp:inline>
        </w:drawing>
      </w:r>
    </w:p>
    <w:p w14:paraId="57195367" w14:textId="77777777" w:rsidR="00BE6211" w:rsidRPr="003B57EA" w:rsidRDefault="00BE6211" w:rsidP="00BE6211">
      <w:pPr>
        <w:tabs>
          <w:tab w:val="left" w:pos="5948"/>
        </w:tabs>
        <w:jc w:val="both"/>
        <w:rPr>
          <w:rFonts w:asciiTheme="majorBidi" w:hAnsiTheme="majorBidi" w:cstheme="majorBidi"/>
          <w:i/>
          <w:rtl/>
        </w:rPr>
      </w:pPr>
    </w:p>
    <w:p w14:paraId="516E8886" w14:textId="590CB219" w:rsidR="00BE6211" w:rsidRPr="003B57EA" w:rsidRDefault="00BE6211" w:rsidP="00BE6211">
      <w:pPr>
        <w:tabs>
          <w:tab w:val="left" w:pos="5948"/>
        </w:tabs>
        <w:jc w:val="both"/>
        <w:rPr>
          <w:rFonts w:asciiTheme="majorBidi" w:hAnsiTheme="majorBidi" w:cstheme="majorBidi"/>
          <w:i/>
        </w:rPr>
      </w:pPr>
      <w:r w:rsidRPr="003B57EA">
        <w:rPr>
          <w:rFonts w:asciiTheme="majorBidi" w:hAnsiTheme="majorBidi" w:cstheme="majorBidi"/>
          <w:i/>
        </w:rPr>
        <w:t>Figure 2. Distribution of Hebrew-MOGS cluster scores at T1 (A, C) and follow-up (B, D). Vertical blue lines refer to the mean sample score. The thick black distribution presents the expected normal distribution.</w:t>
      </w:r>
    </w:p>
    <w:p w14:paraId="22DD0060" w14:textId="77777777" w:rsidR="00E2544D" w:rsidRPr="003B57EA" w:rsidRDefault="00E2544D">
      <w:pPr>
        <w:spacing w:line="480" w:lineRule="auto"/>
        <w:rPr>
          <w:rFonts w:asciiTheme="majorBidi" w:hAnsiTheme="majorBidi" w:cstheme="majorBidi"/>
        </w:rPr>
      </w:pPr>
      <w:r w:rsidRPr="003B57EA">
        <w:rPr>
          <w:rFonts w:asciiTheme="majorBidi" w:hAnsiTheme="majorBidi" w:cstheme="majorBidi"/>
        </w:rPr>
        <w:br w:type="page"/>
      </w:r>
    </w:p>
    <w:p w14:paraId="44D75494" w14:textId="6D55616C" w:rsidR="00325DC8" w:rsidRPr="003B57EA" w:rsidRDefault="00E2544D" w:rsidP="00BE6211">
      <w:pPr>
        <w:tabs>
          <w:tab w:val="left" w:pos="5948"/>
        </w:tabs>
        <w:jc w:val="both"/>
        <w:rPr>
          <w:rFonts w:asciiTheme="majorBidi" w:hAnsiTheme="majorBidi" w:cstheme="majorBidi"/>
          <w:i/>
        </w:rPr>
        <w:sectPr w:rsidR="00325DC8" w:rsidRPr="003B57EA" w:rsidSect="0073340A">
          <w:pgSz w:w="11906" w:h="16838"/>
          <w:pgMar w:top="1440" w:right="1797" w:bottom="1440" w:left="1797" w:header="709" w:footer="709" w:gutter="0"/>
          <w:cols w:space="708"/>
          <w:bidi/>
          <w:rtlGutter/>
          <w:docGrid w:linePitch="360"/>
        </w:sectPr>
      </w:pPr>
      <w:r w:rsidRPr="003B57EA">
        <w:rPr>
          <w:rFonts w:asciiTheme="majorBidi" w:hAnsiTheme="majorBidi" w:cstheme="majorBidi"/>
          <w:noProof/>
          <w:lang w:val="en-GB" w:eastAsia="en-GB" w:bidi="ar-SA"/>
        </w:rPr>
        <w:lastRenderedPageBreak/>
        <w:drawing>
          <wp:inline distT="0" distB="0" distL="0" distR="0" wp14:anchorId="21FDFC67" wp14:editId="0ABEAB85">
            <wp:extent cx="7645014" cy="4300780"/>
            <wp:effectExtent l="0" t="0" r="635" b="508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747240" cy="4358288"/>
                    </a:xfrm>
                    <a:prstGeom prst="rect">
                      <a:avLst/>
                    </a:prstGeom>
                  </pic:spPr>
                </pic:pic>
              </a:graphicData>
            </a:graphic>
          </wp:inline>
        </w:drawing>
      </w:r>
      <w:r w:rsidR="00BE6211" w:rsidRPr="003B57EA">
        <w:rPr>
          <w:rFonts w:asciiTheme="majorBidi" w:hAnsiTheme="majorBidi" w:cstheme="majorBidi"/>
          <w:i/>
        </w:rPr>
        <w:t xml:space="preserve"> Figure 3. Summary of the Causal Mediation Analysis. * </w:t>
      </w:r>
      <w:r w:rsidR="00BE6211" w:rsidRPr="003B57EA">
        <w:rPr>
          <w:rFonts w:asciiTheme="majorBidi" w:hAnsiTheme="majorBidi" w:cstheme="majorBidi"/>
          <w:i/>
          <w:iCs/>
        </w:rPr>
        <w:t>p</w:t>
      </w:r>
      <w:r w:rsidR="00BE6211" w:rsidRPr="003B57EA">
        <w:rPr>
          <w:rFonts w:asciiTheme="majorBidi" w:hAnsiTheme="majorBidi" w:cstheme="majorBidi"/>
          <w:i/>
        </w:rPr>
        <w:t xml:space="preserve"> &lt; .05, ** </w:t>
      </w:r>
      <w:r w:rsidR="00BE6211" w:rsidRPr="003B57EA">
        <w:rPr>
          <w:rFonts w:asciiTheme="majorBidi" w:hAnsiTheme="majorBidi" w:cstheme="majorBidi"/>
          <w:i/>
          <w:iCs/>
        </w:rPr>
        <w:t>p</w:t>
      </w:r>
      <w:r w:rsidR="00BE6211" w:rsidRPr="003B57EA">
        <w:rPr>
          <w:rFonts w:asciiTheme="majorBidi" w:hAnsiTheme="majorBidi" w:cstheme="majorBidi"/>
          <w:i/>
        </w:rPr>
        <w:t xml:space="preserve"> &lt; .01, *** </w:t>
      </w:r>
      <w:r w:rsidR="00BE6211" w:rsidRPr="003B57EA">
        <w:rPr>
          <w:rFonts w:asciiTheme="majorBidi" w:hAnsiTheme="majorBidi" w:cstheme="majorBidi"/>
          <w:i/>
          <w:iCs/>
        </w:rPr>
        <w:t>p</w:t>
      </w:r>
      <w:r w:rsidR="00BE6211" w:rsidRPr="003B57EA">
        <w:rPr>
          <w:rFonts w:asciiTheme="majorBidi" w:hAnsiTheme="majorBidi" w:cstheme="majorBidi"/>
          <w:i/>
        </w:rPr>
        <w:t xml:space="preserve"> &lt; .001. </w:t>
      </w:r>
      <w:r w:rsidR="00BE6211" w:rsidRPr="003B57EA">
        <w:rPr>
          <w:rFonts w:asciiTheme="majorBidi" w:hAnsiTheme="majorBidi" w:cstheme="majorBidi"/>
          <w:i/>
          <w:sz w:val="22"/>
          <w:szCs w:val="22"/>
        </w:rPr>
        <w:t xml:space="preserve">IGD = </w:t>
      </w:r>
      <w:r w:rsidR="00BE6211" w:rsidRPr="003B57EA">
        <w:rPr>
          <w:rFonts w:asciiTheme="majorBidi" w:hAnsiTheme="majorBidi" w:cstheme="majorBidi"/>
          <w:i/>
        </w:rPr>
        <w:t>Internet Gaming Disorder, POSI = preference for online social interactions.</w:t>
      </w:r>
      <w:r w:rsidR="006B416C" w:rsidRPr="003B57EA">
        <w:rPr>
          <w:rFonts w:asciiTheme="majorBidi" w:hAnsiTheme="majorBidi" w:cstheme="majorBidi"/>
          <w:i/>
        </w:rPr>
        <w:tab/>
      </w:r>
    </w:p>
    <w:p w14:paraId="24014FDF" w14:textId="1C07C471" w:rsidR="00A26939" w:rsidRPr="003B57EA" w:rsidRDefault="00A26939" w:rsidP="00C4003E">
      <w:pPr>
        <w:pStyle w:val="EndNoteBibliography"/>
        <w:ind w:left="720" w:hanging="720"/>
        <w:jc w:val="both"/>
        <w:rPr>
          <w:rFonts w:asciiTheme="majorBidi" w:hAnsiTheme="majorBidi"/>
          <w:b/>
          <w:lang w:val="it-IT"/>
        </w:rPr>
      </w:pPr>
      <w:r w:rsidRPr="003B57EA">
        <w:rPr>
          <w:rFonts w:asciiTheme="majorBidi" w:hAnsiTheme="majorBidi"/>
          <w:b/>
          <w:lang w:val="it-IT"/>
        </w:rPr>
        <w:lastRenderedPageBreak/>
        <w:t>References</w:t>
      </w:r>
    </w:p>
    <w:bookmarkEnd w:id="0"/>
    <w:p w14:paraId="36377B14" w14:textId="77777777" w:rsidR="004B1F45" w:rsidRPr="003B57EA" w:rsidRDefault="004B1F45" w:rsidP="00C4003E">
      <w:pPr>
        <w:pStyle w:val="EndNoteBibliography"/>
        <w:ind w:left="720" w:hanging="720"/>
        <w:jc w:val="both"/>
        <w:rPr>
          <w:rFonts w:asciiTheme="majorBidi" w:hAnsiTheme="majorBidi" w:cstheme="majorBidi"/>
          <w:szCs w:val="24"/>
        </w:rPr>
      </w:pPr>
      <w:r w:rsidRPr="003B57EA">
        <w:rPr>
          <w:rFonts w:asciiTheme="majorBidi" w:hAnsiTheme="majorBidi"/>
          <w:lang w:val="it-IT"/>
        </w:rPr>
        <w:t xml:space="preserve">Akbari, M., Bahadori, M. H., Milan, B. B., Caselli, G., &amp; Spada, M. M. (2021). </w:t>
      </w:r>
      <w:r w:rsidRPr="003B57EA">
        <w:rPr>
          <w:rFonts w:asciiTheme="majorBidi" w:hAnsiTheme="majorBidi" w:cstheme="majorBidi"/>
          <w:szCs w:val="24"/>
        </w:rPr>
        <w:t xml:space="preserve">Metacognitions as a predictor of online gaming in adolescents: Psychometric properties of the metacognitions about online gaming scale among Iranian adolescents. </w:t>
      </w:r>
      <w:r w:rsidRPr="003B57EA">
        <w:rPr>
          <w:rFonts w:asciiTheme="majorBidi" w:hAnsiTheme="majorBidi" w:cstheme="majorBidi"/>
          <w:i/>
          <w:iCs/>
          <w:szCs w:val="24"/>
        </w:rPr>
        <w:t>Addictive Behaviors, 118</w:t>
      </w:r>
      <w:r w:rsidRPr="003B57EA">
        <w:rPr>
          <w:rFonts w:asciiTheme="majorBidi" w:hAnsiTheme="majorBidi" w:cstheme="majorBidi"/>
          <w:szCs w:val="24"/>
        </w:rPr>
        <w:t xml:space="preserve">, Article 106904. </w:t>
      </w:r>
      <w:hyperlink r:id="rId13" w:history="1">
        <w:r w:rsidRPr="003B57EA">
          <w:rPr>
            <w:rStyle w:val="Hyperlink"/>
            <w:rFonts w:asciiTheme="majorBidi" w:hAnsiTheme="majorBidi" w:cstheme="majorBidi"/>
            <w:color w:val="auto"/>
            <w:szCs w:val="24"/>
          </w:rPr>
          <w:t>https://doi.org/10.1016/j. addbeh.2021.106904</w:t>
        </w:r>
      </w:hyperlink>
      <w:r w:rsidRPr="003B57EA">
        <w:rPr>
          <w:rFonts w:asciiTheme="majorBidi" w:hAnsiTheme="majorBidi" w:cstheme="majorBidi"/>
          <w:szCs w:val="24"/>
        </w:rPr>
        <w:t xml:space="preserve"> </w:t>
      </w:r>
    </w:p>
    <w:p w14:paraId="09796F4F" w14:textId="77777777"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r w:rsidRPr="003B57EA">
        <w:rPr>
          <w:rFonts w:asciiTheme="majorBidi" w:hAnsiTheme="majorBidi" w:cstheme="majorBidi"/>
          <w:szCs w:val="24"/>
        </w:rPr>
        <w:t xml:space="preserve">American Psychiatric Association, (2013). </w:t>
      </w:r>
      <w:r w:rsidRPr="003B57EA">
        <w:rPr>
          <w:rFonts w:asciiTheme="majorBidi" w:hAnsiTheme="majorBidi" w:cstheme="majorBidi"/>
          <w:i/>
          <w:iCs/>
          <w:szCs w:val="24"/>
        </w:rPr>
        <w:t>Diagnostic and Statistical Manual of Mental Disorders (5th ed.)</w:t>
      </w:r>
      <w:r w:rsidRPr="003B57EA">
        <w:rPr>
          <w:rFonts w:asciiTheme="majorBidi" w:hAnsiTheme="majorBidi" w:cstheme="majorBidi"/>
          <w:szCs w:val="24"/>
        </w:rPr>
        <w:t xml:space="preserve">. Washington, DC. </w:t>
      </w:r>
    </w:p>
    <w:p w14:paraId="12AFD04A" w14:textId="77777777" w:rsidR="004B1F45" w:rsidRPr="003B57EA" w:rsidRDefault="004B1F45" w:rsidP="00C4003E">
      <w:pPr>
        <w:pStyle w:val="EndNoteBibliography"/>
        <w:ind w:left="720" w:hanging="720"/>
        <w:jc w:val="both"/>
        <w:rPr>
          <w:rFonts w:asciiTheme="majorBidi" w:hAnsiTheme="majorBidi" w:cstheme="majorBidi"/>
          <w:szCs w:val="24"/>
        </w:rPr>
      </w:pPr>
      <w:proofErr w:type="spellStart"/>
      <w:r w:rsidRPr="003B57EA">
        <w:rPr>
          <w:rFonts w:asciiTheme="majorBidi" w:hAnsiTheme="majorBidi" w:cstheme="majorBidi"/>
          <w:szCs w:val="24"/>
          <w:shd w:val="clear" w:color="auto" w:fill="FFFFFF"/>
        </w:rPr>
        <w:t>Andreassen</w:t>
      </w:r>
      <w:proofErr w:type="spellEnd"/>
      <w:r w:rsidRPr="003B57EA">
        <w:rPr>
          <w:rFonts w:asciiTheme="majorBidi" w:hAnsiTheme="majorBidi" w:cstheme="majorBidi"/>
          <w:szCs w:val="24"/>
          <w:shd w:val="clear" w:color="auto" w:fill="FFFFFF"/>
        </w:rPr>
        <w:t xml:space="preserve">, C. S., Billieux, J., Griffiths, M. D., </w:t>
      </w:r>
      <w:proofErr w:type="spellStart"/>
      <w:r w:rsidRPr="003B57EA">
        <w:rPr>
          <w:rFonts w:asciiTheme="majorBidi" w:hAnsiTheme="majorBidi" w:cstheme="majorBidi"/>
          <w:szCs w:val="24"/>
          <w:shd w:val="clear" w:color="auto" w:fill="FFFFFF"/>
        </w:rPr>
        <w:t>Kuss</w:t>
      </w:r>
      <w:proofErr w:type="spellEnd"/>
      <w:r w:rsidRPr="003B57EA">
        <w:rPr>
          <w:rFonts w:asciiTheme="majorBidi" w:hAnsiTheme="majorBidi" w:cstheme="majorBidi"/>
          <w:szCs w:val="24"/>
          <w:shd w:val="clear" w:color="auto" w:fill="FFFFFF"/>
        </w:rPr>
        <w:t xml:space="preserve">, D. J., Demetrovics, Z., </w:t>
      </w:r>
      <w:proofErr w:type="spellStart"/>
      <w:r w:rsidRPr="003B57EA">
        <w:rPr>
          <w:rFonts w:asciiTheme="majorBidi" w:hAnsiTheme="majorBidi" w:cstheme="majorBidi"/>
          <w:szCs w:val="24"/>
          <w:shd w:val="clear" w:color="auto" w:fill="FFFFFF"/>
        </w:rPr>
        <w:t>Mazzoni</w:t>
      </w:r>
      <w:proofErr w:type="spellEnd"/>
      <w:r w:rsidRPr="003B57EA">
        <w:rPr>
          <w:rFonts w:asciiTheme="majorBidi" w:hAnsiTheme="majorBidi" w:cstheme="majorBidi"/>
          <w:szCs w:val="24"/>
          <w:shd w:val="clear" w:color="auto" w:fill="FFFFFF"/>
        </w:rPr>
        <w:t xml:space="preserve">, E., &amp; </w:t>
      </w:r>
      <w:proofErr w:type="spellStart"/>
      <w:r w:rsidRPr="003B57EA">
        <w:rPr>
          <w:rFonts w:asciiTheme="majorBidi" w:hAnsiTheme="majorBidi" w:cstheme="majorBidi"/>
          <w:szCs w:val="24"/>
          <w:shd w:val="clear" w:color="auto" w:fill="FFFFFF"/>
        </w:rPr>
        <w:t>Pallesen</w:t>
      </w:r>
      <w:proofErr w:type="spellEnd"/>
      <w:r w:rsidRPr="003B57EA">
        <w:rPr>
          <w:rFonts w:asciiTheme="majorBidi" w:hAnsiTheme="majorBidi" w:cstheme="majorBidi"/>
          <w:szCs w:val="24"/>
          <w:shd w:val="clear" w:color="auto" w:fill="FFFFFF"/>
        </w:rPr>
        <w:t>, S. (2016). The relationship between addictive use of social media and video games and symptoms of psychiatric disorders: A large-scale cross-sectional study. </w:t>
      </w:r>
      <w:r w:rsidRPr="003B57EA">
        <w:rPr>
          <w:rFonts w:asciiTheme="majorBidi" w:hAnsiTheme="majorBidi" w:cstheme="majorBidi"/>
          <w:i/>
          <w:iCs/>
          <w:szCs w:val="24"/>
          <w:shd w:val="clear" w:color="auto" w:fill="FFFFFF"/>
        </w:rPr>
        <w:t>Psychology of Addictive Behaviors</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30</w:t>
      </w:r>
      <w:r w:rsidRPr="003B57EA">
        <w:rPr>
          <w:rFonts w:asciiTheme="majorBidi" w:hAnsiTheme="majorBidi" w:cstheme="majorBidi"/>
          <w:szCs w:val="24"/>
          <w:shd w:val="clear" w:color="auto" w:fill="FFFFFF"/>
        </w:rPr>
        <w:t>(2), 252.</w:t>
      </w:r>
      <w:r w:rsidRPr="003B57EA">
        <w:rPr>
          <w:rFonts w:asciiTheme="majorBidi" w:hAnsiTheme="majorBidi" w:cstheme="majorBidi"/>
          <w:szCs w:val="24"/>
          <w:shd w:val="clear" w:color="auto" w:fill="FFFFFF"/>
          <w:rtl/>
        </w:rPr>
        <w:t>‏</w:t>
      </w:r>
      <w:r w:rsidRPr="003B57EA">
        <w:rPr>
          <w:rFonts w:asciiTheme="majorBidi" w:hAnsiTheme="majorBidi" w:cstheme="majorBidi"/>
          <w:szCs w:val="24"/>
        </w:rPr>
        <w:t xml:space="preserve"> </w:t>
      </w:r>
    </w:p>
    <w:p w14:paraId="7DD66F43" w14:textId="77777777"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proofErr w:type="spellStart"/>
      <w:r w:rsidRPr="003B57EA">
        <w:rPr>
          <w:rFonts w:asciiTheme="majorBidi" w:hAnsiTheme="majorBidi" w:cstheme="majorBidi"/>
          <w:szCs w:val="24"/>
          <w:shd w:val="clear" w:color="auto" w:fill="FFFFFF"/>
        </w:rPr>
        <w:t>Aydın</w:t>
      </w:r>
      <w:proofErr w:type="spellEnd"/>
      <w:r w:rsidRPr="003B57EA">
        <w:rPr>
          <w:rFonts w:asciiTheme="majorBidi" w:hAnsiTheme="majorBidi" w:cstheme="majorBidi"/>
          <w:szCs w:val="24"/>
          <w:shd w:val="clear" w:color="auto" w:fill="FFFFFF"/>
        </w:rPr>
        <w:t xml:space="preserve">, O., </w:t>
      </w:r>
      <w:proofErr w:type="spellStart"/>
      <w:r w:rsidRPr="003B57EA">
        <w:rPr>
          <w:rFonts w:asciiTheme="majorBidi" w:hAnsiTheme="majorBidi" w:cstheme="majorBidi"/>
          <w:szCs w:val="24"/>
          <w:shd w:val="clear" w:color="auto" w:fill="FFFFFF"/>
        </w:rPr>
        <w:t>Güçlü</w:t>
      </w:r>
      <w:proofErr w:type="spellEnd"/>
      <w:r w:rsidRPr="003B57EA">
        <w:rPr>
          <w:rFonts w:asciiTheme="majorBidi" w:hAnsiTheme="majorBidi" w:cstheme="majorBidi"/>
          <w:szCs w:val="24"/>
          <w:shd w:val="clear" w:color="auto" w:fill="FFFFFF"/>
        </w:rPr>
        <w:t xml:space="preserve">, M., </w:t>
      </w:r>
      <w:proofErr w:type="spellStart"/>
      <w:r w:rsidRPr="003B57EA">
        <w:rPr>
          <w:rFonts w:asciiTheme="majorBidi" w:hAnsiTheme="majorBidi" w:cstheme="majorBidi"/>
          <w:szCs w:val="24"/>
          <w:shd w:val="clear" w:color="auto" w:fill="FFFFFF"/>
        </w:rPr>
        <w:t>Ünal-Aydın</w:t>
      </w:r>
      <w:proofErr w:type="spellEnd"/>
      <w:r w:rsidRPr="003B57EA">
        <w:rPr>
          <w:rFonts w:asciiTheme="majorBidi" w:hAnsiTheme="majorBidi" w:cstheme="majorBidi"/>
          <w:szCs w:val="24"/>
          <w:shd w:val="clear" w:color="auto" w:fill="FFFFFF"/>
        </w:rPr>
        <w:t>, P., &amp; Spada, M. M. (2020). Metacognitions and emotion recognition in Internet Gaming Disorder among adolescents. </w:t>
      </w:r>
      <w:r w:rsidRPr="003B57EA">
        <w:rPr>
          <w:rFonts w:asciiTheme="majorBidi" w:hAnsiTheme="majorBidi" w:cstheme="majorBidi"/>
          <w:i/>
          <w:iCs/>
          <w:szCs w:val="24"/>
          <w:shd w:val="clear" w:color="auto" w:fill="FFFFFF"/>
        </w:rPr>
        <w:t>Addictive Behaviors Reports</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12</w:t>
      </w:r>
      <w:r w:rsidRPr="003B57EA">
        <w:rPr>
          <w:rFonts w:asciiTheme="majorBidi" w:hAnsiTheme="majorBidi" w:cstheme="majorBidi"/>
          <w:szCs w:val="24"/>
          <w:shd w:val="clear" w:color="auto" w:fill="FFFFFF"/>
        </w:rPr>
        <w:t>, 100296.</w:t>
      </w:r>
      <w:r w:rsidRPr="003B57EA">
        <w:rPr>
          <w:rFonts w:asciiTheme="majorBidi" w:hAnsiTheme="majorBidi" w:cstheme="majorBidi"/>
          <w:szCs w:val="24"/>
          <w:shd w:val="clear" w:color="auto" w:fill="FFFFFF"/>
          <w:rtl/>
        </w:rPr>
        <w:t>‏</w:t>
      </w:r>
    </w:p>
    <w:p w14:paraId="26774904" w14:textId="0684261B" w:rsidR="004B1F45" w:rsidRPr="003B57EA" w:rsidRDefault="004B1F45" w:rsidP="00C4003E">
      <w:pPr>
        <w:spacing w:line="480" w:lineRule="auto"/>
        <w:ind w:left="720" w:hanging="720"/>
        <w:contextualSpacing/>
        <w:jc w:val="both"/>
        <w:rPr>
          <w:rFonts w:asciiTheme="majorBidi" w:hAnsiTheme="majorBidi" w:cstheme="majorBidi"/>
          <w:noProof/>
        </w:rPr>
      </w:pPr>
      <w:r w:rsidRPr="003B57EA">
        <w:rPr>
          <w:rFonts w:asciiTheme="majorBidi" w:hAnsiTheme="majorBidi" w:cstheme="majorBidi"/>
          <w:shd w:val="clear" w:color="auto" w:fill="FFFFFF"/>
        </w:rPr>
        <w:t xml:space="preserve">Birnbaum, G. E., Reis, H. T., </w:t>
      </w:r>
      <w:proofErr w:type="spellStart"/>
      <w:r w:rsidRPr="003B57EA">
        <w:rPr>
          <w:rFonts w:asciiTheme="majorBidi" w:hAnsiTheme="majorBidi" w:cstheme="majorBidi"/>
          <w:shd w:val="clear" w:color="auto" w:fill="FFFFFF"/>
        </w:rPr>
        <w:t>Mikulincer</w:t>
      </w:r>
      <w:proofErr w:type="spellEnd"/>
      <w:r w:rsidRPr="003B57EA">
        <w:rPr>
          <w:rFonts w:asciiTheme="majorBidi" w:hAnsiTheme="majorBidi" w:cstheme="majorBidi"/>
          <w:shd w:val="clear" w:color="auto" w:fill="FFFFFF"/>
        </w:rPr>
        <w:t xml:space="preserve">, M., </w:t>
      </w:r>
      <w:proofErr w:type="spellStart"/>
      <w:r w:rsidRPr="003B57EA">
        <w:rPr>
          <w:rFonts w:asciiTheme="majorBidi" w:hAnsiTheme="majorBidi" w:cstheme="majorBidi"/>
          <w:shd w:val="clear" w:color="auto" w:fill="FFFFFF"/>
        </w:rPr>
        <w:t>Gillath</w:t>
      </w:r>
      <w:proofErr w:type="spellEnd"/>
      <w:r w:rsidRPr="003B57EA">
        <w:rPr>
          <w:rFonts w:asciiTheme="majorBidi" w:hAnsiTheme="majorBidi" w:cstheme="majorBidi"/>
          <w:shd w:val="clear" w:color="auto" w:fill="FFFFFF"/>
        </w:rPr>
        <w:t xml:space="preserve">, O., &amp; </w:t>
      </w:r>
      <w:proofErr w:type="spellStart"/>
      <w:r w:rsidRPr="003B57EA">
        <w:rPr>
          <w:rFonts w:asciiTheme="majorBidi" w:hAnsiTheme="majorBidi" w:cstheme="majorBidi"/>
          <w:shd w:val="clear" w:color="auto" w:fill="FFFFFF"/>
        </w:rPr>
        <w:t>Orpaz</w:t>
      </w:r>
      <w:proofErr w:type="spellEnd"/>
      <w:r w:rsidRPr="003B57EA">
        <w:rPr>
          <w:rFonts w:asciiTheme="majorBidi" w:hAnsiTheme="majorBidi" w:cstheme="majorBidi"/>
          <w:shd w:val="clear" w:color="auto" w:fill="FFFFFF"/>
        </w:rPr>
        <w:t>, A. (2006). When sex is more than just sex: attachment orientations, sexual experience, and relationship quality. </w:t>
      </w:r>
      <w:r w:rsidRPr="003B57EA">
        <w:rPr>
          <w:rFonts w:asciiTheme="majorBidi" w:hAnsiTheme="majorBidi" w:cstheme="majorBidi"/>
          <w:i/>
          <w:iCs/>
          <w:shd w:val="clear" w:color="auto" w:fill="FFFFFF"/>
        </w:rPr>
        <w:t xml:space="preserve">Journal of </w:t>
      </w:r>
      <w:r w:rsidR="00A62CCB" w:rsidRPr="003B57EA">
        <w:rPr>
          <w:rFonts w:asciiTheme="majorBidi" w:hAnsiTheme="majorBidi" w:cstheme="majorBidi"/>
          <w:i/>
          <w:iCs/>
          <w:shd w:val="clear" w:color="auto" w:fill="FFFFFF"/>
        </w:rPr>
        <w:t xml:space="preserve">Personality </w:t>
      </w:r>
      <w:r w:rsidRPr="003B57EA">
        <w:rPr>
          <w:rFonts w:asciiTheme="majorBidi" w:hAnsiTheme="majorBidi" w:cstheme="majorBidi"/>
          <w:i/>
          <w:iCs/>
          <w:shd w:val="clear" w:color="auto" w:fill="FFFFFF"/>
        </w:rPr>
        <w:t xml:space="preserve">and </w:t>
      </w:r>
      <w:r w:rsidR="00A62CCB" w:rsidRPr="003B57EA">
        <w:rPr>
          <w:rFonts w:asciiTheme="majorBidi" w:hAnsiTheme="majorBidi" w:cstheme="majorBidi"/>
          <w:i/>
          <w:iCs/>
          <w:shd w:val="clear" w:color="auto" w:fill="FFFFFF"/>
        </w:rPr>
        <w:t>Social Psychology</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91</w:t>
      </w:r>
      <w:r w:rsidRPr="003B57EA">
        <w:rPr>
          <w:rFonts w:asciiTheme="majorBidi" w:hAnsiTheme="majorBidi" w:cstheme="majorBidi"/>
          <w:shd w:val="clear" w:color="auto" w:fill="FFFFFF"/>
        </w:rPr>
        <w:t>(5), 929.</w:t>
      </w:r>
      <w:r w:rsidRPr="003B57EA">
        <w:rPr>
          <w:rFonts w:asciiTheme="majorBidi" w:hAnsiTheme="majorBidi" w:cstheme="majorBidi"/>
          <w:shd w:val="clear" w:color="auto" w:fill="FFFFFF"/>
          <w:rtl/>
        </w:rPr>
        <w:t>‏</w:t>
      </w:r>
    </w:p>
    <w:p w14:paraId="4938D2AE" w14:textId="2A94D416" w:rsidR="004B1F45" w:rsidRPr="003B57EA" w:rsidRDefault="004B1F45" w:rsidP="00C4003E">
      <w:pPr>
        <w:spacing w:line="480" w:lineRule="auto"/>
        <w:ind w:left="720" w:hanging="720"/>
        <w:contextualSpacing/>
        <w:jc w:val="both"/>
        <w:rPr>
          <w:rFonts w:asciiTheme="majorBidi" w:hAnsiTheme="majorBidi" w:cstheme="majorBidi"/>
          <w:noProof/>
        </w:rPr>
      </w:pPr>
      <w:r w:rsidRPr="003B57EA">
        <w:rPr>
          <w:rFonts w:asciiTheme="majorBidi" w:hAnsiTheme="majorBidi" w:cstheme="majorBidi"/>
          <w:noProof/>
        </w:rPr>
        <w:t xml:space="preserve">Brennan, K. A., Clark, C. L., &amp; Shaver, P. R. (1998). Self-report measurement of adult attachment: An integrative overview. In J. A. Simpson &amp; W. S. Rholes (Eds.), </w:t>
      </w:r>
      <w:r w:rsidRPr="003B57EA">
        <w:rPr>
          <w:rFonts w:asciiTheme="majorBidi" w:hAnsiTheme="majorBidi" w:cstheme="majorBidi"/>
          <w:i/>
          <w:iCs/>
          <w:noProof/>
        </w:rPr>
        <w:t xml:space="preserve">Attachment </w:t>
      </w:r>
      <w:r w:rsidR="00A62CCB" w:rsidRPr="003B57EA">
        <w:rPr>
          <w:rFonts w:asciiTheme="majorBidi" w:hAnsiTheme="majorBidi" w:cstheme="majorBidi"/>
          <w:i/>
          <w:iCs/>
          <w:noProof/>
        </w:rPr>
        <w:t xml:space="preserve">Theory </w:t>
      </w:r>
      <w:r w:rsidRPr="003B57EA">
        <w:rPr>
          <w:rFonts w:asciiTheme="majorBidi" w:hAnsiTheme="majorBidi" w:cstheme="majorBidi"/>
          <w:i/>
          <w:iCs/>
          <w:noProof/>
        </w:rPr>
        <w:t xml:space="preserve">and </w:t>
      </w:r>
      <w:r w:rsidR="00A62CCB" w:rsidRPr="003B57EA">
        <w:rPr>
          <w:rFonts w:asciiTheme="majorBidi" w:hAnsiTheme="majorBidi" w:cstheme="majorBidi"/>
          <w:i/>
          <w:iCs/>
          <w:noProof/>
        </w:rPr>
        <w:t>Close Relationships</w:t>
      </w:r>
      <w:r w:rsidR="00A62CCB" w:rsidRPr="003B57EA">
        <w:rPr>
          <w:rFonts w:asciiTheme="majorBidi" w:hAnsiTheme="majorBidi" w:cstheme="majorBidi"/>
          <w:noProof/>
        </w:rPr>
        <w:t xml:space="preserve"> </w:t>
      </w:r>
      <w:r w:rsidRPr="003B57EA">
        <w:rPr>
          <w:rFonts w:asciiTheme="majorBidi" w:hAnsiTheme="majorBidi" w:cstheme="majorBidi"/>
          <w:noProof/>
        </w:rPr>
        <w:t>(pp. 46-76). New York: Guilford Press.</w:t>
      </w:r>
    </w:p>
    <w:p w14:paraId="7B9986AD" w14:textId="08CFAABD" w:rsidR="00A62CCB" w:rsidRPr="003B57EA" w:rsidRDefault="00A62CCB" w:rsidP="00C4003E">
      <w:pPr>
        <w:spacing w:line="480" w:lineRule="auto"/>
        <w:ind w:left="720" w:hanging="720"/>
        <w:contextualSpacing/>
        <w:jc w:val="both"/>
        <w:rPr>
          <w:rFonts w:asciiTheme="majorBidi" w:hAnsiTheme="majorBidi" w:cstheme="majorBidi"/>
          <w:noProof/>
        </w:rPr>
      </w:pPr>
    </w:p>
    <w:p w14:paraId="21D5C48B" w14:textId="77777777" w:rsidR="00A62CCB" w:rsidRPr="003B57EA" w:rsidRDefault="00A62CCB" w:rsidP="00C4003E">
      <w:pPr>
        <w:spacing w:line="480" w:lineRule="auto"/>
        <w:ind w:left="720" w:hanging="720"/>
        <w:contextualSpacing/>
        <w:jc w:val="both"/>
        <w:rPr>
          <w:rFonts w:asciiTheme="majorBidi" w:hAnsiTheme="majorBidi" w:cstheme="majorBidi"/>
          <w:noProof/>
        </w:rPr>
      </w:pPr>
    </w:p>
    <w:p w14:paraId="23F727D7" w14:textId="50496693"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r w:rsidRPr="003B57EA">
        <w:rPr>
          <w:rFonts w:asciiTheme="majorBidi" w:hAnsiTheme="majorBidi" w:cstheme="majorBidi"/>
          <w:szCs w:val="24"/>
          <w:shd w:val="clear" w:color="auto" w:fill="FFFFFF"/>
        </w:rPr>
        <w:lastRenderedPageBreak/>
        <w:t>Caplan, S. E. (2010). Theory and measurement of generalized problematic Internet use: A two-step approach. </w:t>
      </w:r>
      <w:r w:rsidRPr="003B57EA">
        <w:rPr>
          <w:rFonts w:asciiTheme="majorBidi" w:hAnsiTheme="majorBidi" w:cstheme="majorBidi"/>
          <w:i/>
          <w:iCs/>
          <w:szCs w:val="24"/>
          <w:shd w:val="clear" w:color="auto" w:fill="FFFFFF"/>
        </w:rPr>
        <w:t xml:space="preserve">Computers in </w:t>
      </w:r>
      <w:r w:rsidR="00A62CCB" w:rsidRPr="003B57EA">
        <w:rPr>
          <w:rFonts w:asciiTheme="majorBidi" w:hAnsiTheme="majorBidi" w:cstheme="majorBidi"/>
          <w:i/>
          <w:iCs/>
          <w:szCs w:val="24"/>
          <w:shd w:val="clear" w:color="auto" w:fill="FFFFFF"/>
        </w:rPr>
        <w:t>Human Behavior</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26</w:t>
      </w:r>
      <w:r w:rsidRPr="003B57EA">
        <w:rPr>
          <w:rFonts w:asciiTheme="majorBidi" w:hAnsiTheme="majorBidi" w:cstheme="majorBidi"/>
          <w:szCs w:val="24"/>
          <w:shd w:val="clear" w:color="auto" w:fill="FFFFFF"/>
        </w:rPr>
        <w:t>(5), 1089-1097.</w:t>
      </w:r>
      <w:r w:rsidRPr="003B57EA">
        <w:rPr>
          <w:rFonts w:asciiTheme="majorBidi" w:hAnsiTheme="majorBidi" w:cstheme="majorBidi"/>
          <w:szCs w:val="24"/>
          <w:shd w:val="clear" w:color="auto" w:fill="FFFFFF"/>
          <w:rtl/>
        </w:rPr>
        <w:t>‏</w:t>
      </w:r>
    </w:p>
    <w:p w14:paraId="5BC039A5" w14:textId="3A915261"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proofErr w:type="spellStart"/>
      <w:r w:rsidRPr="003B57EA">
        <w:rPr>
          <w:rFonts w:asciiTheme="majorBidi" w:hAnsiTheme="majorBidi" w:cstheme="majorBidi"/>
          <w:szCs w:val="24"/>
          <w:shd w:val="clear" w:color="auto" w:fill="FFFFFF"/>
        </w:rPr>
        <w:t>Casale</w:t>
      </w:r>
      <w:proofErr w:type="spellEnd"/>
      <w:r w:rsidRPr="003B57EA">
        <w:rPr>
          <w:rFonts w:asciiTheme="majorBidi" w:hAnsiTheme="majorBidi" w:cstheme="majorBidi"/>
          <w:szCs w:val="24"/>
          <w:shd w:val="clear" w:color="auto" w:fill="FFFFFF"/>
        </w:rPr>
        <w:t>, S., Caplan, S. E., &amp; Fioravanti, G. (2016). Positive metacognitions about Internet use: The mediating role in the relationship between emotional dysregulation and problematic use. </w:t>
      </w:r>
      <w:r w:rsidRPr="003B57EA">
        <w:rPr>
          <w:rFonts w:asciiTheme="majorBidi" w:hAnsiTheme="majorBidi" w:cstheme="majorBidi"/>
          <w:i/>
          <w:iCs/>
          <w:szCs w:val="24"/>
          <w:shd w:val="clear" w:color="auto" w:fill="FFFFFF"/>
        </w:rPr>
        <w:t xml:space="preserve">Addictive </w:t>
      </w:r>
      <w:r w:rsidR="00A62CCB" w:rsidRPr="003B57EA">
        <w:rPr>
          <w:rFonts w:asciiTheme="majorBidi" w:hAnsiTheme="majorBidi" w:cstheme="majorBidi"/>
          <w:i/>
          <w:iCs/>
          <w:szCs w:val="24"/>
          <w:shd w:val="clear" w:color="auto" w:fill="FFFFFF"/>
        </w:rPr>
        <w:t>Behaviors</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59</w:t>
      </w:r>
      <w:r w:rsidRPr="003B57EA">
        <w:rPr>
          <w:rFonts w:asciiTheme="majorBidi" w:hAnsiTheme="majorBidi" w:cstheme="majorBidi"/>
          <w:szCs w:val="24"/>
          <w:shd w:val="clear" w:color="auto" w:fill="FFFFFF"/>
        </w:rPr>
        <w:t>, 84-88.</w:t>
      </w:r>
      <w:r w:rsidRPr="003B57EA">
        <w:rPr>
          <w:rFonts w:asciiTheme="majorBidi" w:hAnsiTheme="majorBidi" w:cstheme="majorBidi"/>
          <w:szCs w:val="24"/>
          <w:shd w:val="clear" w:color="auto" w:fill="FFFFFF"/>
          <w:rtl/>
        </w:rPr>
        <w:t>‏</w:t>
      </w:r>
    </w:p>
    <w:p w14:paraId="78706746" w14:textId="77777777" w:rsidR="004B1F45" w:rsidRPr="003B57EA" w:rsidRDefault="004B1F45" w:rsidP="00C4003E">
      <w:pPr>
        <w:pStyle w:val="EndNoteBibliography"/>
        <w:ind w:left="720" w:hanging="720"/>
        <w:jc w:val="both"/>
        <w:rPr>
          <w:rFonts w:asciiTheme="majorBidi" w:hAnsiTheme="majorBidi"/>
          <w:lang w:val="it-IT"/>
        </w:rPr>
      </w:pPr>
      <w:proofErr w:type="spellStart"/>
      <w:r w:rsidRPr="003B57EA">
        <w:rPr>
          <w:rFonts w:asciiTheme="majorBidi" w:hAnsiTheme="majorBidi" w:cstheme="majorBidi"/>
          <w:szCs w:val="24"/>
          <w:shd w:val="clear" w:color="auto" w:fill="FFFFFF"/>
        </w:rPr>
        <w:t>Casale</w:t>
      </w:r>
      <w:proofErr w:type="spellEnd"/>
      <w:r w:rsidRPr="003B57EA">
        <w:rPr>
          <w:rFonts w:asciiTheme="majorBidi" w:hAnsiTheme="majorBidi" w:cstheme="majorBidi"/>
          <w:szCs w:val="24"/>
          <w:shd w:val="clear" w:color="auto" w:fill="FFFFFF"/>
        </w:rPr>
        <w:t xml:space="preserve">, S., </w:t>
      </w:r>
      <w:proofErr w:type="spellStart"/>
      <w:r w:rsidRPr="003B57EA">
        <w:rPr>
          <w:rFonts w:asciiTheme="majorBidi" w:hAnsiTheme="majorBidi" w:cstheme="majorBidi"/>
          <w:szCs w:val="24"/>
          <w:shd w:val="clear" w:color="auto" w:fill="FFFFFF"/>
        </w:rPr>
        <w:t>Musicò</w:t>
      </w:r>
      <w:proofErr w:type="spellEnd"/>
      <w:r w:rsidRPr="003B57EA">
        <w:rPr>
          <w:rFonts w:asciiTheme="majorBidi" w:hAnsiTheme="majorBidi" w:cstheme="majorBidi"/>
          <w:szCs w:val="24"/>
          <w:shd w:val="clear" w:color="auto" w:fill="FFFFFF"/>
        </w:rPr>
        <w:t>, A., &amp; Spada, M. M. (2021). A systematic review of metacognitions in Internet Gaming Disorder and problematic Internet, smartphone and social networking sites use. </w:t>
      </w:r>
      <w:r w:rsidRPr="003B57EA">
        <w:rPr>
          <w:rFonts w:asciiTheme="majorBidi" w:hAnsiTheme="majorBidi"/>
          <w:i/>
          <w:shd w:val="clear" w:color="auto" w:fill="FFFFFF"/>
          <w:lang w:val="it-IT"/>
        </w:rPr>
        <w:t>Clinical Psychology &amp; Psychotherapy</w:t>
      </w:r>
      <w:r w:rsidRPr="003B57EA">
        <w:rPr>
          <w:rFonts w:asciiTheme="majorBidi" w:hAnsiTheme="majorBidi"/>
          <w:shd w:val="clear" w:color="auto" w:fill="FFFFFF"/>
          <w:lang w:val="it-IT"/>
        </w:rPr>
        <w:t>, </w:t>
      </w:r>
      <w:r w:rsidRPr="003B57EA">
        <w:rPr>
          <w:rFonts w:asciiTheme="majorBidi" w:hAnsiTheme="majorBidi"/>
          <w:i/>
          <w:shd w:val="clear" w:color="auto" w:fill="FFFFFF"/>
          <w:lang w:val="it-IT"/>
        </w:rPr>
        <w:t>28</w:t>
      </w:r>
      <w:r w:rsidRPr="003B57EA">
        <w:rPr>
          <w:rFonts w:asciiTheme="majorBidi" w:hAnsiTheme="majorBidi"/>
          <w:shd w:val="clear" w:color="auto" w:fill="FFFFFF"/>
          <w:lang w:val="it-IT"/>
        </w:rPr>
        <w:t>(6), 1494-1508.</w:t>
      </w:r>
      <w:r w:rsidRPr="003B57EA">
        <w:rPr>
          <w:rFonts w:asciiTheme="majorBidi" w:hAnsiTheme="majorBidi" w:cstheme="majorBidi"/>
          <w:szCs w:val="24"/>
          <w:shd w:val="clear" w:color="auto" w:fill="FFFFFF"/>
          <w:rtl/>
        </w:rPr>
        <w:t>‏</w:t>
      </w:r>
    </w:p>
    <w:p w14:paraId="0B36DDB2" w14:textId="35942B63" w:rsidR="004B1F45" w:rsidRPr="003B57EA" w:rsidRDefault="004B1F45" w:rsidP="00C4003E">
      <w:pPr>
        <w:pStyle w:val="EndNoteBibliography"/>
        <w:ind w:left="720" w:hanging="720"/>
        <w:jc w:val="both"/>
        <w:rPr>
          <w:rFonts w:asciiTheme="majorBidi" w:hAnsiTheme="majorBidi"/>
          <w:shd w:val="clear" w:color="auto" w:fill="FFFFFF"/>
          <w:lang w:val="it-IT"/>
        </w:rPr>
      </w:pPr>
      <w:r w:rsidRPr="003B57EA">
        <w:rPr>
          <w:rFonts w:asciiTheme="majorBidi" w:hAnsiTheme="majorBidi"/>
          <w:shd w:val="clear" w:color="auto" w:fill="FFFFFF"/>
          <w:lang w:val="it-IT"/>
        </w:rPr>
        <w:t xml:space="preserve">Caselli, G., Offredi, A., Martino, F., Varalli, D., Ruggiero, G. M., Sassaroli, S., ... </w:t>
      </w:r>
      <w:r w:rsidRPr="003B57EA">
        <w:rPr>
          <w:rFonts w:asciiTheme="majorBidi" w:hAnsiTheme="majorBidi" w:cstheme="majorBidi"/>
          <w:szCs w:val="24"/>
          <w:shd w:val="clear" w:color="auto" w:fill="FFFFFF"/>
        </w:rPr>
        <w:t>&amp; Wells, A. (2017). Metacognitive beliefs and rumination as predictors of anger: A prospective study. </w:t>
      </w:r>
      <w:r w:rsidRPr="003B57EA">
        <w:rPr>
          <w:rFonts w:asciiTheme="majorBidi" w:hAnsiTheme="majorBidi"/>
          <w:i/>
          <w:shd w:val="clear" w:color="auto" w:fill="FFFFFF"/>
          <w:lang w:val="it-IT"/>
        </w:rPr>
        <w:t xml:space="preserve">Aggressive </w:t>
      </w:r>
      <w:r w:rsidR="00A62CCB" w:rsidRPr="003B57EA">
        <w:rPr>
          <w:rFonts w:asciiTheme="majorBidi" w:hAnsiTheme="majorBidi"/>
          <w:i/>
          <w:shd w:val="clear" w:color="auto" w:fill="FFFFFF"/>
          <w:lang w:val="it-IT"/>
        </w:rPr>
        <w:t>Behavior</w:t>
      </w:r>
      <w:r w:rsidRPr="003B57EA">
        <w:rPr>
          <w:rFonts w:asciiTheme="majorBidi" w:hAnsiTheme="majorBidi"/>
          <w:shd w:val="clear" w:color="auto" w:fill="FFFFFF"/>
          <w:lang w:val="it-IT"/>
        </w:rPr>
        <w:t>, </w:t>
      </w:r>
      <w:r w:rsidRPr="003B57EA">
        <w:rPr>
          <w:rFonts w:asciiTheme="majorBidi" w:hAnsiTheme="majorBidi"/>
          <w:i/>
          <w:shd w:val="clear" w:color="auto" w:fill="FFFFFF"/>
          <w:lang w:val="it-IT"/>
        </w:rPr>
        <w:t>43</w:t>
      </w:r>
      <w:r w:rsidRPr="003B57EA">
        <w:rPr>
          <w:rFonts w:asciiTheme="majorBidi" w:hAnsiTheme="majorBidi"/>
          <w:shd w:val="clear" w:color="auto" w:fill="FFFFFF"/>
          <w:lang w:val="it-IT"/>
        </w:rPr>
        <w:t>(5), 421-429.</w:t>
      </w:r>
      <w:r w:rsidRPr="003B57EA">
        <w:rPr>
          <w:rFonts w:asciiTheme="majorBidi" w:hAnsiTheme="majorBidi" w:cstheme="majorBidi"/>
          <w:szCs w:val="24"/>
          <w:shd w:val="clear" w:color="auto" w:fill="FFFFFF"/>
          <w:rtl/>
        </w:rPr>
        <w:t>‏</w:t>
      </w:r>
      <w:r w:rsidRPr="003B57EA">
        <w:rPr>
          <w:rFonts w:asciiTheme="majorBidi" w:hAnsiTheme="majorBidi"/>
          <w:shd w:val="clear" w:color="auto" w:fill="FFFFFF"/>
          <w:lang w:val="it-IT"/>
        </w:rPr>
        <w:t xml:space="preserve"> </w:t>
      </w:r>
    </w:p>
    <w:p w14:paraId="63BBEC59" w14:textId="77777777" w:rsidR="00B048AF" w:rsidRPr="003B57EA" w:rsidRDefault="00B048AF" w:rsidP="00C4003E">
      <w:pPr>
        <w:widowControl w:val="0"/>
        <w:autoSpaceDE w:val="0"/>
        <w:autoSpaceDN w:val="0"/>
        <w:adjustRightInd w:val="0"/>
        <w:spacing w:line="480" w:lineRule="auto"/>
        <w:jc w:val="both"/>
        <w:rPr>
          <w:shd w:val="clear" w:color="auto" w:fill="FFFFFF"/>
          <w:lang w:val="en-GB"/>
        </w:rPr>
      </w:pPr>
      <w:r w:rsidRPr="003B57EA">
        <w:rPr>
          <w:shd w:val="clear" w:color="auto" w:fill="FFFFFF"/>
          <w:lang w:val="en-GB"/>
        </w:rPr>
        <w:t xml:space="preserve">Caselli, G., Martino, F., Spada, M. M., &amp; Wells, A. (2018). Metacognitive Therapy for </w:t>
      </w:r>
    </w:p>
    <w:p w14:paraId="37F4F2CD" w14:textId="7BC908BE" w:rsidR="00B048AF" w:rsidRPr="003B57EA" w:rsidRDefault="00B048AF" w:rsidP="00C4003E">
      <w:pPr>
        <w:widowControl w:val="0"/>
        <w:autoSpaceDE w:val="0"/>
        <w:autoSpaceDN w:val="0"/>
        <w:adjustRightInd w:val="0"/>
        <w:spacing w:line="480" w:lineRule="auto"/>
        <w:ind w:left="720"/>
        <w:jc w:val="both"/>
        <w:rPr>
          <w:lang w:val="en-GB"/>
        </w:rPr>
      </w:pPr>
      <w:r w:rsidRPr="003B57EA">
        <w:rPr>
          <w:shd w:val="clear" w:color="auto" w:fill="FFFFFF"/>
          <w:lang w:val="en-GB"/>
        </w:rPr>
        <w:t>Alcohol Use Disorder: A Systematic Case Series. </w:t>
      </w:r>
      <w:r w:rsidRPr="003B57EA">
        <w:rPr>
          <w:i/>
          <w:iCs/>
          <w:shd w:val="clear" w:color="auto" w:fill="FFFFFF"/>
          <w:lang w:val="en-GB"/>
        </w:rPr>
        <w:t>Frontiers in Psychology</w:t>
      </w:r>
      <w:r w:rsidRPr="003B57EA">
        <w:rPr>
          <w:shd w:val="clear" w:color="auto" w:fill="FFFFFF"/>
          <w:lang w:val="en-GB"/>
        </w:rPr>
        <w:t>, </w:t>
      </w:r>
      <w:r w:rsidRPr="003B57EA">
        <w:rPr>
          <w:i/>
          <w:iCs/>
          <w:shd w:val="clear" w:color="auto" w:fill="FFFFFF"/>
          <w:lang w:val="en-GB"/>
        </w:rPr>
        <w:t>9</w:t>
      </w:r>
      <w:r w:rsidRPr="003B57EA">
        <w:rPr>
          <w:shd w:val="clear" w:color="auto" w:fill="FFFFFF"/>
          <w:lang w:val="en-GB"/>
        </w:rPr>
        <w:t>, 2019.</w:t>
      </w:r>
    </w:p>
    <w:p w14:paraId="52E3B37B" w14:textId="20E2066F" w:rsidR="004B1F45" w:rsidRPr="003B57EA" w:rsidRDefault="004B1F45" w:rsidP="00C4003E">
      <w:pPr>
        <w:pStyle w:val="EndNoteBibliography"/>
        <w:ind w:left="720" w:hanging="720"/>
        <w:jc w:val="both"/>
        <w:rPr>
          <w:rFonts w:asciiTheme="majorBidi" w:hAnsiTheme="majorBidi" w:cstheme="majorBidi"/>
          <w:szCs w:val="24"/>
        </w:rPr>
      </w:pPr>
      <w:r w:rsidRPr="003B57EA">
        <w:rPr>
          <w:rFonts w:asciiTheme="majorBidi" w:hAnsiTheme="majorBidi"/>
          <w:shd w:val="clear" w:color="auto" w:fill="FFFFFF"/>
          <w:lang w:val="it-IT"/>
        </w:rPr>
        <w:t xml:space="preserve">Cavicchioli, M., Movalli, M., Vassena, G., Ramella, P., Prudenziati, F., &amp; Maffei, C. (2019). </w:t>
      </w:r>
      <w:r w:rsidRPr="003B57EA">
        <w:rPr>
          <w:rFonts w:asciiTheme="majorBidi" w:hAnsiTheme="majorBidi" w:cstheme="majorBidi"/>
          <w:szCs w:val="24"/>
          <w:shd w:val="clear" w:color="auto" w:fill="FFFFFF"/>
        </w:rPr>
        <w:t>The therapeutic role of emotion regulation and coping strategies during a stand-alone DBT Skills training program for alcohol use disorder and concurrent substance use disorders. </w:t>
      </w:r>
      <w:r w:rsidRPr="003B57EA">
        <w:rPr>
          <w:rFonts w:asciiTheme="majorBidi" w:hAnsiTheme="majorBidi" w:cstheme="majorBidi"/>
          <w:i/>
          <w:iCs/>
          <w:szCs w:val="24"/>
          <w:shd w:val="clear" w:color="auto" w:fill="FFFFFF"/>
        </w:rPr>
        <w:t xml:space="preserve">Addictive </w:t>
      </w:r>
      <w:r w:rsidR="00A62CCB" w:rsidRPr="003B57EA">
        <w:rPr>
          <w:rFonts w:asciiTheme="majorBidi" w:hAnsiTheme="majorBidi" w:cstheme="majorBidi"/>
          <w:i/>
          <w:iCs/>
          <w:szCs w:val="24"/>
          <w:shd w:val="clear" w:color="auto" w:fill="FFFFFF"/>
        </w:rPr>
        <w:t>Behaviors</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98</w:t>
      </w:r>
      <w:r w:rsidRPr="003B57EA">
        <w:rPr>
          <w:rFonts w:asciiTheme="majorBidi" w:hAnsiTheme="majorBidi" w:cstheme="majorBidi"/>
          <w:szCs w:val="24"/>
          <w:shd w:val="clear" w:color="auto" w:fill="FFFFFF"/>
        </w:rPr>
        <w:t>, 106035.</w:t>
      </w:r>
      <w:r w:rsidRPr="003B57EA">
        <w:rPr>
          <w:rFonts w:asciiTheme="majorBidi" w:hAnsiTheme="majorBidi" w:cstheme="majorBidi"/>
          <w:szCs w:val="24"/>
          <w:shd w:val="clear" w:color="auto" w:fill="FFFFFF"/>
          <w:rtl/>
        </w:rPr>
        <w:t>‏</w:t>
      </w:r>
    </w:p>
    <w:p w14:paraId="046949E8" w14:textId="77777777" w:rsidR="004B1F45" w:rsidRPr="003B57EA" w:rsidRDefault="004B1F45" w:rsidP="00C4003E">
      <w:pPr>
        <w:pStyle w:val="EndNoteBibliography"/>
        <w:ind w:left="720" w:hanging="720"/>
        <w:jc w:val="both"/>
        <w:rPr>
          <w:rFonts w:asciiTheme="majorBidi" w:hAnsiTheme="majorBidi" w:cstheme="majorBidi"/>
          <w:noProof/>
          <w:szCs w:val="24"/>
        </w:rPr>
      </w:pPr>
      <w:r w:rsidRPr="003B57EA">
        <w:rPr>
          <w:rFonts w:asciiTheme="majorBidi" w:hAnsiTheme="majorBidi" w:cstheme="majorBidi"/>
          <w:szCs w:val="24"/>
        </w:rPr>
        <w:fldChar w:fldCharType="begin"/>
      </w:r>
      <w:r w:rsidRPr="003B57EA">
        <w:rPr>
          <w:rFonts w:asciiTheme="majorBidi" w:hAnsiTheme="majorBidi" w:cstheme="majorBidi"/>
          <w:szCs w:val="24"/>
        </w:rPr>
        <w:instrText xml:space="preserve"> ADDIN EN.REFLIST </w:instrText>
      </w:r>
      <w:r w:rsidRPr="003B57EA">
        <w:rPr>
          <w:rFonts w:asciiTheme="majorBidi" w:hAnsiTheme="majorBidi" w:cstheme="majorBidi"/>
          <w:szCs w:val="24"/>
        </w:rPr>
        <w:fldChar w:fldCharType="separate"/>
      </w:r>
      <w:r w:rsidRPr="003B57EA">
        <w:rPr>
          <w:rFonts w:asciiTheme="majorBidi" w:hAnsiTheme="majorBidi" w:cstheme="majorBidi"/>
          <w:noProof/>
          <w:szCs w:val="24"/>
        </w:rPr>
        <w:t xml:space="preserve">Christensen, A. P., &amp; Golino, H. (2021). On the equivalency of factor and network loadings. </w:t>
      </w:r>
      <w:r w:rsidRPr="003B57EA">
        <w:rPr>
          <w:rFonts w:asciiTheme="majorBidi" w:hAnsiTheme="majorBidi" w:cstheme="majorBidi"/>
          <w:i/>
          <w:noProof/>
          <w:szCs w:val="24"/>
        </w:rPr>
        <w:t>Behavior Research Methods</w:t>
      </w:r>
      <w:r w:rsidRPr="003B57EA">
        <w:rPr>
          <w:rFonts w:asciiTheme="majorBidi" w:hAnsiTheme="majorBidi" w:cstheme="majorBidi"/>
          <w:noProof/>
          <w:szCs w:val="24"/>
        </w:rPr>
        <w:t>,</w:t>
      </w:r>
      <w:r w:rsidRPr="003B57EA">
        <w:rPr>
          <w:rFonts w:asciiTheme="majorBidi" w:hAnsiTheme="majorBidi" w:cstheme="majorBidi"/>
          <w:i/>
          <w:noProof/>
          <w:szCs w:val="24"/>
        </w:rPr>
        <w:t xml:space="preserve"> 53</w:t>
      </w:r>
      <w:r w:rsidRPr="003B57EA">
        <w:rPr>
          <w:rFonts w:asciiTheme="majorBidi" w:hAnsiTheme="majorBidi" w:cstheme="majorBidi"/>
          <w:noProof/>
          <w:szCs w:val="24"/>
        </w:rPr>
        <w:t xml:space="preserve">(4), 1563-1580. </w:t>
      </w:r>
    </w:p>
    <w:p w14:paraId="5645030D" w14:textId="392EFEAB"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r w:rsidRPr="003B57EA">
        <w:rPr>
          <w:rFonts w:asciiTheme="majorBidi" w:hAnsiTheme="majorBidi" w:cstheme="majorBidi"/>
          <w:szCs w:val="24"/>
          <w:shd w:val="clear" w:color="auto" w:fill="FFFFFF"/>
        </w:rPr>
        <w:t>Cole, P. M., Michel, M. K., &amp; Teti, L. O. D. (1994). The development of emotion regulation and dysregulation: A clinical perspective. </w:t>
      </w:r>
      <w:r w:rsidRPr="003B57EA">
        <w:rPr>
          <w:rFonts w:asciiTheme="majorBidi" w:hAnsiTheme="majorBidi" w:cstheme="majorBidi"/>
          <w:i/>
          <w:iCs/>
          <w:szCs w:val="24"/>
          <w:shd w:val="clear" w:color="auto" w:fill="FFFFFF"/>
        </w:rPr>
        <w:t xml:space="preserve">Monographs of the </w:t>
      </w:r>
      <w:r w:rsidR="00A62CCB" w:rsidRPr="003B57EA">
        <w:rPr>
          <w:rFonts w:asciiTheme="majorBidi" w:hAnsiTheme="majorBidi" w:cstheme="majorBidi"/>
          <w:i/>
          <w:iCs/>
          <w:szCs w:val="24"/>
          <w:shd w:val="clear" w:color="auto" w:fill="FFFFFF"/>
        </w:rPr>
        <w:t>S</w:t>
      </w:r>
      <w:r w:rsidRPr="003B57EA">
        <w:rPr>
          <w:rFonts w:asciiTheme="majorBidi" w:hAnsiTheme="majorBidi" w:cstheme="majorBidi"/>
          <w:i/>
          <w:iCs/>
          <w:szCs w:val="24"/>
          <w:shd w:val="clear" w:color="auto" w:fill="FFFFFF"/>
        </w:rPr>
        <w:t xml:space="preserve">ociety for </w:t>
      </w:r>
      <w:r w:rsidR="00A62CCB" w:rsidRPr="003B57EA">
        <w:rPr>
          <w:rFonts w:asciiTheme="majorBidi" w:hAnsiTheme="majorBidi" w:cstheme="majorBidi"/>
          <w:i/>
          <w:iCs/>
          <w:szCs w:val="24"/>
          <w:shd w:val="clear" w:color="auto" w:fill="FFFFFF"/>
        </w:rPr>
        <w:t xml:space="preserve">Research </w:t>
      </w:r>
      <w:r w:rsidRPr="003B57EA">
        <w:rPr>
          <w:rFonts w:asciiTheme="majorBidi" w:hAnsiTheme="majorBidi" w:cstheme="majorBidi"/>
          <w:i/>
          <w:iCs/>
          <w:szCs w:val="24"/>
          <w:shd w:val="clear" w:color="auto" w:fill="FFFFFF"/>
        </w:rPr>
        <w:t xml:space="preserve">in </w:t>
      </w:r>
      <w:r w:rsidR="00A62CCB" w:rsidRPr="003B57EA">
        <w:rPr>
          <w:rFonts w:asciiTheme="majorBidi" w:hAnsiTheme="majorBidi" w:cstheme="majorBidi"/>
          <w:i/>
          <w:iCs/>
          <w:szCs w:val="24"/>
          <w:shd w:val="clear" w:color="auto" w:fill="FFFFFF"/>
        </w:rPr>
        <w:t>Child Development</w:t>
      </w:r>
      <w:r w:rsidRPr="003B57EA">
        <w:rPr>
          <w:rFonts w:asciiTheme="majorBidi" w:hAnsiTheme="majorBidi" w:cstheme="majorBidi"/>
          <w:szCs w:val="24"/>
          <w:shd w:val="clear" w:color="auto" w:fill="FFFFFF"/>
        </w:rPr>
        <w:t>, 73-100.</w:t>
      </w:r>
      <w:r w:rsidRPr="003B57EA">
        <w:rPr>
          <w:rFonts w:asciiTheme="majorBidi" w:hAnsiTheme="majorBidi" w:cstheme="majorBidi"/>
          <w:szCs w:val="24"/>
          <w:shd w:val="clear" w:color="auto" w:fill="FFFFFF"/>
          <w:rtl/>
        </w:rPr>
        <w:t>‏</w:t>
      </w:r>
    </w:p>
    <w:p w14:paraId="3092E549" w14:textId="77777777" w:rsidR="004B1F45" w:rsidRPr="003B57EA" w:rsidRDefault="004B1F45" w:rsidP="00C4003E">
      <w:pPr>
        <w:spacing w:line="480" w:lineRule="auto"/>
        <w:ind w:left="720" w:hanging="720"/>
        <w:contextualSpacing/>
        <w:jc w:val="both"/>
        <w:rPr>
          <w:rFonts w:asciiTheme="majorBidi" w:hAnsiTheme="majorBidi" w:cstheme="majorBidi"/>
          <w:lang w:val="x-none"/>
        </w:rPr>
      </w:pPr>
      <w:r w:rsidRPr="003B57EA">
        <w:rPr>
          <w:rFonts w:asciiTheme="majorBidi" w:hAnsiTheme="majorBidi" w:cstheme="majorBidi"/>
          <w:lang w:val="x-none"/>
        </w:rPr>
        <w:lastRenderedPageBreak/>
        <w:t>Collins, N.L.; Allard, L.M.</w:t>
      </w:r>
      <w:r w:rsidRPr="003B57EA">
        <w:rPr>
          <w:rFonts w:asciiTheme="majorBidi" w:hAnsiTheme="majorBidi" w:cstheme="majorBidi"/>
        </w:rPr>
        <w:t xml:space="preserve"> (2004).</w:t>
      </w:r>
      <w:r w:rsidRPr="003B57EA">
        <w:rPr>
          <w:rFonts w:asciiTheme="majorBidi" w:hAnsiTheme="majorBidi" w:cstheme="majorBidi"/>
          <w:lang w:val="x-none"/>
        </w:rPr>
        <w:t xml:space="preserve"> Cognitive Representations of Attachment: The Content and Function ofWorking Models. In </w:t>
      </w:r>
      <w:r w:rsidRPr="003B57EA">
        <w:rPr>
          <w:rFonts w:asciiTheme="majorBidi" w:hAnsiTheme="majorBidi" w:cstheme="majorBidi"/>
          <w:i/>
          <w:iCs/>
          <w:lang w:val="x-none"/>
        </w:rPr>
        <w:t>Social</w:t>
      </w:r>
      <w:r w:rsidRPr="003B57EA">
        <w:rPr>
          <w:rFonts w:asciiTheme="majorBidi" w:hAnsiTheme="majorBidi" w:cstheme="majorBidi"/>
          <w:i/>
          <w:iCs/>
        </w:rPr>
        <w:t xml:space="preserve"> </w:t>
      </w:r>
      <w:r w:rsidRPr="003B57EA">
        <w:rPr>
          <w:rFonts w:asciiTheme="majorBidi" w:hAnsiTheme="majorBidi" w:cstheme="majorBidi"/>
          <w:i/>
          <w:iCs/>
          <w:lang w:val="x-none"/>
        </w:rPr>
        <w:t>Cognition, Perspectives on Social Psychology</w:t>
      </w:r>
      <w:r w:rsidRPr="003B57EA">
        <w:rPr>
          <w:rFonts w:asciiTheme="majorBidi" w:hAnsiTheme="majorBidi" w:cstheme="majorBidi"/>
          <w:lang w:val="x-none"/>
        </w:rPr>
        <w:t>; Blackwell Publishing: Malden, MA, USA</w:t>
      </w:r>
      <w:r w:rsidRPr="003B57EA">
        <w:rPr>
          <w:rFonts w:asciiTheme="majorBidi" w:hAnsiTheme="majorBidi" w:cstheme="majorBidi"/>
        </w:rPr>
        <w:t>:</w:t>
      </w:r>
      <w:r w:rsidRPr="003B57EA">
        <w:rPr>
          <w:rFonts w:asciiTheme="majorBidi" w:hAnsiTheme="majorBidi" w:cstheme="majorBidi"/>
          <w:lang w:val="x-none"/>
        </w:rPr>
        <w:t xml:space="preserve"> pp. 75–101.</w:t>
      </w:r>
    </w:p>
    <w:p w14:paraId="0E72FA03" w14:textId="77777777"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r w:rsidRPr="003B57EA">
        <w:rPr>
          <w:rFonts w:asciiTheme="majorBidi" w:hAnsiTheme="majorBidi" w:cstheme="majorBidi"/>
          <w:szCs w:val="24"/>
          <w:shd w:val="clear" w:color="auto" w:fill="FFFFFF"/>
        </w:rPr>
        <w:t>Dang, L., Chen, J. H., Zhou, H., Spada, M. M., &amp; Wu, A. M. (2022). Validation of the metacognitions about online gaming scale (MOGS) among Chinese gamers. </w:t>
      </w:r>
      <w:r w:rsidRPr="003B57EA">
        <w:rPr>
          <w:rFonts w:asciiTheme="majorBidi" w:hAnsiTheme="majorBidi" w:cstheme="majorBidi"/>
          <w:i/>
          <w:iCs/>
          <w:szCs w:val="24"/>
          <w:shd w:val="clear" w:color="auto" w:fill="FFFFFF"/>
        </w:rPr>
        <w:t>Addictive Behaviors</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129</w:t>
      </w:r>
      <w:r w:rsidRPr="003B57EA">
        <w:rPr>
          <w:rFonts w:asciiTheme="majorBidi" w:hAnsiTheme="majorBidi" w:cstheme="majorBidi"/>
          <w:szCs w:val="24"/>
          <w:shd w:val="clear" w:color="auto" w:fill="FFFFFF"/>
        </w:rPr>
        <w:t>, 107255.</w:t>
      </w:r>
      <w:r w:rsidRPr="003B57EA">
        <w:rPr>
          <w:rFonts w:asciiTheme="majorBidi" w:hAnsiTheme="majorBidi" w:cstheme="majorBidi"/>
          <w:szCs w:val="24"/>
          <w:shd w:val="clear" w:color="auto" w:fill="FFFFFF"/>
          <w:rtl/>
        </w:rPr>
        <w:t>‏</w:t>
      </w:r>
    </w:p>
    <w:p w14:paraId="6BEE0C6B" w14:textId="490A6656"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r w:rsidRPr="003B57EA">
        <w:rPr>
          <w:rFonts w:asciiTheme="majorBidi" w:hAnsiTheme="majorBidi" w:cstheme="majorBidi"/>
          <w:szCs w:val="24"/>
          <w:shd w:val="clear" w:color="auto" w:fill="FFFFFF"/>
        </w:rPr>
        <w:t>Demetrovics, Z., Urbán, R., Nagygyörgy, K., Farkas, J., Zilahy, D., Mervó, B., ... &amp; Harmath, E. (2011). Why do you play? The development of the motives for online gaming questionnaire (MOGQ). </w:t>
      </w:r>
      <w:r w:rsidRPr="003B57EA">
        <w:rPr>
          <w:rFonts w:asciiTheme="majorBidi" w:hAnsiTheme="majorBidi" w:cstheme="majorBidi"/>
          <w:i/>
          <w:iCs/>
          <w:szCs w:val="24"/>
          <w:shd w:val="clear" w:color="auto" w:fill="FFFFFF"/>
        </w:rPr>
        <w:t xml:space="preserve">Behavior </w:t>
      </w:r>
      <w:r w:rsidR="00A62CCB" w:rsidRPr="003B57EA">
        <w:rPr>
          <w:rFonts w:asciiTheme="majorBidi" w:hAnsiTheme="majorBidi" w:cstheme="majorBidi"/>
          <w:i/>
          <w:iCs/>
          <w:szCs w:val="24"/>
          <w:shd w:val="clear" w:color="auto" w:fill="FFFFFF"/>
        </w:rPr>
        <w:t>Research Methods</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43</w:t>
      </w:r>
      <w:r w:rsidRPr="003B57EA">
        <w:rPr>
          <w:rFonts w:asciiTheme="majorBidi" w:hAnsiTheme="majorBidi" w:cstheme="majorBidi"/>
          <w:szCs w:val="24"/>
          <w:shd w:val="clear" w:color="auto" w:fill="FFFFFF"/>
        </w:rPr>
        <w:t>(3), 814-825.</w:t>
      </w:r>
      <w:r w:rsidRPr="003B57EA">
        <w:rPr>
          <w:rFonts w:asciiTheme="majorBidi" w:hAnsiTheme="majorBidi" w:cstheme="majorBidi"/>
          <w:szCs w:val="24"/>
          <w:shd w:val="clear" w:color="auto" w:fill="FFFFFF"/>
          <w:rtl/>
        </w:rPr>
        <w:t>‏</w:t>
      </w:r>
    </w:p>
    <w:p w14:paraId="265F6214" w14:textId="77777777" w:rsidR="004B1F45" w:rsidRPr="003B57EA" w:rsidRDefault="004B1F45" w:rsidP="00C4003E">
      <w:pPr>
        <w:pStyle w:val="EndNoteBibliography"/>
        <w:ind w:left="720" w:hanging="720"/>
        <w:jc w:val="both"/>
        <w:rPr>
          <w:rFonts w:asciiTheme="majorBidi" w:hAnsiTheme="majorBidi"/>
          <w:lang w:val="en-GB"/>
        </w:rPr>
      </w:pPr>
      <w:r w:rsidRPr="003B57EA">
        <w:rPr>
          <w:rFonts w:asciiTheme="majorBidi" w:hAnsiTheme="majorBidi" w:cstheme="majorBidi"/>
          <w:szCs w:val="24"/>
        </w:rPr>
        <w:t xml:space="preserve">Efrati, Y., &amp; </w:t>
      </w:r>
      <w:r w:rsidRPr="003B57EA">
        <w:rPr>
          <w:rFonts w:asciiTheme="majorBidi" w:eastAsia="Calibri" w:hAnsiTheme="majorBidi" w:cstheme="majorBidi"/>
          <w:noProof/>
          <w:szCs w:val="24"/>
          <w:lang w:bidi="ar-SA"/>
        </w:rPr>
        <w:t>Amichai-</w:t>
      </w:r>
      <w:r w:rsidRPr="003B57EA">
        <w:rPr>
          <w:rFonts w:asciiTheme="majorBidi" w:hAnsiTheme="majorBidi"/>
          <w:lang w:val="en-GB"/>
        </w:rPr>
        <w:t xml:space="preserve">Hamburger, Y. (2019). The use of online pornography as compensation for loneliness and lack of social ties among Israeli adolescents. </w:t>
      </w:r>
      <w:r w:rsidRPr="003B57EA">
        <w:rPr>
          <w:rFonts w:asciiTheme="majorBidi" w:hAnsiTheme="majorBidi"/>
          <w:i/>
          <w:lang w:val="en-GB"/>
        </w:rPr>
        <w:t>Psychological Reports</w:t>
      </w:r>
      <w:r w:rsidRPr="003B57EA">
        <w:rPr>
          <w:rFonts w:asciiTheme="majorBidi" w:hAnsiTheme="majorBidi"/>
          <w:lang w:val="en-GB"/>
        </w:rPr>
        <w:t xml:space="preserve">, </w:t>
      </w:r>
      <w:r w:rsidRPr="003B57EA">
        <w:rPr>
          <w:rFonts w:asciiTheme="majorBidi" w:hAnsiTheme="majorBidi"/>
          <w:i/>
          <w:lang w:val="en-GB"/>
        </w:rPr>
        <w:t>122</w:t>
      </w:r>
      <w:r w:rsidRPr="003B57EA">
        <w:rPr>
          <w:rFonts w:asciiTheme="majorBidi" w:hAnsiTheme="majorBidi"/>
          <w:lang w:val="en-GB"/>
        </w:rPr>
        <w:t>, 1865–1882</w:t>
      </w:r>
    </w:p>
    <w:p w14:paraId="344260D3" w14:textId="77777777" w:rsidR="004B1F45" w:rsidRPr="003B57EA" w:rsidRDefault="004B1F45" w:rsidP="00C4003E">
      <w:pPr>
        <w:pStyle w:val="EndNoteBibliography"/>
        <w:ind w:left="720" w:hanging="720"/>
        <w:jc w:val="both"/>
        <w:rPr>
          <w:rFonts w:asciiTheme="majorBidi" w:hAnsiTheme="majorBidi"/>
          <w:shd w:val="clear" w:color="auto" w:fill="FFFFFF"/>
          <w:lang w:val="en-GB"/>
        </w:rPr>
      </w:pPr>
      <w:r w:rsidRPr="003B57EA">
        <w:rPr>
          <w:rFonts w:asciiTheme="majorBidi" w:hAnsiTheme="majorBidi"/>
          <w:lang w:val="en-GB"/>
        </w:rPr>
        <w:t xml:space="preserve">Efrati, Y., &amp; Amichai-Hamburger, Y. (2020). </w:t>
      </w:r>
      <w:hyperlink r:id="rId14" w:history="1">
        <w:r w:rsidRPr="003B57EA">
          <w:rPr>
            <w:rFonts w:asciiTheme="majorBidi" w:hAnsiTheme="majorBidi"/>
            <w:lang w:val="en-GB"/>
          </w:rPr>
          <w:t>Are adolescents who consume pornography different from those who engaged in online sexual activities?</w:t>
        </w:r>
      </w:hyperlink>
      <w:r w:rsidRPr="003B57EA">
        <w:rPr>
          <w:rFonts w:asciiTheme="majorBidi" w:hAnsiTheme="majorBidi"/>
          <w:lang w:val="en-GB"/>
        </w:rPr>
        <w:t xml:space="preserve"> </w:t>
      </w:r>
      <w:r w:rsidRPr="003B57EA">
        <w:rPr>
          <w:rFonts w:asciiTheme="majorBidi" w:hAnsiTheme="majorBidi"/>
          <w:i/>
          <w:lang w:val="en-GB"/>
        </w:rPr>
        <w:t>Children and Youth Services Review</w:t>
      </w:r>
      <w:r w:rsidRPr="003B57EA">
        <w:rPr>
          <w:rFonts w:asciiTheme="majorBidi" w:hAnsiTheme="majorBidi"/>
          <w:lang w:val="en-GB"/>
        </w:rPr>
        <w:t xml:space="preserve">. </w:t>
      </w:r>
      <w:hyperlink r:id="rId15" w:tooltip="Go to table of contents for this volume/issue" w:history="1">
        <w:r w:rsidRPr="003B57EA">
          <w:rPr>
            <w:rFonts w:asciiTheme="majorBidi" w:hAnsiTheme="majorBidi"/>
            <w:lang w:val="en-GB"/>
          </w:rPr>
          <w:t>Volume 111</w:t>
        </w:r>
      </w:hyperlink>
      <w:r w:rsidRPr="003B57EA">
        <w:rPr>
          <w:rFonts w:asciiTheme="majorBidi" w:hAnsiTheme="majorBidi"/>
          <w:lang w:val="en-GB"/>
        </w:rPr>
        <w:t>, 104843</w:t>
      </w:r>
    </w:p>
    <w:p w14:paraId="71894409" w14:textId="77777777"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r w:rsidRPr="003B57EA">
        <w:rPr>
          <w:rFonts w:asciiTheme="majorBidi" w:hAnsiTheme="majorBidi"/>
          <w:shd w:val="clear" w:color="auto" w:fill="FFFFFF"/>
          <w:lang w:val="it-IT"/>
        </w:rPr>
        <w:t xml:space="preserve">Efrati, Y., Kolubinski, D. C., Marino, C., &amp; Spada, M. M. (2021). </w:t>
      </w:r>
      <w:r w:rsidRPr="003B57EA">
        <w:rPr>
          <w:rFonts w:asciiTheme="majorBidi" w:hAnsiTheme="majorBidi" w:cstheme="majorBidi"/>
          <w:szCs w:val="24"/>
          <w:shd w:val="clear" w:color="auto" w:fill="FFFFFF"/>
        </w:rPr>
        <w:t>Modelling the contribution of metacognitions, impulsiveness, and thought suppression to behavioural addictions in adolescents. </w:t>
      </w:r>
      <w:r w:rsidRPr="003B57EA">
        <w:rPr>
          <w:rFonts w:asciiTheme="majorBidi" w:hAnsiTheme="majorBidi" w:cstheme="majorBidi"/>
          <w:i/>
          <w:iCs/>
          <w:szCs w:val="24"/>
          <w:shd w:val="clear" w:color="auto" w:fill="FFFFFF"/>
        </w:rPr>
        <w:t>International Journal of Environmental Research and Public Health</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18</w:t>
      </w:r>
      <w:r w:rsidRPr="003B57EA">
        <w:rPr>
          <w:rFonts w:asciiTheme="majorBidi" w:hAnsiTheme="majorBidi" w:cstheme="majorBidi"/>
          <w:szCs w:val="24"/>
          <w:shd w:val="clear" w:color="auto" w:fill="FFFFFF"/>
        </w:rPr>
        <w:t>(7), 3820.</w:t>
      </w:r>
      <w:r w:rsidRPr="003B57EA">
        <w:rPr>
          <w:rFonts w:asciiTheme="majorBidi" w:hAnsiTheme="majorBidi" w:cstheme="majorBidi"/>
          <w:szCs w:val="24"/>
          <w:shd w:val="clear" w:color="auto" w:fill="FFFFFF"/>
          <w:rtl/>
        </w:rPr>
        <w:t>‏</w:t>
      </w:r>
    </w:p>
    <w:p w14:paraId="3A03EEC0" w14:textId="77777777"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r w:rsidRPr="003B57EA">
        <w:rPr>
          <w:rFonts w:asciiTheme="majorBidi" w:hAnsiTheme="majorBidi" w:cstheme="majorBidi"/>
          <w:szCs w:val="24"/>
          <w:shd w:val="clear" w:color="auto" w:fill="FFFFFF"/>
        </w:rPr>
        <w:t>Efrati, Y., &amp; Spada, M. M. (2022). Self-perceived substance and behavioral addictions among Jewish Israeli adolescents during the COVID-19 pandemic. </w:t>
      </w:r>
      <w:r w:rsidRPr="003B57EA">
        <w:rPr>
          <w:rFonts w:asciiTheme="majorBidi" w:hAnsiTheme="majorBidi" w:cstheme="majorBidi"/>
          <w:i/>
          <w:iCs/>
          <w:szCs w:val="24"/>
          <w:shd w:val="clear" w:color="auto" w:fill="FFFFFF"/>
        </w:rPr>
        <w:t>Addictive Behaviors Reports</w:t>
      </w:r>
      <w:r w:rsidRPr="003B57EA">
        <w:rPr>
          <w:rFonts w:asciiTheme="majorBidi" w:hAnsiTheme="majorBidi" w:cstheme="majorBidi"/>
          <w:szCs w:val="24"/>
          <w:shd w:val="clear" w:color="auto" w:fill="FFFFFF"/>
        </w:rPr>
        <w:t>, 100431.</w:t>
      </w:r>
      <w:r w:rsidRPr="003B57EA">
        <w:rPr>
          <w:rFonts w:asciiTheme="majorBidi" w:hAnsiTheme="majorBidi" w:cstheme="majorBidi"/>
          <w:szCs w:val="24"/>
          <w:shd w:val="clear" w:color="auto" w:fill="FFFFFF"/>
          <w:rtl/>
        </w:rPr>
        <w:t>‏</w:t>
      </w:r>
    </w:p>
    <w:p w14:paraId="43EB21BA" w14:textId="77777777" w:rsidR="004B1F45" w:rsidRPr="003B57EA" w:rsidRDefault="004B1F45" w:rsidP="00C4003E">
      <w:pPr>
        <w:pStyle w:val="EndNoteBibliography"/>
        <w:ind w:left="720" w:hanging="720"/>
        <w:jc w:val="both"/>
        <w:rPr>
          <w:rFonts w:asciiTheme="majorBidi" w:hAnsiTheme="majorBidi" w:cstheme="majorBidi"/>
          <w:noProof/>
          <w:szCs w:val="24"/>
        </w:rPr>
      </w:pPr>
      <w:r w:rsidRPr="003B57EA">
        <w:rPr>
          <w:rFonts w:asciiTheme="majorBidi" w:hAnsiTheme="majorBidi" w:cstheme="majorBidi"/>
          <w:szCs w:val="24"/>
          <w:shd w:val="clear" w:color="auto" w:fill="FFFFFF"/>
        </w:rPr>
        <w:lastRenderedPageBreak/>
        <w:t>Estevez, A., Jauregui, P., &amp; Lopez‐Gonzalez, H. (2019). Attachment and behavioral addictions in adolescents: The mediating and moderating role of coping strategies. </w:t>
      </w:r>
      <w:r w:rsidRPr="003B57EA">
        <w:rPr>
          <w:rFonts w:asciiTheme="majorBidi" w:hAnsiTheme="majorBidi" w:cstheme="majorBidi"/>
          <w:i/>
          <w:iCs/>
          <w:szCs w:val="24"/>
          <w:shd w:val="clear" w:color="auto" w:fill="FFFFFF"/>
        </w:rPr>
        <w:t>Scandinavian Journal of Psychology</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60</w:t>
      </w:r>
      <w:r w:rsidRPr="003B57EA">
        <w:rPr>
          <w:rFonts w:asciiTheme="majorBidi" w:hAnsiTheme="majorBidi" w:cstheme="majorBidi"/>
          <w:szCs w:val="24"/>
          <w:shd w:val="clear" w:color="auto" w:fill="FFFFFF"/>
        </w:rPr>
        <w:t>(4), 348-360.</w:t>
      </w:r>
      <w:r w:rsidRPr="003B57EA">
        <w:rPr>
          <w:rFonts w:asciiTheme="majorBidi" w:hAnsiTheme="majorBidi" w:cstheme="majorBidi"/>
          <w:szCs w:val="24"/>
          <w:shd w:val="clear" w:color="auto" w:fill="FFFFFF"/>
          <w:rtl/>
        </w:rPr>
        <w:t>‏</w:t>
      </w:r>
    </w:p>
    <w:p w14:paraId="2E79BE94" w14:textId="77777777" w:rsidR="004B1F45" w:rsidRPr="003B57EA" w:rsidRDefault="004B1F45" w:rsidP="00C4003E">
      <w:pPr>
        <w:pStyle w:val="EndNoteBibliography"/>
        <w:ind w:left="720" w:hanging="720"/>
        <w:jc w:val="both"/>
        <w:rPr>
          <w:rFonts w:asciiTheme="majorBidi" w:hAnsiTheme="majorBidi" w:cstheme="majorBidi"/>
          <w:szCs w:val="24"/>
          <w:shd w:val="clear" w:color="auto" w:fill="FFFFFF"/>
        </w:rPr>
      </w:pPr>
      <w:r w:rsidRPr="003B57EA">
        <w:rPr>
          <w:rFonts w:asciiTheme="majorBidi" w:hAnsiTheme="majorBidi" w:cstheme="majorBidi"/>
          <w:szCs w:val="24"/>
        </w:rPr>
        <w:t>Finzi, R., Har-Even, D., Weizman, A., Tyano, S., and Shnit, D. (1996). The adaptation of the attachment style questionnaire for latency-aged children [Hebrew]. Psychology 5: 167–177.</w:t>
      </w:r>
    </w:p>
    <w:p w14:paraId="48626066" w14:textId="399B7D69" w:rsidR="004B1F45" w:rsidRPr="003B57EA" w:rsidRDefault="00E414CF" w:rsidP="00C4003E">
      <w:pPr>
        <w:pStyle w:val="EndNoteBibliography"/>
        <w:ind w:left="720" w:hanging="720"/>
        <w:jc w:val="both"/>
        <w:rPr>
          <w:rFonts w:asciiTheme="majorBidi" w:hAnsiTheme="majorBidi" w:cstheme="majorBidi"/>
          <w:noProof/>
          <w:szCs w:val="24"/>
        </w:rPr>
      </w:pPr>
      <w:r w:rsidRPr="003B57EA">
        <w:rPr>
          <w:rFonts w:asciiTheme="majorBidi" w:hAnsiTheme="majorBidi" w:cstheme="majorBidi"/>
          <w:szCs w:val="24"/>
          <w:shd w:val="clear" w:color="auto" w:fill="FFFFFF"/>
        </w:rPr>
        <w:t>Finzi, R., Cohen, O., Sapir, Y., &amp; Weizman, A. (2000). Attachment styles in maltreated children: A comparative study. </w:t>
      </w:r>
      <w:r w:rsidRPr="003B57EA">
        <w:rPr>
          <w:rFonts w:asciiTheme="majorBidi" w:hAnsiTheme="majorBidi" w:cstheme="majorBidi"/>
          <w:i/>
          <w:iCs/>
          <w:szCs w:val="24"/>
          <w:shd w:val="clear" w:color="auto" w:fill="FFFFFF"/>
        </w:rPr>
        <w:t>Child Psychiatry and Human Development</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31</w:t>
      </w:r>
      <w:r w:rsidRPr="003B57EA">
        <w:rPr>
          <w:rFonts w:asciiTheme="majorBidi" w:hAnsiTheme="majorBidi" w:cstheme="majorBidi"/>
          <w:szCs w:val="24"/>
          <w:shd w:val="clear" w:color="auto" w:fill="FFFFFF"/>
        </w:rPr>
        <w:t>(2), 113-128.</w:t>
      </w:r>
      <w:r w:rsidRPr="003B57EA">
        <w:rPr>
          <w:rFonts w:asciiTheme="majorBidi" w:hAnsiTheme="majorBidi" w:cstheme="majorBidi"/>
          <w:szCs w:val="24"/>
          <w:shd w:val="clear" w:color="auto" w:fill="FFFFFF"/>
          <w:rtl/>
        </w:rPr>
        <w:t>‏</w:t>
      </w:r>
      <w:r w:rsidR="004B1F45" w:rsidRPr="003B57EA">
        <w:rPr>
          <w:rFonts w:asciiTheme="majorBidi" w:hAnsiTheme="majorBidi" w:cstheme="majorBidi"/>
          <w:szCs w:val="24"/>
          <w:shd w:val="clear" w:color="auto" w:fill="FFFFFF"/>
        </w:rPr>
        <w:t>Freund, A. M., &amp; Baltes, P. B. (1998). Selection, optimization, and compensation as strategies of life management: correlations with subjective indicators of successful aging. </w:t>
      </w:r>
      <w:r w:rsidR="004B1F45" w:rsidRPr="003B57EA">
        <w:rPr>
          <w:rFonts w:asciiTheme="majorBidi" w:hAnsiTheme="majorBidi" w:cstheme="majorBidi"/>
          <w:i/>
          <w:iCs/>
          <w:szCs w:val="24"/>
          <w:shd w:val="clear" w:color="auto" w:fill="FFFFFF"/>
        </w:rPr>
        <w:t xml:space="preserve">Psychology and </w:t>
      </w:r>
      <w:r w:rsidR="00A62CCB" w:rsidRPr="003B57EA">
        <w:rPr>
          <w:rFonts w:asciiTheme="majorBidi" w:hAnsiTheme="majorBidi" w:cstheme="majorBidi"/>
          <w:i/>
          <w:iCs/>
          <w:szCs w:val="24"/>
          <w:shd w:val="clear" w:color="auto" w:fill="FFFFFF"/>
        </w:rPr>
        <w:t>Aging</w:t>
      </w:r>
      <w:r w:rsidR="004B1F45" w:rsidRPr="003B57EA">
        <w:rPr>
          <w:rFonts w:asciiTheme="majorBidi" w:hAnsiTheme="majorBidi" w:cstheme="majorBidi"/>
          <w:szCs w:val="24"/>
          <w:shd w:val="clear" w:color="auto" w:fill="FFFFFF"/>
        </w:rPr>
        <w:t>, </w:t>
      </w:r>
      <w:r w:rsidR="004B1F45" w:rsidRPr="003B57EA">
        <w:rPr>
          <w:rFonts w:asciiTheme="majorBidi" w:hAnsiTheme="majorBidi" w:cstheme="majorBidi"/>
          <w:i/>
          <w:iCs/>
          <w:szCs w:val="24"/>
          <w:shd w:val="clear" w:color="auto" w:fill="FFFFFF"/>
        </w:rPr>
        <w:t>13</w:t>
      </w:r>
      <w:r w:rsidR="004B1F45" w:rsidRPr="003B57EA">
        <w:rPr>
          <w:rFonts w:asciiTheme="majorBidi" w:hAnsiTheme="majorBidi" w:cstheme="majorBidi"/>
          <w:szCs w:val="24"/>
          <w:shd w:val="clear" w:color="auto" w:fill="FFFFFF"/>
        </w:rPr>
        <w:t>(4), 531.</w:t>
      </w:r>
      <w:r w:rsidR="004B1F45" w:rsidRPr="003B57EA">
        <w:rPr>
          <w:rFonts w:asciiTheme="majorBidi" w:hAnsiTheme="majorBidi" w:cstheme="majorBidi"/>
          <w:szCs w:val="24"/>
          <w:shd w:val="clear" w:color="auto" w:fill="FFFFFF"/>
          <w:rtl/>
        </w:rPr>
        <w:t>‏</w:t>
      </w:r>
      <w:r w:rsidR="004B1F45" w:rsidRPr="003B57EA">
        <w:rPr>
          <w:rFonts w:asciiTheme="majorBidi" w:hAnsiTheme="majorBidi" w:cstheme="majorBidi"/>
          <w:noProof/>
          <w:szCs w:val="24"/>
        </w:rPr>
        <w:t xml:space="preserve"> </w:t>
      </w:r>
    </w:p>
    <w:p w14:paraId="0118F9C2" w14:textId="77777777" w:rsidR="004B1F45" w:rsidRPr="003B57EA" w:rsidRDefault="004B1F45" w:rsidP="00C4003E">
      <w:pPr>
        <w:pStyle w:val="EndNoteBibliography"/>
        <w:ind w:left="720" w:hanging="720"/>
        <w:jc w:val="both"/>
        <w:rPr>
          <w:rFonts w:asciiTheme="majorBidi" w:hAnsiTheme="majorBidi" w:cstheme="majorBidi"/>
          <w:noProof/>
          <w:szCs w:val="24"/>
        </w:rPr>
      </w:pPr>
      <w:r w:rsidRPr="003B57EA">
        <w:rPr>
          <w:rFonts w:asciiTheme="majorBidi" w:hAnsiTheme="majorBidi" w:cstheme="majorBidi"/>
          <w:noProof/>
          <w:szCs w:val="24"/>
        </w:rPr>
        <w:t xml:space="preserve">Friedman, J., Hastie, T., &amp; Tibshirani, R. (2008). Sparse inverse covariance estimation with the graphical lasso. </w:t>
      </w:r>
      <w:r w:rsidRPr="003B57EA">
        <w:rPr>
          <w:rFonts w:asciiTheme="majorBidi" w:hAnsiTheme="majorBidi" w:cstheme="majorBidi"/>
          <w:i/>
          <w:noProof/>
          <w:szCs w:val="24"/>
        </w:rPr>
        <w:t>Biostatistics</w:t>
      </w:r>
      <w:r w:rsidRPr="003B57EA">
        <w:rPr>
          <w:rFonts w:asciiTheme="majorBidi" w:hAnsiTheme="majorBidi" w:cstheme="majorBidi"/>
          <w:noProof/>
          <w:szCs w:val="24"/>
        </w:rPr>
        <w:t>,</w:t>
      </w:r>
      <w:r w:rsidRPr="003B57EA">
        <w:rPr>
          <w:rFonts w:asciiTheme="majorBidi" w:hAnsiTheme="majorBidi" w:cstheme="majorBidi"/>
          <w:i/>
          <w:noProof/>
          <w:szCs w:val="24"/>
        </w:rPr>
        <w:t xml:space="preserve"> 9</w:t>
      </w:r>
      <w:r w:rsidRPr="003B57EA">
        <w:rPr>
          <w:rFonts w:asciiTheme="majorBidi" w:hAnsiTheme="majorBidi" w:cstheme="majorBidi"/>
          <w:noProof/>
          <w:szCs w:val="24"/>
        </w:rPr>
        <w:t xml:space="preserve">(3), 432-441. </w:t>
      </w:r>
    </w:p>
    <w:p w14:paraId="36322CA4" w14:textId="77777777" w:rsidR="004B1F45" w:rsidRPr="003B57EA" w:rsidRDefault="004B1F45" w:rsidP="00C4003E">
      <w:pPr>
        <w:pStyle w:val="EndNoteBibliography"/>
        <w:ind w:left="720" w:hanging="720"/>
        <w:jc w:val="both"/>
        <w:rPr>
          <w:rFonts w:asciiTheme="majorBidi" w:hAnsiTheme="majorBidi" w:cstheme="majorBidi"/>
          <w:noProof/>
          <w:szCs w:val="24"/>
        </w:rPr>
      </w:pPr>
      <w:r w:rsidRPr="003B57EA">
        <w:rPr>
          <w:rFonts w:asciiTheme="majorBidi" w:hAnsiTheme="majorBidi" w:cstheme="majorBidi"/>
          <w:szCs w:val="24"/>
          <w:shd w:val="clear" w:color="auto" w:fill="FFFFFF"/>
        </w:rPr>
        <w:t>Gandolfi, E., Soyturk, I., &amp; Ferdig, R. E. (2021). Evaluating US gamers’ metacognitions about digital entertainment: Validation of Metacognition about Online Gaming Scale in the US context. </w:t>
      </w:r>
      <w:r w:rsidRPr="003B57EA">
        <w:rPr>
          <w:rFonts w:asciiTheme="majorBidi" w:hAnsiTheme="majorBidi" w:cstheme="majorBidi"/>
          <w:i/>
          <w:iCs/>
          <w:szCs w:val="24"/>
          <w:shd w:val="clear" w:color="auto" w:fill="FFFFFF"/>
        </w:rPr>
        <w:t>Journal of Affective Disorders</w:t>
      </w:r>
      <w:r w:rsidRPr="003B57EA">
        <w:rPr>
          <w:rFonts w:asciiTheme="majorBidi" w:hAnsiTheme="majorBidi" w:cstheme="majorBidi"/>
          <w:szCs w:val="24"/>
          <w:shd w:val="clear" w:color="auto" w:fill="FFFFFF"/>
        </w:rPr>
        <w:t>, </w:t>
      </w:r>
      <w:r w:rsidRPr="003B57EA">
        <w:rPr>
          <w:rFonts w:asciiTheme="majorBidi" w:hAnsiTheme="majorBidi" w:cstheme="majorBidi"/>
          <w:i/>
          <w:iCs/>
          <w:szCs w:val="24"/>
          <w:shd w:val="clear" w:color="auto" w:fill="FFFFFF"/>
        </w:rPr>
        <w:t>295</w:t>
      </w:r>
      <w:r w:rsidRPr="003B57EA">
        <w:rPr>
          <w:rFonts w:asciiTheme="majorBidi" w:hAnsiTheme="majorBidi" w:cstheme="majorBidi"/>
          <w:szCs w:val="24"/>
          <w:shd w:val="clear" w:color="auto" w:fill="FFFFFF"/>
        </w:rPr>
        <w:t>, 954-959.</w:t>
      </w:r>
      <w:r w:rsidRPr="003B57EA">
        <w:rPr>
          <w:rFonts w:asciiTheme="majorBidi" w:hAnsiTheme="majorBidi" w:cstheme="majorBidi"/>
          <w:szCs w:val="24"/>
          <w:shd w:val="clear" w:color="auto" w:fill="FFFFFF"/>
          <w:rtl/>
        </w:rPr>
        <w:t>‏</w:t>
      </w:r>
      <w:r w:rsidRPr="003B57EA">
        <w:rPr>
          <w:rFonts w:asciiTheme="majorBidi" w:hAnsiTheme="majorBidi" w:cstheme="majorBidi"/>
          <w:noProof/>
          <w:szCs w:val="24"/>
        </w:rPr>
        <w:t xml:space="preserve"> </w:t>
      </w:r>
    </w:p>
    <w:p w14:paraId="4D4B35B7" w14:textId="77777777" w:rsidR="006B3942" w:rsidRPr="003B57EA" w:rsidRDefault="006B3942" w:rsidP="006B3942">
      <w:pPr>
        <w:pStyle w:val="EndNoteBibliography"/>
        <w:ind w:left="720" w:hanging="720"/>
        <w:rPr>
          <w:shd w:val="clear" w:color="auto" w:fill="FFFFFF"/>
        </w:rPr>
      </w:pPr>
      <w:r w:rsidRPr="003B57EA">
        <w:rPr>
          <w:shd w:val="clear" w:color="auto" w:fill="FFFFFF"/>
        </w:rPr>
        <w:t>Gao, Y. X., Wang, J. Y., &amp; Dong, G. H. (2022). The prevalence and possible risk factors of internet gaming disorder among adolescents and young adults: Systematic reviews and meta-analyses. </w:t>
      </w:r>
      <w:r w:rsidRPr="003B57EA">
        <w:rPr>
          <w:i/>
          <w:iCs/>
          <w:shd w:val="clear" w:color="auto" w:fill="FFFFFF"/>
        </w:rPr>
        <w:t>Journal of Psychiatric Research</w:t>
      </w:r>
      <w:r w:rsidRPr="003B57EA">
        <w:rPr>
          <w:shd w:val="clear" w:color="auto" w:fill="FFFFFF"/>
        </w:rPr>
        <w:t>.</w:t>
      </w:r>
      <w:r w:rsidRPr="003B57EA">
        <w:rPr>
          <w:shd w:val="clear" w:color="auto" w:fill="FFFFFF"/>
          <w:rtl/>
        </w:rPr>
        <w:t>‏</w:t>
      </w:r>
      <w:r w:rsidRPr="003B57EA">
        <w:rPr>
          <w:shd w:val="clear" w:color="auto" w:fill="FFFFFF"/>
        </w:rPr>
        <w:t xml:space="preserve"> </w:t>
      </w:r>
    </w:p>
    <w:p w14:paraId="724E04CC" w14:textId="77777777" w:rsidR="004B1F45" w:rsidRPr="003B57EA" w:rsidRDefault="004B1F45" w:rsidP="00C4003E">
      <w:pPr>
        <w:pStyle w:val="EndNoteBibliography"/>
        <w:ind w:left="720" w:hanging="720"/>
        <w:jc w:val="both"/>
        <w:rPr>
          <w:rFonts w:asciiTheme="majorBidi" w:hAnsiTheme="majorBidi" w:cstheme="majorBidi"/>
          <w:noProof/>
          <w:szCs w:val="24"/>
        </w:rPr>
      </w:pPr>
      <w:r w:rsidRPr="003B57EA">
        <w:rPr>
          <w:rFonts w:asciiTheme="majorBidi" w:hAnsiTheme="majorBidi" w:cstheme="majorBidi"/>
          <w:noProof/>
          <w:szCs w:val="24"/>
        </w:rPr>
        <w:t xml:space="preserve">Golino, H., Shi, D., Christensen, A. P., Garrido, L. E., Nieto, M. D., Sadana, R., Thiyagarajan, J. A., &amp; Martinez-Molina, A. (2020). Investigating the performance of exploratory graph analysis and traditional techniques to identify </w:t>
      </w:r>
      <w:r w:rsidRPr="003B57EA">
        <w:rPr>
          <w:rFonts w:asciiTheme="majorBidi" w:hAnsiTheme="majorBidi" w:cstheme="majorBidi"/>
          <w:noProof/>
          <w:szCs w:val="24"/>
        </w:rPr>
        <w:lastRenderedPageBreak/>
        <w:t xml:space="preserve">the number of latent factors: A simulation and tutorial. </w:t>
      </w:r>
      <w:r w:rsidRPr="003B57EA">
        <w:rPr>
          <w:rFonts w:asciiTheme="majorBidi" w:hAnsiTheme="majorBidi" w:cstheme="majorBidi"/>
          <w:i/>
          <w:noProof/>
          <w:szCs w:val="24"/>
        </w:rPr>
        <w:t>Psychological Methods</w:t>
      </w:r>
      <w:r w:rsidRPr="003B57EA">
        <w:rPr>
          <w:rFonts w:asciiTheme="majorBidi" w:hAnsiTheme="majorBidi" w:cstheme="majorBidi"/>
          <w:noProof/>
          <w:szCs w:val="24"/>
        </w:rPr>
        <w:t>,</w:t>
      </w:r>
      <w:r w:rsidRPr="003B57EA">
        <w:rPr>
          <w:rFonts w:asciiTheme="majorBidi" w:hAnsiTheme="majorBidi" w:cstheme="majorBidi"/>
          <w:i/>
          <w:noProof/>
          <w:szCs w:val="24"/>
        </w:rPr>
        <w:t xml:space="preserve"> 25</w:t>
      </w:r>
      <w:r w:rsidRPr="003B57EA">
        <w:rPr>
          <w:rFonts w:asciiTheme="majorBidi" w:hAnsiTheme="majorBidi" w:cstheme="majorBidi"/>
          <w:noProof/>
          <w:szCs w:val="24"/>
        </w:rPr>
        <w:t xml:space="preserve">(3), 292. </w:t>
      </w:r>
    </w:p>
    <w:p w14:paraId="361AF7DA" w14:textId="77B404EC" w:rsidR="004B1F45" w:rsidRPr="003B57EA" w:rsidRDefault="004B1F45" w:rsidP="00C4003E">
      <w:pPr>
        <w:spacing w:line="480" w:lineRule="auto"/>
        <w:ind w:left="720" w:hanging="720"/>
        <w:contextualSpacing/>
        <w:jc w:val="both"/>
        <w:rPr>
          <w:rFonts w:asciiTheme="majorBidi" w:hAnsiTheme="majorBidi" w:cstheme="majorBidi"/>
          <w:shd w:val="clear" w:color="auto" w:fill="FFFFFF"/>
        </w:rPr>
      </w:pPr>
      <w:r w:rsidRPr="003B57EA">
        <w:rPr>
          <w:rFonts w:asciiTheme="majorBidi" w:hAnsiTheme="majorBidi" w:cstheme="majorBidi"/>
        </w:rPr>
        <w:fldChar w:fldCharType="end"/>
      </w:r>
      <w:r w:rsidRPr="003B57EA">
        <w:rPr>
          <w:rFonts w:asciiTheme="majorBidi" w:hAnsiTheme="majorBidi" w:cstheme="majorBidi"/>
          <w:shd w:val="clear" w:color="auto" w:fill="FFFFFF"/>
        </w:rPr>
        <w:t xml:space="preserve"> Gross, J. J., &amp; John, O. P. (2003). Individual differences in two emotion regulation processes: implications for affect, relationships, and well-being. </w:t>
      </w:r>
      <w:r w:rsidRPr="003B57EA">
        <w:rPr>
          <w:rFonts w:asciiTheme="majorBidi" w:hAnsiTheme="majorBidi" w:cstheme="majorBidi"/>
          <w:i/>
          <w:iCs/>
          <w:shd w:val="clear" w:color="auto" w:fill="FFFFFF"/>
        </w:rPr>
        <w:t xml:space="preserve">Journal of </w:t>
      </w:r>
      <w:r w:rsidR="00A62CCB" w:rsidRPr="003B57EA">
        <w:rPr>
          <w:rFonts w:asciiTheme="majorBidi" w:hAnsiTheme="majorBidi" w:cstheme="majorBidi"/>
          <w:i/>
          <w:iCs/>
          <w:shd w:val="clear" w:color="auto" w:fill="FFFFFF"/>
        </w:rPr>
        <w:t xml:space="preserve">Personality </w:t>
      </w:r>
      <w:r w:rsidRPr="003B57EA">
        <w:rPr>
          <w:rFonts w:asciiTheme="majorBidi" w:hAnsiTheme="majorBidi" w:cstheme="majorBidi"/>
          <w:i/>
          <w:iCs/>
          <w:shd w:val="clear" w:color="auto" w:fill="FFFFFF"/>
        </w:rPr>
        <w:t xml:space="preserve">and </w:t>
      </w:r>
      <w:r w:rsidR="00A62CCB" w:rsidRPr="003B57EA">
        <w:rPr>
          <w:rFonts w:asciiTheme="majorBidi" w:hAnsiTheme="majorBidi" w:cstheme="majorBidi"/>
          <w:i/>
          <w:iCs/>
          <w:shd w:val="clear" w:color="auto" w:fill="FFFFFF"/>
        </w:rPr>
        <w:t>Social Psychology</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85</w:t>
      </w:r>
      <w:r w:rsidRPr="003B57EA">
        <w:rPr>
          <w:rFonts w:asciiTheme="majorBidi" w:hAnsiTheme="majorBidi" w:cstheme="majorBidi"/>
          <w:shd w:val="clear" w:color="auto" w:fill="FFFFFF"/>
        </w:rPr>
        <w:t>(2), 348.</w:t>
      </w:r>
      <w:r w:rsidRPr="003B57EA">
        <w:rPr>
          <w:rFonts w:asciiTheme="majorBidi" w:hAnsiTheme="majorBidi" w:cstheme="majorBidi"/>
          <w:shd w:val="clear" w:color="auto" w:fill="FFFFFF"/>
          <w:rtl/>
        </w:rPr>
        <w:t>‏</w:t>
      </w:r>
    </w:p>
    <w:p w14:paraId="43A335D8" w14:textId="6E69579A" w:rsidR="004B1F45" w:rsidRPr="003B57EA" w:rsidRDefault="004B1F45" w:rsidP="00C4003E">
      <w:pPr>
        <w:spacing w:line="480" w:lineRule="auto"/>
        <w:ind w:left="720" w:hanging="720"/>
        <w:contextualSpacing/>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Gross, J. J., &amp; Thompson, R. A. (2007). Emotion regulation: Conceptual foundations. In J. J. Gross (Ed.), </w:t>
      </w:r>
      <w:r w:rsidRPr="003B57EA">
        <w:rPr>
          <w:rFonts w:asciiTheme="majorBidi" w:hAnsiTheme="majorBidi" w:cstheme="majorBidi"/>
          <w:i/>
          <w:iCs/>
          <w:shd w:val="clear" w:color="auto" w:fill="FFFFFF"/>
        </w:rPr>
        <w:t xml:space="preserve">Handbook of </w:t>
      </w:r>
      <w:r w:rsidR="00A62CCB" w:rsidRPr="003B57EA">
        <w:rPr>
          <w:rFonts w:asciiTheme="majorBidi" w:hAnsiTheme="majorBidi" w:cstheme="majorBidi"/>
          <w:i/>
          <w:iCs/>
          <w:shd w:val="clear" w:color="auto" w:fill="FFFFFF"/>
        </w:rPr>
        <w:t>Emotion Regulation</w:t>
      </w:r>
      <w:r w:rsidR="00A62CCB" w:rsidRPr="003B57EA">
        <w:rPr>
          <w:rFonts w:asciiTheme="majorBidi" w:hAnsiTheme="majorBidi" w:cstheme="majorBidi"/>
          <w:shd w:val="clear" w:color="auto" w:fill="FFFFFF"/>
        </w:rPr>
        <w:t xml:space="preserve"> </w:t>
      </w:r>
      <w:r w:rsidRPr="003B57EA">
        <w:rPr>
          <w:rFonts w:asciiTheme="majorBidi" w:hAnsiTheme="majorBidi" w:cstheme="majorBidi"/>
          <w:shd w:val="clear" w:color="auto" w:fill="FFFFFF"/>
        </w:rPr>
        <w:t>(pp.3-24). New York: Guilford Press.</w:t>
      </w:r>
    </w:p>
    <w:p w14:paraId="67557C87" w14:textId="37997B71" w:rsidR="004B1F45" w:rsidRPr="003B57EA" w:rsidRDefault="004B1F45" w:rsidP="00C4003E">
      <w:pPr>
        <w:spacing w:line="480" w:lineRule="auto"/>
        <w:ind w:left="720" w:hanging="720"/>
        <w:jc w:val="both"/>
        <w:rPr>
          <w:rFonts w:asciiTheme="majorBidi" w:hAnsiTheme="majorBidi" w:cstheme="majorBidi"/>
          <w:shd w:val="clear" w:color="auto" w:fill="FFFFFF"/>
        </w:rPr>
      </w:pPr>
      <w:proofErr w:type="spellStart"/>
      <w:r w:rsidRPr="003B57EA">
        <w:rPr>
          <w:rFonts w:asciiTheme="majorBidi" w:hAnsiTheme="majorBidi" w:cstheme="majorBidi"/>
          <w:shd w:val="clear" w:color="auto" w:fill="FFFFFF"/>
        </w:rPr>
        <w:t>Gullone</w:t>
      </w:r>
      <w:proofErr w:type="spellEnd"/>
      <w:r w:rsidRPr="003B57EA">
        <w:rPr>
          <w:rFonts w:asciiTheme="majorBidi" w:hAnsiTheme="majorBidi" w:cstheme="majorBidi"/>
          <w:shd w:val="clear" w:color="auto" w:fill="FFFFFF"/>
        </w:rPr>
        <w:t xml:space="preserve">, E., &amp; </w:t>
      </w:r>
      <w:proofErr w:type="spellStart"/>
      <w:r w:rsidRPr="003B57EA">
        <w:rPr>
          <w:rFonts w:asciiTheme="majorBidi" w:hAnsiTheme="majorBidi" w:cstheme="majorBidi"/>
          <w:shd w:val="clear" w:color="auto" w:fill="FFFFFF"/>
        </w:rPr>
        <w:t>Taffe</w:t>
      </w:r>
      <w:proofErr w:type="spellEnd"/>
      <w:r w:rsidRPr="003B57EA">
        <w:rPr>
          <w:rFonts w:asciiTheme="majorBidi" w:hAnsiTheme="majorBidi" w:cstheme="majorBidi"/>
          <w:shd w:val="clear" w:color="auto" w:fill="FFFFFF"/>
        </w:rPr>
        <w:t>, J. (2012). The emotion regulation questionnaire for children and adolescents (ERQ–CA): a psychometric evaluation. </w:t>
      </w:r>
      <w:r w:rsidRPr="003B57EA">
        <w:rPr>
          <w:rFonts w:asciiTheme="majorBidi" w:hAnsiTheme="majorBidi" w:cstheme="majorBidi"/>
          <w:i/>
          <w:iCs/>
          <w:shd w:val="clear" w:color="auto" w:fill="FFFFFF"/>
        </w:rPr>
        <w:t xml:space="preserve">Psychological </w:t>
      </w:r>
      <w:r w:rsidR="00A62CCB" w:rsidRPr="003B57EA">
        <w:rPr>
          <w:rFonts w:asciiTheme="majorBidi" w:hAnsiTheme="majorBidi" w:cstheme="majorBidi"/>
          <w:i/>
          <w:iCs/>
          <w:shd w:val="clear" w:color="auto" w:fill="FFFFFF"/>
        </w:rPr>
        <w:t>Assessment</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24</w:t>
      </w:r>
      <w:r w:rsidRPr="003B57EA">
        <w:rPr>
          <w:rFonts w:asciiTheme="majorBidi" w:hAnsiTheme="majorBidi" w:cstheme="majorBidi"/>
          <w:shd w:val="clear" w:color="auto" w:fill="FFFFFF"/>
        </w:rPr>
        <w:t>(2), 409.</w:t>
      </w:r>
      <w:r w:rsidRPr="003B57EA">
        <w:rPr>
          <w:rFonts w:asciiTheme="majorBidi" w:hAnsiTheme="majorBidi" w:cstheme="majorBidi"/>
          <w:shd w:val="clear" w:color="auto" w:fill="FFFFFF"/>
          <w:rtl/>
        </w:rPr>
        <w:t>‏</w:t>
      </w:r>
    </w:p>
    <w:p w14:paraId="559737CF" w14:textId="77777777" w:rsidR="004B1F45" w:rsidRPr="003B57EA" w:rsidRDefault="004B1F45" w:rsidP="00C4003E">
      <w:pPr>
        <w:autoSpaceDE w:val="0"/>
        <w:autoSpaceDN w:val="0"/>
        <w:adjustRightInd w:val="0"/>
        <w:spacing w:line="480" w:lineRule="auto"/>
        <w:ind w:left="720" w:hanging="720"/>
        <w:jc w:val="both"/>
        <w:rPr>
          <w:rFonts w:asciiTheme="majorBidi" w:eastAsiaTheme="minorHAnsi" w:hAnsiTheme="majorBidi" w:cstheme="majorBidi"/>
        </w:rPr>
      </w:pPr>
      <w:proofErr w:type="spellStart"/>
      <w:r w:rsidRPr="003B57EA">
        <w:rPr>
          <w:rFonts w:asciiTheme="majorBidi" w:eastAsiaTheme="minorHAnsi" w:hAnsiTheme="majorBidi" w:cstheme="majorBidi"/>
        </w:rPr>
        <w:t>Haagsma</w:t>
      </w:r>
      <w:proofErr w:type="spellEnd"/>
      <w:r w:rsidRPr="003B57EA">
        <w:rPr>
          <w:rFonts w:asciiTheme="majorBidi" w:eastAsiaTheme="minorHAnsi" w:hAnsiTheme="majorBidi" w:cstheme="majorBidi"/>
        </w:rPr>
        <w:t xml:space="preserve">, M. C., Caplan, S. E., Peters, O., &amp; Pieterse, M. E. (2013). A cognitive-behavioral model of problematic online gaming in adolescents aged 12–22 years. </w:t>
      </w:r>
      <w:r w:rsidRPr="003B57EA">
        <w:rPr>
          <w:rFonts w:asciiTheme="majorBidi" w:eastAsiaTheme="minorHAnsi" w:hAnsiTheme="majorBidi" w:cstheme="majorBidi"/>
          <w:i/>
        </w:rPr>
        <w:t>Computers in Human Behavior, 29</w:t>
      </w:r>
      <w:r w:rsidRPr="003B57EA">
        <w:rPr>
          <w:rFonts w:asciiTheme="majorBidi" w:eastAsiaTheme="minorHAnsi" w:hAnsiTheme="majorBidi" w:cstheme="majorBidi"/>
        </w:rPr>
        <w:t xml:space="preserve">(1), 202–209. </w:t>
      </w:r>
      <w:hyperlink r:id="rId16" w:history="1">
        <w:r w:rsidRPr="003B57EA">
          <w:rPr>
            <w:rStyle w:val="Hyperlink"/>
            <w:rFonts w:asciiTheme="majorBidi" w:eastAsiaTheme="minorHAnsi" w:hAnsiTheme="majorBidi" w:cstheme="majorBidi"/>
            <w:color w:val="auto"/>
          </w:rPr>
          <w:t>https://doi.org/10.1016/j.chb.2012.08.006</w:t>
        </w:r>
      </w:hyperlink>
      <w:r w:rsidRPr="003B57EA">
        <w:rPr>
          <w:rFonts w:asciiTheme="majorBidi" w:eastAsiaTheme="minorHAnsi" w:hAnsiTheme="majorBidi" w:cstheme="majorBidi"/>
        </w:rPr>
        <w:t>.</w:t>
      </w:r>
    </w:p>
    <w:p w14:paraId="2544E834"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Hamonniere, T., &amp; </w:t>
      </w:r>
      <w:proofErr w:type="spellStart"/>
      <w:r w:rsidRPr="003B57EA">
        <w:rPr>
          <w:rFonts w:asciiTheme="majorBidi" w:hAnsiTheme="majorBidi" w:cstheme="majorBidi"/>
          <w:shd w:val="clear" w:color="auto" w:fill="FFFFFF"/>
        </w:rPr>
        <w:t>Varescon</w:t>
      </w:r>
      <w:proofErr w:type="spellEnd"/>
      <w:r w:rsidRPr="003B57EA">
        <w:rPr>
          <w:rFonts w:asciiTheme="majorBidi" w:hAnsiTheme="majorBidi" w:cstheme="majorBidi"/>
          <w:shd w:val="clear" w:color="auto" w:fill="FFFFFF"/>
        </w:rPr>
        <w:t xml:space="preserve">, I. (2018). Metacognitive beliefs in addictive </w:t>
      </w:r>
      <w:proofErr w:type="spellStart"/>
      <w:r w:rsidRPr="003B57EA">
        <w:rPr>
          <w:rFonts w:asciiTheme="majorBidi" w:hAnsiTheme="majorBidi" w:cstheme="majorBidi"/>
          <w:shd w:val="clear" w:color="auto" w:fill="FFFFFF"/>
        </w:rPr>
        <w:t>behaviours</w:t>
      </w:r>
      <w:proofErr w:type="spellEnd"/>
      <w:r w:rsidRPr="003B57EA">
        <w:rPr>
          <w:rFonts w:asciiTheme="majorBidi" w:hAnsiTheme="majorBidi" w:cstheme="majorBidi"/>
          <w:shd w:val="clear" w:color="auto" w:fill="FFFFFF"/>
        </w:rPr>
        <w:t>: A systematic review. </w:t>
      </w:r>
      <w:r w:rsidRPr="003B57EA">
        <w:rPr>
          <w:rFonts w:asciiTheme="majorBidi" w:hAnsiTheme="majorBidi" w:cstheme="majorBidi"/>
          <w:i/>
          <w:iCs/>
          <w:shd w:val="clear" w:color="auto" w:fill="FFFFFF"/>
        </w:rPr>
        <w:t>Addictive Behaviors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85</w:t>
      </w:r>
      <w:r w:rsidRPr="003B57EA">
        <w:rPr>
          <w:rFonts w:asciiTheme="majorBidi" w:hAnsiTheme="majorBidi" w:cstheme="majorBidi"/>
          <w:shd w:val="clear" w:color="auto" w:fill="FFFFFF"/>
        </w:rPr>
        <w:t>, 51-63.</w:t>
      </w:r>
      <w:r w:rsidRPr="003B57EA">
        <w:rPr>
          <w:rFonts w:asciiTheme="majorBidi" w:hAnsiTheme="majorBidi" w:cstheme="majorBidi"/>
          <w:shd w:val="clear" w:color="auto" w:fill="FFFFFF"/>
          <w:rtl/>
        </w:rPr>
        <w:t>‏</w:t>
      </w:r>
    </w:p>
    <w:p w14:paraId="5F8CCADC"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Hazan, C., &amp; Shaver, P. (1987). Romantic love conceptualized as an attachment process. In </w:t>
      </w:r>
      <w:r w:rsidRPr="003B57EA">
        <w:rPr>
          <w:rFonts w:asciiTheme="majorBidi" w:hAnsiTheme="majorBidi" w:cstheme="majorBidi"/>
          <w:i/>
          <w:iCs/>
          <w:shd w:val="clear" w:color="auto" w:fill="FFFFFF"/>
        </w:rPr>
        <w:t>Interpersonal Development</w:t>
      </w:r>
      <w:r w:rsidRPr="003B57EA">
        <w:rPr>
          <w:rFonts w:asciiTheme="majorBidi" w:hAnsiTheme="majorBidi" w:cstheme="majorBidi"/>
          <w:shd w:val="clear" w:color="auto" w:fill="FFFFFF"/>
        </w:rPr>
        <w:t> (pp. 283-296). Routledge.</w:t>
      </w:r>
      <w:r w:rsidRPr="003B57EA">
        <w:rPr>
          <w:rFonts w:asciiTheme="majorBidi" w:hAnsiTheme="majorBidi" w:cstheme="majorBidi"/>
          <w:shd w:val="clear" w:color="auto" w:fill="FFFFFF"/>
          <w:rtl/>
        </w:rPr>
        <w:t>‏</w:t>
      </w:r>
    </w:p>
    <w:p w14:paraId="374F4E10"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King, D. L., &amp; </w:t>
      </w:r>
      <w:proofErr w:type="spellStart"/>
      <w:r w:rsidRPr="003B57EA">
        <w:rPr>
          <w:rFonts w:asciiTheme="majorBidi" w:hAnsiTheme="majorBidi" w:cstheme="majorBidi"/>
          <w:shd w:val="clear" w:color="auto" w:fill="FFFFFF"/>
        </w:rPr>
        <w:t>Delfabbro</w:t>
      </w:r>
      <w:proofErr w:type="spellEnd"/>
      <w:r w:rsidRPr="003B57EA">
        <w:rPr>
          <w:rFonts w:asciiTheme="majorBidi" w:hAnsiTheme="majorBidi" w:cstheme="majorBidi"/>
          <w:shd w:val="clear" w:color="auto" w:fill="FFFFFF"/>
        </w:rPr>
        <w:t>, P. (2009). Motivational differences in problem video game play. </w:t>
      </w:r>
      <w:r w:rsidRPr="003B57EA">
        <w:rPr>
          <w:rFonts w:asciiTheme="majorBidi" w:hAnsiTheme="majorBidi" w:cstheme="majorBidi"/>
          <w:i/>
          <w:iCs/>
          <w:shd w:val="clear" w:color="auto" w:fill="FFFFFF"/>
        </w:rPr>
        <w:t xml:space="preserve">Journal of </w:t>
      </w:r>
      <w:proofErr w:type="spellStart"/>
      <w:r w:rsidRPr="003B57EA">
        <w:rPr>
          <w:rFonts w:asciiTheme="majorBidi" w:hAnsiTheme="majorBidi" w:cstheme="majorBidi"/>
          <w:i/>
          <w:iCs/>
          <w:shd w:val="clear" w:color="auto" w:fill="FFFFFF"/>
        </w:rPr>
        <w:t>Cybertherapy</w:t>
      </w:r>
      <w:proofErr w:type="spellEnd"/>
      <w:r w:rsidRPr="003B57EA">
        <w:rPr>
          <w:rFonts w:asciiTheme="majorBidi" w:hAnsiTheme="majorBidi" w:cstheme="majorBidi"/>
          <w:i/>
          <w:iCs/>
          <w:shd w:val="clear" w:color="auto" w:fill="FFFFFF"/>
        </w:rPr>
        <w:t xml:space="preserve"> and Rehabilitation</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2</w:t>
      </w:r>
      <w:r w:rsidRPr="003B57EA">
        <w:rPr>
          <w:rFonts w:asciiTheme="majorBidi" w:hAnsiTheme="majorBidi" w:cstheme="majorBidi"/>
          <w:shd w:val="clear" w:color="auto" w:fill="FFFFFF"/>
        </w:rPr>
        <w:t>(2), 139-149.</w:t>
      </w:r>
      <w:r w:rsidRPr="003B57EA">
        <w:rPr>
          <w:rFonts w:asciiTheme="majorBidi" w:hAnsiTheme="majorBidi" w:cstheme="majorBidi"/>
          <w:shd w:val="clear" w:color="auto" w:fill="FFFFFF"/>
          <w:rtl/>
        </w:rPr>
        <w:t>‏</w:t>
      </w:r>
    </w:p>
    <w:p w14:paraId="7872841D" w14:textId="5DDDE1E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King, D. L., &amp; </w:t>
      </w:r>
      <w:proofErr w:type="spellStart"/>
      <w:r w:rsidRPr="003B57EA">
        <w:rPr>
          <w:rFonts w:asciiTheme="majorBidi" w:hAnsiTheme="majorBidi" w:cstheme="majorBidi"/>
          <w:shd w:val="clear" w:color="auto" w:fill="FFFFFF"/>
        </w:rPr>
        <w:t>Delfabbro</w:t>
      </w:r>
      <w:proofErr w:type="spellEnd"/>
      <w:r w:rsidRPr="003B57EA">
        <w:rPr>
          <w:rFonts w:asciiTheme="majorBidi" w:hAnsiTheme="majorBidi" w:cstheme="majorBidi"/>
          <w:shd w:val="clear" w:color="auto" w:fill="FFFFFF"/>
        </w:rPr>
        <w:t xml:space="preserve">, P. H. (2017). Features of parent-child relationships in adolescents with Internet </w:t>
      </w:r>
      <w:r w:rsidR="009123C7" w:rsidRPr="003B57EA">
        <w:rPr>
          <w:rFonts w:asciiTheme="majorBidi" w:hAnsiTheme="majorBidi" w:cstheme="majorBidi"/>
          <w:shd w:val="clear" w:color="auto" w:fill="FFFFFF"/>
        </w:rPr>
        <w:t>Gaming Disorder</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International Journal of Mental Health and Addiction</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15</w:t>
      </w:r>
      <w:r w:rsidRPr="003B57EA">
        <w:rPr>
          <w:rFonts w:asciiTheme="majorBidi" w:hAnsiTheme="majorBidi" w:cstheme="majorBidi"/>
          <w:shd w:val="clear" w:color="auto" w:fill="FFFFFF"/>
        </w:rPr>
        <w:t>(6), 1270-1283.</w:t>
      </w:r>
      <w:r w:rsidRPr="003B57EA">
        <w:rPr>
          <w:rFonts w:asciiTheme="majorBidi" w:hAnsiTheme="majorBidi" w:cstheme="majorBidi"/>
          <w:shd w:val="clear" w:color="auto" w:fill="FFFFFF"/>
          <w:rtl/>
        </w:rPr>
        <w:t>‏</w:t>
      </w:r>
    </w:p>
    <w:p w14:paraId="7D59F0D1" w14:textId="41476ECF" w:rsidR="00153236" w:rsidRPr="003B57EA" w:rsidRDefault="00153236" w:rsidP="00C4003E">
      <w:pPr>
        <w:spacing w:line="480" w:lineRule="auto"/>
        <w:ind w:left="720" w:hanging="720"/>
        <w:jc w:val="both"/>
        <w:rPr>
          <w:rFonts w:asciiTheme="majorBidi" w:hAnsiTheme="majorBidi" w:cstheme="majorBidi"/>
          <w:shd w:val="clear" w:color="auto" w:fill="FFFFFF"/>
        </w:rPr>
      </w:pPr>
      <w:proofErr w:type="spellStart"/>
      <w:r w:rsidRPr="003B57EA">
        <w:rPr>
          <w:rFonts w:asciiTheme="majorBidi" w:hAnsiTheme="majorBidi" w:cstheme="majorBidi"/>
          <w:shd w:val="clear" w:color="auto" w:fill="FFFFFF"/>
        </w:rPr>
        <w:lastRenderedPageBreak/>
        <w:t>Király</w:t>
      </w:r>
      <w:proofErr w:type="spellEnd"/>
      <w:r w:rsidRPr="003B57EA">
        <w:rPr>
          <w:rFonts w:asciiTheme="majorBidi" w:hAnsiTheme="majorBidi" w:cstheme="majorBidi"/>
          <w:shd w:val="clear" w:color="auto" w:fill="FFFFFF"/>
        </w:rPr>
        <w:t xml:space="preserve">, O., Potenza, M.N., Demetrovics, Z. (2022). Gaming disorder: current research directions, </w:t>
      </w:r>
      <w:r w:rsidRPr="003B57EA">
        <w:rPr>
          <w:rFonts w:asciiTheme="majorBidi" w:hAnsiTheme="majorBidi" w:cstheme="majorBidi"/>
          <w:i/>
          <w:iCs/>
          <w:shd w:val="clear" w:color="auto" w:fill="FFFFFF"/>
        </w:rPr>
        <w:t>Current Opinion in Behavioral Sciences</w:t>
      </w:r>
      <w:r w:rsidRPr="003B57EA">
        <w:rPr>
          <w:rFonts w:asciiTheme="majorBidi" w:hAnsiTheme="majorBidi" w:cstheme="majorBidi"/>
          <w:shd w:val="clear" w:color="auto" w:fill="FFFFFF"/>
        </w:rPr>
        <w:t>, 47,101204.</w:t>
      </w:r>
    </w:p>
    <w:p w14:paraId="5C43579A" w14:textId="74BC3C70"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Lafrenière, M. A. K., Verner-</w:t>
      </w:r>
      <w:proofErr w:type="spellStart"/>
      <w:r w:rsidRPr="003B57EA">
        <w:rPr>
          <w:rFonts w:asciiTheme="majorBidi" w:hAnsiTheme="majorBidi" w:cstheme="majorBidi"/>
          <w:shd w:val="clear" w:color="auto" w:fill="FFFFFF"/>
        </w:rPr>
        <w:t>Filion</w:t>
      </w:r>
      <w:proofErr w:type="spellEnd"/>
      <w:r w:rsidRPr="003B57EA">
        <w:rPr>
          <w:rFonts w:asciiTheme="majorBidi" w:hAnsiTheme="majorBidi" w:cstheme="majorBidi"/>
          <w:shd w:val="clear" w:color="auto" w:fill="FFFFFF"/>
        </w:rPr>
        <w:t>, J., &amp; Vallerand, R. J. (2012). Development and validation of the Gaming Motivation Scale (GAMS). </w:t>
      </w:r>
      <w:r w:rsidRPr="003B57EA">
        <w:rPr>
          <w:rFonts w:asciiTheme="majorBidi" w:hAnsiTheme="majorBidi" w:cstheme="majorBidi"/>
          <w:i/>
          <w:iCs/>
          <w:shd w:val="clear" w:color="auto" w:fill="FFFFFF"/>
        </w:rPr>
        <w:t xml:space="preserve">Personality and </w:t>
      </w:r>
      <w:r w:rsidR="00A62CCB" w:rsidRPr="003B57EA">
        <w:rPr>
          <w:rFonts w:asciiTheme="majorBidi" w:hAnsiTheme="majorBidi" w:cstheme="majorBidi"/>
          <w:i/>
          <w:iCs/>
          <w:shd w:val="clear" w:color="auto" w:fill="FFFFFF"/>
        </w:rPr>
        <w:t>Individual Differences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53</w:t>
      </w:r>
      <w:r w:rsidRPr="003B57EA">
        <w:rPr>
          <w:rFonts w:asciiTheme="majorBidi" w:hAnsiTheme="majorBidi" w:cstheme="majorBidi"/>
          <w:shd w:val="clear" w:color="auto" w:fill="FFFFFF"/>
        </w:rPr>
        <w:t>(7), 827-831.</w:t>
      </w:r>
      <w:r w:rsidRPr="003B57EA">
        <w:rPr>
          <w:rFonts w:asciiTheme="majorBidi" w:hAnsiTheme="majorBidi" w:cstheme="majorBidi"/>
          <w:shd w:val="clear" w:color="auto" w:fill="FFFFFF"/>
          <w:rtl/>
        </w:rPr>
        <w:t>‏</w:t>
      </w:r>
    </w:p>
    <w:p w14:paraId="1E848D95"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proofErr w:type="spellStart"/>
      <w:r w:rsidRPr="003B57EA">
        <w:rPr>
          <w:rFonts w:asciiTheme="majorBidi" w:hAnsiTheme="majorBidi" w:cstheme="majorBidi"/>
          <w:shd w:val="clear" w:color="auto" w:fill="FFFFFF"/>
        </w:rPr>
        <w:t>Lampropoulou</w:t>
      </w:r>
      <w:proofErr w:type="spellEnd"/>
      <w:r w:rsidRPr="003B57EA">
        <w:rPr>
          <w:rFonts w:asciiTheme="majorBidi" w:hAnsiTheme="majorBidi" w:cstheme="majorBidi"/>
          <w:shd w:val="clear" w:color="auto" w:fill="FFFFFF"/>
        </w:rPr>
        <w:t xml:space="preserve">, P., </w:t>
      </w:r>
      <w:proofErr w:type="spellStart"/>
      <w:r w:rsidRPr="003B57EA">
        <w:rPr>
          <w:rFonts w:asciiTheme="majorBidi" w:hAnsiTheme="majorBidi" w:cstheme="majorBidi"/>
          <w:shd w:val="clear" w:color="auto" w:fill="FFFFFF"/>
        </w:rPr>
        <w:t>Siomos</w:t>
      </w:r>
      <w:proofErr w:type="spellEnd"/>
      <w:r w:rsidRPr="003B57EA">
        <w:rPr>
          <w:rFonts w:asciiTheme="majorBidi" w:hAnsiTheme="majorBidi" w:cstheme="majorBidi"/>
          <w:shd w:val="clear" w:color="auto" w:fill="FFFFFF"/>
        </w:rPr>
        <w:t xml:space="preserve">, K., </w:t>
      </w:r>
      <w:proofErr w:type="spellStart"/>
      <w:r w:rsidRPr="003B57EA">
        <w:rPr>
          <w:rFonts w:asciiTheme="majorBidi" w:hAnsiTheme="majorBidi" w:cstheme="majorBidi"/>
          <w:shd w:val="clear" w:color="auto" w:fill="FFFFFF"/>
        </w:rPr>
        <w:t>Floros</w:t>
      </w:r>
      <w:proofErr w:type="spellEnd"/>
      <w:r w:rsidRPr="003B57EA">
        <w:rPr>
          <w:rFonts w:asciiTheme="majorBidi" w:hAnsiTheme="majorBidi" w:cstheme="majorBidi"/>
          <w:shd w:val="clear" w:color="auto" w:fill="FFFFFF"/>
        </w:rPr>
        <w:t>, G., &amp; Christodoulou, N. (2022). Effectiveness of Available Treatments for Gaming Disorders in Children and Adolescents: A Systematic Review. </w:t>
      </w:r>
      <w:r w:rsidRPr="003B57EA">
        <w:rPr>
          <w:rFonts w:asciiTheme="majorBidi" w:hAnsiTheme="majorBidi" w:cstheme="majorBidi"/>
          <w:i/>
          <w:iCs/>
          <w:shd w:val="clear" w:color="auto" w:fill="FFFFFF"/>
        </w:rPr>
        <w:t>Cyberpsychology, Behavior, and Social Networking</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25</w:t>
      </w:r>
      <w:r w:rsidRPr="003B57EA">
        <w:rPr>
          <w:rFonts w:asciiTheme="majorBidi" w:hAnsiTheme="majorBidi" w:cstheme="majorBidi"/>
          <w:shd w:val="clear" w:color="auto" w:fill="FFFFFF"/>
        </w:rPr>
        <w:t>(1), 5-13.</w:t>
      </w:r>
      <w:r w:rsidRPr="003B57EA">
        <w:rPr>
          <w:rFonts w:asciiTheme="majorBidi" w:hAnsiTheme="majorBidi" w:cstheme="majorBidi"/>
          <w:shd w:val="clear" w:color="auto" w:fill="FFFFFF"/>
          <w:rtl/>
        </w:rPr>
        <w:t>‏</w:t>
      </w:r>
    </w:p>
    <w:p w14:paraId="5E38506A" w14:textId="161EA2DD"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Malik, S., Wells, A., &amp; </w:t>
      </w:r>
      <w:proofErr w:type="spellStart"/>
      <w:r w:rsidRPr="003B57EA">
        <w:rPr>
          <w:rFonts w:asciiTheme="majorBidi" w:hAnsiTheme="majorBidi" w:cstheme="majorBidi"/>
          <w:shd w:val="clear" w:color="auto" w:fill="FFFFFF"/>
        </w:rPr>
        <w:t>Wittkowski</w:t>
      </w:r>
      <w:proofErr w:type="spellEnd"/>
      <w:r w:rsidRPr="003B57EA">
        <w:rPr>
          <w:rFonts w:asciiTheme="majorBidi" w:hAnsiTheme="majorBidi" w:cstheme="majorBidi"/>
          <w:shd w:val="clear" w:color="auto" w:fill="FFFFFF"/>
        </w:rPr>
        <w:t>, A. (2015). Emotion regulation as a mediator in the relationship between attachment and depressive symptomatology: A systematic review. </w:t>
      </w:r>
      <w:r w:rsidRPr="003B57EA">
        <w:rPr>
          <w:rFonts w:asciiTheme="majorBidi" w:hAnsiTheme="majorBidi" w:cstheme="majorBidi"/>
          <w:i/>
          <w:iCs/>
          <w:shd w:val="clear" w:color="auto" w:fill="FFFFFF"/>
        </w:rPr>
        <w:t xml:space="preserve">Journal of </w:t>
      </w:r>
      <w:r w:rsidR="00A62CCB" w:rsidRPr="003B57EA">
        <w:rPr>
          <w:rFonts w:asciiTheme="majorBidi" w:hAnsiTheme="majorBidi" w:cstheme="majorBidi"/>
          <w:i/>
          <w:iCs/>
          <w:shd w:val="clear" w:color="auto" w:fill="FFFFFF"/>
        </w:rPr>
        <w:t>Affective Disorders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172</w:t>
      </w:r>
      <w:r w:rsidRPr="003B57EA">
        <w:rPr>
          <w:rFonts w:asciiTheme="majorBidi" w:hAnsiTheme="majorBidi" w:cstheme="majorBidi"/>
          <w:shd w:val="clear" w:color="auto" w:fill="FFFFFF"/>
        </w:rPr>
        <w:t>, 428-444.</w:t>
      </w:r>
      <w:r w:rsidRPr="003B57EA">
        <w:rPr>
          <w:rFonts w:asciiTheme="majorBidi" w:hAnsiTheme="majorBidi" w:cstheme="majorBidi"/>
          <w:shd w:val="clear" w:color="auto" w:fill="FFFFFF"/>
          <w:rtl/>
        </w:rPr>
        <w:t>‏</w:t>
      </w:r>
    </w:p>
    <w:p w14:paraId="30FC6A72" w14:textId="77777777" w:rsidR="008A7F5A" w:rsidRPr="003B57EA" w:rsidRDefault="008A7F5A" w:rsidP="00C4003E">
      <w:pPr>
        <w:spacing w:line="480" w:lineRule="auto"/>
        <w:ind w:left="720" w:hanging="720"/>
        <w:jc w:val="both"/>
        <w:rPr>
          <w:rFonts w:asciiTheme="majorBidi" w:hAnsiTheme="majorBidi" w:cstheme="majorBidi"/>
          <w:color w:val="222222"/>
          <w:shd w:val="clear" w:color="auto" w:fill="FFFFFF"/>
        </w:rPr>
      </w:pPr>
      <w:r w:rsidRPr="003B57EA">
        <w:rPr>
          <w:rFonts w:asciiTheme="majorBidi" w:hAnsiTheme="majorBidi" w:cstheme="majorBidi"/>
          <w:color w:val="222222"/>
          <w:shd w:val="clear" w:color="auto" w:fill="FFFFFF"/>
        </w:rPr>
        <w:t>Mansueto, G., Caselli, G., Ruggiero, G. M., &amp; Sassaroli, S. (2019). Metacognitive beliefs and childhood adversities: An overview of the literature. </w:t>
      </w:r>
      <w:r w:rsidRPr="003B57EA">
        <w:rPr>
          <w:rFonts w:asciiTheme="majorBidi" w:hAnsiTheme="majorBidi" w:cstheme="majorBidi"/>
          <w:i/>
          <w:iCs/>
          <w:color w:val="222222"/>
          <w:shd w:val="clear" w:color="auto" w:fill="FFFFFF"/>
        </w:rPr>
        <w:t>Psychology, Health &amp; Medicine</w:t>
      </w:r>
      <w:r w:rsidRPr="003B57EA">
        <w:rPr>
          <w:rFonts w:asciiTheme="majorBidi" w:hAnsiTheme="majorBidi" w:cstheme="majorBidi"/>
          <w:color w:val="222222"/>
          <w:shd w:val="clear" w:color="auto" w:fill="FFFFFF"/>
        </w:rPr>
        <w:t>, </w:t>
      </w:r>
      <w:r w:rsidRPr="003B57EA">
        <w:rPr>
          <w:rFonts w:asciiTheme="majorBidi" w:hAnsiTheme="majorBidi" w:cstheme="majorBidi"/>
          <w:i/>
          <w:iCs/>
          <w:color w:val="222222"/>
          <w:shd w:val="clear" w:color="auto" w:fill="FFFFFF"/>
        </w:rPr>
        <w:t>24</w:t>
      </w:r>
      <w:r w:rsidRPr="003B57EA">
        <w:rPr>
          <w:rFonts w:asciiTheme="majorBidi" w:hAnsiTheme="majorBidi" w:cstheme="majorBidi"/>
          <w:color w:val="222222"/>
          <w:shd w:val="clear" w:color="auto" w:fill="FFFFFF"/>
        </w:rPr>
        <w:t>(5), 542-550.</w:t>
      </w:r>
      <w:r w:rsidRPr="003B57EA">
        <w:rPr>
          <w:rFonts w:asciiTheme="majorBidi" w:hAnsiTheme="majorBidi" w:cstheme="majorBidi"/>
          <w:color w:val="222222"/>
          <w:shd w:val="clear" w:color="auto" w:fill="FFFFFF"/>
          <w:rtl/>
        </w:rPr>
        <w:t>‏</w:t>
      </w:r>
      <w:r w:rsidRPr="003B57EA">
        <w:rPr>
          <w:rFonts w:asciiTheme="majorBidi" w:hAnsiTheme="majorBidi" w:cstheme="majorBidi"/>
          <w:color w:val="222222"/>
          <w:shd w:val="clear" w:color="auto" w:fill="FFFFFF"/>
        </w:rPr>
        <w:t xml:space="preserve"> </w:t>
      </w:r>
    </w:p>
    <w:p w14:paraId="6A8E1E53" w14:textId="266FFAFC" w:rsidR="00757174" w:rsidRPr="003B57EA" w:rsidRDefault="00757174" w:rsidP="00C4003E">
      <w:pPr>
        <w:spacing w:line="480" w:lineRule="auto"/>
        <w:ind w:left="720" w:hanging="720"/>
        <w:jc w:val="both"/>
        <w:rPr>
          <w:rFonts w:asciiTheme="majorBidi" w:hAnsiTheme="majorBidi" w:cstheme="majorBidi"/>
          <w:color w:val="222222"/>
          <w:shd w:val="clear" w:color="auto" w:fill="FFFFFF"/>
        </w:rPr>
      </w:pPr>
      <w:r w:rsidRPr="003B57EA">
        <w:rPr>
          <w:rFonts w:asciiTheme="majorBidi" w:hAnsiTheme="majorBidi" w:cstheme="majorBidi"/>
          <w:color w:val="222222"/>
          <w:shd w:val="clear" w:color="auto" w:fill="FFFFFF"/>
        </w:rPr>
        <w:t xml:space="preserve">Mansueto, G., Marino, C., Palmieri, S., Offredi, A., </w:t>
      </w:r>
      <w:proofErr w:type="spellStart"/>
      <w:r w:rsidRPr="003B57EA">
        <w:rPr>
          <w:rFonts w:asciiTheme="majorBidi" w:hAnsiTheme="majorBidi" w:cstheme="majorBidi"/>
          <w:color w:val="222222"/>
          <w:shd w:val="clear" w:color="auto" w:fill="FFFFFF"/>
        </w:rPr>
        <w:t>Sarracino</w:t>
      </w:r>
      <w:proofErr w:type="spellEnd"/>
      <w:r w:rsidRPr="003B57EA">
        <w:rPr>
          <w:rFonts w:asciiTheme="majorBidi" w:hAnsiTheme="majorBidi" w:cstheme="majorBidi"/>
          <w:color w:val="222222"/>
          <w:shd w:val="clear" w:color="auto" w:fill="FFFFFF"/>
        </w:rPr>
        <w:t>, D., Sassaroli, S., ... &amp; Caselli, G. (2022). Difficulties in emotion regulation: The role of repetitive negative thinking and metacognitive beliefs. </w:t>
      </w:r>
      <w:r w:rsidRPr="003B57EA">
        <w:rPr>
          <w:rFonts w:asciiTheme="majorBidi" w:hAnsiTheme="majorBidi" w:cstheme="majorBidi"/>
          <w:i/>
          <w:iCs/>
          <w:color w:val="222222"/>
          <w:shd w:val="clear" w:color="auto" w:fill="FFFFFF"/>
        </w:rPr>
        <w:t>Journal of Affective Disorders</w:t>
      </w:r>
      <w:r w:rsidRPr="003B57EA">
        <w:rPr>
          <w:rFonts w:asciiTheme="majorBidi" w:hAnsiTheme="majorBidi" w:cstheme="majorBidi"/>
          <w:color w:val="222222"/>
          <w:shd w:val="clear" w:color="auto" w:fill="FFFFFF"/>
        </w:rPr>
        <w:t>, </w:t>
      </w:r>
      <w:r w:rsidRPr="003B57EA">
        <w:rPr>
          <w:rFonts w:asciiTheme="majorBidi" w:hAnsiTheme="majorBidi" w:cstheme="majorBidi"/>
          <w:i/>
          <w:iCs/>
          <w:color w:val="222222"/>
          <w:shd w:val="clear" w:color="auto" w:fill="FFFFFF"/>
        </w:rPr>
        <w:t>308</w:t>
      </w:r>
      <w:r w:rsidRPr="003B57EA">
        <w:rPr>
          <w:rFonts w:asciiTheme="majorBidi" w:hAnsiTheme="majorBidi" w:cstheme="majorBidi"/>
          <w:color w:val="222222"/>
          <w:shd w:val="clear" w:color="auto" w:fill="FFFFFF"/>
        </w:rPr>
        <w:t>, 473-483.</w:t>
      </w:r>
      <w:r w:rsidRPr="003B57EA">
        <w:rPr>
          <w:rFonts w:asciiTheme="majorBidi" w:hAnsiTheme="majorBidi" w:cstheme="majorBidi"/>
          <w:color w:val="222222"/>
          <w:shd w:val="clear" w:color="auto" w:fill="FFFFFF"/>
          <w:rtl/>
        </w:rPr>
        <w:t>‏</w:t>
      </w:r>
    </w:p>
    <w:p w14:paraId="3171D0B2" w14:textId="0C7E7654" w:rsidR="004B1F45" w:rsidRPr="003B57EA" w:rsidRDefault="004B1F45" w:rsidP="00C4003E">
      <w:pPr>
        <w:spacing w:line="480" w:lineRule="auto"/>
        <w:ind w:left="720" w:hanging="720"/>
        <w:jc w:val="both"/>
        <w:rPr>
          <w:rFonts w:asciiTheme="majorBidi" w:hAnsiTheme="majorBidi"/>
          <w:shd w:val="clear" w:color="auto" w:fill="FFFFFF"/>
          <w:lang w:val="it-IT"/>
        </w:rPr>
      </w:pPr>
      <w:r w:rsidRPr="003B57EA">
        <w:rPr>
          <w:rFonts w:asciiTheme="majorBidi" w:hAnsiTheme="majorBidi" w:cstheme="majorBidi"/>
          <w:shd w:val="clear" w:color="auto" w:fill="FFFFFF"/>
        </w:rPr>
        <w:t>Marino, C., &amp; Spada, M. M. (2017). Dysfunctional cognitions in online gaming and internet gaming disorder: A narrative review and new classification. </w:t>
      </w:r>
      <w:r w:rsidRPr="003B57EA">
        <w:rPr>
          <w:rFonts w:asciiTheme="majorBidi" w:hAnsiTheme="majorBidi"/>
          <w:i/>
          <w:shd w:val="clear" w:color="auto" w:fill="FFFFFF"/>
          <w:lang w:val="it-IT"/>
        </w:rPr>
        <w:t>Current Addiction Reports</w:t>
      </w:r>
      <w:r w:rsidRPr="003B57EA">
        <w:rPr>
          <w:rFonts w:asciiTheme="majorBidi" w:hAnsiTheme="majorBidi"/>
          <w:shd w:val="clear" w:color="auto" w:fill="FFFFFF"/>
          <w:lang w:val="it-IT"/>
        </w:rPr>
        <w:t>, </w:t>
      </w:r>
      <w:r w:rsidRPr="003B57EA">
        <w:rPr>
          <w:rFonts w:asciiTheme="majorBidi" w:hAnsiTheme="majorBidi"/>
          <w:i/>
          <w:shd w:val="clear" w:color="auto" w:fill="FFFFFF"/>
          <w:lang w:val="it-IT"/>
        </w:rPr>
        <w:t>4</w:t>
      </w:r>
      <w:r w:rsidRPr="003B57EA">
        <w:rPr>
          <w:rFonts w:asciiTheme="majorBidi" w:hAnsiTheme="majorBidi"/>
          <w:shd w:val="clear" w:color="auto" w:fill="FFFFFF"/>
          <w:lang w:val="it-IT"/>
        </w:rPr>
        <w:t>(3), 308-316.</w:t>
      </w:r>
      <w:r w:rsidRPr="003B57EA">
        <w:rPr>
          <w:rFonts w:asciiTheme="majorBidi" w:hAnsiTheme="majorBidi" w:cstheme="majorBidi"/>
          <w:shd w:val="clear" w:color="auto" w:fill="FFFFFF"/>
          <w:rtl/>
        </w:rPr>
        <w:t>‏</w:t>
      </w:r>
    </w:p>
    <w:p w14:paraId="765FFC80" w14:textId="43354208"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shd w:val="clear" w:color="auto" w:fill="FFFFFF"/>
          <w:lang w:val="it-IT"/>
        </w:rPr>
        <w:t xml:space="preserve">Marino, C., Marci, T., Ferrante, L., Altoè, G., Vieno, A., Simonelli, A., ... </w:t>
      </w:r>
      <w:r w:rsidRPr="003B57EA">
        <w:rPr>
          <w:rFonts w:asciiTheme="majorBidi" w:hAnsiTheme="majorBidi" w:cstheme="majorBidi"/>
          <w:shd w:val="clear" w:color="auto" w:fill="FFFFFF"/>
        </w:rPr>
        <w:t xml:space="preserve">&amp; Spada, M. M. (2019). Attachment and problematic Facebook use in adolescents: The </w:t>
      </w:r>
      <w:r w:rsidRPr="003B57EA">
        <w:rPr>
          <w:rFonts w:asciiTheme="majorBidi" w:hAnsiTheme="majorBidi" w:cstheme="majorBidi"/>
          <w:shd w:val="clear" w:color="auto" w:fill="FFFFFF"/>
        </w:rPr>
        <w:lastRenderedPageBreak/>
        <w:t>mediating role of metacognitions. </w:t>
      </w:r>
      <w:r w:rsidRPr="003B57EA">
        <w:rPr>
          <w:rFonts w:asciiTheme="majorBidi" w:hAnsiTheme="majorBidi" w:cstheme="majorBidi"/>
          <w:i/>
          <w:iCs/>
          <w:shd w:val="clear" w:color="auto" w:fill="FFFFFF"/>
        </w:rPr>
        <w:t xml:space="preserve">Journal of </w:t>
      </w:r>
      <w:r w:rsidR="00A62CCB" w:rsidRPr="003B57EA">
        <w:rPr>
          <w:rFonts w:asciiTheme="majorBidi" w:hAnsiTheme="majorBidi" w:cstheme="majorBidi"/>
          <w:i/>
          <w:iCs/>
          <w:shd w:val="clear" w:color="auto" w:fill="FFFFFF"/>
        </w:rPr>
        <w:t>Behavioral Addictions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8</w:t>
      </w:r>
      <w:r w:rsidRPr="003B57EA">
        <w:rPr>
          <w:rFonts w:asciiTheme="majorBidi" w:hAnsiTheme="majorBidi" w:cstheme="majorBidi"/>
          <w:shd w:val="clear" w:color="auto" w:fill="FFFFFF"/>
        </w:rPr>
        <w:t>(1), 63-78.</w:t>
      </w:r>
      <w:r w:rsidRPr="003B57EA">
        <w:rPr>
          <w:rFonts w:asciiTheme="majorBidi" w:hAnsiTheme="majorBidi" w:cstheme="majorBidi"/>
          <w:shd w:val="clear" w:color="auto" w:fill="FFFFFF"/>
          <w:rtl/>
        </w:rPr>
        <w:t>‏</w:t>
      </w:r>
    </w:p>
    <w:p w14:paraId="5B66B169"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Marino, C., Canale, N., Vieno, A., Caselli, G., Scacchi, L., &amp; Spada, M. M. (2020). Social anxiety and Internet gaming disorder: The role of motives and metacognitions. </w:t>
      </w:r>
      <w:r w:rsidRPr="003B57EA">
        <w:rPr>
          <w:rFonts w:asciiTheme="majorBidi" w:hAnsiTheme="majorBidi" w:cstheme="majorBidi"/>
          <w:i/>
          <w:iCs/>
          <w:shd w:val="clear" w:color="auto" w:fill="FFFFFF"/>
        </w:rPr>
        <w:t>Journal of Behavioral Addictions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9</w:t>
      </w:r>
      <w:r w:rsidRPr="003B57EA">
        <w:rPr>
          <w:rFonts w:asciiTheme="majorBidi" w:hAnsiTheme="majorBidi" w:cstheme="majorBidi"/>
          <w:shd w:val="clear" w:color="auto" w:fill="FFFFFF"/>
        </w:rPr>
        <w:t>(3), 617-628.</w:t>
      </w:r>
      <w:r w:rsidRPr="003B57EA">
        <w:rPr>
          <w:rFonts w:asciiTheme="majorBidi" w:hAnsiTheme="majorBidi" w:cstheme="majorBidi"/>
          <w:shd w:val="clear" w:color="auto" w:fill="FFFFFF"/>
          <w:rtl/>
        </w:rPr>
        <w:t>‏</w:t>
      </w:r>
    </w:p>
    <w:p w14:paraId="497B4DA5" w14:textId="13E84359" w:rsidR="00671981" w:rsidRPr="003B57EA" w:rsidRDefault="00671981" w:rsidP="00C4003E">
      <w:pPr>
        <w:spacing w:line="480" w:lineRule="auto"/>
        <w:ind w:left="720" w:hanging="720"/>
        <w:contextualSpacing/>
        <w:jc w:val="both"/>
        <w:rPr>
          <w:rFonts w:asciiTheme="majorBidi" w:hAnsiTheme="majorBidi" w:cstheme="majorBidi"/>
          <w:sz w:val="22"/>
          <w:szCs w:val="22"/>
          <w:shd w:val="clear" w:color="auto" w:fill="FFFFFF"/>
        </w:rPr>
      </w:pPr>
      <w:r w:rsidRPr="003B57EA">
        <w:rPr>
          <w:rFonts w:asciiTheme="majorBidi" w:hAnsiTheme="majorBidi" w:cstheme="majorBidi"/>
          <w:shd w:val="clear" w:color="auto" w:fill="FFFFFF"/>
        </w:rPr>
        <w:t xml:space="preserve">Matthews, M., Webb, T. L., &amp; </w:t>
      </w:r>
      <w:proofErr w:type="spellStart"/>
      <w:r w:rsidRPr="003B57EA">
        <w:rPr>
          <w:rFonts w:asciiTheme="majorBidi" w:hAnsiTheme="majorBidi" w:cstheme="majorBidi"/>
          <w:shd w:val="clear" w:color="auto" w:fill="FFFFFF"/>
        </w:rPr>
        <w:t>Sheppes</w:t>
      </w:r>
      <w:proofErr w:type="spellEnd"/>
      <w:r w:rsidRPr="003B57EA">
        <w:rPr>
          <w:rFonts w:asciiTheme="majorBidi" w:hAnsiTheme="majorBidi" w:cstheme="majorBidi"/>
          <w:shd w:val="clear" w:color="auto" w:fill="FFFFFF"/>
        </w:rPr>
        <w:t xml:space="preserve">, G. (2021). Do people choose the same strategies to regulate other </w:t>
      </w:r>
      <w:r w:rsidRPr="003B57EA">
        <w:rPr>
          <w:rFonts w:asciiTheme="majorBidi" w:hAnsiTheme="majorBidi" w:cstheme="majorBidi"/>
          <w:sz w:val="22"/>
          <w:szCs w:val="22"/>
          <w:shd w:val="clear" w:color="auto" w:fill="FFFFFF"/>
        </w:rPr>
        <w:t>people’s emotions as they choose to regulate their own? </w:t>
      </w:r>
      <w:r w:rsidRPr="003B57EA">
        <w:rPr>
          <w:rStyle w:val="Emphasis"/>
          <w:rFonts w:asciiTheme="majorBidi" w:hAnsiTheme="majorBidi" w:cstheme="majorBidi"/>
          <w:sz w:val="22"/>
          <w:szCs w:val="22"/>
          <w:shd w:val="clear" w:color="auto" w:fill="FFFFFF"/>
        </w:rPr>
        <w:t>Emotion.</w:t>
      </w:r>
      <w:r w:rsidRPr="003B57EA">
        <w:rPr>
          <w:rFonts w:asciiTheme="majorBidi" w:hAnsiTheme="majorBidi" w:cstheme="majorBidi"/>
          <w:sz w:val="22"/>
          <w:szCs w:val="22"/>
          <w:shd w:val="clear" w:color="auto" w:fill="FFFFFF"/>
        </w:rPr>
        <w:t> Advance online publication. </w:t>
      </w:r>
      <w:hyperlink r:id="rId17" w:tgtFrame="_blank" w:history="1">
        <w:r w:rsidRPr="003B57EA">
          <w:rPr>
            <w:rStyle w:val="Hyperlink"/>
            <w:rFonts w:asciiTheme="majorBidi" w:hAnsiTheme="majorBidi" w:cstheme="majorBidi"/>
            <w:color w:val="auto"/>
            <w:sz w:val="22"/>
            <w:szCs w:val="22"/>
            <w:shd w:val="clear" w:color="auto" w:fill="FFFFFF"/>
          </w:rPr>
          <w:t>https://doi.org/10.1037/emo0001008</w:t>
        </w:r>
      </w:hyperlink>
    </w:p>
    <w:p w14:paraId="57879DA1" w14:textId="4E579AB9" w:rsidR="004B1F45" w:rsidRPr="003B57EA" w:rsidRDefault="004B1F45" w:rsidP="00C4003E">
      <w:pPr>
        <w:spacing w:line="480" w:lineRule="auto"/>
        <w:ind w:left="720" w:hanging="720"/>
        <w:contextualSpacing/>
        <w:jc w:val="both"/>
        <w:rPr>
          <w:rFonts w:asciiTheme="majorBidi" w:hAnsiTheme="majorBidi" w:cstheme="majorBidi"/>
          <w:noProof/>
        </w:rPr>
      </w:pPr>
      <w:proofErr w:type="spellStart"/>
      <w:r w:rsidRPr="003B57EA">
        <w:rPr>
          <w:rFonts w:asciiTheme="majorBidi" w:hAnsiTheme="majorBidi" w:cstheme="majorBidi"/>
          <w:shd w:val="clear" w:color="auto" w:fill="FFFFFF"/>
        </w:rPr>
        <w:t>Mikulincer</w:t>
      </w:r>
      <w:proofErr w:type="spellEnd"/>
      <w:r w:rsidRPr="003B57EA">
        <w:rPr>
          <w:rFonts w:asciiTheme="majorBidi" w:hAnsiTheme="majorBidi" w:cstheme="majorBidi"/>
          <w:shd w:val="clear" w:color="auto" w:fill="FFFFFF"/>
        </w:rPr>
        <w:t xml:space="preserve">, M., Florian, V., &amp; </w:t>
      </w:r>
      <w:proofErr w:type="spellStart"/>
      <w:r w:rsidRPr="003B57EA">
        <w:rPr>
          <w:rFonts w:asciiTheme="majorBidi" w:hAnsiTheme="majorBidi" w:cstheme="majorBidi"/>
          <w:shd w:val="clear" w:color="auto" w:fill="FFFFFF"/>
        </w:rPr>
        <w:t>Tolmacz</w:t>
      </w:r>
      <w:proofErr w:type="spellEnd"/>
      <w:r w:rsidRPr="003B57EA">
        <w:rPr>
          <w:rFonts w:asciiTheme="majorBidi" w:hAnsiTheme="majorBidi" w:cstheme="majorBidi"/>
          <w:shd w:val="clear" w:color="auto" w:fill="FFFFFF"/>
        </w:rPr>
        <w:t>, R. (1990). Attachment styles and fear of personal death: A case study of affect regulation. </w:t>
      </w:r>
      <w:r w:rsidRPr="003B57EA">
        <w:rPr>
          <w:rFonts w:asciiTheme="majorBidi" w:hAnsiTheme="majorBidi" w:cstheme="majorBidi"/>
          <w:i/>
          <w:iCs/>
          <w:shd w:val="clear" w:color="auto" w:fill="FFFFFF"/>
        </w:rPr>
        <w:t xml:space="preserve">Journal of </w:t>
      </w:r>
      <w:r w:rsidR="00A62CCB" w:rsidRPr="003B57EA">
        <w:rPr>
          <w:rFonts w:asciiTheme="majorBidi" w:hAnsiTheme="majorBidi" w:cstheme="majorBidi"/>
          <w:i/>
          <w:iCs/>
          <w:shd w:val="clear" w:color="auto" w:fill="FFFFFF"/>
        </w:rPr>
        <w:t xml:space="preserve">Personality </w:t>
      </w:r>
      <w:r w:rsidRPr="003B57EA">
        <w:rPr>
          <w:rFonts w:asciiTheme="majorBidi" w:hAnsiTheme="majorBidi" w:cstheme="majorBidi"/>
          <w:i/>
          <w:iCs/>
          <w:shd w:val="clear" w:color="auto" w:fill="FFFFFF"/>
        </w:rPr>
        <w:t xml:space="preserve">and </w:t>
      </w:r>
      <w:r w:rsidR="00A62CCB" w:rsidRPr="003B57EA">
        <w:rPr>
          <w:rFonts w:asciiTheme="majorBidi" w:hAnsiTheme="majorBidi" w:cstheme="majorBidi"/>
          <w:i/>
          <w:iCs/>
          <w:shd w:val="clear" w:color="auto" w:fill="FFFFFF"/>
        </w:rPr>
        <w:t>Social Psychology</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58</w:t>
      </w:r>
      <w:r w:rsidRPr="003B57EA">
        <w:rPr>
          <w:rFonts w:asciiTheme="majorBidi" w:hAnsiTheme="majorBidi" w:cstheme="majorBidi"/>
          <w:shd w:val="clear" w:color="auto" w:fill="FFFFFF"/>
        </w:rPr>
        <w:t>(2), 273</w:t>
      </w:r>
      <w:r w:rsidRPr="003B57EA">
        <w:rPr>
          <w:rFonts w:asciiTheme="majorBidi" w:hAnsiTheme="majorBidi" w:cstheme="majorBidi"/>
        </w:rPr>
        <w:t>.</w:t>
      </w:r>
    </w:p>
    <w:p w14:paraId="08B711DE" w14:textId="77777777" w:rsidR="004B1F45" w:rsidRPr="003B57EA" w:rsidRDefault="004B1F45" w:rsidP="00C4003E">
      <w:pPr>
        <w:spacing w:line="480" w:lineRule="auto"/>
        <w:ind w:left="720" w:hanging="720"/>
        <w:contextualSpacing/>
        <w:jc w:val="both"/>
        <w:rPr>
          <w:rFonts w:asciiTheme="majorBidi" w:hAnsiTheme="majorBidi" w:cstheme="majorBidi"/>
          <w:noProof/>
        </w:rPr>
      </w:pPr>
      <w:r w:rsidRPr="003B57EA">
        <w:rPr>
          <w:rFonts w:asciiTheme="majorBidi" w:hAnsiTheme="majorBidi" w:cstheme="majorBidi"/>
          <w:noProof/>
        </w:rPr>
        <w:t>Mikulincer, M., &amp; Shaver, P. R. (2016). Adult Attachment and Emotion Regulation.</w:t>
      </w:r>
      <w:r w:rsidRPr="003B57EA">
        <w:rPr>
          <w:rFonts w:asciiTheme="majorBidi" w:hAnsiTheme="majorBidi" w:cstheme="majorBidi"/>
          <w:i/>
          <w:iCs/>
          <w:noProof/>
        </w:rPr>
        <w:t xml:space="preserve"> In Handbook of Attachment: Theory, Research, and Clinical Applications</w:t>
      </w:r>
      <w:r w:rsidRPr="003B57EA">
        <w:rPr>
          <w:rFonts w:asciiTheme="majorBidi" w:hAnsiTheme="majorBidi" w:cstheme="majorBidi"/>
          <w:noProof/>
        </w:rPr>
        <w:t xml:space="preserve">; Guilford Publications: New York, NY, USA, 2016; pp. 507–533. </w:t>
      </w:r>
    </w:p>
    <w:p w14:paraId="72352618"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Mills, D. J., </w:t>
      </w:r>
      <w:proofErr w:type="spellStart"/>
      <w:r w:rsidRPr="003B57EA">
        <w:rPr>
          <w:rFonts w:asciiTheme="majorBidi" w:hAnsiTheme="majorBidi" w:cstheme="majorBidi"/>
          <w:shd w:val="clear" w:color="auto" w:fill="FFFFFF"/>
        </w:rPr>
        <w:t>Milyavskaya</w:t>
      </w:r>
      <w:proofErr w:type="spellEnd"/>
      <w:r w:rsidRPr="003B57EA">
        <w:rPr>
          <w:rFonts w:asciiTheme="majorBidi" w:hAnsiTheme="majorBidi" w:cstheme="majorBidi"/>
          <w:shd w:val="clear" w:color="auto" w:fill="FFFFFF"/>
        </w:rPr>
        <w:t>, M., Mettler, J., &amp; Heath, N. L. (2018). Exploring the pull and push underlying problem video game use: A self-determination theory approach. </w:t>
      </w:r>
      <w:r w:rsidRPr="003B57EA">
        <w:rPr>
          <w:rFonts w:asciiTheme="majorBidi" w:hAnsiTheme="majorBidi" w:cstheme="majorBidi"/>
          <w:i/>
          <w:iCs/>
          <w:shd w:val="clear" w:color="auto" w:fill="FFFFFF"/>
        </w:rPr>
        <w:t>Personality and Individual Differences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135</w:t>
      </w:r>
      <w:r w:rsidRPr="003B57EA">
        <w:rPr>
          <w:rFonts w:asciiTheme="majorBidi" w:hAnsiTheme="majorBidi" w:cstheme="majorBidi"/>
          <w:shd w:val="clear" w:color="auto" w:fill="FFFFFF"/>
        </w:rPr>
        <w:t>, 176-181.</w:t>
      </w:r>
      <w:r w:rsidRPr="003B57EA">
        <w:rPr>
          <w:rFonts w:asciiTheme="majorBidi" w:hAnsiTheme="majorBidi" w:cstheme="majorBidi"/>
          <w:shd w:val="clear" w:color="auto" w:fill="FFFFFF"/>
          <w:rtl/>
        </w:rPr>
        <w:t>‏</w:t>
      </w:r>
    </w:p>
    <w:p w14:paraId="7C036C9D" w14:textId="5A635FF4"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Morris, A. S., Silk, J. S., Steinberg, L., Myers, S. S., &amp; Robinson, L. R. (2007). The role of the family context in the development of emotion regulation. </w:t>
      </w:r>
      <w:r w:rsidRPr="003B57EA">
        <w:rPr>
          <w:rFonts w:asciiTheme="majorBidi" w:hAnsiTheme="majorBidi" w:cstheme="majorBidi"/>
          <w:i/>
          <w:iCs/>
          <w:shd w:val="clear" w:color="auto" w:fill="FFFFFF"/>
        </w:rPr>
        <w:t xml:space="preserve">Social </w:t>
      </w:r>
      <w:r w:rsidR="00A62CCB" w:rsidRPr="003B57EA">
        <w:rPr>
          <w:rFonts w:asciiTheme="majorBidi" w:hAnsiTheme="majorBidi" w:cstheme="majorBidi"/>
          <w:i/>
          <w:iCs/>
          <w:shd w:val="clear" w:color="auto" w:fill="FFFFFF"/>
        </w:rPr>
        <w:t>Development</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16</w:t>
      </w:r>
      <w:r w:rsidRPr="003B57EA">
        <w:rPr>
          <w:rFonts w:asciiTheme="majorBidi" w:hAnsiTheme="majorBidi" w:cstheme="majorBidi"/>
          <w:shd w:val="clear" w:color="auto" w:fill="FFFFFF"/>
        </w:rPr>
        <w:t>(2), 361-388.</w:t>
      </w:r>
      <w:r w:rsidRPr="003B57EA">
        <w:rPr>
          <w:rFonts w:asciiTheme="majorBidi" w:hAnsiTheme="majorBidi" w:cstheme="majorBidi"/>
          <w:shd w:val="clear" w:color="auto" w:fill="FFFFFF"/>
          <w:rtl/>
        </w:rPr>
        <w:t>‏</w:t>
      </w:r>
    </w:p>
    <w:p w14:paraId="2A6AB3A7" w14:textId="58FE675F"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Moss, A. C., Erskine, J. A., Albery, I. P., Allen, J. R., &amp; Georgiou, G. J. (2015). To suppress, or not to suppress? That is repression: controlling intrusive thoughts in addictive </w:t>
      </w:r>
      <w:proofErr w:type="spellStart"/>
      <w:r w:rsidRPr="003B57EA">
        <w:rPr>
          <w:rFonts w:asciiTheme="majorBidi" w:hAnsiTheme="majorBidi" w:cstheme="majorBidi"/>
          <w:shd w:val="clear" w:color="auto" w:fill="FFFFFF"/>
        </w:rPr>
        <w:t>behaviour</w:t>
      </w:r>
      <w:proofErr w:type="spellEnd"/>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 xml:space="preserve">Addictive </w:t>
      </w:r>
      <w:r w:rsidR="00A62CCB" w:rsidRPr="003B57EA">
        <w:rPr>
          <w:rFonts w:asciiTheme="majorBidi" w:hAnsiTheme="majorBidi" w:cstheme="majorBidi"/>
          <w:i/>
          <w:iCs/>
          <w:shd w:val="clear" w:color="auto" w:fill="FFFFFF"/>
        </w:rPr>
        <w:t>Behaviors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44</w:t>
      </w:r>
      <w:r w:rsidRPr="003B57EA">
        <w:rPr>
          <w:rFonts w:asciiTheme="majorBidi" w:hAnsiTheme="majorBidi" w:cstheme="majorBidi"/>
          <w:shd w:val="clear" w:color="auto" w:fill="FFFFFF"/>
        </w:rPr>
        <w:t>, 65-70.</w:t>
      </w:r>
      <w:r w:rsidRPr="003B57EA">
        <w:rPr>
          <w:rFonts w:asciiTheme="majorBidi" w:hAnsiTheme="majorBidi" w:cstheme="majorBidi"/>
          <w:shd w:val="clear" w:color="auto" w:fill="FFFFFF"/>
          <w:rtl/>
        </w:rPr>
        <w:t>‏</w:t>
      </w:r>
    </w:p>
    <w:p w14:paraId="5A7AE7CE"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proofErr w:type="spellStart"/>
      <w:r w:rsidRPr="003B57EA">
        <w:rPr>
          <w:rFonts w:asciiTheme="majorBidi" w:hAnsiTheme="majorBidi" w:cstheme="majorBidi"/>
          <w:shd w:val="clear" w:color="auto" w:fill="FFFFFF"/>
        </w:rPr>
        <w:lastRenderedPageBreak/>
        <w:t>Moudiab</w:t>
      </w:r>
      <w:proofErr w:type="spellEnd"/>
      <w:r w:rsidRPr="003B57EA">
        <w:rPr>
          <w:rFonts w:asciiTheme="majorBidi" w:hAnsiTheme="majorBidi" w:cstheme="majorBidi"/>
          <w:shd w:val="clear" w:color="auto" w:fill="FFFFFF"/>
        </w:rPr>
        <w:t>, S., &amp; Spada, M. M. (2019). The relative contribution of motives and maladaptive cognitions to levels of Internet Gaming Disorder. </w:t>
      </w:r>
      <w:r w:rsidRPr="003B57EA">
        <w:rPr>
          <w:rFonts w:asciiTheme="majorBidi" w:hAnsiTheme="majorBidi" w:cstheme="majorBidi"/>
          <w:i/>
          <w:iCs/>
          <w:shd w:val="clear" w:color="auto" w:fill="FFFFFF"/>
        </w:rPr>
        <w:t>Addictive Behaviors Reports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9</w:t>
      </w:r>
      <w:r w:rsidRPr="003B57EA">
        <w:rPr>
          <w:rFonts w:asciiTheme="majorBidi" w:hAnsiTheme="majorBidi" w:cstheme="majorBidi"/>
          <w:shd w:val="clear" w:color="auto" w:fill="FFFFFF"/>
        </w:rPr>
        <w:t>, 100160.</w:t>
      </w:r>
      <w:r w:rsidRPr="003B57EA">
        <w:rPr>
          <w:rFonts w:asciiTheme="majorBidi" w:hAnsiTheme="majorBidi" w:cstheme="majorBidi"/>
          <w:shd w:val="clear" w:color="auto" w:fill="FFFFFF"/>
          <w:rtl/>
        </w:rPr>
        <w:t>‏</w:t>
      </w:r>
    </w:p>
    <w:p w14:paraId="381BB762" w14:textId="22ADAAB0" w:rsidR="004B1F45" w:rsidRPr="003B57EA" w:rsidRDefault="004B1F45" w:rsidP="00C4003E">
      <w:pPr>
        <w:spacing w:line="480" w:lineRule="auto"/>
        <w:ind w:left="720" w:hanging="720"/>
        <w:jc w:val="both"/>
        <w:rPr>
          <w:rFonts w:asciiTheme="majorBidi" w:hAnsiTheme="majorBidi" w:cstheme="majorBidi"/>
        </w:rPr>
      </w:pPr>
      <w:proofErr w:type="spellStart"/>
      <w:r w:rsidRPr="003B57EA">
        <w:rPr>
          <w:rFonts w:asciiTheme="majorBidi" w:hAnsiTheme="majorBidi" w:cstheme="majorBidi"/>
          <w:shd w:val="clear" w:color="auto" w:fill="FFFFFF"/>
        </w:rPr>
        <w:t>N</w:t>
      </w:r>
      <w:r w:rsidR="00B048AF" w:rsidRPr="003B57EA">
        <w:rPr>
          <w:rFonts w:asciiTheme="majorBidi" w:hAnsiTheme="majorBidi" w:cstheme="majorBidi"/>
          <w:shd w:val="clear" w:color="auto" w:fill="FFFFFF"/>
        </w:rPr>
        <w:t>azligul</w:t>
      </w:r>
      <w:proofErr w:type="spellEnd"/>
      <w:r w:rsidRPr="003B57EA">
        <w:rPr>
          <w:rFonts w:asciiTheme="majorBidi" w:hAnsiTheme="majorBidi" w:cstheme="majorBidi"/>
          <w:shd w:val="clear" w:color="auto" w:fill="FFFFFF"/>
        </w:rPr>
        <w:t xml:space="preserve">, M. D., &amp; </w:t>
      </w:r>
      <w:proofErr w:type="spellStart"/>
      <w:r w:rsidR="00B048AF" w:rsidRPr="003B57EA">
        <w:rPr>
          <w:rFonts w:asciiTheme="majorBidi" w:hAnsiTheme="majorBidi" w:cstheme="majorBidi"/>
          <w:shd w:val="clear" w:color="auto" w:fill="FFFFFF"/>
        </w:rPr>
        <w:t>Susen</w:t>
      </w:r>
      <w:proofErr w:type="spellEnd"/>
      <w:r w:rsidRPr="003B57EA">
        <w:rPr>
          <w:rFonts w:asciiTheme="majorBidi" w:hAnsiTheme="majorBidi" w:cstheme="majorBidi"/>
          <w:shd w:val="clear" w:color="auto" w:fill="FFFFFF"/>
        </w:rPr>
        <w:t>, Y. (2021). Psychometric Characteristics of Turkish Version of Metacognitions about Online Gaming Scale. </w:t>
      </w:r>
      <w:proofErr w:type="spellStart"/>
      <w:r w:rsidRPr="003B57EA">
        <w:rPr>
          <w:rFonts w:asciiTheme="majorBidi" w:hAnsiTheme="majorBidi" w:cstheme="majorBidi"/>
          <w:i/>
          <w:iCs/>
          <w:shd w:val="clear" w:color="auto" w:fill="FFFFFF"/>
        </w:rPr>
        <w:t>Bağımlılık</w:t>
      </w:r>
      <w:proofErr w:type="spellEnd"/>
      <w:r w:rsidRPr="003B57EA">
        <w:rPr>
          <w:rFonts w:asciiTheme="majorBidi" w:hAnsiTheme="majorBidi" w:cstheme="majorBidi"/>
          <w:i/>
          <w:iCs/>
          <w:shd w:val="clear" w:color="auto" w:fill="FFFFFF"/>
        </w:rPr>
        <w:t xml:space="preserve"> </w:t>
      </w:r>
      <w:proofErr w:type="spellStart"/>
      <w:r w:rsidRPr="003B57EA">
        <w:rPr>
          <w:rFonts w:asciiTheme="majorBidi" w:hAnsiTheme="majorBidi" w:cstheme="majorBidi"/>
          <w:i/>
          <w:iCs/>
          <w:shd w:val="clear" w:color="auto" w:fill="FFFFFF"/>
        </w:rPr>
        <w:t>Dergisi</w:t>
      </w:r>
      <w:proofErr w:type="spellEnd"/>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22</w:t>
      </w:r>
      <w:r w:rsidRPr="003B57EA">
        <w:rPr>
          <w:rFonts w:asciiTheme="majorBidi" w:hAnsiTheme="majorBidi" w:cstheme="majorBidi"/>
          <w:shd w:val="clear" w:color="auto" w:fill="FFFFFF"/>
        </w:rPr>
        <w:t>(3), 314-326.</w:t>
      </w:r>
      <w:r w:rsidRPr="003B57EA">
        <w:rPr>
          <w:rFonts w:asciiTheme="majorBidi" w:hAnsiTheme="majorBidi" w:cstheme="majorBidi"/>
          <w:shd w:val="clear" w:color="auto" w:fill="FFFFFF"/>
          <w:rtl/>
        </w:rPr>
        <w:t>‏</w:t>
      </w:r>
    </w:p>
    <w:p w14:paraId="1A56F382" w14:textId="77777777" w:rsidR="004B1F45" w:rsidRPr="003B57EA" w:rsidRDefault="004B1F45" w:rsidP="00C4003E">
      <w:pPr>
        <w:spacing w:line="480" w:lineRule="auto"/>
        <w:ind w:left="720" w:hanging="720"/>
        <w:jc w:val="both"/>
        <w:rPr>
          <w:rFonts w:asciiTheme="majorBidi" w:hAnsiTheme="majorBidi" w:cstheme="majorBidi"/>
        </w:rPr>
      </w:pPr>
      <w:r w:rsidRPr="003B57EA">
        <w:rPr>
          <w:rFonts w:asciiTheme="majorBidi" w:hAnsiTheme="majorBidi" w:cstheme="majorBidi"/>
        </w:rPr>
        <w:t xml:space="preserve">Newport Academy, N. (2021). The Latest Research on Teenage Video Game Addiction. Available at: </w:t>
      </w:r>
      <w:hyperlink r:id="rId18" w:history="1">
        <w:r w:rsidRPr="003B57EA">
          <w:rPr>
            <w:rStyle w:val="Hyperlink"/>
            <w:rFonts w:asciiTheme="majorBidi" w:hAnsiTheme="majorBidi" w:cstheme="majorBidi"/>
            <w:color w:val="auto"/>
          </w:rPr>
          <w:t xml:space="preserve">https://www.newportacademy.com/resources/treatment/teenage-video-game-a </w:t>
        </w:r>
        <w:proofErr w:type="spellStart"/>
        <w:r w:rsidRPr="003B57EA">
          <w:rPr>
            <w:rStyle w:val="Hyperlink"/>
            <w:rFonts w:asciiTheme="majorBidi" w:hAnsiTheme="majorBidi" w:cstheme="majorBidi"/>
            <w:color w:val="auto"/>
          </w:rPr>
          <w:t>ddiction</w:t>
        </w:r>
        <w:proofErr w:type="spellEnd"/>
        <w:r w:rsidRPr="003B57EA">
          <w:rPr>
            <w:rStyle w:val="Hyperlink"/>
            <w:rFonts w:asciiTheme="majorBidi" w:hAnsiTheme="majorBidi" w:cstheme="majorBidi"/>
            <w:color w:val="auto"/>
          </w:rPr>
          <w:t>/</w:t>
        </w:r>
      </w:hyperlink>
      <w:r w:rsidRPr="003B57EA">
        <w:rPr>
          <w:rFonts w:asciiTheme="majorBidi" w:hAnsiTheme="majorBidi" w:cstheme="majorBidi"/>
        </w:rPr>
        <w:t xml:space="preserve"> . </w:t>
      </w:r>
    </w:p>
    <w:p w14:paraId="168218BD" w14:textId="77777777" w:rsidR="00757174" w:rsidRPr="003B57EA" w:rsidRDefault="004B1F45" w:rsidP="00C4003E">
      <w:pPr>
        <w:spacing w:line="480" w:lineRule="auto"/>
        <w:ind w:left="720" w:hanging="720"/>
        <w:jc w:val="both"/>
        <w:rPr>
          <w:color w:val="222222"/>
          <w:shd w:val="clear" w:color="auto" w:fill="FFFFFF"/>
        </w:rPr>
      </w:pPr>
      <w:r w:rsidRPr="003B57EA">
        <w:rPr>
          <w:shd w:val="clear" w:color="auto" w:fill="FFFFFF"/>
        </w:rPr>
        <w:t xml:space="preserve"> </w:t>
      </w:r>
      <w:r w:rsidR="00757174" w:rsidRPr="003B57EA">
        <w:rPr>
          <w:color w:val="222222"/>
          <w:shd w:val="clear" w:color="auto" w:fill="FFFFFF"/>
        </w:rPr>
        <w:t xml:space="preserve">Palmieri, S., Mansueto, G., Ruggiero, G. M., Caselli, G., Sassaroli, S., &amp; Spada, M. M. (2021). Metacognitive beliefs across eating disorders and eating </w:t>
      </w:r>
      <w:proofErr w:type="spellStart"/>
      <w:r w:rsidR="00757174" w:rsidRPr="003B57EA">
        <w:rPr>
          <w:color w:val="222222"/>
          <w:shd w:val="clear" w:color="auto" w:fill="FFFFFF"/>
        </w:rPr>
        <w:t>behaviours</w:t>
      </w:r>
      <w:proofErr w:type="spellEnd"/>
      <w:r w:rsidR="00757174" w:rsidRPr="003B57EA">
        <w:rPr>
          <w:color w:val="222222"/>
          <w:shd w:val="clear" w:color="auto" w:fill="FFFFFF"/>
        </w:rPr>
        <w:t>: A systematic review. </w:t>
      </w:r>
      <w:r w:rsidR="00757174" w:rsidRPr="003B57EA">
        <w:rPr>
          <w:i/>
          <w:iCs/>
          <w:color w:val="222222"/>
          <w:shd w:val="clear" w:color="auto" w:fill="FFFFFF"/>
        </w:rPr>
        <w:t>Clinical Psychology &amp; Psychotherapy</w:t>
      </w:r>
      <w:r w:rsidR="00757174" w:rsidRPr="003B57EA">
        <w:rPr>
          <w:color w:val="222222"/>
          <w:shd w:val="clear" w:color="auto" w:fill="FFFFFF"/>
        </w:rPr>
        <w:t>, </w:t>
      </w:r>
      <w:r w:rsidR="00757174" w:rsidRPr="003B57EA">
        <w:rPr>
          <w:i/>
          <w:iCs/>
          <w:color w:val="222222"/>
          <w:shd w:val="clear" w:color="auto" w:fill="FFFFFF"/>
        </w:rPr>
        <w:t>28</w:t>
      </w:r>
      <w:r w:rsidR="00757174" w:rsidRPr="003B57EA">
        <w:rPr>
          <w:color w:val="222222"/>
          <w:shd w:val="clear" w:color="auto" w:fill="FFFFFF"/>
        </w:rPr>
        <w:t>(5), 1254-1265.</w:t>
      </w:r>
      <w:r w:rsidR="00757174" w:rsidRPr="003B57EA">
        <w:rPr>
          <w:color w:val="222222"/>
          <w:shd w:val="clear" w:color="auto" w:fill="FFFFFF"/>
          <w:rtl/>
        </w:rPr>
        <w:t>‏</w:t>
      </w:r>
    </w:p>
    <w:p w14:paraId="14C891F4" w14:textId="79A6FE98"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Pan, Y. C., Chiu, Y. C., &amp; Lin, Y. H. (2020). Systematic review and meta-analysis of epidemiology of internet addiction. </w:t>
      </w:r>
      <w:r w:rsidRPr="003B57EA">
        <w:rPr>
          <w:rFonts w:asciiTheme="majorBidi" w:hAnsiTheme="majorBidi" w:cstheme="majorBidi"/>
          <w:i/>
          <w:iCs/>
          <w:shd w:val="clear" w:color="auto" w:fill="FFFFFF"/>
        </w:rPr>
        <w:t>Neuroscience &amp; Biobehavioral Reviews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118</w:t>
      </w:r>
      <w:r w:rsidRPr="003B57EA">
        <w:rPr>
          <w:rFonts w:asciiTheme="majorBidi" w:hAnsiTheme="majorBidi" w:cstheme="majorBidi"/>
          <w:shd w:val="clear" w:color="auto" w:fill="FFFFFF"/>
        </w:rPr>
        <w:t>, 612-622.</w:t>
      </w:r>
      <w:r w:rsidRPr="003B57EA">
        <w:rPr>
          <w:rFonts w:asciiTheme="majorBidi" w:hAnsiTheme="majorBidi" w:cstheme="majorBidi"/>
          <w:shd w:val="clear" w:color="auto" w:fill="FFFFFF"/>
          <w:rtl/>
        </w:rPr>
        <w:t>‏</w:t>
      </w:r>
    </w:p>
    <w:p w14:paraId="77121D3D" w14:textId="77777777" w:rsidR="00CF3816" w:rsidRPr="003B57EA" w:rsidRDefault="00CF3816"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color w:val="222222"/>
          <w:shd w:val="clear" w:color="auto" w:fill="FFFFFF"/>
        </w:rPr>
        <w:t xml:space="preserve">Paulus, F. W., </w:t>
      </w:r>
      <w:proofErr w:type="spellStart"/>
      <w:r w:rsidRPr="003B57EA">
        <w:rPr>
          <w:rFonts w:asciiTheme="majorBidi" w:hAnsiTheme="majorBidi" w:cstheme="majorBidi"/>
          <w:color w:val="222222"/>
          <w:shd w:val="clear" w:color="auto" w:fill="FFFFFF"/>
        </w:rPr>
        <w:t>Ohmann</w:t>
      </w:r>
      <w:proofErr w:type="spellEnd"/>
      <w:r w:rsidRPr="003B57EA">
        <w:rPr>
          <w:rFonts w:asciiTheme="majorBidi" w:hAnsiTheme="majorBidi" w:cstheme="majorBidi"/>
          <w:color w:val="222222"/>
          <w:shd w:val="clear" w:color="auto" w:fill="FFFFFF"/>
        </w:rPr>
        <w:t xml:space="preserve">, S., Von </w:t>
      </w:r>
      <w:proofErr w:type="spellStart"/>
      <w:r w:rsidRPr="003B57EA">
        <w:rPr>
          <w:rFonts w:asciiTheme="majorBidi" w:hAnsiTheme="majorBidi" w:cstheme="majorBidi"/>
          <w:color w:val="222222"/>
          <w:shd w:val="clear" w:color="auto" w:fill="FFFFFF"/>
        </w:rPr>
        <w:t>Gontard</w:t>
      </w:r>
      <w:proofErr w:type="spellEnd"/>
      <w:r w:rsidRPr="003B57EA">
        <w:rPr>
          <w:rFonts w:asciiTheme="majorBidi" w:hAnsiTheme="majorBidi" w:cstheme="majorBidi"/>
          <w:color w:val="222222"/>
          <w:shd w:val="clear" w:color="auto" w:fill="FFFFFF"/>
        </w:rPr>
        <w:t xml:space="preserve">, A., &amp; </w:t>
      </w:r>
      <w:proofErr w:type="spellStart"/>
      <w:r w:rsidRPr="003B57EA">
        <w:rPr>
          <w:rFonts w:asciiTheme="majorBidi" w:hAnsiTheme="majorBidi" w:cstheme="majorBidi"/>
          <w:color w:val="222222"/>
          <w:shd w:val="clear" w:color="auto" w:fill="FFFFFF"/>
        </w:rPr>
        <w:t>Popow</w:t>
      </w:r>
      <w:proofErr w:type="spellEnd"/>
      <w:r w:rsidRPr="003B57EA">
        <w:rPr>
          <w:rFonts w:asciiTheme="majorBidi" w:hAnsiTheme="majorBidi" w:cstheme="majorBidi"/>
          <w:color w:val="222222"/>
          <w:shd w:val="clear" w:color="auto" w:fill="FFFFFF"/>
        </w:rPr>
        <w:t>, C. (2018). Internet gaming disorder in children and adolescents: a systematic review. </w:t>
      </w:r>
      <w:r w:rsidRPr="003B57EA">
        <w:rPr>
          <w:rFonts w:asciiTheme="majorBidi" w:hAnsiTheme="majorBidi" w:cstheme="majorBidi"/>
          <w:i/>
          <w:iCs/>
          <w:color w:val="222222"/>
          <w:shd w:val="clear" w:color="auto" w:fill="FFFFFF"/>
        </w:rPr>
        <w:t>Developmental Medicine &amp; Child Neurology</w:t>
      </w:r>
      <w:r w:rsidRPr="003B57EA">
        <w:rPr>
          <w:rFonts w:asciiTheme="majorBidi" w:hAnsiTheme="majorBidi" w:cstheme="majorBidi"/>
          <w:color w:val="222222"/>
          <w:shd w:val="clear" w:color="auto" w:fill="FFFFFF"/>
        </w:rPr>
        <w:t>, </w:t>
      </w:r>
      <w:r w:rsidRPr="003B57EA">
        <w:rPr>
          <w:rFonts w:asciiTheme="majorBidi" w:hAnsiTheme="majorBidi" w:cstheme="majorBidi"/>
          <w:i/>
          <w:iCs/>
          <w:color w:val="222222"/>
          <w:shd w:val="clear" w:color="auto" w:fill="FFFFFF"/>
        </w:rPr>
        <w:t>60</w:t>
      </w:r>
      <w:r w:rsidRPr="003B57EA">
        <w:rPr>
          <w:rFonts w:asciiTheme="majorBidi" w:hAnsiTheme="majorBidi" w:cstheme="majorBidi"/>
          <w:color w:val="222222"/>
          <w:shd w:val="clear" w:color="auto" w:fill="FFFFFF"/>
        </w:rPr>
        <w:t>(7), 645-659.</w:t>
      </w:r>
      <w:r w:rsidRPr="003B57EA">
        <w:rPr>
          <w:rFonts w:asciiTheme="majorBidi" w:hAnsiTheme="majorBidi" w:cstheme="majorBidi"/>
          <w:color w:val="222222"/>
          <w:shd w:val="clear" w:color="auto" w:fill="FFFFFF"/>
          <w:rtl/>
        </w:rPr>
        <w:t>‏</w:t>
      </w:r>
      <w:r w:rsidRPr="003B57EA">
        <w:rPr>
          <w:rFonts w:asciiTheme="majorBidi" w:hAnsiTheme="majorBidi" w:cstheme="majorBidi"/>
          <w:shd w:val="clear" w:color="auto" w:fill="FFFFFF"/>
        </w:rPr>
        <w:t xml:space="preserve"> </w:t>
      </w:r>
    </w:p>
    <w:p w14:paraId="6D93FB4E" w14:textId="0C0A0297" w:rsidR="004B1F45" w:rsidRPr="003B57EA" w:rsidRDefault="004B1F45" w:rsidP="00C4003E">
      <w:pPr>
        <w:spacing w:line="480" w:lineRule="auto"/>
        <w:ind w:left="720" w:hanging="720"/>
        <w:jc w:val="both"/>
        <w:rPr>
          <w:rFonts w:asciiTheme="majorBidi" w:hAnsiTheme="majorBidi" w:cstheme="majorBidi"/>
          <w:shd w:val="clear" w:color="auto" w:fill="FFFFFF"/>
        </w:rPr>
      </w:pPr>
      <w:proofErr w:type="spellStart"/>
      <w:r w:rsidRPr="003B57EA">
        <w:rPr>
          <w:rFonts w:asciiTheme="majorBidi" w:hAnsiTheme="majorBidi" w:cstheme="majorBidi"/>
          <w:shd w:val="clear" w:color="auto" w:fill="FFFFFF"/>
        </w:rPr>
        <w:t>Petruzelka</w:t>
      </w:r>
      <w:proofErr w:type="spellEnd"/>
      <w:r w:rsidRPr="003B57EA">
        <w:rPr>
          <w:rFonts w:asciiTheme="majorBidi" w:hAnsiTheme="majorBidi" w:cstheme="majorBidi"/>
          <w:shd w:val="clear" w:color="auto" w:fill="FFFFFF"/>
        </w:rPr>
        <w:t xml:space="preserve">, B., </w:t>
      </w:r>
      <w:proofErr w:type="spellStart"/>
      <w:r w:rsidRPr="003B57EA">
        <w:rPr>
          <w:rFonts w:asciiTheme="majorBidi" w:hAnsiTheme="majorBidi" w:cstheme="majorBidi"/>
          <w:shd w:val="clear" w:color="auto" w:fill="FFFFFF"/>
        </w:rPr>
        <w:t>Vacek</w:t>
      </w:r>
      <w:proofErr w:type="spellEnd"/>
      <w:r w:rsidRPr="003B57EA">
        <w:rPr>
          <w:rFonts w:asciiTheme="majorBidi" w:hAnsiTheme="majorBidi" w:cstheme="majorBidi"/>
          <w:shd w:val="clear" w:color="auto" w:fill="FFFFFF"/>
        </w:rPr>
        <w:t xml:space="preserve">, J., </w:t>
      </w:r>
      <w:proofErr w:type="spellStart"/>
      <w:r w:rsidRPr="003B57EA">
        <w:rPr>
          <w:rFonts w:asciiTheme="majorBidi" w:hAnsiTheme="majorBidi" w:cstheme="majorBidi"/>
          <w:shd w:val="clear" w:color="auto" w:fill="FFFFFF"/>
        </w:rPr>
        <w:t>Gavurova</w:t>
      </w:r>
      <w:proofErr w:type="spellEnd"/>
      <w:r w:rsidRPr="003B57EA">
        <w:rPr>
          <w:rFonts w:asciiTheme="majorBidi" w:hAnsiTheme="majorBidi" w:cstheme="majorBidi"/>
          <w:shd w:val="clear" w:color="auto" w:fill="FFFFFF"/>
        </w:rPr>
        <w:t xml:space="preserve">, B., </w:t>
      </w:r>
      <w:proofErr w:type="spellStart"/>
      <w:r w:rsidRPr="003B57EA">
        <w:rPr>
          <w:rFonts w:asciiTheme="majorBidi" w:hAnsiTheme="majorBidi" w:cstheme="majorBidi"/>
          <w:shd w:val="clear" w:color="auto" w:fill="FFFFFF"/>
        </w:rPr>
        <w:t>Kubak</w:t>
      </w:r>
      <w:proofErr w:type="spellEnd"/>
      <w:r w:rsidRPr="003B57EA">
        <w:rPr>
          <w:rFonts w:asciiTheme="majorBidi" w:hAnsiTheme="majorBidi" w:cstheme="majorBidi"/>
          <w:shd w:val="clear" w:color="auto" w:fill="FFFFFF"/>
        </w:rPr>
        <w:t xml:space="preserve">, M., </w:t>
      </w:r>
      <w:proofErr w:type="spellStart"/>
      <w:r w:rsidRPr="003B57EA">
        <w:rPr>
          <w:rFonts w:asciiTheme="majorBidi" w:hAnsiTheme="majorBidi" w:cstheme="majorBidi"/>
          <w:shd w:val="clear" w:color="auto" w:fill="FFFFFF"/>
        </w:rPr>
        <w:t>Gabrhelik</w:t>
      </w:r>
      <w:proofErr w:type="spellEnd"/>
      <w:r w:rsidRPr="003B57EA">
        <w:rPr>
          <w:rFonts w:asciiTheme="majorBidi" w:hAnsiTheme="majorBidi" w:cstheme="majorBidi"/>
          <w:shd w:val="clear" w:color="auto" w:fill="FFFFFF"/>
        </w:rPr>
        <w:t xml:space="preserve">, R., </w:t>
      </w:r>
      <w:proofErr w:type="spellStart"/>
      <w:r w:rsidRPr="003B57EA">
        <w:rPr>
          <w:rFonts w:asciiTheme="majorBidi" w:hAnsiTheme="majorBidi" w:cstheme="majorBidi"/>
          <w:shd w:val="clear" w:color="auto" w:fill="FFFFFF"/>
        </w:rPr>
        <w:t>Rogalewicz</w:t>
      </w:r>
      <w:proofErr w:type="spellEnd"/>
      <w:r w:rsidRPr="003B57EA">
        <w:rPr>
          <w:rFonts w:asciiTheme="majorBidi" w:hAnsiTheme="majorBidi" w:cstheme="majorBidi"/>
          <w:shd w:val="clear" w:color="auto" w:fill="FFFFFF"/>
        </w:rPr>
        <w:t xml:space="preserve">, V., &amp; </w:t>
      </w:r>
      <w:proofErr w:type="spellStart"/>
      <w:r w:rsidRPr="003B57EA">
        <w:rPr>
          <w:rFonts w:asciiTheme="majorBidi" w:hAnsiTheme="majorBidi" w:cstheme="majorBidi"/>
          <w:shd w:val="clear" w:color="auto" w:fill="FFFFFF"/>
        </w:rPr>
        <w:t>Bartak</w:t>
      </w:r>
      <w:proofErr w:type="spellEnd"/>
      <w:r w:rsidRPr="003B57EA">
        <w:rPr>
          <w:rFonts w:asciiTheme="majorBidi" w:hAnsiTheme="majorBidi" w:cstheme="majorBidi"/>
          <w:shd w:val="clear" w:color="auto" w:fill="FFFFFF"/>
        </w:rPr>
        <w:t>, M. (2020). Interaction of socioeconomic status with risky internet use, gambling and substance use in adolescents from a structurally disadvantaged region in Central Europe. </w:t>
      </w:r>
      <w:r w:rsidRPr="003B57EA">
        <w:rPr>
          <w:rFonts w:asciiTheme="majorBidi" w:hAnsiTheme="majorBidi" w:cstheme="majorBidi"/>
          <w:i/>
          <w:iCs/>
          <w:shd w:val="clear" w:color="auto" w:fill="FFFFFF"/>
        </w:rPr>
        <w:t xml:space="preserve">International </w:t>
      </w:r>
      <w:r w:rsidR="00A62CCB" w:rsidRPr="003B57EA">
        <w:rPr>
          <w:rFonts w:asciiTheme="majorBidi" w:hAnsiTheme="majorBidi" w:cstheme="majorBidi"/>
          <w:i/>
          <w:iCs/>
          <w:shd w:val="clear" w:color="auto" w:fill="FFFFFF"/>
        </w:rPr>
        <w:t xml:space="preserve">Journal </w:t>
      </w:r>
      <w:r w:rsidRPr="003B57EA">
        <w:rPr>
          <w:rFonts w:asciiTheme="majorBidi" w:hAnsiTheme="majorBidi" w:cstheme="majorBidi"/>
          <w:i/>
          <w:iCs/>
          <w:shd w:val="clear" w:color="auto" w:fill="FFFFFF"/>
        </w:rPr>
        <w:t xml:space="preserve">of </w:t>
      </w:r>
      <w:r w:rsidR="00A62CCB" w:rsidRPr="003B57EA">
        <w:rPr>
          <w:rFonts w:asciiTheme="majorBidi" w:hAnsiTheme="majorBidi" w:cstheme="majorBidi"/>
          <w:i/>
          <w:iCs/>
          <w:shd w:val="clear" w:color="auto" w:fill="FFFFFF"/>
        </w:rPr>
        <w:t xml:space="preserve">Environmental Research </w:t>
      </w:r>
      <w:r w:rsidRPr="003B57EA">
        <w:rPr>
          <w:rFonts w:asciiTheme="majorBidi" w:hAnsiTheme="majorBidi" w:cstheme="majorBidi"/>
          <w:i/>
          <w:iCs/>
          <w:shd w:val="clear" w:color="auto" w:fill="FFFFFF"/>
        </w:rPr>
        <w:t xml:space="preserve">and </w:t>
      </w:r>
      <w:r w:rsidR="00A62CCB" w:rsidRPr="003B57EA">
        <w:rPr>
          <w:rFonts w:asciiTheme="majorBidi" w:hAnsiTheme="majorBidi" w:cstheme="majorBidi"/>
          <w:i/>
          <w:iCs/>
          <w:shd w:val="clear" w:color="auto" w:fill="FFFFFF"/>
        </w:rPr>
        <w:t>Public Health</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17</w:t>
      </w:r>
      <w:r w:rsidRPr="003B57EA">
        <w:rPr>
          <w:rFonts w:asciiTheme="majorBidi" w:hAnsiTheme="majorBidi" w:cstheme="majorBidi"/>
          <w:shd w:val="clear" w:color="auto" w:fill="FFFFFF"/>
        </w:rPr>
        <w:t>(13), 4803.</w:t>
      </w:r>
      <w:r w:rsidRPr="003B57EA">
        <w:rPr>
          <w:rFonts w:asciiTheme="majorBidi" w:hAnsiTheme="majorBidi" w:cstheme="majorBidi"/>
          <w:shd w:val="clear" w:color="auto" w:fill="FFFFFF"/>
          <w:rtl/>
        </w:rPr>
        <w:t>‏</w:t>
      </w:r>
      <w:r w:rsidRPr="003B57EA">
        <w:rPr>
          <w:rFonts w:asciiTheme="majorBidi" w:hAnsiTheme="majorBidi" w:cstheme="majorBidi"/>
          <w:shd w:val="clear" w:color="auto" w:fill="FFFFFF"/>
        </w:rPr>
        <w:t xml:space="preserve"> </w:t>
      </w:r>
    </w:p>
    <w:p w14:paraId="611CCBFB" w14:textId="5C9B23F2"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lastRenderedPageBreak/>
        <w:t>Pontes, H. M., &amp; Griffiths, M. D. (2015). Measuring DSM-5 internet gaming disorder: Development and validation of a short psychometric scale. </w:t>
      </w:r>
      <w:r w:rsidRPr="003B57EA">
        <w:rPr>
          <w:rFonts w:asciiTheme="majorBidi" w:hAnsiTheme="majorBidi" w:cstheme="majorBidi"/>
          <w:i/>
          <w:iCs/>
          <w:shd w:val="clear" w:color="auto" w:fill="FFFFFF"/>
        </w:rPr>
        <w:t xml:space="preserve">Computers in </w:t>
      </w:r>
      <w:r w:rsidR="00A62CCB" w:rsidRPr="003B57EA">
        <w:rPr>
          <w:rFonts w:asciiTheme="majorBidi" w:hAnsiTheme="majorBidi" w:cstheme="majorBidi"/>
          <w:i/>
          <w:iCs/>
          <w:shd w:val="clear" w:color="auto" w:fill="FFFFFF"/>
        </w:rPr>
        <w:t>Human Behavior</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45</w:t>
      </w:r>
      <w:r w:rsidRPr="003B57EA">
        <w:rPr>
          <w:rFonts w:asciiTheme="majorBidi" w:hAnsiTheme="majorBidi" w:cstheme="majorBidi"/>
          <w:shd w:val="clear" w:color="auto" w:fill="FFFFFF"/>
        </w:rPr>
        <w:t>, 137-143.</w:t>
      </w:r>
      <w:r w:rsidRPr="003B57EA">
        <w:rPr>
          <w:rFonts w:asciiTheme="majorBidi" w:hAnsiTheme="majorBidi" w:cstheme="majorBidi"/>
          <w:shd w:val="clear" w:color="auto" w:fill="FFFFFF"/>
          <w:rtl/>
        </w:rPr>
        <w:t>‏</w:t>
      </w:r>
    </w:p>
    <w:p w14:paraId="315DC7F7" w14:textId="77777777" w:rsidR="00B048AF" w:rsidRPr="003B57EA" w:rsidRDefault="00B048AF" w:rsidP="00C4003E">
      <w:pPr>
        <w:spacing w:line="480" w:lineRule="auto"/>
        <w:ind w:left="720" w:hanging="720"/>
        <w:jc w:val="both"/>
        <w:rPr>
          <w:rFonts w:asciiTheme="majorBidi" w:hAnsiTheme="majorBidi" w:cstheme="majorBidi"/>
          <w:shd w:val="clear" w:color="auto" w:fill="FFFFFF"/>
        </w:rPr>
      </w:pPr>
    </w:p>
    <w:p w14:paraId="572202AC" w14:textId="77777777" w:rsidR="00B048AF" w:rsidRPr="003B57EA" w:rsidRDefault="00B048AF" w:rsidP="00C4003E">
      <w:pPr>
        <w:spacing w:line="480" w:lineRule="auto"/>
        <w:ind w:left="720" w:hanging="720"/>
        <w:jc w:val="both"/>
        <w:rPr>
          <w:rFonts w:asciiTheme="majorBidi" w:hAnsiTheme="majorBidi" w:cstheme="majorBidi"/>
          <w:shd w:val="clear" w:color="auto" w:fill="FFFFFF"/>
        </w:rPr>
      </w:pPr>
    </w:p>
    <w:p w14:paraId="381D27AB" w14:textId="77777777" w:rsidR="00B048AF" w:rsidRPr="003B57EA" w:rsidRDefault="00B048AF" w:rsidP="00C4003E">
      <w:pPr>
        <w:spacing w:line="480" w:lineRule="auto"/>
        <w:ind w:left="720" w:hanging="720"/>
        <w:jc w:val="both"/>
        <w:rPr>
          <w:rFonts w:asciiTheme="majorBidi" w:hAnsiTheme="majorBidi" w:cstheme="majorBidi"/>
          <w:shd w:val="clear" w:color="auto" w:fill="FFFFFF"/>
        </w:rPr>
      </w:pPr>
    </w:p>
    <w:p w14:paraId="28CA44B6" w14:textId="4ECD615E"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Pontes, H. M., </w:t>
      </w:r>
      <w:proofErr w:type="spellStart"/>
      <w:r w:rsidRPr="003B57EA">
        <w:rPr>
          <w:rFonts w:asciiTheme="majorBidi" w:hAnsiTheme="majorBidi" w:cstheme="majorBidi"/>
          <w:shd w:val="clear" w:color="auto" w:fill="FFFFFF"/>
        </w:rPr>
        <w:t>Schivinski</w:t>
      </w:r>
      <w:proofErr w:type="spellEnd"/>
      <w:r w:rsidRPr="003B57EA">
        <w:rPr>
          <w:rFonts w:asciiTheme="majorBidi" w:hAnsiTheme="majorBidi" w:cstheme="majorBidi"/>
          <w:shd w:val="clear" w:color="auto" w:fill="FFFFFF"/>
        </w:rPr>
        <w:t xml:space="preserve">, B., </w:t>
      </w:r>
      <w:proofErr w:type="spellStart"/>
      <w:r w:rsidRPr="003B57EA">
        <w:rPr>
          <w:rFonts w:asciiTheme="majorBidi" w:hAnsiTheme="majorBidi" w:cstheme="majorBidi"/>
          <w:shd w:val="clear" w:color="auto" w:fill="FFFFFF"/>
        </w:rPr>
        <w:t>Sindermann</w:t>
      </w:r>
      <w:proofErr w:type="spellEnd"/>
      <w:r w:rsidRPr="003B57EA">
        <w:rPr>
          <w:rFonts w:asciiTheme="majorBidi" w:hAnsiTheme="majorBidi" w:cstheme="majorBidi"/>
          <w:shd w:val="clear" w:color="auto" w:fill="FFFFFF"/>
        </w:rPr>
        <w:t>, C., Li, M., Becker, B., Zhou, M., &amp; Montag, C. (2021). Measurement and conceptualization of Gaming Disorder according to the World Health Organization framework: The development of the Gaming Disorder Test. </w:t>
      </w:r>
      <w:r w:rsidRPr="003B57EA">
        <w:rPr>
          <w:rFonts w:asciiTheme="majorBidi" w:hAnsiTheme="majorBidi" w:cstheme="majorBidi"/>
          <w:i/>
          <w:iCs/>
          <w:shd w:val="clear" w:color="auto" w:fill="FFFFFF"/>
        </w:rPr>
        <w:t>International Journal of Mental Health and Addiction</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19</w:t>
      </w:r>
      <w:r w:rsidRPr="003B57EA">
        <w:rPr>
          <w:rFonts w:asciiTheme="majorBidi" w:hAnsiTheme="majorBidi" w:cstheme="majorBidi"/>
          <w:shd w:val="clear" w:color="auto" w:fill="FFFFFF"/>
        </w:rPr>
        <w:t>(2), 508-528.</w:t>
      </w:r>
      <w:r w:rsidRPr="003B57EA">
        <w:rPr>
          <w:rFonts w:asciiTheme="majorBidi" w:hAnsiTheme="majorBidi" w:cstheme="majorBidi"/>
          <w:shd w:val="clear" w:color="auto" w:fill="FFFFFF"/>
          <w:rtl/>
        </w:rPr>
        <w:t>‏</w:t>
      </w:r>
      <w:r w:rsidRPr="003B57EA">
        <w:rPr>
          <w:rFonts w:asciiTheme="majorBidi" w:hAnsiTheme="majorBidi" w:cstheme="majorBidi"/>
          <w:shd w:val="clear" w:color="auto" w:fill="FFFFFF"/>
        </w:rPr>
        <w:t xml:space="preserve"> </w:t>
      </w:r>
    </w:p>
    <w:p w14:paraId="72BABC80" w14:textId="7EEA9CBF" w:rsidR="004B1F45" w:rsidRPr="003B57EA" w:rsidRDefault="004B1F45" w:rsidP="00C4003E">
      <w:pPr>
        <w:spacing w:line="480" w:lineRule="auto"/>
        <w:ind w:left="720" w:hanging="720"/>
        <w:jc w:val="both"/>
        <w:rPr>
          <w:rFonts w:asciiTheme="majorBidi" w:hAnsiTheme="majorBidi" w:cstheme="majorBidi"/>
          <w:shd w:val="clear" w:color="auto" w:fill="FFFFFF"/>
        </w:rPr>
      </w:pPr>
      <w:proofErr w:type="spellStart"/>
      <w:r w:rsidRPr="003B57EA">
        <w:rPr>
          <w:rFonts w:asciiTheme="majorBidi" w:hAnsiTheme="majorBidi" w:cstheme="majorBidi"/>
          <w:shd w:val="clear" w:color="auto" w:fill="FFFFFF"/>
        </w:rPr>
        <w:t>Rogier</w:t>
      </w:r>
      <w:proofErr w:type="spellEnd"/>
      <w:r w:rsidRPr="003B57EA">
        <w:rPr>
          <w:rFonts w:asciiTheme="majorBidi" w:hAnsiTheme="majorBidi" w:cstheme="majorBidi"/>
          <w:shd w:val="clear" w:color="auto" w:fill="FFFFFF"/>
        </w:rPr>
        <w:t xml:space="preserve">, G., &amp; </w:t>
      </w:r>
      <w:proofErr w:type="spellStart"/>
      <w:r w:rsidRPr="003B57EA">
        <w:rPr>
          <w:rFonts w:asciiTheme="majorBidi" w:hAnsiTheme="majorBidi" w:cstheme="majorBidi"/>
          <w:shd w:val="clear" w:color="auto" w:fill="FFFFFF"/>
        </w:rPr>
        <w:t>Velotti</w:t>
      </w:r>
      <w:proofErr w:type="spellEnd"/>
      <w:r w:rsidRPr="003B57EA">
        <w:rPr>
          <w:rFonts w:asciiTheme="majorBidi" w:hAnsiTheme="majorBidi" w:cstheme="majorBidi"/>
          <w:shd w:val="clear" w:color="auto" w:fill="FFFFFF"/>
        </w:rPr>
        <w:t>, P. (2018). Conceptualizing gambling disorder with the process model of emotion regulation. </w:t>
      </w:r>
      <w:r w:rsidRPr="003B57EA">
        <w:rPr>
          <w:rFonts w:asciiTheme="majorBidi" w:hAnsiTheme="majorBidi" w:cstheme="majorBidi"/>
          <w:i/>
          <w:iCs/>
          <w:shd w:val="clear" w:color="auto" w:fill="FFFFFF"/>
        </w:rPr>
        <w:t xml:space="preserve">Journal of </w:t>
      </w:r>
      <w:r w:rsidR="00A62CCB" w:rsidRPr="003B57EA">
        <w:rPr>
          <w:rFonts w:asciiTheme="majorBidi" w:hAnsiTheme="majorBidi" w:cstheme="majorBidi"/>
          <w:i/>
          <w:iCs/>
          <w:shd w:val="clear" w:color="auto" w:fill="FFFFFF"/>
        </w:rPr>
        <w:t>Behavioral Addictions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7</w:t>
      </w:r>
      <w:r w:rsidRPr="003B57EA">
        <w:rPr>
          <w:rFonts w:asciiTheme="majorBidi" w:hAnsiTheme="majorBidi" w:cstheme="majorBidi"/>
          <w:shd w:val="clear" w:color="auto" w:fill="FFFFFF"/>
        </w:rPr>
        <w:t>(2), 239-251.</w:t>
      </w:r>
      <w:r w:rsidRPr="003B57EA">
        <w:rPr>
          <w:rFonts w:asciiTheme="majorBidi" w:hAnsiTheme="majorBidi" w:cstheme="majorBidi"/>
          <w:shd w:val="clear" w:color="auto" w:fill="FFFFFF"/>
          <w:rtl/>
        </w:rPr>
        <w:t>‏</w:t>
      </w:r>
    </w:p>
    <w:p w14:paraId="1B885999" w14:textId="77777777" w:rsidR="00B70B5F" w:rsidRPr="003B57EA" w:rsidRDefault="00B70B5F" w:rsidP="00C4003E">
      <w:pPr>
        <w:spacing w:line="480" w:lineRule="auto"/>
        <w:ind w:left="720" w:hanging="720"/>
        <w:jc w:val="both"/>
        <w:rPr>
          <w:rFonts w:asciiTheme="majorBidi" w:hAnsiTheme="majorBidi" w:cstheme="majorBidi"/>
          <w:color w:val="222222"/>
          <w:shd w:val="clear" w:color="auto" w:fill="FFFFFF"/>
        </w:rPr>
      </w:pPr>
      <w:r w:rsidRPr="003B57EA">
        <w:rPr>
          <w:rFonts w:asciiTheme="majorBidi" w:hAnsiTheme="majorBidi" w:cstheme="majorBidi"/>
          <w:color w:val="222222"/>
          <w:shd w:val="clear" w:color="auto" w:fill="FFFFFF"/>
        </w:rPr>
        <w:t xml:space="preserve">Rosenberg, H., </w:t>
      </w:r>
      <w:proofErr w:type="spellStart"/>
      <w:r w:rsidRPr="003B57EA">
        <w:rPr>
          <w:rFonts w:asciiTheme="majorBidi" w:hAnsiTheme="majorBidi" w:cstheme="majorBidi"/>
          <w:color w:val="222222"/>
          <w:shd w:val="clear" w:color="auto" w:fill="FFFFFF"/>
        </w:rPr>
        <w:t>Blondheim</w:t>
      </w:r>
      <w:proofErr w:type="spellEnd"/>
      <w:r w:rsidRPr="003B57EA">
        <w:rPr>
          <w:rFonts w:asciiTheme="majorBidi" w:hAnsiTheme="majorBidi" w:cstheme="majorBidi"/>
          <w:color w:val="222222"/>
          <w:shd w:val="clear" w:color="auto" w:fill="FFFFFF"/>
        </w:rPr>
        <w:t>, M., &amp; Katz, E. (2019). It’s the text, stupid! Mobile phones, religious communities, and the silent threat of text messages. </w:t>
      </w:r>
      <w:r w:rsidRPr="003B57EA">
        <w:rPr>
          <w:rFonts w:asciiTheme="majorBidi" w:hAnsiTheme="majorBidi" w:cstheme="majorBidi"/>
          <w:i/>
          <w:iCs/>
          <w:color w:val="222222"/>
          <w:shd w:val="clear" w:color="auto" w:fill="FFFFFF"/>
        </w:rPr>
        <w:t>New Media &amp; Society</w:t>
      </w:r>
      <w:r w:rsidRPr="003B57EA">
        <w:rPr>
          <w:rFonts w:asciiTheme="majorBidi" w:hAnsiTheme="majorBidi" w:cstheme="majorBidi"/>
          <w:color w:val="222222"/>
          <w:shd w:val="clear" w:color="auto" w:fill="FFFFFF"/>
        </w:rPr>
        <w:t>, </w:t>
      </w:r>
      <w:r w:rsidRPr="003B57EA">
        <w:rPr>
          <w:rFonts w:asciiTheme="majorBidi" w:hAnsiTheme="majorBidi" w:cstheme="majorBidi"/>
          <w:i/>
          <w:iCs/>
          <w:color w:val="222222"/>
          <w:shd w:val="clear" w:color="auto" w:fill="FFFFFF"/>
        </w:rPr>
        <w:t>21</w:t>
      </w:r>
      <w:r w:rsidRPr="003B57EA">
        <w:rPr>
          <w:rFonts w:asciiTheme="majorBidi" w:hAnsiTheme="majorBidi" w:cstheme="majorBidi"/>
          <w:color w:val="222222"/>
          <w:shd w:val="clear" w:color="auto" w:fill="FFFFFF"/>
        </w:rPr>
        <w:t>(11-12), 2325-2346.</w:t>
      </w:r>
      <w:r w:rsidRPr="003B57EA">
        <w:rPr>
          <w:rFonts w:asciiTheme="majorBidi" w:hAnsiTheme="majorBidi" w:cstheme="majorBidi"/>
          <w:color w:val="222222"/>
          <w:shd w:val="clear" w:color="auto" w:fill="FFFFFF"/>
          <w:rtl/>
        </w:rPr>
        <w:t>‏</w:t>
      </w:r>
    </w:p>
    <w:p w14:paraId="00DE7829" w14:textId="41BA1A1B" w:rsidR="004B1F45" w:rsidRPr="003B57EA" w:rsidRDefault="004B1F45" w:rsidP="00C4003E">
      <w:pPr>
        <w:spacing w:line="480" w:lineRule="auto"/>
        <w:ind w:left="720" w:hanging="720"/>
        <w:jc w:val="both"/>
        <w:rPr>
          <w:rFonts w:asciiTheme="majorBidi" w:hAnsiTheme="majorBidi" w:cstheme="majorBidi"/>
        </w:rPr>
      </w:pPr>
      <w:r w:rsidRPr="003B57EA">
        <w:rPr>
          <w:rFonts w:asciiTheme="majorBidi" w:hAnsiTheme="majorBidi" w:cstheme="majorBidi"/>
          <w:shd w:val="clear" w:color="auto" w:fill="FFFFFF"/>
        </w:rPr>
        <w:t>Rosendo-Rios, V., Trott, S., &amp; Shukla, P. (2022). Systematic literature review online gaming addiction among children and young adults: A framework and research agenda. </w:t>
      </w:r>
      <w:r w:rsidRPr="003B57EA">
        <w:rPr>
          <w:rFonts w:asciiTheme="majorBidi" w:hAnsiTheme="majorBidi" w:cstheme="majorBidi"/>
          <w:i/>
          <w:iCs/>
          <w:shd w:val="clear" w:color="auto" w:fill="FFFFFF"/>
        </w:rPr>
        <w:t>Addictive Behaviors</w:t>
      </w:r>
      <w:r w:rsidRPr="003B57EA">
        <w:rPr>
          <w:rFonts w:asciiTheme="majorBidi" w:hAnsiTheme="majorBidi" w:cstheme="majorBidi"/>
          <w:shd w:val="clear" w:color="auto" w:fill="FFFFFF"/>
        </w:rPr>
        <w:t>, 107238.</w:t>
      </w:r>
      <w:r w:rsidRPr="003B57EA">
        <w:rPr>
          <w:rFonts w:asciiTheme="majorBidi" w:hAnsiTheme="majorBidi" w:cstheme="majorBidi"/>
          <w:shd w:val="clear" w:color="auto" w:fill="FFFFFF"/>
          <w:rtl/>
        </w:rPr>
        <w:t>‏</w:t>
      </w:r>
    </w:p>
    <w:p w14:paraId="71B46188" w14:textId="6B4918ED" w:rsidR="004B1F45" w:rsidRPr="003B57EA" w:rsidRDefault="004B1F45" w:rsidP="00C4003E">
      <w:pPr>
        <w:spacing w:line="480" w:lineRule="auto"/>
        <w:ind w:left="720" w:hanging="720"/>
        <w:contextualSpacing/>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Schneider, L. A., King, D. L., &amp; </w:t>
      </w:r>
      <w:proofErr w:type="spellStart"/>
      <w:r w:rsidRPr="003B57EA">
        <w:rPr>
          <w:rFonts w:asciiTheme="majorBidi" w:hAnsiTheme="majorBidi" w:cstheme="majorBidi"/>
          <w:shd w:val="clear" w:color="auto" w:fill="FFFFFF"/>
        </w:rPr>
        <w:t>Delfabbro</w:t>
      </w:r>
      <w:proofErr w:type="spellEnd"/>
      <w:r w:rsidRPr="003B57EA">
        <w:rPr>
          <w:rFonts w:asciiTheme="majorBidi" w:hAnsiTheme="majorBidi" w:cstheme="majorBidi"/>
          <w:shd w:val="clear" w:color="auto" w:fill="FFFFFF"/>
        </w:rPr>
        <w:t>, P. H. (2017). Family factors in adolescent problematic Internet gaming: A systematic review. </w:t>
      </w:r>
      <w:r w:rsidRPr="003B57EA">
        <w:rPr>
          <w:rFonts w:asciiTheme="majorBidi" w:hAnsiTheme="majorBidi" w:cstheme="majorBidi"/>
          <w:i/>
          <w:iCs/>
          <w:shd w:val="clear" w:color="auto" w:fill="FFFFFF"/>
        </w:rPr>
        <w:t xml:space="preserve">Journal of </w:t>
      </w:r>
      <w:r w:rsidR="00A62CCB" w:rsidRPr="003B57EA">
        <w:rPr>
          <w:rFonts w:asciiTheme="majorBidi" w:hAnsiTheme="majorBidi" w:cstheme="majorBidi"/>
          <w:i/>
          <w:iCs/>
          <w:shd w:val="clear" w:color="auto" w:fill="FFFFFF"/>
        </w:rPr>
        <w:t>Behavioral Addictions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6</w:t>
      </w:r>
      <w:r w:rsidRPr="003B57EA">
        <w:rPr>
          <w:rFonts w:asciiTheme="majorBidi" w:hAnsiTheme="majorBidi" w:cstheme="majorBidi"/>
          <w:shd w:val="clear" w:color="auto" w:fill="FFFFFF"/>
        </w:rPr>
        <w:t>(3), 321-333.</w:t>
      </w:r>
      <w:r w:rsidRPr="003B57EA">
        <w:rPr>
          <w:rFonts w:asciiTheme="majorBidi" w:hAnsiTheme="majorBidi" w:cstheme="majorBidi"/>
          <w:shd w:val="clear" w:color="auto" w:fill="FFFFFF"/>
          <w:rtl/>
        </w:rPr>
        <w:t>‏</w:t>
      </w:r>
    </w:p>
    <w:p w14:paraId="300E97CB" w14:textId="29E6F73E" w:rsidR="004B1F45" w:rsidRPr="003B57EA" w:rsidRDefault="004B1F45" w:rsidP="00C4003E">
      <w:pPr>
        <w:spacing w:line="480" w:lineRule="auto"/>
        <w:ind w:left="720" w:hanging="720"/>
        <w:contextualSpacing/>
        <w:jc w:val="both"/>
        <w:rPr>
          <w:rFonts w:asciiTheme="majorBidi" w:hAnsiTheme="majorBidi" w:cstheme="majorBidi"/>
        </w:rPr>
      </w:pPr>
      <w:r w:rsidRPr="003B57EA">
        <w:rPr>
          <w:rFonts w:asciiTheme="majorBidi" w:hAnsiTheme="majorBidi" w:cstheme="majorBidi"/>
          <w:shd w:val="clear" w:color="auto" w:fill="FFFFFF"/>
        </w:rPr>
        <w:t>Smith, E. R., Murphy, J., &amp; Coats, S. (1999). Attachment to groups: theory and management. </w:t>
      </w:r>
      <w:r w:rsidRPr="003B57EA">
        <w:rPr>
          <w:rFonts w:asciiTheme="majorBidi" w:hAnsiTheme="majorBidi" w:cstheme="majorBidi"/>
          <w:i/>
          <w:iCs/>
          <w:shd w:val="clear" w:color="auto" w:fill="FFFFFF"/>
        </w:rPr>
        <w:t xml:space="preserve">Journal of </w:t>
      </w:r>
      <w:r w:rsidR="00A62CCB" w:rsidRPr="003B57EA">
        <w:rPr>
          <w:rFonts w:asciiTheme="majorBidi" w:hAnsiTheme="majorBidi" w:cstheme="majorBidi"/>
          <w:i/>
          <w:iCs/>
          <w:shd w:val="clear" w:color="auto" w:fill="FFFFFF"/>
        </w:rPr>
        <w:t xml:space="preserve">Personality </w:t>
      </w:r>
      <w:r w:rsidRPr="003B57EA">
        <w:rPr>
          <w:rFonts w:asciiTheme="majorBidi" w:hAnsiTheme="majorBidi" w:cstheme="majorBidi"/>
          <w:i/>
          <w:iCs/>
          <w:shd w:val="clear" w:color="auto" w:fill="FFFFFF"/>
        </w:rPr>
        <w:t xml:space="preserve">and </w:t>
      </w:r>
      <w:r w:rsidR="00A62CCB" w:rsidRPr="003B57EA">
        <w:rPr>
          <w:rFonts w:asciiTheme="majorBidi" w:hAnsiTheme="majorBidi" w:cstheme="majorBidi"/>
          <w:i/>
          <w:iCs/>
          <w:shd w:val="clear" w:color="auto" w:fill="FFFFFF"/>
        </w:rPr>
        <w:t>Social Psychology</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77</w:t>
      </w:r>
      <w:r w:rsidRPr="003B57EA">
        <w:rPr>
          <w:rFonts w:asciiTheme="majorBidi" w:hAnsiTheme="majorBidi" w:cstheme="majorBidi"/>
          <w:shd w:val="clear" w:color="auto" w:fill="FFFFFF"/>
        </w:rPr>
        <w:t>(1), 94.</w:t>
      </w:r>
      <w:r w:rsidRPr="003B57EA">
        <w:rPr>
          <w:rFonts w:asciiTheme="majorBidi" w:hAnsiTheme="majorBidi" w:cstheme="majorBidi"/>
          <w:shd w:val="clear" w:color="auto" w:fill="FFFFFF"/>
          <w:rtl/>
        </w:rPr>
        <w:t>‏</w:t>
      </w:r>
    </w:p>
    <w:p w14:paraId="3AE20FA7" w14:textId="36534F19"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lastRenderedPageBreak/>
        <w:t>Southam-Gerow, M. A., &amp; Kendall, P. C. (2002). Emotion regulation and understanding: Implications for child psychopathology and therapy. </w:t>
      </w:r>
      <w:r w:rsidRPr="003B57EA">
        <w:rPr>
          <w:rFonts w:asciiTheme="majorBidi" w:hAnsiTheme="majorBidi" w:cstheme="majorBidi"/>
          <w:i/>
          <w:iCs/>
          <w:shd w:val="clear" w:color="auto" w:fill="FFFFFF"/>
        </w:rPr>
        <w:t xml:space="preserve">Clinical </w:t>
      </w:r>
      <w:r w:rsidR="00A62CCB" w:rsidRPr="003B57EA">
        <w:rPr>
          <w:rFonts w:asciiTheme="majorBidi" w:hAnsiTheme="majorBidi" w:cstheme="majorBidi"/>
          <w:i/>
          <w:iCs/>
          <w:shd w:val="clear" w:color="auto" w:fill="FFFFFF"/>
        </w:rPr>
        <w:t>Psychology Review</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22</w:t>
      </w:r>
      <w:r w:rsidRPr="003B57EA">
        <w:rPr>
          <w:rFonts w:asciiTheme="majorBidi" w:hAnsiTheme="majorBidi" w:cstheme="majorBidi"/>
          <w:shd w:val="clear" w:color="auto" w:fill="FFFFFF"/>
        </w:rPr>
        <w:t>(2), 189-222.</w:t>
      </w:r>
      <w:r w:rsidRPr="003B57EA">
        <w:rPr>
          <w:rFonts w:asciiTheme="majorBidi" w:hAnsiTheme="majorBidi" w:cstheme="majorBidi"/>
          <w:shd w:val="clear" w:color="auto" w:fill="FFFFFF"/>
          <w:rtl/>
        </w:rPr>
        <w:t>‏</w:t>
      </w:r>
    </w:p>
    <w:p w14:paraId="0D7F4965" w14:textId="2D2D3A36"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Spada, M. M., Caselli, G., </w:t>
      </w:r>
      <w:proofErr w:type="spellStart"/>
      <w:r w:rsidRPr="003B57EA">
        <w:rPr>
          <w:rFonts w:asciiTheme="majorBidi" w:hAnsiTheme="majorBidi" w:cstheme="majorBidi"/>
          <w:shd w:val="clear" w:color="auto" w:fill="FFFFFF"/>
        </w:rPr>
        <w:t>Nikčević</w:t>
      </w:r>
      <w:proofErr w:type="spellEnd"/>
      <w:r w:rsidRPr="003B57EA">
        <w:rPr>
          <w:rFonts w:asciiTheme="majorBidi" w:hAnsiTheme="majorBidi" w:cstheme="majorBidi"/>
          <w:shd w:val="clear" w:color="auto" w:fill="FFFFFF"/>
        </w:rPr>
        <w:t>, A. V., &amp; Wells, A. (2015). Metacognition in addictive behaviors. </w:t>
      </w:r>
      <w:r w:rsidRPr="003B57EA">
        <w:rPr>
          <w:rFonts w:asciiTheme="majorBidi" w:hAnsiTheme="majorBidi" w:cstheme="majorBidi"/>
          <w:i/>
          <w:iCs/>
          <w:shd w:val="clear" w:color="auto" w:fill="FFFFFF"/>
        </w:rPr>
        <w:t xml:space="preserve">Addictive </w:t>
      </w:r>
      <w:r w:rsidR="00A62CCB" w:rsidRPr="003B57EA">
        <w:rPr>
          <w:rFonts w:asciiTheme="majorBidi" w:hAnsiTheme="majorBidi" w:cstheme="majorBidi"/>
          <w:i/>
          <w:iCs/>
          <w:shd w:val="clear" w:color="auto" w:fill="FFFFFF"/>
        </w:rPr>
        <w:t>Behaviors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44</w:t>
      </w:r>
      <w:r w:rsidRPr="003B57EA">
        <w:rPr>
          <w:rFonts w:asciiTheme="majorBidi" w:hAnsiTheme="majorBidi" w:cstheme="majorBidi"/>
          <w:shd w:val="clear" w:color="auto" w:fill="FFFFFF"/>
        </w:rPr>
        <w:t>, 9-15.</w:t>
      </w:r>
      <w:r w:rsidRPr="003B57EA">
        <w:rPr>
          <w:rFonts w:asciiTheme="majorBidi" w:hAnsiTheme="majorBidi" w:cstheme="majorBidi"/>
          <w:shd w:val="clear" w:color="auto" w:fill="FFFFFF"/>
          <w:rtl/>
        </w:rPr>
        <w:t>‏</w:t>
      </w:r>
    </w:p>
    <w:p w14:paraId="672F655B"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shd w:val="clear" w:color="auto" w:fill="FFFFFF"/>
          <w:lang w:val="it-IT"/>
        </w:rPr>
        <w:t xml:space="preserve">Spada, M. M., &amp; Caselli, G. (2017). </w:t>
      </w:r>
      <w:r w:rsidRPr="003B57EA">
        <w:rPr>
          <w:rFonts w:asciiTheme="majorBidi" w:hAnsiTheme="majorBidi" w:cstheme="majorBidi"/>
          <w:shd w:val="clear" w:color="auto" w:fill="FFFFFF"/>
        </w:rPr>
        <w:t>The metacognitions about online gaming scale: Development and psychometric properties. </w:t>
      </w:r>
      <w:r w:rsidRPr="003B57EA">
        <w:rPr>
          <w:rFonts w:asciiTheme="majorBidi" w:hAnsiTheme="majorBidi" w:cstheme="majorBidi"/>
          <w:i/>
          <w:iCs/>
          <w:shd w:val="clear" w:color="auto" w:fill="FFFFFF"/>
        </w:rPr>
        <w:t>Addictive Behaviors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64</w:t>
      </w:r>
      <w:r w:rsidRPr="003B57EA">
        <w:rPr>
          <w:rFonts w:asciiTheme="majorBidi" w:hAnsiTheme="majorBidi" w:cstheme="majorBidi"/>
          <w:shd w:val="clear" w:color="auto" w:fill="FFFFFF"/>
        </w:rPr>
        <w:t>, 281-286.</w:t>
      </w:r>
      <w:r w:rsidRPr="003B57EA">
        <w:rPr>
          <w:rFonts w:asciiTheme="majorBidi" w:hAnsiTheme="majorBidi" w:cstheme="majorBidi"/>
          <w:shd w:val="clear" w:color="auto" w:fill="FFFFFF"/>
          <w:rtl/>
        </w:rPr>
        <w:t>‏</w:t>
      </w:r>
    </w:p>
    <w:p w14:paraId="205040B5"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Statista (2021). Video game market value worldwide from 2012 to 2023. Available at: </w:t>
      </w:r>
      <w:hyperlink r:id="rId19" w:history="1">
        <w:r w:rsidRPr="003B57EA">
          <w:rPr>
            <w:rStyle w:val="Hyperlink"/>
            <w:rFonts w:asciiTheme="majorBidi" w:hAnsiTheme="majorBidi" w:cstheme="majorBidi"/>
            <w:color w:val="auto"/>
            <w:shd w:val="clear" w:color="auto" w:fill="FFFFFF"/>
          </w:rPr>
          <w:t>https://www.statista.com/statistics/292056/video-game-market-value-worldwide/</w:t>
        </w:r>
      </w:hyperlink>
      <w:r w:rsidRPr="003B57EA">
        <w:rPr>
          <w:rFonts w:asciiTheme="majorBidi" w:hAnsiTheme="majorBidi" w:cstheme="majorBidi"/>
          <w:shd w:val="clear" w:color="auto" w:fill="FFFFFF"/>
        </w:rPr>
        <w:t xml:space="preserve"> . </w:t>
      </w:r>
    </w:p>
    <w:p w14:paraId="41CF21C4"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Stevens, M. W., </w:t>
      </w:r>
      <w:proofErr w:type="spellStart"/>
      <w:r w:rsidRPr="003B57EA">
        <w:rPr>
          <w:rFonts w:asciiTheme="majorBidi" w:hAnsiTheme="majorBidi" w:cstheme="majorBidi"/>
          <w:shd w:val="clear" w:color="auto" w:fill="FFFFFF"/>
        </w:rPr>
        <w:t>Dorstyn</w:t>
      </w:r>
      <w:proofErr w:type="spellEnd"/>
      <w:r w:rsidRPr="003B57EA">
        <w:rPr>
          <w:rFonts w:asciiTheme="majorBidi" w:hAnsiTheme="majorBidi" w:cstheme="majorBidi"/>
          <w:shd w:val="clear" w:color="auto" w:fill="FFFFFF"/>
        </w:rPr>
        <w:t xml:space="preserve">, D., </w:t>
      </w:r>
      <w:proofErr w:type="spellStart"/>
      <w:r w:rsidRPr="003B57EA">
        <w:rPr>
          <w:rFonts w:asciiTheme="majorBidi" w:hAnsiTheme="majorBidi" w:cstheme="majorBidi"/>
          <w:shd w:val="clear" w:color="auto" w:fill="FFFFFF"/>
        </w:rPr>
        <w:t>Delfabbro</w:t>
      </w:r>
      <w:proofErr w:type="spellEnd"/>
      <w:r w:rsidRPr="003B57EA">
        <w:rPr>
          <w:rFonts w:asciiTheme="majorBidi" w:hAnsiTheme="majorBidi" w:cstheme="majorBidi"/>
          <w:shd w:val="clear" w:color="auto" w:fill="FFFFFF"/>
        </w:rPr>
        <w:t>, P. H., &amp; King, D. L. (2021). Global prevalence of gaming disorder: A systematic review and meta-analysis. </w:t>
      </w:r>
      <w:r w:rsidRPr="003B57EA">
        <w:rPr>
          <w:rFonts w:asciiTheme="majorBidi" w:hAnsiTheme="majorBidi" w:cstheme="majorBidi"/>
          <w:i/>
          <w:shd w:val="clear" w:color="auto" w:fill="FFFFFF"/>
        </w:rPr>
        <w:t>Australian &amp; New Zealand Journal of Psychiatry, 55</w:t>
      </w:r>
      <w:r w:rsidRPr="003B57EA">
        <w:rPr>
          <w:rFonts w:asciiTheme="majorBidi" w:hAnsiTheme="majorBidi" w:cstheme="majorBidi"/>
          <w:shd w:val="clear" w:color="auto" w:fill="FFFFFF"/>
        </w:rPr>
        <w:t>(6), 553-568.</w:t>
      </w:r>
      <w:r w:rsidRPr="003B57EA">
        <w:rPr>
          <w:rFonts w:asciiTheme="majorBidi" w:hAnsiTheme="majorBidi" w:cstheme="majorBidi"/>
          <w:shd w:val="clear" w:color="auto" w:fill="FFFFFF"/>
          <w:rtl/>
        </w:rPr>
        <w:t>‏</w:t>
      </w:r>
    </w:p>
    <w:p w14:paraId="73FC7643" w14:textId="77777777" w:rsidR="00757174" w:rsidRPr="003B57EA" w:rsidRDefault="00757174"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color w:val="222222"/>
          <w:shd w:val="clear" w:color="auto" w:fill="FFFFFF"/>
        </w:rPr>
        <w:t>Sun, X., Zhu, C., &amp; So, S. H. W. (2017). Dysfunctional metacognition across psychopathologies: a meta-analytic review. </w:t>
      </w:r>
      <w:r w:rsidRPr="003B57EA">
        <w:rPr>
          <w:rFonts w:asciiTheme="majorBidi" w:hAnsiTheme="majorBidi" w:cstheme="majorBidi"/>
          <w:i/>
          <w:iCs/>
          <w:color w:val="222222"/>
          <w:shd w:val="clear" w:color="auto" w:fill="FFFFFF"/>
        </w:rPr>
        <w:t>European Psychiatry</w:t>
      </w:r>
      <w:r w:rsidRPr="003B57EA">
        <w:rPr>
          <w:rFonts w:asciiTheme="majorBidi" w:hAnsiTheme="majorBidi" w:cstheme="majorBidi"/>
          <w:color w:val="222222"/>
          <w:shd w:val="clear" w:color="auto" w:fill="FFFFFF"/>
        </w:rPr>
        <w:t>, </w:t>
      </w:r>
      <w:r w:rsidRPr="003B57EA">
        <w:rPr>
          <w:rFonts w:asciiTheme="majorBidi" w:hAnsiTheme="majorBidi" w:cstheme="majorBidi"/>
          <w:i/>
          <w:iCs/>
          <w:color w:val="222222"/>
          <w:shd w:val="clear" w:color="auto" w:fill="FFFFFF"/>
        </w:rPr>
        <w:t>45</w:t>
      </w:r>
      <w:r w:rsidRPr="003B57EA">
        <w:rPr>
          <w:rFonts w:asciiTheme="majorBidi" w:hAnsiTheme="majorBidi" w:cstheme="majorBidi"/>
          <w:color w:val="222222"/>
          <w:shd w:val="clear" w:color="auto" w:fill="FFFFFF"/>
        </w:rPr>
        <w:t>, 139-153.</w:t>
      </w:r>
      <w:r w:rsidRPr="003B57EA">
        <w:rPr>
          <w:rFonts w:asciiTheme="majorBidi" w:hAnsiTheme="majorBidi" w:cstheme="majorBidi"/>
          <w:color w:val="222222"/>
          <w:shd w:val="clear" w:color="auto" w:fill="FFFFFF"/>
          <w:rtl/>
        </w:rPr>
        <w:t>‏</w:t>
      </w:r>
      <w:r w:rsidRPr="003B57EA">
        <w:rPr>
          <w:rFonts w:asciiTheme="majorBidi" w:hAnsiTheme="majorBidi" w:cstheme="majorBidi"/>
          <w:shd w:val="clear" w:color="auto" w:fill="FFFFFF"/>
        </w:rPr>
        <w:t xml:space="preserve"> </w:t>
      </w:r>
    </w:p>
    <w:p w14:paraId="424F3704" w14:textId="29CB36A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Teng, Z., Griffiths, M. D., </w:t>
      </w:r>
      <w:proofErr w:type="spellStart"/>
      <w:r w:rsidRPr="003B57EA">
        <w:rPr>
          <w:rFonts w:asciiTheme="majorBidi" w:hAnsiTheme="majorBidi" w:cstheme="majorBidi"/>
          <w:shd w:val="clear" w:color="auto" w:fill="FFFFFF"/>
        </w:rPr>
        <w:t>Nie</w:t>
      </w:r>
      <w:proofErr w:type="spellEnd"/>
      <w:r w:rsidRPr="003B57EA">
        <w:rPr>
          <w:rFonts w:asciiTheme="majorBidi" w:hAnsiTheme="majorBidi" w:cstheme="majorBidi"/>
          <w:shd w:val="clear" w:color="auto" w:fill="FFFFFF"/>
        </w:rPr>
        <w:t>, Q., Xiang, G., &amp; Guo, C. (2020). Parent–adolescent attachment and peer attachment associated with Internet Gaming Disorder: A longitudinal study of first-year undergraduate students. </w:t>
      </w:r>
      <w:r w:rsidRPr="003B57EA">
        <w:rPr>
          <w:rFonts w:asciiTheme="majorBidi" w:hAnsiTheme="majorBidi" w:cstheme="majorBidi"/>
          <w:i/>
          <w:iCs/>
          <w:shd w:val="clear" w:color="auto" w:fill="FFFFFF"/>
        </w:rPr>
        <w:t>Journal of Behavioral Addictions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9</w:t>
      </w:r>
      <w:r w:rsidRPr="003B57EA">
        <w:rPr>
          <w:rFonts w:asciiTheme="majorBidi" w:hAnsiTheme="majorBidi" w:cstheme="majorBidi"/>
          <w:shd w:val="clear" w:color="auto" w:fill="FFFFFF"/>
        </w:rPr>
        <w:t>(1), 116-128.</w:t>
      </w:r>
      <w:r w:rsidRPr="003B57EA">
        <w:rPr>
          <w:rFonts w:asciiTheme="majorBidi" w:hAnsiTheme="majorBidi" w:cstheme="majorBidi"/>
          <w:shd w:val="clear" w:color="auto" w:fill="FFFFFF"/>
          <w:rtl/>
        </w:rPr>
        <w:t>‏</w:t>
      </w:r>
    </w:p>
    <w:p w14:paraId="73FE73FC" w14:textId="7AEA05C4"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Thompson, R. A. (1994). Emotion regulation: A theme in search of definition. </w:t>
      </w:r>
      <w:r w:rsidRPr="003B57EA">
        <w:rPr>
          <w:rFonts w:asciiTheme="majorBidi" w:hAnsiTheme="majorBidi" w:cstheme="majorBidi"/>
          <w:i/>
          <w:iCs/>
          <w:shd w:val="clear" w:color="auto" w:fill="FFFFFF"/>
        </w:rPr>
        <w:t xml:space="preserve">Monographs of the </w:t>
      </w:r>
      <w:r w:rsidR="00A62CCB" w:rsidRPr="003B57EA">
        <w:rPr>
          <w:rFonts w:asciiTheme="majorBidi" w:hAnsiTheme="majorBidi" w:cstheme="majorBidi"/>
          <w:i/>
          <w:iCs/>
          <w:shd w:val="clear" w:color="auto" w:fill="FFFFFF"/>
        </w:rPr>
        <w:t xml:space="preserve">Society </w:t>
      </w:r>
      <w:r w:rsidRPr="003B57EA">
        <w:rPr>
          <w:rFonts w:asciiTheme="majorBidi" w:hAnsiTheme="majorBidi" w:cstheme="majorBidi"/>
          <w:i/>
          <w:iCs/>
          <w:shd w:val="clear" w:color="auto" w:fill="FFFFFF"/>
        </w:rPr>
        <w:t xml:space="preserve">for </w:t>
      </w:r>
      <w:r w:rsidR="00A62CCB" w:rsidRPr="003B57EA">
        <w:rPr>
          <w:rFonts w:asciiTheme="majorBidi" w:hAnsiTheme="majorBidi" w:cstheme="majorBidi"/>
          <w:i/>
          <w:iCs/>
          <w:shd w:val="clear" w:color="auto" w:fill="FFFFFF"/>
        </w:rPr>
        <w:t xml:space="preserve">Research </w:t>
      </w:r>
      <w:r w:rsidRPr="003B57EA">
        <w:rPr>
          <w:rFonts w:asciiTheme="majorBidi" w:hAnsiTheme="majorBidi" w:cstheme="majorBidi"/>
          <w:i/>
          <w:iCs/>
          <w:shd w:val="clear" w:color="auto" w:fill="FFFFFF"/>
        </w:rPr>
        <w:t xml:space="preserve">in </w:t>
      </w:r>
      <w:r w:rsidR="00A62CCB" w:rsidRPr="003B57EA">
        <w:rPr>
          <w:rFonts w:asciiTheme="majorBidi" w:hAnsiTheme="majorBidi" w:cstheme="majorBidi"/>
          <w:i/>
          <w:iCs/>
          <w:shd w:val="clear" w:color="auto" w:fill="FFFFFF"/>
        </w:rPr>
        <w:t>Child Development</w:t>
      </w:r>
      <w:r w:rsidRPr="003B57EA">
        <w:rPr>
          <w:rFonts w:asciiTheme="majorBidi" w:hAnsiTheme="majorBidi" w:cstheme="majorBidi"/>
          <w:shd w:val="clear" w:color="auto" w:fill="FFFFFF"/>
        </w:rPr>
        <w:t>, 25-52.</w:t>
      </w:r>
      <w:r w:rsidRPr="003B57EA">
        <w:rPr>
          <w:rFonts w:asciiTheme="majorBidi" w:hAnsiTheme="majorBidi" w:cstheme="majorBidi"/>
          <w:shd w:val="clear" w:color="auto" w:fill="FFFFFF"/>
          <w:rtl/>
        </w:rPr>
        <w:t>‏</w:t>
      </w:r>
    </w:p>
    <w:p w14:paraId="03B47B18" w14:textId="009F2D97" w:rsidR="004B1F45" w:rsidRPr="003B57EA" w:rsidRDefault="004B1F45" w:rsidP="00C4003E">
      <w:pPr>
        <w:spacing w:line="480" w:lineRule="auto"/>
        <w:ind w:left="720" w:hanging="720"/>
        <w:jc w:val="both"/>
        <w:rPr>
          <w:rFonts w:asciiTheme="majorBidi" w:hAnsiTheme="majorBidi" w:cstheme="majorBidi"/>
          <w:shd w:val="clear" w:color="auto" w:fill="FFFFFF"/>
        </w:rPr>
      </w:pPr>
      <w:proofErr w:type="spellStart"/>
      <w:r w:rsidRPr="003B57EA">
        <w:rPr>
          <w:rFonts w:asciiTheme="majorBidi" w:hAnsiTheme="majorBidi" w:cstheme="majorBidi"/>
          <w:shd w:val="clear" w:color="auto" w:fill="FFFFFF"/>
        </w:rPr>
        <w:t>Throuvala</w:t>
      </w:r>
      <w:proofErr w:type="spellEnd"/>
      <w:r w:rsidRPr="003B57EA">
        <w:rPr>
          <w:rFonts w:asciiTheme="majorBidi" w:hAnsiTheme="majorBidi" w:cstheme="majorBidi"/>
          <w:shd w:val="clear" w:color="auto" w:fill="FFFFFF"/>
        </w:rPr>
        <w:t xml:space="preserve">, M. A., </w:t>
      </w:r>
      <w:proofErr w:type="spellStart"/>
      <w:r w:rsidRPr="003B57EA">
        <w:rPr>
          <w:rFonts w:asciiTheme="majorBidi" w:hAnsiTheme="majorBidi" w:cstheme="majorBidi"/>
          <w:shd w:val="clear" w:color="auto" w:fill="FFFFFF"/>
        </w:rPr>
        <w:t>Janikian</w:t>
      </w:r>
      <w:proofErr w:type="spellEnd"/>
      <w:r w:rsidRPr="003B57EA">
        <w:rPr>
          <w:rFonts w:asciiTheme="majorBidi" w:hAnsiTheme="majorBidi" w:cstheme="majorBidi"/>
          <w:shd w:val="clear" w:color="auto" w:fill="FFFFFF"/>
        </w:rPr>
        <w:t xml:space="preserve">, M., Griffiths, M. D., </w:t>
      </w:r>
      <w:proofErr w:type="spellStart"/>
      <w:r w:rsidRPr="003B57EA">
        <w:rPr>
          <w:rFonts w:asciiTheme="majorBidi" w:hAnsiTheme="majorBidi" w:cstheme="majorBidi"/>
          <w:shd w:val="clear" w:color="auto" w:fill="FFFFFF"/>
        </w:rPr>
        <w:t>Rennoldson</w:t>
      </w:r>
      <w:proofErr w:type="spellEnd"/>
      <w:r w:rsidRPr="003B57EA">
        <w:rPr>
          <w:rFonts w:asciiTheme="majorBidi" w:hAnsiTheme="majorBidi" w:cstheme="majorBidi"/>
          <w:shd w:val="clear" w:color="auto" w:fill="FFFFFF"/>
        </w:rPr>
        <w:t xml:space="preserve">, M., &amp; </w:t>
      </w:r>
      <w:proofErr w:type="spellStart"/>
      <w:r w:rsidRPr="003B57EA">
        <w:rPr>
          <w:rFonts w:asciiTheme="majorBidi" w:hAnsiTheme="majorBidi" w:cstheme="majorBidi"/>
          <w:shd w:val="clear" w:color="auto" w:fill="FFFFFF"/>
        </w:rPr>
        <w:t>Kuss</w:t>
      </w:r>
      <w:proofErr w:type="spellEnd"/>
      <w:r w:rsidRPr="003B57EA">
        <w:rPr>
          <w:rFonts w:asciiTheme="majorBidi" w:hAnsiTheme="majorBidi" w:cstheme="majorBidi"/>
          <w:shd w:val="clear" w:color="auto" w:fill="FFFFFF"/>
        </w:rPr>
        <w:t xml:space="preserve">, D. J. (2019). The role of family and personality traits in Internet gaming disorder: A </w:t>
      </w:r>
      <w:r w:rsidRPr="003B57EA">
        <w:rPr>
          <w:rFonts w:asciiTheme="majorBidi" w:hAnsiTheme="majorBidi" w:cstheme="majorBidi"/>
          <w:shd w:val="clear" w:color="auto" w:fill="FFFFFF"/>
        </w:rPr>
        <w:lastRenderedPageBreak/>
        <w:t>mediation model combining cognitive and attachment perspectives. </w:t>
      </w:r>
      <w:r w:rsidRPr="003B57EA">
        <w:rPr>
          <w:rFonts w:asciiTheme="majorBidi" w:hAnsiTheme="majorBidi" w:cstheme="majorBidi"/>
          <w:i/>
          <w:iCs/>
          <w:shd w:val="clear" w:color="auto" w:fill="FFFFFF"/>
        </w:rPr>
        <w:t xml:space="preserve">Journal of </w:t>
      </w:r>
      <w:r w:rsidR="00A62CCB" w:rsidRPr="003B57EA">
        <w:rPr>
          <w:rFonts w:asciiTheme="majorBidi" w:hAnsiTheme="majorBidi" w:cstheme="majorBidi"/>
          <w:i/>
          <w:iCs/>
          <w:shd w:val="clear" w:color="auto" w:fill="FFFFFF"/>
        </w:rPr>
        <w:t>Behavioral Addictions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8</w:t>
      </w:r>
      <w:r w:rsidRPr="003B57EA">
        <w:rPr>
          <w:rFonts w:asciiTheme="majorBidi" w:hAnsiTheme="majorBidi" w:cstheme="majorBidi"/>
          <w:shd w:val="clear" w:color="auto" w:fill="FFFFFF"/>
        </w:rPr>
        <w:t>(1), 48-62.</w:t>
      </w:r>
      <w:r w:rsidRPr="003B57EA">
        <w:rPr>
          <w:rFonts w:asciiTheme="majorBidi" w:hAnsiTheme="majorBidi" w:cstheme="majorBidi"/>
          <w:shd w:val="clear" w:color="auto" w:fill="FFFFFF"/>
          <w:rtl/>
        </w:rPr>
        <w:t>‏</w:t>
      </w:r>
    </w:p>
    <w:p w14:paraId="3DE2F49A"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proofErr w:type="spellStart"/>
      <w:r w:rsidRPr="003B57EA">
        <w:rPr>
          <w:rFonts w:asciiTheme="majorBidi" w:hAnsiTheme="majorBidi" w:cstheme="majorBidi"/>
          <w:shd w:val="clear" w:color="auto" w:fill="FFFFFF"/>
        </w:rPr>
        <w:t>Toker</w:t>
      </w:r>
      <w:proofErr w:type="spellEnd"/>
      <w:r w:rsidRPr="003B57EA">
        <w:rPr>
          <w:rFonts w:asciiTheme="majorBidi" w:hAnsiTheme="majorBidi" w:cstheme="majorBidi"/>
          <w:shd w:val="clear" w:color="auto" w:fill="FFFFFF"/>
        </w:rPr>
        <w:t xml:space="preserve">, S., &amp; </w:t>
      </w:r>
      <w:proofErr w:type="spellStart"/>
      <w:r w:rsidRPr="003B57EA">
        <w:rPr>
          <w:rFonts w:asciiTheme="majorBidi" w:hAnsiTheme="majorBidi" w:cstheme="majorBidi"/>
          <w:shd w:val="clear" w:color="auto" w:fill="FFFFFF"/>
        </w:rPr>
        <w:t>Baturay</w:t>
      </w:r>
      <w:proofErr w:type="spellEnd"/>
      <w:r w:rsidRPr="003B57EA">
        <w:rPr>
          <w:rFonts w:asciiTheme="majorBidi" w:hAnsiTheme="majorBidi" w:cstheme="majorBidi"/>
          <w:shd w:val="clear" w:color="auto" w:fill="FFFFFF"/>
        </w:rPr>
        <w:t>, M. H. (2016). Antecedents and consequences of game addiction. </w:t>
      </w:r>
      <w:r w:rsidRPr="003B57EA">
        <w:rPr>
          <w:rFonts w:asciiTheme="majorBidi" w:hAnsiTheme="majorBidi" w:cstheme="majorBidi"/>
          <w:i/>
          <w:iCs/>
          <w:shd w:val="clear" w:color="auto" w:fill="FFFFFF"/>
        </w:rPr>
        <w:t>Computers in Human Behavior</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55</w:t>
      </w:r>
      <w:r w:rsidRPr="003B57EA">
        <w:rPr>
          <w:rFonts w:asciiTheme="majorBidi" w:hAnsiTheme="majorBidi" w:cstheme="majorBidi"/>
          <w:shd w:val="clear" w:color="auto" w:fill="FFFFFF"/>
        </w:rPr>
        <w:t>, 668-679.</w:t>
      </w:r>
      <w:r w:rsidRPr="003B57EA">
        <w:rPr>
          <w:rFonts w:asciiTheme="majorBidi" w:hAnsiTheme="majorBidi" w:cstheme="majorBidi"/>
          <w:shd w:val="clear" w:color="auto" w:fill="FFFFFF"/>
          <w:rtl/>
        </w:rPr>
        <w:t>‏</w:t>
      </w:r>
      <w:r w:rsidRPr="003B57EA">
        <w:rPr>
          <w:rFonts w:asciiTheme="majorBidi" w:hAnsiTheme="majorBidi" w:cstheme="majorBidi"/>
          <w:shd w:val="clear" w:color="auto" w:fill="FFFFFF"/>
        </w:rPr>
        <w:t xml:space="preserve"> </w:t>
      </w:r>
    </w:p>
    <w:p w14:paraId="46CE8A37" w14:textId="134402E5"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Wang, C. W., Ho, R. T., Chan, C. L., &amp; </w:t>
      </w:r>
      <w:proofErr w:type="spellStart"/>
      <w:r w:rsidRPr="003B57EA">
        <w:rPr>
          <w:rFonts w:asciiTheme="majorBidi" w:hAnsiTheme="majorBidi" w:cstheme="majorBidi"/>
          <w:shd w:val="clear" w:color="auto" w:fill="FFFFFF"/>
        </w:rPr>
        <w:t>Tse</w:t>
      </w:r>
      <w:proofErr w:type="spellEnd"/>
      <w:r w:rsidRPr="003B57EA">
        <w:rPr>
          <w:rFonts w:asciiTheme="majorBidi" w:hAnsiTheme="majorBidi" w:cstheme="majorBidi"/>
          <w:shd w:val="clear" w:color="auto" w:fill="FFFFFF"/>
        </w:rPr>
        <w:t>, S. (2015). Exploring personality characteristics of Chinese adolescents with internet-related addictive behaviors: Trait differences for gaming addiction and social networking addiction. </w:t>
      </w:r>
      <w:r w:rsidRPr="003B57EA">
        <w:rPr>
          <w:rFonts w:asciiTheme="majorBidi" w:hAnsiTheme="majorBidi" w:cstheme="majorBidi"/>
          <w:i/>
          <w:iCs/>
          <w:shd w:val="clear" w:color="auto" w:fill="FFFFFF"/>
        </w:rPr>
        <w:t xml:space="preserve">Addictive </w:t>
      </w:r>
      <w:r w:rsidR="00A62CCB" w:rsidRPr="003B57EA">
        <w:rPr>
          <w:rFonts w:asciiTheme="majorBidi" w:hAnsiTheme="majorBidi" w:cstheme="majorBidi"/>
          <w:i/>
          <w:iCs/>
          <w:shd w:val="clear" w:color="auto" w:fill="FFFFFF"/>
        </w:rPr>
        <w:t>Behaviors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42</w:t>
      </w:r>
      <w:r w:rsidRPr="003B57EA">
        <w:rPr>
          <w:rFonts w:asciiTheme="majorBidi" w:hAnsiTheme="majorBidi" w:cstheme="majorBidi"/>
          <w:shd w:val="clear" w:color="auto" w:fill="FFFFFF"/>
        </w:rPr>
        <w:t>, 32-35.</w:t>
      </w:r>
      <w:r w:rsidRPr="003B57EA">
        <w:rPr>
          <w:rFonts w:asciiTheme="majorBidi" w:hAnsiTheme="majorBidi" w:cstheme="majorBidi"/>
          <w:shd w:val="clear" w:color="auto" w:fill="FFFFFF"/>
          <w:rtl/>
        </w:rPr>
        <w:t>‏</w:t>
      </w:r>
    </w:p>
    <w:p w14:paraId="7C994AC0" w14:textId="77777777" w:rsidR="004B1F45" w:rsidRPr="003B57EA" w:rsidRDefault="004B1F45" w:rsidP="00C4003E">
      <w:pPr>
        <w:spacing w:line="480" w:lineRule="auto"/>
        <w:ind w:left="720" w:hanging="720"/>
        <w:jc w:val="both"/>
        <w:rPr>
          <w:rFonts w:asciiTheme="majorBidi" w:hAnsiTheme="majorBidi" w:cstheme="majorBidi"/>
        </w:rPr>
      </w:pPr>
      <w:r w:rsidRPr="003B57EA">
        <w:rPr>
          <w:rFonts w:asciiTheme="majorBidi" w:hAnsiTheme="majorBidi" w:cstheme="majorBidi"/>
          <w:shd w:val="clear" w:color="auto" w:fill="FFFFFF"/>
        </w:rPr>
        <w:t>Wang, H. Y., &amp; Cheng, C. (2022). The Associations Between Gaming Motivation and Internet Gaming Disorder: Systematic Review and Meta-analysis. </w:t>
      </w:r>
      <w:r w:rsidRPr="003B57EA">
        <w:rPr>
          <w:rFonts w:asciiTheme="majorBidi" w:hAnsiTheme="majorBidi" w:cstheme="majorBidi"/>
          <w:i/>
          <w:iCs/>
          <w:shd w:val="clear" w:color="auto" w:fill="FFFFFF"/>
        </w:rPr>
        <w:t>JMIR Mental Health</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9</w:t>
      </w:r>
      <w:r w:rsidRPr="003B57EA">
        <w:rPr>
          <w:rFonts w:asciiTheme="majorBidi" w:hAnsiTheme="majorBidi" w:cstheme="majorBidi"/>
          <w:shd w:val="clear" w:color="auto" w:fill="FFFFFF"/>
        </w:rPr>
        <w:t>(2), e23700.</w:t>
      </w:r>
      <w:r w:rsidRPr="003B57EA">
        <w:rPr>
          <w:rFonts w:asciiTheme="majorBidi" w:hAnsiTheme="majorBidi" w:cstheme="majorBidi"/>
          <w:shd w:val="clear" w:color="auto" w:fill="FFFFFF"/>
          <w:rtl/>
        </w:rPr>
        <w:t>‏</w:t>
      </w:r>
    </w:p>
    <w:p w14:paraId="0A7EABD8" w14:textId="77777777" w:rsidR="00E61342" w:rsidRPr="003B57EA" w:rsidRDefault="00E61342"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 xml:space="preserve">Wells, A., &amp; Cartwright-Hatton, S. (2004). A short form of the </w:t>
      </w:r>
      <w:proofErr w:type="gramStart"/>
      <w:r w:rsidRPr="003B57EA">
        <w:rPr>
          <w:rFonts w:asciiTheme="majorBidi" w:hAnsiTheme="majorBidi" w:cstheme="majorBidi"/>
          <w:shd w:val="clear" w:color="auto" w:fill="FFFFFF"/>
        </w:rPr>
        <w:t>metacognitions</w:t>
      </w:r>
      <w:proofErr w:type="gramEnd"/>
      <w:r w:rsidRPr="003B57EA">
        <w:rPr>
          <w:rFonts w:asciiTheme="majorBidi" w:hAnsiTheme="majorBidi" w:cstheme="majorBidi"/>
          <w:shd w:val="clear" w:color="auto" w:fill="FFFFFF"/>
        </w:rPr>
        <w:t xml:space="preserve"> questionnaire: properties of the MCQ-30. </w:t>
      </w:r>
      <w:proofErr w:type="spellStart"/>
      <w:r w:rsidRPr="003B57EA">
        <w:rPr>
          <w:rFonts w:asciiTheme="majorBidi" w:hAnsiTheme="majorBidi" w:cstheme="majorBidi"/>
          <w:i/>
          <w:iCs/>
          <w:shd w:val="clear" w:color="auto" w:fill="FFFFFF"/>
        </w:rPr>
        <w:t>Behaviour</w:t>
      </w:r>
      <w:proofErr w:type="spellEnd"/>
      <w:r w:rsidRPr="003B57EA">
        <w:rPr>
          <w:rFonts w:asciiTheme="majorBidi" w:hAnsiTheme="majorBidi" w:cstheme="majorBidi"/>
          <w:i/>
          <w:iCs/>
          <w:shd w:val="clear" w:color="auto" w:fill="FFFFFF"/>
        </w:rPr>
        <w:t xml:space="preserve"> research and therapy</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42</w:t>
      </w:r>
      <w:r w:rsidRPr="003B57EA">
        <w:rPr>
          <w:rFonts w:asciiTheme="majorBidi" w:hAnsiTheme="majorBidi" w:cstheme="majorBidi"/>
          <w:shd w:val="clear" w:color="auto" w:fill="FFFFFF"/>
        </w:rPr>
        <w:t>(4), 385-396.</w:t>
      </w:r>
      <w:r w:rsidRPr="003B57EA">
        <w:rPr>
          <w:rFonts w:asciiTheme="majorBidi" w:hAnsiTheme="majorBidi" w:cstheme="majorBidi"/>
          <w:shd w:val="clear" w:color="auto" w:fill="FFFFFF"/>
          <w:rtl/>
        </w:rPr>
        <w:t>‏</w:t>
      </w:r>
      <w:r w:rsidRPr="003B57EA">
        <w:rPr>
          <w:rFonts w:asciiTheme="majorBidi" w:hAnsiTheme="majorBidi" w:cstheme="majorBidi"/>
          <w:shd w:val="clear" w:color="auto" w:fill="FFFFFF"/>
        </w:rPr>
        <w:t xml:space="preserve"> </w:t>
      </w:r>
    </w:p>
    <w:p w14:paraId="19F2F383" w14:textId="779AD8DE" w:rsidR="00E61342"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Wells, A., &amp; Matthews, G. (1994). Self-consciousness and cognitive failures as predictors of coping in stressful episodes. </w:t>
      </w:r>
      <w:r w:rsidRPr="003B57EA">
        <w:rPr>
          <w:rFonts w:asciiTheme="majorBidi" w:hAnsiTheme="majorBidi" w:cstheme="majorBidi"/>
          <w:i/>
          <w:iCs/>
          <w:shd w:val="clear" w:color="auto" w:fill="FFFFFF"/>
        </w:rPr>
        <w:t>Cognition &amp; Emotion</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8</w:t>
      </w:r>
      <w:r w:rsidRPr="003B57EA">
        <w:rPr>
          <w:rFonts w:asciiTheme="majorBidi" w:hAnsiTheme="majorBidi" w:cstheme="majorBidi"/>
          <w:shd w:val="clear" w:color="auto" w:fill="FFFFFF"/>
        </w:rPr>
        <w:t>(3), 279-295.</w:t>
      </w:r>
      <w:r w:rsidRPr="003B57EA">
        <w:rPr>
          <w:rFonts w:asciiTheme="majorBidi" w:hAnsiTheme="majorBidi" w:cstheme="majorBidi"/>
          <w:shd w:val="clear" w:color="auto" w:fill="FFFFFF"/>
          <w:rtl/>
        </w:rPr>
        <w:t>‏</w:t>
      </w:r>
    </w:p>
    <w:p w14:paraId="61AA780B" w14:textId="70B1628B" w:rsidR="004B1F45" w:rsidRPr="003B57EA" w:rsidRDefault="004B1F45" w:rsidP="00C4003E">
      <w:pPr>
        <w:spacing w:line="480" w:lineRule="auto"/>
        <w:ind w:left="720" w:hanging="720"/>
        <w:jc w:val="both"/>
        <w:rPr>
          <w:rFonts w:asciiTheme="majorBidi" w:hAnsiTheme="majorBidi" w:cstheme="majorBidi"/>
        </w:rPr>
      </w:pPr>
      <w:r w:rsidRPr="003B57EA">
        <w:rPr>
          <w:rFonts w:asciiTheme="majorBidi" w:hAnsiTheme="majorBidi" w:cstheme="majorBidi"/>
          <w:shd w:val="clear" w:color="auto" w:fill="FFFFFF"/>
        </w:rPr>
        <w:t>Wells, A., &amp; Matthews, G. (1996). Modelling cognition in emotional disorder: The S-REF model. </w:t>
      </w:r>
      <w:proofErr w:type="spellStart"/>
      <w:r w:rsidRPr="003B57EA">
        <w:rPr>
          <w:rFonts w:asciiTheme="majorBidi" w:hAnsiTheme="majorBidi" w:cstheme="majorBidi"/>
          <w:i/>
          <w:iCs/>
          <w:shd w:val="clear" w:color="auto" w:fill="FFFFFF"/>
        </w:rPr>
        <w:t>Behaviour</w:t>
      </w:r>
      <w:proofErr w:type="spellEnd"/>
      <w:r w:rsidRPr="003B57EA">
        <w:rPr>
          <w:rFonts w:asciiTheme="majorBidi" w:hAnsiTheme="majorBidi" w:cstheme="majorBidi"/>
          <w:i/>
          <w:iCs/>
          <w:shd w:val="clear" w:color="auto" w:fill="FFFFFF"/>
        </w:rPr>
        <w:t xml:space="preserve"> </w:t>
      </w:r>
      <w:r w:rsidR="00A62CCB" w:rsidRPr="003B57EA">
        <w:rPr>
          <w:rFonts w:asciiTheme="majorBidi" w:hAnsiTheme="majorBidi" w:cstheme="majorBidi"/>
          <w:i/>
          <w:iCs/>
          <w:shd w:val="clear" w:color="auto" w:fill="FFFFFF"/>
        </w:rPr>
        <w:t xml:space="preserve">Research </w:t>
      </w:r>
      <w:r w:rsidRPr="003B57EA">
        <w:rPr>
          <w:rFonts w:asciiTheme="majorBidi" w:hAnsiTheme="majorBidi" w:cstheme="majorBidi"/>
          <w:i/>
          <w:iCs/>
          <w:shd w:val="clear" w:color="auto" w:fill="FFFFFF"/>
        </w:rPr>
        <w:t xml:space="preserve">and </w:t>
      </w:r>
      <w:r w:rsidR="00A62CCB" w:rsidRPr="003B57EA">
        <w:rPr>
          <w:rFonts w:asciiTheme="majorBidi" w:hAnsiTheme="majorBidi" w:cstheme="majorBidi"/>
          <w:i/>
          <w:iCs/>
          <w:shd w:val="clear" w:color="auto" w:fill="FFFFFF"/>
        </w:rPr>
        <w:t>Therapy</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34</w:t>
      </w:r>
      <w:r w:rsidRPr="003B57EA">
        <w:rPr>
          <w:rFonts w:asciiTheme="majorBidi" w:hAnsiTheme="majorBidi" w:cstheme="majorBidi"/>
          <w:shd w:val="clear" w:color="auto" w:fill="FFFFFF"/>
        </w:rPr>
        <w:t>(11-12), 881-888.</w:t>
      </w:r>
      <w:r w:rsidRPr="003B57EA">
        <w:rPr>
          <w:rFonts w:asciiTheme="majorBidi" w:hAnsiTheme="majorBidi" w:cstheme="majorBidi"/>
          <w:shd w:val="clear" w:color="auto" w:fill="FFFFFF"/>
          <w:rtl/>
        </w:rPr>
        <w:t>‏</w:t>
      </w:r>
    </w:p>
    <w:p w14:paraId="0AAE308A" w14:textId="77777777" w:rsidR="00B048AF" w:rsidRPr="003B57EA" w:rsidRDefault="00B048AF" w:rsidP="00C4003E">
      <w:pPr>
        <w:widowControl w:val="0"/>
        <w:autoSpaceDE w:val="0"/>
        <w:autoSpaceDN w:val="0"/>
        <w:adjustRightInd w:val="0"/>
        <w:spacing w:line="480" w:lineRule="auto"/>
        <w:jc w:val="both"/>
        <w:rPr>
          <w:lang w:val="en-GB"/>
        </w:rPr>
      </w:pPr>
      <w:r w:rsidRPr="003B57EA">
        <w:rPr>
          <w:lang w:val="en-GB"/>
        </w:rPr>
        <w:t xml:space="preserve">Wells, A. (2009). Metacognitive therapy for anxiety and depression. New York: </w:t>
      </w:r>
    </w:p>
    <w:p w14:paraId="4CB9C3AE" w14:textId="517182A7" w:rsidR="00B048AF" w:rsidRPr="003B57EA" w:rsidRDefault="00B048AF" w:rsidP="00C4003E">
      <w:pPr>
        <w:widowControl w:val="0"/>
        <w:autoSpaceDE w:val="0"/>
        <w:autoSpaceDN w:val="0"/>
        <w:adjustRightInd w:val="0"/>
        <w:spacing w:line="480" w:lineRule="auto"/>
        <w:ind w:firstLine="720"/>
        <w:jc w:val="both"/>
        <w:rPr>
          <w:lang w:val="en-GB"/>
        </w:rPr>
      </w:pPr>
      <w:r w:rsidRPr="003B57EA">
        <w:rPr>
          <w:lang w:val="en-GB"/>
        </w:rPr>
        <w:t xml:space="preserve">Guilford Press. </w:t>
      </w:r>
    </w:p>
    <w:p w14:paraId="63CC3A86" w14:textId="77777777" w:rsidR="004B1F45" w:rsidRPr="003B57EA" w:rsidRDefault="004B1F45" w:rsidP="00C4003E">
      <w:pPr>
        <w:spacing w:line="480" w:lineRule="auto"/>
        <w:ind w:left="720" w:hanging="720"/>
        <w:jc w:val="both"/>
        <w:rPr>
          <w:rFonts w:asciiTheme="majorBidi" w:hAnsiTheme="majorBidi" w:cstheme="majorBidi"/>
        </w:rPr>
      </w:pPr>
      <w:r w:rsidRPr="003B57EA">
        <w:rPr>
          <w:rFonts w:asciiTheme="majorBidi" w:hAnsiTheme="majorBidi" w:cstheme="majorBidi"/>
        </w:rPr>
        <w:t xml:space="preserve">World Health Organization (2019). </w:t>
      </w:r>
      <w:r w:rsidRPr="003B57EA">
        <w:rPr>
          <w:rFonts w:asciiTheme="majorBidi" w:hAnsiTheme="majorBidi" w:cstheme="majorBidi"/>
          <w:i/>
          <w:iCs/>
        </w:rPr>
        <w:t xml:space="preserve">International Statistical Classification of Diseases and Related Health Problems (11th ed.). </w:t>
      </w:r>
      <w:r w:rsidRPr="003B57EA">
        <w:rPr>
          <w:rFonts w:asciiTheme="majorBidi" w:hAnsiTheme="majorBidi" w:cstheme="majorBidi"/>
        </w:rPr>
        <w:t xml:space="preserve">WHO: </w:t>
      </w:r>
      <w:proofErr w:type="gramStart"/>
      <w:r w:rsidRPr="003B57EA">
        <w:rPr>
          <w:rFonts w:asciiTheme="majorBidi" w:hAnsiTheme="majorBidi" w:cstheme="majorBidi"/>
        </w:rPr>
        <w:t>Geneva..</w:t>
      </w:r>
      <w:proofErr w:type="gramEnd"/>
    </w:p>
    <w:p w14:paraId="2CEE228A" w14:textId="4F25AD69"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Wu, L. L., Zhu, L., Shi, X. H., Zhou, N., Wang, R., Liu, G. Q., ... &amp; Zhang, J. T. (2020). Impaired regulation of both addiction-related and primary rewards in individuals with internet gaming disorder. </w:t>
      </w:r>
      <w:r w:rsidRPr="003B57EA">
        <w:rPr>
          <w:rFonts w:asciiTheme="majorBidi" w:hAnsiTheme="majorBidi" w:cstheme="majorBidi"/>
          <w:i/>
          <w:iCs/>
          <w:shd w:val="clear" w:color="auto" w:fill="FFFFFF"/>
        </w:rPr>
        <w:t xml:space="preserve">Psychiatry </w:t>
      </w:r>
      <w:r w:rsidR="00A62CCB" w:rsidRPr="003B57EA">
        <w:rPr>
          <w:rFonts w:asciiTheme="majorBidi" w:hAnsiTheme="majorBidi" w:cstheme="majorBidi"/>
          <w:i/>
          <w:iCs/>
          <w:shd w:val="clear" w:color="auto" w:fill="FFFFFF"/>
        </w:rPr>
        <w:t>Research</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286</w:t>
      </w:r>
      <w:r w:rsidRPr="003B57EA">
        <w:rPr>
          <w:rFonts w:asciiTheme="majorBidi" w:hAnsiTheme="majorBidi" w:cstheme="majorBidi"/>
          <w:shd w:val="clear" w:color="auto" w:fill="FFFFFF"/>
        </w:rPr>
        <w:t>, 112892.</w:t>
      </w:r>
      <w:r w:rsidRPr="003B57EA">
        <w:rPr>
          <w:rFonts w:asciiTheme="majorBidi" w:hAnsiTheme="majorBidi" w:cstheme="majorBidi"/>
          <w:shd w:val="clear" w:color="auto" w:fill="FFFFFF"/>
          <w:rtl/>
        </w:rPr>
        <w:t>‏</w:t>
      </w:r>
      <w:r w:rsidRPr="003B57EA">
        <w:rPr>
          <w:rFonts w:asciiTheme="majorBidi" w:hAnsiTheme="majorBidi" w:cstheme="majorBidi"/>
          <w:shd w:val="clear" w:color="auto" w:fill="FFFFFF"/>
        </w:rPr>
        <w:t xml:space="preserve"> </w:t>
      </w:r>
    </w:p>
    <w:p w14:paraId="46AFC546" w14:textId="720FF26E" w:rsidR="004B1F45" w:rsidRPr="003B57EA" w:rsidRDefault="004B1F45" w:rsidP="00C4003E">
      <w:pPr>
        <w:spacing w:line="480" w:lineRule="auto"/>
        <w:ind w:left="720" w:hanging="720"/>
        <w:jc w:val="both"/>
        <w:rPr>
          <w:rFonts w:asciiTheme="majorBidi" w:hAnsiTheme="majorBidi" w:cstheme="majorBidi"/>
        </w:rPr>
      </w:pPr>
      <w:r w:rsidRPr="003B57EA">
        <w:rPr>
          <w:rFonts w:asciiTheme="majorBidi" w:hAnsiTheme="majorBidi" w:cstheme="majorBidi"/>
          <w:shd w:val="clear" w:color="auto" w:fill="FFFFFF"/>
        </w:rPr>
        <w:lastRenderedPageBreak/>
        <w:t>Yee, N. (2006). The demographics, motivations, and derived experiences of users of massively multi-user online graphical environments. </w:t>
      </w:r>
      <w:r w:rsidRPr="003B57EA">
        <w:rPr>
          <w:rFonts w:asciiTheme="majorBidi" w:hAnsiTheme="majorBidi" w:cstheme="majorBidi"/>
          <w:i/>
          <w:iCs/>
          <w:shd w:val="clear" w:color="auto" w:fill="FFFFFF"/>
        </w:rPr>
        <w:t xml:space="preserve">Presence: Teleoperators and </w:t>
      </w:r>
      <w:r w:rsidR="00A62CCB" w:rsidRPr="003B57EA">
        <w:rPr>
          <w:rFonts w:asciiTheme="majorBidi" w:hAnsiTheme="majorBidi" w:cstheme="majorBidi"/>
          <w:i/>
          <w:iCs/>
          <w:shd w:val="clear" w:color="auto" w:fill="FFFFFF"/>
        </w:rPr>
        <w:t>V</w:t>
      </w:r>
      <w:r w:rsidRPr="003B57EA">
        <w:rPr>
          <w:rFonts w:asciiTheme="majorBidi" w:hAnsiTheme="majorBidi" w:cstheme="majorBidi"/>
          <w:i/>
          <w:iCs/>
          <w:shd w:val="clear" w:color="auto" w:fill="FFFFFF"/>
        </w:rPr>
        <w:t xml:space="preserve">irtual </w:t>
      </w:r>
      <w:r w:rsidR="00A62CCB" w:rsidRPr="003B57EA">
        <w:rPr>
          <w:rFonts w:asciiTheme="majorBidi" w:hAnsiTheme="majorBidi" w:cstheme="majorBidi"/>
          <w:i/>
          <w:iCs/>
          <w:shd w:val="clear" w:color="auto" w:fill="FFFFFF"/>
        </w:rPr>
        <w:t>Environments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15</w:t>
      </w:r>
      <w:r w:rsidRPr="003B57EA">
        <w:rPr>
          <w:rFonts w:asciiTheme="majorBidi" w:hAnsiTheme="majorBidi" w:cstheme="majorBidi"/>
          <w:shd w:val="clear" w:color="auto" w:fill="FFFFFF"/>
        </w:rPr>
        <w:t>(3), 309-329.</w:t>
      </w:r>
      <w:r w:rsidRPr="003B57EA">
        <w:rPr>
          <w:rFonts w:asciiTheme="majorBidi" w:hAnsiTheme="majorBidi" w:cstheme="majorBidi"/>
          <w:shd w:val="clear" w:color="auto" w:fill="FFFFFF"/>
          <w:rtl/>
        </w:rPr>
        <w:t>‏</w:t>
      </w:r>
    </w:p>
    <w:p w14:paraId="602FF0A9" w14:textId="27663EC8"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cstheme="majorBidi"/>
          <w:shd w:val="clear" w:color="auto" w:fill="FFFFFF"/>
        </w:rPr>
        <w:t>Yen, J. Y., Yeh, Y. C., Wang, P. W., Liu, T. L., Chen, Y. Y., &amp; Ko, C. H. (2018). Emotional regulation in young adults with internet gaming disorder. </w:t>
      </w:r>
      <w:r w:rsidRPr="003B57EA">
        <w:rPr>
          <w:rFonts w:asciiTheme="majorBidi" w:hAnsiTheme="majorBidi" w:cstheme="majorBidi"/>
          <w:i/>
          <w:iCs/>
          <w:shd w:val="clear" w:color="auto" w:fill="FFFFFF"/>
        </w:rPr>
        <w:t xml:space="preserve">International </w:t>
      </w:r>
      <w:r w:rsidR="00A62CCB" w:rsidRPr="003B57EA">
        <w:rPr>
          <w:rFonts w:asciiTheme="majorBidi" w:hAnsiTheme="majorBidi" w:cstheme="majorBidi"/>
          <w:i/>
          <w:iCs/>
          <w:shd w:val="clear" w:color="auto" w:fill="FFFFFF"/>
        </w:rPr>
        <w:t xml:space="preserve">Journal </w:t>
      </w:r>
      <w:r w:rsidRPr="003B57EA">
        <w:rPr>
          <w:rFonts w:asciiTheme="majorBidi" w:hAnsiTheme="majorBidi" w:cstheme="majorBidi"/>
          <w:i/>
          <w:iCs/>
          <w:shd w:val="clear" w:color="auto" w:fill="FFFFFF"/>
        </w:rPr>
        <w:t xml:space="preserve">of </w:t>
      </w:r>
      <w:r w:rsidR="00A62CCB" w:rsidRPr="003B57EA">
        <w:rPr>
          <w:rFonts w:asciiTheme="majorBidi" w:hAnsiTheme="majorBidi" w:cstheme="majorBidi"/>
          <w:i/>
          <w:iCs/>
          <w:shd w:val="clear" w:color="auto" w:fill="FFFFFF"/>
        </w:rPr>
        <w:t xml:space="preserve">Environmental Research </w:t>
      </w:r>
      <w:r w:rsidRPr="003B57EA">
        <w:rPr>
          <w:rFonts w:asciiTheme="majorBidi" w:hAnsiTheme="majorBidi" w:cstheme="majorBidi"/>
          <w:i/>
          <w:iCs/>
          <w:shd w:val="clear" w:color="auto" w:fill="FFFFFF"/>
        </w:rPr>
        <w:t xml:space="preserve">and </w:t>
      </w:r>
      <w:r w:rsidR="00A62CCB" w:rsidRPr="003B57EA">
        <w:rPr>
          <w:rFonts w:asciiTheme="majorBidi" w:hAnsiTheme="majorBidi" w:cstheme="majorBidi"/>
          <w:i/>
          <w:iCs/>
          <w:shd w:val="clear" w:color="auto" w:fill="FFFFFF"/>
        </w:rPr>
        <w:t>Public Health</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15</w:t>
      </w:r>
      <w:r w:rsidRPr="003B57EA">
        <w:rPr>
          <w:rFonts w:asciiTheme="majorBidi" w:hAnsiTheme="majorBidi" w:cstheme="majorBidi"/>
          <w:shd w:val="clear" w:color="auto" w:fill="FFFFFF"/>
        </w:rPr>
        <w:t>(1), 30.</w:t>
      </w:r>
      <w:r w:rsidRPr="003B57EA">
        <w:rPr>
          <w:rFonts w:asciiTheme="majorBidi" w:hAnsiTheme="majorBidi" w:cstheme="majorBidi"/>
          <w:shd w:val="clear" w:color="auto" w:fill="FFFFFF"/>
          <w:rtl/>
        </w:rPr>
        <w:t>‏</w:t>
      </w:r>
    </w:p>
    <w:p w14:paraId="2A306241" w14:textId="77777777" w:rsidR="004B1F45" w:rsidRPr="003B57EA" w:rsidRDefault="004B1F45" w:rsidP="00C4003E">
      <w:pPr>
        <w:spacing w:line="480" w:lineRule="auto"/>
        <w:ind w:left="720" w:hanging="720"/>
        <w:jc w:val="both"/>
        <w:rPr>
          <w:rFonts w:asciiTheme="majorBidi" w:hAnsiTheme="majorBidi" w:cstheme="majorBidi"/>
          <w:shd w:val="clear" w:color="auto" w:fill="FFFFFF"/>
        </w:rPr>
      </w:pPr>
      <w:r w:rsidRPr="003B57EA">
        <w:rPr>
          <w:rFonts w:asciiTheme="majorBidi" w:hAnsiTheme="majorBidi"/>
          <w:shd w:val="clear" w:color="auto" w:fill="FFFFFF"/>
          <w:lang w:val="it-IT"/>
        </w:rPr>
        <w:t xml:space="preserve">Yu, Y., Mo, P. K., Zhang, J., Li, J., &amp; Lau, J. T. (2021). </w:t>
      </w:r>
      <w:r w:rsidRPr="003B57EA">
        <w:rPr>
          <w:rFonts w:asciiTheme="majorBidi" w:hAnsiTheme="majorBidi" w:cstheme="majorBidi"/>
          <w:shd w:val="clear" w:color="auto" w:fill="FFFFFF"/>
        </w:rPr>
        <w:t>Why is Internet gaming disorder more prevalent among Chinese male than female adolescents? The role of cognitive mediators. </w:t>
      </w:r>
      <w:r w:rsidRPr="003B57EA">
        <w:rPr>
          <w:rFonts w:asciiTheme="majorBidi" w:hAnsiTheme="majorBidi" w:cstheme="majorBidi"/>
          <w:i/>
          <w:iCs/>
          <w:shd w:val="clear" w:color="auto" w:fill="FFFFFF"/>
        </w:rPr>
        <w:t>Addictive Behaviors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112</w:t>
      </w:r>
      <w:r w:rsidRPr="003B57EA">
        <w:rPr>
          <w:rFonts w:asciiTheme="majorBidi" w:hAnsiTheme="majorBidi" w:cstheme="majorBidi"/>
          <w:shd w:val="clear" w:color="auto" w:fill="FFFFFF"/>
        </w:rPr>
        <w:t>, 106637.</w:t>
      </w:r>
      <w:r w:rsidRPr="003B57EA">
        <w:rPr>
          <w:rFonts w:asciiTheme="majorBidi" w:hAnsiTheme="majorBidi" w:cstheme="majorBidi"/>
          <w:shd w:val="clear" w:color="auto" w:fill="FFFFFF"/>
          <w:rtl/>
        </w:rPr>
        <w:t>‏</w:t>
      </w:r>
      <w:r w:rsidRPr="003B57EA">
        <w:rPr>
          <w:rFonts w:asciiTheme="majorBidi" w:hAnsiTheme="majorBidi" w:cstheme="majorBidi"/>
          <w:shd w:val="clear" w:color="auto" w:fill="FFFFFF"/>
        </w:rPr>
        <w:t xml:space="preserve"> </w:t>
      </w:r>
    </w:p>
    <w:p w14:paraId="1D362FCE" w14:textId="77777777" w:rsidR="004B1F45" w:rsidRPr="003B57EA" w:rsidRDefault="004B1F45" w:rsidP="00C4003E">
      <w:pPr>
        <w:spacing w:line="480" w:lineRule="auto"/>
        <w:ind w:left="720" w:hanging="720"/>
        <w:jc w:val="both"/>
        <w:rPr>
          <w:rFonts w:asciiTheme="majorBidi" w:hAnsiTheme="majorBidi" w:cstheme="majorBidi"/>
        </w:rPr>
      </w:pPr>
      <w:r w:rsidRPr="003B57EA">
        <w:rPr>
          <w:rFonts w:asciiTheme="majorBidi" w:hAnsiTheme="majorBidi" w:cstheme="majorBidi"/>
          <w:shd w:val="clear" w:color="auto" w:fill="FFFFFF"/>
        </w:rPr>
        <w:t>Yu, Y., Mo, P. K., Zhang, J., Li, J., &amp; Lau, J. T. (2022). Maladaptive cognitions, loneliness, and social anxiety as potential moderators of the association between Internet gaming time and Internet gaming disorder among adolescent Internet gamers in China. </w:t>
      </w:r>
      <w:r w:rsidRPr="003B57EA">
        <w:rPr>
          <w:rFonts w:asciiTheme="majorBidi" w:hAnsiTheme="majorBidi" w:cstheme="majorBidi"/>
          <w:i/>
          <w:iCs/>
          <w:shd w:val="clear" w:color="auto" w:fill="FFFFFF"/>
        </w:rPr>
        <w:t>Addictive Behaviors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129</w:t>
      </w:r>
      <w:r w:rsidRPr="003B57EA">
        <w:rPr>
          <w:rFonts w:asciiTheme="majorBidi" w:hAnsiTheme="majorBidi" w:cstheme="majorBidi"/>
          <w:shd w:val="clear" w:color="auto" w:fill="FFFFFF"/>
        </w:rPr>
        <w:t>, 107239.</w:t>
      </w:r>
      <w:r w:rsidRPr="003B57EA">
        <w:rPr>
          <w:rFonts w:asciiTheme="majorBidi" w:hAnsiTheme="majorBidi" w:cstheme="majorBidi"/>
          <w:shd w:val="clear" w:color="auto" w:fill="FFFFFF"/>
          <w:rtl/>
        </w:rPr>
        <w:t>‏</w:t>
      </w:r>
    </w:p>
    <w:p w14:paraId="42D4C3A8" w14:textId="77777777" w:rsidR="004B1F45" w:rsidRPr="003B57EA" w:rsidRDefault="004B1F45" w:rsidP="00C4003E">
      <w:pPr>
        <w:spacing w:line="480" w:lineRule="auto"/>
        <w:ind w:left="720" w:hanging="720"/>
        <w:jc w:val="both"/>
        <w:rPr>
          <w:rFonts w:asciiTheme="majorBidi" w:hAnsiTheme="majorBidi" w:cstheme="majorBidi"/>
        </w:rPr>
      </w:pPr>
      <w:r w:rsidRPr="003B57EA">
        <w:rPr>
          <w:rFonts w:asciiTheme="majorBidi" w:hAnsiTheme="majorBidi" w:cstheme="majorBidi"/>
          <w:shd w:val="clear" w:color="auto" w:fill="FFFFFF"/>
        </w:rPr>
        <w:t>Zhang, M. X., Lei, L. S., Wells, A., Dang, L., &amp; Wu, A. M. (2020). Validation of a Chinese version of the short form of Metacognitions Questionnaire (MCQ-30). </w:t>
      </w:r>
      <w:r w:rsidRPr="003B57EA">
        <w:rPr>
          <w:rFonts w:asciiTheme="majorBidi" w:hAnsiTheme="majorBidi" w:cstheme="majorBidi"/>
          <w:i/>
          <w:iCs/>
          <w:shd w:val="clear" w:color="auto" w:fill="FFFFFF"/>
        </w:rPr>
        <w:t>Journal of Affective Disorders</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277</w:t>
      </w:r>
      <w:r w:rsidRPr="003B57EA">
        <w:rPr>
          <w:rFonts w:asciiTheme="majorBidi" w:hAnsiTheme="majorBidi" w:cstheme="majorBidi"/>
          <w:shd w:val="clear" w:color="auto" w:fill="FFFFFF"/>
        </w:rPr>
        <w:t>, 417-424.</w:t>
      </w:r>
      <w:r w:rsidRPr="003B57EA">
        <w:rPr>
          <w:rFonts w:asciiTheme="majorBidi" w:hAnsiTheme="majorBidi" w:cstheme="majorBidi"/>
          <w:shd w:val="clear" w:color="auto" w:fill="FFFFFF"/>
          <w:rtl/>
        </w:rPr>
        <w:t>‏</w:t>
      </w:r>
    </w:p>
    <w:p w14:paraId="7762EB5B" w14:textId="77777777" w:rsidR="004B1F45" w:rsidRPr="00FE2D9B" w:rsidRDefault="004B1F45" w:rsidP="00C4003E">
      <w:pPr>
        <w:spacing w:line="480" w:lineRule="auto"/>
        <w:ind w:left="720" w:hanging="720"/>
        <w:jc w:val="both"/>
        <w:rPr>
          <w:rFonts w:asciiTheme="majorBidi" w:hAnsiTheme="majorBidi" w:cstheme="majorBidi"/>
        </w:rPr>
      </w:pPr>
      <w:r w:rsidRPr="003B57EA">
        <w:rPr>
          <w:rFonts w:asciiTheme="majorBidi" w:hAnsiTheme="majorBidi" w:cstheme="majorBidi"/>
          <w:shd w:val="clear" w:color="auto" w:fill="FFFFFF"/>
        </w:rPr>
        <w:t>Zhu, J., Zhang, W., Yu, C., &amp; Bao, Z. (2015). Early adolescent Internet game addiction in context: How parents, school, and peers impact youth. </w:t>
      </w:r>
      <w:r w:rsidRPr="003B57EA">
        <w:rPr>
          <w:rFonts w:asciiTheme="majorBidi" w:hAnsiTheme="majorBidi" w:cstheme="majorBidi"/>
          <w:i/>
          <w:iCs/>
          <w:shd w:val="clear" w:color="auto" w:fill="FFFFFF"/>
        </w:rPr>
        <w:t>Computers in Human Behavior</w:t>
      </w:r>
      <w:r w:rsidRPr="003B57EA">
        <w:rPr>
          <w:rFonts w:asciiTheme="majorBidi" w:hAnsiTheme="majorBidi" w:cstheme="majorBidi"/>
          <w:shd w:val="clear" w:color="auto" w:fill="FFFFFF"/>
        </w:rPr>
        <w:t>, </w:t>
      </w:r>
      <w:r w:rsidRPr="003B57EA">
        <w:rPr>
          <w:rFonts w:asciiTheme="majorBidi" w:hAnsiTheme="majorBidi" w:cstheme="majorBidi"/>
          <w:i/>
          <w:iCs/>
          <w:shd w:val="clear" w:color="auto" w:fill="FFFFFF"/>
        </w:rPr>
        <w:t>50</w:t>
      </w:r>
      <w:r w:rsidRPr="003B57EA">
        <w:rPr>
          <w:rFonts w:asciiTheme="majorBidi" w:hAnsiTheme="majorBidi" w:cstheme="majorBidi"/>
          <w:shd w:val="clear" w:color="auto" w:fill="FFFFFF"/>
        </w:rPr>
        <w:t>, 159-168.</w:t>
      </w:r>
      <w:r w:rsidRPr="003B57EA">
        <w:rPr>
          <w:rFonts w:asciiTheme="majorBidi" w:hAnsiTheme="majorBidi" w:cstheme="majorBidi"/>
          <w:shd w:val="clear" w:color="auto" w:fill="FFFFFF"/>
          <w:rtl/>
        </w:rPr>
        <w:t>‏</w:t>
      </w:r>
    </w:p>
    <w:p w14:paraId="277AAD4B" w14:textId="4C3C0924" w:rsidR="00681454" w:rsidRPr="00FE2D9B" w:rsidRDefault="00681454" w:rsidP="00C4003E">
      <w:pPr>
        <w:pStyle w:val="EndNoteBibliography"/>
        <w:ind w:left="720" w:hanging="720"/>
        <w:jc w:val="both"/>
        <w:rPr>
          <w:rFonts w:asciiTheme="majorBidi" w:hAnsiTheme="majorBidi" w:cstheme="majorBidi"/>
        </w:rPr>
      </w:pPr>
    </w:p>
    <w:sectPr w:rsidR="00681454" w:rsidRPr="00FE2D9B" w:rsidSect="0073340A">
      <w:pgSz w:w="11906" w:h="16838"/>
      <w:pgMar w:top="1440" w:right="1797" w:bottom="1440" w:left="179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E8E9" w14:textId="77777777" w:rsidR="009C3DA4" w:rsidRDefault="009C3DA4" w:rsidP="00467832">
      <w:r>
        <w:separator/>
      </w:r>
    </w:p>
  </w:endnote>
  <w:endnote w:type="continuationSeparator" w:id="0">
    <w:p w14:paraId="579EB851" w14:textId="77777777" w:rsidR="009C3DA4" w:rsidRDefault="009C3DA4" w:rsidP="00467832">
      <w:r>
        <w:continuationSeparator/>
      </w:r>
    </w:p>
  </w:endnote>
  <w:endnote w:type="continuationNotice" w:id="1">
    <w:p w14:paraId="69C50828" w14:textId="77777777" w:rsidR="009C3DA4" w:rsidRDefault="009C3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763542"/>
      <w:docPartObj>
        <w:docPartGallery w:val="Page Numbers (Bottom of Page)"/>
        <w:docPartUnique/>
      </w:docPartObj>
    </w:sdtPr>
    <w:sdtEndPr>
      <w:rPr>
        <w:rFonts w:ascii="Times New Roman" w:hAnsi="Times New Roman" w:cs="Times New Roman"/>
        <w:noProof/>
        <w:sz w:val="18"/>
        <w:szCs w:val="18"/>
      </w:rPr>
    </w:sdtEndPr>
    <w:sdtContent>
      <w:p w14:paraId="00379D73" w14:textId="0A62EC3D" w:rsidR="00E81A9D" w:rsidRPr="0010065E" w:rsidRDefault="00E81A9D">
        <w:pPr>
          <w:pStyle w:val="Footer"/>
          <w:jc w:val="center"/>
          <w:rPr>
            <w:rFonts w:ascii="Times New Roman" w:hAnsi="Times New Roman" w:cs="Times New Roman"/>
            <w:sz w:val="18"/>
            <w:szCs w:val="18"/>
          </w:rPr>
        </w:pPr>
        <w:r w:rsidRPr="0010065E">
          <w:rPr>
            <w:rFonts w:ascii="Times New Roman" w:hAnsi="Times New Roman" w:cs="Times New Roman"/>
            <w:sz w:val="18"/>
            <w:szCs w:val="18"/>
          </w:rPr>
          <w:fldChar w:fldCharType="begin"/>
        </w:r>
        <w:r w:rsidRPr="0010065E">
          <w:rPr>
            <w:rFonts w:ascii="Times New Roman" w:hAnsi="Times New Roman" w:cs="Times New Roman"/>
            <w:sz w:val="18"/>
            <w:szCs w:val="18"/>
          </w:rPr>
          <w:instrText xml:space="preserve"> PAGE   \* MERGEFORMAT </w:instrText>
        </w:r>
        <w:r w:rsidRPr="0010065E">
          <w:rPr>
            <w:rFonts w:ascii="Times New Roman" w:hAnsi="Times New Roman" w:cs="Times New Roman"/>
            <w:sz w:val="18"/>
            <w:szCs w:val="18"/>
          </w:rPr>
          <w:fldChar w:fldCharType="separate"/>
        </w:r>
        <w:r w:rsidR="00A62CCB">
          <w:rPr>
            <w:rFonts w:ascii="Times New Roman" w:hAnsi="Times New Roman" w:cs="Times New Roman"/>
            <w:noProof/>
            <w:sz w:val="18"/>
            <w:szCs w:val="18"/>
          </w:rPr>
          <w:t>49</w:t>
        </w:r>
        <w:r w:rsidRPr="0010065E">
          <w:rPr>
            <w:rFonts w:ascii="Times New Roman" w:hAnsi="Times New Roman" w:cs="Times New Roman"/>
            <w:noProof/>
            <w:sz w:val="18"/>
            <w:szCs w:val="18"/>
          </w:rPr>
          <w:fldChar w:fldCharType="end"/>
        </w:r>
      </w:p>
    </w:sdtContent>
  </w:sdt>
  <w:p w14:paraId="26FFC5D9" w14:textId="77777777" w:rsidR="00E81A9D" w:rsidRDefault="00E81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E63E" w14:textId="77777777" w:rsidR="009C3DA4" w:rsidRDefault="009C3DA4" w:rsidP="00467832">
      <w:r>
        <w:separator/>
      </w:r>
    </w:p>
  </w:footnote>
  <w:footnote w:type="continuationSeparator" w:id="0">
    <w:p w14:paraId="7872D652" w14:textId="77777777" w:rsidR="009C3DA4" w:rsidRDefault="009C3DA4" w:rsidP="00467832">
      <w:r>
        <w:continuationSeparator/>
      </w:r>
    </w:p>
  </w:footnote>
  <w:footnote w:type="continuationNotice" w:id="1">
    <w:p w14:paraId="35CE2AB6" w14:textId="77777777" w:rsidR="009C3DA4" w:rsidRDefault="009C3D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NDE0ByJTA0tTYyUdpeDU4uLM/DyQAstaALqkGKUs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tsaedd5vzta9oedvf1vxfxuv5etrz2exf9w&quot;&gt;tsachi_eindor&lt;record-ids&gt;&lt;item&gt;1528&lt;/item&gt;&lt;item&gt;1529&lt;/item&gt;&lt;item&gt;1530&lt;/item&gt;&lt;/record-ids&gt;&lt;/item&gt;&lt;/Libraries&gt;"/>
  </w:docVars>
  <w:rsids>
    <w:rsidRoot w:val="00781C8D"/>
    <w:rsid w:val="00011129"/>
    <w:rsid w:val="00013758"/>
    <w:rsid w:val="0001663E"/>
    <w:rsid w:val="0002378F"/>
    <w:rsid w:val="00023DE3"/>
    <w:rsid w:val="00024B98"/>
    <w:rsid w:val="00031E37"/>
    <w:rsid w:val="0003501C"/>
    <w:rsid w:val="00036A04"/>
    <w:rsid w:val="000404CE"/>
    <w:rsid w:val="0004112D"/>
    <w:rsid w:val="0004205E"/>
    <w:rsid w:val="00043354"/>
    <w:rsid w:val="0004350F"/>
    <w:rsid w:val="00046630"/>
    <w:rsid w:val="000475D3"/>
    <w:rsid w:val="00050080"/>
    <w:rsid w:val="00051A10"/>
    <w:rsid w:val="00052B9D"/>
    <w:rsid w:val="0006039F"/>
    <w:rsid w:val="00070C3E"/>
    <w:rsid w:val="00071655"/>
    <w:rsid w:val="00074156"/>
    <w:rsid w:val="00076D94"/>
    <w:rsid w:val="00076ECC"/>
    <w:rsid w:val="000772FB"/>
    <w:rsid w:val="00083D1D"/>
    <w:rsid w:val="00085207"/>
    <w:rsid w:val="00086055"/>
    <w:rsid w:val="000870BC"/>
    <w:rsid w:val="00092FF7"/>
    <w:rsid w:val="00093081"/>
    <w:rsid w:val="00093635"/>
    <w:rsid w:val="00093F5D"/>
    <w:rsid w:val="000A37B8"/>
    <w:rsid w:val="000A437D"/>
    <w:rsid w:val="000A7EFE"/>
    <w:rsid w:val="000B09F6"/>
    <w:rsid w:val="000B1AD6"/>
    <w:rsid w:val="000B1B3D"/>
    <w:rsid w:val="000B1CD2"/>
    <w:rsid w:val="000B4967"/>
    <w:rsid w:val="000B6827"/>
    <w:rsid w:val="000C1A3E"/>
    <w:rsid w:val="000C590F"/>
    <w:rsid w:val="000D1A93"/>
    <w:rsid w:val="000D3526"/>
    <w:rsid w:val="000D4583"/>
    <w:rsid w:val="000D4F29"/>
    <w:rsid w:val="000D56D3"/>
    <w:rsid w:val="000D6122"/>
    <w:rsid w:val="000D6F27"/>
    <w:rsid w:val="000E052C"/>
    <w:rsid w:val="000E3098"/>
    <w:rsid w:val="000E6F29"/>
    <w:rsid w:val="000F217A"/>
    <w:rsid w:val="000F2C9F"/>
    <w:rsid w:val="000F3196"/>
    <w:rsid w:val="000F39F6"/>
    <w:rsid w:val="000F5810"/>
    <w:rsid w:val="000F6DE4"/>
    <w:rsid w:val="000F6F06"/>
    <w:rsid w:val="000F70C9"/>
    <w:rsid w:val="0010051C"/>
    <w:rsid w:val="0010065E"/>
    <w:rsid w:val="00106A10"/>
    <w:rsid w:val="00111A40"/>
    <w:rsid w:val="00113B0E"/>
    <w:rsid w:val="001160F2"/>
    <w:rsid w:val="00120F13"/>
    <w:rsid w:val="00127465"/>
    <w:rsid w:val="001332CE"/>
    <w:rsid w:val="00136A0A"/>
    <w:rsid w:val="00140FEF"/>
    <w:rsid w:val="001438F8"/>
    <w:rsid w:val="00150563"/>
    <w:rsid w:val="00150695"/>
    <w:rsid w:val="001509BD"/>
    <w:rsid w:val="0015147A"/>
    <w:rsid w:val="00153236"/>
    <w:rsid w:val="00154F53"/>
    <w:rsid w:val="00164354"/>
    <w:rsid w:val="001655E0"/>
    <w:rsid w:val="00166098"/>
    <w:rsid w:val="001663C1"/>
    <w:rsid w:val="00173021"/>
    <w:rsid w:val="00173DEC"/>
    <w:rsid w:val="001763FD"/>
    <w:rsid w:val="00183680"/>
    <w:rsid w:val="00186A29"/>
    <w:rsid w:val="001906F5"/>
    <w:rsid w:val="00190CE2"/>
    <w:rsid w:val="00191A4D"/>
    <w:rsid w:val="001A2DFD"/>
    <w:rsid w:val="001A2E69"/>
    <w:rsid w:val="001A44FF"/>
    <w:rsid w:val="001A5EC3"/>
    <w:rsid w:val="001A6A60"/>
    <w:rsid w:val="001A7370"/>
    <w:rsid w:val="001C10EC"/>
    <w:rsid w:val="001C1705"/>
    <w:rsid w:val="001C447E"/>
    <w:rsid w:val="001C453A"/>
    <w:rsid w:val="001C7518"/>
    <w:rsid w:val="001D06C9"/>
    <w:rsid w:val="001D175D"/>
    <w:rsid w:val="001D39FB"/>
    <w:rsid w:val="001D419F"/>
    <w:rsid w:val="001D5B2F"/>
    <w:rsid w:val="001D5DFF"/>
    <w:rsid w:val="001D6F8A"/>
    <w:rsid w:val="001E150A"/>
    <w:rsid w:val="001E72A6"/>
    <w:rsid w:val="001F3399"/>
    <w:rsid w:val="001F65B4"/>
    <w:rsid w:val="001F6E5B"/>
    <w:rsid w:val="00202D6B"/>
    <w:rsid w:val="00203378"/>
    <w:rsid w:val="00203C86"/>
    <w:rsid w:val="00204767"/>
    <w:rsid w:val="00207E3C"/>
    <w:rsid w:val="00213626"/>
    <w:rsid w:val="002152D1"/>
    <w:rsid w:val="002167B2"/>
    <w:rsid w:val="00216918"/>
    <w:rsid w:val="002208CB"/>
    <w:rsid w:val="00222D52"/>
    <w:rsid w:val="00224A99"/>
    <w:rsid w:val="00225EE1"/>
    <w:rsid w:val="0022708B"/>
    <w:rsid w:val="00231BA9"/>
    <w:rsid w:val="00232168"/>
    <w:rsid w:val="002323A8"/>
    <w:rsid w:val="00232756"/>
    <w:rsid w:val="00233F1E"/>
    <w:rsid w:val="0023607E"/>
    <w:rsid w:val="002562FF"/>
    <w:rsid w:val="002563B2"/>
    <w:rsid w:val="00257ADE"/>
    <w:rsid w:val="002617C0"/>
    <w:rsid w:val="00264674"/>
    <w:rsid w:val="0026701E"/>
    <w:rsid w:val="002702A7"/>
    <w:rsid w:val="002807C5"/>
    <w:rsid w:val="002876BB"/>
    <w:rsid w:val="0029027F"/>
    <w:rsid w:val="002930E9"/>
    <w:rsid w:val="002972E8"/>
    <w:rsid w:val="00297395"/>
    <w:rsid w:val="002A2C73"/>
    <w:rsid w:val="002B4259"/>
    <w:rsid w:val="002C0E9D"/>
    <w:rsid w:val="002C1498"/>
    <w:rsid w:val="002C2C12"/>
    <w:rsid w:val="002C3C49"/>
    <w:rsid w:val="002C5BD1"/>
    <w:rsid w:val="002D0323"/>
    <w:rsid w:val="002D0C1B"/>
    <w:rsid w:val="002D0E34"/>
    <w:rsid w:val="002D48A4"/>
    <w:rsid w:val="002D5111"/>
    <w:rsid w:val="002E0DAC"/>
    <w:rsid w:val="002E1504"/>
    <w:rsid w:val="002E7638"/>
    <w:rsid w:val="002F2821"/>
    <w:rsid w:val="002F505F"/>
    <w:rsid w:val="00300CEB"/>
    <w:rsid w:val="00303D52"/>
    <w:rsid w:val="0031288D"/>
    <w:rsid w:val="00312D7D"/>
    <w:rsid w:val="003152D1"/>
    <w:rsid w:val="003160C1"/>
    <w:rsid w:val="0032293A"/>
    <w:rsid w:val="00323920"/>
    <w:rsid w:val="00325DC8"/>
    <w:rsid w:val="00325F00"/>
    <w:rsid w:val="0033165A"/>
    <w:rsid w:val="00333185"/>
    <w:rsid w:val="003346EB"/>
    <w:rsid w:val="003371C4"/>
    <w:rsid w:val="00346CC8"/>
    <w:rsid w:val="00350EC8"/>
    <w:rsid w:val="00354F02"/>
    <w:rsid w:val="003563C1"/>
    <w:rsid w:val="00356513"/>
    <w:rsid w:val="00360C46"/>
    <w:rsid w:val="003611D1"/>
    <w:rsid w:val="0036374F"/>
    <w:rsid w:val="003663DC"/>
    <w:rsid w:val="00371B1A"/>
    <w:rsid w:val="0037287F"/>
    <w:rsid w:val="00374A30"/>
    <w:rsid w:val="00375EDD"/>
    <w:rsid w:val="003824C7"/>
    <w:rsid w:val="00384F38"/>
    <w:rsid w:val="00385FB7"/>
    <w:rsid w:val="00387480"/>
    <w:rsid w:val="00393B6F"/>
    <w:rsid w:val="0039520F"/>
    <w:rsid w:val="003A0366"/>
    <w:rsid w:val="003A084F"/>
    <w:rsid w:val="003A1221"/>
    <w:rsid w:val="003A2411"/>
    <w:rsid w:val="003A44FF"/>
    <w:rsid w:val="003B0E10"/>
    <w:rsid w:val="003B1943"/>
    <w:rsid w:val="003B1A02"/>
    <w:rsid w:val="003B2426"/>
    <w:rsid w:val="003B2827"/>
    <w:rsid w:val="003B4BAD"/>
    <w:rsid w:val="003B57EA"/>
    <w:rsid w:val="003B7233"/>
    <w:rsid w:val="003C1BD3"/>
    <w:rsid w:val="003D060F"/>
    <w:rsid w:val="003D0E60"/>
    <w:rsid w:val="003D28B6"/>
    <w:rsid w:val="003D3083"/>
    <w:rsid w:val="003D485F"/>
    <w:rsid w:val="003D5985"/>
    <w:rsid w:val="003E36FC"/>
    <w:rsid w:val="003E5618"/>
    <w:rsid w:val="003F356E"/>
    <w:rsid w:val="003F7BCD"/>
    <w:rsid w:val="003F7FE9"/>
    <w:rsid w:val="00400D4F"/>
    <w:rsid w:val="00402E19"/>
    <w:rsid w:val="0041057B"/>
    <w:rsid w:val="00415856"/>
    <w:rsid w:val="00415D87"/>
    <w:rsid w:val="00422B7A"/>
    <w:rsid w:val="0042488C"/>
    <w:rsid w:val="004261E9"/>
    <w:rsid w:val="004419A5"/>
    <w:rsid w:val="00461794"/>
    <w:rsid w:val="00461D20"/>
    <w:rsid w:val="00463394"/>
    <w:rsid w:val="00467832"/>
    <w:rsid w:val="00471CBD"/>
    <w:rsid w:val="004728AE"/>
    <w:rsid w:val="00472B40"/>
    <w:rsid w:val="00474E5E"/>
    <w:rsid w:val="00475A67"/>
    <w:rsid w:val="00481151"/>
    <w:rsid w:val="0048325F"/>
    <w:rsid w:val="00484589"/>
    <w:rsid w:val="004908F1"/>
    <w:rsid w:val="00492768"/>
    <w:rsid w:val="00495362"/>
    <w:rsid w:val="00495747"/>
    <w:rsid w:val="004973EF"/>
    <w:rsid w:val="004A3DCE"/>
    <w:rsid w:val="004A6075"/>
    <w:rsid w:val="004A6571"/>
    <w:rsid w:val="004A7384"/>
    <w:rsid w:val="004B0EFB"/>
    <w:rsid w:val="004B1B71"/>
    <w:rsid w:val="004B1F45"/>
    <w:rsid w:val="004B2E97"/>
    <w:rsid w:val="004B4B47"/>
    <w:rsid w:val="004B6870"/>
    <w:rsid w:val="004C13C5"/>
    <w:rsid w:val="004C34A7"/>
    <w:rsid w:val="004D1120"/>
    <w:rsid w:val="004D42AD"/>
    <w:rsid w:val="004D4B27"/>
    <w:rsid w:val="004D4B30"/>
    <w:rsid w:val="004D7520"/>
    <w:rsid w:val="004D779B"/>
    <w:rsid w:val="004E5307"/>
    <w:rsid w:val="004E60C4"/>
    <w:rsid w:val="004F5CB5"/>
    <w:rsid w:val="004F7B62"/>
    <w:rsid w:val="005007B9"/>
    <w:rsid w:val="0050314B"/>
    <w:rsid w:val="00504A3B"/>
    <w:rsid w:val="00513C00"/>
    <w:rsid w:val="00513F64"/>
    <w:rsid w:val="00515B11"/>
    <w:rsid w:val="00515BB8"/>
    <w:rsid w:val="005167BF"/>
    <w:rsid w:val="00523748"/>
    <w:rsid w:val="00523C27"/>
    <w:rsid w:val="0052423A"/>
    <w:rsid w:val="00524651"/>
    <w:rsid w:val="005269AC"/>
    <w:rsid w:val="00541CD5"/>
    <w:rsid w:val="005436BE"/>
    <w:rsid w:val="00545FAC"/>
    <w:rsid w:val="00552289"/>
    <w:rsid w:val="005563D0"/>
    <w:rsid w:val="0056345D"/>
    <w:rsid w:val="00564AF3"/>
    <w:rsid w:val="00565A55"/>
    <w:rsid w:val="00566220"/>
    <w:rsid w:val="0057332D"/>
    <w:rsid w:val="005801EF"/>
    <w:rsid w:val="0058270D"/>
    <w:rsid w:val="00582853"/>
    <w:rsid w:val="0058514A"/>
    <w:rsid w:val="00585B5D"/>
    <w:rsid w:val="00586443"/>
    <w:rsid w:val="005908FC"/>
    <w:rsid w:val="0059648D"/>
    <w:rsid w:val="005A0E57"/>
    <w:rsid w:val="005A3E62"/>
    <w:rsid w:val="005A4B17"/>
    <w:rsid w:val="005B03F9"/>
    <w:rsid w:val="005B6ED5"/>
    <w:rsid w:val="005B6FB2"/>
    <w:rsid w:val="005C2014"/>
    <w:rsid w:val="005C3E71"/>
    <w:rsid w:val="005C4872"/>
    <w:rsid w:val="005D02AE"/>
    <w:rsid w:val="005D3541"/>
    <w:rsid w:val="005E3992"/>
    <w:rsid w:val="005E7729"/>
    <w:rsid w:val="005F42E6"/>
    <w:rsid w:val="005F5E93"/>
    <w:rsid w:val="00604FBB"/>
    <w:rsid w:val="006056A4"/>
    <w:rsid w:val="00606B0D"/>
    <w:rsid w:val="00615E3B"/>
    <w:rsid w:val="00627FF8"/>
    <w:rsid w:val="00630E2A"/>
    <w:rsid w:val="00630EF7"/>
    <w:rsid w:val="00632255"/>
    <w:rsid w:val="00633037"/>
    <w:rsid w:val="006420FE"/>
    <w:rsid w:val="006421B4"/>
    <w:rsid w:val="00647752"/>
    <w:rsid w:val="00650398"/>
    <w:rsid w:val="00650EC5"/>
    <w:rsid w:val="00651230"/>
    <w:rsid w:val="00652D3C"/>
    <w:rsid w:val="0065776A"/>
    <w:rsid w:val="00663604"/>
    <w:rsid w:val="00665C11"/>
    <w:rsid w:val="00666F35"/>
    <w:rsid w:val="00671866"/>
    <w:rsid w:val="00671981"/>
    <w:rsid w:val="00681454"/>
    <w:rsid w:val="0068415F"/>
    <w:rsid w:val="006879AB"/>
    <w:rsid w:val="006905D2"/>
    <w:rsid w:val="00694BBF"/>
    <w:rsid w:val="00696EB6"/>
    <w:rsid w:val="006B0A0D"/>
    <w:rsid w:val="006B1455"/>
    <w:rsid w:val="006B2600"/>
    <w:rsid w:val="006B2810"/>
    <w:rsid w:val="006B2A86"/>
    <w:rsid w:val="006B3942"/>
    <w:rsid w:val="006B416C"/>
    <w:rsid w:val="006B5830"/>
    <w:rsid w:val="006B5DB7"/>
    <w:rsid w:val="006B6BFD"/>
    <w:rsid w:val="006C096F"/>
    <w:rsid w:val="006C278F"/>
    <w:rsid w:val="006C3380"/>
    <w:rsid w:val="006D67F5"/>
    <w:rsid w:val="006D6CB3"/>
    <w:rsid w:val="006D711D"/>
    <w:rsid w:val="006D7878"/>
    <w:rsid w:val="006E74B9"/>
    <w:rsid w:val="007019AF"/>
    <w:rsid w:val="00704358"/>
    <w:rsid w:val="007062F5"/>
    <w:rsid w:val="00707C40"/>
    <w:rsid w:val="00712C73"/>
    <w:rsid w:val="00714B57"/>
    <w:rsid w:val="007161B7"/>
    <w:rsid w:val="00725A01"/>
    <w:rsid w:val="007303E9"/>
    <w:rsid w:val="0073340A"/>
    <w:rsid w:val="00733FFB"/>
    <w:rsid w:val="0074025A"/>
    <w:rsid w:val="007418F5"/>
    <w:rsid w:val="0074282B"/>
    <w:rsid w:val="0074341E"/>
    <w:rsid w:val="007444F7"/>
    <w:rsid w:val="00746005"/>
    <w:rsid w:val="00747108"/>
    <w:rsid w:val="00747164"/>
    <w:rsid w:val="00750855"/>
    <w:rsid w:val="007528AC"/>
    <w:rsid w:val="0075480F"/>
    <w:rsid w:val="00755344"/>
    <w:rsid w:val="007562B8"/>
    <w:rsid w:val="00757174"/>
    <w:rsid w:val="0076553D"/>
    <w:rsid w:val="00765B06"/>
    <w:rsid w:val="00767D8C"/>
    <w:rsid w:val="00772A23"/>
    <w:rsid w:val="00772E61"/>
    <w:rsid w:val="0078167B"/>
    <w:rsid w:val="00781C8D"/>
    <w:rsid w:val="00782D97"/>
    <w:rsid w:val="00786B25"/>
    <w:rsid w:val="00787A76"/>
    <w:rsid w:val="00793876"/>
    <w:rsid w:val="00793E9F"/>
    <w:rsid w:val="007A0529"/>
    <w:rsid w:val="007A1E3D"/>
    <w:rsid w:val="007A2DDC"/>
    <w:rsid w:val="007B1010"/>
    <w:rsid w:val="007B1CD1"/>
    <w:rsid w:val="007B7EEE"/>
    <w:rsid w:val="007C1BA0"/>
    <w:rsid w:val="007C4429"/>
    <w:rsid w:val="007C4DE6"/>
    <w:rsid w:val="007D1A70"/>
    <w:rsid w:val="007D2975"/>
    <w:rsid w:val="007D3591"/>
    <w:rsid w:val="007D4BCF"/>
    <w:rsid w:val="007E1739"/>
    <w:rsid w:val="007E1FA9"/>
    <w:rsid w:val="007E6858"/>
    <w:rsid w:val="007F3F21"/>
    <w:rsid w:val="00803751"/>
    <w:rsid w:val="0080412E"/>
    <w:rsid w:val="008116C8"/>
    <w:rsid w:val="00812833"/>
    <w:rsid w:val="00813D29"/>
    <w:rsid w:val="0081476A"/>
    <w:rsid w:val="0081583F"/>
    <w:rsid w:val="0082786B"/>
    <w:rsid w:val="00827CE3"/>
    <w:rsid w:val="00832A32"/>
    <w:rsid w:val="00833806"/>
    <w:rsid w:val="00833928"/>
    <w:rsid w:val="00834DB5"/>
    <w:rsid w:val="0083620C"/>
    <w:rsid w:val="008429B1"/>
    <w:rsid w:val="00844423"/>
    <w:rsid w:val="00846B3A"/>
    <w:rsid w:val="00846DD8"/>
    <w:rsid w:val="00850783"/>
    <w:rsid w:val="0086013E"/>
    <w:rsid w:val="008602A8"/>
    <w:rsid w:val="008612BE"/>
    <w:rsid w:val="00863E1C"/>
    <w:rsid w:val="008801D3"/>
    <w:rsid w:val="008824D1"/>
    <w:rsid w:val="00887322"/>
    <w:rsid w:val="00891E63"/>
    <w:rsid w:val="00896050"/>
    <w:rsid w:val="00897588"/>
    <w:rsid w:val="008A0B2C"/>
    <w:rsid w:val="008A4496"/>
    <w:rsid w:val="008A4578"/>
    <w:rsid w:val="008A4959"/>
    <w:rsid w:val="008A7F5A"/>
    <w:rsid w:val="008B2E55"/>
    <w:rsid w:val="008B38CC"/>
    <w:rsid w:val="008B6109"/>
    <w:rsid w:val="008B6754"/>
    <w:rsid w:val="008B6C7D"/>
    <w:rsid w:val="008C1984"/>
    <w:rsid w:val="008C2079"/>
    <w:rsid w:val="008C53CF"/>
    <w:rsid w:val="008C5676"/>
    <w:rsid w:val="008D00DA"/>
    <w:rsid w:val="008D2994"/>
    <w:rsid w:val="008D41E2"/>
    <w:rsid w:val="008E1354"/>
    <w:rsid w:val="008E3CB2"/>
    <w:rsid w:val="008E4D19"/>
    <w:rsid w:val="008E5F84"/>
    <w:rsid w:val="008E5FBD"/>
    <w:rsid w:val="008E791B"/>
    <w:rsid w:val="008F2176"/>
    <w:rsid w:val="008F71B9"/>
    <w:rsid w:val="00902602"/>
    <w:rsid w:val="00902A66"/>
    <w:rsid w:val="00904B8B"/>
    <w:rsid w:val="00905970"/>
    <w:rsid w:val="00907B7F"/>
    <w:rsid w:val="00907CB5"/>
    <w:rsid w:val="00907CFF"/>
    <w:rsid w:val="009114FF"/>
    <w:rsid w:val="009123C7"/>
    <w:rsid w:val="009149EB"/>
    <w:rsid w:val="0093086F"/>
    <w:rsid w:val="00931203"/>
    <w:rsid w:val="00931724"/>
    <w:rsid w:val="00942FEB"/>
    <w:rsid w:val="00946224"/>
    <w:rsid w:val="00946974"/>
    <w:rsid w:val="00955F32"/>
    <w:rsid w:val="009565A6"/>
    <w:rsid w:val="0096451B"/>
    <w:rsid w:val="00972E33"/>
    <w:rsid w:val="0098124B"/>
    <w:rsid w:val="00987504"/>
    <w:rsid w:val="00992028"/>
    <w:rsid w:val="00993136"/>
    <w:rsid w:val="00996914"/>
    <w:rsid w:val="009A2554"/>
    <w:rsid w:val="009A283A"/>
    <w:rsid w:val="009A4300"/>
    <w:rsid w:val="009A46BE"/>
    <w:rsid w:val="009A5D87"/>
    <w:rsid w:val="009A70DF"/>
    <w:rsid w:val="009B0462"/>
    <w:rsid w:val="009B0D74"/>
    <w:rsid w:val="009B1D91"/>
    <w:rsid w:val="009B21B5"/>
    <w:rsid w:val="009B3D7A"/>
    <w:rsid w:val="009B675F"/>
    <w:rsid w:val="009B7831"/>
    <w:rsid w:val="009B792F"/>
    <w:rsid w:val="009C2957"/>
    <w:rsid w:val="009C3728"/>
    <w:rsid w:val="009C3DA4"/>
    <w:rsid w:val="009C7B5D"/>
    <w:rsid w:val="009D7C19"/>
    <w:rsid w:val="009E1A65"/>
    <w:rsid w:val="009E338B"/>
    <w:rsid w:val="009E47C7"/>
    <w:rsid w:val="009E686A"/>
    <w:rsid w:val="009E78C4"/>
    <w:rsid w:val="009E7919"/>
    <w:rsid w:val="009E7F83"/>
    <w:rsid w:val="00A01915"/>
    <w:rsid w:val="00A0384B"/>
    <w:rsid w:val="00A07350"/>
    <w:rsid w:val="00A076FD"/>
    <w:rsid w:val="00A11F0C"/>
    <w:rsid w:val="00A123B2"/>
    <w:rsid w:val="00A12898"/>
    <w:rsid w:val="00A1598D"/>
    <w:rsid w:val="00A16760"/>
    <w:rsid w:val="00A228BB"/>
    <w:rsid w:val="00A257AE"/>
    <w:rsid w:val="00A26939"/>
    <w:rsid w:val="00A302B7"/>
    <w:rsid w:val="00A322F8"/>
    <w:rsid w:val="00A42A83"/>
    <w:rsid w:val="00A445F5"/>
    <w:rsid w:val="00A44910"/>
    <w:rsid w:val="00A50502"/>
    <w:rsid w:val="00A561BD"/>
    <w:rsid w:val="00A62CCB"/>
    <w:rsid w:val="00A65C1B"/>
    <w:rsid w:val="00A672F2"/>
    <w:rsid w:val="00A800F5"/>
    <w:rsid w:val="00A82946"/>
    <w:rsid w:val="00A85467"/>
    <w:rsid w:val="00A90410"/>
    <w:rsid w:val="00A92913"/>
    <w:rsid w:val="00A94EFD"/>
    <w:rsid w:val="00A9784B"/>
    <w:rsid w:val="00AA2F09"/>
    <w:rsid w:val="00AA3B44"/>
    <w:rsid w:val="00AA5C41"/>
    <w:rsid w:val="00AB0E1A"/>
    <w:rsid w:val="00AC2899"/>
    <w:rsid w:val="00AC4EF1"/>
    <w:rsid w:val="00AD3A1A"/>
    <w:rsid w:val="00AD4B45"/>
    <w:rsid w:val="00AE12BF"/>
    <w:rsid w:val="00AE1D93"/>
    <w:rsid w:val="00AE2AF1"/>
    <w:rsid w:val="00AE6047"/>
    <w:rsid w:val="00AE60AD"/>
    <w:rsid w:val="00AF32BE"/>
    <w:rsid w:val="00AF3D46"/>
    <w:rsid w:val="00B048AF"/>
    <w:rsid w:val="00B0713F"/>
    <w:rsid w:val="00B07CF5"/>
    <w:rsid w:val="00B14B29"/>
    <w:rsid w:val="00B16DC3"/>
    <w:rsid w:val="00B21CC3"/>
    <w:rsid w:val="00B25DBB"/>
    <w:rsid w:val="00B26A11"/>
    <w:rsid w:val="00B320FB"/>
    <w:rsid w:val="00B33835"/>
    <w:rsid w:val="00B3433C"/>
    <w:rsid w:val="00B37ADB"/>
    <w:rsid w:val="00B42C4E"/>
    <w:rsid w:val="00B4405C"/>
    <w:rsid w:val="00B507A1"/>
    <w:rsid w:val="00B52F03"/>
    <w:rsid w:val="00B53C3F"/>
    <w:rsid w:val="00B544C1"/>
    <w:rsid w:val="00B55FEE"/>
    <w:rsid w:val="00B57857"/>
    <w:rsid w:val="00B646AA"/>
    <w:rsid w:val="00B64936"/>
    <w:rsid w:val="00B67E94"/>
    <w:rsid w:val="00B70B5F"/>
    <w:rsid w:val="00B7150F"/>
    <w:rsid w:val="00B73936"/>
    <w:rsid w:val="00B75C3E"/>
    <w:rsid w:val="00B77B8C"/>
    <w:rsid w:val="00B802D5"/>
    <w:rsid w:val="00BA09ED"/>
    <w:rsid w:val="00BA1A64"/>
    <w:rsid w:val="00BA287B"/>
    <w:rsid w:val="00BA6895"/>
    <w:rsid w:val="00BB1385"/>
    <w:rsid w:val="00BB3B27"/>
    <w:rsid w:val="00BB4E40"/>
    <w:rsid w:val="00BC1C35"/>
    <w:rsid w:val="00BC222F"/>
    <w:rsid w:val="00BC40C8"/>
    <w:rsid w:val="00BD62CA"/>
    <w:rsid w:val="00BE4AE3"/>
    <w:rsid w:val="00BE6211"/>
    <w:rsid w:val="00BF0FAE"/>
    <w:rsid w:val="00BF1450"/>
    <w:rsid w:val="00C058FA"/>
    <w:rsid w:val="00C1037D"/>
    <w:rsid w:val="00C11188"/>
    <w:rsid w:val="00C1395F"/>
    <w:rsid w:val="00C16A1B"/>
    <w:rsid w:val="00C1771B"/>
    <w:rsid w:val="00C222B3"/>
    <w:rsid w:val="00C304BC"/>
    <w:rsid w:val="00C33520"/>
    <w:rsid w:val="00C35E84"/>
    <w:rsid w:val="00C3711C"/>
    <w:rsid w:val="00C37CFD"/>
    <w:rsid w:val="00C4003E"/>
    <w:rsid w:val="00C42F8D"/>
    <w:rsid w:val="00C462D4"/>
    <w:rsid w:val="00C47255"/>
    <w:rsid w:val="00C4765C"/>
    <w:rsid w:val="00C53619"/>
    <w:rsid w:val="00C57527"/>
    <w:rsid w:val="00C60809"/>
    <w:rsid w:val="00C61B2E"/>
    <w:rsid w:val="00C62B83"/>
    <w:rsid w:val="00C63785"/>
    <w:rsid w:val="00C65BE0"/>
    <w:rsid w:val="00C66419"/>
    <w:rsid w:val="00C66D2A"/>
    <w:rsid w:val="00C7260F"/>
    <w:rsid w:val="00C72707"/>
    <w:rsid w:val="00C73D97"/>
    <w:rsid w:val="00C7561A"/>
    <w:rsid w:val="00C7649E"/>
    <w:rsid w:val="00C83C1F"/>
    <w:rsid w:val="00C861BF"/>
    <w:rsid w:val="00C86B80"/>
    <w:rsid w:val="00C91856"/>
    <w:rsid w:val="00CA06E9"/>
    <w:rsid w:val="00CB0B36"/>
    <w:rsid w:val="00CB2153"/>
    <w:rsid w:val="00CB2575"/>
    <w:rsid w:val="00CB262A"/>
    <w:rsid w:val="00CB33E6"/>
    <w:rsid w:val="00CC0779"/>
    <w:rsid w:val="00CC1FAF"/>
    <w:rsid w:val="00CD29BD"/>
    <w:rsid w:val="00CD42FD"/>
    <w:rsid w:val="00CD44D3"/>
    <w:rsid w:val="00CD49A5"/>
    <w:rsid w:val="00CE4D5B"/>
    <w:rsid w:val="00CE5F3A"/>
    <w:rsid w:val="00CE75ED"/>
    <w:rsid w:val="00CF1FD6"/>
    <w:rsid w:val="00CF3816"/>
    <w:rsid w:val="00CF6153"/>
    <w:rsid w:val="00D01A29"/>
    <w:rsid w:val="00D04BB8"/>
    <w:rsid w:val="00D0568E"/>
    <w:rsid w:val="00D06511"/>
    <w:rsid w:val="00D11DA0"/>
    <w:rsid w:val="00D141EE"/>
    <w:rsid w:val="00D14398"/>
    <w:rsid w:val="00D22109"/>
    <w:rsid w:val="00D235E0"/>
    <w:rsid w:val="00D24DF5"/>
    <w:rsid w:val="00D26A96"/>
    <w:rsid w:val="00D26FF1"/>
    <w:rsid w:val="00D35546"/>
    <w:rsid w:val="00D37808"/>
    <w:rsid w:val="00D426AF"/>
    <w:rsid w:val="00D42C15"/>
    <w:rsid w:val="00D4383E"/>
    <w:rsid w:val="00D44696"/>
    <w:rsid w:val="00D458A7"/>
    <w:rsid w:val="00D469A4"/>
    <w:rsid w:val="00D46B89"/>
    <w:rsid w:val="00D47668"/>
    <w:rsid w:val="00D47BE2"/>
    <w:rsid w:val="00D47E47"/>
    <w:rsid w:val="00D51315"/>
    <w:rsid w:val="00D5191D"/>
    <w:rsid w:val="00D521DE"/>
    <w:rsid w:val="00D557DF"/>
    <w:rsid w:val="00D56EB8"/>
    <w:rsid w:val="00D5712E"/>
    <w:rsid w:val="00D66757"/>
    <w:rsid w:val="00D706D8"/>
    <w:rsid w:val="00D71F1D"/>
    <w:rsid w:val="00D739C5"/>
    <w:rsid w:val="00D7605D"/>
    <w:rsid w:val="00D764E7"/>
    <w:rsid w:val="00D767D8"/>
    <w:rsid w:val="00D80635"/>
    <w:rsid w:val="00D84AF3"/>
    <w:rsid w:val="00D859C5"/>
    <w:rsid w:val="00D87456"/>
    <w:rsid w:val="00D87E86"/>
    <w:rsid w:val="00D9134C"/>
    <w:rsid w:val="00D91585"/>
    <w:rsid w:val="00DB326F"/>
    <w:rsid w:val="00DB402A"/>
    <w:rsid w:val="00DB4FBB"/>
    <w:rsid w:val="00DB5B39"/>
    <w:rsid w:val="00DB5BE4"/>
    <w:rsid w:val="00DB6EA4"/>
    <w:rsid w:val="00DC0AB5"/>
    <w:rsid w:val="00DC2658"/>
    <w:rsid w:val="00DC5B14"/>
    <w:rsid w:val="00DC77C9"/>
    <w:rsid w:val="00DD69F4"/>
    <w:rsid w:val="00DD6BF3"/>
    <w:rsid w:val="00DD72FD"/>
    <w:rsid w:val="00DF1573"/>
    <w:rsid w:val="00DF39F4"/>
    <w:rsid w:val="00DF68BD"/>
    <w:rsid w:val="00E00829"/>
    <w:rsid w:val="00E01BBC"/>
    <w:rsid w:val="00E04DB1"/>
    <w:rsid w:val="00E05E33"/>
    <w:rsid w:val="00E07808"/>
    <w:rsid w:val="00E114BB"/>
    <w:rsid w:val="00E11FC4"/>
    <w:rsid w:val="00E14BA9"/>
    <w:rsid w:val="00E21927"/>
    <w:rsid w:val="00E22BB5"/>
    <w:rsid w:val="00E231B2"/>
    <w:rsid w:val="00E23CF8"/>
    <w:rsid w:val="00E2544D"/>
    <w:rsid w:val="00E25ACE"/>
    <w:rsid w:val="00E31388"/>
    <w:rsid w:val="00E318AB"/>
    <w:rsid w:val="00E3249E"/>
    <w:rsid w:val="00E333F6"/>
    <w:rsid w:val="00E36874"/>
    <w:rsid w:val="00E414CF"/>
    <w:rsid w:val="00E42CE1"/>
    <w:rsid w:val="00E4483C"/>
    <w:rsid w:val="00E50536"/>
    <w:rsid w:val="00E53807"/>
    <w:rsid w:val="00E53D3F"/>
    <w:rsid w:val="00E57756"/>
    <w:rsid w:val="00E61342"/>
    <w:rsid w:val="00E6139F"/>
    <w:rsid w:val="00E64B01"/>
    <w:rsid w:val="00E70012"/>
    <w:rsid w:val="00E70121"/>
    <w:rsid w:val="00E7018E"/>
    <w:rsid w:val="00E8038D"/>
    <w:rsid w:val="00E81A9D"/>
    <w:rsid w:val="00E81D32"/>
    <w:rsid w:val="00E85AD4"/>
    <w:rsid w:val="00E87710"/>
    <w:rsid w:val="00E93291"/>
    <w:rsid w:val="00E9375D"/>
    <w:rsid w:val="00E9380A"/>
    <w:rsid w:val="00EA046A"/>
    <w:rsid w:val="00EA7A84"/>
    <w:rsid w:val="00EB0417"/>
    <w:rsid w:val="00EB0A15"/>
    <w:rsid w:val="00EB19B5"/>
    <w:rsid w:val="00EB203C"/>
    <w:rsid w:val="00EB512F"/>
    <w:rsid w:val="00EC4397"/>
    <w:rsid w:val="00EC70A6"/>
    <w:rsid w:val="00EC735B"/>
    <w:rsid w:val="00ED1C96"/>
    <w:rsid w:val="00ED5E24"/>
    <w:rsid w:val="00EE1863"/>
    <w:rsid w:val="00EE1A0C"/>
    <w:rsid w:val="00EE28A6"/>
    <w:rsid w:val="00EE2C97"/>
    <w:rsid w:val="00EE44C0"/>
    <w:rsid w:val="00EF0929"/>
    <w:rsid w:val="00EF4095"/>
    <w:rsid w:val="00EF435D"/>
    <w:rsid w:val="00EF6B08"/>
    <w:rsid w:val="00F014C7"/>
    <w:rsid w:val="00F02443"/>
    <w:rsid w:val="00F03091"/>
    <w:rsid w:val="00F0704A"/>
    <w:rsid w:val="00F1140C"/>
    <w:rsid w:val="00F2426C"/>
    <w:rsid w:val="00F2442F"/>
    <w:rsid w:val="00F3036E"/>
    <w:rsid w:val="00F30945"/>
    <w:rsid w:val="00F33C36"/>
    <w:rsid w:val="00F3604E"/>
    <w:rsid w:val="00F43018"/>
    <w:rsid w:val="00F459A4"/>
    <w:rsid w:val="00F5095E"/>
    <w:rsid w:val="00F547DD"/>
    <w:rsid w:val="00F54E32"/>
    <w:rsid w:val="00F575D6"/>
    <w:rsid w:val="00F601B8"/>
    <w:rsid w:val="00F60759"/>
    <w:rsid w:val="00F64D3F"/>
    <w:rsid w:val="00F6646F"/>
    <w:rsid w:val="00F671BE"/>
    <w:rsid w:val="00F6768D"/>
    <w:rsid w:val="00F71BE9"/>
    <w:rsid w:val="00F77F9D"/>
    <w:rsid w:val="00F8156C"/>
    <w:rsid w:val="00F83426"/>
    <w:rsid w:val="00F83FDA"/>
    <w:rsid w:val="00F8713F"/>
    <w:rsid w:val="00F911D7"/>
    <w:rsid w:val="00F9604F"/>
    <w:rsid w:val="00FA01EF"/>
    <w:rsid w:val="00FA16CF"/>
    <w:rsid w:val="00FA2F00"/>
    <w:rsid w:val="00FA3F67"/>
    <w:rsid w:val="00FA7B0A"/>
    <w:rsid w:val="00FB0747"/>
    <w:rsid w:val="00FB0AE6"/>
    <w:rsid w:val="00FB4D89"/>
    <w:rsid w:val="00FC0CB0"/>
    <w:rsid w:val="00FC2131"/>
    <w:rsid w:val="00FC59F8"/>
    <w:rsid w:val="00FC5A56"/>
    <w:rsid w:val="00FC5F87"/>
    <w:rsid w:val="00FD12D5"/>
    <w:rsid w:val="00FD1FC1"/>
    <w:rsid w:val="00FD43AB"/>
    <w:rsid w:val="00FD4829"/>
    <w:rsid w:val="00FE20AE"/>
    <w:rsid w:val="00FE2D9B"/>
    <w:rsid w:val="00FE45A7"/>
    <w:rsid w:val="00FF11BD"/>
    <w:rsid w:val="00FF3ED6"/>
    <w:rsid w:val="00FF6273"/>
    <w:rsid w:val="00FF652C"/>
    <w:rsid w:val="00FF7E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307"/>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832"/>
    <w:pPr>
      <w:tabs>
        <w:tab w:val="center" w:pos="4153"/>
        <w:tab w:val="right" w:pos="83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67832"/>
  </w:style>
  <w:style w:type="paragraph" w:styleId="Footer">
    <w:name w:val="footer"/>
    <w:basedOn w:val="Normal"/>
    <w:link w:val="FooterChar"/>
    <w:uiPriority w:val="99"/>
    <w:unhideWhenUsed/>
    <w:rsid w:val="00467832"/>
    <w:pPr>
      <w:tabs>
        <w:tab w:val="center" w:pos="4153"/>
        <w:tab w:val="right" w:pos="83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67832"/>
  </w:style>
  <w:style w:type="paragraph" w:customStyle="1" w:styleId="EndNoteBibliographyTitle">
    <w:name w:val="EndNote Bibliography Title"/>
    <w:basedOn w:val="Normal"/>
    <w:link w:val="EndNoteBibliographyTitleChar"/>
    <w:rsid w:val="00472B40"/>
    <w:pPr>
      <w:spacing w:line="480" w:lineRule="auto"/>
      <w:jc w:val="center"/>
    </w:pPr>
    <w:rPr>
      <w:rFonts w:eastAsiaTheme="minorHAnsi"/>
      <w:szCs w:val="22"/>
    </w:rPr>
  </w:style>
  <w:style w:type="character" w:customStyle="1" w:styleId="EndNoteBibliographyTitleChar">
    <w:name w:val="EndNote Bibliography Title Char"/>
    <w:basedOn w:val="DefaultParagraphFont"/>
    <w:link w:val="EndNoteBibliographyTitle"/>
    <w:rsid w:val="00472B40"/>
    <w:rPr>
      <w:rFonts w:ascii="Times New Roman" w:hAnsi="Times New Roman" w:cs="Times New Roman"/>
      <w:sz w:val="24"/>
    </w:rPr>
  </w:style>
  <w:style w:type="paragraph" w:customStyle="1" w:styleId="EndNoteBibliography">
    <w:name w:val="EndNote Bibliography"/>
    <w:basedOn w:val="Normal"/>
    <w:link w:val="EndNoteBibliographyChar"/>
    <w:rsid w:val="00472B40"/>
    <w:pPr>
      <w:spacing w:line="480" w:lineRule="auto"/>
    </w:pPr>
    <w:rPr>
      <w:rFonts w:eastAsiaTheme="minorHAnsi"/>
      <w:szCs w:val="22"/>
    </w:rPr>
  </w:style>
  <w:style w:type="character" w:customStyle="1" w:styleId="EndNoteBibliographyChar">
    <w:name w:val="EndNote Bibliography Char"/>
    <w:basedOn w:val="DefaultParagraphFont"/>
    <w:link w:val="EndNoteBibliography"/>
    <w:rsid w:val="00472B40"/>
    <w:rPr>
      <w:rFonts w:ascii="Times New Roman" w:hAnsi="Times New Roman" w:cs="Times New Roman"/>
      <w:sz w:val="24"/>
    </w:rPr>
  </w:style>
  <w:style w:type="character" w:styleId="CommentReference">
    <w:name w:val="annotation reference"/>
    <w:basedOn w:val="DefaultParagraphFont"/>
    <w:uiPriority w:val="99"/>
    <w:semiHidden/>
    <w:unhideWhenUsed/>
    <w:rsid w:val="007D1A70"/>
    <w:rPr>
      <w:sz w:val="16"/>
      <w:szCs w:val="16"/>
    </w:rPr>
  </w:style>
  <w:style w:type="paragraph" w:styleId="CommentText">
    <w:name w:val="annotation text"/>
    <w:basedOn w:val="Normal"/>
    <w:link w:val="CommentTextChar"/>
    <w:uiPriority w:val="99"/>
    <w:unhideWhenUsed/>
    <w:rsid w:val="007D1A7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D1A70"/>
    <w:rPr>
      <w:sz w:val="20"/>
      <w:szCs w:val="20"/>
    </w:rPr>
  </w:style>
  <w:style w:type="paragraph" w:styleId="CommentSubject">
    <w:name w:val="annotation subject"/>
    <w:basedOn w:val="CommentText"/>
    <w:next w:val="CommentText"/>
    <w:link w:val="CommentSubjectChar"/>
    <w:uiPriority w:val="99"/>
    <w:semiHidden/>
    <w:unhideWhenUsed/>
    <w:rsid w:val="007D1A70"/>
    <w:rPr>
      <w:b/>
      <w:bCs/>
    </w:rPr>
  </w:style>
  <w:style w:type="character" w:customStyle="1" w:styleId="CommentSubjectChar">
    <w:name w:val="Comment Subject Char"/>
    <w:basedOn w:val="CommentTextChar"/>
    <w:link w:val="CommentSubject"/>
    <w:uiPriority w:val="99"/>
    <w:semiHidden/>
    <w:rsid w:val="007D1A70"/>
    <w:rPr>
      <w:b/>
      <w:bCs/>
      <w:sz w:val="20"/>
      <w:szCs w:val="20"/>
    </w:rPr>
  </w:style>
  <w:style w:type="paragraph" w:customStyle="1" w:styleId="Default">
    <w:name w:val="Default"/>
    <w:rsid w:val="00384F38"/>
    <w:pPr>
      <w:autoSpaceDE w:val="0"/>
      <w:autoSpaceDN w:val="0"/>
      <w:adjustRightInd w:val="0"/>
      <w:spacing w:line="240" w:lineRule="auto"/>
    </w:pPr>
    <w:rPr>
      <w:rFonts w:ascii="Charis SIL" w:hAnsi="Charis SIL" w:cs="Charis SIL"/>
      <w:color w:val="000000"/>
      <w:sz w:val="24"/>
      <w:szCs w:val="24"/>
    </w:rPr>
  </w:style>
  <w:style w:type="paragraph" w:styleId="Revision">
    <w:name w:val="Revision"/>
    <w:hidden/>
    <w:uiPriority w:val="99"/>
    <w:semiHidden/>
    <w:rsid w:val="00E42CE1"/>
    <w:pPr>
      <w:spacing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2D7D"/>
    <w:rPr>
      <w:color w:val="0563C1" w:themeColor="hyperlink"/>
      <w:u w:val="single"/>
    </w:rPr>
  </w:style>
  <w:style w:type="character" w:customStyle="1" w:styleId="1">
    <w:name w:val="אזכור לא מזוהה1"/>
    <w:basedOn w:val="DefaultParagraphFont"/>
    <w:uiPriority w:val="99"/>
    <w:semiHidden/>
    <w:unhideWhenUsed/>
    <w:rsid w:val="00312D7D"/>
    <w:rPr>
      <w:color w:val="605E5C"/>
      <w:shd w:val="clear" w:color="auto" w:fill="E1DFDD"/>
    </w:rPr>
  </w:style>
  <w:style w:type="character" w:customStyle="1" w:styleId="cf01">
    <w:name w:val="cf01"/>
    <w:basedOn w:val="DefaultParagraphFont"/>
    <w:rsid w:val="002562FF"/>
    <w:rPr>
      <w:rFonts w:ascii="Tahoma" w:hAnsi="Tahoma" w:cs="Tahoma" w:hint="default"/>
      <w:sz w:val="18"/>
      <w:szCs w:val="18"/>
    </w:rPr>
  </w:style>
  <w:style w:type="character" w:customStyle="1" w:styleId="text">
    <w:name w:val="text"/>
    <w:basedOn w:val="DefaultParagraphFont"/>
    <w:rsid w:val="00D84AF3"/>
  </w:style>
  <w:style w:type="character" w:customStyle="1" w:styleId="author-ref">
    <w:name w:val="author-ref"/>
    <w:basedOn w:val="DefaultParagraphFont"/>
    <w:rsid w:val="00D84AF3"/>
  </w:style>
  <w:style w:type="character" w:styleId="Strong">
    <w:name w:val="Strong"/>
    <w:basedOn w:val="DefaultParagraphFont"/>
    <w:uiPriority w:val="22"/>
    <w:qFormat/>
    <w:rsid w:val="000E6F29"/>
    <w:rPr>
      <w:b/>
      <w:bCs/>
    </w:rPr>
  </w:style>
  <w:style w:type="paragraph" w:styleId="BalloonText">
    <w:name w:val="Balloon Text"/>
    <w:basedOn w:val="Normal"/>
    <w:link w:val="BalloonTextChar"/>
    <w:uiPriority w:val="99"/>
    <w:semiHidden/>
    <w:unhideWhenUsed/>
    <w:rsid w:val="00746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005"/>
    <w:rPr>
      <w:rFonts w:ascii="Segoe UI" w:eastAsia="Times New Roman" w:hAnsi="Segoe UI" w:cs="Segoe UI"/>
      <w:sz w:val="18"/>
      <w:szCs w:val="18"/>
    </w:rPr>
  </w:style>
  <w:style w:type="character" w:styleId="Emphasis">
    <w:name w:val="Emphasis"/>
    <w:basedOn w:val="DefaultParagraphFont"/>
    <w:uiPriority w:val="20"/>
    <w:qFormat/>
    <w:rsid w:val="00671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037">
      <w:bodyDiv w:val="1"/>
      <w:marLeft w:val="0"/>
      <w:marRight w:val="0"/>
      <w:marTop w:val="0"/>
      <w:marBottom w:val="0"/>
      <w:divBdr>
        <w:top w:val="none" w:sz="0" w:space="0" w:color="auto"/>
        <w:left w:val="none" w:sz="0" w:space="0" w:color="auto"/>
        <w:bottom w:val="none" w:sz="0" w:space="0" w:color="auto"/>
        <w:right w:val="none" w:sz="0" w:space="0" w:color="auto"/>
      </w:divBdr>
    </w:div>
    <w:div w:id="28454990">
      <w:bodyDiv w:val="1"/>
      <w:marLeft w:val="0"/>
      <w:marRight w:val="0"/>
      <w:marTop w:val="0"/>
      <w:marBottom w:val="0"/>
      <w:divBdr>
        <w:top w:val="none" w:sz="0" w:space="0" w:color="auto"/>
        <w:left w:val="none" w:sz="0" w:space="0" w:color="auto"/>
        <w:bottom w:val="none" w:sz="0" w:space="0" w:color="auto"/>
        <w:right w:val="none" w:sz="0" w:space="0" w:color="auto"/>
      </w:divBdr>
    </w:div>
    <w:div w:id="29956833">
      <w:bodyDiv w:val="1"/>
      <w:marLeft w:val="0"/>
      <w:marRight w:val="0"/>
      <w:marTop w:val="0"/>
      <w:marBottom w:val="0"/>
      <w:divBdr>
        <w:top w:val="none" w:sz="0" w:space="0" w:color="auto"/>
        <w:left w:val="none" w:sz="0" w:space="0" w:color="auto"/>
        <w:bottom w:val="none" w:sz="0" w:space="0" w:color="auto"/>
        <w:right w:val="none" w:sz="0" w:space="0" w:color="auto"/>
      </w:divBdr>
    </w:div>
    <w:div w:id="59062903">
      <w:bodyDiv w:val="1"/>
      <w:marLeft w:val="0"/>
      <w:marRight w:val="0"/>
      <w:marTop w:val="0"/>
      <w:marBottom w:val="0"/>
      <w:divBdr>
        <w:top w:val="none" w:sz="0" w:space="0" w:color="auto"/>
        <w:left w:val="none" w:sz="0" w:space="0" w:color="auto"/>
        <w:bottom w:val="none" w:sz="0" w:space="0" w:color="auto"/>
        <w:right w:val="none" w:sz="0" w:space="0" w:color="auto"/>
      </w:divBdr>
    </w:div>
    <w:div w:id="70664589">
      <w:bodyDiv w:val="1"/>
      <w:marLeft w:val="0"/>
      <w:marRight w:val="0"/>
      <w:marTop w:val="0"/>
      <w:marBottom w:val="0"/>
      <w:divBdr>
        <w:top w:val="none" w:sz="0" w:space="0" w:color="auto"/>
        <w:left w:val="none" w:sz="0" w:space="0" w:color="auto"/>
        <w:bottom w:val="none" w:sz="0" w:space="0" w:color="auto"/>
        <w:right w:val="none" w:sz="0" w:space="0" w:color="auto"/>
      </w:divBdr>
    </w:div>
    <w:div w:id="76488912">
      <w:bodyDiv w:val="1"/>
      <w:marLeft w:val="0"/>
      <w:marRight w:val="0"/>
      <w:marTop w:val="0"/>
      <w:marBottom w:val="0"/>
      <w:divBdr>
        <w:top w:val="none" w:sz="0" w:space="0" w:color="auto"/>
        <w:left w:val="none" w:sz="0" w:space="0" w:color="auto"/>
        <w:bottom w:val="none" w:sz="0" w:space="0" w:color="auto"/>
        <w:right w:val="none" w:sz="0" w:space="0" w:color="auto"/>
      </w:divBdr>
    </w:div>
    <w:div w:id="205264606">
      <w:bodyDiv w:val="1"/>
      <w:marLeft w:val="0"/>
      <w:marRight w:val="0"/>
      <w:marTop w:val="0"/>
      <w:marBottom w:val="0"/>
      <w:divBdr>
        <w:top w:val="none" w:sz="0" w:space="0" w:color="auto"/>
        <w:left w:val="none" w:sz="0" w:space="0" w:color="auto"/>
        <w:bottom w:val="none" w:sz="0" w:space="0" w:color="auto"/>
        <w:right w:val="none" w:sz="0" w:space="0" w:color="auto"/>
      </w:divBdr>
    </w:div>
    <w:div w:id="323748621">
      <w:bodyDiv w:val="1"/>
      <w:marLeft w:val="0"/>
      <w:marRight w:val="0"/>
      <w:marTop w:val="0"/>
      <w:marBottom w:val="0"/>
      <w:divBdr>
        <w:top w:val="none" w:sz="0" w:space="0" w:color="auto"/>
        <w:left w:val="none" w:sz="0" w:space="0" w:color="auto"/>
        <w:bottom w:val="none" w:sz="0" w:space="0" w:color="auto"/>
        <w:right w:val="none" w:sz="0" w:space="0" w:color="auto"/>
      </w:divBdr>
    </w:div>
    <w:div w:id="342584912">
      <w:bodyDiv w:val="1"/>
      <w:marLeft w:val="0"/>
      <w:marRight w:val="0"/>
      <w:marTop w:val="0"/>
      <w:marBottom w:val="0"/>
      <w:divBdr>
        <w:top w:val="none" w:sz="0" w:space="0" w:color="auto"/>
        <w:left w:val="none" w:sz="0" w:space="0" w:color="auto"/>
        <w:bottom w:val="none" w:sz="0" w:space="0" w:color="auto"/>
        <w:right w:val="none" w:sz="0" w:space="0" w:color="auto"/>
      </w:divBdr>
    </w:div>
    <w:div w:id="387340458">
      <w:bodyDiv w:val="1"/>
      <w:marLeft w:val="0"/>
      <w:marRight w:val="0"/>
      <w:marTop w:val="0"/>
      <w:marBottom w:val="0"/>
      <w:divBdr>
        <w:top w:val="none" w:sz="0" w:space="0" w:color="auto"/>
        <w:left w:val="none" w:sz="0" w:space="0" w:color="auto"/>
        <w:bottom w:val="none" w:sz="0" w:space="0" w:color="auto"/>
        <w:right w:val="none" w:sz="0" w:space="0" w:color="auto"/>
      </w:divBdr>
    </w:div>
    <w:div w:id="464591148">
      <w:bodyDiv w:val="1"/>
      <w:marLeft w:val="0"/>
      <w:marRight w:val="0"/>
      <w:marTop w:val="0"/>
      <w:marBottom w:val="0"/>
      <w:divBdr>
        <w:top w:val="none" w:sz="0" w:space="0" w:color="auto"/>
        <w:left w:val="none" w:sz="0" w:space="0" w:color="auto"/>
        <w:bottom w:val="none" w:sz="0" w:space="0" w:color="auto"/>
        <w:right w:val="none" w:sz="0" w:space="0" w:color="auto"/>
      </w:divBdr>
    </w:div>
    <w:div w:id="506945492">
      <w:bodyDiv w:val="1"/>
      <w:marLeft w:val="0"/>
      <w:marRight w:val="0"/>
      <w:marTop w:val="0"/>
      <w:marBottom w:val="0"/>
      <w:divBdr>
        <w:top w:val="none" w:sz="0" w:space="0" w:color="auto"/>
        <w:left w:val="none" w:sz="0" w:space="0" w:color="auto"/>
        <w:bottom w:val="none" w:sz="0" w:space="0" w:color="auto"/>
        <w:right w:val="none" w:sz="0" w:space="0" w:color="auto"/>
      </w:divBdr>
    </w:div>
    <w:div w:id="592402298">
      <w:bodyDiv w:val="1"/>
      <w:marLeft w:val="0"/>
      <w:marRight w:val="0"/>
      <w:marTop w:val="0"/>
      <w:marBottom w:val="0"/>
      <w:divBdr>
        <w:top w:val="none" w:sz="0" w:space="0" w:color="auto"/>
        <w:left w:val="none" w:sz="0" w:space="0" w:color="auto"/>
        <w:bottom w:val="none" w:sz="0" w:space="0" w:color="auto"/>
        <w:right w:val="none" w:sz="0" w:space="0" w:color="auto"/>
      </w:divBdr>
    </w:div>
    <w:div w:id="632100065">
      <w:bodyDiv w:val="1"/>
      <w:marLeft w:val="0"/>
      <w:marRight w:val="0"/>
      <w:marTop w:val="0"/>
      <w:marBottom w:val="0"/>
      <w:divBdr>
        <w:top w:val="none" w:sz="0" w:space="0" w:color="auto"/>
        <w:left w:val="none" w:sz="0" w:space="0" w:color="auto"/>
        <w:bottom w:val="none" w:sz="0" w:space="0" w:color="auto"/>
        <w:right w:val="none" w:sz="0" w:space="0" w:color="auto"/>
      </w:divBdr>
    </w:div>
    <w:div w:id="655181388">
      <w:bodyDiv w:val="1"/>
      <w:marLeft w:val="0"/>
      <w:marRight w:val="0"/>
      <w:marTop w:val="0"/>
      <w:marBottom w:val="0"/>
      <w:divBdr>
        <w:top w:val="none" w:sz="0" w:space="0" w:color="auto"/>
        <w:left w:val="none" w:sz="0" w:space="0" w:color="auto"/>
        <w:bottom w:val="none" w:sz="0" w:space="0" w:color="auto"/>
        <w:right w:val="none" w:sz="0" w:space="0" w:color="auto"/>
      </w:divBdr>
    </w:div>
    <w:div w:id="720518256">
      <w:bodyDiv w:val="1"/>
      <w:marLeft w:val="0"/>
      <w:marRight w:val="0"/>
      <w:marTop w:val="0"/>
      <w:marBottom w:val="0"/>
      <w:divBdr>
        <w:top w:val="none" w:sz="0" w:space="0" w:color="auto"/>
        <w:left w:val="none" w:sz="0" w:space="0" w:color="auto"/>
        <w:bottom w:val="none" w:sz="0" w:space="0" w:color="auto"/>
        <w:right w:val="none" w:sz="0" w:space="0" w:color="auto"/>
      </w:divBdr>
    </w:div>
    <w:div w:id="737558510">
      <w:bodyDiv w:val="1"/>
      <w:marLeft w:val="0"/>
      <w:marRight w:val="0"/>
      <w:marTop w:val="0"/>
      <w:marBottom w:val="0"/>
      <w:divBdr>
        <w:top w:val="none" w:sz="0" w:space="0" w:color="auto"/>
        <w:left w:val="none" w:sz="0" w:space="0" w:color="auto"/>
        <w:bottom w:val="none" w:sz="0" w:space="0" w:color="auto"/>
        <w:right w:val="none" w:sz="0" w:space="0" w:color="auto"/>
      </w:divBdr>
    </w:div>
    <w:div w:id="762454116">
      <w:bodyDiv w:val="1"/>
      <w:marLeft w:val="0"/>
      <w:marRight w:val="0"/>
      <w:marTop w:val="0"/>
      <w:marBottom w:val="0"/>
      <w:divBdr>
        <w:top w:val="none" w:sz="0" w:space="0" w:color="auto"/>
        <w:left w:val="none" w:sz="0" w:space="0" w:color="auto"/>
        <w:bottom w:val="none" w:sz="0" w:space="0" w:color="auto"/>
        <w:right w:val="none" w:sz="0" w:space="0" w:color="auto"/>
      </w:divBdr>
    </w:div>
    <w:div w:id="770932415">
      <w:bodyDiv w:val="1"/>
      <w:marLeft w:val="0"/>
      <w:marRight w:val="0"/>
      <w:marTop w:val="0"/>
      <w:marBottom w:val="0"/>
      <w:divBdr>
        <w:top w:val="none" w:sz="0" w:space="0" w:color="auto"/>
        <w:left w:val="none" w:sz="0" w:space="0" w:color="auto"/>
        <w:bottom w:val="none" w:sz="0" w:space="0" w:color="auto"/>
        <w:right w:val="none" w:sz="0" w:space="0" w:color="auto"/>
      </w:divBdr>
    </w:div>
    <w:div w:id="787313800">
      <w:bodyDiv w:val="1"/>
      <w:marLeft w:val="0"/>
      <w:marRight w:val="0"/>
      <w:marTop w:val="0"/>
      <w:marBottom w:val="0"/>
      <w:divBdr>
        <w:top w:val="none" w:sz="0" w:space="0" w:color="auto"/>
        <w:left w:val="none" w:sz="0" w:space="0" w:color="auto"/>
        <w:bottom w:val="none" w:sz="0" w:space="0" w:color="auto"/>
        <w:right w:val="none" w:sz="0" w:space="0" w:color="auto"/>
      </w:divBdr>
    </w:div>
    <w:div w:id="818691942">
      <w:bodyDiv w:val="1"/>
      <w:marLeft w:val="0"/>
      <w:marRight w:val="0"/>
      <w:marTop w:val="0"/>
      <w:marBottom w:val="0"/>
      <w:divBdr>
        <w:top w:val="none" w:sz="0" w:space="0" w:color="auto"/>
        <w:left w:val="none" w:sz="0" w:space="0" w:color="auto"/>
        <w:bottom w:val="none" w:sz="0" w:space="0" w:color="auto"/>
        <w:right w:val="none" w:sz="0" w:space="0" w:color="auto"/>
      </w:divBdr>
    </w:div>
    <w:div w:id="878778484">
      <w:bodyDiv w:val="1"/>
      <w:marLeft w:val="0"/>
      <w:marRight w:val="0"/>
      <w:marTop w:val="0"/>
      <w:marBottom w:val="0"/>
      <w:divBdr>
        <w:top w:val="none" w:sz="0" w:space="0" w:color="auto"/>
        <w:left w:val="none" w:sz="0" w:space="0" w:color="auto"/>
        <w:bottom w:val="none" w:sz="0" w:space="0" w:color="auto"/>
        <w:right w:val="none" w:sz="0" w:space="0" w:color="auto"/>
      </w:divBdr>
    </w:div>
    <w:div w:id="927690326">
      <w:bodyDiv w:val="1"/>
      <w:marLeft w:val="0"/>
      <w:marRight w:val="0"/>
      <w:marTop w:val="0"/>
      <w:marBottom w:val="0"/>
      <w:divBdr>
        <w:top w:val="none" w:sz="0" w:space="0" w:color="auto"/>
        <w:left w:val="none" w:sz="0" w:space="0" w:color="auto"/>
        <w:bottom w:val="none" w:sz="0" w:space="0" w:color="auto"/>
        <w:right w:val="none" w:sz="0" w:space="0" w:color="auto"/>
      </w:divBdr>
    </w:div>
    <w:div w:id="1015887055">
      <w:bodyDiv w:val="1"/>
      <w:marLeft w:val="0"/>
      <w:marRight w:val="0"/>
      <w:marTop w:val="0"/>
      <w:marBottom w:val="0"/>
      <w:divBdr>
        <w:top w:val="none" w:sz="0" w:space="0" w:color="auto"/>
        <w:left w:val="none" w:sz="0" w:space="0" w:color="auto"/>
        <w:bottom w:val="none" w:sz="0" w:space="0" w:color="auto"/>
        <w:right w:val="none" w:sz="0" w:space="0" w:color="auto"/>
      </w:divBdr>
      <w:divsChild>
        <w:div w:id="1474372265">
          <w:marLeft w:val="0"/>
          <w:marRight w:val="0"/>
          <w:marTop w:val="0"/>
          <w:marBottom w:val="0"/>
          <w:divBdr>
            <w:top w:val="none" w:sz="0" w:space="0" w:color="auto"/>
            <w:left w:val="none" w:sz="0" w:space="0" w:color="auto"/>
            <w:bottom w:val="none" w:sz="0" w:space="0" w:color="auto"/>
            <w:right w:val="none" w:sz="0" w:space="0" w:color="auto"/>
          </w:divBdr>
        </w:div>
      </w:divsChild>
    </w:div>
    <w:div w:id="1043595642">
      <w:bodyDiv w:val="1"/>
      <w:marLeft w:val="0"/>
      <w:marRight w:val="0"/>
      <w:marTop w:val="0"/>
      <w:marBottom w:val="0"/>
      <w:divBdr>
        <w:top w:val="none" w:sz="0" w:space="0" w:color="auto"/>
        <w:left w:val="none" w:sz="0" w:space="0" w:color="auto"/>
        <w:bottom w:val="none" w:sz="0" w:space="0" w:color="auto"/>
        <w:right w:val="none" w:sz="0" w:space="0" w:color="auto"/>
      </w:divBdr>
    </w:div>
    <w:div w:id="1059523838">
      <w:bodyDiv w:val="1"/>
      <w:marLeft w:val="0"/>
      <w:marRight w:val="0"/>
      <w:marTop w:val="0"/>
      <w:marBottom w:val="0"/>
      <w:divBdr>
        <w:top w:val="none" w:sz="0" w:space="0" w:color="auto"/>
        <w:left w:val="none" w:sz="0" w:space="0" w:color="auto"/>
        <w:bottom w:val="none" w:sz="0" w:space="0" w:color="auto"/>
        <w:right w:val="none" w:sz="0" w:space="0" w:color="auto"/>
      </w:divBdr>
    </w:div>
    <w:div w:id="1097864295">
      <w:bodyDiv w:val="1"/>
      <w:marLeft w:val="0"/>
      <w:marRight w:val="0"/>
      <w:marTop w:val="0"/>
      <w:marBottom w:val="0"/>
      <w:divBdr>
        <w:top w:val="none" w:sz="0" w:space="0" w:color="auto"/>
        <w:left w:val="none" w:sz="0" w:space="0" w:color="auto"/>
        <w:bottom w:val="none" w:sz="0" w:space="0" w:color="auto"/>
        <w:right w:val="none" w:sz="0" w:space="0" w:color="auto"/>
      </w:divBdr>
    </w:div>
    <w:div w:id="1213007232">
      <w:bodyDiv w:val="1"/>
      <w:marLeft w:val="0"/>
      <w:marRight w:val="0"/>
      <w:marTop w:val="0"/>
      <w:marBottom w:val="0"/>
      <w:divBdr>
        <w:top w:val="none" w:sz="0" w:space="0" w:color="auto"/>
        <w:left w:val="none" w:sz="0" w:space="0" w:color="auto"/>
        <w:bottom w:val="none" w:sz="0" w:space="0" w:color="auto"/>
        <w:right w:val="none" w:sz="0" w:space="0" w:color="auto"/>
      </w:divBdr>
    </w:div>
    <w:div w:id="1306666338">
      <w:bodyDiv w:val="1"/>
      <w:marLeft w:val="0"/>
      <w:marRight w:val="0"/>
      <w:marTop w:val="0"/>
      <w:marBottom w:val="0"/>
      <w:divBdr>
        <w:top w:val="none" w:sz="0" w:space="0" w:color="auto"/>
        <w:left w:val="none" w:sz="0" w:space="0" w:color="auto"/>
        <w:bottom w:val="none" w:sz="0" w:space="0" w:color="auto"/>
        <w:right w:val="none" w:sz="0" w:space="0" w:color="auto"/>
      </w:divBdr>
      <w:divsChild>
        <w:div w:id="1444225617">
          <w:marLeft w:val="0"/>
          <w:marRight w:val="0"/>
          <w:marTop w:val="0"/>
          <w:marBottom w:val="0"/>
          <w:divBdr>
            <w:top w:val="none" w:sz="0" w:space="0" w:color="auto"/>
            <w:left w:val="none" w:sz="0" w:space="0" w:color="auto"/>
            <w:bottom w:val="none" w:sz="0" w:space="0" w:color="auto"/>
            <w:right w:val="none" w:sz="0" w:space="0" w:color="auto"/>
          </w:divBdr>
          <w:divsChild>
            <w:div w:id="118453722">
              <w:marLeft w:val="0"/>
              <w:marRight w:val="0"/>
              <w:marTop w:val="0"/>
              <w:marBottom w:val="0"/>
              <w:divBdr>
                <w:top w:val="none" w:sz="0" w:space="0" w:color="auto"/>
                <w:left w:val="none" w:sz="0" w:space="0" w:color="auto"/>
                <w:bottom w:val="none" w:sz="0" w:space="0" w:color="auto"/>
                <w:right w:val="none" w:sz="0" w:space="0" w:color="auto"/>
              </w:divBdr>
              <w:divsChild>
                <w:div w:id="592670785">
                  <w:marLeft w:val="0"/>
                  <w:marRight w:val="0"/>
                  <w:marTop w:val="0"/>
                  <w:marBottom w:val="0"/>
                  <w:divBdr>
                    <w:top w:val="none" w:sz="0" w:space="0" w:color="auto"/>
                    <w:left w:val="none" w:sz="0" w:space="0" w:color="auto"/>
                    <w:bottom w:val="none" w:sz="0" w:space="0" w:color="auto"/>
                    <w:right w:val="none" w:sz="0" w:space="0" w:color="auto"/>
                  </w:divBdr>
                  <w:divsChild>
                    <w:div w:id="1937313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2993771">
          <w:marLeft w:val="0"/>
          <w:marRight w:val="0"/>
          <w:marTop w:val="0"/>
          <w:marBottom w:val="0"/>
          <w:divBdr>
            <w:top w:val="none" w:sz="0" w:space="0" w:color="auto"/>
            <w:left w:val="none" w:sz="0" w:space="0" w:color="auto"/>
            <w:bottom w:val="none" w:sz="0" w:space="0" w:color="auto"/>
            <w:right w:val="none" w:sz="0" w:space="0" w:color="auto"/>
          </w:divBdr>
          <w:divsChild>
            <w:div w:id="1940944265">
              <w:marLeft w:val="0"/>
              <w:marRight w:val="0"/>
              <w:marTop w:val="0"/>
              <w:marBottom w:val="0"/>
              <w:divBdr>
                <w:top w:val="none" w:sz="0" w:space="0" w:color="auto"/>
                <w:left w:val="none" w:sz="0" w:space="0" w:color="auto"/>
                <w:bottom w:val="none" w:sz="0" w:space="0" w:color="auto"/>
                <w:right w:val="none" w:sz="0" w:space="0" w:color="auto"/>
              </w:divBdr>
              <w:divsChild>
                <w:div w:id="21108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7836">
      <w:bodyDiv w:val="1"/>
      <w:marLeft w:val="0"/>
      <w:marRight w:val="0"/>
      <w:marTop w:val="0"/>
      <w:marBottom w:val="0"/>
      <w:divBdr>
        <w:top w:val="none" w:sz="0" w:space="0" w:color="auto"/>
        <w:left w:val="none" w:sz="0" w:space="0" w:color="auto"/>
        <w:bottom w:val="none" w:sz="0" w:space="0" w:color="auto"/>
        <w:right w:val="none" w:sz="0" w:space="0" w:color="auto"/>
      </w:divBdr>
    </w:div>
    <w:div w:id="1509522505">
      <w:bodyDiv w:val="1"/>
      <w:marLeft w:val="0"/>
      <w:marRight w:val="0"/>
      <w:marTop w:val="0"/>
      <w:marBottom w:val="0"/>
      <w:divBdr>
        <w:top w:val="none" w:sz="0" w:space="0" w:color="auto"/>
        <w:left w:val="none" w:sz="0" w:space="0" w:color="auto"/>
        <w:bottom w:val="none" w:sz="0" w:space="0" w:color="auto"/>
        <w:right w:val="none" w:sz="0" w:space="0" w:color="auto"/>
      </w:divBdr>
    </w:div>
    <w:div w:id="1515806016">
      <w:bodyDiv w:val="1"/>
      <w:marLeft w:val="0"/>
      <w:marRight w:val="0"/>
      <w:marTop w:val="0"/>
      <w:marBottom w:val="0"/>
      <w:divBdr>
        <w:top w:val="none" w:sz="0" w:space="0" w:color="auto"/>
        <w:left w:val="none" w:sz="0" w:space="0" w:color="auto"/>
        <w:bottom w:val="none" w:sz="0" w:space="0" w:color="auto"/>
        <w:right w:val="none" w:sz="0" w:space="0" w:color="auto"/>
      </w:divBdr>
    </w:div>
    <w:div w:id="1560827157">
      <w:bodyDiv w:val="1"/>
      <w:marLeft w:val="0"/>
      <w:marRight w:val="0"/>
      <w:marTop w:val="0"/>
      <w:marBottom w:val="0"/>
      <w:divBdr>
        <w:top w:val="none" w:sz="0" w:space="0" w:color="auto"/>
        <w:left w:val="none" w:sz="0" w:space="0" w:color="auto"/>
        <w:bottom w:val="none" w:sz="0" w:space="0" w:color="auto"/>
        <w:right w:val="none" w:sz="0" w:space="0" w:color="auto"/>
      </w:divBdr>
    </w:div>
    <w:div w:id="1774473022">
      <w:bodyDiv w:val="1"/>
      <w:marLeft w:val="0"/>
      <w:marRight w:val="0"/>
      <w:marTop w:val="0"/>
      <w:marBottom w:val="0"/>
      <w:divBdr>
        <w:top w:val="none" w:sz="0" w:space="0" w:color="auto"/>
        <w:left w:val="none" w:sz="0" w:space="0" w:color="auto"/>
        <w:bottom w:val="none" w:sz="0" w:space="0" w:color="auto"/>
        <w:right w:val="none" w:sz="0" w:space="0" w:color="auto"/>
      </w:divBdr>
    </w:div>
    <w:div w:id="1801680052">
      <w:bodyDiv w:val="1"/>
      <w:marLeft w:val="0"/>
      <w:marRight w:val="0"/>
      <w:marTop w:val="0"/>
      <w:marBottom w:val="0"/>
      <w:divBdr>
        <w:top w:val="none" w:sz="0" w:space="0" w:color="auto"/>
        <w:left w:val="none" w:sz="0" w:space="0" w:color="auto"/>
        <w:bottom w:val="none" w:sz="0" w:space="0" w:color="auto"/>
        <w:right w:val="none" w:sz="0" w:space="0" w:color="auto"/>
      </w:divBdr>
    </w:div>
    <w:div w:id="1823503860">
      <w:bodyDiv w:val="1"/>
      <w:marLeft w:val="0"/>
      <w:marRight w:val="0"/>
      <w:marTop w:val="0"/>
      <w:marBottom w:val="0"/>
      <w:divBdr>
        <w:top w:val="none" w:sz="0" w:space="0" w:color="auto"/>
        <w:left w:val="none" w:sz="0" w:space="0" w:color="auto"/>
        <w:bottom w:val="none" w:sz="0" w:space="0" w:color="auto"/>
        <w:right w:val="none" w:sz="0" w:space="0" w:color="auto"/>
      </w:divBdr>
    </w:div>
    <w:div w:id="1865829024">
      <w:bodyDiv w:val="1"/>
      <w:marLeft w:val="0"/>
      <w:marRight w:val="0"/>
      <w:marTop w:val="0"/>
      <w:marBottom w:val="0"/>
      <w:divBdr>
        <w:top w:val="none" w:sz="0" w:space="0" w:color="auto"/>
        <w:left w:val="none" w:sz="0" w:space="0" w:color="auto"/>
        <w:bottom w:val="none" w:sz="0" w:space="0" w:color="auto"/>
        <w:right w:val="none" w:sz="0" w:space="0" w:color="auto"/>
      </w:divBdr>
    </w:div>
    <w:div w:id="1875801600">
      <w:bodyDiv w:val="1"/>
      <w:marLeft w:val="0"/>
      <w:marRight w:val="0"/>
      <w:marTop w:val="0"/>
      <w:marBottom w:val="0"/>
      <w:divBdr>
        <w:top w:val="none" w:sz="0" w:space="0" w:color="auto"/>
        <w:left w:val="none" w:sz="0" w:space="0" w:color="auto"/>
        <w:bottom w:val="none" w:sz="0" w:space="0" w:color="auto"/>
        <w:right w:val="none" w:sz="0" w:space="0" w:color="auto"/>
      </w:divBdr>
    </w:div>
    <w:div w:id="1920098999">
      <w:bodyDiv w:val="1"/>
      <w:marLeft w:val="0"/>
      <w:marRight w:val="0"/>
      <w:marTop w:val="0"/>
      <w:marBottom w:val="0"/>
      <w:divBdr>
        <w:top w:val="none" w:sz="0" w:space="0" w:color="auto"/>
        <w:left w:val="none" w:sz="0" w:space="0" w:color="auto"/>
        <w:bottom w:val="none" w:sz="0" w:space="0" w:color="auto"/>
        <w:right w:val="none" w:sz="0" w:space="0" w:color="auto"/>
      </w:divBdr>
    </w:div>
    <w:div w:id="1983732794">
      <w:bodyDiv w:val="1"/>
      <w:marLeft w:val="0"/>
      <w:marRight w:val="0"/>
      <w:marTop w:val="0"/>
      <w:marBottom w:val="0"/>
      <w:divBdr>
        <w:top w:val="none" w:sz="0" w:space="0" w:color="auto"/>
        <w:left w:val="none" w:sz="0" w:space="0" w:color="auto"/>
        <w:bottom w:val="none" w:sz="0" w:space="0" w:color="auto"/>
        <w:right w:val="none" w:sz="0" w:space="0" w:color="auto"/>
      </w:divBdr>
    </w:div>
    <w:div w:id="1994211491">
      <w:bodyDiv w:val="1"/>
      <w:marLeft w:val="0"/>
      <w:marRight w:val="0"/>
      <w:marTop w:val="0"/>
      <w:marBottom w:val="0"/>
      <w:divBdr>
        <w:top w:val="none" w:sz="0" w:space="0" w:color="auto"/>
        <w:left w:val="none" w:sz="0" w:space="0" w:color="auto"/>
        <w:bottom w:val="none" w:sz="0" w:space="0" w:color="auto"/>
        <w:right w:val="none" w:sz="0" w:space="0" w:color="auto"/>
      </w:divBdr>
    </w:div>
    <w:div w:id="1998219402">
      <w:bodyDiv w:val="1"/>
      <w:marLeft w:val="0"/>
      <w:marRight w:val="0"/>
      <w:marTop w:val="0"/>
      <w:marBottom w:val="0"/>
      <w:divBdr>
        <w:top w:val="none" w:sz="0" w:space="0" w:color="auto"/>
        <w:left w:val="none" w:sz="0" w:space="0" w:color="auto"/>
        <w:bottom w:val="none" w:sz="0" w:space="0" w:color="auto"/>
        <w:right w:val="none" w:sz="0" w:space="0" w:color="auto"/>
      </w:divBdr>
    </w:div>
    <w:div w:id="2091924867">
      <w:bodyDiv w:val="1"/>
      <w:marLeft w:val="0"/>
      <w:marRight w:val="0"/>
      <w:marTop w:val="0"/>
      <w:marBottom w:val="0"/>
      <w:divBdr>
        <w:top w:val="none" w:sz="0" w:space="0" w:color="auto"/>
        <w:left w:val="none" w:sz="0" w:space="0" w:color="auto"/>
        <w:bottom w:val="none" w:sz="0" w:space="0" w:color="auto"/>
        <w:right w:val="none" w:sz="0" w:space="0" w:color="auto"/>
      </w:divBdr>
    </w:div>
    <w:div w:id="2116363640">
      <w:bodyDiv w:val="1"/>
      <w:marLeft w:val="0"/>
      <w:marRight w:val="0"/>
      <w:marTop w:val="0"/>
      <w:marBottom w:val="0"/>
      <w:divBdr>
        <w:top w:val="none" w:sz="0" w:space="0" w:color="auto"/>
        <w:left w:val="none" w:sz="0" w:space="0" w:color="auto"/>
        <w:bottom w:val="none" w:sz="0" w:space="0" w:color="auto"/>
        <w:right w:val="none" w:sz="0" w:space="0" w:color="auto"/>
      </w:divBdr>
    </w:div>
    <w:div w:id="214237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european-psychiatry/article/dysfunctional-metacognition-across-psychopathologies-a-metaanalytic-review/3EB4D6C4B21547750252ED1C85FD88A2" TargetMode="External"/><Relationship Id="rId13" Type="http://schemas.openxmlformats.org/officeDocument/2006/relationships/hyperlink" Target="https://doi.org/10.1016/j.%20addbeh.2021.106904" TargetMode="External"/><Relationship Id="rId18" Type="http://schemas.openxmlformats.org/officeDocument/2006/relationships/hyperlink" Target="https://www.newportacademy.com/resources/treatment/teenage-video-game-a%20ddic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science/article/pii/S2352154622001103?via%3Dihub" TargetMode="External"/><Relationship Id="rId12" Type="http://schemas.openxmlformats.org/officeDocument/2006/relationships/image" Target="media/image3.png"/><Relationship Id="rId17" Type="http://schemas.openxmlformats.org/officeDocument/2006/relationships/hyperlink" Target="https://psycnet.apa.org/doi/10.1037/emo0001008" TargetMode="External"/><Relationship Id="rId2" Type="http://schemas.openxmlformats.org/officeDocument/2006/relationships/styles" Target="styles.xml"/><Relationship Id="rId16" Type="http://schemas.openxmlformats.org/officeDocument/2006/relationships/hyperlink" Target="https://doi.org/10.1016/j.chb.2012.08.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sciencedirect.com/science/journal/01907409/111/supp/C" TargetMode="External"/><Relationship Id="rId10" Type="http://schemas.openxmlformats.org/officeDocument/2006/relationships/image" Target="media/image1.png"/><Relationship Id="rId19" Type="http://schemas.openxmlformats.org/officeDocument/2006/relationships/hyperlink" Target="https://www.statista.com/statistics/292056/video-game-market-value-worldwid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direct.com/science/article/pii/S019074091931149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E374-1C7D-47EA-B90F-A21EFB9E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11704</Words>
  <Characters>66719</Characters>
  <Application>Microsoft Office Word</Application>
  <DocSecurity>0</DocSecurity>
  <Lines>555</Lines>
  <Paragraphs>156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Efrati, Y. &amp; Spada, M. M. Metacognitions about online gaming</vt:lpstr>
      <vt:lpstr>Efrati, Y. &amp; Spada, M. M. Metacognitions about online gaming</vt:lpstr>
    </vt:vector>
  </TitlesOfParts>
  <Company/>
  <LinksUpToDate>false</LinksUpToDate>
  <CharactersWithSpaces>78267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Efrati, Y. &amp; Spada, M. M. Metacognitions about online gaming</dc:title>
  <dc:subject/>
  <dc:creator/>
  <cp:keywords/>
  <dc:description/>
  <cp:lastModifiedBy/>
  <cp:revision>1</cp:revision>
  <dcterms:created xsi:type="dcterms:W3CDTF">2023-01-04T15:26:00Z</dcterms:created>
  <dcterms:modified xsi:type="dcterms:W3CDTF">2023-01-04T15:26:00Z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24d88050a97a88286d3370459fee7e088392bb29282468277d00231b8f80ab22</vt:lpwstr>
  </property>
</Properties>
</file>