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CF92" w14:textId="77777777" w:rsidR="006E1978" w:rsidRPr="006E1978" w:rsidRDefault="006E1978" w:rsidP="006E1978">
      <w:pPr>
        <w:spacing w:line="480" w:lineRule="auto"/>
        <w:jc w:val="center"/>
        <w:rPr>
          <w:rFonts w:cs="Times New Roman"/>
          <w:sz w:val="24"/>
          <w:szCs w:val="24"/>
        </w:rPr>
      </w:pPr>
      <w:bookmarkStart w:id="0" w:name="_Hlk88920652"/>
      <w:r w:rsidRPr="006E1978">
        <w:rPr>
          <w:rFonts w:cs="Times New Roman"/>
          <w:sz w:val="24"/>
          <w:szCs w:val="24"/>
        </w:rPr>
        <w:t xml:space="preserve">Validation of the Metacognitions about Online Gaming Scale (MOGS) </w:t>
      </w:r>
    </w:p>
    <w:p w14:paraId="07A6E2CB" w14:textId="77777777" w:rsidR="006E1978" w:rsidRPr="006E1978" w:rsidRDefault="006E1978" w:rsidP="006E1978">
      <w:pPr>
        <w:spacing w:line="480" w:lineRule="auto"/>
        <w:jc w:val="center"/>
        <w:rPr>
          <w:rFonts w:cs="Times New Roman"/>
          <w:sz w:val="24"/>
          <w:szCs w:val="24"/>
        </w:rPr>
      </w:pPr>
      <w:r w:rsidRPr="006E1978">
        <w:rPr>
          <w:rFonts w:cs="Times New Roman"/>
          <w:sz w:val="24"/>
          <w:szCs w:val="24"/>
        </w:rPr>
        <w:t>among Chinese gamers</w:t>
      </w:r>
    </w:p>
    <w:p w14:paraId="2857358D" w14:textId="77777777" w:rsidR="006E1978" w:rsidRPr="006E1978" w:rsidRDefault="006E1978" w:rsidP="006E1978">
      <w:pPr>
        <w:spacing w:line="480" w:lineRule="auto"/>
        <w:jc w:val="center"/>
        <w:rPr>
          <w:rFonts w:cs="Times New Roman"/>
          <w:sz w:val="24"/>
          <w:szCs w:val="24"/>
        </w:rPr>
      </w:pPr>
    </w:p>
    <w:p w14:paraId="34AE37B8" w14:textId="77777777" w:rsidR="006E1978" w:rsidRPr="006E1978" w:rsidRDefault="006E1978" w:rsidP="006E1978">
      <w:pPr>
        <w:snapToGrid w:val="0"/>
        <w:spacing w:line="480" w:lineRule="auto"/>
        <w:jc w:val="center"/>
        <w:rPr>
          <w:rFonts w:cs="Times New Roman"/>
          <w:sz w:val="24"/>
          <w:szCs w:val="24"/>
          <w:vertAlign w:val="superscript"/>
          <w:lang w:val="fr-CA"/>
        </w:rPr>
      </w:pPr>
      <w:r w:rsidRPr="006E1978">
        <w:rPr>
          <w:rFonts w:cs="Times New Roman"/>
          <w:sz w:val="24"/>
          <w:szCs w:val="24"/>
          <w:lang w:val="fr-CA"/>
        </w:rPr>
        <w:t>Le DANG</w:t>
      </w:r>
      <w:r w:rsidRPr="006E1978">
        <w:rPr>
          <w:rFonts w:cs="Times New Roman"/>
          <w:sz w:val="24"/>
          <w:szCs w:val="24"/>
          <w:vertAlign w:val="superscript"/>
          <w:lang w:val="fr-CA"/>
        </w:rPr>
        <w:t>1,2,3</w:t>
      </w:r>
    </w:p>
    <w:p w14:paraId="1A9C4AFD" w14:textId="77777777" w:rsidR="006E1978" w:rsidRPr="006E1978" w:rsidRDefault="006E1978" w:rsidP="006E1978">
      <w:pPr>
        <w:snapToGrid w:val="0"/>
        <w:spacing w:line="480" w:lineRule="auto"/>
        <w:jc w:val="center"/>
        <w:rPr>
          <w:rFonts w:cs="Times New Roman"/>
          <w:sz w:val="24"/>
          <w:szCs w:val="24"/>
          <w:vertAlign w:val="superscript"/>
          <w:lang w:val="fr-CA"/>
        </w:rPr>
      </w:pPr>
      <w:r w:rsidRPr="006E1978">
        <w:rPr>
          <w:rFonts w:eastAsiaTheme="minorHAnsi" w:cs="Times New Roman"/>
          <w:sz w:val="24"/>
          <w:szCs w:val="24"/>
          <w:lang w:val="fr-CA"/>
        </w:rPr>
        <w:t xml:space="preserve">Juliet </w:t>
      </w:r>
      <w:proofErr w:type="spellStart"/>
      <w:r w:rsidRPr="006E1978">
        <w:rPr>
          <w:rFonts w:eastAsiaTheme="minorHAnsi" w:cs="Times New Roman"/>
          <w:sz w:val="24"/>
          <w:szCs w:val="24"/>
          <w:lang w:val="fr-CA"/>
        </w:rPr>
        <w:t>Honglei</w:t>
      </w:r>
      <w:proofErr w:type="spellEnd"/>
      <w:r w:rsidRPr="006E1978">
        <w:rPr>
          <w:rFonts w:eastAsiaTheme="minorHAnsi" w:cs="Times New Roman"/>
          <w:sz w:val="24"/>
          <w:szCs w:val="24"/>
          <w:lang w:val="fr-CA"/>
        </w:rPr>
        <w:t xml:space="preserve"> CHEN</w:t>
      </w:r>
      <w:r w:rsidRPr="006E1978">
        <w:rPr>
          <w:rFonts w:cs="Times New Roman"/>
          <w:sz w:val="24"/>
          <w:szCs w:val="24"/>
          <w:vertAlign w:val="superscript"/>
          <w:lang w:val="fr-CA"/>
        </w:rPr>
        <w:t>1,2</w:t>
      </w:r>
    </w:p>
    <w:p w14:paraId="78F587C6" w14:textId="77777777" w:rsidR="006E1978" w:rsidRPr="006E1978" w:rsidRDefault="006E1978" w:rsidP="006E1978">
      <w:pPr>
        <w:snapToGrid w:val="0"/>
        <w:spacing w:line="480" w:lineRule="auto"/>
        <w:jc w:val="center"/>
        <w:rPr>
          <w:rFonts w:eastAsiaTheme="minorHAnsi" w:cs="Times New Roman"/>
          <w:sz w:val="24"/>
          <w:szCs w:val="24"/>
          <w:lang w:val="fr-CA"/>
        </w:rPr>
      </w:pPr>
      <w:r w:rsidRPr="006E1978">
        <w:rPr>
          <w:rFonts w:eastAsiaTheme="minorHAnsi" w:cs="Times New Roman"/>
          <w:sz w:val="24"/>
          <w:szCs w:val="24"/>
          <w:lang w:val="fr-CA"/>
        </w:rPr>
        <w:t>Hui ZHOU</w:t>
      </w:r>
      <w:r w:rsidRPr="006E1978">
        <w:rPr>
          <w:rFonts w:cs="Times New Roman"/>
          <w:sz w:val="24"/>
          <w:szCs w:val="24"/>
          <w:vertAlign w:val="superscript"/>
          <w:lang w:val="fr-CA"/>
        </w:rPr>
        <w:t>1,2</w:t>
      </w:r>
    </w:p>
    <w:p w14:paraId="7E66BC26" w14:textId="77777777" w:rsidR="006E1978" w:rsidRPr="006E1978" w:rsidRDefault="006E1978" w:rsidP="006E1978">
      <w:pPr>
        <w:snapToGrid w:val="0"/>
        <w:spacing w:line="480" w:lineRule="auto"/>
        <w:jc w:val="center"/>
        <w:rPr>
          <w:rFonts w:eastAsiaTheme="minorHAnsi" w:cs="Times New Roman"/>
          <w:sz w:val="24"/>
          <w:szCs w:val="24"/>
          <w:lang w:val="fr-CA"/>
        </w:rPr>
      </w:pPr>
      <w:r w:rsidRPr="006E1978">
        <w:rPr>
          <w:rFonts w:eastAsiaTheme="minorHAnsi" w:cs="Times New Roman"/>
          <w:sz w:val="24"/>
          <w:szCs w:val="24"/>
          <w:lang w:val="fr-CA"/>
        </w:rPr>
        <w:t>Marcantonio M. SPADA</w:t>
      </w:r>
      <w:r w:rsidRPr="006E1978">
        <w:rPr>
          <w:rFonts w:eastAsiaTheme="minorHAnsi" w:cs="Times New Roman"/>
          <w:sz w:val="24"/>
          <w:szCs w:val="24"/>
          <w:vertAlign w:val="superscript"/>
          <w:lang w:val="fr-CA"/>
        </w:rPr>
        <w:t>4</w:t>
      </w:r>
    </w:p>
    <w:p w14:paraId="464CFC82" w14:textId="77777777" w:rsidR="006E1978" w:rsidRPr="006E1978" w:rsidRDefault="006E1978" w:rsidP="006E1978">
      <w:pPr>
        <w:snapToGrid w:val="0"/>
        <w:spacing w:line="480" w:lineRule="auto"/>
        <w:jc w:val="center"/>
        <w:rPr>
          <w:rFonts w:cs="Times New Roman"/>
          <w:sz w:val="24"/>
          <w:szCs w:val="24"/>
          <w:lang w:val="pt-PT"/>
        </w:rPr>
      </w:pPr>
      <w:r w:rsidRPr="006E1978">
        <w:rPr>
          <w:rFonts w:cs="Times New Roman"/>
          <w:sz w:val="24"/>
          <w:szCs w:val="24"/>
          <w:lang w:val="pt-PT"/>
        </w:rPr>
        <w:t>Anise M. S. WU</w:t>
      </w:r>
      <w:r w:rsidRPr="006E1978">
        <w:rPr>
          <w:rFonts w:cs="Times New Roman"/>
          <w:sz w:val="24"/>
          <w:szCs w:val="24"/>
          <w:vertAlign w:val="superscript"/>
          <w:lang w:val="pt-PT"/>
        </w:rPr>
        <w:t>1,2*</w:t>
      </w:r>
    </w:p>
    <w:p w14:paraId="127FE710" w14:textId="77777777" w:rsidR="006E1978" w:rsidRPr="006E1978" w:rsidRDefault="006E1978" w:rsidP="006E1978">
      <w:pPr>
        <w:snapToGrid w:val="0"/>
        <w:spacing w:line="480" w:lineRule="auto"/>
        <w:rPr>
          <w:rFonts w:cs="Times New Roman"/>
          <w:sz w:val="24"/>
          <w:szCs w:val="24"/>
          <w:lang w:val="pt-PT"/>
        </w:rPr>
      </w:pPr>
    </w:p>
    <w:p w14:paraId="4FD01080" w14:textId="77777777" w:rsidR="006E1978" w:rsidRPr="006E1978" w:rsidRDefault="006E1978" w:rsidP="006E1978">
      <w:pPr>
        <w:snapToGrid w:val="0"/>
        <w:spacing w:line="360" w:lineRule="auto"/>
        <w:jc w:val="left"/>
        <w:rPr>
          <w:rFonts w:cs="Times New Roman"/>
          <w:sz w:val="24"/>
          <w:szCs w:val="24"/>
        </w:rPr>
      </w:pPr>
      <w:bookmarkStart w:id="1" w:name="OLE_LINK20"/>
      <w:r w:rsidRPr="006E1978">
        <w:rPr>
          <w:rFonts w:cs="Times New Roman"/>
          <w:sz w:val="24"/>
          <w:szCs w:val="24"/>
          <w:vertAlign w:val="superscript"/>
        </w:rPr>
        <w:t>1</w:t>
      </w:r>
      <w:r w:rsidRPr="006E1978">
        <w:rPr>
          <w:rFonts w:cs="Times New Roman"/>
          <w:sz w:val="24"/>
          <w:szCs w:val="24"/>
        </w:rPr>
        <w:t xml:space="preserve"> Department of Psychology, Faculty of Social Sciences, University of Macau, Macao, China.</w:t>
      </w:r>
    </w:p>
    <w:p w14:paraId="7C15E779" w14:textId="77777777" w:rsidR="006E1978" w:rsidRPr="006E1978" w:rsidRDefault="006E1978" w:rsidP="006E1978">
      <w:pPr>
        <w:snapToGrid w:val="0"/>
        <w:spacing w:line="360" w:lineRule="auto"/>
        <w:jc w:val="left"/>
        <w:rPr>
          <w:rFonts w:cs="Times New Roman"/>
          <w:sz w:val="24"/>
          <w:szCs w:val="24"/>
        </w:rPr>
      </w:pPr>
      <w:r w:rsidRPr="006E1978">
        <w:rPr>
          <w:rFonts w:cs="Times New Roman"/>
          <w:sz w:val="24"/>
          <w:szCs w:val="24"/>
          <w:vertAlign w:val="superscript"/>
        </w:rPr>
        <w:t>2</w:t>
      </w:r>
      <w:r w:rsidRPr="006E1978">
        <w:rPr>
          <w:rFonts w:cs="Times New Roman"/>
          <w:sz w:val="24"/>
          <w:szCs w:val="24"/>
        </w:rPr>
        <w:t xml:space="preserve"> Centre for Cognitive and Brain Sciences, Institute of Collaborative Innovation, University of Macau, Macao, China.</w:t>
      </w:r>
    </w:p>
    <w:p w14:paraId="6F5DF927" w14:textId="77777777" w:rsidR="006E1978" w:rsidRPr="006E1978" w:rsidRDefault="006E1978" w:rsidP="006E1978">
      <w:pPr>
        <w:snapToGrid w:val="0"/>
        <w:spacing w:line="360" w:lineRule="auto"/>
        <w:jc w:val="left"/>
        <w:rPr>
          <w:rFonts w:cs="Times New Roman"/>
          <w:sz w:val="24"/>
          <w:szCs w:val="24"/>
        </w:rPr>
      </w:pPr>
      <w:r w:rsidRPr="006E1978">
        <w:rPr>
          <w:rFonts w:cs="Times New Roman"/>
          <w:sz w:val="24"/>
          <w:szCs w:val="24"/>
          <w:vertAlign w:val="superscript"/>
        </w:rPr>
        <w:t>3</w:t>
      </w:r>
      <w:r w:rsidRPr="006E1978">
        <w:rPr>
          <w:rFonts w:cs="Times New Roman"/>
          <w:sz w:val="24"/>
          <w:szCs w:val="24"/>
        </w:rPr>
        <w:t xml:space="preserve"> Faculty of Teacher Education, </w:t>
      </w:r>
      <w:proofErr w:type="spellStart"/>
      <w:r w:rsidRPr="006E1978">
        <w:rPr>
          <w:rFonts w:cs="Times New Roman"/>
          <w:sz w:val="24"/>
          <w:szCs w:val="24"/>
        </w:rPr>
        <w:t>Pingdingshan</w:t>
      </w:r>
      <w:proofErr w:type="spellEnd"/>
      <w:r w:rsidRPr="006E1978">
        <w:rPr>
          <w:rFonts w:cs="Times New Roman"/>
          <w:sz w:val="24"/>
          <w:szCs w:val="24"/>
        </w:rPr>
        <w:t xml:space="preserve"> University, </w:t>
      </w:r>
      <w:proofErr w:type="spellStart"/>
      <w:r w:rsidRPr="006E1978">
        <w:rPr>
          <w:rFonts w:cs="Times New Roman"/>
          <w:sz w:val="24"/>
          <w:szCs w:val="24"/>
        </w:rPr>
        <w:t>Pingdingshan</w:t>
      </w:r>
      <w:proofErr w:type="spellEnd"/>
      <w:r w:rsidRPr="006E1978">
        <w:rPr>
          <w:rFonts w:cs="Times New Roman"/>
          <w:sz w:val="24"/>
          <w:szCs w:val="24"/>
        </w:rPr>
        <w:t>, China.</w:t>
      </w:r>
    </w:p>
    <w:bookmarkEnd w:id="1"/>
    <w:p w14:paraId="032C321A" w14:textId="77777777" w:rsidR="006E1978" w:rsidRPr="006E1978" w:rsidRDefault="006E1978" w:rsidP="006E1978">
      <w:pPr>
        <w:widowControl/>
        <w:snapToGrid w:val="0"/>
        <w:spacing w:line="360" w:lineRule="auto"/>
        <w:jc w:val="left"/>
        <w:rPr>
          <w:rFonts w:cs="Times New Roman"/>
          <w:sz w:val="24"/>
          <w:szCs w:val="24"/>
          <w:lang w:val="en-GB"/>
        </w:rPr>
      </w:pPr>
      <w:r w:rsidRPr="006E1978">
        <w:rPr>
          <w:rFonts w:cs="Times New Roman"/>
          <w:sz w:val="24"/>
          <w:szCs w:val="24"/>
          <w:vertAlign w:val="superscript"/>
        </w:rPr>
        <w:t xml:space="preserve">4 </w:t>
      </w:r>
      <w:r w:rsidRPr="006E1978">
        <w:rPr>
          <w:rFonts w:cs="Times New Roman"/>
          <w:sz w:val="24"/>
          <w:szCs w:val="24"/>
        </w:rPr>
        <w:t xml:space="preserve">School </w:t>
      </w:r>
      <w:r w:rsidRPr="006E1978">
        <w:rPr>
          <w:rFonts w:cs="Times New Roman"/>
          <w:sz w:val="24"/>
          <w:szCs w:val="24"/>
          <w:lang w:val="en-GB"/>
        </w:rPr>
        <w:t>of Applied Sciences, London South Bank University, London, UK.</w:t>
      </w:r>
    </w:p>
    <w:p w14:paraId="518AB655" w14:textId="77777777" w:rsidR="006E1978" w:rsidRPr="006E1978" w:rsidRDefault="006E1978" w:rsidP="006E1978">
      <w:pPr>
        <w:widowControl/>
        <w:snapToGrid w:val="0"/>
        <w:spacing w:line="480" w:lineRule="auto"/>
        <w:jc w:val="left"/>
        <w:rPr>
          <w:rFonts w:cs="Times New Roman"/>
          <w:sz w:val="24"/>
          <w:szCs w:val="24"/>
        </w:rPr>
      </w:pPr>
    </w:p>
    <w:p w14:paraId="5181BF22" w14:textId="77777777" w:rsidR="006E1978" w:rsidRPr="006E1978" w:rsidRDefault="006E1978" w:rsidP="006E1978">
      <w:pPr>
        <w:widowControl/>
        <w:snapToGrid w:val="0"/>
        <w:spacing w:line="360" w:lineRule="auto"/>
        <w:jc w:val="left"/>
        <w:rPr>
          <w:rFonts w:cs="Times New Roman"/>
          <w:sz w:val="24"/>
          <w:szCs w:val="24"/>
        </w:rPr>
      </w:pPr>
      <w:r w:rsidRPr="006E1978">
        <w:rPr>
          <w:rFonts w:cs="Times New Roman"/>
          <w:sz w:val="24"/>
          <w:szCs w:val="24"/>
        </w:rPr>
        <w:t xml:space="preserve">*Corresponding author: </w:t>
      </w:r>
    </w:p>
    <w:p w14:paraId="798E6D8A" w14:textId="77777777" w:rsidR="006E1978" w:rsidRPr="006E1978" w:rsidRDefault="006E1978" w:rsidP="006E1978">
      <w:pPr>
        <w:widowControl/>
        <w:snapToGrid w:val="0"/>
        <w:spacing w:line="360" w:lineRule="auto"/>
        <w:jc w:val="left"/>
        <w:rPr>
          <w:rFonts w:cs="Times New Roman"/>
          <w:sz w:val="24"/>
          <w:szCs w:val="24"/>
        </w:rPr>
      </w:pPr>
      <w:r w:rsidRPr="006E1978">
        <w:rPr>
          <w:rFonts w:cs="Times New Roman"/>
          <w:sz w:val="24"/>
          <w:szCs w:val="24"/>
        </w:rPr>
        <w:t>Prof. Anise M. S. Wu</w:t>
      </w:r>
    </w:p>
    <w:p w14:paraId="680D4071" w14:textId="77777777" w:rsidR="006E1978" w:rsidRPr="006E1978" w:rsidRDefault="006E1978" w:rsidP="006E1978">
      <w:pPr>
        <w:widowControl/>
        <w:snapToGrid w:val="0"/>
        <w:spacing w:line="360" w:lineRule="auto"/>
        <w:jc w:val="left"/>
        <w:rPr>
          <w:rFonts w:cs="Times New Roman"/>
          <w:sz w:val="24"/>
          <w:szCs w:val="24"/>
        </w:rPr>
      </w:pPr>
      <w:r w:rsidRPr="006E1978">
        <w:rPr>
          <w:rFonts w:cs="Times New Roman"/>
          <w:sz w:val="24"/>
          <w:szCs w:val="24"/>
        </w:rPr>
        <w:t xml:space="preserve">Department of Psychology, Faculty of Social Sciences, University of Macau, Avenida da </w:t>
      </w:r>
      <w:proofErr w:type="spellStart"/>
      <w:r w:rsidRPr="006E1978">
        <w:rPr>
          <w:rFonts w:cs="Times New Roman"/>
          <w:sz w:val="24"/>
          <w:szCs w:val="24"/>
        </w:rPr>
        <w:t>Universidade</w:t>
      </w:r>
      <w:proofErr w:type="spellEnd"/>
      <w:r w:rsidRPr="006E1978">
        <w:rPr>
          <w:rFonts w:cs="Times New Roman"/>
          <w:sz w:val="24"/>
          <w:szCs w:val="24"/>
        </w:rPr>
        <w:t xml:space="preserve">, Taipa, Macao, China. </w:t>
      </w:r>
    </w:p>
    <w:p w14:paraId="5F6E0BE3" w14:textId="77777777" w:rsidR="006E1978" w:rsidRPr="006E1978" w:rsidRDefault="006E1978" w:rsidP="006E1978">
      <w:pPr>
        <w:widowControl/>
        <w:snapToGrid w:val="0"/>
        <w:spacing w:line="360" w:lineRule="auto"/>
        <w:jc w:val="left"/>
        <w:rPr>
          <w:rFonts w:cs="Times New Roman"/>
          <w:sz w:val="24"/>
          <w:szCs w:val="24"/>
          <w:lang w:val="pt-PT"/>
        </w:rPr>
      </w:pPr>
      <w:r w:rsidRPr="006E1978">
        <w:rPr>
          <w:rFonts w:cs="Times New Roman"/>
          <w:sz w:val="24"/>
          <w:szCs w:val="24"/>
          <w:lang w:val="pt-PT"/>
        </w:rPr>
        <w:t xml:space="preserve">E-mail: </w:t>
      </w:r>
      <w:hyperlink r:id="rId8" w:history="1">
        <w:r w:rsidRPr="006E1978">
          <w:rPr>
            <w:rStyle w:val="Hyperlink"/>
            <w:rFonts w:cs="Times New Roman"/>
            <w:sz w:val="24"/>
            <w:szCs w:val="24"/>
            <w:lang w:val="pt-PT"/>
          </w:rPr>
          <w:t>anisewu@um.edu.mo</w:t>
        </w:r>
      </w:hyperlink>
      <w:r w:rsidRPr="006E1978">
        <w:rPr>
          <w:rFonts w:cs="Times New Roman"/>
          <w:sz w:val="24"/>
          <w:szCs w:val="24"/>
          <w:lang w:val="pt-PT"/>
        </w:rPr>
        <w:t xml:space="preserve"> </w:t>
      </w:r>
    </w:p>
    <w:p w14:paraId="1BCADF54" w14:textId="77777777" w:rsidR="006E1978" w:rsidRPr="006E1978" w:rsidRDefault="006E1978" w:rsidP="006E1978">
      <w:pPr>
        <w:widowControl/>
        <w:snapToGrid w:val="0"/>
        <w:spacing w:line="360" w:lineRule="auto"/>
        <w:jc w:val="left"/>
        <w:rPr>
          <w:rFonts w:cs="Times New Roman"/>
          <w:sz w:val="24"/>
          <w:szCs w:val="24"/>
        </w:rPr>
      </w:pPr>
      <w:r w:rsidRPr="006E1978">
        <w:rPr>
          <w:rFonts w:cs="Times New Roman"/>
          <w:sz w:val="24"/>
          <w:szCs w:val="24"/>
        </w:rPr>
        <w:t>Phone: +(853) 8822 8377</w:t>
      </w:r>
    </w:p>
    <w:p w14:paraId="50E66784" w14:textId="77777777" w:rsidR="006E1978" w:rsidRPr="006E1978" w:rsidRDefault="006E1978" w:rsidP="006E1978">
      <w:pPr>
        <w:widowControl/>
        <w:snapToGrid w:val="0"/>
        <w:spacing w:line="360" w:lineRule="auto"/>
        <w:jc w:val="left"/>
        <w:rPr>
          <w:rFonts w:cs="Times New Roman"/>
          <w:sz w:val="24"/>
          <w:szCs w:val="24"/>
        </w:rPr>
      </w:pPr>
      <w:r w:rsidRPr="006E1978">
        <w:rPr>
          <w:rFonts w:cs="Times New Roman"/>
          <w:sz w:val="24"/>
          <w:szCs w:val="24"/>
        </w:rPr>
        <w:t>Fax: +853-8822-2337</w:t>
      </w:r>
    </w:p>
    <w:p w14:paraId="321E102A" w14:textId="77777777" w:rsidR="006E1978" w:rsidRPr="006E1978" w:rsidRDefault="006E1978" w:rsidP="006E1978">
      <w:pPr>
        <w:widowControl/>
        <w:snapToGrid w:val="0"/>
        <w:spacing w:line="480" w:lineRule="auto"/>
        <w:jc w:val="left"/>
        <w:rPr>
          <w:rFonts w:cs="Times New Roman"/>
          <w:sz w:val="24"/>
          <w:szCs w:val="24"/>
        </w:rPr>
      </w:pPr>
    </w:p>
    <w:p w14:paraId="465EF399" w14:textId="77777777" w:rsidR="006E1978" w:rsidRPr="006E1978" w:rsidRDefault="006E1978" w:rsidP="006E1978">
      <w:pPr>
        <w:widowControl/>
        <w:snapToGrid w:val="0"/>
        <w:spacing w:line="480" w:lineRule="auto"/>
        <w:jc w:val="left"/>
        <w:rPr>
          <w:rFonts w:cs="Times New Roman"/>
          <w:sz w:val="24"/>
          <w:szCs w:val="24"/>
        </w:rPr>
      </w:pPr>
    </w:p>
    <w:p w14:paraId="643553B6" w14:textId="77777777" w:rsidR="006E1978" w:rsidRPr="006E1978" w:rsidRDefault="006E1978" w:rsidP="00A26C51">
      <w:pPr>
        <w:spacing w:line="480" w:lineRule="auto"/>
        <w:jc w:val="center"/>
        <w:rPr>
          <w:rFonts w:cs="Times New Roman"/>
          <w:sz w:val="24"/>
          <w:szCs w:val="24"/>
        </w:rPr>
      </w:pPr>
    </w:p>
    <w:p w14:paraId="1594F37B" w14:textId="77777777" w:rsidR="006E1978" w:rsidRPr="006E1978" w:rsidRDefault="006E1978" w:rsidP="00A26C51">
      <w:pPr>
        <w:spacing w:line="480" w:lineRule="auto"/>
        <w:jc w:val="center"/>
        <w:rPr>
          <w:rFonts w:cs="Times New Roman"/>
          <w:sz w:val="24"/>
          <w:szCs w:val="24"/>
        </w:rPr>
      </w:pPr>
    </w:p>
    <w:p w14:paraId="1BF02CFB" w14:textId="77777777" w:rsidR="006E1978" w:rsidRPr="006E1978" w:rsidRDefault="006E1978" w:rsidP="00A26C51">
      <w:pPr>
        <w:spacing w:line="480" w:lineRule="auto"/>
        <w:jc w:val="center"/>
        <w:rPr>
          <w:rFonts w:cs="Times New Roman"/>
          <w:sz w:val="24"/>
          <w:szCs w:val="24"/>
        </w:rPr>
      </w:pPr>
    </w:p>
    <w:p w14:paraId="784AA645" w14:textId="0C857EC3" w:rsidR="00A26C51" w:rsidRPr="006E1978" w:rsidRDefault="00A26C51" w:rsidP="00A26C51">
      <w:pPr>
        <w:spacing w:line="480" w:lineRule="auto"/>
        <w:jc w:val="center"/>
        <w:rPr>
          <w:rFonts w:cs="Times New Roman"/>
          <w:sz w:val="24"/>
          <w:szCs w:val="24"/>
        </w:rPr>
      </w:pPr>
      <w:r w:rsidRPr="006E1978">
        <w:rPr>
          <w:rFonts w:cs="Times New Roman"/>
          <w:sz w:val="24"/>
          <w:szCs w:val="24"/>
        </w:rPr>
        <w:lastRenderedPageBreak/>
        <w:t xml:space="preserve">Validation </w:t>
      </w:r>
      <w:r w:rsidRPr="006E1978">
        <w:rPr>
          <w:rFonts w:cs="Times New Roman" w:hint="eastAsia"/>
          <w:sz w:val="24"/>
          <w:szCs w:val="24"/>
        </w:rPr>
        <w:t>of</w:t>
      </w:r>
      <w:r w:rsidRPr="006E1978">
        <w:rPr>
          <w:rFonts w:cs="Times New Roman"/>
          <w:sz w:val="24"/>
          <w:szCs w:val="24"/>
        </w:rPr>
        <w:t xml:space="preserve"> the Metacognitions about Online Gaming Scale (MOGS) </w:t>
      </w:r>
    </w:p>
    <w:p w14:paraId="62D98B4E" w14:textId="77777777" w:rsidR="00A26C51" w:rsidRPr="006E1978" w:rsidRDefault="00A26C51" w:rsidP="00A26C51">
      <w:pPr>
        <w:spacing w:line="480" w:lineRule="auto"/>
        <w:jc w:val="center"/>
        <w:rPr>
          <w:rFonts w:cs="Times New Roman"/>
          <w:sz w:val="24"/>
          <w:szCs w:val="24"/>
        </w:rPr>
      </w:pPr>
      <w:r w:rsidRPr="006E1978">
        <w:rPr>
          <w:rFonts w:cs="Times New Roman"/>
          <w:sz w:val="24"/>
          <w:szCs w:val="24"/>
        </w:rPr>
        <w:t>among Chinese gamers</w:t>
      </w:r>
    </w:p>
    <w:bookmarkEnd w:id="0"/>
    <w:p w14:paraId="03C716F7" w14:textId="30096E87" w:rsidR="00D80624" w:rsidRPr="006E1978" w:rsidRDefault="00D80624">
      <w:pPr>
        <w:widowControl/>
        <w:jc w:val="left"/>
        <w:rPr>
          <w:rFonts w:cs="Times New Roman"/>
          <w:sz w:val="24"/>
          <w:szCs w:val="24"/>
        </w:rPr>
      </w:pPr>
    </w:p>
    <w:p w14:paraId="74E1F5F9" w14:textId="77777777" w:rsidR="00A26C51" w:rsidRPr="006E1978" w:rsidRDefault="00A26C51">
      <w:pPr>
        <w:widowControl/>
        <w:jc w:val="left"/>
        <w:rPr>
          <w:rFonts w:cs="Times New Roman"/>
          <w:sz w:val="24"/>
          <w:szCs w:val="24"/>
        </w:rPr>
      </w:pPr>
    </w:p>
    <w:p w14:paraId="58BA8E2B" w14:textId="2D9269B5" w:rsidR="00B828D8" w:rsidRPr="006E1978" w:rsidRDefault="00B828D8" w:rsidP="003C4B70">
      <w:pPr>
        <w:jc w:val="center"/>
        <w:rPr>
          <w:rFonts w:cs="Times New Roman"/>
          <w:b/>
          <w:bCs/>
          <w:sz w:val="24"/>
          <w:szCs w:val="24"/>
        </w:rPr>
      </w:pPr>
      <w:r w:rsidRPr="006E1978">
        <w:rPr>
          <w:rFonts w:cs="Times New Roman" w:hint="eastAsia"/>
          <w:b/>
          <w:bCs/>
          <w:sz w:val="24"/>
          <w:szCs w:val="24"/>
        </w:rPr>
        <w:t>A</w:t>
      </w:r>
      <w:r w:rsidRPr="006E1978">
        <w:rPr>
          <w:rFonts w:cs="Times New Roman"/>
          <w:b/>
          <w:bCs/>
          <w:sz w:val="24"/>
          <w:szCs w:val="24"/>
        </w:rPr>
        <w:t>bstract</w:t>
      </w:r>
    </w:p>
    <w:p w14:paraId="64EE19CC" w14:textId="77777777" w:rsidR="005F1EDD" w:rsidRPr="006E1978" w:rsidRDefault="005F1EDD" w:rsidP="003C4B70">
      <w:pPr>
        <w:jc w:val="center"/>
        <w:rPr>
          <w:rFonts w:cs="Times New Roman"/>
          <w:b/>
          <w:bCs/>
          <w:sz w:val="24"/>
          <w:szCs w:val="24"/>
        </w:rPr>
      </w:pPr>
    </w:p>
    <w:p w14:paraId="1F956855" w14:textId="6B8B6FD0" w:rsidR="00673A20" w:rsidRPr="006E1978" w:rsidRDefault="009B2BF1" w:rsidP="003C4B70">
      <w:pPr>
        <w:jc w:val="left"/>
        <w:rPr>
          <w:rFonts w:cs="Times New Roman"/>
          <w:sz w:val="24"/>
          <w:szCs w:val="24"/>
        </w:rPr>
      </w:pPr>
      <w:r w:rsidRPr="006E1978">
        <w:rPr>
          <w:rFonts w:cs="Times New Roman"/>
          <w:sz w:val="24"/>
          <w:szCs w:val="24"/>
        </w:rPr>
        <w:t xml:space="preserve">With the largest online gamer population worldwide and a heightened rate of Internet </w:t>
      </w:r>
      <w:r w:rsidR="00BF590B" w:rsidRPr="006E1978">
        <w:rPr>
          <w:rFonts w:cs="Times New Roman"/>
          <w:sz w:val="24"/>
          <w:szCs w:val="24"/>
        </w:rPr>
        <w:t xml:space="preserve">Gaming Disorder </w:t>
      </w:r>
      <w:r w:rsidRPr="006E1978">
        <w:rPr>
          <w:rFonts w:cs="Times New Roman"/>
          <w:sz w:val="24"/>
          <w:szCs w:val="24"/>
        </w:rPr>
        <w:t xml:space="preserve">(IGD), China has a long-lasting need to identify salient correlates of IGD and provide corresponding </w:t>
      </w:r>
      <w:r w:rsidR="004B43D2" w:rsidRPr="006E1978">
        <w:rPr>
          <w:rFonts w:cs="Times New Roman"/>
          <w:sz w:val="24"/>
          <w:szCs w:val="24"/>
        </w:rPr>
        <w:t>assessment tools</w:t>
      </w:r>
      <w:r w:rsidRPr="006E1978">
        <w:rPr>
          <w:rFonts w:cs="Times New Roman"/>
          <w:sz w:val="24"/>
          <w:szCs w:val="24"/>
        </w:rPr>
        <w:t xml:space="preserve"> to support cost-effective IGD screening and intervention</w:t>
      </w:r>
      <w:r w:rsidR="00BF590B" w:rsidRPr="006E1978">
        <w:rPr>
          <w:rFonts w:cs="Times New Roman"/>
          <w:sz w:val="24"/>
          <w:szCs w:val="24"/>
        </w:rPr>
        <w:t>s</w:t>
      </w:r>
      <w:r w:rsidRPr="006E1978">
        <w:rPr>
          <w:rFonts w:cs="Times New Roman"/>
          <w:sz w:val="24"/>
          <w:szCs w:val="24"/>
        </w:rPr>
        <w:t xml:space="preserve">. </w:t>
      </w:r>
      <w:r w:rsidR="00B23A21" w:rsidRPr="006E1978">
        <w:rPr>
          <w:rFonts w:cs="Times New Roman"/>
          <w:sz w:val="24"/>
          <w:szCs w:val="24"/>
        </w:rPr>
        <w:t>To respond to such a need, t</w:t>
      </w:r>
      <w:r w:rsidRPr="006E1978">
        <w:rPr>
          <w:rFonts w:cs="Times New Roman"/>
          <w:sz w:val="24"/>
          <w:szCs w:val="24"/>
        </w:rPr>
        <w:t xml:space="preserve">he present study </w:t>
      </w:r>
      <w:r w:rsidR="00A60096" w:rsidRPr="006E1978">
        <w:rPr>
          <w:rFonts w:cs="Times New Roman"/>
          <w:sz w:val="24"/>
          <w:szCs w:val="24"/>
        </w:rPr>
        <w:t>aimed to validate the Metacognition</w:t>
      </w:r>
      <w:r w:rsidR="0051395B" w:rsidRPr="006E1978">
        <w:rPr>
          <w:rFonts w:cs="Times New Roman"/>
          <w:sz w:val="24"/>
          <w:szCs w:val="24"/>
        </w:rPr>
        <w:t>s</w:t>
      </w:r>
      <w:r w:rsidR="00A60096" w:rsidRPr="006E1978">
        <w:rPr>
          <w:rFonts w:cs="Times New Roman"/>
          <w:sz w:val="24"/>
          <w:szCs w:val="24"/>
        </w:rPr>
        <w:t xml:space="preserve"> about Online Gaming Scale (MOGS) </w:t>
      </w:r>
      <w:r w:rsidR="004B43D2" w:rsidRPr="006E1978">
        <w:rPr>
          <w:rFonts w:cs="Times New Roman"/>
          <w:sz w:val="24"/>
          <w:szCs w:val="24"/>
        </w:rPr>
        <w:t xml:space="preserve">among Chinese gamers </w:t>
      </w:r>
      <w:r w:rsidR="00A60096" w:rsidRPr="006E1978">
        <w:rPr>
          <w:rFonts w:cs="Times New Roman"/>
          <w:sz w:val="24"/>
          <w:szCs w:val="24"/>
        </w:rPr>
        <w:t xml:space="preserve">to </w:t>
      </w:r>
      <w:r w:rsidR="004B43D2" w:rsidRPr="006E1978">
        <w:rPr>
          <w:rFonts w:cs="Times New Roman"/>
          <w:sz w:val="24"/>
          <w:szCs w:val="24"/>
        </w:rPr>
        <w:t xml:space="preserve">provide </w:t>
      </w:r>
      <w:r w:rsidR="00BF590B" w:rsidRPr="006E1978">
        <w:rPr>
          <w:rFonts w:cs="Times New Roman"/>
          <w:sz w:val="24"/>
          <w:szCs w:val="24"/>
        </w:rPr>
        <w:t>an additional</w:t>
      </w:r>
      <w:r w:rsidR="004B43D2" w:rsidRPr="006E1978">
        <w:rPr>
          <w:rFonts w:cs="Times New Roman"/>
          <w:sz w:val="24"/>
          <w:szCs w:val="24"/>
        </w:rPr>
        <w:t xml:space="preserve"> tool for promoting studies </w:t>
      </w:r>
      <w:r w:rsidR="00BF590B" w:rsidRPr="006E1978">
        <w:rPr>
          <w:rFonts w:cs="Times New Roman"/>
          <w:sz w:val="24"/>
          <w:szCs w:val="24"/>
        </w:rPr>
        <w:t>investigating</w:t>
      </w:r>
      <w:r w:rsidR="00DC6CE4" w:rsidRPr="006E1978">
        <w:rPr>
          <w:rFonts w:cs="Times New Roman"/>
          <w:sz w:val="24"/>
          <w:szCs w:val="24"/>
        </w:rPr>
        <w:t xml:space="preserve"> metacognition</w:t>
      </w:r>
      <w:r w:rsidR="004B43D2" w:rsidRPr="006E1978">
        <w:rPr>
          <w:rFonts w:cs="Times New Roman"/>
          <w:sz w:val="24"/>
          <w:szCs w:val="24"/>
        </w:rPr>
        <w:t>, a promising</w:t>
      </w:r>
      <w:r w:rsidR="00BF590B" w:rsidRPr="006E1978">
        <w:rPr>
          <w:rFonts w:cs="Times New Roman"/>
          <w:sz w:val="24"/>
          <w:szCs w:val="24"/>
        </w:rPr>
        <w:t xml:space="preserve"> and </w:t>
      </w:r>
      <w:r w:rsidR="004B43D2" w:rsidRPr="006E1978">
        <w:rPr>
          <w:rFonts w:cs="Times New Roman"/>
          <w:sz w:val="24"/>
          <w:szCs w:val="24"/>
        </w:rPr>
        <w:t>newly emerged correlate of IGD,</w:t>
      </w:r>
      <w:r w:rsidR="00DC6CE4" w:rsidRPr="006E1978">
        <w:rPr>
          <w:rFonts w:cs="Times New Roman"/>
          <w:sz w:val="24"/>
          <w:szCs w:val="24"/>
        </w:rPr>
        <w:t xml:space="preserve"> </w:t>
      </w:r>
      <w:r w:rsidR="00A60096" w:rsidRPr="006E1978">
        <w:rPr>
          <w:rFonts w:cs="Times New Roman"/>
          <w:sz w:val="24"/>
          <w:szCs w:val="24"/>
        </w:rPr>
        <w:t xml:space="preserve">in China. </w:t>
      </w:r>
      <w:r w:rsidR="00BF590B" w:rsidRPr="006E1978">
        <w:rPr>
          <w:rFonts w:cs="Times New Roman"/>
          <w:sz w:val="24"/>
          <w:szCs w:val="24"/>
        </w:rPr>
        <w:t>To evaluate the psychometric properties of MOGS</w:t>
      </w:r>
      <w:r w:rsidR="009C13B4" w:rsidRPr="006E1978">
        <w:rPr>
          <w:rFonts w:cs="Times New Roman"/>
          <w:sz w:val="24"/>
          <w:szCs w:val="24"/>
        </w:rPr>
        <w:t>,</w:t>
      </w:r>
      <w:r w:rsidR="00BF590B" w:rsidRPr="006E1978" w:rsidDel="00BF590B">
        <w:rPr>
          <w:rFonts w:cs="Times New Roman"/>
          <w:sz w:val="24"/>
          <w:szCs w:val="24"/>
        </w:rPr>
        <w:t xml:space="preserve"> </w:t>
      </w:r>
      <w:r w:rsidR="00673A20" w:rsidRPr="006E1978">
        <w:rPr>
          <w:rFonts w:cs="Times New Roman"/>
          <w:sz w:val="24"/>
          <w:szCs w:val="24"/>
        </w:rPr>
        <w:t xml:space="preserve">we </w:t>
      </w:r>
      <w:r w:rsidR="00B23A21" w:rsidRPr="006E1978">
        <w:rPr>
          <w:rFonts w:cs="Times New Roman"/>
          <w:sz w:val="24"/>
          <w:szCs w:val="24"/>
        </w:rPr>
        <w:t>acquired</w:t>
      </w:r>
      <w:r w:rsidR="00BF590B" w:rsidRPr="006E1978">
        <w:rPr>
          <w:rFonts w:cs="Times New Roman"/>
          <w:sz w:val="24"/>
          <w:szCs w:val="24"/>
        </w:rPr>
        <w:t>, through a survey method,</w:t>
      </w:r>
      <w:r w:rsidR="00B23A21" w:rsidRPr="006E1978">
        <w:rPr>
          <w:rFonts w:cs="Times New Roman"/>
          <w:sz w:val="24"/>
          <w:szCs w:val="24"/>
        </w:rPr>
        <w:t xml:space="preserve"> </w:t>
      </w:r>
      <w:r w:rsidR="00FC5EF0" w:rsidRPr="006E1978">
        <w:rPr>
          <w:rFonts w:cs="Times New Roman"/>
          <w:sz w:val="24"/>
          <w:szCs w:val="24"/>
        </w:rPr>
        <w:t xml:space="preserve">the </w:t>
      </w:r>
      <w:r w:rsidR="00B23A21" w:rsidRPr="006E1978">
        <w:rPr>
          <w:rFonts w:cs="Times New Roman"/>
          <w:sz w:val="24"/>
          <w:szCs w:val="24"/>
        </w:rPr>
        <w:t xml:space="preserve">data </w:t>
      </w:r>
      <w:r w:rsidR="00DC6CE4" w:rsidRPr="006E1978">
        <w:rPr>
          <w:rFonts w:cs="Times New Roman"/>
          <w:sz w:val="24"/>
          <w:szCs w:val="24"/>
        </w:rPr>
        <w:t>of</w:t>
      </w:r>
      <w:r w:rsidR="00B23A21" w:rsidRPr="006E1978">
        <w:rPr>
          <w:rFonts w:cs="Times New Roman"/>
          <w:sz w:val="24"/>
          <w:szCs w:val="24"/>
        </w:rPr>
        <w:t xml:space="preserve"> 1340 lifetime gamers </w:t>
      </w:r>
      <w:r w:rsidR="00673A20" w:rsidRPr="006E1978">
        <w:rPr>
          <w:rFonts w:cs="Times New Roman"/>
          <w:sz w:val="24"/>
          <w:szCs w:val="24"/>
        </w:rPr>
        <w:t>(59.3%</w:t>
      </w:r>
      <w:r w:rsidR="00974D09" w:rsidRPr="006E1978">
        <w:rPr>
          <w:rFonts w:cs="Times New Roman"/>
          <w:sz w:val="24"/>
          <w:szCs w:val="24"/>
        </w:rPr>
        <w:t xml:space="preserve"> </w:t>
      </w:r>
      <w:r w:rsidR="00974D09" w:rsidRPr="006E1978">
        <w:rPr>
          <w:rFonts w:cs="Times New Roman" w:hint="eastAsia"/>
          <w:sz w:val="24"/>
          <w:szCs w:val="24"/>
        </w:rPr>
        <w:t>female</w:t>
      </w:r>
      <w:r w:rsidR="00673A20" w:rsidRPr="006E1978">
        <w:rPr>
          <w:rFonts w:cs="Times New Roman"/>
          <w:sz w:val="24"/>
          <w:szCs w:val="24"/>
        </w:rPr>
        <w:t xml:space="preserve">, </w:t>
      </w:r>
      <w:r w:rsidR="00673A20" w:rsidRPr="006E1978">
        <w:rPr>
          <w:rFonts w:cs="Times New Roman"/>
          <w:i/>
          <w:sz w:val="24"/>
          <w:szCs w:val="24"/>
        </w:rPr>
        <w:t>M</w:t>
      </w:r>
      <w:r w:rsidR="00673A20" w:rsidRPr="006E1978">
        <w:rPr>
          <w:rFonts w:cs="Times New Roman"/>
          <w:sz w:val="24"/>
          <w:szCs w:val="24"/>
          <w:vertAlign w:val="subscript"/>
        </w:rPr>
        <w:t>age</w:t>
      </w:r>
      <w:r w:rsidR="00673A20" w:rsidRPr="006E1978">
        <w:rPr>
          <w:rFonts w:cs="Times New Roman"/>
          <w:sz w:val="24"/>
          <w:szCs w:val="24"/>
        </w:rPr>
        <w:t xml:space="preserve"> = 19.84</w:t>
      </w:r>
      <w:r w:rsidR="00C639F6" w:rsidRPr="006E1978">
        <w:rPr>
          <w:rFonts w:cs="Times New Roman"/>
          <w:sz w:val="24"/>
          <w:szCs w:val="24"/>
        </w:rPr>
        <w:t xml:space="preserve"> years</w:t>
      </w:r>
      <w:r w:rsidR="00673A20" w:rsidRPr="006E1978">
        <w:rPr>
          <w:rFonts w:cs="Times New Roman"/>
          <w:sz w:val="24"/>
          <w:szCs w:val="24"/>
        </w:rPr>
        <w:t xml:space="preserve">) </w:t>
      </w:r>
      <w:r w:rsidR="00DC6CE4" w:rsidRPr="006E1978">
        <w:rPr>
          <w:rFonts w:cs="Times New Roman"/>
          <w:sz w:val="24"/>
          <w:szCs w:val="24"/>
        </w:rPr>
        <w:t>from universities in</w:t>
      </w:r>
      <w:r w:rsidR="00B23A21" w:rsidRPr="006E1978">
        <w:rPr>
          <w:rFonts w:cs="Times New Roman"/>
          <w:sz w:val="24"/>
          <w:szCs w:val="24"/>
        </w:rPr>
        <w:t xml:space="preserve"> China</w:t>
      </w:r>
      <w:r w:rsidR="00673A20" w:rsidRPr="006E1978">
        <w:rPr>
          <w:rFonts w:cs="Times New Roman"/>
          <w:sz w:val="24"/>
          <w:szCs w:val="24"/>
        </w:rPr>
        <w:t>,</w:t>
      </w:r>
      <w:r w:rsidR="00B23A21" w:rsidRPr="006E1978">
        <w:rPr>
          <w:rFonts w:cs="Times New Roman"/>
          <w:sz w:val="24"/>
          <w:szCs w:val="24"/>
        </w:rPr>
        <w:t xml:space="preserve"> </w:t>
      </w:r>
      <w:r w:rsidR="00673A20" w:rsidRPr="006E1978">
        <w:rPr>
          <w:rFonts w:cs="Times New Roman"/>
          <w:sz w:val="24"/>
          <w:szCs w:val="24"/>
        </w:rPr>
        <w:t xml:space="preserve">in which 262 </w:t>
      </w:r>
      <w:r w:rsidR="00DC6CE4" w:rsidRPr="006E1978">
        <w:rPr>
          <w:rFonts w:cs="Times New Roman"/>
          <w:sz w:val="24"/>
          <w:szCs w:val="24"/>
        </w:rPr>
        <w:t>gamers</w:t>
      </w:r>
      <w:r w:rsidR="00673A20" w:rsidRPr="006E1978">
        <w:rPr>
          <w:rFonts w:cs="Times New Roman"/>
          <w:sz w:val="24"/>
          <w:szCs w:val="24"/>
        </w:rPr>
        <w:t xml:space="preserve"> also participated in the one-month retest. Our results indicated that the </w:t>
      </w:r>
      <w:r w:rsidR="00B471A9" w:rsidRPr="006E1978">
        <w:rPr>
          <w:rFonts w:cs="Times New Roman"/>
          <w:sz w:val="24"/>
          <w:szCs w:val="24"/>
        </w:rPr>
        <w:t xml:space="preserve">Chinese version of </w:t>
      </w:r>
      <w:r w:rsidR="00673A20" w:rsidRPr="006E1978">
        <w:rPr>
          <w:rFonts w:cs="Times New Roman"/>
          <w:sz w:val="24"/>
          <w:szCs w:val="24"/>
        </w:rPr>
        <w:t xml:space="preserve">MOGS </w:t>
      </w:r>
      <w:r w:rsidR="0084128C" w:rsidRPr="006E1978">
        <w:rPr>
          <w:rFonts w:cs="Times New Roman"/>
          <w:sz w:val="24"/>
          <w:szCs w:val="24"/>
        </w:rPr>
        <w:t>has a two-factor structure and</w:t>
      </w:r>
      <w:r w:rsidR="00673A20" w:rsidRPr="006E1978">
        <w:rPr>
          <w:rFonts w:cs="Times New Roman"/>
          <w:sz w:val="24"/>
          <w:szCs w:val="24"/>
        </w:rPr>
        <w:t xml:space="preserve"> satisfactory </w:t>
      </w:r>
      <w:r w:rsidR="005C5F44" w:rsidRPr="006E1978">
        <w:rPr>
          <w:rFonts w:cs="Times New Roman"/>
          <w:sz w:val="24"/>
          <w:szCs w:val="24"/>
        </w:rPr>
        <w:t>reliabilit</w:t>
      </w:r>
      <w:r w:rsidR="00FC5EF0" w:rsidRPr="006E1978">
        <w:rPr>
          <w:rFonts w:cs="Times New Roman"/>
          <w:sz w:val="24"/>
          <w:szCs w:val="24"/>
        </w:rPr>
        <w:t>ies</w:t>
      </w:r>
      <w:r w:rsidR="0045454F" w:rsidRPr="006E1978">
        <w:rPr>
          <w:rFonts w:cs="Times New Roman"/>
          <w:sz w:val="24"/>
          <w:szCs w:val="24"/>
        </w:rPr>
        <w:t xml:space="preserve"> (</w:t>
      </w:r>
      <w:r w:rsidR="00DC6CE4" w:rsidRPr="006E1978">
        <w:rPr>
          <w:rFonts w:cs="Times New Roman"/>
          <w:i/>
          <w:iCs/>
          <w:kern w:val="0"/>
          <w:sz w:val="24"/>
          <w:szCs w:val="24"/>
        </w:rPr>
        <w:t>α</w:t>
      </w:r>
      <w:r w:rsidR="00DC6CE4" w:rsidRPr="006E1978">
        <w:rPr>
          <w:rFonts w:cs="Times New Roman"/>
          <w:kern w:val="0"/>
          <w:sz w:val="24"/>
          <w:szCs w:val="24"/>
        </w:rPr>
        <w:t xml:space="preserve"> = .90</w:t>
      </w:r>
      <w:r w:rsidR="00B471A9" w:rsidRPr="006E1978">
        <w:rPr>
          <w:rFonts w:cs="Times New Roman"/>
          <w:kern w:val="0"/>
          <w:sz w:val="24"/>
          <w:szCs w:val="24"/>
        </w:rPr>
        <w:t xml:space="preserve"> and.</w:t>
      </w:r>
      <w:r w:rsidR="00DC6CE4" w:rsidRPr="006E1978">
        <w:rPr>
          <w:rFonts w:cs="Times New Roman"/>
          <w:kern w:val="0"/>
          <w:sz w:val="24"/>
          <w:szCs w:val="24"/>
        </w:rPr>
        <w:t>92</w:t>
      </w:r>
      <w:r w:rsidR="005C5F44" w:rsidRPr="006E1978">
        <w:rPr>
          <w:rFonts w:cs="Times New Roman"/>
          <w:sz w:val="24"/>
          <w:szCs w:val="24"/>
        </w:rPr>
        <w:t xml:space="preserve">, </w:t>
      </w:r>
      <w:r w:rsidR="0045454F" w:rsidRPr="006E1978">
        <w:rPr>
          <w:rFonts w:cs="Times New Roman"/>
          <w:sz w:val="24"/>
          <w:szCs w:val="24"/>
        </w:rPr>
        <w:t xml:space="preserve">ICC = </w:t>
      </w:r>
      <w:r w:rsidR="00DC6CE4" w:rsidRPr="006E1978">
        <w:rPr>
          <w:rFonts w:cs="Times New Roman"/>
          <w:sz w:val="24"/>
          <w:szCs w:val="24"/>
        </w:rPr>
        <w:t>.60</w:t>
      </w:r>
      <w:r w:rsidR="00B471A9" w:rsidRPr="006E1978">
        <w:rPr>
          <w:rFonts w:cs="Times New Roman"/>
          <w:sz w:val="24"/>
          <w:szCs w:val="24"/>
        </w:rPr>
        <w:t xml:space="preserve"> and.</w:t>
      </w:r>
      <w:r w:rsidR="00DC6CE4" w:rsidRPr="006E1978">
        <w:rPr>
          <w:rFonts w:cs="Times New Roman"/>
          <w:sz w:val="24"/>
          <w:szCs w:val="24"/>
        </w:rPr>
        <w:t>6</w:t>
      </w:r>
      <w:r w:rsidR="00B471A9" w:rsidRPr="006E1978">
        <w:rPr>
          <w:rFonts w:cs="Times New Roman"/>
          <w:sz w:val="24"/>
          <w:szCs w:val="24"/>
        </w:rPr>
        <w:t xml:space="preserve">4, AVE = </w:t>
      </w:r>
      <w:r w:rsidR="00D55ECD" w:rsidRPr="006E1978">
        <w:rPr>
          <w:rFonts w:cs="Times New Roman"/>
          <w:sz w:val="24"/>
          <w:szCs w:val="24"/>
        </w:rPr>
        <w:t>.</w:t>
      </w:r>
      <w:r w:rsidR="00B471A9" w:rsidRPr="006E1978">
        <w:rPr>
          <w:rFonts w:cs="Times New Roman"/>
          <w:sz w:val="24"/>
          <w:szCs w:val="24"/>
        </w:rPr>
        <w:t xml:space="preserve">56 and .70, </w:t>
      </w:r>
      <w:proofErr w:type="spellStart"/>
      <w:r w:rsidR="00B471A9" w:rsidRPr="006E1978">
        <w:rPr>
          <w:rFonts w:cs="Times New Roman"/>
          <w:sz w:val="24"/>
          <w:szCs w:val="24"/>
        </w:rPr>
        <w:t>ρ</w:t>
      </w:r>
      <w:r w:rsidR="00B471A9" w:rsidRPr="006E1978">
        <w:rPr>
          <w:rFonts w:cs="Times New Roman"/>
          <w:sz w:val="24"/>
          <w:szCs w:val="24"/>
          <w:vertAlign w:val="subscript"/>
        </w:rPr>
        <w:t>c</w:t>
      </w:r>
      <w:proofErr w:type="spellEnd"/>
      <w:r w:rsidR="00B471A9" w:rsidRPr="006E1978">
        <w:rPr>
          <w:rFonts w:cs="Times New Roman"/>
          <w:sz w:val="24"/>
          <w:szCs w:val="24"/>
        </w:rPr>
        <w:t xml:space="preserve"> = </w:t>
      </w:r>
      <w:r w:rsidR="00D55ECD" w:rsidRPr="006E1978">
        <w:rPr>
          <w:rFonts w:cs="Times New Roman"/>
          <w:sz w:val="24"/>
          <w:szCs w:val="24"/>
        </w:rPr>
        <w:t>.</w:t>
      </w:r>
      <w:r w:rsidR="00B471A9" w:rsidRPr="006E1978">
        <w:rPr>
          <w:rFonts w:cs="Times New Roman"/>
          <w:sz w:val="24"/>
          <w:szCs w:val="24"/>
        </w:rPr>
        <w:t>88 and .92</w:t>
      </w:r>
      <w:r w:rsidR="0045454F" w:rsidRPr="006E1978">
        <w:rPr>
          <w:rFonts w:cs="Times New Roman"/>
          <w:sz w:val="24"/>
          <w:szCs w:val="24"/>
        </w:rPr>
        <w:t>)</w:t>
      </w:r>
      <w:r w:rsidR="0084128C" w:rsidRPr="006E1978">
        <w:rPr>
          <w:rFonts w:cs="Times New Roman"/>
          <w:sz w:val="24"/>
          <w:szCs w:val="24"/>
        </w:rPr>
        <w:t>. Moreover, MOGS’s</w:t>
      </w:r>
      <w:r w:rsidR="0045454F" w:rsidRPr="006E1978">
        <w:rPr>
          <w:rFonts w:cs="Times New Roman"/>
          <w:sz w:val="24"/>
          <w:szCs w:val="24"/>
        </w:rPr>
        <w:t xml:space="preserve"> </w:t>
      </w:r>
      <w:r w:rsidR="00AD72B2" w:rsidRPr="006E1978">
        <w:rPr>
          <w:rFonts w:cs="Times New Roman"/>
          <w:sz w:val="24"/>
          <w:szCs w:val="24"/>
        </w:rPr>
        <w:t>convergent</w:t>
      </w:r>
      <w:r w:rsidR="0045454F" w:rsidRPr="006E1978">
        <w:rPr>
          <w:rFonts w:cs="Times New Roman"/>
          <w:sz w:val="24"/>
          <w:szCs w:val="24"/>
        </w:rPr>
        <w:t xml:space="preserve"> validity</w:t>
      </w:r>
      <w:r w:rsidR="0084128C" w:rsidRPr="006E1978">
        <w:rPr>
          <w:rFonts w:cs="Times New Roman"/>
          <w:sz w:val="24"/>
          <w:szCs w:val="24"/>
        </w:rPr>
        <w:t xml:space="preserve"> was</w:t>
      </w:r>
      <w:r w:rsidR="0045454F" w:rsidRPr="006E1978">
        <w:rPr>
          <w:rFonts w:cs="Times New Roman"/>
          <w:sz w:val="24"/>
          <w:szCs w:val="24"/>
        </w:rPr>
        <w:t xml:space="preserve"> evidenced by </w:t>
      </w:r>
      <w:r w:rsidR="0084128C" w:rsidRPr="006E1978">
        <w:rPr>
          <w:rFonts w:cs="Times New Roman"/>
          <w:sz w:val="24"/>
          <w:szCs w:val="24"/>
        </w:rPr>
        <w:t xml:space="preserve">the </w:t>
      </w:r>
      <w:r w:rsidR="0045454F" w:rsidRPr="006E1978">
        <w:rPr>
          <w:rFonts w:cs="Times New Roman"/>
          <w:sz w:val="24"/>
          <w:szCs w:val="24"/>
        </w:rPr>
        <w:t>expected, positive associations with generic metacognition</w:t>
      </w:r>
      <w:r w:rsidR="00BF590B" w:rsidRPr="006E1978">
        <w:rPr>
          <w:rFonts w:cs="Times New Roman"/>
          <w:sz w:val="24"/>
          <w:szCs w:val="24"/>
        </w:rPr>
        <w:t>s</w:t>
      </w:r>
      <w:r w:rsidR="0045454F" w:rsidRPr="006E1978">
        <w:rPr>
          <w:rFonts w:cs="Times New Roman"/>
          <w:sz w:val="24"/>
          <w:szCs w:val="24"/>
        </w:rPr>
        <w:t>, stres</w:t>
      </w:r>
      <w:r w:rsidR="00616201" w:rsidRPr="006E1978">
        <w:rPr>
          <w:rFonts w:cs="Times New Roman"/>
          <w:sz w:val="24"/>
          <w:szCs w:val="24"/>
        </w:rPr>
        <w:t xml:space="preserve">s, and IGD </w:t>
      </w:r>
      <w:r w:rsidR="00124152" w:rsidRPr="006E1978">
        <w:rPr>
          <w:rFonts w:cs="Times New Roman"/>
          <w:sz w:val="24"/>
          <w:szCs w:val="24"/>
        </w:rPr>
        <w:t>tendency</w:t>
      </w:r>
      <w:r w:rsidR="00616201" w:rsidRPr="006E1978">
        <w:rPr>
          <w:rFonts w:cs="Times New Roman"/>
          <w:sz w:val="24"/>
          <w:szCs w:val="24"/>
        </w:rPr>
        <w:t xml:space="preserve"> (</w:t>
      </w:r>
      <w:r w:rsidR="00DC6CE4" w:rsidRPr="006E1978">
        <w:rPr>
          <w:rFonts w:cs="Times New Roman"/>
          <w:i/>
          <w:iCs/>
          <w:kern w:val="0"/>
          <w:sz w:val="24"/>
          <w:szCs w:val="24"/>
        </w:rPr>
        <w:t>r</w:t>
      </w:r>
      <w:r w:rsidR="00DC6CE4" w:rsidRPr="006E1978">
        <w:rPr>
          <w:rFonts w:cs="Times New Roman"/>
          <w:kern w:val="0"/>
          <w:sz w:val="24"/>
          <w:szCs w:val="24"/>
        </w:rPr>
        <w:t xml:space="preserve"> </w:t>
      </w:r>
      <w:r w:rsidR="00B471A9" w:rsidRPr="006E1978">
        <w:rPr>
          <w:rFonts w:cs="Times New Roman"/>
          <w:kern w:val="0"/>
          <w:sz w:val="24"/>
          <w:szCs w:val="24"/>
        </w:rPr>
        <w:t xml:space="preserve">(1338) </w:t>
      </w:r>
      <w:r w:rsidR="00DC6CE4" w:rsidRPr="006E1978">
        <w:rPr>
          <w:rFonts w:cs="Times New Roman"/>
          <w:kern w:val="0"/>
          <w:sz w:val="24"/>
          <w:szCs w:val="24"/>
        </w:rPr>
        <w:t>= .</w:t>
      </w:r>
      <w:r w:rsidR="00B471A9" w:rsidRPr="006E1978">
        <w:rPr>
          <w:rFonts w:cs="Times New Roman"/>
          <w:kern w:val="0"/>
          <w:sz w:val="24"/>
          <w:szCs w:val="24"/>
        </w:rPr>
        <w:t>29</w:t>
      </w:r>
      <w:r w:rsidR="00DC6CE4" w:rsidRPr="006E1978">
        <w:rPr>
          <w:rFonts w:cs="Times New Roman"/>
          <w:kern w:val="0"/>
          <w:sz w:val="24"/>
          <w:szCs w:val="24"/>
        </w:rPr>
        <w:t xml:space="preserve">-.55, </w:t>
      </w:r>
      <w:r w:rsidR="00DC6CE4" w:rsidRPr="006E1978">
        <w:rPr>
          <w:rFonts w:cs="Times New Roman"/>
          <w:i/>
          <w:iCs/>
          <w:kern w:val="0"/>
          <w:sz w:val="24"/>
          <w:szCs w:val="24"/>
        </w:rPr>
        <w:t>p</w:t>
      </w:r>
      <w:r w:rsidR="00DC6CE4" w:rsidRPr="006E1978">
        <w:rPr>
          <w:rFonts w:cs="Times New Roman"/>
          <w:kern w:val="0"/>
          <w:sz w:val="24"/>
          <w:szCs w:val="24"/>
        </w:rPr>
        <w:t xml:space="preserve"> &lt; .001</w:t>
      </w:r>
      <w:r w:rsidR="00616201" w:rsidRPr="006E1978">
        <w:rPr>
          <w:rFonts w:cs="Times New Roman"/>
          <w:sz w:val="24"/>
          <w:szCs w:val="24"/>
        </w:rPr>
        <w:t xml:space="preserve">) as well as significant </w:t>
      </w:r>
      <w:r w:rsidR="005C5F44" w:rsidRPr="006E1978">
        <w:rPr>
          <w:rFonts w:cs="Times New Roman"/>
          <w:sz w:val="24"/>
          <w:szCs w:val="24"/>
        </w:rPr>
        <w:t xml:space="preserve">MOGS </w:t>
      </w:r>
      <w:r w:rsidR="00616201" w:rsidRPr="006E1978">
        <w:rPr>
          <w:rFonts w:cs="Times New Roman"/>
          <w:sz w:val="24"/>
          <w:szCs w:val="24"/>
        </w:rPr>
        <w:t>differences</w:t>
      </w:r>
      <w:r w:rsidR="00DC6CE4" w:rsidRPr="006E1978">
        <w:rPr>
          <w:rFonts w:cs="Times New Roman"/>
          <w:sz w:val="24"/>
          <w:szCs w:val="24"/>
        </w:rPr>
        <w:t xml:space="preserve"> </w:t>
      </w:r>
      <w:r w:rsidR="00616201" w:rsidRPr="006E1978">
        <w:rPr>
          <w:rFonts w:cs="Times New Roman"/>
          <w:sz w:val="24"/>
          <w:szCs w:val="24"/>
        </w:rPr>
        <w:t xml:space="preserve">between probable IGD and non-IGD </w:t>
      </w:r>
      <w:r w:rsidR="005C5F44" w:rsidRPr="006E1978">
        <w:rPr>
          <w:rFonts w:cs="Times New Roman"/>
          <w:sz w:val="24"/>
          <w:szCs w:val="24"/>
        </w:rPr>
        <w:t>gamers</w:t>
      </w:r>
      <w:r w:rsidR="00616201" w:rsidRPr="006E1978">
        <w:rPr>
          <w:rFonts w:cs="Times New Roman"/>
          <w:sz w:val="24"/>
          <w:szCs w:val="24"/>
        </w:rPr>
        <w:t xml:space="preserve"> (</w:t>
      </w:r>
      <w:r w:rsidR="00616201" w:rsidRPr="006E1978">
        <w:rPr>
          <w:rFonts w:cs="Times New Roman"/>
          <w:i/>
          <w:sz w:val="24"/>
          <w:szCs w:val="24"/>
        </w:rPr>
        <w:t>p</w:t>
      </w:r>
      <w:r w:rsidR="00616201" w:rsidRPr="006E1978">
        <w:rPr>
          <w:rFonts w:cs="Times New Roman"/>
          <w:sz w:val="24"/>
          <w:szCs w:val="24"/>
        </w:rPr>
        <w:t xml:space="preserve"> </w:t>
      </w:r>
      <w:r w:rsidR="00DC6CE4" w:rsidRPr="006E1978">
        <w:rPr>
          <w:rFonts w:cs="Times New Roman"/>
          <w:sz w:val="24"/>
          <w:szCs w:val="24"/>
        </w:rPr>
        <w:t>&lt; .001</w:t>
      </w:r>
      <w:r w:rsidR="00616201" w:rsidRPr="006E1978">
        <w:rPr>
          <w:rFonts w:cs="Times New Roman"/>
          <w:sz w:val="24"/>
          <w:szCs w:val="24"/>
        </w:rPr>
        <w:t xml:space="preserve">). </w:t>
      </w:r>
      <w:r w:rsidR="0084128C" w:rsidRPr="006E1978">
        <w:rPr>
          <w:rFonts w:cs="Times New Roman"/>
          <w:sz w:val="24"/>
          <w:szCs w:val="24"/>
        </w:rPr>
        <w:t>A</w:t>
      </w:r>
      <w:r w:rsidR="00616201" w:rsidRPr="006E1978">
        <w:rPr>
          <w:rFonts w:cs="Times New Roman"/>
          <w:sz w:val="24"/>
          <w:szCs w:val="24"/>
        </w:rPr>
        <w:t xml:space="preserve"> 6-item, short-form MOGS</w:t>
      </w:r>
      <w:r w:rsidR="0084128C" w:rsidRPr="006E1978">
        <w:rPr>
          <w:rFonts w:cs="Times New Roman"/>
          <w:sz w:val="24"/>
          <w:szCs w:val="24"/>
        </w:rPr>
        <w:t>,</w:t>
      </w:r>
      <w:r w:rsidR="00616201" w:rsidRPr="006E1978">
        <w:rPr>
          <w:rFonts w:cs="Times New Roman"/>
          <w:sz w:val="24"/>
          <w:szCs w:val="24"/>
        </w:rPr>
        <w:t xml:space="preserve"> which displayed equivalent psychometric soundness as its full-scale </w:t>
      </w:r>
      <w:r w:rsidR="00BF590B" w:rsidRPr="006E1978">
        <w:rPr>
          <w:rFonts w:cs="Times New Roman"/>
          <w:sz w:val="24"/>
          <w:szCs w:val="24"/>
        </w:rPr>
        <w:t>counterpart</w:t>
      </w:r>
      <w:r w:rsidR="00616201" w:rsidRPr="006E1978">
        <w:rPr>
          <w:rFonts w:cs="Times New Roman"/>
          <w:sz w:val="24"/>
          <w:szCs w:val="24"/>
        </w:rPr>
        <w:t xml:space="preserve">, </w:t>
      </w:r>
      <w:r w:rsidR="0084128C" w:rsidRPr="006E1978">
        <w:rPr>
          <w:rFonts w:cs="Times New Roman"/>
          <w:sz w:val="24"/>
          <w:szCs w:val="24"/>
        </w:rPr>
        <w:t>was also developed</w:t>
      </w:r>
      <w:r w:rsidR="00616201" w:rsidRPr="006E1978">
        <w:rPr>
          <w:rFonts w:cs="Times New Roman"/>
          <w:sz w:val="24"/>
          <w:szCs w:val="24"/>
        </w:rPr>
        <w:t xml:space="preserve">. As the first study to validate MOGS among Chinese gamers, </w:t>
      </w:r>
      <w:r w:rsidR="00DC6CE4" w:rsidRPr="006E1978">
        <w:rPr>
          <w:rFonts w:cs="Times New Roman"/>
          <w:sz w:val="24"/>
          <w:szCs w:val="24"/>
        </w:rPr>
        <w:t xml:space="preserve">the present study attested to the readiness of </w:t>
      </w:r>
      <w:r w:rsidR="00BF590B" w:rsidRPr="006E1978">
        <w:rPr>
          <w:rFonts w:cs="Times New Roman"/>
          <w:sz w:val="24"/>
          <w:szCs w:val="24"/>
        </w:rPr>
        <w:t xml:space="preserve">this measure in facilitating </w:t>
      </w:r>
      <w:r w:rsidR="00DC6CE4" w:rsidRPr="006E1978">
        <w:rPr>
          <w:rFonts w:cs="Times New Roman"/>
          <w:sz w:val="24"/>
          <w:szCs w:val="24"/>
        </w:rPr>
        <w:t xml:space="preserve">further studies of </w:t>
      </w:r>
      <w:r w:rsidR="0084128C" w:rsidRPr="006E1978">
        <w:rPr>
          <w:rFonts w:cs="Times New Roman"/>
          <w:sz w:val="24"/>
          <w:szCs w:val="24"/>
        </w:rPr>
        <w:t xml:space="preserve">gaming-specific </w:t>
      </w:r>
      <w:r w:rsidR="00DC6CE4" w:rsidRPr="006E1978">
        <w:rPr>
          <w:rFonts w:cs="Times New Roman"/>
          <w:sz w:val="24"/>
          <w:szCs w:val="24"/>
        </w:rPr>
        <w:t xml:space="preserve">metacognitions </w:t>
      </w:r>
      <w:r w:rsidR="00792616" w:rsidRPr="006E1978">
        <w:rPr>
          <w:rFonts w:cs="Times New Roman"/>
          <w:sz w:val="24"/>
          <w:szCs w:val="24"/>
        </w:rPr>
        <w:t>for</w:t>
      </w:r>
      <w:r w:rsidR="004B43D2" w:rsidRPr="006E1978">
        <w:rPr>
          <w:rFonts w:cs="Times New Roman"/>
          <w:sz w:val="24"/>
          <w:szCs w:val="24"/>
        </w:rPr>
        <w:t xml:space="preserve"> early identification </w:t>
      </w:r>
      <w:r w:rsidR="00792616" w:rsidRPr="006E1978">
        <w:rPr>
          <w:rFonts w:cs="Times New Roman"/>
          <w:sz w:val="24"/>
          <w:szCs w:val="24"/>
        </w:rPr>
        <w:t xml:space="preserve">of </w:t>
      </w:r>
      <w:r w:rsidR="004B43D2" w:rsidRPr="006E1978">
        <w:rPr>
          <w:rFonts w:cs="Times New Roman"/>
          <w:sz w:val="24"/>
          <w:szCs w:val="24"/>
        </w:rPr>
        <w:t>and tailored intervention</w:t>
      </w:r>
      <w:r w:rsidR="00792616" w:rsidRPr="006E1978">
        <w:rPr>
          <w:rFonts w:cs="Times New Roman"/>
          <w:sz w:val="24"/>
          <w:szCs w:val="24"/>
        </w:rPr>
        <w:t>s for</w:t>
      </w:r>
      <w:r w:rsidR="004B43D2" w:rsidRPr="006E1978">
        <w:rPr>
          <w:rFonts w:cs="Times New Roman"/>
          <w:sz w:val="24"/>
          <w:szCs w:val="24"/>
        </w:rPr>
        <w:t xml:space="preserve"> high-risk gamers in China.</w:t>
      </w:r>
    </w:p>
    <w:p w14:paraId="3DB5862D" w14:textId="77777777" w:rsidR="004B43D2" w:rsidRPr="006E1978" w:rsidRDefault="004B43D2" w:rsidP="003C4B70">
      <w:pPr>
        <w:jc w:val="left"/>
        <w:rPr>
          <w:rFonts w:cs="Times New Roman"/>
          <w:sz w:val="24"/>
          <w:szCs w:val="24"/>
        </w:rPr>
      </w:pPr>
    </w:p>
    <w:p w14:paraId="566000FA" w14:textId="4393B21A" w:rsidR="00334790" w:rsidRPr="006E1978" w:rsidRDefault="00C319B8" w:rsidP="003C4B70">
      <w:pPr>
        <w:jc w:val="left"/>
        <w:rPr>
          <w:rFonts w:cs="Times New Roman"/>
          <w:sz w:val="24"/>
          <w:szCs w:val="24"/>
        </w:rPr>
      </w:pPr>
      <w:bookmarkStart w:id="2" w:name="OLE_LINK5"/>
      <w:bookmarkStart w:id="3" w:name="OLE_LINK6"/>
      <w:r w:rsidRPr="006E1978">
        <w:rPr>
          <w:rFonts w:cs="Times New Roman"/>
          <w:b/>
          <w:bCs/>
          <w:i/>
          <w:sz w:val="24"/>
          <w:szCs w:val="24"/>
        </w:rPr>
        <w:t>Keywords</w:t>
      </w:r>
      <w:r w:rsidRPr="006E1978">
        <w:rPr>
          <w:rFonts w:cs="Times New Roman"/>
          <w:b/>
          <w:bCs/>
          <w:sz w:val="24"/>
          <w:szCs w:val="24"/>
        </w:rPr>
        <w:t>:</w:t>
      </w:r>
      <w:r w:rsidRPr="006E1978">
        <w:rPr>
          <w:rFonts w:cs="Times New Roman"/>
          <w:sz w:val="24"/>
          <w:szCs w:val="24"/>
        </w:rPr>
        <w:t xml:space="preserve"> </w:t>
      </w:r>
      <w:r w:rsidR="00272D68" w:rsidRPr="006E1978">
        <w:rPr>
          <w:rFonts w:cs="Times New Roman"/>
          <w:sz w:val="24"/>
          <w:szCs w:val="24"/>
        </w:rPr>
        <w:t xml:space="preserve">Chinese, gaming disorder, generic metacognitions, Internet Gaming Disorder, </w:t>
      </w:r>
      <w:r w:rsidR="005C5901" w:rsidRPr="006E1978">
        <w:rPr>
          <w:rFonts w:cs="Times New Roman"/>
          <w:sz w:val="24"/>
          <w:szCs w:val="24"/>
        </w:rPr>
        <w:t>metacognition</w:t>
      </w:r>
      <w:r w:rsidR="00BF590B" w:rsidRPr="006E1978">
        <w:rPr>
          <w:rFonts w:cs="Times New Roman"/>
          <w:sz w:val="24"/>
          <w:szCs w:val="24"/>
        </w:rPr>
        <w:t>s</w:t>
      </w:r>
      <w:r w:rsidR="005C5901" w:rsidRPr="006E1978">
        <w:rPr>
          <w:rFonts w:cs="Times New Roman"/>
          <w:sz w:val="24"/>
          <w:szCs w:val="24"/>
        </w:rPr>
        <w:t xml:space="preserve"> </w:t>
      </w:r>
      <w:r w:rsidR="002347BC" w:rsidRPr="006E1978">
        <w:rPr>
          <w:rFonts w:cs="Times New Roman"/>
          <w:sz w:val="24"/>
          <w:szCs w:val="24"/>
        </w:rPr>
        <w:t xml:space="preserve">about online gaming, </w:t>
      </w:r>
      <w:r w:rsidR="005C5F44" w:rsidRPr="006E1978">
        <w:rPr>
          <w:rFonts w:cs="Times New Roman"/>
          <w:sz w:val="24"/>
          <w:szCs w:val="24"/>
        </w:rPr>
        <w:t>psychometric properties</w:t>
      </w:r>
    </w:p>
    <w:bookmarkEnd w:id="2"/>
    <w:bookmarkEnd w:id="3"/>
    <w:p w14:paraId="2211A36B" w14:textId="4A8A882E" w:rsidR="002347BC" w:rsidRPr="006E1978" w:rsidRDefault="002347BC" w:rsidP="00EB37DB">
      <w:pPr>
        <w:jc w:val="left"/>
        <w:rPr>
          <w:rFonts w:cs="Times New Roman"/>
          <w:sz w:val="24"/>
          <w:szCs w:val="24"/>
        </w:rPr>
      </w:pPr>
      <w:r w:rsidRPr="006E1978">
        <w:rPr>
          <w:rFonts w:cs="Times New Roman"/>
          <w:sz w:val="24"/>
          <w:szCs w:val="24"/>
        </w:rPr>
        <w:br w:type="page"/>
      </w:r>
    </w:p>
    <w:p w14:paraId="3EB0D5FD" w14:textId="1C3A78D7" w:rsidR="00B828D8" w:rsidRPr="006E1978" w:rsidRDefault="00B828D8" w:rsidP="00792616">
      <w:pPr>
        <w:snapToGrid w:val="0"/>
        <w:spacing w:line="480" w:lineRule="auto"/>
        <w:jc w:val="left"/>
        <w:rPr>
          <w:rFonts w:cs="Times New Roman"/>
          <w:b/>
          <w:bCs/>
          <w:sz w:val="24"/>
          <w:szCs w:val="24"/>
        </w:rPr>
      </w:pPr>
      <w:r w:rsidRPr="006E1978">
        <w:rPr>
          <w:rFonts w:cs="Times New Roman"/>
          <w:b/>
          <w:bCs/>
          <w:sz w:val="24"/>
          <w:szCs w:val="24"/>
        </w:rPr>
        <w:lastRenderedPageBreak/>
        <w:t xml:space="preserve">1. Introduction </w:t>
      </w:r>
    </w:p>
    <w:p w14:paraId="34913FD7" w14:textId="1FF2886B" w:rsidR="00856991" w:rsidRPr="006E1978" w:rsidRDefault="006274EB" w:rsidP="00792616">
      <w:pPr>
        <w:snapToGrid w:val="0"/>
        <w:spacing w:line="480" w:lineRule="auto"/>
        <w:ind w:firstLine="420"/>
        <w:jc w:val="left"/>
        <w:rPr>
          <w:rFonts w:eastAsia="PMingLiU" w:cs="Times New Roman"/>
          <w:sz w:val="24"/>
          <w:szCs w:val="24"/>
          <w:lang w:eastAsia="zh-TW"/>
        </w:rPr>
      </w:pPr>
      <w:r w:rsidRPr="006E1978">
        <w:rPr>
          <w:rFonts w:cs="Times New Roman"/>
          <w:sz w:val="24"/>
          <w:szCs w:val="24"/>
        </w:rPr>
        <w:t xml:space="preserve">Internet </w:t>
      </w:r>
      <w:r w:rsidR="00BF590B" w:rsidRPr="006E1978">
        <w:rPr>
          <w:rFonts w:cs="Times New Roman"/>
          <w:sz w:val="24"/>
          <w:szCs w:val="24"/>
        </w:rPr>
        <w:t xml:space="preserve">Gaming Disorder </w:t>
      </w:r>
      <w:r w:rsidRPr="006E1978">
        <w:rPr>
          <w:rFonts w:cs="Times New Roman"/>
          <w:sz w:val="24"/>
          <w:szCs w:val="24"/>
        </w:rPr>
        <w:t>(IGD)</w:t>
      </w:r>
      <w:r w:rsidR="0046080C" w:rsidRPr="006E1978">
        <w:rPr>
          <w:rFonts w:cs="Times New Roman"/>
          <w:sz w:val="24"/>
          <w:szCs w:val="24"/>
        </w:rPr>
        <w:t xml:space="preserve"> </w:t>
      </w:r>
      <w:r w:rsidR="00C86A3F" w:rsidRPr="006E1978">
        <w:rPr>
          <w:rFonts w:cs="Times New Roman"/>
          <w:sz w:val="24"/>
          <w:szCs w:val="24"/>
        </w:rPr>
        <w:t xml:space="preserve">or gaming disorder (GD) </w:t>
      </w:r>
      <w:r w:rsidRPr="006E1978">
        <w:rPr>
          <w:rFonts w:cs="Times New Roman"/>
          <w:sz w:val="24"/>
          <w:szCs w:val="24"/>
        </w:rPr>
        <w:t>is a persistent and recurrent pattern of excessive and uncontrollable Internet gaming</w:t>
      </w:r>
      <w:r w:rsidR="009C13B4" w:rsidRPr="006E1978">
        <w:rPr>
          <w:rFonts w:cs="Times New Roman"/>
          <w:sz w:val="24"/>
          <w:szCs w:val="24"/>
        </w:rPr>
        <w:t>,</w:t>
      </w:r>
      <w:r w:rsidRPr="006E1978">
        <w:rPr>
          <w:rFonts w:cs="Times New Roman"/>
          <w:sz w:val="24"/>
          <w:szCs w:val="24"/>
        </w:rPr>
        <w:t xml:space="preserve"> </w:t>
      </w:r>
      <w:r w:rsidR="0051395B" w:rsidRPr="006E1978">
        <w:rPr>
          <w:rFonts w:cs="Times New Roman"/>
          <w:sz w:val="24"/>
          <w:szCs w:val="24"/>
        </w:rPr>
        <w:t xml:space="preserve">which </w:t>
      </w:r>
      <w:r w:rsidRPr="006E1978">
        <w:rPr>
          <w:rFonts w:cs="Times New Roman"/>
          <w:sz w:val="24"/>
          <w:szCs w:val="24"/>
        </w:rPr>
        <w:t xml:space="preserve">results in a cluster of cognitive and behavioral symptoms, </w:t>
      </w:r>
      <w:r w:rsidR="00BB0B90" w:rsidRPr="006E1978">
        <w:rPr>
          <w:rFonts w:cs="Times New Roman"/>
          <w:sz w:val="24"/>
          <w:szCs w:val="24"/>
        </w:rPr>
        <w:t>impair</w:t>
      </w:r>
      <w:r w:rsidR="00C86A3F" w:rsidRPr="006E1978">
        <w:rPr>
          <w:rFonts w:cs="Times New Roman"/>
          <w:sz w:val="24"/>
          <w:szCs w:val="24"/>
        </w:rPr>
        <w:t xml:space="preserve">ed </w:t>
      </w:r>
      <w:r w:rsidRPr="006E1978">
        <w:rPr>
          <w:rFonts w:cs="Times New Roman"/>
          <w:sz w:val="24"/>
          <w:szCs w:val="24"/>
        </w:rPr>
        <w:t xml:space="preserve">daily functioning, and </w:t>
      </w:r>
      <w:r w:rsidR="00BB0B90" w:rsidRPr="006E1978">
        <w:rPr>
          <w:rFonts w:cs="Times New Roman"/>
          <w:sz w:val="24"/>
          <w:szCs w:val="24"/>
        </w:rPr>
        <w:t xml:space="preserve">significant </w:t>
      </w:r>
      <w:r w:rsidRPr="006E1978">
        <w:rPr>
          <w:rFonts w:cs="Times New Roman"/>
          <w:sz w:val="24"/>
          <w:szCs w:val="24"/>
        </w:rPr>
        <w:t>psychological distress (American Psychiatric Association [APA], 2013; World Health Organization [WHO], 2019).</w:t>
      </w:r>
      <w:r w:rsidRPr="006E1978" w:rsidDel="00DA3270">
        <w:rPr>
          <w:rFonts w:cs="Times New Roman"/>
          <w:sz w:val="24"/>
          <w:szCs w:val="24"/>
        </w:rPr>
        <w:t xml:space="preserve"> </w:t>
      </w:r>
      <w:r w:rsidR="0046080C" w:rsidRPr="006E1978">
        <w:rPr>
          <w:rFonts w:cs="Times New Roman"/>
          <w:sz w:val="24"/>
          <w:szCs w:val="24"/>
        </w:rPr>
        <w:t>T</w:t>
      </w:r>
      <w:r w:rsidR="00E20F38" w:rsidRPr="006E1978">
        <w:rPr>
          <w:rFonts w:cs="Times New Roman"/>
          <w:sz w:val="24"/>
          <w:szCs w:val="24"/>
        </w:rPr>
        <w:t xml:space="preserve">he prevalence of </w:t>
      </w:r>
      <w:r w:rsidR="00112870" w:rsidRPr="006E1978">
        <w:rPr>
          <w:rFonts w:cs="Times New Roman"/>
          <w:sz w:val="24"/>
          <w:szCs w:val="24"/>
        </w:rPr>
        <w:t>I</w:t>
      </w:r>
      <w:r w:rsidR="00A03D41" w:rsidRPr="006E1978">
        <w:rPr>
          <w:rFonts w:cs="Times New Roman"/>
          <w:sz w:val="24"/>
          <w:szCs w:val="24"/>
        </w:rPr>
        <w:t>GD</w:t>
      </w:r>
      <w:r w:rsidRPr="006E1978">
        <w:rPr>
          <w:rFonts w:cs="Times New Roman"/>
          <w:sz w:val="24"/>
          <w:szCs w:val="24"/>
        </w:rPr>
        <w:t>, formerly known as problematic online gaming</w:t>
      </w:r>
      <w:r w:rsidR="00792616" w:rsidRPr="006E1978">
        <w:rPr>
          <w:rFonts w:cs="Times New Roman"/>
          <w:sz w:val="24"/>
          <w:szCs w:val="24"/>
        </w:rPr>
        <w:t xml:space="preserve"> and gaming addiction</w:t>
      </w:r>
      <w:r w:rsidRPr="006E1978">
        <w:rPr>
          <w:rFonts w:cs="Times New Roman"/>
          <w:sz w:val="24"/>
          <w:szCs w:val="24"/>
        </w:rPr>
        <w:t>,</w:t>
      </w:r>
      <w:r w:rsidR="00E20F38" w:rsidRPr="006E1978">
        <w:rPr>
          <w:rFonts w:cs="Times New Roman"/>
          <w:sz w:val="24"/>
          <w:szCs w:val="24"/>
        </w:rPr>
        <w:t xml:space="preserve"> </w:t>
      </w:r>
      <w:r w:rsidR="0051395B" w:rsidRPr="006E1978">
        <w:rPr>
          <w:rFonts w:cs="Times New Roman"/>
          <w:sz w:val="24"/>
          <w:szCs w:val="24"/>
        </w:rPr>
        <w:t xml:space="preserve">ranges </w:t>
      </w:r>
      <w:r w:rsidR="00621432" w:rsidRPr="006E1978">
        <w:rPr>
          <w:rFonts w:cs="Times New Roman"/>
          <w:sz w:val="24"/>
          <w:szCs w:val="24"/>
        </w:rPr>
        <w:t>from 3.5% to 17</w:t>
      </w:r>
      <w:r w:rsidR="0046080C" w:rsidRPr="006E1978">
        <w:rPr>
          <w:rFonts w:cs="Times New Roman"/>
          <w:sz w:val="24"/>
          <w:szCs w:val="24"/>
        </w:rPr>
        <w:t>.0</w:t>
      </w:r>
      <w:r w:rsidR="00621432" w:rsidRPr="006E1978">
        <w:rPr>
          <w:rFonts w:cs="Times New Roman"/>
          <w:sz w:val="24"/>
          <w:szCs w:val="24"/>
        </w:rPr>
        <w:t>%</w:t>
      </w:r>
      <w:r w:rsidR="00792616" w:rsidRPr="006E1978">
        <w:rPr>
          <w:rFonts w:cs="Times New Roman"/>
          <w:sz w:val="24"/>
          <w:szCs w:val="24"/>
        </w:rPr>
        <w:t xml:space="preserve"> in China</w:t>
      </w:r>
      <w:r w:rsidR="00621432" w:rsidRPr="006E1978">
        <w:rPr>
          <w:rFonts w:cs="Times New Roman"/>
          <w:sz w:val="24"/>
          <w:szCs w:val="24"/>
        </w:rPr>
        <w:t xml:space="preserve"> (Long et al., 2018)</w:t>
      </w:r>
      <w:r w:rsidR="00792616" w:rsidRPr="006E1978">
        <w:rPr>
          <w:rFonts w:cs="Times New Roman"/>
          <w:sz w:val="24"/>
          <w:szCs w:val="24"/>
        </w:rPr>
        <w:t xml:space="preserve">, </w:t>
      </w:r>
      <w:r w:rsidR="00E20F38" w:rsidRPr="006E1978">
        <w:rPr>
          <w:rFonts w:cs="Times New Roman"/>
          <w:sz w:val="24"/>
          <w:szCs w:val="24"/>
        </w:rPr>
        <w:t xml:space="preserve">higher than </w:t>
      </w:r>
      <w:r w:rsidR="0046080C" w:rsidRPr="006E1978">
        <w:rPr>
          <w:rFonts w:cs="Times New Roman"/>
          <w:sz w:val="24"/>
          <w:szCs w:val="24"/>
        </w:rPr>
        <w:t>the pooled estimation of its global prevalence of 2.47- 3.05%</w:t>
      </w:r>
      <w:r w:rsidR="00E20F38" w:rsidRPr="006E1978">
        <w:rPr>
          <w:rFonts w:cs="Times New Roman"/>
          <w:sz w:val="24"/>
          <w:szCs w:val="24"/>
        </w:rPr>
        <w:t xml:space="preserve"> (</w:t>
      </w:r>
      <w:r w:rsidR="0046080C" w:rsidRPr="006E1978">
        <w:rPr>
          <w:rFonts w:cs="Times New Roman"/>
          <w:sz w:val="24"/>
          <w:szCs w:val="24"/>
        </w:rPr>
        <w:t xml:space="preserve">Pan et al., 2020; </w:t>
      </w:r>
      <w:r w:rsidR="00E20F38" w:rsidRPr="006E1978">
        <w:rPr>
          <w:rFonts w:cs="Times New Roman"/>
          <w:sz w:val="24"/>
          <w:szCs w:val="24"/>
        </w:rPr>
        <w:t xml:space="preserve">Stevens et al., 2021). </w:t>
      </w:r>
      <w:r w:rsidR="0046080C" w:rsidRPr="006E1978">
        <w:rPr>
          <w:rFonts w:cs="Times New Roman"/>
          <w:sz w:val="24"/>
          <w:szCs w:val="24"/>
        </w:rPr>
        <w:t xml:space="preserve">According to the latest statistics of gamers worldwide (Lai, 2021), 20.5% of the overall 3243.3 million gamers were from China. This alarmingly large-sized </w:t>
      </w:r>
      <w:r w:rsidR="00703552" w:rsidRPr="006E1978">
        <w:rPr>
          <w:rFonts w:cs="Times New Roman"/>
          <w:sz w:val="24"/>
          <w:szCs w:val="24"/>
        </w:rPr>
        <w:t xml:space="preserve">Chinese </w:t>
      </w:r>
      <w:r w:rsidR="0046080C" w:rsidRPr="006E1978">
        <w:rPr>
          <w:rFonts w:cs="Times New Roman"/>
          <w:sz w:val="24"/>
          <w:szCs w:val="24"/>
        </w:rPr>
        <w:t xml:space="preserve">gamer population, accompanied with the heightened IGD rate, </w:t>
      </w:r>
      <w:r w:rsidR="0051395B" w:rsidRPr="006E1978">
        <w:rPr>
          <w:rFonts w:eastAsia="PMingLiU" w:cs="Times New Roman"/>
          <w:sz w:val="24"/>
          <w:szCs w:val="24"/>
          <w:lang w:eastAsia="zh-TW"/>
        </w:rPr>
        <w:t>underscores</w:t>
      </w:r>
      <w:r w:rsidR="0051395B" w:rsidRPr="006E1978">
        <w:rPr>
          <w:rFonts w:cs="Times New Roman"/>
          <w:sz w:val="24"/>
          <w:szCs w:val="24"/>
        </w:rPr>
        <w:t xml:space="preserve"> </w:t>
      </w:r>
      <w:r w:rsidR="002B522A" w:rsidRPr="006E1978">
        <w:rPr>
          <w:rFonts w:cs="Times New Roman"/>
          <w:sz w:val="24"/>
          <w:szCs w:val="24"/>
        </w:rPr>
        <w:t xml:space="preserve">the </w:t>
      </w:r>
      <w:r w:rsidR="00A976BF" w:rsidRPr="006E1978">
        <w:rPr>
          <w:rFonts w:cs="Times New Roman"/>
          <w:sz w:val="24"/>
          <w:szCs w:val="24"/>
        </w:rPr>
        <w:t>long-lasting</w:t>
      </w:r>
      <w:r w:rsidR="002B522A" w:rsidRPr="006E1978">
        <w:rPr>
          <w:rFonts w:cs="Times New Roman"/>
          <w:sz w:val="24"/>
          <w:szCs w:val="24"/>
        </w:rPr>
        <w:t xml:space="preserve"> need of </w:t>
      </w:r>
      <w:r w:rsidR="00703552" w:rsidRPr="006E1978">
        <w:rPr>
          <w:rFonts w:cs="Times New Roman"/>
          <w:sz w:val="24"/>
          <w:szCs w:val="24"/>
        </w:rPr>
        <w:t xml:space="preserve">identifying </w:t>
      </w:r>
      <w:r w:rsidR="00C36C98" w:rsidRPr="006E1978">
        <w:rPr>
          <w:rFonts w:cs="Times New Roman"/>
          <w:sz w:val="24"/>
          <w:szCs w:val="24"/>
        </w:rPr>
        <w:t>risk factors</w:t>
      </w:r>
      <w:r w:rsidR="00703552" w:rsidRPr="006E1978">
        <w:rPr>
          <w:rFonts w:cs="Times New Roman"/>
          <w:sz w:val="24"/>
          <w:szCs w:val="24"/>
        </w:rPr>
        <w:t xml:space="preserve"> of IGD </w:t>
      </w:r>
      <w:r w:rsidR="001A13E2" w:rsidRPr="006E1978">
        <w:rPr>
          <w:rFonts w:cs="Times New Roman"/>
          <w:sz w:val="24"/>
          <w:szCs w:val="24"/>
        </w:rPr>
        <w:t xml:space="preserve">and </w:t>
      </w:r>
      <w:r w:rsidR="00C40D1F" w:rsidRPr="006E1978">
        <w:rPr>
          <w:rFonts w:cs="Times New Roman"/>
          <w:sz w:val="24"/>
          <w:szCs w:val="24"/>
        </w:rPr>
        <w:t xml:space="preserve">providing reliable and valid </w:t>
      </w:r>
      <w:r w:rsidR="001A13E2" w:rsidRPr="006E1978">
        <w:rPr>
          <w:rFonts w:cs="Times New Roman"/>
          <w:sz w:val="24"/>
          <w:szCs w:val="24"/>
        </w:rPr>
        <w:t>assessment tools</w:t>
      </w:r>
      <w:r w:rsidR="00C40D1F" w:rsidRPr="006E1978">
        <w:rPr>
          <w:rFonts w:cs="Times New Roman"/>
          <w:sz w:val="24"/>
          <w:szCs w:val="24"/>
        </w:rPr>
        <w:t xml:space="preserve"> </w:t>
      </w:r>
      <w:r w:rsidR="0051395B" w:rsidRPr="006E1978">
        <w:rPr>
          <w:rFonts w:cs="Times New Roman"/>
          <w:sz w:val="24"/>
          <w:szCs w:val="24"/>
        </w:rPr>
        <w:t xml:space="preserve">for </w:t>
      </w:r>
      <w:r w:rsidR="00C40D1F" w:rsidRPr="006E1978">
        <w:rPr>
          <w:rFonts w:cs="Times New Roman"/>
          <w:sz w:val="24"/>
          <w:szCs w:val="24"/>
        </w:rPr>
        <w:t xml:space="preserve">these corresponding </w:t>
      </w:r>
      <w:r w:rsidR="00C36C98" w:rsidRPr="006E1978">
        <w:rPr>
          <w:rFonts w:cs="Times New Roman"/>
          <w:sz w:val="24"/>
          <w:szCs w:val="24"/>
        </w:rPr>
        <w:t xml:space="preserve">factors </w:t>
      </w:r>
      <w:r w:rsidR="0051395B" w:rsidRPr="006E1978">
        <w:rPr>
          <w:rFonts w:cs="Times New Roman"/>
          <w:sz w:val="24"/>
          <w:szCs w:val="24"/>
        </w:rPr>
        <w:t>in the</w:t>
      </w:r>
      <w:r w:rsidR="001A13E2" w:rsidRPr="006E1978">
        <w:rPr>
          <w:rFonts w:cs="Times New Roman"/>
          <w:sz w:val="24"/>
          <w:szCs w:val="24"/>
        </w:rPr>
        <w:t xml:space="preserve"> </w:t>
      </w:r>
      <w:r w:rsidR="002B522A" w:rsidRPr="006E1978">
        <w:rPr>
          <w:rFonts w:cs="Times New Roman"/>
          <w:sz w:val="24"/>
          <w:szCs w:val="24"/>
        </w:rPr>
        <w:t>early identification of high-risk gamers and</w:t>
      </w:r>
      <w:r w:rsidR="001A13E2" w:rsidRPr="006E1978">
        <w:rPr>
          <w:rFonts w:cs="Times New Roman"/>
          <w:sz w:val="24"/>
          <w:szCs w:val="24"/>
        </w:rPr>
        <w:t xml:space="preserve"> </w:t>
      </w:r>
      <w:r w:rsidR="002B522A" w:rsidRPr="006E1978">
        <w:rPr>
          <w:rFonts w:cs="Times New Roman"/>
          <w:sz w:val="24"/>
          <w:szCs w:val="24"/>
        </w:rPr>
        <w:t>timely intervention</w:t>
      </w:r>
      <w:r w:rsidR="0051395B" w:rsidRPr="006E1978">
        <w:rPr>
          <w:rFonts w:cs="Times New Roman"/>
          <w:sz w:val="24"/>
          <w:szCs w:val="24"/>
        </w:rPr>
        <w:t>s</w:t>
      </w:r>
      <w:r w:rsidR="002B522A" w:rsidRPr="006E1978">
        <w:rPr>
          <w:rFonts w:cs="Times New Roman"/>
          <w:sz w:val="24"/>
          <w:szCs w:val="24"/>
        </w:rPr>
        <w:t>.</w:t>
      </w:r>
      <w:r w:rsidR="001A13E2" w:rsidRPr="006E1978">
        <w:rPr>
          <w:rFonts w:cs="Times New Roman"/>
          <w:sz w:val="24"/>
          <w:szCs w:val="24"/>
        </w:rPr>
        <w:t xml:space="preserve"> Responding to such a </w:t>
      </w:r>
      <w:r w:rsidR="005D4E7E" w:rsidRPr="006E1978">
        <w:rPr>
          <w:rFonts w:cs="Times New Roman"/>
          <w:sz w:val="24"/>
          <w:szCs w:val="24"/>
        </w:rPr>
        <w:t>need</w:t>
      </w:r>
      <w:r w:rsidR="001A13E2" w:rsidRPr="006E1978">
        <w:rPr>
          <w:rFonts w:cs="Times New Roman"/>
          <w:sz w:val="24"/>
          <w:szCs w:val="24"/>
        </w:rPr>
        <w:t xml:space="preserve">, the </w:t>
      </w:r>
      <w:r w:rsidR="003D721B" w:rsidRPr="006E1978">
        <w:rPr>
          <w:rFonts w:cs="Times New Roman"/>
          <w:sz w:val="24"/>
          <w:szCs w:val="24"/>
        </w:rPr>
        <w:t xml:space="preserve">present study aimed to validate </w:t>
      </w:r>
      <w:r w:rsidR="00F952EE" w:rsidRPr="006E1978">
        <w:rPr>
          <w:rFonts w:cs="Times New Roman"/>
          <w:sz w:val="24"/>
          <w:szCs w:val="24"/>
        </w:rPr>
        <w:t>the Metacognition</w:t>
      </w:r>
      <w:r w:rsidR="0051395B" w:rsidRPr="006E1978">
        <w:rPr>
          <w:rFonts w:cs="Times New Roman"/>
          <w:sz w:val="24"/>
          <w:szCs w:val="24"/>
        </w:rPr>
        <w:t>s</w:t>
      </w:r>
      <w:r w:rsidR="00F952EE" w:rsidRPr="006E1978">
        <w:rPr>
          <w:rFonts w:cs="Times New Roman"/>
          <w:sz w:val="24"/>
          <w:szCs w:val="24"/>
        </w:rPr>
        <w:t xml:space="preserve"> about Online Gaming Scale (MOGS</w:t>
      </w:r>
      <w:r w:rsidR="00A545DC" w:rsidRPr="006E1978">
        <w:rPr>
          <w:rFonts w:cs="Times New Roman"/>
          <w:sz w:val="24"/>
          <w:szCs w:val="24"/>
        </w:rPr>
        <w:t xml:space="preserve">; </w:t>
      </w:r>
      <w:r w:rsidR="00A545DC" w:rsidRPr="006E1978">
        <w:rPr>
          <w:rFonts w:eastAsia="Microsoft JhengHei UI" w:cs="Times New Roman"/>
          <w:color w:val="323130"/>
          <w:sz w:val="24"/>
          <w:szCs w:val="24"/>
          <w:shd w:val="clear" w:color="auto" w:fill="FFFFFF"/>
        </w:rPr>
        <w:t>Spada &amp; Caselli, 2017</w:t>
      </w:r>
      <w:r w:rsidR="00F952EE" w:rsidRPr="006E1978">
        <w:rPr>
          <w:rFonts w:cs="Times New Roman"/>
          <w:sz w:val="24"/>
          <w:szCs w:val="24"/>
        </w:rPr>
        <w:t>) among Chinese people</w:t>
      </w:r>
      <w:r w:rsidR="00405056" w:rsidRPr="006E1978">
        <w:rPr>
          <w:rFonts w:cs="Times New Roman"/>
          <w:sz w:val="24"/>
          <w:szCs w:val="24"/>
        </w:rPr>
        <w:t>.</w:t>
      </w:r>
      <w:r w:rsidR="00F952EE" w:rsidRPr="006E1978">
        <w:rPr>
          <w:rFonts w:cs="Times New Roman"/>
          <w:sz w:val="24"/>
          <w:szCs w:val="24"/>
        </w:rPr>
        <w:t xml:space="preserve"> </w:t>
      </w:r>
    </w:p>
    <w:p w14:paraId="3C6CB3AB" w14:textId="1EE66EB7" w:rsidR="007B68BE" w:rsidRPr="006E1978" w:rsidRDefault="00BA159C" w:rsidP="00792616">
      <w:pPr>
        <w:snapToGrid w:val="0"/>
        <w:spacing w:line="480" w:lineRule="auto"/>
        <w:ind w:firstLine="420"/>
        <w:jc w:val="left"/>
        <w:rPr>
          <w:rFonts w:eastAsia="PMingLiU" w:cs="Times New Roman"/>
          <w:sz w:val="24"/>
          <w:szCs w:val="24"/>
          <w:lang w:eastAsia="zh-TW"/>
        </w:rPr>
      </w:pPr>
      <w:r w:rsidRPr="006E1978">
        <w:rPr>
          <w:rFonts w:eastAsia="PMingLiU" w:cs="Times New Roman"/>
          <w:sz w:val="24"/>
          <w:szCs w:val="24"/>
          <w:lang w:eastAsia="zh-TW"/>
        </w:rPr>
        <w:t>Metacognition</w:t>
      </w:r>
      <w:r w:rsidR="00C36C98" w:rsidRPr="006E1978">
        <w:rPr>
          <w:rFonts w:eastAsia="PMingLiU" w:cs="Times New Roman"/>
          <w:sz w:val="24"/>
          <w:szCs w:val="24"/>
          <w:lang w:eastAsia="zh-TW"/>
        </w:rPr>
        <w:t xml:space="preserve"> refers to</w:t>
      </w:r>
      <w:r w:rsidRPr="006E1978">
        <w:rPr>
          <w:rFonts w:eastAsia="PMingLiU" w:cs="Times New Roman"/>
          <w:sz w:val="24"/>
          <w:szCs w:val="24"/>
          <w:lang w:eastAsia="zh-TW"/>
        </w:rPr>
        <w:t xml:space="preserve"> thinking about one’s thinking</w:t>
      </w:r>
      <w:r w:rsidR="004467D4" w:rsidRPr="006E1978">
        <w:rPr>
          <w:rFonts w:eastAsia="PMingLiU" w:cs="Times New Roman"/>
          <w:sz w:val="24"/>
          <w:szCs w:val="24"/>
          <w:lang w:eastAsia="zh-TW"/>
        </w:rPr>
        <w:t>.</w:t>
      </w:r>
      <w:r w:rsidR="00C36C98" w:rsidRPr="006E1978">
        <w:rPr>
          <w:rFonts w:eastAsia="PMingLiU" w:cs="Times New Roman"/>
          <w:sz w:val="24"/>
          <w:szCs w:val="24"/>
          <w:lang w:eastAsia="zh-TW"/>
        </w:rPr>
        <w:t xml:space="preserve"> </w:t>
      </w:r>
      <w:r w:rsidR="00A275D6" w:rsidRPr="006E1978">
        <w:rPr>
          <w:rFonts w:eastAsia="PMingLiU" w:cs="Times New Roman"/>
          <w:sz w:val="24"/>
          <w:szCs w:val="24"/>
          <w:lang w:eastAsia="zh-TW"/>
        </w:rPr>
        <w:t>W</w:t>
      </w:r>
      <w:r w:rsidR="00C36C98" w:rsidRPr="006E1978">
        <w:rPr>
          <w:rFonts w:eastAsia="PMingLiU" w:cs="Times New Roman"/>
          <w:sz w:val="24"/>
          <w:szCs w:val="24"/>
          <w:lang w:eastAsia="zh-TW"/>
        </w:rPr>
        <w:t>hen</w:t>
      </w:r>
      <w:r w:rsidRPr="006E1978">
        <w:rPr>
          <w:rFonts w:eastAsia="PMingLiU" w:cs="Times New Roman"/>
          <w:sz w:val="24"/>
          <w:szCs w:val="24"/>
          <w:lang w:eastAsia="zh-TW"/>
        </w:rPr>
        <w:t xml:space="preserve"> Well</w:t>
      </w:r>
      <w:r w:rsidR="00020D54" w:rsidRPr="006E1978">
        <w:rPr>
          <w:rFonts w:eastAsia="PMingLiU" w:cs="Times New Roman"/>
          <w:sz w:val="24"/>
          <w:szCs w:val="24"/>
          <w:lang w:eastAsia="zh-TW"/>
        </w:rPr>
        <w:t>s</w:t>
      </w:r>
      <w:r w:rsidRPr="006E1978">
        <w:rPr>
          <w:rFonts w:eastAsia="PMingLiU" w:cs="Times New Roman"/>
          <w:sz w:val="24"/>
          <w:szCs w:val="24"/>
          <w:lang w:eastAsia="zh-TW"/>
        </w:rPr>
        <w:t xml:space="preserve"> and Matthews (1994) introduced the first metacognitive model of psychopathology, the Self-Regulatory Executive Function (S-REF) model</w:t>
      </w:r>
      <w:r w:rsidR="00A275D6" w:rsidRPr="006E1978">
        <w:rPr>
          <w:rFonts w:eastAsia="PMingLiU" w:cs="Times New Roman"/>
          <w:sz w:val="24"/>
          <w:szCs w:val="24"/>
          <w:lang w:eastAsia="zh-TW"/>
        </w:rPr>
        <w:t>,</w:t>
      </w:r>
      <w:r w:rsidRPr="006E1978">
        <w:rPr>
          <w:rFonts w:eastAsia="PMingLiU" w:cs="Times New Roman"/>
          <w:sz w:val="24"/>
          <w:szCs w:val="24"/>
          <w:lang w:eastAsia="zh-TW"/>
        </w:rPr>
        <w:t xml:space="preserve"> </w:t>
      </w:r>
      <w:r w:rsidR="00A275D6" w:rsidRPr="006E1978">
        <w:rPr>
          <w:rFonts w:eastAsia="PMingLiU" w:cs="Times New Roman"/>
          <w:sz w:val="24"/>
          <w:szCs w:val="24"/>
          <w:lang w:eastAsia="zh-TW"/>
        </w:rPr>
        <w:t xml:space="preserve">they defined </w:t>
      </w:r>
      <w:r w:rsidR="0083582C" w:rsidRPr="006E1978">
        <w:rPr>
          <w:rFonts w:eastAsia="PMingLiU" w:cs="Times New Roman"/>
          <w:sz w:val="24"/>
          <w:szCs w:val="24"/>
          <w:lang w:eastAsia="zh-TW"/>
        </w:rPr>
        <w:t>metacognition</w:t>
      </w:r>
      <w:r w:rsidR="00A275D6" w:rsidRPr="006E1978">
        <w:rPr>
          <w:rFonts w:eastAsia="PMingLiU" w:cs="Times New Roman"/>
          <w:sz w:val="24"/>
          <w:szCs w:val="24"/>
          <w:lang w:eastAsia="zh-TW"/>
        </w:rPr>
        <w:t xml:space="preserve"> as beliefs about cognitive-affective experiences and ways of controlling these experiences. </w:t>
      </w:r>
      <w:bookmarkStart w:id="4" w:name="OLE_LINK3"/>
      <w:bookmarkStart w:id="5" w:name="OLE_LINK4"/>
      <w:r w:rsidR="00F65122" w:rsidRPr="006E1978">
        <w:rPr>
          <w:rFonts w:eastAsia="PMingLiU" w:cs="Times New Roman"/>
          <w:sz w:val="24"/>
          <w:szCs w:val="24"/>
          <w:lang w:eastAsia="zh-TW"/>
        </w:rPr>
        <w:t>According to the S-REF model, metacognitions exert top-down or strategic influences on processing bias</w:t>
      </w:r>
      <w:r w:rsidR="00E819DD" w:rsidRPr="006E1978">
        <w:rPr>
          <w:rFonts w:eastAsia="PMingLiU" w:cs="Times New Roman"/>
          <w:sz w:val="24"/>
          <w:szCs w:val="24"/>
          <w:lang w:eastAsia="zh-TW"/>
        </w:rPr>
        <w:t xml:space="preserve"> </w:t>
      </w:r>
      <w:r w:rsidR="0083582C" w:rsidRPr="006E1978">
        <w:rPr>
          <w:rFonts w:eastAsia="PMingLiU" w:cs="Times New Roman"/>
          <w:sz w:val="24"/>
          <w:szCs w:val="24"/>
          <w:lang w:eastAsia="zh-TW"/>
        </w:rPr>
        <w:t>and underpinning</w:t>
      </w:r>
      <w:r w:rsidR="00E819DD" w:rsidRPr="006E1978">
        <w:rPr>
          <w:rFonts w:eastAsia="PMingLiU" w:cs="Times New Roman"/>
          <w:sz w:val="24"/>
          <w:szCs w:val="24"/>
          <w:lang w:eastAsia="zh-TW"/>
        </w:rPr>
        <w:t xml:space="preserve"> coping styles that lead to psychological distress and addictive behaviors (Spada et al., 2015). </w:t>
      </w:r>
      <w:r w:rsidR="00721449" w:rsidRPr="006E1978">
        <w:rPr>
          <w:rFonts w:eastAsia="PMingLiU" w:cs="Times New Roman"/>
          <w:sz w:val="24"/>
          <w:szCs w:val="24"/>
          <w:lang w:eastAsia="zh-TW"/>
        </w:rPr>
        <w:t xml:space="preserve">A growing body of literature, based on cross-sectional studies and systematic reviews, </w:t>
      </w:r>
      <w:r w:rsidR="00721449" w:rsidRPr="006E1978">
        <w:rPr>
          <w:rFonts w:eastAsia="PMingLiU" w:cs="Times New Roman" w:hint="eastAsia"/>
          <w:sz w:val="24"/>
          <w:szCs w:val="24"/>
          <w:lang w:eastAsia="zh-TW"/>
        </w:rPr>
        <w:t>ha</w:t>
      </w:r>
      <w:r w:rsidR="00721449" w:rsidRPr="006E1978">
        <w:rPr>
          <w:rFonts w:eastAsia="PMingLiU" w:cs="Times New Roman"/>
          <w:sz w:val="24"/>
          <w:szCs w:val="24"/>
          <w:lang w:eastAsia="zh-TW"/>
        </w:rPr>
        <w:t xml:space="preserve">s shown that metacognitive beliefs </w:t>
      </w:r>
      <w:r w:rsidR="00721449" w:rsidRPr="006E1978">
        <w:rPr>
          <w:rFonts w:eastAsia="PMingLiU" w:cs="Times New Roman"/>
          <w:sz w:val="24"/>
          <w:szCs w:val="24"/>
          <w:lang w:eastAsia="zh-TW"/>
        </w:rPr>
        <w:lastRenderedPageBreak/>
        <w:t xml:space="preserve">could be associated </w:t>
      </w:r>
      <w:r w:rsidR="00721449" w:rsidRPr="006E1978">
        <w:rPr>
          <w:rFonts w:eastAsia="PMingLiU" w:cs="Times New Roman" w:hint="eastAsia"/>
          <w:sz w:val="24"/>
          <w:szCs w:val="24"/>
          <w:lang w:eastAsia="zh-TW"/>
        </w:rPr>
        <w:t>with</w:t>
      </w:r>
      <w:r w:rsidR="00721449" w:rsidRPr="006E1978">
        <w:rPr>
          <w:rFonts w:eastAsia="PMingLiU" w:cs="Times New Roman"/>
          <w:sz w:val="24"/>
          <w:szCs w:val="24"/>
          <w:lang w:eastAsia="zh-TW"/>
        </w:rPr>
        <w:t xml:space="preserve"> not only anxiety and depression (Sun et al., 2017) but also psychosis (Sellers et al., 2017), eating disorders (Palmieri et al., 2021), stress-related disorders (Wells et al., 2012), and behavioral addictions (Zhang et al., 2020). </w:t>
      </w:r>
      <w:bookmarkEnd w:id="4"/>
      <w:bookmarkEnd w:id="5"/>
      <w:r w:rsidR="00A976BF" w:rsidRPr="006E1978">
        <w:rPr>
          <w:rFonts w:eastAsia="PMingLiU" w:cs="Times New Roman"/>
          <w:sz w:val="24"/>
          <w:szCs w:val="24"/>
          <w:lang w:eastAsia="zh-TW"/>
        </w:rPr>
        <w:t xml:space="preserve">As metacognitions </w:t>
      </w:r>
      <w:r w:rsidR="0090624D" w:rsidRPr="006E1978">
        <w:rPr>
          <w:rFonts w:eastAsia="PMingLiU" w:cs="Times New Roman"/>
          <w:sz w:val="24"/>
          <w:szCs w:val="24"/>
          <w:lang w:eastAsia="zh-TW"/>
        </w:rPr>
        <w:t xml:space="preserve">may </w:t>
      </w:r>
      <w:r w:rsidR="00A976BF" w:rsidRPr="006E1978">
        <w:rPr>
          <w:rFonts w:eastAsia="PMingLiU" w:cs="Times New Roman"/>
          <w:sz w:val="24"/>
          <w:szCs w:val="24"/>
          <w:lang w:eastAsia="zh-TW"/>
        </w:rPr>
        <w:t>vary across disorders</w:t>
      </w:r>
      <w:r w:rsidR="00763FBD" w:rsidRPr="006E1978">
        <w:rPr>
          <w:rFonts w:eastAsia="PMingLiU" w:cs="Times New Roman"/>
          <w:sz w:val="24"/>
          <w:szCs w:val="24"/>
          <w:lang w:eastAsia="zh-TW"/>
        </w:rPr>
        <w:t xml:space="preserve"> (</w:t>
      </w:r>
      <w:proofErr w:type="spellStart"/>
      <w:r w:rsidR="00763FBD" w:rsidRPr="006E1978">
        <w:rPr>
          <w:rFonts w:eastAsia="PMingLiU" w:cs="Times New Roman"/>
          <w:sz w:val="24"/>
          <w:szCs w:val="24"/>
          <w:lang w:eastAsia="zh-TW"/>
        </w:rPr>
        <w:t>Casale</w:t>
      </w:r>
      <w:proofErr w:type="spellEnd"/>
      <w:r w:rsidR="00763FBD" w:rsidRPr="006E1978">
        <w:rPr>
          <w:rFonts w:eastAsia="PMingLiU" w:cs="Times New Roman"/>
          <w:sz w:val="24"/>
          <w:szCs w:val="24"/>
          <w:lang w:eastAsia="zh-TW"/>
        </w:rPr>
        <w:t xml:space="preserve"> et al., 2021)</w:t>
      </w:r>
      <w:r w:rsidR="00A976BF" w:rsidRPr="006E1978">
        <w:rPr>
          <w:rFonts w:eastAsia="PMingLiU" w:cs="Times New Roman"/>
          <w:sz w:val="24"/>
          <w:szCs w:val="24"/>
          <w:lang w:eastAsia="zh-TW"/>
        </w:rPr>
        <w:t xml:space="preserve">, </w:t>
      </w:r>
      <w:r w:rsidR="00763FBD" w:rsidRPr="006E1978">
        <w:rPr>
          <w:rFonts w:cs="Times New Roman"/>
          <w:sz w:val="24"/>
          <w:szCs w:val="24"/>
        </w:rPr>
        <w:t xml:space="preserve">Spada and Caselli (2017) drew researchers’ attention </w:t>
      </w:r>
      <w:r w:rsidR="00593E67" w:rsidRPr="006E1978">
        <w:rPr>
          <w:rFonts w:cs="Times New Roman"/>
          <w:sz w:val="24"/>
          <w:szCs w:val="24"/>
        </w:rPr>
        <w:t>from generic metacognition</w:t>
      </w:r>
      <w:r w:rsidR="0090624D" w:rsidRPr="006E1978">
        <w:rPr>
          <w:rFonts w:cs="Times New Roman"/>
          <w:sz w:val="24"/>
          <w:szCs w:val="24"/>
        </w:rPr>
        <w:t>s</w:t>
      </w:r>
      <w:r w:rsidR="00593E67" w:rsidRPr="006E1978">
        <w:rPr>
          <w:rFonts w:cs="Times New Roman"/>
          <w:sz w:val="24"/>
          <w:szCs w:val="24"/>
        </w:rPr>
        <w:t xml:space="preserve"> </w:t>
      </w:r>
      <w:r w:rsidR="0090624D" w:rsidRPr="006E1978">
        <w:rPr>
          <w:rFonts w:cs="Times New Roman"/>
          <w:sz w:val="24"/>
          <w:szCs w:val="24"/>
        </w:rPr>
        <w:t>(</w:t>
      </w:r>
      <w:r w:rsidR="00CE45A7" w:rsidRPr="006E1978">
        <w:rPr>
          <w:rFonts w:cs="Times New Roman"/>
          <w:sz w:val="24"/>
          <w:szCs w:val="24"/>
        </w:rPr>
        <w:t xml:space="preserve">i.e., </w:t>
      </w:r>
      <w:r w:rsidR="0090624D" w:rsidRPr="006E1978">
        <w:rPr>
          <w:rFonts w:cs="Times New Roman"/>
          <w:sz w:val="24"/>
          <w:szCs w:val="24"/>
        </w:rPr>
        <w:t xml:space="preserve">generic beliefs about cognitive-affective experiences, </w:t>
      </w:r>
      <w:r w:rsidR="00CE45A7" w:rsidRPr="006E1978">
        <w:rPr>
          <w:rFonts w:cs="Times New Roman"/>
          <w:sz w:val="24"/>
          <w:szCs w:val="24"/>
        </w:rPr>
        <w:t>such as</w:t>
      </w:r>
      <w:r w:rsidR="0090624D" w:rsidRPr="006E1978">
        <w:rPr>
          <w:rFonts w:cs="Times New Roman"/>
          <w:sz w:val="24"/>
          <w:szCs w:val="24"/>
        </w:rPr>
        <w:t xml:space="preserve"> “I need to control my mind at all times</w:t>
      </w:r>
      <w:r w:rsidR="00CE45A7" w:rsidRPr="006E1978">
        <w:rPr>
          <w:rFonts w:cs="Times New Roman"/>
          <w:sz w:val="24"/>
          <w:szCs w:val="24"/>
        </w:rPr>
        <w:t>”</w:t>
      </w:r>
      <w:r w:rsidR="0090624D" w:rsidRPr="006E1978">
        <w:rPr>
          <w:rFonts w:cs="Times New Roman"/>
          <w:sz w:val="24"/>
          <w:szCs w:val="24"/>
        </w:rPr>
        <w:t xml:space="preserve">) </w:t>
      </w:r>
      <w:r w:rsidR="00593E67" w:rsidRPr="006E1978">
        <w:rPr>
          <w:rFonts w:cs="Times New Roman"/>
          <w:sz w:val="24"/>
          <w:szCs w:val="24"/>
        </w:rPr>
        <w:t xml:space="preserve">to </w:t>
      </w:r>
      <w:r w:rsidR="00763FBD" w:rsidRPr="006E1978">
        <w:rPr>
          <w:rFonts w:cs="Times New Roman"/>
          <w:sz w:val="24"/>
          <w:szCs w:val="24"/>
        </w:rPr>
        <w:t xml:space="preserve">specific </w:t>
      </w:r>
      <w:r w:rsidR="0090624D" w:rsidRPr="006E1978">
        <w:rPr>
          <w:rFonts w:cs="Times New Roman"/>
          <w:sz w:val="24"/>
          <w:szCs w:val="24"/>
        </w:rPr>
        <w:t>metacognitions</w:t>
      </w:r>
      <w:r w:rsidR="00D96396" w:rsidRPr="006E1978">
        <w:rPr>
          <w:rFonts w:cs="Times New Roman"/>
          <w:sz w:val="24"/>
          <w:szCs w:val="24"/>
        </w:rPr>
        <w:t xml:space="preserve"> involved in IGD</w:t>
      </w:r>
      <w:r w:rsidR="0090624D" w:rsidRPr="006E1978">
        <w:rPr>
          <w:rFonts w:cs="Times New Roman"/>
          <w:sz w:val="24"/>
          <w:szCs w:val="24"/>
        </w:rPr>
        <w:t>,</w:t>
      </w:r>
      <w:r w:rsidR="00593E67" w:rsidRPr="006E1978">
        <w:rPr>
          <w:rFonts w:cs="Times New Roman"/>
          <w:sz w:val="24"/>
          <w:szCs w:val="24"/>
        </w:rPr>
        <w:t xml:space="preserve"> </w:t>
      </w:r>
      <w:r w:rsidR="0090624D" w:rsidRPr="006E1978">
        <w:rPr>
          <w:rFonts w:cs="Times New Roman"/>
          <w:sz w:val="24"/>
          <w:szCs w:val="24"/>
        </w:rPr>
        <w:t xml:space="preserve">by </w:t>
      </w:r>
      <w:r w:rsidR="00763FBD" w:rsidRPr="006E1978">
        <w:rPr>
          <w:rFonts w:cs="Times New Roman"/>
          <w:sz w:val="24"/>
          <w:szCs w:val="24"/>
        </w:rPr>
        <w:t>develop</w:t>
      </w:r>
      <w:r w:rsidR="0090624D" w:rsidRPr="006E1978">
        <w:rPr>
          <w:rFonts w:cs="Times New Roman"/>
          <w:sz w:val="24"/>
          <w:szCs w:val="24"/>
        </w:rPr>
        <w:t>ing</w:t>
      </w:r>
      <w:r w:rsidR="00763FBD" w:rsidRPr="006E1978">
        <w:rPr>
          <w:rFonts w:cs="Times New Roman"/>
          <w:sz w:val="24"/>
          <w:szCs w:val="24"/>
        </w:rPr>
        <w:t xml:space="preserve"> MOGS. </w:t>
      </w:r>
      <w:r w:rsidR="009E28F4" w:rsidRPr="006E1978">
        <w:rPr>
          <w:rFonts w:cs="Times New Roman"/>
          <w:sz w:val="24"/>
          <w:szCs w:val="24"/>
        </w:rPr>
        <w:t>M</w:t>
      </w:r>
      <w:r w:rsidR="00E31F03" w:rsidRPr="006E1978">
        <w:rPr>
          <w:rFonts w:cs="Times New Roman"/>
          <w:sz w:val="24"/>
          <w:szCs w:val="24"/>
        </w:rPr>
        <w:t xml:space="preserve">etacognitions about online gaming </w:t>
      </w:r>
      <w:r w:rsidR="009E28F4" w:rsidRPr="006E1978">
        <w:rPr>
          <w:rFonts w:eastAsia="PMingLiU" w:cs="Times New Roman"/>
          <w:sz w:val="24"/>
          <w:szCs w:val="24"/>
          <w:lang w:eastAsia="zh-TW"/>
        </w:rPr>
        <w:t xml:space="preserve">are theorized to </w:t>
      </w:r>
      <w:r w:rsidR="009E28F4" w:rsidRPr="006E1978">
        <w:rPr>
          <w:rFonts w:cs="Times New Roman"/>
          <w:sz w:val="24"/>
          <w:szCs w:val="24"/>
        </w:rPr>
        <w:t xml:space="preserve">guide cognitive appraisal and </w:t>
      </w:r>
      <w:r w:rsidR="0083582C" w:rsidRPr="006E1978">
        <w:rPr>
          <w:rFonts w:cs="Times New Roman"/>
          <w:sz w:val="24"/>
          <w:szCs w:val="24"/>
        </w:rPr>
        <w:t>coping</w:t>
      </w:r>
      <w:r w:rsidR="009E28F4" w:rsidRPr="006E1978">
        <w:rPr>
          <w:rFonts w:cs="Times New Roman"/>
          <w:sz w:val="24"/>
          <w:szCs w:val="24"/>
        </w:rPr>
        <w:t xml:space="preserve"> style </w:t>
      </w:r>
      <w:r w:rsidR="009E28F4" w:rsidRPr="006E1978">
        <w:rPr>
          <w:rFonts w:eastAsia="PMingLiU" w:cs="Times New Roman"/>
          <w:sz w:val="24"/>
          <w:szCs w:val="24"/>
          <w:lang w:eastAsia="zh-TW"/>
        </w:rPr>
        <w:t>and (dis)regulate behaviors during the pre-, during-, and post-engagement phases towards external triggers</w:t>
      </w:r>
      <w:r w:rsidR="009E28F4" w:rsidRPr="006E1978">
        <w:rPr>
          <w:rFonts w:cs="Times New Roman"/>
          <w:sz w:val="24"/>
          <w:szCs w:val="24"/>
        </w:rPr>
        <w:t xml:space="preserve"> (e.g., exposure to online gaming). </w:t>
      </w:r>
      <w:r w:rsidR="00745D9D" w:rsidRPr="006E1978">
        <w:rPr>
          <w:rFonts w:cs="Times New Roman"/>
          <w:sz w:val="24"/>
          <w:szCs w:val="24"/>
        </w:rPr>
        <w:t xml:space="preserve">As shown by </w:t>
      </w:r>
      <w:r w:rsidR="00745D9D" w:rsidRPr="006E1978">
        <w:rPr>
          <w:rFonts w:eastAsia="PMingLiU" w:cs="Times New Roman"/>
          <w:sz w:val="24"/>
          <w:szCs w:val="24"/>
          <w:lang w:eastAsia="zh-TW"/>
        </w:rPr>
        <w:t>s</w:t>
      </w:r>
      <w:r w:rsidR="00763FBD" w:rsidRPr="006E1978">
        <w:rPr>
          <w:rFonts w:eastAsia="PMingLiU" w:cs="Times New Roman"/>
          <w:sz w:val="24"/>
          <w:szCs w:val="24"/>
          <w:lang w:eastAsia="zh-TW"/>
        </w:rPr>
        <w:t>ubsequent studies</w:t>
      </w:r>
      <w:r w:rsidR="00745D9D" w:rsidRPr="006E1978">
        <w:rPr>
          <w:rFonts w:eastAsia="PMingLiU" w:cs="Times New Roman"/>
          <w:sz w:val="24"/>
          <w:szCs w:val="24"/>
          <w:lang w:eastAsia="zh-TW"/>
        </w:rPr>
        <w:t xml:space="preserve">, </w:t>
      </w:r>
      <w:r w:rsidR="00D96396" w:rsidRPr="006E1978">
        <w:rPr>
          <w:rFonts w:eastAsia="PMingLiU" w:cs="Times New Roman"/>
          <w:sz w:val="24"/>
          <w:szCs w:val="24"/>
          <w:lang w:eastAsia="zh-TW"/>
        </w:rPr>
        <w:t xml:space="preserve">these </w:t>
      </w:r>
      <w:r w:rsidR="00A976BF" w:rsidRPr="006E1978">
        <w:rPr>
          <w:rFonts w:eastAsia="PMingLiU" w:cs="Times New Roman"/>
          <w:sz w:val="24"/>
          <w:szCs w:val="24"/>
          <w:lang w:eastAsia="zh-TW"/>
        </w:rPr>
        <w:t>specific metacognition</w:t>
      </w:r>
      <w:r w:rsidR="00D96396" w:rsidRPr="006E1978">
        <w:rPr>
          <w:rFonts w:eastAsia="PMingLiU" w:cs="Times New Roman"/>
          <w:sz w:val="24"/>
          <w:szCs w:val="24"/>
          <w:lang w:eastAsia="zh-TW"/>
        </w:rPr>
        <w:t>s</w:t>
      </w:r>
      <w:r w:rsidR="00A976BF" w:rsidRPr="006E1978">
        <w:rPr>
          <w:rFonts w:eastAsia="PMingLiU" w:cs="Times New Roman"/>
          <w:sz w:val="24"/>
          <w:szCs w:val="24"/>
          <w:lang w:eastAsia="zh-TW"/>
        </w:rPr>
        <w:t xml:space="preserve"> </w:t>
      </w:r>
      <w:r w:rsidR="00763FBD" w:rsidRPr="006E1978">
        <w:rPr>
          <w:rFonts w:eastAsia="PMingLiU" w:cs="Times New Roman"/>
          <w:sz w:val="24"/>
          <w:szCs w:val="24"/>
          <w:lang w:eastAsia="zh-TW"/>
        </w:rPr>
        <w:t xml:space="preserve">about online gaming </w:t>
      </w:r>
      <w:r w:rsidR="00D96396" w:rsidRPr="006E1978">
        <w:rPr>
          <w:rFonts w:eastAsia="PMingLiU" w:cs="Times New Roman"/>
          <w:sz w:val="24"/>
          <w:szCs w:val="24"/>
          <w:lang w:eastAsia="zh-TW"/>
        </w:rPr>
        <w:t>ha</w:t>
      </w:r>
      <w:r w:rsidR="001A788B" w:rsidRPr="006E1978">
        <w:rPr>
          <w:rFonts w:eastAsia="PMingLiU" w:cs="Times New Roman" w:hint="eastAsia"/>
          <w:sz w:val="24"/>
          <w:szCs w:val="24"/>
          <w:lang w:eastAsia="zh-TW"/>
        </w:rPr>
        <w:t>ve</w:t>
      </w:r>
      <w:r w:rsidR="00D96396" w:rsidRPr="006E1978">
        <w:rPr>
          <w:rFonts w:eastAsia="PMingLiU" w:cs="Times New Roman"/>
          <w:sz w:val="24"/>
          <w:szCs w:val="24"/>
          <w:lang w:eastAsia="zh-TW"/>
        </w:rPr>
        <w:t xml:space="preserve"> strong</w:t>
      </w:r>
      <w:r w:rsidR="00CE45A7" w:rsidRPr="006E1978">
        <w:rPr>
          <w:rFonts w:eastAsia="PMingLiU" w:cs="Times New Roman"/>
          <w:sz w:val="24"/>
          <w:szCs w:val="24"/>
          <w:lang w:eastAsia="zh-TW"/>
        </w:rPr>
        <w:t>er</w:t>
      </w:r>
      <w:r w:rsidR="00D96396" w:rsidRPr="006E1978">
        <w:rPr>
          <w:rFonts w:eastAsia="PMingLiU" w:cs="Times New Roman"/>
          <w:sz w:val="24"/>
          <w:szCs w:val="24"/>
          <w:lang w:eastAsia="zh-TW"/>
        </w:rPr>
        <w:t xml:space="preserve"> associations with</w:t>
      </w:r>
      <w:r w:rsidR="00A976BF" w:rsidRPr="006E1978">
        <w:rPr>
          <w:rFonts w:eastAsia="PMingLiU" w:cs="Times New Roman"/>
          <w:sz w:val="24"/>
          <w:szCs w:val="24"/>
          <w:lang w:eastAsia="zh-TW"/>
        </w:rPr>
        <w:t xml:space="preserve"> IGD</w:t>
      </w:r>
      <w:r w:rsidR="00254711" w:rsidRPr="006E1978">
        <w:rPr>
          <w:rFonts w:eastAsia="PMingLiU" w:cs="Times New Roman"/>
          <w:sz w:val="24"/>
          <w:szCs w:val="24"/>
          <w:lang w:eastAsia="zh-TW"/>
        </w:rPr>
        <w:t xml:space="preserve"> (e.g., .45-.75; </w:t>
      </w:r>
      <w:r w:rsidR="0073197F" w:rsidRPr="006E1978">
        <w:rPr>
          <w:rFonts w:eastAsia="PMingLiU" w:cs="Times New Roman"/>
          <w:sz w:val="24"/>
          <w:szCs w:val="24"/>
          <w:lang w:eastAsia="zh-TW"/>
        </w:rPr>
        <w:t xml:space="preserve">Akbari et al., 2021; </w:t>
      </w:r>
      <w:proofErr w:type="spellStart"/>
      <w:r w:rsidR="00763FBD" w:rsidRPr="006E1978">
        <w:rPr>
          <w:rFonts w:cs="Times New Roman"/>
          <w:sz w:val="24"/>
          <w:szCs w:val="24"/>
        </w:rPr>
        <w:t>Nazligül</w:t>
      </w:r>
      <w:proofErr w:type="spellEnd"/>
      <w:r w:rsidR="00763FBD" w:rsidRPr="006E1978">
        <w:rPr>
          <w:rFonts w:cs="Times New Roman"/>
          <w:sz w:val="24"/>
          <w:szCs w:val="24"/>
        </w:rPr>
        <w:t xml:space="preserve">, &amp; </w:t>
      </w:r>
      <w:proofErr w:type="spellStart"/>
      <w:r w:rsidR="00763FBD" w:rsidRPr="006E1978">
        <w:rPr>
          <w:rFonts w:cs="Times New Roman"/>
          <w:sz w:val="24"/>
          <w:szCs w:val="24"/>
        </w:rPr>
        <w:t>Süsen</w:t>
      </w:r>
      <w:proofErr w:type="spellEnd"/>
      <w:r w:rsidR="00763FBD" w:rsidRPr="006E1978">
        <w:rPr>
          <w:rFonts w:cs="Times New Roman"/>
          <w:sz w:val="24"/>
          <w:szCs w:val="24"/>
        </w:rPr>
        <w:t>, 2021</w:t>
      </w:r>
      <w:r w:rsidR="00254711" w:rsidRPr="006E1978">
        <w:rPr>
          <w:rFonts w:eastAsia="PMingLiU" w:cs="Times New Roman"/>
          <w:sz w:val="24"/>
          <w:szCs w:val="24"/>
          <w:lang w:eastAsia="zh-TW"/>
        </w:rPr>
        <w:t>)</w:t>
      </w:r>
      <w:r w:rsidR="00A976BF" w:rsidRPr="006E1978">
        <w:rPr>
          <w:rFonts w:eastAsia="PMingLiU" w:cs="Times New Roman"/>
          <w:sz w:val="24"/>
          <w:szCs w:val="24"/>
          <w:lang w:eastAsia="zh-TW"/>
        </w:rPr>
        <w:t xml:space="preserve"> </w:t>
      </w:r>
      <w:r w:rsidR="00D96396" w:rsidRPr="006E1978">
        <w:rPr>
          <w:rFonts w:eastAsia="PMingLiU" w:cs="Times New Roman"/>
          <w:sz w:val="24"/>
          <w:szCs w:val="24"/>
          <w:lang w:eastAsia="zh-TW"/>
        </w:rPr>
        <w:t>compared to generic metacognitions</w:t>
      </w:r>
      <w:r w:rsidR="00254711" w:rsidRPr="006E1978">
        <w:rPr>
          <w:rFonts w:eastAsia="PMingLiU" w:cs="Times New Roman"/>
          <w:sz w:val="24"/>
          <w:szCs w:val="24"/>
          <w:lang w:eastAsia="zh-TW"/>
        </w:rPr>
        <w:t xml:space="preserve"> (e.g., </w:t>
      </w:r>
      <w:r w:rsidR="0073197F" w:rsidRPr="006E1978">
        <w:rPr>
          <w:rFonts w:eastAsia="PMingLiU" w:cs="Times New Roman"/>
          <w:sz w:val="24"/>
          <w:szCs w:val="24"/>
          <w:lang w:eastAsia="zh-TW"/>
        </w:rPr>
        <w:t xml:space="preserve">.16-.33; </w:t>
      </w:r>
      <w:r w:rsidR="004B46A9" w:rsidRPr="006E1978">
        <w:rPr>
          <w:rFonts w:eastAsia="PMingLiU" w:cs="Times New Roman"/>
          <w:sz w:val="24"/>
          <w:szCs w:val="24"/>
          <w:lang w:eastAsia="zh-TW"/>
        </w:rPr>
        <w:t xml:space="preserve">Aydın et al., 2020; </w:t>
      </w:r>
      <w:r w:rsidR="0073197F" w:rsidRPr="006E1978">
        <w:rPr>
          <w:rFonts w:eastAsia="PMingLiU" w:cs="Times New Roman"/>
          <w:sz w:val="24"/>
          <w:szCs w:val="24"/>
          <w:lang w:eastAsia="zh-TW"/>
        </w:rPr>
        <w:t>Zhang et al., 2020</w:t>
      </w:r>
      <w:r w:rsidR="00763FBD" w:rsidRPr="006E1978">
        <w:rPr>
          <w:rFonts w:eastAsia="PMingLiU" w:cs="Times New Roman"/>
          <w:sz w:val="24"/>
          <w:szCs w:val="24"/>
          <w:lang w:eastAsia="zh-TW"/>
        </w:rPr>
        <w:t>)</w:t>
      </w:r>
      <w:r w:rsidR="0021169E" w:rsidRPr="006E1978">
        <w:rPr>
          <w:rFonts w:eastAsia="PMingLiU" w:cs="Times New Roman"/>
          <w:sz w:val="24"/>
          <w:szCs w:val="24"/>
          <w:lang w:eastAsia="zh-TW"/>
        </w:rPr>
        <w:t>. Th</w:t>
      </w:r>
      <w:r w:rsidR="0086710D" w:rsidRPr="006E1978">
        <w:rPr>
          <w:rFonts w:eastAsia="PMingLiU" w:cs="Times New Roman"/>
          <w:sz w:val="24"/>
          <w:szCs w:val="24"/>
          <w:lang w:eastAsia="zh-TW"/>
        </w:rPr>
        <w:t>erefore, th</w:t>
      </w:r>
      <w:r w:rsidR="0021169E" w:rsidRPr="006E1978">
        <w:rPr>
          <w:rFonts w:eastAsia="PMingLiU" w:cs="Times New Roman"/>
          <w:sz w:val="24"/>
          <w:szCs w:val="24"/>
          <w:lang w:eastAsia="zh-TW"/>
        </w:rPr>
        <w:t>ese studies</w:t>
      </w:r>
      <w:r w:rsidR="00D96396" w:rsidRPr="006E1978">
        <w:rPr>
          <w:rFonts w:eastAsia="PMingLiU" w:cs="Times New Roman"/>
          <w:sz w:val="24"/>
          <w:szCs w:val="24"/>
          <w:lang w:eastAsia="zh-TW"/>
        </w:rPr>
        <w:t xml:space="preserve"> suggest</w:t>
      </w:r>
      <w:r w:rsidR="007B68BE" w:rsidRPr="006E1978">
        <w:rPr>
          <w:rFonts w:eastAsia="PMingLiU" w:cs="Times New Roman"/>
          <w:sz w:val="24"/>
          <w:szCs w:val="24"/>
          <w:lang w:eastAsia="zh-TW"/>
        </w:rPr>
        <w:t xml:space="preserve"> a good fit of </w:t>
      </w:r>
      <w:r w:rsidR="00D96396" w:rsidRPr="006E1978">
        <w:rPr>
          <w:rFonts w:eastAsia="PMingLiU" w:cs="Times New Roman"/>
          <w:sz w:val="24"/>
          <w:szCs w:val="24"/>
          <w:lang w:eastAsia="zh-TW"/>
        </w:rPr>
        <w:t xml:space="preserve">the S-REF model </w:t>
      </w:r>
      <w:r w:rsidR="0021169E" w:rsidRPr="006E1978">
        <w:rPr>
          <w:rFonts w:eastAsia="PMingLiU" w:cs="Times New Roman"/>
          <w:sz w:val="24"/>
          <w:szCs w:val="24"/>
          <w:lang w:eastAsia="zh-TW"/>
        </w:rPr>
        <w:t>for</w:t>
      </w:r>
      <w:r w:rsidR="007B68BE" w:rsidRPr="006E1978">
        <w:rPr>
          <w:rFonts w:eastAsia="PMingLiU" w:cs="Times New Roman"/>
          <w:sz w:val="24"/>
          <w:szCs w:val="24"/>
          <w:lang w:eastAsia="zh-TW"/>
        </w:rPr>
        <w:t xml:space="preserve"> IGD </w:t>
      </w:r>
      <w:r w:rsidR="00D96396" w:rsidRPr="006E1978">
        <w:rPr>
          <w:rFonts w:eastAsia="PMingLiU" w:cs="Times New Roman"/>
          <w:sz w:val="24"/>
          <w:szCs w:val="24"/>
          <w:lang w:eastAsia="zh-TW"/>
        </w:rPr>
        <w:t xml:space="preserve">and </w:t>
      </w:r>
      <w:r w:rsidR="0083582C" w:rsidRPr="006E1978">
        <w:rPr>
          <w:rFonts w:eastAsia="PMingLiU" w:cs="Times New Roman"/>
          <w:sz w:val="24"/>
          <w:szCs w:val="24"/>
          <w:lang w:eastAsia="zh-TW"/>
        </w:rPr>
        <w:t xml:space="preserve">are </w:t>
      </w:r>
      <w:r w:rsidR="00D96396" w:rsidRPr="006E1978">
        <w:rPr>
          <w:rFonts w:eastAsia="PMingLiU" w:cs="Times New Roman"/>
          <w:sz w:val="24"/>
          <w:szCs w:val="24"/>
          <w:lang w:eastAsia="zh-TW"/>
        </w:rPr>
        <w:t xml:space="preserve">in line with what has been observed </w:t>
      </w:r>
      <w:r w:rsidR="007B68BE" w:rsidRPr="006E1978">
        <w:rPr>
          <w:rFonts w:eastAsia="PMingLiU" w:cs="Times New Roman"/>
          <w:sz w:val="24"/>
          <w:szCs w:val="24"/>
          <w:lang w:eastAsia="zh-TW"/>
        </w:rPr>
        <w:t>for other addictive behaviors</w:t>
      </w:r>
      <w:r w:rsidR="0083582C" w:rsidRPr="006E1978">
        <w:rPr>
          <w:rFonts w:eastAsia="PMingLiU" w:cs="Times New Roman"/>
          <w:sz w:val="24"/>
          <w:szCs w:val="24"/>
          <w:lang w:eastAsia="zh-TW"/>
        </w:rPr>
        <w:t>,</w:t>
      </w:r>
      <w:r w:rsidR="00D96396" w:rsidRPr="006E1978">
        <w:rPr>
          <w:rFonts w:eastAsia="PMingLiU" w:cs="Times New Roman"/>
          <w:sz w:val="24"/>
          <w:szCs w:val="24"/>
          <w:lang w:eastAsia="zh-TW"/>
        </w:rPr>
        <w:t xml:space="preserve"> including alcohol misuse and nicotine dependence</w:t>
      </w:r>
      <w:r w:rsidR="007B68BE" w:rsidRPr="006E1978">
        <w:rPr>
          <w:rFonts w:eastAsia="PMingLiU" w:cs="Times New Roman"/>
          <w:sz w:val="24"/>
          <w:szCs w:val="24"/>
          <w:lang w:eastAsia="zh-TW"/>
        </w:rPr>
        <w:t xml:space="preserve"> </w:t>
      </w:r>
      <w:r w:rsidR="007B68BE" w:rsidRPr="006E1978">
        <w:rPr>
          <w:rFonts w:cs="Times New Roman"/>
          <w:sz w:val="24"/>
          <w:szCs w:val="24"/>
        </w:rPr>
        <w:t xml:space="preserve">(Caselli et al., 2016, 2018; </w:t>
      </w:r>
      <w:proofErr w:type="spellStart"/>
      <w:r w:rsidR="007B68BE" w:rsidRPr="006E1978">
        <w:rPr>
          <w:rFonts w:cs="Times New Roman"/>
          <w:sz w:val="24"/>
          <w:szCs w:val="24"/>
        </w:rPr>
        <w:t>Poormahdy</w:t>
      </w:r>
      <w:proofErr w:type="spellEnd"/>
      <w:r w:rsidR="007B68BE" w:rsidRPr="006E1978">
        <w:rPr>
          <w:rFonts w:cs="Times New Roman"/>
          <w:sz w:val="24"/>
          <w:szCs w:val="24"/>
        </w:rPr>
        <w:t xml:space="preserve"> et al., 2022).</w:t>
      </w:r>
    </w:p>
    <w:p w14:paraId="5EEB4FD3" w14:textId="17D01BE8" w:rsidR="00F10560" w:rsidRPr="006E1978" w:rsidRDefault="0083582C" w:rsidP="00792616">
      <w:pPr>
        <w:snapToGrid w:val="0"/>
        <w:spacing w:line="480" w:lineRule="auto"/>
        <w:ind w:firstLine="420"/>
        <w:jc w:val="left"/>
        <w:rPr>
          <w:rFonts w:cs="Times New Roman"/>
          <w:sz w:val="24"/>
          <w:szCs w:val="24"/>
        </w:rPr>
      </w:pPr>
      <w:r w:rsidRPr="006E1978">
        <w:rPr>
          <w:rFonts w:cs="Times New Roman"/>
          <w:sz w:val="24"/>
          <w:szCs w:val="24"/>
        </w:rPr>
        <w:t>In China, the</w:t>
      </w:r>
      <w:r w:rsidR="005C52EA" w:rsidRPr="006E1978">
        <w:rPr>
          <w:rFonts w:cs="Times New Roman"/>
          <w:sz w:val="24"/>
          <w:szCs w:val="24"/>
        </w:rPr>
        <w:t xml:space="preserve"> application of the metacognitive tenet of psychopathology in </w:t>
      </w:r>
      <w:r w:rsidR="00D658B8" w:rsidRPr="006E1978">
        <w:rPr>
          <w:rFonts w:cs="Times New Roman"/>
          <w:sz w:val="24"/>
          <w:szCs w:val="24"/>
        </w:rPr>
        <w:t xml:space="preserve">addiction research </w:t>
      </w:r>
      <w:r w:rsidR="003311D9" w:rsidRPr="006E1978">
        <w:rPr>
          <w:rFonts w:cs="Times New Roman"/>
          <w:sz w:val="24"/>
          <w:szCs w:val="24"/>
        </w:rPr>
        <w:t xml:space="preserve">and interventions, as outlined by Spada et al. (2015), </w:t>
      </w:r>
      <w:r w:rsidR="005C52EA" w:rsidRPr="006E1978">
        <w:rPr>
          <w:rFonts w:cs="Times New Roman"/>
          <w:sz w:val="24"/>
          <w:szCs w:val="24"/>
        </w:rPr>
        <w:t xml:space="preserve">is </w:t>
      </w:r>
      <w:r w:rsidR="005D4E7E" w:rsidRPr="006E1978">
        <w:rPr>
          <w:rFonts w:cs="Times New Roman"/>
          <w:sz w:val="24"/>
          <w:szCs w:val="24"/>
        </w:rPr>
        <w:t>still in its infancy</w:t>
      </w:r>
      <w:r w:rsidR="00F10560" w:rsidRPr="006E1978">
        <w:rPr>
          <w:rFonts w:cs="Times New Roman"/>
          <w:sz w:val="24"/>
          <w:szCs w:val="24"/>
        </w:rPr>
        <w:t>.</w:t>
      </w:r>
      <w:r w:rsidR="00AC08FE" w:rsidRPr="006E1978">
        <w:rPr>
          <w:rFonts w:cs="Times New Roman"/>
          <w:sz w:val="24"/>
          <w:szCs w:val="24"/>
        </w:rPr>
        <w:t xml:space="preserve"> </w:t>
      </w:r>
      <w:r w:rsidR="003A0319" w:rsidRPr="006E1978">
        <w:rPr>
          <w:rFonts w:cs="Times New Roman"/>
          <w:sz w:val="24"/>
          <w:szCs w:val="24"/>
        </w:rPr>
        <w:t xml:space="preserve">According to </w:t>
      </w:r>
      <w:r w:rsidR="002F1C88" w:rsidRPr="006E1978">
        <w:rPr>
          <w:rFonts w:cs="Times New Roman"/>
          <w:sz w:val="24"/>
          <w:szCs w:val="24"/>
        </w:rPr>
        <w:t>two</w:t>
      </w:r>
      <w:r w:rsidR="00F10560" w:rsidRPr="006E1978">
        <w:rPr>
          <w:rFonts w:cs="Times New Roman"/>
          <w:sz w:val="24"/>
          <w:szCs w:val="24"/>
        </w:rPr>
        <w:t xml:space="preserve"> recent </w:t>
      </w:r>
      <w:r w:rsidR="002F1C88" w:rsidRPr="006E1978">
        <w:rPr>
          <w:rFonts w:cs="Times New Roman"/>
          <w:sz w:val="24"/>
          <w:szCs w:val="24"/>
        </w:rPr>
        <w:t>s</w:t>
      </w:r>
      <w:r w:rsidR="00F10560" w:rsidRPr="006E1978">
        <w:rPr>
          <w:rFonts w:cs="Times New Roman"/>
          <w:sz w:val="24"/>
          <w:szCs w:val="24"/>
        </w:rPr>
        <w:t>ystematic reviews on metacognition</w:t>
      </w:r>
      <w:r w:rsidR="005C52EA" w:rsidRPr="006E1978">
        <w:rPr>
          <w:rFonts w:cs="Times New Roman"/>
          <w:sz w:val="24"/>
          <w:szCs w:val="24"/>
        </w:rPr>
        <w:t>s</w:t>
      </w:r>
      <w:r w:rsidR="00F10560" w:rsidRPr="006E1978">
        <w:rPr>
          <w:rFonts w:cs="Times New Roman"/>
          <w:sz w:val="24"/>
          <w:szCs w:val="24"/>
        </w:rPr>
        <w:t xml:space="preserve"> </w:t>
      </w:r>
      <w:r w:rsidR="00D80879" w:rsidRPr="006E1978">
        <w:rPr>
          <w:rFonts w:cs="Times New Roman"/>
          <w:sz w:val="24"/>
          <w:szCs w:val="24"/>
        </w:rPr>
        <w:t>in addictive behaviors</w:t>
      </w:r>
      <w:r w:rsidR="00F10560" w:rsidRPr="006E1978">
        <w:rPr>
          <w:rFonts w:cs="Times New Roman"/>
          <w:sz w:val="24"/>
          <w:szCs w:val="24"/>
        </w:rPr>
        <w:t xml:space="preserve">, </w:t>
      </w:r>
      <w:r w:rsidR="003A0319" w:rsidRPr="006E1978">
        <w:rPr>
          <w:rFonts w:cs="Times New Roman"/>
          <w:sz w:val="24"/>
          <w:szCs w:val="24"/>
        </w:rPr>
        <w:t xml:space="preserve">there was only one Chinese study </w:t>
      </w:r>
      <w:r w:rsidR="00D658B8" w:rsidRPr="006E1978">
        <w:rPr>
          <w:rFonts w:cs="Times New Roman"/>
          <w:sz w:val="24"/>
          <w:szCs w:val="24"/>
        </w:rPr>
        <w:t xml:space="preserve">(i.e., Zhang et al., 2020) </w:t>
      </w:r>
      <w:r w:rsidR="003A0319" w:rsidRPr="006E1978">
        <w:rPr>
          <w:rFonts w:cs="Times New Roman"/>
          <w:sz w:val="24"/>
          <w:szCs w:val="24"/>
        </w:rPr>
        <w:t>on generic metacognition</w:t>
      </w:r>
      <w:r w:rsidR="005C52EA" w:rsidRPr="006E1978">
        <w:rPr>
          <w:rFonts w:cs="Times New Roman"/>
          <w:sz w:val="24"/>
          <w:szCs w:val="24"/>
        </w:rPr>
        <w:t>s</w:t>
      </w:r>
      <w:r w:rsidR="006345B2" w:rsidRPr="006E1978">
        <w:rPr>
          <w:rFonts w:cs="Times New Roman"/>
          <w:sz w:val="24"/>
          <w:szCs w:val="24"/>
        </w:rPr>
        <w:t xml:space="preserve"> </w:t>
      </w:r>
      <w:r w:rsidR="00D74DA8" w:rsidRPr="006E1978">
        <w:rPr>
          <w:rFonts w:cs="Times New Roman"/>
          <w:sz w:val="24"/>
          <w:szCs w:val="24"/>
        </w:rPr>
        <w:t xml:space="preserve">and IGD </w:t>
      </w:r>
      <w:r w:rsidR="005C52EA" w:rsidRPr="006E1978">
        <w:rPr>
          <w:rFonts w:cs="Times New Roman"/>
          <w:sz w:val="24"/>
          <w:szCs w:val="24"/>
        </w:rPr>
        <w:t xml:space="preserve">undertaken so </w:t>
      </w:r>
      <w:r w:rsidR="003A0319" w:rsidRPr="006E1978">
        <w:rPr>
          <w:rFonts w:cs="Times New Roman"/>
          <w:sz w:val="24"/>
          <w:szCs w:val="24"/>
        </w:rPr>
        <w:t>far, compared to a total of</w:t>
      </w:r>
      <w:r w:rsidR="00F10560" w:rsidRPr="006E1978">
        <w:rPr>
          <w:rFonts w:cs="Times New Roman"/>
          <w:sz w:val="24"/>
          <w:szCs w:val="24"/>
        </w:rPr>
        <w:t xml:space="preserve"> </w:t>
      </w:r>
      <w:r w:rsidR="00D80879" w:rsidRPr="006E1978">
        <w:rPr>
          <w:rFonts w:cs="Times New Roman"/>
          <w:sz w:val="24"/>
          <w:szCs w:val="24"/>
        </w:rPr>
        <w:t xml:space="preserve">38 </w:t>
      </w:r>
      <w:r w:rsidR="003A0319" w:rsidRPr="006E1978">
        <w:rPr>
          <w:rFonts w:cs="Times New Roman"/>
          <w:sz w:val="24"/>
          <w:szCs w:val="24"/>
        </w:rPr>
        <w:t xml:space="preserve">and 13 </w:t>
      </w:r>
      <w:r w:rsidR="00D80879" w:rsidRPr="006E1978">
        <w:rPr>
          <w:rFonts w:cs="Times New Roman"/>
          <w:sz w:val="24"/>
          <w:szCs w:val="24"/>
        </w:rPr>
        <w:t xml:space="preserve">eligible studies included by </w:t>
      </w:r>
      <w:proofErr w:type="spellStart"/>
      <w:r w:rsidR="003A0319" w:rsidRPr="006E1978">
        <w:rPr>
          <w:rFonts w:cs="Times New Roman"/>
          <w:sz w:val="24"/>
          <w:szCs w:val="24"/>
        </w:rPr>
        <w:t>Hamonniere</w:t>
      </w:r>
      <w:proofErr w:type="spellEnd"/>
      <w:r w:rsidR="003A0319" w:rsidRPr="006E1978">
        <w:rPr>
          <w:rFonts w:cs="Times New Roman"/>
          <w:sz w:val="24"/>
          <w:szCs w:val="24"/>
        </w:rPr>
        <w:t xml:space="preserve"> </w:t>
      </w:r>
      <w:r w:rsidR="00E67581" w:rsidRPr="006E1978">
        <w:rPr>
          <w:rFonts w:cs="Times New Roman"/>
          <w:sz w:val="24"/>
          <w:szCs w:val="24"/>
        </w:rPr>
        <w:t>&amp;</w:t>
      </w:r>
      <w:r w:rsidR="003A0319" w:rsidRPr="006E1978">
        <w:rPr>
          <w:rFonts w:cs="Times New Roman"/>
          <w:sz w:val="24"/>
          <w:szCs w:val="24"/>
        </w:rPr>
        <w:t xml:space="preserve"> </w:t>
      </w:r>
      <w:proofErr w:type="spellStart"/>
      <w:r w:rsidR="003A0319" w:rsidRPr="006E1978">
        <w:rPr>
          <w:rFonts w:cs="Times New Roman"/>
          <w:sz w:val="24"/>
          <w:szCs w:val="24"/>
        </w:rPr>
        <w:t>Varescon</w:t>
      </w:r>
      <w:proofErr w:type="spellEnd"/>
      <w:r w:rsidR="003A0319" w:rsidRPr="006E1978">
        <w:rPr>
          <w:rFonts w:cs="Times New Roman"/>
          <w:sz w:val="24"/>
          <w:szCs w:val="24"/>
        </w:rPr>
        <w:t xml:space="preserve"> (2018) and </w:t>
      </w:r>
      <w:proofErr w:type="spellStart"/>
      <w:r w:rsidR="003A0319" w:rsidRPr="006E1978">
        <w:rPr>
          <w:rFonts w:cs="Times New Roman"/>
          <w:sz w:val="24"/>
          <w:szCs w:val="24"/>
        </w:rPr>
        <w:t>Casale</w:t>
      </w:r>
      <w:proofErr w:type="spellEnd"/>
      <w:r w:rsidR="003A0319" w:rsidRPr="006E1978">
        <w:rPr>
          <w:rFonts w:cs="Times New Roman"/>
          <w:sz w:val="24"/>
          <w:szCs w:val="24"/>
        </w:rPr>
        <w:t xml:space="preserve"> et al. (2021), respectively</w:t>
      </w:r>
      <w:r w:rsidR="005C52EA" w:rsidRPr="006E1978">
        <w:rPr>
          <w:rFonts w:cs="Times New Roman"/>
          <w:sz w:val="24"/>
          <w:szCs w:val="24"/>
        </w:rPr>
        <w:t>, on addictive behaviors across worldwide regions</w:t>
      </w:r>
      <w:r w:rsidR="003A0319" w:rsidRPr="006E1978">
        <w:rPr>
          <w:rFonts w:cs="Times New Roman"/>
          <w:sz w:val="24"/>
          <w:szCs w:val="24"/>
        </w:rPr>
        <w:t>.</w:t>
      </w:r>
      <w:r w:rsidR="00FA4F30" w:rsidRPr="006E1978">
        <w:rPr>
          <w:rFonts w:cs="Times New Roman"/>
          <w:sz w:val="24"/>
          <w:szCs w:val="24"/>
        </w:rPr>
        <w:t xml:space="preserve"> </w:t>
      </w:r>
      <w:r w:rsidR="006345B2" w:rsidRPr="006E1978">
        <w:rPr>
          <w:rFonts w:cs="Times New Roman"/>
          <w:sz w:val="24"/>
          <w:szCs w:val="24"/>
        </w:rPr>
        <w:t xml:space="preserve">This </w:t>
      </w:r>
      <w:r w:rsidR="00D658B8" w:rsidRPr="006E1978">
        <w:rPr>
          <w:rFonts w:cs="Times New Roman"/>
          <w:sz w:val="24"/>
          <w:szCs w:val="24"/>
        </w:rPr>
        <w:t>lack of relevant studies</w:t>
      </w:r>
      <w:r w:rsidR="006345B2" w:rsidRPr="006E1978">
        <w:rPr>
          <w:rFonts w:cs="Times New Roman"/>
          <w:sz w:val="24"/>
          <w:szCs w:val="24"/>
        </w:rPr>
        <w:t xml:space="preserve"> in China </w:t>
      </w:r>
      <w:r w:rsidR="00D658B8" w:rsidRPr="006E1978">
        <w:rPr>
          <w:rFonts w:cs="Times New Roman"/>
          <w:sz w:val="24"/>
          <w:szCs w:val="24"/>
        </w:rPr>
        <w:t xml:space="preserve">can be </w:t>
      </w:r>
      <w:r w:rsidR="00AC08FE" w:rsidRPr="006E1978">
        <w:rPr>
          <w:rFonts w:cs="Times New Roman"/>
          <w:sz w:val="24"/>
          <w:szCs w:val="24"/>
        </w:rPr>
        <w:t>attributed</w:t>
      </w:r>
      <w:r w:rsidR="00D658B8" w:rsidRPr="006E1978">
        <w:rPr>
          <w:rFonts w:cs="Times New Roman"/>
          <w:sz w:val="24"/>
          <w:szCs w:val="24"/>
        </w:rPr>
        <w:t xml:space="preserve">, at least </w:t>
      </w:r>
      <w:r w:rsidR="005C52EA" w:rsidRPr="006E1978">
        <w:rPr>
          <w:rFonts w:cs="Times New Roman"/>
          <w:sz w:val="24"/>
          <w:szCs w:val="24"/>
        </w:rPr>
        <w:t>in part</w:t>
      </w:r>
      <w:r w:rsidR="00D658B8" w:rsidRPr="006E1978">
        <w:rPr>
          <w:rFonts w:cs="Times New Roman"/>
          <w:sz w:val="24"/>
          <w:szCs w:val="24"/>
        </w:rPr>
        <w:t>,</w:t>
      </w:r>
      <w:r w:rsidR="00AC08FE" w:rsidRPr="006E1978">
        <w:rPr>
          <w:rFonts w:cs="Times New Roman"/>
          <w:sz w:val="24"/>
          <w:szCs w:val="24"/>
        </w:rPr>
        <w:t xml:space="preserve"> to the limited number of </w:t>
      </w:r>
      <w:r w:rsidR="00D658B8" w:rsidRPr="006E1978">
        <w:rPr>
          <w:rFonts w:cs="Times New Roman"/>
          <w:sz w:val="24"/>
          <w:szCs w:val="24"/>
        </w:rPr>
        <w:t>easy-</w:t>
      </w:r>
      <w:r w:rsidR="00CE45A7" w:rsidRPr="006E1978">
        <w:rPr>
          <w:rFonts w:cs="Times New Roman"/>
          <w:sz w:val="24"/>
          <w:szCs w:val="24"/>
        </w:rPr>
        <w:lastRenderedPageBreak/>
        <w:t>administrable</w:t>
      </w:r>
      <w:r w:rsidR="00D658B8" w:rsidRPr="006E1978">
        <w:rPr>
          <w:rFonts w:cs="Times New Roman"/>
          <w:sz w:val="24"/>
          <w:szCs w:val="24"/>
        </w:rPr>
        <w:t xml:space="preserve"> and </w:t>
      </w:r>
      <w:r w:rsidR="00AC08FE" w:rsidRPr="006E1978">
        <w:rPr>
          <w:rFonts w:cs="Times New Roman"/>
          <w:sz w:val="24"/>
          <w:szCs w:val="24"/>
        </w:rPr>
        <w:t>validated metacognitive assessment tools for Chinese people</w:t>
      </w:r>
      <w:r w:rsidR="00FE2B8F" w:rsidRPr="006E1978">
        <w:rPr>
          <w:rFonts w:cs="Times New Roman"/>
          <w:sz w:val="24"/>
          <w:szCs w:val="24"/>
        </w:rPr>
        <w:t>; hence, t</w:t>
      </w:r>
      <w:r w:rsidR="000912F4" w:rsidRPr="006E1978">
        <w:rPr>
          <w:rFonts w:cs="Times New Roman"/>
          <w:sz w:val="24"/>
          <w:szCs w:val="24"/>
        </w:rPr>
        <w:t xml:space="preserve">he present study </w:t>
      </w:r>
      <w:r w:rsidR="005C52EA" w:rsidRPr="006E1978">
        <w:rPr>
          <w:rFonts w:cs="Times New Roman"/>
          <w:sz w:val="24"/>
          <w:szCs w:val="24"/>
        </w:rPr>
        <w:t xml:space="preserve">aimed </w:t>
      </w:r>
      <w:r w:rsidR="006345B2" w:rsidRPr="006E1978">
        <w:rPr>
          <w:rFonts w:cs="Times New Roman"/>
          <w:sz w:val="24"/>
          <w:szCs w:val="24"/>
        </w:rPr>
        <w:t xml:space="preserve">to </w:t>
      </w:r>
      <w:r w:rsidR="000912F4" w:rsidRPr="006E1978">
        <w:rPr>
          <w:rFonts w:cs="Times New Roman"/>
          <w:sz w:val="24"/>
          <w:szCs w:val="24"/>
        </w:rPr>
        <w:t>validat</w:t>
      </w:r>
      <w:r w:rsidR="006345B2" w:rsidRPr="006E1978">
        <w:rPr>
          <w:rFonts w:cs="Times New Roman"/>
          <w:sz w:val="24"/>
          <w:szCs w:val="24"/>
        </w:rPr>
        <w:t>e</w:t>
      </w:r>
      <w:r w:rsidR="000912F4" w:rsidRPr="006E1978">
        <w:rPr>
          <w:rFonts w:cs="Times New Roman"/>
          <w:sz w:val="24"/>
          <w:szCs w:val="24"/>
        </w:rPr>
        <w:t xml:space="preserve"> </w:t>
      </w:r>
      <w:r w:rsidR="006345B2" w:rsidRPr="006E1978">
        <w:rPr>
          <w:rFonts w:cs="Times New Roman"/>
          <w:sz w:val="24"/>
          <w:szCs w:val="24"/>
        </w:rPr>
        <w:t xml:space="preserve">MOGS (Spada &amp; Caselli, 2017), </w:t>
      </w:r>
      <w:r w:rsidR="000912F4" w:rsidRPr="006E1978">
        <w:rPr>
          <w:rFonts w:cs="Times New Roman"/>
          <w:sz w:val="24"/>
          <w:szCs w:val="24"/>
        </w:rPr>
        <w:t xml:space="preserve">a </w:t>
      </w:r>
      <w:r w:rsidR="006031E9" w:rsidRPr="006E1978">
        <w:rPr>
          <w:rFonts w:cs="Times New Roman"/>
          <w:sz w:val="24"/>
          <w:szCs w:val="24"/>
        </w:rPr>
        <w:t xml:space="preserve">self-reported, </w:t>
      </w:r>
      <w:r w:rsidR="000912F4" w:rsidRPr="006E1978">
        <w:rPr>
          <w:rFonts w:cs="Times New Roman"/>
          <w:sz w:val="24"/>
          <w:szCs w:val="24"/>
        </w:rPr>
        <w:t xml:space="preserve">specific assessment tool </w:t>
      </w:r>
      <w:r w:rsidR="006345B2" w:rsidRPr="006E1978">
        <w:rPr>
          <w:rFonts w:cs="Times New Roman"/>
          <w:sz w:val="24"/>
          <w:szCs w:val="24"/>
        </w:rPr>
        <w:t xml:space="preserve">for </w:t>
      </w:r>
      <w:r w:rsidR="005C52EA" w:rsidRPr="006E1978">
        <w:rPr>
          <w:rFonts w:cs="Times New Roman"/>
          <w:sz w:val="24"/>
          <w:szCs w:val="24"/>
        </w:rPr>
        <w:t xml:space="preserve">metacognitions about </w:t>
      </w:r>
      <w:r w:rsidR="006345B2" w:rsidRPr="006E1978">
        <w:rPr>
          <w:rFonts w:cs="Times New Roman"/>
          <w:sz w:val="24"/>
          <w:szCs w:val="24"/>
        </w:rPr>
        <w:t>online gaming,</w:t>
      </w:r>
      <w:r w:rsidR="003E0FDB" w:rsidRPr="006E1978">
        <w:rPr>
          <w:rFonts w:cs="Times New Roman"/>
          <w:sz w:val="24"/>
          <w:szCs w:val="24"/>
        </w:rPr>
        <w:t xml:space="preserve"> among Chinese gamers</w:t>
      </w:r>
      <w:r w:rsidR="006345B2" w:rsidRPr="006E1978">
        <w:rPr>
          <w:rFonts w:cs="Times New Roman"/>
          <w:sz w:val="24"/>
          <w:szCs w:val="24"/>
        </w:rPr>
        <w:t xml:space="preserve"> to address this missing link</w:t>
      </w:r>
      <w:r w:rsidR="00892EBA" w:rsidRPr="006E1978">
        <w:rPr>
          <w:rFonts w:cs="Times New Roman"/>
          <w:sz w:val="24"/>
          <w:szCs w:val="24"/>
        </w:rPr>
        <w:t xml:space="preserve"> and </w:t>
      </w:r>
      <w:r w:rsidR="00D74DA8" w:rsidRPr="006E1978">
        <w:rPr>
          <w:rFonts w:cs="Times New Roman"/>
          <w:sz w:val="24"/>
          <w:szCs w:val="24"/>
        </w:rPr>
        <w:t>lay the groundwork for integrating metacognition in screening and treating IGD in China.</w:t>
      </w:r>
    </w:p>
    <w:p w14:paraId="7DEEE3DA" w14:textId="03CA8BF1" w:rsidR="006C10EB" w:rsidRPr="006E1978" w:rsidRDefault="005E611E" w:rsidP="00792616">
      <w:pPr>
        <w:snapToGrid w:val="0"/>
        <w:spacing w:line="480" w:lineRule="auto"/>
        <w:ind w:firstLine="420"/>
        <w:jc w:val="left"/>
        <w:rPr>
          <w:rFonts w:cs="Times New Roman"/>
          <w:sz w:val="24"/>
          <w:szCs w:val="24"/>
        </w:rPr>
      </w:pPr>
      <w:r w:rsidRPr="006E1978">
        <w:rPr>
          <w:rFonts w:cs="Times New Roman"/>
          <w:sz w:val="24"/>
          <w:szCs w:val="24"/>
        </w:rPr>
        <w:t xml:space="preserve">According to </w:t>
      </w:r>
      <w:r w:rsidR="00906EDA" w:rsidRPr="006E1978">
        <w:rPr>
          <w:rFonts w:cs="Times New Roman"/>
          <w:sz w:val="24"/>
          <w:szCs w:val="24"/>
        </w:rPr>
        <w:t>the original conceptualization (Spada &amp; Caselli, 2017)</w:t>
      </w:r>
      <w:r w:rsidR="00BA1CA0" w:rsidRPr="006E1978">
        <w:rPr>
          <w:rFonts w:cs="Times New Roman"/>
          <w:sz w:val="24"/>
          <w:szCs w:val="24"/>
        </w:rPr>
        <w:t xml:space="preserve">, MOGS </w:t>
      </w:r>
      <w:r w:rsidR="006C10EB" w:rsidRPr="006E1978">
        <w:rPr>
          <w:rFonts w:cs="Times New Roman"/>
          <w:sz w:val="24"/>
          <w:szCs w:val="24"/>
        </w:rPr>
        <w:t>contains two primary domains</w:t>
      </w:r>
      <w:r w:rsidR="00D41962" w:rsidRPr="006E1978">
        <w:rPr>
          <w:rFonts w:cs="Times New Roman"/>
          <w:sz w:val="24"/>
          <w:szCs w:val="24"/>
        </w:rPr>
        <w:t>:</w:t>
      </w:r>
      <w:r w:rsidR="006C10EB" w:rsidRPr="006E1978">
        <w:rPr>
          <w:rFonts w:cs="Times New Roman"/>
          <w:sz w:val="24"/>
          <w:szCs w:val="24"/>
        </w:rPr>
        <w:t xml:space="preserve"> one evaluates one’s negative metacognitions about online gaming (N-MOG; i.e., </w:t>
      </w:r>
      <w:r w:rsidR="00F26DEE" w:rsidRPr="006E1978">
        <w:rPr>
          <w:rFonts w:cs="Times New Roman"/>
          <w:sz w:val="24"/>
          <w:szCs w:val="24"/>
        </w:rPr>
        <w:t>beliefs about uncontrollability and dangers of online gaming</w:t>
      </w:r>
      <w:r w:rsidR="006C10EB" w:rsidRPr="006E1978">
        <w:rPr>
          <w:rFonts w:cs="Times New Roman"/>
          <w:sz w:val="24"/>
          <w:szCs w:val="24"/>
        </w:rPr>
        <w:t xml:space="preserve">) and the other gauges one’s positive metacognitions about online gaming (P-MOG; i.e., </w:t>
      </w:r>
      <w:r w:rsidR="00F26DEE" w:rsidRPr="006E1978">
        <w:rPr>
          <w:rFonts w:cs="Times New Roman"/>
          <w:sz w:val="24"/>
          <w:szCs w:val="24"/>
        </w:rPr>
        <w:t xml:space="preserve">beliefs about </w:t>
      </w:r>
      <w:r w:rsidR="00906EDA" w:rsidRPr="006E1978">
        <w:rPr>
          <w:rFonts w:cs="Times New Roman"/>
          <w:sz w:val="24"/>
          <w:szCs w:val="24"/>
        </w:rPr>
        <w:t xml:space="preserve">the benefits of </w:t>
      </w:r>
      <w:r w:rsidR="00F26DEE" w:rsidRPr="006E1978">
        <w:rPr>
          <w:rFonts w:cs="Times New Roman"/>
          <w:sz w:val="24"/>
          <w:szCs w:val="24"/>
        </w:rPr>
        <w:t>online gaming as a cognitive and affective self-regulation strategy</w:t>
      </w:r>
      <w:r w:rsidR="006C10EB" w:rsidRPr="006E1978">
        <w:rPr>
          <w:rFonts w:cs="Times New Roman"/>
          <w:sz w:val="24"/>
          <w:szCs w:val="24"/>
        </w:rPr>
        <w:t xml:space="preserve">). This two-factor structure has received empirical support </w:t>
      </w:r>
      <w:r w:rsidR="00E15A2E" w:rsidRPr="006E1978">
        <w:rPr>
          <w:rFonts w:cs="Times New Roman"/>
          <w:sz w:val="24"/>
          <w:szCs w:val="24"/>
        </w:rPr>
        <w:t xml:space="preserve">and applications </w:t>
      </w:r>
      <w:r w:rsidR="00183502" w:rsidRPr="006E1978">
        <w:rPr>
          <w:rFonts w:cs="Times New Roman"/>
          <w:sz w:val="24"/>
          <w:szCs w:val="24"/>
        </w:rPr>
        <w:t>among</w:t>
      </w:r>
      <w:r w:rsidR="006C10EB" w:rsidRPr="006E1978">
        <w:rPr>
          <w:rFonts w:cs="Times New Roman"/>
          <w:sz w:val="24"/>
          <w:szCs w:val="24"/>
        </w:rPr>
        <w:t xml:space="preserve"> </w:t>
      </w:r>
      <w:r w:rsidR="00906EDA" w:rsidRPr="006E1978">
        <w:rPr>
          <w:rFonts w:cs="Times New Roman"/>
          <w:sz w:val="24"/>
          <w:szCs w:val="24"/>
        </w:rPr>
        <w:t>Italian</w:t>
      </w:r>
      <w:r w:rsidR="00E15A2E" w:rsidRPr="006E1978">
        <w:rPr>
          <w:rFonts w:cs="Times New Roman"/>
          <w:sz w:val="24"/>
          <w:szCs w:val="24"/>
        </w:rPr>
        <w:t xml:space="preserve"> (Caselli et al., 2021; Marino et al., 2020; </w:t>
      </w:r>
      <w:r w:rsidR="00906EDA" w:rsidRPr="006E1978">
        <w:rPr>
          <w:rFonts w:cs="Times New Roman"/>
          <w:sz w:val="24"/>
          <w:szCs w:val="24"/>
        </w:rPr>
        <w:t>Spada &amp; Caselli, 2017 [Study 1]</w:t>
      </w:r>
      <w:r w:rsidR="00E15A2E" w:rsidRPr="006E1978">
        <w:rPr>
          <w:rFonts w:cs="Times New Roman"/>
          <w:sz w:val="24"/>
          <w:szCs w:val="24"/>
        </w:rPr>
        <w:t>) and Turkish (</w:t>
      </w:r>
      <w:proofErr w:type="spellStart"/>
      <w:r w:rsidR="00E15A2E" w:rsidRPr="006E1978">
        <w:rPr>
          <w:rFonts w:cs="Times New Roman"/>
          <w:sz w:val="24"/>
          <w:szCs w:val="24"/>
        </w:rPr>
        <w:t>Nazligül</w:t>
      </w:r>
      <w:proofErr w:type="spellEnd"/>
      <w:r w:rsidR="00E15A2E" w:rsidRPr="006E1978">
        <w:rPr>
          <w:rFonts w:cs="Times New Roman"/>
          <w:sz w:val="24"/>
          <w:szCs w:val="24"/>
        </w:rPr>
        <w:t xml:space="preserve">, &amp; </w:t>
      </w:r>
      <w:proofErr w:type="spellStart"/>
      <w:r w:rsidR="00E15A2E" w:rsidRPr="006E1978">
        <w:rPr>
          <w:rFonts w:cs="Times New Roman"/>
          <w:sz w:val="24"/>
          <w:szCs w:val="24"/>
        </w:rPr>
        <w:t>Süsen</w:t>
      </w:r>
      <w:proofErr w:type="spellEnd"/>
      <w:r w:rsidR="00E15A2E" w:rsidRPr="006E1978">
        <w:rPr>
          <w:rFonts w:cs="Times New Roman"/>
          <w:sz w:val="24"/>
          <w:szCs w:val="24"/>
        </w:rPr>
        <w:t xml:space="preserve">, 2021) </w:t>
      </w:r>
      <w:r w:rsidR="00183502" w:rsidRPr="006E1978">
        <w:rPr>
          <w:rFonts w:cs="Times New Roman"/>
          <w:sz w:val="24"/>
          <w:szCs w:val="24"/>
        </w:rPr>
        <w:t>gamers</w:t>
      </w:r>
      <w:r w:rsidR="006C10EB" w:rsidRPr="006E1978">
        <w:rPr>
          <w:rFonts w:cs="Times New Roman"/>
          <w:sz w:val="24"/>
          <w:szCs w:val="24"/>
        </w:rPr>
        <w:t xml:space="preserve">. </w:t>
      </w:r>
      <w:r w:rsidR="00183502" w:rsidRPr="006E1978">
        <w:rPr>
          <w:rFonts w:cs="Times New Roman"/>
          <w:sz w:val="24"/>
          <w:szCs w:val="24"/>
        </w:rPr>
        <w:t>However, a</w:t>
      </w:r>
      <w:r w:rsidR="006C10EB" w:rsidRPr="006E1978">
        <w:rPr>
          <w:rFonts w:cs="Times New Roman"/>
          <w:sz w:val="24"/>
          <w:szCs w:val="24"/>
        </w:rPr>
        <w:t>n alternative, three-factor model, which further divided N-MOG into two factors (i.e., uncontrollability [N-MOG1] and dangers [N-MOG2]</w:t>
      </w:r>
      <w:r w:rsidR="00663592" w:rsidRPr="006E1978">
        <w:rPr>
          <w:rFonts w:cs="Times New Roman"/>
          <w:sz w:val="24"/>
          <w:szCs w:val="24"/>
        </w:rPr>
        <w:t>)</w:t>
      </w:r>
      <w:r w:rsidR="006C10EB" w:rsidRPr="006E1978">
        <w:rPr>
          <w:rFonts w:cs="Times New Roman"/>
          <w:sz w:val="24"/>
          <w:szCs w:val="24"/>
        </w:rPr>
        <w:t xml:space="preserve">, was </w:t>
      </w:r>
      <w:r w:rsidR="00242091" w:rsidRPr="006E1978">
        <w:rPr>
          <w:rFonts w:cs="Times New Roman"/>
          <w:sz w:val="24"/>
          <w:szCs w:val="24"/>
        </w:rPr>
        <w:t>proposed based on a superior model fit than the two-factor model</w:t>
      </w:r>
      <w:r w:rsidR="00FC6BCA" w:rsidRPr="006E1978">
        <w:rPr>
          <w:rFonts w:cs="Times New Roman"/>
          <w:sz w:val="24"/>
          <w:szCs w:val="24"/>
        </w:rPr>
        <w:t>, via confirmatory factor analysis (CFA)</w:t>
      </w:r>
      <w:r w:rsidR="00C67909" w:rsidRPr="006E1978">
        <w:rPr>
          <w:rFonts w:cs="Times New Roman"/>
          <w:sz w:val="24"/>
          <w:szCs w:val="24"/>
        </w:rPr>
        <w:t>,</w:t>
      </w:r>
      <w:r w:rsidR="00242091" w:rsidRPr="006E1978">
        <w:rPr>
          <w:rFonts w:cs="Times New Roman"/>
          <w:sz w:val="24"/>
          <w:szCs w:val="24"/>
        </w:rPr>
        <w:t xml:space="preserve"> </w:t>
      </w:r>
      <w:r w:rsidR="00183502" w:rsidRPr="006E1978">
        <w:rPr>
          <w:rFonts w:cs="Times New Roman"/>
          <w:sz w:val="24"/>
          <w:szCs w:val="24"/>
        </w:rPr>
        <w:t>among</w:t>
      </w:r>
      <w:r w:rsidR="006C10EB" w:rsidRPr="006E1978">
        <w:rPr>
          <w:rFonts w:cs="Times New Roman"/>
          <w:sz w:val="24"/>
          <w:szCs w:val="24"/>
        </w:rPr>
        <w:t xml:space="preserve"> </w:t>
      </w:r>
      <w:r w:rsidR="00906EDA" w:rsidRPr="006E1978">
        <w:rPr>
          <w:rFonts w:cs="Times New Roman"/>
          <w:sz w:val="24"/>
          <w:szCs w:val="24"/>
        </w:rPr>
        <w:t>Italian (Spada &amp; Caselli, 2017 [Study 2</w:t>
      </w:r>
      <w:r w:rsidR="00183502" w:rsidRPr="006E1978">
        <w:rPr>
          <w:rFonts w:cs="Times New Roman"/>
          <w:sz w:val="24"/>
          <w:szCs w:val="24"/>
        </w:rPr>
        <w:t>]), Iranian (</w:t>
      </w:r>
      <w:r w:rsidR="00183502" w:rsidRPr="006E1978">
        <w:rPr>
          <w:rFonts w:cs="Times New Roman"/>
          <w:kern w:val="0"/>
          <w:sz w:val="24"/>
          <w:szCs w:val="24"/>
        </w:rPr>
        <w:t>Akbari et al., 20</w:t>
      </w:r>
      <w:r w:rsidR="00E260EF" w:rsidRPr="006E1978">
        <w:rPr>
          <w:rFonts w:cs="Times New Roman"/>
          <w:kern w:val="0"/>
          <w:sz w:val="24"/>
          <w:szCs w:val="24"/>
        </w:rPr>
        <w:t>21</w:t>
      </w:r>
      <w:r w:rsidR="00183502" w:rsidRPr="006E1978">
        <w:rPr>
          <w:rFonts w:cs="Times New Roman"/>
          <w:sz w:val="24"/>
          <w:szCs w:val="24"/>
        </w:rPr>
        <w:t>), and U</w:t>
      </w:r>
      <w:r w:rsidR="00AD6F33" w:rsidRPr="006E1978">
        <w:rPr>
          <w:rFonts w:cs="Times New Roman"/>
          <w:sz w:val="24"/>
          <w:szCs w:val="24"/>
        </w:rPr>
        <w:t>.</w:t>
      </w:r>
      <w:r w:rsidR="00183502" w:rsidRPr="006E1978">
        <w:rPr>
          <w:rFonts w:cs="Times New Roman"/>
          <w:sz w:val="24"/>
          <w:szCs w:val="24"/>
        </w:rPr>
        <w:t>S</w:t>
      </w:r>
      <w:r w:rsidR="00AD6F33" w:rsidRPr="006E1978">
        <w:rPr>
          <w:rFonts w:cs="Times New Roman"/>
          <w:sz w:val="24"/>
          <w:szCs w:val="24"/>
        </w:rPr>
        <w:t>.</w:t>
      </w:r>
      <w:r w:rsidR="00183502" w:rsidRPr="006E1978">
        <w:rPr>
          <w:rFonts w:cs="Times New Roman"/>
          <w:sz w:val="24"/>
          <w:szCs w:val="24"/>
        </w:rPr>
        <w:t xml:space="preserve"> (Gandolfi et al., 2021) gamers</w:t>
      </w:r>
      <w:r w:rsidR="006C10EB" w:rsidRPr="006E1978">
        <w:rPr>
          <w:rFonts w:cs="Times New Roman"/>
          <w:sz w:val="24"/>
          <w:szCs w:val="24"/>
        </w:rPr>
        <w:t>.</w:t>
      </w:r>
      <w:r w:rsidR="009C1110" w:rsidRPr="006E1978">
        <w:rPr>
          <w:rFonts w:cs="Times New Roman"/>
          <w:sz w:val="24"/>
          <w:szCs w:val="24"/>
        </w:rPr>
        <w:t xml:space="preserve"> </w:t>
      </w:r>
      <w:r w:rsidR="00AD6F33" w:rsidRPr="006E1978">
        <w:rPr>
          <w:rFonts w:cs="Times New Roman"/>
          <w:sz w:val="24"/>
          <w:szCs w:val="24"/>
        </w:rPr>
        <w:t>Given the variation in the latent structure of MOGS across cultural groups,</w:t>
      </w:r>
      <w:r w:rsidR="00226FC4" w:rsidRPr="006E1978">
        <w:rPr>
          <w:rFonts w:cs="Times New Roman"/>
          <w:sz w:val="24"/>
          <w:szCs w:val="24"/>
        </w:rPr>
        <w:t xml:space="preserve"> our first </w:t>
      </w:r>
      <w:r w:rsidR="003414D7" w:rsidRPr="006E1978">
        <w:rPr>
          <w:rFonts w:cs="Times New Roman"/>
          <w:sz w:val="24"/>
          <w:szCs w:val="24"/>
        </w:rPr>
        <w:t xml:space="preserve">objective </w:t>
      </w:r>
      <w:r w:rsidR="00D86F97" w:rsidRPr="006E1978">
        <w:rPr>
          <w:rFonts w:cs="Times New Roman"/>
          <w:sz w:val="24"/>
          <w:szCs w:val="24"/>
        </w:rPr>
        <w:t>of</w:t>
      </w:r>
      <w:r w:rsidR="003414D7" w:rsidRPr="006E1978">
        <w:rPr>
          <w:rFonts w:cs="Times New Roman"/>
          <w:sz w:val="24"/>
          <w:szCs w:val="24"/>
        </w:rPr>
        <w:t xml:space="preserve"> </w:t>
      </w:r>
      <w:r w:rsidR="00226FC4" w:rsidRPr="006E1978">
        <w:rPr>
          <w:rFonts w:cs="Times New Roman"/>
          <w:sz w:val="24"/>
          <w:szCs w:val="24"/>
        </w:rPr>
        <w:t xml:space="preserve">the present study was to confirm the latent structure of MOGS </w:t>
      </w:r>
      <w:r w:rsidR="00C42488" w:rsidRPr="006E1978">
        <w:rPr>
          <w:rFonts w:cs="Times New Roman"/>
          <w:sz w:val="24"/>
          <w:szCs w:val="24"/>
        </w:rPr>
        <w:t>among</w:t>
      </w:r>
      <w:r w:rsidR="00226FC4" w:rsidRPr="006E1978">
        <w:rPr>
          <w:rFonts w:cs="Times New Roman"/>
          <w:sz w:val="24"/>
          <w:szCs w:val="24"/>
        </w:rPr>
        <w:t xml:space="preserve"> Chinese gamers.</w:t>
      </w:r>
    </w:p>
    <w:p w14:paraId="18B64874" w14:textId="39F189E1" w:rsidR="009C1110" w:rsidRPr="006E1978" w:rsidRDefault="009D62B9" w:rsidP="00792616">
      <w:pPr>
        <w:snapToGrid w:val="0"/>
        <w:spacing w:line="480" w:lineRule="auto"/>
        <w:ind w:firstLine="420"/>
        <w:jc w:val="left"/>
        <w:rPr>
          <w:rFonts w:cs="Times New Roman"/>
          <w:sz w:val="24"/>
          <w:szCs w:val="24"/>
        </w:rPr>
      </w:pPr>
      <w:r w:rsidRPr="006E1978">
        <w:rPr>
          <w:rFonts w:cs="Times New Roman"/>
          <w:sz w:val="24"/>
          <w:szCs w:val="24"/>
        </w:rPr>
        <w:t>Despite its short history, MOGS, a</w:t>
      </w:r>
      <w:r w:rsidR="002B2C98" w:rsidRPr="006E1978">
        <w:rPr>
          <w:rFonts w:cs="Times New Roman"/>
          <w:sz w:val="24"/>
          <w:szCs w:val="24"/>
        </w:rPr>
        <w:t>s a relatively new assessment tool of specific metacognition</w:t>
      </w:r>
      <w:r w:rsidR="00B946D9" w:rsidRPr="006E1978">
        <w:rPr>
          <w:rFonts w:cs="Times New Roman"/>
          <w:sz w:val="24"/>
          <w:szCs w:val="24"/>
        </w:rPr>
        <w:t>s</w:t>
      </w:r>
      <w:r w:rsidR="002B2C98" w:rsidRPr="006E1978">
        <w:rPr>
          <w:rFonts w:cs="Times New Roman"/>
          <w:sz w:val="24"/>
          <w:szCs w:val="24"/>
        </w:rPr>
        <w:t xml:space="preserve">, has </w:t>
      </w:r>
      <w:r w:rsidRPr="006E1978">
        <w:rPr>
          <w:rFonts w:cs="Times New Roman"/>
          <w:sz w:val="24"/>
          <w:szCs w:val="24"/>
        </w:rPr>
        <w:t>displayed</w:t>
      </w:r>
      <w:r w:rsidR="002B2C98" w:rsidRPr="006E1978">
        <w:rPr>
          <w:rFonts w:cs="Times New Roman"/>
          <w:sz w:val="24"/>
          <w:szCs w:val="24"/>
        </w:rPr>
        <w:t xml:space="preserve"> </w:t>
      </w:r>
      <w:r w:rsidR="00C2274A" w:rsidRPr="006E1978">
        <w:rPr>
          <w:rFonts w:cs="Times New Roman"/>
          <w:sz w:val="24"/>
          <w:szCs w:val="24"/>
        </w:rPr>
        <w:t xml:space="preserve">generally </w:t>
      </w:r>
      <w:r w:rsidR="002B2C98" w:rsidRPr="006E1978">
        <w:rPr>
          <w:rFonts w:cs="Times New Roman"/>
          <w:sz w:val="24"/>
          <w:szCs w:val="24"/>
        </w:rPr>
        <w:t>good reliability</w:t>
      </w:r>
      <w:r w:rsidR="00B90E70" w:rsidRPr="006E1978">
        <w:rPr>
          <w:rFonts w:cs="Times New Roman"/>
          <w:sz w:val="24"/>
          <w:szCs w:val="24"/>
        </w:rPr>
        <w:t xml:space="preserve"> (i.e., </w:t>
      </w:r>
      <w:r w:rsidR="00B540E3" w:rsidRPr="006E1978">
        <w:rPr>
          <w:rFonts w:cs="Times New Roman"/>
          <w:i/>
          <w:iCs/>
          <w:kern w:val="0"/>
          <w:sz w:val="24"/>
          <w:szCs w:val="24"/>
        </w:rPr>
        <w:t>α</w:t>
      </w:r>
      <w:r w:rsidR="00B540E3" w:rsidRPr="006E1978">
        <w:rPr>
          <w:rFonts w:cs="Times New Roman"/>
          <w:kern w:val="0"/>
          <w:sz w:val="24"/>
          <w:szCs w:val="24"/>
        </w:rPr>
        <w:t xml:space="preserve"> = .79 to .94</w:t>
      </w:r>
      <w:r w:rsidR="00B90E70" w:rsidRPr="006E1978">
        <w:rPr>
          <w:rFonts w:cs="Times New Roman"/>
          <w:sz w:val="24"/>
          <w:szCs w:val="24"/>
        </w:rPr>
        <w:t>)</w:t>
      </w:r>
      <w:r w:rsidR="002B2C98" w:rsidRPr="006E1978">
        <w:rPr>
          <w:rFonts w:cs="Times New Roman"/>
          <w:sz w:val="24"/>
          <w:szCs w:val="24"/>
        </w:rPr>
        <w:t xml:space="preserve"> and </w:t>
      </w:r>
      <w:r w:rsidR="004544AE" w:rsidRPr="006E1978">
        <w:rPr>
          <w:rFonts w:cs="Times New Roman"/>
          <w:sz w:val="24"/>
          <w:szCs w:val="24"/>
        </w:rPr>
        <w:t xml:space="preserve">satisfactory </w:t>
      </w:r>
      <w:r w:rsidR="00AD72B2" w:rsidRPr="006E1978">
        <w:rPr>
          <w:rFonts w:cs="Times New Roman"/>
          <w:sz w:val="24"/>
          <w:szCs w:val="24"/>
        </w:rPr>
        <w:t>convergent</w:t>
      </w:r>
      <w:r w:rsidR="002B2C98" w:rsidRPr="006E1978">
        <w:rPr>
          <w:rFonts w:cs="Times New Roman"/>
          <w:sz w:val="24"/>
          <w:szCs w:val="24"/>
        </w:rPr>
        <w:t xml:space="preserve"> validity with psychological distress and IGD in </w:t>
      </w:r>
      <w:r w:rsidR="00E260EF" w:rsidRPr="006E1978">
        <w:rPr>
          <w:rFonts w:cs="Times New Roman"/>
          <w:sz w:val="24"/>
          <w:szCs w:val="24"/>
        </w:rPr>
        <w:t>Italian, Turkish, Iranian, and USA gamer</w:t>
      </w:r>
      <w:r w:rsidR="002B2C98" w:rsidRPr="006E1978">
        <w:rPr>
          <w:rFonts w:cs="Times New Roman"/>
          <w:sz w:val="24"/>
          <w:szCs w:val="24"/>
        </w:rPr>
        <w:t xml:space="preserve"> samples</w:t>
      </w:r>
      <w:r w:rsidR="00E260EF" w:rsidRPr="006E1978">
        <w:rPr>
          <w:rFonts w:cs="Times New Roman"/>
          <w:sz w:val="24"/>
          <w:szCs w:val="24"/>
        </w:rPr>
        <w:t xml:space="preserve"> (</w:t>
      </w:r>
      <w:r w:rsidR="00E260EF" w:rsidRPr="006E1978">
        <w:rPr>
          <w:rFonts w:cs="Times New Roman"/>
          <w:kern w:val="0"/>
          <w:sz w:val="24"/>
          <w:szCs w:val="24"/>
        </w:rPr>
        <w:t>Akbari et al., 2021;</w:t>
      </w:r>
      <w:r w:rsidR="00E260EF" w:rsidRPr="006E1978" w:rsidDel="00E15A2E">
        <w:rPr>
          <w:rFonts w:cs="Times New Roman"/>
          <w:sz w:val="24"/>
          <w:szCs w:val="24"/>
        </w:rPr>
        <w:t xml:space="preserve"> </w:t>
      </w:r>
      <w:r w:rsidR="00E260EF" w:rsidRPr="006E1978">
        <w:rPr>
          <w:rFonts w:cs="Times New Roman"/>
          <w:sz w:val="24"/>
          <w:szCs w:val="24"/>
        </w:rPr>
        <w:t xml:space="preserve">Caselli et al., 2021; Gandolfi et al., 2021; Marino et al., 2020; </w:t>
      </w:r>
      <w:proofErr w:type="spellStart"/>
      <w:r w:rsidR="00E260EF" w:rsidRPr="006E1978">
        <w:rPr>
          <w:rFonts w:cs="Times New Roman"/>
          <w:sz w:val="24"/>
          <w:szCs w:val="24"/>
        </w:rPr>
        <w:t>Nazligül</w:t>
      </w:r>
      <w:proofErr w:type="spellEnd"/>
      <w:r w:rsidR="00E260EF" w:rsidRPr="006E1978">
        <w:rPr>
          <w:rFonts w:cs="Times New Roman"/>
          <w:sz w:val="24"/>
          <w:szCs w:val="24"/>
        </w:rPr>
        <w:t xml:space="preserve">, &amp; </w:t>
      </w:r>
      <w:proofErr w:type="spellStart"/>
      <w:r w:rsidR="00E260EF" w:rsidRPr="006E1978">
        <w:rPr>
          <w:rFonts w:cs="Times New Roman"/>
          <w:sz w:val="24"/>
          <w:szCs w:val="24"/>
        </w:rPr>
        <w:t>Süsen</w:t>
      </w:r>
      <w:proofErr w:type="spellEnd"/>
      <w:r w:rsidR="00E260EF" w:rsidRPr="006E1978">
        <w:rPr>
          <w:rFonts w:cs="Times New Roman"/>
          <w:sz w:val="24"/>
          <w:szCs w:val="24"/>
        </w:rPr>
        <w:t xml:space="preserve">, 2021; Spada &amp; Caselli, </w:t>
      </w:r>
      <w:r w:rsidR="00E260EF" w:rsidRPr="006E1978">
        <w:rPr>
          <w:rFonts w:cs="Times New Roman"/>
          <w:sz w:val="24"/>
          <w:szCs w:val="24"/>
        </w:rPr>
        <w:lastRenderedPageBreak/>
        <w:t xml:space="preserve">2017). </w:t>
      </w:r>
      <w:r w:rsidR="00B90E70" w:rsidRPr="006E1978">
        <w:rPr>
          <w:rFonts w:cs="Times New Roman"/>
          <w:sz w:val="24"/>
          <w:szCs w:val="24"/>
        </w:rPr>
        <w:t xml:space="preserve">As no empirical study has yet evaluated the psychometric properties of MOGS among Chinese people, we intended to </w:t>
      </w:r>
      <w:r w:rsidR="00B946D9" w:rsidRPr="006E1978">
        <w:rPr>
          <w:rFonts w:cs="Times New Roman"/>
          <w:sz w:val="24"/>
          <w:szCs w:val="24"/>
        </w:rPr>
        <w:t>begin</w:t>
      </w:r>
      <w:r w:rsidR="00ED1D98" w:rsidRPr="006E1978" w:rsidDel="00ED1D98">
        <w:rPr>
          <w:rFonts w:cs="Times New Roman"/>
          <w:sz w:val="24"/>
          <w:szCs w:val="24"/>
        </w:rPr>
        <w:t xml:space="preserve"> </w:t>
      </w:r>
      <w:r w:rsidR="00B90E70" w:rsidRPr="006E1978">
        <w:rPr>
          <w:rFonts w:cs="Times New Roman"/>
          <w:sz w:val="24"/>
          <w:szCs w:val="24"/>
        </w:rPr>
        <w:t xml:space="preserve">by assessing </w:t>
      </w:r>
      <w:r w:rsidR="00833CB6" w:rsidRPr="006E1978">
        <w:rPr>
          <w:rFonts w:cs="Times New Roman"/>
          <w:sz w:val="24"/>
          <w:szCs w:val="24"/>
        </w:rPr>
        <w:t>its</w:t>
      </w:r>
      <w:r w:rsidR="00B90E70" w:rsidRPr="006E1978">
        <w:rPr>
          <w:rFonts w:cs="Times New Roman"/>
          <w:sz w:val="24"/>
          <w:szCs w:val="24"/>
        </w:rPr>
        <w:t xml:space="preserve"> reliability</w:t>
      </w:r>
      <w:r w:rsidR="00833CB6" w:rsidRPr="006E1978">
        <w:rPr>
          <w:rFonts w:cs="Times New Roman"/>
          <w:sz w:val="24"/>
          <w:szCs w:val="24"/>
        </w:rPr>
        <w:t xml:space="preserve"> (i.e., internal consistency and one-month test-retest reliability)</w:t>
      </w:r>
      <w:r w:rsidR="00B90E70" w:rsidRPr="006E1978">
        <w:rPr>
          <w:rFonts w:cs="Times New Roman"/>
          <w:sz w:val="24"/>
          <w:szCs w:val="24"/>
        </w:rPr>
        <w:t xml:space="preserve"> and </w:t>
      </w:r>
      <w:r w:rsidR="00AD72B2" w:rsidRPr="006E1978">
        <w:rPr>
          <w:rFonts w:cs="Times New Roman"/>
          <w:sz w:val="24"/>
          <w:szCs w:val="24"/>
        </w:rPr>
        <w:t>convergent</w:t>
      </w:r>
      <w:r w:rsidR="00833CB6" w:rsidRPr="006E1978">
        <w:rPr>
          <w:rFonts w:cs="Times New Roman"/>
          <w:sz w:val="24"/>
          <w:szCs w:val="24"/>
        </w:rPr>
        <w:t xml:space="preserve"> </w:t>
      </w:r>
      <w:r w:rsidR="00B90E70" w:rsidRPr="006E1978">
        <w:rPr>
          <w:rFonts w:cs="Times New Roman"/>
          <w:sz w:val="24"/>
          <w:szCs w:val="24"/>
        </w:rPr>
        <w:t xml:space="preserve">validity as the second </w:t>
      </w:r>
      <w:r w:rsidR="00B946D9" w:rsidRPr="006E1978">
        <w:rPr>
          <w:rFonts w:cs="Times New Roman"/>
          <w:sz w:val="24"/>
          <w:szCs w:val="24"/>
        </w:rPr>
        <w:t xml:space="preserve">objective </w:t>
      </w:r>
      <w:r w:rsidR="00B90E70" w:rsidRPr="006E1978">
        <w:rPr>
          <w:rFonts w:cs="Times New Roman"/>
          <w:sz w:val="24"/>
          <w:szCs w:val="24"/>
        </w:rPr>
        <w:t>of the present study. As</w:t>
      </w:r>
      <w:r w:rsidR="00D41962" w:rsidRPr="006E1978">
        <w:rPr>
          <w:rFonts w:cs="Times New Roman"/>
          <w:sz w:val="24"/>
          <w:szCs w:val="24"/>
        </w:rPr>
        <w:t xml:space="preserve"> for</w:t>
      </w:r>
      <w:r w:rsidR="00B90E70" w:rsidRPr="006E1978">
        <w:rPr>
          <w:rFonts w:cs="Times New Roman"/>
          <w:sz w:val="24"/>
          <w:szCs w:val="24"/>
        </w:rPr>
        <w:t xml:space="preserve"> </w:t>
      </w:r>
      <w:r w:rsidR="00833CB6" w:rsidRPr="006E1978">
        <w:rPr>
          <w:rFonts w:cs="Times New Roman"/>
          <w:sz w:val="24"/>
          <w:szCs w:val="24"/>
        </w:rPr>
        <w:t>indicators of</w:t>
      </w:r>
      <w:r w:rsidR="00B90E70" w:rsidRPr="006E1978">
        <w:rPr>
          <w:rFonts w:cs="Times New Roman"/>
          <w:sz w:val="24"/>
          <w:szCs w:val="24"/>
        </w:rPr>
        <w:t xml:space="preserve"> </w:t>
      </w:r>
      <w:r w:rsidR="00AD72B2" w:rsidRPr="006E1978">
        <w:rPr>
          <w:rFonts w:cs="Times New Roman"/>
          <w:sz w:val="24"/>
          <w:szCs w:val="24"/>
        </w:rPr>
        <w:t>convergent</w:t>
      </w:r>
      <w:r w:rsidR="00B90E70" w:rsidRPr="006E1978">
        <w:rPr>
          <w:rFonts w:cs="Times New Roman"/>
          <w:sz w:val="24"/>
          <w:szCs w:val="24"/>
        </w:rPr>
        <w:t xml:space="preserve"> validity, we selected generic metacognition</w:t>
      </w:r>
      <w:r w:rsidR="00B946D9" w:rsidRPr="006E1978">
        <w:rPr>
          <w:rFonts w:cs="Times New Roman"/>
          <w:sz w:val="24"/>
          <w:szCs w:val="24"/>
        </w:rPr>
        <w:t>s</w:t>
      </w:r>
      <w:r w:rsidR="00B90E70" w:rsidRPr="006E1978">
        <w:rPr>
          <w:rFonts w:cs="Times New Roman"/>
          <w:sz w:val="24"/>
          <w:szCs w:val="24"/>
        </w:rPr>
        <w:t xml:space="preserve">, stress, and IGD </w:t>
      </w:r>
      <w:r w:rsidR="00124152" w:rsidRPr="006E1978">
        <w:rPr>
          <w:rFonts w:cs="Times New Roman"/>
          <w:sz w:val="24"/>
          <w:szCs w:val="24"/>
        </w:rPr>
        <w:t>tendency</w:t>
      </w:r>
      <w:r w:rsidR="002D3369" w:rsidRPr="006E1978">
        <w:rPr>
          <w:rFonts w:cs="Times New Roman"/>
          <w:sz w:val="24"/>
          <w:szCs w:val="24"/>
        </w:rPr>
        <w:t xml:space="preserve"> </w:t>
      </w:r>
      <w:r w:rsidR="00D93F9F" w:rsidRPr="006E1978">
        <w:rPr>
          <w:rFonts w:cs="Times New Roman"/>
          <w:sz w:val="24"/>
          <w:szCs w:val="24"/>
        </w:rPr>
        <w:t xml:space="preserve">and expected to find a positive association of MOGS with these indicators </w:t>
      </w:r>
      <w:r w:rsidR="00D41962" w:rsidRPr="006E1978">
        <w:rPr>
          <w:rFonts w:cs="Times New Roman"/>
          <w:sz w:val="24"/>
          <w:szCs w:val="24"/>
        </w:rPr>
        <w:t>similarly</w:t>
      </w:r>
      <w:r w:rsidR="00D93F9F" w:rsidRPr="006E1978">
        <w:rPr>
          <w:rFonts w:cs="Times New Roman"/>
          <w:sz w:val="24"/>
          <w:szCs w:val="24"/>
        </w:rPr>
        <w:t xml:space="preserve"> as those </w:t>
      </w:r>
      <w:r w:rsidR="002D3369" w:rsidRPr="006E1978">
        <w:rPr>
          <w:rFonts w:cs="Times New Roman"/>
          <w:sz w:val="24"/>
          <w:szCs w:val="24"/>
        </w:rPr>
        <w:t>positive association</w:t>
      </w:r>
      <w:r w:rsidR="00D93F9F" w:rsidRPr="006E1978">
        <w:rPr>
          <w:rFonts w:cs="Times New Roman"/>
          <w:sz w:val="24"/>
          <w:szCs w:val="24"/>
        </w:rPr>
        <w:t>s were consistently reported</w:t>
      </w:r>
      <w:r w:rsidR="002D3369" w:rsidRPr="006E1978">
        <w:rPr>
          <w:rFonts w:cs="Times New Roman"/>
          <w:sz w:val="24"/>
          <w:szCs w:val="24"/>
        </w:rPr>
        <w:t xml:space="preserve"> in extant studies (</w:t>
      </w:r>
      <w:r w:rsidR="005015DC" w:rsidRPr="006E1978">
        <w:rPr>
          <w:rFonts w:cs="Times New Roman"/>
          <w:kern w:val="0"/>
          <w:sz w:val="24"/>
          <w:szCs w:val="24"/>
        </w:rPr>
        <w:t xml:space="preserve">Akbari et al., 2021; </w:t>
      </w:r>
      <w:r w:rsidR="005015DC" w:rsidRPr="006E1978">
        <w:rPr>
          <w:rFonts w:cs="Times New Roman"/>
          <w:sz w:val="24"/>
          <w:szCs w:val="24"/>
        </w:rPr>
        <w:t xml:space="preserve">Gandolfi et al., 2021; </w:t>
      </w:r>
      <w:proofErr w:type="spellStart"/>
      <w:r w:rsidR="005015DC" w:rsidRPr="006E1978">
        <w:rPr>
          <w:rFonts w:cs="Times New Roman"/>
          <w:sz w:val="24"/>
          <w:szCs w:val="24"/>
        </w:rPr>
        <w:t>Nazligül</w:t>
      </w:r>
      <w:proofErr w:type="spellEnd"/>
      <w:r w:rsidR="005015DC" w:rsidRPr="006E1978">
        <w:rPr>
          <w:rFonts w:cs="Times New Roman"/>
          <w:sz w:val="24"/>
          <w:szCs w:val="24"/>
        </w:rPr>
        <w:t xml:space="preserve">, &amp; </w:t>
      </w:r>
      <w:proofErr w:type="spellStart"/>
      <w:r w:rsidR="005015DC" w:rsidRPr="006E1978">
        <w:rPr>
          <w:rFonts w:cs="Times New Roman"/>
          <w:sz w:val="24"/>
          <w:szCs w:val="24"/>
        </w:rPr>
        <w:t>Süsen</w:t>
      </w:r>
      <w:proofErr w:type="spellEnd"/>
      <w:r w:rsidR="005015DC" w:rsidRPr="006E1978">
        <w:rPr>
          <w:rFonts w:cs="Times New Roman"/>
          <w:sz w:val="24"/>
          <w:szCs w:val="24"/>
        </w:rPr>
        <w:t>, 2021; Marino et al., 2020</w:t>
      </w:r>
      <w:r w:rsidR="002D3369" w:rsidRPr="006E1978">
        <w:rPr>
          <w:rFonts w:eastAsia="PMingLiU" w:cs="Times New Roman"/>
          <w:sz w:val="24"/>
          <w:szCs w:val="24"/>
          <w:lang w:eastAsia="zh-TW"/>
        </w:rPr>
        <w:t>)</w:t>
      </w:r>
      <w:r w:rsidR="00B90E70" w:rsidRPr="006E1978">
        <w:rPr>
          <w:rFonts w:cs="Times New Roman"/>
          <w:sz w:val="24"/>
          <w:szCs w:val="24"/>
        </w:rPr>
        <w:t xml:space="preserve">. </w:t>
      </w:r>
      <w:r w:rsidR="00C2274A" w:rsidRPr="006E1978">
        <w:rPr>
          <w:rFonts w:cs="Times New Roman"/>
          <w:sz w:val="24"/>
          <w:szCs w:val="24"/>
        </w:rPr>
        <w:t xml:space="preserve">Compared to its generic </w:t>
      </w:r>
      <w:r w:rsidR="00B946D9" w:rsidRPr="006E1978">
        <w:rPr>
          <w:rFonts w:cs="Times New Roman"/>
          <w:sz w:val="24"/>
          <w:szCs w:val="24"/>
        </w:rPr>
        <w:t>counterpart</w:t>
      </w:r>
      <w:r w:rsidR="00C2274A" w:rsidRPr="006E1978">
        <w:rPr>
          <w:rFonts w:cs="Times New Roman"/>
          <w:sz w:val="24"/>
          <w:szCs w:val="24"/>
        </w:rPr>
        <w:t xml:space="preserve">, </w:t>
      </w:r>
      <w:r w:rsidR="00867DC0" w:rsidRPr="006E1978">
        <w:rPr>
          <w:rFonts w:cs="Times New Roman"/>
          <w:sz w:val="24"/>
          <w:szCs w:val="24"/>
        </w:rPr>
        <w:t xml:space="preserve">we would expect to find </w:t>
      </w:r>
      <w:r w:rsidR="00B946D9" w:rsidRPr="006E1978">
        <w:rPr>
          <w:rFonts w:cs="Times New Roman"/>
          <w:sz w:val="24"/>
          <w:szCs w:val="24"/>
        </w:rPr>
        <w:t>metacognitions about online gaming</w:t>
      </w:r>
      <w:r w:rsidR="00C2274A" w:rsidRPr="006E1978">
        <w:rPr>
          <w:rFonts w:cs="Times New Roman"/>
          <w:sz w:val="24"/>
          <w:szCs w:val="24"/>
        </w:rPr>
        <w:t xml:space="preserve"> to </w:t>
      </w:r>
      <w:r w:rsidR="00D93F9F" w:rsidRPr="006E1978">
        <w:rPr>
          <w:rFonts w:cs="Times New Roman"/>
          <w:sz w:val="24"/>
          <w:szCs w:val="24"/>
        </w:rPr>
        <w:t>be a stronger indicator</w:t>
      </w:r>
      <w:r w:rsidR="00C2274A" w:rsidRPr="006E1978">
        <w:rPr>
          <w:rFonts w:cs="Times New Roman"/>
          <w:sz w:val="24"/>
          <w:szCs w:val="24"/>
        </w:rPr>
        <w:t xml:space="preserve"> </w:t>
      </w:r>
      <w:r w:rsidR="00B946D9" w:rsidRPr="006E1978">
        <w:rPr>
          <w:rFonts w:cs="Times New Roman"/>
          <w:sz w:val="24"/>
          <w:szCs w:val="24"/>
        </w:rPr>
        <w:t xml:space="preserve">of </w:t>
      </w:r>
      <w:r w:rsidR="00C2274A" w:rsidRPr="006E1978">
        <w:rPr>
          <w:rFonts w:cs="Times New Roman"/>
          <w:sz w:val="24"/>
          <w:szCs w:val="24"/>
        </w:rPr>
        <w:t xml:space="preserve">its corresponding </w:t>
      </w:r>
      <w:r w:rsidR="00833CB6" w:rsidRPr="006E1978">
        <w:rPr>
          <w:rFonts w:cs="Times New Roman"/>
          <w:sz w:val="24"/>
          <w:szCs w:val="24"/>
        </w:rPr>
        <w:t xml:space="preserve">maladaptive </w:t>
      </w:r>
      <w:r w:rsidR="00C2274A" w:rsidRPr="006E1978">
        <w:rPr>
          <w:rFonts w:cs="Times New Roman"/>
          <w:sz w:val="24"/>
          <w:szCs w:val="24"/>
        </w:rPr>
        <w:t>behavior</w:t>
      </w:r>
      <w:r w:rsidR="006031E9" w:rsidRPr="006E1978">
        <w:rPr>
          <w:rFonts w:cs="Times New Roman"/>
          <w:sz w:val="24"/>
          <w:szCs w:val="24"/>
        </w:rPr>
        <w:t>al pattern</w:t>
      </w:r>
      <w:r w:rsidR="00C2274A" w:rsidRPr="006E1978">
        <w:rPr>
          <w:rFonts w:cs="Times New Roman"/>
          <w:sz w:val="24"/>
          <w:szCs w:val="24"/>
        </w:rPr>
        <w:t xml:space="preserve"> (i.e., </w:t>
      </w:r>
      <w:r w:rsidR="00833CB6" w:rsidRPr="006E1978">
        <w:rPr>
          <w:rFonts w:cs="Times New Roman"/>
          <w:sz w:val="24"/>
          <w:szCs w:val="24"/>
        </w:rPr>
        <w:t>IGD</w:t>
      </w:r>
      <w:r w:rsidR="00C2274A" w:rsidRPr="006E1978">
        <w:rPr>
          <w:rFonts w:cs="Times New Roman"/>
          <w:sz w:val="24"/>
          <w:szCs w:val="24"/>
        </w:rPr>
        <w:t xml:space="preserve">), which </w:t>
      </w:r>
      <w:r w:rsidR="00867DC0" w:rsidRPr="006E1978">
        <w:rPr>
          <w:rFonts w:cs="Times New Roman"/>
          <w:sz w:val="24"/>
          <w:szCs w:val="24"/>
        </w:rPr>
        <w:t xml:space="preserve">would </w:t>
      </w:r>
      <w:r w:rsidR="00C2274A" w:rsidRPr="006E1978">
        <w:rPr>
          <w:rFonts w:cs="Times New Roman"/>
          <w:sz w:val="24"/>
          <w:szCs w:val="24"/>
        </w:rPr>
        <w:t>attest</w:t>
      </w:r>
      <w:r w:rsidR="00867DC0" w:rsidRPr="006E1978">
        <w:rPr>
          <w:rFonts w:cs="Times New Roman"/>
          <w:sz w:val="24"/>
          <w:szCs w:val="24"/>
        </w:rPr>
        <w:t xml:space="preserve"> </w:t>
      </w:r>
      <w:r w:rsidR="00C2274A" w:rsidRPr="006E1978">
        <w:rPr>
          <w:rFonts w:cs="Times New Roman"/>
          <w:sz w:val="24"/>
          <w:szCs w:val="24"/>
        </w:rPr>
        <w:t>to the advantages of using specific measures for specific behaviors</w:t>
      </w:r>
      <w:r w:rsidR="009C1110" w:rsidRPr="006E1978">
        <w:rPr>
          <w:rFonts w:cs="Times New Roman"/>
          <w:b/>
          <w:sz w:val="24"/>
          <w:szCs w:val="24"/>
        </w:rPr>
        <w:t xml:space="preserve"> </w:t>
      </w:r>
      <w:r w:rsidR="00C2274A" w:rsidRPr="006E1978">
        <w:rPr>
          <w:rFonts w:cs="Times New Roman"/>
          <w:sz w:val="24"/>
          <w:szCs w:val="24"/>
        </w:rPr>
        <w:t xml:space="preserve">as reported in previous studies </w:t>
      </w:r>
      <w:r w:rsidR="009C1110" w:rsidRPr="006E1978">
        <w:rPr>
          <w:rFonts w:cs="Times New Roman"/>
          <w:sz w:val="24"/>
          <w:szCs w:val="24"/>
        </w:rPr>
        <w:t>(e.g., Chen et al., 2021</w:t>
      </w:r>
      <w:r w:rsidR="00E67581" w:rsidRPr="006E1978">
        <w:rPr>
          <w:rFonts w:cs="Times New Roman"/>
          <w:sz w:val="24"/>
          <w:szCs w:val="24"/>
        </w:rPr>
        <w:t>a</w:t>
      </w:r>
      <w:r w:rsidR="009C1110" w:rsidRPr="006E1978">
        <w:rPr>
          <w:rFonts w:cs="Times New Roman"/>
          <w:sz w:val="24"/>
          <w:szCs w:val="24"/>
        </w:rPr>
        <w:t>).</w:t>
      </w:r>
      <w:r w:rsidR="00B90E70" w:rsidRPr="006E1978">
        <w:rPr>
          <w:rFonts w:cs="Times New Roman"/>
          <w:sz w:val="24"/>
          <w:szCs w:val="24"/>
        </w:rPr>
        <w:t xml:space="preserve"> </w:t>
      </w:r>
      <w:r w:rsidR="006031E9" w:rsidRPr="006E1978">
        <w:rPr>
          <w:rFonts w:cs="Times New Roman"/>
          <w:sz w:val="24"/>
          <w:szCs w:val="24"/>
        </w:rPr>
        <w:t>In addition to the psychometric validation of the 12-item MOGS</w:t>
      </w:r>
      <w:r w:rsidR="00051561" w:rsidRPr="006E1978">
        <w:rPr>
          <w:rFonts w:cs="Times New Roman"/>
          <w:sz w:val="24"/>
          <w:szCs w:val="24"/>
        </w:rPr>
        <w:t xml:space="preserve">, </w:t>
      </w:r>
      <w:r w:rsidR="00D86F97" w:rsidRPr="006E1978">
        <w:rPr>
          <w:rFonts w:cs="Times New Roman"/>
          <w:sz w:val="24"/>
          <w:szCs w:val="24"/>
        </w:rPr>
        <w:t xml:space="preserve">the </w:t>
      </w:r>
      <w:r w:rsidR="00EC584A" w:rsidRPr="006E1978">
        <w:rPr>
          <w:rFonts w:cs="Times New Roman"/>
          <w:sz w:val="24"/>
          <w:szCs w:val="24"/>
        </w:rPr>
        <w:t xml:space="preserve">third </w:t>
      </w:r>
      <w:r w:rsidR="00B946D9" w:rsidRPr="006E1978">
        <w:rPr>
          <w:rFonts w:cs="Times New Roman"/>
          <w:sz w:val="24"/>
          <w:szCs w:val="24"/>
        </w:rPr>
        <w:t xml:space="preserve">objective </w:t>
      </w:r>
      <w:r w:rsidR="00D86F97" w:rsidRPr="006E1978">
        <w:rPr>
          <w:rFonts w:cs="Times New Roman"/>
          <w:sz w:val="24"/>
          <w:szCs w:val="24"/>
        </w:rPr>
        <w:t xml:space="preserve">of the present study </w:t>
      </w:r>
      <w:r w:rsidR="00EC584A" w:rsidRPr="006E1978">
        <w:rPr>
          <w:rFonts w:cs="Times New Roman"/>
          <w:sz w:val="24"/>
          <w:szCs w:val="24"/>
        </w:rPr>
        <w:t>was</w:t>
      </w:r>
      <w:r w:rsidR="00C72564" w:rsidRPr="006E1978">
        <w:rPr>
          <w:rFonts w:cs="Times New Roman"/>
          <w:sz w:val="24"/>
          <w:szCs w:val="24"/>
        </w:rPr>
        <w:t xml:space="preserve"> to devise a short</w:t>
      </w:r>
      <w:r w:rsidR="00A74C56" w:rsidRPr="006E1978">
        <w:rPr>
          <w:rFonts w:cs="Times New Roman"/>
          <w:sz w:val="24"/>
          <w:szCs w:val="24"/>
        </w:rPr>
        <w:t>-form MOGS as a more flexible alternative for researchers and practitioners to assess metacognitions about online gam</w:t>
      </w:r>
      <w:r w:rsidR="00655012" w:rsidRPr="006E1978">
        <w:rPr>
          <w:rFonts w:cs="Times New Roman"/>
          <w:sz w:val="24"/>
          <w:szCs w:val="24"/>
        </w:rPr>
        <w:t>ing</w:t>
      </w:r>
      <w:r w:rsidR="00A74C56" w:rsidRPr="006E1978">
        <w:rPr>
          <w:rFonts w:cs="Times New Roman"/>
          <w:sz w:val="24"/>
          <w:szCs w:val="24"/>
        </w:rPr>
        <w:t xml:space="preserve"> in mass</w:t>
      </w:r>
      <w:r w:rsidR="00655012" w:rsidRPr="006E1978">
        <w:rPr>
          <w:rFonts w:cs="Times New Roman"/>
          <w:sz w:val="24"/>
          <w:szCs w:val="24"/>
        </w:rPr>
        <w:t>-scale</w:t>
      </w:r>
      <w:r w:rsidR="00A74C56" w:rsidRPr="006E1978">
        <w:rPr>
          <w:rFonts w:cs="Times New Roman"/>
          <w:sz w:val="24"/>
          <w:szCs w:val="24"/>
        </w:rPr>
        <w:t xml:space="preserve"> screening and</w:t>
      </w:r>
      <w:r w:rsidR="00655012" w:rsidRPr="006E1978">
        <w:rPr>
          <w:rFonts w:cs="Times New Roman"/>
          <w:sz w:val="24"/>
          <w:szCs w:val="24"/>
        </w:rPr>
        <w:t>/or</w:t>
      </w:r>
      <w:r w:rsidR="00A74C56" w:rsidRPr="006E1978">
        <w:rPr>
          <w:rFonts w:cs="Times New Roman"/>
          <w:sz w:val="24"/>
          <w:szCs w:val="24"/>
        </w:rPr>
        <w:t xml:space="preserve"> intervention programs.</w:t>
      </w:r>
    </w:p>
    <w:p w14:paraId="2F245FA3" w14:textId="3C443F48" w:rsidR="00B828D8" w:rsidRPr="006E1978" w:rsidRDefault="00B828D8" w:rsidP="00792616">
      <w:pPr>
        <w:snapToGrid w:val="0"/>
        <w:spacing w:line="480" w:lineRule="auto"/>
        <w:jc w:val="left"/>
        <w:rPr>
          <w:rFonts w:cs="Times New Roman"/>
          <w:b/>
          <w:bCs/>
          <w:sz w:val="24"/>
          <w:szCs w:val="24"/>
        </w:rPr>
      </w:pPr>
      <w:r w:rsidRPr="006E1978">
        <w:rPr>
          <w:rFonts w:cs="Times New Roman"/>
          <w:b/>
          <w:bCs/>
          <w:sz w:val="24"/>
          <w:szCs w:val="24"/>
        </w:rPr>
        <w:t xml:space="preserve">2. Method </w:t>
      </w:r>
    </w:p>
    <w:p w14:paraId="3F7C9749" w14:textId="044202E0" w:rsidR="00B828D8" w:rsidRPr="006E1978" w:rsidRDefault="00B828D8" w:rsidP="00792616">
      <w:pPr>
        <w:snapToGrid w:val="0"/>
        <w:spacing w:line="480" w:lineRule="auto"/>
        <w:jc w:val="left"/>
        <w:rPr>
          <w:rFonts w:cs="Times New Roman"/>
          <w:i/>
          <w:iCs/>
          <w:sz w:val="24"/>
          <w:szCs w:val="24"/>
        </w:rPr>
      </w:pPr>
      <w:r w:rsidRPr="006E1978">
        <w:rPr>
          <w:rFonts w:cs="Times New Roman"/>
          <w:i/>
          <w:iCs/>
          <w:sz w:val="24"/>
          <w:szCs w:val="24"/>
        </w:rPr>
        <w:t>2.1 Participants and procedure</w:t>
      </w:r>
    </w:p>
    <w:p w14:paraId="32062550" w14:textId="3DD3D513" w:rsidR="00B828D8" w:rsidRPr="006E1978" w:rsidRDefault="009C084F" w:rsidP="00792616">
      <w:pPr>
        <w:snapToGrid w:val="0"/>
        <w:spacing w:line="480" w:lineRule="auto"/>
        <w:ind w:firstLineChars="200" w:firstLine="480"/>
        <w:jc w:val="left"/>
        <w:rPr>
          <w:rFonts w:cs="Times New Roman"/>
          <w:sz w:val="24"/>
          <w:szCs w:val="24"/>
        </w:rPr>
      </w:pPr>
      <w:r w:rsidRPr="006E1978">
        <w:rPr>
          <w:rFonts w:cs="Times New Roman"/>
          <w:sz w:val="24"/>
          <w:szCs w:val="24"/>
        </w:rPr>
        <w:t>We conducted an</w:t>
      </w:r>
      <w:r w:rsidR="0023601E" w:rsidRPr="006E1978">
        <w:rPr>
          <w:rFonts w:cs="Times New Roman"/>
          <w:sz w:val="24"/>
          <w:szCs w:val="24"/>
        </w:rPr>
        <w:t xml:space="preserve"> </w:t>
      </w:r>
      <w:r w:rsidRPr="006E1978">
        <w:rPr>
          <w:rFonts w:cs="Times New Roman"/>
          <w:sz w:val="24"/>
          <w:szCs w:val="24"/>
        </w:rPr>
        <w:t xml:space="preserve">anonymous </w:t>
      </w:r>
      <w:r w:rsidR="00B828D8" w:rsidRPr="006E1978">
        <w:rPr>
          <w:rFonts w:cs="Times New Roman"/>
          <w:sz w:val="24"/>
          <w:szCs w:val="24"/>
        </w:rPr>
        <w:t xml:space="preserve">survey </w:t>
      </w:r>
      <w:r w:rsidRPr="006E1978">
        <w:rPr>
          <w:rFonts w:cs="Times New Roman"/>
          <w:sz w:val="24"/>
          <w:szCs w:val="24"/>
        </w:rPr>
        <w:t>among university students</w:t>
      </w:r>
      <w:r w:rsidR="0023601E" w:rsidRPr="006E1978">
        <w:rPr>
          <w:rFonts w:cs="Times New Roman"/>
          <w:sz w:val="24"/>
          <w:szCs w:val="24"/>
        </w:rPr>
        <w:t xml:space="preserve"> </w:t>
      </w:r>
      <w:r w:rsidR="004C24B8" w:rsidRPr="006E1978">
        <w:rPr>
          <w:rFonts w:cs="Times New Roman"/>
          <w:sz w:val="24"/>
          <w:szCs w:val="24"/>
        </w:rPr>
        <w:t>in</w:t>
      </w:r>
      <w:r w:rsidR="003A64AD" w:rsidRPr="006E1978">
        <w:rPr>
          <w:rFonts w:cs="Times New Roman"/>
          <w:sz w:val="24"/>
          <w:szCs w:val="24"/>
        </w:rPr>
        <w:t xml:space="preserve"> </w:t>
      </w:r>
      <w:r w:rsidR="00B828D8" w:rsidRPr="006E1978">
        <w:rPr>
          <w:rFonts w:cs="Times New Roman"/>
          <w:sz w:val="24"/>
          <w:szCs w:val="24"/>
        </w:rPr>
        <w:t>China from June to July 2021</w:t>
      </w:r>
      <w:r w:rsidRPr="006E1978">
        <w:rPr>
          <w:rFonts w:cs="Times New Roman"/>
          <w:sz w:val="24"/>
          <w:szCs w:val="24"/>
        </w:rPr>
        <w:t>, with the</w:t>
      </w:r>
      <w:r w:rsidR="00B828D8" w:rsidRPr="006E1978">
        <w:rPr>
          <w:rFonts w:cs="Times New Roman"/>
          <w:sz w:val="24"/>
          <w:szCs w:val="24"/>
        </w:rPr>
        <w:t xml:space="preserve"> </w:t>
      </w:r>
      <w:r w:rsidRPr="006E1978">
        <w:rPr>
          <w:rFonts w:cs="Times New Roman"/>
          <w:sz w:val="24"/>
          <w:szCs w:val="24"/>
        </w:rPr>
        <w:t>i</w:t>
      </w:r>
      <w:r w:rsidR="00B828D8" w:rsidRPr="006E1978">
        <w:rPr>
          <w:rFonts w:cs="Times New Roman"/>
          <w:sz w:val="24"/>
          <w:szCs w:val="24"/>
        </w:rPr>
        <w:t xml:space="preserve">nclusion criteria </w:t>
      </w:r>
      <w:r w:rsidRPr="006E1978">
        <w:rPr>
          <w:rFonts w:cs="Times New Roman"/>
          <w:sz w:val="24"/>
          <w:szCs w:val="24"/>
        </w:rPr>
        <w:t xml:space="preserve">being </w:t>
      </w:r>
      <w:r w:rsidR="00F82998" w:rsidRPr="006E1978">
        <w:rPr>
          <w:rFonts w:cs="Times New Roman"/>
          <w:sz w:val="24"/>
          <w:szCs w:val="24"/>
        </w:rPr>
        <w:t xml:space="preserve">of </w:t>
      </w:r>
      <w:r w:rsidR="002E7D8E" w:rsidRPr="006E1978">
        <w:rPr>
          <w:rFonts w:cs="Times New Roman"/>
          <w:sz w:val="24"/>
          <w:szCs w:val="24"/>
        </w:rPr>
        <w:t>Chinese</w:t>
      </w:r>
      <w:r w:rsidRPr="006E1978">
        <w:rPr>
          <w:rFonts w:cs="Times New Roman"/>
          <w:sz w:val="24"/>
          <w:szCs w:val="24"/>
        </w:rPr>
        <w:t xml:space="preserve"> ethnicity</w:t>
      </w:r>
      <w:r w:rsidR="002E7D8E" w:rsidRPr="006E1978">
        <w:rPr>
          <w:rFonts w:cs="Times New Roman"/>
          <w:sz w:val="24"/>
          <w:szCs w:val="24"/>
        </w:rPr>
        <w:t xml:space="preserve">, </w:t>
      </w:r>
      <w:r w:rsidR="00B828D8" w:rsidRPr="006E1978">
        <w:rPr>
          <w:rFonts w:cs="Times New Roman"/>
          <w:sz w:val="24"/>
          <w:szCs w:val="24"/>
        </w:rPr>
        <w:t xml:space="preserve">aged 18 </w:t>
      </w:r>
      <w:r w:rsidR="00C00F14" w:rsidRPr="006E1978">
        <w:rPr>
          <w:rFonts w:cs="Times New Roman"/>
          <w:sz w:val="24"/>
          <w:szCs w:val="24"/>
        </w:rPr>
        <w:t xml:space="preserve">years </w:t>
      </w:r>
      <w:r w:rsidR="00B828D8" w:rsidRPr="006E1978">
        <w:rPr>
          <w:rFonts w:cs="Times New Roman"/>
          <w:sz w:val="24"/>
          <w:szCs w:val="24"/>
        </w:rPr>
        <w:t xml:space="preserve">or above, </w:t>
      </w:r>
      <w:r w:rsidRPr="006E1978">
        <w:rPr>
          <w:rFonts w:cs="Times New Roman"/>
          <w:sz w:val="24"/>
          <w:szCs w:val="24"/>
        </w:rPr>
        <w:t>and</w:t>
      </w:r>
      <w:r w:rsidR="00B828D8" w:rsidRPr="006E1978">
        <w:rPr>
          <w:rFonts w:cs="Times New Roman"/>
          <w:sz w:val="24"/>
          <w:szCs w:val="24"/>
        </w:rPr>
        <w:t xml:space="preserve"> with </w:t>
      </w:r>
      <w:r w:rsidRPr="006E1978">
        <w:rPr>
          <w:rFonts w:cs="Times New Roman"/>
          <w:sz w:val="24"/>
          <w:szCs w:val="24"/>
        </w:rPr>
        <w:t xml:space="preserve">lifetime </w:t>
      </w:r>
      <w:r w:rsidR="008D7179" w:rsidRPr="006E1978">
        <w:rPr>
          <w:rFonts w:cs="Times New Roman"/>
          <w:sz w:val="24"/>
          <w:szCs w:val="24"/>
        </w:rPr>
        <w:t xml:space="preserve">online </w:t>
      </w:r>
      <w:r w:rsidR="00B828D8" w:rsidRPr="006E1978">
        <w:rPr>
          <w:rFonts w:cs="Times New Roman"/>
          <w:sz w:val="24"/>
          <w:szCs w:val="24"/>
        </w:rPr>
        <w:t>gaming experience</w:t>
      </w:r>
      <w:r w:rsidR="00E77E22" w:rsidRPr="006E1978">
        <w:rPr>
          <w:rFonts w:cs="Times New Roman"/>
          <w:sz w:val="24"/>
          <w:szCs w:val="24"/>
        </w:rPr>
        <w:t xml:space="preserve"> (i.e., gameplay via the Internet or local area networks, including single-player or multi-player online games using mobile phones, computers, tablets, game consoles</w:t>
      </w:r>
      <w:r w:rsidR="000F44C3" w:rsidRPr="006E1978">
        <w:rPr>
          <w:rFonts w:cs="Times New Roman"/>
          <w:sz w:val="24"/>
          <w:szCs w:val="24"/>
        </w:rPr>
        <w:t>,</w:t>
      </w:r>
      <w:r w:rsidR="00E77E22" w:rsidRPr="006E1978">
        <w:rPr>
          <w:rFonts w:cs="Times New Roman"/>
          <w:sz w:val="24"/>
          <w:szCs w:val="24"/>
        </w:rPr>
        <w:t xml:space="preserve"> and other devices)</w:t>
      </w:r>
      <w:r w:rsidR="00B828D8" w:rsidRPr="006E1978">
        <w:rPr>
          <w:rFonts w:cs="Times New Roman"/>
          <w:sz w:val="24"/>
          <w:szCs w:val="24"/>
        </w:rPr>
        <w:t xml:space="preserve">. </w:t>
      </w:r>
      <w:r w:rsidRPr="006E1978">
        <w:rPr>
          <w:rFonts w:cs="Times New Roman"/>
          <w:sz w:val="24"/>
          <w:szCs w:val="24"/>
        </w:rPr>
        <w:t>Every eligible participant was briefed on t</w:t>
      </w:r>
      <w:r w:rsidR="00B828D8" w:rsidRPr="006E1978">
        <w:rPr>
          <w:rFonts w:cs="Times New Roman"/>
          <w:sz w:val="24"/>
          <w:szCs w:val="24"/>
        </w:rPr>
        <w:t>he</w:t>
      </w:r>
      <w:r w:rsidRPr="006E1978">
        <w:rPr>
          <w:rFonts w:cs="Times New Roman"/>
          <w:sz w:val="24"/>
          <w:szCs w:val="24"/>
        </w:rPr>
        <w:t xml:space="preserve"> study</w:t>
      </w:r>
      <w:r w:rsidR="00B828D8" w:rsidRPr="006E1978">
        <w:rPr>
          <w:rFonts w:cs="Times New Roman"/>
          <w:sz w:val="24"/>
          <w:szCs w:val="24"/>
        </w:rPr>
        <w:t xml:space="preserve"> purpose and </w:t>
      </w:r>
      <w:r w:rsidRPr="006E1978">
        <w:rPr>
          <w:rFonts w:cs="Times New Roman"/>
          <w:sz w:val="24"/>
          <w:szCs w:val="24"/>
        </w:rPr>
        <w:t>participation</w:t>
      </w:r>
      <w:r w:rsidR="00B828D8" w:rsidRPr="006E1978">
        <w:rPr>
          <w:rFonts w:cs="Times New Roman"/>
          <w:sz w:val="24"/>
          <w:szCs w:val="24"/>
        </w:rPr>
        <w:t xml:space="preserve"> rights before survey </w:t>
      </w:r>
      <w:r w:rsidRPr="006E1978">
        <w:rPr>
          <w:rFonts w:cs="Times New Roman"/>
          <w:sz w:val="24"/>
          <w:szCs w:val="24"/>
        </w:rPr>
        <w:t>administration</w:t>
      </w:r>
      <w:r w:rsidR="00B828D8" w:rsidRPr="006E1978">
        <w:rPr>
          <w:rFonts w:cs="Times New Roman"/>
          <w:sz w:val="24"/>
          <w:szCs w:val="24"/>
        </w:rPr>
        <w:t xml:space="preserve">. A total of 1340 </w:t>
      </w:r>
      <w:r w:rsidRPr="006E1978">
        <w:rPr>
          <w:rFonts w:cs="Times New Roman"/>
          <w:sz w:val="24"/>
          <w:szCs w:val="24"/>
        </w:rPr>
        <w:t>consenting participants</w:t>
      </w:r>
      <w:r w:rsidR="00E54CC5" w:rsidRPr="006E1978">
        <w:rPr>
          <w:rFonts w:cs="Times New Roman"/>
          <w:sz w:val="24"/>
          <w:szCs w:val="24"/>
        </w:rPr>
        <w:t xml:space="preserve"> </w:t>
      </w:r>
      <w:r w:rsidR="00B828D8" w:rsidRPr="006E1978">
        <w:rPr>
          <w:rFonts w:cs="Times New Roman"/>
          <w:sz w:val="24"/>
          <w:szCs w:val="24"/>
        </w:rPr>
        <w:t xml:space="preserve">(59.3% </w:t>
      </w:r>
      <w:r w:rsidR="00974D09" w:rsidRPr="006E1978">
        <w:rPr>
          <w:rFonts w:cs="Times New Roman"/>
          <w:sz w:val="24"/>
          <w:szCs w:val="24"/>
        </w:rPr>
        <w:t>fe</w:t>
      </w:r>
      <w:r w:rsidR="00B828D8" w:rsidRPr="006E1978">
        <w:rPr>
          <w:rFonts w:cs="Times New Roman"/>
          <w:sz w:val="24"/>
          <w:szCs w:val="24"/>
        </w:rPr>
        <w:t xml:space="preserve">male) aged from 18 </w:t>
      </w:r>
      <w:r w:rsidR="00B828D8" w:rsidRPr="006E1978">
        <w:rPr>
          <w:rFonts w:cs="Times New Roman"/>
          <w:sz w:val="24"/>
          <w:szCs w:val="24"/>
        </w:rPr>
        <w:lastRenderedPageBreak/>
        <w:t xml:space="preserve">to 26 </w:t>
      </w:r>
      <w:r w:rsidR="000531D8" w:rsidRPr="006E1978">
        <w:rPr>
          <w:rFonts w:cs="Times New Roman"/>
          <w:sz w:val="24"/>
          <w:szCs w:val="24"/>
        </w:rPr>
        <w:t xml:space="preserve">years </w:t>
      </w:r>
      <w:r w:rsidR="00B828D8" w:rsidRPr="006E1978">
        <w:rPr>
          <w:rFonts w:cs="Times New Roman"/>
          <w:sz w:val="24"/>
          <w:szCs w:val="24"/>
        </w:rPr>
        <w:t>(</w:t>
      </w:r>
      <w:r w:rsidR="00B828D8" w:rsidRPr="006E1978">
        <w:rPr>
          <w:rFonts w:cs="Times New Roman"/>
          <w:i/>
          <w:iCs/>
          <w:sz w:val="24"/>
          <w:szCs w:val="24"/>
        </w:rPr>
        <w:t xml:space="preserve">M </w:t>
      </w:r>
      <w:r w:rsidR="00B828D8" w:rsidRPr="006E1978">
        <w:rPr>
          <w:rFonts w:cs="Times New Roman"/>
          <w:sz w:val="24"/>
          <w:szCs w:val="24"/>
        </w:rPr>
        <w:t xml:space="preserve">= 19.84, </w:t>
      </w:r>
      <w:r w:rsidR="00B828D8" w:rsidRPr="006E1978">
        <w:rPr>
          <w:rFonts w:cs="Times New Roman"/>
          <w:i/>
          <w:iCs/>
          <w:sz w:val="24"/>
          <w:szCs w:val="24"/>
        </w:rPr>
        <w:t>SD</w:t>
      </w:r>
      <w:r w:rsidR="00B828D8" w:rsidRPr="006E1978">
        <w:rPr>
          <w:rFonts w:cs="Times New Roman"/>
          <w:sz w:val="24"/>
          <w:szCs w:val="24"/>
        </w:rPr>
        <w:t xml:space="preserve"> = 1.33)</w:t>
      </w:r>
      <w:r w:rsidR="00E54CC5" w:rsidRPr="006E1978">
        <w:rPr>
          <w:rFonts w:cs="Times New Roman"/>
          <w:sz w:val="24"/>
          <w:szCs w:val="24"/>
        </w:rPr>
        <w:t xml:space="preserve">, in which </w:t>
      </w:r>
      <w:r w:rsidR="00D32559" w:rsidRPr="006E1978">
        <w:rPr>
          <w:rFonts w:cs="Times New Roman"/>
          <w:sz w:val="24"/>
          <w:szCs w:val="24"/>
        </w:rPr>
        <w:t>91.9</w:t>
      </w:r>
      <w:r w:rsidR="00E54CC5" w:rsidRPr="006E1978">
        <w:rPr>
          <w:rFonts w:cs="Times New Roman"/>
          <w:sz w:val="24"/>
          <w:szCs w:val="24"/>
        </w:rPr>
        <w:t>% (</w:t>
      </w:r>
      <w:r w:rsidR="00E54CC5" w:rsidRPr="006E1978">
        <w:rPr>
          <w:rFonts w:cs="Times New Roman"/>
          <w:i/>
          <w:sz w:val="24"/>
          <w:szCs w:val="24"/>
        </w:rPr>
        <w:t>n</w:t>
      </w:r>
      <w:r w:rsidR="00E54CC5" w:rsidRPr="006E1978">
        <w:rPr>
          <w:rFonts w:cs="Times New Roman"/>
          <w:sz w:val="24"/>
          <w:szCs w:val="24"/>
        </w:rPr>
        <w:t xml:space="preserve"> = </w:t>
      </w:r>
      <w:r w:rsidR="00D32559" w:rsidRPr="006E1978">
        <w:rPr>
          <w:rFonts w:cs="Times New Roman"/>
          <w:sz w:val="24"/>
          <w:szCs w:val="24"/>
        </w:rPr>
        <w:t>1232</w:t>
      </w:r>
      <w:r w:rsidR="00E54CC5" w:rsidRPr="006E1978">
        <w:rPr>
          <w:rFonts w:cs="Times New Roman"/>
          <w:sz w:val="24"/>
          <w:szCs w:val="24"/>
        </w:rPr>
        <w:t>) were past-year gamers,</w:t>
      </w:r>
      <w:r w:rsidR="00B828D8" w:rsidRPr="006E1978">
        <w:rPr>
          <w:rFonts w:cs="Times New Roman"/>
          <w:sz w:val="24"/>
          <w:szCs w:val="24"/>
        </w:rPr>
        <w:t xml:space="preserve"> completed </w:t>
      </w:r>
      <w:r w:rsidR="00F82998" w:rsidRPr="006E1978">
        <w:rPr>
          <w:rFonts w:cs="Times New Roman"/>
          <w:sz w:val="24"/>
          <w:szCs w:val="24"/>
        </w:rPr>
        <w:t xml:space="preserve">the </w:t>
      </w:r>
      <w:r w:rsidR="00B828D8" w:rsidRPr="006E1978">
        <w:rPr>
          <w:rFonts w:cs="Times New Roman"/>
          <w:sz w:val="24"/>
          <w:szCs w:val="24"/>
        </w:rPr>
        <w:t>survey</w:t>
      </w:r>
      <w:r w:rsidR="009B19BA" w:rsidRPr="006E1978">
        <w:rPr>
          <w:rFonts w:cs="Times New Roman"/>
          <w:sz w:val="24"/>
          <w:szCs w:val="24"/>
        </w:rPr>
        <w:t xml:space="preserve"> </w:t>
      </w:r>
      <w:r w:rsidR="0023601E" w:rsidRPr="006E1978">
        <w:rPr>
          <w:rFonts w:cs="Times New Roman"/>
          <w:sz w:val="24"/>
          <w:szCs w:val="24"/>
        </w:rPr>
        <w:t>voluntarily</w:t>
      </w:r>
      <w:r w:rsidR="00B828D8" w:rsidRPr="006E1978">
        <w:rPr>
          <w:rFonts w:cs="Times New Roman"/>
          <w:sz w:val="24"/>
          <w:szCs w:val="24"/>
        </w:rPr>
        <w:t>. To assess the test-retest reliability of MOGS,</w:t>
      </w:r>
      <w:r w:rsidR="00F36151" w:rsidRPr="006E1978">
        <w:rPr>
          <w:rFonts w:cs="Times New Roman"/>
          <w:sz w:val="24"/>
          <w:szCs w:val="24"/>
        </w:rPr>
        <w:t xml:space="preserve"> </w:t>
      </w:r>
      <w:r w:rsidR="00367178" w:rsidRPr="006E1978">
        <w:rPr>
          <w:rFonts w:cs="Times New Roman"/>
          <w:sz w:val="24"/>
          <w:szCs w:val="24"/>
        </w:rPr>
        <w:t xml:space="preserve">we collected a one-month follow-up sample of </w:t>
      </w:r>
      <w:r w:rsidR="00B828D8" w:rsidRPr="006E1978">
        <w:rPr>
          <w:rFonts w:cs="Times New Roman"/>
          <w:sz w:val="24"/>
          <w:szCs w:val="24"/>
        </w:rPr>
        <w:t>26</w:t>
      </w:r>
      <w:r w:rsidR="00AB6675" w:rsidRPr="006E1978">
        <w:rPr>
          <w:rFonts w:cs="Times New Roman"/>
          <w:sz w:val="24"/>
          <w:szCs w:val="24"/>
        </w:rPr>
        <w:t>2</w:t>
      </w:r>
      <w:r w:rsidR="00B828D8" w:rsidRPr="006E1978">
        <w:rPr>
          <w:rFonts w:cs="Times New Roman"/>
          <w:sz w:val="24"/>
          <w:szCs w:val="24"/>
        </w:rPr>
        <w:t xml:space="preserve"> matched </w:t>
      </w:r>
      <w:r w:rsidR="00F82998" w:rsidRPr="006E1978">
        <w:rPr>
          <w:rFonts w:cs="Times New Roman"/>
          <w:sz w:val="24"/>
          <w:szCs w:val="24"/>
        </w:rPr>
        <w:t xml:space="preserve">participants </w:t>
      </w:r>
      <w:r w:rsidR="00B828D8" w:rsidRPr="006E1978">
        <w:rPr>
          <w:rFonts w:cs="Times New Roman"/>
          <w:sz w:val="24"/>
          <w:szCs w:val="24"/>
        </w:rPr>
        <w:t>(7</w:t>
      </w:r>
      <w:r w:rsidR="00AB6675" w:rsidRPr="006E1978">
        <w:rPr>
          <w:rFonts w:cs="Times New Roman"/>
          <w:sz w:val="24"/>
          <w:szCs w:val="24"/>
        </w:rPr>
        <w:t>5</w:t>
      </w:r>
      <w:r w:rsidR="00B828D8" w:rsidRPr="006E1978">
        <w:rPr>
          <w:rFonts w:cs="Times New Roman"/>
          <w:sz w:val="24"/>
          <w:szCs w:val="24"/>
        </w:rPr>
        <w:t>.</w:t>
      </w:r>
      <w:r w:rsidR="00AB6675" w:rsidRPr="006E1978">
        <w:rPr>
          <w:rFonts w:cs="Times New Roman"/>
          <w:sz w:val="24"/>
          <w:szCs w:val="24"/>
        </w:rPr>
        <w:t>6</w:t>
      </w:r>
      <w:r w:rsidR="00B828D8" w:rsidRPr="006E1978">
        <w:rPr>
          <w:rFonts w:cs="Times New Roman"/>
          <w:sz w:val="24"/>
          <w:szCs w:val="24"/>
        </w:rPr>
        <w:t>% female, age range: 18-2</w:t>
      </w:r>
      <w:r w:rsidR="00AB6675" w:rsidRPr="006E1978">
        <w:rPr>
          <w:rFonts w:cs="Times New Roman"/>
          <w:sz w:val="24"/>
          <w:szCs w:val="24"/>
        </w:rPr>
        <w:t>3</w:t>
      </w:r>
      <w:r w:rsidR="000531D8" w:rsidRPr="006E1978">
        <w:rPr>
          <w:rFonts w:cs="Times New Roman"/>
          <w:sz w:val="24"/>
          <w:szCs w:val="24"/>
        </w:rPr>
        <w:t xml:space="preserve"> years</w:t>
      </w:r>
      <w:r w:rsidR="00B828D8" w:rsidRPr="006E1978">
        <w:rPr>
          <w:rFonts w:cs="Times New Roman"/>
          <w:sz w:val="24"/>
          <w:szCs w:val="24"/>
        </w:rPr>
        <w:t xml:space="preserve">, </w:t>
      </w:r>
      <w:r w:rsidR="00B828D8" w:rsidRPr="006E1978">
        <w:rPr>
          <w:rFonts w:cs="Times New Roman"/>
          <w:i/>
          <w:iCs/>
          <w:sz w:val="24"/>
          <w:szCs w:val="24"/>
        </w:rPr>
        <w:t>M</w:t>
      </w:r>
      <w:r w:rsidR="00B828D8" w:rsidRPr="006E1978">
        <w:rPr>
          <w:rFonts w:cs="Times New Roman"/>
          <w:sz w:val="24"/>
          <w:szCs w:val="24"/>
        </w:rPr>
        <w:t xml:space="preserve"> = 20.</w:t>
      </w:r>
      <w:r w:rsidR="00AB6675" w:rsidRPr="006E1978">
        <w:rPr>
          <w:rFonts w:cs="Times New Roman"/>
          <w:sz w:val="24"/>
          <w:szCs w:val="24"/>
        </w:rPr>
        <w:t>3</w:t>
      </w:r>
      <w:r w:rsidR="00B828D8" w:rsidRPr="006E1978">
        <w:rPr>
          <w:rFonts w:cs="Times New Roman"/>
          <w:sz w:val="24"/>
          <w:szCs w:val="24"/>
        </w:rPr>
        <w:t xml:space="preserve">1, </w:t>
      </w:r>
      <w:r w:rsidR="00B828D8" w:rsidRPr="006E1978">
        <w:rPr>
          <w:rFonts w:cs="Times New Roman"/>
          <w:i/>
          <w:iCs/>
          <w:sz w:val="24"/>
          <w:szCs w:val="24"/>
        </w:rPr>
        <w:t>SD</w:t>
      </w:r>
      <w:r w:rsidR="00B828D8" w:rsidRPr="006E1978">
        <w:rPr>
          <w:rFonts w:cs="Times New Roman"/>
          <w:sz w:val="24"/>
          <w:szCs w:val="24"/>
        </w:rPr>
        <w:t xml:space="preserve"> = 1.2</w:t>
      </w:r>
      <w:r w:rsidR="00AB6675" w:rsidRPr="006E1978">
        <w:rPr>
          <w:rFonts w:cs="Times New Roman"/>
          <w:sz w:val="24"/>
          <w:szCs w:val="24"/>
        </w:rPr>
        <w:t>4</w:t>
      </w:r>
      <w:r w:rsidR="00B828D8" w:rsidRPr="006E1978">
        <w:rPr>
          <w:rFonts w:cs="Times New Roman"/>
          <w:sz w:val="24"/>
          <w:szCs w:val="24"/>
        </w:rPr>
        <w:t xml:space="preserve">). </w:t>
      </w:r>
      <w:r w:rsidR="00F82998" w:rsidRPr="006E1978">
        <w:rPr>
          <w:rFonts w:cs="Times New Roman"/>
          <w:sz w:val="24"/>
          <w:szCs w:val="24"/>
        </w:rPr>
        <w:t>E</w:t>
      </w:r>
      <w:r w:rsidRPr="006E1978">
        <w:rPr>
          <w:rFonts w:cs="Times New Roman"/>
          <w:sz w:val="24"/>
          <w:szCs w:val="24"/>
        </w:rPr>
        <w:t xml:space="preserve">thics approval </w:t>
      </w:r>
      <w:r w:rsidR="00F82998" w:rsidRPr="006E1978">
        <w:rPr>
          <w:rFonts w:cs="Times New Roman"/>
          <w:sz w:val="24"/>
          <w:szCs w:val="24"/>
        </w:rPr>
        <w:t xml:space="preserve">was </w:t>
      </w:r>
      <w:r w:rsidRPr="006E1978">
        <w:rPr>
          <w:rFonts w:cs="Times New Roman"/>
          <w:sz w:val="24"/>
          <w:szCs w:val="24"/>
        </w:rPr>
        <w:t>obtained from the affiliated department at the University of the corresponding author.</w:t>
      </w:r>
    </w:p>
    <w:p w14:paraId="376039D7" w14:textId="47D89D1F" w:rsidR="00B828D8" w:rsidRPr="006E1978" w:rsidRDefault="00B828D8" w:rsidP="00792616">
      <w:pPr>
        <w:snapToGrid w:val="0"/>
        <w:spacing w:line="480" w:lineRule="auto"/>
        <w:jc w:val="left"/>
        <w:rPr>
          <w:rFonts w:cs="Times New Roman"/>
          <w:i/>
          <w:iCs/>
          <w:sz w:val="24"/>
          <w:szCs w:val="24"/>
        </w:rPr>
      </w:pPr>
      <w:r w:rsidRPr="006E1978">
        <w:rPr>
          <w:rFonts w:cs="Times New Roman"/>
          <w:i/>
          <w:iCs/>
          <w:sz w:val="24"/>
          <w:szCs w:val="24"/>
        </w:rPr>
        <w:t xml:space="preserve">2.2 Measures </w:t>
      </w:r>
    </w:p>
    <w:p w14:paraId="5C1097AF" w14:textId="6034E99A" w:rsidR="00B828D8" w:rsidRPr="006E1978" w:rsidRDefault="00B828D8" w:rsidP="00792616">
      <w:pPr>
        <w:snapToGrid w:val="0"/>
        <w:spacing w:line="480" w:lineRule="auto"/>
        <w:jc w:val="left"/>
        <w:rPr>
          <w:rFonts w:cs="Times New Roman"/>
          <w:i/>
          <w:iCs/>
          <w:sz w:val="24"/>
          <w:szCs w:val="24"/>
        </w:rPr>
      </w:pPr>
      <w:r w:rsidRPr="006E1978">
        <w:rPr>
          <w:rFonts w:cs="Times New Roman"/>
          <w:i/>
          <w:iCs/>
          <w:sz w:val="24"/>
          <w:szCs w:val="24"/>
        </w:rPr>
        <w:t>2.2.1 Metacognition</w:t>
      </w:r>
      <w:r w:rsidR="00F82998" w:rsidRPr="006E1978">
        <w:rPr>
          <w:rFonts w:cs="Times New Roman"/>
          <w:i/>
          <w:iCs/>
          <w:sz w:val="24"/>
          <w:szCs w:val="24"/>
        </w:rPr>
        <w:t>s</w:t>
      </w:r>
      <w:r w:rsidRPr="006E1978">
        <w:rPr>
          <w:rFonts w:cs="Times New Roman"/>
          <w:i/>
          <w:iCs/>
          <w:sz w:val="24"/>
          <w:szCs w:val="24"/>
        </w:rPr>
        <w:t xml:space="preserve"> </w:t>
      </w:r>
      <w:r w:rsidR="00414418" w:rsidRPr="006E1978">
        <w:rPr>
          <w:rFonts w:cs="Times New Roman"/>
          <w:i/>
          <w:iCs/>
          <w:sz w:val="24"/>
          <w:szCs w:val="24"/>
        </w:rPr>
        <w:t>about</w:t>
      </w:r>
      <w:r w:rsidRPr="006E1978">
        <w:rPr>
          <w:rFonts w:cs="Times New Roman"/>
          <w:i/>
          <w:iCs/>
          <w:sz w:val="24"/>
          <w:szCs w:val="24"/>
        </w:rPr>
        <w:t xml:space="preserve"> </w:t>
      </w:r>
      <w:r w:rsidR="00F82998" w:rsidRPr="006E1978">
        <w:rPr>
          <w:rFonts w:cs="Times New Roman"/>
          <w:i/>
          <w:iCs/>
          <w:sz w:val="24"/>
          <w:szCs w:val="24"/>
        </w:rPr>
        <w:t xml:space="preserve">Online Gaming Scale </w:t>
      </w:r>
      <w:r w:rsidR="00F07356" w:rsidRPr="006E1978">
        <w:rPr>
          <w:rFonts w:cs="Times New Roman"/>
          <w:i/>
          <w:iCs/>
          <w:sz w:val="24"/>
          <w:szCs w:val="24"/>
        </w:rPr>
        <w:t>(MOGS)</w:t>
      </w:r>
    </w:p>
    <w:p w14:paraId="3D271A8B" w14:textId="39A74D46" w:rsidR="00F07356" w:rsidRPr="006E1978" w:rsidRDefault="00F8587E" w:rsidP="00792616">
      <w:pPr>
        <w:snapToGrid w:val="0"/>
        <w:spacing w:line="480" w:lineRule="auto"/>
        <w:ind w:firstLineChars="200" w:firstLine="480"/>
        <w:jc w:val="left"/>
        <w:rPr>
          <w:rFonts w:cs="Times New Roman"/>
          <w:sz w:val="24"/>
          <w:szCs w:val="24"/>
        </w:rPr>
      </w:pPr>
      <w:r w:rsidRPr="006E1978">
        <w:rPr>
          <w:rFonts w:cs="Times New Roman"/>
          <w:sz w:val="24"/>
          <w:szCs w:val="24"/>
        </w:rPr>
        <w:t xml:space="preserve">The </w:t>
      </w:r>
      <w:r w:rsidR="00F07356" w:rsidRPr="006E1978">
        <w:rPr>
          <w:rFonts w:cs="Times New Roman"/>
          <w:sz w:val="24"/>
          <w:szCs w:val="24"/>
        </w:rPr>
        <w:t>12-item</w:t>
      </w:r>
      <w:r w:rsidRPr="006E1978">
        <w:rPr>
          <w:rFonts w:cs="Times New Roman"/>
          <w:sz w:val="24"/>
          <w:szCs w:val="24"/>
        </w:rPr>
        <w:t xml:space="preserve"> MOGS</w:t>
      </w:r>
      <w:r w:rsidR="00F07356" w:rsidRPr="006E1978">
        <w:rPr>
          <w:rFonts w:cs="Times New Roman"/>
          <w:sz w:val="24"/>
          <w:szCs w:val="24"/>
        </w:rPr>
        <w:t>, developed by Spada and Caselli (2017),</w:t>
      </w:r>
      <w:r w:rsidRPr="006E1978">
        <w:rPr>
          <w:rFonts w:cs="Times New Roman"/>
          <w:sz w:val="24"/>
          <w:szCs w:val="24"/>
        </w:rPr>
        <w:t xml:space="preserve"> </w:t>
      </w:r>
      <w:r w:rsidR="00F07356" w:rsidRPr="006E1978">
        <w:rPr>
          <w:rFonts w:cs="Times New Roman"/>
          <w:sz w:val="24"/>
          <w:szCs w:val="24"/>
        </w:rPr>
        <w:t>assesse</w:t>
      </w:r>
      <w:r w:rsidR="00B96D68" w:rsidRPr="006E1978">
        <w:rPr>
          <w:rFonts w:cs="Times New Roman"/>
          <w:sz w:val="24"/>
          <w:szCs w:val="24"/>
        </w:rPr>
        <w:t>s</w:t>
      </w:r>
      <w:r w:rsidR="00F07356" w:rsidRPr="006E1978">
        <w:rPr>
          <w:rFonts w:cs="Times New Roman"/>
          <w:sz w:val="24"/>
          <w:szCs w:val="24"/>
        </w:rPr>
        <w:t xml:space="preserve"> </w:t>
      </w:r>
      <w:r w:rsidR="00F82998" w:rsidRPr="006E1978">
        <w:rPr>
          <w:rFonts w:cs="Times New Roman"/>
          <w:sz w:val="24"/>
          <w:szCs w:val="24"/>
        </w:rPr>
        <w:t>positive and negative metacognitions</w:t>
      </w:r>
      <w:r w:rsidR="00F07356" w:rsidRPr="006E1978">
        <w:rPr>
          <w:rFonts w:cs="Times New Roman"/>
          <w:sz w:val="24"/>
          <w:szCs w:val="24"/>
        </w:rPr>
        <w:t xml:space="preserve"> about online gaming on</w:t>
      </w:r>
      <w:r w:rsidR="001D6955" w:rsidRPr="006E1978">
        <w:rPr>
          <w:rFonts w:cs="Times New Roman"/>
          <w:sz w:val="24"/>
          <w:szCs w:val="24"/>
        </w:rPr>
        <w:t xml:space="preserve"> a 4-point </w:t>
      </w:r>
      <w:r w:rsidR="00F07356" w:rsidRPr="006E1978">
        <w:rPr>
          <w:rFonts w:cs="Times New Roman"/>
          <w:sz w:val="24"/>
          <w:szCs w:val="24"/>
        </w:rPr>
        <w:t xml:space="preserve">Likert </w:t>
      </w:r>
      <w:r w:rsidR="001D6955" w:rsidRPr="006E1978">
        <w:rPr>
          <w:rFonts w:cs="Times New Roman"/>
          <w:sz w:val="24"/>
          <w:szCs w:val="24"/>
        </w:rPr>
        <w:t xml:space="preserve">scale </w:t>
      </w:r>
      <w:r w:rsidR="00F07356" w:rsidRPr="006E1978">
        <w:rPr>
          <w:rFonts w:cs="Times New Roman"/>
          <w:sz w:val="24"/>
          <w:szCs w:val="24"/>
        </w:rPr>
        <w:t xml:space="preserve">(from </w:t>
      </w:r>
      <w:r w:rsidR="00181E1E" w:rsidRPr="006E1978">
        <w:rPr>
          <w:rFonts w:cs="Times New Roman"/>
          <w:sz w:val="24"/>
          <w:szCs w:val="24"/>
        </w:rPr>
        <w:t>1</w:t>
      </w:r>
      <w:r w:rsidR="00F07356" w:rsidRPr="006E1978">
        <w:rPr>
          <w:rFonts w:cs="Times New Roman"/>
          <w:sz w:val="24"/>
          <w:szCs w:val="24"/>
        </w:rPr>
        <w:t xml:space="preserve"> </w:t>
      </w:r>
      <w:r w:rsidR="00181E1E" w:rsidRPr="006E1978">
        <w:rPr>
          <w:rFonts w:cs="Times New Roman"/>
          <w:sz w:val="24"/>
          <w:szCs w:val="24"/>
        </w:rPr>
        <w:t xml:space="preserve">= </w:t>
      </w:r>
      <w:r w:rsidR="000531D8" w:rsidRPr="006E1978">
        <w:rPr>
          <w:rFonts w:cs="Times New Roman"/>
          <w:i/>
          <w:iCs/>
          <w:sz w:val="24"/>
          <w:szCs w:val="24"/>
        </w:rPr>
        <w:t xml:space="preserve">do </w:t>
      </w:r>
      <w:r w:rsidR="00181E1E" w:rsidRPr="006E1978">
        <w:rPr>
          <w:rFonts w:cs="Times New Roman"/>
          <w:i/>
          <w:iCs/>
          <w:sz w:val="24"/>
          <w:szCs w:val="24"/>
        </w:rPr>
        <w:t>not agree</w:t>
      </w:r>
      <w:r w:rsidR="00F07356" w:rsidRPr="006E1978">
        <w:rPr>
          <w:rFonts w:cs="Times New Roman"/>
          <w:i/>
          <w:iCs/>
          <w:sz w:val="24"/>
          <w:szCs w:val="24"/>
        </w:rPr>
        <w:t xml:space="preserve"> to</w:t>
      </w:r>
      <w:r w:rsidR="00181E1E" w:rsidRPr="006E1978">
        <w:rPr>
          <w:rFonts w:cs="Times New Roman"/>
          <w:sz w:val="24"/>
          <w:szCs w:val="24"/>
        </w:rPr>
        <w:t xml:space="preserve"> 4</w:t>
      </w:r>
      <w:r w:rsidR="00F07356" w:rsidRPr="006E1978">
        <w:rPr>
          <w:rFonts w:cs="Times New Roman"/>
          <w:sz w:val="24"/>
          <w:szCs w:val="24"/>
        </w:rPr>
        <w:t xml:space="preserve"> </w:t>
      </w:r>
      <w:r w:rsidR="00181E1E" w:rsidRPr="006E1978">
        <w:rPr>
          <w:rFonts w:cs="Times New Roman"/>
          <w:sz w:val="24"/>
          <w:szCs w:val="24"/>
        </w:rPr>
        <w:t xml:space="preserve">= </w:t>
      </w:r>
      <w:r w:rsidR="000531D8" w:rsidRPr="006E1978">
        <w:rPr>
          <w:rFonts w:cs="Times New Roman"/>
          <w:i/>
          <w:iCs/>
          <w:sz w:val="24"/>
          <w:szCs w:val="24"/>
        </w:rPr>
        <w:t xml:space="preserve">agree </w:t>
      </w:r>
      <w:r w:rsidR="00181E1E" w:rsidRPr="006E1978">
        <w:rPr>
          <w:rFonts w:cs="Times New Roman"/>
          <w:i/>
          <w:iCs/>
          <w:sz w:val="24"/>
          <w:szCs w:val="24"/>
        </w:rPr>
        <w:t>very much</w:t>
      </w:r>
      <w:r w:rsidR="00F07356" w:rsidRPr="006E1978">
        <w:rPr>
          <w:rFonts w:cs="Times New Roman"/>
          <w:iCs/>
          <w:sz w:val="24"/>
          <w:szCs w:val="24"/>
        </w:rPr>
        <w:t>)</w:t>
      </w:r>
      <w:r w:rsidR="00181E1E" w:rsidRPr="006E1978">
        <w:rPr>
          <w:rFonts w:cs="Times New Roman"/>
          <w:sz w:val="24"/>
          <w:szCs w:val="24"/>
        </w:rPr>
        <w:t>.</w:t>
      </w:r>
      <w:r w:rsidR="00724221" w:rsidRPr="006E1978">
        <w:rPr>
          <w:rFonts w:cs="Times New Roman"/>
          <w:sz w:val="24"/>
          <w:szCs w:val="24"/>
        </w:rPr>
        <w:t xml:space="preserve"> </w:t>
      </w:r>
      <w:r w:rsidR="00F07356" w:rsidRPr="006E1978">
        <w:rPr>
          <w:rFonts w:cs="Times New Roman"/>
          <w:sz w:val="24"/>
          <w:szCs w:val="24"/>
        </w:rPr>
        <w:t xml:space="preserve">A higher sum score </w:t>
      </w:r>
      <w:r w:rsidR="00F82998" w:rsidRPr="006E1978">
        <w:rPr>
          <w:rFonts w:cs="Times New Roman"/>
          <w:sz w:val="24"/>
          <w:szCs w:val="24"/>
        </w:rPr>
        <w:t xml:space="preserve">indicates </w:t>
      </w:r>
      <w:r w:rsidR="00F07356" w:rsidRPr="006E1978">
        <w:rPr>
          <w:rFonts w:cs="Times New Roman"/>
          <w:sz w:val="24"/>
          <w:szCs w:val="24"/>
        </w:rPr>
        <w:t>higher level</w:t>
      </w:r>
      <w:r w:rsidR="00F82998" w:rsidRPr="006E1978">
        <w:rPr>
          <w:rFonts w:cs="Times New Roman"/>
          <w:sz w:val="24"/>
          <w:szCs w:val="24"/>
        </w:rPr>
        <w:t>s</w:t>
      </w:r>
      <w:r w:rsidR="00F07356" w:rsidRPr="006E1978">
        <w:rPr>
          <w:rFonts w:cs="Times New Roman"/>
          <w:sz w:val="24"/>
          <w:szCs w:val="24"/>
        </w:rPr>
        <w:t xml:space="preserve"> of positive or negative metacognition</w:t>
      </w:r>
      <w:r w:rsidR="00F82998" w:rsidRPr="006E1978">
        <w:rPr>
          <w:rFonts w:cs="Times New Roman"/>
          <w:sz w:val="24"/>
          <w:szCs w:val="24"/>
        </w:rPr>
        <w:t>s</w:t>
      </w:r>
      <w:r w:rsidR="00F07356" w:rsidRPr="006E1978">
        <w:rPr>
          <w:rFonts w:cs="Times New Roman"/>
          <w:sz w:val="24"/>
          <w:szCs w:val="24"/>
        </w:rPr>
        <w:t xml:space="preserve">. Following the standard translation and back-translation </w:t>
      </w:r>
      <w:r w:rsidR="00F82998" w:rsidRPr="006E1978">
        <w:rPr>
          <w:rFonts w:cs="Times New Roman"/>
          <w:sz w:val="24"/>
          <w:szCs w:val="24"/>
        </w:rPr>
        <w:t xml:space="preserve">procedure </w:t>
      </w:r>
      <w:r w:rsidR="00F07356" w:rsidRPr="006E1978">
        <w:rPr>
          <w:rFonts w:cs="Times New Roman"/>
          <w:sz w:val="24"/>
          <w:szCs w:val="24"/>
        </w:rPr>
        <w:t>(</w:t>
      </w:r>
      <w:proofErr w:type="spellStart"/>
      <w:r w:rsidR="00F07356" w:rsidRPr="006E1978">
        <w:rPr>
          <w:rFonts w:cs="Times New Roman"/>
          <w:sz w:val="24"/>
          <w:szCs w:val="24"/>
        </w:rPr>
        <w:t>Brislin</w:t>
      </w:r>
      <w:proofErr w:type="spellEnd"/>
      <w:r w:rsidR="00F07356" w:rsidRPr="006E1978">
        <w:rPr>
          <w:rFonts w:cs="Times New Roman"/>
          <w:sz w:val="24"/>
          <w:szCs w:val="24"/>
        </w:rPr>
        <w:t xml:space="preserve">, 1970), we created the Chinese version of MOGS and </w:t>
      </w:r>
      <w:r w:rsidR="0042779F" w:rsidRPr="006E1978">
        <w:rPr>
          <w:rFonts w:cs="Times New Roman"/>
          <w:sz w:val="24"/>
          <w:szCs w:val="24"/>
        </w:rPr>
        <w:t xml:space="preserve">further </w:t>
      </w:r>
      <w:r w:rsidR="00B96D68" w:rsidRPr="006E1978">
        <w:rPr>
          <w:rFonts w:cs="Times New Roman"/>
          <w:sz w:val="24"/>
          <w:szCs w:val="24"/>
        </w:rPr>
        <w:t>made minor revision</w:t>
      </w:r>
      <w:r w:rsidR="00F82998" w:rsidRPr="006E1978">
        <w:rPr>
          <w:rFonts w:cs="Times New Roman"/>
          <w:sz w:val="24"/>
          <w:szCs w:val="24"/>
        </w:rPr>
        <w:t>s</w:t>
      </w:r>
      <w:r w:rsidR="00F07356" w:rsidRPr="006E1978">
        <w:rPr>
          <w:rFonts w:cs="Times New Roman"/>
          <w:sz w:val="24"/>
          <w:szCs w:val="24"/>
        </w:rPr>
        <w:t xml:space="preserve"> based on the pilot test results collected from 30 university students with lifetime gaming experience (e.g., we specified the term “my functioning” as “my work/study”). </w:t>
      </w:r>
      <w:r w:rsidR="00797013" w:rsidRPr="006E1978">
        <w:rPr>
          <w:rFonts w:cs="Times New Roman"/>
          <w:sz w:val="24"/>
          <w:szCs w:val="24"/>
        </w:rPr>
        <w:t xml:space="preserve">The psychometric properties of this Chinese version </w:t>
      </w:r>
      <w:r w:rsidR="00F07356" w:rsidRPr="006E1978">
        <w:rPr>
          <w:rFonts w:cs="Times New Roman"/>
          <w:sz w:val="24"/>
          <w:szCs w:val="24"/>
        </w:rPr>
        <w:t xml:space="preserve">will be further explored </w:t>
      </w:r>
      <w:r w:rsidR="00797013" w:rsidRPr="006E1978">
        <w:rPr>
          <w:rFonts w:cs="Times New Roman"/>
          <w:sz w:val="24"/>
          <w:szCs w:val="24"/>
        </w:rPr>
        <w:t>among Chinese gamers in the following</w:t>
      </w:r>
      <w:r w:rsidR="00F82998" w:rsidRPr="006E1978">
        <w:rPr>
          <w:rFonts w:cs="Times New Roman"/>
          <w:sz w:val="24"/>
          <w:szCs w:val="24"/>
        </w:rPr>
        <w:t xml:space="preserve"> sections</w:t>
      </w:r>
      <w:r w:rsidR="00F07356" w:rsidRPr="006E1978">
        <w:rPr>
          <w:rFonts w:cs="Times New Roman"/>
          <w:sz w:val="24"/>
          <w:szCs w:val="24"/>
        </w:rPr>
        <w:t>.</w:t>
      </w:r>
    </w:p>
    <w:p w14:paraId="7E32736B" w14:textId="6D11E7F7" w:rsidR="00B828D8" w:rsidRPr="006E1978" w:rsidRDefault="00B828D8" w:rsidP="00792616">
      <w:pPr>
        <w:snapToGrid w:val="0"/>
        <w:spacing w:line="480" w:lineRule="auto"/>
        <w:jc w:val="left"/>
        <w:rPr>
          <w:rFonts w:cs="Times New Roman"/>
          <w:i/>
          <w:iCs/>
          <w:sz w:val="24"/>
          <w:szCs w:val="24"/>
        </w:rPr>
      </w:pPr>
      <w:r w:rsidRPr="006E1978">
        <w:rPr>
          <w:rFonts w:cs="Times New Roman"/>
          <w:i/>
          <w:iCs/>
          <w:sz w:val="24"/>
          <w:szCs w:val="24"/>
        </w:rPr>
        <w:t xml:space="preserve">2.2.2 </w:t>
      </w:r>
      <w:r w:rsidR="00156151" w:rsidRPr="006E1978">
        <w:rPr>
          <w:rFonts w:cs="Times New Roman"/>
          <w:i/>
          <w:iCs/>
          <w:sz w:val="24"/>
          <w:szCs w:val="24"/>
        </w:rPr>
        <w:t>Generic</w:t>
      </w:r>
      <w:r w:rsidR="00A66FF7" w:rsidRPr="006E1978">
        <w:rPr>
          <w:rFonts w:cs="Times New Roman"/>
          <w:i/>
          <w:iCs/>
          <w:sz w:val="24"/>
          <w:szCs w:val="24"/>
        </w:rPr>
        <w:t xml:space="preserve"> m</w:t>
      </w:r>
      <w:r w:rsidRPr="006E1978">
        <w:rPr>
          <w:rFonts w:cs="Times New Roman"/>
          <w:i/>
          <w:iCs/>
          <w:sz w:val="24"/>
          <w:szCs w:val="24"/>
        </w:rPr>
        <w:t>etacognition</w:t>
      </w:r>
      <w:r w:rsidR="00F82998" w:rsidRPr="006E1978">
        <w:rPr>
          <w:rFonts w:cs="Times New Roman"/>
          <w:i/>
          <w:iCs/>
          <w:sz w:val="24"/>
          <w:szCs w:val="24"/>
        </w:rPr>
        <w:t>s</w:t>
      </w:r>
    </w:p>
    <w:p w14:paraId="3B2AD038" w14:textId="1BDDED63" w:rsidR="00FC14DC" w:rsidRPr="006E1978" w:rsidRDefault="00FD6687" w:rsidP="00792616">
      <w:pPr>
        <w:snapToGrid w:val="0"/>
        <w:spacing w:line="480" w:lineRule="auto"/>
        <w:ind w:firstLineChars="200" w:firstLine="480"/>
        <w:jc w:val="left"/>
        <w:rPr>
          <w:rFonts w:cs="Times New Roman"/>
          <w:sz w:val="24"/>
          <w:szCs w:val="24"/>
        </w:rPr>
      </w:pPr>
      <w:r w:rsidRPr="006E1978">
        <w:rPr>
          <w:rFonts w:cs="Times New Roman"/>
          <w:sz w:val="24"/>
          <w:szCs w:val="24"/>
        </w:rPr>
        <w:t xml:space="preserve">The </w:t>
      </w:r>
      <w:r w:rsidR="00855933" w:rsidRPr="006E1978">
        <w:rPr>
          <w:rFonts w:cs="Times New Roman"/>
          <w:sz w:val="24"/>
          <w:szCs w:val="24"/>
        </w:rPr>
        <w:t xml:space="preserve">30-item </w:t>
      </w:r>
      <w:r w:rsidR="00BF18B7" w:rsidRPr="006E1978">
        <w:rPr>
          <w:rFonts w:cs="Times New Roman"/>
          <w:sz w:val="24"/>
          <w:szCs w:val="24"/>
        </w:rPr>
        <w:t xml:space="preserve">Chinese version of Wells et al.’s </w:t>
      </w:r>
      <w:r w:rsidRPr="006E1978">
        <w:rPr>
          <w:rFonts w:cs="Times New Roman"/>
          <w:sz w:val="24"/>
          <w:szCs w:val="24"/>
        </w:rPr>
        <w:t>M</w:t>
      </w:r>
      <w:r w:rsidR="00BF18B7" w:rsidRPr="006E1978">
        <w:rPr>
          <w:rFonts w:cs="Times New Roman"/>
          <w:sz w:val="24"/>
          <w:szCs w:val="24"/>
        </w:rPr>
        <w:t>etacognition</w:t>
      </w:r>
      <w:r w:rsidR="00F82998" w:rsidRPr="006E1978">
        <w:rPr>
          <w:rFonts w:cs="Times New Roman"/>
          <w:sz w:val="24"/>
          <w:szCs w:val="24"/>
        </w:rPr>
        <w:t>s</w:t>
      </w:r>
      <w:r w:rsidR="00BF18B7" w:rsidRPr="006E1978">
        <w:rPr>
          <w:rFonts w:cs="Times New Roman"/>
          <w:sz w:val="24"/>
          <w:szCs w:val="24"/>
        </w:rPr>
        <w:t xml:space="preserve"> Questionnaire (M</w:t>
      </w:r>
      <w:r w:rsidRPr="006E1978">
        <w:rPr>
          <w:rFonts w:cs="Times New Roman"/>
          <w:sz w:val="24"/>
          <w:szCs w:val="24"/>
        </w:rPr>
        <w:t xml:space="preserve">CQ-30; Zhang et al., 2020) </w:t>
      </w:r>
      <w:r w:rsidR="00BF18B7" w:rsidRPr="006E1978">
        <w:rPr>
          <w:rFonts w:cs="Times New Roman"/>
          <w:sz w:val="24"/>
          <w:szCs w:val="24"/>
        </w:rPr>
        <w:t xml:space="preserve">was used to assess </w:t>
      </w:r>
      <w:r w:rsidR="00156151" w:rsidRPr="006E1978">
        <w:rPr>
          <w:rFonts w:cs="Times New Roman"/>
          <w:sz w:val="24"/>
          <w:szCs w:val="24"/>
        </w:rPr>
        <w:t>generic</w:t>
      </w:r>
      <w:r w:rsidR="002B00F7" w:rsidRPr="006E1978">
        <w:rPr>
          <w:rFonts w:cs="Times New Roman"/>
          <w:sz w:val="24"/>
          <w:szCs w:val="24"/>
        </w:rPr>
        <w:t xml:space="preserve"> </w:t>
      </w:r>
      <w:r w:rsidR="00F82998" w:rsidRPr="006E1978">
        <w:rPr>
          <w:rFonts w:cs="Times New Roman"/>
          <w:sz w:val="24"/>
          <w:szCs w:val="24"/>
        </w:rPr>
        <w:t>metacognitions</w:t>
      </w:r>
      <w:r w:rsidR="002B00F7" w:rsidRPr="006E1978">
        <w:rPr>
          <w:rFonts w:cs="Times New Roman"/>
          <w:sz w:val="24"/>
          <w:szCs w:val="24"/>
        </w:rPr>
        <w:t xml:space="preserve"> from five </w:t>
      </w:r>
      <w:r w:rsidR="00A66FF7" w:rsidRPr="006E1978">
        <w:rPr>
          <w:rFonts w:cs="Times New Roman"/>
          <w:sz w:val="24"/>
          <w:szCs w:val="24"/>
        </w:rPr>
        <w:t>dimensions</w:t>
      </w:r>
      <w:r w:rsidRPr="006E1978">
        <w:rPr>
          <w:rFonts w:cs="Times New Roman"/>
          <w:sz w:val="24"/>
          <w:szCs w:val="24"/>
        </w:rPr>
        <w:t>: (a) positive beliefs about worry (e.g., “Worrying helps me cope”), (b) negative beliefs about worry (e.g., “When I start worrying, I cannot stop”), (c)</w:t>
      </w:r>
      <w:r w:rsidR="00FC14DC" w:rsidRPr="006E1978">
        <w:rPr>
          <w:rFonts w:cs="Times New Roman"/>
          <w:sz w:val="24"/>
          <w:szCs w:val="24"/>
        </w:rPr>
        <w:t xml:space="preserve"> cognitive confidence (e.g., “I have a poor memory”), (d) need for control (e.g., “It is bad to think certain thoughts”), (e) </w:t>
      </w:r>
      <w:r w:rsidRPr="006E1978">
        <w:rPr>
          <w:rFonts w:cs="Times New Roman"/>
          <w:sz w:val="24"/>
          <w:szCs w:val="24"/>
        </w:rPr>
        <w:t>cognitive self-consciousness</w:t>
      </w:r>
      <w:r w:rsidR="00FC14DC" w:rsidRPr="006E1978">
        <w:rPr>
          <w:rFonts w:cs="Times New Roman"/>
          <w:sz w:val="24"/>
          <w:szCs w:val="24"/>
        </w:rPr>
        <w:t xml:space="preserve"> </w:t>
      </w:r>
      <w:r w:rsidRPr="006E1978">
        <w:rPr>
          <w:rFonts w:cs="Times New Roman"/>
          <w:sz w:val="24"/>
          <w:szCs w:val="24"/>
        </w:rPr>
        <w:t>(e.g., “</w:t>
      </w:r>
      <w:r w:rsidR="00FC14DC" w:rsidRPr="006E1978">
        <w:rPr>
          <w:rFonts w:cs="Times New Roman"/>
          <w:sz w:val="24"/>
          <w:szCs w:val="24"/>
        </w:rPr>
        <w:t>I think a lot about my thoughts</w:t>
      </w:r>
      <w:r w:rsidRPr="006E1978">
        <w:rPr>
          <w:rFonts w:cs="Times New Roman"/>
          <w:sz w:val="24"/>
          <w:szCs w:val="24"/>
        </w:rPr>
        <w:t xml:space="preserve">”). </w:t>
      </w:r>
      <w:r w:rsidR="00FC14DC" w:rsidRPr="006E1978">
        <w:rPr>
          <w:rFonts w:cs="Times New Roman"/>
          <w:sz w:val="24"/>
          <w:szCs w:val="24"/>
        </w:rPr>
        <w:t xml:space="preserve">Each subscale </w:t>
      </w:r>
      <w:r w:rsidR="00B50A50" w:rsidRPr="006E1978">
        <w:rPr>
          <w:rFonts w:cs="Times New Roman"/>
          <w:sz w:val="24"/>
          <w:szCs w:val="24"/>
        </w:rPr>
        <w:t xml:space="preserve">has </w:t>
      </w:r>
      <w:r w:rsidR="00FC14DC" w:rsidRPr="006E1978">
        <w:rPr>
          <w:rFonts w:cs="Times New Roman"/>
          <w:sz w:val="24"/>
          <w:szCs w:val="24"/>
        </w:rPr>
        <w:t>six</w:t>
      </w:r>
      <w:r w:rsidR="00B50A50" w:rsidRPr="006E1978">
        <w:rPr>
          <w:rFonts w:cs="Times New Roman"/>
          <w:sz w:val="24"/>
          <w:szCs w:val="24"/>
        </w:rPr>
        <w:t xml:space="preserve"> </w:t>
      </w:r>
      <w:r w:rsidR="00FC14DC" w:rsidRPr="006E1978">
        <w:rPr>
          <w:rFonts w:cs="Times New Roman"/>
          <w:sz w:val="24"/>
          <w:szCs w:val="24"/>
        </w:rPr>
        <w:t>item</w:t>
      </w:r>
      <w:r w:rsidR="00B50A50" w:rsidRPr="006E1978">
        <w:rPr>
          <w:rFonts w:cs="Times New Roman"/>
          <w:sz w:val="24"/>
          <w:szCs w:val="24"/>
        </w:rPr>
        <w:t>s</w:t>
      </w:r>
      <w:r w:rsidR="00FC14DC" w:rsidRPr="006E1978">
        <w:rPr>
          <w:rFonts w:cs="Times New Roman"/>
          <w:sz w:val="24"/>
          <w:szCs w:val="24"/>
        </w:rPr>
        <w:t xml:space="preserve"> and </w:t>
      </w:r>
      <w:r w:rsidR="00B50A50" w:rsidRPr="006E1978">
        <w:rPr>
          <w:rFonts w:cs="Times New Roman"/>
          <w:sz w:val="24"/>
          <w:szCs w:val="24"/>
        </w:rPr>
        <w:t xml:space="preserve">adopts a </w:t>
      </w:r>
      <w:r w:rsidR="00FC14DC" w:rsidRPr="006E1978">
        <w:rPr>
          <w:rFonts w:cs="Times New Roman"/>
          <w:sz w:val="24"/>
          <w:szCs w:val="24"/>
        </w:rPr>
        <w:t>4-point</w:t>
      </w:r>
      <w:r w:rsidR="00E54CC5" w:rsidRPr="006E1978">
        <w:rPr>
          <w:rFonts w:cs="Times New Roman"/>
          <w:sz w:val="24"/>
          <w:szCs w:val="24"/>
        </w:rPr>
        <w:t xml:space="preserve"> Likert</w:t>
      </w:r>
      <w:r w:rsidR="00FC14DC" w:rsidRPr="006E1978">
        <w:rPr>
          <w:rFonts w:cs="Times New Roman"/>
          <w:sz w:val="24"/>
          <w:szCs w:val="24"/>
        </w:rPr>
        <w:t xml:space="preserve"> scale</w:t>
      </w:r>
      <w:r w:rsidR="00B50A50" w:rsidRPr="006E1978">
        <w:rPr>
          <w:rFonts w:cs="Times New Roman"/>
          <w:sz w:val="24"/>
          <w:szCs w:val="24"/>
        </w:rPr>
        <w:t xml:space="preserve"> </w:t>
      </w:r>
      <w:r w:rsidR="00FC14DC" w:rsidRPr="006E1978">
        <w:rPr>
          <w:rFonts w:cs="Times New Roman"/>
          <w:sz w:val="24"/>
          <w:szCs w:val="24"/>
        </w:rPr>
        <w:t>(</w:t>
      </w:r>
      <w:r w:rsidR="00E54CC5" w:rsidRPr="006E1978">
        <w:rPr>
          <w:rFonts w:cs="Times New Roman"/>
          <w:sz w:val="24"/>
          <w:szCs w:val="24"/>
        </w:rPr>
        <w:t xml:space="preserve">from </w:t>
      </w:r>
      <w:r w:rsidR="00FC14DC" w:rsidRPr="006E1978">
        <w:rPr>
          <w:rFonts w:cs="Times New Roman"/>
          <w:sz w:val="24"/>
          <w:szCs w:val="24"/>
        </w:rPr>
        <w:t xml:space="preserve">1= </w:t>
      </w:r>
      <w:r w:rsidR="000531D8" w:rsidRPr="006E1978">
        <w:rPr>
          <w:rFonts w:cs="Times New Roman"/>
          <w:i/>
          <w:iCs/>
          <w:sz w:val="24"/>
          <w:szCs w:val="24"/>
        </w:rPr>
        <w:t xml:space="preserve">do </w:t>
      </w:r>
      <w:r w:rsidR="00FC14DC" w:rsidRPr="006E1978">
        <w:rPr>
          <w:rFonts w:cs="Times New Roman"/>
          <w:i/>
          <w:iCs/>
          <w:sz w:val="24"/>
          <w:szCs w:val="24"/>
        </w:rPr>
        <w:t>not agree</w:t>
      </w:r>
      <w:r w:rsidR="00E54CC5" w:rsidRPr="006E1978">
        <w:rPr>
          <w:rFonts w:cs="Times New Roman"/>
          <w:sz w:val="24"/>
          <w:szCs w:val="24"/>
        </w:rPr>
        <w:t xml:space="preserve"> to </w:t>
      </w:r>
      <w:r w:rsidR="00FC14DC" w:rsidRPr="006E1978">
        <w:rPr>
          <w:rFonts w:cs="Times New Roman"/>
          <w:sz w:val="24"/>
          <w:szCs w:val="24"/>
        </w:rPr>
        <w:t xml:space="preserve">4= </w:t>
      </w:r>
      <w:r w:rsidR="000531D8" w:rsidRPr="006E1978">
        <w:rPr>
          <w:rFonts w:cs="Times New Roman"/>
          <w:i/>
          <w:iCs/>
          <w:sz w:val="24"/>
          <w:szCs w:val="24"/>
        </w:rPr>
        <w:t xml:space="preserve">agree </w:t>
      </w:r>
      <w:r w:rsidR="00FC14DC" w:rsidRPr="006E1978">
        <w:rPr>
          <w:rFonts w:cs="Times New Roman"/>
          <w:i/>
          <w:iCs/>
          <w:sz w:val="24"/>
          <w:szCs w:val="24"/>
        </w:rPr>
        <w:t>very much</w:t>
      </w:r>
      <w:r w:rsidR="008A1BD4" w:rsidRPr="006E1978">
        <w:rPr>
          <w:rFonts w:cs="Times New Roman"/>
          <w:sz w:val="24"/>
          <w:szCs w:val="24"/>
        </w:rPr>
        <w:t xml:space="preserve">; </w:t>
      </w:r>
      <w:r w:rsidR="008A1BD4" w:rsidRPr="006E1978">
        <w:rPr>
          <w:rFonts w:cs="Times New Roman"/>
          <w:i/>
          <w:iCs/>
          <w:sz w:val="24"/>
          <w:szCs w:val="24"/>
        </w:rPr>
        <w:t>α</w:t>
      </w:r>
      <w:r w:rsidR="008A1BD4" w:rsidRPr="006E1978">
        <w:rPr>
          <w:rFonts w:cs="Times New Roman"/>
          <w:sz w:val="24"/>
          <w:szCs w:val="24"/>
        </w:rPr>
        <w:t xml:space="preserve"> = .82</w:t>
      </w:r>
      <w:r w:rsidR="00474F6C" w:rsidRPr="006E1978">
        <w:rPr>
          <w:rFonts w:cs="Times New Roman"/>
          <w:sz w:val="24"/>
          <w:szCs w:val="24"/>
        </w:rPr>
        <w:t xml:space="preserve"> to </w:t>
      </w:r>
      <w:r w:rsidR="008A1BD4" w:rsidRPr="006E1978">
        <w:rPr>
          <w:rFonts w:cs="Times New Roman"/>
          <w:sz w:val="24"/>
          <w:szCs w:val="24"/>
        </w:rPr>
        <w:t xml:space="preserve">.85 </w:t>
      </w:r>
      <w:r w:rsidR="008A1BD4" w:rsidRPr="006E1978">
        <w:rPr>
          <w:rFonts w:cs="Times New Roman" w:hint="eastAsia"/>
          <w:sz w:val="24"/>
          <w:szCs w:val="24"/>
        </w:rPr>
        <w:t>in</w:t>
      </w:r>
      <w:r w:rsidR="008A1BD4" w:rsidRPr="006E1978">
        <w:rPr>
          <w:rFonts w:cs="Times New Roman"/>
          <w:sz w:val="24"/>
          <w:szCs w:val="24"/>
        </w:rPr>
        <w:t xml:space="preserve"> present study</w:t>
      </w:r>
      <w:r w:rsidR="00FC14DC" w:rsidRPr="006E1978">
        <w:rPr>
          <w:rFonts w:cs="Times New Roman"/>
          <w:sz w:val="24"/>
          <w:szCs w:val="24"/>
        </w:rPr>
        <w:t xml:space="preserve">). A </w:t>
      </w:r>
      <w:r w:rsidR="00FC14DC" w:rsidRPr="006E1978">
        <w:rPr>
          <w:rFonts w:cs="Times New Roman"/>
          <w:sz w:val="24"/>
          <w:szCs w:val="24"/>
        </w:rPr>
        <w:lastRenderedPageBreak/>
        <w:t xml:space="preserve">higher </w:t>
      </w:r>
      <w:r w:rsidR="00F82998" w:rsidRPr="006E1978">
        <w:rPr>
          <w:rFonts w:cs="Times New Roman"/>
          <w:sz w:val="24"/>
          <w:szCs w:val="24"/>
        </w:rPr>
        <w:t xml:space="preserve">sum </w:t>
      </w:r>
      <w:r w:rsidR="00FC14DC" w:rsidRPr="006E1978">
        <w:rPr>
          <w:rFonts w:cs="Times New Roman"/>
          <w:sz w:val="24"/>
          <w:szCs w:val="24"/>
        </w:rPr>
        <w:t>score for each subscale represents higher level</w:t>
      </w:r>
      <w:r w:rsidR="00F82998" w:rsidRPr="006E1978">
        <w:rPr>
          <w:rFonts w:cs="Times New Roman"/>
          <w:sz w:val="24"/>
          <w:szCs w:val="24"/>
        </w:rPr>
        <w:t>s</w:t>
      </w:r>
      <w:r w:rsidR="00FC14DC" w:rsidRPr="006E1978">
        <w:rPr>
          <w:rFonts w:cs="Times New Roman"/>
          <w:sz w:val="24"/>
          <w:szCs w:val="24"/>
        </w:rPr>
        <w:t xml:space="preserve"> of </w:t>
      </w:r>
      <w:r w:rsidR="00E54CC5" w:rsidRPr="006E1978">
        <w:rPr>
          <w:rFonts w:cs="Times New Roman"/>
          <w:sz w:val="24"/>
          <w:szCs w:val="24"/>
        </w:rPr>
        <w:t xml:space="preserve">the corresponding </w:t>
      </w:r>
      <w:r w:rsidR="00156151" w:rsidRPr="006E1978">
        <w:rPr>
          <w:rFonts w:cs="Times New Roman"/>
          <w:sz w:val="24"/>
          <w:szCs w:val="24"/>
        </w:rPr>
        <w:t>dimension of generic</w:t>
      </w:r>
      <w:r w:rsidR="00A66FF7" w:rsidRPr="006E1978">
        <w:rPr>
          <w:rFonts w:cs="Times New Roman"/>
          <w:sz w:val="24"/>
          <w:szCs w:val="24"/>
        </w:rPr>
        <w:t xml:space="preserve"> </w:t>
      </w:r>
      <w:r w:rsidR="00FC14DC" w:rsidRPr="006E1978">
        <w:rPr>
          <w:rFonts w:cs="Times New Roman"/>
          <w:sz w:val="24"/>
          <w:szCs w:val="24"/>
        </w:rPr>
        <w:t>metacognition</w:t>
      </w:r>
      <w:r w:rsidR="00F82998" w:rsidRPr="006E1978">
        <w:rPr>
          <w:rFonts w:cs="Times New Roman"/>
          <w:sz w:val="24"/>
          <w:szCs w:val="24"/>
        </w:rPr>
        <w:t>s</w:t>
      </w:r>
      <w:r w:rsidR="00FC14DC" w:rsidRPr="006E1978">
        <w:rPr>
          <w:rFonts w:cs="Times New Roman"/>
          <w:sz w:val="24"/>
          <w:szCs w:val="24"/>
        </w:rPr>
        <w:t>.</w:t>
      </w:r>
    </w:p>
    <w:p w14:paraId="5783F977" w14:textId="6BF93196" w:rsidR="00B828D8" w:rsidRPr="006E1978" w:rsidRDefault="00B828D8" w:rsidP="00792616">
      <w:pPr>
        <w:snapToGrid w:val="0"/>
        <w:spacing w:line="480" w:lineRule="auto"/>
        <w:jc w:val="left"/>
        <w:rPr>
          <w:rFonts w:cs="Times New Roman"/>
          <w:i/>
          <w:iCs/>
          <w:sz w:val="24"/>
          <w:szCs w:val="24"/>
        </w:rPr>
      </w:pPr>
      <w:r w:rsidRPr="006E1978">
        <w:rPr>
          <w:rFonts w:cs="Times New Roman"/>
          <w:i/>
          <w:iCs/>
          <w:sz w:val="24"/>
          <w:szCs w:val="24"/>
        </w:rPr>
        <w:t xml:space="preserve">2.2.3 </w:t>
      </w:r>
      <w:r w:rsidR="00ED7973" w:rsidRPr="006E1978">
        <w:rPr>
          <w:rFonts w:cs="Times New Roman"/>
          <w:i/>
          <w:iCs/>
          <w:sz w:val="24"/>
          <w:szCs w:val="24"/>
        </w:rPr>
        <w:t>I</w:t>
      </w:r>
      <w:r w:rsidRPr="006E1978">
        <w:rPr>
          <w:rFonts w:cs="Times New Roman"/>
          <w:i/>
          <w:iCs/>
          <w:sz w:val="24"/>
          <w:szCs w:val="24"/>
        </w:rPr>
        <w:t>GD</w:t>
      </w:r>
      <w:r w:rsidR="00587771" w:rsidRPr="006E1978">
        <w:rPr>
          <w:rFonts w:cs="Times New Roman"/>
          <w:i/>
          <w:iCs/>
          <w:sz w:val="24"/>
          <w:szCs w:val="24"/>
        </w:rPr>
        <w:t xml:space="preserve"> </w:t>
      </w:r>
      <w:r w:rsidR="00124152" w:rsidRPr="006E1978">
        <w:rPr>
          <w:rFonts w:cs="Times New Roman"/>
          <w:i/>
          <w:iCs/>
          <w:sz w:val="24"/>
          <w:szCs w:val="24"/>
        </w:rPr>
        <w:t xml:space="preserve">tendency </w:t>
      </w:r>
      <w:r w:rsidR="00AF62DB" w:rsidRPr="006E1978">
        <w:rPr>
          <w:rFonts w:cs="Times New Roman"/>
          <w:i/>
          <w:iCs/>
          <w:sz w:val="24"/>
          <w:szCs w:val="24"/>
        </w:rPr>
        <w:t xml:space="preserve">and </w:t>
      </w:r>
      <w:r w:rsidR="00124152" w:rsidRPr="006E1978">
        <w:rPr>
          <w:rFonts w:cs="Times New Roman"/>
          <w:i/>
          <w:iCs/>
          <w:sz w:val="24"/>
          <w:szCs w:val="24"/>
        </w:rPr>
        <w:t>probable IGD</w:t>
      </w:r>
    </w:p>
    <w:p w14:paraId="4F8EDECD" w14:textId="19A6DA84" w:rsidR="00414418" w:rsidRPr="006E1978" w:rsidRDefault="00414418" w:rsidP="00792616">
      <w:pPr>
        <w:snapToGrid w:val="0"/>
        <w:spacing w:line="480" w:lineRule="auto"/>
        <w:ind w:firstLineChars="200" w:firstLine="480"/>
        <w:jc w:val="left"/>
        <w:rPr>
          <w:rFonts w:cs="Times New Roman"/>
          <w:sz w:val="24"/>
          <w:szCs w:val="24"/>
        </w:rPr>
      </w:pPr>
      <w:r w:rsidRPr="006E1978">
        <w:rPr>
          <w:rFonts w:cs="Times New Roman"/>
          <w:sz w:val="24"/>
          <w:szCs w:val="24"/>
        </w:rPr>
        <w:t xml:space="preserve">The </w:t>
      </w:r>
      <w:r w:rsidR="00E54CC5" w:rsidRPr="006E1978">
        <w:rPr>
          <w:rFonts w:cs="Times New Roman"/>
          <w:sz w:val="24"/>
          <w:szCs w:val="24"/>
        </w:rPr>
        <w:t xml:space="preserve">27-item </w:t>
      </w:r>
      <w:r w:rsidRPr="006E1978">
        <w:rPr>
          <w:rFonts w:cs="Times New Roman"/>
          <w:sz w:val="24"/>
          <w:szCs w:val="24"/>
        </w:rPr>
        <w:t>Chinese Internet Gaming Disorder Checklist (C-IGDC</w:t>
      </w:r>
      <w:r w:rsidR="00E54CC5" w:rsidRPr="006E1978">
        <w:rPr>
          <w:rFonts w:cs="Times New Roman"/>
          <w:sz w:val="24"/>
          <w:szCs w:val="24"/>
        </w:rPr>
        <w:t>; Chen et al., 2020</w:t>
      </w:r>
      <w:r w:rsidRPr="006E1978">
        <w:rPr>
          <w:rFonts w:cs="Times New Roman"/>
          <w:sz w:val="24"/>
          <w:szCs w:val="24"/>
        </w:rPr>
        <w:t xml:space="preserve">) </w:t>
      </w:r>
      <w:r w:rsidR="00E54CC5" w:rsidRPr="006E1978">
        <w:rPr>
          <w:rFonts w:cs="Times New Roman"/>
          <w:sz w:val="24"/>
          <w:szCs w:val="24"/>
        </w:rPr>
        <w:t>was used to evaluate participants’ past-year</w:t>
      </w:r>
      <w:r w:rsidRPr="006E1978">
        <w:rPr>
          <w:rFonts w:cs="Times New Roman"/>
          <w:sz w:val="24"/>
          <w:szCs w:val="24"/>
        </w:rPr>
        <w:t xml:space="preserve"> </w:t>
      </w:r>
      <w:r w:rsidR="00ED7973" w:rsidRPr="006E1978">
        <w:rPr>
          <w:rFonts w:cs="Times New Roman"/>
          <w:sz w:val="24"/>
          <w:szCs w:val="24"/>
        </w:rPr>
        <w:t>I</w:t>
      </w:r>
      <w:r w:rsidRPr="006E1978">
        <w:rPr>
          <w:rFonts w:cs="Times New Roman"/>
          <w:sz w:val="24"/>
          <w:szCs w:val="24"/>
        </w:rPr>
        <w:t>GD tendency</w:t>
      </w:r>
      <w:r w:rsidR="00E54CC5" w:rsidRPr="006E1978">
        <w:rPr>
          <w:rFonts w:cs="Times New Roman"/>
          <w:sz w:val="24"/>
          <w:szCs w:val="24"/>
        </w:rPr>
        <w:t xml:space="preserve"> on a 3-point Likert scale (0 = </w:t>
      </w:r>
      <w:r w:rsidR="00E54CC5" w:rsidRPr="006E1978">
        <w:rPr>
          <w:rFonts w:cs="Times New Roman"/>
          <w:i/>
          <w:iCs/>
          <w:sz w:val="24"/>
          <w:szCs w:val="24"/>
        </w:rPr>
        <w:t>never</w:t>
      </w:r>
      <w:r w:rsidR="00E54CC5" w:rsidRPr="006E1978">
        <w:rPr>
          <w:rFonts w:cs="Times New Roman"/>
          <w:sz w:val="24"/>
          <w:szCs w:val="24"/>
        </w:rPr>
        <w:t xml:space="preserve">, 1 = </w:t>
      </w:r>
      <w:r w:rsidR="00E54CC5" w:rsidRPr="006E1978">
        <w:rPr>
          <w:rFonts w:cs="Times New Roman"/>
          <w:i/>
          <w:iCs/>
          <w:sz w:val="24"/>
          <w:szCs w:val="24"/>
        </w:rPr>
        <w:t>sometimes</w:t>
      </w:r>
      <w:r w:rsidR="00E54CC5" w:rsidRPr="006E1978">
        <w:rPr>
          <w:rFonts w:cs="Times New Roman"/>
          <w:sz w:val="24"/>
          <w:szCs w:val="24"/>
        </w:rPr>
        <w:t xml:space="preserve">, and 2 = </w:t>
      </w:r>
      <w:r w:rsidR="00E54CC5" w:rsidRPr="006E1978">
        <w:rPr>
          <w:rFonts w:cs="Times New Roman"/>
          <w:i/>
          <w:iCs/>
          <w:sz w:val="24"/>
          <w:szCs w:val="24"/>
        </w:rPr>
        <w:t>often</w:t>
      </w:r>
      <w:r w:rsidR="008A1BD4" w:rsidRPr="006E1978">
        <w:rPr>
          <w:rFonts w:cs="Times New Roman"/>
          <w:sz w:val="24"/>
          <w:szCs w:val="24"/>
        </w:rPr>
        <w:t xml:space="preserve">; </w:t>
      </w:r>
      <w:r w:rsidR="008A1BD4" w:rsidRPr="006E1978">
        <w:rPr>
          <w:rFonts w:cs="Times New Roman"/>
          <w:i/>
          <w:iCs/>
          <w:sz w:val="24"/>
          <w:szCs w:val="24"/>
        </w:rPr>
        <w:t>α</w:t>
      </w:r>
      <w:r w:rsidR="008A1BD4" w:rsidRPr="006E1978">
        <w:rPr>
          <w:rFonts w:cs="Times New Roman"/>
          <w:sz w:val="24"/>
          <w:szCs w:val="24"/>
        </w:rPr>
        <w:t xml:space="preserve"> = .95 </w:t>
      </w:r>
      <w:r w:rsidR="008A1BD4" w:rsidRPr="006E1978">
        <w:rPr>
          <w:rFonts w:cs="Times New Roman" w:hint="eastAsia"/>
          <w:sz w:val="24"/>
          <w:szCs w:val="24"/>
        </w:rPr>
        <w:t>in</w:t>
      </w:r>
      <w:r w:rsidR="008A1BD4" w:rsidRPr="006E1978">
        <w:rPr>
          <w:rFonts w:cs="Times New Roman"/>
          <w:sz w:val="24"/>
          <w:szCs w:val="24"/>
        </w:rPr>
        <w:t xml:space="preserve"> present study</w:t>
      </w:r>
      <w:r w:rsidR="00E54CC5" w:rsidRPr="006E1978">
        <w:rPr>
          <w:rFonts w:cs="Times New Roman"/>
          <w:sz w:val="24"/>
          <w:szCs w:val="24"/>
        </w:rPr>
        <w:t>)</w:t>
      </w:r>
      <w:r w:rsidRPr="006E1978">
        <w:rPr>
          <w:rFonts w:cs="Times New Roman"/>
          <w:sz w:val="24"/>
          <w:szCs w:val="24"/>
        </w:rPr>
        <w:t xml:space="preserve">. </w:t>
      </w:r>
      <w:r w:rsidR="00E54CC5" w:rsidRPr="006E1978">
        <w:rPr>
          <w:rFonts w:cs="Times New Roman"/>
          <w:sz w:val="24"/>
          <w:szCs w:val="24"/>
        </w:rPr>
        <w:t xml:space="preserve">Only </w:t>
      </w:r>
      <w:r w:rsidR="00C017D3" w:rsidRPr="006E1978">
        <w:rPr>
          <w:rFonts w:cs="Times New Roman"/>
          <w:sz w:val="24"/>
          <w:szCs w:val="24"/>
        </w:rPr>
        <w:t xml:space="preserve">1232 </w:t>
      </w:r>
      <w:r w:rsidR="00E54CC5" w:rsidRPr="006E1978">
        <w:rPr>
          <w:rFonts w:cs="Times New Roman"/>
          <w:sz w:val="24"/>
          <w:szCs w:val="24"/>
        </w:rPr>
        <w:t xml:space="preserve">participants with past-year gaming experience were prompted to these questions. </w:t>
      </w:r>
      <w:r w:rsidRPr="006E1978">
        <w:rPr>
          <w:rFonts w:cs="Times New Roman"/>
          <w:sz w:val="24"/>
          <w:szCs w:val="24"/>
        </w:rPr>
        <w:t xml:space="preserve">A sample item is, “How often did you feel like losing everything while not being able to play Internet games (in the past 12 months)?” </w:t>
      </w:r>
      <w:r w:rsidR="00AF62DB" w:rsidRPr="006E1978">
        <w:rPr>
          <w:rFonts w:cs="Times New Roman"/>
          <w:sz w:val="24"/>
          <w:szCs w:val="24"/>
        </w:rPr>
        <w:t xml:space="preserve">A </w:t>
      </w:r>
      <w:r w:rsidR="0042779F" w:rsidRPr="006E1978">
        <w:rPr>
          <w:rFonts w:cs="Times New Roman"/>
          <w:sz w:val="24"/>
          <w:szCs w:val="24"/>
        </w:rPr>
        <w:t xml:space="preserve">total </w:t>
      </w:r>
      <w:r w:rsidR="00355E52" w:rsidRPr="006E1978">
        <w:rPr>
          <w:rFonts w:cs="Times New Roman"/>
          <w:sz w:val="24"/>
          <w:szCs w:val="24"/>
        </w:rPr>
        <w:t>C-IGDC</w:t>
      </w:r>
      <w:r w:rsidR="00AF62DB" w:rsidRPr="006E1978">
        <w:rPr>
          <w:rFonts w:cs="Times New Roman"/>
          <w:sz w:val="24"/>
          <w:szCs w:val="24"/>
        </w:rPr>
        <w:t xml:space="preserve"> score was computed to </w:t>
      </w:r>
      <w:r w:rsidR="00720645" w:rsidRPr="006E1978">
        <w:rPr>
          <w:rFonts w:cs="Times New Roman"/>
          <w:sz w:val="24"/>
          <w:szCs w:val="24"/>
        </w:rPr>
        <w:t>indicate</w:t>
      </w:r>
      <w:r w:rsidR="00AF62DB" w:rsidRPr="006E1978">
        <w:rPr>
          <w:rFonts w:cs="Times New Roman"/>
          <w:sz w:val="24"/>
          <w:szCs w:val="24"/>
        </w:rPr>
        <w:t xml:space="preserve"> </w:t>
      </w:r>
      <w:r w:rsidR="00355E52" w:rsidRPr="006E1978">
        <w:rPr>
          <w:rFonts w:cs="Times New Roman"/>
          <w:sz w:val="24"/>
          <w:szCs w:val="24"/>
        </w:rPr>
        <w:t>participants’</w:t>
      </w:r>
      <w:r w:rsidR="00AF62DB" w:rsidRPr="006E1978">
        <w:rPr>
          <w:rFonts w:cs="Times New Roman"/>
          <w:sz w:val="24"/>
          <w:szCs w:val="24"/>
        </w:rPr>
        <w:t xml:space="preserve"> IGD</w:t>
      </w:r>
      <w:r w:rsidR="00124152" w:rsidRPr="006E1978">
        <w:rPr>
          <w:rFonts w:cs="Times New Roman"/>
          <w:sz w:val="24"/>
          <w:szCs w:val="24"/>
        </w:rPr>
        <w:t xml:space="preserve"> tendency</w:t>
      </w:r>
      <w:r w:rsidR="00AF62DB" w:rsidRPr="006E1978">
        <w:rPr>
          <w:rFonts w:cs="Times New Roman"/>
          <w:sz w:val="24"/>
          <w:szCs w:val="24"/>
        </w:rPr>
        <w:t xml:space="preserve">, with a higher </w:t>
      </w:r>
      <w:r w:rsidR="0042779F" w:rsidRPr="006E1978">
        <w:rPr>
          <w:rFonts w:cs="Times New Roman"/>
          <w:sz w:val="24"/>
          <w:szCs w:val="24"/>
        </w:rPr>
        <w:t xml:space="preserve">summated </w:t>
      </w:r>
      <w:r w:rsidR="00AF62DB" w:rsidRPr="006E1978">
        <w:rPr>
          <w:rFonts w:cs="Times New Roman"/>
          <w:sz w:val="24"/>
          <w:szCs w:val="24"/>
        </w:rPr>
        <w:t xml:space="preserve">score </w:t>
      </w:r>
      <w:r w:rsidR="00720645" w:rsidRPr="006E1978">
        <w:rPr>
          <w:rFonts w:cs="Times New Roman"/>
          <w:sz w:val="24"/>
          <w:szCs w:val="24"/>
        </w:rPr>
        <w:t>representing</w:t>
      </w:r>
      <w:r w:rsidR="00AF62DB" w:rsidRPr="006E1978">
        <w:rPr>
          <w:rFonts w:cs="Times New Roman"/>
          <w:sz w:val="24"/>
          <w:szCs w:val="24"/>
        </w:rPr>
        <w:t xml:space="preserve"> a </w:t>
      </w:r>
      <w:r w:rsidR="009E061C" w:rsidRPr="006E1978">
        <w:rPr>
          <w:rFonts w:cs="Times New Roman"/>
          <w:sz w:val="24"/>
          <w:szCs w:val="24"/>
        </w:rPr>
        <w:t>higher</w:t>
      </w:r>
      <w:r w:rsidR="00D41962" w:rsidRPr="006E1978">
        <w:rPr>
          <w:rFonts w:cs="Times New Roman"/>
          <w:sz w:val="24"/>
          <w:szCs w:val="24"/>
        </w:rPr>
        <w:t xml:space="preserve"> </w:t>
      </w:r>
      <w:r w:rsidR="00124152" w:rsidRPr="006E1978">
        <w:rPr>
          <w:rFonts w:cs="Times New Roman"/>
          <w:sz w:val="24"/>
          <w:szCs w:val="24"/>
        </w:rPr>
        <w:t>tendency for IGD</w:t>
      </w:r>
      <w:r w:rsidRPr="006E1978">
        <w:rPr>
          <w:rFonts w:cs="Times New Roman"/>
          <w:sz w:val="24"/>
          <w:szCs w:val="24"/>
        </w:rPr>
        <w:t xml:space="preserve">. </w:t>
      </w:r>
      <w:r w:rsidR="00720645" w:rsidRPr="006E1978">
        <w:rPr>
          <w:rFonts w:cs="Times New Roman"/>
          <w:sz w:val="24"/>
          <w:szCs w:val="24"/>
        </w:rPr>
        <w:t>In line with Chen et al.’s (2020) guidelines, we adopted t</w:t>
      </w:r>
      <w:r w:rsidR="00AF62DB" w:rsidRPr="006E1978">
        <w:rPr>
          <w:rFonts w:cs="Times New Roman"/>
          <w:sz w:val="24"/>
          <w:szCs w:val="24"/>
        </w:rPr>
        <w:t xml:space="preserve">he optimal </w:t>
      </w:r>
      <w:r w:rsidR="00720645" w:rsidRPr="006E1978">
        <w:rPr>
          <w:rFonts w:cs="Times New Roman"/>
          <w:sz w:val="24"/>
          <w:szCs w:val="24"/>
        </w:rPr>
        <w:t xml:space="preserve">screening </w:t>
      </w:r>
      <w:r w:rsidR="00AF62DB" w:rsidRPr="006E1978">
        <w:rPr>
          <w:rFonts w:cs="Times New Roman"/>
          <w:sz w:val="24"/>
          <w:szCs w:val="24"/>
        </w:rPr>
        <w:t xml:space="preserve">cutoff score of </w:t>
      </w:r>
      <w:r w:rsidR="00063E90" w:rsidRPr="006E1978">
        <w:rPr>
          <w:rFonts w:cs="Times New Roman"/>
          <w:sz w:val="24"/>
          <w:szCs w:val="24"/>
        </w:rPr>
        <w:t xml:space="preserve">≥ 20 </w:t>
      </w:r>
      <w:r w:rsidR="00C017D3" w:rsidRPr="006E1978">
        <w:rPr>
          <w:rFonts w:cs="Times New Roman"/>
          <w:sz w:val="24"/>
          <w:szCs w:val="24"/>
        </w:rPr>
        <w:t xml:space="preserve">and </w:t>
      </w:r>
      <w:r w:rsidR="003403E8" w:rsidRPr="006E1978">
        <w:rPr>
          <w:rFonts w:cs="Times New Roman"/>
          <w:sz w:val="24"/>
          <w:szCs w:val="24"/>
        </w:rPr>
        <w:t>identif</w:t>
      </w:r>
      <w:r w:rsidR="00C017D3" w:rsidRPr="006E1978">
        <w:rPr>
          <w:rFonts w:cs="Times New Roman"/>
          <w:sz w:val="24"/>
          <w:szCs w:val="24"/>
        </w:rPr>
        <w:t>ied 191 (15.5%</w:t>
      </w:r>
      <w:r w:rsidR="00C017D3" w:rsidRPr="006E1978">
        <w:rPr>
          <w:rStyle w:val="FootnoteReference"/>
          <w:rFonts w:cs="Times New Roman"/>
          <w:sz w:val="24"/>
          <w:szCs w:val="24"/>
        </w:rPr>
        <w:footnoteReference w:id="1"/>
      </w:r>
      <w:r w:rsidR="00242091" w:rsidRPr="006E1978">
        <w:rPr>
          <w:rFonts w:cs="Times New Roman"/>
          <w:sz w:val="24"/>
          <w:szCs w:val="24"/>
        </w:rPr>
        <w:t xml:space="preserve"> among the past-year gamers</w:t>
      </w:r>
      <w:r w:rsidR="00C017D3" w:rsidRPr="006E1978">
        <w:rPr>
          <w:rFonts w:cs="Times New Roman"/>
          <w:sz w:val="24"/>
          <w:szCs w:val="24"/>
        </w:rPr>
        <w:t>)</w:t>
      </w:r>
      <w:r w:rsidR="003403E8" w:rsidRPr="006E1978">
        <w:rPr>
          <w:rFonts w:cs="Times New Roman"/>
          <w:sz w:val="24"/>
          <w:szCs w:val="24"/>
        </w:rPr>
        <w:t xml:space="preserve"> </w:t>
      </w:r>
      <w:r w:rsidR="00124152" w:rsidRPr="006E1978">
        <w:rPr>
          <w:rFonts w:cs="Times New Roman"/>
          <w:sz w:val="24"/>
          <w:szCs w:val="24"/>
        </w:rPr>
        <w:t xml:space="preserve">probable </w:t>
      </w:r>
      <w:r w:rsidR="003403E8" w:rsidRPr="006E1978">
        <w:rPr>
          <w:rFonts w:cs="Times New Roman"/>
          <w:sz w:val="24"/>
          <w:szCs w:val="24"/>
        </w:rPr>
        <w:t xml:space="preserve">IGD </w:t>
      </w:r>
      <w:r w:rsidR="00124152" w:rsidRPr="006E1978">
        <w:rPr>
          <w:rFonts w:cs="Times New Roman"/>
          <w:sz w:val="24"/>
          <w:szCs w:val="24"/>
        </w:rPr>
        <w:t xml:space="preserve">gamers </w:t>
      </w:r>
      <w:r w:rsidR="003403E8" w:rsidRPr="006E1978">
        <w:rPr>
          <w:rFonts w:cs="Times New Roman"/>
          <w:sz w:val="24"/>
          <w:szCs w:val="24"/>
        </w:rPr>
        <w:t xml:space="preserve">(1 = </w:t>
      </w:r>
      <w:r w:rsidR="00720645" w:rsidRPr="006E1978">
        <w:rPr>
          <w:rFonts w:cs="Times New Roman"/>
          <w:i/>
          <w:sz w:val="24"/>
          <w:szCs w:val="24"/>
        </w:rPr>
        <w:t>probable IGD</w:t>
      </w:r>
      <w:r w:rsidR="003403E8" w:rsidRPr="006E1978">
        <w:rPr>
          <w:rFonts w:cs="Times New Roman"/>
          <w:sz w:val="24"/>
          <w:szCs w:val="24"/>
        </w:rPr>
        <w:t xml:space="preserve">, 0 = </w:t>
      </w:r>
      <w:r w:rsidR="00720645" w:rsidRPr="006E1978">
        <w:rPr>
          <w:rFonts w:cs="Times New Roman"/>
          <w:i/>
          <w:sz w:val="24"/>
          <w:szCs w:val="24"/>
        </w:rPr>
        <w:t>non-IGD</w:t>
      </w:r>
      <w:r w:rsidR="003403E8" w:rsidRPr="006E1978">
        <w:rPr>
          <w:rFonts w:cs="Times New Roman"/>
          <w:sz w:val="24"/>
          <w:szCs w:val="24"/>
        </w:rPr>
        <w:t>)</w:t>
      </w:r>
      <w:r w:rsidR="00C017D3" w:rsidRPr="006E1978">
        <w:rPr>
          <w:rFonts w:cs="Times New Roman"/>
          <w:sz w:val="24"/>
          <w:szCs w:val="24"/>
        </w:rPr>
        <w:t xml:space="preserve"> </w:t>
      </w:r>
      <w:r w:rsidR="00720645" w:rsidRPr="006E1978">
        <w:rPr>
          <w:rFonts w:cs="Times New Roman"/>
          <w:sz w:val="24"/>
          <w:szCs w:val="24"/>
        </w:rPr>
        <w:t>based on their C-IGDC sum score.</w:t>
      </w:r>
    </w:p>
    <w:p w14:paraId="17C92EB9" w14:textId="2042512B" w:rsidR="00B828D8" w:rsidRPr="006E1978" w:rsidRDefault="00B828D8" w:rsidP="00792616">
      <w:pPr>
        <w:snapToGrid w:val="0"/>
        <w:spacing w:line="480" w:lineRule="auto"/>
        <w:jc w:val="left"/>
        <w:rPr>
          <w:rFonts w:cs="Times New Roman"/>
          <w:i/>
          <w:iCs/>
          <w:sz w:val="24"/>
          <w:szCs w:val="24"/>
        </w:rPr>
      </w:pPr>
      <w:r w:rsidRPr="006E1978">
        <w:rPr>
          <w:rFonts w:cs="Times New Roman"/>
          <w:i/>
          <w:iCs/>
          <w:sz w:val="24"/>
          <w:szCs w:val="24"/>
        </w:rPr>
        <w:t xml:space="preserve">2.2.4 </w:t>
      </w:r>
      <w:r w:rsidR="00414418" w:rsidRPr="006E1978">
        <w:rPr>
          <w:rFonts w:cs="Times New Roman"/>
          <w:i/>
          <w:iCs/>
          <w:sz w:val="24"/>
          <w:szCs w:val="24"/>
          <w:lang w:eastAsia="zh-TW"/>
        </w:rPr>
        <w:t>S</w:t>
      </w:r>
      <w:r w:rsidR="0050432A" w:rsidRPr="006E1978">
        <w:rPr>
          <w:rFonts w:cs="Times New Roman"/>
          <w:i/>
          <w:iCs/>
          <w:sz w:val="24"/>
          <w:szCs w:val="24"/>
        </w:rPr>
        <w:t>tress</w:t>
      </w:r>
      <w:r w:rsidR="00414418" w:rsidRPr="006E1978">
        <w:rPr>
          <w:rFonts w:cs="Times New Roman"/>
          <w:i/>
          <w:iCs/>
          <w:sz w:val="24"/>
          <w:szCs w:val="24"/>
        </w:rPr>
        <w:t xml:space="preserve"> </w:t>
      </w:r>
    </w:p>
    <w:p w14:paraId="077F649D" w14:textId="46070B14" w:rsidR="00B828D8" w:rsidRPr="006E1978" w:rsidRDefault="0050432A" w:rsidP="00792616">
      <w:pPr>
        <w:snapToGrid w:val="0"/>
        <w:spacing w:line="480" w:lineRule="auto"/>
        <w:ind w:firstLineChars="200" w:firstLine="480"/>
        <w:jc w:val="left"/>
        <w:rPr>
          <w:rFonts w:cs="Times New Roman"/>
          <w:sz w:val="24"/>
          <w:szCs w:val="24"/>
        </w:rPr>
      </w:pPr>
      <w:r w:rsidRPr="006E1978">
        <w:rPr>
          <w:rFonts w:cs="Times New Roman"/>
          <w:sz w:val="24"/>
          <w:szCs w:val="24"/>
        </w:rPr>
        <w:t>The</w:t>
      </w:r>
      <w:r w:rsidR="00414418" w:rsidRPr="006E1978">
        <w:rPr>
          <w:rFonts w:cs="Times New Roman"/>
          <w:sz w:val="24"/>
          <w:szCs w:val="24"/>
        </w:rPr>
        <w:t xml:space="preserve"> 7</w:t>
      </w:r>
      <w:r w:rsidR="004C24B8" w:rsidRPr="006E1978">
        <w:rPr>
          <w:rFonts w:cs="Times New Roman"/>
          <w:sz w:val="24"/>
          <w:szCs w:val="24"/>
        </w:rPr>
        <w:t>-</w:t>
      </w:r>
      <w:r w:rsidR="00414418" w:rsidRPr="006E1978">
        <w:rPr>
          <w:rFonts w:cs="Times New Roman"/>
          <w:sz w:val="24"/>
          <w:szCs w:val="24"/>
        </w:rPr>
        <w:t xml:space="preserve">item </w:t>
      </w:r>
      <w:r w:rsidR="00D32559" w:rsidRPr="006E1978">
        <w:rPr>
          <w:rFonts w:cs="Times New Roman"/>
          <w:sz w:val="24"/>
          <w:szCs w:val="24"/>
        </w:rPr>
        <w:t xml:space="preserve">stress </w:t>
      </w:r>
      <w:r w:rsidR="00414418" w:rsidRPr="006E1978">
        <w:rPr>
          <w:rFonts w:cs="Times New Roman"/>
          <w:sz w:val="24"/>
          <w:szCs w:val="24"/>
        </w:rPr>
        <w:t>subscale from</w:t>
      </w:r>
      <w:r w:rsidRPr="006E1978">
        <w:rPr>
          <w:rFonts w:cs="Times New Roman"/>
          <w:sz w:val="24"/>
          <w:szCs w:val="24"/>
        </w:rPr>
        <w:t xml:space="preserve"> </w:t>
      </w:r>
      <w:r w:rsidR="00D41962" w:rsidRPr="006E1978">
        <w:rPr>
          <w:rFonts w:cs="Times New Roman"/>
          <w:sz w:val="24"/>
          <w:szCs w:val="24"/>
        </w:rPr>
        <w:t xml:space="preserve">the </w:t>
      </w:r>
      <w:r w:rsidRPr="006E1978">
        <w:rPr>
          <w:rFonts w:cs="Times New Roman"/>
          <w:sz w:val="24"/>
          <w:szCs w:val="24"/>
        </w:rPr>
        <w:t xml:space="preserve">Chinese version of </w:t>
      </w:r>
      <w:r w:rsidR="00D41962" w:rsidRPr="006E1978">
        <w:rPr>
          <w:rFonts w:cs="Times New Roman"/>
          <w:sz w:val="24"/>
          <w:szCs w:val="24"/>
        </w:rPr>
        <w:t xml:space="preserve">the </w:t>
      </w:r>
      <w:r w:rsidRPr="006E1978">
        <w:rPr>
          <w:rFonts w:cs="Times New Roman"/>
          <w:sz w:val="24"/>
          <w:szCs w:val="24"/>
        </w:rPr>
        <w:t>Depression Anxiety Stress Scale (DASS-21; Wang et al., 2016) was used</w:t>
      </w:r>
      <w:r w:rsidR="008A1BD4" w:rsidRPr="006E1978">
        <w:rPr>
          <w:rFonts w:cs="Times New Roman"/>
          <w:sz w:val="24"/>
          <w:szCs w:val="24"/>
        </w:rPr>
        <w:t xml:space="preserve"> (</w:t>
      </w:r>
      <w:r w:rsidR="008A1BD4" w:rsidRPr="006E1978">
        <w:rPr>
          <w:rFonts w:cs="Times New Roman"/>
          <w:i/>
          <w:iCs/>
          <w:sz w:val="24"/>
          <w:szCs w:val="24"/>
        </w:rPr>
        <w:t>α</w:t>
      </w:r>
      <w:r w:rsidR="008A1BD4" w:rsidRPr="006E1978">
        <w:rPr>
          <w:rFonts w:cs="Times New Roman"/>
          <w:sz w:val="24"/>
          <w:szCs w:val="24"/>
        </w:rPr>
        <w:t xml:space="preserve"> = .90 </w:t>
      </w:r>
      <w:r w:rsidR="008A1BD4" w:rsidRPr="006E1978">
        <w:rPr>
          <w:rFonts w:cs="Times New Roman" w:hint="eastAsia"/>
          <w:sz w:val="24"/>
          <w:szCs w:val="24"/>
        </w:rPr>
        <w:t>in</w:t>
      </w:r>
      <w:r w:rsidR="008A1BD4" w:rsidRPr="006E1978">
        <w:rPr>
          <w:rFonts w:cs="Times New Roman"/>
          <w:sz w:val="24"/>
          <w:szCs w:val="24"/>
        </w:rPr>
        <w:t xml:space="preserve"> present study</w:t>
      </w:r>
      <w:r w:rsidR="008A1BD4" w:rsidRPr="006E1978">
        <w:rPr>
          <w:rFonts w:cs="Times New Roman" w:hint="eastAsia"/>
          <w:sz w:val="24"/>
          <w:szCs w:val="24"/>
        </w:rPr>
        <w:t>)</w:t>
      </w:r>
      <w:r w:rsidRPr="006E1978">
        <w:rPr>
          <w:rFonts w:cs="Times New Roman"/>
          <w:sz w:val="24"/>
          <w:szCs w:val="24"/>
        </w:rPr>
        <w:t xml:space="preserve">. </w:t>
      </w:r>
      <w:r w:rsidR="00617BDD" w:rsidRPr="006E1978">
        <w:rPr>
          <w:rFonts w:cs="Times New Roman"/>
          <w:sz w:val="24"/>
          <w:szCs w:val="24"/>
        </w:rPr>
        <w:t xml:space="preserve">Participants </w:t>
      </w:r>
      <w:r w:rsidR="00414418" w:rsidRPr="006E1978">
        <w:rPr>
          <w:rFonts w:cs="Times New Roman"/>
          <w:sz w:val="24"/>
          <w:szCs w:val="24"/>
        </w:rPr>
        <w:t xml:space="preserve">rated how often they experienced </w:t>
      </w:r>
      <w:r w:rsidR="00D32559" w:rsidRPr="006E1978">
        <w:rPr>
          <w:rFonts w:cs="Times New Roman"/>
          <w:sz w:val="24"/>
          <w:szCs w:val="24"/>
        </w:rPr>
        <w:t>stress</w:t>
      </w:r>
      <w:r w:rsidR="00414418" w:rsidRPr="006E1978">
        <w:rPr>
          <w:rFonts w:cs="Times New Roman"/>
          <w:sz w:val="24"/>
          <w:szCs w:val="24"/>
        </w:rPr>
        <w:t xml:space="preserve"> (e.g., “I found it hard to wind down”) during the last week on a 4-point </w:t>
      </w:r>
      <w:r w:rsidR="00BF18B7" w:rsidRPr="006E1978">
        <w:rPr>
          <w:rFonts w:cs="Times New Roman"/>
          <w:sz w:val="24"/>
          <w:szCs w:val="24"/>
        </w:rPr>
        <w:t>response scale</w:t>
      </w:r>
      <w:r w:rsidRPr="006E1978">
        <w:rPr>
          <w:rFonts w:cs="Times New Roman"/>
          <w:sz w:val="24"/>
          <w:szCs w:val="24"/>
        </w:rPr>
        <w:t xml:space="preserve"> (from 0 = </w:t>
      </w:r>
      <w:r w:rsidRPr="006E1978">
        <w:rPr>
          <w:rFonts w:cs="Times New Roman"/>
          <w:i/>
          <w:iCs/>
          <w:sz w:val="24"/>
          <w:szCs w:val="24"/>
        </w:rPr>
        <w:t>Did not apply to me at all</w:t>
      </w:r>
      <w:r w:rsidRPr="006E1978">
        <w:rPr>
          <w:rFonts w:cs="Times New Roman"/>
          <w:sz w:val="24"/>
          <w:szCs w:val="24"/>
        </w:rPr>
        <w:t xml:space="preserve"> to 3 = </w:t>
      </w:r>
      <w:r w:rsidRPr="006E1978">
        <w:rPr>
          <w:rFonts w:cs="Times New Roman"/>
          <w:i/>
          <w:iCs/>
          <w:sz w:val="24"/>
          <w:szCs w:val="24"/>
        </w:rPr>
        <w:t>Applied to me very much, or most of the time</w:t>
      </w:r>
      <w:r w:rsidRPr="006E1978">
        <w:rPr>
          <w:rFonts w:cs="Times New Roman"/>
          <w:sz w:val="24"/>
          <w:szCs w:val="24"/>
        </w:rPr>
        <w:t xml:space="preserve">). </w:t>
      </w:r>
      <w:r w:rsidR="00D32559" w:rsidRPr="006E1978">
        <w:rPr>
          <w:rFonts w:cs="Times New Roman"/>
          <w:sz w:val="24"/>
          <w:szCs w:val="24"/>
        </w:rPr>
        <w:t>A h</w:t>
      </w:r>
      <w:r w:rsidRPr="006E1978">
        <w:rPr>
          <w:rFonts w:cs="Times New Roman"/>
          <w:sz w:val="24"/>
          <w:szCs w:val="24"/>
        </w:rPr>
        <w:t xml:space="preserve">igher </w:t>
      </w:r>
      <w:r w:rsidR="00D32559" w:rsidRPr="006E1978">
        <w:rPr>
          <w:rFonts w:cs="Times New Roman"/>
          <w:sz w:val="24"/>
          <w:szCs w:val="24"/>
        </w:rPr>
        <w:t>sum</w:t>
      </w:r>
      <w:r w:rsidR="0042779F" w:rsidRPr="006E1978">
        <w:rPr>
          <w:rFonts w:cs="Times New Roman"/>
          <w:sz w:val="24"/>
          <w:szCs w:val="24"/>
        </w:rPr>
        <w:t>mated</w:t>
      </w:r>
      <w:r w:rsidR="00D32559" w:rsidRPr="006E1978">
        <w:rPr>
          <w:rFonts w:cs="Times New Roman"/>
          <w:sz w:val="24"/>
          <w:szCs w:val="24"/>
        </w:rPr>
        <w:t xml:space="preserve"> </w:t>
      </w:r>
      <w:r w:rsidRPr="006E1978">
        <w:rPr>
          <w:rFonts w:cs="Times New Roman"/>
          <w:sz w:val="24"/>
          <w:szCs w:val="24"/>
        </w:rPr>
        <w:t>score indicat</w:t>
      </w:r>
      <w:r w:rsidR="00AF607C" w:rsidRPr="006E1978">
        <w:rPr>
          <w:rFonts w:cs="Times New Roman"/>
          <w:sz w:val="24"/>
          <w:szCs w:val="24"/>
        </w:rPr>
        <w:t>es</w:t>
      </w:r>
      <w:r w:rsidRPr="006E1978">
        <w:rPr>
          <w:rFonts w:cs="Times New Roman"/>
          <w:sz w:val="24"/>
          <w:szCs w:val="24"/>
        </w:rPr>
        <w:t xml:space="preserve"> a higher level of stress.</w:t>
      </w:r>
      <w:r w:rsidR="002F022A" w:rsidRPr="006E1978">
        <w:rPr>
          <w:rFonts w:cs="Times New Roman"/>
          <w:sz w:val="24"/>
          <w:szCs w:val="24"/>
        </w:rPr>
        <w:t xml:space="preserve"> </w:t>
      </w:r>
    </w:p>
    <w:p w14:paraId="15292675" w14:textId="77777777" w:rsidR="00B828D8" w:rsidRPr="006E1978" w:rsidRDefault="00B828D8" w:rsidP="00792616">
      <w:pPr>
        <w:snapToGrid w:val="0"/>
        <w:spacing w:line="480" w:lineRule="auto"/>
        <w:jc w:val="left"/>
        <w:rPr>
          <w:rFonts w:cs="Times New Roman"/>
          <w:i/>
          <w:iCs/>
          <w:sz w:val="24"/>
          <w:szCs w:val="24"/>
        </w:rPr>
      </w:pPr>
      <w:r w:rsidRPr="006E1978">
        <w:rPr>
          <w:rFonts w:cs="Times New Roman"/>
          <w:i/>
          <w:iCs/>
          <w:sz w:val="24"/>
          <w:szCs w:val="24"/>
        </w:rPr>
        <w:t>2.2.5 Demographic Information</w:t>
      </w:r>
    </w:p>
    <w:p w14:paraId="62DED359" w14:textId="1BE3340D" w:rsidR="00B828D8" w:rsidRPr="006E1978" w:rsidRDefault="00D3629B" w:rsidP="00792616">
      <w:pPr>
        <w:snapToGrid w:val="0"/>
        <w:spacing w:line="480" w:lineRule="auto"/>
        <w:ind w:firstLineChars="200" w:firstLine="480"/>
        <w:jc w:val="left"/>
        <w:rPr>
          <w:rFonts w:cs="Times New Roman"/>
          <w:sz w:val="24"/>
          <w:szCs w:val="24"/>
        </w:rPr>
      </w:pPr>
      <w:r w:rsidRPr="006E1978">
        <w:rPr>
          <w:rFonts w:cs="Times New Roman"/>
          <w:sz w:val="24"/>
          <w:szCs w:val="24"/>
        </w:rPr>
        <w:t>Sex</w:t>
      </w:r>
      <w:r w:rsidR="00B828D8" w:rsidRPr="006E1978">
        <w:rPr>
          <w:rFonts w:cs="Times New Roman"/>
          <w:sz w:val="24"/>
          <w:szCs w:val="24"/>
        </w:rPr>
        <w:t xml:space="preserve"> and age were included in the questionnaire.</w:t>
      </w:r>
    </w:p>
    <w:p w14:paraId="38C162BA" w14:textId="310245E1" w:rsidR="00B828D8" w:rsidRPr="006E1978" w:rsidRDefault="00335C5A" w:rsidP="00792616">
      <w:pPr>
        <w:snapToGrid w:val="0"/>
        <w:spacing w:line="480" w:lineRule="auto"/>
        <w:jc w:val="left"/>
        <w:rPr>
          <w:rFonts w:cs="Times New Roman"/>
          <w:i/>
          <w:iCs/>
          <w:sz w:val="24"/>
          <w:szCs w:val="24"/>
        </w:rPr>
      </w:pPr>
      <w:r w:rsidRPr="006E1978">
        <w:rPr>
          <w:rFonts w:cs="Times New Roman"/>
          <w:i/>
          <w:iCs/>
          <w:sz w:val="24"/>
          <w:szCs w:val="24"/>
        </w:rPr>
        <w:lastRenderedPageBreak/>
        <w:t>2.3 Data analysis</w:t>
      </w:r>
      <w:r w:rsidR="00750854" w:rsidRPr="006E1978">
        <w:rPr>
          <w:rFonts w:cs="Times New Roman"/>
          <w:i/>
          <w:iCs/>
          <w:sz w:val="24"/>
          <w:szCs w:val="24"/>
        </w:rPr>
        <w:t xml:space="preserve"> </w:t>
      </w:r>
    </w:p>
    <w:p w14:paraId="56A6A824" w14:textId="34533926" w:rsidR="00206133" w:rsidRPr="006E1978" w:rsidRDefault="00022CDD" w:rsidP="00770482">
      <w:pPr>
        <w:snapToGrid w:val="0"/>
        <w:spacing w:line="480" w:lineRule="auto"/>
        <w:ind w:firstLineChars="200" w:firstLine="480"/>
        <w:jc w:val="left"/>
        <w:rPr>
          <w:rFonts w:cs="Times New Roman"/>
          <w:sz w:val="24"/>
          <w:szCs w:val="24"/>
        </w:rPr>
      </w:pPr>
      <w:r w:rsidRPr="006E1978">
        <w:rPr>
          <w:rFonts w:cs="Times New Roman"/>
          <w:sz w:val="24"/>
          <w:szCs w:val="24"/>
        </w:rPr>
        <w:t>Only past-year gamers answered IGD tendency items; other than that, n</w:t>
      </w:r>
      <w:r w:rsidR="00D24127" w:rsidRPr="006E1978">
        <w:rPr>
          <w:rFonts w:cs="Times New Roman"/>
          <w:sz w:val="24"/>
          <w:szCs w:val="24"/>
        </w:rPr>
        <w:t xml:space="preserve">o missing data </w:t>
      </w:r>
      <w:r w:rsidR="008441CD" w:rsidRPr="006E1978">
        <w:rPr>
          <w:rFonts w:cs="Times New Roman"/>
          <w:sz w:val="24"/>
          <w:szCs w:val="24"/>
        </w:rPr>
        <w:t xml:space="preserve">was </w:t>
      </w:r>
      <w:r w:rsidR="00D24127" w:rsidRPr="006E1978">
        <w:rPr>
          <w:rFonts w:cs="Times New Roman"/>
          <w:sz w:val="24"/>
          <w:szCs w:val="24"/>
        </w:rPr>
        <w:t xml:space="preserve">found in the data set of </w:t>
      </w:r>
      <w:r w:rsidR="004C24B8" w:rsidRPr="006E1978">
        <w:rPr>
          <w:rFonts w:cs="Times New Roman"/>
          <w:sz w:val="24"/>
          <w:szCs w:val="24"/>
        </w:rPr>
        <w:t xml:space="preserve">the </w:t>
      </w:r>
      <w:r w:rsidR="008441CD" w:rsidRPr="006E1978">
        <w:rPr>
          <w:rFonts w:cs="Times New Roman"/>
          <w:sz w:val="24"/>
          <w:szCs w:val="24"/>
        </w:rPr>
        <w:t>current</w:t>
      </w:r>
      <w:r w:rsidR="00D24127" w:rsidRPr="006E1978">
        <w:rPr>
          <w:rFonts w:cs="Times New Roman"/>
          <w:sz w:val="24"/>
          <w:szCs w:val="24"/>
        </w:rPr>
        <w:t xml:space="preserve"> study. </w:t>
      </w:r>
      <w:r w:rsidR="00E62EA1" w:rsidRPr="006E1978">
        <w:rPr>
          <w:rFonts w:cs="Times New Roman"/>
          <w:sz w:val="24"/>
          <w:szCs w:val="24"/>
        </w:rPr>
        <w:t xml:space="preserve">In the first stage of data analysis, we intended to establish </w:t>
      </w:r>
      <w:r w:rsidR="00474F6C" w:rsidRPr="006E1978">
        <w:rPr>
          <w:rFonts w:cs="Times New Roman"/>
          <w:sz w:val="24"/>
          <w:szCs w:val="24"/>
        </w:rPr>
        <w:t xml:space="preserve">two samples for </w:t>
      </w:r>
      <w:r w:rsidR="00E62EA1" w:rsidRPr="006E1978">
        <w:rPr>
          <w:rFonts w:cs="Times New Roman"/>
          <w:sz w:val="24"/>
          <w:szCs w:val="24"/>
        </w:rPr>
        <w:t xml:space="preserve">structure validity </w:t>
      </w:r>
      <w:r w:rsidR="00474F6C" w:rsidRPr="006E1978">
        <w:rPr>
          <w:rFonts w:cs="Times New Roman"/>
          <w:sz w:val="24"/>
          <w:szCs w:val="24"/>
        </w:rPr>
        <w:t>testing</w:t>
      </w:r>
      <w:r w:rsidR="00E62EA1" w:rsidRPr="006E1978">
        <w:rPr>
          <w:rFonts w:cs="Times New Roman"/>
          <w:sz w:val="24"/>
          <w:szCs w:val="24"/>
        </w:rPr>
        <w:t xml:space="preserve"> with the split-half method, in which the overall sample was randomly divided into Subsample A (</w:t>
      </w:r>
      <w:r w:rsidR="00E62EA1" w:rsidRPr="006E1978">
        <w:rPr>
          <w:rFonts w:cs="Times New Roman"/>
          <w:i/>
          <w:iCs/>
          <w:sz w:val="24"/>
          <w:szCs w:val="24"/>
        </w:rPr>
        <w:t>n</w:t>
      </w:r>
      <w:r w:rsidR="00E62EA1" w:rsidRPr="006E1978">
        <w:rPr>
          <w:rFonts w:cs="Times New Roman"/>
          <w:sz w:val="24"/>
          <w:szCs w:val="24"/>
        </w:rPr>
        <w:t xml:space="preserve"> = 670) for </w:t>
      </w:r>
      <w:r w:rsidR="00354F53" w:rsidRPr="006E1978">
        <w:rPr>
          <w:rFonts w:cs="Times New Roman"/>
          <w:sz w:val="24"/>
          <w:szCs w:val="24"/>
        </w:rPr>
        <w:t xml:space="preserve">the </w:t>
      </w:r>
      <w:r w:rsidR="00E62EA1" w:rsidRPr="006E1978">
        <w:rPr>
          <w:rFonts w:cs="Times New Roman"/>
          <w:sz w:val="24"/>
          <w:szCs w:val="24"/>
        </w:rPr>
        <w:t>exploratory factor analysis (EFA) and Subsample B (</w:t>
      </w:r>
      <w:r w:rsidR="00E62EA1" w:rsidRPr="006E1978">
        <w:rPr>
          <w:rFonts w:cs="Times New Roman"/>
          <w:i/>
          <w:iCs/>
          <w:sz w:val="24"/>
          <w:szCs w:val="24"/>
        </w:rPr>
        <w:t>n</w:t>
      </w:r>
      <w:r w:rsidR="00E62EA1" w:rsidRPr="006E1978">
        <w:rPr>
          <w:rFonts w:cs="Times New Roman"/>
          <w:sz w:val="24"/>
          <w:szCs w:val="24"/>
        </w:rPr>
        <w:t xml:space="preserve"> = 670) for CFA. </w:t>
      </w:r>
      <w:r w:rsidR="00831C71" w:rsidRPr="006E1978">
        <w:rPr>
          <w:rFonts w:cs="Times New Roman"/>
          <w:sz w:val="24"/>
          <w:szCs w:val="24"/>
        </w:rPr>
        <w:t xml:space="preserve">In Subsample A, </w:t>
      </w:r>
      <w:r w:rsidR="00104031" w:rsidRPr="006E1978">
        <w:rPr>
          <w:rFonts w:cs="Times New Roman"/>
          <w:sz w:val="24"/>
          <w:szCs w:val="24"/>
        </w:rPr>
        <w:t>the appropriateness of EFA for our data was first assessed by Kaiser-Meyer-Olkin (KMO) Measure of Sampling Adequacy</w:t>
      </w:r>
      <w:r w:rsidR="002F0C77" w:rsidRPr="006E1978">
        <w:rPr>
          <w:rFonts w:cs="Times New Roman"/>
          <w:sz w:val="24"/>
          <w:szCs w:val="24"/>
        </w:rPr>
        <w:t xml:space="preserve"> </w:t>
      </w:r>
      <w:r w:rsidR="008D2C7C" w:rsidRPr="006E1978">
        <w:rPr>
          <w:rFonts w:cs="Times New Roman"/>
          <w:sz w:val="24"/>
          <w:szCs w:val="24"/>
        </w:rPr>
        <w:fldChar w:fldCharType="begin"/>
      </w:r>
      <w:r w:rsidR="00FB7A3C" w:rsidRPr="006E1978">
        <w:rPr>
          <w:rFonts w:cs="Times New Roman"/>
          <w:sz w:val="24"/>
          <w:szCs w:val="24"/>
        </w:rPr>
        <w:instrText xml:space="preserve"> ADDIN ZOTERO_ITEM CSL_CITATION {"citationID":"COb2SDzB","properties":{"formattedCitation":"(KMO &gt; .80 as meritorious; Kaiser &amp; Rice, 1974)","plainCitation":"(KMO &gt; .80 as meritorious; Kaiser &amp; Rice, 1974)","noteIndex":0},"citationItems":[{"id":5522,"uris":["http://zotero.org/users/2764444/items/ZWY9DW4X"],"uri":["http://zotero.org/users/2764444/items/ZWY9DW4X"],"itemData":{"id":5522,"type":"article-journal","container-title":"Educational and Psychological Measurement","DOI":"10.1177/001316447403400115","ISSN":"0013-1644, 1552-3888","issue":"1","journalAbbreviation":"Educational and Psychological Measurement","language":"en","page":"111-117","source":"DOI.org (Crossref)","title":"Little Jiffy, Mark Iv","volume":"34","author":[{"family":"Kaiser","given":"Henry F."},{"family":"Rice","given":"John"}],"issued":{"date-parts":[["1974",4]]}},"prefix":"KMO &gt; .80 as meritorious;"}],"schema":"https://github.com/citation-style-language/schema/raw/master/csl-citation.json"} </w:instrText>
      </w:r>
      <w:r w:rsidR="008D2C7C" w:rsidRPr="006E1978">
        <w:rPr>
          <w:rFonts w:cs="Times New Roman"/>
          <w:sz w:val="24"/>
          <w:szCs w:val="24"/>
        </w:rPr>
        <w:fldChar w:fldCharType="separate"/>
      </w:r>
      <w:r w:rsidR="00FB7A3C" w:rsidRPr="006E1978">
        <w:rPr>
          <w:rFonts w:cs="Times New Roman"/>
          <w:sz w:val="24"/>
          <w:lang w:val="en-GB"/>
        </w:rPr>
        <w:t>(KMO &gt; .80 as meritorious; Kaiser &amp; Rice, 1974)</w:t>
      </w:r>
      <w:r w:rsidR="008D2C7C" w:rsidRPr="006E1978">
        <w:rPr>
          <w:rFonts w:cs="Times New Roman"/>
          <w:sz w:val="24"/>
          <w:szCs w:val="24"/>
        </w:rPr>
        <w:fldChar w:fldCharType="end"/>
      </w:r>
      <w:r w:rsidR="005C36EC" w:rsidRPr="006E1978">
        <w:rPr>
          <w:rFonts w:cs="Times New Roman"/>
          <w:sz w:val="24"/>
          <w:szCs w:val="24"/>
        </w:rPr>
        <w:t xml:space="preserve"> </w:t>
      </w:r>
      <w:r w:rsidR="00104031" w:rsidRPr="006E1978">
        <w:rPr>
          <w:rFonts w:cs="Times New Roman"/>
          <w:sz w:val="24"/>
          <w:szCs w:val="24"/>
        </w:rPr>
        <w:t xml:space="preserve">and Bartlett's test of sphericity </w:t>
      </w:r>
      <w:r w:rsidR="00FB7A3C" w:rsidRPr="006E1978">
        <w:rPr>
          <w:rFonts w:cs="Times New Roman"/>
          <w:sz w:val="24"/>
          <w:szCs w:val="24"/>
        </w:rPr>
        <w:fldChar w:fldCharType="begin"/>
      </w:r>
      <w:r w:rsidR="00FB7A3C" w:rsidRPr="006E1978">
        <w:rPr>
          <w:rFonts w:cs="Times New Roman"/>
          <w:sz w:val="24"/>
          <w:szCs w:val="24"/>
        </w:rPr>
        <w:instrText xml:space="preserve"> ADDIN ZOTERO_ITEM CSL_CITATION {"citationID":"cUDsDU38","properties":{"formattedCitation":"(p &lt; .05; Bartlett, 1950)","plainCitation":"(p &lt; .05; Bartlett, 1950)","noteIndex":0},"citationItems":[{"id":5524,"uris":["http://zotero.org/users/2764444/items/5PHMMIPP"],"uri":["http://zotero.org/users/2764444/items/5PHMMIPP"],"itemData":{"id":5524,"type":"article-journal","container-title":"British Journal of Statistical Psychology","DOI":"10.1111/j.2044-8317.1950.tb00285.x","ISSN":"0950561X","issue":"2","language":"en","page":"77-85","source":"DOI.org (Crossref)","title":"Tests of significance in factor analysis","volume":"3","author":[{"family":"Bartlett","given":"M. S."}],"issued":{"date-parts":[["1950",6]]}},"prefix":"p &lt; .05;"}],"schema":"https://github.com/citation-style-language/schema/raw/master/csl-citation.json"} </w:instrText>
      </w:r>
      <w:r w:rsidR="00FB7A3C" w:rsidRPr="006E1978">
        <w:rPr>
          <w:rFonts w:cs="Times New Roman"/>
          <w:sz w:val="24"/>
          <w:szCs w:val="24"/>
        </w:rPr>
        <w:fldChar w:fldCharType="separate"/>
      </w:r>
      <w:r w:rsidR="00FB7A3C" w:rsidRPr="006E1978">
        <w:rPr>
          <w:rFonts w:cs="Times New Roman"/>
          <w:noProof/>
          <w:sz w:val="24"/>
          <w:szCs w:val="24"/>
        </w:rPr>
        <w:t>(</w:t>
      </w:r>
      <w:r w:rsidR="00FB7A3C" w:rsidRPr="006E1978">
        <w:rPr>
          <w:rFonts w:cs="Times New Roman"/>
          <w:i/>
          <w:iCs/>
          <w:noProof/>
          <w:sz w:val="24"/>
          <w:szCs w:val="24"/>
        </w:rPr>
        <w:t>p</w:t>
      </w:r>
      <w:r w:rsidR="00FB7A3C" w:rsidRPr="006E1978">
        <w:rPr>
          <w:rFonts w:cs="Times New Roman"/>
          <w:noProof/>
          <w:sz w:val="24"/>
          <w:szCs w:val="24"/>
        </w:rPr>
        <w:t xml:space="preserve"> &lt; .05; Bartlett, 1950)</w:t>
      </w:r>
      <w:r w:rsidR="00FB7A3C" w:rsidRPr="006E1978">
        <w:rPr>
          <w:rFonts w:cs="Times New Roman"/>
          <w:sz w:val="24"/>
          <w:szCs w:val="24"/>
        </w:rPr>
        <w:fldChar w:fldCharType="end"/>
      </w:r>
      <w:r w:rsidR="00104031" w:rsidRPr="006E1978">
        <w:rPr>
          <w:rFonts w:cs="Times New Roman"/>
          <w:sz w:val="24"/>
          <w:szCs w:val="24"/>
        </w:rPr>
        <w:t xml:space="preserve">. </w:t>
      </w:r>
      <w:r w:rsidR="002F0C77" w:rsidRPr="006E1978">
        <w:rPr>
          <w:rFonts w:cs="Times New Roman"/>
          <w:sz w:val="24"/>
          <w:szCs w:val="24"/>
        </w:rPr>
        <w:t xml:space="preserve">Subsequently, </w:t>
      </w:r>
      <w:r w:rsidR="00831C71" w:rsidRPr="006E1978">
        <w:rPr>
          <w:rFonts w:cs="Times New Roman"/>
          <w:sz w:val="24"/>
          <w:szCs w:val="24"/>
        </w:rPr>
        <w:t xml:space="preserve">we used the </w:t>
      </w:r>
      <w:r w:rsidR="008F3EE7" w:rsidRPr="006E1978">
        <w:rPr>
          <w:rFonts w:cs="Times New Roman"/>
          <w:sz w:val="24"/>
          <w:szCs w:val="24"/>
        </w:rPr>
        <w:t xml:space="preserve">parallel analysis </w:t>
      </w:r>
      <w:r w:rsidR="00831C71" w:rsidRPr="006E1978">
        <w:rPr>
          <w:rFonts w:cs="Times New Roman"/>
          <w:sz w:val="24"/>
          <w:szCs w:val="24"/>
        </w:rPr>
        <w:fldChar w:fldCharType="begin"/>
      </w:r>
      <w:r w:rsidR="00831C71" w:rsidRPr="006E1978">
        <w:rPr>
          <w:rFonts w:cs="Times New Roman"/>
          <w:sz w:val="24"/>
          <w:szCs w:val="24"/>
        </w:rPr>
        <w:instrText xml:space="preserve"> ADDIN ZOTERO_ITEM CSL_CITATION {"citationID":"5fhqWhuB","properties":{"formattedCitation":"(O\\uc0\\u8217{}Connor, 2000)","plainCitation":"(O’Connor, 2000)","noteIndex":0},"citationItems":[{"id":1180,"uris":["http://zotero.org/users/2764444/items/8DUPZRUH"],"uri":["http://zotero.org/users/2764444/items/8DUPZRUH"],"itemData":{"id":1180,"type":"article-journal","container-title":"Behavior Research Methods, Instruments, &amp; Computers","DOI":"10.3758/bf03200807","issue":"3","language":"en","page":"396-402","source":"Zotero","title":"SPSS and BAS programs for determining the number of components using parallel analysis and Velicer's MAP test","volume":"32","author":[{"family":"O'Connor","given":"Brian P"}],"issued":{"date-parts":[["2000"]]}}}],"schema":"https://github.com/citation-style-language/schema/raw/master/csl-citation.json"} </w:instrText>
      </w:r>
      <w:r w:rsidR="00831C71" w:rsidRPr="006E1978">
        <w:rPr>
          <w:rFonts w:cs="Times New Roman"/>
          <w:sz w:val="24"/>
          <w:szCs w:val="24"/>
        </w:rPr>
        <w:fldChar w:fldCharType="separate"/>
      </w:r>
      <w:r w:rsidR="00831C71" w:rsidRPr="006E1978">
        <w:rPr>
          <w:rFonts w:cs="Times New Roman"/>
          <w:sz w:val="24"/>
          <w:lang w:val="en-GB"/>
        </w:rPr>
        <w:t>(O’Connor, 2000)</w:t>
      </w:r>
      <w:r w:rsidR="00831C71" w:rsidRPr="006E1978">
        <w:rPr>
          <w:rFonts w:cs="Times New Roman"/>
          <w:sz w:val="24"/>
          <w:szCs w:val="24"/>
        </w:rPr>
        <w:fldChar w:fldCharType="end"/>
      </w:r>
      <w:r w:rsidR="00831C71" w:rsidRPr="006E1978">
        <w:rPr>
          <w:rFonts w:cs="Times New Roman"/>
          <w:sz w:val="24"/>
          <w:szCs w:val="24"/>
        </w:rPr>
        <w:t xml:space="preserve"> to decide the number of factors to be extracted</w:t>
      </w:r>
      <w:r w:rsidR="007A11FD" w:rsidRPr="006E1978">
        <w:rPr>
          <w:rFonts w:cs="Times New Roman"/>
          <w:sz w:val="24"/>
          <w:szCs w:val="24"/>
        </w:rPr>
        <w:t>, and t</w:t>
      </w:r>
      <w:r w:rsidR="008F3EE7" w:rsidRPr="006E1978">
        <w:rPr>
          <w:rFonts w:cs="Times New Roman"/>
          <w:sz w:val="24"/>
          <w:szCs w:val="24"/>
        </w:rPr>
        <w:t>hen</w:t>
      </w:r>
      <w:r w:rsidR="000D6EDF" w:rsidRPr="006E1978">
        <w:rPr>
          <w:rFonts w:cs="Times New Roman"/>
          <w:sz w:val="24"/>
          <w:szCs w:val="24"/>
        </w:rPr>
        <w:t xml:space="preserve"> </w:t>
      </w:r>
      <w:r w:rsidR="00831C71" w:rsidRPr="006E1978">
        <w:rPr>
          <w:rFonts w:cs="Times New Roman"/>
          <w:sz w:val="24"/>
          <w:szCs w:val="24"/>
        </w:rPr>
        <w:t xml:space="preserve">performed </w:t>
      </w:r>
      <w:r w:rsidR="000D6EDF" w:rsidRPr="006E1978">
        <w:rPr>
          <w:rFonts w:cs="Times New Roman"/>
          <w:sz w:val="24"/>
          <w:szCs w:val="24"/>
        </w:rPr>
        <w:t xml:space="preserve">EFA with </w:t>
      </w:r>
      <w:r w:rsidR="00831C71" w:rsidRPr="006E1978">
        <w:rPr>
          <w:rFonts w:cs="Times New Roman"/>
          <w:sz w:val="24"/>
          <w:szCs w:val="24"/>
        </w:rPr>
        <w:t xml:space="preserve">the </w:t>
      </w:r>
      <w:r w:rsidR="000D6EDF" w:rsidRPr="006E1978">
        <w:rPr>
          <w:rFonts w:cs="Times New Roman"/>
          <w:sz w:val="24"/>
          <w:szCs w:val="24"/>
        </w:rPr>
        <w:t xml:space="preserve">principal axis factoring method </w:t>
      </w:r>
      <w:r w:rsidR="00831C71" w:rsidRPr="006E1978">
        <w:rPr>
          <w:rFonts w:cs="Times New Roman"/>
          <w:sz w:val="24"/>
          <w:szCs w:val="24"/>
        </w:rPr>
        <w:t>for extraction and the varimax method for rotation in SPSS 2</w:t>
      </w:r>
      <w:r w:rsidR="00902EC2" w:rsidRPr="006E1978">
        <w:rPr>
          <w:rFonts w:cs="Times New Roman"/>
          <w:sz w:val="24"/>
          <w:szCs w:val="24"/>
        </w:rPr>
        <w:t>6</w:t>
      </w:r>
      <w:r w:rsidR="00831C71" w:rsidRPr="006E1978">
        <w:rPr>
          <w:rFonts w:cs="Times New Roman"/>
          <w:sz w:val="24"/>
          <w:szCs w:val="24"/>
        </w:rPr>
        <w:t xml:space="preserve">.0 </w:t>
      </w:r>
      <w:r w:rsidR="00831C71" w:rsidRPr="006E1978">
        <w:rPr>
          <w:rFonts w:cs="Times New Roman"/>
          <w:sz w:val="24"/>
          <w:szCs w:val="24"/>
        </w:rPr>
        <w:fldChar w:fldCharType="begin"/>
      </w:r>
      <w:r w:rsidR="00831C71" w:rsidRPr="006E1978">
        <w:rPr>
          <w:rFonts w:cs="Times New Roman"/>
          <w:sz w:val="24"/>
          <w:szCs w:val="24"/>
        </w:rPr>
        <w:instrText xml:space="preserve"> ADDIN ZOTERO_ITEM CSL_CITATION {"citationID":"TZUXhv4C","properties":{"formattedCitation":"(IBM Corp, 2017)","plainCitation":"(IBM Corp, 2017)","noteIndex":0},"citationItems":[{"id":1195,"uris":["http://zotero.org/users/2764444/items/Q6SZIRK3"],"uri":["http://zotero.org/users/2764444/items/Q6SZIRK3"],"itemData":{"id":1195,"type":"book","event-place":"Armonk, NY","publisher":"IBM Corp","publisher-place":"Armonk, NY","title":"IBM SPSS Statistics, Version 25.0","author":[{"family":"IBM Corp","given":""}],"issued":{"date-parts":[["2017"]]}}}],"schema":"https://github.com/citation-style-language/schema/raw/master/csl-citation.json"} </w:instrText>
      </w:r>
      <w:r w:rsidR="00831C71" w:rsidRPr="006E1978">
        <w:rPr>
          <w:rFonts w:cs="Times New Roman"/>
          <w:sz w:val="24"/>
          <w:szCs w:val="24"/>
        </w:rPr>
        <w:fldChar w:fldCharType="separate"/>
      </w:r>
      <w:r w:rsidR="00831C71" w:rsidRPr="006E1978">
        <w:rPr>
          <w:rFonts w:cs="Times New Roman"/>
          <w:noProof/>
          <w:sz w:val="24"/>
          <w:szCs w:val="24"/>
        </w:rPr>
        <w:t>(IBM Corp, 201</w:t>
      </w:r>
      <w:r w:rsidR="00A5565B" w:rsidRPr="006E1978">
        <w:rPr>
          <w:rFonts w:cs="Times New Roman"/>
          <w:noProof/>
          <w:sz w:val="24"/>
          <w:szCs w:val="24"/>
        </w:rPr>
        <w:t>9</w:t>
      </w:r>
      <w:r w:rsidR="00831C71" w:rsidRPr="006E1978">
        <w:rPr>
          <w:rFonts w:cs="Times New Roman"/>
          <w:noProof/>
          <w:sz w:val="24"/>
          <w:szCs w:val="24"/>
        </w:rPr>
        <w:t>)</w:t>
      </w:r>
      <w:r w:rsidR="00831C71" w:rsidRPr="006E1978">
        <w:rPr>
          <w:rFonts w:cs="Times New Roman"/>
          <w:sz w:val="24"/>
          <w:szCs w:val="24"/>
        </w:rPr>
        <w:fldChar w:fldCharType="end"/>
      </w:r>
      <w:r w:rsidR="007A11FD" w:rsidRPr="006E1978">
        <w:rPr>
          <w:rFonts w:cs="Times New Roman"/>
          <w:sz w:val="24"/>
          <w:szCs w:val="24"/>
        </w:rPr>
        <w:t>.</w:t>
      </w:r>
      <w:r w:rsidR="00FB0F08" w:rsidRPr="006E1978">
        <w:rPr>
          <w:rFonts w:cs="Times New Roman"/>
          <w:sz w:val="24"/>
          <w:szCs w:val="24"/>
        </w:rPr>
        <w:t xml:space="preserve"> </w:t>
      </w:r>
    </w:p>
    <w:p w14:paraId="2A724AB7" w14:textId="027C8DB3" w:rsidR="004D7F40" w:rsidRPr="006E1978" w:rsidRDefault="007A11FD" w:rsidP="00770482">
      <w:pPr>
        <w:snapToGrid w:val="0"/>
        <w:spacing w:line="480" w:lineRule="auto"/>
        <w:ind w:firstLineChars="200" w:firstLine="480"/>
        <w:jc w:val="left"/>
        <w:rPr>
          <w:rFonts w:cs="Times New Roman"/>
          <w:sz w:val="24"/>
          <w:szCs w:val="24"/>
        </w:rPr>
      </w:pPr>
      <w:r w:rsidRPr="006E1978">
        <w:rPr>
          <w:rFonts w:cs="Times New Roman"/>
          <w:sz w:val="24"/>
          <w:szCs w:val="24"/>
        </w:rPr>
        <w:t xml:space="preserve">In </w:t>
      </w:r>
      <w:r w:rsidR="00354F53" w:rsidRPr="006E1978">
        <w:rPr>
          <w:rFonts w:cs="Times New Roman"/>
          <w:sz w:val="24"/>
          <w:szCs w:val="24"/>
        </w:rPr>
        <w:t>Sub</w:t>
      </w:r>
      <w:r w:rsidRPr="006E1978">
        <w:rPr>
          <w:rFonts w:cs="Times New Roman"/>
          <w:sz w:val="24"/>
          <w:szCs w:val="24"/>
        </w:rPr>
        <w:t xml:space="preserve">sample B, </w:t>
      </w:r>
      <w:r w:rsidR="00BE3AD4" w:rsidRPr="006E1978">
        <w:rPr>
          <w:rFonts w:cs="Times New Roman"/>
          <w:sz w:val="24"/>
          <w:szCs w:val="24"/>
        </w:rPr>
        <w:t xml:space="preserve">the sampling adequacy for CFA was determined by the N : </w:t>
      </w:r>
      <w:r w:rsidR="00BE3AD4" w:rsidRPr="006E1978">
        <w:rPr>
          <w:rFonts w:cs="Times New Roman"/>
          <w:i/>
          <w:iCs/>
          <w:sz w:val="24"/>
          <w:szCs w:val="24"/>
        </w:rPr>
        <w:t>q</w:t>
      </w:r>
      <w:r w:rsidR="00BE3AD4" w:rsidRPr="006E1978">
        <w:rPr>
          <w:rFonts w:cs="Times New Roman"/>
          <w:sz w:val="24"/>
          <w:szCs w:val="24"/>
        </w:rPr>
        <w:t xml:space="preserve"> = 20:1 rule </w:t>
      </w:r>
      <w:r w:rsidR="00BE3AD4" w:rsidRPr="006E1978">
        <w:rPr>
          <w:rFonts w:cs="Times New Roman"/>
          <w:sz w:val="24"/>
          <w:szCs w:val="24"/>
        </w:rPr>
        <w:fldChar w:fldCharType="begin"/>
      </w:r>
      <w:r w:rsidR="00BE3AD4" w:rsidRPr="006E1978">
        <w:rPr>
          <w:rFonts w:cs="Times New Roman"/>
          <w:sz w:val="24"/>
          <w:szCs w:val="24"/>
        </w:rPr>
        <w:instrText xml:space="preserve"> ADDIN ZOTERO_ITEM CSL_CITATION {"citationID":"LuvWOFTt","properties":{"formattedCitation":"(Jackson, 2003)","plainCitation":"(Jackson, 2003)","noteIndex":0},"citationItems":[{"id":5316,"uris":["http://zotero.org/users/2764444/items/W7ALULJH"],"uri":["http://zotero.org/users/2764444/items/W7ALULJH"],"itemData":{"id":5316,"type":"article-journal","container-title":"Structural Equation Modeling: A Multidisciplinary Journal","DOI":"10.1207/S15328007SEM1001_6","ISSN":"1070-5511, 1532-8007","issue":"1","journalAbbreviation":"Structural Equation Modeling: A Multidisciplinary Journal","language":"en","page":"128-141","source":"DOI.org (Crossref)","title":"Revisiting Sample Size and Number of Parameter Estimates: Some Support for the N:q Hypothesis","title-short":"Revisiting Sample Size and Number of Parameter Estimates","volume":"10","author":[{"family":"Jackson","given":"Dennis L."}],"issued":{"date-parts":[["2003",1]]}}}],"schema":"https://github.com/citation-style-language/schema/raw/master/csl-citation.json"} </w:instrText>
      </w:r>
      <w:r w:rsidR="00BE3AD4" w:rsidRPr="006E1978">
        <w:rPr>
          <w:rFonts w:cs="Times New Roman"/>
          <w:sz w:val="24"/>
          <w:szCs w:val="24"/>
        </w:rPr>
        <w:fldChar w:fldCharType="separate"/>
      </w:r>
      <w:r w:rsidR="00BE3AD4" w:rsidRPr="006E1978">
        <w:rPr>
          <w:rFonts w:cs="Times New Roman"/>
          <w:noProof/>
          <w:sz w:val="24"/>
          <w:szCs w:val="24"/>
        </w:rPr>
        <w:t>(Jackson, 2003)</w:t>
      </w:r>
      <w:r w:rsidR="00BE3AD4" w:rsidRPr="006E1978">
        <w:rPr>
          <w:rFonts w:cs="Times New Roman"/>
          <w:sz w:val="24"/>
          <w:szCs w:val="24"/>
        </w:rPr>
        <w:fldChar w:fldCharType="end"/>
      </w:r>
      <w:r w:rsidR="00BE3AD4" w:rsidRPr="006E1978">
        <w:rPr>
          <w:rFonts w:cs="Times New Roman"/>
          <w:sz w:val="24"/>
          <w:szCs w:val="24"/>
        </w:rPr>
        <w:t>, which suggested a desirable sample size of 5</w:t>
      </w:r>
      <w:r w:rsidR="00FA7014" w:rsidRPr="006E1978">
        <w:rPr>
          <w:rFonts w:cs="Times New Roman"/>
          <w:sz w:val="24"/>
          <w:szCs w:val="24"/>
        </w:rPr>
        <w:t>4</w:t>
      </w:r>
      <w:r w:rsidR="00BE3AD4" w:rsidRPr="006E1978">
        <w:rPr>
          <w:rFonts w:cs="Times New Roman"/>
          <w:sz w:val="24"/>
          <w:szCs w:val="24"/>
        </w:rPr>
        <w:t>0.</w:t>
      </w:r>
      <w:r w:rsidR="00DA0DC3" w:rsidRPr="006E1978">
        <w:rPr>
          <w:rFonts w:cs="Times New Roman"/>
          <w:sz w:val="24"/>
          <w:szCs w:val="24"/>
        </w:rPr>
        <w:t xml:space="preserve"> Given </w:t>
      </w:r>
      <w:r w:rsidR="00D41962" w:rsidRPr="006E1978">
        <w:rPr>
          <w:rFonts w:cs="Times New Roman"/>
          <w:sz w:val="24"/>
          <w:szCs w:val="24"/>
        </w:rPr>
        <w:t xml:space="preserve">that </w:t>
      </w:r>
      <w:r w:rsidR="00DA0DC3" w:rsidRPr="006E1978">
        <w:rPr>
          <w:rFonts w:cs="Times New Roman"/>
          <w:sz w:val="24"/>
          <w:szCs w:val="24"/>
        </w:rPr>
        <w:t>our current sample size of 670 is large</w:t>
      </w:r>
      <w:r w:rsidR="00D41962" w:rsidRPr="006E1978">
        <w:rPr>
          <w:rFonts w:cs="Times New Roman"/>
          <w:sz w:val="24"/>
          <w:szCs w:val="24"/>
        </w:rPr>
        <w:t>r</w:t>
      </w:r>
      <w:r w:rsidR="00DA0DC3" w:rsidRPr="006E1978">
        <w:rPr>
          <w:rFonts w:cs="Times New Roman"/>
          <w:sz w:val="24"/>
          <w:szCs w:val="24"/>
        </w:rPr>
        <w:t xml:space="preserve"> than this threshold,</w:t>
      </w:r>
      <w:r w:rsidR="00BE3AD4" w:rsidRPr="006E1978">
        <w:rPr>
          <w:rFonts w:cs="Times New Roman"/>
          <w:sz w:val="24"/>
          <w:szCs w:val="24"/>
        </w:rPr>
        <w:t xml:space="preserve"> </w:t>
      </w:r>
      <w:r w:rsidRPr="006E1978">
        <w:rPr>
          <w:rFonts w:cs="Times New Roman"/>
          <w:sz w:val="24"/>
          <w:szCs w:val="24"/>
        </w:rPr>
        <w:t>w</w:t>
      </w:r>
      <w:r w:rsidR="00D24127" w:rsidRPr="006E1978">
        <w:rPr>
          <w:rFonts w:cs="Times New Roman"/>
          <w:sz w:val="24"/>
          <w:szCs w:val="24"/>
        </w:rPr>
        <w:t>e</w:t>
      </w:r>
      <w:r w:rsidR="00B509A3" w:rsidRPr="006E1978">
        <w:rPr>
          <w:rFonts w:cs="Times New Roman"/>
          <w:sz w:val="24"/>
          <w:szCs w:val="24"/>
        </w:rPr>
        <w:t xml:space="preserve"> </w:t>
      </w:r>
      <w:r w:rsidR="00DA0DC3" w:rsidRPr="006E1978">
        <w:rPr>
          <w:rFonts w:cs="Times New Roman"/>
          <w:sz w:val="24"/>
          <w:szCs w:val="24"/>
        </w:rPr>
        <w:t xml:space="preserve">proceeded to </w:t>
      </w:r>
      <w:r w:rsidR="002F05FE" w:rsidRPr="006E1978">
        <w:rPr>
          <w:rFonts w:cs="Times New Roman"/>
          <w:sz w:val="24"/>
          <w:szCs w:val="24"/>
        </w:rPr>
        <w:t xml:space="preserve">conduct CFA </w:t>
      </w:r>
      <w:r w:rsidR="00DA0DC3" w:rsidRPr="006E1978">
        <w:rPr>
          <w:rFonts w:cs="Times New Roman"/>
          <w:sz w:val="24"/>
          <w:szCs w:val="24"/>
        </w:rPr>
        <w:t xml:space="preserve">in Mplus 7.3 </w:t>
      </w:r>
      <w:r w:rsidR="00DA0DC3" w:rsidRPr="006E1978">
        <w:rPr>
          <w:rFonts w:cs="Times New Roman"/>
          <w:sz w:val="24"/>
          <w:szCs w:val="24"/>
        </w:rPr>
        <w:fldChar w:fldCharType="begin"/>
      </w:r>
      <w:r w:rsidR="00DA0DC3" w:rsidRPr="006E1978">
        <w:rPr>
          <w:rFonts w:cs="Times New Roman"/>
          <w:sz w:val="24"/>
          <w:szCs w:val="24"/>
        </w:rPr>
        <w:instrText xml:space="preserve"> ADDIN ZOTERO_ITEM CSL_CITATION {"citationID":"46xUm5A6","properties":{"formattedCitation":"(Muth\\uc0\\u233{}n &amp; Muth\\uc0\\u233{}n, 2017)","plainCitation":"(Muthén &amp; Muthén, 2017)","noteIndex":0},"citationItems":[{"id":1194,"uris":["http://zotero.org/users/2764444/items/8TFQKA8U"],"uri":["http://zotero.org/users/2764444/items/8TFQKA8U"],"itemData":{"id":1194,"type":"book","edition":"8th","event-place":"Los Angeles, CA","publisher":"Muthén &amp; Muthén","publisher-place":"Los Angeles, CA","title":"Mplus user’s guide","author":[{"family":"Muthén","given":"Linda K."},{"family":"Muthén","given":"Bengt O."}],"issued":{"date-parts":[["2017"]]}}}],"schema":"https://github.com/citation-style-language/schema/raw/master/csl-citation.json"} </w:instrText>
      </w:r>
      <w:r w:rsidR="00DA0DC3" w:rsidRPr="006E1978">
        <w:rPr>
          <w:rFonts w:cs="Times New Roman"/>
          <w:sz w:val="24"/>
          <w:szCs w:val="24"/>
        </w:rPr>
        <w:fldChar w:fldCharType="separate"/>
      </w:r>
      <w:r w:rsidR="00DA0DC3" w:rsidRPr="006E1978">
        <w:rPr>
          <w:rFonts w:cs="Times New Roman"/>
          <w:sz w:val="24"/>
          <w:lang w:val="en-GB"/>
        </w:rPr>
        <w:t xml:space="preserve">(Muthén &amp; Muthén, </w:t>
      </w:r>
      <w:r w:rsidR="005E36C1" w:rsidRPr="006E1978">
        <w:rPr>
          <w:rFonts w:cs="Times New Roman"/>
          <w:sz w:val="24"/>
          <w:lang w:val="en-GB"/>
        </w:rPr>
        <w:t>2012</w:t>
      </w:r>
      <w:r w:rsidR="00DA0DC3" w:rsidRPr="006E1978">
        <w:rPr>
          <w:rFonts w:cs="Times New Roman"/>
          <w:sz w:val="24"/>
          <w:lang w:val="en-GB"/>
        </w:rPr>
        <w:t>)</w:t>
      </w:r>
      <w:r w:rsidR="00DA0DC3" w:rsidRPr="006E1978">
        <w:rPr>
          <w:rFonts w:cs="Times New Roman"/>
          <w:sz w:val="24"/>
          <w:szCs w:val="24"/>
        </w:rPr>
        <w:fldChar w:fldCharType="end"/>
      </w:r>
      <w:r w:rsidR="00DA0DC3" w:rsidRPr="006E1978">
        <w:rPr>
          <w:rFonts w:cs="Times New Roman"/>
          <w:sz w:val="24"/>
          <w:szCs w:val="24"/>
        </w:rPr>
        <w:t xml:space="preserve"> </w:t>
      </w:r>
      <w:r w:rsidR="00B509A3" w:rsidRPr="006E1978">
        <w:rPr>
          <w:rFonts w:cs="Times New Roman"/>
          <w:sz w:val="24"/>
          <w:szCs w:val="24"/>
        </w:rPr>
        <w:t xml:space="preserve">with </w:t>
      </w:r>
      <w:r w:rsidR="00354F53" w:rsidRPr="006E1978">
        <w:rPr>
          <w:rFonts w:cs="Times New Roman"/>
          <w:sz w:val="24"/>
          <w:szCs w:val="24"/>
        </w:rPr>
        <w:t>robust M</w:t>
      </w:r>
      <w:r w:rsidR="00B509A3" w:rsidRPr="006E1978">
        <w:rPr>
          <w:rFonts w:cs="Times New Roman"/>
          <w:sz w:val="24"/>
          <w:szCs w:val="24"/>
        </w:rPr>
        <w:t xml:space="preserve">aximum </w:t>
      </w:r>
      <w:r w:rsidR="00354F53" w:rsidRPr="006E1978">
        <w:rPr>
          <w:rFonts w:cs="Times New Roman"/>
          <w:sz w:val="24"/>
          <w:szCs w:val="24"/>
        </w:rPr>
        <w:t>L</w:t>
      </w:r>
      <w:r w:rsidR="00B509A3" w:rsidRPr="006E1978">
        <w:rPr>
          <w:rFonts w:cs="Times New Roman"/>
          <w:sz w:val="24"/>
          <w:szCs w:val="24"/>
        </w:rPr>
        <w:t>ikelihood</w:t>
      </w:r>
      <w:r w:rsidR="00354F53" w:rsidRPr="006E1978">
        <w:rPr>
          <w:rFonts w:cs="Times New Roman"/>
          <w:sz w:val="24"/>
          <w:szCs w:val="24"/>
        </w:rPr>
        <w:t xml:space="preserve"> (MLR)</w:t>
      </w:r>
      <w:r w:rsidR="00B509A3" w:rsidRPr="006E1978">
        <w:rPr>
          <w:rFonts w:cs="Times New Roman"/>
          <w:sz w:val="24"/>
          <w:szCs w:val="24"/>
        </w:rPr>
        <w:t xml:space="preserve"> estimation to </w:t>
      </w:r>
      <w:r w:rsidR="0015549D" w:rsidRPr="006E1978">
        <w:rPr>
          <w:rFonts w:cs="Times New Roman"/>
          <w:sz w:val="24"/>
          <w:szCs w:val="24"/>
        </w:rPr>
        <w:t>examine the</w:t>
      </w:r>
      <w:r w:rsidR="00D24127" w:rsidRPr="006E1978">
        <w:rPr>
          <w:rFonts w:cs="Times New Roman"/>
          <w:sz w:val="24"/>
          <w:szCs w:val="24"/>
        </w:rPr>
        <w:t xml:space="preserve"> </w:t>
      </w:r>
      <w:r w:rsidR="002F05FE" w:rsidRPr="006E1978">
        <w:rPr>
          <w:rFonts w:cs="Times New Roman"/>
          <w:sz w:val="24"/>
          <w:szCs w:val="24"/>
        </w:rPr>
        <w:t>conceptualized latent structure</w:t>
      </w:r>
      <w:r w:rsidR="00D24127" w:rsidRPr="006E1978">
        <w:rPr>
          <w:rFonts w:cs="Times New Roman"/>
          <w:sz w:val="24"/>
          <w:szCs w:val="24"/>
        </w:rPr>
        <w:t xml:space="preserve"> </w:t>
      </w:r>
      <w:r w:rsidR="00B509A3" w:rsidRPr="006E1978">
        <w:rPr>
          <w:rFonts w:cs="Times New Roman"/>
          <w:sz w:val="24"/>
          <w:szCs w:val="24"/>
        </w:rPr>
        <w:t>of MOGS</w:t>
      </w:r>
      <w:r w:rsidR="00354F53" w:rsidRPr="006E1978">
        <w:rPr>
          <w:rFonts w:cs="Times New Roman"/>
          <w:sz w:val="24"/>
          <w:szCs w:val="24"/>
        </w:rPr>
        <w:t xml:space="preserve"> </w:t>
      </w:r>
      <w:r w:rsidR="00DA0DC3" w:rsidRPr="006E1978">
        <w:rPr>
          <w:rFonts w:cs="Times New Roman"/>
          <w:sz w:val="24"/>
          <w:szCs w:val="24"/>
        </w:rPr>
        <w:t>indicated</w:t>
      </w:r>
      <w:r w:rsidR="00354F53" w:rsidRPr="006E1978">
        <w:rPr>
          <w:rFonts w:cs="Times New Roman"/>
          <w:sz w:val="24"/>
          <w:szCs w:val="24"/>
        </w:rPr>
        <w:t xml:space="preserve"> by the EFA results</w:t>
      </w:r>
      <w:r w:rsidR="00B509A3" w:rsidRPr="006E1978">
        <w:rPr>
          <w:rFonts w:cs="Times New Roman"/>
          <w:sz w:val="24"/>
          <w:szCs w:val="24"/>
        </w:rPr>
        <w:t xml:space="preserve">. </w:t>
      </w:r>
      <w:r w:rsidR="002F05FE" w:rsidRPr="006E1978">
        <w:rPr>
          <w:rFonts w:cs="Times New Roman"/>
          <w:sz w:val="24"/>
          <w:szCs w:val="24"/>
        </w:rPr>
        <w:t xml:space="preserve">The </w:t>
      </w:r>
      <w:r w:rsidR="0010735A" w:rsidRPr="006E1978">
        <w:rPr>
          <w:rFonts w:cs="Times New Roman"/>
          <w:sz w:val="24"/>
          <w:szCs w:val="24"/>
        </w:rPr>
        <w:t>most parsimon</w:t>
      </w:r>
      <w:r w:rsidR="00385532" w:rsidRPr="006E1978">
        <w:rPr>
          <w:rFonts w:cs="Times New Roman"/>
          <w:sz w:val="24"/>
          <w:szCs w:val="24"/>
        </w:rPr>
        <w:t>ious,</w:t>
      </w:r>
      <w:r w:rsidR="0010735A" w:rsidRPr="006E1978">
        <w:rPr>
          <w:rFonts w:cs="Times New Roman"/>
          <w:sz w:val="24"/>
          <w:szCs w:val="24"/>
        </w:rPr>
        <w:t xml:space="preserve"> one-factor model</w:t>
      </w:r>
      <w:r w:rsidR="00B76E4F" w:rsidRPr="006E1978">
        <w:rPr>
          <w:rFonts w:cs="Times New Roman"/>
          <w:sz w:val="24"/>
          <w:szCs w:val="24"/>
        </w:rPr>
        <w:t xml:space="preserve"> of MOGS</w:t>
      </w:r>
      <w:r w:rsidR="0010735A" w:rsidRPr="006E1978">
        <w:rPr>
          <w:rFonts w:cs="Times New Roman"/>
          <w:sz w:val="24"/>
          <w:szCs w:val="24"/>
        </w:rPr>
        <w:t xml:space="preserve"> was tested </w:t>
      </w:r>
      <w:r w:rsidR="00122EBD" w:rsidRPr="006E1978">
        <w:rPr>
          <w:rFonts w:cs="Times New Roman"/>
          <w:sz w:val="24"/>
          <w:szCs w:val="24"/>
        </w:rPr>
        <w:t xml:space="preserve">as </w:t>
      </w:r>
      <w:r w:rsidR="0010735A" w:rsidRPr="006E1978">
        <w:rPr>
          <w:rFonts w:cs="Times New Roman"/>
          <w:sz w:val="24"/>
          <w:szCs w:val="24"/>
        </w:rPr>
        <w:t>a baseline</w:t>
      </w:r>
      <w:r w:rsidR="00122EBD" w:rsidRPr="006E1978">
        <w:rPr>
          <w:rFonts w:cs="Times New Roman"/>
          <w:sz w:val="24"/>
          <w:szCs w:val="24"/>
        </w:rPr>
        <w:t xml:space="preserve"> model for comparison.</w:t>
      </w:r>
      <w:r w:rsidR="00B76E4F" w:rsidRPr="006E1978">
        <w:rPr>
          <w:rFonts w:cs="Times New Roman"/>
          <w:sz w:val="24"/>
          <w:szCs w:val="24"/>
        </w:rPr>
        <w:t xml:space="preserve"> </w:t>
      </w:r>
      <w:r w:rsidR="00101386" w:rsidRPr="006E1978">
        <w:rPr>
          <w:rFonts w:cs="Times New Roman"/>
          <w:sz w:val="24"/>
          <w:szCs w:val="24"/>
        </w:rPr>
        <w:t>The g</w:t>
      </w:r>
      <w:r w:rsidR="004F250F" w:rsidRPr="006E1978">
        <w:rPr>
          <w:rFonts w:cs="Times New Roman"/>
          <w:sz w:val="24"/>
          <w:szCs w:val="24"/>
        </w:rPr>
        <w:t>oodness of model fit was evaluated by χ</w:t>
      </w:r>
      <w:r w:rsidR="004F250F" w:rsidRPr="006E1978">
        <w:rPr>
          <w:rFonts w:cs="Times New Roman"/>
          <w:sz w:val="24"/>
          <w:szCs w:val="24"/>
          <w:vertAlign w:val="superscript"/>
        </w:rPr>
        <w:t>2</w:t>
      </w:r>
      <w:r w:rsidR="004F250F" w:rsidRPr="006E1978">
        <w:rPr>
          <w:rFonts w:cs="Times New Roman"/>
          <w:sz w:val="24"/>
          <w:szCs w:val="24"/>
        </w:rPr>
        <w:t xml:space="preserve"> </w:t>
      </w:r>
      <w:r w:rsidR="00D035AF" w:rsidRPr="006E1978">
        <w:rPr>
          <w:rFonts w:cs="Times New Roman"/>
          <w:sz w:val="24"/>
          <w:szCs w:val="24"/>
        </w:rPr>
        <w:t xml:space="preserve">test </w:t>
      </w:r>
      <w:r w:rsidR="004F250F" w:rsidRPr="006E1978">
        <w:rPr>
          <w:rFonts w:cs="Times New Roman"/>
          <w:sz w:val="24"/>
          <w:szCs w:val="24"/>
        </w:rPr>
        <w:t>(</w:t>
      </w:r>
      <w:r w:rsidR="004F250F" w:rsidRPr="006E1978">
        <w:rPr>
          <w:rFonts w:cs="Times New Roman"/>
          <w:i/>
          <w:iCs/>
          <w:sz w:val="24"/>
          <w:szCs w:val="24"/>
        </w:rPr>
        <w:t>p</w:t>
      </w:r>
      <w:r w:rsidR="004F250F" w:rsidRPr="006E1978">
        <w:rPr>
          <w:rFonts w:cs="Times New Roman"/>
          <w:sz w:val="24"/>
          <w:szCs w:val="24"/>
        </w:rPr>
        <w:t xml:space="preserve"> &gt; .</w:t>
      </w:r>
      <w:r w:rsidR="00D035AF" w:rsidRPr="006E1978">
        <w:rPr>
          <w:rFonts w:cs="Times New Roman"/>
          <w:sz w:val="24"/>
          <w:szCs w:val="24"/>
        </w:rPr>
        <w:t>0</w:t>
      </w:r>
      <w:r w:rsidR="00B47FDD" w:rsidRPr="006E1978">
        <w:rPr>
          <w:rFonts w:cs="Times New Roman"/>
          <w:sz w:val="24"/>
          <w:szCs w:val="24"/>
        </w:rPr>
        <w:t>5</w:t>
      </w:r>
      <w:r w:rsidR="004F250F" w:rsidRPr="006E1978">
        <w:rPr>
          <w:rFonts w:cs="Times New Roman"/>
          <w:sz w:val="24"/>
          <w:szCs w:val="24"/>
        </w:rPr>
        <w:t xml:space="preserve">), comparative fit index (CFI </w:t>
      </w:r>
      <w:r w:rsidR="00E54CC5" w:rsidRPr="006E1978">
        <w:rPr>
          <w:rFonts w:cs="Times New Roman"/>
          <w:sz w:val="24"/>
          <w:szCs w:val="24"/>
        </w:rPr>
        <w:t>≥</w:t>
      </w:r>
      <w:r w:rsidR="004F250F" w:rsidRPr="006E1978">
        <w:rPr>
          <w:rFonts w:cs="Times New Roman"/>
          <w:sz w:val="24"/>
          <w:szCs w:val="24"/>
        </w:rPr>
        <w:t xml:space="preserve"> .90), root mean square error of approximation (RMSEA ≤ .08</w:t>
      </w:r>
      <w:r w:rsidR="00D41962" w:rsidRPr="006E1978">
        <w:rPr>
          <w:rFonts w:cs="Times New Roman"/>
          <w:sz w:val="24"/>
          <w:szCs w:val="24"/>
        </w:rPr>
        <w:t xml:space="preserve"> and a nonsignificant p-close value</w:t>
      </w:r>
      <w:r w:rsidR="004F250F" w:rsidRPr="006E1978">
        <w:rPr>
          <w:rFonts w:cs="Times New Roman"/>
          <w:sz w:val="24"/>
          <w:szCs w:val="24"/>
        </w:rPr>
        <w:t>), and standardized root mean square residual (SRMR ≤ .08;</w:t>
      </w:r>
      <w:r w:rsidR="008441CD" w:rsidRPr="006E1978">
        <w:rPr>
          <w:rFonts w:cs="Times New Roman"/>
          <w:sz w:val="24"/>
          <w:szCs w:val="24"/>
        </w:rPr>
        <w:t xml:space="preserve"> </w:t>
      </w:r>
      <w:proofErr w:type="spellStart"/>
      <w:r w:rsidR="008441CD" w:rsidRPr="006E1978">
        <w:rPr>
          <w:rFonts w:cs="Times New Roman"/>
          <w:sz w:val="24"/>
          <w:szCs w:val="24"/>
        </w:rPr>
        <w:t>Bentler</w:t>
      </w:r>
      <w:proofErr w:type="spellEnd"/>
      <w:r w:rsidR="008441CD" w:rsidRPr="006E1978">
        <w:rPr>
          <w:rFonts w:cs="Times New Roman"/>
          <w:sz w:val="24"/>
          <w:szCs w:val="24"/>
        </w:rPr>
        <w:t xml:space="preserve">, 1990; Browne &amp; </w:t>
      </w:r>
      <w:proofErr w:type="spellStart"/>
      <w:r w:rsidR="008441CD" w:rsidRPr="006E1978">
        <w:rPr>
          <w:rFonts w:cs="Times New Roman"/>
          <w:sz w:val="24"/>
          <w:szCs w:val="24"/>
        </w:rPr>
        <w:t>Cudeck</w:t>
      </w:r>
      <w:proofErr w:type="spellEnd"/>
      <w:r w:rsidR="008441CD" w:rsidRPr="006E1978">
        <w:rPr>
          <w:rFonts w:cs="Times New Roman"/>
          <w:sz w:val="24"/>
          <w:szCs w:val="24"/>
        </w:rPr>
        <w:t>, 1993</w:t>
      </w:r>
      <w:r w:rsidR="00D41962" w:rsidRPr="006E1978">
        <w:rPr>
          <w:rFonts w:cs="Times New Roman"/>
          <w:sz w:val="24"/>
          <w:szCs w:val="24"/>
        </w:rPr>
        <w:t>; Kline, 2016</w:t>
      </w:r>
      <w:r w:rsidR="004F250F" w:rsidRPr="006E1978">
        <w:rPr>
          <w:rFonts w:cs="Times New Roman"/>
          <w:sz w:val="24"/>
          <w:szCs w:val="24"/>
        </w:rPr>
        <w:t>).</w:t>
      </w:r>
      <w:r w:rsidR="00ED1443" w:rsidRPr="006E1978">
        <w:rPr>
          <w:rFonts w:cs="Times New Roman"/>
          <w:sz w:val="24"/>
          <w:szCs w:val="24"/>
        </w:rPr>
        <w:t xml:space="preserve"> </w:t>
      </w:r>
      <w:bookmarkStart w:id="6" w:name="OLE_LINK9"/>
      <w:bookmarkStart w:id="7" w:name="OLE_LINK10"/>
      <w:r w:rsidR="00D41962" w:rsidRPr="006E1978">
        <w:rPr>
          <w:rFonts w:cs="Times New Roman"/>
          <w:sz w:val="24"/>
          <w:szCs w:val="24"/>
        </w:rPr>
        <w:t>A smaller</w:t>
      </w:r>
      <w:r w:rsidR="002B3BE6" w:rsidRPr="006E1978">
        <w:rPr>
          <w:rFonts w:cs="Times New Roman"/>
          <w:sz w:val="24"/>
          <w:szCs w:val="24"/>
        </w:rPr>
        <w:t xml:space="preserve"> Akaike information criteria (AIC) </w:t>
      </w:r>
      <w:r w:rsidR="00D41962" w:rsidRPr="006E1978">
        <w:rPr>
          <w:rFonts w:cs="Times New Roman"/>
          <w:sz w:val="24"/>
          <w:szCs w:val="24"/>
        </w:rPr>
        <w:t xml:space="preserve">value </w:t>
      </w:r>
      <w:r w:rsidR="002B3BE6" w:rsidRPr="006E1978">
        <w:rPr>
          <w:rFonts w:cs="Times New Roman"/>
          <w:sz w:val="24"/>
          <w:szCs w:val="24"/>
        </w:rPr>
        <w:t xml:space="preserve">was preferred for model comparisons </w:t>
      </w:r>
      <w:r w:rsidR="002B3BE6" w:rsidRPr="006E1978">
        <w:rPr>
          <w:rFonts w:cs="Times New Roman"/>
          <w:sz w:val="24"/>
          <w:szCs w:val="24"/>
        </w:rPr>
        <w:fldChar w:fldCharType="begin"/>
      </w:r>
      <w:r w:rsidR="002B3BE6" w:rsidRPr="006E1978">
        <w:rPr>
          <w:rFonts w:cs="Times New Roman"/>
          <w:sz w:val="24"/>
          <w:szCs w:val="24"/>
        </w:rPr>
        <w:instrText xml:space="preserve"> ADDIN ZOTERO_ITEM CSL_CITATION {"citationID":"mefBjmEM","properties":{"formattedCitation":"(Kline, 2016)","plainCitation":"(Kline, 2016)","noteIndex":0},"citationItems":[{"id":5315,"uris":["http://zotero.org/users/2764444/items/3WZULCJV"],"uri":["http://zotero.org/users/2764444/items/3WZULCJV"],"itemData":{"id":5315,"type":"book","edition":"4","event-place":"New York, NY","publisher":"Guilford","publisher-place":"New York, NY","title":"Principles and practice of structural equation modeling","author":[{"family":"Kline","given":"Rex B."}],"issued":{"date-parts":[["2016"]]}}}],"schema":"https://github.com/citation-style-language/schema/raw/master/csl-citation.json"} </w:instrText>
      </w:r>
      <w:r w:rsidR="002B3BE6" w:rsidRPr="006E1978">
        <w:rPr>
          <w:rFonts w:cs="Times New Roman"/>
          <w:sz w:val="24"/>
          <w:szCs w:val="24"/>
        </w:rPr>
        <w:fldChar w:fldCharType="separate"/>
      </w:r>
      <w:r w:rsidR="002B3BE6" w:rsidRPr="006E1978">
        <w:rPr>
          <w:rFonts w:cs="Times New Roman"/>
          <w:noProof/>
          <w:sz w:val="24"/>
          <w:szCs w:val="24"/>
        </w:rPr>
        <w:t>(Kline, 2016)</w:t>
      </w:r>
      <w:r w:rsidR="002B3BE6" w:rsidRPr="006E1978">
        <w:rPr>
          <w:rFonts w:cs="Times New Roman"/>
          <w:sz w:val="24"/>
          <w:szCs w:val="24"/>
        </w:rPr>
        <w:fldChar w:fldCharType="end"/>
      </w:r>
      <w:r w:rsidR="002B3BE6" w:rsidRPr="006E1978">
        <w:rPr>
          <w:rFonts w:cs="Times New Roman"/>
          <w:sz w:val="24"/>
          <w:szCs w:val="24"/>
        </w:rPr>
        <w:t xml:space="preserve">. </w:t>
      </w:r>
      <w:r w:rsidR="00101386" w:rsidRPr="006E1978">
        <w:rPr>
          <w:rFonts w:cs="Times New Roman"/>
          <w:sz w:val="24"/>
          <w:szCs w:val="24"/>
        </w:rPr>
        <w:t xml:space="preserve">The standardized factor loading estimates were expected </w:t>
      </w:r>
      <w:r w:rsidR="00101386" w:rsidRPr="006E1978">
        <w:rPr>
          <w:rFonts w:cs="Times New Roman"/>
          <w:sz w:val="24"/>
          <w:szCs w:val="24"/>
        </w:rPr>
        <w:lastRenderedPageBreak/>
        <w:t>to be .05 or higher (Hair, 2014).</w:t>
      </w:r>
      <w:bookmarkEnd w:id="6"/>
      <w:bookmarkEnd w:id="7"/>
      <w:r w:rsidR="001716AE" w:rsidRPr="006E1978">
        <w:rPr>
          <w:rFonts w:cs="Times New Roman"/>
          <w:sz w:val="24"/>
          <w:szCs w:val="24"/>
        </w:rPr>
        <w:t xml:space="preserve"> </w:t>
      </w:r>
      <w:r w:rsidR="006E414C" w:rsidRPr="006E1978">
        <w:rPr>
          <w:rFonts w:cs="Times New Roman"/>
          <w:sz w:val="24"/>
          <w:szCs w:val="24"/>
        </w:rPr>
        <w:t xml:space="preserve">On the factor level, we further examined the average variance extracted </w:t>
      </w:r>
      <w:r w:rsidR="00AA2A61" w:rsidRPr="006E1978">
        <w:rPr>
          <w:rFonts w:cs="Times New Roman"/>
          <w:sz w:val="24"/>
          <w:szCs w:val="24"/>
        </w:rPr>
        <w:t xml:space="preserve">(AVE </w:t>
      </w:r>
      <w:r w:rsidR="00AA2A61" w:rsidRPr="006E1978">
        <w:rPr>
          <w:rFonts w:cs="Times New Roman"/>
          <w:sz w:val="24"/>
          <w:lang w:val="en-GB"/>
        </w:rPr>
        <w:t>≥ .50)</w:t>
      </w:r>
      <w:r w:rsidR="003205F6" w:rsidRPr="006E1978">
        <w:rPr>
          <w:rFonts w:cs="Times New Roman"/>
          <w:sz w:val="24"/>
          <w:szCs w:val="24"/>
        </w:rPr>
        <w:t xml:space="preserve"> </w:t>
      </w:r>
      <w:r w:rsidR="006E414C" w:rsidRPr="006E1978">
        <w:rPr>
          <w:rFonts w:cs="Times New Roman"/>
          <w:sz w:val="24"/>
          <w:szCs w:val="24"/>
        </w:rPr>
        <w:t>and the composite reliability (</w:t>
      </w:r>
      <w:proofErr w:type="spellStart"/>
      <w:r w:rsidR="006E414C" w:rsidRPr="006E1978">
        <w:rPr>
          <w:rFonts w:cs="Times New Roman"/>
          <w:sz w:val="24"/>
          <w:szCs w:val="24"/>
        </w:rPr>
        <w:t>ρ</w:t>
      </w:r>
      <w:r w:rsidR="006E414C" w:rsidRPr="006E1978">
        <w:rPr>
          <w:rFonts w:cs="Times New Roman"/>
          <w:sz w:val="24"/>
          <w:szCs w:val="24"/>
          <w:vertAlign w:val="subscript"/>
        </w:rPr>
        <w:t>c</w:t>
      </w:r>
      <w:proofErr w:type="spellEnd"/>
      <w:r w:rsidR="006E414C" w:rsidRPr="006E1978">
        <w:rPr>
          <w:rFonts w:cs="Times New Roman"/>
          <w:sz w:val="24"/>
          <w:szCs w:val="24"/>
          <w:vertAlign w:val="subscript"/>
        </w:rPr>
        <w:t xml:space="preserve"> </w:t>
      </w:r>
      <w:r w:rsidR="0022306B" w:rsidRPr="006E1978">
        <w:rPr>
          <w:rFonts w:cs="Times New Roman"/>
          <w:sz w:val="24"/>
          <w:lang w:val="en-GB"/>
        </w:rPr>
        <w:t>≥ .</w:t>
      </w:r>
      <w:r w:rsidR="00AA2A61" w:rsidRPr="006E1978">
        <w:rPr>
          <w:rFonts w:cs="Times New Roman"/>
          <w:sz w:val="24"/>
          <w:lang w:val="en-GB"/>
        </w:rPr>
        <w:t>7</w:t>
      </w:r>
      <w:r w:rsidR="0022306B" w:rsidRPr="006E1978">
        <w:rPr>
          <w:rFonts w:cs="Times New Roman"/>
          <w:sz w:val="24"/>
          <w:lang w:val="en-GB"/>
        </w:rPr>
        <w:t>0</w:t>
      </w:r>
      <w:r w:rsidR="006E414C" w:rsidRPr="006E1978">
        <w:rPr>
          <w:rFonts w:cs="Times New Roman"/>
          <w:sz w:val="24"/>
          <w:szCs w:val="24"/>
        </w:rPr>
        <w:t xml:space="preserve">) </w:t>
      </w:r>
      <w:r w:rsidR="00476FC6" w:rsidRPr="006E1978">
        <w:rPr>
          <w:rFonts w:cs="Times New Roman"/>
          <w:sz w:val="24"/>
          <w:szCs w:val="24"/>
        </w:rPr>
        <w:t>as CFA-derived</w:t>
      </w:r>
      <w:r w:rsidR="00B96EF9" w:rsidRPr="006E1978">
        <w:rPr>
          <w:rFonts w:cs="Times New Roman"/>
          <w:sz w:val="24"/>
          <w:szCs w:val="24"/>
        </w:rPr>
        <w:t xml:space="preserve"> </w:t>
      </w:r>
      <w:r w:rsidR="00476FC6" w:rsidRPr="006E1978">
        <w:rPr>
          <w:rFonts w:cs="Times New Roman"/>
          <w:sz w:val="24"/>
          <w:szCs w:val="24"/>
        </w:rPr>
        <w:t>reliability</w:t>
      </w:r>
      <w:r w:rsidR="00F14D0F" w:rsidRPr="006E1978">
        <w:rPr>
          <w:rFonts w:cs="Times New Roman"/>
          <w:sz w:val="24"/>
          <w:szCs w:val="24"/>
        </w:rPr>
        <w:t xml:space="preserve"> measures</w:t>
      </w:r>
      <w:r w:rsidR="00476FC6" w:rsidRPr="006E1978">
        <w:rPr>
          <w:rFonts w:cs="Times New Roman"/>
          <w:sz w:val="24"/>
          <w:szCs w:val="24"/>
        </w:rPr>
        <w:t xml:space="preserve"> </w:t>
      </w:r>
      <w:r w:rsidR="0022306B" w:rsidRPr="006E1978">
        <w:rPr>
          <w:rFonts w:cs="Times New Roman"/>
          <w:sz w:val="24"/>
          <w:szCs w:val="24"/>
        </w:rPr>
        <w:fldChar w:fldCharType="begin"/>
      </w:r>
      <w:r w:rsidR="0022306B" w:rsidRPr="006E1978">
        <w:rPr>
          <w:rFonts w:cs="Times New Roman"/>
          <w:sz w:val="24"/>
          <w:szCs w:val="24"/>
        </w:rPr>
        <w:instrText xml:space="preserve"> ADDIN ZOTERO_ITEM CSL_CITATION {"citationID":"PZAhAhqb","properties":{"formattedCitation":"(Hair et al., 2014)","plainCitation":"(Hair et al., 2014)","noteIndex":0},"citationItems":[{"id":2148,"uris":["http://zotero.org/users/2764444/items/YEZUU9F8"],"uri":["http://zotero.org/users/2764444/items/YEZUU9F8"],"itemData":{"id":2148,"type":"book","collection-title":"Pearson custom library","edition":"7th","event-place":"London, UK","ISBN":"978-1-292-02190-4","language":"en","note":"OCLC: 862816368","number-of-pages":"734","publisher":"Pearson","publisher-place":"London, UK","source":"Gemeinsamer Bibliotheksverbund ISBN","title":"Multivariate data analysis","author":[{"family":"Hair","given":"Joseph F."},{"family":"Black","given":"William C."},{"family":"Babin","given":"Barry J."},{"family":"Anderson","given":"Rolph E."}],"issued":{"date-parts":[["2014"]]}}}],"schema":"https://github.com/citation-style-language/schema/raw/master/csl-citation.json"} </w:instrText>
      </w:r>
      <w:r w:rsidR="0022306B" w:rsidRPr="006E1978">
        <w:rPr>
          <w:rFonts w:cs="Times New Roman"/>
          <w:sz w:val="24"/>
          <w:szCs w:val="24"/>
        </w:rPr>
        <w:fldChar w:fldCharType="separate"/>
      </w:r>
      <w:r w:rsidR="0022306B" w:rsidRPr="006E1978">
        <w:rPr>
          <w:rFonts w:cs="Times New Roman"/>
          <w:noProof/>
          <w:sz w:val="24"/>
          <w:szCs w:val="24"/>
        </w:rPr>
        <w:t>(Hair et al., 2014)</w:t>
      </w:r>
      <w:r w:rsidR="0022306B" w:rsidRPr="006E1978">
        <w:rPr>
          <w:rFonts w:cs="Times New Roman"/>
          <w:sz w:val="24"/>
          <w:szCs w:val="24"/>
        </w:rPr>
        <w:fldChar w:fldCharType="end"/>
      </w:r>
      <w:r w:rsidR="006E414C" w:rsidRPr="006E1978">
        <w:rPr>
          <w:rFonts w:cs="Times New Roman"/>
          <w:sz w:val="24"/>
          <w:szCs w:val="24"/>
        </w:rPr>
        <w:t>. Additional</w:t>
      </w:r>
      <w:r w:rsidR="00D96060" w:rsidRPr="006E1978">
        <w:rPr>
          <w:rFonts w:cs="Times New Roman"/>
          <w:sz w:val="24"/>
          <w:szCs w:val="24"/>
        </w:rPr>
        <w:t xml:space="preserve"> </w:t>
      </w:r>
      <w:r w:rsidR="00D96060" w:rsidRPr="006E1978">
        <w:rPr>
          <w:rFonts w:cs="Times New Roman" w:hint="eastAsia"/>
          <w:sz w:val="24"/>
          <w:szCs w:val="24"/>
        </w:rPr>
        <w:t>mea</w:t>
      </w:r>
      <w:r w:rsidR="00D96060" w:rsidRPr="006E1978">
        <w:rPr>
          <w:rFonts w:cs="Times New Roman"/>
          <w:sz w:val="24"/>
          <w:szCs w:val="24"/>
        </w:rPr>
        <w:t xml:space="preserve">surement invariance was explored with multi-group CFA to assess the invariance of MOGS across both sexes on configural, metric, and scalar levels. </w:t>
      </w:r>
      <w:r w:rsidR="00805337" w:rsidRPr="006E1978">
        <w:rPr>
          <w:rFonts w:cs="Times New Roman"/>
          <w:sz w:val="24"/>
          <w:szCs w:val="24"/>
        </w:rPr>
        <w:t xml:space="preserve">A </w:t>
      </w:r>
      <w:proofErr w:type="spellStart"/>
      <w:r w:rsidR="00805337" w:rsidRPr="006E1978">
        <w:rPr>
          <w:rFonts w:cs="Times New Roman"/>
          <w:sz w:val="24"/>
          <w:szCs w:val="24"/>
        </w:rPr>
        <w:t>noninvariance</w:t>
      </w:r>
      <w:proofErr w:type="spellEnd"/>
      <w:r w:rsidR="00805337" w:rsidRPr="006E1978">
        <w:rPr>
          <w:rFonts w:cs="Times New Roman"/>
          <w:sz w:val="24"/>
          <w:szCs w:val="24"/>
        </w:rPr>
        <w:t xml:space="preserve"> was indicated with </w:t>
      </w:r>
      <w:r w:rsidR="0070617F" w:rsidRPr="006E1978">
        <w:rPr>
          <w:rFonts w:eastAsia="DengXian" w:cs="Times New Roman"/>
          <w:color w:val="000000"/>
          <w:kern w:val="0"/>
          <w:sz w:val="24"/>
        </w:rPr>
        <w:t>ΔCFI</w:t>
      </w:r>
      <w:r w:rsidR="0070617F" w:rsidRPr="006E1978">
        <w:rPr>
          <w:rFonts w:cs="Times New Roman"/>
          <w:sz w:val="24"/>
          <w:szCs w:val="24"/>
        </w:rPr>
        <w:t xml:space="preserve"> </w:t>
      </w:r>
      <w:r w:rsidR="00805337" w:rsidRPr="006E1978">
        <w:rPr>
          <w:rFonts w:cs="Times New Roman"/>
          <w:sz w:val="24"/>
          <w:szCs w:val="24"/>
        </w:rPr>
        <w:t>≥</w:t>
      </w:r>
      <w:r w:rsidR="0070617F" w:rsidRPr="006E1978">
        <w:rPr>
          <w:rFonts w:cs="Times New Roman"/>
          <w:sz w:val="24"/>
          <w:szCs w:val="24"/>
        </w:rPr>
        <w:t xml:space="preserve"> .01</w:t>
      </w:r>
      <w:r w:rsidR="00127F87" w:rsidRPr="006E1978">
        <w:rPr>
          <w:rFonts w:cs="Times New Roman"/>
          <w:sz w:val="24"/>
          <w:szCs w:val="24"/>
        </w:rPr>
        <w:t xml:space="preserve"> and</w:t>
      </w:r>
      <w:r w:rsidR="0070617F" w:rsidRPr="006E1978">
        <w:rPr>
          <w:rFonts w:cs="Times New Roman"/>
          <w:sz w:val="24"/>
          <w:szCs w:val="24"/>
        </w:rPr>
        <w:t xml:space="preserve"> </w:t>
      </w:r>
      <w:r w:rsidR="0070617F" w:rsidRPr="006E1978">
        <w:rPr>
          <w:rFonts w:eastAsia="DengXian" w:cs="Times New Roman"/>
          <w:color w:val="000000"/>
          <w:kern w:val="0"/>
          <w:sz w:val="24"/>
        </w:rPr>
        <w:t xml:space="preserve">ΔRMSEA </w:t>
      </w:r>
      <w:r w:rsidR="00805337" w:rsidRPr="006E1978">
        <w:rPr>
          <w:rFonts w:cs="Times New Roman"/>
          <w:sz w:val="24"/>
          <w:szCs w:val="24"/>
        </w:rPr>
        <w:t>≥</w:t>
      </w:r>
      <w:r w:rsidR="0070617F" w:rsidRPr="006E1978">
        <w:rPr>
          <w:rFonts w:eastAsia="DengXian" w:cs="Times New Roman"/>
          <w:color w:val="000000"/>
          <w:kern w:val="0"/>
          <w:sz w:val="24"/>
        </w:rPr>
        <w:t xml:space="preserve"> </w:t>
      </w:r>
      <w:r w:rsidR="00805337" w:rsidRPr="006E1978">
        <w:rPr>
          <w:rFonts w:eastAsia="DengXian" w:cs="Times New Roman"/>
          <w:color w:val="000000"/>
          <w:kern w:val="0"/>
          <w:sz w:val="24"/>
        </w:rPr>
        <w:t>.015</w:t>
      </w:r>
      <w:r w:rsidR="00805337" w:rsidRPr="006E1978">
        <w:rPr>
          <w:rFonts w:eastAsia="DengXian" w:cs="Times New Roman" w:hint="eastAsia"/>
          <w:color w:val="000000"/>
          <w:kern w:val="0"/>
          <w:sz w:val="24"/>
        </w:rPr>
        <w:t xml:space="preserve"> </w:t>
      </w:r>
      <w:r w:rsidR="00805337" w:rsidRPr="006E1978">
        <w:rPr>
          <w:rFonts w:cs="Times New Roman"/>
          <w:sz w:val="24"/>
          <w:szCs w:val="24"/>
        </w:rPr>
        <w:fldChar w:fldCharType="begin"/>
      </w:r>
      <w:r w:rsidR="00E8479C" w:rsidRPr="006E1978">
        <w:rPr>
          <w:rFonts w:cs="Times New Roman"/>
          <w:sz w:val="24"/>
          <w:szCs w:val="24"/>
        </w:rPr>
        <w:instrText xml:space="preserve"> ADDIN ZOTERO_ITEM CSL_CITATION {"citationID":"JvZBvtO3","properties":{"formattedCitation":"(F. F. Chen, 2007)","plainCitation":"(F. F. Chen, 2007)","noteIndex":0},"citationItems":[{"id":1349,"uris":["http://zotero.org/users/2764444/items/V2XQZ474"],"uri":["http://zotero.org/users/2764444/items/V2XQZ474"],"itemData":{"id":1349,"type":"article-journal","container-title":"Structural Equation Modeling: A Multidisciplinary Journal","DOI":"10.1080/10705510701301834","ISSN":"1070-5511, 1532-8007","issue":"3","journalAbbreviation":"Structural Equation Modeling: A Multidisciplinary Journal","language":"en","page":"464-504","source":"DOI.org (Crossref)","title":"Sensitivity of Goodness of Fit Indexes to Lack of Measurement Invariance","volume":"14","author":[{"family":"Chen","given":"Fang Fang"}],"issued":{"date-parts":[["2007",7,31]]}}}],"schema":"https://github.com/citation-style-language/schema/raw/master/csl-citation.json"} </w:instrText>
      </w:r>
      <w:r w:rsidR="00805337" w:rsidRPr="006E1978">
        <w:rPr>
          <w:rFonts w:cs="Times New Roman"/>
          <w:sz w:val="24"/>
          <w:szCs w:val="24"/>
        </w:rPr>
        <w:fldChar w:fldCharType="separate"/>
      </w:r>
      <w:r w:rsidR="00E8479C" w:rsidRPr="006E1978">
        <w:rPr>
          <w:rFonts w:cs="Times New Roman"/>
          <w:noProof/>
          <w:sz w:val="24"/>
          <w:szCs w:val="24"/>
        </w:rPr>
        <w:t>(F. F. Chen, 2007)</w:t>
      </w:r>
      <w:r w:rsidR="00805337" w:rsidRPr="006E1978">
        <w:rPr>
          <w:rFonts w:cs="Times New Roman"/>
          <w:sz w:val="24"/>
          <w:szCs w:val="24"/>
        </w:rPr>
        <w:fldChar w:fldCharType="end"/>
      </w:r>
      <w:r w:rsidR="00805337" w:rsidRPr="006E1978">
        <w:rPr>
          <w:rFonts w:cs="Times New Roman"/>
          <w:sz w:val="24"/>
          <w:szCs w:val="24"/>
        </w:rPr>
        <w:t>.</w:t>
      </w:r>
    </w:p>
    <w:p w14:paraId="3B67684C" w14:textId="783CC1E4" w:rsidR="00E9089D" w:rsidRPr="006E1978" w:rsidRDefault="00C9693D" w:rsidP="00792616">
      <w:pPr>
        <w:snapToGrid w:val="0"/>
        <w:spacing w:line="480" w:lineRule="auto"/>
        <w:ind w:firstLineChars="200" w:firstLine="480"/>
        <w:jc w:val="left"/>
        <w:rPr>
          <w:rFonts w:cs="Times New Roman"/>
          <w:sz w:val="24"/>
          <w:szCs w:val="24"/>
        </w:rPr>
      </w:pPr>
      <w:r w:rsidRPr="006E1978">
        <w:rPr>
          <w:rFonts w:cs="Times New Roman"/>
          <w:sz w:val="24"/>
          <w:szCs w:val="24"/>
        </w:rPr>
        <w:t xml:space="preserve">After confirming the </w:t>
      </w:r>
      <w:r w:rsidR="009304AA" w:rsidRPr="006E1978">
        <w:rPr>
          <w:rFonts w:cs="Times New Roman"/>
          <w:sz w:val="24"/>
          <w:szCs w:val="24"/>
        </w:rPr>
        <w:t xml:space="preserve">factor </w:t>
      </w:r>
      <w:r w:rsidR="00805337" w:rsidRPr="006E1978">
        <w:rPr>
          <w:rFonts w:cs="Times New Roman"/>
          <w:sz w:val="24"/>
          <w:szCs w:val="24"/>
        </w:rPr>
        <w:t xml:space="preserve">structure </w:t>
      </w:r>
      <w:r w:rsidR="009304AA" w:rsidRPr="006E1978">
        <w:rPr>
          <w:rFonts w:cs="Times New Roman"/>
          <w:sz w:val="24"/>
          <w:szCs w:val="24"/>
        </w:rPr>
        <w:t>and items</w:t>
      </w:r>
      <w:r w:rsidR="005C36EC" w:rsidRPr="006E1978">
        <w:rPr>
          <w:rFonts w:cs="Times New Roman"/>
          <w:sz w:val="24"/>
          <w:szCs w:val="24"/>
        </w:rPr>
        <w:t xml:space="preserve"> </w:t>
      </w:r>
      <w:r w:rsidR="003332BA" w:rsidRPr="006E1978">
        <w:rPr>
          <w:rFonts w:cs="Times New Roman"/>
          <w:sz w:val="24"/>
          <w:szCs w:val="24"/>
        </w:rPr>
        <w:t>of the Chinese version of MOGS</w:t>
      </w:r>
      <w:r w:rsidR="00390256" w:rsidRPr="006E1978">
        <w:rPr>
          <w:rFonts w:cs="Times New Roman"/>
          <w:sz w:val="24"/>
          <w:szCs w:val="24"/>
        </w:rPr>
        <w:t xml:space="preserve">, </w:t>
      </w:r>
      <w:r w:rsidR="00326073" w:rsidRPr="006E1978">
        <w:rPr>
          <w:rFonts w:cs="Times New Roman"/>
          <w:sz w:val="24"/>
          <w:szCs w:val="24"/>
        </w:rPr>
        <w:t>we</w:t>
      </w:r>
      <w:r w:rsidR="003332BA" w:rsidRPr="006E1978">
        <w:rPr>
          <w:rFonts w:cs="Times New Roman"/>
          <w:sz w:val="24"/>
          <w:szCs w:val="24"/>
        </w:rPr>
        <w:t xml:space="preserve"> </w:t>
      </w:r>
      <w:r w:rsidR="00326073" w:rsidRPr="006E1978">
        <w:rPr>
          <w:rFonts w:cs="Times New Roman"/>
          <w:sz w:val="24"/>
          <w:szCs w:val="24"/>
        </w:rPr>
        <w:t>performed all the remaining statistical tests</w:t>
      </w:r>
      <w:r w:rsidRPr="006E1978">
        <w:rPr>
          <w:rFonts w:cs="Times New Roman"/>
          <w:sz w:val="24"/>
          <w:szCs w:val="24"/>
        </w:rPr>
        <w:t xml:space="preserve"> in SPSS 26.0</w:t>
      </w:r>
      <w:r w:rsidR="00326073" w:rsidRPr="006E1978">
        <w:rPr>
          <w:rFonts w:cs="Times New Roman"/>
          <w:sz w:val="24"/>
          <w:szCs w:val="24"/>
        </w:rPr>
        <w:t xml:space="preserve"> to evaluate </w:t>
      </w:r>
      <w:r w:rsidR="00385532" w:rsidRPr="006E1978">
        <w:rPr>
          <w:rFonts w:cs="Times New Roman"/>
          <w:sz w:val="24"/>
          <w:szCs w:val="24"/>
        </w:rPr>
        <w:t>its</w:t>
      </w:r>
      <w:r w:rsidR="00326073" w:rsidRPr="006E1978">
        <w:rPr>
          <w:rFonts w:cs="Times New Roman"/>
          <w:sz w:val="24"/>
          <w:szCs w:val="24"/>
        </w:rPr>
        <w:t xml:space="preserve"> </w:t>
      </w:r>
      <w:r w:rsidR="00AA2A61" w:rsidRPr="006E1978">
        <w:rPr>
          <w:rFonts w:cs="Times New Roman"/>
          <w:sz w:val="24"/>
          <w:szCs w:val="24"/>
        </w:rPr>
        <w:t xml:space="preserve">other </w:t>
      </w:r>
      <w:r w:rsidR="009304AA" w:rsidRPr="006E1978">
        <w:rPr>
          <w:rFonts w:cs="Times New Roman"/>
          <w:sz w:val="24"/>
          <w:szCs w:val="24"/>
        </w:rPr>
        <w:t>psychometric properties</w:t>
      </w:r>
      <w:r w:rsidR="00165804" w:rsidRPr="006E1978">
        <w:rPr>
          <w:rFonts w:cs="Times New Roman"/>
          <w:sz w:val="24"/>
          <w:szCs w:val="24"/>
        </w:rPr>
        <w:t xml:space="preserve"> in the overall sample</w:t>
      </w:r>
      <w:r w:rsidR="00326073" w:rsidRPr="006E1978">
        <w:rPr>
          <w:rFonts w:cs="Times New Roman"/>
          <w:sz w:val="24"/>
          <w:szCs w:val="24"/>
        </w:rPr>
        <w:t xml:space="preserve">. We started with assessing </w:t>
      </w:r>
      <w:r w:rsidR="00390256" w:rsidRPr="006E1978">
        <w:rPr>
          <w:rFonts w:cs="Times New Roman"/>
          <w:sz w:val="24"/>
          <w:szCs w:val="24"/>
        </w:rPr>
        <w:t>t</w:t>
      </w:r>
      <w:r w:rsidR="00844E8E" w:rsidRPr="006E1978">
        <w:rPr>
          <w:rFonts w:cs="Times New Roman"/>
          <w:sz w:val="24"/>
          <w:szCs w:val="24"/>
        </w:rPr>
        <w:t xml:space="preserve">he internal consistency </w:t>
      </w:r>
      <w:r w:rsidR="003332BA" w:rsidRPr="006E1978">
        <w:rPr>
          <w:rFonts w:cs="Times New Roman"/>
          <w:sz w:val="24"/>
          <w:szCs w:val="24"/>
        </w:rPr>
        <w:t xml:space="preserve">of MOGS </w:t>
      </w:r>
      <w:r w:rsidR="00AD7D71" w:rsidRPr="006E1978">
        <w:rPr>
          <w:rFonts w:cs="Times New Roman"/>
          <w:sz w:val="24"/>
          <w:szCs w:val="24"/>
        </w:rPr>
        <w:t>by Cronbach’s α (&gt;</w:t>
      </w:r>
      <w:r w:rsidR="00657D44" w:rsidRPr="006E1978">
        <w:rPr>
          <w:rFonts w:cs="Times New Roman"/>
          <w:sz w:val="24"/>
          <w:szCs w:val="24"/>
        </w:rPr>
        <w:t xml:space="preserve"> </w:t>
      </w:r>
      <w:r w:rsidR="00AD7D71" w:rsidRPr="006E1978">
        <w:rPr>
          <w:rFonts w:cs="Times New Roman"/>
          <w:sz w:val="24"/>
          <w:szCs w:val="24"/>
        </w:rPr>
        <w:t xml:space="preserve">.70 </w:t>
      </w:r>
      <w:r w:rsidR="003332BA" w:rsidRPr="006E1978">
        <w:rPr>
          <w:rFonts w:cs="Times New Roman"/>
          <w:sz w:val="24"/>
          <w:szCs w:val="24"/>
        </w:rPr>
        <w:t>as</w:t>
      </w:r>
      <w:r w:rsidR="00AD7D71" w:rsidRPr="006E1978">
        <w:rPr>
          <w:rFonts w:cs="Times New Roman"/>
          <w:sz w:val="24"/>
          <w:szCs w:val="24"/>
        </w:rPr>
        <w:t xml:space="preserve"> acceptable and &gt;</w:t>
      </w:r>
      <w:r w:rsidR="00657D44" w:rsidRPr="006E1978">
        <w:rPr>
          <w:rFonts w:cs="Times New Roman"/>
          <w:sz w:val="24"/>
          <w:szCs w:val="24"/>
        </w:rPr>
        <w:t xml:space="preserve"> </w:t>
      </w:r>
      <w:r w:rsidR="00AD7D71" w:rsidRPr="006E1978">
        <w:rPr>
          <w:rFonts w:cs="Times New Roman"/>
          <w:sz w:val="24"/>
          <w:szCs w:val="24"/>
        </w:rPr>
        <w:t xml:space="preserve">.80 </w:t>
      </w:r>
      <w:r w:rsidR="003332BA" w:rsidRPr="006E1978">
        <w:rPr>
          <w:rFonts w:cs="Times New Roman"/>
          <w:sz w:val="24"/>
          <w:szCs w:val="24"/>
        </w:rPr>
        <w:t>as</w:t>
      </w:r>
      <w:r w:rsidR="00AD7D71" w:rsidRPr="006E1978">
        <w:rPr>
          <w:rFonts w:cs="Times New Roman"/>
          <w:sz w:val="24"/>
          <w:szCs w:val="24"/>
        </w:rPr>
        <w:t xml:space="preserve"> good; Cortina, 1993)</w:t>
      </w:r>
      <w:r w:rsidR="003332BA" w:rsidRPr="006E1978">
        <w:rPr>
          <w:rFonts w:cs="Times New Roman"/>
          <w:sz w:val="24"/>
          <w:szCs w:val="24"/>
        </w:rPr>
        <w:t xml:space="preserve"> and its</w:t>
      </w:r>
      <w:r w:rsidR="00AD7D71" w:rsidRPr="006E1978">
        <w:rPr>
          <w:rFonts w:cs="Times New Roman"/>
          <w:sz w:val="24"/>
          <w:szCs w:val="24"/>
        </w:rPr>
        <w:t xml:space="preserve"> </w:t>
      </w:r>
      <w:r w:rsidR="003332BA" w:rsidRPr="006E1978">
        <w:rPr>
          <w:rFonts w:cs="Times New Roman"/>
          <w:sz w:val="24"/>
          <w:szCs w:val="24"/>
        </w:rPr>
        <w:t xml:space="preserve">one-month </w:t>
      </w:r>
      <w:r w:rsidR="00AD7D71" w:rsidRPr="006E1978">
        <w:rPr>
          <w:rFonts w:cs="Times New Roman"/>
          <w:sz w:val="24"/>
          <w:szCs w:val="24"/>
        </w:rPr>
        <w:t xml:space="preserve">test-retest reliability by </w:t>
      </w:r>
      <w:bookmarkStart w:id="8" w:name="OLE_LINK13"/>
      <w:bookmarkStart w:id="9" w:name="OLE_LINK14"/>
      <w:r w:rsidR="00AD7D71" w:rsidRPr="006E1978">
        <w:rPr>
          <w:rFonts w:cs="Times New Roman"/>
          <w:sz w:val="24"/>
          <w:szCs w:val="24"/>
        </w:rPr>
        <w:t xml:space="preserve">intraclass correlation coefficient </w:t>
      </w:r>
      <w:bookmarkEnd w:id="8"/>
      <w:bookmarkEnd w:id="9"/>
      <w:r w:rsidR="00AD7D71" w:rsidRPr="006E1978">
        <w:rPr>
          <w:rFonts w:cs="Times New Roman"/>
          <w:sz w:val="24"/>
          <w:szCs w:val="24"/>
        </w:rPr>
        <w:t>(ICC</w:t>
      </w:r>
      <w:r w:rsidR="003332BA" w:rsidRPr="006E1978">
        <w:rPr>
          <w:rFonts w:cs="Times New Roman"/>
          <w:sz w:val="24"/>
          <w:szCs w:val="24"/>
        </w:rPr>
        <w:t xml:space="preserve"> &gt;</w:t>
      </w:r>
      <w:r w:rsidR="00414418" w:rsidRPr="006E1978">
        <w:rPr>
          <w:rFonts w:cs="Times New Roman"/>
          <w:sz w:val="24"/>
          <w:szCs w:val="24"/>
        </w:rPr>
        <w:t xml:space="preserve"> 0.50</w:t>
      </w:r>
      <w:r w:rsidR="003332BA" w:rsidRPr="006E1978">
        <w:rPr>
          <w:rFonts w:cs="Times New Roman"/>
          <w:sz w:val="24"/>
          <w:szCs w:val="24"/>
        </w:rPr>
        <w:t xml:space="preserve"> as acceptable;</w:t>
      </w:r>
      <w:r w:rsidR="0015549D" w:rsidRPr="006E1978">
        <w:rPr>
          <w:rFonts w:cs="Times New Roman"/>
          <w:sz w:val="24"/>
          <w:szCs w:val="24"/>
        </w:rPr>
        <w:t xml:space="preserve"> Ko</w:t>
      </w:r>
      <w:r w:rsidR="00414418" w:rsidRPr="006E1978">
        <w:rPr>
          <w:rFonts w:cs="Times New Roman"/>
          <w:sz w:val="24"/>
          <w:szCs w:val="24"/>
        </w:rPr>
        <w:t>o</w:t>
      </w:r>
      <w:r w:rsidR="0015549D" w:rsidRPr="006E1978">
        <w:rPr>
          <w:rFonts w:cs="Times New Roman"/>
          <w:sz w:val="24"/>
          <w:szCs w:val="24"/>
        </w:rPr>
        <w:t xml:space="preserve"> &amp; Li, 2016)</w:t>
      </w:r>
      <w:r w:rsidR="004743FE" w:rsidRPr="006E1978">
        <w:rPr>
          <w:rFonts w:cs="Times New Roman"/>
          <w:sz w:val="24"/>
          <w:szCs w:val="24"/>
        </w:rPr>
        <w:t>.</w:t>
      </w:r>
      <w:r w:rsidR="00AD7D71" w:rsidRPr="006E1978">
        <w:rPr>
          <w:rFonts w:cs="Times New Roman"/>
          <w:sz w:val="24"/>
          <w:szCs w:val="24"/>
        </w:rPr>
        <w:t xml:space="preserve"> </w:t>
      </w:r>
      <w:r w:rsidR="00E56DCD" w:rsidRPr="006E1978">
        <w:rPr>
          <w:rFonts w:cs="Times New Roman"/>
          <w:sz w:val="24"/>
          <w:szCs w:val="24"/>
        </w:rPr>
        <w:t>T</w:t>
      </w:r>
      <w:r w:rsidR="00AD7D71" w:rsidRPr="006E1978">
        <w:rPr>
          <w:rFonts w:cs="Times New Roman"/>
          <w:sz w:val="24"/>
          <w:szCs w:val="24"/>
        </w:rPr>
        <w:t xml:space="preserve">he </w:t>
      </w:r>
      <w:r w:rsidR="00AD72B2" w:rsidRPr="006E1978">
        <w:rPr>
          <w:rFonts w:cs="Times New Roman"/>
          <w:sz w:val="24"/>
          <w:szCs w:val="24"/>
        </w:rPr>
        <w:t>convergent</w:t>
      </w:r>
      <w:r w:rsidR="00AD7D71" w:rsidRPr="006E1978">
        <w:rPr>
          <w:rFonts w:cs="Times New Roman"/>
          <w:sz w:val="24"/>
          <w:szCs w:val="24"/>
        </w:rPr>
        <w:t xml:space="preserve"> validity was tested by </w:t>
      </w:r>
      <w:r w:rsidR="00367B9C" w:rsidRPr="006E1978">
        <w:rPr>
          <w:rFonts w:cs="Times New Roman"/>
          <w:sz w:val="24"/>
          <w:szCs w:val="24"/>
        </w:rPr>
        <w:t>bivariate</w:t>
      </w:r>
      <w:r w:rsidR="00390256" w:rsidRPr="006E1978">
        <w:rPr>
          <w:rFonts w:cs="Times New Roman"/>
          <w:sz w:val="24"/>
          <w:szCs w:val="24"/>
        </w:rPr>
        <w:t xml:space="preserve"> </w:t>
      </w:r>
      <w:r w:rsidR="00AD7D71" w:rsidRPr="006E1978">
        <w:rPr>
          <w:rFonts w:cs="Times New Roman"/>
          <w:sz w:val="24"/>
          <w:szCs w:val="24"/>
        </w:rPr>
        <w:t>correlations</w:t>
      </w:r>
      <w:r w:rsidR="00367B9C" w:rsidRPr="006E1978">
        <w:rPr>
          <w:rFonts w:cs="Times New Roman"/>
          <w:sz w:val="24"/>
          <w:szCs w:val="24"/>
        </w:rPr>
        <w:t xml:space="preserve"> of MOGS</w:t>
      </w:r>
      <w:r w:rsidR="00AD7D71" w:rsidRPr="006E1978">
        <w:rPr>
          <w:rFonts w:cs="Times New Roman"/>
          <w:sz w:val="24"/>
          <w:szCs w:val="24"/>
        </w:rPr>
        <w:t xml:space="preserve"> </w:t>
      </w:r>
      <w:r w:rsidR="00390256" w:rsidRPr="006E1978">
        <w:rPr>
          <w:rFonts w:cs="Times New Roman"/>
          <w:sz w:val="24"/>
          <w:szCs w:val="24"/>
        </w:rPr>
        <w:t xml:space="preserve">with </w:t>
      </w:r>
      <w:r w:rsidR="00385532" w:rsidRPr="006E1978">
        <w:rPr>
          <w:rFonts w:cs="Times New Roman"/>
          <w:sz w:val="24"/>
          <w:szCs w:val="24"/>
        </w:rPr>
        <w:t>generic metacognition</w:t>
      </w:r>
      <w:r w:rsidR="00AF607C" w:rsidRPr="006E1978">
        <w:rPr>
          <w:rFonts w:cs="Times New Roman"/>
          <w:sz w:val="24"/>
          <w:szCs w:val="24"/>
        </w:rPr>
        <w:t>s</w:t>
      </w:r>
      <w:r w:rsidR="00ED7973" w:rsidRPr="006E1978">
        <w:rPr>
          <w:rFonts w:cs="Times New Roman"/>
          <w:sz w:val="24"/>
          <w:szCs w:val="24"/>
        </w:rPr>
        <w:t>,</w:t>
      </w:r>
      <w:r w:rsidR="00367B9C" w:rsidRPr="006E1978">
        <w:rPr>
          <w:rFonts w:cs="Times New Roman"/>
          <w:sz w:val="24"/>
          <w:szCs w:val="24"/>
        </w:rPr>
        <w:t xml:space="preserve"> </w:t>
      </w:r>
      <w:r w:rsidR="004D7F40" w:rsidRPr="006E1978">
        <w:rPr>
          <w:rFonts w:cs="Times New Roman"/>
          <w:sz w:val="24"/>
          <w:szCs w:val="24"/>
        </w:rPr>
        <w:t>stress</w:t>
      </w:r>
      <w:r w:rsidR="00ED7973" w:rsidRPr="006E1978">
        <w:rPr>
          <w:rFonts w:cs="Times New Roman"/>
          <w:sz w:val="24"/>
          <w:szCs w:val="24"/>
        </w:rPr>
        <w:t xml:space="preserve">, and </w:t>
      </w:r>
      <w:r w:rsidR="00D02A39" w:rsidRPr="006E1978">
        <w:rPr>
          <w:rFonts w:cs="Times New Roman"/>
          <w:sz w:val="24"/>
          <w:szCs w:val="24"/>
        </w:rPr>
        <w:t>I</w:t>
      </w:r>
      <w:r w:rsidR="00ED7973" w:rsidRPr="006E1978">
        <w:rPr>
          <w:rFonts w:cs="Times New Roman"/>
          <w:sz w:val="24"/>
          <w:szCs w:val="24"/>
        </w:rPr>
        <w:t xml:space="preserve">GD </w:t>
      </w:r>
      <w:r w:rsidR="00124152" w:rsidRPr="006E1978">
        <w:rPr>
          <w:rFonts w:cs="Times New Roman"/>
          <w:sz w:val="24"/>
          <w:szCs w:val="24"/>
        </w:rPr>
        <w:t>tendency</w:t>
      </w:r>
      <w:r w:rsidR="00467972" w:rsidRPr="006E1978">
        <w:rPr>
          <w:rFonts w:cs="Times New Roman"/>
          <w:sz w:val="24"/>
          <w:szCs w:val="24"/>
        </w:rPr>
        <w:t xml:space="preserve"> (</w:t>
      </w:r>
      <w:r w:rsidR="00467972" w:rsidRPr="006E1978">
        <w:rPr>
          <w:rFonts w:cs="Times New Roman"/>
          <w:i/>
          <w:iCs/>
          <w:sz w:val="24"/>
          <w:szCs w:val="24"/>
        </w:rPr>
        <w:t>r</w:t>
      </w:r>
      <w:r w:rsidR="00467972" w:rsidRPr="006E1978">
        <w:rPr>
          <w:rFonts w:cs="Times New Roman"/>
          <w:sz w:val="24"/>
          <w:szCs w:val="24"/>
        </w:rPr>
        <w:t xml:space="preserve"> = .10, .30, and .50 corresponding to </w:t>
      </w:r>
      <w:r w:rsidR="00D8551B" w:rsidRPr="006E1978">
        <w:rPr>
          <w:rFonts w:cs="Times New Roman"/>
          <w:sz w:val="24"/>
          <w:szCs w:val="24"/>
        </w:rPr>
        <w:t>small</w:t>
      </w:r>
      <w:r w:rsidR="00467972" w:rsidRPr="006E1978">
        <w:rPr>
          <w:rFonts w:cs="Times New Roman"/>
          <w:sz w:val="24"/>
          <w:szCs w:val="24"/>
        </w:rPr>
        <w:t xml:space="preserve">, </w:t>
      </w:r>
      <w:r w:rsidR="00D8551B" w:rsidRPr="006E1978">
        <w:rPr>
          <w:rFonts w:cs="Times New Roman"/>
          <w:sz w:val="24"/>
          <w:szCs w:val="24"/>
        </w:rPr>
        <w:t>medium</w:t>
      </w:r>
      <w:r w:rsidR="00467972" w:rsidRPr="006E1978">
        <w:rPr>
          <w:rFonts w:cs="Times New Roman"/>
          <w:sz w:val="24"/>
          <w:szCs w:val="24"/>
        </w:rPr>
        <w:t xml:space="preserve">, and </w:t>
      </w:r>
      <w:r w:rsidR="00D8551B" w:rsidRPr="006E1978">
        <w:rPr>
          <w:rFonts w:cs="Times New Roman"/>
          <w:sz w:val="24"/>
          <w:szCs w:val="24"/>
        </w:rPr>
        <w:t>large</w:t>
      </w:r>
      <w:r w:rsidR="00467972" w:rsidRPr="006E1978">
        <w:rPr>
          <w:rFonts w:cs="Times New Roman"/>
          <w:sz w:val="24"/>
          <w:szCs w:val="24"/>
        </w:rPr>
        <w:t xml:space="preserve"> effect</w:t>
      </w:r>
      <w:r w:rsidR="00D8551B" w:rsidRPr="006E1978">
        <w:rPr>
          <w:rFonts w:cs="Times New Roman"/>
          <w:sz w:val="24"/>
          <w:szCs w:val="24"/>
        </w:rPr>
        <w:t xml:space="preserve"> sizes</w:t>
      </w:r>
      <w:r w:rsidR="00467972" w:rsidRPr="006E1978">
        <w:rPr>
          <w:rFonts w:cs="Times New Roman"/>
          <w:sz w:val="24"/>
          <w:szCs w:val="24"/>
        </w:rPr>
        <w:t>; Cohen, 1988)</w:t>
      </w:r>
      <w:r w:rsidR="00881545" w:rsidRPr="006E1978">
        <w:rPr>
          <w:rFonts w:cs="Times New Roman"/>
          <w:sz w:val="24"/>
          <w:szCs w:val="24"/>
        </w:rPr>
        <w:t xml:space="preserve">, as well as </w:t>
      </w:r>
      <w:r w:rsidR="00881545" w:rsidRPr="006E1978">
        <w:rPr>
          <w:rFonts w:cs="Times New Roman"/>
          <w:i/>
          <w:iCs/>
          <w:sz w:val="24"/>
          <w:szCs w:val="24"/>
        </w:rPr>
        <w:t>t</w:t>
      </w:r>
      <w:r w:rsidR="00881545" w:rsidRPr="006E1978">
        <w:rPr>
          <w:rFonts w:cs="Times New Roman"/>
          <w:sz w:val="24"/>
          <w:szCs w:val="24"/>
        </w:rPr>
        <w:t>-test</w:t>
      </w:r>
      <w:r w:rsidR="00AF607C" w:rsidRPr="006E1978">
        <w:rPr>
          <w:rFonts w:cs="Times New Roman"/>
          <w:sz w:val="24"/>
          <w:szCs w:val="24"/>
        </w:rPr>
        <w:t>s</w:t>
      </w:r>
      <w:r w:rsidR="00881545" w:rsidRPr="006E1978">
        <w:rPr>
          <w:rFonts w:cs="Times New Roman"/>
          <w:sz w:val="24"/>
          <w:szCs w:val="24"/>
        </w:rPr>
        <w:t xml:space="preserve"> </w:t>
      </w:r>
      <w:r w:rsidR="00AF607C" w:rsidRPr="006E1978">
        <w:rPr>
          <w:rFonts w:cs="Times New Roman"/>
          <w:sz w:val="24"/>
          <w:szCs w:val="24"/>
        </w:rPr>
        <w:t xml:space="preserve">for </w:t>
      </w:r>
      <w:r w:rsidR="00881545" w:rsidRPr="006E1978">
        <w:rPr>
          <w:rFonts w:cs="Times New Roman"/>
          <w:sz w:val="24"/>
          <w:szCs w:val="24"/>
        </w:rPr>
        <w:t>detecting hypothesized, significant differences of MOGS scores between probable IGD group and non-IGD group.</w:t>
      </w:r>
      <w:r w:rsidR="004D7F40" w:rsidRPr="006E1978">
        <w:rPr>
          <w:rFonts w:cs="Times New Roman"/>
          <w:sz w:val="24"/>
          <w:szCs w:val="24"/>
        </w:rPr>
        <w:t xml:space="preserve"> </w:t>
      </w:r>
      <w:r w:rsidR="00066959" w:rsidRPr="006E1978">
        <w:rPr>
          <w:rFonts w:cs="Times New Roman"/>
          <w:sz w:val="24"/>
          <w:szCs w:val="24"/>
        </w:rPr>
        <w:t xml:space="preserve">Additionally, we followed the procedure recommended </w:t>
      </w:r>
      <w:r w:rsidR="00E9089D" w:rsidRPr="006E1978">
        <w:rPr>
          <w:rFonts w:cs="Times New Roman"/>
          <w:sz w:val="24"/>
          <w:szCs w:val="24"/>
        </w:rPr>
        <w:t>by Stanton et al. (2002)</w:t>
      </w:r>
      <w:r w:rsidR="00066959" w:rsidRPr="006E1978">
        <w:rPr>
          <w:rFonts w:cs="Times New Roman"/>
          <w:sz w:val="24"/>
          <w:szCs w:val="24"/>
        </w:rPr>
        <w:t xml:space="preserve"> and created a short</w:t>
      </w:r>
      <w:r w:rsidR="00385532" w:rsidRPr="006E1978">
        <w:rPr>
          <w:rFonts w:cs="Times New Roman"/>
          <w:sz w:val="24"/>
          <w:szCs w:val="24"/>
        </w:rPr>
        <w:t>-</w:t>
      </w:r>
      <w:r w:rsidR="00066959" w:rsidRPr="006E1978">
        <w:rPr>
          <w:rFonts w:cs="Times New Roman"/>
          <w:sz w:val="24"/>
          <w:szCs w:val="24"/>
        </w:rPr>
        <w:t>form MOGS.</w:t>
      </w:r>
    </w:p>
    <w:p w14:paraId="73018F9B" w14:textId="4514C91A" w:rsidR="00B828D8" w:rsidRPr="006E1978" w:rsidRDefault="003B526E" w:rsidP="00792616">
      <w:pPr>
        <w:snapToGrid w:val="0"/>
        <w:spacing w:line="480" w:lineRule="auto"/>
        <w:jc w:val="left"/>
        <w:rPr>
          <w:rFonts w:cs="Times New Roman"/>
          <w:b/>
          <w:bCs/>
          <w:sz w:val="24"/>
          <w:szCs w:val="24"/>
        </w:rPr>
      </w:pPr>
      <w:r w:rsidRPr="006E1978">
        <w:rPr>
          <w:rFonts w:cs="Times New Roman"/>
          <w:b/>
          <w:bCs/>
          <w:sz w:val="24"/>
          <w:szCs w:val="24"/>
        </w:rPr>
        <w:t xml:space="preserve">3. </w:t>
      </w:r>
      <w:r w:rsidR="00B828D8" w:rsidRPr="006E1978">
        <w:rPr>
          <w:rFonts w:cs="Times New Roman"/>
          <w:b/>
          <w:bCs/>
          <w:sz w:val="24"/>
          <w:szCs w:val="24"/>
        </w:rPr>
        <w:t>Results</w:t>
      </w:r>
    </w:p>
    <w:p w14:paraId="4973BF6A" w14:textId="24637488" w:rsidR="003B526E" w:rsidRPr="006E1978" w:rsidRDefault="002C647F" w:rsidP="00792616">
      <w:pPr>
        <w:snapToGrid w:val="0"/>
        <w:spacing w:line="480" w:lineRule="auto"/>
        <w:jc w:val="left"/>
        <w:rPr>
          <w:rFonts w:cs="Times New Roman"/>
          <w:i/>
          <w:iCs/>
          <w:sz w:val="24"/>
          <w:szCs w:val="24"/>
          <w:lang w:eastAsia="zh-TW"/>
        </w:rPr>
      </w:pPr>
      <w:r w:rsidRPr="006E1978">
        <w:rPr>
          <w:rFonts w:cs="Times New Roman"/>
          <w:i/>
          <w:iCs/>
          <w:sz w:val="24"/>
          <w:szCs w:val="24"/>
        </w:rPr>
        <w:t xml:space="preserve">3.1 </w:t>
      </w:r>
      <w:r w:rsidR="008D7179" w:rsidRPr="006E1978">
        <w:rPr>
          <w:rFonts w:cs="Times New Roman"/>
          <w:i/>
          <w:iCs/>
          <w:sz w:val="24"/>
          <w:szCs w:val="24"/>
        </w:rPr>
        <w:t>F</w:t>
      </w:r>
      <w:r w:rsidRPr="006E1978">
        <w:rPr>
          <w:rFonts w:cs="Times New Roman"/>
          <w:i/>
          <w:iCs/>
          <w:sz w:val="24"/>
          <w:szCs w:val="24"/>
        </w:rPr>
        <w:t>actor analysis</w:t>
      </w:r>
      <w:r w:rsidR="00ED1443" w:rsidRPr="006E1978">
        <w:rPr>
          <w:rFonts w:cs="Times New Roman"/>
          <w:i/>
          <w:iCs/>
          <w:sz w:val="24"/>
          <w:szCs w:val="24"/>
        </w:rPr>
        <w:t xml:space="preserve"> of </w:t>
      </w:r>
      <w:r w:rsidR="002C1014" w:rsidRPr="006E1978">
        <w:rPr>
          <w:rFonts w:cs="Times New Roman"/>
          <w:i/>
          <w:iCs/>
          <w:sz w:val="24"/>
          <w:szCs w:val="24"/>
        </w:rPr>
        <w:t>the</w:t>
      </w:r>
      <w:r w:rsidR="002C1014" w:rsidRPr="006E1978">
        <w:rPr>
          <w:rFonts w:cs="Times New Roman"/>
          <w:i/>
          <w:iCs/>
          <w:sz w:val="24"/>
          <w:szCs w:val="24"/>
          <w:lang w:eastAsia="zh-TW"/>
        </w:rPr>
        <w:t xml:space="preserve"> </w:t>
      </w:r>
      <w:r w:rsidR="00ED1443" w:rsidRPr="006E1978">
        <w:rPr>
          <w:rFonts w:cs="Times New Roman"/>
          <w:i/>
          <w:iCs/>
          <w:sz w:val="24"/>
          <w:szCs w:val="24"/>
        </w:rPr>
        <w:t>full</w:t>
      </w:r>
      <w:r w:rsidR="002F05FE" w:rsidRPr="006E1978">
        <w:rPr>
          <w:rFonts w:cs="Times New Roman"/>
          <w:i/>
          <w:iCs/>
          <w:sz w:val="24"/>
          <w:szCs w:val="24"/>
        </w:rPr>
        <w:t>-</w:t>
      </w:r>
      <w:r w:rsidR="002F05FE" w:rsidRPr="006E1978">
        <w:rPr>
          <w:rFonts w:cs="Times New Roman"/>
          <w:i/>
          <w:iCs/>
          <w:sz w:val="24"/>
          <w:szCs w:val="24"/>
          <w:lang w:eastAsia="zh-TW"/>
        </w:rPr>
        <w:t>scale</w:t>
      </w:r>
      <w:r w:rsidR="00ED1443" w:rsidRPr="006E1978">
        <w:rPr>
          <w:rFonts w:cs="Times New Roman"/>
          <w:i/>
          <w:iCs/>
          <w:sz w:val="24"/>
          <w:szCs w:val="24"/>
          <w:lang w:eastAsia="zh-TW"/>
        </w:rPr>
        <w:t xml:space="preserve"> </w:t>
      </w:r>
      <w:r w:rsidR="00E66654" w:rsidRPr="006E1978">
        <w:rPr>
          <w:rFonts w:cs="Times New Roman"/>
          <w:i/>
          <w:iCs/>
          <w:sz w:val="24"/>
          <w:szCs w:val="24"/>
          <w:lang w:eastAsia="zh-TW"/>
        </w:rPr>
        <w:t>MOGS</w:t>
      </w:r>
    </w:p>
    <w:p w14:paraId="167BD499" w14:textId="27045204" w:rsidR="009802FA" w:rsidRPr="006E1978" w:rsidRDefault="000C797B" w:rsidP="00365CB2">
      <w:pPr>
        <w:snapToGrid w:val="0"/>
        <w:spacing w:line="480" w:lineRule="auto"/>
        <w:ind w:firstLineChars="200" w:firstLine="480"/>
        <w:jc w:val="left"/>
        <w:rPr>
          <w:rFonts w:cs="Times New Roman"/>
          <w:sz w:val="24"/>
          <w:szCs w:val="24"/>
        </w:rPr>
      </w:pPr>
      <w:r w:rsidRPr="006E1978">
        <w:rPr>
          <w:rFonts w:cs="Times New Roman"/>
          <w:sz w:val="24"/>
          <w:szCs w:val="24"/>
        </w:rPr>
        <w:t xml:space="preserve">In Subsample A, the appropriateness of EFA for </w:t>
      </w:r>
      <w:r w:rsidR="00FB0F08" w:rsidRPr="006E1978">
        <w:rPr>
          <w:rFonts w:cs="Times New Roman"/>
          <w:sz w:val="24"/>
          <w:szCs w:val="24"/>
        </w:rPr>
        <w:t xml:space="preserve">the 12-item MOGS with </w:t>
      </w:r>
      <w:r w:rsidRPr="006E1978">
        <w:rPr>
          <w:rFonts w:cs="Times New Roman"/>
          <w:sz w:val="24"/>
          <w:szCs w:val="24"/>
        </w:rPr>
        <w:t>our data was established by a KMO of .93 and a significant Bartlett's test of sphericity (</w:t>
      </w:r>
      <w:r w:rsidRPr="006E1978">
        <w:rPr>
          <w:rFonts w:cs="Times New Roman"/>
          <w:i/>
          <w:iCs/>
          <w:sz w:val="24"/>
          <w:szCs w:val="24"/>
        </w:rPr>
        <w:t>p</w:t>
      </w:r>
      <w:r w:rsidRPr="006E1978">
        <w:rPr>
          <w:rFonts w:cs="Times New Roman"/>
          <w:sz w:val="24"/>
          <w:szCs w:val="24"/>
        </w:rPr>
        <w:t xml:space="preserve"> &lt; .001).</w:t>
      </w:r>
      <w:r w:rsidR="00B96EF9" w:rsidRPr="006E1978">
        <w:rPr>
          <w:rFonts w:cs="Times New Roman"/>
          <w:sz w:val="24"/>
          <w:szCs w:val="24"/>
        </w:rPr>
        <w:t xml:space="preserve"> </w:t>
      </w:r>
      <w:r w:rsidR="00365CB2" w:rsidRPr="006E1978">
        <w:rPr>
          <w:rFonts w:cs="Times New Roman"/>
          <w:sz w:val="24"/>
          <w:szCs w:val="24"/>
        </w:rPr>
        <w:t xml:space="preserve">Subsequently, </w:t>
      </w:r>
      <w:r w:rsidR="00B96EF9" w:rsidRPr="006E1978">
        <w:rPr>
          <w:rFonts w:cs="Times New Roman"/>
          <w:sz w:val="24"/>
          <w:szCs w:val="24"/>
        </w:rPr>
        <w:t xml:space="preserve">we extracted two factors from the 12-item MOGS </w:t>
      </w:r>
      <w:r w:rsidR="008A44BB" w:rsidRPr="006E1978">
        <w:rPr>
          <w:rFonts w:cs="Times New Roman"/>
          <w:sz w:val="24"/>
          <w:szCs w:val="24"/>
        </w:rPr>
        <w:t xml:space="preserve">with EFA </w:t>
      </w:r>
      <w:r w:rsidR="00365CB2" w:rsidRPr="006E1978">
        <w:rPr>
          <w:rFonts w:cs="Times New Roman"/>
          <w:sz w:val="24"/>
          <w:szCs w:val="24"/>
        </w:rPr>
        <w:t>as indicated by the parallel analysis. As shown in Table 1</w:t>
      </w:r>
      <w:r w:rsidR="00DA2DD0" w:rsidRPr="006E1978">
        <w:rPr>
          <w:rFonts w:cs="Times New Roman"/>
          <w:sz w:val="24"/>
          <w:szCs w:val="24"/>
        </w:rPr>
        <w:t xml:space="preserve"> (12-item version)</w:t>
      </w:r>
      <w:r w:rsidR="00365CB2" w:rsidRPr="006E1978">
        <w:rPr>
          <w:rFonts w:cs="Times New Roman"/>
          <w:sz w:val="24"/>
          <w:szCs w:val="24"/>
        </w:rPr>
        <w:t xml:space="preserve">, </w:t>
      </w:r>
      <w:r w:rsidR="008A44BB" w:rsidRPr="006E1978">
        <w:rPr>
          <w:rFonts w:cs="Times New Roman"/>
          <w:sz w:val="24"/>
          <w:szCs w:val="24"/>
        </w:rPr>
        <w:t>11</w:t>
      </w:r>
      <w:r w:rsidR="00B96EF9" w:rsidRPr="006E1978">
        <w:rPr>
          <w:rFonts w:cs="Times New Roman"/>
          <w:sz w:val="24"/>
          <w:szCs w:val="24"/>
        </w:rPr>
        <w:t xml:space="preserve"> of the</w:t>
      </w:r>
      <w:r w:rsidR="008A44BB" w:rsidRPr="006E1978">
        <w:rPr>
          <w:rFonts w:cs="Times New Roman"/>
          <w:sz w:val="24"/>
          <w:szCs w:val="24"/>
        </w:rPr>
        <w:t xml:space="preserve"> 12</w:t>
      </w:r>
      <w:r w:rsidR="00B96EF9" w:rsidRPr="006E1978">
        <w:rPr>
          <w:rFonts w:cs="Times New Roman"/>
          <w:sz w:val="24"/>
          <w:szCs w:val="24"/>
        </w:rPr>
        <w:t xml:space="preserve"> items were </w:t>
      </w:r>
      <w:r w:rsidR="00115E6B" w:rsidRPr="006E1978">
        <w:rPr>
          <w:rFonts w:cs="Times New Roman"/>
          <w:sz w:val="24"/>
          <w:szCs w:val="24"/>
        </w:rPr>
        <w:t xml:space="preserve">dominantly loaded on one factor with a standardized factor loading greater </w:t>
      </w:r>
      <w:r w:rsidR="00115E6B" w:rsidRPr="006E1978">
        <w:rPr>
          <w:rFonts w:cs="Times New Roman"/>
          <w:sz w:val="24"/>
          <w:szCs w:val="24"/>
        </w:rPr>
        <w:lastRenderedPageBreak/>
        <w:t>than .40</w:t>
      </w:r>
      <w:r w:rsidR="009304AA" w:rsidRPr="006E1978">
        <w:rPr>
          <w:rFonts w:cs="Times New Roman"/>
          <w:sz w:val="24"/>
          <w:szCs w:val="24"/>
        </w:rPr>
        <w:t>.</w:t>
      </w:r>
      <w:r w:rsidR="008A44BB" w:rsidRPr="006E1978">
        <w:rPr>
          <w:rFonts w:cs="Times New Roman"/>
          <w:sz w:val="24"/>
          <w:szCs w:val="24"/>
        </w:rPr>
        <w:t xml:space="preserve"> </w:t>
      </w:r>
      <w:r w:rsidR="009304AA" w:rsidRPr="006E1978">
        <w:rPr>
          <w:rFonts w:cs="Times New Roman"/>
          <w:sz w:val="24"/>
          <w:szCs w:val="24"/>
        </w:rPr>
        <w:t>H</w:t>
      </w:r>
      <w:r w:rsidR="008A44BB" w:rsidRPr="006E1978">
        <w:rPr>
          <w:rFonts w:cs="Times New Roman"/>
          <w:sz w:val="24"/>
          <w:szCs w:val="24"/>
        </w:rPr>
        <w:t>owever,</w:t>
      </w:r>
      <w:r w:rsidR="00115E6B" w:rsidRPr="006E1978">
        <w:rPr>
          <w:rFonts w:cs="Times New Roman"/>
          <w:sz w:val="24"/>
          <w:szCs w:val="24"/>
        </w:rPr>
        <w:t xml:space="preserve"> Item </w:t>
      </w:r>
      <w:r w:rsidR="008A44BB" w:rsidRPr="006E1978">
        <w:rPr>
          <w:rFonts w:cs="Times New Roman"/>
          <w:sz w:val="24"/>
          <w:szCs w:val="24"/>
        </w:rPr>
        <w:t>7</w:t>
      </w:r>
      <w:r w:rsidR="00365CB2" w:rsidRPr="006E1978">
        <w:rPr>
          <w:rFonts w:cs="Times New Roman"/>
          <w:sz w:val="24"/>
          <w:szCs w:val="24"/>
        </w:rPr>
        <w:t xml:space="preserve"> </w:t>
      </w:r>
      <w:r w:rsidR="008A44BB" w:rsidRPr="006E1978">
        <w:rPr>
          <w:rFonts w:cs="Times New Roman"/>
          <w:sz w:val="24"/>
          <w:szCs w:val="24"/>
        </w:rPr>
        <w:t>displayed</w:t>
      </w:r>
      <w:r w:rsidR="00365CB2" w:rsidRPr="006E1978">
        <w:rPr>
          <w:rFonts w:cs="Times New Roman"/>
          <w:sz w:val="24"/>
          <w:szCs w:val="24"/>
        </w:rPr>
        <w:t xml:space="preserve"> a double-loading</w:t>
      </w:r>
      <w:r w:rsidR="008A44BB" w:rsidRPr="006E1978">
        <w:rPr>
          <w:rFonts w:cs="Times New Roman"/>
          <w:sz w:val="24"/>
          <w:szCs w:val="24"/>
        </w:rPr>
        <w:t xml:space="preserve"> (.52 and .60) </w:t>
      </w:r>
      <w:r w:rsidR="00365CB2" w:rsidRPr="006E1978">
        <w:rPr>
          <w:rFonts w:cs="Times New Roman"/>
          <w:sz w:val="24"/>
          <w:szCs w:val="24"/>
        </w:rPr>
        <w:t>on both factors</w:t>
      </w:r>
      <w:r w:rsidR="008A44BB" w:rsidRPr="006E1978">
        <w:rPr>
          <w:rFonts w:cs="Times New Roman"/>
          <w:sz w:val="24"/>
          <w:szCs w:val="24"/>
        </w:rPr>
        <w:t xml:space="preserve">, and hence was excluded for </w:t>
      </w:r>
      <w:r w:rsidR="00365CB2" w:rsidRPr="006E1978">
        <w:rPr>
          <w:rFonts w:cs="Times New Roman"/>
          <w:sz w:val="24"/>
          <w:szCs w:val="24"/>
        </w:rPr>
        <w:t>lack</w:t>
      </w:r>
      <w:r w:rsidR="008A44BB" w:rsidRPr="006E1978">
        <w:rPr>
          <w:rFonts w:cs="Times New Roman"/>
          <w:sz w:val="24"/>
          <w:szCs w:val="24"/>
        </w:rPr>
        <w:t>ing</w:t>
      </w:r>
      <w:r w:rsidR="00365CB2" w:rsidRPr="006E1978">
        <w:rPr>
          <w:rFonts w:cs="Times New Roman"/>
          <w:sz w:val="24"/>
          <w:szCs w:val="24"/>
        </w:rPr>
        <w:t xml:space="preserve"> distinctiveness of factor loading with one specific factor.</w:t>
      </w:r>
      <w:r w:rsidR="008A44BB" w:rsidRPr="006E1978">
        <w:rPr>
          <w:rFonts w:cs="Times New Roman"/>
          <w:sz w:val="24"/>
          <w:szCs w:val="24"/>
        </w:rPr>
        <w:t xml:space="preserve"> After the removal of Item 7, we </w:t>
      </w:r>
      <w:r w:rsidR="00DA2DD0" w:rsidRPr="006E1978">
        <w:rPr>
          <w:rFonts w:cs="Times New Roman"/>
          <w:sz w:val="24"/>
          <w:szCs w:val="24"/>
        </w:rPr>
        <w:t>re-performed the parallel analysis and EFA on the remaining 11 items</w:t>
      </w:r>
      <w:r w:rsidR="0066091F" w:rsidRPr="006E1978">
        <w:rPr>
          <w:rFonts w:cs="Times New Roman"/>
          <w:sz w:val="24"/>
          <w:szCs w:val="24"/>
        </w:rPr>
        <w:t xml:space="preserve"> (i.e., revised MOGS)</w:t>
      </w:r>
      <w:r w:rsidR="00DA2DD0" w:rsidRPr="006E1978">
        <w:rPr>
          <w:rFonts w:cs="Times New Roman"/>
          <w:sz w:val="24"/>
          <w:szCs w:val="24"/>
        </w:rPr>
        <w:t xml:space="preserve"> based on a KMO of .92 and a significant Bartlett's test of sphericity (</w:t>
      </w:r>
      <w:r w:rsidR="00DA2DD0" w:rsidRPr="006E1978">
        <w:rPr>
          <w:rFonts w:cs="Times New Roman"/>
          <w:i/>
          <w:iCs/>
          <w:sz w:val="24"/>
          <w:szCs w:val="24"/>
        </w:rPr>
        <w:t>p</w:t>
      </w:r>
      <w:r w:rsidR="00DA2DD0" w:rsidRPr="006E1978">
        <w:rPr>
          <w:rFonts w:cs="Times New Roman"/>
          <w:sz w:val="24"/>
          <w:szCs w:val="24"/>
        </w:rPr>
        <w:t xml:space="preserve"> &lt; .001). This revised 11-item MOGS demonstrated </w:t>
      </w:r>
      <w:r w:rsidR="009802FA" w:rsidRPr="006E1978">
        <w:rPr>
          <w:rFonts w:cs="Times New Roman"/>
          <w:sz w:val="24"/>
          <w:szCs w:val="24"/>
        </w:rPr>
        <w:t>adequate factor loading and</w:t>
      </w:r>
      <w:r w:rsidR="00DA2DD0" w:rsidRPr="006E1978">
        <w:rPr>
          <w:rFonts w:cs="Times New Roman"/>
          <w:sz w:val="24"/>
          <w:szCs w:val="24"/>
        </w:rPr>
        <w:t xml:space="preserve"> distinctiveness of factor loading</w:t>
      </w:r>
      <w:r w:rsidR="00AE6881" w:rsidRPr="006E1978">
        <w:rPr>
          <w:rFonts w:cs="Times New Roman"/>
          <w:sz w:val="24"/>
          <w:szCs w:val="24"/>
        </w:rPr>
        <w:t>, with six items dominantly loaded on one factor (.57 to .86) and five items on the other (.68 to .85</w:t>
      </w:r>
      <w:r w:rsidR="0080012A" w:rsidRPr="006E1978">
        <w:rPr>
          <w:rFonts w:cs="Times New Roman"/>
          <w:sz w:val="24"/>
          <w:szCs w:val="24"/>
        </w:rPr>
        <w:t>; see Table 1, 11-item version</w:t>
      </w:r>
      <w:r w:rsidR="00AE6881" w:rsidRPr="006E1978">
        <w:rPr>
          <w:rFonts w:cs="Times New Roman"/>
          <w:sz w:val="24"/>
          <w:szCs w:val="24"/>
        </w:rPr>
        <w:t>).</w:t>
      </w:r>
      <w:r w:rsidR="009802FA" w:rsidRPr="006E1978">
        <w:rPr>
          <w:rFonts w:cs="Times New Roman"/>
          <w:sz w:val="24"/>
          <w:szCs w:val="24"/>
        </w:rPr>
        <w:t xml:space="preserve"> </w:t>
      </w:r>
      <w:r w:rsidR="0066091F" w:rsidRPr="006E1978">
        <w:rPr>
          <w:rFonts w:cs="Times New Roman"/>
          <w:sz w:val="24"/>
          <w:szCs w:val="24"/>
        </w:rPr>
        <w:t xml:space="preserve">We followed the original factor naming of MOGS for the two extracted factors because </w:t>
      </w:r>
      <w:r w:rsidR="009802FA" w:rsidRPr="006E1978">
        <w:rPr>
          <w:rFonts w:cs="Times New Roman"/>
          <w:sz w:val="24"/>
          <w:szCs w:val="24"/>
        </w:rPr>
        <w:t xml:space="preserve">all these 11 items were grouped in the same way as Spada and Caselli (2017) </w:t>
      </w:r>
      <w:r w:rsidR="0066091F" w:rsidRPr="006E1978">
        <w:rPr>
          <w:rFonts w:cs="Times New Roman"/>
          <w:sz w:val="24"/>
          <w:szCs w:val="24"/>
        </w:rPr>
        <w:t xml:space="preserve">initially </w:t>
      </w:r>
      <w:r w:rsidR="009802FA" w:rsidRPr="006E1978">
        <w:rPr>
          <w:rFonts w:cs="Times New Roman"/>
          <w:sz w:val="24"/>
          <w:szCs w:val="24"/>
        </w:rPr>
        <w:t>proposed</w:t>
      </w:r>
      <w:r w:rsidR="0066091F" w:rsidRPr="006E1978">
        <w:rPr>
          <w:rFonts w:cs="Times New Roman"/>
          <w:sz w:val="24"/>
          <w:szCs w:val="24"/>
        </w:rPr>
        <w:t xml:space="preserve"> during the development of MOGS.</w:t>
      </w:r>
    </w:p>
    <w:p w14:paraId="09BF1CDF" w14:textId="2EC5987E" w:rsidR="00663592" w:rsidRPr="006E1978" w:rsidRDefault="00841DE8" w:rsidP="00E40797">
      <w:pPr>
        <w:snapToGrid w:val="0"/>
        <w:spacing w:line="480" w:lineRule="auto"/>
        <w:ind w:firstLineChars="200" w:firstLine="480"/>
        <w:jc w:val="left"/>
        <w:rPr>
          <w:rFonts w:cs="Times New Roman"/>
          <w:sz w:val="24"/>
          <w:szCs w:val="24"/>
        </w:rPr>
      </w:pPr>
      <w:r w:rsidRPr="006E1978">
        <w:rPr>
          <w:rFonts w:cs="Times New Roman"/>
          <w:sz w:val="24"/>
          <w:szCs w:val="24"/>
        </w:rPr>
        <w:t>Based on the EFA results</w:t>
      </w:r>
      <w:r w:rsidR="000B32FA" w:rsidRPr="006E1978">
        <w:rPr>
          <w:rFonts w:cs="Times New Roman"/>
          <w:sz w:val="24"/>
          <w:szCs w:val="24"/>
        </w:rPr>
        <w:t xml:space="preserve">, we proceeded to test the fitness between the </w:t>
      </w:r>
      <w:r w:rsidRPr="006E1978">
        <w:rPr>
          <w:rFonts w:cs="Times New Roman"/>
          <w:sz w:val="24"/>
          <w:szCs w:val="24"/>
        </w:rPr>
        <w:t>11-item</w:t>
      </w:r>
      <w:r w:rsidR="00EF130C" w:rsidRPr="006E1978">
        <w:rPr>
          <w:rFonts w:cs="Times New Roman"/>
          <w:sz w:val="24"/>
          <w:szCs w:val="24"/>
        </w:rPr>
        <w:t>, two-factor</w:t>
      </w:r>
      <w:r w:rsidRPr="006E1978">
        <w:rPr>
          <w:rFonts w:cs="Times New Roman"/>
          <w:sz w:val="24"/>
          <w:szCs w:val="24"/>
        </w:rPr>
        <w:t xml:space="preserve"> revised MOGS </w:t>
      </w:r>
      <w:r w:rsidR="000B32FA" w:rsidRPr="006E1978">
        <w:rPr>
          <w:rFonts w:cs="Times New Roman"/>
          <w:sz w:val="24"/>
          <w:szCs w:val="24"/>
        </w:rPr>
        <w:t xml:space="preserve">and our data in Subsample B. </w:t>
      </w:r>
      <w:r w:rsidR="00C94234" w:rsidRPr="006E1978">
        <w:rPr>
          <w:rFonts w:cs="Times New Roman"/>
          <w:sz w:val="24"/>
          <w:szCs w:val="24"/>
        </w:rPr>
        <w:t>T</w:t>
      </w:r>
      <w:r w:rsidR="003043EC" w:rsidRPr="006E1978">
        <w:rPr>
          <w:rFonts w:cs="Times New Roman"/>
          <w:sz w:val="24"/>
          <w:szCs w:val="24"/>
        </w:rPr>
        <w:t xml:space="preserve">he data fitted </w:t>
      </w:r>
      <w:r w:rsidR="000B32FA" w:rsidRPr="006E1978">
        <w:rPr>
          <w:rFonts w:cs="Times New Roman"/>
          <w:sz w:val="24"/>
          <w:szCs w:val="24"/>
        </w:rPr>
        <w:t xml:space="preserve">the two-factor </w:t>
      </w:r>
      <w:r w:rsidR="00096A93" w:rsidRPr="006E1978">
        <w:rPr>
          <w:rFonts w:cs="Times New Roman"/>
          <w:sz w:val="24"/>
          <w:szCs w:val="24"/>
        </w:rPr>
        <w:t>model fairly</w:t>
      </w:r>
      <w:r w:rsidR="00C94234" w:rsidRPr="006E1978">
        <w:rPr>
          <w:rFonts w:cs="Times New Roman"/>
          <w:sz w:val="24"/>
          <w:szCs w:val="24"/>
        </w:rPr>
        <w:t xml:space="preserve"> </w:t>
      </w:r>
      <w:bookmarkStart w:id="10" w:name="_Hlk92572940"/>
      <w:r w:rsidR="001425CD" w:rsidRPr="006E1978">
        <w:rPr>
          <w:rFonts w:cs="Times New Roman"/>
          <w:sz w:val="24"/>
          <w:szCs w:val="24"/>
        </w:rPr>
        <w:t>(χ</w:t>
      </w:r>
      <w:r w:rsidR="001425CD" w:rsidRPr="006E1978">
        <w:rPr>
          <w:rFonts w:cs="Times New Roman"/>
          <w:sz w:val="24"/>
          <w:szCs w:val="24"/>
          <w:vertAlign w:val="superscript"/>
        </w:rPr>
        <w:t>2</w:t>
      </w:r>
      <w:r w:rsidR="001425CD" w:rsidRPr="006E1978">
        <w:rPr>
          <w:rFonts w:cs="Times New Roman"/>
          <w:sz w:val="24"/>
          <w:szCs w:val="24"/>
        </w:rPr>
        <w:t xml:space="preserve">(43) = 344.10, </w:t>
      </w:r>
      <w:r w:rsidR="001425CD" w:rsidRPr="006E1978">
        <w:rPr>
          <w:rFonts w:cs="Times New Roman"/>
          <w:i/>
          <w:iCs/>
          <w:sz w:val="24"/>
          <w:szCs w:val="24"/>
        </w:rPr>
        <w:t>p</w:t>
      </w:r>
      <w:r w:rsidR="001425CD" w:rsidRPr="006E1978">
        <w:rPr>
          <w:rFonts w:cs="Times New Roman"/>
          <w:sz w:val="24"/>
          <w:szCs w:val="24"/>
        </w:rPr>
        <w:t xml:space="preserve"> &lt; .001, CFI = .90, RMSEA = .10, 90% CI [.09, .11], p-close &lt; .001, SRMR= .06, AIC = 11367.08)</w:t>
      </w:r>
      <w:bookmarkEnd w:id="10"/>
      <w:r w:rsidR="001425CD" w:rsidRPr="006E1978">
        <w:rPr>
          <w:rFonts w:cs="Times New Roman"/>
          <w:sz w:val="24"/>
          <w:szCs w:val="24"/>
        </w:rPr>
        <w:t xml:space="preserve"> </w:t>
      </w:r>
      <w:r w:rsidR="00A863EA" w:rsidRPr="006E1978">
        <w:rPr>
          <w:rFonts w:cs="Times New Roman"/>
          <w:sz w:val="24"/>
          <w:szCs w:val="24"/>
        </w:rPr>
        <w:t xml:space="preserve">and </w:t>
      </w:r>
      <w:r w:rsidR="003A24CB" w:rsidRPr="006E1978">
        <w:rPr>
          <w:rFonts w:cs="Times New Roman"/>
          <w:sz w:val="24"/>
          <w:szCs w:val="24"/>
        </w:rPr>
        <w:t>outperformed</w:t>
      </w:r>
      <w:r w:rsidR="00A863EA" w:rsidRPr="006E1978">
        <w:rPr>
          <w:rFonts w:cs="Times New Roman"/>
          <w:sz w:val="24"/>
          <w:szCs w:val="24"/>
        </w:rPr>
        <w:t xml:space="preserve"> the baseline one-factor model</w:t>
      </w:r>
      <w:r w:rsidR="00096A93" w:rsidRPr="006E1978">
        <w:rPr>
          <w:rFonts w:cs="Times New Roman"/>
          <w:sz w:val="24"/>
          <w:szCs w:val="24"/>
        </w:rPr>
        <w:t xml:space="preserve"> (</w:t>
      </w:r>
      <w:r w:rsidR="002C647F" w:rsidRPr="006E1978">
        <w:rPr>
          <w:rFonts w:cs="Times New Roman"/>
          <w:sz w:val="24"/>
          <w:szCs w:val="24"/>
        </w:rPr>
        <w:t>χ</w:t>
      </w:r>
      <w:r w:rsidR="002C647F" w:rsidRPr="006E1978">
        <w:rPr>
          <w:rFonts w:cs="Times New Roman"/>
          <w:sz w:val="24"/>
          <w:szCs w:val="24"/>
          <w:vertAlign w:val="superscript"/>
        </w:rPr>
        <w:t>2</w:t>
      </w:r>
      <w:r w:rsidR="002C647F" w:rsidRPr="006E1978">
        <w:rPr>
          <w:rFonts w:cs="Times New Roman"/>
          <w:sz w:val="24"/>
          <w:szCs w:val="24"/>
        </w:rPr>
        <w:t>(</w:t>
      </w:r>
      <w:r w:rsidR="00ED42D3" w:rsidRPr="006E1978">
        <w:rPr>
          <w:rFonts w:cs="Times New Roman"/>
          <w:sz w:val="24"/>
          <w:szCs w:val="24"/>
        </w:rPr>
        <w:t>44</w:t>
      </w:r>
      <w:r w:rsidR="002C647F" w:rsidRPr="006E1978">
        <w:rPr>
          <w:rFonts w:cs="Times New Roman"/>
          <w:sz w:val="24"/>
          <w:szCs w:val="24"/>
        </w:rPr>
        <w:t xml:space="preserve">) = </w:t>
      </w:r>
      <w:r w:rsidR="00ED42D3" w:rsidRPr="006E1978">
        <w:rPr>
          <w:rFonts w:cs="Times New Roman"/>
          <w:sz w:val="24"/>
          <w:szCs w:val="24"/>
        </w:rPr>
        <w:t>1206.23</w:t>
      </w:r>
      <w:r w:rsidR="002C647F" w:rsidRPr="006E1978">
        <w:rPr>
          <w:rFonts w:cs="Times New Roman"/>
          <w:sz w:val="24"/>
          <w:szCs w:val="24"/>
        </w:rPr>
        <w:t xml:space="preserve">, </w:t>
      </w:r>
      <w:r w:rsidR="002C647F" w:rsidRPr="006E1978">
        <w:rPr>
          <w:rFonts w:cs="Times New Roman"/>
          <w:i/>
          <w:iCs/>
          <w:sz w:val="24"/>
          <w:szCs w:val="24"/>
        </w:rPr>
        <w:t>p</w:t>
      </w:r>
      <w:r w:rsidR="002C647F" w:rsidRPr="006E1978">
        <w:rPr>
          <w:rFonts w:cs="Times New Roman"/>
          <w:sz w:val="24"/>
          <w:szCs w:val="24"/>
        </w:rPr>
        <w:t xml:space="preserve"> &lt; .001, CFI = .</w:t>
      </w:r>
      <w:r w:rsidR="00ED42D3" w:rsidRPr="006E1978">
        <w:rPr>
          <w:rFonts w:cs="Times New Roman"/>
          <w:sz w:val="24"/>
          <w:szCs w:val="24"/>
        </w:rPr>
        <w:t>62</w:t>
      </w:r>
      <w:r w:rsidR="002C647F" w:rsidRPr="006E1978">
        <w:rPr>
          <w:rFonts w:cs="Times New Roman"/>
          <w:sz w:val="24"/>
          <w:szCs w:val="24"/>
        </w:rPr>
        <w:t>, RMSEA = .</w:t>
      </w:r>
      <w:r w:rsidR="00ED42D3" w:rsidRPr="006E1978">
        <w:rPr>
          <w:rFonts w:cs="Times New Roman"/>
          <w:sz w:val="24"/>
          <w:szCs w:val="24"/>
        </w:rPr>
        <w:t>20</w:t>
      </w:r>
      <w:r w:rsidR="002C647F" w:rsidRPr="006E1978">
        <w:rPr>
          <w:rFonts w:cs="Times New Roman"/>
          <w:sz w:val="24"/>
          <w:szCs w:val="24"/>
        </w:rPr>
        <w:t xml:space="preserve">, </w:t>
      </w:r>
      <w:r w:rsidR="00ED42D3" w:rsidRPr="006E1978">
        <w:rPr>
          <w:rFonts w:cs="Times New Roman"/>
          <w:sz w:val="24"/>
          <w:szCs w:val="24"/>
        </w:rPr>
        <w:t xml:space="preserve">90% CI [.19, .21], p-close &lt; .001, </w:t>
      </w:r>
      <w:r w:rsidR="002C647F" w:rsidRPr="006E1978">
        <w:rPr>
          <w:rFonts w:cs="Times New Roman"/>
          <w:sz w:val="24"/>
          <w:szCs w:val="24"/>
        </w:rPr>
        <w:t xml:space="preserve">SRMR </w:t>
      </w:r>
      <w:r w:rsidR="00681C46" w:rsidRPr="006E1978">
        <w:rPr>
          <w:rFonts w:cs="Times New Roman"/>
          <w:sz w:val="24"/>
          <w:szCs w:val="24"/>
        </w:rPr>
        <w:t xml:space="preserve">= </w:t>
      </w:r>
      <w:r w:rsidR="002C647F" w:rsidRPr="006E1978">
        <w:rPr>
          <w:rFonts w:cs="Times New Roman"/>
          <w:sz w:val="24"/>
          <w:szCs w:val="24"/>
        </w:rPr>
        <w:t>.</w:t>
      </w:r>
      <w:r w:rsidR="00ED42D3" w:rsidRPr="006E1978">
        <w:rPr>
          <w:rFonts w:cs="Times New Roman"/>
          <w:sz w:val="24"/>
          <w:szCs w:val="24"/>
        </w:rPr>
        <w:t>15</w:t>
      </w:r>
      <w:r w:rsidR="002B3BE6" w:rsidRPr="006E1978">
        <w:rPr>
          <w:rFonts w:cs="Times New Roman"/>
          <w:sz w:val="24"/>
          <w:szCs w:val="24"/>
        </w:rPr>
        <w:t>, AIC =</w:t>
      </w:r>
      <w:r w:rsidR="00D14801" w:rsidRPr="006E1978">
        <w:rPr>
          <w:rFonts w:cs="Times New Roman"/>
          <w:sz w:val="24"/>
          <w:szCs w:val="24"/>
        </w:rPr>
        <w:t xml:space="preserve"> 12784.27</w:t>
      </w:r>
      <w:r w:rsidR="00096A93" w:rsidRPr="006E1978">
        <w:rPr>
          <w:rFonts w:cs="Times New Roman"/>
          <w:sz w:val="24"/>
          <w:szCs w:val="24"/>
          <w:lang w:eastAsia="zh-TW"/>
        </w:rPr>
        <w:t>)</w:t>
      </w:r>
      <w:r w:rsidR="002C647F" w:rsidRPr="006E1978">
        <w:rPr>
          <w:rFonts w:cs="Times New Roman"/>
          <w:sz w:val="24"/>
          <w:szCs w:val="24"/>
        </w:rPr>
        <w:t xml:space="preserve">. </w:t>
      </w:r>
      <w:bookmarkStart w:id="11" w:name="_Hlk82597250"/>
      <w:r w:rsidR="00ED42D3" w:rsidRPr="006E1978">
        <w:rPr>
          <w:rFonts w:cs="Times New Roman"/>
          <w:sz w:val="24"/>
          <w:szCs w:val="24"/>
        </w:rPr>
        <w:t>As the two-factor model appeared to be the superior model, we further included three pairs of within-factor residual covariances (</w:t>
      </w:r>
      <w:r w:rsidR="00E40797" w:rsidRPr="006E1978">
        <w:rPr>
          <w:rFonts w:cs="Times New Roman"/>
          <w:sz w:val="24"/>
          <w:szCs w:val="24"/>
        </w:rPr>
        <w:t>Item 8 with 9, Item 5 with 6, and Item 3 with 4) and enhanced the model fit to a satisfactory level (χ</w:t>
      </w:r>
      <w:r w:rsidR="00E40797" w:rsidRPr="006E1978">
        <w:rPr>
          <w:rFonts w:cs="Times New Roman"/>
          <w:sz w:val="24"/>
          <w:szCs w:val="24"/>
          <w:vertAlign w:val="superscript"/>
        </w:rPr>
        <w:t>2</w:t>
      </w:r>
      <w:r w:rsidR="00E40797" w:rsidRPr="006E1978">
        <w:rPr>
          <w:rFonts w:cs="Times New Roman"/>
          <w:sz w:val="24"/>
          <w:szCs w:val="24"/>
        </w:rPr>
        <w:t xml:space="preserve">(40) = 130.70, </w:t>
      </w:r>
      <w:r w:rsidR="00E40797" w:rsidRPr="006E1978">
        <w:rPr>
          <w:rFonts w:cs="Times New Roman"/>
          <w:i/>
          <w:iCs/>
          <w:sz w:val="24"/>
          <w:szCs w:val="24"/>
        </w:rPr>
        <w:t>p</w:t>
      </w:r>
      <w:r w:rsidR="00E40797" w:rsidRPr="006E1978">
        <w:rPr>
          <w:rFonts w:cs="Times New Roman"/>
          <w:sz w:val="24"/>
          <w:szCs w:val="24"/>
        </w:rPr>
        <w:t xml:space="preserve"> &lt; .001, CFI = .97, RMSEA = .06, 90% CI [.05, .07], p-close = .11, SRMR= .05</w:t>
      </w:r>
      <w:r w:rsidR="00D14801" w:rsidRPr="006E1978">
        <w:rPr>
          <w:rFonts w:cs="Times New Roman"/>
          <w:sz w:val="24"/>
          <w:szCs w:val="24"/>
        </w:rPr>
        <w:t>, AIC = 11043.48</w:t>
      </w:r>
      <w:r w:rsidR="00E40797" w:rsidRPr="006E1978">
        <w:rPr>
          <w:rFonts w:cs="Times New Roman"/>
          <w:sz w:val="24"/>
          <w:szCs w:val="24"/>
        </w:rPr>
        <w:t xml:space="preserve">). </w:t>
      </w:r>
      <w:r w:rsidR="00742680" w:rsidRPr="006E1978">
        <w:rPr>
          <w:rFonts w:cs="Times New Roman"/>
          <w:sz w:val="24"/>
          <w:szCs w:val="24"/>
        </w:rPr>
        <w:t>T</w:t>
      </w:r>
      <w:r w:rsidR="00CC0BBE" w:rsidRPr="006E1978">
        <w:rPr>
          <w:rFonts w:cs="Times New Roman"/>
          <w:sz w:val="24"/>
          <w:szCs w:val="24"/>
        </w:rPr>
        <w:t xml:space="preserve">he </w:t>
      </w:r>
      <w:r w:rsidR="00C94234" w:rsidRPr="006E1978">
        <w:rPr>
          <w:rFonts w:cs="Times New Roman"/>
          <w:sz w:val="24"/>
          <w:szCs w:val="24"/>
        </w:rPr>
        <w:t xml:space="preserve">standardized </w:t>
      </w:r>
      <w:r w:rsidR="00CC0BBE" w:rsidRPr="006E1978">
        <w:rPr>
          <w:rFonts w:cs="Times New Roman"/>
          <w:sz w:val="24"/>
          <w:szCs w:val="24"/>
        </w:rPr>
        <w:t>factor loadings</w:t>
      </w:r>
      <w:r w:rsidR="00C94234" w:rsidRPr="006E1978">
        <w:rPr>
          <w:rFonts w:cs="Times New Roman"/>
          <w:sz w:val="24"/>
          <w:szCs w:val="24"/>
        </w:rPr>
        <w:t xml:space="preserve"> </w:t>
      </w:r>
      <w:r w:rsidR="00E40797" w:rsidRPr="006E1978">
        <w:rPr>
          <w:rFonts w:cs="Times New Roman"/>
          <w:sz w:val="24"/>
          <w:szCs w:val="24"/>
        </w:rPr>
        <w:t xml:space="preserve">of the 11 items in this two-factor model ranged from .65 to .90, exceeding the </w:t>
      </w:r>
      <w:r w:rsidR="00EF130C" w:rsidRPr="006E1978">
        <w:rPr>
          <w:rFonts w:cs="Times New Roman"/>
          <w:sz w:val="24"/>
          <w:szCs w:val="24"/>
        </w:rPr>
        <w:t xml:space="preserve">minimally acceptable threshold of </w:t>
      </w:r>
      <w:r w:rsidR="00CC0BBE" w:rsidRPr="006E1978">
        <w:rPr>
          <w:rFonts w:cs="Times New Roman"/>
          <w:sz w:val="24"/>
          <w:szCs w:val="24"/>
        </w:rPr>
        <w:t>.</w:t>
      </w:r>
      <w:bookmarkEnd w:id="11"/>
      <w:r w:rsidR="00C94234" w:rsidRPr="006E1978">
        <w:rPr>
          <w:rFonts w:cs="Times New Roman"/>
          <w:sz w:val="24"/>
          <w:szCs w:val="24"/>
        </w:rPr>
        <w:t>50</w:t>
      </w:r>
      <w:r w:rsidR="00D44F78" w:rsidRPr="006E1978">
        <w:rPr>
          <w:rFonts w:cs="Times New Roman"/>
          <w:sz w:val="24"/>
          <w:szCs w:val="24"/>
        </w:rPr>
        <w:t xml:space="preserve">. </w:t>
      </w:r>
      <w:r w:rsidR="001425CD" w:rsidRPr="006E1978">
        <w:rPr>
          <w:rFonts w:cs="Times New Roman"/>
          <w:sz w:val="24"/>
          <w:szCs w:val="24"/>
        </w:rPr>
        <w:t>T</w:t>
      </w:r>
      <w:r w:rsidR="00EF130C" w:rsidRPr="006E1978">
        <w:rPr>
          <w:rFonts w:cs="Times New Roman"/>
          <w:sz w:val="24"/>
          <w:szCs w:val="24"/>
        </w:rPr>
        <w:t>his 11-item, two-factor revised MOGS</w:t>
      </w:r>
      <w:r w:rsidR="00742680" w:rsidRPr="006E1978">
        <w:rPr>
          <w:rFonts w:cs="Times New Roman"/>
          <w:sz w:val="24"/>
          <w:szCs w:val="24"/>
        </w:rPr>
        <w:t>, as shown in Figure 1,</w:t>
      </w:r>
      <w:r w:rsidR="00EF130C" w:rsidRPr="006E1978">
        <w:rPr>
          <w:rFonts w:cs="Times New Roman"/>
          <w:sz w:val="24"/>
          <w:szCs w:val="24"/>
        </w:rPr>
        <w:t xml:space="preserve"> is </w:t>
      </w:r>
      <w:r w:rsidR="00DF61DA" w:rsidRPr="006E1978">
        <w:rPr>
          <w:rFonts w:cs="Times New Roman"/>
          <w:sz w:val="24"/>
          <w:szCs w:val="24"/>
        </w:rPr>
        <w:t>the final latent structure for the Chinese version of MOGS</w:t>
      </w:r>
      <w:r w:rsidR="00A84874" w:rsidRPr="006E1978">
        <w:rPr>
          <w:rFonts w:cs="Times New Roman"/>
          <w:sz w:val="24"/>
          <w:szCs w:val="24"/>
        </w:rPr>
        <w:t xml:space="preserve">, which also demonstrated satisfactory CFA-based reliability (AVE: F1 = .56, F2 = .70; </w:t>
      </w:r>
      <w:proofErr w:type="spellStart"/>
      <w:r w:rsidR="00A84874" w:rsidRPr="006E1978">
        <w:rPr>
          <w:rFonts w:cs="Times New Roman"/>
          <w:sz w:val="24"/>
          <w:szCs w:val="24"/>
        </w:rPr>
        <w:t>ρ</w:t>
      </w:r>
      <w:r w:rsidR="00A84874" w:rsidRPr="006E1978">
        <w:rPr>
          <w:rFonts w:cs="Times New Roman" w:hint="eastAsia"/>
          <w:sz w:val="24"/>
          <w:szCs w:val="24"/>
          <w:vertAlign w:val="subscript"/>
        </w:rPr>
        <w:t>c</w:t>
      </w:r>
      <w:proofErr w:type="spellEnd"/>
      <w:r w:rsidR="00A84874" w:rsidRPr="006E1978">
        <w:rPr>
          <w:rFonts w:cs="Times New Roman"/>
          <w:sz w:val="24"/>
          <w:szCs w:val="24"/>
        </w:rPr>
        <w:t>:</w:t>
      </w:r>
      <w:r w:rsidR="00A84874" w:rsidRPr="006E1978">
        <w:rPr>
          <w:rFonts w:cs="Times New Roman"/>
          <w:sz w:val="24"/>
          <w:szCs w:val="24"/>
          <w:vertAlign w:val="subscript"/>
        </w:rPr>
        <w:t xml:space="preserve"> </w:t>
      </w:r>
      <w:r w:rsidR="00A84874" w:rsidRPr="006E1978">
        <w:rPr>
          <w:rFonts w:cs="Times New Roman"/>
          <w:sz w:val="24"/>
          <w:szCs w:val="24"/>
        </w:rPr>
        <w:t>F1 = .88, F2 = .92).</w:t>
      </w:r>
    </w:p>
    <w:p w14:paraId="08510198" w14:textId="51EC5510" w:rsidR="004B0DD9" w:rsidRPr="006E1978" w:rsidRDefault="00742680" w:rsidP="00E40797">
      <w:pPr>
        <w:snapToGrid w:val="0"/>
        <w:spacing w:line="480" w:lineRule="auto"/>
        <w:ind w:firstLineChars="200" w:firstLine="480"/>
        <w:jc w:val="left"/>
        <w:rPr>
          <w:rFonts w:cs="Times New Roman"/>
          <w:sz w:val="24"/>
          <w:szCs w:val="24"/>
        </w:rPr>
      </w:pPr>
      <w:r w:rsidRPr="006E1978">
        <w:rPr>
          <w:rFonts w:cs="Times New Roman"/>
          <w:sz w:val="24"/>
          <w:szCs w:val="24"/>
        </w:rPr>
        <w:lastRenderedPageBreak/>
        <w:t xml:space="preserve">Furthermore, </w:t>
      </w:r>
      <w:r w:rsidR="004B0DD9" w:rsidRPr="006E1978">
        <w:rPr>
          <w:rFonts w:cs="Times New Roman"/>
          <w:sz w:val="24"/>
          <w:szCs w:val="24"/>
        </w:rPr>
        <w:t xml:space="preserve">we conducted </w:t>
      </w:r>
      <w:r w:rsidRPr="006E1978">
        <w:rPr>
          <w:rFonts w:cs="Times New Roman"/>
          <w:sz w:val="24"/>
          <w:szCs w:val="24"/>
        </w:rPr>
        <w:t xml:space="preserve">multi-group CFA to assess the invariance of MOGS across both sexes on configural, metric, and scalar levels. </w:t>
      </w:r>
      <w:r w:rsidR="00F233B7" w:rsidRPr="006E1978">
        <w:rPr>
          <w:rFonts w:cs="Times New Roman"/>
          <w:sz w:val="24"/>
          <w:szCs w:val="24"/>
        </w:rPr>
        <w:t>Table 2 demonstrated a good model fit of</w:t>
      </w:r>
      <w:r w:rsidR="004B0DD9" w:rsidRPr="006E1978">
        <w:rPr>
          <w:rFonts w:cs="Times New Roman"/>
          <w:sz w:val="24"/>
          <w:szCs w:val="24"/>
        </w:rPr>
        <w:t xml:space="preserve"> the 11-item Chinese version of MOGS </w:t>
      </w:r>
      <w:r w:rsidR="00F233B7" w:rsidRPr="006E1978">
        <w:rPr>
          <w:rFonts w:cs="Times New Roman"/>
          <w:sz w:val="24"/>
          <w:szCs w:val="24"/>
        </w:rPr>
        <w:t xml:space="preserve">on the configural, metric, and scalar levels (CFI = .962 to .966, RMSEA = .059 to .063, SRMR = .50 to .54). </w:t>
      </w:r>
      <w:r w:rsidR="00570B6C" w:rsidRPr="006E1978">
        <w:rPr>
          <w:rFonts w:cs="Times New Roman"/>
          <w:sz w:val="24"/>
          <w:szCs w:val="24"/>
        </w:rPr>
        <w:t xml:space="preserve">Further comparisons among the three levels suggested the measurement invariance was held at the scalar level between both sex groups (metric versus configural: </w:t>
      </w:r>
      <w:r w:rsidR="00570B6C" w:rsidRPr="006E1978">
        <w:rPr>
          <w:rFonts w:eastAsia="DengXian" w:cs="Times New Roman"/>
          <w:color w:val="000000"/>
          <w:kern w:val="0"/>
          <w:sz w:val="24"/>
        </w:rPr>
        <w:t>ΔCFI = .001, ΔRMSEA = .004; scalar versus metric: ΔCFI = .005, ΔRMSEA = .000).</w:t>
      </w:r>
    </w:p>
    <w:p w14:paraId="4EA8D5F9" w14:textId="0965C1F9" w:rsidR="00D70144" w:rsidRPr="006E1978" w:rsidRDefault="008226B3" w:rsidP="00792616">
      <w:pPr>
        <w:snapToGrid w:val="0"/>
        <w:spacing w:line="480" w:lineRule="auto"/>
        <w:jc w:val="left"/>
        <w:rPr>
          <w:rFonts w:cs="Times New Roman"/>
          <w:i/>
          <w:iCs/>
          <w:sz w:val="24"/>
          <w:szCs w:val="24"/>
        </w:rPr>
      </w:pPr>
      <w:r w:rsidRPr="006E1978">
        <w:rPr>
          <w:rFonts w:cs="Times New Roman"/>
          <w:i/>
          <w:iCs/>
          <w:sz w:val="24"/>
          <w:szCs w:val="24"/>
        </w:rPr>
        <w:t>3.2 Internal consistency, test-retest reliability, and validity</w:t>
      </w:r>
    </w:p>
    <w:p w14:paraId="2C6EAB6B" w14:textId="3F855A59" w:rsidR="00262066" w:rsidRPr="006E1978" w:rsidRDefault="00ED1443" w:rsidP="000A12C4">
      <w:pPr>
        <w:snapToGrid w:val="0"/>
        <w:spacing w:line="480" w:lineRule="auto"/>
        <w:ind w:firstLine="420"/>
        <w:jc w:val="left"/>
        <w:rPr>
          <w:rFonts w:cs="Times New Roman"/>
          <w:sz w:val="24"/>
          <w:szCs w:val="24"/>
        </w:rPr>
      </w:pPr>
      <w:r w:rsidRPr="006E1978">
        <w:rPr>
          <w:rFonts w:cs="Times New Roman"/>
          <w:sz w:val="24"/>
          <w:szCs w:val="24"/>
        </w:rPr>
        <w:t>T</w:t>
      </w:r>
      <w:r w:rsidR="005526E4" w:rsidRPr="006E1978">
        <w:rPr>
          <w:rFonts w:cs="Times New Roman"/>
          <w:sz w:val="24"/>
          <w:szCs w:val="24"/>
        </w:rPr>
        <w:t xml:space="preserve">he Chinese version </w:t>
      </w:r>
      <w:r w:rsidR="00DF61DA" w:rsidRPr="006E1978">
        <w:rPr>
          <w:rFonts w:cs="Times New Roman"/>
          <w:sz w:val="24"/>
          <w:szCs w:val="24"/>
        </w:rPr>
        <w:t xml:space="preserve">of </w:t>
      </w:r>
      <w:r w:rsidR="005526E4" w:rsidRPr="006E1978">
        <w:rPr>
          <w:rFonts w:cs="Times New Roman"/>
          <w:sz w:val="24"/>
          <w:szCs w:val="24"/>
        </w:rPr>
        <w:t xml:space="preserve">MOGS </w:t>
      </w:r>
      <w:r w:rsidR="00DF61DA" w:rsidRPr="006E1978">
        <w:rPr>
          <w:rFonts w:cs="Times New Roman"/>
          <w:sz w:val="24"/>
          <w:szCs w:val="24"/>
        </w:rPr>
        <w:t xml:space="preserve">displayed </w:t>
      </w:r>
      <w:r w:rsidR="005526E4" w:rsidRPr="006E1978">
        <w:rPr>
          <w:rFonts w:cs="Times New Roman"/>
          <w:sz w:val="24"/>
          <w:szCs w:val="24"/>
        </w:rPr>
        <w:t>high internal consistency</w:t>
      </w:r>
      <w:r w:rsidRPr="006E1978">
        <w:rPr>
          <w:rFonts w:cs="Times New Roman"/>
          <w:sz w:val="24"/>
          <w:szCs w:val="24"/>
        </w:rPr>
        <w:t xml:space="preserve"> (</w:t>
      </w:r>
      <w:r w:rsidRPr="006E1978">
        <w:rPr>
          <w:rFonts w:cs="Times New Roman"/>
          <w:i/>
          <w:iCs/>
          <w:sz w:val="24"/>
          <w:szCs w:val="24"/>
        </w:rPr>
        <w:t>α</w:t>
      </w:r>
      <w:r w:rsidRPr="006E1978">
        <w:rPr>
          <w:rFonts w:cs="Times New Roman"/>
          <w:sz w:val="24"/>
          <w:szCs w:val="24"/>
        </w:rPr>
        <w:t xml:space="preserve"> = .90 </w:t>
      </w:r>
      <w:r w:rsidR="00DF61DA" w:rsidRPr="006E1978">
        <w:rPr>
          <w:rFonts w:cs="Times New Roman"/>
          <w:sz w:val="24"/>
          <w:szCs w:val="24"/>
        </w:rPr>
        <w:t xml:space="preserve">for N-MOG </w:t>
      </w:r>
      <w:r w:rsidRPr="006E1978">
        <w:rPr>
          <w:rFonts w:cs="Times New Roman"/>
          <w:sz w:val="24"/>
          <w:szCs w:val="24"/>
        </w:rPr>
        <w:t>and .92</w:t>
      </w:r>
      <w:r w:rsidR="00DF61DA" w:rsidRPr="006E1978">
        <w:rPr>
          <w:rFonts w:cs="Times New Roman"/>
          <w:sz w:val="24"/>
          <w:szCs w:val="24"/>
        </w:rPr>
        <w:t xml:space="preserve"> for P-MOG</w:t>
      </w:r>
      <w:r w:rsidRPr="006E1978">
        <w:rPr>
          <w:rFonts w:cs="Times New Roman"/>
          <w:sz w:val="24"/>
          <w:szCs w:val="24"/>
        </w:rPr>
        <w:t>)</w:t>
      </w:r>
      <w:r w:rsidR="00DF61DA" w:rsidRPr="006E1978">
        <w:rPr>
          <w:rFonts w:cs="Times New Roman"/>
          <w:sz w:val="24"/>
          <w:szCs w:val="24"/>
        </w:rPr>
        <w:t xml:space="preserve"> and acceptable one-month test-retest reliability (ICC = .60 for N-MOG and .</w:t>
      </w:r>
      <w:r w:rsidR="004650B0" w:rsidRPr="006E1978">
        <w:rPr>
          <w:rFonts w:cs="Times New Roman"/>
          <w:sz w:val="24"/>
          <w:szCs w:val="24"/>
        </w:rPr>
        <w:t xml:space="preserve">64 </w:t>
      </w:r>
      <w:r w:rsidR="00DF61DA" w:rsidRPr="006E1978">
        <w:rPr>
          <w:rFonts w:cs="Times New Roman"/>
          <w:sz w:val="24"/>
          <w:szCs w:val="24"/>
        </w:rPr>
        <w:t>for P-MOG)</w:t>
      </w:r>
      <w:r w:rsidR="005526E4" w:rsidRPr="006E1978">
        <w:rPr>
          <w:rFonts w:cs="Times New Roman"/>
          <w:sz w:val="24"/>
          <w:szCs w:val="24"/>
        </w:rPr>
        <w:t>.</w:t>
      </w:r>
      <w:r w:rsidRPr="006E1978">
        <w:rPr>
          <w:rFonts w:cs="Times New Roman"/>
          <w:sz w:val="24"/>
          <w:szCs w:val="24"/>
        </w:rPr>
        <w:t xml:space="preserve"> </w:t>
      </w:r>
      <w:r w:rsidR="00332848" w:rsidRPr="006E1978">
        <w:rPr>
          <w:rFonts w:cs="Times New Roman"/>
          <w:sz w:val="24"/>
          <w:szCs w:val="24"/>
        </w:rPr>
        <w:t xml:space="preserve">As shown in Table </w:t>
      </w:r>
      <w:r w:rsidR="001A37A7" w:rsidRPr="006E1978">
        <w:rPr>
          <w:rFonts w:cs="Times New Roman"/>
          <w:sz w:val="24"/>
          <w:szCs w:val="24"/>
        </w:rPr>
        <w:t>3</w:t>
      </w:r>
      <w:r w:rsidR="00332848" w:rsidRPr="006E1978">
        <w:rPr>
          <w:rFonts w:cs="Times New Roman"/>
          <w:sz w:val="24"/>
          <w:szCs w:val="24"/>
        </w:rPr>
        <w:t xml:space="preserve">, </w:t>
      </w:r>
      <w:r w:rsidRPr="006E1978">
        <w:rPr>
          <w:rFonts w:cs="Times New Roman"/>
          <w:sz w:val="24"/>
          <w:szCs w:val="24"/>
        </w:rPr>
        <w:t>both</w:t>
      </w:r>
      <w:r w:rsidR="006B667D" w:rsidRPr="006E1978">
        <w:rPr>
          <w:rFonts w:cs="Times New Roman"/>
          <w:sz w:val="24"/>
          <w:szCs w:val="24"/>
        </w:rPr>
        <w:t xml:space="preserve"> </w:t>
      </w:r>
      <w:r w:rsidR="00A470AD" w:rsidRPr="006E1978">
        <w:rPr>
          <w:rFonts w:cs="Times New Roman"/>
          <w:sz w:val="24"/>
          <w:szCs w:val="24"/>
        </w:rPr>
        <w:t>N-MOG and P</w:t>
      </w:r>
      <w:r w:rsidR="00332848" w:rsidRPr="006E1978">
        <w:rPr>
          <w:rFonts w:cs="Times New Roman"/>
          <w:sz w:val="24"/>
          <w:szCs w:val="24"/>
        </w:rPr>
        <w:t>-MOG</w:t>
      </w:r>
      <w:r w:rsidR="006B667D" w:rsidRPr="006E1978">
        <w:rPr>
          <w:rFonts w:cs="Times New Roman"/>
          <w:sz w:val="24"/>
          <w:szCs w:val="24"/>
          <w:lang w:eastAsia="zh-TW"/>
        </w:rPr>
        <w:t xml:space="preserve"> </w:t>
      </w:r>
      <w:r w:rsidR="006B667D" w:rsidRPr="006E1978">
        <w:rPr>
          <w:rFonts w:cs="Times New Roman"/>
          <w:sz w:val="24"/>
          <w:szCs w:val="24"/>
        </w:rPr>
        <w:t>showed a</w:t>
      </w:r>
      <w:r w:rsidR="00091FCE" w:rsidRPr="006E1978">
        <w:rPr>
          <w:rFonts w:cs="Times New Roman"/>
          <w:sz w:val="24"/>
          <w:szCs w:val="24"/>
        </w:rPr>
        <w:t xml:space="preserve"> </w:t>
      </w:r>
      <w:r w:rsidR="00332848" w:rsidRPr="006E1978">
        <w:rPr>
          <w:rFonts w:cs="Times New Roman"/>
          <w:sz w:val="24"/>
          <w:szCs w:val="24"/>
        </w:rPr>
        <w:t xml:space="preserve">good </w:t>
      </w:r>
      <w:r w:rsidR="00AD72B2" w:rsidRPr="006E1978">
        <w:rPr>
          <w:rFonts w:cs="Times New Roman"/>
          <w:sz w:val="24"/>
          <w:szCs w:val="24"/>
        </w:rPr>
        <w:t>convergent</w:t>
      </w:r>
      <w:r w:rsidR="00332848" w:rsidRPr="006E1978">
        <w:rPr>
          <w:rFonts w:cs="Times New Roman"/>
          <w:sz w:val="24"/>
          <w:szCs w:val="24"/>
        </w:rPr>
        <w:t xml:space="preserve"> validity in terms of </w:t>
      </w:r>
      <w:r w:rsidR="00091FCE" w:rsidRPr="006E1978">
        <w:rPr>
          <w:rFonts w:cs="Times New Roman"/>
          <w:sz w:val="24"/>
          <w:szCs w:val="24"/>
        </w:rPr>
        <w:t>significant</w:t>
      </w:r>
      <w:r w:rsidR="00332848" w:rsidRPr="006E1978">
        <w:rPr>
          <w:rFonts w:cs="Times New Roman"/>
          <w:sz w:val="24"/>
          <w:szCs w:val="24"/>
        </w:rPr>
        <w:t>,</w:t>
      </w:r>
      <w:r w:rsidR="00091FCE" w:rsidRPr="006E1978">
        <w:rPr>
          <w:rFonts w:cs="Times New Roman"/>
          <w:sz w:val="24"/>
          <w:szCs w:val="24"/>
        </w:rPr>
        <w:t xml:space="preserve"> positive </w:t>
      </w:r>
      <w:r w:rsidR="006B667D" w:rsidRPr="006E1978">
        <w:rPr>
          <w:rFonts w:cs="Times New Roman"/>
          <w:sz w:val="24"/>
          <w:szCs w:val="24"/>
        </w:rPr>
        <w:t>correlation</w:t>
      </w:r>
      <w:r w:rsidR="00332848" w:rsidRPr="006E1978">
        <w:rPr>
          <w:rFonts w:cs="Times New Roman"/>
          <w:sz w:val="24"/>
          <w:szCs w:val="24"/>
        </w:rPr>
        <w:t>s</w:t>
      </w:r>
      <w:r w:rsidR="006B667D" w:rsidRPr="006E1978">
        <w:rPr>
          <w:rFonts w:cs="Times New Roman"/>
          <w:sz w:val="24"/>
          <w:szCs w:val="24"/>
        </w:rPr>
        <w:t xml:space="preserve"> with the </w:t>
      </w:r>
      <w:r w:rsidR="00336390" w:rsidRPr="006E1978">
        <w:rPr>
          <w:rFonts w:cs="Times New Roman"/>
          <w:sz w:val="24"/>
          <w:szCs w:val="24"/>
        </w:rPr>
        <w:t xml:space="preserve">five </w:t>
      </w:r>
      <w:r w:rsidR="00233AFE" w:rsidRPr="006E1978">
        <w:rPr>
          <w:rFonts w:cs="Times New Roman"/>
          <w:sz w:val="24"/>
          <w:szCs w:val="24"/>
        </w:rPr>
        <w:t xml:space="preserve">generic </w:t>
      </w:r>
      <w:r w:rsidR="00D41EE8" w:rsidRPr="006E1978">
        <w:rPr>
          <w:rFonts w:cs="Times New Roman"/>
          <w:sz w:val="24"/>
          <w:szCs w:val="24"/>
        </w:rPr>
        <w:t>metacogniti</w:t>
      </w:r>
      <w:r w:rsidR="00E7627A" w:rsidRPr="006E1978">
        <w:rPr>
          <w:rFonts w:cs="Times New Roman"/>
          <w:sz w:val="24"/>
          <w:szCs w:val="24"/>
        </w:rPr>
        <w:t>ve</w:t>
      </w:r>
      <w:r w:rsidR="00D41EE8" w:rsidRPr="006E1978">
        <w:rPr>
          <w:rFonts w:cs="Times New Roman"/>
          <w:sz w:val="24"/>
          <w:szCs w:val="24"/>
        </w:rPr>
        <w:t xml:space="preserve"> </w:t>
      </w:r>
      <w:r w:rsidR="00FE3CA0" w:rsidRPr="006E1978">
        <w:rPr>
          <w:rFonts w:cs="Times New Roman"/>
          <w:sz w:val="24"/>
          <w:szCs w:val="24"/>
        </w:rPr>
        <w:t xml:space="preserve">factors </w:t>
      </w:r>
      <w:r w:rsidR="00332848" w:rsidRPr="006E1978">
        <w:rPr>
          <w:rFonts w:cs="Times New Roman"/>
          <w:sz w:val="24"/>
          <w:szCs w:val="24"/>
        </w:rPr>
        <w:t>(</w:t>
      </w:r>
      <w:r w:rsidR="00332848" w:rsidRPr="006E1978">
        <w:rPr>
          <w:rFonts w:cs="Times New Roman"/>
          <w:i/>
          <w:iCs/>
          <w:sz w:val="24"/>
          <w:szCs w:val="24"/>
        </w:rPr>
        <w:t>r</w:t>
      </w:r>
      <w:r w:rsidR="00332848" w:rsidRPr="006E1978">
        <w:rPr>
          <w:rFonts w:cs="Times New Roman"/>
          <w:sz w:val="24"/>
          <w:szCs w:val="24"/>
        </w:rPr>
        <w:t xml:space="preserve"> </w:t>
      </w:r>
      <w:r w:rsidR="00124152" w:rsidRPr="006E1978">
        <w:rPr>
          <w:rFonts w:cs="Times New Roman"/>
          <w:sz w:val="24"/>
          <w:szCs w:val="24"/>
        </w:rPr>
        <w:t>(</w:t>
      </w:r>
      <w:r w:rsidR="00B471A9" w:rsidRPr="006E1978">
        <w:rPr>
          <w:rFonts w:cs="Times New Roman"/>
          <w:sz w:val="24"/>
          <w:szCs w:val="24"/>
        </w:rPr>
        <w:t>1338</w:t>
      </w:r>
      <w:r w:rsidR="00124152" w:rsidRPr="006E1978">
        <w:rPr>
          <w:rFonts w:cs="Times New Roman"/>
          <w:sz w:val="24"/>
          <w:szCs w:val="24"/>
        </w:rPr>
        <w:t xml:space="preserve">) </w:t>
      </w:r>
      <w:r w:rsidR="00332848" w:rsidRPr="006E1978">
        <w:rPr>
          <w:rFonts w:cs="Times New Roman"/>
          <w:sz w:val="24"/>
          <w:szCs w:val="24"/>
        </w:rPr>
        <w:t>= .</w:t>
      </w:r>
      <w:r w:rsidR="004650B0" w:rsidRPr="006E1978">
        <w:rPr>
          <w:rFonts w:cs="Times New Roman"/>
          <w:sz w:val="24"/>
          <w:szCs w:val="24"/>
        </w:rPr>
        <w:t xml:space="preserve">36 </w:t>
      </w:r>
      <w:r w:rsidR="00332848" w:rsidRPr="006E1978">
        <w:rPr>
          <w:rFonts w:cs="Times New Roman"/>
          <w:sz w:val="24"/>
          <w:szCs w:val="24"/>
        </w:rPr>
        <w:t xml:space="preserve">to .48, </w:t>
      </w:r>
      <w:r w:rsidR="00332848" w:rsidRPr="006E1978">
        <w:rPr>
          <w:rFonts w:cs="Times New Roman"/>
          <w:i/>
          <w:iCs/>
          <w:sz w:val="24"/>
          <w:szCs w:val="24"/>
        </w:rPr>
        <w:t>p</w:t>
      </w:r>
      <w:r w:rsidR="00332848" w:rsidRPr="006E1978">
        <w:rPr>
          <w:rFonts w:cs="Times New Roman"/>
          <w:sz w:val="24"/>
          <w:szCs w:val="24"/>
        </w:rPr>
        <w:t xml:space="preserve"> &lt; .001), </w:t>
      </w:r>
      <w:r w:rsidR="00336390" w:rsidRPr="006E1978">
        <w:rPr>
          <w:rFonts w:cs="Times New Roman"/>
          <w:sz w:val="24"/>
          <w:szCs w:val="24"/>
        </w:rPr>
        <w:t>stress</w:t>
      </w:r>
      <w:r w:rsidR="009F0549" w:rsidRPr="006E1978">
        <w:rPr>
          <w:rFonts w:cs="Times New Roman"/>
          <w:sz w:val="24"/>
          <w:szCs w:val="24"/>
        </w:rPr>
        <w:t xml:space="preserve"> (</w:t>
      </w:r>
      <w:r w:rsidR="009F0549" w:rsidRPr="006E1978">
        <w:rPr>
          <w:rFonts w:cs="Times New Roman"/>
          <w:i/>
          <w:iCs/>
          <w:sz w:val="24"/>
          <w:szCs w:val="24"/>
        </w:rPr>
        <w:t>r</w:t>
      </w:r>
      <w:r w:rsidR="00124152" w:rsidRPr="006E1978">
        <w:rPr>
          <w:rFonts w:cs="Times New Roman"/>
          <w:i/>
          <w:iCs/>
          <w:sz w:val="24"/>
          <w:szCs w:val="24"/>
        </w:rPr>
        <w:t xml:space="preserve"> </w:t>
      </w:r>
      <w:r w:rsidR="00124152" w:rsidRPr="006E1978">
        <w:rPr>
          <w:rFonts w:cs="Times New Roman"/>
          <w:sz w:val="24"/>
          <w:szCs w:val="24"/>
        </w:rPr>
        <w:t>(</w:t>
      </w:r>
      <w:r w:rsidR="00B471A9" w:rsidRPr="006E1978">
        <w:rPr>
          <w:rFonts w:cs="Times New Roman"/>
          <w:sz w:val="24"/>
          <w:szCs w:val="24"/>
        </w:rPr>
        <w:t>1338</w:t>
      </w:r>
      <w:r w:rsidR="00124152" w:rsidRPr="006E1978">
        <w:rPr>
          <w:rFonts w:cs="Times New Roman"/>
          <w:sz w:val="24"/>
          <w:szCs w:val="24"/>
        </w:rPr>
        <w:t xml:space="preserve">) </w:t>
      </w:r>
      <w:r w:rsidR="009F0549" w:rsidRPr="006E1978">
        <w:rPr>
          <w:rFonts w:cs="Times New Roman"/>
          <w:sz w:val="24"/>
          <w:szCs w:val="24"/>
        </w:rPr>
        <w:t xml:space="preserve">= </w:t>
      </w:r>
      <w:r w:rsidR="00336390" w:rsidRPr="006E1978">
        <w:rPr>
          <w:rFonts w:cs="Times New Roman"/>
          <w:sz w:val="24"/>
          <w:szCs w:val="24"/>
        </w:rPr>
        <w:t>.</w:t>
      </w:r>
      <w:r w:rsidR="00332848" w:rsidRPr="006E1978">
        <w:rPr>
          <w:rFonts w:cs="Times New Roman"/>
          <w:sz w:val="24"/>
          <w:szCs w:val="24"/>
        </w:rPr>
        <w:t>46 and .</w:t>
      </w:r>
      <w:r w:rsidR="004650B0" w:rsidRPr="006E1978">
        <w:rPr>
          <w:rFonts w:cs="Times New Roman"/>
          <w:sz w:val="24"/>
          <w:szCs w:val="24"/>
        </w:rPr>
        <w:t>29</w:t>
      </w:r>
      <w:r w:rsidR="009F0549" w:rsidRPr="006E1978">
        <w:rPr>
          <w:rFonts w:cs="Times New Roman"/>
          <w:sz w:val="24"/>
          <w:szCs w:val="24"/>
        </w:rPr>
        <w:t>,</w:t>
      </w:r>
      <w:r w:rsidR="00332848" w:rsidRPr="006E1978">
        <w:rPr>
          <w:rFonts w:cs="Times New Roman"/>
          <w:sz w:val="24"/>
          <w:szCs w:val="24"/>
        </w:rPr>
        <w:t xml:space="preserve"> respectively,</w:t>
      </w:r>
      <w:r w:rsidR="009F0549" w:rsidRPr="006E1978">
        <w:rPr>
          <w:rFonts w:cs="Times New Roman"/>
          <w:sz w:val="24"/>
          <w:szCs w:val="24"/>
        </w:rPr>
        <w:t xml:space="preserve"> </w:t>
      </w:r>
      <w:r w:rsidR="009F0549" w:rsidRPr="006E1978">
        <w:rPr>
          <w:rFonts w:cs="Times New Roman"/>
          <w:i/>
          <w:iCs/>
          <w:sz w:val="24"/>
          <w:szCs w:val="24"/>
        </w:rPr>
        <w:t>p</w:t>
      </w:r>
      <w:r w:rsidR="009F0549" w:rsidRPr="006E1978">
        <w:rPr>
          <w:rFonts w:cs="Times New Roman"/>
          <w:sz w:val="24"/>
          <w:szCs w:val="24"/>
        </w:rPr>
        <w:t xml:space="preserve"> &lt; .</w:t>
      </w:r>
      <w:r w:rsidR="00332848" w:rsidRPr="006E1978">
        <w:rPr>
          <w:rFonts w:cs="Times New Roman"/>
          <w:sz w:val="24"/>
          <w:szCs w:val="24"/>
        </w:rPr>
        <w:t>0</w:t>
      </w:r>
      <w:r w:rsidR="009F0549" w:rsidRPr="006E1978">
        <w:rPr>
          <w:rFonts w:cs="Times New Roman"/>
          <w:sz w:val="24"/>
          <w:szCs w:val="24"/>
        </w:rPr>
        <w:t>01</w:t>
      </w:r>
      <w:r w:rsidR="006B667D" w:rsidRPr="006E1978">
        <w:rPr>
          <w:rFonts w:cs="Times New Roman"/>
          <w:sz w:val="24"/>
          <w:szCs w:val="24"/>
        </w:rPr>
        <w:t>)</w:t>
      </w:r>
      <w:r w:rsidR="00332848" w:rsidRPr="006E1978">
        <w:rPr>
          <w:rFonts w:cs="Times New Roman"/>
          <w:sz w:val="24"/>
          <w:szCs w:val="24"/>
        </w:rPr>
        <w:t xml:space="preserve">, and IGD </w:t>
      </w:r>
      <w:r w:rsidR="00124152" w:rsidRPr="006E1978">
        <w:rPr>
          <w:rFonts w:cs="Times New Roman"/>
          <w:sz w:val="24"/>
          <w:szCs w:val="24"/>
        </w:rPr>
        <w:t>tendency</w:t>
      </w:r>
      <w:r w:rsidR="00332848" w:rsidRPr="006E1978">
        <w:rPr>
          <w:rFonts w:cs="Times New Roman"/>
          <w:sz w:val="24"/>
          <w:szCs w:val="24"/>
        </w:rPr>
        <w:t xml:space="preserve"> (</w:t>
      </w:r>
      <w:r w:rsidR="00332848" w:rsidRPr="006E1978">
        <w:rPr>
          <w:rFonts w:cs="Times New Roman"/>
          <w:i/>
          <w:iCs/>
          <w:sz w:val="24"/>
          <w:szCs w:val="24"/>
        </w:rPr>
        <w:t>r</w:t>
      </w:r>
      <w:r w:rsidR="00124152" w:rsidRPr="006E1978">
        <w:rPr>
          <w:rFonts w:cs="Times New Roman"/>
          <w:i/>
          <w:iCs/>
          <w:sz w:val="24"/>
          <w:szCs w:val="24"/>
        </w:rPr>
        <w:t xml:space="preserve"> </w:t>
      </w:r>
      <w:r w:rsidR="00124152" w:rsidRPr="006E1978">
        <w:rPr>
          <w:rFonts w:cs="Times New Roman"/>
          <w:sz w:val="24"/>
          <w:szCs w:val="24"/>
        </w:rPr>
        <w:t>(</w:t>
      </w:r>
      <w:r w:rsidR="00B471A9" w:rsidRPr="006E1978">
        <w:rPr>
          <w:rFonts w:cs="Times New Roman"/>
          <w:sz w:val="24"/>
          <w:szCs w:val="24"/>
        </w:rPr>
        <w:t>1338</w:t>
      </w:r>
      <w:r w:rsidR="00124152" w:rsidRPr="006E1978">
        <w:rPr>
          <w:rFonts w:cs="Times New Roman"/>
          <w:sz w:val="24"/>
          <w:szCs w:val="24"/>
        </w:rPr>
        <w:t>)</w:t>
      </w:r>
      <w:r w:rsidR="00332848" w:rsidRPr="006E1978">
        <w:rPr>
          <w:rFonts w:cs="Times New Roman"/>
          <w:sz w:val="24"/>
          <w:szCs w:val="24"/>
        </w:rPr>
        <w:t xml:space="preserve"> = .55 and .</w:t>
      </w:r>
      <w:r w:rsidR="004650B0" w:rsidRPr="006E1978">
        <w:rPr>
          <w:rFonts w:cs="Times New Roman"/>
          <w:sz w:val="24"/>
          <w:szCs w:val="24"/>
        </w:rPr>
        <w:t>47</w:t>
      </w:r>
      <w:r w:rsidR="00332848" w:rsidRPr="006E1978">
        <w:rPr>
          <w:rFonts w:cs="Times New Roman"/>
          <w:sz w:val="24"/>
          <w:szCs w:val="24"/>
        </w:rPr>
        <w:t xml:space="preserve">, respectively, </w:t>
      </w:r>
      <w:r w:rsidR="00332848" w:rsidRPr="006E1978">
        <w:rPr>
          <w:rFonts w:cs="Times New Roman"/>
          <w:i/>
          <w:iCs/>
          <w:sz w:val="24"/>
          <w:szCs w:val="24"/>
        </w:rPr>
        <w:t>p</w:t>
      </w:r>
      <w:r w:rsidR="00332848" w:rsidRPr="006E1978">
        <w:rPr>
          <w:rFonts w:cs="Times New Roman"/>
          <w:sz w:val="24"/>
          <w:szCs w:val="24"/>
        </w:rPr>
        <w:t xml:space="preserve"> &lt; .001)</w:t>
      </w:r>
      <w:r w:rsidR="006B667D" w:rsidRPr="006E1978">
        <w:rPr>
          <w:rFonts w:cs="Times New Roman"/>
          <w:sz w:val="24"/>
          <w:szCs w:val="24"/>
        </w:rPr>
        <w:t xml:space="preserve">. </w:t>
      </w:r>
      <w:r w:rsidR="00E6775C" w:rsidRPr="006E1978">
        <w:rPr>
          <w:rFonts w:cs="Times New Roman"/>
          <w:sz w:val="24"/>
          <w:szCs w:val="24"/>
        </w:rPr>
        <w:t>It is also worth noting that</w:t>
      </w:r>
      <w:r w:rsidR="003E4B30" w:rsidRPr="006E1978">
        <w:rPr>
          <w:rFonts w:cs="Times New Roman"/>
          <w:sz w:val="24"/>
          <w:szCs w:val="24"/>
        </w:rPr>
        <w:t xml:space="preserve"> </w:t>
      </w:r>
      <w:r w:rsidR="00E6775C" w:rsidRPr="006E1978">
        <w:rPr>
          <w:rFonts w:cs="Times New Roman"/>
          <w:sz w:val="24"/>
          <w:szCs w:val="24"/>
        </w:rPr>
        <w:t xml:space="preserve">both MOGS factors displayed stronger </w:t>
      </w:r>
      <w:r w:rsidR="00D41EE8" w:rsidRPr="006E1978">
        <w:rPr>
          <w:rFonts w:cs="Times New Roman"/>
          <w:sz w:val="24"/>
          <w:szCs w:val="24"/>
        </w:rPr>
        <w:t xml:space="preserve">correlations </w:t>
      </w:r>
      <w:r w:rsidR="00E6775C" w:rsidRPr="006E1978">
        <w:rPr>
          <w:rFonts w:cs="Times New Roman"/>
          <w:sz w:val="24"/>
          <w:szCs w:val="24"/>
        </w:rPr>
        <w:t xml:space="preserve">with IGD </w:t>
      </w:r>
      <w:r w:rsidR="00124152" w:rsidRPr="006E1978">
        <w:rPr>
          <w:rFonts w:cs="Times New Roman"/>
          <w:sz w:val="24"/>
          <w:szCs w:val="24"/>
        </w:rPr>
        <w:t>tendency</w:t>
      </w:r>
      <w:r w:rsidR="00E6775C" w:rsidRPr="006E1978">
        <w:rPr>
          <w:rFonts w:cs="Times New Roman"/>
          <w:sz w:val="24"/>
          <w:szCs w:val="24"/>
        </w:rPr>
        <w:t xml:space="preserve"> (</w:t>
      </w:r>
      <w:r w:rsidR="00E6775C" w:rsidRPr="006E1978">
        <w:rPr>
          <w:rFonts w:cs="Times New Roman"/>
          <w:i/>
          <w:iCs/>
          <w:sz w:val="24"/>
          <w:szCs w:val="24"/>
        </w:rPr>
        <w:t>r</w:t>
      </w:r>
      <w:r w:rsidR="00E6775C" w:rsidRPr="006E1978">
        <w:rPr>
          <w:rFonts w:cs="Times New Roman"/>
          <w:sz w:val="24"/>
          <w:szCs w:val="24"/>
        </w:rPr>
        <w:t xml:space="preserve"> </w:t>
      </w:r>
      <w:r w:rsidR="00124152" w:rsidRPr="006E1978">
        <w:rPr>
          <w:rFonts w:cs="Times New Roman"/>
          <w:sz w:val="24"/>
          <w:szCs w:val="24"/>
        </w:rPr>
        <w:t>(</w:t>
      </w:r>
      <w:r w:rsidR="00B471A9" w:rsidRPr="006E1978">
        <w:rPr>
          <w:rFonts w:cs="Times New Roman"/>
          <w:sz w:val="24"/>
          <w:szCs w:val="24"/>
        </w:rPr>
        <w:t>1338</w:t>
      </w:r>
      <w:r w:rsidR="00124152" w:rsidRPr="006E1978">
        <w:rPr>
          <w:rFonts w:cs="Times New Roman"/>
          <w:sz w:val="24"/>
          <w:szCs w:val="24"/>
        </w:rPr>
        <w:t xml:space="preserve">) </w:t>
      </w:r>
      <w:r w:rsidR="00E6775C" w:rsidRPr="006E1978">
        <w:rPr>
          <w:rFonts w:cs="Times New Roman"/>
          <w:sz w:val="24"/>
          <w:szCs w:val="24"/>
        </w:rPr>
        <w:t>= .4</w:t>
      </w:r>
      <w:r w:rsidR="00DE1CCB" w:rsidRPr="006E1978">
        <w:rPr>
          <w:rFonts w:cs="Times New Roman"/>
          <w:sz w:val="24"/>
          <w:szCs w:val="24"/>
        </w:rPr>
        <w:t>7</w:t>
      </w:r>
      <w:r w:rsidR="00E6775C" w:rsidRPr="006E1978">
        <w:rPr>
          <w:rFonts w:cs="Times New Roman"/>
          <w:sz w:val="24"/>
          <w:szCs w:val="24"/>
        </w:rPr>
        <w:t xml:space="preserve"> </w:t>
      </w:r>
      <w:r w:rsidR="00E6775C" w:rsidRPr="006E1978">
        <w:rPr>
          <w:rFonts w:cs="Times New Roman" w:hint="eastAsia"/>
          <w:sz w:val="24"/>
          <w:szCs w:val="24"/>
        </w:rPr>
        <w:t>to</w:t>
      </w:r>
      <w:r w:rsidR="00E6775C" w:rsidRPr="006E1978">
        <w:rPr>
          <w:rFonts w:cs="Times New Roman"/>
          <w:sz w:val="24"/>
          <w:szCs w:val="24"/>
        </w:rPr>
        <w:t xml:space="preserve"> .55, </w:t>
      </w:r>
      <w:r w:rsidR="00E6775C" w:rsidRPr="006E1978">
        <w:rPr>
          <w:rFonts w:cs="Times New Roman"/>
          <w:i/>
          <w:iCs/>
          <w:sz w:val="24"/>
          <w:szCs w:val="24"/>
        </w:rPr>
        <w:t>p</w:t>
      </w:r>
      <w:r w:rsidR="00E6775C" w:rsidRPr="006E1978">
        <w:rPr>
          <w:rFonts w:cs="Times New Roman"/>
          <w:sz w:val="24"/>
          <w:szCs w:val="24"/>
        </w:rPr>
        <w:t xml:space="preserve"> &lt; .001) than the five generic </w:t>
      </w:r>
      <w:r w:rsidR="00D41EE8" w:rsidRPr="006E1978">
        <w:rPr>
          <w:rFonts w:cs="Times New Roman"/>
          <w:sz w:val="24"/>
          <w:szCs w:val="24"/>
        </w:rPr>
        <w:t>metacogniti</w:t>
      </w:r>
      <w:r w:rsidR="00E7627A" w:rsidRPr="006E1978">
        <w:rPr>
          <w:rFonts w:cs="Times New Roman"/>
          <w:sz w:val="24"/>
          <w:szCs w:val="24"/>
        </w:rPr>
        <w:t>ve</w:t>
      </w:r>
      <w:r w:rsidR="00D41EE8" w:rsidRPr="006E1978">
        <w:rPr>
          <w:rFonts w:cs="Times New Roman"/>
          <w:sz w:val="24"/>
          <w:szCs w:val="24"/>
        </w:rPr>
        <w:t xml:space="preserve"> factors</w:t>
      </w:r>
      <w:r w:rsidR="00CB03A8" w:rsidRPr="006E1978">
        <w:rPr>
          <w:rStyle w:val="FootnoteReference"/>
          <w:rFonts w:cs="Times New Roman"/>
          <w:sz w:val="24"/>
          <w:szCs w:val="24"/>
        </w:rPr>
        <w:footnoteReference w:id="2"/>
      </w:r>
      <w:r w:rsidR="00E6775C" w:rsidRPr="006E1978">
        <w:rPr>
          <w:rFonts w:cs="Times New Roman"/>
          <w:sz w:val="24"/>
          <w:szCs w:val="24"/>
        </w:rPr>
        <w:t xml:space="preserve"> </w:t>
      </w:r>
      <w:r w:rsidR="00233AFE" w:rsidRPr="006E1978">
        <w:rPr>
          <w:rFonts w:cs="Times New Roman"/>
          <w:sz w:val="24"/>
          <w:szCs w:val="24"/>
        </w:rPr>
        <w:t>(</w:t>
      </w:r>
      <w:r w:rsidR="00233AFE" w:rsidRPr="006E1978">
        <w:rPr>
          <w:rFonts w:cs="Times New Roman"/>
          <w:i/>
          <w:iCs/>
          <w:sz w:val="24"/>
          <w:szCs w:val="24"/>
        </w:rPr>
        <w:t>r</w:t>
      </w:r>
      <w:r w:rsidR="00124152" w:rsidRPr="006E1978">
        <w:rPr>
          <w:rFonts w:cs="Times New Roman"/>
          <w:i/>
          <w:iCs/>
          <w:sz w:val="24"/>
          <w:szCs w:val="24"/>
        </w:rPr>
        <w:t xml:space="preserve"> </w:t>
      </w:r>
      <w:r w:rsidR="00124152" w:rsidRPr="006E1978">
        <w:rPr>
          <w:rFonts w:cs="Times New Roman"/>
          <w:sz w:val="24"/>
          <w:szCs w:val="24"/>
        </w:rPr>
        <w:t>(</w:t>
      </w:r>
      <w:r w:rsidR="00B471A9" w:rsidRPr="006E1978">
        <w:rPr>
          <w:rFonts w:cs="Times New Roman"/>
          <w:sz w:val="24"/>
          <w:szCs w:val="24"/>
        </w:rPr>
        <w:t>1338</w:t>
      </w:r>
      <w:r w:rsidR="00124152" w:rsidRPr="006E1978">
        <w:rPr>
          <w:rFonts w:cs="Times New Roman"/>
          <w:sz w:val="24"/>
          <w:szCs w:val="24"/>
        </w:rPr>
        <w:t>)</w:t>
      </w:r>
      <w:r w:rsidR="00233AFE" w:rsidRPr="006E1978">
        <w:rPr>
          <w:rFonts w:cs="Times New Roman"/>
          <w:sz w:val="24"/>
          <w:szCs w:val="24"/>
        </w:rPr>
        <w:t xml:space="preserve"> = .</w:t>
      </w:r>
      <w:r w:rsidR="00024A56" w:rsidRPr="006E1978">
        <w:rPr>
          <w:rFonts w:cs="Times New Roman"/>
          <w:sz w:val="24"/>
          <w:szCs w:val="24"/>
        </w:rPr>
        <w:t>31 to .37</w:t>
      </w:r>
      <w:r w:rsidR="00233AFE" w:rsidRPr="006E1978">
        <w:rPr>
          <w:rFonts w:cs="Times New Roman"/>
          <w:sz w:val="24"/>
          <w:szCs w:val="24"/>
        </w:rPr>
        <w:t xml:space="preserve">, </w:t>
      </w:r>
      <w:r w:rsidR="00233AFE" w:rsidRPr="006E1978">
        <w:rPr>
          <w:rFonts w:cs="Times New Roman"/>
          <w:i/>
          <w:iCs/>
          <w:sz w:val="24"/>
          <w:szCs w:val="24"/>
        </w:rPr>
        <w:t>p</w:t>
      </w:r>
      <w:r w:rsidR="00233AFE" w:rsidRPr="006E1978">
        <w:rPr>
          <w:rFonts w:cs="Times New Roman"/>
          <w:sz w:val="24"/>
          <w:szCs w:val="24"/>
        </w:rPr>
        <w:t xml:space="preserve"> &lt; .001). </w:t>
      </w:r>
      <w:r w:rsidR="00262066" w:rsidRPr="006E1978">
        <w:rPr>
          <w:rFonts w:cs="Times New Roman"/>
          <w:sz w:val="24"/>
          <w:szCs w:val="24"/>
        </w:rPr>
        <w:t>Moreover, t</w:t>
      </w:r>
      <w:r w:rsidR="006F09F2" w:rsidRPr="006E1978">
        <w:rPr>
          <w:rFonts w:cs="Times New Roman"/>
          <w:sz w:val="24"/>
          <w:szCs w:val="24"/>
        </w:rPr>
        <w:t>here was</w:t>
      </w:r>
      <w:r w:rsidR="005D2B40" w:rsidRPr="006E1978">
        <w:rPr>
          <w:rFonts w:cs="Times New Roman"/>
          <w:sz w:val="24"/>
          <w:szCs w:val="24"/>
        </w:rPr>
        <w:t xml:space="preserve"> a</w:t>
      </w:r>
      <w:r w:rsidR="00262066" w:rsidRPr="006E1978">
        <w:rPr>
          <w:rFonts w:cs="Times New Roman"/>
          <w:sz w:val="24"/>
          <w:szCs w:val="24"/>
        </w:rPr>
        <w:t>n expected and</w:t>
      </w:r>
      <w:r w:rsidR="005D2B40" w:rsidRPr="006E1978">
        <w:rPr>
          <w:rFonts w:cs="Times New Roman"/>
          <w:sz w:val="24"/>
          <w:szCs w:val="24"/>
        </w:rPr>
        <w:t xml:space="preserve"> significant, positive </w:t>
      </w:r>
      <w:r w:rsidR="00D41EE8" w:rsidRPr="006E1978">
        <w:rPr>
          <w:rFonts w:cs="Times New Roman"/>
          <w:sz w:val="24"/>
          <w:szCs w:val="24"/>
        </w:rPr>
        <w:t xml:space="preserve">correlation </w:t>
      </w:r>
      <w:r w:rsidR="005D2B40" w:rsidRPr="006E1978">
        <w:rPr>
          <w:rFonts w:cs="Times New Roman"/>
          <w:sz w:val="24"/>
          <w:szCs w:val="24"/>
        </w:rPr>
        <w:t xml:space="preserve">between </w:t>
      </w:r>
      <w:r w:rsidR="00DF61DA" w:rsidRPr="006E1978">
        <w:rPr>
          <w:rFonts w:cs="Times New Roman"/>
          <w:sz w:val="24"/>
          <w:szCs w:val="24"/>
          <w:lang w:eastAsia="zh-TW"/>
        </w:rPr>
        <w:t>N</w:t>
      </w:r>
      <w:r w:rsidR="00DF61DA" w:rsidRPr="006E1978">
        <w:rPr>
          <w:rFonts w:cs="Times New Roman"/>
          <w:sz w:val="24"/>
          <w:szCs w:val="24"/>
        </w:rPr>
        <w:t>-MOG and P-MOG (</w:t>
      </w:r>
      <w:r w:rsidR="00DF61DA" w:rsidRPr="006E1978">
        <w:rPr>
          <w:rFonts w:cs="Times New Roman"/>
          <w:i/>
          <w:iCs/>
          <w:sz w:val="24"/>
          <w:szCs w:val="24"/>
        </w:rPr>
        <w:t>r</w:t>
      </w:r>
      <w:r w:rsidR="00124152" w:rsidRPr="006E1978">
        <w:rPr>
          <w:rFonts w:cs="Times New Roman"/>
          <w:i/>
          <w:iCs/>
          <w:sz w:val="24"/>
          <w:szCs w:val="24"/>
        </w:rPr>
        <w:t xml:space="preserve"> </w:t>
      </w:r>
      <w:r w:rsidR="00124152" w:rsidRPr="006E1978">
        <w:rPr>
          <w:rFonts w:cs="Times New Roman"/>
          <w:sz w:val="24"/>
          <w:szCs w:val="24"/>
        </w:rPr>
        <w:t>(</w:t>
      </w:r>
      <w:r w:rsidR="00B471A9" w:rsidRPr="006E1978">
        <w:rPr>
          <w:rFonts w:cs="Times New Roman"/>
          <w:sz w:val="24"/>
          <w:szCs w:val="24"/>
        </w:rPr>
        <w:t>1338</w:t>
      </w:r>
      <w:r w:rsidR="00124152" w:rsidRPr="006E1978">
        <w:rPr>
          <w:rFonts w:cs="Times New Roman"/>
          <w:sz w:val="24"/>
          <w:szCs w:val="24"/>
        </w:rPr>
        <w:t>)</w:t>
      </w:r>
      <w:r w:rsidR="00DF61DA" w:rsidRPr="006E1978">
        <w:rPr>
          <w:rFonts w:cs="Times New Roman"/>
          <w:i/>
          <w:iCs/>
          <w:sz w:val="24"/>
          <w:szCs w:val="24"/>
        </w:rPr>
        <w:t xml:space="preserve"> </w:t>
      </w:r>
      <w:r w:rsidR="00DF61DA" w:rsidRPr="006E1978">
        <w:rPr>
          <w:rFonts w:cs="Times New Roman"/>
          <w:sz w:val="24"/>
          <w:szCs w:val="24"/>
        </w:rPr>
        <w:t>= .</w:t>
      </w:r>
      <w:r w:rsidR="00DE1CCB" w:rsidRPr="006E1978">
        <w:rPr>
          <w:rFonts w:cs="Times New Roman"/>
          <w:sz w:val="24"/>
          <w:szCs w:val="24"/>
        </w:rPr>
        <w:t>53</w:t>
      </w:r>
      <w:r w:rsidR="005D2B40" w:rsidRPr="006E1978">
        <w:rPr>
          <w:rFonts w:cs="Times New Roman"/>
          <w:sz w:val="24"/>
          <w:szCs w:val="24"/>
        </w:rPr>
        <w:t xml:space="preserve">, </w:t>
      </w:r>
      <w:r w:rsidR="005D2B40" w:rsidRPr="006E1978">
        <w:rPr>
          <w:rFonts w:cs="Times New Roman"/>
          <w:i/>
          <w:iCs/>
          <w:sz w:val="24"/>
          <w:szCs w:val="24"/>
        </w:rPr>
        <w:t>p</w:t>
      </w:r>
      <w:r w:rsidR="005D2B40" w:rsidRPr="006E1978">
        <w:rPr>
          <w:rFonts w:cs="Times New Roman"/>
          <w:sz w:val="24"/>
          <w:szCs w:val="24"/>
        </w:rPr>
        <w:t xml:space="preserve"> &lt; .001</w:t>
      </w:r>
      <w:r w:rsidR="00DF61DA" w:rsidRPr="006E1978">
        <w:rPr>
          <w:rFonts w:cs="Times New Roman"/>
          <w:sz w:val="24"/>
          <w:szCs w:val="24"/>
        </w:rPr>
        <w:t>)</w:t>
      </w:r>
      <w:r w:rsidR="005D2B40" w:rsidRPr="006E1978">
        <w:rPr>
          <w:rFonts w:cs="Times New Roman"/>
          <w:sz w:val="24"/>
          <w:szCs w:val="24"/>
        </w:rPr>
        <w:t>.</w:t>
      </w:r>
      <w:r w:rsidR="00E65C66" w:rsidRPr="006E1978">
        <w:rPr>
          <w:rFonts w:cs="Times New Roman"/>
          <w:sz w:val="24"/>
          <w:szCs w:val="24"/>
        </w:rPr>
        <w:t xml:space="preserve"> </w:t>
      </w:r>
    </w:p>
    <w:p w14:paraId="40B7CB35" w14:textId="7D5EE649" w:rsidR="006F09F2" w:rsidRPr="006E1978" w:rsidRDefault="006F09F2" w:rsidP="000A12C4">
      <w:pPr>
        <w:snapToGrid w:val="0"/>
        <w:spacing w:line="480" w:lineRule="auto"/>
        <w:ind w:firstLine="420"/>
        <w:jc w:val="left"/>
        <w:rPr>
          <w:rFonts w:cs="Times New Roman"/>
          <w:sz w:val="24"/>
          <w:szCs w:val="24"/>
        </w:rPr>
      </w:pPr>
      <w:r w:rsidRPr="006E1978">
        <w:rPr>
          <w:rFonts w:cs="Times New Roman"/>
          <w:sz w:val="24"/>
          <w:szCs w:val="24"/>
        </w:rPr>
        <w:t>When comparing the probable IGD group with the non-IGD one</w:t>
      </w:r>
      <w:r w:rsidRPr="006E1978">
        <w:rPr>
          <w:rFonts w:cs="Times New Roman"/>
          <w:sz w:val="24"/>
          <w:szCs w:val="24"/>
          <w:lang w:eastAsia="zh-TW"/>
        </w:rPr>
        <w:t>, we further found that probable IGD gamers scored significantly higher in both N-MOG and P-</w:t>
      </w:r>
      <w:r w:rsidRPr="006E1978">
        <w:rPr>
          <w:rFonts w:cs="Times New Roman"/>
          <w:sz w:val="24"/>
          <w:szCs w:val="24"/>
          <w:lang w:eastAsia="zh-TW"/>
        </w:rPr>
        <w:lastRenderedPageBreak/>
        <w:t>MOG than their non-IGD counterparts (</w:t>
      </w:r>
      <w:r w:rsidRPr="006E1978">
        <w:rPr>
          <w:rFonts w:cs="Times New Roman"/>
          <w:sz w:val="24"/>
          <w:szCs w:val="24"/>
        </w:rPr>
        <w:t xml:space="preserve">N-MOG: </w:t>
      </w:r>
      <w:r w:rsidRPr="006E1978">
        <w:rPr>
          <w:rFonts w:cs="Times New Roman"/>
          <w:i/>
          <w:iCs/>
          <w:sz w:val="24"/>
          <w:szCs w:val="24"/>
        </w:rPr>
        <w:t>M</w:t>
      </w:r>
      <w:r w:rsidRPr="006E1978">
        <w:rPr>
          <w:rFonts w:cs="Times New Roman"/>
          <w:sz w:val="24"/>
          <w:szCs w:val="24"/>
          <w:vertAlign w:val="subscript"/>
        </w:rPr>
        <w:t>IGD</w:t>
      </w:r>
      <w:r w:rsidRPr="006E1978">
        <w:rPr>
          <w:rFonts w:cs="Times New Roman"/>
          <w:sz w:val="24"/>
          <w:szCs w:val="24"/>
        </w:rPr>
        <w:t xml:space="preserve"> = 12.31, </w:t>
      </w:r>
      <w:proofErr w:type="spellStart"/>
      <w:r w:rsidRPr="006E1978">
        <w:rPr>
          <w:rFonts w:cs="Times New Roman"/>
          <w:i/>
          <w:iCs/>
          <w:sz w:val="24"/>
          <w:szCs w:val="24"/>
        </w:rPr>
        <w:t>M</w:t>
      </w:r>
      <w:r w:rsidRPr="006E1978">
        <w:rPr>
          <w:rFonts w:cs="Times New Roman"/>
          <w:sz w:val="24"/>
          <w:szCs w:val="24"/>
          <w:vertAlign w:val="subscript"/>
        </w:rPr>
        <w:t>non</w:t>
      </w:r>
      <w:proofErr w:type="spellEnd"/>
      <w:r w:rsidRPr="006E1978">
        <w:rPr>
          <w:rFonts w:cs="Times New Roman"/>
          <w:sz w:val="24"/>
          <w:szCs w:val="24"/>
          <w:vertAlign w:val="subscript"/>
        </w:rPr>
        <w:t>-IGD</w:t>
      </w:r>
      <w:r w:rsidRPr="006E1978">
        <w:rPr>
          <w:rFonts w:cs="Times New Roman"/>
          <w:sz w:val="24"/>
          <w:szCs w:val="24"/>
        </w:rPr>
        <w:t xml:space="preserve"> = 8.15, </w:t>
      </w:r>
      <w:r w:rsidRPr="006E1978">
        <w:rPr>
          <w:rFonts w:cs="Times New Roman"/>
          <w:i/>
          <w:iCs/>
          <w:sz w:val="24"/>
          <w:szCs w:val="24"/>
        </w:rPr>
        <w:t>t</w:t>
      </w:r>
      <w:r w:rsidR="009048D6" w:rsidRPr="006E1978">
        <w:rPr>
          <w:rFonts w:cs="Times New Roman"/>
          <w:i/>
          <w:iCs/>
          <w:sz w:val="24"/>
          <w:szCs w:val="24"/>
        </w:rPr>
        <w:t xml:space="preserve"> </w:t>
      </w:r>
      <w:r w:rsidRPr="006E1978">
        <w:rPr>
          <w:rFonts w:cs="Times New Roman"/>
          <w:sz w:val="24"/>
          <w:szCs w:val="24"/>
        </w:rPr>
        <w:t>(1190) = -15.12</w:t>
      </w:r>
      <w:r w:rsidR="00E66654" w:rsidRPr="006E1978">
        <w:rPr>
          <w:rFonts w:cs="Times New Roman"/>
          <w:sz w:val="24"/>
          <w:szCs w:val="24"/>
        </w:rPr>
        <w:t>,</w:t>
      </w:r>
      <w:r w:rsidRPr="006E1978">
        <w:rPr>
          <w:rFonts w:cs="Times New Roman"/>
          <w:sz w:val="24"/>
          <w:szCs w:val="24"/>
        </w:rPr>
        <w:t xml:space="preserve"> </w:t>
      </w:r>
      <w:r w:rsidRPr="006E1978">
        <w:rPr>
          <w:rFonts w:cs="Times New Roman"/>
          <w:i/>
          <w:iCs/>
          <w:sz w:val="24"/>
          <w:szCs w:val="24"/>
        </w:rPr>
        <w:t>p</w:t>
      </w:r>
      <w:r w:rsidRPr="006E1978">
        <w:rPr>
          <w:rFonts w:cs="Times New Roman"/>
          <w:sz w:val="24"/>
          <w:szCs w:val="24"/>
        </w:rPr>
        <w:t xml:space="preserve"> &lt; .001</w:t>
      </w:r>
      <w:r w:rsidRPr="006E1978">
        <w:rPr>
          <w:rFonts w:cs="Times New Roman"/>
          <w:sz w:val="24"/>
          <w:szCs w:val="24"/>
          <w:lang w:eastAsia="zh-TW"/>
        </w:rPr>
        <w:t xml:space="preserve">; </w:t>
      </w:r>
      <w:r w:rsidR="004650B0" w:rsidRPr="006E1978">
        <w:rPr>
          <w:rFonts w:cs="Times New Roman"/>
          <w:sz w:val="24"/>
          <w:szCs w:val="24"/>
        </w:rPr>
        <w:t xml:space="preserve">P-MOG: </w:t>
      </w:r>
      <w:r w:rsidR="004650B0" w:rsidRPr="006E1978">
        <w:rPr>
          <w:rFonts w:cs="Times New Roman"/>
          <w:i/>
          <w:iCs/>
          <w:sz w:val="24"/>
          <w:szCs w:val="24"/>
        </w:rPr>
        <w:t>M</w:t>
      </w:r>
      <w:r w:rsidR="004650B0" w:rsidRPr="006E1978">
        <w:rPr>
          <w:rFonts w:cs="Times New Roman"/>
          <w:sz w:val="24"/>
          <w:szCs w:val="24"/>
          <w:vertAlign w:val="subscript"/>
        </w:rPr>
        <w:t>IGD</w:t>
      </w:r>
      <w:r w:rsidR="004650B0" w:rsidRPr="006E1978">
        <w:rPr>
          <w:rFonts w:cs="Times New Roman"/>
          <w:sz w:val="24"/>
          <w:szCs w:val="24"/>
        </w:rPr>
        <w:t xml:space="preserve"> = 10.67, </w:t>
      </w:r>
      <w:proofErr w:type="spellStart"/>
      <w:r w:rsidR="004650B0" w:rsidRPr="006E1978">
        <w:rPr>
          <w:rFonts w:cs="Times New Roman"/>
          <w:i/>
          <w:iCs/>
          <w:sz w:val="24"/>
          <w:szCs w:val="24"/>
        </w:rPr>
        <w:t>M</w:t>
      </w:r>
      <w:r w:rsidR="004650B0" w:rsidRPr="006E1978">
        <w:rPr>
          <w:rFonts w:cs="Times New Roman"/>
          <w:sz w:val="24"/>
          <w:szCs w:val="24"/>
          <w:vertAlign w:val="subscript"/>
        </w:rPr>
        <w:t>non</w:t>
      </w:r>
      <w:proofErr w:type="spellEnd"/>
      <w:r w:rsidR="004650B0" w:rsidRPr="006E1978">
        <w:rPr>
          <w:rFonts w:cs="Times New Roman"/>
          <w:sz w:val="24"/>
          <w:szCs w:val="24"/>
          <w:vertAlign w:val="subscript"/>
        </w:rPr>
        <w:t>-IGD</w:t>
      </w:r>
      <w:r w:rsidR="004650B0" w:rsidRPr="006E1978">
        <w:rPr>
          <w:rFonts w:cs="Times New Roman"/>
          <w:sz w:val="24"/>
          <w:szCs w:val="24"/>
        </w:rPr>
        <w:t xml:space="preserve"> = 8.40, </w:t>
      </w:r>
      <w:r w:rsidR="004650B0" w:rsidRPr="006E1978">
        <w:rPr>
          <w:rFonts w:cs="Times New Roman"/>
          <w:i/>
          <w:iCs/>
          <w:sz w:val="24"/>
          <w:szCs w:val="24"/>
        </w:rPr>
        <w:t>t</w:t>
      </w:r>
      <w:r w:rsidR="004650B0" w:rsidRPr="006E1978">
        <w:rPr>
          <w:rFonts w:cs="Times New Roman"/>
          <w:sz w:val="24"/>
          <w:szCs w:val="24"/>
        </w:rPr>
        <w:t xml:space="preserve"> (169.18) = -8.11, </w:t>
      </w:r>
      <w:r w:rsidR="004650B0" w:rsidRPr="006E1978">
        <w:rPr>
          <w:rFonts w:cs="Times New Roman"/>
          <w:i/>
          <w:iCs/>
          <w:sz w:val="24"/>
          <w:szCs w:val="24"/>
        </w:rPr>
        <w:t>p</w:t>
      </w:r>
      <w:r w:rsidR="004650B0" w:rsidRPr="006E1978">
        <w:rPr>
          <w:rFonts w:cs="Times New Roman"/>
          <w:sz w:val="24"/>
          <w:szCs w:val="24"/>
        </w:rPr>
        <w:t xml:space="preserve"> &lt; .001</w:t>
      </w:r>
      <w:r w:rsidRPr="006E1978">
        <w:rPr>
          <w:rFonts w:cs="Times New Roman"/>
          <w:sz w:val="24"/>
          <w:szCs w:val="24"/>
        </w:rPr>
        <w:t xml:space="preserve">), lending extra support to the good </w:t>
      </w:r>
      <w:r w:rsidR="00AD72B2" w:rsidRPr="006E1978">
        <w:rPr>
          <w:rFonts w:cs="Times New Roman"/>
          <w:sz w:val="24"/>
          <w:szCs w:val="24"/>
        </w:rPr>
        <w:t>convergent</w:t>
      </w:r>
      <w:r w:rsidRPr="006E1978">
        <w:rPr>
          <w:rFonts w:cs="Times New Roman"/>
          <w:sz w:val="24"/>
          <w:szCs w:val="24"/>
        </w:rPr>
        <w:t xml:space="preserve"> validity of MOGS</w:t>
      </w:r>
      <w:r w:rsidR="00034934" w:rsidRPr="006E1978">
        <w:rPr>
          <w:rFonts w:cs="Times New Roman"/>
          <w:sz w:val="24"/>
          <w:szCs w:val="24"/>
        </w:rPr>
        <w:t xml:space="preserve"> as well as its discriminant power to differentiate the probable IGD and non-IGD gamers</w:t>
      </w:r>
      <w:r w:rsidRPr="006E1978">
        <w:rPr>
          <w:rFonts w:cs="Times New Roman"/>
          <w:sz w:val="24"/>
          <w:szCs w:val="24"/>
        </w:rPr>
        <w:t>.</w:t>
      </w:r>
      <w:r w:rsidR="009048D6" w:rsidRPr="006E1978">
        <w:rPr>
          <w:rFonts w:cs="Times New Roman"/>
          <w:sz w:val="24"/>
          <w:szCs w:val="24"/>
        </w:rPr>
        <w:t xml:space="preserve"> </w:t>
      </w:r>
    </w:p>
    <w:p w14:paraId="62A98FAF" w14:textId="5B5A4FE8" w:rsidR="00ED1443" w:rsidRPr="006E1978" w:rsidRDefault="00ED1443" w:rsidP="00792616">
      <w:pPr>
        <w:snapToGrid w:val="0"/>
        <w:spacing w:line="480" w:lineRule="auto"/>
        <w:jc w:val="left"/>
        <w:rPr>
          <w:rFonts w:cs="Times New Roman"/>
          <w:sz w:val="24"/>
          <w:szCs w:val="24"/>
        </w:rPr>
      </w:pPr>
      <w:r w:rsidRPr="006E1978">
        <w:rPr>
          <w:rFonts w:cs="Times New Roman"/>
          <w:i/>
          <w:iCs/>
          <w:sz w:val="24"/>
          <w:szCs w:val="24"/>
        </w:rPr>
        <w:t>3.</w:t>
      </w:r>
      <w:r w:rsidR="00C718CD" w:rsidRPr="006E1978">
        <w:rPr>
          <w:rFonts w:cs="Times New Roman"/>
          <w:i/>
          <w:iCs/>
          <w:sz w:val="24"/>
          <w:szCs w:val="24"/>
        </w:rPr>
        <w:t xml:space="preserve">3 </w:t>
      </w:r>
      <w:r w:rsidRPr="006E1978">
        <w:rPr>
          <w:rFonts w:cs="Times New Roman"/>
          <w:i/>
          <w:iCs/>
          <w:sz w:val="24"/>
          <w:szCs w:val="24"/>
        </w:rPr>
        <w:t>The short</w:t>
      </w:r>
      <w:r w:rsidR="00E66654" w:rsidRPr="006E1978">
        <w:rPr>
          <w:rFonts w:cs="Times New Roman"/>
          <w:i/>
          <w:iCs/>
          <w:sz w:val="24"/>
          <w:szCs w:val="24"/>
        </w:rPr>
        <w:t>-</w:t>
      </w:r>
      <w:r w:rsidR="00BF19AC" w:rsidRPr="006E1978">
        <w:rPr>
          <w:rFonts w:cs="Times New Roman"/>
          <w:i/>
          <w:iCs/>
          <w:sz w:val="24"/>
          <w:szCs w:val="24"/>
        </w:rPr>
        <w:t xml:space="preserve">form </w:t>
      </w:r>
      <w:r w:rsidRPr="006E1978">
        <w:rPr>
          <w:rFonts w:cs="Times New Roman"/>
          <w:i/>
          <w:iCs/>
          <w:sz w:val="24"/>
          <w:szCs w:val="24"/>
        </w:rPr>
        <w:t>MOGS</w:t>
      </w:r>
    </w:p>
    <w:p w14:paraId="722F1C33" w14:textId="5CC56E2D" w:rsidR="000F0397" w:rsidRPr="006E1978" w:rsidRDefault="00EB4010" w:rsidP="00792616">
      <w:pPr>
        <w:snapToGrid w:val="0"/>
        <w:spacing w:line="480" w:lineRule="auto"/>
        <w:ind w:firstLine="480"/>
        <w:jc w:val="left"/>
        <w:rPr>
          <w:rFonts w:cs="Times New Roman"/>
          <w:b/>
          <w:sz w:val="24"/>
          <w:szCs w:val="24"/>
        </w:rPr>
      </w:pPr>
      <w:r w:rsidRPr="006E1978">
        <w:rPr>
          <w:rFonts w:cs="Times New Roman"/>
          <w:sz w:val="24"/>
          <w:szCs w:val="24"/>
        </w:rPr>
        <w:t xml:space="preserve">According to the </w:t>
      </w:r>
      <w:r w:rsidR="003C2C74" w:rsidRPr="006E1978">
        <w:rPr>
          <w:rFonts w:cs="Times New Roman"/>
          <w:sz w:val="24"/>
          <w:szCs w:val="24"/>
        </w:rPr>
        <w:t>guidelines</w:t>
      </w:r>
      <w:r w:rsidRPr="006E1978">
        <w:rPr>
          <w:rFonts w:cs="Times New Roman"/>
          <w:sz w:val="24"/>
          <w:szCs w:val="24"/>
        </w:rPr>
        <w:t xml:space="preserve"> recommended by Stanton et al. (2002), we mainly considered </w:t>
      </w:r>
      <w:r w:rsidR="00CD1F02" w:rsidRPr="006E1978">
        <w:rPr>
          <w:rFonts w:cs="Times New Roman"/>
          <w:sz w:val="24"/>
          <w:szCs w:val="24"/>
        </w:rPr>
        <w:t xml:space="preserve">the equivalence between the short form and its full-scale </w:t>
      </w:r>
      <w:r w:rsidR="00E66654" w:rsidRPr="006E1978">
        <w:rPr>
          <w:rFonts w:cs="Times New Roman"/>
          <w:sz w:val="24"/>
          <w:szCs w:val="24"/>
        </w:rPr>
        <w:t xml:space="preserve">form </w:t>
      </w:r>
      <w:r w:rsidR="00CD1F02" w:rsidRPr="006E1978">
        <w:rPr>
          <w:rFonts w:cs="Times New Roman"/>
          <w:sz w:val="24"/>
          <w:szCs w:val="24"/>
        </w:rPr>
        <w:t xml:space="preserve">in </w:t>
      </w:r>
      <w:r w:rsidR="00275C4D" w:rsidRPr="006E1978">
        <w:rPr>
          <w:rFonts w:cs="Times New Roman"/>
          <w:sz w:val="24"/>
          <w:szCs w:val="24"/>
        </w:rPr>
        <w:t>terms of</w:t>
      </w:r>
      <w:r w:rsidRPr="006E1978">
        <w:rPr>
          <w:rFonts w:cs="Times New Roman"/>
          <w:sz w:val="24"/>
          <w:szCs w:val="24"/>
        </w:rPr>
        <w:t xml:space="preserve"> latent structure</w:t>
      </w:r>
      <w:r w:rsidR="00275C4D" w:rsidRPr="006E1978">
        <w:rPr>
          <w:rFonts w:cs="Times New Roman"/>
          <w:sz w:val="24"/>
          <w:szCs w:val="24"/>
        </w:rPr>
        <w:t>,</w:t>
      </w:r>
      <w:r w:rsidRPr="006E1978">
        <w:rPr>
          <w:rFonts w:cs="Times New Roman"/>
          <w:sz w:val="24"/>
          <w:szCs w:val="24"/>
        </w:rPr>
        <w:t xml:space="preserve"> </w:t>
      </w:r>
      <w:r w:rsidR="000531D8" w:rsidRPr="006E1978">
        <w:rPr>
          <w:rFonts w:cs="Times New Roman"/>
          <w:sz w:val="24"/>
          <w:szCs w:val="24"/>
        </w:rPr>
        <w:t>reliability</w:t>
      </w:r>
      <w:r w:rsidR="00275C4D" w:rsidRPr="006E1978">
        <w:rPr>
          <w:rFonts w:cs="Times New Roman"/>
          <w:sz w:val="24"/>
          <w:szCs w:val="24"/>
        </w:rPr>
        <w:t>,</w:t>
      </w:r>
      <w:r w:rsidR="000531D8" w:rsidRPr="006E1978">
        <w:rPr>
          <w:rFonts w:cs="Times New Roman"/>
          <w:sz w:val="24"/>
          <w:szCs w:val="24"/>
        </w:rPr>
        <w:t xml:space="preserve"> </w:t>
      </w:r>
      <w:r w:rsidR="00CD1F02" w:rsidRPr="006E1978">
        <w:rPr>
          <w:rFonts w:cs="Times New Roman"/>
          <w:sz w:val="24"/>
          <w:szCs w:val="24"/>
        </w:rPr>
        <w:t>validity</w:t>
      </w:r>
      <w:r w:rsidR="00275C4D" w:rsidRPr="006E1978">
        <w:rPr>
          <w:rFonts w:cs="Times New Roman"/>
          <w:sz w:val="24"/>
          <w:szCs w:val="24"/>
        </w:rPr>
        <w:t>, and</w:t>
      </w:r>
      <w:r w:rsidR="000531D8" w:rsidRPr="006E1978">
        <w:rPr>
          <w:rFonts w:cs="Times New Roman"/>
          <w:sz w:val="24"/>
          <w:szCs w:val="24"/>
        </w:rPr>
        <w:t xml:space="preserve"> </w:t>
      </w:r>
      <w:r w:rsidRPr="006E1978">
        <w:rPr>
          <w:rFonts w:cs="Times New Roman"/>
          <w:sz w:val="24"/>
          <w:szCs w:val="24"/>
        </w:rPr>
        <w:t>coverage</w:t>
      </w:r>
      <w:r w:rsidR="000531D8" w:rsidRPr="006E1978">
        <w:rPr>
          <w:rFonts w:cs="Times New Roman"/>
          <w:sz w:val="24"/>
          <w:szCs w:val="24"/>
        </w:rPr>
        <w:t xml:space="preserve">. </w:t>
      </w:r>
      <w:r w:rsidR="006D457D" w:rsidRPr="006E1978">
        <w:rPr>
          <w:rFonts w:cs="Times New Roman"/>
          <w:sz w:val="24"/>
          <w:szCs w:val="24"/>
        </w:rPr>
        <w:t>Given</w:t>
      </w:r>
      <w:r w:rsidR="00611DDC" w:rsidRPr="006E1978">
        <w:rPr>
          <w:rFonts w:cs="Times New Roman"/>
          <w:sz w:val="24"/>
          <w:szCs w:val="24"/>
        </w:rPr>
        <w:t xml:space="preserve"> a minimum of three items </w:t>
      </w:r>
      <w:r w:rsidR="00D8551B" w:rsidRPr="006E1978">
        <w:rPr>
          <w:rFonts w:cs="Times New Roman"/>
          <w:sz w:val="24"/>
          <w:szCs w:val="24"/>
        </w:rPr>
        <w:t>is</w:t>
      </w:r>
      <w:r w:rsidR="00611DDC" w:rsidRPr="006E1978">
        <w:rPr>
          <w:rFonts w:cs="Times New Roman"/>
          <w:sz w:val="24"/>
          <w:szCs w:val="24"/>
        </w:rPr>
        <w:t xml:space="preserve"> required for constructing each latent factor (Hair, 2014), </w:t>
      </w:r>
      <w:r w:rsidRPr="006E1978">
        <w:rPr>
          <w:rFonts w:cs="Times New Roman"/>
          <w:sz w:val="24"/>
          <w:szCs w:val="24"/>
        </w:rPr>
        <w:t xml:space="preserve">we </w:t>
      </w:r>
      <w:r w:rsidR="00275C4D" w:rsidRPr="006E1978">
        <w:rPr>
          <w:rFonts w:cs="Times New Roman"/>
          <w:sz w:val="24"/>
          <w:szCs w:val="24"/>
        </w:rPr>
        <w:t>created</w:t>
      </w:r>
      <w:r w:rsidRPr="006E1978">
        <w:rPr>
          <w:rFonts w:cs="Times New Roman"/>
          <w:sz w:val="24"/>
          <w:szCs w:val="24"/>
        </w:rPr>
        <w:t xml:space="preserve"> t</w:t>
      </w:r>
      <w:r w:rsidR="00D14801" w:rsidRPr="006E1978">
        <w:rPr>
          <w:rFonts w:cs="Times New Roman"/>
          <w:sz w:val="24"/>
          <w:szCs w:val="24"/>
        </w:rPr>
        <w:t>wo</w:t>
      </w:r>
      <w:r w:rsidRPr="006E1978">
        <w:rPr>
          <w:rFonts w:cs="Times New Roman"/>
          <w:sz w:val="24"/>
          <w:szCs w:val="24"/>
        </w:rPr>
        <w:t xml:space="preserve"> possible short forms</w:t>
      </w:r>
      <w:r w:rsidR="00275C4D" w:rsidRPr="006E1978">
        <w:rPr>
          <w:rFonts w:cs="Times New Roman"/>
          <w:sz w:val="24"/>
          <w:szCs w:val="24"/>
        </w:rPr>
        <w:t xml:space="preserve"> (i.e., </w:t>
      </w:r>
      <w:r w:rsidRPr="006E1978">
        <w:rPr>
          <w:rFonts w:cs="Times New Roman"/>
          <w:sz w:val="24"/>
          <w:szCs w:val="24"/>
        </w:rPr>
        <w:t>8-item and 6-item</w:t>
      </w:r>
      <w:r w:rsidR="00275C4D" w:rsidRPr="006E1978">
        <w:rPr>
          <w:rFonts w:cs="Times New Roman"/>
          <w:sz w:val="24"/>
          <w:szCs w:val="24"/>
        </w:rPr>
        <w:t xml:space="preserve">) </w:t>
      </w:r>
      <w:r w:rsidR="00123CD6" w:rsidRPr="006E1978">
        <w:rPr>
          <w:rFonts w:cs="Times New Roman"/>
          <w:sz w:val="24"/>
          <w:szCs w:val="24"/>
        </w:rPr>
        <w:t xml:space="preserve">for comparison </w:t>
      </w:r>
      <w:r w:rsidR="00275C4D" w:rsidRPr="006E1978">
        <w:rPr>
          <w:rFonts w:cs="Times New Roman"/>
          <w:sz w:val="24"/>
          <w:szCs w:val="24"/>
        </w:rPr>
        <w:t xml:space="preserve">by </w:t>
      </w:r>
      <w:r w:rsidRPr="006E1978">
        <w:rPr>
          <w:rFonts w:cs="Times New Roman"/>
          <w:sz w:val="24"/>
          <w:szCs w:val="24"/>
        </w:rPr>
        <w:t>selecting items</w:t>
      </w:r>
      <w:r w:rsidR="000A12C4" w:rsidRPr="006E1978">
        <w:rPr>
          <w:rFonts w:cs="Times New Roman"/>
          <w:sz w:val="24"/>
          <w:szCs w:val="24"/>
        </w:rPr>
        <w:t xml:space="preserve"> </w:t>
      </w:r>
      <w:r w:rsidRPr="006E1978">
        <w:rPr>
          <w:rFonts w:cs="Times New Roman"/>
          <w:sz w:val="24"/>
          <w:szCs w:val="24"/>
        </w:rPr>
        <w:t>bearing the highest factor loading from each factor (</w:t>
      </w:r>
      <w:r w:rsidR="00FD228B" w:rsidRPr="006E1978">
        <w:rPr>
          <w:rFonts w:cs="Times New Roman"/>
          <w:sz w:val="24"/>
          <w:szCs w:val="24"/>
        </w:rPr>
        <w:t xml:space="preserve">e.g., the top </w:t>
      </w:r>
      <w:r w:rsidR="001A6F20" w:rsidRPr="006E1978">
        <w:rPr>
          <w:rFonts w:cs="Times New Roman"/>
          <w:sz w:val="24"/>
          <w:szCs w:val="24"/>
        </w:rPr>
        <w:t>three</w:t>
      </w:r>
      <w:r w:rsidR="00FD228B" w:rsidRPr="006E1978">
        <w:rPr>
          <w:rFonts w:cs="Times New Roman"/>
          <w:sz w:val="24"/>
          <w:szCs w:val="24"/>
        </w:rPr>
        <w:t xml:space="preserve"> items with the highest factor loadings from the two factors</w:t>
      </w:r>
      <w:r w:rsidR="00D14801" w:rsidRPr="006E1978">
        <w:rPr>
          <w:rFonts w:cs="Times New Roman"/>
          <w:sz w:val="24"/>
          <w:szCs w:val="24"/>
        </w:rPr>
        <w:t xml:space="preserve"> for the 6-item version</w:t>
      </w:r>
      <w:r w:rsidR="00FD228B" w:rsidRPr="006E1978">
        <w:rPr>
          <w:rFonts w:cs="Times New Roman"/>
          <w:sz w:val="24"/>
          <w:szCs w:val="24"/>
        </w:rPr>
        <w:t xml:space="preserve">; </w:t>
      </w:r>
      <w:r w:rsidR="00C61B62" w:rsidRPr="006E1978">
        <w:rPr>
          <w:rFonts w:cs="Times New Roman"/>
          <w:sz w:val="24"/>
          <w:szCs w:val="24"/>
        </w:rPr>
        <w:t>for a discussion on this method, see Marsh et al., 2005</w:t>
      </w:r>
      <w:r w:rsidRPr="006E1978">
        <w:rPr>
          <w:rFonts w:cs="Times New Roman"/>
          <w:sz w:val="24"/>
          <w:szCs w:val="24"/>
        </w:rPr>
        <w:t xml:space="preserve">). </w:t>
      </w:r>
      <w:r w:rsidR="00210969" w:rsidRPr="006E1978">
        <w:rPr>
          <w:rFonts w:cs="Times New Roman"/>
          <w:sz w:val="24"/>
          <w:szCs w:val="24"/>
        </w:rPr>
        <w:t xml:space="preserve">When fitting the conceptualized two-factor model with the data, we found the 6-item version </w:t>
      </w:r>
      <w:r w:rsidR="00892652" w:rsidRPr="006E1978">
        <w:rPr>
          <w:rFonts w:cs="Times New Roman"/>
          <w:sz w:val="24"/>
          <w:szCs w:val="24"/>
        </w:rPr>
        <w:t xml:space="preserve">(Items 2, 3, 4, </w:t>
      </w:r>
      <w:r w:rsidR="00FD228B" w:rsidRPr="006E1978">
        <w:rPr>
          <w:rFonts w:cs="Times New Roman"/>
          <w:sz w:val="24"/>
          <w:szCs w:val="24"/>
        </w:rPr>
        <w:t>9</w:t>
      </w:r>
      <w:r w:rsidR="00892652" w:rsidRPr="006E1978">
        <w:rPr>
          <w:rFonts w:cs="Times New Roman"/>
          <w:sz w:val="24"/>
          <w:szCs w:val="24"/>
        </w:rPr>
        <w:t xml:space="preserve">, </w:t>
      </w:r>
      <w:r w:rsidR="00FD228B" w:rsidRPr="006E1978">
        <w:rPr>
          <w:rFonts w:cs="Times New Roman"/>
          <w:sz w:val="24"/>
          <w:szCs w:val="24"/>
        </w:rPr>
        <w:t>11</w:t>
      </w:r>
      <w:r w:rsidR="00892652" w:rsidRPr="006E1978">
        <w:rPr>
          <w:rFonts w:cs="Times New Roman"/>
          <w:sz w:val="24"/>
          <w:szCs w:val="24"/>
        </w:rPr>
        <w:t>, and 1</w:t>
      </w:r>
      <w:r w:rsidR="00FD228B" w:rsidRPr="006E1978">
        <w:rPr>
          <w:rFonts w:cs="Times New Roman"/>
          <w:sz w:val="24"/>
          <w:szCs w:val="24"/>
        </w:rPr>
        <w:t>2</w:t>
      </w:r>
      <w:r w:rsidR="00892652" w:rsidRPr="006E1978">
        <w:rPr>
          <w:rFonts w:cs="Times New Roman"/>
          <w:sz w:val="24"/>
          <w:szCs w:val="24"/>
        </w:rPr>
        <w:t xml:space="preserve">) </w:t>
      </w:r>
      <w:r w:rsidR="00210969" w:rsidRPr="006E1978">
        <w:rPr>
          <w:rFonts w:cs="Times New Roman"/>
          <w:sz w:val="24"/>
          <w:szCs w:val="24"/>
        </w:rPr>
        <w:t>manifested excellent goodness of model fit (χ</w:t>
      </w:r>
      <w:r w:rsidR="00210969" w:rsidRPr="006E1978">
        <w:rPr>
          <w:rFonts w:cs="Times New Roman"/>
          <w:sz w:val="24"/>
          <w:szCs w:val="24"/>
          <w:vertAlign w:val="superscript"/>
        </w:rPr>
        <w:t>2</w:t>
      </w:r>
      <w:r w:rsidR="00210969" w:rsidRPr="006E1978">
        <w:rPr>
          <w:rFonts w:cs="Times New Roman"/>
          <w:sz w:val="24"/>
          <w:szCs w:val="24"/>
        </w:rPr>
        <w:t xml:space="preserve">(8) = </w:t>
      </w:r>
      <w:r w:rsidR="00FD228B" w:rsidRPr="006E1978">
        <w:rPr>
          <w:rFonts w:cs="Times New Roman"/>
          <w:sz w:val="24"/>
          <w:szCs w:val="24"/>
        </w:rPr>
        <w:t>17.64</w:t>
      </w:r>
      <w:r w:rsidR="00210969" w:rsidRPr="006E1978">
        <w:rPr>
          <w:rFonts w:cs="Times New Roman"/>
          <w:sz w:val="24"/>
          <w:szCs w:val="24"/>
        </w:rPr>
        <w:t xml:space="preserve">, </w:t>
      </w:r>
      <w:r w:rsidR="00210969" w:rsidRPr="006E1978">
        <w:rPr>
          <w:rFonts w:cs="Times New Roman"/>
          <w:i/>
          <w:iCs/>
          <w:sz w:val="24"/>
          <w:szCs w:val="24"/>
        </w:rPr>
        <w:t>p</w:t>
      </w:r>
      <w:r w:rsidR="00210969" w:rsidRPr="006E1978">
        <w:rPr>
          <w:rFonts w:cs="Times New Roman"/>
          <w:sz w:val="24"/>
          <w:szCs w:val="24"/>
        </w:rPr>
        <w:t xml:space="preserve"> </w:t>
      </w:r>
      <w:r w:rsidR="00FD228B" w:rsidRPr="006E1978">
        <w:rPr>
          <w:rFonts w:cs="Times New Roman"/>
          <w:sz w:val="24"/>
          <w:szCs w:val="24"/>
        </w:rPr>
        <w:t>= .02</w:t>
      </w:r>
      <w:r w:rsidR="00210969" w:rsidRPr="006E1978">
        <w:rPr>
          <w:rFonts w:cs="Times New Roman"/>
          <w:sz w:val="24"/>
          <w:szCs w:val="24"/>
        </w:rPr>
        <w:t>, CFI = .99, RMSEA = .0</w:t>
      </w:r>
      <w:r w:rsidR="00FD228B" w:rsidRPr="006E1978">
        <w:rPr>
          <w:rFonts w:cs="Times New Roman"/>
          <w:sz w:val="24"/>
          <w:szCs w:val="24"/>
        </w:rPr>
        <w:t>4, 90% CI [.02, .07], p-close = .64</w:t>
      </w:r>
      <w:r w:rsidR="00210969" w:rsidRPr="006E1978">
        <w:rPr>
          <w:rFonts w:cs="Times New Roman"/>
          <w:sz w:val="24"/>
          <w:szCs w:val="24"/>
        </w:rPr>
        <w:t>, SRMR= .0</w:t>
      </w:r>
      <w:r w:rsidR="00FD228B" w:rsidRPr="006E1978">
        <w:rPr>
          <w:rFonts w:cs="Times New Roman"/>
          <w:sz w:val="24"/>
          <w:szCs w:val="24"/>
        </w:rPr>
        <w:t>2</w:t>
      </w:r>
      <w:r w:rsidR="00D14801" w:rsidRPr="006E1978">
        <w:rPr>
          <w:rFonts w:cs="Times New Roman"/>
          <w:sz w:val="24"/>
          <w:szCs w:val="24"/>
        </w:rPr>
        <w:t>, AIC = 6307.71</w:t>
      </w:r>
      <w:r w:rsidR="003C2C74" w:rsidRPr="006E1978">
        <w:rPr>
          <w:rFonts w:cs="Times New Roman"/>
          <w:sz w:val="24"/>
          <w:szCs w:val="24"/>
        </w:rPr>
        <w:t xml:space="preserve">; see </w:t>
      </w:r>
      <w:r w:rsidR="00FD228B" w:rsidRPr="006E1978">
        <w:rPr>
          <w:rFonts w:cs="Times New Roman"/>
          <w:sz w:val="24"/>
          <w:szCs w:val="24"/>
        </w:rPr>
        <w:t>Figure 2</w:t>
      </w:r>
      <w:r w:rsidR="003C2C74" w:rsidRPr="006E1978">
        <w:rPr>
          <w:rFonts w:cs="Times New Roman"/>
          <w:sz w:val="24"/>
          <w:szCs w:val="24"/>
        </w:rPr>
        <w:t xml:space="preserve"> for the standardized factor loadings</w:t>
      </w:r>
      <w:r w:rsidR="00210969" w:rsidRPr="006E1978">
        <w:rPr>
          <w:rFonts w:cs="Times New Roman"/>
          <w:sz w:val="24"/>
          <w:szCs w:val="24"/>
        </w:rPr>
        <w:t>)</w:t>
      </w:r>
      <w:r w:rsidR="003C2C74" w:rsidRPr="006E1978">
        <w:rPr>
          <w:rFonts w:cs="Times New Roman"/>
          <w:sz w:val="24"/>
          <w:szCs w:val="24"/>
        </w:rPr>
        <w:t>, which</w:t>
      </w:r>
      <w:r w:rsidR="00210969" w:rsidRPr="006E1978">
        <w:rPr>
          <w:rFonts w:cs="Times New Roman"/>
          <w:sz w:val="24"/>
          <w:szCs w:val="24"/>
        </w:rPr>
        <w:t xml:space="preserve"> significantly outperformed the 8-item</w:t>
      </w:r>
      <w:r w:rsidR="00CD1F02" w:rsidRPr="006E1978">
        <w:rPr>
          <w:rFonts w:cs="Times New Roman"/>
          <w:sz w:val="24"/>
          <w:szCs w:val="24"/>
        </w:rPr>
        <w:t xml:space="preserve"> versions (</w:t>
      </w:r>
      <w:r w:rsidR="00F514B7" w:rsidRPr="006E1978">
        <w:rPr>
          <w:rFonts w:cs="Times New Roman"/>
          <w:sz w:val="24"/>
          <w:szCs w:val="24"/>
        </w:rPr>
        <w:t>χ</w:t>
      </w:r>
      <w:r w:rsidR="00F514B7" w:rsidRPr="006E1978">
        <w:rPr>
          <w:rFonts w:cs="Times New Roman"/>
          <w:sz w:val="24"/>
          <w:szCs w:val="24"/>
          <w:vertAlign w:val="superscript"/>
        </w:rPr>
        <w:t>2</w:t>
      </w:r>
      <w:r w:rsidR="00F514B7" w:rsidRPr="006E1978">
        <w:rPr>
          <w:rFonts w:cs="Times New Roman"/>
          <w:sz w:val="24"/>
          <w:szCs w:val="24"/>
        </w:rPr>
        <w:t xml:space="preserve">(19) = 79.77, </w:t>
      </w:r>
      <w:r w:rsidR="00F514B7" w:rsidRPr="006E1978">
        <w:rPr>
          <w:rFonts w:cs="Times New Roman"/>
          <w:i/>
          <w:iCs/>
          <w:sz w:val="24"/>
          <w:szCs w:val="24"/>
        </w:rPr>
        <w:t>p</w:t>
      </w:r>
      <w:r w:rsidR="00F514B7" w:rsidRPr="006E1978">
        <w:rPr>
          <w:rFonts w:cs="Times New Roman"/>
          <w:sz w:val="24"/>
          <w:szCs w:val="24"/>
        </w:rPr>
        <w:t xml:space="preserve"> &lt; .001, CFI = .97, RMSEA = .07, 90% CI [.05, .09], p-close = .02, SRMR= .05, AIC = 8170.77</w:t>
      </w:r>
      <w:r w:rsidR="00CD1F02" w:rsidRPr="006E1978">
        <w:rPr>
          <w:rFonts w:cs="Times New Roman"/>
          <w:sz w:val="24"/>
          <w:szCs w:val="24"/>
        </w:rPr>
        <w:t>) and its alternative one-factor baseline model (</w:t>
      </w:r>
      <w:r w:rsidR="00F514B7" w:rsidRPr="006E1978">
        <w:rPr>
          <w:rFonts w:cs="Times New Roman"/>
          <w:sz w:val="24"/>
          <w:szCs w:val="24"/>
        </w:rPr>
        <w:t>χ</w:t>
      </w:r>
      <w:r w:rsidR="00F514B7" w:rsidRPr="006E1978">
        <w:rPr>
          <w:rFonts w:cs="Times New Roman"/>
          <w:sz w:val="24"/>
          <w:szCs w:val="24"/>
          <w:vertAlign w:val="superscript"/>
        </w:rPr>
        <w:t>2</w:t>
      </w:r>
      <w:r w:rsidR="00F514B7" w:rsidRPr="006E1978">
        <w:rPr>
          <w:rFonts w:cs="Times New Roman"/>
          <w:sz w:val="24"/>
          <w:szCs w:val="24"/>
        </w:rPr>
        <w:t xml:space="preserve">(9) = 602.95, </w:t>
      </w:r>
      <w:r w:rsidR="00F514B7" w:rsidRPr="006E1978">
        <w:rPr>
          <w:rFonts w:cs="Times New Roman"/>
          <w:i/>
          <w:iCs/>
          <w:sz w:val="24"/>
          <w:szCs w:val="24"/>
        </w:rPr>
        <w:t>p</w:t>
      </w:r>
      <w:r w:rsidR="00F514B7" w:rsidRPr="006E1978">
        <w:rPr>
          <w:rFonts w:cs="Times New Roman"/>
          <w:sz w:val="24"/>
          <w:szCs w:val="24"/>
        </w:rPr>
        <w:t xml:space="preserve"> &lt; .001, CFI = .55, RMSEA = .31, 90% CI [.29, .34], p-close &lt; .001, SRMR= .18, AIC = 7307.12</w:t>
      </w:r>
      <w:r w:rsidR="00CD1F02" w:rsidRPr="006E1978">
        <w:rPr>
          <w:rFonts w:cs="Times New Roman"/>
          <w:sz w:val="24"/>
          <w:szCs w:val="24"/>
        </w:rPr>
        <w:t>).</w:t>
      </w:r>
      <w:r w:rsidR="00CD1F02" w:rsidRPr="006E1978">
        <w:rPr>
          <w:rFonts w:cs="Times New Roman"/>
          <w:b/>
          <w:sz w:val="24"/>
          <w:szCs w:val="24"/>
        </w:rPr>
        <w:t xml:space="preserve"> </w:t>
      </w:r>
    </w:p>
    <w:p w14:paraId="50E8F230" w14:textId="4BC9106D" w:rsidR="00210969" w:rsidRPr="006E1978" w:rsidRDefault="000F24CC" w:rsidP="00792616">
      <w:pPr>
        <w:snapToGrid w:val="0"/>
        <w:spacing w:line="480" w:lineRule="auto"/>
        <w:ind w:firstLine="480"/>
        <w:jc w:val="left"/>
        <w:rPr>
          <w:rFonts w:cs="Times New Roman"/>
          <w:sz w:val="24"/>
          <w:szCs w:val="24"/>
        </w:rPr>
      </w:pPr>
      <w:r w:rsidRPr="006E1978">
        <w:rPr>
          <w:rFonts w:cs="Times New Roman"/>
          <w:sz w:val="24"/>
          <w:szCs w:val="24"/>
        </w:rPr>
        <w:t xml:space="preserve">This 6-item, short-form MOGS also displayed good CFA-based reliability (AVE: F1 = .74, F2 = .74; </w:t>
      </w:r>
      <w:proofErr w:type="spellStart"/>
      <w:r w:rsidRPr="006E1978">
        <w:rPr>
          <w:rFonts w:cs="Times New Roman"/>
          <w:sz w:val="24"/>
          <w:szCs w:val="24"/>
        </w:rPr>
        <w:t>ρ</w:t>
      </w:r>
      <w:r w:rsidRPr="006E1978">
        <w:rPr>
          <w:rFonts w:cs="Times New Roman" w:hint="eastAsia"/>
          <w:sz w:val="24"/>
          <w:szCs w:val="24"/>
          <w:vertAlign w:val="subscript"/>
        </w:rPr>
        <w:t>c</w:t>
      </w:r>
      <w:proofErr w:type="spellEnd"/>
      <w:r w:rsidRPr="006E1978">
        <w:rPr>
          <w:rFonts w:cs="Times New Roman"/>
          <w:sz w:val="24"/>
          <w:szCs w:val="24"/>
          <w:vertAlign w:val="subscript"/>
        </w:rPr>
        <w:t xml:space="preserve">: </w:t>
      </w:r>
      <w:r w:rsidRPr="006E1978">
        <w:rPr>
          <w:rFonts w:cs="Times New Roman"/>
          <w:sz w:val="24"/>
          <w:szCs w:val="24"/>
        </w:rPr>
        <w:t xml:space="preserve">F1 = .89, F2 = .89) and supported measurement invariance at the scalar level for both sex groups (metric versus configural: </w:t>
      </w:r>
      <w:r w:rsidRPr="006E1978">
        <w:rPr>
          <w:rFonts w:eastAsia="DengXian" w:cs="Times New Roman"/>
          <w:color w:val="000000"/>
          <w:kern w:val="0"/>
          <w:sz w:val="24"/>
        </w:rPr>
        <w:t>ΔCFI = .00</w:t>
      </w:r>
      <w:r w:rsidR="0099262A" w:rsidRPr="006E1978">
        <w:rPr>
          <w:rFonts w:eastAsia="DengXian" w:cs="Times New Roman"/>
          <w:color w:val="000000"/>
          <w:kern w:val="0"/>
          <w:sz w:val="24"/>
        </w:rPr>
        <w:t>2</w:t>
      </w:r>
      <w:r w:rsidRPr="006E1978">
        <w:rPr>
          <w:rFonts w:eastAsia="DengXian" w:cs="Times New Roman"/>
          <w:color w:val="000000"/>
          <w:kern w:val="0"/>
          <w:sz w:val="24"/>
        </w:rPr>
        <w:t>, ΔRMSEA = .00</w:t>
      </w:r>
      <w:r w:rsidR="0099262A" w:rsidRPr="006E1978">
        <w:rPr>
          <w:rFonts w:eastAsia="DengXian" w:cs="Times New Roman"/>
          <w:color w:val="000000"/>
          <w:kern w:val="0"/>
          <w:sz w:val="24"/>
        </w:rPr>
        <w:t>6</w:t>
      </w:r>
      <w:r w:rsidRPr="006E1978">
        <w:rPr>
          <w:rFonts w:eastAsia="DengXian" w:cs="Times New Roman"/>
          <w:color w:val="000000"/>
          <w:kern w:val="0"/>
          <w:sz w:val="24"/>
        </w:rPr>
        <w:t>; scalar versus metric: ΔCFI = .00</w:t>
      </w:r>
      <w:r w:rsidR="0099262A" w:rsidRPr="006E1978">
        <w:rPr>
          <w:rFonts w:eastAsia="DengXian" w:cs="Times New Roman"/>
          <w:color w:val="000000"/>
          <w:kern w:val="0"/>
          <w:sz w:val="24"/>
        </w:rPr>
        <w:t>2</w:t>
      </w:r>
      <w:r w:rsidRPr="006E1978">
        <w:rPr>
          <w:rFonts w:eastAsia="DengXian" w:cs="Times New Roman"/>
          <w:color w:val="000000"/>
          <w:kern w:val="0"/>
          <w:sz w:val="24"/>
        </w:rPr>
        <w:t>, ΔRMSEA = .00</w:t>
      </w:r>
      <w:r w:rsidR="0099262A" w:rsidRPr="006E1978">
        <w:rPr>
          <w:rFonts w:eastAsia="DengXian" w:cs="Times New Roman"/>
          <w:color w:val="000000"/>
          <w:kern w:val="0"/>
          <w:sz w:val="24"/>
        </w:rPr>
        <w:t>6; see Table 2</w:t>
      </w:r>
      <w:r w:rsidRPr="006E1978">
        <w:rPr>
          <w:rFonts w:eastAsia="DengXian" w:cs="Times New Roman"/>
          <w:color w:val="000000"/>
          <w:kern w:val="0"/>
          <w:sz w:val="24"/>
        </w:rPr>
        <w:t>).</w:t>
      </w:r>
      <w:r w:rsidR="0099262A" w:rsidRPr="006E1978">
        <w:rPr>
          <w:rFonts w:cs="Times New Roman"/>
          <w:sz w:val="24"/>
          <w:szCs w:val="24"/>
        </w:rPr>
        <w:t xml:space="preserve"> </w:t>
      </w:r>
      <w:r w:rsidR="000543C3" w:rsidRPr="006E1978">
        <w:rPr>
          <w:rFonts w:cs="Times New Roman"/>
          <w:sz w:val="24"/>
          <w:szCs w:val="24"/>
        </w:rPr>
        <w:t xml:space="preserve">Subsequent </w:t>
      </w:r>
      <w:r w:rsidR="000543C3" w:rsidRPr="006E1978">
        <w:rPr>
          <w:rFonts w:cs="Times New Roman"/>
          <w:sz w:val="24"/>
          <w:szCs w:val="24"/>
        </w:rPr>
        <w:lastRenderedPageBreak/>
        <w:t>analyses also revealed this short form had equivalent reliability (</w:t>
      </w:r>
      <w:r w:rsidR="000543C3" w:rsidRPr="006E1978">
        <w:rPr>
          <w:rFonts w:cs="Times New Roman"/>
          <w:i/>
          <w:iCs/>
          <w:sz w:val="24"/>
          <w:szCs w:val="24"/>
        </w:rPr>
        <w:t>α</w:t>
      </w:r>
      <w:r w:rsidR="000543C3" w:rsidRPr="006E1978">
        <w:rPr>
          <w:rFonts w:cs="Times New Roman"/>
          <w:sz w:val="24"/>
          <w:szCs w:val="24"/>
        </w:rPr>
        <w:t xml:space="preserve"> = .89 and .89 and ICC = .52 and .61), </w:t>
      </w:r>
      <w:r w:rsidR="00AD72B2" w:rsidRPr="006E1978">
        <w:rPr>
          <w:rFonts w:cs="Times New Roman"/>
          <w:sz w:val="24"/>
          <w:szCs w:val="24"/>
        </w:rPr>
        <w:t>convergent</w:t>
      </w:r>
      <w:r w:rsidR="000543C3" w:rsidRPr="006E1978">
        <w:rPr>
          <w:rFonts w:cs="Times New Roman"/>
          <w:sz w:val="24"/>
          <w:szCs w:val="24"/>
        </w:rPr>
        <w:t xml:space="preserve"> validity (</w:t>
      </w:r>
      <w:r w:rsidR="000543C3" w:rsidRPr="006E1978">
        <w:rPr>
          <w:rFonts w:cs="Times New Roman"/>
          <w:i/>
          <w:iCs/>
          <w:sz w:val="24"/>
          <w:szCs w:val="24"/>
        </w:rPr>
        <w:t>r</w:t>
      </w:r>
      <w:r w:rsidR="000543C3" w:rsidRPr="006E1978">
        <w:rPr>
          <w:rFonts w:cs="Times New Roman"/>
          <w:sz w:val="24"/>
          <w:szCs w:val="24"/>
        </w:rPr>
        <w:t xml:space="preserve"> </w:t>
      </w:r>
      <w:r w:rsidR="005365B5" w:rsidRPr="006E1978">
        <w:rPr>
          <w:rFonts w:cs="Times New Roman"/>
          <w:sz w:val="24"/>
          <w:szCs w:val="24"/>
        </w:rPr>
        <w:t>(</w:t>
      </w:r>
      <w:r w:rsidR="00B471A9" w:rsidRPr="006E1978">
        <w:rPr>
          <w:rFonts w:cs="Times New Roman"/>
          <w:sz w:val="24"/>
          <w:szCs w:val="24"/>
        </w:rPr>
        <w:t>1338</w:t>
      </w:r>
      <w:r w:rsidR="005365B5" w:rsidRPr="006E1978">
        <w:rPr>
          <w:rFonts w:cs="Times New Roman"/>
          <w:sz w:val="24"/>
          <w:szCs w:val="24"/>
        </w:rPr>
        <w:t xml:space="preserve">) </w:t>
      </w:r>
      <w:r w:rsidR="000543C3" w:rsidRPr="006E1978">
        <w:rPr>
          <w:rFonts w:cs="Times New Roman"/>
          <w:sz w:val="24"/>
          <w:szCs w:val="24"/>
        </w:rPr>
        <w:t xml:space="preserve">= .27 to .47, </w:t>
      </w:r>
      <w:r w:rsidR="000543C3" w:rsidRPr="006E1978">
        <w:rPr>
          <w:rFonts w:cs="Times New Roman"/>
          <w:i/>
          <w:iCs/>
          <w:sz w:val="24"/>
          <w:szCs w:val="24"/>
        </w:rPr>
        <w:t>p</w:t>
      </w:r>
      <w:r w:rsidR="000543C3" w:rsidRPr="006E1978">
        <w:rPr>
          <w:rFonts w:cs="Times New Roman"/>
          <w:sz w:val="24"/>
          <w:szCs w:val="24"/>
        </w:rPr>
        <w:t xml:space="preserve"> &lt; .001; see Table </w:t>
      </w:r>
      <w:r w:rsidR="001A37A7" w:rsidRPr="006E1978">
        <w:rPr>
          <w:rFonts w:cs="Times New Roman"/>
          <w:sz w:val="24"/>
          <w:szCs w:val="24"/>
        </w:rPr>
        <w:t>3</w:t>
      </w:r>
      <w:r w:rsidR="000543C3" w:rsidRPr="006E1978">
        <w:rPr>
          <w:rFonts w:cs="Times New Roman"/>
          <w:sz w:val="24"/>
          <w:szCs w:val="24"/>
        </w:rPr>
        <w:t xml:space="preserve">; </w:t>
      </w:r>
      <w:proofErr w:type="gramStart"/>
      <w:r w:rsidR="000543C3" w:rsidRPr="006E1978">
        <w:rPr>
          <w:rFonts w:cs="Times New Roman"/>
          <w:sz w:val="24"/>
          <w:szCs w:val="24"/>
        </w:rPr>
        <w:t>also</w:t>
      </w:r>
      <w:proofErr w:type="gramEnd"/>
      <w:r w:rsidR="000543C3" w:rsidRPr="006E1978">
        <w:rPr>
          <w:rFonts w:cs="Times New Roman"/>
          <w:sz w:val="24"/>
          <w:szCs w:val="24"/>
        </w:rPr>
        <w:t xml:space="preserve"> significant differences in MOGS scores for probable IGD and non-IGD cases, </w:t>
      </w:r>
      <w:r w:rsidR="000543C3" w:rsidRPr="006E1978">
        <w:rPr>
          <w:rFonts w:cs="Times New Roman"/>
          <w:i/>
          <w:sz w:val="24"/>
          <w:szCs w:val="24"/>
        </w:rPr>
        <w:t xml:space="preserve">p </w:t>
      </w:r>
      <w:r w:rsidR="000543C3" w:rsidRPr="006E1978">
        <w:rPr>
          <w:rFonts w:cs="Times New Roman"/>
          <w:sz w:val="24"/>
          <w:szCs w:val="24"/>
        </w:rPr>
        <w:t>&lt; .001) and coverage (i.e., endorsed by an invited panel of experts in the related fields)</w:t>
      </w:r>
      <w:r w:rsidR="000543C3" w:rsidRPr="006E1978" w:rsidDel="003C2C74">
        <w:rPr>
          <w:rFonts w:cs="Times New Roman"/>
          <w:sz w:val="24"/>
          <w:szCs w:val="24"/>
        </w:rPr>
        <w:t xml:space="preserve"> </w:t>
      </w:r>
      <w:r w:rsidR="000543C3" w:rsidRPr="006E1978">
        <w:rPr>
          <w:rFonts w:cs="Times New Roman"/>
          <w:sz w:val="24"/>
          <w:szCs w:val="24"/>
        </w:rPr>
        <w:t xml:space="preserve">as its full-scale version. </w:t>
      </w:r>
    </w:p>
    <w:p w14:paraId="5B65AD38" w14:textId="6B6290CE" w:rsidR="00ED1443" w:rsidRPr="006E1978" w:rsidRDefault="00ED1443" w:rsidP="00792616">
      <w:pPr>
        <w:snapToGrid w:val="0"/>
        <w:spacing w:line="480" w:lineRule="auto"/>
        <w:jc w:val="left"/>
        <w:rPr>
          <w:rFonts w:cs="Times New Roman"/>
          <w:b/>
          <w:bCs/>
          <w:sz w:val="24"/>
          <w:szCs w:val="24"/>
        </w:rPr>
      </w:pPr>
      <w:r w:rsidRPr="006E1978">
        <w:rPr>
          <w:rFonts w:cs="Times New Roman"/>
          <w:b/>
          <w:bCs/>
          <w:sz w:val="24"/>
          <w:szCs w:val="24"/>
        </w:rPr>
        <w:t>4. Discussion</w:t>
      </w:r>
    </w:p>
    <w:p w14:paraId="73D112C7" w14:textId="3E88791C" w:rsidR="00560F18" w:rsidRPr="006E1978" w:rsidRDefault="00747B2F" w:rsidP="00792616">
      <w:pPr>
        <w:snapToGrid w:val="0"/>
        <w:spacing w:line="480" w:lineRule="auto"/>
        <w:ind w:firstLineChars="200" w:firstLine="480"/>
        <w:jc w:val="left"/>
        <w:rPr>
          <w:rFonts w:cs="Times New Roman"/>
          <w:sz w:val="24"/>
          <w:szCs w:val="24"/>
        </w:rPr>
      </w:pPr>
      <w:r w:rsidRPr="006E1978">
        <w:rPr>
          <w:rFonts w:cs="Times New Roman"/>
          <w:sz w:val="24"/>
          <w:szCs w:val="24"/>
        </w:rPr>
        <w:t>To address the missing link of lacking a proper assessment tool to assess metacognition</w:t>
      </w:r>
      <w:r w:rsidR="00254F77" w:rsidRPr="006E1978">
        <w:rPr>
          <w:rFonts w:cs="Times New Roman"/>
          <w:sz w:val="24"/>
          <w:szCs w:val="24"/>
        </w:rPr>
        <w:t>s</w:t>
      </w:r>
      <w:r w:rsidRPr="006E1978">
        <w:rPr>
          <w:rFonts w:cs="Times New Roman"/>
          <w:sz w:val="24"/>
          <w:szCs w:val="24"/>
        </w:rPr>
        <w:t xml:space="preserve"> about online gam</w:t>
      </w:r>
      <w:r w:rsidR="00713706" w:rsidRPr="006E1978">
        <w:rPr>
          <w:rFonts w:cs="Times New Roman"/>
          <w:sz w:val="24"/>
          <w:szCs w:val="24"/>
        </w:rPr>
        <w:t>ing</w:t>
      </w:r>
      <w:r w:rsidRPr="006E1978">
        <w:rPr>
          <w:rFonts w:cs="Times New Roman"/>
          <w:sz w:val="24"/>
          <w:szCs w:val="24"/>
        </w:rPr>
        <w:t xml:space="preserve"> among Chinese</w:t>
      </w:r>
      <w:r w:rsidR="00713706" w:rsidRPr="006E1978">
        <w:rPr>
          <w:rFonts w:cs="Times New Roman"/>
          <w:sz w:val="24"/>
          <w:szCs w:val="24"/>
        </w:rPr>
        <w:t xml:space="preserve"> gamers</w:t>
      </w:r>
      <w:r w:rsidRPr="006E1978">
        <w:rPr>
          <w:rFonts w:cs="Times New Roman"/>
          <w:sz w:val="24"/>
          <w:szCs w:val="24"/>
        </w:rPr>
        <w:t>, the present study made the first attempt at</w:t>
      </w:r>
      <w:r w:rsidR="004C24B8" w:rsidRPr="006E1978">
        <w:rPr>
          <w:rFonts w:cs="Times New Roman"/>
          <w:sz w:val="24"/>
          <w:szCs w:val="24"/>
        </w:rPr>
        <w:t xml:space="preserve"> </w:t>
      </w:r>
      <w:r w:rsidRPr="006E1978">
        <w:rPr>
          <w:rFonts w:cs="Times New Roman"/>
          <w:sz w:val="24"/>
          <w:szCs w:val="24"/>
        </w:rPr>
        <w:t xml:space="preserve">validating MOGS with a sample of Chinese lifetime gamers recruited from universities in China. </w:t>
      </w:r>
      <w:r w:rsidR="00A170ED" w:rsidRPr="006E1978">
        <w:rPr>
          <w:rFonts w:cs="Times New Roman"/>
          <w:sz w:val="24"/>
          <w:szCs w:val="24"/>
        </w:rPr>
        <w:t>W</w:t>
      </w:r>
      <w:r w:rsidR="00254F77" w:rsidRPr="006E1978">
        <w:rPr>
          <w:rFonts w:cs="Times New Roman"/>
          <w:sz w:val="24"/>
          <w:szCs w:val="24"/>
        </w:rPr>
        <w:t>ith respect to our first objective,</w:t>
      </w:r>
      <w:r w:rsidR="00C610CF" w:rsidRPr="006E1978">
        <w:rPr>
          <w:rFonts w:cs="Times New Roman"/>
          <w:sz w:val="24"/>
          <w:szCs w:val="24"/>
        </w:rPr>
        <w:t xml:space="preserve"> regarding </w:t>
      </w:r>
      <w:r w:rsidR="00D41962" w:rsidRPr="006E1978">
        <w:rPr>
          <w:rFonts w:cs="Times New Roman"/>
          <w:sz w:val="24"/>
          <w:szCs w:val="24"/>
        </w:rPr>
        <w:t xml:space="preserve">the </w:t>
      </w:r>
      <w:r w:rsidR="00C610CF" w:rsidRPr="006E1978">
        <w:rPr>
          <w:rFonts w:cs="Times New Roman"/>
          <w:sz w:val="24"/>
          <w:szCs w:val="24"/>
        </w:rPr>
        <w:t>factor structure of MOGS in Chinese gamers</w:t>
      </w:r>
      <w:r w:rsidR="003E74A5" w:rsidRPr="006E1978">
        <w:rPr>
          <w:rFonts w:cs="Times New Roman"/>
          <w:sz w:val="24"/>
          <w:szCs w:val="24"/>
        </w:rPr>
        <w:t xml:space="preserve">, </w:t>
      </w:r>
      <w:r w:rsidR="00254F77" w:rsidRPr="006E1978">
        <w:rPr>
          <w:rFonts w:cs="Times New Roman"/>
          <w:sz w:val="24"/>
          <w:szCs w:val="24"/>
        </w:rPr>
        <w:t>results</w:t>
      </w:r>
      <w:r w:rsidR="00C610CF" w:rsidRPr="006E1978">
        <w:rPr>
          <w:rFonts w:cs="Times New Roman"/>
          <w:sz w:val="24"/>
          <w:szCs w:val="24"/>
        </w:rPr>
        <w:t xml:space="preserve"> </w:t>
      </w:r>
      <w:r w:rsidR="006A797F" w:rsidRPr="006E1978">
        <w:rPr>
          <w:rFonts w:cs="Times New Roman"/>
          <w:sz w:val="24"/>
          <w:szCs w:val="24"/>
        </w:rPr>
        <w:t>provided additional</w:t>
      </w:r>
      <w:r w:rsidR="00C610CF" w:rsidRPr="006E1978">
        <w:rPr>
          <w:rFonts w:cs="Times New Roman"/>
          <w:sz w:val="24"/>
          <w:szCs w:val="24"/>
        </w:rPr>
        <w:t xml:space="preserve"> evidence for</w:t>
      </w:r>
      <w:r w:rsidR="006A797F" w:rsidRPr="006E1978">
        <w:rPr>
          <w:rFonts w:cs="Times New Roman"/>
          <w:sz w:val="24"/>
          <w:szCs w:val="24"/>
        </w:rPr>
        <w:t xml:space="preserve"> </w:t>
      </w:r>
      <w:r w:rsidR="00F21CBB" w:rsidRPr="006E1978">
        <w:rPr>
          <w:rFonts w:cs="Times New Roman"/>
          <w:sz w:val="24"/>
          <w:szCs w:val="24"/>
        </w:rPr>
        <w:t>reject</w:t>
      </w:r>
      <w:r w:rsidR="00C610CF" w:rsidRPr="006E1978">
        <w:rPr>
          <w:rFonts w:cs="Times New Roman"/>
          <w:sz w:val="24"/>
          <w:szCs w:val="24"/>
        </w:rPr>
        <w:t>ing</w:t>
      </w:r>
      <w:r w:rsidR="00F21CBB" w:rsidRPr="006E1978">
        <w:rPr>
          <w:rFonts w:cs="Times New Roman"/>
          <w:sz w:val="24"/>
          <w:szCs w:val="24"/>
        </w:rPr>
        <w:t xml:space="preserve"> the one-factor model that displayed </w:t>
      </w:r>
      <w:r w:rsidR="00254F77" w:rsidRPr="006E1978">
        <w:rPr>
          <w:rFonts w:cs="Times New Roman"/>
          <w:sz w:val="24"/>
          <w:szCs w:val="24"/>
        </w:rPr>
        <w:t xml:space="preserve">an </w:t>
      </w:r>
      <w:r w:rsidR="00F21CBB" w:rsidRPr="006E1978">
        <w:rPr>
          <w:rFonts w:cs="Times New Roman"/>
          <w:sz w:val="24"/>
          <w:szCs w:val="24"/>
        </w:rPr>
        <w:t>unacceptable model fit, indicating the multi-dimensionality of MOGS</w:t>
      </w:r>
      <w:r w:rsidR="003B306C" w:rsidRPr="006E1978">
        <w:rPr>
          <w:rFonts w:cs="Times New Roman"/>
          <w:sz w:val="24"/>
          <w:szCs w:val="24"/>
        </w:rPr>
        <w:t xml:space="preserve">, </w:t>
      </w:r>
      <w:r w:rsidR="00F21CBB" w:rsidRPr="006E1978">
        <w:rPr>
          <w:rFonts w:cs="Times New Roman"/>
          <w:sz w:val="24"/>
          <w:szCs w:val="24"/>
        </w:rPr>
        <w:t xml:space="preserve">in line with </w:t>
      </w:r>
      <w:r w:rsidR="00A15DC1" w:rsidRPr="006E1978">
        <w:rPr>
          <w:rFonts w:cs="Times New Roman"/>
          <w:sz w:val="24"/>
          <w:szCs w:val="24"/>
        </w:rPr>
        <w:t xml:space="preserve">all </w:t>
      </w:r>
      <w:r w:rsidR="00F21CBB" w:rsidRPr="006E1978">
        <w:rPr>
          <w:rFonts w:cs="Times New Roman"/>
          <w:sz w:val="24"/>
          <w:szCs w:val="24"/>
        </w:rPr>
        <w:t xml:space="preserve">previous </w:t>
      </w:r>
      <w:r w:rsidR="00A15DC1" w:rsidRPr="006E1978">
        <w:rPr>
          <w:rFonts w:cs="Times New Roman"/>
          <w:sz w:val="24"/>
          <w:szCs w:val="24"/>
        </w:rPr>
        <w:t xml:space="preserve">validation </w:t>
      </w:r>
      <w:r w:rsidR="00F21CBB" w:rsidRPr="006E1978">
        <w:rPr>
          <w:rFonts w:cs="Times New Roman"/>
          <w:sz w:val="24"/>
          <w:szCs w:val="24"/>
        </w:rPr>
        <w:t xml:space="preserve">studies </w:t>
      </w:r>
      <w:r w:rsidR="00A15DC1" w:rsidRPr="006E1978">
        <w:rPr>
          <w:rFonts w:cs="Times New Roman"/>
          <w:sz w:val="24"/>
          <w:szCs w:val="24"/>
        </w:rPr>
        <w:t>on MOGS</w:t>
      </w:r>
      <w:r w:rsidR="00F21CBB" w:rsidRPr="006E1978">
        <w:rPr>
          <w:rFonts w:cs="Times New Roman"/>
          <w:sz w:val="24"/>
          <w:szCs w:val="24"/>
        </w:rPr>
        <w:t xml:space="preserve"> (</w:t>
      </w:r>
      <w:r w:rsidR="00A15DC1" w:rsidRPr="006E1978">
        <w:rPr>
          <w:rFonts w:cs="Times New Roman"/>
          <w:kern w:val="0"/>
          <w:sz w:val="24"/>
          <w:szCs w:val="24"/>
        </w:rPr>
        <w:t xml:space="preserve">Akbari et al., 2021; </w:t>
      </w:r>
      <w:r w:rsidR="00A15DC1" w:rsidRPr="006E1978">
        <w:rPr>
          <w:rFonts w:cs="Times New Roman"/>
          <w:sz w:val="24"/>
          <w:szCs w:val="24"/>
        </w:rPr>
        <w:t xml:space="preserve">Gandolfi et al., 2021; </w:t>
      </w:r>
      <w:proofErr w:type="spellStart"/>
      <w:r w:rsidR="00A15DC1" w:rsidRPr="006E1978">
        <w:rPr>
          <w:rFonts w:cs="Times New Roman"/>
          <w:sz w:val="24"/>
          <w:szCs w:val="24"/>
        </w:rPr>
        <w:t>Nazligül</w:t>
      </w:r>
      <w:proofErr w:type="spellEnd"/>
      <w:r w:rsidR="003B306C" w:rsidRPr="006E1978">
        <w:rPr>
          <w:rFonts w:cs="Times New Roman"/>
          <w:sz w:val="24"/>
          <w:szCs w:val="24"/>
        </w:rPr>
        <w:t xml:space="preserve">, </w:t>
      </w:r>
      <w:r w:rsidR="00A15DC1" w:rsidRPr="006E1978">
        <w:rPr>
          <w:rFonts w:cs="Times New Roman"/>
          <w:sz w:val="24"/>
          <w:szCs w:val="24"/>
        </w:rPr>
        <w:t xml:space="preserve">&amp; </w:t>
      </w:r>
      <w:proofErr w:type="spellStart"/>
      <w:r w:rsidR="00A15DC1" w:rsidRPr="006E1978">
        <w:rPr>
          <w:rFonts w:cs="Times New Roman"/>
          <w:sz w:val="24"/>
          <w:szCs w:val="24"/>
        </w:rPr>
        <w:t>Süsen</w:t>
      </w:r>
      <w:proofErr w:type="spellEnd"/>
      <w:r w:rsidR="00A15DC1" w:rsidRPr="006E1978">
        <w:rPr>
          <w:rFonts w:cs="Times New Roman"/>
          <w:sz w:val="24"/>
          <w:szCs w:val="24"/>
        </w:rPr>
        <w:t>, 2021; Marino et al., 2020; Spada &amp; Caselli, 2017</w:t>
      </w:r>
      <w:r w:rsidR="00F21CBB" w:rsidRPr="006E1978">
        <w:rPr>
          <w:rFonts w:cs="Times New Roman"/>
          <w:sz w:val="24"/>
          <w:szCs w:val="24"/>
        </w:rPr>
        <w:t xml:space="preserve">). </w:t>
      </w:r>
      <w:r w:rsidR="006A5E7D" w:rsidRPr="006E1978">
        <w:rPr>
          <w:rFonts w:cs="Times New Roman"/>
          <w:sz w:val="24"/>
          <w:szCs w:val="24"/>
        </w:rPr>
        <w:t xml:space="preserve">As Item 7 lacked the distinctiveness of factor loading with one specific factor, we removed </w:t>
      </w:r>
      <w:r w:rsidR="000F0397" w:rsidRPr="006E1978">
        <w:rPr>
          <w:rFonts w:cs="Times New Roman"/>
          <w:sz w:val="24"/>
          <w:szCs w:val="24"/>
        </w:rPr>
        <w:t>it</w:t>
      </w:r>
      <w:r w:rsidR="006A5E7D" w:rsidRPr="006E1978">
        <w:rPr>
          <w:rFonts w:cs="Times New Roman"/>
          <w:sz w:val="24"/>
          <w:szCs w:val="24"/>
        </w:rPr>
        <w:t xml:space="preserve"> from the Chinese version of MOGS, and then </w:t>
      </w:r>
      <w:r w:rsidR="00156D78" w:rsidRPr="006E1978">
        <w:rPr>
          <w:rFonts w:cs="Times New Roman"/>
          <w:sz w:val="24"/>
          <w:szCs w:val="24"/>
        </w:rPr>
        <w:t>identified</w:t>
      </w:r>
      <w:r w:rsidR="006A5E7D" w:rsidRPr="006E1978">
        <w:rPr>
          <w:rFonts w:cs="Times New Roman"/>
          <w:sz w:val="24"/>
          <w:szCs w:val="24"/>
        </w:rPr>
        <w:t xml:space="preserve"> the two-factor model of MOGS as that was </w:t>
      </w:r>
      <w:r w:rsidR="00D41962" w:rsidRPr="006E1978">
        <w:rPr>
          <w:rFonts w:cs="Times New Roman"/>
          <w:sz w:val="24"/>
          <w:szCs w:val="24"/>
        </w:rPr>
        <w:t>initially</w:t>
      </w:r>
      <w:r w:rsidR="006A5E7D" w:rsidRPr="006E1978">
        <w:rPr>
          <w:rFonts w:cs="Times New Roman"/>
          <w:sz w:val="24"/>
          <w:szCs w:val="24"/>
        </w:rPr>
        <w:t xml:space="preserve"> proposed by Spada and Caselli (2017) with the remaining 11 items. This 11-item, two-factor Chinese version of MOGS displayed not only satisfactory structure validity in both EFA and CFA but also scalar measurement invariance between both sex groups. Nevertheless, w</w:t>
      </w:r>
      <w:r w:rsidR="00C610CF" w:rsidRPr="006E1978">
        <w:rPr>
          <w:rFonts w:cs="Times New Roman"/>
          <w:sz w:val="24"/>
          <w:szCs w:val="24"/>
        </w:rPr>
        <w:t>e</w:t>
      </w:r>
      <w:r w:rsidR="006A797F" w:rsidRPr="006E1978">
        <w:rPr>
          <w:rFonts w:cs="Times New Roman"/>
          <w:sz w:val="24"/>
          <w:szCs w:val="24"/>
        </w:rPr>
        <w:t xml:space="preserve"> </w:t>
      </w:r>
      <w:r w:rsidR="00A15DC1" w:rsidRPr="006E1978">
        <w:rPr>
          <w:rFonts w:cs="Times New Roman"/>
          <w:sz w:val="24"/>
          <w:szCs w:val="24"/>
        </w:rPr>
        <w:t xml:space="preserve">would </w:t>
      </w:r>
      <w:r w:rsidR="000F0397" w:rsidRPr="006E1978">
        <w:rPr>
          <w:rFonts w:cs="Times New Roman"/>
          <w:sz w:val="24"/>
          <w:szCs w:val="24"/>
        </w:rPr>
        <w:t xml:space="preserve">still </w:t>
      </w:r>
      <w:r w:rsidR="00A15DC1" w:rsidRPr="006E1978">
        <w:rPr>
          <w:rFonts w:cs="Times New Roman"/>
          <w:sz w:val="24"/>
          <w:szCs w:val="24"/>
        </w:rPr>
        <w:t>like to call</w:t>
      </w:r>
      <w:r w:rsidR="006A797F" w:rsidRPr="006E1978">
        <w:rPr>
          <w:rFonts w:cs="Times New Roman"/>
          <w:sz w:val="24"/>
          <w:szCs w:val="24"/>
        </w:rPr>
        <w:t xml:space="preserve"> for </w:t>
      </w:r>
      <w:r w:rsidR="003B306C" w:rsidRPr="006E1978">
        <w:rPr>
          <w:rFonts w:cs="Times New Roman"/>
          <w:sz w:val="24"/>
          <w:szCs w:val="24"/>
        </w:rPr>
        <w:t>more validations</w:t>
      </w:r>
      <w:r w:rsidR="005C2D02" w:rsidRPr="006E1978">
        <w:rPr>
          <w:rFonts w:cs="Times New Roman"/>
          <w:sz w:val="24"/>
          <w:szCs w:val="24"/>
        </w:rPr>
        <w:t xml:space="preserve"> </w:t>
      </w:r>
      <w:r w:rsidR="006A797F" w:rsidRPr="006E1978">
        <w:rPr>
          <w:rFonts w:cs="Times New Roman"/>
          <w:sz w:val="24"/>
          <w:szCs w:val="24"/>
        </w:rPr>
        <w:t xml:space="preserve">with data collected from multiple sources and </w:t>
      </w:r>
      <w:r w:rsidR="005213DC" w:rsidRPr="006E1978">
        <w:rPr>
          <w:rFonts w:cs="Times New Roman"/>
          <w:sz w:val="24"/>
          <w:szCs w:val="24"/>
        </w:rPr>
        <w:t>longitudinal waves</w:t>
      </w:r>
      <w:r w:rsidR="006A797F" w:rsidRPr="006E1978">
        <w:rPr>
          <w:rFonts w:cs="Times New Roman"/>
          <w:sz w:val="24"/>
          <w:szCs w:val="24"/>
        </w:rPr>
        <w:t xml:space="preserve"> to confirm the robustness of this </w:t>
      </w:r>
      <w:r w:rsidR="006A5E7D" w:rsidRPr="006E1978">
        <w:rPr>
          <w:rFonts w:cs="Times New Roman"/>
          <w:sz w:val="24"/>
          <w:szCs w:val="24"/>
        </w:rPr>
        <w:t>11-item</w:t>
      </w:r>
      <w:r w:rsidR="006A797F" w:rsidRPr="006E1978">
        <w:rPr>
          <w:rFonts w:cs="Times New Roman"/>
          <w:sz w:val="24"/>
          <w:szCs w:val="24"/>
        </w:rPr>
        <w:t xml:space="preserve">, two-factor model </w:t>
      </w:r>
      <w:r w:rsidR="00254F77" w:rsidRPr="006E1978">
        <w:rPr>
          <w:rFonts w:cs="Times New Roman"/>
          <w:sz w:val="24"/>
          <w:szCs w:val="24"/>
        </w:rPr>
        <w:t xml:space="preserve">structure </w:t>
      </w:r>
      <w:r w:rsidR="00C610CF" w:rsidRPr="006E1978">
        <w:rPr>
          <w:rFonts w:cs="Times New Roman"/>
          <w:sz w:val="24"/>
          <w:szCs w:val="24"/>
        </w:rPr>
        <w:t>in</w:t>
      </w:r>
      <w:r w:rsidR="006A797F" w:rsidRPr="006E1978">
        <w:rPr>
          <w:rFonts w:cs="Times New Roman"/>
          <w:sz w:val="24"/>
          <w:szCs w:val="24"/>
        </w:rPr>
        <w:t xml:space="preserve"> Chinese</w:t>
      </w:r>
      <w:r w:rsidR="00C610CF" w:rsidRPr="006E1978">
        <w:rPr>
          <w:rFonts w:cs="Times New Roman"/>
          <w:sz w:val="24"/>
          <w:szCs w:val="24"/>
        </w:rPr>
        <w:t xml:space="preserve"> populations</w:t>
      </w:r>
      <w:r w:rsidR="006A797F" w:rsidRPr="006E1978">
        <w:rPr>
          <w:rFonts w:cs="Times New Roman"/>
          <w:sz w:val="24"/>
          <w:szCs w:val="24"/>
        </w:rPr>
        <w:t>.</w:t>
      </w:r>
    </w:p>
    <w:p w14:paraId="624CBD32" w14:textId="1AFD95A5" w:rsidR="001C36FA" w:rsidRPr="006E1978" w:rsidRDefault="00254F77" w:rsidP="00D9730A">
      <w:pPr>
        <w:snapToGrid w:val="0"/>
        <w:spacing w:line="480" w:lineRule="auto"/>
        <w:ind w:firstLine="420"/>
        <w:jc w:val="left"/>
        <w:rPr>
          <w:rFonts w:cs="Times New Roman"/>
          <w:noProof/>
          <w:sz w:val="24"/>
          <w:szCs w:val="24"/>
        </w:rPr>
      </w:pPr>
      <w:r w:rsidRPr="006E1978">
        <w:rPr>
          <w:rFonts w:cs="Times New Roman"/>
          <w:sz w:val="24"/>
          <w:szCs w:val="24"/>
        </w:rPr>
        <w:t xml:space="preserve">With respect to the </w:t>
      </w:r>
      <w:r w:rsidR="006A797F" w:rsidRPr="006E1978">
        <w:rPr>
          <w:rFonts w:cs="Times New Roman"/>
          <w:sz w:val="24"/>
          <w:szCs w:val="24"/>
        </w:rPr>
        <w:t xml:space="preserve">second </w:t>
      </w:r>
      <w:r w:rsidRPr="006E1978">
        <w:rPr>
          <w:rFonts w:cs="Times New Roman"/>
          <w:sz w:val="24"/>
          <w:szCs w:val="24"/>
        </w:rPr>
        <w:t>objective</w:t>
      </w:r>
      <w:r w:rsidR="006A797F" w:rsidRPr="006E1978">
        <w:rPr>
          <w:rFonts w:cs="Times New Roman"/>
          <w:sz w:val="24"/>
          <w:szCs w:val="24"/>
        </w:rPr>
        <w:t xml:space="preserve">, we confirmed the good reliability and validity of </w:t>
      </w:r>
      <w:r w:rsidR="00FE27C0" w:rsidRPr="006E1978">
        <w:rPr>
          <w:rFonts w:cs="Times New Roman"/>
          <w:sz w:val="24"/>
          <w:szCs w:val="24"/>
        </w:rPr>
        <w:t xml:space="preserve">the revised 11-item </w:t>
      </w:r>
      <w:r w:rsidR="006A797F" w:rsidRPr="006E1978">
        <w:rPr>
          <w:rFonts w:cs="Times New Roman"/>
          <w:sz w:val="24"/>
          <w:szCs w:val="24"/>
        </w:rPr>
        <w:t xml:space="preserve">MOGS among Chinese gamers. The satisfactory </w:t>
      </w:r>
      <w:r w:rsidR="006A797F" w:rsidRPr="006E1978">
        <w:rPr>
          <w:rFonts w:cs="Times New Roman"/>
          <w:sz w:val="24"/>
          <w:szCs w:val="24"/>
        </w:rPr>
        <w:lastRenderedPageBreak/>
        <w:t xml:space="preserve">internal consistency of MOGS (i.e., </w:t>
      </w:r>
      <w:r w:rsidR="009910B8" w:rsidRPr="006E1978">
        <w:rPr>
          <w:rFonts w:cs="Times New Roman"/>
          <w:i/>
          <w:iCs/>
          <w:kern w:val="0"/>
          <w:sz w:val="24"/>
          <w:szCs w:val="24"/>
        </w:rPr>
        <w:t>α</w:t>
      </w:r>
      <w:r w:rsidR="009910B8" w:rsidRPr="006E1978">
        <w:rPr>
          <w:rFonts w:cs="Times New Roman"/>
          <w:kern w:val="0"/>
          <w:sz w:val="24"/>
          <w:szCs w:val="24"/>
        </w:rPr>
        <w:t xml:space="preserve"> = .90 and .92</w:t>
      </w:r>
      <w:r w:rsidR="006A797F" w:rsidRPr="006E1978">
        <w:rPr>
          <w:rFonts w:cs="Times New Roman"/>
          <w:sz w:val="24"/>
          <w:szCs w:val="24"/>
        </w:rPr>
        <w:t>) in the current study was consistent with previous studies (</w:t>
      </w:r>
      <w:r w:rsidR="009910B8" w:rsidRPr="006E1978">
        <w:rPr>
          <w:rFonts w:cs="Times New Roman"/>
          <w:sz w:val="24"/>
          <w:szCs w:val="24"/>
        </w:rPr>
        <w:t xml:space="preserve">e.g., </w:t>
      </w:r>
      <w:r w:rsidR="009910B8" w:rsidRPr="006E1978">
        <w:rPr>
          <w:rFonts w:cs="Times New Roman"/>
          <w:kern w:val="0"/>
          <w:sz w:val="24"/>
          <w:szCs w:val="24"/>
        </w:rPr>
        <w:t xml:space="preserve">Akbari et al., 2021; </w:t>
      </w:r>
      <w:r w:rsidR="009910B8" w:rsidRPr="006E1978">
        <w:rPr>
          <w:rFonts w:cs="Times New Roman"/>
          <w:sz w:val="24"/>
          <w:szCs w:val="24"/>
        </w:rPr>
        <w:t>Caselli et al., 2021</w:t>
      </w:r>
      <w:r w:rsidR="006A797F" w:rsidRPr="006E1978">
        <w:rPr>
          <w:rFonts w:cs="Times New Roman"/>
          <w:sz w:val="24"/>
          <w:szCs w:val="24"/>
        </w:rPr>
        <w:t>)</w:t>
      </w:r>
      <w:r w:rsidR="009910B8" w:rsidRPr="006E1978">
        <w:rPr>
          <w:rFonts w:cs="Times New Roman"/>
          <w:sz w:val="24"/>
          <w:szCs w:val="24"/>
        </w:rPr>
        <w:t>, whereas</w:t>
      </w:r>
      <w:r w:rsidR="006A797F" w:rsidRPr="006E1978">
        <w:rPr>
          <w:rFonts w:cs="Times New Roman"/>
          <w:sz w:val="24"/>
          <w:szCs w:val="24"/>
        </w:rPr>
        <w:t xml:space="preserve"> our finding </w:t>
      </w:r>
      <w:r w:rsidRPr="006E1978">
        <w:rPr>
          <w:rFonts w:cs="Times New Roman"/>
          <w:sz w:val="24"/>
          <w:szCs w:val="24"/>
        </w:rPr>
        <w:t>regarding its acceptable</w:t>
      </w:r>
      <w:r w:rsidR="006A797F" w:rsidRPr="006E1978">
        <w:rPr>
          <w:rFonts w:cs="Times New Roman"/>
          <w:sz w:val="24"/>
          <w:szCs w:val="24"/>
        </w:rPr>
        <w:t xml:space="preserve"> one-month test-retest reliability (i.e., .60 </w:t>
      </w:r>
      <w:r w:rsidR="009910B8" w:rsidRPr="006E1978">
        <w:rPr>
          <w:rFonts w:cs="Times New Roman"/>
          <w:sz w:val="24"/>
          <w:szCs w:val="24"/>
        </w:rPr>
        <w:t>and</w:t>
      </w:r>
      <w:r w:rsidR="006A797F" w:rsidRPr="006E1978">
        <w:rPr>
          <w:rFonts w:cs="Times New Roman"/>
          <w:sz w:val="24"/>
          <w:szCs w:val="24"/>
        </w:rPr>
        <w:t xml:space="preserve"> .</w:t>
      </w:r>
      <w:r w:rsidR="00FE27C0" w:rsidRPr="006E1978">
        <w:rPr>
          <w:rFonts w:cs="Times New Roman"/>
          <w:sz w:val="24"/>
          <w:szCs w:val="24"/>
        </w:rPr>
        <w:t>64</w:t>
      </w:r>
      <w:r w:rsidR="006A797F" w:rsidRPr="006E1978">
        <w:rPr>
          <w:rFonts w:cs="Times New Roman"/>
          <w:sz w:val="24"/>
          <w:szCs w:val="24"/>
        </w:rPr>
        <w:t>)</w:t>
      </w:r>
      <w:r w:rsidR="009910B8" w:rsidRPr="006E1978">
        <w:rPr>
          <w:rFonts w:cs="Times New Roman"/>
          <w:sz w:val="24"/>
          <w:szCs w:val="24"/>
        </w:rPr>
        <w:t xml:space="preserve"> was comparable to those found in Turkish gamers (i.e., .58 and .72; </w:t>
      </w:r>
      <w:proofErr w:type="spellStart"/>
      <w:r w:rsidR="009910B8" w:rsidRPr="006E1978">
        <w:rPr>
          <w:rFonts w:cs="Times New Roman"/>
          <w:sz w:val="24"/>
          <w:szCs w:val="24"/>
        </w:rPr>
        <w:t>Nazligül</w:t>
      </w:r>
      <w:proofErr w:type="spellEnd"/>
      <w:r w:rsidR="009910B8" w:rsidRPr="006E1978">
        <w:rPr>
          <w:rFonts w:cs="Times New Roman"/>
          <w:sz w:val="24"/>
          <w:szCs w:val="24"/>
        </w:rPr>
        <w:t xml:space="preserve">, &amp; </w:t>
      </w:r>
      <w:proofErr w:type="spellStart"/>
      <w:r w:rsidR="009910B8" w:rsidRPr="006E1978">
        <w:rPr>
          <w:rFonts w:cs="Times New Roman"/>
          <w:sz w:val="24"/>
          <w:szCs w:val="24"/>
        </w:rPr>
        <w:t>Süsen</w:t>
      </w:r>
      <w:proofErr w:type="spellEnd"/>
      <w:r w:rsidR="009910B8" w:rsidRPr="006E1978">
        <w:rPr>
          <w:rFonts w:cs="Times New Roman"/>
          <w:sz w:val="24"/>
          <w:szCs w:val="24"/>
        </w:rPr>
        <w:t>, 2021)</w:t>
      </w:r>
      <w:r w:rsidR="006A797F" w:rsidRPr="006E1978">
        <w:rPr>
          <w:rFonts w:cs="Times New Roman"/>
          <w:sz w:val="24"/>
          <w:szCs w:val="24"/>
        </w:rPr>
        <w:t>.</w:t>
      </w:r>
      <w:r w:rsidR="002B00F7" w:rsidRPr="006E1978">
        <w:rPr>
          <w:rFonts w:cs="Times New Roman"/>
          <w:sz w:val="24"/>
          <w:szCs w:val="24"/>
        </w:rPr>
        <w:t xml:space="preserve"> </w:t>
      </w:r>
      <w:r w:rsidR="006A5E7D" w:rsidRPr="006E1978">
        <w:rPr>
          <w:rFonts w:cs="Times New Roman"/>
          <w:sz w:val="24"/>
          <w:szCs w:val="24"/>
        </w:rPr>
        <w:t xml:space="preserve">The CFA-based reliability measures, AVE (i.e., .56 and .70) and composite reliability (i.e., .88 and .92), also supported the satisfactory reliability of the Chinese version of MOGS on the latent factor level. </w:t>
      </w:r>
      <w:r w:rsidR="00A66FF7" w:rsidRPr="006E1978">
        <w:rPr>
          <w:rFonts w:cs="Times New Roman"/>
          <w:sz w:val="24"/>
          <w:szCs w:val="24"/>
        </w:rPr>
        <w:t xml:space="preserve">For </w:t>
      </w:r>
      <w:r w:rsidR="00AD72B2" w:rsidRPr="006E1978">
        <w:rPr>
          <w:rFonts w:cs="Times New Roman"/>
          <w:sz w:val="24"/>
          <w:szCs w:val="24"/>
        </w:rPr>
        <w:t>convergent</w:t>
      </w:r>
      <w:r w:rsidR="00A66FF7" w:rsidRPr="006E1978">
        <w:rPr>
          <w:rFonts w:cs="Times New Roman"/>
          <w:sz w:val="24"/>
          <w:szCs w:val="24"/>
        </w:rPr>
        <w:t xml:space="preserve"> validity, th</w:t>
      </w:r>
      <w:r w:rsidR="00C610CF" w:rsidRPr="006E1978">
        <w:rPr>
          <w:rFonts w:cs="Times New Roman"/>
          <w:sz w:val="24"/>
          <w:szCs w:val="24"/>
        </w:rPr>
        <w:t>e two types of</w:t>
      </w:r>
      <w:r w:rsidR="00A66FF7" w:rsidRPr="006E1978">
        <w:rPr>
          <w:rFonts w:cs="Times New Roman"/>
          <w:sz w:val="24"/>
          <w:szCs w:val="24"/>
        </w:rPr>
        <w:t xml:space="preserve"> specific metacognition</w:t>
      </w:r>
      <w:r w:rsidRPr="006E1978">
        <w:rPr>
          <w:rFonts w:cs="Times New Roman"/>
          <w:sz w:val="24"/>
          <w:szCs w:val="24"/>
        </w:rPr>
        <w:t>s</w:t>
      </w:r>
      <w:r w:rsidR="00A66FF7" w:rsidRPr="006E1978">
        <w:rPr>
          <w:rFonts w:cs="Times New Roman"/>
          <w:sz w:val="24"/>
          <w:szCs w:val="24"/>
        </w:rPr>
        <w:t xml:space="preserve"> about online gaming</w:t>
      </w:r>
      <w:r w:rsidR="00C610CF" w:rsidRPr="006E1978">
        <w:rPr>
          <w:rFonts w:cs="Times New Roman"/>
          <w:sz w:val="24"/>
          <w:szCs w:val="24"/>
        </w:rPr>
        <w:t xml:space="preserve"> (i.e., N-MOG and P-MOG)</w:t>
      </w:r>
      <w:r w:rsidR="00A66FF7" w:rsidRPr="006E1978">
        <w:rPr>
          <w:rFonts w:cs="Times New Roman"/>
          <w:sz w:val="24"/>
          <w:szCs w:val="24"/>
        </w:rPr>
        <w:t xml:space="preserve">, measured by MOGS, demonstrated significant, positive </w:t>
      </w:r>
      <w:r w:rsidRPr="006E1978">
        <w:rPr>
          <w:rFonts w:cs="Times New Roman"/>
          <w:sz w:val="24"/>
          <w:szCs w:val="24"/>
        </w:rPr>
        <w:t xml:space="preserve">correlations </w:t>
      </w:r>
      <w:r w:rsidR="00A66FF7" w:rsidRPr="006E1978">
        <w:rPr>
          <w:rFonts w:cs="Times New Roman"/>
          <w:sz w:val="24"/>
          <w:szCs w:val="24"/>
        </w:rPr>
        <w:t>with th</w:t>
      </w:r>
      <w:r w:rsidR="00156151" w:rsidRPr="006E1978">
        <w:rPr>
          <w:rFonts w:cs="Times New Roman"/>
          <w:sz w:val="24"/>
          <w:szCs w:val="24"/>
        </w:rPr>
        <w:t xml:space="preserve">e five </w:t>
      </w:r>
      <w:r w:rsidR="004648CD" w:rsidRPr="006E1978">
        <w:rPr>
          <w:rFonts w:cs="Times New Roman"/>
          <w:sz w:val="24"/>
          <w:szCs w:val="24"/>
        </w:rPr>
        <w:t xml:space="preserve">dimensions of </w:t>
      </w:r>
      <w:r w:rsidR="00156151" w:rsidRPr="006E1978">
        <w:rPr>
          <w:rFonts w:cs="Times New Roman"/>
          <w:sz w:val="24"/>
          <w:szCs w:val="24"/>
        </w:rPr>
        <w:t>generic</w:t>
      </w:r>
      <w:r w:rsidR="00A66FF7" w:rsidRPr="006E1978">
        <w:rPr>
          <w:rFonts w:cs="Times New Roman"/>
          <w:sz w:val="24"/>
          <w:szCs w:val="24"/>
        </w:rPr>
        <w:t xml:space="preserve"> metacognition</w:t>
      </w:r>
      <w:r w:rsidRPr="006E1978">
        <w:rPr>
          <w:rFonts w:cs="Times New Roman"/>
          <w:sz w:val="24"/>
          <w:szCs w:val="24"/>
        </w:rPr>
        <w:t>s</w:t>
      </w:r>
      <w:r w:rsidR="00A66FF7" w:rsidRPr="006E1978">
        <w:rPr>
          <w:rFonts w:cs="Times New Roman"/>
          <w:sz w:val="24"/>
          <w:szCs w:val="24"/>
        </w:rPr>
        <w:t xml:space="preserve"> (</w:t>
      </w:r>
      <w:r w:rsidR="00A66FF7" w:rsidRPr="006E1978">
        <w:rPr>
          <w:rFonts w:cs="Times New Roman"/>
          <w:i/>
          <w:sz w:val="24"/>
          <w:szCs w:val="24"/>
        </w:rPr>
        <w:t>r</w:t>
      </w:r>
      <w:r w:rsidR="00A66FF7" w:rsidRPr="006E1978">
        <w:rPr>
          <w:rFonts w:cs="Times New Roman"/>
          <w:sz w:val="24"/>
          <w:szCs w:val="24"/>
        </w:rPr>
        <w:t xml:space="preserve"> </w:t>
      </w:r>
      <w:r w:rsidR="00FE27C0" w:rsidRPr="006E1978">
        <w:rPr>
          <w:rFonts w:cs="Times New Roman"/>
          <w:sz w:val="24"/>
          <w:szCs w:val="24"/>
        </w:rPr>
        <w:t>(</w:t>
      </w:r>
      <w:r w:rsidR="00B471A9" w:rsidRPr="006E1978">
        <w:rPr>
          <w:rFonts w:cs="Times New Roman"/>
          <w:sz w:val="24"/>
          <w:szCs w:val="24"/>
        </w:rPr>
        <w:t>1338</w:t>
      </w:r>
      <w:r w:rsidR="00FE27C0" w:rsidRPr="006E1978">
        <w:rPr>
          <w:rFonts w:cs="Times New Roman"/>
          <w:sz w:val="24"/>
          <w:szCs w:val="24"/>
        </w:rPr>
        <w:t xml:space="preserve">) </w:t>
      </w:r>
      <w:r w:rsidR="00A66FF7" w:rsidRPr="006E1978">
        <w:rPr>
          <w:rFonts w:cs="Times New Roman"/>
          <w:sz w:val="24"/>
          <w:szCs w:val="24"/>
        </w:rPr>
        <w:t>= .</w:t>
      </w:r>
      <w:r w:rsidR="00FE27C0" w:rsidRPr="006E1978">
        <w:rPr>
          <w:rFonts w:cs="Times New Roman"/>
          <w:sz w:val="24"/>
          <w:szCs w:val="24"/>
        </w:rPr>
        <w:t xml:space="preserve">36 </w:t>
      </w:r>
      <w:r w:rsidR="00A66FF7" w:rsidRPr="006E1978">
        <w:rPr>
          <w:rFonts w:cs="Times New Roman"/>
          <w:sz w:val="24"/>
          <w:szCs w:val="24"/>
        </w:rPr>
        <w:t xml:space="preserve">to .48, </w:t>
      </w:r>
      <w:r w:rsidR="00A66FF7" w:rsidRPr="006E1978">
        <w:rPr>
          <w:rFonts w:cs="Times New Roman"/>
          <w:i/>
          <w:sz w:val="24"/>
          <w:szCs w:val="24"/>
        </w:rPr>
        <w:t>p</w:t>
      </w:r>
      <w:r w:rsidR="00A66FF7" w:rsidRPr="006E1978">
        <w:rPr>
          <w:rFonts w:cs="Times New Roman"/>
          <w:sz w:val="24"/>
          <w:szCs w:val="24"/>
        </w:rPr>
        <w:t xml:space="preserve"> &lt; .001)</w:t>
      </w:r>
      <w:r w:rsidR="00E12117" w:rsidRPr="006E1978">
        <w:rPr>
          <w:rFonts w:cs="Times New Roman"/>
          <w:sz w:val="24"/>
          <w:szCs w:val="24"/>
        </w:rPr>
        <w:t>;</w:t>
      </w:r>
      <w:r w:rsidR="00A66FF7" w:rsidRPr="006E1978">
        <w:rPr>
          <w:rFonts w:cs="Times New Roman"/>
          <w:sz w:val="24"/>
          <w:szCs w:val="24"/>
        </w:rPr>
        <w:t xml:space="preserve"> </w:t>
      </w:r>
      <w:r w:rsidR="00E12117" w:rsidRPr="006E1978">
        <w:rPr>
          <w:rFonts w:cs="Times New Roman"/>
          <w:sz w:val="24"/>
          <w:szCs w:val="24"/>
        </w:rPr>
        <w:t>these medium-sized correlation coefficients</w:t>
      </w:r>
      <w:r w:rsidR="00F12E44" w:rsidRPr="006E1978">
        <w:rPr>
          <w:rFonts w:cs="Times New Roman"/>
          <w:sz w:val="24"/>
          <w:szCs w:val="24"/>
        </w:rPr>
        <w:t>, taken together with the additional EFA results on MOGS and the generic metacognition items,</w:t>
      </w:r>
      <w:r w:rsidR="00E12117" w:rsidRPr="006E1978">
        <w:rPr>
          <w:rFonts w:cs="Times New Roman"/>
          <w:sz w:val="24"/>
          <w:szCs w:val="24"/>
        </w:rPr>
        <w:t xml:space="preserve"> indicated</w:t>
      </w:r>
      <w:r w:rsidR="00A66FF7" w:rsidRPr="006E1978">
        <w:rPr>
          <w:rFonts w:cs="Times New Roman"/>
          <w:sz w:val="24"/>
          <w:szCs w:val="24"/>
        </w:rPr>
        <w:t xml:space="preserve"> </w:t>
      </w:r>
      <w:r w:rsidRPr="006E1978">
        <w:rPr>
          <w:rFonts w:cs="Times New Roman"/>
          <w:sz w:val="24"/>
          <w:szCs w:val="24"/>
        </w:rPr>
        <w:t xml:space="preserve">that </w:t>
      </w:r>
      <w:r w:rsidR="00E12117" w:rsidRPr="006E1978">
        <w:rPr>
          <w:rFonts w:cs="Times New Roman"/>
          <w:sz w:val="24"/>
          <w:szCs w:val="24"/>
        </w:rPr>
        <w:t>specific metacognition</w:t>
      </w:r>
      <w:r w:rsidRPr="006E1978">
        <w:rPr>
          <w:rFonts w:cs="Times New Roman"/>
          <w:sz w:val="24"/>
          <w:szCs w:val="24"/>
        </w:rPr>
        <w:t>s</w:t>
      </w:r>
      <w:r w:rsidR="00E12117" w:rsidRPr="006E1978">
        <w:rPr>
          <w:rFonts w:cs="Times New Roman"/>
          <w:sz w:val="24"/>
          <w:szCs w:val="24"/>
        </w:rPr>
        <w:t xml:space="preserve"> </w:t>
      </w:r>
      <w:r w:rsidRPr="006E1978">
        <w:rPr>
          <w:rFonts w:cs="Times New Roman"/>
          <w:sz w:val="24"/>
          <w:szCs w:val="24"/>
        </w:rPr>
        <w:t xml:space="preserve">were </w:t>
      </w:r>
      <w:r w:rsidR="00E12117" w:rsidRPr="006E1978">
        <w:rPr>
          <w:rFonts w:cs="Times New Roman"/>
          <w:sz w:val="24"/>
          <w:szCs w:val="24"/>
        </w:rPr>
        <w:t xml:space="preserve">sufficiently </w:t>
      </w:r>
      <w:r w:rsidR="00156151" w:rsidRPr="006E1978">
        <w:rPr>
          <w:rFonts w:cs="Times New Roman"/>
          <w:sz w:val="24"/>
          <w:szCs w:val="24"/>
        </w:rPr>
        <w:t>distinct from generic</w:t>
      </w:r>
      <w:r w:rsidR="00E12117" w:rsidRPr="006E1978">
        <w:rPr>
          <w:rFonts w:cs="Times New Roman"/>
          <w:sz w:val="24"/>
          <w:szCs w:val="24"/>
        </w:rPr>
        <w:t xml:space="preserve"> metacognition</w:t>
      </w:r>
      <w:r w:rsidRPr="006E1978">
        <w:rPr>
          <w:rFonts w:cs="Times New Roman"/>
          <w:sz w:val="24"/>
          <w:szCs w:val="24"/>
        </w:rPr>
        <w:t>s</w:t>
      </w:r>
      <w:r w:rsidR="00E12117" w:rsidRPr="006E1978">
        <w:rPr>
          <w:rFonts w:cs="Times New Roman"/>
          <w:sz w:val="24"/>
          <w:szCs w:val="24"/>
        </w:rPr>
        <w:t xml:space="preserve"> albeit </w:t>
      </w:r>
      <w:r w:rsidRPr="006E1978">
        <w:rPr>
          <w:rFonts w:cs="Times New Roman"/>
          <w:sz w:val="24"/>
          <w:szCs w:val="24"/>
        </w:rPr>
        <w:t xml:space="preserve">possessing </w:t>
      </w:r>
      <w:r w:rsidR="00E12117" w:rsidRPr="006E1978">
        <w:rPr>
          <w:rFonts w:cs="Times New Roman"/>
          <w:sz w:val="24"/>
          <w:szCs w:val="24"/>
        </w:rPr>
        <w:t xml:space="preserve">a </w:t>
      </w:r>
      <w:r w:rsidR="000F4B0B" w:rsidRPr="006E1978">
        <w:rPr>
          <w:rFonts w:cs="Times New Roman"/>
          <w:sz w:val="24"/>
          <w:szCs w:val="24"/>
        </w:rPr>
        <w:t>potentially common root</w:t>
      </w:r>
      <w:r w:rsidR="00096C53" w:rsidRPr="006E1978">
        <w:rPr>
          <w:rFonts w:cs="Times New Roman"/>
          <w:sz w:val="24"/>
          <w:szCs w:val="24"/>
        </w:rPr>
        <w:t>.</w:t>
      </w:r>
      <w:r w:rsidR="00E12117" w:rsidRPr="006E1978">
        <w:rPr>
          <w:rFonts w:cs="Times New Roman"/>
          <w:sz w:val="24"/>
          <w:szCs w:val="24"/>
        </w:rPr>
        <w:t xml:space="preserve"> </w:t>
      </w:r>
      <w:r w:rsidR="002B00F7" w:rsidRPr="006E1978">
        <w:rPr>
          <w:rFonts w:cs="Times New Roman"/>
          <w:sz w:val="24"/>
          <w:szCs w:val="24"/>
        </w:rPr>
        <w:t xml:space="preserve">In line with previous studies on </w:t>
      </w:r>
      <w:r w:rsidR="00156151" w:rsidRPr="006E1978">
        <w:rPr>
          <w:rFonts w:cs="Times New Roman"/>
          <w:sz w:val="24"/>
          <w:szCs w:val="24"/>
        </w:rPr>
        <w:t xml:space="preserve">generic </w:t>
      </w:r>
      <w:r w:rsidR="002B00F7" w:rsidRPr="006E1978">
        <w:rPr>
          <w:rFonts w:cs="Times New Roman"/>
          <w:sz w:val="24"/>
          <w:szCs w:val="24"/>
        </w:rPr>
        <w:t>metacognition</w:t>
      </w:r>
      <w:r w:rsidRPr="006E1978">
        <w:rPr>
          <w:rFonts w:cs="Times New Roman"/>
          <w:sz w:val="24"/>
          <w:szCs w:val="24"/>
        </w:rPr>
        <w:t>s</w:t>
      </w:r>
      <w:r w:rsidR="002B00F7" w:rsidRPr="006E1978">
        <w:rPr>
          <w:rFonts w:cs="Times New Roman"/>
          <w:sz w:val="24"/>
          <w:szCs w:val="24"/>
        </w:rPr>
        <w:t xml:space="preserve"> (e.g., Akbari et al., 2021; Capobianco et al., 2018; Spada et al., 2008</w:t>
      </w:r>
      <w:r w:rsidR="00E12117" w:rsidRPr="006E1978">
        <w:rPr>
          <w:rFonts w:cs="Times New Roman"/>
          <w:sz w:val="24"/>
          <w:szCs w:val="24"/>
        </w:rPr>
        <w:t>; Zhang et al., 2020</w:t>
      </w:r>
      <w:r w:rsidR="002B00F7" w:rsidRPr="006E1978">
        <w:rPr>
          <w:rFonts w:cs="Times New Roman"/>
          <w:sz w:val="24"/>
          <w:szCs w:val="24"/>
        </w:rPr>
        <w:t xml:space="preserve">), </w:t>
      </w:r>
      <w:r w:rsidR="00E12117" w:rsidRPr="006E1978">
        <w:rPr>
          <w:rFonts w:cs="Times New Roman"/>
          <w:sz w:val="24"/>
          <w:szCs w:val="24"/>
        </w:rPr>
        <w:t>the</w:t>
      </w:r>
      <w:r w:rsidR="00C610CF" w:rsidRPr="006E1978">
        <w:rPr>
          <w:rFonts w:cs="Times New Roman"/>
          <w:sz w:val="24"/>
          <w:szCs w:val="24"/>
        </w:rPr>
        <w:t>se</w:t>
      </w:r>
      <w:r w:rsidR="00E12117" w:rsidRPr="006E1978">
        <w:rPr>
          <w:rFonts w:cs="Times New Roman"/>
          <w:sz w:val="24"/>
          <w:szCs w:val="24"/>
        </w:rPr>
        <w:t xml:space="preserve"> two MOGS constructs </w:t>
      </w:r>
      <w:r w:rsidR="002B00F7" w:rsidRPr="006E1978">
        <w:rPr>
          <w:rFonts w:cs="Times New Roman"/>
          <w:sz w:val="24"/>
          <w:szCs w:val="24"/>
        </w:rPr>
        <w:t xml:space="preserve">also demonstrated significant, positive </w:t>
      </w:r>
      <w:r w:rsidRPr="006E1978">
        <w:rPr>
          <w:rFonts w:cs="Times New Roman"/>
          <w:sz w:val="24"/>
          <w:szCs w:val="24"/>
        </w:rPr>
        <w:t xml:space="preserve">correlations </w:t>
      </w:r>
      <w:r w:rsidR="002B00F7" w:rsidRPr="006E1978">
        <w:rPr>
          <w:rFonts w:cs="Times New Roman"/>
          <w:sz w:val="24"/>
          <w:szCs w:val="24"/>
        </w:rPr>
        <w:t xml:space="preserve">with </w:t>
      </w:r>
      <w:r w:rsidR="00C610CF" w:rsidRPr="006E1978">
        <w:rPr>
          <w:rFonts w:cs="Times New Roman"/>
          <w:sz w:val="24"/>
          <w:szCs w:val="24"/>
        </w:rPr>
        <w:t xml:space="preserve">both </w:t>
      </w:r>
      <w:r w:rsidR="004C24B8" w:rsidRPr="006E1978">
        <w:rPr>
          <w:rFonts w:cs="Times New Roman"/>
          <w:sz w:val="24"/>
          <w:szCs w:val="24"/>
        </w:rPr>
        <w:t>stress</w:t>
      </w:r>
      <w:r w:rsidR="002B00F7" w:rsidRPr="006E1978">
        <w:rPr>
          <w:rFonts w:cs="Times New Roman"/>
          <w:sz w:val="24"/>
          <w:szCs w:val="24"/>
        </w:rPr>
        <w:t xml:space="preserve"> and IGD </w:t>
      </w:r>
      <w:r w:rsidR="00124152" w:rsidRPr="006E1978">
        <w:rPr>
          <w:rFonts w:cs="Times New Roman"/>
          <w:sz w:val="24"/>
          <w:szCs w:val="24"/>
        </w:rPr>
        <w:t>tendency</w:t>
      </w:r>
      <w:r w:rsidR="00C610CF" w:rsidRPr="006E1978">
        <w:rPr>
          <w:rFonts w:cs="Times New Roman"/>
          <w:sz w:val="24"/>
          <w:szCs w:val="24"/>
        </w:rPr>
        <w:t xml:space="preserve"> among Chinese gamers.</w:t>
      </w:r>
      <w:r w:rsidR="00A5174C" w:rsidRPr="006E1978">
        <w:rPr>
          <w:rFonts w:cs="Times New Roman"/>
          <w:sz w:val="24"/>
          <w:szCs w:val="24"/>
        </w:rPr>
        <w:t xml:space="preserve"> </w:t>
      </w:r>
      <w:r w:rsidR="006B5F54" w:rsidRPr="006E1978">
        <w:rPr>
          <w:rFonts w:cs="Times New Roman"/>
          <w:sz w:val="24"/>
          <w:szCs w:val="24"/>
        </w:rPr>
        <w:t xml:space="preserve">In specific, IGD tendency displayed </w:t>
      </w:r>
      <w:r w:rsidR="00A5174C" w:rsidRPr="006E1978">
        <w:rPr>
          <w:rFonts w:cs="Times New Roman"/>
          <w:sz w:val="24"/>
          <w:szCs w:val="24"/>
        </w:rPr>
        <w:t xml:space="preserve">a generally greater effect size (i.e., from </w:t>
      </w:r>
      <w:r w:rsidR="005E57AC" w:rsidRPr="006E1978">
        <w:rPr>
          <w:rFonts w:cs="Times New Roman"/>
          <w:sz w:val="24"/>
          <w:szCs w:val="24"/>
        </w:rPr>
        <w:t xml:space="preserve">marginally large </w:t>
      </w:r>
      <w:r w:rsidR="00A5174C" w:rsidRPr="006E1978">
        <w:rPr>
          <w:rFonts w:cs="Times New Roman"/>
          <w:sz w:val="24"/>
          <w:szCs w:val="24"/>
        </w:rPr>
        <w:t>to large)</w:t>
      </w:r>
      <w:r w:rsidR="00156151" w:rsidRPr="006E1978">
        <w:rPr>
          <w:rFonts w:cs="Times New Roman"/>
          <w:sz w:val="24"/>
          <w:szCs w:val="24"/>
        </w:rPr>
        <w:t xml:space="preserve"> </w:t>
      </w:r>
      <w:r w:rsidR="006B5F54" w:rsidRPr="006E1978">
        <w:rPr>
          <w:rFonts w:cs="Times New Roman"/>
          <w:sz w:val="24"/>
          <w:szCs w:val="24"/>
        </w:rPr>
        <w:t xml:space="preserve">in correlation with N-MOG and P-MOG </w:t>
      </w:r>
      <w:r w:rsidR="00156151" w:rsidRPr="006E1978">
        <w:rPr>
          <w:rFonts w:cs="Times New Roman"/>
          <w:sz w:val="24"/>
          <w:szCs w:val="24"/>
        </w:rPr>
        <w:t>than those with generic</w:t>
      </w:r>
      <w:r w:rsidR="00A5174C" w:rsidRPr="006E1978">
        <w:rPr>
          <w:rFonts w:cs="Times New Roman"/>
          <w:sz w:val="24"/>
          <w:szCs w:val="24"/>
        </w:rPr>
        <w:t xml:space="preserve"> metacognition</w:t>
      </w:r>
      <w:r w:rsidR="00B729C6" w:rsidRPr="006E1978">
        <w:rPr>
          <w:rFonts w:cs="Times New Roman"/>
          <w:sz w:val="24"/>
          <w:szCs w:val="24"/>
        </w:rPr>
        <w:t>s</w:t>
      </w:r>
      <w:r w:rsidR="00A5174C" w:rsidRPr="006E1978">
        <w:rPr>
          <w:rFonts w:cs="Times New Roman"/>
          <w:sz w:val="24"/>
          <w:szCs w:val="24"/>
        </w:rPr>
        <w:t xml:space="preserve"> (i.e., medium)</w:t>
      </w:r>
      <w:r w:rsidR="000F1963" w:rsidRPr="006E1978">
        <w:rPr>
          <w:rFonts w:cs="Times New Roman"/>
          <w:sz w:val="24"/>
          <w:szCs w:val="24"/>
        </w:rPr>
        <w:t>;</w:t>
      </w:r>
      <w:r w:rsidR="00A5174C" w:rsidRPr="006E1978">
        <w:rPr>
          <w:rFonts w:cs="Times New Roman"/>
          <w:sz w:val="24"/>
          <w:szCs w:val="24"/>
        </w:rPr>
        <w:t xml:space="preserve"> this difference in effect size implied that specific metacognition</w:t>
      </w:r>
      <w:r w:rsidR="00B729C6" w:rsidRPr="006E1978">
        <w:rPr>
          <w:rFonts w:cs="Times New Roman"/>
          <w:sz w:val="24"/>
          <w:szCs w:val="24"/>
        </w:rPr>
        <w:t>s</w:t>
      </w:r>
      <w:r w:rsidR="00A5174C" w:rsidRPr="006E1978">
        <w:rPr>
          <w:rFonts w:cs="Times New Roman"/>
          <w:sz w:val="24"/>
          <w:szCs w:val="24"/>
        </w:rPr>
        <w:t xml:space="preserve"> about online gaming appear to be a better indicator of IGD </w:t>
      </w:r>
      <w:r w:rsidR="00124152" w:rsidRPr="006E1978">
        <w:rPr>
          <w:rFonts w:cs="Times New Roman"/>
          <w:sz w:val="24"/>
          <w:szCs w:val="24"/>
        </w:rPr>
        <w:t>tendency</w:t>
      </w:r>
      <w:r w:rsidR="00A5174C" w:rsidRPr="006E1978">
        <w:rPr>
          <w:rFonts w:cs="Times New Roman"/>
          <w:sz w:val="24"/>
          <w:szCs w:val="24"/>
        </w:rPr>
        <w:t xml:space="preserve"> than </w:t>
      </w:r>
      <w:r w:rsidR="00156151" w:rsidRPr="006E1978">
        <w:rPr>
          <w:rFonts w:cs="Times New Roman"/>
          <w:sz w:val="24"/>
          <w:szCs w:val="24"/>
        </w:rPr>
        <w:t xml:space="preserve">the </w:t>
      </w:r>
      <w:r w:rsidR="00B729C6" w:rsidRPr="006E1978">
        <w:rPr>
          <w:rFonts w:cs="Times New Roman"/>
          <w:sz w:val="24"/>
          <w:szCs w:val="24"/>
        </w:rPr>
        <w:t>generic metacognitions</w:t>
      </w:r>
      <w:r w:rsidR="00776EB6" w:rsidRPr="006E1978">
        <w:rPr>
          <w:rFonts w:cs="Times New Roman"/>
          <w:sz w:val="24"/>
          <w:szCs w:val="24"/>
        </w:rPr>
        <w:t xml:space="preserve">, underscoring the good </w:t>
      </w:r>
      <w:r w:rsidR="00327879" w:rsidRPr="006E1978">
        <w:rPr>
          <w:rFonts w:cs="Times New Roman"/>
          <w:sz w:val="24"/>
          <w:szCs w:val="24"/>
        </w:rPr>
        <w:t xml:space="preserve">convergent </w:t>
      </w:r>
      <w:r w:rsidR="00776EB6" w:rsidRPr="006E1978">
        <w:rPr>
          <w:rFonts w:cs="Times New Roman"/>
          <w:sz w:val="24"/>
          <w:szCs w:val="24"/>
        </w:rPr>
        <w:t>validity of the Chinese version of MOGS</w:t>
      </w:r>
      <w:r w:rsidR="00A5174C" w:rsidRPr="006E1978">
        <w:rPr>
          <w:rFonts w:cs="Times New Roman"/>
          <w:sz w:val="24"/>
          <w:szCs w:val="24"/>
        </w:rPr>
        <w:t xml:space="preserve">. </w:t>
      </w:r>
      <w:r w:rsidR="00361CA5" w:rsidRPr="006E1978">
        <w:rPr>
          <w:rFonts w:cs="Times New Roman"/>
          <w:sz w:val="24"/>
          <w:szCs w:val="24"/>
        </w:rPr>
        <w:t xml:space="preserve">It is not surprising that MOGS is a superior indicator of IGD tendency than the generic metacognitions because past literature has consistently revealed that specific and targeted assessment tools measures have better predictive power than the general ones </w:t>
      </w:r>
      <w:r w:rsidR="00361CA5" w:rsidRPr="006E1978">
        <w:rPr>
          <w:rFonts w:cs="Times New Roman"/>
          <w:sz w:val="24"/>
          <w:szCs w:val="24"/>
        </w:rPr>
        <w:lastRenderedPageBreak/>
        <w:fldChar w:fldCharType="begin"/>
      </w:r>
      <w:r w:rsidR="00E83898" w:rsidRPr="006E1978">
        <w:rPr>
          <w:rFonts w:cs="Times New Roman"/>
          <w:sz w:val="24"/>
          <w:szCs w:val="24"/>
        </w:rPr>
        <w:instrText xml:space="preserve"> ADDIN ZOTERO_ITEM CSL_CITATION {"citationID":"CCp0cN2V","properties":{"formattedCitation":"(Rydell et al., 2007)","plainCitation":"(Rydell et al., 2007)(Rydell et al., 2007)","noteIndex":0},"citationItems":[{"id":5076,"uris":["http://zotero.org/users/2764444/items/AF8QC9NZ"],"uri":["http://zotero.org/users/2764444/items/AF8QC9NZ"],"itemData":{"id":5076,"type":"report","language":"en","note":"type: dataset\nDOI: 10.1037/e633982013-673","publisher":"American Psychological Association","source":"DOI.org (Crossref)","title":"Implicit theories about groups and stereotyping: The role of group entitativity: (633982013-673)","title-short":"Implicit theories about groups and stereotyping","URL":"http://doi.apa.org/get-pe-doi.cfm?doi=10.1037/e633982013-673","author":[{"family":"Rydell","given":"Robert"},{"family":"Hugenberg","given":"Kurt"},{"family":"Ray","given":"Devin"},{"family":"Mackie","given":"Diane"}],"accessed":{"date-parts":[["2021",9,13]]},"issued":{"date-parts":[["2007"]]}}}],"schema":"https://github.com/citation-style-language/schema/raw/master/csl-citation.json"} </w:instrText>
      </w:r>
      <w:r w:rsidR="00361CA5" w:rsidRPr="006E1978">
        <w:rPr>
          <w:rFonts w:cs="Times New Roman"/>
          <w:sz w:val="24"/>
          <w:szCs w:val="24"/>
        </w:rPr>
        <w:fldChar w:fldCharType="separate"/>
      </w:r>
      <w:r w:rsidR="00E83898" w:rsidRPr="006E1978">
        <w:rPr>
          <w:rFonts w:cs="Times New Roman"/>
          <w:noProof/>
          <w:sz w:val="24"/>
          <w:szCs w:val="24"/>
        </w:rPr>
        <w:t>(</w:t>
      </w:r>
      <w:r w:rsidR="00973293" w:rsidRPr="006E1978">
        <w:rPr>
          <w:rFonts w:cs="Times New Roman"/>
          <w:noProof/>
          <w:sz w:val="24"/>
          <w:szCs w:val="24"/>
        </w:rPr>
        <w:t>e.g., Chen et al., 2021</w:t>
      </w:r>
      <w:r w:rsidR="00403EFA" w:rsidRPr="006E1978">
        <w:rPr>
          <w:rFonts w:cs="Times New Roman"/>
          <w:noProof/>
          <w:sz w:val="24"/>
          <w:szCs w:val="24"/>
        </w:rPr>
        <w:t>a</w:t>
      </w:r>
      <w:r w:rsidR="00973293" w:rsidRPr="006E1978">
        <w:rPr>
          <w:rFonts w:cs="Times New Roman"/>
          <w:noProof/>
          <w:sz w:val="24"/>
          <w:szCs w:val="24"/>
        </w:rPr>
        <w:t xml:space="preserve">; </w:t>
      </w:r>
      <w:r w:rsidR="00E83898" w:rsidRPr="006E1978">
        <w:rPr>
          <w:rFonts w:cs="Times New Roman"/>
          <w:noProof/>
          <w:sz w:val="24"/>
          <w:szCs w:val="24"/>
        </w:rPr>
        <w:t>Rydell et al., 2007)</w:t>
      </w:r>
      <w:r w:rsidR="00361CA5" w:rsidRPr="006E1978">
        <w:rPr>
          <w:rFonts w:cs="Times New Roman"/>
          <w:sz w:val="24"/>
          <w:szCs w:val="24"/>
        </w:rPr>
        <w:fldChar w:fldCharType="end"/>
      </w:r>
      <w:r w:rsidR="00361CA5" w:rsidRPr="006E1978">
        <w:rPr>
          <w:rFonts w:cs="Times New Roman"/>
          <w:sz w:val="24"/>
          <w:szCs w:val="24"/>
        </w:rPr>
        <w:t>.</w:t>
      </w:r>
      <w:r w:rsidR="000F44C3" w:rsidRPr="006E1978">
        <w:rPr>
          <w:rFonts w:cs="Times New Roman"/>
          <w:sz w:val="24"/>
          <w:szCs w:val="24"/>
        </w:rPr>
        <w:t xml:space="preserve"> </w:t>
      </w:r>
      <w:r w:rsidR="000F1963" w:rsidRPr="006E1978">
        <w:rPr>
          <w:rFonts w:cs="Times New Roman"/>
          <w:sz w:val="24"/>
          <w:szCs w:val="24"/>
        </w:rPr>
        <w:t xml:space="preserve">Furthermore, </w:t>
      </w:r>
      <w:r w:rsidR="00776EB6" w:rsidRPr="006E1978">
        <w:rPr>
          <w:rFonts w:cs="Times New Roman"/>
          <w:sz w:val="24"/>
          <w:szCs w:val="24"/>
        </w:rPr>
        <w:t xml:space="preserve">our finding on the significant differences in both N-MOG and P-MOG between </w:t>
      </w:r>
      <w:r w:rsidR="00A5174C" w:rsidRPr="006E1978">
        <w:rPr>
          <w:rFonts w:cs="Times New Roman"/>
          <w:sz w:val="24"/>
          <w:szCs w:val="24"/>
        </w:rPr>
        <w:t>probable IGD and non-IGD gamers</w:t>
      </w:r>
      <w:r w:rsidR="00FC25C5" w:rsidRPr="006E1978">
        <w:rPr>
          <w:rFonts w:cs="Times New Roman"/>
          <w:sz w:val="24"/>
          <w:szCs w:val="24"/>
        </w:rPr>
        <w:t xml:space="preserve"> </w:t>
      </w:r>
      <w:bookmarkStart w:id="12" w:name="OLE_LINK1"/>
      <w:bookmarkStart w:id="13" w:name="OLE_LINK2"/>
      <w:r w:rsidR="00FC25C5" w:rsidRPr="006E1978">
        <w:rPr>
          <w:rFonts w:cs="Times New Roman"/>
          <w:sz w:val="24"/>
          <w:szCs w:val="24"/>
        </w:rPr>
        <w:t>suggested a promising potential of including intervention strategies</w:t>
      </w:r>
      <w:r w:rsidR="005E57AC" w:rsidRPr="006E1978">
        <w:rPr>
          <w:rFonts w:cs="Times New Roman"/>
          <w:sz w:val="24"/>
          <w:szCs w:val="24"/>
        </w:rPr>
        <w:t xml:space="preserve">, such as metacognitive therapy </w:t>
      </w:r>
      <w:r w:rsidR="005E57AC" w:rsidRPr="006E1978">
        <w:rPr>
          <w:rFonts w:cs="Times New Roman"/>
          <w:sz w:val="24"/>
          <w:szCs w:val="24"/>
        </w:rPr>
        <w:fldChar w:fldCharType="begin"/>
      </w:r>
      <w:r w:rsidR="00D9730A" w:rsidRPr="006E1978">
        <w:rPr>
          <w:rFonts w:cs="Times New Roman"/>
          <w:sz w:val="24"/>
          <w:szCs w:val="24"/>
        </w:rPr>
        <w:instrText xml:space="preserve"> ADDIN ZOTERO_ITEM CSL_CITATION {"citationID":"FGLoMguW","properties":{"formattedCitation":"(Caselli et al., 2018)","plainCitation":"(Caselli et al., 2018)","noteIndex":0},"citationItems":[{"id":5526,"uris":["http://zotero.org/users/2764444/items/8RNAH4LM"],"uri":["http://zotero.org/users/2764444/items/8RNAH4LM"],"itemData":{"id":5526,"type":"article-journal","abstract":"Alcohol Use Disorder (AUD) is a debilitating condition with serious adverse effects on health and psycho-social functioning. The most effective psychological treatments for AUD show moderate efﬁcacy and return to dysregulated alcohol use after treatment is still common. The aim of the present study was to evaluate Metacognitive Therapy (MCT) as applied to AUD. Five patients were treated using a non-concurrent multiple baseline design with follow-up at 3- and 6-months time points. Each patient received 12 onehour sessions of MCT. Following MCT all patients demonstrated large and clinically meaningful reductions in weekly alcohol use and number of binge drinking episodes that were upheld at follow-up in almost all cases. Metacognitive beliefs, as secondary outcome, also changed substantially. The ﬁndings from this study offer preliminary evidence of positive effects associated with MCT in AUD and support the need for a deﬁnitive trial of MCT in addictive behaviors.","container-title":"Frontiers in Psychology","DOI":"10.3389/fpsyg.2018.02619","ISSN":"1664-1078","journalAbbreviation":"Front. Psychol.","language":"en","page":"2619","source":"DOI.org (Crossref)","title":"Metacognitive Therapy for Alcohol Use Disorder: A Systematic Case Series","title-short":"Metacognitive Therapy for Alcohol Use Disorder","volume":"9","author":[{"family":"Caselli","given":"Gabriele"},{"family":"Martino","given":"Francesca"},{"family":"Spada","given":"Marcantonio M."},{"family":"Wells","given":"Adrian"}],"issued":{"date-parts":[["2018",12,19]]}}}],"schema":"https://github.com/citation-style-language/schema/raw/master/csl-citation.json"} </w:instrText>
      </w:r>
      <w:r w:rsidR="005E57AC" w:rsidRPr="006E1978">
        <w:rPr>
          <w:rFonts w:cs="Times New Roman"/>
          <w:sz w:val="24"/>
          <w:szCs w:val="24"/>
        </w:rPr>
        <w:fldChar w:fldCharType="separate"/>
      </w:r>
      <w:r w:rsidR="00D9730A" w:rsidRPr="006E1978">
        <w:rPr>
          <w:rFonts w:cs="Times New Roman"/>
          <w:noProof/>
          <w:sz w:val="24"/>
          <w:szCs w:val="24"/>
        </w:rPr>
        <w:t>(Caselli et al., 2018)</w:t>
      </w:r>
      <w:r w:rsidR="005E57AC" w:rsidRPr="006E1978">
        <w:rPr>
          <w:rFonts w:cs="Times New Roman"/>
          <w:sz w:val="24"/>
          <w:szCs w:val="24"/>
        </w:rPr>
        <w:fldChar w:fldCharType="end"/>
      </w:r>
      <w:r w:rsidR="005E57AC" w:rsidRPr="006E1978">
        <w:rPr>
          <w:rFonts w:cs="Times New Roman"/>
          <w:sz w:val="24"/>
          <w:szCs w:val="24"/>
        </w:rPr>
        <w:t>,</w:t>
      </w:r>
      <w:r w:rsidR="00FC25C5" w:rsidRPr="006E1978">
        <w:rPr>
          <w:rFonts w:cs="Times New Roman"/>
          <w:sz w:val="24"/>
          <w:szCs w:val="24"/>
        </w:rPr>
        <w:t xml:space="preserve"> targeting on </w:t>
      </w:r>
      <w:r w:rsidR="003422F8" w:rsidRPr="006E1978">
        <w:rPr>
          <w:rFonts w:cs="Times New Roman"/>
          <w:sz w:val="24"/>
          <w:szCs w:val="24"/>
        </w:rPr>
        <w:t xml:space="preserve">maladaptive </w:t>
      </w:r>
      <w:r w:rsidR="00FC25C5" w:rsidRPr="006E1978">
        <w:rPr>
          <w:rFonts w:cs="Times New Roman"/>
          <w:sz w:val="24"/>
          <w:szCs w:val="24"/>
        </w:rPr>
        <w:t xml:space="preserve">metacognitions about online gaming in various levels of IGD </w:t>
      </w:r>
      <w:r w:rsidR="00FF6C36" w:rsidRPr="006E1978">
        <w:rPr>
          <w:rFonts w:cs="Times New Roman"/>
          <w:sz w:val="24"/>
          <w:szCs w:val="24"/>
        </w:rPr>
        <w:t>presentations</w:t>
      </w:r>
      <w:r w:rsidR="00FC25C5" w:rsidRPr="006E1978">
        <w:rPr>
          <w:rFonts w:cs="Times New Roman"/>
          <w:sz w:val="24"/>
          <w:szCs w:val="24"/>
        </w:rPr>
        <w:t>.</w:t>
      </w:r>
    </w:p>
    <w:bookmarkEnd w:id="12"/>
    <w:bookmarkEnd w:id="13"/>
    <w:p w14:paraId="5E58A5C5" w14:textId="2F77B2B8" w:rsidR="00FC6589" w:rsidRPr="006E1978" w:rsidRDefault="00B729C6" w:rsidP="00792616">
      <w:pPr>
        <w:snapToGrid w:val="0"/>
        <w:spacing w:line="480" w:lineRule="auto"/>
        <w:ind w:firstLineChars="200" w:firstLine="480"/>
        <w:jc w:val="left"/>
        <w:rPr>
          <w:rFonts w:cs="Times New Roman"/>
          <w:sz w:val="24"/>
          <w:szCs w:val="24"/>
        </w:rPr>
      </w:pPr>
      <w:r w:rsidRPr="006E1978">
        <w:rPr>
          <w:rFonts w:cs="Times New Roman"/>
          <w:sz w:val="24"/>
          <w:szCs w:val="24"/>
        </w:rPr>
        <w:t>With respect to the</w:t>
      </w:r>
      <w:r w:rsidR="006A797F" w:rsidRPr="006E1978">
        <w:rPr>
          <w:rFonts w:cs="Times New Roman"/>
          <w:sz w:val="24"/>
          <w:szCs w:val="24"/>
        </w:rPr>
        <w:t xml:space="preserve"> third </w:t>
      </w:r>
      <w:r w:rsidRPr="006E1978">
        <w:rPr>
          <w:rFonts w:cs="Times New Roman"/>
          <w:sz w:val="24"/>
          <w:szCs w:val="24"/>
        </w:rPr>
        <w:t>objective</w:t>
      </w:r>
      <w:r w:rsidR="003B1A29" w:rsidRPr="006E1978">
        <w:rPr>
          <w:rFonts w:cs="Times New Roman"/>
          <w:sz w:val="24"/>
          <w:szCs w:val="24"/>
        </w:rPr>
        <w:t xml:space="preserve">, </w:t>
      </w:r>
      <w:r w:rsidR="004774CC" w:rsidRPr="006E1978">
        <w:rPr>
          <w:rFonts w:cs="Times New Roman"/>
          <w:sz w:val="24"/>
          <w:szCs w:val="24"/>
        </w:rPr>
        <w:t>we created</w:t>
      </w:r>
      <w:r w:rsidR="00285976" w:rsidRPr="006E1978">
        <w:rPr>
          <w:rFonts w:cs="Times New Roman"/>
          <w:sz w:val="24"/>
          <w:szCs w:val="24"/>
        </w:rPr>
        <w:t xml:space="preserve"> </w:t>
      </w:r>
      <w:r w:rsidR="00FC6589" w:rsidRPr="006E1978">
        <w:rPr>
          <w:rFonts w:cs="Times New Roman"/>
          <w:sz w:val="24"/>
          <w:szCs w:val="24"/>
        </w:rPr>
        <w:t xml:space="preserve">a </w:t>
      </w:r>
      <w:r w:rsidR="004774CC" w:rsidRPr="006E1978">
        <w:rPr>
          <w:rFonts w:cs="Times New Roman"/>
          <w:sz w:val="24"/>
          <w:szCs w:val="24"/>
        </w:rPr>
        <w:t xml:space="preserve">6-item, </w:t>
      </w:r>
      <w:r w:rsidR="00FC6589" w:rsidRPr="006E1978">
        <w:rPr>
          <w:rFonts w:cs="Times New Roman"/>
          <w:sz w:val="24"/>
          <w:szCs w:val="24"/>
        </w:rPr>
        <w:t>short</w:t>
      </w:r>
      <w:r w:rsidR="00B04A60" w:rsidRPr="006E1978">
        <w:rPr>
          <w:rFonts w:cs="Times New Roman"/>
          <w:sz w:val="24"/>
          <w:szCs w:val="24"/>
        </w:rPr>
        <w:t>-</w:t>
      </w:r>
      <w:r w:rsidR="00285976" w:rsidRPr="006E1978">
        <w:rPr>
          <w:rFonts w:cs="Times New Roman"/>
          <w:sz w:val="24"/>
          <w:szCs w:val="24"/>
        </w:rPr>
        <w:t>form</w:t>
      </w:r>
      <w:r w:rsidR="00FC6589" w:rsidRPr="006E1978">
        <w:rPr>
          <w:rFonts w:cs="Times New Roman"/>
          <w:sz w:val="24"/>
          <w:szCs w:val="24"/>
        </w:rPr>
        <w:t xml:space="preserve"> MOGS </w:t>
      </w:r>
      <w:r w:rsidR="004774CC" w:rsidRPr="006E1978">
        <w:rPr>
          <w:rFonts w:cs="Times New Roman"/>
          <w:sz w:val="24"/>
          <w:szCs w:val="24"/>
        </w:rPr>
        <w:t>to provide researchers and practitioners with more versatility to measure metacognition</w:t>
      </w:r>
      <w:r w:rsidRPr="006E1978">
        <w:rPr>
          <w:rFonts w:cs="Times New Roman"/>
          <w:sz w:val="24"/>
          <w:szCs w:val="24"/>
        </w:rPr>
        <w:t>s</w:t>
      </w:r>
      <w:r w:rsidR="004774CC" w:rsidRPr="006E1978">
        <w:rPr>
          <w:rFonts w:cs="Times New Roman"/>
          <w:sz w:val="24"/>
          <w:szCs w:val="24"/>
        </w:rPr>
        <w:t xml:space="preserve"> about online gaming for individualized needs</w:t>
      </w:r>
      <w:r w:rsidR="00FC6589" w:rsidRPr="006E1978">
        <w:rPr>
          <w:rFonts w:cs="Times New Roman"/>
          <w:sz w:val="24"/>
          <w:szCs w:val="24"/>
        </w:rPr>
        <w:t>. This short</w:t>
      </w:r>
      <w:r w:rsidR="00156D78" w:rsidRPr="006E1978">
        <w:rPr>
          <w:rFonts w:cs="Times New Roman"/>
          <w:sz w:val="24"/>
          <w:szCs w:val="24"/>
        </w:rPr>
        <w:t>-</w:t>
      </w:r>
      <w:r w:rsidR="00C00F14" w:rsidRPr="006E1978">
        <w:rPr>
          <w:rFonts w:cs="Times New Roman"/>
          <w:sz w:val="24"/>
          <w:szCs w:val="24"/>
        </w:rPr>
        <w:t>form</w:t>
      </w:r>
      <w:r w:rsidR="00FC6589" w:rsidRPr="006E1978">
        <w:rPr>
          <w:rFonts w:cs="Times New Roman"/>
          <w:sz w:val="24"/>
          <w:szCs w:val="24"/>
        </w:rPr>
        <w:t xml:space="preserve"> </w:t>
      </w:r>
      <w:r w:rsidR="00156D78" w:rsidRPr="006E1978">
        <w:rPr>
          <w:rFonts w:cs="Times New Roman"/>
          <w:sz w:val="24"/>
          <w:szCs w:val="24"/>
        </w:rPr>
        <w:t xml:space="preserve">MOGS </w:t>
      </w:r>
      <w:r w:rsidRPr="006E1978">
        <w:rPr>
          <w:rFonts w:cs="Times New Roman"/>
          <w:sz w:val="24"/>
          <w:szCs w:val="24"/>
        </w:rPr>
        <w:t xml:space="preserve">exhibited </w:t>
      </w:r>
      <w:r w:rsidR="00FC6589" w:rsidRPr="006E1978">
        <w:rPr>
          <w:rFonts w:cs="Times New Roman"/>
          <w:sz w:val="24"/>
          <w:szCs w:val="24"/>
        </w:rPr>
        <w:t>an excellent model fit</w:t>
      </w:r>
      <w:r w:rsidR="00C478FF" w:rsidRPr="006E1978">
        <w:rPr>
          <w:rFonts w:cs="Times New Roman"/>
          <w:sz w:val="24"/>
          <w:szCs w:val="24"/>
        </w:rPr>
        <w:t xml:space="preserve"> with</w:t>
      </w:r>
      <w:r w:rsidR="00FC6589" w:rsidRPr="006E1978">
        <w:rPr>
          <w:rFonts w:cs="Times New Roman"/>
          <w:sz w:val="24"/>
          <w:szCs w:val="24"/>
        </w:rPr>
        <w:t xml:space="preserve"> </w:t>
      </w:r>
      <w:r w:rsidR="00C478FF" w:rsidRPr="006E1978">
        <w:rPr>
          <w:rFonts w:cs="Times New Roman"/>
          <w:sz w:val="24"/>
          <w:szCs w:val="24"/>
        </w:rPr>
        <w:t>satisfactorily high</w:t>
      </w:r>
      <w:r w:rsidR="00FC6589" w:rsidRPr="006E1978">
        <w:rPr>
          <w:rFonts w:cs="Times New Roman"/>
          <w:sz w:val="24"/>
          <w:szCs w:val="24"/>
        </w:rPr>
        <w:t xml:space="preserve"> factor loadings</w:t>
      </w:r>
      <w:r w:rsidR="0080100D" w:rsidRPr="006E1978">
        <w:rPr>
          <w:rFonts w:cs="Times New Roman"/>
          <w:sz w:val="24"/>
          <w:szCs w:val="24"/>
        </w:rPr>
        <w:t xml:space="preserve"> and scalar measurement invariance for both sex groups;</w:t>
      </w:r>
      <w:r w:rsidR="00C478FF" w:rsidRPr="006E1978">
        <w:rPr>
          <w:rFonts w:cs="Times New Roman"/>
          <w:sz w:val="24"/>
          <w:szCs w:val="24"/>
        </w:rPr>
        <w:t xml:space="preserve"> </w:t>
      </w:r>
      <w:r w:rsidR="0080100D" w:rsidRPr="006E1978">
        <w:rPr>
          <w:rFonts w:cs="Times New Roman"/>
          <w:sz w:val="24"/>
          <w:szCs w:val="24"/>
        </w:rPr>
        <w:t xml:space="preserve">it also </w:t>
      </w:r>
      <w:r w:rsidR="00E07978" w:rsidRPr="006E1978">
        <w:rPr>
          <w:rFonts w:cs="Times New Roman"/>
          <w:sz w:val="24"/>
          <w:szCs w:val="24"/>
        </w:rPr>
        <w:t xml:space="preserve">performed in a similar way as its full-scale version, as evidenced by </w:t>
      </w:r>
      <w:r w:rsidR="00C478FF" w:rsidRPr="006E1978">
        <w:rPr>
          <w:rFonts w:cs="Times New Roman"/>
          <w:sz w:val="24"/>
          <w:szCs w:val="24"/>
        </w:rPr>
        <w:t>equivalent</w:t>
      </w:r>
      <w:r w:rsidR="00E07978" w:rsidRPr="006E1978">
        <w:rPr>
          <w:rFonts w:cs="Times New Roman"/>
          <w:sz w:val="24"/>
          <w:szCs w:val="24"/>
        </w:rPr>
        <w:t xml:space="preserve"> </w:t>
      </w:r>
      <w:r w:rsidRPr="006E1978">
        <w:rPr>
          <w:rFonts w:cs="Times New Roman"/>
          <w:sz w:val="24"/>
          <w:szCs w:val="24"/>
        </w:rPr>
        <w:t xml:space="preserve">and </w:t>
      </w:r>
      <w:r w:rsidR="00E07978" w:rsidRPr="006E1978">
        <w:rPr>
          <w:rFonts w:cs="Times New Roman"/>
          <w:sz w:val="24"/>
          <w:szCs w:val="24"/>
        </w:rPr>
        <w:t xml:space="preserve">adequate </w:t>
      </w:r>
      <w:r w:rsidR="00FC6589" w:rsidRPr="006E1978">
        <w:rPr>
          <w:rFonts w:cs="Times New Roman"/>
          <w:sz w:val="24"/>
          <w:szCs w:val="24"/>
        </w:rPr>
        <w:t>reliability (i.e., internal consistency</w:t>
      </w:r>
      <w:r w:rsidR="00156D78" w:rsidRPr="006E1978">
        <w:rPr>
          <w:rFonts w:cs="Times New Roman"/>
          <w:sz w:val="24"/>
          <w:szCs w:val="24"/>
        </w:rPr>
        <w:t xml:space="preserve">, </w:t>
      </w:r>
      <w:r w:rsidR="00FC6589" w:rsidRPr="006E1978">
        <w:rPr>
          <w:rFonts w:cs="Times New Roman"/>
          <w:sz w:val="24"/>
          <w:szCs w:val="24"/>
        </w:rPr>
        <w:t>test-retest reliability</w:t>
      </w:r>
      <w:r w:rsidR="00327879" w:rsidRPr="006E1978">
        <w:rPr>
          <w:rFonts w:cs="Times New Roman"/>
          <w:sz w:val="24"/>
          <w:szCs w:val="24"/>
        </w:rPr>
        <w:t>, AVE, and composite reliability</w:t>
      </w:r>
      <w:r w:rsidR="00FC6589" w:rsidRPr="006E1978">
        <w:rPr>
          <w:rFonts w:cs="Times New Roman"/>
          <w:sz w:val="24"/>
          <w:szCs w:val="24"/>
        </w:rPr>
        <w:t>)</w:t>
      </w:r>
      <w:r w:rsidR="00E07978" w:rsidRPr="006E1978">
        <w:rPr>
          <w:rFonts w:cs="Times New Roman"/>
          <w:sz w:val="24"/>
          <w:szCs w:val="24"/>
        </w:rPr>
        <w:t xml:space="preserve">, </w:t>
      </w:r>
      <w:r w:rsidR="00AD72B2" w:rsidRPr="006E1978">
        <w:rPr>
          <w:rFonts w:cs="Times New Roman"/>
          <w:sz w:val="24"/>
          <w:szCs w:val="24"/>
        </w:rPr>
        <w:t>convergent</w:t>
      </w:r>
      <w:r w:rsidR="00E07978" w:rsidRPr="006E1978">
        <w:rPr>
          <w:rFonts w:cs="Times New Roman"/>
          <w:sz w:val="24"/>
          <w:szCs w:val="24"/>
        </w:rPr>
        <w:t xml:space="preserve"> validity, </w:t>
      </w:r>
      <w:r w:rsidR="00F31F20" w:rsidRPr="006E1978">
        <w:rPr>
          <w:rFonts w:cs="Times New Roman"/>
          <w:sz w:val="24"/>
          <w:szCs w:val="24"/>
        </w:rPr>
        <w:t xml:space="preserve">coverage, </w:t>
      </w:r>
      <w:r w:rsidR="00E07978" w:rsidRPr="006E1978">
        <w:rPr>
          <w:rFonts w:cs="Times New Roman"/>
          <w:sz w:val="24"/>
          <w:szCs w:val="24"/>
        </w:rPr>
        <w:t xml:space="preserve">and discriminant power to differentiate </w:t>
      </w:r>
      <w:r w:rsidRPr="006E1978">
        <w:rPr>
          <w:rFonts w:cs="Times New Roman"/>
          <w:sz w:val="24"/>
          <w:szCs w:val="24"/>
        </w:rPr>
        <w:t xml:space="preserve">probable </w:t>
      </w:r>
      <w:r w:rsidR="00E07978" w:rsidRPr="006E1978">
        <w:rPr>
          <w:rFonts w:cs="Times New Roman"/>
          <w:sz w:val="24"/>
          <w:szCs w:val="24"/>
        </w:rPr>
        <w:t>IGD and non-IGD gamers</w:t>
      </w:r>
      <w:r w:rsidR="00FC6589" w:rsidRPr="006E1978">
        <w:rPr>
          <w:rFonts w:cs="Times New Roman"/>
          <w:sz w:val="24"/>
          <w:szCs w:val="24"/>
        </w:rPr>
        <w:t xml:space="preserve">. </w:t>
      </w:r>
      <w:r w:rsidR="00156D78" w:rsidRPr="006E1978">
        <w:rPr>
          <w:rFonts w:cs="Times New Roman"/>
          <w:sz w:val="24"/>
          <w:szCs w:val="24"/>
        </w:rPr>
        <w:t>Therefore, t</w:t>
      </w:r>
      <w:r w:rsidR="00FC6589" w:rsidRPr="006E1978">
        <w:rPr>
          <w:rFonts w:cs="Times New Roman"/>
          <w:sz w:val="24"/>
          <w:szCs w:val="24"/>
        </w:rPr>
        <w:t>his short</w:t>
      </w:r>
      <w:r w:rsidR="00156D78" w:rsidRPr="006E1978">
        <w:rPr>
          <w:rFonts w:cs="Times New Roman"/>
          <w:sz w:val="24"/>
          <w:szCs w:val="24"/>
        </w:rPr>
        <w:t xml:space="preserve"> </w:t>
      </w:r>
      <w:r w:rsidR="00C00F14" w:rsidRPr="006E1978">
        <w:rPr>
          <w:rFonts w:cs="Times New Roman"/>
          <w:sz w:val="24"/>
          <w:szCs w:val="24"/>
        </w:rPr>
        <w:t>form</w:t>
      </w:r>
      <w:r w:rsidR="00FC6589" w:rsidRPr="006E1978">
        <w:rPr>
          <w:rFonts w:cs="Times New Roman"/>
          <w:sz w:val="24"/>
          <w:szCs w:val="24"/>
        </w:rPr>
        <w:t xml:space="preserve"> </w:t>
      </w:r>
      <w:r w:rsidR="00E07978" w:rsidRPr="006E1978">
        <w:rPr>
          <w:rFonts w:cs="Times New Roman"/>
          <w:sz w:val="24"/>
          <w:szCs w:val="24"/>
        </w:rPr>
        <w:t xml:space="preserve">could </w:t>
      </w:r>
      <w:r w:rsidR="00FC6589" w:rsidRPr="006E1978">
        <w:rPr>
          <w:rFonts w:cs="Times New Roman"/>
          <w:sz w:val="24"/>
          <w:szCs w:val="24"/>
        </w:rPr>
        <w:t>be considered as an alternative for measuring metacognition</w:t>
      </w:r>
      <w:r w:rsidR="00045F54" w:rsidRPr="006E1978">
        <w:rPr>
          <w:rFonts w:cs="Times New Roman"/>
          <w:sz w:val="24"/>
          <w:szCs w:val="24"/>
        </w:rPr>
        <w:t>s</w:t>
      </w:r>
      <w:r w:rsidR="00FC6589" w:rsidRPr="006E1978">
        <w:rPr>
          <w:rFonts w:cs="Times New Roman"/>
          <w:sz w:val="24"/>
          <w:szCs w:val="24"/>
        </w:rPr>
        <w:t xml:space="preserve"> about online gaming</w:t>
      </w:r>
      <w:r w:rsidR="00E07978" w:rsidRPr="006E1978">
        <w:rPr>
          <w:rFonts w:cs="Times New Roman"/>
          <w:sz w:val="24"/>
          <w:szCs w:val="24"/>
        </w:rPr>
        <w:t xml:space="preserve"> to reduce the burden on </w:t>
      </w:r>
      <w:r w:rsidRPr="006E1978">
        <w:rPr>
          <w:rFonts w:cs="Times New Roman"/>
          <w:sz w:val="24"/>
          <w:szCs w:val="24"/>
        </w:rPr>
        <w:t xml:space="preserve">both </w:t>
      </w:r>
      <w:r w:rsidR="00E07978" w:rsidRPr="006E1978">
        <w:rPr>
          <w:rFonts w:cs="Times New Roman"/>
          <w:sz w:val="24"/>
          <w:szCs w:val="24"/>
        </w:rPr>
        <w:t>researchers with limited resources (</w:t>
      </w:r>
      <w:proofErr w:type="spellStart"/>
      <w:r w:rsidR="00E07978" w:rsidRPr="006E1978">
        <w:rPr>
          <w:rFonts w:cs="Times New Roman"/>
          <w:sz w:val="24"/>
          <w:szCs w:val="24"/>
        </w:rPr>
        <w:t>Richins</w:t>
      </w:r>
      <w:proofErr w:type="spellEnd"/>
      <w:r w:rsidR="00E07978" w:rsidRPr="006E1978">
        <w:rPr>
          <w:rFonts w:cs="Times New Roman"/>
          <w:sz w:val="24"/>
          <w:szCs w:val="24"/>
        </w:rPr>
        <w:t xml:space="preserve">, 2014) and </w:t>
      </w:r>
      <w:r w:rsidR="00F05E77" w:rsidRPr="006E1978">
        <w:rPr>
          <w:rFonts w:cs="Times New Roman"/>
          <w:sz w:val="24"/>
          <w:szCs w:val="24"/>
        </w:rPr>
        <w:t>respondents</w:t>
      </w:r>
      <w:r w:rsidR="00281CEE" w:rsidRPr="006E1978">
        <w:rPr>
          <w:rFonts w:cs="Times New Roman"/>
          <w:sz w:val="24"/>
          <w:szCs w:val="24"/>
        </w:rPr>
        <w:t xml:space="preserve"> (</w:t>
      </w:r>
      <w:proofErr w:type="spellStart"/>
      <w:r w:rsidR="00281CEE" w:rsidRPr="006E1978">
        <w:rPr>
          <w:rFonts w:cs="Times New Roman"/>
          <w:sz w:val="24"/>
          <w:szCs w:val="24"/>
        </w:rPr>
        <w:t>Wiriyakijja</w:t>
      </w:r>
      <w:proofErr w:type="spellEnd"/>
      <w:r w:rsidR="00281CEE" w:rsidRPr="006E1978">
        <w:rPr>
          <w:rFonts w:cs="Times New Roman"/>
          <w:sz w:val="24"/>
          <w:szCs w:val="24"/>
        </w:rPr>
        <w:t xml:space="preserve"> et al., 2020)</w:t>
      </w:r>
      <w:r w:rsidR="00FC6589" w:rsidRPr="006E1978">
        <w:rPr>
          <w:rFonts w:cs="Times New Roman"/>
          <w:sz w:val="24"/>
          <w:szCs w:val="24"/>
        </w:rPr>
        <w:t>.</w:t>
      </w:r>
    </w:p>
    <w:p w14:paraId="27FE857B" w14:textId="3CE46E46" w:rsidR="0080100D" w:rsidRPr="006E1978" w:rsidRDefault="0080100D" w:rsidP="00792616">
      <w:pPr>
        <w:snapToGrid w:val="0"/>
        <w:spacing w:line="480" w:lineRule="auto"/>
        <w:ind w:firstLineChars="200" w:firstLine="480"/>
        <w:jc w:val="left"/>
        <w:rPr>
          <w:rFonts w:cs="Times New Roman"/>
          <w:sz w:val="24"/>
          <w:szCs w:val="24"/>
          <w:lang w:eastAsia="zh-TW"/>
        </w:rPr>
      </w:pPr>
      <w:r w:rsidRPr="006E1978">
        <w:rPr>
          <w:rFonts w:cs="Times New Roman"/>
          <w:sz w:val="24"/>
          <w:szCs w:val="24"/>
        </w:rPr>
        <w:t xml:space="preserve">In addition, </w:t>
      </w:r>
      <w:r w:rsidR="00C15C2D" w:rsidRPr="006E1978">
        <w:rPr>
          <w:rFonts w:cs="Times New Roman"/>
          <w:sz w:val="24"/>
          <w:szCs w:val="24"/>
        </w:rPr>
        <w:t>we observed male gamers tended to report a higher level of IGD tendency than their female counterparts (</w:t>
      </w:r>
      <w:r w:rsidR="00C15C2D" w:rsidRPr="006E1978">
        <w:rPr>
          <w:rFonts w:cs="Times New Roman"/>
          <w:i/>
          <w:iCs/>
          <w:sz w:val="24"/>
          <w:szCs w:val="24"/>
        </w:rPr>
        <w:t>r</w:t>
      </w:r>
      <w:r w:rsidR="00C15C2D" w:rsidRPr="006E1978">
        <w:rPr>
          <w:rFonts w:cs="Times New Roman"/>
          <w:sz w:val="24"/>
          <w:szCs w:val="24"/>
        </w:rPr>
        <w:t xml:space="preserve"> (</w:t>
      </w:r>
      <w:r w:rsidR="00B471A9" w:rsidRPr="006E1978">
        <w:rPr>
          <w:rFonts w:cs="Times New Roman"/>
          <w:sz w:val="24"/>
          <w:szCs w:val="24"/>
        </w:rPr>
        <w:t>1338</w:t>
      </w:r>
      <w:r w:rsidR="00C15C2D" w:rsidRPr="006E1978">
        <w:rPr>
          <w:rFonts w:cs="Times New Roman"/>
          <w:sz w:val="24"/>
          <w:szCs w:val="24"/>
        </w:rPr>
        <w:t xml:space="preserve">) = </w:t>
      </w:r>
      <w:r w:rsidR="00E83898" w:rsidRPr="006E1978">
        <w:rPr>
          <w:rFonts w:cs="Times New Roman"/>
          <w:sz w:val="24"/>
          <w:szCs w:val="24"/>
        </w:rPr>
        <w:t>.26</w:t>
      </w:r>
      <w:r w:rsidR="00C15C2D" w:rsidRPr="006E1978">
        <w:rPr>
          <w:rFonts w:cs="Times New Roman"/>
          <w:sz w:val="24"/>
          <w:szCs w:val="24"/>
        </w:rPr>
        <w:t xml:space="preserve">, </w:t>
      </w:r>
      <w:r w:rsidR="00C15C2D" w:rsidRPr="006E1978">
        <w:rPr>
          <w:rFonts w:cs="Times New Roman"/>
          <w:i/>
          <w:iCs/>
          <w:sz w:val="24"/>
          <w:szCs w:val="24"/>
        </w:rPr>
        <w:t>p</w:t>
      </w:r>
      <w:r w:rsidR="00C15C2D" w:rsidRPr="006E1978">
        <w:rPr>
          <w:rFonts w:cs="Times New Roman"/>
          <w:sz w:val="24"/>
          <w:szCs w:val="24"/>
        </w:rPr>
        <w:t xml:space="preserve"> </w:t>
      </w:r>
      <w:r w:rsidR="00E83898" w:rsidRPr="006E1978">
        <w:rPr>
          <w:rFonts w:cs="Times New Roman"/>
          <w:sz w:val="24"/>
          <w:szCs w:val="24"/>
        </w:rPr>
        <w:t>&lt; .001</w:t>
      </w:r>
      <w:r w:rsidR="00C15C2D" w:rsidRPr="006E1978">
        <w:rPr>
          <w:rFonts w:cs="Times New Roman"/>
          <w:sz w:val="24"/>
          <w:szCs w:val="24"/>
        </w:rPr>
        <w:t>)</w:t>
      </w:r>
      <w:r w:rsidR="00E83898" w:rsidRPr="006E1978">
        <w:rPr>
          <w:rFonts w:cs="Times New Roman"/>
          <w:sz w:val="24"/>
          <w:szCs w:val="24"/>
        </w:rPr>
        <w:t xml:space="preserve">, which is consistent with </w:t>
      </w:r>
      <w:r w:rsidR="00DC04FD" w:rsidRPr="006E1978">
        <w:rPr>
          <w:rFonts w:cs="Times New Roman"/>
          <w:sz w:val="24"/>
          <w:szCs w:val="24"/>
        </w:rPr>
        <w:t>recent</w:t>
      </w:r>
      <w:r w:rsidR="00E83898" w:rsidRPr="006E1978">
        <w:rPr>
          <w:rFonts w:cs="Times New Roman"/>
          <w:sz w:val="24"/>
          <w:szCs w:val="24"/>
        </w:rPr>
        <w:t xml:space="preserve"> </w:t>
      </w:r>
      <w:r w:rsidR="00DC04FD" w:rsidRPr="006E1978">
        <w:rPr>
          <w:rFonts w:cs="Times New Roman"/>
          <w:sz w:val="24"/>
          <w:szCs w:val="24"/>
        </w:rPr>
        <w:t xml:space="preserve">IGD </w:t>
      </w:r>
      <w:r w:rsidR="00E83898" w:rsidRPr="006E1978">
        <w:rPr>
          <w:rFonts w:cs="Times New Roman"/>
          <w:sz w:val="24"/>
          <w:szCs w:val="24"/>
        </w:rPr>
        <w:t xml:space="preserve">studies in China </w:t>
      </w:r>
      <w:r w:rsidR="00E8479C" w:rsidRPr="006E1978">
        <w:rPr>
          <w:rFonts w:cs="Times New Roman"/>
          <w:sz w:val="24"/>
          <w:szCs w:val="24"/>
        </w:rPr>
        <w:fldChar w:fldCharType="begin"/>
      </w:r>
      <w:r w:rsidR="00DC04FD" w:rsidRPr="006E1978">
        <w:rPr>
          <w:rFonts w:cs="Times New Roman"/>
          <w:sz w:val="24"/>
          <w:szCs w:val="24"/>
        </w:rPr>
        <w:instrText xml:space="preserve"> ADDIN ZOTERO_ITEM CSL_CITATION {"citationID":"FCoKfpAX","properties":{"formattedCitation":"(e.g., J. H. Chen et al., 2018)","plainCitation":"(e.g., J. H. Chen et al., 2018)","noteIndex":0},"citationItems":[{"id":1258,"uris":["http://zotero.org/users/2764444/items/WXAKTWBK"],"uri":["http://zotero.org/users/2764444/items/WXAKTWBK"],"itemData":{"id":1258,"type":"article-journal","abstract":"Macao, China’s only city with legalized casinos, has maintained a high prevalence of gambling participation and gambling disorder (GD) over the past decade. The mental health risks associated with such high levels have been overlooked. In order to estimate the comorbid prevalence of GD with depression, anxiety, and Internet gaming disorder (IGD) and to explore the potential buffering effect of psychological resilience and purpose in life, this study obtained a representative adult Chinese sample (N = 1000, 44% male, aged 18–97 years) from a telephone survey conducted between October and November of 2016. As hypothesized, the highest psychiatric comorbid prevalence was observed in the GD subgroup (n = 19, 21.1% probable IGD, 26.3% probable depression, and 37.0% probable anxiety). All these mental health problems could increase one’s proclivity to GD, and vice versa. Psychological resilience was found to buffer the association between anxiety symptoms and probable GD (χ2(1) = 4.30, p = 0.04/GD symptoms, Fchange (1,162) = 6.29, p = 0.01), whereas purpose in life did not display any hypothesized moderating effect. These results indicate the usefulness of mental health screening for GD, taking into consideration its associated risks, and of fostering psychological resilience in prevention and treatment programs.","container-title":"International Journal of Environmental Research and Public Health","DOI":"10.3390/ijerph15122774","ISSN":"1660-4601","issue":"12","journalAbbreviation":"IJERPH","language":"en","page":"2774","source":"DOI.org (Crossref)","title":"The comorbidity of gambling disorder among Macao adult residents and the moderating role of resilience and life purpose","volume":"15","author":[{"family":"Chen","given":"Juliet Honglei"},{"family":"Tong","given":"Kwok Kit"},{"family":"Wu","given":"Anise M. S."},{"family":"Lau","given":"Joseph T. F."},{"family":"Zhang","given":"Meng Xuan"}],"issued":{"date-parts":[["2018",12,7]]}},"prefix":"e.g., "}],"schema":"https://github.com/citation-style-language/schema/raw/master/csl-citation.json"} </w:instrText>
      </w:r>
      <w:r w:rsidR="00E8479C" w:rsidRPr="006E1978">
        <w:rPr>
          <w:rFonts w:cs="Times New Roman"/>
          <w:sz w:val="24"/>
          <w:szCs w:val="24"/>
        </w:rPr>
        <w:fldChar w:fldCharType="separate"/>
      </w:r>
      <w:r w:rsidR="00DC04FD" w:rsidRPr="006E1978">
        <w:rPr>
          <w:rFonts w:cs="Times New Roman"/>
          <w:noProof/>
          <w:sz w:val="24"/>
          <w:szCs w:val="24"/>
        </w:rPr>
        <w:t xml:space="preserve">(e.g., Chen et al., </w:t>
      </w:r>
      <w:r w:rsidR="00B406EE" w:rsidRPr="006E1978">
        <w:rPr>
          <w:rFonts w:cs="Times New Roman"/>
          <w:noProof/>
          <w:sz w:val="24"/>
          <w:szCs w:val="24"/>
        </w:rPr>
        <w:t>2021</w:t>
      </w:r>
      <w:r w:rsidR="00403EFA" w:rsidRPr="006E1978">
        <w:rPr>
          <w:rFonts w:cs="Times New Roman"/>
          <w:noProof/>
          <w:sz w:val="24"/>
          <w:szCs w:val="24"/>
        </w:rPr>
        <w:t xml:space="preserve">b; </w:t>
      </w:r>
      <w:r w:rsidR="00E2127C" w:rsidRPr="006E1978">
        <w:rPr>
          <w:rFonts w:cs="Times New Roman"/>
          <w:noProof/>
          <w:sz w:val="24"/>
          <w:szCs w:val="24"/>
        </w:rPr>
        <w:t>Long et al., 2018</w:t>
      </w:r>
      <w:r w:rsidR="00DC04FD" w:rsidRPr="006E1978">
        <w:rPr>
          <w:rFonts w:cs="Times New Roman"/>
          <w:noProof/>
          <w:sz w:val="24"/>
          <w:szCs w:val="24"/>
        </w:rPr>
        <w:t>)</w:t>
      </w:r>
      <w:r w:rsidR="00E8479C" w:rsidRPr="006E1978">
        <w:rPr>
          <w:rFonts w:cs="Times New Roman"/>
          <w:sz w:val="24"/>
          <w:szCs w:val="24"/>
        </w:rPr>
        <w:fldChar w:fldCharType="end"/>
      </w:r>
      <w:r w:rsidR="00DC04FD" w:rsidRPr="006E1978">
        <w:rPr>
          <w:rFonts w:cs="Times New Roman"/>
          <w:sz w:val="24"/>
          <w:szCs w:val="24"/>
        </w:rPr>
        <w:t xml:space="preserve"> </w:t>
      </w:r>
      <w:r w:rsidR="00E83898" w:rsidRPr="006E1978">
        <w:rPr>
          <w:rFonts w:cs="Times New Roman"/>
          <w:sz w:val="24"/>
          <w:szCs w:val="24"/>
        </w:rPr>
        <w:t xml:space="preserve">and mainstream studies worldwide </w:t>
      </w:r>
      <w:r w:rsidR="00DC04FD" w:rsidRPr="006E1978">
        <w:rPr>
          <w:rFonts w:cs="Times New Roman"/>
          <w:sz w:val="24"/>
          <w:szCs w:val="24"/>
        </w:rPr>
        <w:fldChar w:fldCharType="begin"/>
      </w:r>
      <w:r w:rsidR="00DC04FD" w:rsidRPr="006E1978">
        <w:rPr>
          <w:rFonts w:cs="Times New Roman"/>
          <w:sz w:val="24"/>
          <w:szCs w:val="24"/>
        </w:rPr>
        <w:instrText xml:space="preserve"> ADDIN ZOTERO_ITEM CSL_CITATION {"citationID":"VTRyPP9T","properties":{"formattedCitation":"(Mihara &amp; Higuchi, 2017; Stevens et al., 2021)","plainCitation":"(Mihara &amp; Higuchi, 2017; Stevens et al., 2021)","noteIndex":0},"citationItems":[{"id":3573,"uris":["http://zotero.org/users/2764444/items/KGVX7Q3D"],"uri":["http://zotero.org/users/2764444/items/KGVX7Q3D"],"itemData":{"id":3573,"type":"article-journal","container-title":"Psychiatry and Clinical Neurosciences","DOI":"10.1111/pcn.12532","ISSN":"13231316","issue":"7","journalAbbreviation":"Psychiatry Clin. Neurosci.","language":"en","page":"425-444","source":"DOI.org (Crossref)","title":"Cross-sectional and longitudinal epidemiological studies of Internet gaming disorder: A systematic review of the literature: Review of epidemiological studies of IGD","title-short":"Cross-sectional and longitudinal epidemiological studies of Internet gaming disorder","volume":"71","author":[{"family":"Mihara","given":"Satoko"},{"family":"Higuchi","given":"Susumu"}],"issued":{"date-parts":[["2017",7]]}}},{"id":4727,"uris":["http://zotero.org/users/2764444/items/K3UQGZ64"],"uri":["http://zotero.org/users/2764444/items/K3UQGZ64"],"itemData":{"id":4727,"type":"article-journal","abstract":"Background: Gaming disorder was included in the latest revision of the International Classification of Diseases (11th ed.). Worldwide, prevalence estimates of gaming disorder are considerably heterogeneous and often appear to be exceedingly high. However, few studies have examined the methodological, cultural and/or demographic factors that might explain this phenomenon. This review employed meta-analytic techniques to compute the worldwide-pooled prevalence of gaming disorder and evaluate the potential contributing factors for varied prevalence estimates.\nMethod: Prevalence estimates were extracted from 53 studies conducted between 2009 and 2019, which included 226,247 participants across 17 different countries. Study findings were meta-analyzed using a random-effects model. Subgroup and moderator analyses examined potential sources of heterogeneity, including assessment tool and cut-off, participant age and gender, sample size and type, study region, and year of data collection.\nResults: The worldwide prevalence of gaming disorder was 3.05% (confidence interval: [2.38, 3.91]); this figure was adjusted to 1.96% [0.19, 17.12] when considering only studies that met more stringent sampling criteria (e.g. stratified random sampling). However, these estimates were associated with significant variability. The choice of screening tool accounted for 77% of the variance, with the Lemmens Internet gaming disorder-9, Gaming Addiction Identification Test and Problematic Videogame Playing scales associated with the highest estimates. Adolescent samples, lower cut-off scores and smaller sample size were significant predictors of higher prevalence. Gaming disorder rates were approximately 2.5:1 in favor of males compared to females.\nConclusion: The worldwide prevalence of gaming disorder appears to be comparable to obsessive-compulsive disorder and some substance-related addictions, but lower than compulsive buying and higher than problem gambling. Gaming disorder prevalence rates appear to be inflated by methodological characteristics, particularly measurement and sampling issues.","container-title":"Australian &amp; New Zealand Journal of Psychiatry","DOI":"10.1177/0004867420962851","ISSN":"0004-8674, 1440-1614","issue":"6","journalAbbreviation":"Aust N Z J Psychiatry","language":"en","page":"553-568","source":"DOI.org (Crossref)","title":"Global prevalence of gaming disorder: A systematic review and meta-analysis","title-short":"Global prevalence of gaming disorder","volume":"55","author":[{"family":"Stevens","given":"Matthew WR"},{"family":"Dorstyn","given":"Diana"},{"family":"Delfabbro","given":"Paul H"},{"family":"King","given":"Daniel L"}],"issued":{"date-parts":[["2021",6]]}}}],"schema":"https://github.com/citation-style-language/schema/raw/master/csl-citation.json"} </w:instrText>
      </w:r>
      <w:r w:rsidR="00DC04FD" w:rsidRPr="006E1978">
        <w:rPr>
          <w:rFonts w:cs="Times New Roman"/>
          <w:sz w:val="24"/>
          <w:szCs w:val="24"/>
        </w:rPr>
        <w:fldChar w:fldCharType="separate"/>
      </w:r>
      <w:r w:rsidR="00DC04FD" w:rsidRPr="006E1978">
        <w:rPr>
          <w:rFonts w:cs="Times New Roman"/>
          <w:noProof/>
          <w:sz w:val="24"/>
          <w:szCs w:val="24"/>
        </w:rPr>
        <w:t>(Mihara &amp; Higuchi, 2017; Stevens et al., 2021)</w:t>
      </w:r>
      <w:r w:rsidR="00DC04FD" w:rsidRPr="006E1978">
        <w:rPr>
          <w:rFonts w:cs="Times New Roman"/>
          <w:sz w:val="24"/>
          <w:szCs w:val="24"/>
        </w:rPr>
        <w:fldChar w:fldCharType="end"/>
      </w:r>
      <w:r w:rsidR="00E83898" w:rsidRPr="006E1978">
        <w:rPr>
          <w:rFonts w:cs="Times New Roman"/>
          <w:sz w:val="24"/>
          <w:szCs w:val="24"/>
        </w:rPr>
        <w:t>.</w:t>
      </w:r>
      <w:r w:rsidR="00DC04FD" w:rsidRPr="006E1978">
        <w:rPr>
          <w:rFonts w:cs="Times New Roman"/>
          <w:sz w:val="24"/>
          <w:szCs w:val="24"/>
        </w:rPr>
        <w:t xml:space="preserve"> </w:t>
      </w:r>
      <w:r w:rsidR="00F25968" w:rsidRPr="006E1978">
        <w:rPr>
          <w:rFonts w:cs="Times New Roman"/>
          <w:sz w:val="24"/>
          <w:szCs w:val="24"/>
        </w:rPr>
        <w:t>A similar, elevated level in N-MOG and P-MOG, of both full-scale and short-form versions, was identified among male gamers than female ones (</w:t>
      </w:r>
      <w:r w:rsidR="00F25968" w:rsidRPr="006E1978">
        <w:rPr>
          <w:rFonts w:cs="Times New Roman"/>
          <w:i/>
          <w:iCs/>
          <w:sz w:val="24"/>
          <w:szCs w:val="24"/>
        </w:rPr>
        <w:t>r</w:t>
      </w:r>
      <w:r w:rsidR="00F25968" w:rsidRPr="006E1978">
        <w:rPr>
          <w:rFonts w:cs="Times New Roman"/>
          <w:sz w:val="24"/>
          <w:szCs w:val="24"/>
        </w:rPr>
        <w:t xml:space="preserve"> (</w:t>
      </w:r>
      <w:r w:rsidR="00B471A9" w:rsidRPr="006E1978">
        <w:rPr>
          <w:rFonts w:cs="Times New Roman"/>
          <w:sz w:val="24"/>
          <w:szCs w:val="24"/>
        </w:rPr>
        <w:t>1338</w:t>
      </w:r>
      <w:r w:rsidR="00F25968" w:rsidRPr="006E1978">
        <w:rPr>
          <w:rFonts w:cs="Times New Roman"/>
          <w:sz w:val="24"/>
          <w:szCs w:val="24"/>
        </w:rPr>
        <w:t xml:space="preserve">) = .19 to .26, </w:t>
      </w:r>
      <w:r w:rsidR="00F25968" w:rsidRPr="006E1978">
        <w:rPr>
          <w:rFonts w:cs="Times New Roman"/>
          <w:i/>
          <w:iCs/>
          <w:sz w:val="24"/>
          <w:szCs w:val="24"/>
        </w:rPr>
        <w:t>p</w:t>
      </w:r>
      <w:r w:rsidR="00F25968" w:rsidRPr="006E1978">
        <w:rPr>
          <w:rFonts w:cs="Times New Roman"/>
          <w:sz w:val="24"/>
          <w:szCs w:val="24"/>
        </w:rPr>
        <w:t xml:space="preserve"> &lt; .001). This pattern indicates that male gamers </w:t>
      </w:r>
      <w:r w:rsidR="006F65E4" w:rsidRPr="006E1978">
        <w:rPr>
          <w:rFonts w:cs="Times New Roman"/>
          <w:sz w:val="24"/>
          <w:szCs w:val="24"/>
        </w:rPr>
        <w:t>tended to have significantly more negative and positive metacognitions about online gaming than females</w:t>
      </w:r>
      <w:r w:rsidR="00C24634" w:rsidRPr="006E1978">
        <w:rPr>
          <w:rFonts w:cs="Times New Roman"/>
          <w:sz w:val="24"/>
          <w:szCs w:val="24"/>
        </w:rPr>
        <w:t xml:space="preserve">, which is presumably associated with their considerably more gameplay involvement and hence </w:t>
      </w:r>
      <w:r w:rsidR="00C24634" w:rsidRPr="006E1978">
        <w:rPr>
          <w:rFonts w:cs="Times New Roman"/>
          <w:sz w:val="24"/>
          <w:szCs w:val="24"/>
        </w:rPr>
        <w:lastRenderedPageBreak/>
        <w:t xml:space="preserve">greater risk for IGD. </w:t>
      </w:r>
      <w:r w:rsidR="00A90988" w:rsidRPr="006E1978">
        <w:rPr>
          <w:rFonts w:cs="Times New Roman"/>
          <w:sz w:val="24"/>
          <w:szCs w:val="24"/>
        </w:rPr>
        <w:t>S</w:t>
      </w:r>
      <w:r w:rsidR="00C24634" w:rsidRPr="006E1978">
        <w:rPr>
          <w:rFonts w:cs="Times New Roman"/>
          <w:sz w:val="24"/>
          <w:szCs w:val="24"/>
        </w:rPr>
        <w:t xml:space="preserve">uch sex difference in N-MOG and P-MOG has not been fully </w:t>
      </w:r>
      <w:r w:rsidR="00A90988" w:rsidRPr="006E1978">
        <w:rPr>
          <w:rFonts w:cs="Times New Roman"/>
          <w:sz w:val="24"/>
          <w:szCs w:val="24"/>
        </w:rPr>
        <w:t>studied</w:t>
      </w:r>
      <w:r w:rsidR="00C24634" w:rsidRPr="006E1978">
        <w:rPr>
          <w:rFonts w:cs="Times New Roman"/>
          <w:sz w:val="24"/>
          <w:szCs w:val="24"/>
        </w:rPr>
        <w:t xml:space="preserve"> in previous studies, partly due to the </w:t>
      </w:r>
      <w:r w:rsidR="00A90988" w:rsidRPr="006E1978">
        <w:rPr>
          <w:rFonts w:cs="Times New Roman"/>
          <w:sz w:val="24"/>
          <w:szCs w:val="24"/>
        </w:rPr>
        <w:t xml:space="preserve">limited proportion of female gamers recruited </w:t>
      </w:r>
      <w:r w:rsidR="00A90988" w:rsidRPr="006E1978">
        <w:rPr>
          <w:rFonts w:cs="Times New Roman"/>
          <w:sz w:val="24"/>
          <w:szCs w:val="24"/>
        </w:rPr>
        <w:fldChar w:fldCharType="begin"/>
      </w:r>
      <w:r w:rsidR="00D9730A" w:rsidRPr="006E1978">
        <w:rPr>
          <w:rFonts w:cs="Times New Roman"/>
          <w:sz w:val="24"/>
          <w:szCs w:val="24"/>
        </w:rPr>
        <w:instrText xml:space="preserve"> ADDIN ZOTERO_ITEM CSL_CITATION {"citationID":"nztO2cc5","properties":{"formattedCitation":"(e.g., 5.3-25%; Akbari et al., 2021; Caselli et al., 2021; Gandolfi et al., 2021; Spada &amp; Caselli, 2017)","plainCitation":"(e.g., 5.3-25%; Akbari et al., 2021; Caselli et al., 2021; Gandolfi et al., 2021; Spada &amp; Caselli, 2017)","noteIndex":0},"citationItems":[{"id":5394,"uris":["http://zotero.org/users/2764444/items/GYSMC7I7"],"uri":["http://zotero.org/users/2764444/items/GYSMC7I7"],"itemData":{"id":5394,"type":"article-journal","abstract":"The Metacognitions about Online Gaming Scale (MOGS) measures maladaptive metacognitions about online gaming. The purpose of the present study was to evaluate psychometric properties of the MOGS, including its factor structure, reliability, and predictive validity among Iranian adolescents. The scale was administered to 769 Iranian adolescents (577 male, mean age = 16.39 ± 1.68 years) with an age range of 15–19 years. The par­ ticipants completed the Persian-translated version of the MOGS, the Big Five Inventory-10, the Depression, Anxiety and Stress Scale 21, the Video-Game Related Cognitions Scale, the Motives for Online Gaming Ques­ tionnaire, and the Problematic Online Gaming Questionnaire. The results of the Exploratory Factor Analysis (n = 350) and Confirmatory Factor Analysis (n = 419) confirmed three-factors similar to the parent version, including “negative metacognitions about uncontrollability of online gaming” (N-MOGU), “negative metacognitions about dangers of online gaming” (N-MOGD), and “positive metacognitions about online gaming” (P-MOG). The Persian MOGS’s reliability showed a suitable internal consistency for the P-MOG, the N-MOGU, the N-MOGD, and the total score in both confirmatory and exploratory samples (range 0.79 to 0.93). A hierarchical regression analysis showed that the Persian MOGS predicted 33.9% of the variance in problematic online gaming independently of personality traits, anxiety, depression, stress, and both gaming-related cognitions and gaming motives. Furthermore, the results of analyses of variance with follow-up Bonferroni pairwise comparisons showed that interaction between the factors of MOGS and types of game and tools of gaming was significant. The findings provide evidence that the Persian MOGS among Iranian adolescents appears psychometrically appropriate to be used by researchers and practitioners dealing with the prevention and treatment of problematic online gaming.","container-title":"Addictive Behaviors","DOI":"10.1016/j.addbeh.2021.106904","ISSN":"03064603","journalAbbreviation":"Addictive Behaviors","language":"en","page":"106904","source":"DOI.org (Crossref)","title":"Metacognitions as a predictor of online gaming in adolescents: Psychometric properties of the metacognitions about online gaming scale among Iranian adolescents","title-short":"Metacognitions as a predictor of online gaming in adolescents","volume":"118","author":[{"family":"Akbari","given":"Mehdi"},{"family":"Bahadori","given":"Mohammad Hossein"},{"family":"Bouruki Milan","given":"Bahman"},{"family":"Caselli","given":"Gabriele"},{"family":"Spada","given":"Marcantonio M."}],"issued":{"date-parts":[["2021",7]]}},"prefix":"e.g., 5.3-25%;"},{"id":5393,"uris":["http://zotero.org/users/2764444/items/XLMD8QTZ"],"uri":["http://zotero.org/users/2764444/items/XLMD8QTZ"],"itemData":{"id":5393,"type":"article-journal","abstract":"In recent years there have been growing concerns about problematic Internet use (PIU) as potential mental health problem. Among the many activities available on the Internet, the time spent gaming appears one of the most frequent risk factors in developing PIU. The aim of the current study was to model the relationship between negative affect, metacognitions about online gaming, frequency of online gaming and PIU. A total of 326 Italian gamers (mean age = 27 years, SD = 5.65 years; 93.3% males) participated in the study. The pattern of relationships specified by the theoretical model was examined through path analysis. Results showed that negative affect was directly associated with all other variables. Specifically, positive, strong and direct associations were found between negative affect and both positive and negative metacognitions about online gaming. Moreover, negative metacognitions about online gaming were strongly linked to PIU. Overall, the theoretical model was supported showing that metacognitions about online gaming may play a role in the association between time spent on online gaming to a broader pattern of PIU. Results are discussed within the context of the metacognitive model of psychopathology and clinical implications based on this model are outlined.","container-title":"Journal of Rational-Emotive &amp; Cognitive-Behavior Therapy","DOI":"10.1007/s10942-020-00365-0","ISSN":"0894-9085, 1573-6563","issue":"2","journalAbbreviation":"J Rat-Emo Cognitive-Behav Ther","language":"en","page":"172-182","source":"DOI.org (Crossref)","title":"Modelling Online Gaming Metacognitions: The Role of Time Spent Gaming in Predicting Problematic Internet Use","title-short":"Modelling Online Gaming Metacognitions","volume":"39","author":[{"family":"Caselli","given":"Gabriele"},{"family":"Marino","given":"Claudia"},{"family":"Spada","given":"Marcantonio M."}],"issued":{"date-parts":[["2021",6]]}}},{"id":5388,"uris":["http://zotero.org/users/2764444/items/PWG69R83"],"uri":["http://zotero.org/users/2764444/items/PWG69R83"],"itemData":{"id":5388,"type":"article-journal","abstract":"Online gaming has become an important practice for several audiences in the last decade. Video games like Fortnite and League of Legends are played by millions of people daily, raising concerns about both addiction and disruptive attitudes. Several analytical instruments have been deployed for exploring this phenomenon, including the Metacognitions about Online Gaming Scale (MOGS). MOGS measures the role of metacognitions toward online gaming, echoing the increasing importance of such a construct in media consumption and perception. This article presents the highlights of a study involving 690 American gamers aimed at two purposes. First, the MOGS was validated for with U.S. gamers, who represent a leading niche in the current digital entertainment and were not involved with the original MOGS development. Second, the three subscales of MOGS were analyzed as mediators of the relationship between hours spent playing online gaming and Internet Gaming Disorder (IGD). The results from Confirmatory Factor Analysis suggested the MOGS has promising reliability and validity for use with U.S. gamers. The results also indicated that three subscales of the MOGS partially mediated the relationship between hours spent on playing online gaming and Internet Gaming Disorder.","container-title":"Journal of Affective Disorders","DOI":"10.1016/j.jad.2021.08.133","ISSN":"01650327","journalAbbreviation":"Journal of Affective Disorders","language":"en","page":"954-959","source":"DOI.org (Crossref)","title":"Evaluating U.S. gamers’ metacognitions about digital entertainment: Validation of Metacognition about Online Gaming Scale in the U.S. context","title-short":"Evaluating U.S. gamers’ metacognitions about digital entertainment","volume":"295","author":[{"family":"Gandolfi","given":"Enrico"},{"family":"Soyturk","given":"Ilker"},{"family":"Ferdig","given":"Richard E."}],"issued":{"date-parts":[["2021",12]]}}},{"id":5387,"uris":["http://zotero.org/users/2764444/items/7PWVFWUK"],"uri":["http://zotero.org/users/2764444/items/7PWVFWUK"],"itemData":{"id":5387,"type":"article-journal","abstract":"Objectives: Recent research has suggested that metacognitions may play a role across the spectrum of addictive behaviours. The goal of our studies was to develop the ﬁrst self-report scale of metacognitions about online gaming.\nMethod: We conducted two studies with samples of online gamers (n = 225, n = 348) to test the structure and psychometric properties of the Metacognitions about Online Gaming Scale and examined its capacity to predict weekly online gaming hours and Internet addiction.\nResults: Exploratory and conﬁrmatory factor analyses supported a three-factor solution: positive metacognitions about online gaming, negative metacognitions about the uncontrollability of online gaming, and negative metacognitions about the dangers of online gaming. Internal cons</w:instrText>
      </w:r>
      <w:r w:rsidR="00D9730A" w:rsidRPr="006E1978">
        <w:rPr>
          <w:rFonts w:cs="Times New Roman"/>
          <w:sz w:val="24"/>
          <w:szCs w:val="24"/>
          <w:lang w:eastAsia="zh-TW"/>
        </w:rPr>
        <w:instrText xml:space="preserve">istency, predictive and divergent validity were acceptable. All the factors of the Metacognitions about Online Gaming Scale correlated positively with weekly online gaming hours and Internet addiction. Regression analyses showed that negative metacognitions about the uncontrollability of online gaming and levels of Internet addiction were the only signiﬁcant predictors of weekly online gaming hours, and that positive metacognitions about online gaming and negative metacognitions about the uncontrollability of online gaming were the only signiﬁcant predictors of Internet addiction.\nConclusions: The Metacognitions about Online Gaming Scale was shown to possess good psychometric properties, as well as predictive and divergent validity within the populations that were tested. © 2015 Elsevier Ltd. All rights reserved","container-title":"Addictive Behaviors","DOI":"10.1016/j.addbeh.2015.07.007","ISSN":"03064603","journalAbbreviation":"Addictive Behaviors","language":"en","page":"281-286","source":"DOI.org (Crossref)","title":"The Metacognitions about Online Gaming Scale: Development and psychometric properties","title-short":"The Metacognitions about Online Gaming Scale","volume":"64","author":[{"family":"Spada","given":"Marcantonio M."},{"family":"Caselli","given":"Gabriele"}],"issued":{"date-parts":[["2017",1]]}}}],"schema":"https://github.com/citation-style-language/schema/raw/master/csl-citation.json"} </w:instrText>
      </w:r>
      <w:r w:rsidR="00A90988" w:rsidRPr="006E1978">
        <w:rPr>
          <w:rFonts w:cs="Times New Roman"/>
          <w:sz w:val="24"/>
          <w:szCs w:val="24"/>
        </w:rPr>
        <w:fldChar w:fldCharType="separate"/>
      </w:r>
      <w:r w:rsidR="00D9730A" w:rsidRPr="006E1978">
        <w:rPr>
          <w:rFonts w:cs="Times New Roman"/>
          <w:noProof/>
          <w:sz w:val="24"/>
          <w:szCs w:val="24"/>
          <w:lang w:eastAsia="zh-TW"/>
        </w:rPr>
        <w:t>(e.g., 5.3-25%; Akbari et al., 2021; Caselli et al., 2021; Gandolfi et al., 2021; Spada &amp; Caselli, 2017)</w:t>
      </w:r>
      <w:r w:rsidR="00A90988" w:rsidRPr="006E1978">
        <w:rPr>
          <w:rFonts w:cs="Times New Roman"/>
          <w:sz w:val="24"/>
          <w:szCs w:val="24"/>
        </w:rPr>
        <w:fldChar w:fldCharType="end"/>
      </w:r>
      <w:r w:rsidR="00525D72" w:rsidRPr="006E1978">
        <w:rPr>
          <w:rFonts w:cs="Times New Roman"/>
          <w:sz w:val="24"/>
          <w:szCs w:val="24"/>
          <w:lang w:eastAsia="zh-TW"/>
        </w:rPr>
        <w:t xml:space="preserve">; thus, we called for future studies to further </w:t>
      </w:r>
      <w:r w:rsidR="000D2169" w:rsidRPr="006E1978">
        <w:rPr>
          <w:rFonts w:cs="Times New Roman"/>
          <w:sz w:val="24"/>
          <w:szCs w:val="24"/>
          <w:lang w:eastAsia="zh-TW"/>
        </w:rPr>
        <w:t xml:space="preserve">explore such sex difference </w:t>
      </w:r>
      <w:r w:rsidR="00A06595" w:rsidRPr="006E1978">
        <w:rPr>
          <w:rFonts w:cs="Times New Roman"/>
          <w:sz w:val="24"/>
          <w:szCs w:val="24"/>
          <w:lang w:eastAsia="zh-TW"/>
        </w:rPr>
        <w:t>in metacognitions about online gaming and its potential application for IGD assessment and intervention.</w:t>
      </w:r>
    </w:p>
    <w:p w14:paraId="360902C2" w14:textId="4528CFE9" w:rsidR="004C24B8" w:rsidRPr="006E1978" w:rsidRDefault="00BA76C9" w:rsidP="00792616">
      <w:pPr>
        <w:snapToGrid w:val="0"/>
        <w:spacing w:line="480" w:lineRule="auto"/>
        <w:ind w:firstLineChars="200" w:firstLine="480"/>
        <w:jc w:val="left"/>
        <w:rPr>
          <w:rFonts w:cs="Times New Roman"/>
          <w:sz w:val="24"/>
          <w:szCs w:val="24"/>
          <w:lang w:eastAsia="zh-TW"/>
        </w:rPr>
      </w:pPr>
      <w:r w:rsidRPr="006E1978">
        <w:rPr>
          <w:rFonts w:cs="Times New Roman"/>
          <w:sz w:val="24"/>
          <w:szCs w:val="24"/>
          <w:lang w:eastAsia="zh-TW"/>
        </w:rPr>
        <w:t xml:space="preserve">The </w:t>
      </w:r>
      <w:r w:rsidR="001C36FA" w:rsidRPr="006E1978">
        <w:rPr>
          <w:rFonts w:cs="Times New Roman"/>
          <w:sz w:val="24"/>
          <w:szCs w:val="24"/>
          <w:lang w:eastAsia="zh-TW"/>
        </w:rPr>
        <w:t xml:space="preserve">current study </w:t>
      </w:r>
      <w:r w:rsidRPr="006E1978">
        <w:rPr>
          <w:rFonts w:cs="Times New Roman"/>
          <w:sz w:val="24"/>
          <w:szCs w:val="24"/>
          <w:lang w:eastAsia="zh-TW"/>
        </w:rPr>
        <w:t>is also limited in three aspects</w:t>
      </w:r>
      <w:r w:rsidR="001C36FA" w:rsidRPr="006E1978">
        <w:rPr>
          <w:rFonts w:cs="Times New Roman"/>
          <w:sz w:val="24"/>
          <w:szCs w:val="24"/>
          <w:lang w:eastAsia="zh-TW"/>
        </w:rPr>
        <w:t xml:space="preserve">. First, </w:t>
      </w:r>
      <w:r w:rsidR="00B729C6" w:rsidRPr="006E1978">
        <w:rPr>
          <w:rFonts w:cs="Times New Roman"/>
          <w:sz w:val="24"/>
          <w:szCs w:val="24"/>
          <w:lang w:eastAsia="zh-TW"/>
        </w:rPr>
        <w:t xml:space="preserve">data was </w:t>
      </w:r>
      <w:r w:rsidR="006F49F3" w:rsidRPr="006E1978">
        <w:rPr>
          <w:rFonts w:cs="Times New Roman"/>
          <w:sz w:val="24"/>
          <w:szCs w:val="24"/>
          <w:lang w:eastAsia="zh-TW"/>
        </w:rPr>
        <w:t xml:space="preserve">only collected </w:t>
      </w:r>
      <w:r w:rsidR="00B729C6" w:rsidRPr="006E1978">
        <w:rPr>
          <w:rFonts w:cs="Times New Roman"/>
          <w:sz w:val="24"/>
          <w:szCs w:val="24"/>
          <w:lang w:eastAsia="zh-TW"/>
        </w:rPr>
        <w:t xml:space="preserve">on </w:t>
      </w:r>
      <w:r w:rsidR="006F49F3" w:rsidRPr="006E1978">
        <w:rPr>
          <w:rFonts w:cs="Times New Roman"/>
          <w:sz w:val="24"/>
          <w:szCs w:val="24"/>
          <w:lang w:eastAsia="zh-TW"/>
        </w:rPr>
        <w:t>a sample of Chinese university students</w:t>
      </w:r>
      <w:r w:rsidR="00A878F9" w:rsidRPr="006E1978">
        <w:rPr>
          <w:rFonts w:cs="Times New Roman"/>
          <w:sz w:val="24"/>
          <w:szCs w:val="24"/>
          <w:lang w:eastAsia="zh-TW"/>
        </w:rPr>
        <w:t xml:space="preserve">, </w:t>
      </w:r>
      <w:r w:rsidR="00A878F9" w:rsidRPr="006E1978">
        <w:rPr>
          <w:rFonts w:eastAsia="Microsoft JhengHei UI" w:cs="Times New Roman"/>
          <w:color w:val="323130"/>
          <w:sz w:val="24"/>
          <w:szCs w:val="24"/>
          <w:shd w:val="clear" w:color="auto" w:fill="FFFFFF"/>
          <w:lang w:eastAsia="zh-TW"/>
        </w:rPr>
        <w:t>in part limiting the generalizability of the results,</w:t>
      </w:r>
      <w:r w:rsidR="006F49F3" w:rsidRPr="006E1978">
        <w:rPr>
          <w:rFonts w:cs="Times New Roman"/>
          <w:sz w:val="24"/>
          <w:szCs w:val="24"/>
          <w:lang w:eastAsia="zh-TW"/>
        </w:rPr>
        <w:t xml:space="preserve"> </w:t>
      </w:r>
      <w:r w:rsidR="00A878F9" w:rsidRPr="006E1978">
        <w:rPr>
          <w:rFonts w:cs="Times New Roman"/>
          <w:sz w:val="24"/>
          <w:szCs w:val="24"/>
          <w:lang w:eastAsia="zh-TW"/>
        </w:rPr>
        <w:t xml:space="preserve">future </w:t>
      </w:r>
      <w:r w:rsidR="00A878F9" w:rsidRPr="006E1978">
        <w:rPr>
          <w:rFonts w:eastAsia="Microsoft JhengHei UI" w:cs="Times New Roman"/>
          <w:color w:val="323130"/>
          <w:sz w:val="24"/>
          <w:szCs w:val="24"/>
          <w:shd w:val="clear" w:color="auto" w:fill="FFFFFF"/>
          <w:lang w:eastAsia="zh-TW"/>
        </w:rPr>
        <w:t xml:space="preserve">studies on a general population or other age groups </w:t>
      </w:r>
      <w:r w:rsidR="00A878F9" w:rsidRPr="006E1978">
        <w:rPr>
          <w:rFonts w:cs="Times New Roman"/>
          <w:sz w:val="24"/>
          <w:szCs w:val="24"/>
          <w:lang w:eastAsia="zh-TW"/>
        </w:rPr>
        <w:t xml:space="preserve">(e.g., adolescents or older adults) </w:t>
      </w:r>
      <w:r w:rsidR="00A878F9" w:rsidRPr="006E1978">
        <w:rPr>
          <w:rFonts w:eastAsia="Microsoft JhengHei UI" w:cs="Times New Roman"/>
          <w:color w:val="323130"/>
          <w:sz w:val="24"/>
          <w:szCs w:val="24"/>
          <w:shd w:val="clear" w:color="auto" w:fill="FFFFFF"/>
          <w:lang w:eastAsia="zh-TW"/>
        </w:rPr>
        <w:t xml:space="preserve">are needed. </w:t>
      </w:r>
      <w:r w:rsidR="001C36FA" w:rsidRPr="006E1978">
        <w:rPr>
          <w:rFonts w:cs="Times New Roman"/>
          <w:sz w:val="24"/>
          <w:szCs w:val="24"/>
          <w:lang w:eastAsia="zh-TW"/>
        </w:rPr>
        <w:t xml:space="preserve">Second, </w:t>
      </w:r>
      <w:r w:rsidR="00022CDD" w:rsidRPr="006E1978">
        <w:rPr>
          <w:rFonts w:cs="Times New Roman"/>
          <w:sz w:val="24"/>
          <w:szCs w:val="24"/>
          <w:lang w:eastAsia="zh-TW"/>
        </w:rPr>
        <w:t xml:space="preserve">although the 6-item, short-form MOGS </w:t>
      </w:r>
      <w:r w:rsidR="00B729C6" w:rsidRPr="006E1978">
        <w:rPr>
          <w:rFonts w:cs="Times New Roman"/>
          <w:sz w:val="24"/>
          <w:szCs w:val="24"/>
          <w:lang w:eastAsia="zh-TW"/>
        </w:rPr>
        <w:t xml:space="preserve">exhibited </w:t>
      </w:r>
      <w:r w:rsidR="00022CDD" w:rsidRPr="006E1978">
        <w:rPr>
          <w:rFonts w:cs="Times New Roman"/>
          <w:sz w:val="24"/>
          <w:szCs w:val="24"/>
          <w:lang w:eastAsia="zh-TW"/>
        </w:rPr>
        <w:t>excellent goodness of model fit and good reliability and validity, this version still needs further validation in other samples</w:t>
      </w:r>
      <w:r w:rsidR="00156D78" w:rsidRPr="006E1978">
        <w:rPr>
          <w:rFonts w:cs="Times New Roman"/>
          <w:sz w:val="24"/>
          <w:szCs w:val="24"/>
          <w:lang w:eastAsia="zh-TW"/>
        </w:rPr>
        <w:t>,</w:t>
      </w:r>
      <w:r w:rsidR="00022CDD" w:rsidRPr="006E1978">
        <w:rPr>
          <w:rFonts w:cs="Times New Roman"/>
          <w:sz w:val="24"/>
          <w:szCs w:val="24"/>
          <w:lang w:eastAsia="zh-TW"/>
        </w:rPr>
        <w:t xml:space="preserve"> and hence we call for more replication studies to evaluate the robustness of its psychometric properties (e.g., predictive validity) across samples. </w:t>
      </w:r>
      <w:r w:rsidR="001C36FA" w:rsidRPr="006E1978">
        <w:rPr>
          <w:rFonts w:cs="Times New Roman"/>
          <w:sz w:val="24"/>
          <w:szCs w:val="24"/>
          <w:lang w:eastAsia="zh-TW"/>
        </w:rPr>
        <w:t xml:space="preserve">Finally, </w:t>
      </w:r>
      <w:r w:rsidR="00E22519" w:rsidRPr="006E1978">
        <w:rPr>
          <w:rFonts w:cs="Times New Roman"/>
          <w:sz w:val="24"/>
          <w:szCs w:val="24"/>
          <w:lang w:eastAsia="zh-TW"/>
        </w:rPr>
        <w:t>the</w:t>
      </w:r>
      <w:r w:rsidR="00775873" w:rsidRPr="006E1978">
        <w:rPr>
          <w:rFonts w:cs="Times New Roman"/>
          <w:sz w:val="24"/>
          <w:szCs w:val="24"/>
          <w:lang w:eastAsia="zh-TW"/>
        </w:rPr>
        <w:t xml:space="preserve"> </w:t>
      </w:r>
      <w:r w:rsidR="001C36FA" w:rsidRPr="006E1978">
        <w:rPr>
          <w:rFonts w:cs="Times New Roman"/>
          <w:sz w:val="24"/>
          <w:szCs w:val="24"/>
          <w:lang w:eastAsia="zh-TW"/>
        </w:rPr>
        <w:t xml:space="preserve">cross-sectional design </w:t>
      </w:r>
      <w:r w:rsidR="00E22519" w:rsidRPr="006E1978">
        <w:rPr>
          <w:rFonts w:cs="Times New Roman"/>
          <w:sz w:val="24"/>
          <w:szCs w:val="24"/>
          <w:lang w:eastAsia="zh-TW"/>
        </w:rPr>
        <w:t xml:space="preserve">adopted by the present study </w:t>
      </w:r>
      <w:r w:rsidR="00B729C6" w:rsidRPr="006E1978">
        <w:rPr>
          <w:rFonts w:cs="Times New Roman"/>
          <w:sz w:val="24"/>
          <w:szCs w:val="24"/>
          <w:lang w:eastAsia="zh-TW"/>
        </w:rPr>
        <w:t xml:space="preserve">cannot </w:t>
      </w:r>
      <w:r w:rsidR="00E22519" w:rsidRPr="006E1978">
        <w:rPr>
          <w:rFonts w:cs="Times New Roman"/>
          <w:sz w:val="24"/>
          <w:szCs w:val="24"/>
          <w:lang w:eastAsia="zh-TW"/>
        </w:rPr>
        <w:t xml:space="preserve">track the changes </w:t>
      </w:r>
      <w:r w:rsidR="00B729C6" w:rsidRPr="006E1978">
        <w:rPr>
          <w:rFonts w:cs="Times New Roman"/>
          <w:sz w:val="24"/>
          <w:szCs w:val="24"/>
          <w:lang w:eastAsia="zh-TW"/>
        </w:rPr>
        <w:t xml:space="preserve">in </w:t>
      </w:r>
      <w:r w:rsidR="001C36FA" w:rsidRPr="006E1978">
        <w:rPr>
          <w:rFonts w:cs="Times New Roman"/>
          <w:sz w:val="24"/>
          <w:szCs w:val="24"/>
          <w:lang w:eastAsia="zh-TW"/>
        </w:rPr>
        <w:t>metacognition</w:t>
      </w:r>
      <w:r w:rsidR="00B729C6" w:rsidRPr="006E1978">
        <w:rPr>
          <w:rFonts w:cs="Times New Roman"/>
          <w:sz w:val="24"/>
          <w:szCs w:val="24"/>
          <w:lang w:eastAsia="zh-TW"/>
        </w:rPr>
        <w:t>s</w:t>
      </w:r>
      <w:r w:rsidR="001C36FA" w:rsidRPr="006E1978">
        <w:rPr>
          <w:rFonts w:cs="Times New Roman"/>
          <w:sz w:val="24"/>
          <w:szCs w:val="24"/>
          <w:lang w:eastAsia="zh-TW"/>
        </w:rPr>
        <w:t xml:space="preserve"> about online gaming</w:t>
      </w:r>
      <w:r w:rsidR="00E22519" w:rsidRPr="006E1978">
        <w:rPr>
          <w:rFonts w:cs="Times New Roman"/>
          <w:sz w:val="24"/>
          <w:szCs w:val="24"/>
          <w:lang w:eastAsia="zh-TW"/>
        </w:rPr>
        <w:t xml:space="preserve"> with stress</w:t>
      </w:r>
      <w:r w:rsidR="001C36FA" w:rsidRPr="006E1978">
        <w:rPr>
          <w:rFonts w:cs="Times New Roman"/>
          <w:sz w:val="24"/>
          <w:szCs w:val="24"/>
          <w:lang w:eastAsia="zh-TW"/>
        </w:rPr>
        <w:t xml:space="preserve"> and </w:t>
      </w:r>
      <w:r w:rsidR="00965348" w:rsidRPr="006E1978">
        <w:rPr>
          <w:rFonts w:cs="Times New Roman"/>
          <w:sz w:val="24"/>
          <w:szCs w:val="24"/>
          <w:lang w:eastAsia="zh-TW"/>
        </w:rPr>
        <w:t>IGD</w:t>
      </w:r>
      <w:r w:rsidR="00E22519" w:rsidRPr="006E1978">
        <w:rPr>
          <w:rFonts w:cs="Times New Roman"/>
          <w:sz w:val="24"/>
          <w:szCs w:val="24"/>
          <w:lang w:eastAsia="zh-TW"/>
        </w:rPr>
        <w:t xml:space="preserve"> </w:t>
      </w:r>
      <w:r w:rsidR="00124152" w:rsidRPr="006E1978">
        <w:rPr>
          <w:rFonts w:cs="Times New Roman"/>
          <w:sz w:val="24"/>
          <w:szCs w:val="24"/>
          <w:lang w:eastAsia="zh-TW"/>
        </w:rPr>
        <w:t>tendency</w:t>
      </w:r>
      <w:r w:rsidR="00E22519" w:rsidRPr="006E1978">
        <w:rPr>
          <w:rFonts w:cs="Times New Roman"/>
          <w:sz w:val="24"/>
          <w:szCs w:val="24"/>
          <w:lang w:eastAsia="zh-TW"/>
        </w:rPr>
        <w:t xml:space="preserve"> over time</w:t>
      </w:r>
      <w:r w:rsidR="00366AD2" w:rsidRPr="006E1978">
        <w:rPr>
          <w:rFonts w:cs="Times New Roman"/>
          <w:sz w:val="24"/>
          <w:szCs w:val="24"/>
          <w:lang w:eastAsia="zh-TW"/>
        </w:rPr>
        <w:t xml:space="preserve"> to evaluate the predictive validity</w:t>
      </w:r>
      <w:r w:rsidR="009C3999" w:rsidRPr="006E1978">
        <w:rPr>
          <w:rFonts w:cs="Times New Roman"/>
          <w:sz w:val="24"/>
          <w:szCs w:val="24"/>
          <w:lang w:eastAsia="zh-TW"/>
        </w:rPr>
        <w:t xml:space="preserve"> in a natural setting</w:t>
      </w:r>
      <w:r w:rsidR="00E22519" w:rsidRPr="006E1978">
        <w:rPr>
          <w:rFonts w:cs="Times New Roman"/>
          <w:sz w:val="24"/>
          <w:szCs w:val="24"/>
          <w:lang w:eastAsia="zh-TW"/>
        </w:rPr>
        <w:t>, which could be addressed by</w:t>
      </w:r>
      <w:r w:rsidR="00C90619" w:rsidRPr="006E1978">
        <w:rPr>
          <w:rFonts w:cs="Times New Roman"/>
          <w:sz w:val="24"/>
          <w:szCs w:val="24"/>
          <w:lang w:eastAsia="zh-TW"/>
        </w:rPr>
        <w:t xml:space="preserve"> </w:t>
      </w:r>
      <w:r w:rsidR="00E22519" w:rsidRPr="006E1978">
        <w:rPr>
          <w:rFonts w:cs="Times New Roman"/>
          <w:sz w:val="24"/>
          <w:szCs w:val="24"/>
          <w:lang w:eastAsia="zh-TW"/>
        </w:rPr>
        <w:t>a</w:t>
      </w:r>
      <w:r w:rsidR="001C36FA" w:rsidRPr="006E1978">
        <w:rPr>
          <w:rFonts w:cs="Times New Roman"/>
          <w:sz w:val="24"/>
          <w:szCs w:val="24"/>
          <w:lang w:eastAsia="zh-TW"/>
        </w:rPr>
        <w:t xml:space="preserve"> longitudinal </w:t>
      </w:r>
      <w:r w:rsidR="00E22519" w:rsidRPr="006E1978">
        <w:rPr>
          <w:rFonts w:cs="Times New Roman"/>
          <w:sz w:val="24"/>
          <w:szCs w:val="24"/>
          <w:lang w:eastAsia="zh-TW"/>
        </w:rPr>
        <w:t>design in future studies.</w:t>
      </w:r>
    </w:p>
    <w:p w14:paraId="394150A9" w14:textId="16E6EEAE" w:rsidR="00A878F9" w:rsidRPr="006E1978" w:rsidRDefault="001C36FA" w:rsidP="00BC529E">
      <w:pPr>
        <w:spacing w:line="480" w:lineRule="auto"/>
        <w:ind w:firstLineChars="200" w:firstLine="480"/>
        <w:jc w:val="left"/>
        <w:rPr>
          <w:rFonts w:eastAsia="Microsoft JhengHei UI" w:cs="Times New Roman"/>
          <w:color w:val="323130"/>
          <w:sz w:val="24"/>
          <w:szCs w:val="24"/>
          <w:shd w:val="clear" w:color="auto" w:fill="FFFFFF"/>
        </w:rPr>
      </w:pPr>
      <w:r w:rsidRPr="006E1978">
        <w:rPr>
          <w:rFonts w:cs="Times New Roman"/>
          <w:sz w:val="24"/>
          <w:szCs w:val="24"/>
          <w:lang w:eastAsia="zh-TW"/>
        </w:rPr>
        <w:t xml:space="preserve">Despite these limitations, this study is the first to validate </w:t>
      </w:r>
      <w:r w:rsidR="003B1A29" w:rsidRPr="006E1978">
        <w:rPr>
          <w:rFonts w:cs="Times New Roman"/>
          <w:sz w:val="24"/>
          <w:szCs w:val="24"/>
          <w:lang w:eastAsia="zh-TW"/>
        </w:rPr>
        <w:t xml:space="preserve">MOGS among Chinese gamers. </w:t>
      </w:r>
      <w:r w:rsidR="00CA2287" w:rsidRPr="006E1978">
        <w:rPr>
          <w:rFonts w:cs="Times New Roman"/>
          <w:sz w:val="24"/>
          <w:szCs w:val="24"/>
          <w:lang w:eastAsia="zh-TW"/>
        </w:rPr>
        <w:t xml:space="preserve">Our </w:t>
      </w:r>
      <w:r w:rsidR="003B1A29" w:rsidRPr="006E1978">
        <w:rPr>
          <w:rFonts w:cs="Times New Roman"/>
          <w:sz w:val="24"/>
          <w:szCs w:val="24"/>
          <w:lang w:eastAsia="zh-TW"/>
        </w:rPr>
        <w:t>findings</w:t>
      </w:r>
      <w:r w:rsidRPr="006E1978">
        <w:rPr>
          <w:rFonts w:cs="Times New Roman"/>
          <w:sz w:val="24"/>
          <w:szCs w:val="24"/>
          <w:lang w:eastAsia="zh-TW"/>
        </w:rPr>
        <w:t xml:space="preserve"> </w:t>
      </w:r>
      <w:r w:rsidR="00CA2287" w:rsidRPr="006E1978">
        <w:rPr>
          <w:rFonts w:cs="Times New Roman"/>
          <w:sz w:val="24"/>
          <w:szCs w:val="24"/>
          <w:lang w:eastAsia="zh-TW"/>
        </w:rPr>
        <w:t>supported the two-factor structure for the</w:t>
      </w:r>
      <w:r w:rsidR="00D97297" w:rsidRPr="006E1978">
        <w:rPr>
          <w:rFonts w:cs="Times New Roman"/>
          <w:sz w:val="24"/>
          <w:szCs w:val="24"/>
          <w:lang w:eastAsia="zh-TW"/>
        </w:rPr>
        <w:t xml:space="preserve"> revised</w:t>
      </w:r>
      <w:r w:rsidR="00CA2287" w:rsidRPr="006E1978">
        <w:rPr>
          <w:rFonts w:cs="Times New Roman"/>
          <w:sz w:val="24"/>
          <w:szCs w:val="24"/>
          <w:lang w:eastAsia="zh-TW"/>
        </w:rPr>
        <w:t xml:space="preserve"> 1</w:t>
      </w:r>
      <w:r w:rsidR="00D97297" w:rsidRPr="006E1978">
        <w:rPr>
          <w:rFonts w:cs="Times New Roman"/>
          <w:sz w:val="24"/>
          <w:szCs w:val="24"/>
          <w:lang w:eastAsia="zh-TW"/>
        </w:rPr>
        <w:t>1</w:t>
      </w:r>
      <w:r w:rsidR="00CA2287" w:rsidRPr="006E1978">
        <w:rPr>
          <w:rFonts w:cs="Times New Roman"/>
          <w:sz w:val="24"/>
          <w:szCs w:val="24"/>
          <w:lang w:eastAsia="zh-TW"/>
        </w:rPr>
        <w:t xml:space="preserve">-item </w:t>
      </w:r>
      <w:r w:rsidRPr="006E1978">
        <w:rPr>
          <w:rFonts w:cs="Times New Roman"/>
          <w:sz w:val="24"/>
          <w:szCs w:val="24"/>
          <w:lang w:eastAsia="zh-TW"/>
        </w:rPr>
        <w:t xml:space="preserve">MOGS </w:t>
      </w:r>
      <w:r w:rsidR="00CA2287" w:rsidRPr="006E1978">
        <w:rPr>
          <w:rFonts w:cs="Times New Roman"/>
          <w:sz w:val="24"/>
          <w:szCs w:val="24"/>
          <w:lang w:eastAsia="zh-TW"/>
        </w:rPr>
        <w:t xml:space="preserve">and confirmed </w:t>
      </w:r>
      <w:r w:rsidRPr="006E1978">
        <w:rPr>
          <w:rFonts w:cs="Times New Roman"/>
          <w:sz w:val="24"/>
          <w:szCs w:val="24"/>
          <w:lang w:eastAsia="zh-TW"/>
        </w:rPr>
        <w:t>i</w:t>
      </w:r>
      <w:r w:rsidR="00CA2287" w:rsidRPr="006E1978">
        <w:rPr>
          <w:rFonts w:cs="Times New Roman"/>
          <w:sz w:val="24"/>
          <w:szCs w:val="24"/>
          <w:lang w:eastAsia="zh-TW"/>
        </w:rPr>
        <w:t>t</w:t>
      </w:r>
      <w:r w:rsidRPr="006E1978">
        <w:rPr>
          <w:rFonts w:cs="Times New Roman"/>
          <w:sz w:val="24"/>
          <w:szCs w:val="24"/>
          <w:lang w:eastAsia="zh-TW"/>
        </w:rPr>
        <w:t xml:space="preserve">s </w:t>
      </w:r>
      <w:r w:rsidR="00CA2287" w:rsidRPr="006E1978">
        <w:rPr>
          <w:rFonts w:cs="Times New Roman"/>
          <w:sz w:val="24"/>
          <w:szCs w:val="24"/>
          <w:lang w:eastAsia="zh-TW"/>
        </w:rPr>
        <w:t xml:space="preserve">satisfactory reliability and </w:t>
      </w:r>
      <w:r w:rsidRPr="006E1978">
        <w:rPr>
          <w:rFonts w:cs="Times New Roman"/>
          <w:sz w:val="24"/>
          <w:szCs w:val="24"/>
          <w:lang w:eastAsia="zh-TW"/>
        </w:rPr>
        <w:t>valid</w:t>
      </w:r>
      <w:r w:rsidR="00CA2287" w:rsidRPr="006E1978">
        <w:rPr>
          <w:rFonts w:cs="Times New Roman"/>
          <w:sz w:val="24"/>
          <w:szCs w:val="24"/>
          <w:lang w:eastAsia="zh-TW"/>
        </w:rPr>
        <w:t>ity</w:t>
      </w:r>
      <w:r w:rsidRPr="006E1978">
        <w:rPr>
          <w:rFonts w:cs="Times New Roman"/>
          <w:sz w:val="24"/>
          <w:szCs w:val="24"/>
          <w:lang w:eastAsia="zh-TW"/>
        </w:rPr>
        <w:t xml:space="preserve"> for </w:t>
      </w:r>
      <w:r w:rsidR="00CA2287" w:rsidRPr="006E1978">
        <w:rPr>
          <w:rFonts w:cs="Times New Roman"/>
          <w:sz w:val="24"/>
          <w:szCs w:val="24"/>
          <w:lang w:eastAsia="zh-TW"/>
        </w:rPr>
        <w:t xml:space="preserve">measuring Chinese gamers’ </w:t>
      </w:r>
      <w:r w:rsidRPr="006E1978">
        <w:rPr>
          <w:rFonts w:cs="Times New Roman"/>
          <w:sz w:val="24"/>
          <w:szCs w:val="24"/>
          <w:lang w:eastAsia="zh-TW"/>
        </w:rPr>
        <w:t>metacognition</w:t>
      </w:r>
      <w:r w:rsidR="00CA2287" w:rsidRPr="006E1978">
        <w:rPr>
          <w:rFonts w:cs="Times New Roman"/>
          <w:sz w:val="24"/>
          <w:szCs w:val="24"/>
          <w:lang w:eastAsia="zh-TW"/>
        </w:rPr>
        <w:t>s</w:t>
      </w:r>
      <w:r w:rsidRPr="006E1978">
        <w:rPr>
          <w:rFonts w:cs="Times New Roman"/>
          <w:sz w:val="24"/>
          <w:szCs w:val="24"/>
          <w:lang w:eastAsia="zh-TW"/>
        </w:rPr>
        <w:t xml:space="preserve"> a</w:t>
      </w:r>
      <w:r w:rsidRPr="006E1978">
        <w:rPr>
          <w:rFonts w:cs="Times New Roman"/>
          <w:sz w:val="24"/>
          <w:szCs w:val="24"/>
        </w:rPr>
        <w:t>bout online gaming</w:t>
      </w:r>
      <w:r w:rsidR="00CA2287" w:rsidRPr="006E1978">
        <w:rPr>
          <w:rFonts w:cs="Times New Roman"/>
          <w:sz w:val="24"/>
          <w:szCs w:val="24"/>
        </w:rPr>
        <w:t xml:space="preserve">. </w:t>
      </w:r>
      <w:r w:rsidR="00F546B3" w:rsidRPr="006E1978">
        <w:rPr>
          <w:rFonts w:cs="Times New Roman"/>
          <w:sz w:val="24"/>
          <w:szCs w:val="24"/>
        </w:rPr>
        <w:t xml:space="preserve">To further promote the use of MOGS for various </w:t>
      </w:r>
      <w:r w:rsidR="006C04AB" w:rsidRPr="006E1978">
        <w:rPr>
          <w:rFonts w:cs="Times New Roman"/>
          <w:sz w:val="24"/>
          <w:szCs w:val="24"/>
        </w:rPr>
        <w:t>settings</w:t>
      </w:r>
      <w:r w:rsidR="00F546B3" w:rsidRPr="006E1978">
        <w:rPr>
          <w:rFonts w:cs="Times New Roman"/>
          <w:sz w:val="24"/>
          <w:szCs w:val="24"/>
        </w:rPr>
        <w:t xml:space="preserve"> and purposes, we also created a</w:t>
      </w:r>
      <w:r w:rsidR="00CA2287" w:rsidRPr="006E1978">
        <w:rPr>
          <w:rFonts w:cs="Times New Roman"/>
          <w:sz w:val="24"/>
          <w:szCs w:val="24"/>
        </w:rPr>
        <w:t xml:space="preserve"> 6-item, short-form</w:t>
      </w:r>
      <w:r w:rsidR="005B7569" w:rsidRPr="006E1978">
        <w:rPr>
          <w:rFonts w:cs="Times New Roman"/>
          <w:sz w:val="24"/>
          <w:szCs w:val="24"/>
        </w:rPr>
        <w:t xml:space="preserve"> </w:t>
      </w:r>
      <w:r w:rsidR="00CA2287" w:rsidRPr="006E1978">
        <w:rPr>
          <w:rFonts w:cs="Times New Roman"/>
          <w:sz w:val="24"/>
          <w:szCs w:val="24"/>
        </w:rPr>
        <w:t>MOGS</w:t>
      </w:r>
      <w:r w:rsidR="00F546B3" w:rsidRPr="006E1978">
        <w:rPr>
          <w:rFonts w:cs="Times New Roman"/>
          <w:sz w:val="24"/>
          <w:szCs w:val="24"/>
        </w:rPr>
        <w:t xml:space="preserve"> and found it </w:t>
      </w:r>
      <w:r w:rsidR="00B729C6" w:rsidRPr="006E1978">
        <w:rPr>
          <w:rFonts w:cs="Times New Roman"/>
          <w:sz w:val="24"/>
          <w:szCs w:val="24"/>
        </w:rPr>
        <w:t xml:space="preserve">to display </w:t>
      </w:r>
      <w:r w:rsidR="00261380" w:rsidRPr="006E1978">
        <w:rPr>
          <w:rFonts w:cs="Times New Roman"/>
          <w:sz w:val="24"/>
          <w:szCs w:val="24"/>
        </w:rPr>
        <w:t>equivalent</w:t>
      </w:r>
      <w:r w:rsidR="00CA2287" w:rsidRPr="006E1978">
        <w:rPr>
          <w:rFonts w:cs="Times New Roman"/>
          <w:sz w:val="24"/>
          <w:szCs w:val="24"/>
        </w:rPr>
        <w:t xml:space="preserve"> psychometric soundness as its full-scale version</w:t>
      </w:r>
      <w:r w:rsidRPr="006E1978">
        <w:rPr>
          <w:rFonts w:cs="Times New Roman"/>
          <w:sz w:val="24"/>
          <w:szCs w:val="24"/>
        </w:rPr>
        <w:t xml:space="preserve">. </w:t>
      </w:r>
      <w:r w:rsidR="00A5595F" w:rsidRPr="006E1978">
        <w:rPr>
          <w:rFonts w:cs="Times New Roman"/>
          <w:sz w:val="24"/>
          <w:szCs w:val="24"/>
        </w:rPr>
        <w:t xml:space="preserve">We envisioned </w:t>
      </w:r>
      <w:r w:rsidR="003422F8" w:rsidRPr="006E1978">
        <w:rPr>
          <w:rFonts w:cs="Times New Roman"/>
          <w:sz w:val="24"/>
          <w:szCs w:val="24"/>
        </w:rPr>
        <w:t xml:space="preserve">this Chinese set of </w:t>
      </w:r>
      <w:r w:rsidR="00A5595F" w:rsidRPr="006E1978">
        <w:rPr>
          <w:rFonts w:cs="Times New Roman"/>
          <w:sz w:val="24"/>
          <w:szCs w:val="24"/>
        </w:rPr>
        <w:t>MOGS</w:t>
      </w:r>
      <w:r w:rsidR="00D81A4D" w:rsidRPr="006E1978">
        <w:rPr>
          <w:rFonts w:cs="Times New Roman"/>
          <w:sz w:val="24"/>
          <w:szCs w:val="24"/>
        </w:rPr>
        <w:t xml:space="preserve">, as a </w:t>
      </w:r>
      <w:r w:rsidR="003422F8" w:rsidRPr="006E1978">
        <w:rPr>
          <w:rFonts w:cs="Times New Roman"/>
          <w:sz w:val="24"/>
          <w:szCs w:val="24"/>
        </w:rPr>
        <w:t>gaming-</w:t>
      </w:r>
      <w:r w:rsidR="00D81A4D" w:rsidRPr="006E1978">
        <w:rPr>
          <w:rFonts w:cs="Times New Roman"/>
          <w:sz w:val="24"/>
          <w:szCs w:val="24"/>
        </w:rPr>
        <w:t>specific metacognition</w:t>
      </w:r>
      <w:r w:rsidR="00B729C6" w:rsidRPr="006E1978">
        <w:rPr>
          <w:rFonts w:cs="Times New Roman"/>
          <w:sz w:val="24"/>
          <w:szCs w:val="24"/>
        </w:rPr>
        <w:t>s</w:t>
      </w:r>
      <w:r w:rsidR="00D81A4D" w:rsidRPr="006E1978">
        <w:rPr>
          <w:rFonts w:cs="Times New Roman"/>
          <w:sz w:val="24"/>
          <w:szCs w:val="24"/>
        </w:rPr>
        <w:t xml:space="preserve"> </w:t>
      </w:r>
      <w:r w:rsidR="00D81A4D" w:rsidRPr="006E1978">
        <w:rPr>
          <w:rFonts w:cs="Times New Roman"/>
          <w:sz w:val="24"/>
          <w:szCs w:val="24"/>
        </w:rPr>
        <w:lastRenderedPageBreak/>
        <w:t>measurement</w:t>
      </w:r>
      <w:r w:rsidR="003422F8" w:rsidRPr="006E1978">
        <w:rPr>
          <w:rFonts w:cs="Times New Roman"/>
          <w:sz w:val="24"/>
          <w:szCs w:val="24"/>
        </w:rPr>
        <w:t xml:space="preserve"> </w:t>
      </w:r>
      <w:r w:rsidR="006C04AB" w:rsidRPr="006E1978">
        <w:rPr>
          <w:rFonts w:cs="Times New Roman"/>
          <w:sz w:val="24"/>
          <w:szCs w:val="24"/>
        </w:rPr>
        <w:t>tool</w:t>
      </w:r>
      <w:r w:rsidR="00D81A4D" w:rsidRPr="006E1978">
        <w:rPr>
          <w:rFonts w:cs="Times New Roman"/>
          <w:sz w:val="24"/>
          <w:szCs w:val="24"/>
        </w:rPr>
        <w:t>,</w:t>
      </w:r>
      <w:r w:rsidR="00A5595F" w:rsidRPr="006E1978">
        <w:rPr>
          <w:rFonts w:cs="Times New Roman"/>
          <w:sz w:val="24"/>
          <w:szCs w:val="24"/>
        </w:rPr>
        <w:t xml:space="preserve"> would </w:t>
      </w:r>
      <w:r w:rsidR="00D81A4D" w:rsidRPr="006E1978">
        <w:rPr>
          <w:rFonts w:cs="Times New Roman"/>
          <w:sz w:val="24"/>
          <w:szCs w:val="24"/>
        </w:rPr>
        <w:t>lay</w:t>
      </w:r>
      <w:r w:rsidR="00A5595F" w:rsidRPr="006E1978">
        <w:rPr>
          <w:rFonts w:cs="Times New Roman"/>
          <w:sz w:val="24"/>
          <w:szCs w:val="24"/>
        </w:rPr>
        <w:t xml:space="preserve"> the </w:t>
      </w:r>
      <w:r w:rsidR="00B04A60" w:rsidRPr="006E1978">
        <w:rPr>
          <w:rFonts w:cs="Times New Roman"/>
          <w:sz w:val="24"/>
          <w:szCs w:val="24"/>
        </w:rPr>
        <w:t>foundation</w:t>
      </w:r>
      <w:r w:rsidR="00A5595F" w:rsidRPr="006E1978">
        <w:rPr>
          <w:rFonts w:cs="Times New Roman"/>
          <w:sz w:val="24"/>
          <w:szCs w:val="24"/>
        </w:rPr>
        <w:t xml:space="preserve"> for </w:t>
      </w:r>
      <w:r w:rsidR="00D81A4D" w:rsidRPr="006E1978">
        <w:rPr>
          <w:rFonts w:cs="Times New Roman"/>
          <w:sz w:val="24"/>
          <w:szCs w:val="24"/>
        </w:rPr>
        <w:t xml:space="preserve">studying </w:t>
      </w:r>
      <w:r w:rsidR="00A5595F" w:rsidRPr="006E1978">
        <w:rPr>
          <w:rFonts w:cs="Times New Roman"/>
          <w:sz w:val="24"/>
          <w:szCs w:val="24"/>
        </w:rPr>
        <w:t>metacognition</w:t>
      </w:r>
      <w:r w:rsidR="00B729C6" w:rsidRPr="006E1978">
        <w:rPr>
          <w:rFonts w:cs="Times New Roman"/>
          <w:sz w:val="24"/>
          <w:szCs w:val="24"/>
        </w:rPr>
        <w:t>s</w:t>
      </w:r>
      <w:r w:rsidR="00A5595F" w:rsidRPr="006E1978">
        <w:rPr>
          <w:rFonts w:cs="Times New Roman"/>
          <w:sz w:val="24"/>
          <w:szCs w:val="24"/>
        </w:rPr>
        <w:t xml:space="preserve"> </w:t>
      </w:r>
      <w:r w:rsidR="00D14F63" w:rsidRPr="006E1978">
        <w:rPr>
          <w:rFonts w:cs="Times New Roman"/>
          <w:sz w:val="24"/>
          <w:szCs w:val="24"/>
        </w:rPr>
        <w:t>(e.g., explore the role of repetitive negative thinking in the association between gaming-</w:t>
      </w:r>
      <w:r w:rsidR="00BC529E" w:rsidRPr="006E1978">
        <w:rPr>
          <w:rFonts w:cs="Times New Roman"/>
          <w:sz w:val="24"/>
          <w:szCs w:val="24"/>
        </w:rPr>
        <w:t>specific</w:t>
      </w:r>
      <w:r w:rsidR="00D14F63" w:rsidRPr="006E1978">
        <w:rPr>
          <w:rFonts w:cs="Times New Roman"/>
          <w:sz w:val="24"/>
          <w:szCs w:val="24"/>
        </w:rPr>
        <w:t xml:space="preserve"> metacognitions and IGD) </w:t>
      </w:r>
      <w:r w:rsidR="00D81A4D" w:rsidRPr="006E1978">
        <w:rPr>
          <w:rFonts w:cs="Times New Roman"/>
          <w:sz w:val="24"/>
          <w:szCs w:val="24"/>
        </w:rPr>
        <w:t>among Chinese gamers and inspire more metacognition</w:t>
      </w:r>
      <w:r w:rsidR="00B729C6" w:rsidRPr="006E1978">
        <w:rPr>
          <w:rFonts w:cs="Times New Roman"/>
          <w:sz w:val="24"/>
          <w:szCs w:val="24"/>
        </w:rPr>
        <w:t>-based</w:t>
      </w:r>
      <w:r w:rsidR="00D81A4D" w:rsidRPr="006E1978">
        <w:rPr>
          <w:rFonts w:cs="Times New Roman"/>
          <w:sz w:val="24"/>
          <w:szCs w:val="24"/>
        </w:rPr>
        <w:t xml:space="preserve"> applications for screening high-risk gamers and </w:t>
      </w:r>
      <w:r w:rsidR="00B729C6" w:rsidRPr="006E1978">
        <w:rPr>
          <w:rFonts w:cs="Times New Roman"/>
          <w:sz w:val="24"/>
          <w:szCs w:val="24"/>
        </w:rPr>
        <w:t xml:space="preserve">as well as provide </w:t>
      </w:r>
      <w:r w:rsidR="00D81A4D" w:rsidRPr="006E1978">
        <w:rPr>
          <w:rFonts w:cs="Times New Roman"/>
          <w:sz w:val="24"/>
          <w:szCs w:val="24"/>
        </w:rPr>
        <w:t>more cost-effective interventions to safeguard a healthy development of the largest gamer population in the world.</w:t>
      </w:r>
    </w:p>
    <w:p w14:paraId="523974C3" w14:textId="77D6B46A" w:rsidR="001F7DE4" w:rsidRPr="006E1978" w:rsidRDefault="005F6D58" w:rsidP="00BF2EEC">
      <w:pPr>
        <w:snapToGrid w:val="0"/>
        <w:spacing w:line="480" w:lineRule="auto"/>
        <w:ind w:firstLineChars="200" w:firstLine="480"/>
        <w:jc w:val="left"/>
        <w:rPr>
          <w:rFonts w:cs="Times New Roman"/>
          <w:sz w:val="24"/>
          <w:szCs w:val="24"/>
        </w:rPr>
      </w:pPr>
      <w:r w:rsidRPr="006E1978">
        <w:rPr>
          <w:rFonts w:cs="Times New Roman"/>
          <w:sz w:val="24"/>
          <w:szCs w:val="24"/>
        </w:rPr>
        <w:br w:type="page"/>
      </w:r>
    </w:p>
    <w:p w14:paraId="3C9A1A41" w14:textId="77777777" w:rsidR="00BF2EEC" w:rsidRPr="006E1978" w:rsidRDefault="00BF2EEC" w:rsidP="00BF2EEC">
      <w:pPr>
        <w:snapToGrid w:val="0"/>
        <w:spacing w:line="480" w:lineRule="auto"/>
        <w:ind w:left="480" w:hangingChars="200" w:hanging="480"/>
        <w:jc w:val="left"/>
        <w:rPr>
          <w:rFonts w:cs="Times New Roman"/>
          <w:b/>
          <w:bCs/>
          <w:sz w:val="24"/>
          <w:szCs w:val="24"/>
          <w:lang w:val="pt-PT"/>
        </w:rPr>
      </w:pPr>
      <w:r w:rsidRPr="006E1978">
        <w:rPr>
          <w:rFonts w:cs="Times New Roman"/>
          <w:b/>
          <w:bCs/>
          <w:sz w:val="24"/>
          <w:szCs w:val="24"/>
          <w:lang w:val="pt-PT"/>
        </w:rPr>
        <w:lastRenderedPageBreak/>
        <w:t>References</w:t>
      </w:r>
    </w:p>
    <w:p w14:paraId="7EEE0434" w14:textId="77777777"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lang w:val="pt-PT"/>
        </w:rPr>
        <w:t xml:space="preserve">Akbari, M., Bahadori, M. H., Milan, B. B., Caselli, G., &amp; Spada, M. M. (2021). </w:t>
      </w:r>
      <w:r w:rsidRPr="006E1978">
        <w:rPr>
          <w:rFonts w:cs="Times New Roman"/>
          <w:sz w:val="24"/>
          <w:szCs w:val="24"/>
        </w:rPr>
        <w:t xml:space="preserve">Metacognitions as a predictor of online gaming in adolescents: Psychometric properties of the metacognitions about online gaming scale among Iranian adolescents. </w:t>
      </w:r>
      <w:r w:rsidRPr="006E1978">
        <w:rPr>
          <w:rFonts w:cs="Times New Roman"/>
          <w:i/>
          <w:iCs/>
          <w:sz w:val="24"/>
          <w:szCs w:val="24"/>
        </w:rPr>
        <w:t>Addictive Behaviors, 118</w:t>
      </w:r>
      <w:r w:rsidRPr="006E1978">
        <w:rPr>
          <w:rFonts w:cs="Times New Roman"/>
          <w:sz w:val="24"/>
          <w:szCs w:val="24"/>
        </w:rPr>
        <w:t>, 106904. https://doi.org/10.1016/j.addbeh.2021.106904</w:t>
      </w:r>
    </w:p>
    <w:p w14:paraId="0C2441DE" w14:textId="38EB6F41"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American Psychiatric Association, (2013). </w:t>
      </w:r>
      <w:r w:rsidRPr="006E1978">
        <w:rPr>
          <w:rFonts w:cs="Times New Roman"/>
          <w:i/>
          <w:iCs/>
          <w:sz w:val="24"/>
          <w:szCs w:val="24"/>
        </w:rPr>
        <w:t xml:space="preserve">Diagnostic and </w:t>
      </w:r>
      <w:r w:rsidR="00E03E62" w:rsidRPr="006E1978">
        <w:rPr>
          <w:rFonts w:cs="Times New Roman"/>
          <w:i/>
          <w:iCs/>
          <w:sz w:val="24"/>
          <w:szCs w:val="24"/>
        </w:rPr>
        <w:t xml:space="preserve">Statistical Manual </w:t>
      </w:r>
      <w:r w:rsidRPr="006E1978">
        <w:rPr>
          <w:rFonts w:cs="Times New Roman"/>
          <w:i/>
          <w:iCs/>
          <w:sz w:val="24"/>
          <w:szCs w:val="24"/>
        </w:rPr>
        <w:t xml:space="preserve">of </w:t>
      </w:r>
      <w:r w:rsidR="00E03E62" w:rsidRPr="006E1978">
        <w:rPr>
          <w:rFonts w:cs="Times New Roman"/>
          <w:i/>
          <w:iCs/>
          <w:sz w:val="24"/>
          <w:szCs w:val="24"/>
        </w:rPr>
        <w:t xml:space="preserve">Mental Disorders </w:t>
      </w:r>
      <w:r w:rsidRPr="006E1978">
        <w:rPr>
          <w:rFonts w:cs="Times New Roman"/>
          <w:i/>
          <w:iCs/>
          <w:sz w:val="24"/>
          <w:szCs w:val="24"/>
        </w:rPr>
        <w:t>(5</w:t>
      </w:r>
      <w:r w:rsidRPr="006E1978">
        <w:rPr>
          <w:rFonts w:cs="Times New Roman"/>
          <w:i/>
          <w:iCs/>
          <w:sz w:val="24"/>
          <w:szCs w:val="24"/>
          <w:vertAlign w:val="superscript"/>
        </w:rPr>
        <w:t>th</w:t>
      </w:r>
      <w:r w:rsidRPr="006E1978">
        <w:rPr>
          <w:rFonts w:cs="Times New Roman"/>
          <w:i/>
          <w:iCs/>
          <w:sz w:val="24"/>
          <w:szCs w:val="24"/>
        </w:rPr>
        <w:t xml:space="preserve"> ed.)</w:t>
      </w:r>
      <w:r w:rsidRPr="006E1978">
        <w:rPr>
          <w:rFonts w:cs="Times New Roman"/>
          <w:sz w:val="24"/>
          <w:szCs w:val="24"/>
        </w:rPr>
        <w:t>. Washington, DC.</w:t>
      </w:r>
    </w:p>
    <w:p w14:paraId="65FFA89B" w14:textId="5FBB0934"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Ayd</w:t>
      </w:r>
      <w:r w:rsidRPr="006E1978">
        <w:rPr>
          <w:rFonts w:cs="Times New Roman" w:hint="cs"/>
          <w:sz w:val="24"/>
          <w:szCs w:val="24"/>
        </w:rPr>
        <w:t>ı</w:t>
      </w:r>
      <w:r w:rsidRPr="006E1978">
        <w:rPr>
          <w:rFonts w:cs="Times New Roman"/>
          <w:sz w:val="24"/>
          <w:szCs w:val="24"/>
        </w:rPr>
        <w:t xml:space="preserve">n, O., </w:t>
      </w:r>
      <w:proofErr w:type="spellStart"/>
      <w:r w:rsidRPr="006E1978">
        <w:rPr>
          <w:rFonts w:cs="Times New Roman"/>
          <w:sz w:val="24"/>
          <w:szCs w:val="24"/>
        </w:rPr>
        <w:t>Güçlü</w:t>
      </w:r>
      <w:proofErr w:type="spellEnd"/>
      <w:r w:rsidRPr="006E1978">
        <w:rPr>
          <w:rFonts w:cs="Times New Roman"/>
          <w:sz w:val="24"/>
          <w:szCs w:val="24"/>
        </w:rPr>
        <w:t xml:space="preserve">, M., </w:t>
      </w:r>
      <w:proofErr w:type="spellStart"/>
      <w:r w:rsidRPr="006E1978">
        <w:rPr>
          <w:rFonts w:cs="Times New Roman"/>
          <w:sz w:val="24"/>
          <w:szCs w:val="24"/>
        </w:rPr>
        <w:t>Ünal-Ayd</w:t>
      </w:r>
      <w:r w:rsidRPr="006E1978">
        <w:rPr>
          <w:rFonts w:cs="Times New Roman" w:hint="cs"/>
          <w:sz w:val="24"/>
          <w:szCs w:val="24"/>
        </w:rPr>
        <w:t>ı</w:t>
      </w:r>
      <w:r w:rsidRPr="006E1978">
        <w:rPr>
          <w:rFonts w:cs="Times New Roman"/>
          <w:sz w:val="24"/>
          <w:szCs w:val="24"/>
        </w:rPr>
        <w:t>n</w:t>
      </w:r>
      <w:proofErr w:type="spellEnd"/>
      <w:r w:rsidRPr="006E1978">
        <w:rPr>
          <w:rFonts w:cs="Times New Roman"/>
          <w:sz w:val="24"/>
          <w:szCs w:val="24"/>
        </w:rPr>
        <w:t xml:space="preserve">, P., &amp; Spada, M. M. (2020). Metacognitions and emotion recognition in Internet Gaming Disorder among adolescents. </w:t>
      </w:r>
      <w:r w:rsidRPr="006E1978">
        <w:rPr>
          <w:rFonts w:cs="Times New Roman"/>
          <w:i/>
          <w:iCs/>
          <w:sz w:val="24"/>
          <w:szCs w:val="24"/>
        </w:rPr>
        <w:t>Addictive Behaviors Reports, 12</w:t>
      </w:r>
      <w:r w:rsidRPr="006E1978">
        <w:rPr>
          <w:rFonts w:cs="Times New Roman"/>
          <w:sz w:val="24"/>
          <w:szCs w:val="24"/>
        </w:rPr>
        <w:t xml:space="preserve">, 100296. </w:t>
      </w:r>
      <w:hyperlink r:id="rId9" w:history="1">
        <w:r w:rsidR="00156D78" w:rsidRPr="006E1978">
          <w:rPr>
            <w:sz w:val="24"/>
            <w:szCs w:val="24"/>
          </w:rPr>
          <w:t>https://doi.org/10.1016/j.abrep.2020.100296</w:t>
        </w:r>
      </w:hyperlink>
    </w:p>
    <w:p w14:paraId="42D6CD56" w14:textId="5F8910EB" w:rsidR="00156D78" w:rsidRPr="006E1978" w:rsidRDefault="00156D78" w:rsidP="00156D78">
      <w:pPr>
        <w:pStyle w:val="Bibliography"/>
        <w:jc w:val="left"/>
        <w:rPr>
          <w:rFonts w:cs="Times New Roman"/>
          <w:sz w:val="24"/>
          <w:lang w:val="en-GB"/>
        </w:rPr>
      </w:pPr>
      <w:r w:rsidRPr="006E1978">
        <w:rPr>
          <w:rFonts w:cs="Times New Roman"/>
          <w:sz w:val="24"/>
          <w:lang w:val="en-GB"/>
        </w:rPr>
        <w:t xml:space="preserve">Bartlett, M. S. (1950). Tests of significance in factor analysis. </w:t>
      </w:r>
      <w:r w:rsidRPr="006E1978">
        <w:rPr>
          <w:rFonts w:cs="Times New Roman"/>
          <w:i/>
          <w:iCs/>
          <w:sz w:val="24"/>
          <w:lang w:val="en-GB"/>
        </w:rPr>
        <w:t>British Journal of Statistical Psychology</w:t>
      </w:r>
      <w:r w:rsidRPr="006E1978">
        <w:rPr>
          <w:rFonts w:cs="Times New Roman"/>
          <w:sz w:val="24"/>
          <w:lang w:val="en-GB"/>
        </w:rPr>
        <w:t xml:space="preserve">, </w:t>
      </w:r>
      <w:r w:rsidRPr="006E1978">
        <w:rPr>
          <w:rFonts w:cs="Times New Roman"/>
          <w:i/>
          <w:iCs/>
          <w:sz w:val="24"/>
          <w:lang w:val="en-GB"/>
        </w:rPr>
        <w:t>3</w:t>
      </w:r>
      <w:r w:rsidRPr="006E1978">
        <w:rPr>
          <w:rFonts w:cs="Times New Roman"/>
          <w:sz w:val="24"/>
          <w:lang w:val="en-GB"/>
        </w:rPr>
        <w:t>(2), 77</w:t>
      </w:r>
      <w:r w:rsidR="00E6098E" w:rsidRPr="006E1978">
        <w:rPr>
          <w:rFonts w:cs="Times New Roman"/>
          <w:sz w:val="24"/>
          <w:lang w:val="en-GB"/>
        </w:rPr>
        <w:t>-</w:t>
      </w:r>
      <w:r w:rsidRPr="006E1978">
        <w:rPr>
          <w:rFonts w:cs="Times New Roman"/>
          <w:sz w:val="24"/>
          <w:lang w:val="en-GB"/>
        </w:rPr>
        <w:t>85. https://doi.org/10.1111/j.2044-8317.1950.tb00285.x</w:t>
      </w:r>
    </w:p>
    <w:p w14:paraId="1BF41CAD" w14:textId="56A4D7C5" w:rsidR="00BF2EEC" w:rsidRPr="006E1978" w:rsidRDefault="00BF2EEC" w:rsidP="00BF2EEC">
      <w:pPr>
        <w:snapToGrid w:val="0"/>
        <w:spacing w:line="480" w:lineRule="auto"/>
        <w:ind w:left="480" w:hangingChars="200" w:hanging="480"/>
        <w:jc w:val="left"/>
        <w:rPr>
          <w:rFonts w:cs="Times New Roman"/>
          <w:sz w:val="24"/>
          <w:szCs w:val="24"/>
        </w:rPr>
      </w:pPr>
      <w:bookmarkStart w:id="14" w:name="OLE_LINK22"/>
      <w:proofErr w:type="spellStart"/>
      <w:r w:rsidRPr="006E1978">
        <w:rPr>
          <w:rFonts w:cs="Times New Roman"/>
          <w:sz w:val="24"/>
          <w:szCs w:val="24"/>
        </w:rPr>
        <w:t>Bentler</w:t>
      </w:r>
      <w:proofErr w:type="spellEnd"/>
      <w:r w:rsidRPr="006E1978">
        <w:rPr>
          <w:rFonts w:cs="Times New Roman"/>
          <w:sz w:val="24"/>
          <w:szCs w:val="24"/>
        </w:rPr>
        <w:t xml:space="preserve">, P. M. (1990). Comparative fit indexes in structural models. </w:t>
      </w:r>
      <w:r w:rsidRPr="006E1978">
        <w:rPr>
          <w:rFonts w:cs="Times New Roman"/>
          <w:i/>
          <w:iCs/>
          <w:sz w:val="24"/>
          <w:szCs w:val="24"/>
        </w:rPr>
        <w:t>Psychological Bulletin, 107</w:t>
      </w:r>
      <w:r w:rsidRPr="006E1978">
        <w:rPr>
          <w:rFonts w:cs="Times New Roman"/>
          <w:sz w:val="24"/>
          <w:szCs w:val="24"/>
        </w:rPr>
        <w:t xml:space="preserve">(2), 238-246. </w:t>
      </w:r>
      <w:r w:rsidR="00E03E62" w:rsidRPr="006E1978">
        <w:rPr>
          <w:rFonts w:cs="Times New Roman"/>
          <w:sz w:val="24"/>
          <w:szCs w:val="24"/>
        </w:rPr>
        <w:t>https://doi</w:t>
      </w:r>
      <w:r w:rsidRPr="006E1978">
        <w:rPr>
          <w:rFonts w:cs="Times New Roman"/>
          <w:sz w:val="24"/>
          <w:szCs w:val="24"/>
        </w:rPr>
        <w:t>.org/10.1037/0033-2909.107.2.238</w:t>
      </w:r>
    </w:p>
    <w:bookmarkEnd w:id="14"/>
    <w:p w14:paraId="7EFCCE91" w14:textId="67F36BBE" w:rsidR="00BF2EEC" w:rsidRPr="006E1978" w:rsidRDefault="00BF2EEC" w:rsidP="00BF2EEC">
      <w:pPr>
        <w:snapToGrid w:val="0"/>
        <w:spacing w:line="480" w:lineRule="auto"/>
        <w:ind w:left="480" w:hangingChars="200" w:hanging="480"/>
        <w:jc w:val="left"/>
        <w:rPr>
          <w:rFonts w:cs="Times New Roman"/>
          <w:sz w:val="24"/>
          <w:szCs w:val="24"/>
        </w:rPr>
      </w:pPr>
      <w:proofErr w:type="spellStart"/>
      <w:r w:rsidRPr="006E1978">
        <w:rPr>
          <w:rFonts w:cs="Times New Roman"/>
          <w:sz w:val="24"/>
          <w:szCs w:val="24"/>
        </w:rPr>
        <w:t>Brislin</w:t>
      </w:r>
      <w:proofErr w:type="spellEnd"/>
      <w:r w:rsidRPr="006E1978">
        <w:rPr>
          <w:rFonts w:cs="Times New Roman"/>
          <w:sz w:val="24"/>
          <w:szCs w:val="24"/>
        </w:rPr>
        <w:t xml:space="preserve">, R. W. (1970). Back-translation for cross-cultural research. </w:t>
      </w:r>
      <w:r w:rsidRPr="006E1978">
        <w:rPr>
          <w:rFonts w:cs="Times New Roman"/>
          <w:i/>
          <w:iCs/>
          <w:sz w:val="24"/>
          <w:szCs w:val="24"/>
        </w:rPr>
        <w:t>Journal of Cross-Cultural Psychology, 1</w:t>
      </w:r>
      <w:r w:rsidRPr="006E1978">
        <w:rPr>
          <w:rFonts w:cs="Times New Roman"/>
          <w:sz w:val="24"/>
          <w:szCs w:val="24"/>
        </w:rPr>
        <w:t xml:space="preserve">(3), 185-216. </w:t>
      </w:r>
      <w:r w:rsidR="00E03E62" w:rsidRPr="006E1978">
        <w:rPr>
          <w:rFonts w:cs="Times New Roman"/>
          <w:sz w:val="24"/>
          <w:szCs w:val="24"/>
        </w:rPr>
        <w:t>https://doi</w:t>
      </w:r>
      <w:r w:rsidRPr="006E1978">
        <w:rPr>
          <w:rFonts w:cs="Times New Roman"/>
          <w:sz w:val="24"/>
          <w:szCs w:val="24"/>
        </w:rPr>
        <w:t>.org/10.1177/135910457000100301</w:t>
      </w:r>
    </w:p>
    <w:p w14:paraId="438D99F2" w14:textId="77777777"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Browne, M. W., &amp; </w:t>
      </w:r>
      <w:proofErr w:type="spellStart"/>
      <w:r w:rsidRPr="006E1978">
        <w:rPr>
          <w:rFonts w:cs="Times New Roman"/>
          <w:sz w:val="24"/>
          <w:szCs w:val="24"/>
        </w:rPr>
        <w:t>Cudeck</w:t>
      </w:r>
      <w:proofErr w:type="spellEnd"/>
      <w:r w:rsidRPr="006E1978">
        <w:rPr>
          <w:rFonts w:cs="Times New Roman"/>
          <w:sz w:val="24"/>
          <w:szCs w:val="24"/>
        </w:rPr>
        <w:t xml:space="preserve">, R. (1993). Alternative ways of assessing model fit. In K. A. </w:t>
      </w:r>
      <w:proofErr w:type="spellStart"/>
      <w:r w:rsidRPr="006E1978">
        <w:rPr>
          <w:rFonts w:cs="Times New Roman"/>
          <w:sz w:val="24"/>
          <w:szCs w:val="24"/>
        </w:rPr>
        <w:t>Bollen</w:t>
      </w:r>
      <w:proofErr w:type="spellEnd"/>
      <w:r w:rsidRPr="006E1978">
        <w:rPr>
          <w:rFonts w:cs="Times New Roman"/>
          <w:sz w:val="24"/>
          <w:szCs w:val="24"/>
        </w:rPr>
        <w:t xml:space="preserve"> and J. S. Long (Eds.), Testing structural equation models (pp. 136-162). Newbury Park, CA: Sage.</w:t>
      </w:r>
    </w:p>
    <w:p w14:paraId="2A57A9C3" w14:textId="0F0F4CB2"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Capobianco, L., Morrison, A. P., &amp; Wells, A. (2018). The effect of thought importance on stress responses: </w:t>
      </w:r>
      <w:r w:rsidR="00E6098E" w:rsidRPr="006E1978">
        <w:rPr>
          <w:rFonts w:cs="Times New Roman"/>
          <w:sz w:val="24"/>
          <w:szCs w:val="24"/>
        </w:rPr>
        <w:t>A</w:t>
      </w:r>
      <w:r w:rsidRPr="006E1978">
        <w:rPr>
          <w:rFonts w:cs="Times New Roman"/>
          <w:sz w:val="24"/>
          <w:szCs w:val="24"/>
        </w:rPr>
        <w:t xml:space="preserve"> test of the metacognitive model. </w:t>
      </w:r>
      <w:r w:rsidRPr="006E1978">
        <w:rPr>
          <w:rFonts w:cs="Times New Roman"/>
          <w:i/>
          <w:iCs/>
          <w:sz w:val="24"/>
          <w:szCs w:val="24"/>
        </w:rPr>
        <w:t>Stress, 21</w:t>
      </w:r>
      <w:r w:rsidRPr="006E1978">
        <w:rPr>
          <w:rFonts w:cs="Times New Roman"/>
          <w:sz w:val="24"/>
          <w:szCs w:val="24"/>
        </w:rPr>
        <w:t xml:space="preserve">(2), 128-135. </w:t>
      </w:r>
      <w:r w:rsidR="00E03E62" w:rsidRPr="006E1978">
        <w:rPr>
          <w:rFonts w:cs="Times New Roman"/>
          <w:sz w:val="24"/>
          <w:szCs w:val="24"/>
        </w:rPr>
        <w:t>https://doi</w:t>
      </w:r>
      <w:r w:rsidRPr="006E1978">
        <w:rPr>
          <w:rFonts w:cs="Times New Roman"/>
          <w:sz w:val="24"/>
          <w:szCs w:val="24"/>
        </w:rPr>
        <w:t>.org/10.1080/10253890.2017.1417378</w:t>
      </w:r>
    </w:p>
    <w:p w14:paraId="0018774F" w14:textId="3C287FD3" w:rsidR="00BF2EEC" w:rsidRPr="006E1978" w:rsidRDefault="00BF2EEC" w:rsidP="00BF2EEC">
      <w:pPr>
        <w:snapToGrid w:val="0"/>
        <w:spacing w:line="480" w:lineRule="auto"/>
        <w:ind w:left="480" w:hangingChars="200" w:hanging="480"/>
        <w:jc w:val="left"/>
        <w:rPr>
          <w:rFonts w:cs="Times New Roman"/>
          <w:sz w:val="24"/>
          <w:szCs w:val="24"/>
        </w:rPr>
      </w:pPr>
      <w:proofErr w:type="spellStart"/>
      <w:r w:rsidRPr="006E1978">
        <w:rPr>
          <w:rFonts w:cs="Times New Roman"/>
          <w:sz w:val="24"/>
          <w:szCs w:val="24"/>
        </w:rPr>
        <w:lastRenderedPageBreak/>
        <w:t>Casale</w:t>
      </w:r>
      <w:proofErr w:type="spellEnd"/>
      <w:r w:rsidRPr="006E1978">
        <w:rPr>
          <w:rFonts w:cs="Times New Roman"/>
          <w:sz w:val="24"/>
          <w:szCs w:val="24"/>
        </w:rPr>
        <w:t xml:space="preserve">, S., </w:t>
      </w:r>
      <w:proofErr w:type="spellStart"/>
      <w:r w:rsidRPr="006E1978">
        <w:rPr>
          <w:rFonts w:cs="Times New Roman"/>
          <w:sz w:val="24"/>
          <w:szCs w:val="24"/>
        </w:rPr>
        <w:t>Musicò</w:t>
      </w:r>
      <w:proofErr w:type="spellEnd"/>
      <w:r w:rsidRPr="006E1978">
        <w:rPr>
          <w:rFonts w:cs="Times New Roman"/>
          <w:sz w:val="24"/>
          <w:szCs w:val="24"/>
        </w:rPr>
        <w:t xml:space="preserve">, A., &amp; Spada, M. M. (2021). A systematic review of metacognitions in Internet Gaming Disorder and problematic Internet, smartphone and social networking sites use. </w:t>
      </w:r>
      <w:r w:rsidRPr="006E1978">
        <w:rPr>
          <w:rFonts w:cs="Times New Roman"/>
          <w:i/>
          <w:iCs/>
          <w:sz w:val="24"/>
          <w:szCs w:val="24"/>
        </w:rPr>
        <w:t xml:space="preserve">Clinical Psychology &amp; Psychotherapy. </w:t>
      </w:r>
      <w:r w:rsidRPr="006E1978">
        <w:rPr>
          <w:rFonts w:cs="Times New Roman"/>
          <w:sz w:val="24"/>
          <w:szCs w:val="24"/>
        </w:rPr>
        <w:t>https://doi.org/10.1002/cpp.2588</w:t>
      </w:r>
    </w:p>
    <w:p w14:paraId="45A5C088" w14:textId="77777777"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Caselli, G., Gemelli, A., Spada, M. M., &amp; Wells, A. (2016). Experimental modification of perspective on thoughts and metacognitive beliefs in alcohol use disorder. </w:t>
      </w:r>
      <w:r w:rsidRPr="006E1978">
        <w:rPr>
          <w:rFonts w:cs="Times New Roman"/>
          <w:i/>
          <w:iCs/>
          <w:sz w:val="24"/>
          <w:szCs w:val="24"/>
        </w:rPr>
        <w:t>Psychiatry Research, 244</w:t>
      </w:r>
      <w:r w:rsidRPr="006E1978">
        <w:rPr>
          <w:rFonts w:cs="Times New Roman"/>
          <w:sz w:val="24"/>
          <w:szCs w:val="24"/>
        </w:rPr>
        <w:t>, 57-61. https://doi.org/10.1016/j.psychres.2016.07.029</w:t>
      </w:r>
    </w:p>
    <w:p w14:paraId="02D7E90B" w14:textId="29E31E91"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Caselli, G., Marino, C., &amp; Spada, M. M. (2021). Modelling Online Gaming Metacognitions: The role of time spent gaming in predicting problematic Internet use. </w:t>
      </w:r>
      <w:r w:rsidRPr="006E1978">
        <w:rPr>
          <w:rFonts w:cs="Times New Roman"/>
          <w:i/>
          <w:iCs/>
          <w:sz w:val="24"/>
          <w:szCs w:val="24"/>
        </w:rPr>
        <w:t>Journal of Rational-Emotive &amp; Cognitive-Behavior Therapy, 39</w:t>
      </w:r>
      <w:r w:rsidRPr="006E1978">
        <w:rPr>
          <w:rFonts w:cs="Times New Roman"/>
          <w:sz w:val="24"/>
          <w:szCs w:val="24"/>
        </w:rPr>
        <w:t>(2), 172-182. https://doi.org/10.1007/s10942-020-00365-0</w:t>
      </w:r>
    </w:p>
    <w:p w14:paraId="3013FE9F" w14:textId="6B50F9B6"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Caselli, G., Martino, F., Spada, M. M., &amp; Wells, A. (2018). Metacognitive therapy for alcohol use disorder: A systematic case series. </w:t>
      </w:r>
      <w:r w:rsidRPr="006E1978">
        <w:rPr>
          <w:rFonts w:cs="Times New Roman"/>
          <w:i/>
          <w:iCs/>
          <w:sz w:val="24"/>
          <w:szCs w:val="24"/>
        </w:rPr>
        <w:t>Frontiers in Psychology, 9</w:t>
      </w:r>
      <w:r w:rsidRPr="006E1978">
        <w:rPr>
          <w:rFonts w:cs="Times New Roman"/>
          <w:sz w:val="24"/>
          <w:szCs w:val="24"/>
        </w:rPr>
        <w:t>, 2619.</w:t>
      </w:r>
      <w:r w:rsidR="00E03E62" w:rsidRPr="006E1978">
        <w:rPr>
          <w:rFonts w:cs="Times New Roman"/>
          <w:sz w:val="24"/>
          <w:szCs w:val="24"/>
        </w:rPr>
        <w:t xml:space="preserve"> </w:t>
      </w:r>
      <w:r w:rsidR="00697B84" w:rsidRPr="006E1978">
        <w:rPr>
          <w:rFonts w:cs="Times New Roman"/>
          <w:sz w:val="24"/>
          <w:szCs w:val="24"/>
        </w:rPr>
        <w:t>https://doi.org/10.3389/fpsyg.2018.02619</w:t>
      </w:r>
    </w:p>
    <w:p w14:paraId="459522BD" w14:textId="4E3B9B51" w:rsidR="00156D78" w:rsidRPr="006E1978" w:rsidRDefault="00156D78" w:rsidP="00156D78">
      <w:pPr>
        <w:pStyle w:val="Bibliography"/>
        <w:jc w:val="left"/>
        <w:rPr>
          <w:rFonts w:cs="Times New Roman"/>
          <w:sz w:val="24"/>
          <w:lang w:val="en-GB"/>
        </w:rPr>
      </w:pPr>
      <w:r w:rsidRPr="006E1978">
        <w:rPr>
          <w:rFonts w:cs="Times New Roman"/>
          <w:sz w:val="24"/>
          <w:lang w:val="en-GB"/>
        </w:rPr>
        <w:t xml:space="preserve">Chen, F. F. (2007). Sensitivity of Goodness of Fit Indexes to Lack of Measurement Invariance. </w:t>
      </w:r>
      <w:r w:rsidRPr="006E1978">
        <w:rPr>
          <w:rFonts w:cs="Times New Roman"/>
          <w:i/>
          <w:iCs/>
          <w:sz w:val="24"/>
          <w:lang w:val="en-GB"/>
        </w:rPr>
        <w:t xml:space="preserve">Structural Equation </w:t>
      </w:r>
      <w:proofErr w:type="spellStart"/>
      <w:r w:rsidRPr="006E1978">
        <w:rPr>
          <w:rFonts w:cs="Times New Roman"/>
          <w:i/>
          <w:iCs/>
          <w:sz w:val="24"/>
          <w:lang w:val="en-GB"/>
        </w:rPr>
        <w:t>Modeling</w:t>
      </w:r>
      <w:proofErr w:type="spellEnd"/>
      <w:r w:rsidRPr="006E1978">
        <w:rPr>
          <w:rFonts w:cs="Times New Roman"/>
          <w:i/>
          <w:iCs/>
          <w:sz w:val="24"/>
          <w:lang w:val="en-GB"/>
        </w:rPr>
        <w:t>: A Multidisciplinary Journal</w:t>
      </w:r>
      <w:r w:rsidRPr="006E1978">
        <w:rPr>
          <w:rFonts w:cs="Times New Roman"/>
          <w:sz w:val="24"/>
          <w:lang w:val="en-GB"/>
        </w:rPr>
        <w:t xml:space="preserve">, </w:t>
      </w:r>
      <w:r w:rsidRPr="006E1978">
        <w:rPr>
          <w:rFonts w:cs="Times New Roman"/>
          <w:i/>
          <w:iCs/>
          <w:sz w:val="24"/>
          <w:lang w:val="en-GB"/>
        </w:rPr>
        <w:t>14</w:t>
      </w:r>
      <w:r w:rsidRPr="006E1978">
        <w:rPr>
          <w:rFonts w:cs="Times New Roman"/>
          <w:sz w:val="24"/>
          <w:lang w:val="en-GB"/>
        </w:rPr>
        <w:t>(3), 464</w:t>
      </w:r>
      <w:r w:rsidR="00E6098E" w:rsidRPr="006E1978">
        <w:rPr>
          <w:rFonts w:cs="Times New Roman"/>
          <w:sz w:val="24"/>
          <w:lang w:val="en-GB"/>
        </w:rPr>
        <w:t>-</w:t>
      </w:r>
      <w:r w:rsidRPr="006E1978">
        <w:rPr>
          <w:rFonts w:cs="Times New Roman"/>
          <w:sz w:val="24"/>
          <w:lang w:val="en-GB"/>
        </w:rPr>
        <w:t>504. https://doi.org/10.1080/10705510701301834</w:t>
      </w:r>
    </w:p>
    <w:p w14:paraId="1805355E" w14:textId="254B3C08" w:rsidR="00697B84" w:rsidRPr="006E1978" w:rsidRDefault="00697B84" w:rsidP="00697B84">
      <w:pPr>
        <w:snapToGrid w:val="0"/>
        <w:spacing w:line="480" w:lineRule="auto"/>
        <w:ind w:left="480" w:hangingChars="200" w:hanging="480"/>
        <w:jc w:val="left"/>
        <w:rPr>
          <w:rFonts w:cs="Times New Roman"/>
          <w:sz w:val="24"/>
          <w:szCs w:val="24"/>
        </w:rPr>
      </w:pPr>
      <w:r w:rsidRPr="006E1978">
        <w:rPr>
          <w:rFonts w:cs="Times New Roman"/>
          <w:sz w:val="24"/>
          <w:szCs w:val="24"/>
        </w:rPr>
        <w:t xml:space="preserve">Chen, J. H., </w:t>
      </w:r>
      <w:proofErr w:type="spellStart"/>
      <w:r w:rsidRPr="006E1978">
        <w:rPr>
          <w:rFonts w:cs="Times New Roman"/>
          <w:sz w:val="24"/>
          <w:szCs w:val="24"/>
        </w:rPr>
        <w:t>Su</w:t>
      </w:r>
      <w:proofErr w:type="spellEnd"/>
      <w:r w:rsidRPr="006E1978">
        <w:rPr>
          <w:rFonts w:cs="Times New Roman"/>
          <w:sz w:val="24"/>
          <w:szCs w:val="24"/>
        </w:rPr>
        <w:t>, X., Le Dang, A., &amp; Wu, M. S. (2021</w:t>
      </w:r>
      <w:r w:rsidR="0099478A" w:rsidRPr="006E1978">
        <w:rPr>
          <w:rFonts w:cs="Times New Roman"/>
          <w:sz w:val="24"/>
          <w:szCs w:val="24"/>
        </w:rPr>
        <w:t>b</w:t>
      </w:r>
      <w:r w:rsidRPr="006E1978">
        <w:rPr>
          <w:rFonts w:cs="Times New Roman"/>
          <w:sz w:val="24"/>
          <w:szCs w:val="24"/>
        </w:rPr>
        <w:t xml:space="preserve">). Evaluation of the Psychometric Properties of the Chinese Internet Gaming Disorder Checklist (C-IGDC) Among Chinese Adolescents. </w:t>
      </w:r>
      <w:r w:rsidRPr="006E1978">
        <w:rPr>
          <w:rFonts w:cs="Times New Roman"/>
          <w:i/>
          <w:iCs/>
          <w:sz w:val="24"/>
          <w:szCs w:val="24"/>
        </w:rPr>
        <w:t>Frontiers in psychiatry, 12:</w:t>
      </w:r>
      <w:r w:rsidRPr="006E1978">
        <w:rPr>
          <w:rFonts w:cs="Times New Roman"/>
          <w:sz w:val="24"/>
          <w:szCs w:val="24"/>
        </w:rPr>
        <w:t>721397 https://doi.org/10.3389/fpsyt.2021.721397</w:t>
      </w:r>
    </w:p>
    <w:p w14:paraId="050C69A9" w14:textId="77777777" w:rsidR="006E1978" w:rsidRDefault="006E1978" w:rsidP="00BF2EEC">
      <w:pPr>
        <w:snapToGrid w:val="0"/>
        <w:spacing w:line="480" w:lineRule="auto"/>
        <w:ind w:left="480" w:hangingChars="200" w:hanging="480"/>
        <w:jc w:val="left"/>
        <w:rPr>
          <w:rFonts w:cs="Times New Roman"/>
          <w:sz w:val="24"/>
          <w:szCs w:val="24"/>
        </w:rPr>
      </w:pPr>
    </w:p>
    <w:p w14:paraId="18239793" w14:textId="77777777" w:rsidR="006E1978" w:rsidRDefault="006E1978" w:rsidP="00BF2EEC">
      <w:pPr>
        <w:snapToGrid w:val="0"/>
        <w:spacing w:line="480" w:lineRule="auto"/>
        <w:ind w:left="480" w:hangingChars="200" w:hanging="480"/>
        <w:jc w:val="left"/>
        <w:rPr>
          <w:rFonts w:cs="Times New Roman"/>
          <w:sz w:val="24"/>
          <w:szCs w:val="24"/>
        </w:rPr>
      </w:pPr>
    </w:p>
    <w:p w14:paraId="60C07467" w14:textId="77777777" w:rsidR="006E1978" w:rsidRDefault="006E1978" w:rsidP="00BF2EEC">
      <w:pPr>
        <w:snapToGrid w:val="0"/>
        <w:spacing w:line="480" w:lineRule="auto"/>
        <w:ind w:left="480" w:hangingChars="200" w:hanging="480"/>
        <w:jc w:val="left"/>
        <w:rPr>
          <w:rFonts w:cs="Times New Roman"/>
          <w:sz w:val="24"/>
          <w:szCs w:val="24"/>
        </w:rPr>
      </w:pPr>
    </w:p>
    <w:p w14:paraId="0A1BF960" w14:textId="51D4835D"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lastRenderedPageBreak/>
        <w:t>Chen, J. H., Tong, K. K., Su, X., Yu, E., &amp; Wu, A. (2021</w:t>
      </w:r>
      <w:r w:rsidR="0099478A" w:rsidRPr="006E1978">
        <w:rPr>
          <w:rFonts w:cs="Times New Roman"/>
          <w:sz w:val="24"/>
          <w:szCs w:val="24"/>
        </w:rPr>
        <w:t>a</w:t>
      </w:r>
      <w:r w:rsidRPr="006E1978">
        <w:rPr>
          <w:rFonts w:cs="Times New Roman"/>
          <w:sz w:val="24"/>
          <w:szCs w:val="24"/>
        </w:rPr>
        <w:t>). Measuring COVID-19 related anxiety and obsession: Validation of the Coronavirus Anxiety Scale and the Obsession with COVID-19 Scale in a probability Chinese sample.</w:t>
      </w:r>
      <w:r w:rsidRPr="006E1978">
        <w:rPr>
          <w:rFonts w:cs="Times New Roman"/>
          <w:i/>
          <w:iCs/>
          <w:sz w:val="24"/>
          <w:szCs w:val="24"/>
        </w:rPr>
        <w:t xml:space="preserve"> Journal of Affective Disorders, 295</w:t>
      </w:r>
      <w:r w:rsidRPr="006E1978">
        <w:rPr>
          <w:rFonts w:cs="Times New Roman"/>
          <w:sz w:val="24"/>
          <w:szCs w:val="24"/>
        </w:rPr>
        <w:t xml:space="preserve">, 1131-1137. </w:t>
      </w:r>
      <w:r w:rsidR="00E03E62" w:rsidRPr="006E1978">
        <w:rPr>
          <w:rFonts w:cs="Times New Roman"/>
          <w:sz w:val="24"/>
          <w:szCs w:val="24"/>
        </w:rPr>
        <w:t>https://doi</w:t>
      </w:r>
      <w:r w:rsidRPr="006E1978">
        <w:rPr>
          <w:rFonts w:cs="Times New Roman"/>
          <w:sz w:val="24"/>
          <w:szCs w:val="24"/>
        </w:rPr>
        <w:t>.org/10.1016/j.jad.2021.08.104</w:t>
      </w:r>
    </w:p>
    <w:p w14:paraId="4817BC15" w14:textId="62C13B4E" w:rsidR="00E03E62" w:rsidRPr="006E1978" w:rsidRDefault="00BF2EEC" w:rsidP="00CE7883">
      <w:pPr>
        <w:snapToGrid w:val="0"/>
        <w:spacing w:line="480" w:lineRule="auto"/>
        <w:ind w:left="480" w:hangingChars="200" w:hanging="480"/>
        <w:jc w:val="left"/>
        <w:rPr>
          <w:rFonts w:cs="Times New Roman"/>
          <w:sz w:val="24"/>
          <w:szCs w:val="24"/>
        </w:rPr>
      </w:pPr>
      <w:r w:rsidRPr="006E1978">
        <w:rPr>
          <w:rFonts w:cs="Times New Roman"/>
          <w:sz w:val="24"/>
          <w:szCs w:val="24"/>
        </w:rPr>
        <w:t xml:space="preserve">Chen, J. H., Zhang, M. X., Ko, C. H., Tong, K. K., Yu, S. M., Sou, E. K. L., &amp; Wu, A. (2020). The development of a screening tool for Chinese disordered gamers: The Chinese Internet Gaming Disorder Checklist (C-IGDC). </w:t>
      </w:r>
      <w:r w:rsidRPr="006E1978">
        <w:rPr>
          <w:rFonts w:cs="Times New Roman"/>
          <w:i/>
          <w:iCs/>
          <w:sz w:val="24"/>
          <w:szCs w:val="24"/>
        </w:rPr>
        <w:t>International Journal of Environmental Research and Public Health, 17</w:t>
      </w:r>
      <w:r w:rsidRPr="006E1978">
        <w:rPr>
          <w:rFonts w:cs="Times New Roman"/>
          <w:sz w:val="24"/>
          <w:szCs w:val="24"/>
        </w:rPr>
        <w:t xml:space="preserve">(10), 3412. </w:t>
      </w:r>
      <w:r w:rsidR="00E03E62" w:rsidRPr="006E1978">
        <w:rPr>
          <w:rFonts w:cs="Times New Roman"/>
          <w:sz w:val="24"/>
          <w:szCs w:val="24"/>
        </w:rPr>
        <w:t>https://doi</w:t>
      </w:r>
      <w:r w:rsidRPr="006E1978">
        <w:rPr>
          <w:rFonts w:cs="Times New Roman"/>
          <w:sz w:val="24"/>
          <w:szCs w:val="24"/>
        </w:rPr>
        <w:t>.org/10.3390/ijerph17103412</w:t>
      </w:r>
    </w:p>
    <w:p w14:paraId="5925D4AA" w14:textId="4BB70A6C"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Cohen, J. (1988). </w:t>
      </w:r>
      <w:r w:rsidRPr="006E1978">
        <w:rPr>
          <w:rFonts w:cs="Times New Roman"/>
          <w:i/>
          <w:iCs/>
          <w:sz w:val="24"/>
          <w:szCs w:val="24"/>
        </w:rPr>
        <w:t>Statistical power analysis for the behavioral sciences</w:t>
      </w:r>
      <w:r w:rsidRPr="006E1978">
        <w:rPr>
          <w:rFonts w:cs="Times New Roman"/>
          <w:sz w:val="24"/>
          <w:szCs w:val="24"/>
        </w:rPr>
        <w:t xml:space="preserve"> (2nd ed). Hillsdale, NJ: L. Erlbaum Associates.</w:t>
      </w:r>
    </w:p>
    <w:p w14:paraId="1B5C69BB" w14:textId="203F8F8D"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Cortina, J. M. (1993). What is coefficient alpha? An examination of theory and applications. </w:t>
      </w:r>
      <w:r w:rsidRPr="006E1978">
        <w:rPr>
          <w:rFonts w:cs="Times New Roman"/>
          <w:i/>
          <w:iCs/>
          <w:sz w:val="24"/>
          <w:szCs w:val="24"/>
        </w:rPr>
        <w:t>Journal of Applied Psychology, 78</w:t>
      </w:r>
      <w:r w:rsidRPr="006E1978">
        <w:rPr>
          <w:rFonts w:cs="Times New Roman"/>
          <w:sz w:val="24"/>
          <w:szCs w:val="24"/>
        </w:rPr>
        <w:t>(1), 98</w:t>
      </w:r>
      <w:r w:rsidR="0099478A" w:rsidRPr="006E1978">
        <w:rPr>
          <w:rFonts w:cs="Times New Roman"/>
          <w:sz w:val="24"/>
          <w:szCs w:val="24"/>
        </w:rPr>
        <w:t>-</w:t>
      </w:r>
      <w:r w:rsidRPr="006E1978">
        <w:rPr>
          <w:rFonts w:cs="Times New Roman"/>
          <w:sz w:val="24"/>
          <w:szCs w:val="24"/>
        </w:rPr>
        <w:t>104. https://doi.org/10.1037/0021-9010.78.1.98</w:t>
      </w:r>
    </w:p>
    <w:p w14:paraId="4350FAF5" w14:textId="77777777" w:rsidR="00BF2EEC" w:rsidRPr="006E1978" w:rsidRDefault="00BF2EEC" w:rsidP="00BF2EEC">
      <w:pPr>
        <w:snapToGrid w:val="0"/>
        <w:spacing w:line="480" w:lineRule="auto"/>
        <w:ind w:left="480" w:hangingChars="200" w:hanging="480"/>
        <w:jc w:val="left"/>
        <w:rPr>
          <w:rFonts w:cs="Times New Roman"/>
          <w:sz w:val="24"/>
          <w:szCs w:val="24"/>
        </w:rPr>
      </w:pPr>
      <w:bookmarkStart w:id="15" w:name="_Hlk82528101"/>
      <w:r w:rsidRPr="006E1978">
        <w:rPr>
          <w:rFonts w:cs="Times New Roman"/>
          <w:sz w:val="24"/>
          <w:szCs w:val="24"/>
        </w:rPr>
        <w:t xml:space="preserve">Gandolfi, E., </w:t>
      </w:r>
      <w:proofErr w:type="spellStart"/>
      <w:r w:rsidRPr="006E1978">
        <w:rPr>
          <w:rFonts w:cs="Times New Roman"/>
          <w:sz w:val="24"/>
          <w:szCs w:val="24"/>
        </w:rPr>
        <w:t>Soyturk</w:t>
      </w:r>
      <w:proofErr w:type="spellEnd"/>
      <w:r w:rsidRPr="006E1978">
        <w:rPr>
          <w:rFonts w:cs="Times New Roman"/>
          <w:sz w:val="24"/>
          <w:szCs w:val="24"/>
        </w:rPr>
        <w:t xml:space="preserve">, I., &amp; </w:t>
      </w:r>
      <w:proofErr w:type="spellStart"/>
      <w:r w:rsidRPr="006E1978">
        <w:rPr>
          <w:rFonts w:cs="Times New Roman"/>
          <w:sz w:val="24"/>
          <w:szCs w:val="24"/>
        </w:rPr>
        <w:t>Ferdig</w:t>
      </w:r>
      <w:proofErr w:type="spellEnd"/>
      <w:r w:rsidRPr="006E1978">
        <w:rPr>
          <w:rFonts w:cs="Times New Roman"/>
          <w:sz w:val="24"/>
          <w:szCs w:val="24"/>
        </w:rPr>
        <w:t>, R. E. (2021). Evaluating U.S. gamers’ metacognitions about digital entertainment: Validation of Metacognition about Online Gaming Scale in the U.S. context.</w:t>
      </w:r>
      <w:r w:rsidRPr="006E1978">
        <w:rPr>
          <w:rFonts w:cs="Times New Roman"/>
          <w:i/>
          <w:iCs/>
          <w:sz w:val="24"/>
          <w:szCs w:val="24"/>
        </w:rPr>
        <w:t xml:space="preserve"> Journal of Affective Disorders, 295</w:t>
      </w:r>
      <w:r w:rsidRPr="006E1978">
        <w:rPr>
          <w:rFonts w:cs="Times New Roman"/>
          <w:sz w:val="24"/>
          <w:szCs w:val="24"/>
        </w:rPr>
        <w:t>, 954-959. https://doi.org/10.1016/j.jad.2021.08.133</w:t>
      </w:r>
    </w:p>
    <w:p w14:paraId="14B8628C" w14:textId="77777777"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Hair, J. F., Black, W. C., </w:t>
      </w:r>
      <w:proofErr w:type="spellStart"/>
      <w:r w:rsidRPr="006E1978">
        <w:rPr>
          <w:rFonts w:cs="Times New Roman"/>
          <w:sz w:val="24"/>
          <w:szCs w:val="24"/>
        </w:rPr>
        <w:t>Babin</w:t>
      </w:r>
      <w:proofErr w:type="spellEnd"/>
      <w:r w:rsidRPr="006E1978">
        <w:rPr>
          <w:rFonts w:cs="Times New Roman"/>
          <w:sz w:val="24"/>
          <w:szCs w:val="24"/>
        </w:rPr>
        <w:t>, B. J., &amp; Anderson, R. E. (2014).</w:t>
      </w:r>
      <w:r w:rsidRPr="006E1978">
        <w:rPr>
          <w:rFonts w:cs="Times New Roman"/>
          <w:i/>
          <w:iCs/>
          <w:sz w:val="24"/>
          <w:szCs w:val="24"/>
        </w:rPr>
        <w:t xml:space="preserve"> Multivariate data analysis (7th ed.).</w:t>
      </w:r>
      <w:r w:rsidRPr="006E1978">
        <w:rPr>
          <w:rFonts w:cs="Times New Roman"/>
          <w:sz w:val="24"/>
          <w:szCs w:val="24"/>
        </w:rPr>
        <w:t xml:space="preserve"> Pearson.</w:t>
      </w:r>
    </w:p>
    <w:p w14:paraId="55AB8B0E" w14:textId="3158C774" w:rsidR="00156D78" w:rsidRPr="006E1978" w:rsidRDefault="00BF2EEC" w:rsidP="00156D78">
      <w:pPr>
        <w:pStyle w:val="Bibliography"/>
        <w:jc w:val="left"/>
        <w:rPr>
          <w:lang w:val="en-GB"/>
        </w:rPr>
      </w:pPr>
      <w:proofErr w:type="spellStart"/>
      <w:r w:rsidRPr="006E1978">
        <w:rPr>
          <w:rFonts w:cs="Times New Roman"/>
          <w:sz w:val="24"/>
          <w:szCs w:val="24"/>
        </w:rPr>
        <w:t>Hamonniere</w:t>
      </w:r>
      <w:proofErr w:type="spellEnd"/>
      <w:r w:rsidRPr="006E1978">
        <w:rPr>
          <w:rFonts w:cs="Times New Roman"/>
          <w:sz w:val="24"/>
          <w:szCs w:val="24"/>
        </w:rPr>
        <w:t xml:space="preserve">, T., &amp; </w:t>
      </w:r>
      <w:proofErr w:type="spellStart"/>
      <w:r w:rsidRPr="006E1978">
        <w:rPr>
          <w:rFonts w:cs="Times New Roman"/>
          <w:sz w:val="24"/>
          <w:szCs w:val="24"/>
        </w:rPr>
        <w:t>Varescon</w:t>
      </w:r>
      <w:proofErr w:type="spellEnd"/>
      <w:r w:rsidRPr="006E1978">
        <w:rPr>
          <w:rFonts w:cs="Times New Roman"/>
          <w:sz w:val="24"/>
          <w:szCs w:val="24"/>
        </w:rPr>
        <w:t>,</w:t>
      </w:r>
      <w:bookmarkEnd w:id="15"/>
      <w:r w:rsidRPr="006E1978">
        <w:rPr>
          <w:rFonts w:cs="Times New Roman"/>
          <w:sz w:val="24"/>
          <w:szCs w:val="24"/>
        </w:rPr>
        <w:t xml:space="preserve"> I. (2018). Metacognitive beliefs in addictive </w:t>
      </w:r>
      <w:proofErr w:type="spellStart"/>
      <w:r w:rsidRPr="006E1978">
        <w:rPr>
          <w:rFonts w:cs="Times New Roman"/>
          <w:sz w:val="24"/>
          <w:szCs w:val="24"/>
        </w:rPr>
        <w:t>behaviours</w:t>
      </w:r>
      <w:proofErr w:type="spellEnd"/>
      <w:r w:rsidRPr="006E1978">
        <w:rPr>
          <w:rFonts w:cs="Times New Roman"/>
          <w:sz w:val="24"/>
          <w:szCs w:val="24"/>
        </w:rPr>
        <w:t xml:space="preserve">: A systematic review. </w:t>
      </w:r>
      <w:r w:rsidRPr="006E1978">
        <w:rPr>
          <w:rFonts w:cs="Times New Roman"/>
          <w:i/>
          <w:iCs/>
          <w:sz w:val="24"/>
          <w:szCs w:val="24"/>
        </w:rPr>
        <w:t>Addictive Behaviors, 85</w:t>
      </w:r>
      <w:r w:rsidRPr="006E1978">
        <w:rPr>
          <w:rFonts w:cs="Times New Roman"/>
          <w:sz w:val="24"/>
          <w:szCs w:val="24"/>
        </w:rPr>
        <w:t xml:space="preserve">, 51-63. </w:t>
      </w:r>
      <w:r w:rsidR="00697B84" w:rsidRPr="006E1978">
        <w:rPr>
          <w:rFonts w:cs="Times New Roman"/>
          <w:sz w:val="24"/>
          <w:szCs w:val="24"/>
        </w:rPr>
        <w:t>https://doi.org/10.1016/j.addbeh.2018.05.018</w:t>
      </w:r>
    </w:p>
    <w:p w14:paraId="60531546" w14:textId="77777777" w:rsidR="006E1978" w:rsidRDefault="006E1978" w:rsidP="00156D78">
      <w:pPr>
        <w:pStyle w:val="Bibliography"/>
        <w:jc w:val="left"/>
        <w:rPr>
          <w:rFonts w:cs="Times New Roman"/>
          <w:sz w:val="24"/>
          <w:lang w:val="en-GB"/>
        </w:rPr>
      </w:pPr>
    </w:p>
    <w:p w14:paraId="79A0FA99" w14:textId="48578340" w:rsidR="00156D78" w:rsidRPr="006E1978" w:rsidRDefault="00156D78" w:rsidP="00156D78">
      <w:pPr>
        <w:pStyle w:val="Bibliography"/>
        <w:jc w:val="left"/>
        <w:rPr>
          <w:rFonts w:cs="Times New Roman"/>
          <w:sz w:val="24"/>
          <w:lang w:val="en-GB"/>
        </w:rPr>
      </w:pPr>
      <w:r w:rsidRPr="006E1978">
        <w:rPr>
          <w:rFonts w:cs="Times New Roman"/>
          <w:sz w:val="24"/>
          <w:lang w:val="en-GB"/>
        </w:rPr>
        <w:lastRenderedPageBreak/>
        <w:t>IBM Corp. (201</w:t>
      </w:r>
      <w:r w:rsidR="00C72082" w:rsidRPr="006E1978">
        <w:rPr>
          <w:rFonts w:cs="Times New Roman"/>
          <w:sz w:val="24"/>
          <w:lang w:val="en-GB"/>
        </w:rPr>
        <w:t>9</w:t>
      </w:r>
      <w:r w:rsidRPr="006E1978">
        <w:rPr>
          <w:rFonts w:cs="Times New Roman"/>
          <w:sz w:val="24"/>
          <w:lang w:val="en-GB"/>
        </w:rPr>
        <w:t xml:space="preserve">). </w:t>
      </w:r>
      <w:r w:rsidRPr="006E1978">
        <w:rPr>
          <w:rFonts w:cs="Times New Roman"/>
          <w:i/>
          <w:iCs/>
          <w:sz w:val="24"/>
          <w:lang w:val="en-GB"/>
        </w:rPr>
        <w:t>IBM SPSS Statistics, Version 2</w:t>
      </w:r>
      <w:r w:rsidR="00902EC2" w:rsidRPr="006E1978">
        <w:rPr>
          <w:rFonts w:cs="Times New Roman"/>
          <w:i/>
          <w:iCs/>
          <w:sz w:val="24"/>
          <w:lang w:val="en-GB"/>
        </w:rPr>
        <w:t>6</w:t>
      </w:r>
      <w:r w:rsidRPr="006E1978">
        <w:rPr>
          <w:rFonts w:cs="Times New Roman"/>
          <w:i/>
          <w:iCs/>
          <w:sz w:val="24"/>
          <w:lang w:val="en-GB"/>
        </w:rPr>
        <w:t>.0</w:t>
      </w:r>
      <w:r w:rsidRPr="006E1978">
        <w:rPr>
          <w:rFonts w:cs="Times New Roman"/>
          <w:sz w:val="24"/>
          <w:lang w:val="en-GB"/>
        </w:rPr>
        <w:t>. IBM Corp.</w:t>
      </w:r>
    </w:p>
    <w:p w14:paraId="1ED713B2" w14:textId="439F37B8" w:rsidR="00156D78" w:rsidRPr="006E1978" w:rsidRDefault="00156D78" w:rsidP="00156D78">
      <w:pPr>
        <w:pStyle w:val="Bibliography"/>
        <w:jc w:val="left"/>
        <w:rPr>
          <w:rFonts w:cs="Times New Roman"/>
          <w:sz w:val="24"/>
          <w:lang w:val="en-GB"/>
        </w:rPr>
      </w:pPr>
      <w:r w:rsidRPr="006E1978">
        <w:rPr>
          <w:rFonts w:cs="Times New Roman"/>
          <w:sz w:val="24"/>
          <w:lang w:val="en-GB"/>
        </w:rPr>
        <w:t xml:space="preserve">Jackson, D. L. (2003). Revisiting Sample Size and Number of Parameter Estimates: Some Support for the </w:t>
      </w:r>
      <w:proofErr w:type="gramStart"/>
      <w:r w:rsidRPr="006E1978">
        <w:rPr>
          <w:rFonts w:cs="Times New Roman"/>
          <w:sz w:val="24"/>
          <w:lang w:val="en-GB"/>
        </w:rPr>
        <w:t>N:q</w:t>
      </w:r>
      <w:proofErr w:type="gramEnd"/>
      <w:r w:rsidRPr="006E1978">
        <w:rPr>
          <w:rFonts w:cs="Times New Roman"/>
          <w:sz w:val="24"/>
          <w:lang w:val="en-GB"/>
        </w:rPr>
        <w:t xml:space="preserve"> Hypothesis. </w:t>
      </w:r>
      <w:r w:rsidRPr="006E1978">
        <w:rPr>
          <w:rFonts w:cs="Times New Roman"/>
          <w:i/>
          <w:iCs/>
          <w:sz w:val="24"/>
          <w:lang w:val="en-GB"/>
        </w:rPr>
        <w:t xml:space="preserve">Structural Equation </w:t>
      </w:r>
      <w:proofErr w:type="spellStart"/>
      <w:r w:rsidRPr="006E1978">
        <w:rPr>
          <w:rFonts w:cs="Times New Roman"/>
          <w:i/>
          <w:iCs/>
          <w:sz w:val="24"/>
          <w:lang w:val="en-GB"/>
        </w:rPr>
        <w:t>Modeling</w:t>
      </w:r>
      <w:proofErr w:type="spellEnd"/>
      <w:r w:rsidRPr="006E1978">
        <w:rPr>
          <w:rFonts w:cs="Times New Roman"/>
          <w:i/>
          <w:iCs/>
          <w:sz w:val="24"/>
          <w:lang w:val="en-GB"/>
        </w:rPr>
        <w:t>: A Multidisciplinary Journal</w:t>
      </w:r>
      <w:r w:rsidRPr="006E1978">
        <w:rPr>
          <w:rFonts w:cs="Times New Roman"/>
          <w:sz w:val="24"/>
          <w:lang w:val="en-GB"/>
        </w:rPr>
        <w:t xml:space="preserve">, </w:t>
      </w:r>
      <w:r w:rsidRPr="006E1978">
        <w:rPr>
          <w:rFonts w:cs="Times New Roman"/>
          <w:i/>
          <w:iCs/>
          <w:sz w:val="24"/>
          <w:lang w:val="en-GB"/>
        </w:rPr>
        <w:t>10</w:t>
      </w:r>
      <w:r w:rsidRPr="006E1978">
        <w:rPr>
          <w:rFonts w:cs="Times New Roman"/>
          <w:sz w:val="24"/>
          <w:lang w:val="en-GB"/>
        </w:rPr>
        <w:t>(1), 128</w:t>
      </w:r>
      <w:r w:rsidR="0099478A" w:rsidRPr="006E1978">
        <w:rPr>
          <w:rFonts w:cs="Times New Roman"/>
          <w:sz w:val="24"/>
          <w:lang w:val="en-GB"/>
        </w:rPr>
        <w:t>-</w:t>
      </w:r>
      <w:r w:rsidRPr="006E1978">
        <w:rPr>
          <w:rFonts w:cs="Times New Roman"/>
          <w:sz w:val="24"/>
          <w:lang w:val="en-GB"/>
        </w:rPr>
        <w:t>141. https://doi.org/10.1207/S15328007SEM1001_6</w:t>
      </w:r>
    </w:p>
    <w:p w14:paraId="3C1B5950" w14:textId="12A8A3EB" w:rsidR="00156D78" w:rsidRPr="006E1978" w:rsidRDefault="00156D78" w:rsidP="00156D78">
      <w:pPr>
        <w:pStyle w:val="Bibliography"/>
        <w:jc w:val="left"/>
        <w:rPr>
          <w:rFonts w:cs="Times New Roman"/>
          <w:sz w:val="24"/>
          <w:lang w:val="en-GB"/>
        </w:rPr>
      </w:pPr>
      <w:r w:rsidRPr="006E1978">
        <w:rPr>
          <w:rFonts w:cs="Times New Roman"/>
          <w:sz w:val="24"/>
          <w:lang w:val="en-GB"/>
        </w:rPr>
        <w:t xml:space="preserve">Kaiser, H. F., &amp; Rice, J. (1974). Little Jiffy, Mark Iv. </w:t>
      </w:r>
      <w:r w:rsidRPr="006E1978">
        <w:rPr>
          <w:rFonts w:cs="Times New Roman"/>
          <w:i/>
          <w:iCs/>
          <w:sz w:val="24"/>
          <w:lang w:val="en-GB"/>
        </w:rPr>
        <w:t>Educational and Psychological Measurement</w:t>
      </w:r>
      <w:r w:rsidRPr="006E1978">
        <w:rPr>
          <w:rFonts w:cs="Times New Roman"/>
          <w:sz w:val="24"/>
          <w:lang w:val="en-GB"/>
        </w:rPr>
        <w:t xml:space="preserve">, </w:t>
      </w:r>
      <w:r w:rsidRPr="006E1978">
        <w:rPr>
          <w:rFonts w:cs="Times New Roman"/>
          <w:i/>
          <w:iCs/>
          <w:sz w:val="24"/>
          <w:lang w:val="en-GB"/>
        </w:rPr>
        <w:t>34</w:t>
      </w:r>
      <w:r w:rsidRPr="006E1978">
        <w:rPr>
          <w:rFonts w:cs="Times New Roman"/>
          <w:sz w:val="24"/>
          <w:lang w:val="en-GB"/>
        </w:rPr>
        <w:t>(1), 111</w:t>
      </w:r>
      <w:r w:rsidR="0099478A" w:rsidRPr="006E1978">
        <w:rPr>
          <w:rFonts w:cs="Times New Roman"/>
          <w:sz w:val="24"/>
          <w:lang w:val="en-GB"/>
        </w:rPr>
        <w:t>-</w:t>
      </w:r>
      <w:r w:rsidRPr="006E1978">
        <w:rPr>
          <w:rFonts w:cs="Times New Roman"/>
          <w:sz w:val="24"/>
          <w:lang w:val="en-GB"/>
        </w:rPr>
        <w:t>117. https://doi.org/10.1177/001316447403400115</w:t>
      </w:r>
    </w:p>
    <w:p w14:paraId="003E2965" w14:textId="77777777" w:rsidR="00156D78" w:rsidRPr="006E1978" w:rsidRDefault="00156D78" w:rsidP="00156D78">
      <w:pPr>
        <w:pStyle w:val="Bibliography"/>
        <w:jc w:val="left"/>
        <w:rPr>
          <w:rFonts w:cs="Times New Roman"/>
          <w:sz w:val="24"/>
          <w:lang w:val="en-GB"/>
        </w:rPr>
      </w:pPr>
      <w:r w:rsidRPr="006E1978">
        <w:rPr>
          <w:rFonts w:cs="Times New Roman"/>
          <w:sz w:val="24"/>
          <w:lang w:val="en-GB"/>
        </w:rPr>
        <w:t xml:space="preserve">Kline, R. B. (2016). </w:t>
      </w:r>
      <w:r w:rsidRPr="006E1978">
        <w:rPr>
          <w:rFonts w:cs="Times New Roman"/>
          <w:i/>
          <w:iCs/>
          <w:sz w:val="24"/>
          <w:lang w:val="en-GB"/>
        </w:rPr>
        <w:t xml:space="preserve">Principles and practice of structural equation </w:t>
      </w:r>
      <w:proofErr w:type="spellStart"/>
      <w:r w:rsidRPr="006E1978">
        <w:rPr>
          <w:rFonts w:cs="Times New Roman"/>
          <w:i/>
          <w:iCs/>
          <w:sz w:val="24"/>
          <w:lang w:val="en-GB"/>
        </w:rPr>
        <w:t>modeling</w:t>
      </w:r>
      <w:proofErr w:type="spellEnd"/>
      <w:r w:rsidRPr="006E1978">
        <w:rPr>
          <w:rFonts w:cs="Times New Roman"/>
          <w:sz w:val="24"/>
          <w:lang w:val="en-GB"/>
        </w:rPr>
        <w:t xml:space="preserve"> (4th ed.). Guilford.</w:t>
      </w:r>
    </w:p>
    <w:p w14:paraId="79A1F8E7" w14:textId="77777777" w:rsidR="00BF2EEC" w:rsidRPr="006E1978" w:rsidRDefault="00BF2EEC" w:rsidP="00BF2EEC">
      <w:pPr>
        <w:snapToGrid w:val="0"/>
        <w:spacing w:line="480" w:lineRule="auto"/>
        <w:ind w:left="480" w:hangingChars="200" w:hanging="480"/>
        <w:jc w:val="left"/>
        <w:rPr>
          <w:rFonts w:cs="Times New Roman"/>
          <w:sz w:val="24"/>
          <w:szCs w:val="24"/>
        </w:rPr>
      </w:pPr>
      <w:bookmarkStart w:id="16" w:name="_Hlk82524277"/>
      <w:r w:rsidRPr="006E1978">
        <w:rPr>
          <w:rFonts w:cs="Times New Roman"/>
          <w:sz w:val="24"/>
          <w:szCs w:val="24"/>
        </w:rPr>
        <w:t xml:space="preserve">Koo, T. K., &amp; Li, M. Y. (2016). A guideline of selecting and reporting intraclass correlation coefficients for reliability research. </w:t>
      </w:r>
      <w:r w:rsidRPr="006E1978">
        <w:rPr>
          <w:rFonts w:cs="Times New Roman"/>
          <w:i/>
          <w:iCs/>
          <w:sz w:val="24"/>
          <w:szCs w:val="24"/>
        </w:rPr>
        <w:t>Journal of Chiropractic Medicine, 15</w:t>
      </w:r>
      <w:r w:rsidRPr="006E1978">
        <w:rPr>
          <w:rFonts w:cs="Times New Roman"/>
          <w:sz w:val="24"/>
          <w:szCs w:val="24"/>
        </w:rPr>
        <w:t>(2), 155-163. https://doi.org/10.1016/j.jcm.2016.02.012</w:t>
      </w:r>
    </w:p>
    <w:bookmarkEnd w:id="16"/>
    <w:p w14:paraId="55D6A902" w14:textId="77777777"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Lai L. T. (2021). Gaming in China - statistics &amp; facts. Retrieved from https://www.statista.com/topics/4642/gaming-in-china/#dossierSummary__chapter4</w:t>
      </w:r>
    </w:p>
    <w:p w14:paraId="271E971B" w14:textId="77777777"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Long, J., Liu, T., Liu, Y., Hao, W., </w:t>
      </w:r>
      <w:proofErr w:type="spellStart"/>
      <w:r w:rsidRPr="006E1978">
        <w:rPr>
          <w:rFonts w:cs="Times New Roman"/>
          <w:sz w:val="24"/>
          <w:szCs w:val="24"/>
        </w:rPr>
        <w:t>Maurage</w:t>
      </w:r>
      <w:proofErr w:type="spellEnd"/>
      <w:r w:rsidRPr="006E1978">
        <w:rPr>
          <w:rFonts w:cs="Times New Roman"/>
          <w:sz w:val="24"/>
          <w:szCs w:val="24"/>
        </w:rPr>
        <w:t xml:space="preserve">, P., &amp; </w:t>
      </w:r>
      <w:proofErr w:type="spellStart"/>
      <w:r w:rsidRPr="006E1978">
        <w:rPr>
          <w:rFonts w:cs="Times New Roman"/>
          <w:sz w:val="24"/>
          <w:szCs w:val="24"/>
        </w:rPr>
        <w:t>Billieux</w:t>
      </w:r>
      <w:proofErr w:type="spellEnd"/>
      <w:r w:rsidRPr="006E1978">
        <w:rPr>
          <w:rFonts w:cs="Times New Roman"/>
          <w:sz w:val="24"/>
          <w:szCs w:val="24"/>
        </w:rPr>
        <w:t>, J. (2018). Prevalence and correlates of problematic online gaming: A systematic review of the evidence published in Chinese.</w:t>
      </w:r>
      <w:r w:rsidRPr="006E1978">
        <w:rPr>
          <w:rFonts w:cs="Times New Roman"/>
          <w:i/>
          <w:iCs/>
          <w:sz w:val="24"/>
          <w:szCs w:val="24"/>
        </w:rPr>
        <w:t xml:space="preserve"> Current Addiction Reports, 5</w:t>
      </w:r>
      <w:r w:rsidRPr="006E1978">
        <w:rPr>
          <w:rFonts w:cs="Times New Roman"/>
          <w:sz w:val="24"/>
          <w:szCs w:val="24"/>
        </w:rPr>
        <w:t>(3), 359-371. https://doi-org.libezproxy.um.edu.mo/10.1007/s40429-018-0219-6</w:t>
      </w:r>
    </w:p>
    <w:p w14:paraId="5B97B76E" w14:textId="36D8ABEA"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Marino, C., </w:t>
      </w:r>
      <w:proofErr w:type="spellStart"/>
      <w:r w:rsidRPr="006E1978">
        <w:rPr>
          <w:rFonts w:cs="Times New Roman"/>
          <w:sz w:val="24"/>
          <w:szCs w:val="24"/>
        </w:rPr>
        <w:t>Canale</w:t>
      </w:r>
      <w:proofErr w:type="spellEnd"/>
      <w:r w:rsidRPr="006E1978">
        <w:rPr>
          <w:rFonts w:cs="Times New Roman"/>
          <w:sz w:val="24"/>
          <w:szCs w:val="24"/>
        </w:rPr>
        <w:t xml:space="preserve">, N., </w:t>
      </w:r>
      <w:proofErr w:type="spellStart"/>
      <w:r w:rsidRPr="006E1978">
        <w:rPr>
          <w:rFonts w:cs="Times New Roman"/>
          <w:sz w:val="24"/>
          <w:szCs w:val="24"/>
        </w:rPr>
        <w:t>Vieno</w:t>
      </w:r>
      <w:proofErr w:type="spellEnd"/>
      <w:r w:rsidRPr="006E1978">
        <w:rPr>
          <w:rFonts w:cs="Times New Roman"/>
          <w:sz w:val="24"/>
          <w:szCs w:val="24"/>
        </w:rPr>
        <w:t xml:space="preserve">, A., Caselli, G., Scacchi, L., &amp; Spada, M. M. (2020). Social anxiety and Internet gaming disorder: The role of motives and metacognitions. </w:t>
      </w:r>
      <w:r w:rsidRPr="006E1978">
        <w:rPr>
          <w:rFonts w:cs="Times New Roman"/>
          <w:i/>
          <w:iCs/>
          <w:sz w:val="24"/>
          <w:szCs w:val="24"/>
        </w:rPr>
        <w:t>Journal of Behavioral Addictions, 9</w:t>
      </w:r>
      <w:r w:rsidRPr="006E1978">
        <w:rPr>
          <w:rFonts w:cs="Times New Roman"/>
          <w:sz w:val="24"/>
          <w:szCs w:val="24"/>
        </w:rPr>
        <w:t>(3), 617-628. https://doi.org/10.1556/2006.2020.00044</w:t>
      </w:r>
    </w:p>
    <w:p w14:paraId="78A30145" w14:textId="77777777" w:rsidR="006E1978" w:rsidRDefault="006E1978" w:rsidP="00BF2EEC">
      <w:pPr>
        <w:snapToGrid w:val="0"/>
        <w:spacing w:line="480" w:lineRule="auto"/>
        <w:ind w:left="480" w:hangingChars="200" w:hanging="480"/>
        <w:jc w:val="left"/>
        <w:rPr>
          <w:rFonts w:cs="Times New Roman"/>
          <w:sz w:val="24"/>
          <w:szCs w:val="24"/>
        </w:rPr>
      </w:pPr>
    </w:p>
    <w:p w14:paraId="6664E1E2" w14:textId="37349E20"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lastRenderedPageBreak/>
        <w:t xml:space="preserve">Marsh, H. W., Ellis, L. A., Parada, R. H., Richards, G., &amp; </w:t>
      </w:r>
      <w:proofErr w:type="spellStart"/>
      <w:r w:rsidRPr="006E1978">
        <w:rPr>
          <w:rFonts w:cs="Times New Roman"/>
          <w:sz w:val="24"/>
          <w:szCs w:val="24"/>
        </w:rPr>
        <w:t>Heubeck</w:t>
      </w:r>
      <w:proofErr w:type="spellEnd"/>
      <w:r w:rsidRPr="006E1978">
        <w:rPr>
          <w:rFonts w:cs="Times New Roman"/>
          <w:sz w:val="24"/>
          <w:szCs w:val="24"/>
        </w:rPr>
        <w:t xml:space="preserve">, B. G. (2005). A Short Version of the </w:t>
      </w:r>
      <w:proofErr w:type="spellStart"/>
      <w:r w:rsidRPr="006E1978">
        <w:rPr>
          <w:rFonts w:cs="Times New Roman"/>
          <w:sz w:val="24"/>
          <w:szCs w:val="24"/>
        </w:rPr>
        <w:t>Self Description</w:t>
      </w:r>
      <w:proofErr w:type="spellEnd"/>
      <w:r w:rsidRPr="006E1978">
        <w:rPr>
          <w:rFonts w:cs="Times New Roman"/>
          <w:sz w:val="24"/>
          <w:szCs w:val="24"/>
        </w:rPr>
        <w:t xml:space="preserve"> Questionnaire II: Operationalizing criteria for </w:t>
      </w:r>
      <w:r w:rsidR="00776CDC" w:rsidRPr="006E1978">
        <w:rPr>
          <w:rFonts w:cs="Times New Roman"/>
          <w:sz w:val="24"/>
          <w:szCs w:val="24"/>
        </w:rPr>
        <w:t>s</w:t>
      </w:r>
      <w:r w:rsidRPr="006E1978">
        <w:rPr>
          <w:rFonts w:cs="Times New Roman"/>
          <w:sz w:val="24"/>
          <w:szCs w:val="24"/>
        </w:rPr>
        <w:t>hort-</w:t>
      </w:r>
      <w:r w:rsidR="00776CDC" w:rsidRPr="006E1978">
        <w:rPr>
          <w:rFonts w:cs="Times New Roman"/>
          <w:sz w:val="24"/>
          <w:szCs w:val="24"/>
        </w:rPr>
        <w:t>f</w:t>
      </w:r>
      <w:r w:rsidRPr="006E1978">
        <w:rPr>
          <w:rFonts w:cs="Times New Roman"/>
          <w:sz w:val="24"/>
          <w:szCs w:val="24"/>
        </w:rPr>
        <w:t xml:space="preserve">orm </w:t>
      </w:r>
      <w:r w:rsidR="00776CDC" w:rsidRPr="006E1978">
        <w:rPr>
          <w:rFonts w:cs="Times New Roman"/>
          <w:sz w:val="24"/>
          <w:szCs w:val="24"/>
        </w:rPr>
        <w:t>e</w:t>
      </w:r>
      <w:r w:rsidRPr="006E1978">
        <w:rPr>
          <w:rFonts w:cs="Times New Roman"/>
          <w:sz w:val="24"/>
          <w:szCs w:val="24"/>
        </w:rPr>
        <w:t xml:space="preserve">valuation </w:t>
      </w:r>
      <w:r w:rsidR="00776CDC" w:rsidRPr="006E1978">
        <w:rPr>
          <w:rFonts w:cs="Times New Roman"/>
          <w:sz w:val="24"/>
          <w:szCs w:val="24"/>
        </w:rPr>
        <w:t>w</w:t>
      </w:r>
      <w:r w:rsidRPr="006E1978">
        <w:rPr>
          <w:rFonts w:cs="Times New Roman"/>
          <w:sz w:val="24"/>
          <w:szCs w:val="24"/>
        </w:rPr>
        <w:t xml:space="preserve">ith </w:t>
      </w:r>
      <w:r w:rsidR="00776CDC" w:rsidRPr="006E1978">
        <w:rPr>
          <w:rFonts w:cs="Times New Roman"/>
          <w:sz w:val="24"/>
          <w:szCs w:val="24"/>
        </w:rPr>
        <w:t>n</w:t>
      </w:r>
      <w:r w:rsidRPr="006E1978">
        <w:rPr>
          <w:rFonts w:cs="Times New Roman"/>
          <w:sz w:val="24"/>
          <w:szCs w:val="24"/>
        </w:rPr>
        <w:t xml:space="preserve">ew </w:t>
      </w:r>
      <w:r w:rsidR="00776CDC" w:rsidRPr="006E1978">
        <w:rPr>
          <w:rFonts w:cs="Times New Roman"/>
          <w:sz w:val="24"/>
          <w:szCs w:val="24"/>
        </w:rPr>
        <w:t>a</w:t>
      </w:r>
      <w:r w:rsidRPr="006E1978">
        <w:rPr>
          <w:rFonts w:cs="Times New Roman"/>
          <w:sz w:val="24"/>
          <w:szCs w:val="24"/>
        </w:rPr>
        <w:t xml:space="preserve">pplications of </w:t>
      </w:r>
      <w:r w:rsidR="00776CDC" w:rsidRPr="006E1978">
        <w:rPr>
          <w:rFonts w:cs="Times New Roman"/>
          <w:sz w:val="24"/>
          <w:szCs w:val="24"/>
        </w:rPr>
        <w:t>c</w:t>
      </w:r>
      <w:r w:rsidRPr="006E1978">
        <w:rPr>
          <w:rFonts w:cs="Times New Roman"/>
          <w:sz w:val="24"/>
          <w:szCs w:val="24"/>
        </w:rPr>
        <w:t xml:space="preserve">onfirmatory </w:t>
      </w:r>
      <w:r w:rsidR="00776CDC" w:rsidRPr="006E1978">
        <w:rPr>
          <w:rFonts w:cs="Times New Roman"/>
          <w:sz w:val="24"/>
          <w:szCs w:val="24"/>
        </w:rPr>
        <w:t>f</w:t>
      </w:r>
      <w:r w:rsidRPr="006E1978">
        <w:rPr>
          <w:rFonts w:cs="Times New Roman"/>
          <w:sz w:val="24"/>
          <w:szCs w:val="24"/>
        </w:rPr>
        <w:t xml:space="preserve">actor </w:t>
      </w:r>
      <w:r w:rsidR="00776CDC" w:rsidRPr="006E1978">
        <w:rPr>
          <w:rFonts w:cs="Times New Roman"/>
          <w:sz w:val="24"/>
          <w:szCs w:val="24"/>
        </w:rPr>
        <w:t>a</w:t>
      </w:r>
      <w:r w:rsidRPr="006E1978">
        <w:rPr>
          <w:rFonts w:cs="Times New Roman"/>
          <w:sz w:val="24"/>
          <w:szCs w:val="24"/>
        </w:rPr>
        <w:t xml:space="preserve">nalyses. </w:t>
      </w:r>
      <w:r w:rsidRPr="006E1978">
        <w:rPr>
          <w:rFonts w:cs="Times New Roman"/>
          <w:i/>
          <w:iCs/>
          <w:sz w:val="24"/>
          <w:szCs w:val="24"/>
        </w:rPr>
        <w:t>Psychological Assessment, 17</w:t>
      </w:r>
      <w:r w:rsidRPr="006E1978">
        <w:rPr>
          <w:rFonts w:cs="Times New Roman"/>
          <w:sz w:val="24"/>
          <w:szCs w:val="24"/>
        </w:rPr>
        <w:t>(1), 81-102.</w:t>
      </w:r>
      <w:r w:rsidR="0099478A" w:rsidRPr="006E1978">
        <w:rPr>
          <w:rFonts w:cs="Times New Roman"/>
          <w:sz w:val="24"/>
          <w:szCs w:val="24"/>
        </w:rPr>
        <w:t xml:space="preserve"> https://doi.org/10.1037/1040-3590.17.1.81</w:t>
      </w:r>
    </w:p>
    <w:p w14:paraId="580DEFA9" w14:textId="0A6DF42A" w:rsidR="00156D78" w:rsidRPr="006E1978" w:rsidRDefault="00156D78" w:rsidP="00156D78">
      <w:pPr>
        <w:pStyle w:val="Bibliography"/>
        <w:jc w:val="left"/>
        <w:rPr>
          <w:rFonts w:cs="Times New Roman"/>
          <w:sz w:val="24"/>
          <w:lang w:val="en-GB"/>
        </w:rPr>
      </w:pPr>
      <w:proofErr w:type="spellStart"/>
      <w:r w:rsidRPr="006E1978">
        <w:rPr>
          <w:rFonts w:cs="Times New Roman"/>
          <w:sz w:val="24"/>
          <w:lang w:val="en-GB"/>
        </w:rPr>
        <w:t>Mihara</w:t>
      </w:r>
      <w:proofErr w:type="spellEnd"/>
      <w:r w:rsidRPr="006E1978">
        <w:rPr>
          <w:rFonts w:cs="Times New Roman"/>
          <w:sz w:val="24"/>
          <w:lang w:val="en-GB"/>
        </w:rPr>
        <w:t xml:space="preserve">, S., &amp; Higuchi, S. (2017). Cross-sectional and longitudinal epidemiological studies of Internet gaming disorder: A systematic review of the literature: Review of epidemiological studies of IGD. </w:t>
      </w:r>
      <w:r w:rsidRPr="006E1978">
        <w:rPr>
          <w:rFonts w:cs="Times New Roman"/>
          <w:i/>
          <w:iCs/>
          <w:sz w:val="24"/>
          <w:lang w:val="en-GB"/>
        </w:rPr>
        <w:t>Psychiatry and Clinical Neurosciences</w:t>
      </w:r>
      <w:r w:rsidRPr="006E1978">
        <w:rPr>
          <w:rFonts w:cs="Times New Roman"/>
          <w:sz w:val="24"/>
          <w:lang w:val="en-GB"/>
        </w:rPr>
        <w:t xml:space="preserve">, </w:t>
      </w:r>
      <w:r w:rsidRPr="006E1978">
        <w:rPr>
          <w:rFonts w:cs="Times New Roman"/>
          <w:i/>
          <w:iCs/>
          <w:sz w:val="24"/>
          <w:lang w:val="en-GB"/>
        </w:rPr>
        <w:t>71</w:t>
      </w:r>
      <w:r w:rsidRPr="006E1978">
        <w:rPr>
          <w:rFonts w:cs="Times New Roman"/>
          <w:sz w:val="24"/>
          <w:lang w:val="en-GB"/>
        </w:rPr>
        <w:t>(7), 425</w:t>
      </w:r>
      <w:r w:rsidR="0099478A" w:rsidRPr="006E1978">
        <w:rPr>
          <w:rFonts w:cs="Times New Roman"/>
          <w:sz w:val="24"/>
          <w:lang w:val="en-GB"/>
        </w:rPr>
        <w:t>-</w:t>
      </w:r>
      <w:r w:rsidRPr="006E1978">
        <w:rPr>
          <w:rFonts w:cs="Times New Roman"/>
          <w:sz w:val="24"/>
          <w:lang w:val="en-GB"/>
        </w:rPr>
        <w:t>444. https://doi.org/10.1111/pcn.12532</w:t>
      </w:r>
    </w:p>
    <w:p w14:paraId="799A035F" w14:textId="0C9B7481" w:rsidR="00156D78" w:rsidRPr="006E1978" w:rsidRDefault="00156D78" w:rsidP="00156D78">
      <w:pPr>
        <w:pStyle w:val="Bibliography"/>
        <w:jc w:val="left"/>
        <w:rPr>
          <w:rFonts w:cs="Times New Roman"/>
          <w:sz w:val="24"/>
          <w:lang w:val="en-GB"/>
        </w:rPr>
      </w:pPr>
      <w:proofErr w:type="spellStart"/>
      <w:r w:rsidRPr="006E1978">
        <w:rPr>
          <w:rFonts w:cs="Times New Roman"/>
          <w:sz w:val="24"/>
          <w:lang w:val="en-GB"/>
        </w:rPr>
        <w:t>Muthén</w:t>
      </w:r>
      <w:proofErr w:type="spellEnd"/>
      <w:r w:rsidRPr="006E1978">
        <w:rPr>
          <w:rFonts w:cs="Times New Roman"/>
          <w:sz w:val="24"/>
          <w:lang w:val="en-GB"/>
        </w:rPr>
        <w:t xml:space="preserve">, L. K., &amp; </w:t>
      </w:r>
      <w:proofErr w:type="spellStart"/>
      <w:r w:rsidRPr="006E1978">
        <w:rPr>
          <w:rFonts w:cs="Times New Roman"/>
          <w:sz w:val="24"/>
          <w:lang w:val="en-GB"/>
        </w:rPr>
        <w:t>Muthén</w:t>
      </w:r>
      <w:proofErr w:type="spellEnd"/>
      <w:r w:rsidRPr="006E1978">
        <w:rPr>
          <w:rFonts w:cs="Times New Roman"/>
          <w:sz w:val="24"/>
          <w:lang w:val="en-GB"/>
        </w:rPr>
        <w:t>, B. O. (201</w:t>
      </w:r>
      <w:r w:rsidR="005E36C1" w:rsidRPr="006E1978">
        <w:rPr>
          <w:rFonts w:cs="Times New Roman"/>
          <w:sz w:val="24"/>
          <w:lang w:val="en-GB"/>
        </w:rPr>
        <w:t>2</w:t>
      </w:r>
      <w:r w:rsidRPr="006E1978">
        <w:rPr>
          <w:rFonts w:cs="Times New Roman"/>
          <w:sz w:val="24"/>
          <w:lang w:val="en-GB"/>
        </w:rPr>
        <w:t xml:space="preserve">). </w:t>
      </w:r>
      <w:r w:rsidRPr="006E1978">
        <w:rPr>
          <w:rFonts w:cs="Times New Roman"/>
          <w:i/>
          <w:iCs/>
          <w:sz w:val="24"/>
          <w:lang w:val="en-GB"/>
        </w:rPr>
        <w:t>Mplus user’s guide</w:t>
      </w:r>
      <w:r w:rsidRPr="006E1978">
        <w:rPr>
          <w:rFonts w:cs="Times New Roman"/>
          <w:sz w:val="24"/>
          <w:lang w:val="en-GB"/>
        </w:rPr>
        <w:t xml:space="preserve"> (</w:t>
      </w:r>
      <w:r w:rsidR="005E36C1" w:rsidRPr="006E1978">
        <w:rPr>
          <w:rFonts w:cs="Times New Roman"/>
          <w:sz w:val="24"/>
          <w:lang w:val="en-GB"/>
        </w:rPr>
        <w:t>7</w:t>
      </w:r>
      <w:r w:rsidRPr="006E1978">
        <w:rPr>
          <w:rFonts w:cs="Times New Roman"/>
          <w:sz w:val="24"/>
          <w:lang w:val="en-GB"/>
        </w:rPr>
        <w:t xml:space="preserve">th ed.). </w:t>
      </w:r>
      <w:proofErr w:type="spellStart"/>
      <w:r w:rsidRPr="006E1978">
        <w:rPr>
          <w:rFonts w:cs="Times New Roman"/>
          <w:sz w:val="24"/>
          <w:lang w:val="en-GB"/>
        </w:rPr>
        <w:t>Muthén</w:t>
      </w:r>
      <w:proofErr w:type="spellEnd"/>
      <w:r w:rsidRPr="006E1978">
        <w:rPr>
          <w:rFonts w:cs="Times New Roman"/>
          <w:sz w:val="24"/>
          <w:lang w:val="en-GB"/>
        </w:rPr>
        <w:t xml:space="preserve"> &amp; </w:t>
      </w:r>
      <w:proofErr w:type="spellStart"/>
      <w:r w:rsidRPr="006E1978">
        <w:rPr>
          <w:rFonts w:cs="Times New Roman"/>
          <w:sz w:val="24"/>
          <w:lang w:val="en-GB"/>
        </w:rPr>
        <w:t>Muthén</w:t>
      </w:r>
      <w:proofErr w:type="spellEnd"/>
      <w:r w:rsidRPr="006E1978">
        <w:rPr>
          <w:rFonts w:cs="Times New Roman"/>
          <w:sz w:val="24"/>
          <w:lang w:val="en-GB"/>
        </w:rPr>
        <w:t>.</w:t>
      </w:r>
    </w:p>
    <w:p w14:paraId="473A7CA8" w14:textId="5A4B6319" w:rsidR="00BF2EEC" w:rsidRPr="006E1978" w:rsidRDefault="00BF2EEC" w:rsidP="00BF2EEC">
      <w:pPr>
        <w:snapToGrid w:val="0"/>
        <w:spacing w:line="480" w:lineRule="auto"/>
        <w:ind w:left="480" w:hangingChars="200" w:hanging="480"/>
        <w:jc w:val="left"/>
        <w:rPr>
          <w:rFonts w:cs="Times New Roman"/>
          <w:sz w:val="24"/>
          <w:szCs w:val="24"/>
        </w:rPr>
      </w:pPr>
      <w:proofErr w:type="spellStart"/>
      <w:r w:rsidRPr="006E1978">
        <w:rPr>
          <w:rFonts w:cs="Times New Roman"/>
          <w:sz w:val="24"/>
          <w:szCs w:val="24"/>
        </w:rPr>
        <w:t>Nazligül</w:t>
      </w:r>
      <w:proofErr w:type="spellEnd"/>
      <w:r w:rsidRPr="006E1978">
        <w:rPr>
          <w:rFonts w:cs="Times New Roman"/>
          <w:sz w:val="24"/>
          <w:szCs w:val="24"/>
        </w:rPr>
        <w:t xml:space="preserve">, M. D., &amp; </w:t>
      </w:r>
      <w:proofErr w:type="spellStart"/>
      <w:r w:rsidRPr="006E1978">
        <w:rPr>
          <w:rFonts w:cs="Times New Roman"/>
          <w:sz w:val="24"/>
          <w:szCs w:val="24"/>
        </w:rPr>
        <w:t>Süsen</w:t>
      </w:r>
      <w:proofErr w:type="spellEnd"/>
      <w:r w:rsidRPr="006E1978">
        <w:rPr>
          <w:rFonts w:cs="Times New Roman"/>
          <w:sz w:val="24"/>
          <w:szCs w:val="24"/>
        </w:rPr>
        <w:t xml:space="preserve">, Y. (2021). Psychometric </w:t>
      </w:r>
      <w:r w:rsidR="00776CDC" w:rsidRPr="006E1978">
        <w:rPr>
          <w:rFonts w:cs="Times New Roman"/>
          <w:sz w:val="24"/>
          <w:szCs w:val="24"/>
        </w:rPr>
        <w:t>c</w:t>
      </w:r>
      <w:r w:rsidRPr="006E1978">
        <w:rPr>
          <w:rFonts w:cs="Times New Roman"/>
          <w:sz w:val="24"/>
          <w:szCs w:val="24"/>
        </w:rPr>
        <w:t xml:space="preserve">haracteristics of Turkish Version of Metacognitions about Online Gaming Scale. </w:t>
      </w:r>
      <w:proofErr w:type="spellStart"/>
      <w:r w:rsidRPr="006E1978">
        <w:rPr>
          <w:rFonts w:cs="Times New Roman"/>
          <w:i/>
          <w:iCs/>
          <w:sz w:val="24"/>
          <w:szCs w:val="24"/>
        </w:rPr>
        <w:t>Ba</w:t>
      </w:r>
      <w:r w:rsidRPr="006E1978">
        <w:rPr>
          <w:rFonts w:cs="Times New Roman" w:hint="cs"/>
          <w:i/>
          <w:iCs/>
          <w:sz w:val="24"/>
          <w:szCs w:val="24"/>
        </w:rPr>
        <w:t>ğı</w:t>
      </w:r>
      <w:r w:rsidRPr="006E1978">
        <w:rPr>
          <w:rFonts w:cs="Times New Roman"/>
          <w:i/>
          <w:iCs/>
          <w:sz w:val="24"/>
          <w:szCs w:val="24"/>
        </w:rPr>
        <w:t>ml</w:t>
      </w:r>
      <w:r w:rsidRPr="006E1978">
        <w:rPr>
          <w:rFonts w:cs="Times New Roman" w:hint="cs"/>
          <w:i/>
          <w:iCs/>
          <w:sz w:val="24"/>
          <w:szCs w:val="24"/>
        </w:rPr>
        <w:t>ı</w:t>
      </w:r>
      <w:r w:rsidRPr="006E1978">
        <w:rPr>
          <w:rFonts w:cs="Times New Roman"/>
          <w:i/>
          <w:iCs/>
          <w:sz w:val="24"/>
          <w:szCs w:val="24"/>
        </w:rPr>
        <w:t>l</w:t>
      </w:r>
      <w:r w:rsidRPr="006E1978">
        <w:rPr>
          <w:rFonts w:cs="Times New Roman" w:hint="cs"/>
          <w:i/>
          <w:iCs/>
          <w:sz w:val="24"/>
          <w:szCs w:val="24"/>
        </w:rPr>
        <w:t>ı</w:t>
      </w:r>
      <w:r w:rsidRPr="006E1978">
        <w:rPr>
          <w:rFonts w:cs="Times New Roman"/>
          <w:i/>
          <w:iCs/>
          <w:sz w:val="24"/>
          <w:szCs w:val="24"/>
        </w:rPr>
        <w:t>k</w:t>
      </w:r>
      <w:proofErr w:type="spellEnd"/>
      <w:r w:rsidRPr="006E1978">
        <w:rPr>
          <w:rFonts w:cs="Times New Roman"/>
          <w:i/>
          <w:iCs/>
          <w:sz w:val="24"/>
          <w:szCs w:val="24"/>
        </w:rPr>
        <w:t xml:space="preserve"> </w:t>
      </w:r>
      <w:proofErr w:type="spellStart"/>
      <w:r w:rsidRPr="006E1978">
        <w:rPr>
          <w:rFonts w:cs="Times New Roman"/>
          <w:i/>
          <w:iCs/>
          <w:sz w:val="24"/>
          <w:szCs w:val="24"/>
        </w:rPr>
        <w:t>Dergisi</w:t>
      </w:r>
      <w:proofErr w:type="spellEnd"/>
      <w:r w:rsidRPr="006E1978">
        <w:rPr>
          <w:rFonts w:cs="Times New Roman"/>
          <w:i/>
          <w:iCs/>
          <w:sz w:val="24"/>
          <w:szCs w:val="24"/>
        </w:rPr>
        <w:t>, 22</w:t>
      </w:r>
      <w:r w:rsidRPr="006E1978">
        <w:rPr>
          <w:rFonts w:cs="Times New Roman"/>
          <w:sz w:val="24"/>
          <w:szCs w:val="24"/>
        </w:rPr>
        <w:t xml:space="preserve">(3), 314-326. </w:t>
      </w:r>
      <w:r w:rsidR="0099478A" w:rsidRPr="006E1978">
        <w:rPr>
          <w:rFonts w:cs="Times New Roman"/>
          <w:sz w:val="24"/>
          <w:szCs w:val="24"/>
        </w:rPr>
        <w:t>https://doi.org/10.51982/bagimli.896088</w:t>
      </w:r>
    </w:p>
    <w:p w14:paraId="6499B468" w14:textId="6A13C15D" w:rsidR="00156D78" w:rsidRPr="006E1978" w:rsidRDefault="00156D78" w:rsidP="00156D78">
      <w:pPr>
        <w:pStyle w:val="Bibliography"/>
        <w:jc w:val="left"/>
        <w:rPr>
          <w:rFonts w:cs="Times New Roman"/>
          <w:sz w:val="24"/>
          <w:lang w:val="en-GB"/>
        </w:rPr>
      </w:pPr>
      <w:r w:rsidRPr="006E1978">
        <w:rPr>
          <w:rFonts w:cs="Times New Roman"/>
          <w:sz w:val="24"/>
          <w:lang w:val="en-GB"/>
        </w:rPr>
        <w:t xml:space="preserve">O’Connor, B. P. (2000). SPSS and BAS programs for determining the number of components using parallel analysis and </w:t>
      </w:r>
      <w:proofErr w:type="spellStart"/>
      <w:r w:rsidRPr="006E1978">
        <w:rPr>
          <w:rFonts w:cs="Times New Roman"/>
          <w:sz w:val="24"/>
          <w:lang w:val="en-GB"/>
        </w:rPr>
        <w:t>Velicer’s</w:t>
      </w:r>
      <w:proofErr w:type="spellEnd"/>
      <w:r w:rsidRPr="006E1978">
        <w:rPr>
          <w:rFonts w:cs="Times New Roman"/>
          <w:sz w:val="24"/>
          <w:lang w:val="en-GB"/>
        </w:rPr>
        <w:t xml:space="preserve"> MAP test. </w:t>
      </w:r>
      <w:proofErr w:type="spellStart"/>
      <w:r w:rsidRPr="006E1978">
        <w:rPr>
          <w:rFonts w:cs="Times New Roman"/>
          <w:i/>
          <w:iCs/>
          <w:sz w:val="24"/>
          <w:lang w:val="en-GB"/>
        </w:rPr>
        <w:t>Behavior</w:t>
      </w:r>
      <w:proofErr w:type="spellEnd"/>
      <w:r w:rsidRPr="006E1978">
        <w:rPr>
          <w:rFonts w:cs="Times New Roman"/>
          <w:i/>
          <w:iCs/>
          <w:sz w:val="24"/>
          <w:lang w:val="en-GB"/>
        </w:rPr>
        <w:t xml:space="preserve"> Research Methods, Instruments, &amp; Computers</w:t>
      </w:r>
      <w:r w:rsidRPr="006E1978">
        <w:rPr>
          <w:rFonts w:cs="Times New Roman"/>
          <w:sz w:val="24"/>
          <w:lang w:val="en-GB"/>
        </w:rPr>
        <w:t xml:space="preserve">, </w:t>
      </w:r>
      <w:r w:rsidRPr="006E1978">
        <w:rPr>
          <w:rFonts w:cs="Times New Roman"/>
          <w:i/>
          <w:iCs/>
          <w:sz w:val="24"/>
          <w:lang w:val="en-GB"/>
        </w:rPr>
        <w:t>32</w:t>
      </w:r>
      <w:r w:rsidRPr="006E1978">
        <w:rPr>
          <w:rFonts w:cs="Times New Roman"/>
          <w:sz w:val="24"/>
          <w:lang w:val="en-GB"/>
        </w:rPr>
        <w:t>(3), 396</w:t>
      </w:r>
      <w:r w:rsidR="0099478A" w:rsidRPr="006E1978">
        <w:rPr>
          <w:rFonts w:cs="Times New Roman"/>
          <w:sz w:val="24"/>
          <w:lang w:val="en-GB"/>
        </w:rPr>
        <w:t>-</w:t>
      </w:r>
      <w:r w:rsidRPr="006E1978">
        <w:rPr>
          <w:rFonts w:cs="Times New Roman"/>
          <w:sz w:val="24"/>
          <w:lang w:val="en-GB"/>
        </w:rPr>
        <w:t>402. https://doi.org/10.3758/bf03200807</w:t>
      </w:r>
    </w:p>
    <w:p w14:paraId="16BDFC92" w14:textId="77777777" w:rsidR="00EC74CF" w:rsidRPr="006E1978" w:rsidRDefault="00EC74CF" w:rsidP="00EC74CF">
      <w:pPr>
        <w:spacing w:line="480" w:lineRule="auto"/>
        <w:ind w:left="480" w:hangingChars="200" w:hanging="480"/>
        <w:jc w:val="left"/>
        <w:rPr>
          <w:rFonts w:eastAsia="Microsoft JhengHei UI" w:cs="Times New Roman"/>
          <w:color w:val="323130"/>
          <w:sz w:val="24"/>
          <w:szCs w:val="24"/>
          <w:shd w:val="clear" w:color="auto" w:fill="FFFFFF"/>
        </w:rPr>
      </w:pPr>
      <w:r w:rsidRPr="006E1978">
        <w:rPr>
          <w:rFonts w:eastAsia="Microsoft JhengHei UI" w:cs="Times New Roman"/>
          <w:color w:val="323130"/>
          <w:sz w:val="24"/>
          <w:szCs w:val="24"/>
          <w:shd w:val="clear" w:color="auto" w:fill="FFFFFF"/>
        </w:rPr>
        <w:t xml:space="preserve">Palmieri, S., Mansueto, G., Ruggiero, G. M., Caselli, G., Sassaroli, S., &amp; Spada, M. M. (2021). Metacognitive beliefs across eating disorders and eating </w:t>
      </w:r>
      <w:proofErr w:type="spellStart"/>
      <w:r w:rsidRPr="006E1978">
        <w:rPr>
          <w:rFonts w:eastAsia="Microsoft JhengHei UI" w:cs="Times New Roman"/>
          <w:color w:val="323130"/>
          <w:sz w:val="24"/>
          <w:szCs w:val="24"/>
          <w:shd w:val="clear" w:color="auto" w:fill="FFFFFF"/>
        </w:rPr>
        <w:t>behaviours</w:t>
      </w:r>
      <w:proofErr w:type="spellEnd"/>
      <w:r w:rsidRPr="006E1978">
        <w:rPr>
          <w:rFonts w:eastAsia="Microsoft JhengHei UI" w:cs="Times New Roman"/>
          <w:color w:val="323130"/>
          <w:sz w:val="24"/>
          <w:szCs w:val="24"/>
          <w:shd w:val="clear" w:color="auto" w:fill="FFFFFF"/>
        </w:rPr>
        <w:t xml:space="preserve">: A systematic review. </w:t>
      </w:r>
      <w:r w:rsidRPr="006E1978">
        <w:rPr>
          <w:rFonts w:eastAsia="Microsoft JhengHei UI" w:cs="Times New Roman"/>
          <w:i/>
          <w:iCs/>
          <w:color w:val="323130"/>
          <w:sz w:val="24"/>
          <w:szCs w:val="24"/>
          <w:shd w:val="clear" w:color="auto" w:fill="FFFFFF"/>
        </w:rPr>
        <w:t>Clinical Psychology &amp; Psychotherapy, 28</w:t>
      </w:r>
      <w:r w:rsidRPr="006E1978">
        <w:rPr>
          <w:rFonts w:eastAsia="Microsoft JhengHei UI" w:cs="Times New Roman"/>
          <w:color w:val="323130"/>
          <w:sz w:val="24"/>
          <w:szCs w:val="24"/>
          <w:shd w:val="clear" w:color="auto" w:fill="FFFFFF"/>
        </w:rPr>
        <w:t>(5), 1254-1265. https://doi-org.libezproxy.um.edu.mo/10.1002/cpp.2573</w:t>
      </w:r>
    </w:p>
    <w:p w14:paraId="6FF260F5" w14:textId="77777777" w:rsidR="006E1978" w:rsidRDefault="006E1978" w:rsidP="00BF2EEC">
      <w:pPr>
        <w:snapToGrid w:val="0"/>
        <w:spacing w:line="480" w:lineRule="auto"/>
        <w:ind w:left="480" w:hangingChars="200" w:hanging="480"/>
        <w:jc w:val="left"/>
        <w:rPr>
          <w:rFonts w:cs="Times New Roman"/>
          <w:sz w:val="24"/>
          <w:szCs w:val="24"/>
        </w:rPr>
      </w:pPr>
    </w:p>
    <w:p w14:paraId="29CD25E7" w14:textId="79593FD2"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lastRenderedPageBreak/>
        <w:t xml:space="preserve">Pan, Y.-C., Chiu, Y.-C., &amp; Lin, Y.-H. (2020). Systematic review and meta-analysis of epidemiology of internet addiction. </w:t>
      </w:r>
      <w:r w:rsidRPr="006E1978">
        <w:rPr>
          <w:rFonts w:cs="Times New Roman"/>
          <w:i/>
          <w:iCs/>
          <w:sz w:val="24"/>
          <w:szCs w:val="24"/>
        </w:rPr>
        <w:t>Neuroscience &amp; Biobehavioral Reviews, 118,</w:t>
      </w:r>
      <w:r w:rsidRPr="006E1978">
        <w:rPr>
          <w:rFonts w:cs="Times New Roman"/>
          <w:sz w:val="24"/>
          <w:szCs w:val="24"/>
        </w:rPr>
        <w:t xml:space="preserve"> 612</w:t>
      </w:r>
      <w:r w:rsidR="00776CDC" w:rsidRPr="006E1978">
        <w:rPr>
          <w:rFonts w:cs="Times New Roman"/>
          <w:sz w:val="24"/>
          <w:szCs w:val="24"/>
        </w:rPr>
        <w:t>-</w:t>
      </w:r>
      <w:r w:rsidRPr="006E1978">
        <w:rPr>
          <w:rFonts w:cs="Times New Roman"/>
          <w:sz w:val="24"/>
          <w:szCs w:val="24"/>
        </w:rPr>
        <w:t>622. https://doi.org/10.1016/j.neubiorev.2020.08.013</w:t>
      </w:r>
    </w:p>
    <w:p w14:paraId="3E33E5D6" w14:textId="77777777" w:rsidR="00BF2EEC" w:rsidRPr="006E1978" w:rsidRDefault="00BF2EEC" w:rsidP="00BF2EEC">
      <w:pPr>
        <w:snapToGrid w:val="0"/>
        <w:spacing w:line="480" w:lineRule="auto"/>
        <w:ind w:left="480" w:hangingChars="200" w:hanging="480"/>
        <w:jc w:val="left"/>
        <w:rPr>
          <w:rFonts w:cs="Times New Roman"/>
          <w:sz w:val="24"/>
          <w:szCs w:val="24"/>
        </w:rPr>
      </w:pPr>
      <w:proofErr w:type="spellStart"/>
      <w:r w:rsidRPr="006E1978">
        <w:rPr>
          <w:rFonts w:cs="Times New Roman"/>
          <w:sz w:val="24"/>
          <w:szCs w:val="24"/>
        </w:rPr>
        <w:t>Poormahdy</w:t>
      </w:r>
      <w:proofErr w:type="spellEnd"/>
      <w:r w:rsidRPr="006E1978">
        <w:rPr>
          <w:rFonts w:cs="Times New Roman"/>
          <w:sz w:val="24"/>
          <w:szCs w:val="24"/>
        </w:rPr>
        <w:t xml:space="preserve">, H., Najafi, M., &amp; Khosravani, V. (2022). The effects of emotion dysregulation and negative affect on urge to smoke and nicotine dependence: The different roles of metacognitions about smoking. </w:t>
      </w:r>
      <w:r w:rsidRPr="006E1978">
        <w:rPr>
          <w:rFonts w:cs="Times New Roman"/>
          <w:i/>
          <w:iCs/>
          <w:sz w:val="24"/>
          <w:szCs w:val="24"/>
        </w:rPr>
        <w:t>Addictive Behaviors, 124</w:t>
      </w:r>
      <w:r w:rsidRPr="006E1978">
        <w:rPr>
          <w:rFonts w:cs="Times New Roman"/>
          <w:sz w:val="24"/>
          <w:szCs w:val="24"/>
        </w:rPr>
        <w:t>, 107108. https://doi.org/10.1016/j.addbeh.2021.107108</w:t>
      </w:r>
    </w:p>
    <w:p w14:paraId="25716576" w14:textId="77777777" w:rsidR="00BF2EEC" w:rsidRPr="006E1978" w:rsidRDefault="00BF2EEC" w:rsidP="00BF2EEC">
      <w:pPr>
        <w:snapToGrid w:val="0"/>
        <w:spacing w:line="480" w:lineRule="auto"/>
        <w:ind w:left="480" w:hangingChars="200" w:hanging="480"/>
        <w:jc w:val="left"/>
        <w:rPr>
          <w:rFonts w:cs="Times New Roman"/>
          <w:sz w:val="24"/>
          <w:szCs w:val="24"/>
        </w:rPr>
      </w:pPr>
      <w:proofErr w:type="spellStart"/>
      <w:r w:rsidRPr="006E1978">
        <w:rPr>
          <w:rFonts w:cs="Times New Roman"/>
          <w:sz w:val="24"/>
          <w:szCs w:val="24"/>
        </w:rPr>
        <w:t>Richins</w:t>
      </w:r>
      <w:proofErr w:type="spellEnd"/>
      <w:r w:rsidRPr="006E1978">
        <w:rPr>
          <w:rFonts w:cs="Times New Roman"/>
          <w:sz w:val="24"/>
          <w:szCs w:val="24"/>
        </w:rPr>
        <w:t>, M. L. (2004). The material values scale: Measurement properties and development of a short form.</w:t>
      </w:r>
      <w:r w:rsidRPr="006E1978">
        <w:rPr>
          <w:rFonts w:cs="Times New Roman"/>
          <w:i/>
          <w:iCs/>
          <w:sz w:val="24"/>
          <w:szCs w:val="24"/>
        </w:rPr>
        <w:t xml:space="preserve"> Journal of Consumer Research, 31</w:t>
      </w:r>
      <w:r w:rsidRPr="006E1978">
        <w:rPr>
          <w:rFonts w:cs="Times New Roman"/>
          <w:sz w:val="24"/>
          <w:szCs w:val="24"/>
        </w:rPr>
        <w:t>(1), 209-219. https://doi.org/10.1086/383436</w:t>
      </w:r>
    </w:p>
    <w:p w14:paraId="08CB8E54" w14:textId="259FF209" w:rsidR="00973293" w:rsidRPr="006E1978" w:rsidRDefault="00973293" w:rsidP="00973293">
      <w:pPr>
        <w:pStyle w:val="Bibliography"/>
        <w:jc w:val="left"/>
        <w:rPr>
          <w:rFonts w:cs="Times New Roman"/>
          <w:sz w:val="24"/>
          <w:lang w:val="en-GB"/>
        </w:rPr>
      </w:pPr>
      <w:r w:rsidRPr="006E1978">
        <w:rPr>
          <w:rFonts w:cs="Times New Roman"/>
          <w:sz w:val="24"/>
          <w:lang w:val="en-GB"/>
        </w:rPr>
        <w:t xml:space="preserve">Rydell, R. J., </w:t>
      </w:r>
      <w:proofErr w:type="spellStart"/>
      <w:r w:rsidRPr="006E1978">
        <w:rPr>
          <w:rFonts w:cs="Times New Roman"/>
          <w:sz w:val="24"/>
          <w:lang w:val="en-GB"/>
        </w:rPr>
        <w:t>Hugenberg</w:t>
      </w:r>
      <w:proofErr w:type="spellEnd"/>
      <w:r w:rsidRPr="006E1978">
        <w:rPr>
          <w:rFonts w:cs="Times New Roman"/>
          <w:sz w:val="24"/>
          <w:lang w:val="en-GB"/>
        </w:rPr>
        <w:t xml:space="preserve">, K., Ray, D., &amp; Mackie, D. M. (2007). Implicit theories about groups and stereotyping: The role of group entitativity. </w:t>
      </w:r>
      <w:r w:rsidRPr="006E1978">
        <w:rPr>
          <w:rFonts w:cs="Times New Roman"/>
          <w:i/>
          <w:iCs/>
          <w:sz w:val="24"/>
          <w:lang w:val="en-GB"/>
        </w:rPr>
        <w:t>Personality and Social Psychology Bulletin, 33</w:t>
      </w:r>
      <w:r w:rsidRPr="006E1978">
        <w:rPr>
          <w:rFonts w:cs="Times New Roman"/>
          <w:sz w:val="24"/>
          <w:lang w:val="en-GB"/>
        </w:rPr>
        <w:t>(4), 549</w:t>
      </w:r>
      <w:r w:rsidR="0099478A" w:rsidRPr="006E1978">
        <w:rPr>
          <w:rFonts w:cs="Times New Roman"/>
          <w:sz w:val="24"/>
          <w:lang w:val="en-GB"/>
        </w:rPr>
        <w:t>-</w:t>
      </w:r>
      <w:r w:rsidRPr="006E1978">
        <w:rPr>
          <w:rFonts w:cs="Times New Roman"/>
          <w:sz w:val="24"/>
          <w:lang w:val="en-GB"/>
        </w:rPr>
        <w:t>558. https://doi.org/10.1177/0146167206296956</w:t>
      </w:r>
    </w:p>
    <w:p w14:paraId="184436D3" w14:textId="62D15A3E" w:rsidR="00EC74CF" w:rsidRPr="006E1978" w:rsidRDefault="00EC74CF" w:rsidP="006C04AB">
      <w:pPr>
        <w:spacing w:line="480" w:lineRule="auto"/>
        <w:ind w:left="480" w:hangingChars="200" w:hanging="480"/>
        <w:jc w:val="left"/>
        <w:rPr>
          <w:rFonts w:eastAsia="Microsoft JhengHei UI" w:cs="Times New Roman"/>
          <w:color w:val="323130"/>
          <w:sz w:val="24"/>
          <w:szCs w:val="24"/>
          <w:shd w:val="clear" w:color="auto" w:fill="FFFFFF"/>
        </w:rPr>
      </w:pPr>
      <w:r w:rsidRPr="006E1978">
        <w:rPr>
          <w:rFonts w:eastAsia="Microsoft JhengHei UI" w:cs="Times New Roman"/>
          <w:color w:val="323130"/>
          <w:sz w:val="24"/>
          <w:szCs w:val="24"/>
          <w:shd w:val="clear" w:color="auto" w:fill="FFFFFF"/>
        </w:rPr>
        <w:t xml:space="preserve">Sellers, R., Varese, F., Wells, A., &amp; Morrison, A. P. (2017). A meta-analysis of metacognitive beliefs as implicated in the self-regulatory executive function model in clinical psychosis. </w:t>
      </w:r>
      <w:r w:rsidRPr="006E1978">
        <w:rPr>
          <w:rFonts w:eastAsia="Microsoft JhengHei UI" w:cs="Times New Roman"/>
          <w:i/>
          <w:iCs/>
          <w:color w:val="323130"/>
          <w:sz w:val="24"/>
          <w:szCs w:val="24"/>
          <w:shd w:val="clear" w:color="auto" w:fill="FFFFFF"/>
        </w:rPr>
        <w:t>Schizophrenia Research, 179,</w:t>
      </w:r>
      <w:r w:rsidRPr="006E1978">
        <w:rPr>
          <w:rFonts w:eastAsia="Microsoft JhengHei UI" w:cs="Times New Roman"/>
          <w:color w:val="323130"/>
          <w:sz w:val="24"/>
          <w:szCs w:val="24"/>
          <w:shd w:val="clear" w:color="auto" w:fill="FFFFFF"/>
        </w:rPr>
        <w:t xml:space="preserve"> 75-84.</w:t>
      </w:r>
      <w:r w:rsidRPr="006E1978">
        <w:t xml:space="preserve"> </w:t>
      </w:r>
      <w:r w:rsidRPr="006E1978">
        <w:rPr>
          <w:rFonts w:eastAsia="Microsoft JhengHei UI" w:cs="Times New Roman"/>
          <w:color w:val="323130"/>
          <w:sz w:val="24"/>
          <w:szCs w:val="24"/>
          <w:shd w:val="clear" w:color="auto" w:fill="FFFFFF"/>
        </w:rPr>
        <w:t>https://doi.org/10.1016/j.schres.2016.09.032</w:t>
      </w:r>
    </w:p>
    <w:p w14:paraId="721A93B0" w14:textId="0D913FAB"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Spada, M. M., &amp; Caselli, G. (2017). The metacognitions about online gaming scale: Development and psychometric properties. </w:t>
      </w:r>
      <w:r w:rsidRPr="006E1978">
        <w:rPr>
          <w:rFonts w:cs="Times New Roman"/>
          <w:i/>
          <w:iCs/>
          <w:sz w:val="24"/>
          <w:szCs w:val="24"/>
        </w:rPr>
        <w:t>Addictive Behaviors, 64</w:t>
      </w:r>
      <w:r w:rsidRPr="006E1978">
        <w:rPr>
          <w:rFonts w:cs="Times New Roman"/>
          <w:sz w:val="24"/>
          <w:szCs w:val="24"/>
        </w:rPr>
        <w:t>, 281-286. https://doi.org/10.1016/j.addbeh.2015.07.007</w:t>
      </w:r>
    </w:p>
    <w:p w14:paraId="15447B5B" w14:textId="2F722792" w:rsidR="00916DD6" w:rsidRPr="006E1978" w:rsidRDefault="00916DD6"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Spada, M. M., Caselli, G., </w:t>
      </w:r>
      <w:proofErr w:type="spellStart"/>
      <w:r w:rsidRPr="006E1978">
        <w:rPr>
          <w:rFonts w:cs="Times New Roman"/>
          <w:sz w:val="24"/>
          <w:szCs w:val="24"/>
        </w:rPr>
        <w:t>Nikčević</w:t>
      </w:r>
      <w:proofErr w:type="spellEnd"/>
      <w:r w:rsidRPr="006E1978">
        <w:rPr>
          <w:rFonts w:cs="Times New Roman"/>
          <w:sz w:val="24"/>
          <w:szCs w:val="24"/>
        </w:rPr>
        <w:t xml:space="preserve">, A. V., &amp; Wells, A. (2015). Metacognition in addictive behaviors. </w:t>
      </w:r>
      <w:r w:rsidRPr="006E1978">
        <w:rPr>
          <w:rFonts w:cs="Times New Roman"/>
          <w:i/>
          <w:iCs/>
          <w:sz w:val="24"/>
          <w:szCs w:val="24"/>
        </w:rPr>
        <w:t>Addictive Behaviors, 44</w:t>
      </w:r>
      <w:r w:rsidRPr="006E1978">
        <w:rPr>
          <w:rFonts w:cs="Times New Roman"/>
          <w:sz w:val="24"/>
          <w:szCs w:val="24"/>
        </w:rPr>
        <w:t>, 9</w:t>
      </w:r>
      <w:r w:rsidR="0099478A" w:rsidRPr="006E1978">
        <w:rPr>
          <w:rFonts w:cs="Times New Roman"/>
          <w:sz w:val="24"/>
          <w:szCs w:val="24"/>
        </w:rPr>
        <w:t>-</w:t>
      </w:r>
      <w:r w:rsidRPr="006E1978">
        <w:rPr>
          <w:rFonts w:cs="Times New Roman"/>
          <w:sz w:val="24"/>
          <w:szCs w:val="24"/>
        </w:rPr>
        <w:t>15. https://doi.org/10.1016/j.addbeh.2014.08.002.</w:t>
      </w:r>
    </w:p>
    <w:p w14:paraId="00A0B742" w14:textId="7701A5D9"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lastRenderedPageBreak/>
        <w:t xml:space="preserve">Spada, M. M., </w:t>
      </w:r>
      <w:proofErr w:type="spellStart"/>
      <w:r w:rsidRPr="006E1978">
        <w:rPr>
          <w:rFonts w:cs="Times New Roman"/>
          <w:sz w:val="24"/>
          <w:szCs w:val="24"/>
        </w:rPr>
        <w:t>Nikčević</w:t>
      </w:r>
      <w:proofErr w:type="spellEnd"/>
      <w:r w:rsidRPr="006E1978">
        <w:rPr>
          <w:rFonts w:cs="Times New Roman"/>
          <w:sz w:val="24"/>
          <w:szCs w:val="24"/>
        </w:rPr>
        <w:t>, A. V., Moneta, G. B., &amp; Wells, A. (2008). Metacognition, perceived stress, and negative emotion.</w:t>
      </w:r>
      <w:r w:rsidRPr="006E1978">
        <w:rPr>
          <w:rFonts w:cs="Times New Roman"/>
          <w:i/>
          <w:iCs/>
          <w:sz w:val="24"/>
          <w:szCs w:val="24"/>
        </w:rPr>
        <w:t xml:space="preserve"> Personality and Individual Differences, 44</w:t>
      </w:r>
      <w:r w:rsidRPr="006E1978">
        <w:rPr>
          <w:rFonts w:cs="Times New Roman"/>
          <w:sz w:val="24"/>
          <w:szCs w:val="24"/>
        </w:rPr>
        <w:t>(5), 1172-1181. https://doi.org/10.1016/j.paid.2007.11.010</w:t>
      </w:r>
    </w:p>
    <w:p w14:paraId="30A31D3E" w14:textId="77777777"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Stanton, J. M., </w:t>
      </w:r>
      <w:proofErr w:type="spellStart"/>
      <w:r w:rsidRPr="006E1978">
        <w:rPr>
          <w:rFonts w:cs="Times New Roman"/>
          <w:sz w:val="24"/>
          <w:szCs w:val="24"/>
        </w:rPr>
        <w:t>Sinar</w:t>
      </w:r>
      <w:proofErr w:type="spellEnd"/>
      <w:r w:rsidRPr="006E1978">
        <w:rPr>
          <w:rFonts w:cs="Times New Roman"/>
          <w:sz w:val="24"/>
          <w:szCs w:val="24"/>
        </w:rPr>
        <w:t xml:space="preserve">, E. F., Balzer, W. K., &amp; Smith, P. C. (2002). Issues and strategies for reducing the length of self-report scales. </w:t>
      </w:r>
      <w:r w:rsidRPr="006E1978">
        <w:rPr>
          <w:rFonts w:cs="Times New Roman"/>
          <w:i/>
          <w:iCs/>
          <w:sz w:val="24"/>
          <w:szCs w:val="24"/>
        </w:rPr>
        <w:t>Personnel Psychology, 55</w:t>
      </w:r>
      <w:r w:rsidRPr="006E1978">
        <w:rPr>
          <w:rFonts w:cs="Times New Roman"/>
          <w:sz w:val="24"/>
          <w:szCs w:val="24"/>
        </w:rPr>
        <w:t>(1), 167-194. https://doi.org/10.1111/j.1744-6570.2002.tb00108.x</w:t>
      </w:r>
    </w:p>
    <w:p w14:paraId="7CA5AB30" w14:textId="77777777"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Stevens, M. W., </w:t>
      </w:r>
      <w:proofErr w:type="spellStart"/>
      <w:r w:rsidRPr="006E1978">
        <w:rPr>
          <w:rFonts w:cs="Times New Roman"/>
          <w:sz w:val="24"/>
          <w:szCs w:val="24"/>
        </w:rPr>
        <w:t>Dorstyn</w:t>
      </w:r>
      <w:proofErr w:type="spellEnd"/>
      <w:r w:rsidRPr="006E1978">
        <w:rPr>
          <w:rFonts w:cs="Times New Roman"/>
          <w:sz w:val="24"/>
          <w:szCs w:val="24"/>
        </w:rPr>
        <w:t xml:space="preserve">, D., </w:t>
      </w:r>
      <w:proofErr w:type="spellStart"/>
      <w:r w:rsidRPr="006E1978">
        <w:rPr>
          <w:rFonts w:cs="Times New Roman"/>
          <w:sz w:val="24"/>
          <w:szCs w:val="24"/>
        </w:rPr>
        <w:t>Delfabbro</w:t>
      </w:r>
      <w:proofErr w:type="spellEnd"/>
      <w:r w:rsidRPr="006E1978">
        <w:rPr>
          <w:rFonts w:cs="Times New Roman"/>
          <w:sz w:val="24"/>
          <w:szCs w:val="24"/>
        </w:rPr>
        <w:t xml:space="preserve">, P. H., &amp; King, D. L. (2021). Global prevalence of gaming disorder: A systematic review and meta-analysis. </w:t>
      </w:r>
      <w:r w:rsidRPr="006E1978">
        <w:rPr>
          <w:rFonts w:cs="Times New Roman"/>
          <w:i/>
          <w:iCs/>
          <w:sz w:val="24"/>
          <w:szCs w:val="24"/>
        </w:rPr>
        <w:t>Australian &amp; New Zealand Journal of Psychiatry, 55</w:t>
      </w:r>
      <w:r w:rsidRPr="006E1978">
        <w:rPr>
          <w:rFonts w:cs="Times New Roman"/>
          <w:sz w:val="24"/>
          <w:szCs w:val="24"/>
        </w:rPr>
        <w:t>(6), 553-568. https://doi.org/10.1177/0004867420962851</w:t>
      </w:r>
    </w:p>
    <w:p w14:paraId="7AA549B5" w14:textId="77777777"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Sun, X., Zhu, C., &amp; So, S. H. W. (2017). Dysfunctional metacognition across psychopathologies: A meta-analytic review.</w:t>
      </w:r>
      <w:r w:rsidRPr="006E1978">
        <w:rPr>
          <w:rFonts w:cs="Times New Roman"/>
          <w:i/>
          <w:iCs/>
          <w:sz w:val="24"/>
          <w:szCs w:val="24"/>
        </w:rPr>
        <w:t xml:space="preserve"> European Psychiatry, 45,</w:t>
      </w:r>
      <w:r w:rsidRPr="006E1978">
        <w:rPr>
          <w:rFonts w:cs="Times New Roman"/>
          <w:sz w:val="24"/>
          <w:szCs w:val="24"/>
        </w:rPr>
        <w:t>139-153. https://doi.org/10.1016/j.eurpsy.2017.05.029</w:t>
      </w:r>
    </w:p>
    <w:p w14:paraId="32099154" w14:textId="79F271D1"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Wang, K., Shi, H.-S., </w:t>
      </w:r>
      <w:proofErr w:type="spellStart"/>
      <w:r w:rsidRPr="006E1978">
        <w:rPr>
          <w:rFonts w:cs="Times New Roman"/>
          <w:sz w:val="24"/>
          <w:szCs w:val="24"/>
        </w:rPr>
        <w:t>Geng</w:t>
      </w:r>
      <w:proofErr w:type="spellEnd"/>
      <w:r w:rsidRPr="006E1978">
        <w:rPr>
          <w:rFonts w:cs="Times New Roman"/>
          <w:sz w:val="24"/>
          <w:szCs w:val="24"/>
        </w:rPr>
        <w:t xml:space="preserve">, F.-L., Zou, L.-Q., Tan, S.-P., Wang, Y., Neumann, D. L., Shum, D. H. K., &amp; Chan, R. C. K. (2016). Cross-cultural validation of the Depression Anxiety Stress Scale–21 in China. </w:t>
      </w:r>
      <w:r w:rsidRPr="006E1978">
        <w:rPr>
          <w:rFonts w:cs="Times New Roman"/>
          <w:i/>
          <w:iCs/>
          <w:sz w:val="24"/>
          <w:szCs w:val="24"/>
        </w:rPr>
        <w:t>Psychological Assessment, 28</w:t>
      </w:r>
      <w:r w:rsidRPr="006E1978">
        <w:rPr>
          <w:rFonts w:cs="Times New Roman"/>
          <w:sz w:val="24"/>
          <w:szCs w:val="24"/>
        </w:rPr>
        <w:t>(5), e88</w:t>
      </w:r>
      <w:r w:rsidR="00776CDC" w:rsidRPr="006E1978">
        <w:rPr>
          <w:rFonts w:cs="Times New Roman"/>
          <w:sz w:val="24"/>
          <w:szCs w:val="24"/>
        </w:rPr>
        <w:t>-</w:t>
      </w:r>
      <w:r w:rsidRPr="006E1978">
        <w:rPr>
          <w:rFonts w:cs="Times New Roman"/>
          <w:sz w:val="24"/>
          <w:szCs w:val="24"/>
        </w:rPr>
        <w:t>e100. https://doi.org/10.1037/pas0000207</w:t>
      </w:r>
    </w:p>
    <w:p w14:paraId="3418FEA3" w14:textId="3FB5BF97"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 xml:space="preserve">Wells, A., </w:t>
      </w:r>
      <w:r w:rsidR="00721449" w:rsidRPr="006E1978">
        <w:rPr>
          <w:rFonts w:cs="Times New Roman"/>
          <w:sz w:val="24"/>
          <w:szCs w:val="24"/>
        </w:rPr>
        <w:t xml:space="preserve">&amp; </w:t>
      </w:r>
      <w:r w:rsidRPr="006E1978">
        <w:rPr>
          <w:rFonts w:cs="Times New Roman"/>
          <w:sz w:val="24"/>
          <w:szCs w:val="24"/>
        </w:rPr>
        <w:t>Matthews, G.</w:t>
      </w:r>
      <w:r w:rsidR="00721449" w:rsidRPr="006E1978">
        <w:rPr>
          <w:rFonts w:cs="Times New Roman"/>
          <w:sz w:val="24"/>
          <w:szCs w:val="24"/>
        </w:rPr>
        <w:t xml:space="preserve"> (</w:t>
      </w:r>
      <w:r w:rsidRPr="006E1978">
        <w:rPr>
          <w:rFonts w:cs="Times New Roman"/>
          <w:sz w:val="24"/>
          <w:szCs w:val="24"/>
        </w:rPr>
        <w:t>1994</w:t>
      </w:r>
      <w:r w:rsidR="00721449" w:rsidRPr="006E1978">
        <w:rPr>
          <w:rFonts w:cs="Times New Roman"/>
          <w:sz w:val="24"/>
          <w:szCs w:val="24"/>
        </w:rPr>
        <w:t>)</w:t>
      </w:r>
      <w:r w:rsidRPr="006E1978">
        <w:rPr>
          <w:rFonts w:cs="Times New Roman"/>
          <w:sz w:val="24"/>
          <w:szCs w:val="24"/>
        </w:rPr>
        <w:t xml:space="preserve">. </w:t>
      </w:r>
      <w:r w:rsidRPr="006E1978">
        <w:rPr>
          <w:rFonts w:cs="Times New Roman"/>
          <w:i/>
          <w:iCs/>
          <w:sz w:val="24"/>
          <w:szCs w:val="24"/>
        </w:rPr>
        <w:t>Attention and emotion: A clinical perspective. Erlbaum.</w:t>
      </w:r>
      <w:r w:rsidRPr="006E1978">
        <w:rPr>
          <w:rFonts w:cs="Times New Roman"/>
          <w:sz w:val="24"/>
          <w:szCs w:val="24"/>
        </w:rPr>
        <w:t xml:space="preserve"> Psychology Press, Hove.</w:t>
      </w:r>
    </w:p>
    <w:p w14:paraId="610E7D81" w14:textId="2C12EE84" w:rsidR="00721449" w:rsidRPr="006E1978" w:rsidRDefault="00721449" w:rsidP="00721449">
      <w:pPr>
        <w:snapToGrid w:val="0"/>
        <w:spacing w:line="480" w:lineRule="auto"/>
        <w:ind w:left="480" w:hangingChars="200" w:hanging="480"/>
        <w:jc w:val="left"/>
        <w:rPr>
          <w:rFonts w:cs="Times New Roman"/>
          <w:sz w:val="24"/>
          <w:szCs w:val="24"/>
        </w:rPr>
      </w:pPr>
      <w:r w:rsidRPr="006E1978">
        <w:rPr>
          <w:rFonts w:cs="Times New Roman"/>
          <w:sz w:val="24"/>
          <w:szCs w:val="24"/>
        </w:rPr>
        <w:t xml:space="preserve">Wells, A., &amp; Colbear, J. S. (2012). Treating Posttraumatic Stress Disorder With Metacognitive Therapy: A Preliminary Controlled Trial: Metacognitive Therapy for PTSD. </w:t>
      </w:r>
      <w:r w:rsidRPr="006E1978">
        <w:rPr>
          <w:rFonts w:cs="Times New Roman"/>
          <w:i/>
          <w:iCs/>
          <w:sz w:val="24"/>
          <w:szCs w:val="24"/>
        </w:rPr>
        <w:t>Journal of Clinical Psychology</w:t>
      </w:r>
      <w:r w:rsidRPr="006E1978">
        <w:rPr>
          <w:rFonts w:cs="Times New Roman"/>
          <w:sz w:val="24"/>
          <w:szCs w:val="24"/>
        </w:rPr>
        <w:t xml:space="preserve">, </w:t>
      </w:r>
      <w:r w:rsidRPr="006E1978">
        <w:rPr>
          <w:rFonts w:cs="Times New Roman"/>
          <w:i/>
          <w:iCs/>
          <w:sz w:val="24"/>
          <w:szCs w:val="24"/>
        </w:rPr>
        <w:t>68</w:t>
      </w:r>
      <w:r w:rsidRPr="006E1978">
        <w:rPr>
          <w:rFonts w:cs="Times New Roman"/>
          <w:sz w:val="24"/>
          <w:szCs w:val="24"/>
        </w:rPr>
        <w:t>(4), 373</w:t>
      </w:r>
      <w:r w:rsidR="0099478A" w:rsidRPr="006E1978">
        <w:rPr>
          <w:rFonts w:cs="Times New Roman"/>
          <w:sz w:val="24"/>
          <w:szCs w:val="24"/>
        </w:rPr>
        <w:t>-</w:t>
      </w:r>
      <w:r w:rsidRPr="006E1978">
        <w:rPr>
          <w:rFonts w:cs="Times New Roman"/>
          <w:sz w:val="24"/>
          <w:szCs w:val="24"/>
        </w:rPr>
        <w:t xml:space="preserve">381. </w:t>
      </w:r>
      <w:r w:rsidR="0099478A" w:rsidRPr="006E1978">
        <w:rPr>
          <w:rFonts w:cs="Times New Roman"/>
          <w:sz w:val="24"/>
          <w:szCs w:val="24"/>
        </w:rPr>
        <w:t>https://doi.org/10.1002/jclp.20871</w:t>
      </w:r>
    </w:p>
    <w:p w14:paraId="73F501E3" w14:textId="77777777" w:rsidR="006E1978" w:rsidRDefault="006E1978" w:rsidP="00BF2EEC">
      <w:pPr>
        <w:snapToGrid w:val="0"/>
        <w:spacing w:line="480" w:lineRule="auto"/>
        <w:ind w:left="480" w:hangingChars="200" w:hanging="480"/>
        <w:jc w:val="left"/>
        <w:rPr>
          <w:rFonts w:cs="Times New Roman"/>
          <w:sz w:val="24"/>
          <w:szCs w:val="24"/>
        </w:rPr>
      </w:pPr>
    </w:p>
    <w:p w14:paraId="2A3113D1" w14:textId="77777777" w:rsidR="006E1978" w:rsidRDefault="006E1978" w:rsidP="00BF2EEC">
      <w:pPr>
        <w:snapToGrid w:val="0"/>
        <w:spacing w:line="480" w:lineRule="auto"/>
        <w:ind w:left="480" w:hangingChars="200" w:hanging="480"/>
        <w:jc w:val="left"/>
        <w:rPr>
          <w:rFonts w:cs="Times New Roman"/>
          <w:sz w:val="24"/>
          <w:szCs w:val="24"/>
        </w:rPr>
      </w:pPr>
    </w:p>
    <w:p w14:paraId="3DED72C1" w14:textId="76A16F20" w:rsidR="00BF2EEC" w:rsidRPr="006E1978" w:rsidRDefault="00BF2EEC" w:rsidP="00BF2EEC">
      <w:pPr>
        <w:snapToGrid w:val="0"/>
        <w:spacing w:line="480" w:lineRule="auto"/>
        <w:ind w:left="480" w:hangingChars="200" w:hanging="480"/>
        <w:jc w:val="left"/>
        <w:rPr>
          <w:rFonts w:cs="Times New Roman"/>
          <w:sz w:val="24"/>
          <w:szCs w:val="24"/>
        </w:rPr>
      </w:pPr>
      <w:proofErr w:type="spellStart"/>
      <w:r w:rsidRPr="006E1978">
        <w:rPr>
          <w:rFonts w:cs="Times New Roman"/>
          <w:sz w:val="24"/>
          <w:szCs w:val="24"/>
        </w:rPr>
        <w:lastRenderedPageBreak/>
        <w:t>Wiriyakijja</w:t>
      </w:r>
      <w:proofErr w:type="spellEnd"/>
      <w:r w:rsidRPr="006E1978">
        <w:rPr>
          <w:rFonts w:cs="Times New Roman"/>
          <w:sz w:val="24"/>
          <w:szCs w:val="24"/>
        </w:rPr>
        <w:t xml:space="preserve">, P., Porter, S., Fedele, S., Hodgson, T., McMillan, R., Shephard, M., &amp; Ni </w:t>
      </w:r>
      <w:proofErr w:type="spellStart"/>
      <w:r w:rsidRPr="006E1978">
        <w:rPr>
          <w:rFonts w:cs="Times New Roman"/>
          <w:sz w:val="24"/>
          <w:szCs w:val="24"/>
        </w:rPr>
        <w:t>Riordain</w:t>
      </w:r>
      <w:proofErr w:type="spellEnd"/>
      <w:r w:rsidRPr="006E1978">
        <w:rPr>
          <w:rFonts w:cs="Times New Roman"/>
          <w:sz w:val="24"/>
          <w:szCs w:val="24"/>
        </w:rPr>
        <w:t xml:space="preserve">, R. (2020). Development and validation of a short version of Chronic Oral Mucosal Disease Questionnaire (COMDQ‐15). </w:t>
      </w:r>
      <w:r w:rsidRPr="006E1978">
        <w:rPr>
          <w:rFonts w:cs="Times New Roman"/>
          <w:i/>
          <w:iCs/>
          <w:sz w:val="24"/>
          <w:szCs w:val="24"/>
        </w:rPr>
        <w:t>Journal of Oral Pathology &amp; Medicine, 49</w:t>
      </w:r>
      <w:r w:rsidRPr="006E1978">
        <w:rPr>
          <w:rFonts w:cs="Times New Roman"/>
          <w:sz w:val="24"/>
          <w:szCs w:val="24"/>
        </w:rPr>
        <w:t>(1), 55-62. https://doi-org.libezproxy.um.edu.mo/10.1111/jop.12964</w:t>
      </w:r>
    </w:p>
    <w:p w14:paraId="59583126" w14:textId="77777777" w:rsidR="00BF2EEC" w:rsidRPr="006E1978" w:rsidRDefault="00BF2EEC" w:rsidP="00BF2EEC">
      <w:pPr>
        <w:snapToGrid w:val="0"/>
        <w:spacing w:line="480" w:lineRule="auto"/>
        <w:ind w:left="480" w:hangingChars="200" w:hanging="480"/>
        <w:jc w:val="left"/>
        <w:rPr>
          <w:rFonts w:cs="Times New Roman"/>
          <w:sz w:val="24"/>
          <w:szCs w:val="24"/>
        </w:rPr>
      </w:pPr>
      <w:r w:rsidRPr="006E1978">
        <w:rPr>
          <w:rFonts w:cs="Times New Roman"/>
          <w:sz w:val="24"/>
          <w:szCs w:val="24"/>
        </w:rPr>
        <w:t>World Health Organization (2019).</w:t>
      </w:r>
      <w:r w:rsidRPr="006E1978">
        <w:rPr>
          <w:rFonts w:cs="Times New Roman"/>
          <w:i/>
          <w:iCs/>
          <w:sz w:val="24"/>
          <w:szCs w:val="24"/>
        </w:rPr>
        <w:t xml:space="preserve"> International Statistical Classification of Diseases and Related Health Problems (11th ed.).</w:t>
      </w:r>
      <w:r w:rsidRPr="006E1978">
        <w:rPr>
          <w:rFonts w:cs="Times New Roman"/>
          <w:sz w:val="24"/>
          <w:szCs w:val="24"/>
        </w:rPr>
        <w:t xml:space="preserve"> WHO: Geneva.</w:t>
      </w:r>
    </w:p>
    <w:p w14:paraId="06EBF5B5" w14:textId="4B660B90" w:rsidR="00BF2EEC" w:rsidRPr="006E1978" w:rsidRDefault="00BF2EEC" w:rsidP="00950CF7">
      <w:pPr>
        <w:snapToGrid w:val="0"/>
        <w:spacing w:line="480" w:lineRule="auto"/>
        <w:ind w:left="480" w:hangingChars="200" w:hanging="480"/>
        <w:jc w:val="left"/>
      </w:pPr>
      <w:r w:rsidRPr="006E1978">
        <w:rPr>
          <w:rFonts w:cs="Times New Roman"/>
          <w:sz w:val="24"/>
          <w:szCs w:val="24"/>
        </w:rPr>
        <w:t xml:space="preserve">Zhang, M. X., Lei, L. S., Wells, A., Dang, L., &amp; Wu, A. M. (2020). Validation of a Chinese version of the short form of Metacognitions Questionnaire (MCQ-30). </w:t>
      </w:r>
      <w:r w:rsidRPr="006E1978">
        <w:rPr>
          <w:rFonts w:cs="Times New Roman"/>
          <w:i/>
          <w:iCs/>
          <w:sz w:val="24"/>
          <w:szCs w:val="24"/>
        </w:rPr>
        <w:t>Journal of Affective Disorders, 277</w:t>
      </w:r>
      <w:r w:rsidRPr="006E1978">
        <w:rPr>
          <w:rFonts w:cs="Times New Roman"/>
          <w:sz w:val="24"/>
          <w:szCs w:val="24"/>
        </w:rPr>
        <w:t>, 417-424. https://doi.org/10.1016/j.jad.2020.08.028</w:t>
      </w:r>
    </w:p>
    <w:p w14:paraId="6629F072" w14:textId="77777777" w:rsidR="008C706A" w:rsidRPr="006E1978" w:rsidRDefault="008C706A" w:rsidP="00950CF7">
      <w:pPr>
        <w:snapToGrid w:val="0"/>
        <w:spacing w:line="480" w:lineRule="auto"/>
        <w:jc w:val="left"/>
        <w:rPr>
          <w:rFonts w:cs="Times New Roman"/>
          <w:sz w:val="24"/>
          <w:szCs w:val="24"/>
        </w:rPr>
        <w:sectPr w:rsidR="008C706A" w:rsidRPr="006E1978" w:rsidSect="007850E6">
          <w:headerReference w:type="default" r:id="rId10"/>
          <w:headerReference w:type="first" r:id="rId11"/>
          <w:pgSz w:w="11906" w:h="16838"/>
          <w:pgMar w:top="1440" w:right="1797" w:bottom="1440" w:left="1797" w:header="851" w:footer="992" w:gutter="0"/>
          <w:lnNumType w:countBy="1" w:restart="continuous"/>
          <w:cols w:space="425"/>
          <w:docGrid w:type="lines" w:linePitch="312"/>
        </w:sectPr>
      </w:pPr>
    </w:p>
    <w:p w14:paraId="32AF069E" w14:textId="5B67B6CA" w:rsidR="00915A5D" w:rsidRPr="006E1978" w:rsidRDefault="00915A5D" w:rsidP="00915A5D">
      <w:pPr>
        <w:rPr>
          <w:rFonts w:cs="Times New Roman"/>
          <w:b/>
          <w:bCs/>
          <w:sz w:val="24"/>
          <w:szCs w:val="32"/>
        </w:rPr>
      </w:pPr>
      <w:bookmarkStart w:id="17" w:name="_Hlk86004272"/>
      <w:r w:rsidRPr="006E1978">
        <w:rPr>
          <w:rFonts w:cs="Times New Roman"/>
          <w:b/>
          <w:bCs/>
          <w:sz w:val="24"/>
          <w:szCs w:val="32"/>
        </w:rPr>
        <w:lastRenderedPageBreak/>
        <w:t>Table 1</w:t>
      </w:r>
    </w:p>
    <w:p w14:paraId="7F9DA75F" w14:textId="77777777" w:rsidR="00915A5D" w:rsidRPr="006E1978" w:rsidRDefault="00915A5D" w:rsidP="00915A5D">
      <w:pPr>
        <w:rPr>
          <w:rFonts w:cs="Times New Roman"/>
          <w:color w:val="000000" w:themeColor="text1"/>
          <w:sz w:val="24"/>
          <w:szCs w:val="32"/>
        </w:rPr>
      </w:pPr>
      <w:r w:rsidRPr="006E1978">
        <w:rPr>
          <w:rFonts w:cs="Times New Roman"/>
          <w:color w:val="000000" w:themeColor="text1"/>
          <w:sz w:val="24"/>
          <w:szCs w:val="32"/>
        </w:rPr>
        <w:t>Item characteristics and exploratory factor analyses of MOGS items for the 12-item and 11-item versions based on Subsample A (</w:t>
      </w:r>
      <w:r w:rsidRPr="006E1978">
        <w:rPr>
          <w:rFonts w:cs="Times New Roman"/>
          <w:i/>
          <w:iCs/>
          <w:color w:val="000000" w:themeColor="text1"/>
          <w:sz w:val="24"/>
          <w:szCs w:val="32"/>
        </w:rPr>
        <w:t>n</w:t>
      </w:r>
      <w:r w:rsidRPr="006E1978">
        <w:rPr>
          <w:rFonts w:cs="Times New Roman"/>
          <w:color w:val="000000" w:themeColor="text1"/>
          <w:sz w:val="24"/>
          <w:szCs w:val="32"/>
        </w:rPr>
        <w:t xml:space="preserve"> = 670).</w:t>
      </w:r>
    </w:p>
    <w:tbl>
      <w:tblPr>
        <w:tblW w:w="145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232"/>
        <w:gridCol w:w="709"/>
        <w:gridCol w:w="851"/>
        <w:gridCol w:w="567"/>
        <w:gridCol w:w="567"/>
        <w:gridCol w:w="992"/>
        <w:gridCol w:w="1134"/>
        <w:gridCol w:w="709"/>
        <w:gridCol w:w="708"/>
        <w:gridCol w:w="993"/>
        <w:gridCol w:w="1134"/>
      </w:tblGrid>
      <w:tr w:rsidR="00915A5D" w:rsidRPr="006E1978" w14:paraId="1ECE4600" w14:textId="77777777" w:rsidTr="00474F6C">
        <w:trPr>
          <w:trHeight w:val="320"/>
        </w:trPr>
        <w:tc>
          <w:tcPr>
            <w:tcW w:w="6232" w:type="dxa"/>
            <w:vMerge w:val="restart"/>
            <w:tcBorders>
              <w:top w:val="single" w:sz="4" w:space="0" w:color="000000" w:themeColor="text1"/>
            </w:tcBorders>
            <w:shd w:val="clear" w:color="auto" w:fill="auto"/>
            <w:noWrap/>
            <w:vAlign w:val="center"/>
            <w:hideMark/>
          </w:tcPr>
          <w:p w14:paraId="5E2AEEC1" w14:textId="77777777" w:rsidR="00915A5D" w:rsidRPr="006E1978" w:rsidRDefault="00915A5D" w:rsidP="00474F6C">
            <w:pPr>
              <w:widowControl/>
              <w:jc w:val="left"/>
              <w:rPr>
                <w:rFonts w:ascii="SimSun" w:eastAsia="SimSun" w:hAnsi="SimSun" w:cs="SimSun"/>
                <w:kern w:val="0"/>
                <w:sz w:val="24"/>
              </w:rPr>
            </w:pPr>
          </w:p>
        </w:tc>
        <w:tc>
          <w:tcPr>
            <w:tcW w:w="709" w:type="dxa"/>
            <w:vMerge w:val="restart"/>
            <w:tcBorders>
              <w:top w:val="single" w:sz="4" w:space="0" w:color="000000" w:themeColor="text1"/>
            </w:tcBorders>
            <w:vAlign w:val="center"/>
          </w:tcPr>
          <w:p w14:paraId="30165D12" w14:textId="77777777" w:rsidR="00915A5D" w:rsidRPr="006E1978" w:rsidRDefault="00915A5D" w:rsidP="00474F6C">
            <w:pPr>
              <w:jc w:val="center"/>
              <w:rPr>
                <w:rFonts w:eastAsia="DengXian" w:cs="Times New Roman"/>
                <w:color w:val="000000"/>
                <w:kern w:val="0"/>
                <w:sz w:val="20"/>
                <w:szCs w:val="20"/>
              </w:rPr>
            </w:pPr>
            <w:r w:rsidRPr="006E1978">
              <w:rPr>
                <w:rFonts w:eastAsia="DengXian" w:cs="Times New Roman"/>
                <w:color w:val="000000"/>
                <w:kern w:val="0"/>
                <w:sz w:val="20"/>
                <w:szCs w:val="20"/>
              </w:rPr>
              <w:t>Skew-ness</w:t>
            </w:r>
          </w:p>
        </w:tc>
        <w:tc>
          <w:tcPr>
            <w:tcW w:w="851" w:type="dxa"/>
            <w:vMerge w:val="restart"/>
            <w:tcBorders>
              <w:top w:val="single" w:sz="4" w:space="0" w:color="000000" w:themeColor="text1"/>
            </w:tcBorders>
            <w:vAlign w:val="center"/>
          </w:tcPr>
          <w:p w14:paraId="64FD5826" w14:textId="77777777" w:rsidR="00915A5D" w:rsidRPr="006E1978" w:rsidRDefault="00915A5D" w:rsidP="00474F6C">
            <w:pPr>
              <w:jc w:val="center"/>
              <w:rPr>
                <w:rFonts w:eastAsia="DengXian" w:cs="Times New Roman"/>
                <w:color w:val="000000"/>
                <w:kern w:val="0"/>
                <w:sz w:val="20"/>
                <w:szCs w:val="20"/>
              </w:rPr>
            </w:pPr>
            <w:r w:rsidRPr="006E1978">
              <w:rPr>
                <w:rFonts w:eastAsia="DengXian" w:cs="Times New Roman"/>
                <w:color w:val="000000"/>
                <w:kern w:val="0"/>
                <w:sz w:val="20"/>
                <w:szCs w:val="20"/>
              </w:rPr>
              <w:t>Kur-</w:t>
            </w:r>
            <w:proofErr w:type="spellStart"/>
            <w:r w:rsidRPr="006E1978">
              <w:rPr>
                <w:rFonts w:eastAsia="DengXian" w:cs="Times New Roman"/>
                <w:color w:val="000000"/>
                <w:kern w:val="0"/>
                <w:sz w:val="20"/>
                <w:szCs w:val="20"/>
              </w:rPr>
              <w:t>tosis</w:t>
            </w:r>
            <w:proofErr w:type="spellEnd"/>
          </w:p>
        </w:tc>
        <w:tc>
          <w:tcPr>
            <w:tcW w:w="3260" w:type="dxa"/>
            <w:gridSpan w:val="4"/>
            <w:tcBorders>
              <w:top w:val="single" w:sz="4" w:space="0" w:color="000000" w:themeColor="text1"/>
              <w:bottom w:val="single" w:sz="4" w:space="0" w:color="000000" w:themeColor="text1"/>
              <w:right w:val="single" w:sz="24" w:space="0" w:color="FFFFFF" w:themeColor="background1"/>
            </w:tcBorders>
            <w:shd w:val="clear" w:color="auto" w:fill="auto"/>
            <w:noWrap/>
            <w:vAlign w:val="center"/>
            <w:hideMark/>
          </w:tcPr>
          <w:p w14:paraId="662B9720"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b/>
                <w:bCs/>
                <w:color w:val="000000"/>
                <w:kern w:val="0"/>
                <w:sz w:val="20"/>
                <w:szCs w:val="20"/>
              </w:rPr>
              <w:t>12-item version</w:t>
            </w:r>
          </w:p>
        </w:tc>
        <w:tc>
          <w:tcPr>
            <w:tcW w:w="3544" w:type="dxa"/>
            <w:gridSpan w:val="4"/>
            <w:tcBorders>
              <w:top w:val="single" w:sz="4" w:space="0" w:color="000000" w:themeColor="text1"/>
              <w:left w:val="single" w:sz="24" w:space="0" w:color="FFFFFF" w:themeColor="background1"/>
              <w:bottom w:val="single" w:sz="4" w:space="0" w:color="000000" w:themeColor="text1"/>
            </w:tcBorders>
            <w:shd w:val="clear" w:color="auto" w:fill="auto"/>
            <w:vAlign w:val="center"/>
          </w:tcPr>
          <w:p w14:paraId="315180FD" w14:textId="77777777" w:rsidR="00915A5D" w:rsidRPr="006E1978" w:rsidRDefault="00915A5D" w:rsidP="00474F6C">
            <w:pPr>
              <w:widowControl/>
              <w:jc w:val="center"/>
              <w:rPr>
                <w:rFonts w:eastAsia="DengXian" w:cs="Times New Roman"/>
                <w:b/>
                <w:bCs/>
                <w:color w:val="000000"/>
                <w:kern w:val="0"/>
                <w:sz w:val="24"/>
              </w:rPr>
            </w:pPr>
            <w:r w:rsidRPr="006E1978">
              <w:rPr>
                <w:rFonts w:eastAsia="DengXian" w:cs="Times New Roman"/>
                <w:b/>
                <w:bCs/>
                <w:color w:val="000000"/>
                <w:kern w:val="0"/>
                <w:sz w:val="20"/>
                <w:szCs w:val="20"/>
              </w:rPr>
              <w:t>11-item version</w:t>
            </w:r>
          </w:p>
        </w:tc>
      </w:tr>
      <w:tr w:rsidR="00915A5D" w:rsidRPr="006E1978" w14:paraId="231CE5F6" w14:textId="77777777" w:rsidTr="00474F6C">
        <w:trPr>
          <w:trHeight w:val="320"/>
        </w:trPr>
        <w:tc>
          <w:tcPr>
            <w:tcW w:w="6232" w:type="dxa"/>
            <w:vMerge/>
            <w:tcBorders>
              <w:bottom w:val="single" w:sz="4" w:space="0" w:color="000000" w:themeColor="text1"/>
            </w:tcBorders>
            <w:shd w:val="clear" w:color="auto" w:fill="auto"/>
            <w:noWrap/>
            <w:vAlign w:val="center"/>
            <w:hideMark/>
          </w:tcPr>
          <w:p w14:paraId="6A602A8A" w14:textId="77777777" w:rsidR="00915A5D" w:rsidRPr="006E1978" w:rsidRDefault="00915A5D" w:rsidP="00474F6C">
            <w:pPr>
              <w:widowControl/>
              <w:jc w:val="left"/>
              <w:rPr>
                <w:rFonts w:eastAsia="DengXian" w:cs="Times New Roman"/>
                <w:color w:val="000000"/>
                <w:kern w:val="0"/>
                <w:sz w:val="24"/>
              </w:rPr>
            </w:pPr>
          </w:p>
        </w:tc>
        <w:tc>
          <w:tcPr>
            <w:tcW w:w="709" w:type="dxa"/>
            <w:vMerge/>
            <w:tcBorders>
              <w:bottom w:val="single" w:sz="4" w:space="0" w:color="000000" w:themeColor="text1"/>
            </w:tcBorders>
            <w:vAlign w:val="center"/>
          </w:tcPr>
          <w:p w14:paraId="064CE759" w14:textId="77777777" w:rsidR="00915A5D" w:rsidRPr="006E1978" w:rsidRDefault="00915A5D" w:rsidP="00474F6C">
            <w:pPr>
              <w:widowControl/>
              <w:jc w:val="center"/>
              <w:rPr>
                <w:rFonts w:eastAsia="DengXian" w:cs="Times New Roman"/>
                <w:color w:val="000000"/>
                <w:kern w:val="0"/>
                <w:sz w:val="20"/>
                <w:szCs w:val="20"/>
              </w:rPr>
            </w:pPr>
          </w:p>
        </w:tc>
        <w:tc>
          <w:tcPr>
            <w:tcW w:w="851" w:type="dxa"/>
            <w:vMerge/>
            <w:tcBorders>
              <w:bottom w:val="single" w:sz="4" w:space="0" w:color="000000" w:themeColor="text1"/>
            </w:tcBorders>
            <w:vAlign w:val="center"/>
          </w:tcPr>
          <w:p w14:paraId="4F53F46F" w14:textId="77777777" w:rsidR="00915A5D" w:rsidRPr="006E1978" w:rsidRDefault="00915A5D" w:rsidP="00474F6C">
            <w:pPr>
              <w:widowControl/>
              <w:jc w:val="center"/>
              <w:rPr>
                <w:rFonts w:eastAsia="DengXian" w:cs="Times New Roman"/>
                <w:color w:val="000000"/>
                <w:kern w:val="0"/>
                <w:sz w:val="20"/>
                <w:szCs w:val="20"/>
              </w:rPr>
            </w:pPr>
          </w:p>
        </w:tc>
        <w:tc>
          <w:tcPr>
            <w:tcW w:w="567" w:type="dxa"/>
            <w:tcBorders>
              <w:top w:val="single" w:sz="4" w:space="0" w:color="000000" w:themeColor="text1"/>
              <w:bottom w:val="single" w:sz="4" w:space="0" w:color="000000" w:themeColor="text1"/>
            </w:tcBorders>
            <w:shd w:val="clear" w:color="auto" w:fill="auto"/>
            <w:noWrap/>
            <w:vAlign w:val="center"/>
            <w:hideMark/>
          </w:tcPr>
          <w:p w14:paraId="62D51B84"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F1</w:t>
            </w:r>
            <w:r w:rsidRPr="006E1978">
              <w:rPr>
                <w:rFonts w:eastAsia="DengXian" w:cs="Times New Roman"/>
                <w:color w:val="000000"/>
                <w:kern w:val="0"/>
                <w:sz w:val="20"/>
                <w:szCs w:val="20"/>
                <w:vertAlign w:val="superscript"/>
              </w:rPr>
              <w:t>a</w:t>
            </w:r>
          </w:p>
        </w:tc>
        <w:tc>
          <w:tcPr>
            <w:tcW w:w="567" w:type="dxa"/>
            <w:tcBorders>
              <w:top w:val="single" w:sz="4" w:space="0" w:color="000000" w:themeColor="text1"/>
              <w:bottom w:val="single" w:sz="4" w:space="0" w:color="000000" w:themeColor="text1"/>
            </w:tcBorders>
            <w:shd w:val="clear" w:color="auto" w:fill="auto"/>
            <w:noWrap/>
            <w:vAlign w:val="center"/>
            <w:hideMark/>
          </w:tcPr>
          <w:p w14:paraId="248D84F3"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F2</w:t>
            </w:r>
            <w:r w:rsidRPr="006E1978">
              <w:rPr>
                <w:rFonts w:eastAsia="DengXian" w:cs="Times New Roman"/>
                <w:color w:val="000000"/>
                <w:kern w:val="0"/>
                <w:sz w:val="20"/>
                <w:szCs w:val="20"/>
                <w:vertAlign w:val="superscript"/>
              </w:rPr>
              <w:t>a</w:t>
            </w:r>
          </w:p>
        </w:tc>
        <w:tc>
          <w:tcPr>
            <w:tcW w:w="992" w:type="dxa"/>
            <w:tcBorders>
              <w:top w:val="single" w:sz="4" w:space="0" w:color="000000" w:themeColor="text1"/>
              <w:bottom w:val="single" w:sz="4" w:space="0" w:color="000000" w:themeColor="text1"/>
            </w:tcBorders>
            <w:shd w:val="clear" w:color="auto" w:fill="auto"/>
            <w:vAlign w:val="center"/>
          </w:tcPr>
          <w:p w14:paraId="64322AA1" w14:textId="77777777" w:rsidR="00915A5D" w:rsidRPr="006E1978" w:rsidRDefault="00915A5D" w:rsidP="00474F6C">
            <w:pPr>
              <w:widowControl/>
              <w:jc w:val="center"/>
              <w:rPr>
                <w:rFonts w:eastAsia="DengXian" w:cs="Times New Roman"/>
                <w:color w:val="000000"/>
                <w:kern w:val="0"/>
                <w:sz w:val="20"/>
                <w:szCs w:val="20"/>
              </w:rPr>
            </w:pPr>
            <w:proofErr w:type="spellStart"/>
            <w:r w:rsidRPr="006E1978">
              <w:rPr>
                <w:rFonts w:eastAsia="DengXian" w:cs="Times New Roman"/>
                <w:color w:val="000000"/>
                <w:kern w:val="0"/>
                <w:sz w:val="20"/>
                <w:szCs w:val="20"/>
              </w:rPr>
              <w:t>Commu</w:t>
            </w:r>
            <w:proofErr w:type="spellEnd"/>
            <w:r w:rsidRPr="006E1978">
              <w:rPr>
                <w:rFonts w:eastAsia="DengXian" w:cs="Times New Roman"/>
                <w:color w:val="000000"/>
                <w:kern w:val="0"/>
                <w:sz w:val="20"/>
                <w:szCs w:val="20"/>
              </w:rPr>
              <w:t>-</w:t>
            </w:r>
          </w:p>
          <w:p w14:paraId="739A3FD9" w14:textId="77777777" w:rsidR="00915A5D" w:rsidRPr="006E1978" w:rsidRDefault="00915A5D" w:rsidP="00474F6C">
            <w:pPr>
              <w:widowControl/>
              <w:jc w:val="center"/>
              <w:rPr>
                <w:rFonts w:eastAsia="DengXian" w:cs="Times New Roman"/>
                <w:color w:val="000000"/>
                <w:kern w:val="0"/>
                <w:sz w:val="20"/>
                <w:szCs w:val="20"/>
              </w:rPr>
            </w:pPr>
            <w:proofErr w:type="spellStart"/>
            <w:r w:rsidRPr="006E1978">
              <w:rPr>
                <w:rFonts w:eastAsia="DengXian" w:cs="Times New Roman"/>
                <w:color w:val="000000"/>
                <w:kern w:val="0"/>
                <w:sz w:val="20"/>
                <w:szCs w:val="20"/>
              </w:rPr>
              <w:t>nality</w:t>
            </w:r>
            <w:proofErr w:type="spellEnd"/>
          </w:p>
        </w:tc>
        <w:tc>
          <w:tcPr>
            <w:tcW w:w="1134" w:type="dxa"/>
            <w:tcBorders>
              <w:top w:val="single" w:sz="4" w:space="0" w:color="000000" w:themeColor="text1"/>
              <w:bottom w:val="single" w:sz="4" w:space="0" w:color="000000" w:themeColor="text1"/>
              <w:right w:val="single" w:sz="24" w:space="0" w:color="FFFFFF" w:themeColor="background1"/>
            </w:tcBorders>
            <w:shd w:val="clear" w:color="auto" w:fill="auto"/>
            <w:noWrap/>
            <w:vAlign w:val="center"/>
          </w:tcPr>
          <w:p w14:paraId="7F904E1B" w14:textId="77777777" w:rsidR="00915A5D" w:rsidRPr="006E1978" w:rsidRDefault="00915A5D" w:rsidP="00474F6C">
            <w:pPr>
              <w:widowControl/>
              <w:jc w:val="center"/>
              <w:rPr>
                <w:rFonts w:eastAsia="DengXian" w:cs="Times New Roman"/>
                <w:color w:val="000000"/>
                <w:kern w:val="0"/>
                <w:szCs w:val="21"/>
              </w:rPr>
            </w:pPr>
            <w:bookmarkStart w:id="18" w:name="OLE_LINK23"/>
            <w:r w:rsidRPr="006E1978">
              <w:rPr>
                <w:rFonts w:eastAsia="DengXian" w:cs="Times New Roman"/>
                <w:color w:val="000000"/>
                <w:kern w:val="0"/>
                <w:sz w:val="18"/>
                <w:szCs w:val="18"/>
              </w:rPr>
              <w:t xml:space="preserve">Corrected item-total </w:t>
            </w:r>
            <w:proofErr w:type="spellStart"/>
            <w:r w:rsidRPr="006E1978">
              <w:rPr>
                <w:rFonts w:eastAsia="DengXian" w:cs="Times New Roman"/>
                <w:color w:val="000000"/>
                <w:kern w:val="0"/>
                <w:sz w:val="18"/>
                <w:szCs w:val="18"/>
              </w:rPr>
              <w:t>correlation</w:t>
            </w:r>
            <w:bookmarkEnd w:id="18"/>
            <w:r w:rsidRPr="006E1978">
              <w:rPr>
                <w:rFonts w:eastAsia="DengXian" w:cs="Times New Roman"/>
                <w:color w:val="000000"/>
                <w:kern w:val="0"/>
                <w:sz w:val="18"/>
                <w:szCs w:val="18"/>
                <w:vertAlign w:val="superscript"/>
              </w:rPr>
              <w:t>b</w:t>
            </w:r>
            <w:proofErr w:type="spellEnd"/>
          </w:p>
        </w:tc>
        <w:tc>
          <w:tcPr>
            <w:tcW w:w="709" w:type="dxa"/>
            <w:tcBorders>
              <w:top w:val="single" w:sz="4" w:space="0" w:color="000000" w:themeColor="text1"/>
              <w:left w:val="single" w:sz="24" w:space="0" w:color="FFFFFF" w:themeColor="background1"/>
              <w:bottom w:val="single" w:sz="4" w:space="0" w:color="000000" w:themeColor="text1"/>
            </w:tcBorders>
            <w:shd w:val="clear" w:color="auto" w:fill="auto"/>
            <w:noWrap/>
            <w:vAlign w:val="center"/>
          </w:tcPr>
          <w:p w14:paraId="5E115FC3"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F1</w:t>
            </w:r>
            <w:r w:rsidRPr="006E1978">
              <w:rPr>
                <w:rFonts w:eastAsia="DengXian" w:cs="Times New Roman"/>
                <w:color w:val="000000"/>
                <w:kern w:val="0"/>
                <w:sz w:val="20"/>
                <w:szCs w:val="20"/>
                <w:vertAlign w:val="superscript"/>
              </w:rPr>
              <w:t>a</w:t>
            </w:r>
          </w:p>
        </w:tc>
        <w:tc>
          <w:tcPr>
            <w:tcW w:w="708" w:type="dxa"/>
            <w:tcBorders>
              <w:top w:val="single" w:sz="4" w:space="0" w:color="000000" w:themeColor="text1"/>
              <w:bottom w:val="single" w:sz="4" w:space="0" w:color="000000" w:themeColor="text1"/>
            </w:tcBorders>
            <w:shd w:val="clear" w:color="auto" w:fill="auto"/>
            <w:noWrap/>
            <w:vAlign w:val="center"/>
          </w:tcPr>
          <w:p w14:paraId="5B93A2B7"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F2</w:t>
            </w:r>
            <w:r w:rsidRPr="006E1978">
              <w:rPr>
                <w:rFonts w:eastAsia="DengXian" w:cs="Times New Roman"/>
                <w:color w:val="000000"/>
                <w:kern w:val="0"/>
                <w:sz w:val="20"/>
                <w:szCs w:val="20"/>
                <w:vertAlign w:val="superscript"/>
              </w:rPr>
              <w:t>a</w:t>
            </w:r>
          </w:p>
        </w:tc>
        <w:tc>
          <w:tcPr>
            <w:tcW w:w="993" w:type="dxa"/>
            <w:tcBorders>
              <w:top w:val="single" w:sz="4" w:space="0" w:color="000000" w:themeColor="text1"/>
              <w:bottom w:val="single" w:sz="4" w:space="0" w:color="000000" w:themeColor="text1"/>
            </w:tcBorders>
            <w:vAlign w:val="center"/>
          </w:tcPr>
          <w:p w14:paraId="49D62F61" w14:textId="77777777" w:rsidR="00915A5D" w:rsidRPr="006E1978" w:rsidRDefault="00915A5D" w:rsidP="00474F6C">
            <w:pPr>
              <w:widowControl/>
              <w:jc w:val="center"/>
              <w:rPr>
                <w:rFonts w:eastAsia="DengXian" w:cs="Times New Roman"/>
                <w:color w:val="000000"/>
                <w:kern w:val="0"/>
                <w:sz w:val="20"/>
                <w:szCs w:val="20"/>
              </w:rPr>
            </w:pPr>
            <w:proofErr w:type="spellStart"/>
            <w:r w:rsidRPr="006E1978">
              <w:rPr>
                <w:rFonts w:eastAsia="DengXian" w:cs="Times New Roman"/>
                <w:color w:val="000000"/>
                <w:kern w:val="0"/>
                <w:sz w:val="20"/>
                <w:szCs w:val="20"/>
              </w:rPr>
              <w:t>Commu</w:t>
            </w:r>
            <w:proofErr w:type="spellEnd"/>
            <w:r w:rsidRPr="006E1978">
              <w:rPr>
                <w:rFonts w:eastAsia="DengXian" w:cs="Times New Roman"/>
                <w:color w:val="000000"/>
                <w:kern w:val="0"/>
                <w:sz w:val="20"/>
                <w:szCs w:val="20"/>
              </w:rPr>
              <w:t>-</w:t>
            </w:r>
          </w:p>
          <w:p w14:paraId="38E48178" w14:textId="77777777" w:rsidR="00915A5D" w:rsidRPr="006E1978" w:rsidRDefault="00915A5D" w:rsidP="00474F6C">
            <w:pPr>
              <w:widowControl/>
              <w:jc w:val="center"/>
              <w:rPr>
                <w:rFonts w:eastAsia="DengXian" w:cs="Times New Roman"/>
                <w:color w:val="000000"/>
                <w:kern w:val="0"/>
                <w:sz w:val="20"/>
                <w:szCs w:val="20"/>
              </w:rPr>
            </w:pPr>
            <w:proofErr w:type="spellStart"/>
            <w:r w:rsidRPr="006E1978">
              <w:rPr>
                <w:rFonts w:eastAsia="DengXian" w:cs="Times New Roman"/>
                <w:color w:val="000000"/>
                <w:kern w:val="0"/>
                <w:sz w:val="20"/>
                <w:szCs w:val="20"/>
              </w:rPr>
              <w:t>nality</w:t>
            </w:r>
            <w:proofErr w:type="spellEnd"/>
          </w:p>
        </w:tc>
        <w:tc>
          <w:tcPr>
            <w:tcW w:w="1134" w:type="dxa"/>
            <w:tcBorders>
              <w:top w:val="single" w:sz="4" w:space="0" w:color="000000" w:themeColor="text1"/>
              <w:bottom w:val="single" w:sz="4" w:space="0" w:color="000000" w:themeColor="text1"/>
            </w:tcBorders>
            <w:vAlign w:val="center"/>
          </w:tcPr>
          <w:p w14:paraId="31479B48" w14:textId="77777777" w:rsidR="00915A5D" w:rsidRPr="006E1978" w:rsidRDefault="00915A5D" w:rsidP="00474F6C">
            <w:pPr>
              <w:widowControl/>
              <w:jc w:val="center"/>
              <w:rPr>
                <w:rFonts w:eastAsia="DengXian" w:cs="Times New Roman"/>
                <w:color w:val="000000"/>
                <w:kern w:val="0"/>
                <w:sz w:val="18"/>
                <w:szCs w:val="18"/>
              </w:rPr>
            </w:pPr>
            <w:r w:rsidRPr="006E1978">
              <w:rPr>
                <w:rFonts w:eastAsia="DengXian" w:cs="Times New Roman"/>
                <w:color w:val="000000"/>
                <w:kern w:val="0"/>
                <w:sz w:val="18"/>
                <w:szCs w:val="18"/>
              </w:rPr>
              <w:t xml:space="preserve">Corrected item-total </w:t>
            </w:r>
            <w:proofErr w:type="spellStart"/>
            <w:r w:rsidRPr="006E1978">
              <w:rPr>
                <w:rFonts w:eastAsia="DengXian" w:cs="Times New Roman"/>
                <w:color w:val="000000"/>
                <w:kern w:val="0"/>
                <w:sz w:val="18"/>
                <w:szCs w:val="18"/>
              </w:rPr>
              <w:t>correlation</w:t>
            </w:r>
            <w:r w:rsidRPr="006E1978">
              <w:rPr>
                <w:rFonts w:eastAsia="DengXian" w:cs="Times New Roman"/>
                <w:color w:val="000000"/>
                <w:kern w:val="0"/>
                <w:sz w:val="18"/>
                <w:szCs w:val="18"/>
                <w:vertAlign w:val="superscript"/>
              </w:rPr>
              <w:t>b</w:t>
            </w:r>
            <w:proofErr w:type="spellEnd"/>
          </w:p>
        </w:tc>
      </w:tr>
      <w:tr w:rsidR="00915A5D" w:rsidRPr="006E1978" w14:paraId="3AFC7A47" w14:textId="77777777" w:rsidTr="00474F6C">
        <w:trPr>
          <w:trHeight w:val="320"/>
        </w:trPr>
        <w:tc>
          <w:tcPr>
            <w:tcW w:w="6232" w:type="dxa"/>
            <w:tcBorders>
              <w:top w:val="single" w:sz="4" w:space="0" w:color="000000" w:themeColor="text1"/>
            </w:tcBorders>
            <w:shd w:val="clear" w:color="auto" w:fill="auto"/>
            <w:noWrap/>
            <w:vAlign w:val="center"/>
            <w:hideMark/>
          </w:tcPr>
          <w:p w14:paraId="26AEC8D0" w14:textId="77777777" w:rsidR="00915A5D" w:rsidRPr="006E1978" w:rsidRDefault="00915A5D" w:rsidP="00474F6C">
            <w:pPr>
              <w:widowControl/>
              <w:jc w:val="left"/>
              <w:rPr>
                <w:rFonts w:eastAsia="DengXian" w:cs="Times New Roman"/>
                <w:b/>
                <w:bCs/>
                <w:color w:val="000000"/>
                <w:kern w:val="0"/>
                <w:sz w:val="20"/>
                <w:szCs w:val="20"/>
              </w:rPr>
            </w:pPr>
            <w:r w:rsidRPr="006E1978">
              <w:rPr>
                <w:rFonts w:eastAsia="DengXian" w:cs="Times New Roman"/>
                <w:b/>
                <w:bCs/>
                <w:color w:val="000000"/>
                <w:kern w:val="0"/>
                <w:sz w:val="20"/>
                <w:szCs w:val="20"/>
              </w:rPr>
              <w:t>Factor 1: negative metacognition about online gaming (N-MOG)</w:t>
            </w:r>
          </w:p>
        </w:tc>
        <w:tc>
          <w:tcPr>
            <w:tcW w:w="709" w:type="dxa"/>
            <w:tcBorders>
              <w:top w:val="single" w:sz="4" w:space="0" w:color="000000" w:themeColor="text1"/>
            </w:tcBorders>
          </w:tcPr>
          <w:p w14:paraId="1A5AA11E" w14:textId="77777777" w:rsidR="00915A5D" w:rsidRPr="006E1978" w:rsidRDefault="00915A5D" w:rsidP="00474F6C">
            <w:pPr>
              <w:widowControl/>
              <w:jc w:val="center"/>
              <w:rPr>
                <w:rFonts w:eastAsia="DengXian" w:cs="Times New Roman"/>
                <w:color w:val="000000"/>
                <w:kern w:val="0"/>
                <w:sz w:val="20"/>
                <w:szCs w:val="20"/>
              </w:rPr>
            </w:pPr>
          </w:p>
        </w:tc>
        <w:tc>
          <w:tcPr>
            <w:tcW w:w="851" w:type="dxa"/>
            <w:tcBorders>
              <w:top w:val="single" w:sz="4" w:space="0" w:color="000000" w:themeColor="text1"/>
            </w:tcBorders>
          </w:tcPr>
          <w:p w14:paraId="21E3AF4D" w14:textId="77777777" w:rsidR="00915A5D" w:rsidRPr="006E1978" w:rsidRDefault="00915A5D" w:rsidP="00474F6C">
            <w:pPr>
              <w:widowControl/>
              <w:jc w:val="center"/>
              <w:rPr>
                <w:rFonts w:eastAsia="DengXian" w:cs="Times New Roman"/>
                <w:color w:val="000000"/>
                <w:kern w:val="0"/>
                <w:sz w:val="20"/>
                <w:szCs w:val="20"/>
              </w:rPr>
            </w:pPr>
          </w:p>
        </w:tc>
        <w:tc>
          <w:tcPr>
            <w:tcW w:w="567" w:type="dxa"/>
            <w:tcBorders>
              <w:top w:val="single" w:sz="4" w:space="0" w:color="000000" w:themeColor="text1"/>
            </w:tcBorders>
            <w:shd w:val="clear" w:color="auto" w:fill="auto"/>
            <w:noWrap/>
            <w:vAlign w:val="center"/>
            <w:hideMark/>
          </w:tcPr>
          <w:p w14:paraId="36C8E7AD" w14:textId="77777777" w:rsidR="00915A5D" w:rsidRPr="006E1978" w:rsidRDefault="00915A5D" w:rsidP="00474F6C">
            <w:pPr>
              <w:widowControl/>
              <w:jc w:val="center"/>
              <w:rPr>
                <w:rFonts w:eastAsia="DengXian" w:cs="Times New Roman"/>
                <w:color w:val="000000"/>
                <w:kern w:val="0"/>
                <w:sz w:val="20"/>
                <w:szCs w:val="20"/>
              </w:rPr>
            </w:pPr>
          </w:p>
        </w:tc>
        <w:tc>
          <w:tcPr>
            <w:tcW w:w="567" w:type="dxa"/>
            <w:tcBorders>
              <w:top w:val="single" w:sz="4" w:space="0" w:color="000000" w:themeColor="text1"/>
            </w:tcBorders>
            <w:shd w:val="clear" w:color="auto" w:fill="auto"/>
            <w:noWrap/>
            <w:vAlign w:val="center"/>
            <w:hideMark/>
          </w:tcPr>
          <w:p w14:paraId="546CB55B" w14:textId="77777777" w:rsidR="00915A5D" w:rsidRPr="006E1978" w:rsidRDefault="00915A5D" w:rsidP="00474F6C">
            <w:pPr>
              <w:widowControl/>
              <w:jc w:val="center"/>
              <w:rPr>
                <w:rFonts w:eastAsia="Times New Roman" w:cs="Times New Roman"/>
                <w:kern w:val="0"/>
                <w:sz w:val="20"/>
                <w:szCs w:val="20"/>
              </w:rPr>
            </w:pPr>
          </w:p>
        </w:tc>
        <w:tc>
          <w:tcPr>
            <w:tcW w:w="992" w:type="dxa"/>
            <w:tcBorders>
              <w:top w:val="single" w:sz="4" w:space="0" w:color="000000" w:themeColor="text1"/>
            </w:tcBorders>
            <w:shd w:val="clear" w:color="auto" w:fill="auto"/>
            <w:noWrap/>
            <w:vAlign w:val="center"/>
            <w:hideMark/>
          </w:tcPr>
          <w:p w14:paraId="69765845" w14:textId="77777777" w:rsidR="00915A5D" w:rsidRPr="006E1978" w:rsidRDefault="00915A5D" w:rsidP="00474F6C">
            <w:pPr>
              <w:widowControl/>
              <w:jc w:val="center"/>
              <w:rPr>
                <w:rFonts w:eastAsia="Times New Roman" w:cs="Times New Roman"/>
                <w:kern w:val="0"/>
                <w:sz w:val="20"/>
                <w:szCs w:val="20"/>
              </w:rPr>
            </w:pPr>
          </w:p>
        </w:tc>
        <w:tc>
          <w:tcPr>
            <w:tcW w:w="1134" w:type="dxa"/>
            <w:tcBorders>
              <w:top w:val="single" w:sz="4" w:space="0" w:color="000000" w:themeColor="text1"/>
            </w:tcBorders>
            <w:shd w:val="clear" w:color="auto" w:fill="auto"/>
            <w:noWrap/>
            <w:vAlign w:val="center"/>
          </w:tcPr>
          <w:p w14:paraId="7C2544B3" w14:textId="77777777" w:rsidR="00915A5D" w:rsidRPr="006E1978" w:rsidRDefault="00915A5D" w:rsidP="00474F6C">
            <w:pPr>
              <w:widowControl/>
              <w:jc w:val="center"/>
              <w:rPr>
                <w:rFonts w:eastAsia="Times New Roman" w:cs="Times New Roman"/>
                <w:kern w:val="0"/>
                <w:sz w:val="20"/>
                <w:szCs w:val="20"/>
              </w:rPr>
            </w:pPr>
          </w:p>
        </w:tc>
        <w:tc>
          <w:tcPr>
            <w:tcW w:w="709" w:type="dxa"/>
            <w:tcBorders>
              <w:top w:val="single" w:sz="4" w:space="0" w:color="000000" w:themeColor="text1"/>
            </w:tcBorders>
            <w:shd w:val="clear" w:color="auto" w:fill="auto"/>
            <w:noWrap/>
            <w:vAlign w:val="center"/>
          </w:tcPr>
          <w:p w14:paraId="3CC98DF9" w14:textId="77777777" w:rsidR="00915A5D" w:rsidRPr="006E1978" w:rsidRDefault="00915A5D" w:rsidP="00474F6C">
            <w:pPr>
              <w:widowControl/>
              <w:jc w:val="center"/>
              <w:rPr>
                <w:rFonts w:eastAsia="Times New Roman" w:cs="Times New Roman"/>
                <w:kern w:val="0"/>
                <w:sz w:val="20"/>
                <w:szCs w:val="20"/>
              </w:rPr>
            </w:pPr>
          </w:p>
        </w:tc>
        <w:tc>
          <w:tcPr>
            <w:tcW w:w="708" w:type="dxa"/>
            <w:tcBorders>
              <w:top w:val="single" w:sz="4" w:space="0" w:color="000000" w:themeColor="text1"/>
            </w:tcBorders>
            <w:shd w:val="clear" w:color="auto" w:fill="auto"/>
            <w:noWrap/>
            <w:vAlign w:val="center"/>
          </w:tcPr>
          <w:p w14:paraId="1B58688B" w14:textId="77777777" w:rsidR="00915A5D" w:rsidRPr="006E1978" w:rsidRDefault="00915A5D" w:rsidP="00474F6C">
            <w:pPr>
              <w:widowControl/>
              <w:jc w:val="center"/>
              <w:rPr>
                <w:rFonts w:eastAsia="Times New Roman" w:cs="Times New Roman"/>
                <w:kern w:val="0"/>
                <w:sz w:val="20"/>
                <w:szCs w:val="20"/>
              </w:rPr>
            </w:pPr>
          </w:p>
        </w:tc>
        <w:tc>
          <w:tcPr>
            <w:tcW w:w="993" w:type="dxa"/>
            <w:tcBorders>
              <w:top w:val="single" w:sz="4" w:space="0" w:color="000000" w:themeColor="text1"/>
            </w:tcBorders>
            <w:vAlign w:val="center"/>
          </w:tcPr>
          <w:p w14:paraId="29AF633B" w14:textId="77777777" w:rsidR="00915A5D" w:rsidRPr="006E1978" w:rsidRDefault="00915A5D" w:rsidP="00474F6C">
            <w:pPr>
              <w:widowControl/>
              <w:jc w:val="center"/>
              <w:rPr>
                <w:rFonts w:eastAsia="Times New Roman" w:cs="Times New Roman"/>
                <w:kern w:val="0"/>
                <w:sz w:val="20"/>
                <w:szCs w:val="20"/>
              </w:rPr>
            </w:pPr>
          </w:p>
        </w:tc>
        <w:tc>
          <w:tcPr>
            <w:tcW w:w="1134" w:type="dxa"/>
            <w:tcBorders>
              <w:top w:val="single" w:sz="4" w:space="0" w:color="000000" w:themeColor="text1"/>
            </w:tcBorders>
          </w:tcPr>
          <w:p w14:paraId="487E93E4" w14:textId="77777777" w:rsidR="00915A5D" w:rsidRPr="006E1978" w:rsidRDefault="00915A5D" w:rsidP="00474F6C">
            <w:pPr>
              <w:widowControl/>
              <w:jc w:val="center"/>
              <w:rPr>
                <w:rFonts w:eastAsia="Times New Roman" w:cs="Times New Roman"/>
                <w:kern w:val="0"/>
                <w:sz w:val="20"/>
                <w:szCs w:val="20"/>
              </w:rPr>
            </w:pPr>
          </w:p>
        </w:tc>
      </w:tr>
      <w:tr w:rsidR="00915A5D" w:rsidRPr="006E1978" w14:paraId="0FD82841" w14:textId="77777777" w:rsidTr="00474F6C">
        <w:trPr>
          <w:trHeight w:val="320"/>
        </w:trPr>
        <w:tc>
          <w:tcPr>
            <w:tcW w:w="6232" w:type="dxa"/>
            <w:shd w:val="clear" w:color="auto" w:fill="auto"/>
            <w:noWrap/>
            <w:vAlign w:val="center"/>
            <w:hideMark/>
          </w:tcPr>
          <w:p w14:paraId="02EBD794" w14:textId="77777777" w:rsidR="00915A5D" w:rsidRPr="006E1978" w:rsidRDefault="00915A5D" w:rsidP="00474F6C">
            <w:pPr>
              <w:widowControl/>
              <w:jc w:val="left"/>
              <w:rPr>
                <w:rFonts w:eastAsia="DengXian" w:cs="Times New Roman"/>
                <w:color w:val="000000"/>
                <w:kern w:val="0"/>
                <w:sz w:val="20"/>
                <w:szCs w:val="20"/>
              </w:rPr>
            </w:pPr>
            <w:r w:rsidRPr="006E1978">
              <w:rPr>
                <w:rFonts w:eastAsia="DengXian" w:cs="Times New Roman"/>
                <w:color w:val="000000"/>
                <w:kern w:val="0"/>
                <w:sz w:val="20"/>
                <w:szCs w:val="20"/>
              </w:rPr>
              <w:t xml:space="preserve">  1. I continue to play despite I think it would be better to stop</w:t>
            </w:r>
          </w:p>
        </w:tc>
        <w:tc>
          <w:tcPr>
            <w:tcW w:w="709" w:type="dxa"/>
            <w:vAlign w:val="center"/>
          </w:tcPr>
          <w:p w14:paraId="2CB9FDD1"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0.85 </w:t>
            </w:r>
          </w:p>
        </w:tc>
        <w:tc>
          <w:tcPr>
            <w:tcW w:w="851" w:type="dxa"/>
            <w:vAlign w:val="center"/>
          </w:tcPr>
          <w:p w14:paraId="764B057B"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0.31 </w:t>
            </w:r>
          </w:p>
        </w:tc>
        <w:tc>
          <w:tcPr>
            <w:tcW w:w="567" w:type="dxa"/>
            <w:shd w:val="clear" w:color="auto" w:fill="auto"/>
            <w:noWrap/>
            <w:vAlign w:val="center"/>
            <w:hideMark/>
          </w:tcPr>
          <w:p w14:paraId="371E2643"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b/>
                <w:bCs/>
                <w:color w:val="000000"/>
                <w:kern w:val="0"/>
                <w:sz w:val="20"/>
                <w:szCs w:val="20"/>
              </w:rPr>
              <w:t>.57</w:t>
            </w:r>
          </w:p>
        </w:tc>
        <w:tc>
          <w:tcPr>
            <w:tcW w:w="567" w:type="dxa"/>
            <w:shd w:val="clear" w:color="auto" w:fill="auto"/>
            <w:noWrap/>
            <w:vAlign w:val="center"/>
            <w:hideMark/>
          </w:tcPr>
          <w:p w14:paraId="1AAEA572"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.30</w:t>
            </w:r>
          </w:p>
        </w:tc>
        <w:tc>
          <w:tcPr>
            <w:tcW w:w="992" w:type="dxa"/>
            <w:shd w:val="clear" w:color="auto" w:fill="auto"/>
            <w:noWrap/>
            <w:vAlign w:val="center"/>
            <w:hideMark/>
          </w:tcPr>
          <w:p w14:paraId="390DB65E"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.41</w:t>
            </w:r>
          </w:p>
        </w:tc>
        <w:tc>
          <w:tcPr>
            <w:tcW w:w="1134" w:type="dxa"/>
            <w:shd w:val="clear" w:color="auto" w:fill="auto"/>
            <w:noWrap/>
            <w:vAlign w:val="center"/>
          </w:tcPr>
          <w:p w14:paraId="5E1A1794"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0.61 </w:t>
            </w:r>
          </w:p>
        </w:tc>
        <w:tc>
          <w:tcPr>
            <w:tcW w:w="709" w:type="dxa"/>
            <w:shd w:val="clear" w:color="auto" w:fill="auto"/>
            <w:noWrap/>
            <w:vAlign w:val="center"/>
          </w:tcPr>
          <w:p w14:paraId="2A076408"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b/>
                <w:bCs/>
                <w:color w:val="000000"/>
                <w:kern w:val="0"/>
                <w:sz w:val="20"/>
                <w:szCs w:val="20"/>
              </w:rPr>
              <w:t>.57</w:t>
            </w:r>
          </w:p>
        </w:tc>
        <w:tc>
          <w:tcPr>
            <w:tcW w:w="708" w:type="dxa"/>
            <w:shd w:val="clear" w:color="auto" w:fill="auto"/>
            <w:noWrap/>
            <w:vAlign w:val="center"/>
          </w:tcPr>
          <w:p w14:paraId="78954385"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.30</w:t>
            </w:r>
          </w:p>
        </w:tc>
        <w:tc>
          <w:tcPr>
            <w:tcW w:w="993" w:type="dxa"/>
            <w:vAlign w:val="center"/>
          </w:tcPr>
          <w:p w14:paraId="114C4380"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.41</w:t>
            </w:r>
          </w:p>
        </w:tc>
        <w:tc>
          <w:tcPr>
            <w:tcW w:w="1134" w:type="dxa"/>
            <w:vAlign w:val="center"/>
          </w:tcPr>
          <w:p w14:paraId="35C6347B"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0.61 </w:t>
            </w:r>
          </w:p>
        </w:tc>
      </w:tr>
      <w:tr w:rsidR="00915A5D" w:rsidRPr="006E1978" w14:paraId="5E1AEC62" w14:textId="77777777" w:rsidTr="00474F6C">
        <w:trPr>
          <w:trHeight w:val="320"/>
        </w:trPr>
        <w:tc>
          <w:tcPr>
            <w:tcW w:w="6232" w:type="dxa"/>
            <w:shd w:val="clear" w:color="auto" w:fill="auto"/>
            <w:noWrap/>
            <w:vAlign w:val="center"/>
            <w:hideMark/>
          </w:tcPr>
          <w:p w14:paraId="728D09B8" w14:textId="77777777" w:rsidR="00915A5D" w:rsidRPr="006E1978" w:rsidRDefault="00915A5D" w:rsidP="00474F6C">
            <w:pPr>
              <w:widowControl/>
              <w:jc w:val="left"/>
              <w:rPr>
                <w:rFonts w:eastAsia="DengXian" w:cs="Times New Roman"/>
                <w:color w:val="000000"/>
                <w:kern w:val="0"/>
                <w:sz w:val="20"/>
                <w:szCs w:val="20"/>
              </w:rPr>
            </w:pPr>
            <w:r w:rsidRPr="006E1978">
              <w:rPr>
                <w:rFonts w:eastAsia="DengXian" w:cs="Times New Roman"/>
                <w:color w:val="000000"/>
                <w:kern w:val="0"/>
                <w:sz w:val="20"/>
                <w:szCs w:val="20"/>
              </w:rPr>
              <w:t xml:space="preserve">  2. I have no control over how much time I play</w:t>
            </w:r>
          </w:p>
        </w:tc>
        <w:tc>
          <w:tcPr>
            <w:tcW w:w="709" w:type="dxa"/>
            <w:vAlign w:val="center"/>
          </w:tcPr>
          <w:p w14:paraId="27BADC52"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1.29 </w:t>
            </w:r>
          </w:p>
        </w:tc>
        <w:tc>
          <w:tcPr>
            <w:tcW w:w="851" w:type="dxa"/>
            <w:vAlign w:val="center"/>
          </w:tcPr>
          <w:p w14:paraId="46A2EEA9"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1.02 </w:t>
            </w:r>
          </w:p>
        </w:tc>
        <w:tc>
          <w:tcPr>
            <w:tcW w:w="567" w:type="dxa"/>
            <w:shd w:val="clear" w:color="auto" w:fill="auto"/>
            <w:noWrap/>
            <w:vAlign w:val="center"/>
            <w:hideMark/>
          </w:tcPr>
          <w:p w14:paraId="73AA9E10"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b/>
                <w:bCs/>
                <w:color w:val="000000"/>
                <w:kern w:val="0"/>
                <w:sz w:val="20"/>
                <w:szCs w:val="20"/>
              </w:rPr>
              <w:t>.79</w:t>
            </w:r>
          </w:p>
        </w:tc>
        <w:tc>
          <w:tcPr>
            <w:tcW w:w="567" w:type="dxa"/>
            <w:shd w:val="clear" w:color="auto" w:fill="auto"/>
            <w:noWrap/>
            <w:vAlign w:val="center"/>
            <w:hideMark/>
          </w:tcPr>
          <w:p w14:paraId="737EAF64"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.27</w:t>
            </w:r>
          </w:p>
        </w:tc>
        <w:tc>
          <w:tcPr>
            <w:tcW w:w="992" w:type="dxa"/>
            <w:shd w:val="clear" w:color="auto" w:fill="auto"/>
            <w:noWrap/>
            <w:vAlign w:val="center"/>
            <w:hideMark/>
          </w:tcPr>
          <w:p w14:paraId="5E1B789A"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.69</w:t>
            </w:r>
          </w:p>
        </w:tc>
        <w:tc>
          <w:tcPr>
            <w:tcW w:w="1134" w:type="dxa"/>
            <w:shd w:val="clear" w:color="auto" w:fill="auto"/>
            <w:noWrap/>
            <w:vAlign w:val="center"/>
          </w:tcPr>
          <w:p w14:paraId="5EEE8DBA"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0.80 </w:t>
            </w:r>
          </w:p>
        </w:tc>
        <w:tc>
          <w:tcPr>
            <w:tcW w:w="709" w:type="dxa"/>
            <w:shd w:val="clear" w:color="auto" w:fill="auto"/>
            <w:noWrap/>
            <w:vAlign w:val="center"/>
          </w:tcPr>
          <w:p w14:paraId="00BFF3FD"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b/>
                <w:bCs/>
                <w:color w:val="000000"/>
                <w:kern w:val="0"/>
                <w:sz w:val="20"/>
                <w:szCs w:val="20"/>
              </w:rPr>
              <w:t>.79</w:t>
            </w:r>
          </w:p>
        </w:tc>
        <w:tc>
          <w:tcPr>
            <w:tcW w:w="708" w:type="dxa"/>
            <w:shd w:val="clear" w:color="auto" w:fill="auto"/>
            <w:noWrap/>
            <w:vAlign w:val="center"/>
          </w:tcPr>
          <w:p w14:paraId="5EFFD519"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.27</w:t>
            </w:r>
          </w:p>
        </w:tc>
        <w:tc>
          <w:tcPr>
            <w:tcW w:w="993" w:type="dxa"/>
            <w:vAlign w:val="center"/>
          </w:tcPr>
          <w:p w14:paraId="179F1606"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.70</w:t>
            </w:r>
          </w:p>
        </w:tc>
        <w:tc>
          <w:tcPr>
            <w:tcW w:w="1134" w:type="dxa"/>
            <w:vAlign w:val="center"/>
          </w:tcPr>
          <w:p w14:paraId="4D1C9F5F"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0.80 </w:t>
            </w:r>
          </w:p>
        </w:tc>
      </w:tr>
      <w:tr w:rsidR="00915A5D" w:rsidRPr="006E1978" w14:paraId="29AB0B40" w14:textId="77777777" w:rsidTr="00474F6C">
        <w:trPr>
          <w:trHeight w:val="320"/>
        </w:trPr>
        <w:tc>
          <w:tcPr>
            <w:tcW w:w="6232" w:type="dxa"/>
            <w:shd w:val="clear" w:color="auto" w:fill="auto"/>
            <w:noWrap/>
            <w:vAlign w:val="center"/>
            <w:hideMark/>
          </w:tcPr>
          <w:p w14:paraId="49EB4285" w14:textId="77777777" w:rsidR="00915A5D" w:rsidRPr="006E1978" w:rsidRDefault="00915A5D" w:rsidP="00474F6C">
            <w:pPr>
              <w:widowControl/>
              <w:jc w:val="left"/>
              <w:rPr>
                <w:rFonts w:eastAsia="DengXian" w:cs="Times New Roman"/>
                <w:color w:val="000000"/>
                <w:kern w:val="0"/>
                <w:sz w:val="20"/>
                <w:szCs w:val="20"/>
              </w:rPr>
            </w:pPr>
            <w:r w:rsidRPr="006E1978">
              <w:rPr>
                <w:rFonts w:eastAsia="DengXian" w:cs="Times New Roman"/>
                <w:color w:val="000000"/>
                <w:kern w:val="0"/>
                <w:sz w:val="20"/>
                <w:szCs w:val="20"/>
              </w:rPr>
              <w:t xml:space="preserve">  3. Once I start online gaming, I cannot stop</w:t>
            </w:r>
          </w:p>
        </w:tc>
        <w:tc>
          <w:tcPr>
            <w:tcW w:w="709" w:type="dxa"/>
            <w:vAlign w:val="center"/>
          </w:tcPr>
          <w:p w14:paraId="6163B6C4"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1.80 </w:t>
            </w:r>
          </w:p>
        </w:tc>
        <w:tc>
          <w:tcPr>
            <w:tcW w:w="851" w:type="dxa"/>
            <w:vAlign w:val="center"/>
          </w:tcPr>
          <w:p w14:paraId="49675DDC"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2.46 </w:t>
            </w:r>
          </w:p>
        </w:tc>
        <w:tc>
          <w:tcPr>
            <w:tcW w:w="567" w:type="dxa"/>
            <w:shd w:val="clear" w:color="auto" w:fill="auto"/>
            <w:noWrap/>
            <w:vAlign w:val="center"/>
            <w:hideMark/>
          </w:tcPr>
          <w:p w14:paraId="1D88A6E7"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b/>
                <w:bCs/>
                <w:color w:val="000000"/>
                <w:kern w:val="0"/>
                <w:sz w:val="20"/>
                <w:szCs w:val="20"/>
              </w:rPr>
              <w:t>.86</w:t>
            </w:r>
          </w:p>
        </w:tc>
        <w:tc>
          <w:tcPr>
            <w:tcW w:w="567" w:type="dxa"/>
            <w:shd w:val="clear" w:color="auto" w:fill="auto"/>
            <w:noWrap/>
            <w:vAlign w:val="center"/>
            <w:hideMark/>
          </w:tcPr>
          <w:p w14:paraId="1E77A790"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.19</w:t>
            </w:r>
          </w:p>
        </w:tc>
        <w:tc>
          <w:tcPr>
            <w:tcW w:w="992" w:type="dxa"/>
            <w:shd w:val="clear" w:color="auto" w:fill="auto"/>
            <w:noWrap/>
            <w:vAlign w:val="center"/>
            <w:hideMark/>
          </w:tcPr>
          <w:p w14:paraId="6F640944"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.77</w:t>
            </w:r>
          </w:p>
        </w:tc>
        <w:tc>
          <w:tcPr>
            <w:tcW w:w="1134" w:type="dxa"/>
            <w:shd w:val="clear" w:color="auto" w:fill="auto"/>
            <w:noWrap/>
            <w:vAlign w:val="center"/>
          </w:tcPr>
          <w:p w14:paraId="6BC45A41"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0.81 </w:t>
            </w:r>
          </w:p>
        </w:tc>
        <w:tc>
          <w:tcPr>
            <w:tcW w:w="709" w:type="dxa"/>
            <w:shd w:val="clear" w:color="auto" w:fill="auto"/>
            <w:noWrap/>
            <w:vAlign w:val="center"/>
          </w:tcPr>
          <w:p w14:paraId="66C766D2"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b/>
                <w:bCs/>
                <w:color w:val="000000"/>
                <w:kern w:val="0"/>
                <w:sz w:val="20"/>
                <w:szCs w:val="20"/>
              </w:rPr>
              <w:t>.86</w:t>
            </w:r>
          </w:p>
        </w:tc>
        <w:tc>
          <w:tcPr>
            <w:tcW w:w="708" w:type="dxa"/>
            <w:shd w:val="clear" w:color="auto" w:fill="auto"/>
            <w:noWrap/>
            <w:vAlign w:val="center"/>
          </w:tcPr>
          <w:p w14:paraId="0AC08632"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.19</w:t>
            </w:r>
          </w:p>
        </w:tc>
        <w:tc>
          <w:tcPr>
            <w:tcW w:w="993" w:type="dxa"/>
            <w:vAlign w:val="center"/>
          </w:tcPr>
          <w:p w14:paraId="16E8E1F7"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.77</w:t>
            </w:r>
          </w:p>
        </w:tc>
        <w:tc>
          <w:tcPr>
            <w:tcW w:w="1134" w:type="dxa"/>
            <w:vAlign w:val="center"/>
          </w:tcPr>
          <w:p w14:paraId="7F31843D"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0.81 </w:t>
            </w:r>
          </w:p>
        </w:tc>
      </w:tr>
      <w:tr w:rsidR="00915A5D" w:rsidRPr="006E1978" w14:paraId="3BB6818D" w14:textId="77777777" w:rsidTr="00474F6C">
        <w:trPr>
          <w:trHeight w:val="320"/>
        </w:trPr>
        <w:tc>
          <w:tcPr>
            <w:tcW w:w="6232" w:type="dxa"/>
            <w:shd w:val="clear" w:color="auto" w:fill="auto"/>
            <w:noWrap/>
            <w:vAlign w:val="center"/>
            <w:hideMark/>
          </w:tcPr>
          <w:p w14:paraId="21DB7017" w14:textId="77777777" w:rsidR="00915A5D" w:rsidRPr="006E1978" w:rsidRDefault="00915A5D" w:rsidP="00474F6C">
            <w:pPr>
              <w:widowControl/>
              <w:jc w:val="left"/>
              <w:rPr>
                <w:rFonts w:eastAsia="DengXian" w:cs="Times New Roman"/>
                <w:color w:val="000000"/>
                <w:kern w:val="0"/>
                <w:sz w:val="20"/>
                <w:szCs w:val="20"/>
              </w:rPr>
            </w:pPr>
            <w:r w:rsidRPr="006E1978">
              <w:rPr>
                <w:rFonts w:eastAsia="DengXian" w:cs="Times New Roman"/>
                <w:color w:val="000000"/>
                <w:kern w:val="0"/>
                <w:sz w:val="20"/>
                <w:szCs w:val="20"/>
              </w:rPr>
              <w:t xml:space="preserve">  4. Online gaming makes me lose control</w:t>
            </w:r>
          </w:p>
        </w:tc>
        <w:tc>
          <w:tcPr>
            <w:tcW w:w="709" w:type="dxa"/>
            <w:vAlign w:val="center"/>
          </w:tcPr>
          <w:p w14:paraId="7A67F406"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1.87 </w:t>
            </w:r>
          </w:p>
        </w:tc>
        <w:tc>
          <w:tcPr>
            <w:tcW w:w="851" w:type="dxa"/>
            <w:vAlign w:val="center"/>
          </w:tcPr>
          <w:p w14:paraId="010989F0"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2.97 </w:t>
            </w:r>
          </w:p>
        </w:tc>
        <w:tc>
          <w:tcPr>
            <w:tcW w:w="567" w:type="dxa"/>
            <w:shd w:val="clear" w:color="auto" w:fill="auto"/>
            <w:noWrap/>
            <w:vAlign w:val="center"/>
            <w:hideMark/>
          </w:tcPr>
          <w:p w14:paraId="65FD641F"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b/>
                <w:bCs/>
                <w:color w:val="000000"/>
                <w:kern w:val="0"/>
                <w:sz w:val="20"/>
                <w:szCs w:val="20"/>
              </w:rPr>
              <w:t>.83</w:t>
            </w:r>
          </w:p>
        </w:tc>
        <w:tc>
          <w:tcPr>
            <w:tcW w:w="567" w:type="dxa"/>
            <w:shd w:val="clear" w:color="auto" w:fill="auto"/>
            <w:noWrap/>
            <w:vAlign w:val="center"/>
            <w:hideMark/>
          </w:tcPr>
          <w:p w14:paraId="44F6F259"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.20</w:t>
            </w:r>
          </w:p>
        </w:tc>
        <w:tc>
          <w:tcPr>
            <w:tcW w:w="992" w:type="dxa"/>
            <w:shd w:val="clear" w:color="auto" w:fill="auto"/>
            <w:noWrap/>
            <w:vAlign w:val="center"/>
            <w:hideMark/>
          </w:tcPr>
          <w:p w14:paraId="50BC13A7"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.74</w:t>
            </w:r>
          </w:p>
        </w:tc>
        <w:tc>
          <w:tcPr>
            <w:tcW w:w="1134" w:type="dxa"/>
            <w:shd w:val="clear" w:color="auto" w:fill="auto"/>
            <w:noWrap/>
            <w:vAlign w:val="center"/>
          </w:tcPr>
          <w:p w14:paraId="5A4AC6E8"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0.79 </w:t>
            </w:r>
          </w:p>
        </w:tc>
        <w:tc>
          <w:tcPr>
            <w:tcW w:w="709" w:type="dxa"/>
            <w:shd w:val="clear" w:color="auto" w:fill="auto"/>
            <w:noWrap/>
            <w:vAlign w:val="center"/>
          </w:tcPr>
          <w:p w14:paraId="01BD98F0"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b/>
                <w:bCs/>
                <w:color w:val="000000"/>
                <w:kern w:val="0"/>
                <w:sz w:val="20"/>
                <w:szCs w:val="20"/>
              </w:rPr>
              <w:t>.83</w:t>
            </w:r>
          </w:p>
        </w:tc>
        <w:tc>
          <w:tcPr>
            <w:tcW w:w="708" w:type="dxa"/>
            <w:shd w:val="clear" w:color="auto" w:fill="auto"/>
            <w:noWrap/>
            <w:vAlign w:val="center"/>
          </w:tcPr>
          <w:p w14:paraId="61A0DCD1"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.20</w:t>
            </w:r>
          </w:p>
        </w:tc>
        <w:tc>
          <w:tcPr>
            <w:tcW w:w="993" w:type="dxa"/>
            <w:vAlign w:val="center"/>
          </w:tcPr>
          <w:p w14:paraId="73442F84"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.74</w:t>
            </w:r>
          </w:p>
        </w:tc>
        <w:tc>
          <w:tcPr>
            <w:tcW w:w="1134" w:type="dxa"/>
            <w:vAlign w:val="center"/>
          </w:tcPr>
          <w:p w14:paraId="19DFD9E2"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0.79 </w:t>
            </w:r>
          </w:p>
        </w:tc>
      </w:tr>
      <w:tr w:rsidR="00915A5D" w:rsidRPr="006E1978" w14:paraId="4068E589" w14:textId="77777777" w:rsidTr="00474F6C">
        <w:trPr>
          <w:trHeight w:val="320"/>
        </w:trPr>
        <w:tc>
          <w:tcPr>
            <w:tcW w:w="6232" w:type="dxa"/>
            <w:shd w:val="clear" w:color="auto" w:fill="auto"/>
            <w:noWrap/>
            <w:vAlign w:val="center"/>
            <w:hideMark/>
          </w:tcPr>
          <w:p w14:paraId="6394DEE1" w14:textId="77777777" w:rsidR="00915A5D" w:rsidRPr="006E1978" w:rsidRDefault="00915A5D" w:rsidP="00474F6C">
            <w:pPr>
              <w:widowControl/>
              <w:jc w:val="left"/>
              <w:rPr>
                <w:rFonts w:eastAsia="DengXian" w:cs="Times New Roman"/>
                <w:color w:val="000000"/>
                <w:kern w:val="0"/>
                <w:sz w:val="20"/>
                <w:szCs w:val="20"/>
              </w:rPr>
            </w:pPr>
            <w:r w:rsidRPr="006E1978">
              <w:rPr>
                <w:rFonts w:eastAsia="DengXian" w:cs="Times New Roman"/>
                <w:color w:val="000000"/>
                <w:kern w:val="0"/>
                <w:sz w:val="20"/>
                <w:szCs w:val="20"/>
              </w:rPr>
              <w:t xml:space="preserve">  5. Thoughts about online gaming interfere with my functioning</w:t>
            </w:r>
          </w:p>
        </w:tc>
        <w:tc>
          <w:tcPr>
            <w:tcW w:w="709" w:type="dxa"/>
            <w:vAlign w:val="center"/>
          </w:tcPr>
          <w:p w14:paraId="613743B7"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1.24 </w:t>
            </w:r>
          </w:p>
        </w:tc>
        <w:tc>
          <w:tcPr>
            <w:tcW w:w="851" w:type="dxa"/>
            <w:vAlign w:val="center"/>
          </w:tcPr>
          <w:p w14:paraId="202DA57D"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0.86 </w:t>
            </w:r>
          </w:p>
        </w:tc>
        <w:tc>
          <w:tcPr>
            <w:tcW w:w="567" w:type="dxa"/>
            <w:shd w:val="clear" w:color="auto" w:fill="auto"/>
            <w:noWrap/>
            <w:vAlign w:val="center"/>
            <w:hideMark/>
          </w:tcPr>
          <w:p w14:paraId="1232765E"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b/>
                <w:bCs/>
                <w:color w:val="000000"/>
                <w:kern w:val="0"/>
                <w:sz w:val="20"/>
                <w:szCs w:val="20"/>
              </w:rPr>
              <w:t>.73</w:t>
            </w:r>
          </w:p>
        </w:tc>
        <w:tc>
          <w:tcPr>
            <w:tcW w:w="567" w:type="dxa"/>
            <w:shd w:val="clear" w:color="auto" w:fill="auto"/>
            <w:noWrap/>
            <w:vAlign w:val="center"/>
            <w:hideMark/>
          </w:tcPr>
          <w:p w14:paraId="34F3B257"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.29</w:t>
            </w:r>
          </w:p>
        </w:tc>
        <w:tc>
          <w:tcPr>
            <w:tcW w:w="992" w:type="dxa"/>
            <w:shd w:val="clear" w:color="auto" w:fill="auto"/>
            <w:noWrap/>
            <w:vAlign w:val="center"/>
            <w:hideMark/>
          </w:tcPr>
          <w:p w14:paraId="040D844F"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.61</w:t>
            </w:r>
          </w:p>
        </w:tc>
        <w:tc>
          <w:tcPr>
            <w:tcW w:w="1134" w:type="dxa"/>
            <w:shd w:val="clear" w:color="auto" w:fill="auto"/>
            <w:noWrap/>
            <w:vAlign w:val="center"/>
          </w:tcPr>
          <w:p w14:paraId="15996FDE"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0.75 </w:t>
            </w:r>
          </w:p>
        </w:tc>
        <w:tc>
          <w:tcPr>
            <w:tcW w:w="709" w:type="dxa"/>
            <w:shd w:val="clear" w:color="auto" w:fill="auto"/>
            <w:noWrap/>
            <w:vAlign w:val="center"/>
          </w:tcPr>
          <w:p w14:paraId="3A654EB9"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b/>
                <w:bCs/>
                <w:color w:val="000000"/>
                <w:kern w:val="0"/>
                <w:sz w:val="20"/>
                <w:szCs w:val="20"/>
              </w:rPr>
              <w:t>.73</w:t>
            </w:r>
          </w:p>
        </w:tc>
        <w:tc>
          <w:tcPr>
            <w:tcW w:w="708" w:type="dxa"/>
            <w:shd w:val="clear" w:color="auto" w:fill="auto"/>
            <w:noWrap/>
            <w:vAlign w:val="center"/>
          </w:tcPr>
          <w:p w14:paraId="5B89D616"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.28</w:t>
            </w:r>
          </w:p>
        </w:tc>
        <w:tc>
          <w:tcPr>
            <w:tcW w:w="993" w:type="dxa"/>
            <w:vAlign w:val="center"/>
          </w:tcPr>
          <w:p w14:paraId="51E703C0"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.61</w:t>
            </w:r>
          </w:p>
        </w:tc>
        <w:tc>
          <w:tcPr>
            <w:tcW w:w="1134" w:type="dxa"/>
            <w:vAlign w:val="center"/>
          </w:tcPr>
          <w:p w14:paraId="2687BCF6"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0.75 </w:t>
            </w:r>
          </w:p>
        </w:tc>
      </w:tr>
      <w:tr w:rsidR="00915A5D" w:rsidRPr="006E1978" w14:paraId="13F367BD" w14:textId="77777777" w:rsidTr="00474F6C">
        <w:trPr>
          <w:trHeight w:val="320"/>
        </w:trPr>
        <w:tc>
          <w:tcPr>
            <w:tcW w:w="6232" w:type="dxa"/>
            <w:shd w:val="clear" w:color="auto" w:fill="auto"/>
            <w:noWrap/>
            <w:vAlign w:val="center"/>
            <w:hideMark/>
          </w:tcPr>
          <w:p w14:paraId="133A8D24" w14:textId="77777777" w:rsidR="00915A5D" w:rsidRPr="006E1978" w:rsidRDefault="00915A5D" w:rsidP="00474F6C">
            <w:pPr>
              <w:widowControl/>
              <w:jc w:val="left"/>
              <w:rPr>
                <w:rFonts w:eastAsia="DengXian" w:cs="Times New Roman"/>
                <w:color w:val="000000"/>
                <w:kern w:val="0"/>
                <w:sz w:val="20"/>
                <w:szCs w:val="20"/>
              </w:rPr>
            </w:pPr>
            <w:r w:rsidRPr="006E1978">
              <w:rPr>
                <w:rFonts w:eastAsia="DengXian" w:cs="Times New Roman"/>
                <w:color w:val="000000"/>
                <w:kern w:val="0"/>
                <w:sz w:val="20"/>
                <w:szCs w:val="20"/>
              </w:rPr>
              <w:t xml:space="preserve">  6. Thoughts about online gaming are becoming an obsession</w:t>
            </w:r>
          </w:p>
        </w:tc>
        <w:tc>
          <w:tcPr>
            <w:tcW w:w="709" w:type="dxa"/>
            <w:vAlign w:val="center"/>
          </w:tcPr>
          <w:p w14:paraId="484565C9"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1.73 </w:t>
            </w:r>
          </w:p>
        </w:tc>
        <w:tc>
          <w:tcPr>
            <w:tcW w:w="851" w:type="dxa"/>
            <w:vAlign w:val="center"/>
          </w:tcPr>
          <w:p w14:paraId="295EA357"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2.73 </w:t>
            </w:r>
          </w:p>
        </w:tc>
        <w:tc>
          <w:tcPr>
            <w:tcW w:w="567" w:type="dxa"/>
            <w:shd w:val="clear" w:color="auto" w:fill="auto"/>
            <w:noWrap/>
            <w:vAlign w:val="center"/>
            <w:hideMark/>
          </w:tcPr>
          <w:p w14:paraId="2EAD19D9"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b/>
                <w:bCs/>
                <w:color w:val="000000"/>
                <w:kern w:val="0"/>
                <w:sz w:val="20"/>
                <w:szCs w:val="20"/>
              </w:rPr>
              <w:t>.75</w:t>
            </w:r>
          </w:p>
        </w:tc>
        <w:tc>
          <w:tcPr>
            <w:tcW w:w="567" w:type="dxa"/>
            <w:shd w:val="clear" w:color="auto" w:fill="auto"/>
            <w:noWrap/>
            <w:vAlign w:val="center"/>
            <w:hideMark/>
          </w:tcPr>
          <w:p w14:paraId="41C55A1F"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.29</w:t>
            </w:r>
          </w:p>
        </w:tc>
        <w:tc>
          <w:tcPr>
            <w:tcW w:w="992" w:type="dxa"/>
            <w:shd w:val="clear" w:color="auto" w:fill="auto"/>
            <w:noWrap/>
            <w:vAlign w:val="center"/>
            <w:hideMark/>
          </w:tcPr>
          <w:p w14:paraId="4B1F2B42"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.64</w:t>
            </w:r>
          </w:p>
        </w:tc>
        <w:tc>
          <w:tcPr>
            <w:tcW w:w="1134" w:type="dxa"/>
            <w:shd w:val="clear" w:color="auto" w:fill="auto"/>
            <w:noWrap/>
            <w:vAlign w:val="center"/>
          </w:tcPr>
          <w:p w14:paraId="05CB4E35"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0.75 </w:t>
            </w:r>
          </w:p>
        </w:tc>
        <w:tc>
          <w:tcPr>
            <w:tcW w:w="709" w:type="dxa"/>
            <w:shd w:val="clear" w:color="auto" w:fill="auto"/>
            <w:noWrap/>
            <w:vAlign w:val="center"/>
          </w:tcPr>
          <w:p w14:paraId="638408D0"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b/>
                <w:bCs/>
                <w:color w:val="000000"/>
                <w:kern w:val="0"/>
                <w:sz w:val="20"/>
                <w:szCs w:val="20"/>
              </w:rPr>
              <w:t>.75</w:t>
            </w:r>
          </w:p>
        </w:tc>
        <w:tc>
          <w:tcPr>
            <w:tcW w:w="708" w:type="dxa"/>
            <w:shd w:val="clear" w:color="auto" w:fill="auto"/>
            <w:noWrap/>
            <w:vAlign w:val="center"/>
          </w:tcPr>
          <w:p w14:paraId="5B53114A"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.28</w:t>
            </w:r>
          </w:p>
        </w:tc>
        <w:tc>
          <w:tcPr>
            <w:tcW w:w="993" w:type="dxa"/>
            <w:vAlign w:val="center"/>
          </w:tcPr>
          <w:p w14:paraId="1CCB3C25"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.64</w:t>
            </w:r>
          </w:p>
        </w:tc>
        <w:tc>
          <w:tcPr>
            <w:tcW w:w="1134" w:type="dxa"/>
            <w:vAlign w:val="center"/>
          </w:tcPr>
          <w:p w14:paraId="3BCF1F60"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0.75 </w:t>
            </w:r>
          </w:p>
        </w:tc>
      </w:tr>
      <w:tr w:rsidR="00915A5D" w:rsidRPr="006E1978" w14:paraId="3EB2D170" w14:textId="77777777" w:rsidTr="00474F6C">
        <w:trPr>
          <w:trHeight w:val="320"/>
        </w:trPr>
        <w:tc>
          <w:tcPr>
            <w:tcW w:w="6232" w:type="dxa"/>
            <w:shd w:val="clear" w:color="auto" w:fill="auto"/>
            <w:noWrap/>
            <w:vAlign w:val="center"/>
            <w:hideMark/>
          </w:tcPr>
          <w:p w14:paraId="7BDF8A89" w14:textId="77777777" w:rsidR="00915A5D" w:rsidRPr="006E1978" w:rsidRDefault="00915A5D" w:rsidP="00474F6C">
            <w:pPr>
              <w:widowControl/>
              <w:jc w:val="left"/>
              <w:rPr>
                <w:rFonts w:eastAsia="DengXian" w:cs="Times New Roman"/>
                <w:b/>
                <w:bCs/>
                <w:color w:val="000000"/>
                <w:kern w:val="0"/>
                <w:sz w:val="20"/>
                <w:szCs w:val="20"/>
              </w:rPr>
            </w:pPr>
            <w:r w:rsidRPr="006E1978">
              <w:rPr>
                <w:rFonts w:eastAsia="DengXian" w:cs="Times New Roman"/>
                <w:b/>
                <w:bCs/>
                <w:color w:val="000000"/>
                <w:kern w:val="0"/>
                <w:sz w:val="20"/>
                <w:szCs w:val="20"/>
              </w:rPr>
              <w:t>Factor 2: positive metacognition about online gaming (P-MOG)</w:t>
            </w:r>
          </w:p>
        </w:tc>
        <w:tc>
          <w:tcPr>
            <w:tcW w:w="709" w:type="dxa"/>
          </w:tcPr>
          <w:p w14:paraId="49D2918C" w14:textId="77777777" w:rsidR="00915A5D" w:rsidRPr="006E1978" w:rsidRDefault="00915A5D" w:rsidP="00474F6C">
            <w:pPr>
              <w:widowControl/>
              <w:jc w:val="center"/>
              <w:rPr>
                <w:rFonts w:eastAsia="DengXian" w:cs="Times New Roman"/>
                <w:color w:val="000000"/>
                <w:kern w:val="0"/>
                <w:sz w:val="20"/>
                <w:szCs w:val="20"/>
              </w:rPr>
            </w:pPr>
          </w:p>
        </w:tc>
        <w:tc>
          <w:tcPr>
            <w:tcW w:w="851" w:type="dxa"/>
          </w:tcPr>
          <w:p w14:paraId="2E26715E" w14:textId="77777777" w:rsidR="00915A5D" w:rsidRPr="006E1978" w:rsidRDefault="00915A5D" w:rsidP="00474F6C">
            <w:pPr>
              <w:widowControl/>
              <w:jc w:val="center"/>
              <w:rPr>
                <w:rFonts w:eastAsia="DengXian" w:cs="Times New Roman"/>
                <w:color w:val="000000"/>
                <w:kern w:val="0"/>
                <w:sz w:val="20"/>
                <w:szCs w:val="20"/>
              </w:rPr>
            </w:pPr>
          </w:p>
        </w:tc>
        <w:tc>
          <w:tcPr>
            <w:tcW w:w="567" w:type="dxa"/>
            <w:shd w:val="clear" w:color="auto" w:fill="auto"/>
            <w:noWrap/>
            <w:vAlign w:val="center"/>
            <w:hideMark/>
          </w:tcPr>
          <w:p w14:paraId="13D7DDE5" w14:textId="77777777" w:rsidR="00915A5D" w:rsidRPr="006E1978" w:rsidRDefault="00915A5D" w:rsidP="00474F6C">
            <w:pPr>
              <w:widowControl/>
              <w:jc w:val="center"/>
              <w:rPr>
                <w:rFonts w:eastAsia="DengXian" w:cs="Times New Roman"/>
                <w:color w:val="000000"/>
                <w:kern w:val="0"/>
                <w:sz w:val="20"/>
                <w:szCs w:val="20"/>
              </w:rPr>
            </w:pPr>
          </w:p>
        </w:tc>
        <w:tc>
          <w:tcPr>
            <w:tcW w:w="567" w:type="dxa"/>
            <w:shd w:val="clear" w:color="auto" w:fill="auto"/>
            <w:noWrap/>
            <w:vAlign w:val="center"/>
            <w:hideMark/>
          </w:tcPr>
          <w:p w14:paraId="5B685D40" w14:textId="77777777" w:rsidR="00915A5D" w:rsidRPr="006E1978" w:rsidRDefault="00915A5D" w:rsidP="00474F6C">
            <w:pPr>
              <w:widowControl/>
              <w:jc w:val="center"/>
              <w:rPr>
                <w:rFonts w:eastAsia="Times New Roman" w:cs="Times New Roman"/>
                <w:kern w:val="0"/>
                <w:sz w:val="20"/>
                <w:szCs w:val="20"/>
              </w:rPr>
            </w:pPr>
          </w:p>
        </w:tc>
        <w:tc>
          <w:tcPr>
            <w:tcW w:w="992" w:type="dxa"/>
            <w:shd w:val="clear" w:color="auto" w:fill="auto"/>
            <w:noWrap/>
            <w:vAlign w:val="center"/>
            <w:hideMark/>
          </w:tcPr>
          <w:p w14:paraId="4DCE4FE5" w14:textId="77777777" w:rsidR="00915A5D" w:rsidRPr="006E1978" w:rsidRDefault="00915A5D" w:rsidP="00474F6C">
            <w:pPr>
              <w:widowControl/>
              <w:jc w:val="center"/>
              <w:rPr>
                <w:rFonts w:eastAsia="Times New Roman" w:cs="Times New Roman"/>
                <w:kern w:val="0"/>
                <w:sz w:val="20"/>
                <w:szCs w:val="20"/>
              </w:rPr>
            </w:pPr>
          </w:p>
        </w:tc>
        <w:tc>
          <w:tcPr>
            <w:tcW w:w="1134" w:type="dxa"/>
            <w:shd w:val="clear" w:color="auto" w:fill="auto"/>
            <w:noWrap/>
            <w:vAlign w:val="center"/>
          </w:tcPr>
          <w:p w14:paraId="7EDBD064" w14:textId="77777777" w:rsidR="00915A5D" w:rsidRPr="006E1978" w:rsidRDefault="00915A5D" w:rsidP="00474F6C">
            <w:pPr>
              <w:widowControl/>
              <w:jc w:val="center"/>
              <w:rPr>
                <w:rFonts w:eastAsia="DengXian" w:cs="Times New Roman"/>
                <w:color w:val="000000"/>
                <w:kern w:val="0"/>
                <w:sz w:val="20"/>
                <w:szCs w:val="20"/>
              </w:rPr>
            </w:pPr>
          </w:p>
        </w:tc>
        <w:tc>
          <w:tcPr>
            <w:tcW w:w="709" w:type="dxa"/>
            <w:shd w:val="clear" w:color="auto" w:fill="auto"/>
            <w:noWrap/>
            <w:vAlign w:val="center"/>
          </w:tcPr>
          <w:p w14:paraId="51D6821D" w14:textId="77777777" w:rsidR="00915A5D" w:rsidRPr="006E1978" w:rsidRDefault="00915A5D" w:rsidP="00474F6C">
            <w:pPr>
              <w:widowControl/>
              <w:jc w:val="center"/>
              <w:rPr>
                <w:rFonts w:eastAsia="Times New Roman" w:cs="Times New Roman"/>
                <w:kern w:val="0"/>
                <w:sz w:val="20"/>
                <w:szCs w:val="20"/>
              </w:rPr>
            </w:pPr>
          </w:p>
        </w:tc>
        <w:tc>
          <w:tcPr>
            <w:tcW w:w="708" w:type="dxa"/>
            <w:shd w:val="clear" w:color="auto" w:fill="auto"/>
            <w:noWrap/>
            <w:vAlign w:val="center"/>
          </w:tcPr>
          <w:p w14:paraId="2D4A810E" w14:textId="77777777" w:rsidR="00915A5D" w:rsidRPr="006E1978" w:rsidRDefault="00915A5D" w:rsidP="00474F6C">
            <w:pPr>
              <w:widowControl/>
              <w:jc w:val="center"/>
              <w:rPr>
                <w:rFonts w:eastAsia="Times New Roman" w:cs="Times New Roman"/>
                <w:kern w:val="0"/>
                <w:sz w:val="20"/>
                <w:szCs w:val="20"/>
              </w:rPr>
            </w:pPr>
          </w:p>
        </w:tc>
        <w:tc>
          <w:tcPr>
            <w:tcW w:w="993" w:type="dxa"/>
            <w:vAlign w:val="center"/>
          </w:tcPr>
          <w:p w14:paraId="1E45CCDB" w14:textId="77777777" w:rsidR="00915A5D" w:rsidRPr="006E1978" w:rsidRDefault="00915A5D" w:rsidP="00474F6C">
            <w:pPr>
              <w:widowControl/>
              <w:jc w:val="center"/>
              <w:rPr>
                <w:rFonts w:eastAsia="Times New Roman" w:cs="Times New Roman"/>
                <w:kern w:val="0"/>
                <w:sz w:val="20"/>
                <w:szCs w:val="20"/>
              </w:rPr>
            </w:pPr>
          </w:p>
        </w:tc>
        <w:tc>
          <w:tcPr>
            <w:tcW w:w="1134" w:type="dxa"/>
          </w:tcPr>
          <w:p w14:paraId="76D0AE12" w14:textId="77777777" w:rsidR="00915A5D" w:rsidRPr="006E1978" w:rsidRDefault="00915A5D" w:rsidP="00474F6C">
            <w:pPr>
              <w:widowControl/>
              <w:jc w:val="center"/>
              <w:rPr>
                <w:rFonts w:eastAsia="DengXian" w:cs="Times New Roman"/>
                <w:color w:val="000000"/>
                <w:kern w:val="0"/>
                <w:sz w:val="20"/>
                <w:szCs w:val="20"/>
              </w:rPr>
            </w:pPr>
          </w:p>
        </w:tc>
      </w:tr>
      <w:tr w:rsidR="00915A5D" w:rsidRPr="006E1978" w14:paraId="189FDF69" w14:textId="77777777" w:rsidTr="00474F6C">
        <w:trPr>
          <w:trHeight w:val="320"/>
        </w:trPr>
        <w:tc>
          <w:tcPr>
            <w:tcW w:w="6232" w:type="dxa"/>
            <w:shd w:val="clear" w:color="auto" w:fill="auto"/>
            <w:noWrap/>
            <w:vAlign w:val="center"/>
          </w:tcPr>
          <w:p w14:paraId="6D199AEA" w14:textId="77777777" w:rsidR="00915A5D" w:rsidRPr="006E1978" w:rsidRDefault="00915A5D" w:rsidP="00474F6C">
            <w:pPr>
              <w:widowControl/>
              <w:jc w:val="left"/>
              <w:rPr>
                <w:rFonts w:eastAsia="DengXian" w:cs="Times New Roman"/>
                <w:color w:val="000000"/>
                <w:kern w:val="0"/>
                <w:sz w:val="20"/>
                <w:szCs w:val="20"/>
              </w:rPr>
            </w:pPr>
            <w:r w:rsidRPr="006E1978">
              <w:rPr>
                <w:rFonts w:eastAsia="DengXian" w:cs="Times New Roman"/>
                <w:color w:val="000000"/>
                <w:kern w:val="0"/>
                <w:sz w:val="20"/>
                <w:szCs w:val="20"/>
              </w:rPr>
              <w:t xml:space="preserve">  7. Online gaming makes my worries more bearable</w:t>
            </w:r>
          </w:p>
        </w:tc>
        <w:tc>
          <w:tcPr>
            <w:tcW w:w="709" w:type="dxa"/>
            <w:vAlign w:val="center"/>
          </w:tcPr>
          <w:p w14:paraId="0A58EC10"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1.12 </w:t>
            </w:r>
          </w:p>
        </w:tc>
        <w:tc>
          <w:tcPr>
            <w:tcW w:w="851" w:type="dxa"/>
            <w:vAlign w:val="center"/>
          </w:tcPr>
          <w:p w14:paraId="1064C867"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0.74 </w:t>
            </w:r>
          </w:p>
        </w:tc>
        <w:tc>
          <w:tcPr>
            <w:tcW w:w="567" w:type="dxa"/>
            <w:shd w:val="clear" w:color="auto" w:fill="auto"/>
            <w:noWrap/>
            <w:vAlign w:val="center"/>
          </w:tcPr>
          <w:p w14:paraId="0568DFCD"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b/>
                <w:bCs/>
                <w:color w:val="000000"/>
                <w:kern w:val="0"/>
                <w:sz w:val="20"/>
                <w:szCs w:val="20"/>
              </w:rPr>
              <w:t>.52</w:t>
            </w:r>
          </w:p>
        </w:tc>
        <w:tc>
          <w:tcPr>
            <w:tcW w:w="567" w:type="dxa"/>
            <w:shd w:val="clear" w:color="auto" w:fill="auto"/>
            <w:noWrap/>
            <w:vAlign w:val="center"/>
          </w:tcPr>
          <w:p w14:paraId="235E80C9"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b/>
                <w:bCs/>
                <w:color w:val="000000"/>
                <w:kern w:val="0"/>
                <w:sz w:val="20"/>
                <w:szCs w:val="20"/>
              </w:rPr>
              <w:t>.60</w:t>
            </w:r>
          </w:p>
        </w:tc>
        <w:tc>
          <w:tcPr>
            <w:tcW w:w="992" w:type="dxa"/>
            <w:shd w:val="clear" w:color="auto" w:fill="auto"/>
            <w:noWrap/>
            <w:vAlign w:val="center"/>
          </w:tcPr>
          <w:p w14:paraId="7B7F532B"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.63</w:t>
            </w:r>
          </w:p>
        </w:tc>
        <w:tc>
          <w:tcPr>
            <w:tcW w:w="1134" w:type="dxa"/>
            <w:shd w:val="clear" w:color="auto" w:fill="auto"/>
            <w:noWrap/>
            <w:vAlign w:val="center"/>
          </w:tcPr>
          <w:p w14:paraId="5EA682A5"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0.70 </w:t>
            </w:r>
          </w:p>
        </w:tc>
        <w:tc>
          <w:tcPr>
            <w:tcW w:w="709" w:type="dxa"/>
            <w:shd w:val="clear" w:color="auto" w:fill="auto"/>
            <w:noWrap/>
            <w:vAlign w:val="center"/>
          </w:tcPr>
          <w:p w14:paraId="34EECEAE"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Times New Roman" w:cs="Times New Roman"/>
                <w:kern w:val="0"/>
                <w:sz w:val="20"/>
                <w:szCs w:val="20"/>
              </w:rPr>
              <w:t>--</w:t>
            </w:r>
          </w:p>
        </w:tc>
        <w:tc>
          <w:tcPr>
            <w:tcW w:w="708" w:type="dxa"/>
            <w:shd w:val="clear" w:color="auto" w:fill="auto"/>
            <w:noWrap/>
            <w:vAlign w:val="center"/>
          </w:tcPr>
          <w:p w14:paraId="487BC1C7" w14:textId="77777777" w:rsidR="00915A5D" w:rsidRPr="006E1978" w:rsidRDefault="00915A5D" w:rsidP="00474F6C">
            <w:pPr>
              <w:widowControl/>
              <w:jc w:val="center"/>
              <w:rPr>
                <w:rFonts w:eastAsia="DengXian" w:cs="Times New Roman"/>
                <w:color w:val="000000"/>
                <w:kern w:val="0"/>
                <w:sz w:val="20"/>
                <w:szCs w:val="20"/>
              </w:rPr>
            </w:pPr>
            <w:r w:rsidRPr="006E1978">
              <w:rPr>
                <w:rFonts w:eastAsia="Times New Roman" w:cs="Times New Roman"/>
                <w:kern w:val="0"/>
                <w:sz w:val="20"/>
                <w:szCs w:val="20"/>
              </w:rPr>
              <w:t>--</w:t>
            </w:r>
          </w:p>
        </w:tc>
        <w:tc>
          <w:tcPr>
            <w:tcW w:w="993" w:type="dxa"/>
            <w:vAlign w:val="center"/>
          </w:tcPr>
          <w:p w14:paraId="4EC5BD98"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w:t>
            </w:r>
          </w:p>
        </w:tc>
        <w:tc>
          <w:tcPr>
            <w:tcW w:w="1134" w:type="dxa"/>
          </w:tcPr>
          <w:p w14:paraId="130742F1"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w:t>
            </w:r>
          </w:p>
        </w:tc>
      </w:tr>
      <w:tr w:rsidR="00915A5D" w:rsidRPr="006E1978" w14:paraId="47D273BE" w14:textId="77777777" w:rsidTr="00474F6C">
        <w:trPr>
          <w:trHeight w:val="320"/>
        </w:trPr>
        <w:tc>
          <w:tcPr>
            <w:tcW w:w="6232" w:type="dxa"/>
            <w:shd w:val="clear" w:color="auto" w:fill="auto"/>
            <w:noWrap/>
            <w:vAlign w:val="center"/>
            <w:hideMark/>
          </w:tcPr>
          <w:p w14:paraId="484A7A0A" w14:textId="77777777" w:rsidR="00915A5D" w:rsidRPr="006E1978" w:rsidRDefault="00915A5D" w:rsidP="00474F6C">
            <w:pPr>
              <w:widowControl/>
              <w:jc w:val="left"/>
              <w:rPr>
                <w:rFonts w:eastAsia="DengXian" w:cs="Times New Roman"/>
                <w:color w:val="000000"/>
                <w:kern w:val="0"/>
                <w:sz w:val="20"/>
                <w:szCs w:val="20"/>
              </w:rPr>
            </w:pPr>
            <w:r w:rsidRPr="006E1978">
              <w:rPr>
                <w:rFonts w:eastAsia="DengXian" w:cs="Times New Roman"/>
                <w:color w:val="000000"/>
                <w:kern w:val="0"/>
                <w:sz w:val="20"/>
                <w:szCs w:val="20"/>
              </w:rPr>
              <w:t xml:space="preserve">  8. Online gaming reduces my negative feelings</w:t>
            </w:r>
          </w:p>
        </w:tc>
        <w:tc>
          <w:tcPr>
            <w:tcW w:w="709" w:type="dxa"/>
            <w:vAlign w:val="center"/>
          </w:tcPr>
          <w:p w14:paraId="6C38A2A1"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0.63 </w:t>
            </w:r>
          </w:p>
        </w:tc>
        <w:tc>
          <w:tcPr>
            <w:tcW w:w="851" w:type="dxa"/>
            <w:vAlign w:val="center"/>
          </w:tcPr>
          <w:p w14:paraId="53C3E1E3"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-0.21 </w:t>
            </w:r>
          </w:p>
        </w:tc>
        <w:tc>
          <w:tcPr>
            <w:tcW w:w="567" w:type="dxa"/>
            <w:shd w:val="clear" w:color="auto" w:fill="auto"/>
            <w:noWrap/>
            <w:vAlign w:val="center"/>
            <w:hideMark/>
          </w:tcPr>
          <w:p w14:paraId="1CBDB4C8"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.23</w:t>
            </w:r>
          </w:p>
        </w:tc>
        <w:tc>
          <w:tcPr>
            <w:tcW w:w="567" w:type="dxa"/>
            <w:shd w:val="clear" w:color="auto" w:fill="auto"/>
            <w:noWrap/>
            <w:vAlign w:val="center"/>
            <w:hideMark/>
          </w:tcPr>
          <w:p w14:paraId="34CD250A"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b/>
                <w:bCs/>
                <w:color w:val="000000"/>
                <w:kern w:val="0"/>
                <w:sz w:val="20"/>
                <w:szCs w:val="20"/>
              </w:rPr>
              <w:t>.80</w:t>
            </w:r>
          </w:p>
        </w:tc>
        <w:tc>
          <w:tcPr>
            <w:tcW w:w="992" w:type="dxa"/>
            <w:shd w:val="clear" w:color="auto" w:fill="auto"/>
            <w:noWrap/>
            <w:vAlign w:val="center"/>
            <w:hideMark/>
          </w:tcPr>
          <w:p w14:paraId="3D12B5F1"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.69</w:t>
            </w:r>
          </w:p>
        </w:tc>
        <w:tc>
          <w:tcPr>
            <w:tcW w:w="1134" w:type="dxa"/>
            <w:shd w:val="clear" w:color="auto" w:fill="auto"/>
            <w:noWrap/>
            <w:vAlign w:val="center"/>
          </w:tcPr>
          <w:p w14:paraId="11DAB911"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0.79 </w:t>
            </w:r>
          </w:p>
        </w:tc>
        <w:tc>
          <w:tcPr>
            <w:tcW w:w="709" w:type="dxa"/>
            <w:shd w:val="clear" w:color="auto" w:fill="auto"/>
            <w:noWrap/>
            <w:vAlign w:val="center"/>
          </w:tcPr>
          <w:p w14:paraId="0EFA84D7"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color w:val="000000"/>
                <w:kern w:val="0"/>
                <w:sz w:val="20"/>
                <w:szCs w:val="20"/>
              </w:rPr>
              <w:t>.23</w:t>
            </w:r>
          </w:p>
        </w:tc>
        <w:tc>
          <w:tcPr>
            <w:tcW w:w="708" w:type="dxa"/>
            <w:shd w:val="clear" w:color="auto" w:fill="auto"/>
            <w:noWrap/>
            <w:vAlign w:val="center"/>
          </w:tcPr>
          <w:p w14:paraId="3BC6E068"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b/>
                <w:bCs/>
                <w:color w:val="000000"/>
                <w:kern w:val="0"/>
                <w:sz w:val="20"/>
                <w:szCs w:val="20"/>
              </w:rPr>
              <w:t>.78</w:t>
            </w:r>
          </w:p>
        </w:tc>
        <w:tc>
          <w:tcPr>
            <w:tcW w:w="993" w:type="dxa"/>
            <w:vAlign w:val="center"/>
          </w:tcPr>
          <w:p w14:paraId="579BC761"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.67</w:t>
            </w:r>
          </w:p>
        </w:tc>
        <w:tc>
          <w:tcPr>
            <w:tcW w:w="1134" w:type="dxa"/>
            <w:vAlign w:val="center"/>
          </w:tcPr>
          <w:p w14:paraId="0E3CA6AA"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0.78 </w:t>
            </w:r>
          </w:p>
        </w:tc>
      </w:tr>
      <w:tr w:rsidR="00915A5D" w:rsidRPr="006E1978" w14:paraId="4ED4C6BA" w14:textId="77777777" w:rsidTr="00474F6C">
        <w:trPr>
          <w:trHeight w:val="320"/>
        </w:trPr>
        <w:tc>
          <w:tcPr>
            <w:tcW w:w="6232" w:type="dxa"/>
            <w:shd w:val="clear" w:color="auto" w:fill="auto"/>
            <w:noWrap/>
            <w:vAlign w:val="center"/>
            <w:hideMark/>
          </w:tcPr>
          <w:p w14:paraId="6FAF0B66" w14:textId="77777777" w:rsidR="00915A5D" w:rsidRPr="006E1978" w:rsidRDefault="00915A5D" w:rsidP="00474F6C">
            <w:pPr>
              <w:widowControl/>
              <w:jc w:val="left"/>
              <w:rPr>
                <w:rFonts w:eastAsia="DengXian" w:cs="Times New Roman"/>
                <w:color w:val="000000"/>
                <w:kern w:val="0"/>
                <w:sz w:val="20"/>
                <w:szCs w:val="20"/>
              </w:rPr>
            </w:pPr>
            <w:r w:rsidRPr="006E1978">
              <w:rPr>
                <w:rFonts w:eastAsia="DengXian" w:cs="Times New Roman"/>
                <w:color w:val="000000"/>
                <w:kern w:val="0"/>
                <w:sz w:val="20"/>
                <w:szCs w:val="20"/>
              </w:rPr>
              <w:t xml:space="preserve">  9. Online gaming helps me to control my negative thoughts</w:t>
            </w:r>
          </w:p>
        </w:tc>
        <w:tc>
          <w:tcPr>
            <w:tcW w:w="709" w:type="dxa"/>
            <w:vAlign w:val="center"/>
          </w:tcPr>
          <w:p w14:paraId="29553DEB"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0.70 </w:t>
            </w:r>
          </w:p>
        </w:tc>
        <w:tc>
          <w:tcPr>
            <w:tcW w:w="851" w:type="dxa"/>
            <w:vAlign w:val="center"/>
          </w:tcPr>
          <w:p w14:paraId="46352F92"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-0.22 </w:t>
            </w:r>
          </w:p>
        </w:tc>
        <w:tc>
          <w:tcPr>
            <w:tcW w:w="567" w:type="dxa"/>
            <w:shd w:val="clear" w:color="auto" w:fill="auto"/>
            <w:noWrap/>
            <w:vAlign w:val="center"/>
            <w:hideMark/>
          </w:tcPr>
          <w:p w14:paraId="016ECDA8"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.28</w:t>
            </w:r>
          </w:p>
        </w:tc>
        <w:tc>
          <w:tcPr>
            <w:tcW w:w="567" w:type="dxa"/>
            <w:shd w:val="clear" w:color="auto" w:fill="auto"/>
            <w:noWrap/>
            <w:vAlign w:val="center"/>
            <w:hideMark/>
          </w:tcPr>
          <w:p w14:paraId="12D462CD"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b/>
                <w:bCs/>
                <w:color w:val="000000"/>
                <w:kern w:val="0"/>
                <w:sz w:val="20"/>
                <w:szCs w:val="20"/>
              </w:rPr>
              <w:t>.83</w:t>
            </w:r>
          </w:p>
        </w:tc>
        <w:tc>
          <w:tcPr>
            <w:tcW w:w="992" w:type="dxa"/>
            <w:shd w:val="clear" w:color="auto" w:fill="auto"/>
            <w:noWrap/>
            <w:vAlign w:val="center"/>
            <w:hideMark/>
          </w:tcPr>
          <w:p w14:paraId="78DF11DC"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.76</w:t>
            </w:r>
          </w:p>
        </w:tc>
        <w:tc>
          <w:tcPr>
            <w:tcW w:w="1134" w:type="dxa"/>
            <w:shd w:val="clear" w:color="auto" w:fill="auto"/>
            <w:noWrap/>
            <w:vAlign w:val="center"/>
          </w:tcPr>
          <w:p w14:paraId="20BD23E4"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0.83 </w:t>
            </w:r>
          </w:p>
        </w:tc>
        <w:tc>
          <w:tcPr>
            <w:tcW w:w="709" w:type="dxa"/>
            <w:shd w:val="clear" w:color="auto" w:fill="auto"/>
            <w:noWrap/>
            <w:vAlign w:val="center"/>
          </w:tcPr>
          <w:p w14:paraId="1316A08C"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color w:val="000000"/>
                <w:kern w:val="0"/>
                <w:sz w:val="20"/>
                <w:szCs w:val="20"/>
              </w:rPr>
              <w:t>.29</w:t>
            </w:r>
          </w:p>
        </w:tc>
        <w:tc>
          <w:tcPr>
            <w:tcW w:w="708" w:type="dxa"/>
            <w:shd w:val="clear" w:color="auto" w:fill="auto"/>
            <w:noWrap/>
            <w:vAlign w:val="center"/>
          </w:tcPr>
          <w:p w14:paraId="6619CF9B"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b/>
                <w:bCs/>
                <w:color w:val="000000"/>
                <w:kern w:val="0"/>
                <w:sz w:val="20"/>
                <w:szCs w:val="20"/>
              </w:rPr>
              <w:t>.83</w:t>
            </w:r>
          </w:p>
        </w:tc>
        <w:tc>
          <w:tcPr>
            <w:tcW w:w="993" w:type="dxa"/>
            <w:vAlign w:val="center"/>
          </w:tcPr>
          <w:p w14:paraId="073E68B8"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.76</w:t>
            </w:r>
          </w:p>
        </w:tc>
        <w:tc>
          <w:tcPr>
            <w:tcW w:w="1134" w:type="dxa"/>
            <w:vAlign w:val="center"/>
          </w:tcPr>
          <w:p w14:paraId="0044148B"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0.83 </w:t>
            </w:r>
          </w:p>
        </w:tc>
      </w:tr>
      <w:tr w:rsidR="00915A5D" w:rsidRPr="006E1978" w14:paraId="448DB12F" w14:textId="77777777" w:rsidTr="00474F6C">
        <w:trPr>
          <w:trHeight w:val="320"/>
        </w:trPr>
        <w:tc>
          <w:tcPr>
            <w:tcW w:w="6232" w:type="dxa"/>
            <w:shd w:val="clear" w:color="auto" w:fill="auto"/>
            <w:noWrap/>
            <w:vAlign w:val="center"/>
            <w:hideMark/>
          </w:tcPr>
          <w:p w14:paraId="53D8AA2F" w14:textId="77777777" w:rsidR="00915A5D" w:rsidRPr="006E1978" w:rsidRDefault="00915A5D" w:rsidP="00474F6C">
            <w:pPr>
              <w:widowControl/>
              <w:jc w:val="left"/>
              <w:rPr>
                <w:rFonts w:eastAsia="DengXian" w:cs="Times New Roman"/>
                <w:color w:val="000000"/>
                <w:kern w:val="0"/>
                <w:sz w:val="20"/>
                <w:szCs w:val="20"/>
              </w:rPr>
            </w:pPr>
            <w:r w:rsidRPr="006E1978">
              <w:rPr>
                <w:rFonts w:eastAsia="DengXian" w:cs="Times New Roman"/>
                <w:color w:val="000000"/>
                <w:kern w:val="0"/>
                <w:sz w:val="20"/>
                <w:szCs w:val="20"/>
              </w:rPr>
              <w:t xml:space="preserve">  10. Online gaming stops me from worrying</w:t>
            </w:r>
          </w:p>
        </w:tc>
        <w:tc>
          <w:tcPr>
            <w:tcW w:w="709" w:type="dxa"/>
            <w:vAlign w:val="center"/>
          </w:tcPr>
          <w:p w14:paraId="3A05A26B"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1.05 </w:t>
            </w:r>
          </w:p>
        </w:tc>
        <w:tc>
          <w:tcPr>
            <w:tcW w:w="851" w:type="dxa"/>
            <w:vAlign w:val="center"/>
          </w:tcPr>
          <w:p w14:paraId="0534B871"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0.30 </w:t>
            </w:r>
          </w:p>
        </w:tc>
        <w:tc>
          <w:tcPr>
            <w:tcW w:w="567" w:type="dxa"/>
            <w:shd w:val="clear" w:color="auto" w:fill="auto"/>
            <w:noWrap/>
            <w:vAlign w:val="center"/>
            <w:hideMark/>
          </w:tcPr>
          <w:p w14:paraId="52948B29"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.38</w:t>
            </w:r>
          </w:p>
        </w:tc>
        <w:tc>
          <w:tcPr>
            <w:tcW w:w="567" w:type="dxa"/>
            <w:shd w:val="clear" w:color="auto" w:fill="auto"/>
            <w:noWrap/>
            <w:vAlign w:val="center"/>
            <w:hideMark/>
          </w:tcPr>
          <w:p w14:paraId="27AB8202"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b/>
                <w:bCs/>
                <w:color w:val="000000"/>
                <w:kern w:val="0"/>
                <w:sz w:val="20"/>
                <w:szCs w:val="20"/>
              </w:rPr>
              <w:t>.69</w:t>
            </w:r>
          </w:p>
        </w:tc>
        <w:tc>
          <w:tcPr>
            <w:tcW w:w="992" w:type="dxa"/>
            <w:shd w:val="clear" w:color="auto" w:fill="auto"/>
            <w:noWrap/>
            <w:vAlign w:val="center"/>
            <w:hideMark/>
          </w:tcPr>
          <w:p w14:paraId="79A73F98"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.61</w:t>
            </w:r>
          </w:p>
        </w:tc>
        <w:tc>
          <w:tcPr>
            <w:tcW w:w="1134" w:type="dxa"/>
            <w:shd w:val="clear" w:color="auto" w:fill="auto"/>
            <w:noWrap/>
            <w:vAlign w:val="center"/>
          </w:tcPr>
          <w:p w14:paraId="203FA541"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0.74 </w:t>
            </w:r>
          </w:p>
        </w:tc>
        <w:tc>
          <w:tcPr>
            <w:tcW w:w="709" w:type="dxa"/>
            <w:shd w:val="clear" w:color="auto" w:fill="auto"/>
            <w:noWrap/>
            <w:vAlign w:val="center"/>
          </w:tcPr>
          <w:p w14:paraId="44B36BFB"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color w:val="000000"/>
                <w:kern w:val="0"/>
                <w:sz w:val="20"/>
                <w:szCs w:val="20"/>
              </w:rPr>
              <w:t>.38</w:t>
            </w:r>
          </w:p>
        </w:tc>
        <w:tc>
          <w:tcPr>
            <w:tcW w:w="708" w:type="dxa"/>
            <w:shd w:val="clear" w:color="auto" w:fill="auto"/>
            <w:noWrap/>
            <w:vAlign w:val="center"/>
          </w:tcPr>
          <w:p w14:paraId="32424CF5"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b/>
                <w:bCs/>
                <w:color w:val="000000"/>
                <w:kern w:val="0"/>
                <w:sz w:val="20"/>
                <w:szCs w:val="20"/>
              </w:rPr>
              <w:t>.68</w:t>
            </w:r>
          </w:p>
        </w:tc>
        <w:tc>
          <w:tcPr>
            <w:tcW w:w="993" w:type="dxa"/>
            <w:vAlign w:val="center"/>
          </w:tcPr>
          <w:p w14:paraId="348F2580"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.61</w:t>
            </w:r>
          </w:p>
        </w:tc>
        <w:tc>
          <w:tcPr>
            <w:tcW w:w="1134" w:type="dxa"/>
            <w:vAlign w:val="center"/>
          </w:tcPr>
          <w:p w14:paraId="729E78D0"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0.73 </w:t>
            </w:r>
          </w:p>
        </w:tc>
      </w:tr>
      <w:tr w:rsidR="00915A5D" w:rsidRPr="006E1978" w14:paraId="20624930" w14:textId="77777777" w:rsidTr="00474F6C">
        <w:trPr>
          <w:trHeight w:val="320"/>
        </w:trPr>
        <w:tc>
          <w:tcPr>
            <w:tcW w:w="6232" w:type="dxa"/>
            <w:tcBorders>
              <w:bottom w:val="single" w:sz="4" w:space="0" w:color="FFFFFF" w:themeColor="background1"/>
            </w:tcBorders>
            <w:shd w:val="clear" w:color="auto" w:fill="auto"/>
            <w:noWrap/>
            <w:vAlign w:val="center"/>
            <w:hideMark/>
          </w:tcPr>
          <w:p w14:paraId="0AD32807" w14:textId="77777777" w:rsidR="00915A5D" w:rsidRPr="006E1978" w:rsidRDefault="00915A5D" w:rsidP="00474F6C">
            <w:pPr>
              <w:widowControl/>
              <w:jc w:val="left"/>
              <w:rPr>
                <w:rFonts w:eastAsia="DengXian" w:cs="Times New Roman"/>
                <w:color w:val="000000"/>
                <w:kern w:val="0"/>
                <w:sz w:val="20"/>
                <w:szCs w:val="20"/>
              </w:rPr>
            </w:pPr>
            <w:r w:rsidRPr="006E1978">
              <w:rPr>
                <w:rFonts w:eastAsia="DengXian" w:cs="Times New Roman"/>
                <w:color w:val="000000"/>
                <w:kern w:val="0"/>
                <w:sz w:val="20"/>
                <w:szCs w:val="20"/>
              </w:rPr>
              <w:t xml:space="preserve">  11. Online gaming reduces my anxious feelings</w:t>
            </w:r>
          </w:p>
        </w:tc>
        <w:tc>
          <w:tcPr>
            <w:tcW w:w="709" w:type="dxa"/>
            <w:tcBorders>
              <w:bottom w:val="single" w:sz="4" w:space="0" w:color="FFFFFF" w:themeColor="background1"/>
            </w:tcBorders>
            <w:vAlign w:val="center"/>
          </w:tcPr>
          <w:p w14:paraId="61B340C0"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0.70 </w:t>
            </w:r>
          </w:p>
        </w:tc>
        <w:tc>
          <w:tcPr>
            <w:tcW w:w="851" w:type="dxa"/>
            <w:tcBorders>
              <w:bottom w:val="single" w:sz="4" w:space="0" w:color="FFFFFF" w:themeColor="background1"/>
            </w:tcBorders>
            <w:vAlign w:val="center"/>
          </w:tcPr>
          <w:p w14:paraId="34C7E609"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-0.23 </w:t>
            </w:r>
          </w:p>
        </w:tc>
        <w:tc>
          <w:tcPr>
            <w:tcW w:w="567" w:type="dxa"/>
            <w:tcBorders>
              <w:bottom w:val="single" w:sz="4" w:space="0" w:color="FFFFFF" w:themeColor="background1"/>
            </w:tcBorders>
            <w:shd w:val="clear" w:color="auto" w:fill="auto"/>
            <w:noWrap/>
            <w:vAlign w:val="center"/>
            <w:hideMark/>
          </w:tcPr>
          <w:p w14:paraId="73D0AA67"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.20</w:t>
            </w:r>
          </w:p>
        </w:tc>
        <w:tc>
          <w:tcPr>
            <w:tcW w:w="567" w:type="dxa"/>
            <w:tcBorders>
              <w:bottom w:val="single" w:sz="4" w:space="0" w:color="FFFFFF" w:themeColor="background1"/>
            </w:tcBorders>
            <w:shd w:val="clear" w:color="auto" w:fill="auto"/>
            <w:noWrap/>
            <w:vAlign w:val="center"/>
            <w:hideMark/>
          </w:tcPr>
          <w:p w14:paraId="27262808"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b/>
                <w:bCs/>
                <w:color w:val="000000"/>
                <w:kern w:val="0"/>
                <w:sz w:val="20"/>
                <w:szCs w:val="20"/>
              </w:rPr>
              <w:t>.84</w:t>
            </w:r>
          </w:p>
        </w:tc>
        <w:tc>
          <w:tcPr>
            <w:tcW w:w="992" w:type="dxa"/>
            <w:tcBorders>
              <w:bottom w:val="single" w:sz="4" w:space="0" w:color="FFFFFF" w:themeColor="background1"/>
            </w:tcBorders>
            <w:shd w:val="clear" w:color="auto" w:fill="auto"/>
            <w:noWrap/>
            <w:vAlign w:val="center"/>
            <w:hideMark/>
          </w:tcPr>
          <w:p w14:paraId="7DDA830F"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.75</w:t>
            </w:r>
          </w:p>
        </w:tc>
        <w:tc>
          <w:tcPr>
            <w:tcW w:w="1134" w:type="dxa"/>
            <w:tcBorders>
              <w:bottom w:val="single" w:sz="4" w:space="0" w:color="FFFFFF" w:themeColor="background1"/>
            </w:tcBorders>
            <w:shd w:val="clear" w:color="auto" w:fill="auto"/>
            <w:noWrap/>
            <w:vAlign w:val="center"/>
          </w:tcPr>
          <w:p w14:paraId="42E2D394"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0.81 </w:t>
            </w:r>
          </w:p>
        </w:tc>
        <w:tc>
          <w:tcPr>
            <w:tcW w:w="709" w:type="dxa"/>
            <w:tcBorders>
              <w:bottom w:val="single" w:sz="4" w:space="0" w:color="FFFFFF" w:themeColor="background1"/>
            </w:tcBorders>
            <w:shd w:val="clear" w:color="auto" w:fill="auto"/>
            <w:noWrap/>
            <w:vAlign w:val="center"/>
          </w:tcPr>
          <w:p w14:paraId="12DBBBCC"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color w:val="000000"/>
                <w:kern w:val="0"/>
                <w:sz w:val="20"/>
                <w:szCs w:val="20"/>
              </w:rPr>
              <w:t>.21</w:t>
            </w:r>
          </w:p>
        </w:tc>
        <w:tc>
          <w:tcPr>
            <w:tcW w:w="708" w:type="dxa"/>
            <w:tcBorders>
              <w:bottom w:val="single" w:sz="4" w:space="0" w:color="FFFFFF" w:themeColor="background1"/>
            </w:tcBorders>
            <w:shd w:val="clear" w:color="auto" w:fill="auto"/>
            <w:noWrap/>
            <w:vAlign w:val="center"/>
          </w:tcPr>
          <w:p w14:paraId="12C02B39"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b/>
                <w:bCs/>
                <w:color w:val="000000"/>
                <w:kern w:val="0"/>
                <w:sz w:val="20"/>
                <w:szCs w:val="20"/>
              </w:rPr>
              <w:t>.85</w:t>
            </w:r>
          </w:p>
        </w:tc>
        <w:tc>
          <w:tcPr>
            <w:tcW w:w="993" w:type="dxa"/>
            <w:tcBorders>
              <w:bottom w:val="single" w:sz="4" w:space="0" w:color="FFFFFF" w:themeColor="background1"/>
            </w:tcBorders>
            <w:vAlign w:val="center"/>
          </w:tcPr>
          <w:p w14:paraId="7146E054"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.76</w:t>
            </w:r>
          </w:p>
        </w:tc>
        <w:tc>
          <w:tcPr>
            <w:tcW w:w="1134" w:type="dxa"/>
            <w:tcBorders>
              <w:bottom w:val="single" w:sz="4" w:space="0" w:color="FFFFFF" w:themeColor="background1"/>
            </w:tcBorders>
            <w:vAlign w:val="center"/>
          </w:tcPr>
          <w:p w14:paraId="4718E050"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0.83 </w:t>
            </w:r>
          </w:p>
        </w:tc>
      </w:tr>
      <w:tr w:rsidR="00915A5D" w:rsidRPr="006E1978" w14:paraId="52CDA4D6" w14:textId="77777777" w:rsidTr="00474F6C">
        <w:trPr>
          <w:trHeight w:val="320"/>
        </w:trPr>
        <w:tc>
          <w:tcPr>
            <w:tcW w:w="6232" w:type="dxa"/>
            <w:tcBorders>
              <w:bottom w:val="single" w:sz="4" w:space="0" w:color="000000" w:themeColor="text1"/>
            </w:tcBorders>
            <w:shd w:val="clear" w:color="auto" w:fill="auto"/>
            <w:noWrap/>
            <w:vAlign w:val="center"/>
            <w:hideMark/>
          </w:tcPr>
          <w:p w14:paraId="759E6E08" w14:textId="77777777" w:rsidR="00915A5D" w:rsidRPr="006E1978" w:rsidRDefault="00915A5D" w:rsidP="00474F6C">
            <w:pPr>
              <w:widowControl/>
              <w:jc w:val="left"/>
              <w:rPr>
                <w:rFonts w:eastAsia="DengXian" w:cs="Times New Roman"/>
                <w:color w:val="000000"/>
                <w:kern w:val="0"/>
                <w:sz w:val="20"/>
                <w:szCs w:val="20"/>
              </w:rPr>
            </w:pPr>
            <w:r w:rsidRPr="006E1978">
              <w:rPr>
                <w:rFonts w:eastAsia="DengXian" w:cs="Times New Roman"/>
                <w:color w:val="000000"/>
                <w:kern w:val="0"/>
                <w:sz w:val="20"/>
                <w:szCs w:val="20"/>
              </w:rPr>
              <w:t xml:space="preserve">  12. Online gaming distracts my mind from problems</w:t>
            </w:r>
          </w:p>
        </w:tc>
        <w:tc>
          <w:tcPr>
            <w:tcW w:w="709" w:type="dxa"/>
            <w:tcBorders>
              <w:bottom w:val="single" w:sz="4" w:space="0" w:color="000000" w:themeColor="text1"/>
            </w:tcBorders>
            <w:vAlign w:val="center"/>
          </w:tcPr>
          <w:p w14:paraId="59F02091"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0.66 </w:t>
            </w:r>
          </w:p>
        </w:tc>
        <w:tc>
          <w:tcPr>
            <w:tcW w:w="851" w:type="dxa"/>
            <w:tcBorders>
              <w:bottom w:val="single" w:sz="4" w:space="0" w:color="000000" w:themeColor="text1"/>
            </w:tcBorders>
            <w:vAlign w:val="center"/>
          </w:tcPr>
          <w:p w14:paraId="6C1E37A9"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-0.08 </w:t>
            </w:r>
          </w:p>
        </w:tc>
        <w:tc>
          <w:tcPr>
            <w:tcW w:w="567" w:type="dxa"/>
            <w:tcBorders>
              <w:bottom w:val="single" w:sz="4" w:space="0" w:color="000000" w:themeColor="text1"/>
            </w:tcBorders>
            <w:shd w:val="clear" w:color="auto" w:fill="auto"/>
            <w:noWrap/>
            <w:vAlign w:val="center"/>
            <w:hideMark/>
          </w:tcPr>
          <w:p w14:paraId="5E4A3831"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.23</w:t>
            </w:r>
          </w:p>
        </w:tc>
        <w:tc>
          <w:tcPr>
            <w:tcW w:w="567" w:type="dxa"/>
            <w:tcBorders>
              <w:bottom w:val="single" w:sz="4" w:space="0" w:color="000000" w:themeColor="text1"/>
            </w:tcBorders>
            <w:shd w:val="clear" w:color="auto" w:fill="auto"/>
            <w:noWrap/>
            <w:vAlign w:val="center"/>
            <w:hideMark/>
          </w:tcPr>
          <w:p w14:paraId="605A9BEC"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b/>
                <w:bCs/>
                <w:color w:val="000000"/>
                <w:kern w:val="0"/>
                <w:sz w:val="20"/>
                <w:szCs w:val="20"/>
              </w:rPr>
              <w:t>.79</w:t>
            </w:r>
          </w:p>
        </w:tc>
        <w:tc>
          <w:tcPr>
            <w:tcW w:w="992" w:type="dxa"/>
            <w:tcBorders>
              <w:bottom w:val="single" w:sz="4" w:space="0" w:color="000000" w:themeColor="text1"/>
            </w:tcBorders>
            <w:shd w:val="clear" w:color="auto" w:fill="auto"/>
            <w:noWrap/>
            <w:vAlign w:val="center"/>
            <w:hideMark/>
          </w:tcPr>
          <w:p w14:paraId="0F1C8AB3"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color w:val="000000"/>
                <w:kern w:val="0"/>
                <w:sz w:val="20"/>
                <w:szCs w:val="20"/>
              </w:rPr>
              <w:t>.67</w:t>
            </w:r>
          </w:p>
        </w:tc>
        <w:tc>
          <w:tcPr>
            <w:tcW w:w="1134" w:type="dxa"/>
            <w:tcBorders>
              <w:bottom w:val="single" w:sz="4" w:space="0" w:color="000000" w:themeColor="text1"/>
            </w:tcBorders>
            <w:shd w:val="clear" w:color="auto" w:fill="auto"/>
            <w:noWrap/>
            <w:vAlign w:val="center"/>
          </w:tcPr>
          <w:p w14:paraId="55019FF6"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0.77 </w:t>
            </w:r>
          </w:p>
        </w:tc>
        <w:tc>
          <w:tcPr>
            <w:tcW w:w="709" w:type="dxa"/>
            <w:tcBorders>
              <w:bottom w:val="single" w:sz="4" w:space="0" w:color="000000" w:themeColor="text1"/>
            </w:tcBorders>
            <w:shd w:val="clear" w:color="auto" w:fill="auto"/>
            <w:noWrap/>
            <w:vAlign w:val="center"/>
          </w:tcPr>
          <w:p w14:paraId="3A627D47" w14:textId="77777777" w:rsidR="00915A5D" w:rsidRPr="006E1978" w:rsidRDefault="00915A5D" w:rsidP="00474F6C">
            <w:pPr>
              <w:widowControl/>
              <w:jc w:val="center"/>
              <w:rPr>
                <w:rFonts w:eastAsia="DengXian" w:cs="Times New Roman"/>
                <w:b/>
                <w:bCs/>
                <w:color w:val="000000"/>
                <w:kern w:val="0"/>
                <w:sz w:val="20"/>
                <w:szCs w:val="20"/>
              </w:rPr>
            </w:pPr>
            <w:r w:rsidRPr="006E1978">
              <w:rPr>
                <w:rFonts w:eastAsia="DengXian" w:cs="Times New Roman"/>
                <w:color w:val="000000"/>
                <w:kern w:val="0"/>
                <w:sz w:val="20"/>
                <w:szCs w:val="20"/>
              </w:rPr>
              <w:t>.23</w:t>
            </w:r>
          </w:p>
        </w:tc>
        <w:tc>
          <w:tcPr>
            <w:tcW w:w="708" w:type="dxa"/>
            <w:tcBorders>
              <w:bottom w:val="single" w:sz="4" w:space="0" w:color="000000" w:themeColor="text1"/>
            </w:tcBorders>
            <w:shd w:val="clear" w:color="auto" w:fill="auto"/>
            <w:noWrap/>
            <w:vAlign w:val="center"/>
          </w:tcPr>
          <w:p w14:paraId="6F6CEF9F"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b/>
                <w:bCs/>
                <w:color w:val="000000"/>
                <w:kern w:val="0"/>
                <w:sz w:val="20"/>
                <w:szCs w:val="20"/>
              </w:rPr>
              <w:t>.79</w:t>
            </w:r>
          </w:p>
        </w:tc>
        <w:tc>
          <w:tcPr>
            <w:tcW w:w="993" w:type="dxa"/>
            <w:tcBorders>
              <w:bottom w:val="single" w:sz="4" w:space="0" w:color="000000" w:themeColor="text1"/>
            </w:tcBorders>
            <w:vAlign w:val="center"/>
          </w:tcPr>
          <w:p w14:paraId="41319701"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color w:val="000000"/>
                <w:kern w:val="0"/>
                <w:sz w:val="20"/>
                <w:szCs w:val="20"/>
              </w:rPr>
              <w:t>.67</w:t>
            </w:r>
          </w:p>
        </w:tc>
        <w:tc>
          <w:tcPr>
            <w:tcW w:w="1134" w:type="dxa"/>
            <w:tcBorders>
              <w:bottom w:val="single" w:sz="4" w:space="0" w:color="000000" w:themeColor="text1"/>
            </w:tcBorders>
            <w:vAlign w:val="center"/>
          </w:tcPr>
          <w:p w14:paraId="267ADF1A" w14:textId="77777777" w:rsidR="00915A5D" w:rsidRPr="006E1978" w:rsidRDefault="00915A5D" w:rsidP="00474F6C">
            <w:pPr>
              <w:widowControl/>
              <w:jc w:val="center"/>
              <w:rPr>
                <w:rFonts w:eastAsia="DengXian" w:cs="Times New Roman"/>
                <w:color w:val="000000"/>
                <w:kern w:val="0"/>
                <w:sz w:val="20"/>
                <w:szCs w:val="20"/>
              </w:rPr>
            </w:pPr>
            <w:r w:rsidRPr="006E1978">
              <w:rPr>
                <w:rFonts w:eastAsia="DengXian" w:cs="Times New Roman" w:hint="eastAsia"/>
                <w:color w:val="000000"/>
                <w:kern w:val="0"/>
                <w:sz w:val="20"/>
                <w:szCs w:val="20"/>
              </w:rPr>
              <w:t xml:space="preserve">0.77 </w:t>
            </w:r>
          </w:p>
        </w:tc>
      </w:tr>
    </w:tbl>
    <w:p w14:paraId="61133F14" w14:textId="6C3B15B6" w:rsidR="009E61D4" w:rsidRPr="006E1978" w:rsidRDefault="00915A5D" w:rsidP="006B1516">
      <w:pPr>
        <w:jc w:val="left"/>
        <w:rPr>
          <w:rFonts w:cs="Times New Roman"/>
          <w:szCs w:val="21"/>
        </w:rPr>
        <w:sectPr w:rsidR="009E61D4" w:rsidRPr="006E1978" w:rsidSect="00915A5D">
          <w:pgSz w:w="16838" w:h="11906" w:orient="landscape"/>
          <w:pgMar w:top="1797" w:right="1440" w:bottom="1797" w:left="1440" w:header="851" w:footer="992" w:gutter="0"/>
          <w:lnNumType w:countBy="1"/>
          <w:cols w:space="425"/>
          <w:docGrid w:type="lines" w:linePitch="312"/>
        </w:sectPr>
      </w:pPr>
      <w:r w:rsidRPr="006E1978">
        <w:rPr>
          <w:rFonts w:cs="Times New Roman"/>
          <w:i/>
          <w:iCs/>
          <w:sz w:val="20"/>
          <w:szCs w:val="20"/>
        </w:rPr>
        <w:t xml:space="preserve">Note: </w:t>
      </w:r>
      <w:r w:rsidRPr="006E1978">
        <w:rPr>
          <w:rFonts w:eastAsia="DengXian" w:cs="Times New Roman"/>
          <w:color w:val="000000"/>
          <w:kern w:val="0"/>
          <w:sz w:val="20"/>
          <w:szCs w:val="20"/>
          <w:vertAlign w:val="superscript"/>
        </w:rPr>
        <w:t xml:space="preserve">a </w:t>
      </w:r>
      <w:r w:rsidRPr="006E1978">
        <w:rPr>
          <w:rFonts w:eastAsia="DengXian" w:cs="Times New Roman"/>
          <w:color w:val="000000"/>
          <w:kern w:val="0"/>
          <w:sz w:val="20"/>
          <w:szCs w:val="20"/>
        </w:rPr>
        <w:t xml:space="preserve">Standardized factor loadings were reported. </w:t>
      </w:r>
      <w:r w:rsidRPr="006E1978">
        <w:rPr>
          <w:rFonts w:eastAsia="DengXian" w:cs="Times New Roman"/>
          <w:color w:val="000000"/>
          <w:kern w:val="0"/>
          <w:sz w:val="20"/>
          <w:szCs w:val="20"/>
          <w:vertAlign w:val="superscript"/>
        </w:rPr>
        <w:t>b</w:t>
      </w:r>
      <w:r w:rsidRPr="006E1978">
        <w:rPr>
          <w:rFonts w:eastAsia="DengXian" w:cs="Times New Roman"/>
          <w:color w:val="000000"/>
          <w:kern w:val="0"/>
          <w:sz w:val="20"/>
          <w:szCs w:val="20"/>
        </w:rPr>
        <w:t xml:space="preserve"> Corrected item-total correlation was tested on the factor basis and within each factor. </w:t>
      </w:r>
      <w:r w:rsidRPr="006E1978">
        <w:rPr>
          <w:rFonts w:cs="Times New Roman"/>
          <w:sz w:val="20"/>
          <w:szCs w:val="20"/>
        </w:rPr>
        <w:t>The bold values indicate item loading</w:t>
      </w:r>
      <w:r w:rsidR="00D1592A" w:rsidRPr="006E1978">
        <w:rPr>
          <w:rFonts w:cs="Times New Roman"/>
          <w:sz w:val="20"/>
          <w:szCs w:val="20"/>
        </w:rPr>
        <w:t>.</w:t>
      </w:r>
    </w:p>
    <w:bookmarkEnd w:id="17"/>
    <w:p w14:paraId="1DE2A585" w14:textId="77777777" w:rsidR="00D1592A" w:rsidRPr="006E1978" w:rsidRDefault="00D1592A" w:rsidP="00D1592A">
      <w:pPr>
        <w:rPr>
          <w:rFonts w:cs="Times New Roman"/>
          <w:b/>
          <w:bCs/>
          <w:sz w:val="24"/>
          <w:szCs w:val="32"/>
        </w:rPr>
      </w:pPr>
      <w:r w:rsidRPr="006E1978">
        <w:rPr>
          <w:rFonts w:cs="Times New Roman" w:hint="eastAsia"/>
          <w:b/>
          <w:bCs/>
          <w:sz w:val="24"/>
          <w:szCs w:val="32"/>
        </w:rPr>
        <w:lastRenderedPageBreak/>
        <w:t>T</w:t>
      </w:r>
      <w:r w:rsidRPr="006E1978">
        <w:rPr>
          <w:rFonts w:cs="Times New Roman"/>
          <w:b/>
          <w:bCs/>
          <w:sz w:val="24"/>
          <w:szCs w:val="32"/>
        </w:rPr>
        <w:t>able 2</w:t>
      </w:r>
    </w:p>
    <w:p w14:paraId="1AF49DBC" w14:textId="04FED4DD" w:rsidR="00D1592A" w:rsidRPr="006E1978" w:rsidRDefault="00D1592A" w:rsidP="00D1592A">
      <w:pPr>
        <w:rPr>
          <w:rFonts w:cs="Times New Roman"/>
          <w:sz w:val="24"/>
          <w:szCs w:val="32"/>
        </w:rPr>
      </w:pPr>
      <w:r w:rsidRPr="006E1978">
        <w:rPr>
          <w:rFonts w:cs="Times New Roman"/>
          <w:sz w:val="24"/>
          <w:szCs w:val="32"/>
        </w:rPr>
        <w:t xml:space="preserve">Measurement invariance of the full-scale MOGS between both sex groups </w:t>
      </w:r>
      <w:r w:rsidR="0087359B" w:rsidRPr="006E1978">
        <w:rPr>
          <w:rFonts w:cs="Times New Roman"/>
          <w:sz w:val="24"/>
          <w:szCs w:val="32"/>
        </w:rPr>
        <w:t xml:space="preserve">based on </w:t>
      </w:r>
      <w:r w:rsidRPr="006E1978">
        <w:rPr>
          <w:rFonts w:cs="Times New Roman"/>
          <w:sz w:val="24"/>
          <w:szCs w:val="32"/>
        </w:rPr>
        <w:t>Subsample B (</w:t>
      </w:r>
      <w:r w:rsidRPr="006E1978">
        <w:rPr>
          <w:rFonts w:cs="Times New Roman"/>
          <w:i/>
          <w:iCs/>
          <w:sz w:val="24"/>
          <w:szCs w:val="32"/>
        </w:rPr>
        <w:t>n</w:t>
      </w:r>
      <w:r w:rsidRPr="006E1978">
        <w:rPr>
          <w:rFonts w:cs="Times New Roman"/>
          <w:sz w:val="24"/>
          <w:szCs w:val="32"/>
        </w:rPr>
        <w:t xml:space="preserve"> = 670).</w:t>
      </w:r>
    </w:p>
    <w:tbl>
      <w:tblPr>
        <w:tblW w:w="14102" w:type="dxa"/>
        <w:tblLook w:val="04A0" w:firstRow="1" w:lastRow="0" w:firstColumn="1" w:lastColumn="0" w:noHBand="0" w:noVBand="1"/>
      </w:tblPr>
      <w:tblGrid>
        <w:gridCol w:w="772"/>
        <w:gridCol w:w="1427"/>
        <w:gridCol w:w="929"/>
        <w:gridCol w:w="905"/>
        <w:gridCol w:w="850"/>
        <w:gridCol w:w="709"/>
        <w:gridCol w:w="2126"/>
        <w:gridCol w:w="1134"/>
        <w:gridCol w:w="1256"/>
        <w:gridCol w:w="876"/>
        <w:gridCol w:w="850"/>
        <w:gridCol w:w="851"/>
        <w:gridCol w:w="1417"/>
      </w:tblGrid>
      <w:tr w:rsidR="00D1592A" w:rsidRPr="006E1978" w14:paraId="17AAA774" w14:textId="77777777" w:rsidTr="00474F6C">
        <w:trPr>
          <w:trHeight w:val="320"/>
        </w:trPr>
        <w:tc>
          <w:tcPr>
            <w:tcW w:w="2199" w:type="dxa"/>
            <w:gridSpan w:val="2"/>
            <w:vMerge w:val="restart"/>
            <w:tcBorders>
              <w:top w:val="single" w:sz="4" w:space="0" w:color="auto"/>
              <w:left w:val="nil"/>
              <w:right w:val="nil"/>
            </w:tcBorders>
            <w:vAlign w:val="center"/>
          </w:tcPr>
          <w:p w14:paraId="3553F48A"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Model</w:t>
            </w:r>
          </w:p>
        </w:tc>
        <w:tc>
          <w:tcPr>
            <w:tcW w:w="6653" w:type="dxa"/>
            <w:gridSpan w:val="6"/>
            <w:tcBorders>
              <w:top w:val="single" w:sz="4" w:space="0" w:color="auto"/>
              <w:left w:val="nil"/>
              <w:bottom w:val="single" w:sz="4" w:space="0" w:color="auto"/>
              <w:right w:val="single" w:sz="24" w:space="0" w:color="FFFFFF" w:themeColor="background1"/>
            </w:tcBorders>
            <w:shd w:val="clear" w:color="auto" w:fill="auto"/>
            <w:noWrap/>
            <w:vAlign w:val="bottom"/>
            <w:hideMark/>
          </w:tcPr>
          <w:p w14:paraId="70D9114B"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Model Fit</w:t>
            </w:r>
          </w:p>
        </w:tc>
        <w:tc>
          <w:tcPr>
            <w:tcW w:w="5250" w:type="dxa"/>
            <w:gridSpan w:val="5"/>
            <w:tcBorders>
              <w:top w:val="single" w:sz="4" w:space="0" w:color="auto"/>
              <w:left w:val="single" w:sz="24" w:space="0" w:color="FFFFFF" w:themeColor="background1"/>
              <w:bottom w:val="single" w:sz="4" w:space="0" w:color="auto"/>
              <w:right w:val="nil"/>
            </w:tcBorders>
            <w:shd w:val="clear" w:color="auto" w:fill="auto"/>
            <w:noWrap/>
            <w:vAlign w:val="bottom"/>
            <w:hideMark/>
          </w:tcPr>
          <w:p w14:paraId="52796F2B"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Model Comparison</w:t>
            </w:r>
          </w:p>
        </w:tc>
      </w:tr>
      <w:tr w:rsidR="00D1592A" w:rsidRPr="006E1978" w14:paraId="0B484980" w14:textId="77777777" w:rsidTr="00474F6C">
        <w:trPr>
          <w:trHeight w:val="320"/>
        </w:trPr>
        <w:tc>
          <w:tcPr>
            <w:tcW w:w="2199" w:type="dxa"/>
            <w:gridSpan w:val="2"/>
            <w:vMerge/>
            <w:tcBorders>
              <w:left w:val="nil"/>
              <w:bottom w:val="single" w:sz="4" w:space="0" w:color="000000"/>
              <w:right w:val="nil"/>
            </w:tcBorders>
          </w:tcPr>
          <w:p w14:paraId="08E6D706" w14:textId="77777777" w:rsidR="00D1592A" w:rsidRPr="006E1978" w:rsidRDefault="00D1592A" w:rsidP="00474F6C">
            <w:pPr>
              <w:widowControl/>
              <w:jc w:val="left"/>
              <w:rPr>
                <w:rFonts w:eastAsia="DengXian" w:cs="Times New Roman"/>
                <w:color w:val="000000"/>
                <w:kern w:val="0"/>
                <w:sz w:val="24"/>
              </w:rPr>
            </w:pPr>
          </w:p>
        </w:tc>
        <w:tc>
          <w:tcPr>
            <w:tcW w:w="929" w:type="dxa"/>
            <w:tcBorders>
              <w:top w:val="nil"/>
              <w:left w:val="nil"/>
              <w:bottom w:val="single" w:sz="4" w:space="0" w:color="auto"/>
              <w:right w:val="nil"/>
            </w:tcBorders>
            <w:shd w:val="clear" w:color="auto" w:fill="auto"/>
            <w:noWrap/>
            <w:vAlign w:val="bottom"/>
            <w:hideMark/>
          </w:tcPr>
          <w:p w14:paraId="1AD3B868"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χ</w:t>
            </w:r>
            <w:r w:rsidRPr="006E1978">
              <w:rPr>
                <w:rFonts w:eastAsia="DengXian" w:cs="Times New Roman"/>
                <w:color w:val="000000"/>
                <w:kern w:val="0"/>
                <w:sz w:val="24"/>
                <w:vertAlign w:val="superscript"/>
              </w:rPr>
              <w:t>2</w:t>
            </w:r>
          </w:p>
        </w:tc>
        <w:tc>
          <w:tcPr>
            <w:tcW w:w="905" w:type="dxa"/>
            <w:tcBorders>
              <w:top w:val="nil"/>
              <w:left w:val="nil"/>
              <w:bottom w:val="single" w:sz="4" w:space="0" w:color="auto"/>
              <w:right w:val="nil"/>
            </w:tcBorders>
            <w:shd w:val="clear" w:color="auto" w:fill="auto"/>
            <w:noWrap/>
            <w:vAlign w:val="bottom"/>
            <w:hideMark/>
          </w:tcPr>
          <w:p w14:paraId="47561C3D" w14:textId="77777777" w:rsidR="00D1592A" w:rsidRPr="006E1978" w:rsidRDefault="00D1592A" w:rsidP="00474F6C">
            <w:pPr>
              <w:widowControl/>
              <w:jc w:val="center"/>
              <w:rPr>
                <w:rFonts w:eastAsia="DengXian" w:cs="Times New Roman"/>
                <w:i/>
                <w:iCs/>
                <w:color w:val="000000"/>
                <w:kern w:val="0"/>
                <w:sz w:val="24"/>
              </w:rPr>
            </w:pPr>
            <w:r w:rsidRPr="006E1978">
              <w:rPr>
                <w:rFonts w:eastAsia="DengXian" w:cs="Times New Roman"/>
                <w:i/>
                <w:iCs/>
                <w:color w:val="000000"/>
                <w:kern w:val="0"/>
                <w:sz w:val="24"/>
              </w:rPr>
              <w:t>df</w:t>
            </w:r>
          </w:p>
        </w:tc>
        <w:tc>
          <w:tcPr>
            <w:tcW w:w="850" w:type="dxa"/>
            <w:tcBorders>
              <w:top w:val="nil"/>
              <w:left w:val="nil"/>
              <w:bottom w:val="single" w:sz="4" w:space="0" w:color="auto"/>
              <w:right w:val="nil"/>
            </w:tcBorders>
            <w:shd w:val="clear" w:color="auto" w:fill="auto"/>
            <w:noWrap/>
            <w:vAlign w:val="bottom"/>
            <w:hideMark/>
          </w:tcPr>
          <w:p w14:paraId="4D861B50" w14:textId="77777777" w:rsidR="00D1592A" w:rsidRPr="006E1978" w:rsidRDefault="00D1592A" w:rsidP="00474F6C">
            <w:pPr>
              <w:widowControl/>
              <w:jc w:val="center"/>
              <w:rPr>
                <w:rFonts w:eastAsia="DengXian" w:cs="Times New Roman"/>
                <w:i/>
                <w:iCs/>
                <w:color w:val="000000"/>
                <w:kern w:val="0"/>
                <w:sz w:val="24"/>
              </w:rPr>
            </w:pPr>
            <w:r w:rsidRPr="006E1978">
              <w:rPr>
                <w:rFonts w:eastAsia="DengXian" w:cs="Times New Roman"/>
                <w:i/>
                <w:iCs/>
                <w:color w:val="000000"/>
                <w:kern w:val="0"/>
                <w:sz w:val="24"/>
              </w:rPr>
              <w:t>p</w:t>
            </w:r>
          </w:p>
        </w:tc>
        <w:tc>
          <w:tcPr>
            <w:tcW w:w="709" w:type="dxa"/>
            <w:tcBorders>
              <w:top w:val="nil"/>
              <w:left w:val="nil"/>
              <w:bottom w:val="single" w:sz="4" w:space="0" w:color="auto"/>
              <w:right w:val="nil"/>
            </w:tcBorders>
            <w:shd w:val="clear" w:color="auto" w:fill="auto"/>
            <w:noWrap/>
            <w:vAlign w:val="bottom"/>
            <w:hideMark/>
          </w:tcPr>
          <w:p w14:paraId="2CD2AD05"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CFI</w:t>
            </w:r>
          </w:p>
        </w:tc>
        <w:tc>
          <w:tcPr>
            <w:tcW w:w="2126" w:type="dxa"/>
            <w:tcBorders>
              <w:top w:val="nil"/>
              <w:left w:val="nil"/>
              <w:bottom w:val="single" w:sz="4" w:space="0" w:color="auto"/>
              <w:right w:val="nil"/>
            </w:tcBorders>
            <w:shd w:val="clear" w:color="auto" w:fill="auto"/>
            <w:noWrap/>
            <w:vAlign w:val="bottom"/>
            <w:hideMark/>
          </w:tcPr>
          <w:p w14:paraId="2944744E"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RMSEA [90% CI]</w:t>
            </w:r>
          </w:p>
        </w:tc>
        <w:tc>
          <w:tcPr>
            <w:tcW w:w="1134" w:type="dxa"/>
            <w:tcBorders>
              <w:top w:val="nil"/>
              <w:left w:val="nil"/>
              <w:bottom w:val="single" w:sz="4" w:space="0" w:color="auto"/>
              <w:right w:val="single" w:sz="24" w:space="0" w:color="FFFFFF" w:themeColor="background1"/>
            </w:tcBorders>
            <w:shd w:val="clear" w:color="auto" w:fill="auto"/>
            <w:noWrap/>
            <w:vAlign w:val="bottom"/>
            <w:hideMark/>
          </w:tcPr>
          <w:p w14:paraId="422EA5DC"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SRMR</w:t>
            </w:r>
          </w:p>
        </w:tc>
        <w:tc>
          <w:tcPr>
            <w:tcW w:w="1256" w:type="dxa"/>
            <w:tcBorders>
              <w:top w:val="nil"/>
              <w:left w:val="single" w:sz="24" w:space="0" w:color="FFFFFF" w:themeColor="background1"/>
              <w:bottom w:val="single" w:sz="4" w:space="0" w:color="auto"/>
              <w:right w:val="nil"/>
            </w:tcBorders>
            <w:shd w:val="clear" w:color="auto" w:fill="auto"/>
            <w:noWrap/>
            <w:vAlign w:val="bottom"/>
            <w:hideMark/>
          </w:tcPr>
          <w:p w14:paraId="129DB461"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Δχ</w:t>
            </w:r>
            <w:r w:rsidRPr="006E1978">
              <w:rPr>
                <w:rFonts w:eastAsia="DengXian" w:cs="Times New Roman"/>
                <w:color w:val="000000"/>
                <w:kern w:val="0"/>
                <w:sz w:val="24"/>
                <w:vertAlign w:val="superscript"/>
              </w:rPr>
              <w:t>2*</w:t>
            </w:r>
          </w:p>
        </w:tc>
        <w:tc>
          <w:tcPr>
            <w:tcW w:w="876" w:type="dxa"/>
            <w:tcBorders>
              <w:top w:val="nil"/>
              <w:left w:val="nil"/>
              <w:bottom w:val="single" w:sz="4" w:space="0" w:color="auto"/>
              <w:right w:val="nil"/>
            </w:tcBorders>
            <w:shd w:val="clear" w:color="auto" w:fill="auto"/>
            <w:noWrap/>
            <w:vAlign w:val="bottom"/>
            <w:hideMark/>
          </w:tcPr>
          <w:p w14:paraId="471D9D58" w14:textId="77777777" w:rsidR="00D1592A" w:rsidRPr="006E1978" w:rsidRDefault="00D1592A" w:rsidP="00474F6C">
            <w:pPr>
              <w:widowControl/>
              <w:jc w:val="center"/>
              <w:rPr>
                <w:rFonts w:eastAsia="DengXian" w:cs="Times New Roman"/>
                <w:color w:val="000000"/>
                <w:kern w:val="0"/>
                <w:sz w:val="24"/>
              </w:rPr>
            </w:pPr>
            <w:proofErr w:type="spellStart"/>
            <w:r w:rsidRPr="006E1978">
              <w:rPr>
                <w:rFonts w:eastAsia="DengXian" w:cs="Times New Roman"/>
                <w:color w:val="000000"/>
                <w:kern w:val="0"/>
                <w:sz w:val="24"/>
              </w:rPr>
              <w:t>Δ</w:t>
            </w:r>
            <w:r w:rsidRPr="006E1978">
              <w:rPr>
                <w:rFonts w:eastAsia="DengXian" w:cs="Times New Roman"/>
                <w:i/>
                <w:iCs/>
                <w:color w:val="000000"/>
                <w:kern w:val="0"/>
                <w:sz w:val="24"/>
              </w:rPr>
              <w:t>df</w:t>
            </w:r>
            <w:proofErr w:type="spellEnd"/>
          </w:p>
        </w:tc>
        <w:tc>
          <w:tcPr>
            <w:tcW w:w="850" w:type="dxa"/>
            <w:tcBorders>
              <w:top w:val="nil"/>
              <w:left w:val="nil"/>
              <w:bottom w:val="single" w:sz="4" w:space="0" w:color="auto"/>
              <w:right w:val="nil"/>
            </w:tcBorders>
            <w:shd w:val="clear" w:color="auto" w:fill="auto"/>
            <w:noWrap/>
            <w:vAlign w:val="bottom"/>
            <w:hideMark/>
          </w:tcPr>
          <w:p w14:paraId="562A03F9" w14:textId="77777777" w:rsidR="00D1592A" w:rsidRPr="006E1978" w:rsidRDefault="00D1592A" w:rsidP="00474F6C">
            <w:pPr>
              <w:widowControl/>
              <w:jc w:val="center"/>
              <w:rPr>
                <w:rFonts w:eastAsia="DengXian" w:cs="Times New Roman"/>
                <w:i/>
                <w:iCs/>
                <w:color w:val="000000"/>
                <w:kern w:val="0"/>
                <w:sz w:val="24"/>
              </w:rPr>
            </w:pPr>
            <w:r w:rsidRPr="006E1978">
              <w:rPr>
                <w:rFonts w:eastAsia="DengXian" w:cs="Times New Roman"/>
                <w:i/>
                <w:iCs/>
                <w:color w:val="000000"/>
                <w:kern w:val="0"/>
                <w:sz w:val="24"/>
              </w:rPr>
              <w:t>p</w:t>
            </w:r>
          </w:p>
        </w:tc>
        <w:tc>
          <w:tcPr>
            <w:tcW w:w="851" w:type="dxa"/>
            <w:tcBorders>
              <w:top w:val="nil"/>
              <w:left w:val="nil"/>
              <w:bottom w:val="single" w:sz="4" w:space="0" w:color="auto"/>
              <w:right w:val="nil"/>
            </w:tcBorders>
            <w:shd w:val="clear" w:color="auto" w:fill="auto"/>
            <w:noWrap/>
            <w:vAlign w:val="bottom"/>
            <w:hideMark/>
          </w:tcPr>
          <w:p w14:paraId="24E73A7B"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ΔCFI</w:t>
            </w:r>
          </w:p>
        </w:tc>
        <w:tc>
          <w:tcPr>
            <w:tcW w:w="1417" w:type="dxa"/>
            <w:tcBorders>
              <w:top w:val="nil"/>
              <w:left w:val="nil"/>
              <w:bottom w:val="single" w:sz="4" w:space="0" w:color="auto"/>
              <w:right w:val="nil"/>
            </w:tcBorders>
            <w:shd w:val="clear" w:color="auto" w:fill="auto"/>
            <w:noWrap/>
            <w:vAlign w:val="bottom"/>
            <w:hideMark/>
          </w:tcPr>
          <w:p w14:paraId="55BB3E0D"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ΔRMSEA</w:t>
            </w:r>
          </w:p>
        </w:tc>
      </w:tr>
      <w:tr w:rsidR="00D1592A" w:rsidRPr="006E1978" w14:paraId="70FF2489" w14:textId="77777777" w:rsidTr="00474F6C">
        <w:trPr>
          <w:trHeight w:val="320"/>
        </w:trPr>
        <w:tc>
          <w:tcPr>
            <w:tcW w:w="2199" w:type="dxa"/>
            <w:gridSpan w:val="2"/>
            <w:tcBorders>
              <w:top w:val="nil"/>
              <w:left w:val="nil"/>
              <w:bottom w:val="nil"/>
              <w:right w:val="nil"/>
            </w:tcBorders>
          </w:tcPr>
          <w:p w14:paraId="6F385FA1" w14:textId="77777777" w:rsidR="00D1592A" w:rsidRPr="006E1978" w:rsidRDefault="00D1592A" w:rsidP="00474F6C">
            <w:pPr>
              <w:widowControl/>
              <w:jc w:val="left"/>
              <w:rPr>
                <w:rFonts w:eastAsia="DengXian" w:cs="Times New Roman"/>
                <w:b/>
                <w:bCs/>
                <w:color w:val="000000"/>
                <w:kern w:val="0"/>
                <w:sz w:val="24"/>
              </w:rPr>
            </w:pPr>
            <w:r w:rsidRPr="006E1978">
              <w:rPr>
                <w:rFonts w:eastAsia="DengXian" w:cs="Times New Roman"/>
                <w:b/>
                <w:bCs/>
                <w:color w:val="000000"/>
                <w:kern w:val="0"/>
                <w:sz w:val="24"/>
              </w:rPr>
              <w:t>Full-scale MOGS</w:t>
            </w:r>
          </w:p>
        </w:tc>
        <w:tc>
          <w:tcPr>
            <w:tcW w:w="929" w:type="dxa"/>
            <w:tcBorders>
              <w:top w:val="nil"/>
              <w:left w:val="nil"/>
              <w:bottom w:val="nil"/>
              <w:right w:val="nil"/>
            </w:tcBorders>
            <w:shd w:val="clear" w:color="auto" w:fill="auto"/>
            <w:noWrap/>
            <w:vAlign w:val="bottom"/>
          </w:tcPr>
          <w:p w14:paraId="60B9A32A" w14:textId="77777777" w:rsidR="00D1592A" w:rsidRPr="006E1978" w:rsidRDefault="00D1592A" w:rsidP="00474F6C">
            <w:pPr>
              <w:widowControl/>
              <w:jc w:val="center"/>
              <w:rPr>
                <w:rFonts w:eastAsia="DengXian" w:cs="Times New Roman"/>
                <w:color w:val="000000"/>
                <w:kern w:val="0"/>
                <w:sz w:val="24"/>
              </w:rPr>
            </w:pPr>
          </w:p>
        </w:tc>
        <w:tc>
          <w:tcPr>
            <w:tcW w:w="905" w:type="dxa"/>
            <w:tcBorders>
              <w:top w:val="nil"/>
              <w:left w:val="nil"/>
              <w:bottom w:val="nil"/>
              <w:right w:val="nil"/>
            </w:tcBorders>
            <w:shd w:val="clear" w:color="auto" w:fill="auto"/>
            <w:noWrap/>
            <w:vAlign w:val="bottom"/>
          </w:tcPr>
          <w:p w14:paraId="4CB56FE1" w14:textId="77777777" w:rsidR="00D1592A" w:rsidRPr="006E1978" w:rsidRDefault="00D1592A" w:rsidP="00474F6C">
            <w:pPr>
              <w:widowControl/>
              <w:jc w:val="center"/>
              <w:rPr>
                <w:rFonts w:eastAsia="DengXian" w:cs="Times New Roman"/>
                <w:color w:val="000000"/>
                <w:kern w:val="0"/>
                <w:sz w:val="24"/>
              </w:rPr>
            </w:pPr>
          </w:p>
        </w:tc>
        <w:tc>
          <w:tcPr>
            <w:tcW w:w="850" w:type="dxa"/>
            <w:tcBorders>
              <w:top w:val="nil"/>
              <w:left w:val="nil"/>
              <w:bottom w:val="nil"/>
              <w:right w:val="nil"/>
            </w:tcBorders>
            <w:shd w:val="clear" w:color="auto" w:fill="auto"/>
            <w:noWrap/>
            <w:vAlign w:val="bottom"/>
          </w:tcPr>
          <w:p w14:paraId="6791DA9C" w14:textId="77777777" w:rsidR="00D1592A" w:rsidRPr="006E1978" w:rsidRDefault="00D1592A" w:rsidP="00474F6C">
            <w:pPr>
              <w:widowControl/>
              <w:jc w:val="center"/>
              <w:rPr>
                <w:rFonts w:eastAsia="DengXian" w:cs="Times New Roman"/>
                <w:color w:val="000000"/>
                <w:kern w:val="0"/>
                <w:sz w:val="24"/>
              </w:rPr>
            </w:pPr>
          </w:p>
        </w:tc>
        <w:tc>
          <w:tcPr>
            <w:tcW w:w="709" w:type="dxa"/>
            <w:tcBorders>
              <w:top w:val="nil"/>
              <w:left w:val="nil"/>
              <w:bottom w:val="nil"/>
              <w:right w:val="nil"/>
            </w:tcBorders>
            <w:shd w:val="clear" w:color="auto" w:fill="auto"/>
            <w:noWrap/>
            <w:vAlign w:val="bottom"/>
          </w:tcPr>
          <w:p w14:paraId="617C84A3" w14:textId="77777777" w:rsidR="00D1592A" w:rsidRPr="006E1978" w:rsidRDefault="00D1592A" w:rsidP="00474F6C">
            <w:pPr>
              <w:widowControl/>
              <w:jc w:val="center"/>
              <w:rPr>
                <w:rFonts w:eastAsia="DengXian" w:cs="Times New Roman"/>
                <w:color w:val="000000"/>
                <w:kern w:val="0"/>
                <w:sz w:val="24"/>
              </w:rPr>
            </w:pPr>
          </w:p>
        </w:tc>
        <w:tc>
          <w:tcPr>
            <w:tcW w:w="2126" w:type="dxa"/>
            <w:tcBorders>
              <w:top w:val="nil"/>
              <w:left w:val="nil"/>
              <w:bottom w:val="nil"/>
              <w:right w:val="nil"/>
            </w:tcBorders>
            <w:shd w:val="clear" w:color="auto" w:fill="auto"/>
            <w:noWrap/>
            <w:vAlign w:val="bottom"/>
          </w:tcPr>
          <w:p w14:paraId="00F9459F" w14:textId="77777777" w:rsidR="00D1592A" w:rsidRPr="006E1978" w:rsidRDefault="00D1592A" w:rsidP="00474F6C">
            <w:pPr>
              <w:widowControl/>
              <w:jc w:val="center"/>
              <w:rPr>
                <w:rFonts w:eastAsia="DengXian" w:cs="Times New Roman"/>
                <w:color w:val="000000"/>
                <w:kern w:val="0"/>
                <w:sz w:val="24"/>
              </w:rPr>
            </w:pPr>
          </w:p>
        </w:tc>
        <w:tc>
          <w:tcPr>
            <w:tcW w:w="1134" w:type="dxa"/>
            <w:tcBorders>
              <w:top w:val="nil"/>
              <w:left w:val="nil"/>
              <w:bottom w:val="nil"/>
              <w:right w:val="nil"/>
            </w:tcBorders>
            <w:shd w:val="clear" w:color="auto" w:fill="auto"/>
            <w:noWrap/>
            <w:vAlign w:val="bottom"/>
          </w:tcPr>
          <w:p w14:paraId="75F0A785" w14:textId="77777777" w:rsidR="00D1592A" w:rsidRPr="006E1978" w:rsidRDefault="00D1592A" w:rsidP="00474F6C">
            <w:pPr>
              <w:widowControl/>
              <w:jc w:val="center"/>
              <w:rPr>
                <w:rFonts w:eastAsia="DengXian" w:cs="Times New Roman"/>
                <w:color w:val="000000"/>
                <w:kern w:val="0"/>
                <w:sz w:val="24"/>
              </w:rPr>
            </w:pPr>
          </w:p>
        </w:tc>
        <w:tc>
          <w:tcPr>
            <w:tcW w:w="1256" w:type="dxa"/>
            <w:tcBorders>
              <w:top w:val="nil"/>
              <w:left w:val="nil"/>
              <w:bottom w:val="nil"/>
              <w:right w:val="nil"/>
            </w:tcBorders>
            <w:shd w:val="clear" w:color="auto" w:fill="auto"/>
            <w:noWrap/>
            <w:vAlign w:val="bottom"/>
            <w:hideMark/>
          </w:tcPr>
          <w:p w14:paraId="2C579374" w14:textId="77777777" w:rsidR="00D1592A" w:rsidRPr="006E1978" w:rsidRDefault="00D1592A" w:rsidP="00474F6C">
            <w:pPr>
              <w:widowControl/>
              <w:jc w:val="center"/>
              <w:rPr>
                <w:rFonts w:eastAsia="Times New Roman" w:cs="Times New Roman"/>
                <w:kern w:val="0"/>
                <w:sz w:val="20"/>
                <w:szCs w:val="20"/>
              </w:rPr>
            </w:pPr>
          </w:p>
        </w:tc>
        <w:tc>
          <w:tcPr>
            <w:tcW w:w="876" w:type="dxa"/>
            <w:tcBorders>
              <w:top w:val="nil"/>
              <w:left w:val="nil"/>
              <w:bottom w:val="nil"/>
              <w:right w:val="nil"/>
            </w:tcBorders>
            <w:shd w:val="clear" w:color="auto" w:fill="auto"/>
            <w:noWrap/>
            <w:vAlign w:val="bottom"/>
            <w:hideMark/>
          </w:tcPr>
          <w:p w14:paraId="36C08B01" w14:textId="77777777" w:rsidR="00D1592A" w:rsidRPr="006E1978" w:rsidRDefault="00D1592A" w:rsidP="00474F6C">
            <w:pPr>
              <w:widowControl/>
              <w:jc w:val="center"/>
              <w:rPr>
                <w:rFonts w:eastAsia="Times New Roman" w:cs="Times New Roman"/>
                <w:kern w:val="0"/>
                <w:sz w:val="20"/>
                <w:szCs w:val="20"/>
              </w:rPr>
            </w:pPr>
          </w:p>
        </w:tc>
        <w:tc>
          <w:tcPr>
            <w:tcW w:w="850" w:type="dxa"/>
            <w:tcBorders>
              <w:top w:val="nil"/>
              <w:left w:val="nil"/>
              <w:bottom w:val="nil"/>
              <w:right w:val="nil"/>
            </w:tcBorders>
            <w:shd w:val="clear" w:color="auto" w:fill="auto"/>
            <w:noWrap/>
            <w:vAlign w:val="bottom"/>
            <w:hideMark/>
          </w:tcPr>
          <w:p w14:paraId="13A1723E" w14:textId="77777777" w:rsidR="00D1592A" w:rsidRPr="006E1978" w:rsidRDefault="00D1592A" w:rsidP="00474F6C">
            <w:pPr>
              <w:widowControl/>
              <w:jc w:val="center"/>
              <w:rPr>
                <w:rFonts w:eastAsia="Times New Roman" w:cs="Times New Roman"/>
                <w:kern w:val="0"/>
                <w:sz w:val="20"/>
                <w:szCs w:val="20"/>
              </w:rPr>
            </w:pPr>
          </w:p>
        </w:tc>
        <w:tc>
          <w:tcPr>
            <w:tcW w:w="851" w:type="dxa"/>
            <w:tcBorders>
              <w:top w:val="nil"/>
              <w:left w:val="nil"/>
              <w:bottom w:val="nil"/>
              <w:right w:val="nil"/>
            </w:tcBorders>
            <w:shd w:val="clear" w:color="auto" w:fill="auto"/>
            <w:noWrap/>
            <w:vAlign w:val="bottom"/>
            <w:hideMark/>
          </w:tcPr>
          <w:p w14:paraId="33A875F0" w14:textId="77777777" w:rsidR="00D1592A" w:rsidRPr="006E1978" w:rsidRDefault="00D1592A" w:rsidP="00474F6C">
            <w:pPr>
              <w:widowControl/>
              <w:jc w:val="center"/>
              <w:rPr>
                <w:rFonts w:eastAsia="Times New Roman" w:cs="Times New Roman"/>
                <w:kern w:val="0"/>
                <w:sz w:val="20"/>
                <w:szCs w:val="20"/>
              </w:rPr>
            </w:pPr>
          </w:p>
        </w:tc>
        <w:tc>
          <w:tcPr>
            <w:tcW w:w="1417" w:type="dxa"/>
            <w:tcBorders>
              <w:top w:val="nil"/>
              <w:left w:val="nil"/>
              <w:bottom w:val="nil"/>
              <w:right w:val="nil"/>
            </w:tcBorders>
            <w:shd w:val="clear" w:color="auto" w:fill="auto"/>
            <w:noWrap/>
            <w:vAlign w:val="bottom"/>
            <w:hideMark/>
          </w:tcPr>
          <w:p w14:paraId="60C1419E" w14:textId="77777777" w:rsidR="00D1592A" w:rsidRPr="006E1978" w:rsidRDefault="00D1592A" w:rsidP="00474F6C">
            <w:pPr>
              <w:widowControl/>
              <w:jc w:val="center"/>
              <w:rPr>
                <w:rFonts w:eastAsia="Times New Roman" w:cs="Times New Roman"/>
                <w:kern w:val="0"/>
                <w:sz w:val="20"/>
                <w:szCs w:val="20"/>
              </w:rPr>
            </w:pPr>
          </w:p>
        </w:tc>
      </w:tr>
      <w:tr w:rsidR="00D1592A" w:rsidRPr="006E1978" w14:paraId="1EBECF1F" w14:textId="77777777" w:rsidTr="00474F6C">
        <w:trPr>
          <w:trHeight w:val="320"/>
        </w:trPr>
        <w:tc>
          <w:tcPr>
            <w:tcW w:w="772" w:type="dxa"/>
            <w:tcBorders>
              <w:top w:val="nil"/>
              <w:left w:val="nil"/>
              <w:bottom w:val="nil"/>
              <w:right w:val="nil"/>
            </w:tcBorders>
          </w:tcPr>
          <w:p w14:paraId="07298952" w14:textId="77777777" w:rsidR="00D1592A" w:rsidRPr="006E1978" w:rsidRDefault="00D1592A" w:rsidP="00474F6C">
            <w:pPr>
              <w:widowControl/>
              <w:jc w:val="left"/>
              <w:rPr>
                <w:rFonts w:eastAsia="DengXian" w:cs="Times New Roman"/>
                <w:color w:val="000000"/>
                <w:kern w:val="0"/>
                <w:sz w:val="24"/>
              </w:rPr>
            </w:pPr>
          </w:p>
        </w:tc>
        <w:tc>
          <w:tcPr>
            <w:tcW w:w="1427" w:type="dxa"/>
            <w:tcBorders>
              <w:top w:val="nil"/>
              <w:left w:val="nil"/>
              <w:bottom w:val="nil"/>
              <w:right w:val="nil"/>
            </w:tcBorders>
            <w:shd w:val="clear" w:color="auto" w:fill="auto"/>
            <w:noWrap/>
            <w:vAlign w:val="bottom"/>
          </w:tcPr>
          <w:p w14:paraId="5F85B17B" w14:textId="77777777" w:rsidR="00D1592A" w:rsidRPr="006E1978" w:rsidRDefault="00D1592A" w:rsidP="00474F6C">
            <w:pPr>
              <w:widowControl/>
              <w:jc w:val="left"/>
              <w:rPr>
                <w:rFonts w:eastAsia="DengXian" w:cs="Times New Roman"/>
                <w:color w:val="000000"/>
                <w:kern w:val="0"/>
                <w:sz w:val="24"/>
              </w:rPr>
            </w:pPr>
            <w:r w:rsidRPr="006E1978">
              <w:rPr>
                <w:rFonts w:eastAsia="DengXian" w:cs="Times New Roman"/>
                <w:color w:val="000000"/>
                <w:kern w:val="0"/>
                <w:sz w:val="24"/>
              </w:rPr>
              <w:t>Configural</w:t>
            </w:r>
          </w:p>
        </w:tc>
        <w:tc>
          <w:tcPr>
            <w:tcW w:w="929" w:type="dxa"/>
            <w:tcBorders>
              <w:top w:val="nil"/>
              <w:left w:val="nil"/>
              <w:bottom w:val="nil"/>
              <w:right w:val="nil"/>
            </w:tcBorders>
            <w:shd w:val="clear" w:color="auto" w:fill="auto"/>
            <w:noWrap/>
            <w:vAlign w:val="bottom"/>
          </w:tcPr>
          <w:p w14:paraId="26F69959"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185.49</w:t>
            </w:r>
          </w:p>
        </w:tc>
        <w:tc>
          <w:tcPr>
            <w:tcW w:w="905" w:type="dxa"/>
            <w:tcBorders>
              <w:top w:val="nil"/>
              <w:left w:val="nil"/>
              <w:bottom w:val="nil"/>
              <w:right w:val="nil"/>
            </w:tcBorders>
            <w:shd w:val="clear" w:color="auto" w:fill="auto"/>
            <w:noWrap/>
            <w:vAlign w:val="bottom"/>
          </w:tcPr>
          <w:p w14:paraId="5D65A0C1"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80</w:t>
            </w:r>
          </w:p>
        </w:tc>
        <w:tc>
          <w:tcPr>
            <w:tcW w:w="850" w:type="dxa"/>
            <w:tcBorders>
              <w:top w:val="nil"/>
              <w:left w:val="nil"/>
              <w:bottom w:val="nil"/>
              <w:right w:val="nil"/>
            </w:tcBorders>
            <w:shd w:val="clear" w:color="auto" w:fill="auto"/>
            <w:noWrap/>
            <w:vAlign w:val="bottom"/>
          </w:tcPr>
          <w:p w14:paraId="1ED4F983"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&lt;.001</w:t>
            </w:r>
          </w:p>
        </w:tc>
        <w:tc>
          <w:tcPr>
            <w:tcW w:w="709" w:type="dxa"/>
            <w:tcBorders>
              <w:top w:val="nil"/>
              <w:left w:val="nil"/>
              <w:bottom w:val="nil"/>
              <w:right w:val="nil"/>
            </w:tcBorders>
            <w:shd w:val="clear" w:color="auto" w:fill="auto"/>
            <w:noWrap/>
            <w:vAlign w:val="bottom"/>
          </w:tcPr>
          <w:p w14:paraId="6B74D18E"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.966</w:t>
            </w:r>
          </w:p>
        </w:tc>
        <w:tc>
          <w:tcPr>
            <w:tcW w:w="2126" w:type="dxa"/>
            <w:tcBorders>
              <w:top w:val="nil"/>
              <w:left w:val="nil"/>
              <w:bottom w:val="nil"/>
              <w:right w:val="nil"/>
            </w:tcBorders>
            <w:shd w:val="clear" w:color="auto" w:fill="auto"/>
            <w:noWrap/>
            <w:vAlign w:val="bottom"/>
          </w:tcPr>
          <w:p w14:paraId="7B9832E9"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.063 [.051, .075]</w:t>
            </w:r>
          </w:p>
        </w:tc>
        <w:tc>
          <w:tcPr>
            <w:tcW w:w="1134" w:type="dxa"/>
            <w:tcBorders>
              <w:top w:val="nil"/>
              <w:left w:val="nil"/>
              <w:bottom w:val="nil"/>
              <w:right w:val="nil"/>
            </w:tcBorders>
            <w:shd w:val="clear" w:color="auto" w:fill="auto"/>
            <w:noWrap/>
            <w:vAlign w:val="bottom"/>
          </w:tcPr>
          <w:p w14:paraId="18E61E71"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.050</w:t>
            </w:r>
          </w:p>
        </w:tc>
        <w:tc>
          <w:tcPr>
            <w:tcW w:w="1256" w:type="dxa"/>
            <w:tcBorders>
              <w:top w:val="nil"/>
              <w:left w:val="nil"/>
              <w:bottom w:val="nil"/>
              <w:right w:val="nil"/>
            </w:tcBorders>
            <w:shd w:val="clear" w:color="auto" w:fill="auto"/>
            <w:noWrap/>
            <w:vAlign w:val="bottom"/>
          </w:tcPr>
          <w:p w14:paraId="4F2A8A06" w14:textId="59887025" w:rsidR="00D1592A" w:rsidRPr="006E1978" w:rsidRDefault="00D1592A" w:rsidP="00474F6C">
            <w:pPr>
              <w:widowControl/>
              <w:jc w:val="center"/>
              <w:rPr>
                <w:rFonts w:eastAsia="Times New Roman" w:cs="Times New Roman"/>
                <w:kern w:val="0"/>
                <w:sz w:val="20"/>
                <w:szCs w:val="20"/>
              </w:rPr>
            </w:pPr>
          </w:p>
        </w:tc>
        <w:tc>
          <w:tcPr>
            <w:tcW w:w="876" w:type="dxa"/>
            <w:tcBorders>
              <w:top w:val="nil"/>
              <w:left w:val="nil"/>
              <w:bottom w:val="nil"/>
              <w:right w:val="nil"/>
            </w:tcBorders>
            <w:shd w:val="clear" w:color="auto" w:fill="auto"/>
            <w:noWrap/>
            <w:vAlign w:val="bottom"/>
          </w:tcPr>
          <w:p w14:paraId="2DFDF221" w14:textId="1F0D3A75" w:rsidR="00D1592A" w:rsidRPr="006E1978" w:rsidRDefault="00D1592A" w:rsidP="00474F6C">
            <w:pPr>
              <w:widowControl/>
              <w:jc w:val="center"/>
              <w:rPr>
                <w:rFonts w:eastAsia="Times New Roman" w:cs="Times New Roman"/>
                <w:kern w:val="0"/>
                <w:sz w:val="20"/>
                <w:szCs w:val="20"/>
              </w:rPr>
            </w:pPr>
          </w:p>
        </w:tc>
        <w:tc>
          <w:tcPr>
            <w:tcW w:w="850" w:type="dxa"/>
            <w:tcBorders>
              <w:top w:val="nil"/>
              <w:left w:val="nil"/>
              <w:bottom w:val="nil"/>
              <w:right w:val="nil"/>
            </w:tcBorders>
            <w:shd w:val="clear" w:color="auto" w:fill="auto"/>
            <w:noWrap/>
            <w:vAlign w:val="bottom"/>
          </w:tcPr>
          <w:p w14:paraId="023EAFB0" w14:textId="7127CDC0" w:rsidR="00D1592A" w:rsidRPr="006E1978" w:rsidRDefault="00D1592A" w:rsidP="00474F6C">
            <w:pPr>
              <w:widowControl/>
              <w:jc w:val="center"/>
              <w:rPr>
                <w:rFonts w:eastAsia="Times New Roman" w:cs="Times New Roman"/>
                <w:kern w:val="0"/>
                <w:sz w:val="20"/>
                <w:szCs w:val="20"/>
              </w:rPr>
            </w:pPr>
          </w:p>
        </w:tc>
        <w:tc>
          <w:tcPr>
            <w:tcW w:w="851" w:type="dxa"/>
            <w:tcBorders>
              <w:top w:val="nil"/>
              <w:left w:val="nil"/>
              <w:bottom w:val="nil"/>
              <w:right w:val="nil"/>
            </w:tcBorders>
            <w:shd w:val="clear" w:color="auto" w:fill="auto"/>
            <w:noWrap/>
            <w:vAlign w:val="bottom"/>
          </w:tcPr>
          <w:p w14:paraId="39E6A24B" w14:textId="77777777" w:rsidR="00D1592A" w:rsidRPr="006E1978" w:rsidRDefault="00D1592A" w:rsidP="00474F6C">
            <w:pPr>
              <w:widowControl/>
              <w:jc w:val="center"/>
              <w:rPr>
                <w:rFonts w:eastAsia="Times New Roman" w:cs="Times New Roman"/>
                <w:kern w:val="0"/>
                <w:sz w:val="20"/>
                <w:szCs w:val="20"/>
              </w:rPr>
            </w:pPr>
          </w:p>
        </w:tc>
        <w:tc>
          <w:tcPr>
            <w:tcW w:w="1417" w:type="dxa"/>
            <w:tcBorders>
              <w:top w:val="nil"/>
              <w:left w:val="nil"/>
              <w:bottom w:val="nil"/>
              <w:right w:val="nil"/>
            </w:tcBorders>
            <w:shd w:val="clear" w:color="auto" w:fill="auto"/>
            <w:noWrap/>
            <w:vAlign w:val="bottom"/>
          </w:tcPr>
          <w:p w14:paraId="5FECE94B" w14:textId="77777777" w:rsidR="00D1592A" w:rsidRPr="006E1978" w:rsidRDefault="00D1592A" w:rsidP="00474F6C">
            <w:pPr>
              <w:widowControl/>
              <w:jc w:val="center"/>
              <w:rPr>
                <w:rFonts w:eastAsia="Times New Roman" w:cs="Times New Roman"/>
                <w:kern w:val="0"/>
                <w:sz w:val="20"/>
                <w:szCs w:val="20"/>
              </w:rPr>
            </w:pPr>
          </w:p>
        </w:tc>
      </w:tr>
      <w:tr w:rsidR="00D1592A" w:rsidRPr="006E1978" w14:paraId="1BC1AF4B" w14:textId="77777777" w:rsidTr="00474F6C">
        <w:trPr>
          <w:trHeight w:val="320"/>
        </w:trPr>
        <w:tc>
          <w:tcPr>
            <w:tcW w:w="772" w:type="dxa"/>
            <w:tcBorders>
              <w:top w:val="nil"/>
              <w:left w:val="nil"/>
              <w:bottom w:val="nil"/>
              <w:right w:val="nil"/>
            </w:tcBorders>
          </w:tcPr>
          <w:p w14:paraId="191C88D1" w14:textId="77777777" w:rsidR="00D1592A" w:rsidRPr="006E1978" w:rsidRDefault="00D1592A" w:rsidP="00474F6C">
            <w:pPr>
              <w:widowControl/>
              <w:jc w:val="left"/>
              <w:rPr>
                <w:rFonts w:eastAsia="DengXian" w:cs="Times New Roman"/>
                <w:color w:val="000000"/>
                <w:kern w:val="0"/>
                <w:sz w:val="24"/>
              </w:rPr>
            </w:pPr>
          </w:p>
        </w:tc>
        <w:tc>
          <w:tcPr>
            <w:tcW w:w="1427" w:type="dxa"/>
            <w:tcBorders>
              <w:top w:val="nil"/>
              <w:left w:val="nil"/>
              <w:bottom w:val="nil"/>
              <w:right w:val="nil"/>
            </w:tcBorders>
            <w:shd w:val="clear" w:color="auto" w:fill="auto"/>
            <w:noWrap/>
            <w:vAlign w:val="bottom"/>
            <w:hideMark/>
          </w:tcPr>
          <w:p w14:paraId="76B9885F" w14:textId="77777777" w:rsidR="00D1592A" w:rsidRPr="006E1978" w:rsidRDefault="00D1592A" w:rsidP="00474F6C">
            <w:pPr>
              <w:widowControl/>
              <w:jc w:val="left"/>
              <w:rPr>
                <w:rFonts w:eastAsia="DengXian" w:cs="Times New Roman"/>
                <w:color w:val="000000"/>
                <w:kern w:val="0"/>
                <w:sz w:val="24"/>
              </w:rPr>
            </w:pPr>
            <w:r w:rsidRPr="006E1978">
              <w:rPr>
                <w:rFonts w:eastAsia="DengXian" w:cs="Times New Roman"/>
                <w:color w:val="000000"/>
                <w:kern w:val="0"/>
                <w:sz w:val="24"/>
              </w:rPr>
              <w:t>Metric</w:t>
            </w:r>
          </w:p>
        </w:tc>
        <w:tc>
          <w:tcPr>
            <w:tcW w:w="929" w:type="dxa"/>
            <w:tcBorders>
              <w:top w:val="nil"/>
              <w:left w:val="nil"/>
              <w:bottom w:val="nil"/>
              <w:right w:val="nil"/>
            </w:tcBorders>
            <w:shd w:val="clear" w:color="auto" w:fill="auto"/>
            <w:noWrap/>
            <w:vAlign w:val="bottom"/>
            <w:hideMark/>
          </w:tcPr>
          <w:p w14:paraId="46B1AB88"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191.21</w:t>
            </w:r>
          </w:p>
        </w:tc>
        <w:tc>
          <w:tcPr>
            <w:tcW w:w="905" w:type="dxa"/>
            <w:tcBorders>
              <w:top w:val="nil"/>
              <w:left w:val="nil"/>
              <w:bottom w:val="nil"/>
              <w:right w:val="nil"/>
            </w:tcBorders>
            <w:shd w:val="clear" w:color="auto" w:fill="auto"/>
            <w:noWrap/>
            <w:vAlign w:val="bottom"/>
            <w:hideMark/>
          </w:tcPr>
          <w:p w14:paraId="290E6689"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89</w:t>
            </w:r>
          </w:p>
        </w:tc>
        <w:tc>
          <w:tcPr>
            <w:tcW w:w="850" w:type="dxa"/>
            <w:tcBorders>
              <w:top w:val="nil"/>
              <w:left w:val="nil"/>
              <w:bottom w:val="nil"/>
              <w:right w:val="nil"/>
            </w:tcBorders>
            <w:shd w:val="clear" w:color="auto" w:fill="auto"/>
            <w:noWrap/>
            <w:vAlign w:val="bottom"/>
            <w:hideMark/>
          </w:tcPr>
          <w:p w14:paraId="28805F5A"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&lt;.001</w:t>
            </w:r>
          </w:p>
        </w:tc>
        <w:tc>
          <w:tcPr>
            <w:tcW w:w="709" w:type="dxa"/>
            <w:tcBorders>
              <w:top w:val="nil"/>
              <w:left w:val="nil"/>
              <w:bottom w:val="nil"/>
              <w:right w:val="nil"/>
            </w:tcBorders>
            <w:shd w:val="clear" w:color="auto" w:fill="auto"/>
            <w:noWrap/>
            <w:vAlign w:val="bottom"/>
            <w:hideMark/>
          </w:tcPr>
          <w:p w14:paraId="5FD6C168"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.967</w:t>
            </w:r>
          </w:p>
        </w:tc>
        <w:tc>
          <w:tcPr>
            <w:tcW w:w="2126" w:type="dxa"/>
            <w:tcBorders>
              <w:top w:val="nil"/>
              <w:left w:val="nil"/>
              <w:bottom w:val="nil"/>
              <w:right w:val="nil"/>
            </w:tcBorders>
            <w:shd w:val="clear" w:color="auto" w:fill="auto"/>
            <w:noWrap/>
            <w:vAlign w:val="bottom"/>
            <w:hideMark/>
          </w:tcPr>
          <w:p w14:paraId="4CC69815"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.059 [.047, .070]</w:t>
            </w:r>
          </w:p>
        </w:tc>
        <w:tc>
          <w:tcPr>
            <w:tcW w:w="1134" w:type="dxa"/>
            <w:tcBorders>
              <w:top w:val="nil"/>
              <w:left w:val="nil"/>
              <w:bottom w:val="nil"/>
              <w:right w:val="nil"/>
            </w:tcBorders>
            <w:shd w:val="clear" w:color="auto" w:fill="auto"/>
            <w:noWrap/>
            <w:vAlign w:val="bottom"/>
            <w:hideMark/>
          </w:tcPr>
          <w:p w14:paraId="79C54DA5"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.053</w:t>
            </w:r>
          </w:p>
        </w:tc>
        <w:tc>
          <w:tcPr>
            <w:tcW w:w="1256" w:type="dxa"/>
            <w:tcBorders>
              <w:top w:val="nil"/>
              <w:left w:val="nil"/>
              <w:bottom w:val="nil"/>
              <w:right w:val="nil"/>
            </w:tcBorders>
            <w:shd w:val="clear" w:color="auto" w:fill="auto"/>
            <w:noWrap/>
            <w:vAlign w:val="bottom"/>
            <w:hideMark/>
          </w:tcPr>
          <w:p w14:paraId="2140A1FD"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4.84</w:t>
            </w:r>
          </w:p>
        </w:tc>
        <w:tc>
          <w:tcPr>
            <w:tcW w:w="876" w:type="dxa"/>
            <w:tcBorders>
              <w:top w:val="nil"/>
              <w:left w:val="nil"/>
              <w:bottom w:val="nil"/>
              <w:right w:val="nil"/>
            </w:tcBorders>
            <w:shd w:val="clear" w:color="auto" w:fill="auto"/>
            <w:noWrap/>
            <w:vAlign w:val="bottom"/>
            <w:hideMark/>
          </w:tcPr>
          <w:p w14:paraId="479321E1"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9</w:t>
            </w:r>
          </w:p>
        </w:tc>
        <w:tc>
          <w:tcPr>
            <w:tcW w:w="850" w:type="dxa"/>
            <w:tcBorders>
              <w:top w:val="nil"/>
              <w:left w:val="nil"/>
              <w:bottom w:val="nil"/>
              <w:right w:val="nil"/>
            </w:tcBorders>
            <w:shd w:val="clear" w:color="auto" w:fill="auto"/>
            <w:noWrap/>
            <w:vAlign w:val="bottom"/>
            <w:hideMark/>
          </w:tcPr>
          <w:p w14:paraId="72878CB4"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.85</w:t>
            </w:r>
          </w:p>
        </w:tc>
        <w:tc>
          <w:tcPr>
            <w:tcW w:w="851" w:type="dxa"/>
            <w:tcBorders>
              <w:top w:val="nil"/>
              <w:left w:val="nil"/>
              <w:bottom w:val="nil"/>
              <w:right w:val="nil"/>
            </w:tcBorders>
            <w:shd w:val="clear" w:color="auto" w:fill="auto"/>
            <w:noWrap/>
            <w:vAlign w:val="bottom"/>
            <w:hideMark/>
          </w:tcPr>
          <w:p w14:paraId="552DB8AB"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.001</w:t>
            </w:r>
          </w:p>
        </w:tc>
        <w:tc>
          <w:tcPr>
            <w:tcW w:w="1417" w:type="dxa"/>
            <w:tcBorders>
              <w:top w:val="nil"/>
              <w:left w:val="nil"/>
              <w:bottom w:val="nil"/>
              <w:right w:val="nil"/>
            </w:tcBorders>
            <w:shd w:val="clear" w:color="auto" w:fill="auto"/>
            <w:noWrap/>
            <w:vAlign w:val="bottom"/>
            <w:hideMark/>
          </w:tcPr>
          <w:p w14:paraId="56126BE2"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.004</w:t>
            </w:r>
          </w:p>
        </w:tc>
      </w:tr>
      <w:tr w:rsidR="00D1592A" w:rsidRPr="006E1978" w14:paraId="22F9DAD7" w14:textId="77777777" w:rsidTr="00474F6C">
        <w:trPr>
          <w:trHeight w:val="320"/>
        </w:trPr>
        <w:tc>
          <w:tcPr>
            <w:tcW w:w="772" w:type="dxa"/>
            <w:tcBorders>
              <w:top w:val="nil"/>
              <w:left w:val="nil"/>
              <w:bottom w:val="nil"/>
              <w:right w:val="nil"/>
            </w:tcBorders>
          </w:tcPr>
          <w:p w14:paraId="706EA330" w14:textId="77777777" w:rsidR="00D1592A" w:rsidRPr="006E1978" w:rsidRDefault="00D1592A" w:rsidP="00474F6C">
            <w:pPr>
              <w:widowControl/>
              <w:jc w:val="left"/>
              <w:rPr>
                <w:rFonts w:eastAsia="DengXian" w:cs="Times New Roman"/>
                <w:color w:val="000000"/>
                <w:kern w:val="0"/>
                <w:sz w:val="24"/>
              </w:rPr>
            </w:pPr>
          </w:p>
        </w:tc>
        <w:tc>
          <w:tcPr>
            <w:tcW w:w="1427" w:type="dxa"/>
            <w:tcBorders>
              <w:top w:val="nil"/>
              <w:left w:val="nil"/>
              <w:bottom w:val="nil"/>
              <w:right w:val="nil"/>
            </w:tcBorders>
            <w:shd w:val="clear" w:color="auto" w:fill="auto"/>
            <w:noWrap/>
            <w:vAlign w:val="bottom"/>
            <w:hideMark/>
          </w:tcPr>
          <w:p w14:paraId="5F776B8F" w14:textId="77777777" w:rsidR="00D1592A" w:rsidRPr="006E1978" w:rsidRDefault="00D1592A" w:rsidP="00474F6C">
            <w:pPr>
              <w:widowControl/>
              <w:jc w:val="left"/>
              <w:rPr>
                <w:rFonts w:eastAsia="DengXian" w:cs="Times New Roman"/>
                <w:color w:val="000000"/>
                <w:kern w:val="0"/>
                <w:sz w:val="24"/>
              </w:rPr>
            </w:pPr>
            <w:r w:rsidRPr="006E1978">
              <w:rPr>
                <w:rFonts w:eastAsia="DengXian" w:cs="Times New Roman"/>
                <w:color w:val="000000"/>
                <w:kern w:val="0"/>
                <w:sz w:val="24"/>
              </w:rPr>
              <w:t>Scalar</w:t>
            </w:r>
          </w:p>
        </w:tc>
        <w:tc>
          <w:tcPr>
            <w:tcW w:w="929" w:type="dxa"/>
            <w:tcBorders>
              <w:top w:val="nil"/>
              <w:left w:val="nil"/>
              <w:bottom w:val="nil"/>
              <w:right w:val="nil"/>
            </w:tcBorders>
            <w:shd w:val="clear" w:color="auto" w:fill="auto"/>
            <w:noWrap/>
            <w:vAlign w:val="bottom"/>
            <w:hideMark/>
          </w:tcPr>
          <w:p w14:paraId="0366485C"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214.02</w:t>
            </w:r>
          </w:p>
        </w:tc>
        <w:tc>
          <w:tcPr>
            <w:tcW w:w="905" w:type="dxa"/>
            <w:tcBorders>
              <w:top w:val="nil"/>
              <w:left w:val="nil"/>
              <w:bottom w:val="nil"/>
              <w:right w:val="nil"/>
            </w:tcBorders>
            <w:shd w:val="clear" w:color="auto" w:fill="auto"/>
            <w:noWrap/>
            <w:vAlign w:val="bottom"/>
            <w:hideMark/>
          </w:tcPr>
          <w:p w14:paraId="05F2AB1F"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98</w:t>
            </w:r>
          </w:p>
        </w:tc>
        <w:tc>
          <w:tcPr>
            <w:tcW w:w="850" w:type="dxa"/>
            <w:tcBorders>
              <w:top w:val="nil"/>
              <w:left w:val="nil"/>
              <w:bottom w:val="nil"/>
              <w:right w:val="nil"/>
            </w:tcBorders>
            <w:shd w:val="clear" w:color="auto" w:fill="auto"/>
            <w:noWrap/>
            <w:vAlign w:val="bottom"/>
            <w:hideMark/>
          </w:tcPr>
          <w:p w14:paraId="499B727E"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&lt;.001</w:t>
            </w:r>
          </w:p>
        </w:tc>
        <w:tc>
          <w:tcPr>
            <w:tcW w:w="709" w:type="dxa"/>
            <w:tcBorders>
              <w:top w:val="nil"/>
              <w:left w:val="nil"/>
              <w:bottom w:val="nil"/>
              <w:right w:val="nil"/>
            </w:tcBorders>
            <w:shd w:val="clear" w:color="auto" w:fill="auto"/>
            <w:noWrap/>
            <w:vAlign w:val="bottom"/>
            <w:hideMark/>
          </w:tcPr>
          <w:p w14:paraId="6B842862"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.962</w:t>
            </w:r>
          </w:p>
        </w:tc>
        <w:tc>
          <w:tcPr>
            <w:tcW w:w="2126" w:type="dxa"/>
            <w:tcBorders>
              <w:top w:val="nil"/>
              <w:left w:val="nil"/>
              <w:bottom w:val="nil"/>
              <w:right w:val="nil"/>
            </w:tcBorders>
            <w:shd w:val="clear" w:color="auto" w:fill="auto"/>
            <w:noWrap/>
            <w:vAlign w:val="bottom"/>
            <w:hideMark/>
          </w:tcPr>
          <w:p w14:paraId="480E24EC"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.059 [.049, .070]</w:t>
            </w:r>
          </w:p>
        </w:tc>
        <w:tc>
          <w:tcPr>
            <w:tcW w:w="1134" w:type="dxa"/>
            <w:tcBorders>
              <w:top w:val="nil"/>
              <w:left w:val="nil"/>
              <w:bottom w:val="nil"/>
              <w:right w:val="nil"/>
            </w:tcBorders>
            <w:shd w:val="clear" w:color="auto" w:fill="auto"/>
            <w:noWrap/>
            <w:vAlign w:val="bottom"/>
            <w:hideMark/>
          </w:tcPr>
          <w:p w14:paraId="61AB4C2C"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.054</w:t>
            </w:r>
          </w:p>
        </w:tc>
        <w:tc>
          <w:tcPr>
            <w:tcW w:w="1256" w:type="dxa"/>
            <w:tcBorders>
              <w:top w:val="nil"/>
              <w:left w:val="nil"/>
              <w:bottom w:val="nil"/>
              <w:right w:val="nil"/>
            </w:tcBorders>
            <w:shd w:val="clear" w:color="auto" w:fill="auto"/>
            <w:noWrap/>
            <w:vAlign w:val="bottom"/>
            <w:hideMark/>
          </w:tcPr>
          <w:p w14:paraId="0396170B"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24.05</w:t>
            </w:r>
          </w:p>
        </w:tc>
        <w:tc>
          <w:tcPr>
            <w:tcW w:w="876" w:type="dxa"/>
            <w:tcBorders>
              <w:top w:val="nil"/>
              <w:left w:val="nil"/>
              <w:bottom w:val="nil"/>
              <w:right w:val="nil"/>
            </w:tcBorders>
            <w:shd w:val="clear" w:color="auto" w:fill="auto"/>
            <w:noWrap/>
            <w:vAlign w:val="bottom"/>
            <w:hideMark/>
          </w:tcPr>
          <w:p w14:paraId="2FFEB96B"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9</w:t>
            </w:r>
          </w:p>
        </w:tc>
        <w:tc>
          <w:tcPr>
            <w:tcW w:w="850" w:type="dxa"/>
            <w:tcBorders>
              <w:top w:val="nil"/>
              <w:left w:val="nil"/>
              <w:bottom w:val="nil"/>
              <w:right w:val="nil"/>
            </w:tcBorders>
            <w:shd w:val="clear" w:color="auto" w:fill="auto"/>
            <w:noWrap/>
            <w:vAlign w:val="bottom"/>
            <w:hideMark/>
          </w:tcPr>
          <w:p w14:paraId="5A1C0F18"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.004</w:t>
            </w:r>
          </w:p>
        </w:tc>
        <w:tc>
          <w:tcPr>
            <w:tcW w:w="851" w:type="dxa"/>
            <w:tcBorders>
              <w:top w:val="nil"/>
              <w:left w:val="nil"/>
              <w:bottom w:val="nil"/>
              <w:right w:val="nil"/>
            </w:tcBorders>
            <w:shd w:val="clear" w:color="auto" w:fill="auto"/>
            <w:noWrap/>
            <w:vAlign w:val="bottom"/>
            <w:hideMark/>
          </w:tcPr>
          <w:p w14:paraId="017BE1AA"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.005</w:t>
            </w:r>
          </w:p>
        </w:tc>
        <w:tc>
          <w:tcPr>
            <w:tcW w:w="1417" w:type="dxa"/>
            <w:tcBorders>
              <w:top w:val="nil"/>
              <w:left w:val="nil"/>
              <w:bottom w:val="nil"/>
              <w:right w:val="nil"/>
            </w:tcBorders>
            <w:shd w:val="clear" w:color="auto" w:fill="auto"/>
            <w:noWrap/>
            <w:vAlign w:val="bottom"/>
            <w:hideMark/>
          </w:tcPr>
          <w:p w14:paraId="088CF75A"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.000</w:t>
            </w:r>
          </w:p>
        </w:tc>
      </w:tr>
      <w:tr w:rsidR="00D1592A" w:rsidRPr="006E1978" w14:paraId="361F4874" w14:textId="77777777" w:rsidTr="00474F6C">
        <w:trPr>
          <w:trHeight w:val="320"/>
        </w:trPr>
        <w:tc>
          <w:tcPr>
            <w:tcW w:w="2199" w:type="dxa"/>
            <w:gridSpan w:val="2"/>
            <w:tcBorders>
              <w:top w:val="nil"/>
              <w:left w:val="nil"/>
              <w:bottom w:val="nil"/>
              <w:right w:val="nil"/>
            </w:tcBorders>
          </w:tcPr>
          <w:p w14:paraId="664D3059" w14:textId="77777777" w:rsidR="00D1592A" w:rsidRPr="006E1978" w:rsidRDefault="00D1592A" w:rsidP="00474F6C">
            <w:pPr>
              <w:widowControl/>
              <w:jc w:val="left"/>
              <w:rPr>
                <w:rFonts w:eastAsia="DengXian" w:cs="Times New Roman"/>
                <w:b/>
                <w:bCs/>
                <w:color w:val="000000"/>
                <w:kern w:val="0"/>
                <w:sz w:val="24"/>
              </w:rPr>
            </w:pPr>
            <w:r w:rsidRPr="006E1978">
              <w:rPr>
                <w:rFonts w:eastAsia="DengXian" w:cs="Times New Roman"/>
                <w:b/>
                <w:bCs/>
                <w:color w:val="000000"/>
                <w:kern w:val="0"/>
                <w:sz w:val="24"/>
              </w:rPr>
              <w:t>Short-form MOGS</w:t>
            </w:r>
          </w:p>
        </w:tc>
        <w:tc>
          <w:tcPr>
            <w:tcW w:w="929" w:type="dxa"/>
            <w:tcBorders>
              <w:top w:val="nil"/>
              <w:left w:val="nil"/>
              <w:bottom w:val="nil"/>
              <w:right w:val="nil"/>
            </w:tcBorders>
            <w:shd w:val="clear" w:color="auto" w:fill="auto"/>
            <w:noWrap/>
            <w:vAlign w:val="bottom"/>
          </w:tcPr>
          <w:p w14:paraId="3A44BE68" w14:textId="77777777" w:rsidR="00D1592A" w:rsidRPr="006E1978" w:rsidRDefault="00D1592A" w:rsidP="00474F6C">
            <w:pPr>
              <w:widowControl/>
              <w:jc w:val="center"/>
              <w:rPr>
                <w:rFonts w:eastAsia="DengXian" w:cs="Times New Roman"/>
                <w:color w:val="000000"/>
                <w:kern w:val="0"/>
                <w:sz w:val="24"/>
              </w:rPr>
            </w:pPr>
          </w:p>
        </w:tc>
        <w:tc>
          <w:tcPr>
            <w:tcW w:w="905" w:type="dxa"/>
            <w:tcBorders>
              <w:top w:val="nil"/>
              <w:left w:val="nil"/>
              <w:bottom w:val="nil"/>
              <w:right w:val="nil"/>
            </w:tcBorders>
            <w:shd w:val="clear" w:color="auto" w:fill="auto"/>
            <w:noWrap/>
            <w:vAlign w:val="bottom"/>
          </w:tcPr>
          <w:p w14:paraId="7A496582" w14:textId="77777777" w:rsidR="00D1592A" w:rsidRPr="006E1978" w:rsidRDefault="00D1592A" w:rsidP="00474F6C">
            <w:pPr>
              <w:widowControl/>
              <w:jc w:val="center"/>
              <w:rPr>
                <w:rFonts w:eastAsia="DengXian" w:cs="Times New Roman"/>
                <w:color w:val="000000"/>
                <w:kern w:val="0"/>
                <w:sz w:val="24"/>
              </w:rPr>
            </w:pPr>
          </w:p>
        </w:tc>
        <w:tc>
          <w:tcPr>
            <w:tcW w:w="850" w:type="dxa"/>
            <w:tcBorders>
              <w:top w:val="nil"/>
              <w:left w:val="nil"/>
              <w:bottom w:val="nil"/>
              <w:right w:val="nil"/>
            </w:tcBorders>
            <w:shd w:val="clear" w:color="auto" w:fill="auto"/>
            <w:noWrap/>
            <w:vAlign w:val="bottom"/>
          </w:tcPr>
          <w:p w14:paraId="6CC8223C" w14:textId="77777777" w:rsidR="00D1592A" w:rsidRPr="006E1978" w:rsidRDefault="00D1592A" w:rsidP="00474F6C">
            <w:pPr>
              <w:widowControl/>
              <w:jc w:val="center"/>
              <w:rPr>
                <w:rFonts w:eastAsia="DengXian" w:cs="Times New Roman"/>
                <w:color w:val="000000"/>
                <w:kern w:val="0"/>
                <w:sz w:val="24"/>
              </w:rPr>
            </w:pPr>
          </w:p>
        </w:tc>
        <w:tc>
          <w:tcPr>
            <w:tcW w:w="709" w:type="dxa"/>
            <w:tcBorders>
              <w:top w:val="nil"/>
              <w:left w:val="nil"/>
              <w:bottom w:val="nil"/>
              <w:right w:val="nil"/>
            </w:tcBorders>
            <w:shd w:val="clear" w:color="auto" w:fill="auto"/>
            <w:noWrap/>
            <w:vAlign w:val="bottom"/>
          </w:tcPr>
          <w:p w14:paraId="54D65B4C" w14:textId="77777777" w:rsidR="00D1592A" w:rsidRPr="006E1978" w:rsidRDefault="00D1592A" w:rsidP="00474F6C">
            <w:pPr>
              <w:widowControl/>
              <w:jc w:val="center"/>
              <w:rPr>
                <w:rFonts w:eastAsia="DengXian" w:cs="Times New Roman"/>
                <w:color w:val="000000"/>
                <w:kern w:val="0"/>
                <w:sz w:val="24"/>
              </w:rPr>
            </w:pPr>
          </w:p>
        </w:tc>
        <w:tc>
          <w:tcPr>
            <w:tcW w:w="2126" w:type="dxa"/>
            <w:tcBorders>
              <w:top w:val="nil"/>
              <w:left w:val="nil"/>
              <w:bottom w:val="nil"/>
              <w:right w:val="nil"/>
            </w:tcBorders>
            <w:shd w:val="clear" w:color="auto" w:fill="auto"/>
            <w:noWrap/>
            <w:vAlign w:val="bottom"/>
          </w:tcPr>
          <w:p w14:paraId="3E79440F" w14:textId="77777777" w:rsidR="00D1592A" w:rsidRPr="006E1978" w:rsidRDefault="00D1592A" w:rsidP="00474F6C">
            <w:pPr>
              <w:widowControl/>
              <w:jc w:val="center"/>
              <w:rPr>
                <w:rFonts w:eastAsia="DengXian" w:cs="Times New Roman"/>
                <w:color w:val="000000"/>
                <w:kern w:val="0"/>
                <w:sz w:val="24"/>
              </w:rPr>
            </w:pPr>
          </w:p>
        </w:tc>
        <w:tc>
          <w:tcPr>
            <w:tcW w:w="1134" w:type="dxa"/>
            <w:tcBorders>
              <w:top w:val="nil"/>
              <w:left w:val="nil"/>
              <w:bottom w:val="nil"/>
              <w:right w:val="nil"/>
            </w:tcBorders>
            <w:shd w:val="clear" w:color="auto" w:fill="auto"/>
            <w:noWrap/>
            <w:vAlign w:val="bottom"/>
          </w:tcPr>
          <w:p w14:paraId="4D34B7EF" w14:textId="77777777" w:rsidR="00D1592A" w:rsidRPr="006E1978" w:rsidRDefault="00D1592A" w:rsidP="00474F6C">
            <w:pPr>
              <w:widowControl/>
              <w:jc w:val="center"/>
              <w:rPr>
                <w:rFonts w:eastAsia="DengXian" w:cs="Times New Roman"/>
                <w:color w:val="000000"/>
                <w:kern w:val="0"/>
                <w:sz w:val="24"/>
              </w:rPr>
            </w:pPr>
          </w:p>
        </w:tc>
        <w:tc>
          <w:tcPr>
            <w:tcW w:w="1256" w:type="dxa"/>
            <w:tcBorders>
              <w:top w:val="nil"/>
              <w:left w:val="nil"/>
              <w:bottom w:val="nil"/>
              <w:right w:val="nil"/>
            </w:tcBorders>
            <w:shd w:val="clear" w:color="auto" w:fill="auto"/>
            <w:noWrap/>
            <w:vAlign w:val="bottom"/>
          </w:tcPr>
          <w:p w14:paraId="7A812669" w14:textId="77777777" w:rsidR="00D1592A" w:rsidRPr="006E1978" w:rsidRDefault="00D1592A" w:rsidP="00474F6C">
            <w:pPr>
              <w:widowControl/>
              <w:jc w:val="center"/>
              <w:rPr>
                <w:rFonts w:eastAsia="DengXian" w:cs="Times New Roman"/>
                <w:color w:val="000000"/>
                <w:kern w:val="0"/>
                <w:sz w:val="24"/>
              </w:rPr>
            </w:pPr>
          </w:p>
        </w:tc>
        <w:tc>
          <w:tcPr>
            <w:tcW w:w="876" w:type="dxa"/>
            <w:tcBorders>
              <w:top w:val="nil"/>
              <w:left w:val="nil"/>
              <w:bottom w:val="nil"/>
              <w:right w:val="nil"/>
            </w:tcBorders>
            <w:shd w:val="clear" w:color="auto" w:fill="auto"/>
            <w:noWrap/>
            <w:vAlign w:val="bottom"/>
          </w:tcPr>
          <w:p w14:paraId="47AB7B23" w14:textId="77777777" w:rsidR="00D1592A" w:rsidRPr="006E1978" w:rsidRDefault="00D1592A" w:rsidP="00474F6C">
            <w:pPr>
              <w:widowControl/>
              <w:jc w:val="center"/>
              <w:rPr>
                <w:rFonts w:eastAsia="DengXian" w:cs="Times New Roman"/>
                <w:color w:val="000000"/>
                <w:kern w:val="0"/>
                <w:sz w:val="24"/>
              </w:rPr>
            </w:pPr>
          </w:p>
        </w:tc>
        <w:tc>
          <w:tcPr>
            <w:tcW w:w="850" w:type="dxa"/>
            <w:tcBorders>
              <w:top w:val="nil"/>
              <w:left w:val="nil"/>
              <w:bottom w:val="nil"/>
              <w:right w:val="nil"/>
            </w:tcBorders>
            <w:shd w:val="clear" w:color="auto" w:fill="auto"/>
            <w:noWrap/>
            <w:vAlign w:val="bottom"/>
          </w:tcPr>
          <w:p w14:paraId="189FC442" w14:textId="77777777" w:rsidR="00D1592A" w:rsidRPr="006E1978" w:rsidRDefault="00D1592A" w:rsidP="00474F6C">
            <w:pPr>
              <w:widowControl/>
              <w:jc w:val="center"/>
              <w:rPr>
                <w:rFonts w:eastAsia="DengXian" w:cs="Times New Roman"/>
                <w:color w:val="000000"/>
                <w:kern w:val="0"/>
                <w:sz w:val="24"/>
              </w:rPr>
            </w:pPr>
          </w:p>
        </w:tc>
        <w:tc>
          <w:tcPr>
            <w:tcW w:w="851" w:type="dxa"/>
            <w:tcBorders>
              <w:top w:val="nil"/>
              <w:left w:val="nil"/>
              <w:bottom w:val="nil"/>
              <w:right w:val="nil"/>
            </w:tcBorders>
            <w:shd w:val="clear" w:color="auto" w:fill="auto"/>
            <w:noWrap/>
            <w:vAlign w:val="bottom"/>
          </w:tcPr>
          <w:p w14:paraId="4438E9F3" w14:textId="77777777" w:rsidR="00D1592A" w:rsidRPr="006E1978" w:rsidRDefault="00D1592A" w:rsidP="00474F6C">
            <w:pPr>
              <w:widowControl/>
              <w:jc w:val="center"/>
              <w:rPr>
                <w:rFonts w:eastAsia="DengXian" w:cs="Times New Roman"/>
                <w:color w:val="000000"/>
                <w:kern w:val="0"/>
                <w:sz w:val="24"/>
              </w:rPr>
            </w:pPr>
          </w:p>
        </w:tc>
        <w:tc>
          <w:tcPr>
            <w:tcW w:w="1417" w:type="dxa"/>
            <w:tcBorders>
              <w:top w:val="nil"/>
              <w:left w:val="nil"/>
              <w:bottom w:val="nil"/>
              <w:right w:val="nil"/>
            </w:tcBorders>
            <w:shd w:val="clear" w:color="auto" w:fill="auto"/>
            <w:noWrap/>
            <w:vAlign w:val="bottom"/>
          </w:tcPr>
          <w:p w14:paraId="5673DE2D" w14:textId="77777777" w:rsidR="00D1592A" w:rsidRPr="006E1978" w:rsidRDefault="00D1592A" w:rsidP="00474F6C">
            <w:pPr>
              <w:widowControl/>
              <w:jc w:val="center"/>
              <w:rPr>
                <w:rFonts w:eastAsia="DengXian" w:cs="Times New Roman"/>
                <w:color w:val="000000"/>
                <w:kern w:val="0"/>
                <w:sz w:val="24"/>
              </w:rPr>
            </w:pPr>
          </w:p>
        </w:tc>
      </w:tr>
      <w:tr w:rsidR="00D1592A" w:rsidRPr="006E1978" w14:paraId="71F54CCB" w14:textId="77777777" w:rsidTr="00474F6C">
        <w:trPr>
          <w:trHeight w:val="320"/>
        </w:trPr>
        <w:tc>
          <w:tcPr>
            <w:tcW w:w="772" w:type="dxa"/>
            <w:tcBorders>
              <w:top w:val="nil"/>
              <w:left w:val="nil"/>
              <w:bottom w:val="nil"/>
              <w:right w:val="nil"/>
            </w:tcBorders>
          </w:tcPr>
          <w:p w14:paraId="692B5764" w14:textId="77777777" w:rsidR="00D1592A" w:rsidRPr="006E1978" w:rsidRDefault="00D1592A" w:rsidP="00474F6C">
            <w:pPr>
              <w:widowControl/>
              <w:jc w:val="left"/>
              <w:rPr>
                <w:rFonts w:eastAsia="DengXian" w:cs="Times New Roman"/>
                <w:color w:val="000000"/>
                <w:kern w:val="0"/>
                <w:sz w:val="24"/>
              </w:rPr>
            </w:pPr>
          </w:p>
        </w:tc>
        <w:tc>
          <w:tcPr>
            <w:tcW w:w="1427" w:type="dxa"/>
            <w:tcBorders>
              <w:top w:val="nil"/>
              <w:left w:val="nil"/>
              <w:bottom w:val="nil"/>
              <w:right w:val="nil"/>
            </w:tcBorders>
            <w:shd w:val="clear" w:color="auto" w:fill="auto"/>
            <w:noWrap/>
            <w:vAlign w:val="bottom"/>
            <w:hideMark/>
          </w:tcPr>
          <w:p w14:paraId="3EC47B95" w14:textId="77777777" w:rsidR="00D1592A" w:rsidRPr="006E1978" w:rsidRDefault="00D1592A" w:rsidP="00474F6C">
            <w:pPr>
              <w:widowControl/>
              <w:jc w:val="left"/>
              <w:rPr>
                <w:rFonts w:eastAsia="DengXian" w:cs="Times New Roman"/>
                <w:color w:val="000000"/>
                <w:kern w:val="0"/>
                <w:sz w:val="24"/>
              </w:rPr>
            </w:pPr>
            <w:r w:rsidRPr="006E1978">
              <w:rPr>
                <w:rFonts w:eastAsia="DengXian" w:cs="Times New Roman"/>
                <w:color w:val="000000"/>
                <w:kern w:val="0"/>
                <w:sz w:val="24"/>
              </w:rPr>
              <w:t>Configural</w:t>
            </w:r>
          </w:p>
        </w:tc>
        <w:tc>
          <w:tcPr>
            <w:tcW w:w="929" w:type="dxa"/>
            <w:tcBorders>
              <w:top w:val="nil"/>
              <w:left w:val="nil"/>
              <w:bottom w:val="nil"/>
              <w:right w:val="nil"/>
            </w:tcBorders>
            <w:shd w:val="clear" w:color="auto" w:fill="auto"/>
            <w:noWrap/>
            <w:vAlign w:val="bottom"/>
            <w:hideMark/>
          </w:tcPr>
          <w:p w14:paraId="12C5DE52"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30.73</w:t>
            </w:r>
          </w:p>
        </w:tc>
        <w:tc>
          <w:tcPr>
            <w:tcW w:w="905" w:type="dxa"/>
            <w:tcBorders>
              <w:top w:val="nil"/>
              <w:left w:val="nil"/>
              <w:bottom w:val="nil"/>
              <w:right w:val="nil"/>
            </w:tcBorders>
            <w:shd w:val="clear" w:color="auto" w:fill="auto"/>
            <w:noWrap/>
            <w:vAlign w:val="bottom"/>
            <w:hideMark/>
          </w:tcPr>
          <w:p w14:paraId="4BEEA570"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16</w:t>
            </w:r>
          </w:p>
        </w:tc>
        <w:tc>
          <w:tcPr>
            <w:tcW w:w="850" w:type="dxa"/>
            <w:tcBorders>
              <w:top w:val="nil"/>
              <w:left w:val="nil"/>
              <w:bottom w:val="nil"/>
              <w:right w:val="nil"/>
            </w:tcBorders>
            <w:shd w:val="clear" w:color="auto" w:fill="auto"/>
            <w:noWrap/>
            <w:vAlign w:val="bottom"/>
            <w:hideMark/>
          </w:tcPr>
          <w:p w14:paraId="1D4D95A1"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.02</w:t>
            </w:r>
          </w:p>
        </w:tc>
        <w:tc>
          <w:tcPr>
            <w:tcW w:w="709" w:type="dxa"/>
            <w:tcBorders>
              <w:top w:val="nil"/>
              <w:left w:val="nil"/>
              <w:bottom w:val="nil"/>
              <w:right w:val="nil"/>
            </w:tcBorders>
            <w:shd w:val="clear" w:color="auto" w:fill="auto"/>
            <w:noWrap/>
            <w:vAlign w:val="bottom"/>
            <w:hideMark/>
          </w:tcPr>
          <w:p w14:paraId="4471F018"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.989</w:t>
            </w:r>
          </w:p>
        </w:tc>
        <w:tc>
          <w:tcPr>
            <w:tcW w:w="2126" w:type="dxa"/>
            <w:tcBorders>
              <w:top w:val="nil"/>
              <w:left w:val="nil"/>
              <w:bottom w:val="nil"/>
              <w:right w:val="nil"/>
            </w:tcBorders>
            <w:shd w:val="clear" w:color="auto" w:fill="auto"/>
            <w:noWrap/>
            <w:vAlign w:val="bottom"/>
            <w:hideMark/>
          </w:tcPr>
          <w:p w14:paraId="6214A1CF"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.052 [.023, .080]</w:t>
            </w:r>
          </w:p>
        </w:tc>
        <w:tc>
          <w:tcPr>
            <w:tcW w:w="1134" w:type="dxa"/>
            <w:tcBorders>
              <w:top w:val="nil"/>
              <w:left w:val="nil"/>
              <w:bottom w:val="nil"/>
              <w:right w:val="nil"/>
            </w:tcBorders>
            <w:shd w:val="clear" w:color="auto" w:fill="auto"/>
            <w:noWrap/>
            <w:vAlign w:val="bottom"/>
            <w:hideMark/>
          </w:tcPr>
          <w:p w14:paraId="4C905AEA"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.023</w:t>
            </w:r>
          </w:p>
        </w:tc>
        <w:tc>
          <w:tcPr>
            <w:tcW w:w="1256" w:type="dxa"/>
            <w:tcBorders>
              <w:top w:val="nil"/>
              <w:left w:val="nil"/>
              <w:bottom w:val="nil"/>
              <w:right w:val="nil"/>
            </w:tcBorders>
            <w:shd w:val="clear" w:color="auto" w:fill="auto"/>
            <w:noWrap/>
            <w:vAlign w:val="bottom"/>
            <w:hideMark/>
          </w:tcPr>
          <w:p w14:paraId="58FC9F3E" w14:textId="77777777" w:rsidR="00D1592A" w:rsidRPr="006E1978" w:rsidRDefault="00D1592A" w:rsidP="00474F6C">
            <w:pPr>
              <w:widowControl/>
              <w:jc w:val="center"/>
              <w:rPr>
                <w:rFonts w:eastAsia="Times New Roman" w:cs="Times New Roman"/>
                <w:kern w:val="0"/>
                <w:sz w:val="20"/>
                <w:szCs w:val="20"/>
              </w:rPr>
            </w:pPr>
          </w:p>
        </w:tc>
        <w:tc>
          <w:tcPr>
            <w:tcW w:w="876" w:type="dxa"/>
            <w:tcBorders>
              <w:top w:val="nil"/>
              <w:left w:val="nil"/>
              <w:bottom w:val="nil"/>
              <w:right w:val="nil"/>
            </w:tcBorders>
            <w:shd w:val="clear" w:color="auto" w:fill="auto"/>
            <w:noWrap/>
            <w:vAlign w:val="bottom"/>
            <w:hideMark/>
          </w:tcPr>
          <w:p w14:paraId="6E75FE5D" w14:textId="77777777" w:rsidR="00D1592A" w:rsidRPr="006E1978" w:rsidRDefault="00D1592A" w:rsidP="00474F6C">
            <w:pPr>
              <w:widowControl/>
              <w:jc w:val="center"/>
              <w:rPr>
                <w:rFonts w:eastAsia="Times New Roman" w:cs="Times New Roman"/>
                <w:kern w:val="0"/>
                <w:sz w:val="20"/>
                <w:szCs w:val="20"/>
              </w:rPr>
            </w:pPr>
          </w:p>
        </w:tc>
        <w:tc>
          <w:tcPr>
            <w:tcW w:w="850" w:type="dxa"/>
            <w:tcBorders>
              <w:top w:val="nil"/>
              <w:left w:val="nil"/>
              <w:bottom w:val="nil"/>
              <w:right w:val="nil"/>
            </w:tcBorders>
            <w:shd w:val="clear" w:color="auto" w:fill="auto"/>
            <w:noWrap/>
            <w:vAlign w:val="bottom"/>
            <w:hideMark/>
          </w:tcPr>
          <w:p w14:paraId="3FAC24C1" w14:textId="77777777" w:rsidR="00D1592A" w:rsidRPr="006E1978" w:rsidRDefault="00D1592A" w:rsidP="00474F6C">
            <w:pPr>
              <w:widowControl/>
              <w:jc w:val="center"/>
              <w:rPr>
                <w:rFonts w:eastAsia="Times New Roman" w:cs="Times New Roman"/>
                <w:kern w:val="0"/>
                <w:sz w:val="20"/>
                <w:szCs w:val="20"/>
              </w:rPr>
            </w:pPr>
          </w:p>
        </w:tc>
        <w:tc>
          <w:tcPr>
            <w:tcW w:w="851" w:type="dxa"/>
            <w:tcBorders>
              <w:top w:val="nil"/>
              <w:left w:val="nil"/>
              <w:bottom w:val="nil"/>
              <w:right w:val="nil"/>
            </w:tcBorders>
            <w:shd w:val="clear" w:color="auto" w:fill="auto"/>
            <w:noWrap/>
            <w:vAlign w:val="bottom"/>
            <w:hideMark/>
          </w:tcPr>
          <w:p w14:paraId="4A0ADA67" w14:textId="77777777" w:rsidR="00D1592A" w:rsidRPr="006E1978" w:rsidRDefault="00D1592A" w:rsidP="00474F6C">
            <w:pPr>
              <w:widowControl/>
              <w:jc w:val="center"/>
              <w:rPr>
                <w:rFonts w:eastAsia="Times New Roman" w:cs="Times New Roman"/>
                <w:kern w:val="0"/>
                <w:sz w:val="20"/>
                <w:szCs w:val="20"/>
              </w:rPr>
            </w:pPr>
          </w:p>
        </w:tc>
        <w:tc>
          <w:tcPr>
            <w:tcW w:w="1417" w:type="dxa"/>
            <w:tcBorders>
              <w:top w:val="nil"/>
              <w:left w:val="nil"/>
              <w:bottom w:val="nil"/>
              <w:right w:val="nil"/>
            </w:tcBorders>
            <w:shd w:val="clear" w:color="auto" w:fill="auto"/>
            <w:noWrap/>
            <w:vAlign w:val="bottom"/>
            <w:hideMark/>
          </w:tcPr>
          <w:p w14:paraId="1D69768A" w14:textId="77777777" w:rsidR="00D1592A" w:rsidRPr="006E1978" w:rsidRDefault="00D1592A" w:rsidP="00474F6C">
            <w:pPr>
              <w:widowControl/>
              <w:jc w:val="center"/>
              <w:rPr>
                <w:rFonts w:eastAsia="Times New Roman" w:cs="Times New Roman"/>
                <w:kern w:val="0"/>
                <w:sz w:val="20"/>
                <w:szCs w:val="20"/>
              </w:rPr>
            </w:pPr>
          </w:p>
        </w:tc>
      </w:tr>
      <w:tr w:rsidR="00D1592A" w:rsidRPr="006E1978" w14:paraId="3F105C97" w14:textId="77777777" w:rsidTr="00474F6C">
        <w:trPr>
          <w:trHeight w:val="320"/>
        </w:trPr>
        <w:tc>
          <w:tcPr>
            <w:tcW w:w="772" w:type="dxa"/>
            <w:tcBorders>
              <w:top w:val="nil"/>
              <w:left w:val="nil"/>
              <w:bottom w:val="nil"/>
              <w:right w:val="nil"/>
            </w:tcBorders>
          </w:tcPr>
          <w:p w14:paraId="6A8FFE95" w14:textId="77777777" w:rsidR="00D1592A" w:rsidRPr="006E1978" w:rsidRDefault="00D1592A" w:rsidP="00474F6C">
            <w:pPr>
              <w:widowControl/>
              <w:jc w:val="left"/>
              <w:rPr>
                <w:rFonts w:eastAsia="DengXian" w:cs="Times New Roman"/>
                <w:color w:val="000000"/>
                <w:kern w:val="0"/>
                <w:sz w:val="24"/>
              </w:rPr>
            </w:pPr>
          </w:p>
        </w:tc>
        <w:tc>
          <w:tcPr>
            <w:tcW w:w="1427" w:type="dxa"/>
            <w:tcBorders>
              <w:top w:val="nil"/>
              <w:left w:val="nil"/>
              <w:bottom w:val="nil"/>
              <w:right w:val="nil"/>
            </w:tcBorders>
            <w:shd w:val="clear" w:color="auto" w:fill="auto"/>
            <w:noWrap/>
            <w:vAlign w:val="bottom"/>
            <w:hideMark/>
          </w:tcPr>
          <w:p w14:paraId="31267744" w14:textId="77777777" w:rsidR="00D1592A" w:rsidRPr="006E1978" w:rsidRDefault="00D1592A" w:rsidP="00474F6C">
            <w:pPr>
              <w:widowControl/>
              <w:jc w:val="left"/>
              <w:rPr>
                <w:rFonts w:eastAsia="DengXian" w:cs="Times New Roman"/>
                <w:color w:val="000000"/>
                <w:kern w:val="0"/>
                <w:sz w:val="24"/>
              </w:rPr>
            </w:pPr>
            <w:r w:rsidRPr="006E1978">
              <w:rPr>
                <w:rFonts w:eastAsia="DengXian" w:cs="Times New Roman"/>
                <w:color w:val="000000"/>
                <w:kern w:val="0"/>
                <w:sz w:val="24"/>
              </w:rPr>
              <w:t>Metric</w:t>
            </w:r>
          </w:p>
        </w:tc>
        <w:tc>
          <w:tcPr>
            <w:tcW w:w="929" w:type="dxa"/>
            <w:tcBorders>
              <w:top w:val="nil"/>
              <w:left w:val="nil"/>
              <w:bottom w:val="nil"/>
              <w:right w:val="nil"/>
            </w:tcBorders>
            <w:shd w:val="clear" w:color="auto" w:fill="auto"/>
            <w:noWrap/>
            <w:vAlign w:val="bottom"/>
            <w:hideMark/>
          </w:tcPr>
          <w:p w14:paraId="2BBA3D14"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37.02</w:t>
            </w:r>
          </w:p>
        </w:tc>
        <w:tc>
          <w:tcPr>
            <w:tcW w:w="905" w:type="dxa"/>
            <w:tcBorders>
              <w:top w:val="nil"/>
              <w:left w:val="nil"/>
              <w:bottom w:val="nil"/>
              <w:right w:val="nil"/>
            </w:tcBorders>
            <w:shd w:val="clear" w:color="auto" w:fill="auto"/>
            <w:noWrap/>
            <w:vAlign w:val="bottom"/>
            <w:hideMark/>
          </w:tcPr>
          <w:p w14:paraId="22C5E5C9"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20</w:t>
            </w:r>
          </w:p>
        </w:tc>
        <w:tc>
          <w:tcPr>
            <w:tcW w:w="850" w:type="dxa"/>
            <w:tcBorders>
              <w:top w:val="nil"/>
              <w:left w:val="nil"/>
              <w:bottom w:val="nil"/>
              <w:right w:val="nil"/>
            </w:tcBorders>
            <w:shd w:val="clear" w:color="auto" w:fill="auto"/>
            <w:noWrap/>
            <w:vAlign w:val="bottom"/>
            <w:hideMark/>
          </w:tcPr>
          <w:p w14:paraId="1D0D085E"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.01</w:t>
            </w:r>
          </w:p>
        </w:tc>
        <w:tc>
          <w:tcPr>
            <w:tcW w:w="709" w:type="dxa"/>
            <w:tcBorders>
              <w:top w:val="nil"/>
              <w:left w:val="nil"/>
              <w:bottom w:val="nil"/>
              <w:right w:val="nil"/>
            </w:tcBorders>
            <w:shd w:val="clear" w:color="auto" w:fill="auto"/>
            <w:noWrap/>
            <w:vAlign w:val="bottom"/>
            <w:hideMark/>
          </w:tcPr>
          <w:p w14:paraId="1806C868"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.987</w:t>
            </w:r>
          </w:p>
        </w:tc>
        <w:tc>
          <w:tcPr>
            <w:tcW w:w="2126" w:type="dxa"/>
            <w:tcBorders>
              <w:top w:val="nil"/>
              <w:left w:val="nil"/>
              <w:bottom w:val="nil"/>
              <w:right w:val="nil"/>
            </w:tcBorders>
            <w:shd w:val="clear" w:color="auto" w:fill="auto"/>
            <w:noWrap/>
            <w:vAlign w:val="bottom"/>
            <w:hideMark/>
          </w:tcPr>
          <w:p w14:paraId="5742F17B"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.050 [.023, .075]</w:t>
            </w:r>
          </w:p>
        </w:tc>
        <w:tc>
          <w:tcPr>
            <w:tcW w:w="1134" w:type="dxa"/>
            <w:tcBorders>
              <w:top w:val="nil"/>
              <w:left w:val="nil"/>
              <w:bottom w:val="nil"/>
              <w:right w:val="nil"/>
            </w:tcBorders>
            <w:shd w:val="clear" w:color="auto" w:fill="auto"/>
            <w:noWrap/>
            <w:vAlign w:val="bottom"/>
            <w:hideMark/>
          </w:tcPr>
          <w:p w14:paraId="3E36E243"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.036</w:t>
            </w:r>
          </w:p>
        </w:tc>
        <w:tc>
          <w:tcPr>
            <w:tcW w:w="1256" w:type="dxa"/>
            <w:tcBorders>
              <w:top w:val="nil"/>
              <w:left w:val="nil"/>
              <w:bottom w:val="nil"/>
              <w:right w:val="nil"/>
            </w:tcBorders>
            <w:shd w:val="clear" w:color="auto" w:fill="auto"/>
            <w:noWrap/>
            <w:vAlign w:val="bottom"/>
            <w:hideMark/>
          </w:tcPr>
          <w:p w14:paraId="5A92F15D"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6.42</w:t>
            </w:r>
          </w:p>
        </w:tc>
        <w:tc>
          <w:tcPr>
            <w:tcW w:w="876" w:type="dxa"/>
            <w:tcBorders>
              <w:top w:val="nil"/>
              <w:left w:val="nil"/>
              <w:bottom w:val="nil"/>
              <w:right w:val="nil"/>
            </w:tcBorders>
            <w:shd w:val="clear" w:color="auto" w:fill="auto"/>
            <w:noWrap/>
            <w:vAlign w:val="bottom"/>
            <w:hideMark/>
          </w:tcPr>
          <w:p w14:paraId="5242727F"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4</w:t>
            </w:r>
          </w:p>
        </w:tc>
        <w:tc>
          <w:tcPr>
            <w:tcW w:w="850" w:type="dxa"/>
            <w:tcBorders>
              <w:top w:val="nil"/>
              <w:left w:val="nil"/>
              <w:bottom w:val="nil"/>
              <w:right w:val="nil"/>
            </w:tcBorders>
            <w:shd w:val="clear" w:color="auto" w:fill="auto"/>
            <w:noWrap/>
            <w:vAlign w:val="bottom"/>
            <w:hideMark/>
          </w:tcPr>
          <w:p w14:paraId="5A2F59B0"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0.17</w:t>
            </w:r>
          </w:p>
        </w:tc>
        <w:tc>
          <w:tcPr>
            <w:tcW w:w="851" w:type="dxa"/>
            <w:tcBorders>
              <w:top w:val="nil"/>
              <w:left w:val="nil"/>
              <w:bottom w:val="nil"/>
              <w:right w:val="nil"/>
            </w:tcBorders>
            <w:shd w:val="clear" w:color="auto" w:fill="auto"/>
            <w:noWrap/>
            <w:vAlign w:val="bottom"/>
            <w:hideMark/>
          </w:tcPr>
          <w:p w14:paraId="65908FD3"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.002</w:t>
            </w:r>
          </w:p>
        </w:tc>
        <w:tc>
          <w:tcPr>
            <w:tcW w:w="1417" w:type="dxa"/>
            <w:tcBorders>
              <w:top w:val="nil"/>
              <w:left w:val="nil"/>
              <w:bottom w:val="nil"/>
              <w:right w:val="nil"/>
            </w:tcBorders>
            <w:shd w:val="clear" w:color="auto" w:fill="auto"/>
            <w:noWrap/>
            <w:vAlign w:val="bottom"/>
            <w:hideMark/>
          </w:tcPr>
          <w:p w14:paraId="75EA7827"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.002</w:t>
            </w:r>
          </w:p>
        </w:tc>
      </w:tr>
      <w:tr w:rsidR="00D1592A" w:rsidRPr="006E1978" w14:paraId="002C9AEA" w14:textId="77777777" w:rsidTr="00474F6C">
        <w:trPr>
          <w:trHeight w:val="320"/>
        </w:trPr>
        <w:tc>
          <w:tcPr>
            <w:tcW w:w="772" w:type="dxa"/>
            <w:tcBorders>
              <w:top w:val="nil"/>
              <w:left w:val="nil"/>
              <w:bottom w:val="single" w:sz="4" w:space="0" w:color="auto"/>
              <w:right w:val="nil"/>
            </w:tcBorders>
          </w:tcPr>
          <w:p w14:paraId="71BCE066" w14:textId="77777777" w:rsidR="00D1592A" w:rsidRPr="006E1978" w:rsidRDefault="00D1592A" w:rsidP="00474F6C">
            <w:pPr>
              <w:widowControl/>
              <w:jc w:val="left"/>
              <w:rPr>
                <w:rFonts w:eastAsia="DengXian" w:cs="Times New Roman"/>
                <w:color w:val="000000"/>
                <w:kern w:val="0"/>
                <w:sz w:val="24"/>
              </w:rPr>
            </w:pPr>
          </w:p>
        </w:tc>
        <w:tc>
          <w:tcPr>
            <w:tcW w:w="1427" w:type="dxa"/>
            <w:tcBorders>
              <w:top w:val="nil"/>
              <w:left w:val="nil"/>
              <w:bottom w:val="single" w:sz="4" w:space="0" w:color="auto"/>
              <w:right w:val="nil"/>
            </w:tcBorders>
            <w:shd w:val="clear" w:color="auto" w:fill="auto"/>
            <w:noWrap/>
            <w:vAlign w:val="bottom"/>
            <w:hideMark/>
          </w:tcPr>
          <w:p w14:paraId="75F99732" w14:textId="77777777" w:rsidR="00D1592A" w:rsidRPr="006E1978" w:rsidRDefault="00D1592A" w:rsidP="00474F6C">
            <w:pPr>
              <w:widowControl/>
              <w:jc w:val="left"/>
              <w:rPr>
                <w:rFonts w:eastAsia="DengXian" w:cs="Times New Roman"/>
                <w:color w:val="000000"/>
                <w:kern w:val="0"/>
                <w:sz w:val="24"/>
              </w:rPr>
            </w:pPr>
            <w:r w:rsidRPr="006E1978">
              <w:rPr>
                <w:rFonts w:eastAsia="DengXian" w:cs="Times New Roman"/>
                <w:color w:val="000000"/>
                <w:kern w:val="0"/>
                <w:sz w:val="24"/>
              </w:rPr>
              <w:t>Scalar</w:t>
            </w:r>
          </w:p>
        </w:tc>
        <w:tc>
          <w:tcPr>
            <w:tcW w:w="929" w:type="dxa"/>
            <w:tcBorders>
              <w:top w:val="nil"/>
              <w:left w:val="nil"/>
              <w:bottom w:val="single" w:sz="4" w:space="0" w:color="auto"/>
              <w:right w:val="nil"/>
            </w:tcBorders>
            <w:shd w:val="clear" w:color="auto" w:fill="auto"/>
            <w:noWrap/>
            <w:vAlign w:val="bottom"/>
            <w:hideMark/>
          </w:tcPr>
          <w:p w14:paraId="032A59F8"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48.80</w:t>
            </w:r>
          </w:p>
        </w:tc>
        <w:tc>
          <w:tcPr>
            <w:tcW w:w="905" w:type="dxa"/>
            <w:tcBorders>
              <w:top w:val="nil"/>
              <w:left w:val="nil"/>
              <w:bottom w:val="single" w:sz="4" w:space="0" w:color="auto"/>
              <w:right w:val="nil"/>
            </w:tcBorders>
            <w:shd w:val="clear" w:color="auto" w:fill="auto"/>
            <w:noWrap/>
            <w:vAlign w:val="bottom"/>
            <w:hideMark/>
          </w:tcPr>
          <w:p w14:paraId="0ACA3BDD"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24</w:t>
            </w:r>
          </w:p>
        </w:tc>
        <w:tc>
          <w:tcPr>
            <w:tcW w:w="850" w:type="dxa"/>
            <w:tcBorders>
              <w:top w:val="nil"/>
              <w:left w:val="nil"/>
              <w:bottom w:val="single" w:sz="4" w:space="0" w:color="auto"/>
              <w:right w:val="nil"/>
            </w:tcBorders>
            <w:shd w:val="clear" w:color="auto" w:fill="auto"/>
            <w:noWrap/>
            <w:vAlign w:val="bottom"/>
            <w:hideMark/>
          </w:tcPr>
          <w:p w14:paraId="0B674CAE"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.002</w:t>
            </w:r>
          </w:p>
        </w:tc>
        <w:tc>
          <w:tcPr>
            <w:tcW w:w="709" w:type="dxa"/>
            <w:tcBorders>
              <w:top w:val="nil"/>
              <w:left w:val="nil"/>
              <w:bottom w:val="single" w:sz="4" w:space="0" w:color="auto"/>
              <w:right w:val="nil"/>
            </w:tcBorders>
            <w:shd w:val="clear" w:color="auto" w:fill="auto"/>
            <w:noWrap/>
            <w:vAlign w:val="bottom"/>
            <w:hideMark/>
          </w:tcPr>
          <w:p w14:paraId="14F56CF2"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.981</w:t>
            </w:r>
          </w:p>
        </w:tc>
        <w:tc>
          <w:tcPr>
            <w:tcW w:w="2126" w:type="dxa"/>
            <w:tcBorders>
              <w:top w:val="nil"/>
              <w:left w:val="nil"/>
              <w:bottom w:val="single" w:sz="4" w:space="0" w:color="auto"/>
              <w:right w:val="nil"/>
            </w:tcBorders>
            <w:shd w:val="clear" w:color="auto" w:fill="auto"/>
            <w:noWrap/>
            <w:vAlign w:val="bottom"/>
            <w:hideMark/>
          </w:tcPr>
          <w:p w14:paraId="26613DE9"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.056 [.033, .078]</w:t>
            </w:r>
          </w:p>
        </w:tc>
        <w:tc>
          <w:tcPr>
            <w:tcW w:w="1134" w:type="dxa"/>
            <w:tcBorders>
              <w:top w:val="nil"/>
              <w:left w:val="nil"/>
              <w:bottom w:val="single" w:sz="4" w:space="0" w:color="auto"/>
              <w:right w:val="nil"/>
            </w:tcBorders>
            <w:shd w:val="clear" w:color="auto" w:fill="auto"/>
            <w:noWrap/>
            <w:vAlign w:val="bottom"/>
            <w:hideMark/>
          </w:tcPr>
          <w:p w14:paraId="7B90D6DA"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.033</w:t>
            </w:r>
          </w:p>
        </w:tc>
        <w:tc>
          <w:tcPr>
            <w:tcW w:w="1256" w:type="dxa"/>
            <w:tcBorders>
              <w:top w:val="nil"/>
              <w:left w:val="nil"/>
              <w:bottom w:val="single" w:sz="4" w:space="0" w:color="auto"/>
              <w:right w:val="nil"/>
            </w:tcBorders>
            <w:shd w:val="clear" w:color="auto" w:fill="auto"/>
            <w:noWrap/>
            <w:vAlign w:val="bottom"/>
            <w:hideMark/>
          </w:tcPr>
          <w:p w14:paraId="7E8F66C6"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13.13</w:t>
            </w:r>
          </w:p>
        </w:tc>
        <w:tc>
          <w:tcPr>
            <w:tcW w:w="876" w:type="dxa"/>
            <w:tcBorders>
              <w:top w:val="nil"/>
              <w:left w:val="nil"/>
              <w:bottom w:val="single" w:sz="4" w:space="0" w:color="auto"/>
              <w:right w:val="nil"/>
            </w:tcBorders>
            <w:shd w:val="clear" w:color="auto" w:fill="auto"/>
            <w:noWrap/>
            <w:vAlign w:val="bottom"/>
            <w:hideMark/>
          </w:tcPr>
          <w:p w14:paraId="5E66A440"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4</w:t>
            </w:r>
          </w:p>
        </w:tc>
        <w:tc>
          <w:tcPr>
            <w:tcW w:w="850" w:type="dxa"/>
            <w:tcBorders>
              <w:top w:val="nil"/>
              <w:left w:val="nil"/>
              <w:bottom w:val="single" w:sz="4" w:space="0" w:color="auto"/>
              <w:right w:val="nil"/>
            </w:tcBorders>
            <w:shd w:val="clear" w:color="auto" w:fill="auto"/>
            <w:noWrap/>
            <w:vAlign w:val="bottom"/>
            <w:hideMark/>
          </w:tcPr>
          <w:p w14:paraId="22B821DD"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0.01</w:t>
            </w:r>
          </w:p>
        </w:tc>
        <w:tc>
          <w:tcPr>
            <w:tcW w:w="851" w:type="dxa"/>
            <w:tcBorders>
              <w:top w:val="nil"/>
              <w:left w:val="nil"/>
              <w:bottom w:val="single" w:sz="4" w:space="0" w:color="auto"/>
              <w:right w:val="nil"/>
            </w:tcBorders>
            <w:shd w:val="clear" w:color="auto" w:fill="auto"/>
            <w:noWrap/>
            <w:vAlign w:val="bottom"/>
            <w:hideMark/>
          </w:tcPr>
          <w:p w14:paraId="0CF7E35F"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.006</w:t>
            </w:r>
          </w:p>
        </w:tc>
        <w:tc>
          <w:tcPr>
            <w:tcW w:w="1417" w:type="dxa"/>
            <w:tcBorders>
              <w:top w:val="nil"/>
              <w:left w:val="nil"/>
              <w:bottom w:val="single" w:sz="4" w:space="0" w:color="auto"/>
              <w:right w:val="nil"/>
            </w:tcBorders>
            <w:shd w:val="clear" w:color="auto" w:fill="auto"/>
            <w:noWrap/>
            <w:vAlign w:val="bottom"/>
            <w:hideMark/>
          </w:tcPr>
          <w:p w14:paraId="1CDA5CF3" w14:textId="77777777" w:rsidR="00D1592A" w:rsidRPr="006E1978" w:rsidRDefault="00D1592A" w:rsidP="00474F6C">
            <w:pPr>
              <w:widowControl/>
              <w:jc w:val="center"/>
              <w:rPr>
                <w:rFonts w:eastAsia="DengXian" w:cs="Times New Roman"/>
                <w:color w:val="000000"/>
                <w:kern w:val="0"/>
                <w:sz w:val="24"/>
              </w:rPr>
            </w:pPr>
            <w:r w:rsidRPr="006E1978">
              <w:rPr>
                <w:rFonts w:eastAsia="DengXian" w:cs="Times New Roman"/>
                <w:color w:val="000000"/>
                <w:kern w:val="0"/>
                <w:sz w:val="24"/>
              </w:rPr>
              <w:t>.006</w:t>
            </w:r>
          </w:p>
        </w:tc>
      </w:tr>
      <w:tr w:rsidR="00D1592A" w:rsidRPr="006E1978" w14:paraId="1846CDC6" w14:textId="77777777" w:rsidTr="00474F6C">
        <w:trPr>
          <w:trHeight w:val="320"/>
        </w:trPr>
        <w:tc>
          <w:tcPr>
            <w:tcW w:w="772" w:type="dxa"/>
            <w:tcBorders>
              <w:top w:val="nil"/>
              <w:left w:val="nil"/>
              <w:bottom w:val="single" w:sz="4" w:space="0" w:color="auto"/>
              <w:right w:val="nil"/>
            </w:tcBorders>
          </w:tcPr>
          <w:p w14:paraId="4A3FC52B" w14:textId="77777777" w:rsidR="00D1592A" w:rsidRPr="006E1978" w:rsidRDefault="00D1592A" w:rsidP="00474F6C">
            <w:pPr>
              <w:widowControl/>
              <w:jc w:val="left"/>
              <w:rPr>
                <w:rFonts w:eastAsia="DengXian" w:cs="Times New Roman"/>
                <w:color w:val="000000"/>
                <w:kern w:val="0"/>
                <w:sz w:val="24"/>
              </w:rPr>
            </w:pPr>
          </w:p>
        </w:tc>
        <w:tc>
          <w:tcPr>
            <w:tcW w:w="1427" w:type="dxa"/>
            <w:tcBorders>
              <w:top w:val="nil"/>
              <w:left w:val="nil"/>
              <w:bottom w:val="single" w:sz="4" w:space="0" w:color="auto"/>
              <w:right w:val="nil"/>
            </w:tcBorders>
            <w:shd w:val="clear" w:color="auto" w:fill="auto"/>
            <w:noWrap/>
            <w:vAlign w:val="bottom"/>
          </w:tcPr>
          <w:p w14:paraId="0B7BEB60" w14:textId="77777777" w:rsidR="00D1592A" w:rsidRPr="006E1978" w:rsidRDefault="00D1592A" w:rsidP="00474F6C">
            <w:pPr>
              <w:widowControl/>
              <w:jc w:val="left"/>
              <w:rPr>
                <w:rFonts w:eastAsia="DengXian" w:cs="Times New Roman"/>
                <w:color w:val="000000"/>
                <w:kern w:val="0"/>
                <w:sz w:val="24"/>
              </w:rPr>
            </w:pPr>
          </w:p>
        </w:tc>
        <w:tc>
          <w:tcPr>
            <w:tcW w:w="929" w:type="dxa"/>
            <w:tcBorders>
              <w:top w:val="nil"/>
              <w:left w:val="nil"/>
              <w:bottom w:val="single" w:sz="4" w:space="0" w:color="auto"/>
              <w:right w:val="nil"/>
            </w:tcBorders>
            <w:shd w:val="clear" w:color="auto" w:fill="auto"/>
            <w:noWrap/>
            <w:vAlign w:val="bottom"/>
          </w:tcPr>
          <w:p w14:paraId="2C018131" w14:textId="77777777" w:rsidR="00D1592A" w:rsidRPr="006E1978" w:rsidRDefault="00D1592A" w:rsidP="00474F6C">
            <w:pPr>
              <w:widowControl/>
              <w:jc w:val="center"/>
              <w:rPr>
                <w:rFonts w:eastAsia="DengXian" w:cs="Times New Roman"/>
                <w:color w:val="000000"/>
                <w:kern w:val="0"/>
                <w:sz w:val="24"/>
              </w:rPr>
            </w:pPr>
          </w:p>
        </w:tc>
        <w:tc>
          <w:tcPr>
            <w:tcW w:w="905" w:type="dxa"/>
            <w:tcBorders>
              <w:top w:val="nil"/>
              <w:left w:val="nil"/>
              <w:bottom w:val="single" w:sz="4" w:space="0" w:color="auto"/>
              <w:right w:val="nil"/>
            </w:tcBorders>
            <w:shd w:val="clear" w:color="auto" w:fill="auto"/>
            <w:noWrap/>
            <w:vAlign w:val="bottom"/>
          </w:tcPr>
          <w:p w14:paraId="50C5FAEF" w14:textId="77777777" w:rsidR="00D1592A" w:rsidRPr="006E1978" w:rsidRDefault="00D1592A" w:rsidP="00474F6C">
            <w:pPr>
              <w:widowControl/>
              <w:jc w:val="center"/>
              <w:rPr>
                <w:rFonts w:eastAsia="DengXian" w:cs="Times New Roman"/>
                <w:color w:val="000000"/>
                <w:kern w:val="0"/>
                <w:sz w:val="24"/>
              </w:rPr>
            </w:pPr>
          </w:p>
        </w:tc>
        <w:tc>
          <w:tcPr>
            <w:tcW w:w="850" w:type="dxa"/>
            <w:tcBorders>
              <w:top w:val="nil"/>
              <w:left w:val="nil"/>
              <w:bottom w:val="single" w:sz="4" w:space="0" w:color="auto"/>
              <w:right w:val="nil"/>
            </w:tcBorders>
            <w:shd w:val="clear" w:color="auto" w:fill="auto"/>
            <w:noWrap/>
            <w:vAlign w:val="bottom"/>
          </w:tcPr>
          <w:p w14:paraId="56387D43" w14:textId="77777777" w:rsidR="00D1592A" w:rsidRPr="006E1978" w:rsidRDefault="00D1592A" w:rsidP="00474F6C">
            <w:pPr>
              <w:widowControl/>
              <w:jc w:val="center"/>
              <w:rPr>
                <w:rFonts w:eastAsia="DengXian" w:cs="Times New Roman"/>
                <w:color w:val="000000"/>
                <w:kern w:val="0"/>
                <w:sz w:val="24"/>
              </w:rPr>
            </w:pPr>
          </w:p>
        </w:tc>
        <w:tc>
          <w:tcPr>
            <w:tcW w:w="709" w:type="dxa"/>
            <w:tcBorders>
              <w:top w:val="nil"/>
              <w:left w:val="nil"/>
              <w:bottom w:val="single" w:sz="4" w:space="0" w:color="auto"/>
              <w:right w:val="nil"/>
            </w:tcBorders>
            <w:shd w:val="clear" w:color="auto" w:fill="auto"/>
            <w:noWrap/>
            <w:vAlign w:val="bottom"/>
          </w:tcPr>
          <w:p w14:paraId="502A5665" w14:textId="77777777" w:rsidR="00D1592A" w:rsidRPr="006E1978" w:rsidRDefault="00D1592A" w:rsidP="00474F6C">
            <w:pPr>
              <w:widowControl/>
              <w:jc w:val="center"/>
              <w:rPr>
                <w:rFonts w:eastAsia="DengXian" w:cs="Times New Roman"/>
                <w:color w:val="000000"/>
                <w:kern w:val="0"/>
                <w:sz w:val="24"/>
              </w:rPr>
            </w:pPr>
          </w:p>
        </w:tc>
        <w:tc>
          <w:tcPr>
            <w:tcW w:w="2126" w:type="dxa"/>
            <w:tcBorders>
              <w:top w:val="nil"/>
              <w:left w:val="nil"/>
              <w:bottom w:val="single" w:sz="4" w:space="0" w:color="auto"/>
              <w:right w:val="nil"/>
            </w:tcBorders>
            <w:shd w:val="clear" w:color="auto" w:fill="auto"/>
            <w:noWrap/>
            <w:vAlign w:val="bottom"/>
          </w:tcPr>
          <w:p w14:paraId="03413F7B" w14:textId="77777777" w:rsidR="00D1592A" w:rsidRPr="006E1978" w:rsidRDefault="00D1592A" w:rsidP="00474F6C">
            <w:pPr>
              <w:widowControl/>
              <w:jc w:val="center"/>
              <w:rPr>
                <w:rFonts w:eastAsia="DengXian" w:cs="Times New Roman"/>
                <w:color w:val="000000"/>
                <w:kern w:val="0"/>
                <w:sz w:val="24"/>
              </w:rPr>
            </w:pPr>
          </w:p>
        </w:tc>
        <w:tc>
          <w:tcPr>
            <w:tcW w:w="1134" w:type="dxa"/>
            <w:tcBorders>
              <w:top w:val="nil"/>
              <w:left w:val="nil"/>
              <w:bottom w:val="single" w:sz="4" w:space="0" w:color="auto"/>
              <w:right w:val="nil"/>
            </w:tcBorders>
            <w:shd w:val="clear" w:color="auto" w:fill="auto"/>
            <w:noWrap/>
            <w:vAlign w:val="bottom"/>
          </w:tcPr>
          <w:p w14:paraId="792CFC8A" w14:textId="77777777" w:rsidR="00D1592A" w:rsidRPr="006E1978" w:rsidRDefault="00D1592A" w:rsidP="00474F6C">
            <w:pPr>
              <w:widowControl/>
              <w:jc w:val="center"/>
              <w:rPr>
                <w:rFonts w:eastAsia="DengXian" w:cs="Times New Roman"/>
                <w:color w:val="000000"/>
                <w:kern w:val="0"/>
                <w:sz w:val="24"/>
              </w:rPr>
            </w:pPr>
          </w:p>
        </w:tc>
        <w:tc>
          <w:tcPr>
            <w:tcW w:w="1256" w:type="dxa"/>
            <w:tcBorders>
              <w:top w:val="nil"/>
              <w:left w:val="nil"/>
              <w:bottom w:val="single" w:sz="4" w:space="0" w:color="auto"/>
              <w:right w:val="nil"/>
            </w:tcBorders>
            <w:shd w:val="clear" w:color="auto" w:fill="auto"/>
            <w:noWrap/>
            <w:vAlign w:val="bottom"/>
          </w:tcPr>
          <w:p w14:paraId="4DE13671" w14:textId="77777777" w:rsidR="00D1592A" w:rsidRPr="006E1978" w:rsidRDefault="00D1592A" w:rsidP="00474F6C">
            <w:pPr>
              <w:widowControl/>
              <w:jc w:val="center"/>
              <w:rPr>
                <w:rFonts w:eastAsia="DengXian" w:cs="Times New Roman"/>
                <w:color w:val="000000"/>
                <w:kern w:val="0"/>
                <w:sz w:val="24"/>
              </w:rPr>
            </w:pPr>
          </w:p>
        </w:tc>
        <w:tc>
          <w:tcPr>
            <w:tcW w:w="876" w:type="dxa"/>
            <w:tcBorders>
              <w:top w:val="nil"/>
              <w:left w:val="nil"/>
              <w:bottom w:val="single" w:sz="4" w:space="0" w:color="auto"/>
              <w:right w:val="nil"/>
            </w:tcBorders>
            <w:shd w:val="clear" w:color="auto" w:fill="auto"/>
            <w:noWrap/>
            <w:vAlign w:val="bottom"/>
          </w:tcPr>
          <w:p w14:paraId="53F264A4" w14:textId="77777777" w:rsidR="00D1592A" w:rsidRPr="006E1978" w:rsidRDefault="00D1592A" w:rsidP="00474F6C">
            <w:pPr>
              <w:widowControl/>
              <w:jc w:val="center"/>
              <w:rPr>
                <w:rFonts w:eastAsia="DengXian" w:cs="Times New Roman"/>
                <w:color w:val="000000"/>
                <w:kern w:val="0"/>
                <w:sz w:val="24"/>
              </w:rPr>
            </w:pPr>
          </w:p>
        </w:tc>
        <w:tc>
          <w:tcPr>
            <w:tcW w:w="850" w:type="dxa"/>
            <w:tcBorders>
              <w:top w:val="nil"/>
              <w:left w:val="nil"/>
              <w:bottom w:val="single" w:sz="4" w:space="0" w:color="auto"/>
              <w:right w:val="nil"/>
            </w:tcBorders>
            <w:shd w:val="clear" w:color="auto" w:fill="auto"/>
            <w:noWrap/>
            <w:vAlign w:val="bottom"/>
          </w:tcPr>
          <w:p w14:paraId="150BCE62" w14:textId="77777777" w:rsidR="00D1592A" w:rsidRPr="006E1978" w:rsidRDefault="00D1592A" w:rsidP="00474F6C">
            <w:pPr>
              <w:widowControl/>
              <w:jc w:val="center"/>
              <w:rPr>
                <w:rFonts w:eastAsia="DengXian" w:cs="Times New Roman"/>
                <w:color w:val="000000"/>
                <w:kern w:val="0"/>
                <w:sz w:val="24"/>
              </w:rPr>
            </w:pPr>
          </w:p>
        </w:tc>
        <w:tc>
          <w:tcPr>
            <w:tcW w:w="851" w:type="dxa"/>
            <w:tcBorders>
              <w:top w:val="nil"/>
              <w:left w:val="nil"/>
              <w:bottom w:val="single" w:sz="4" w:space="0" w:color="auto"/>
              <w:right w:val="nil"/>
            </w:tcBorders>
            <w:shd w:val="clear" w:color="auto" w:fill="auto"/>
            <w:noWrap/>
            <w:vAlign w:val="bottom"/>
          </w:tcPr>
          <w:p w14:paraId="00F9412C" w14:textId="77777777" w:rsidR="00D1592A" w:rsidRPr="006E1978" w:rsidRDefault="00D1592A" w:rsidP="00474F6C">
            <w:pPr>
              <w:widowControl/>
              <w:jc w:val="center"/>
              <w:rPr>
                <w:rFonts w:eastAsia="DengXian" w:cs="Times New Roman"/>
                <w:color w:val="000000"/>
                <w:kern w:val="0"/>
                <w:sz w:val="24"/>
              </w:rPr>
            </w:pPr>
          </w:p>
        </w:tc>
        <w:tc>
          <w:tcPr>
            <w:tcW w:w="1417" w:type="dxa"/>
            <w:tcBorders>
              <w:top w:val="nil"/>
              <w:left w:val="nil"/>
              <w:bottom w:val="single" w:sz="4" w:space="0" w:color="auto"/>
              <w:right w:val="nil"/>
            </w:tcBorders>
            <w:shd w:val="clear" w:color="auto" w:fill="auto"/>
            <w:noWrap/>
            <w:vAlign w:val="bottom"/>
          </w:tcPr>
          <w:p w14:paraId="7545F7F8" w14:textId="77777777" w:rsidR="00D1592A" w:rsidRPr="006E1978" w:rsidRDefault="00D1592A" w:rsidP="00474F6C">
            <w:pPr>
              <w:widowControl/>
              <w:jc w:val="center"/>
              <w:rPr>
                <w:rFonts w:eastAsia="DengXian" w:cs="Times New Roman"/>
                <w:color w:val="000000"/>
                <w:kern w:val="0"/>
                <w:sz w:val="24"/>
              </w:rPr>
            </w:pPr>
          </w:p>
        </w:tc>
      </w:tr>
    </w:tbl>
    <w:p w14:paraId="6F50DA80" w14:textId="77777777" w:rsidR="00D1592A" w:rsidRPr="006E1978" w:rsidRDefault="00D1592A" w:rsidP="00D1592A">
      <w:pPr>
        <w:rPr>
          <w:rFonts w:cs="Times New Roman"/>
          <w:sz w:val="24"/>
          <w:szCs w:val="32"/>
        </w:rPr>
      </w:pPr>
      <w:r w:rsidRPr="006E1978">
        <w:rPr>
          <w:rFonts w:cs="Times New Roman"/>
          <w:i/>
          <w:iCs/>
          <w:sz w:val="24"/>
          <w:szCs w:val="32"/>
        </w:rPr>
        <w:t>Note</w:t>
      </w:r>
      <w:r w:rsidRPr="006E1978">
        <w:rPr>
          <w:rFonts w:cs="Times New Roman"/>
          <w:sz w:val="24"/>
          <w:szCs w:val="32"/>
        </w:rPr>
        <w:t xml:space="preserve">. </w:t>
      </w:r>
      <w:r w:rsidRPr="006E1978">
        <w:rPr>
          <w:rFonts w:cs="Times New Roman"/>
          <w:sz w:val="24"/>
          <w:szCs w:val="32"/>
          <w:vertAlign w:val="superscript"/>
        </w:rPr>
        <w:t>*</w:t>
      </w:r>
      <w:r w:rsidRPr="006E1978">
        <w:rPr>
          <w:rFonts w:cs="Times New Roman"/>
          <w:sz w:val="24"/>
          <w:szCs w:val="32"/>
        </w:rPr>
        <w:t xml:space="preserve"> Chi-square difference testing was carried out using scaling correction factor for robust Maximum Likelihood (MLR) estimation.</w:t>
      </w:r>
    </w:p>
    <w:p w14:paraId="05DC804B" w14:textId="77777777" w:rsidR="00D1592A" w:rsidRPr="006E1978" w:rsidRDefault="00D1592A">
      <w:pPr>
        <w:widowControl/>
        <w:jc w:val="left"/>
        <w:rPr>
          <w:rFonts w:cs="Times New Roman"/>
          <w:b/>
          <w:bCs/>
          <w:szCs w:val="21"/>
        </w:rPr>
      </w:pPr>
      <w:r w:rsidRPr="006E1978">
        <w:rPr>
          <w:rFonts w:cs="Times New Roman"/>
          <w:b/>
          <w:bCs/>
          <w:szCs w:val="21"/>
        </w:rPr>
        <w:br w:type="page"/>
      </w:r>
    </w:p>
    <w:p w14:paraId="46BCDE61" w14:textId="050B931F" w:rsidR="00C14F36" w:rsidRPr="006E1978" w:rsidRDefault="00C14F36" w:rsidP="00C14F36">
      <w:pPr>
        <w:jc w:val="left"/>
        <w:rPr>
          <w:rFonts w:cs="Times New Roman"/>
          <w:b/>
          <w:bCs/>
          <w:sz w:val="24"/>
          <w:szCs w:val="24"/>
        </w:rPr>
      </w:pPr>
      <w:r w:rsidRPr="006E1978">
        <w:rPr>
          <w:rFonts w:cs="Times New Roman"/>
          <w:b/>
          <w:bCs/>
          <w:sz w:val="24"/>
          <w:szCs w:val="24"/>
        </w:rPr>
        <w:lastRenderedPageBreak/>
        <w:t xml:space="preserve">Table </w:t>
      </w:r>
      <w:r w:rsidR="00D1592A" w:rsidRPr="006E1978">
        <w:rPr>
          <w:rFonts w:cs="Times New Roman"/>
          <w:b/>
          <w:bCs/>
          <w:sz w:val="24"/>
          <w:szCs w:val="24"/>
        </w:rPr>
        <w:t>3</w:t>
      </w:r>
      <w:r w:rsidRPr="006E1978">
        <w:rPr>
          <w:rFonts w:cs="Times New Roman"/>
          <w:b/>
          <w:bCs/>
          <w:sz w:val="24"/>
          <w:szCs w:val="24"/>
        </w:rPr>
        <w:t xml:space="preserve"> </w:t>
      </w:r>
    </w:p>
    <w:p w14:paraId="56AC0E19" w14:textId="77777777" w:rsidR="00C14F36" w:rsidRPr="006E1978" w:rsidRDefault="00C14F36" w:rsidP="00C14F36">
      <w:pPr>
        <w:jc w:val="left"/>
        <w:rPr>
          <w:rFonts w:cs="Times New Roman"/>
          <w:sz w:val="24"/>
          <w:szCs w:val="24"/>
        </w:rPr>
      </w:pPr>
      <w:r w:rsidRPr="006E1978">
        <w:rPr>
          <w:rFonts w:cs="Times New Roman"/>
          <w:sz w:val="24"/>
          <w:szCs w:val="24"/>
        </w:rPr>
        <w:t>Descriptive statistics and bivariate correlations key constructs (</w:t>
      </w:r>
      <w:r w:rsidRPr="006E1978">
        <w:rPr>
          <w:rFonts w:cs="Times New Roman"/>
          <w:i/>
          <w:iCs/>
          <w:sz w:val="24"/>
          <w:szCs w:val="24"/>
        </w:rPr>
        <w:t>N</w:t>
      </w:r>
      <w:r w:rsidRPr="006E1978">
        <w:rPr>
          <w:rFonts w:cs="Times New Roman"/>
          <w:sz w:val="24"/>
          <w:szCs w:val="24"/>
        </w:rPr>
        <w:t xml:space="preserve"> = 1340).</w:t>
      </w:r>
    </w:p>
    <w:tbl>
      <w:tblPr>
        <w:tblStyle w:val="TableGrid"/>
        <w:tblW w:w="14176" w:type="dxa"/>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70"/>
        <w:gridCol w:w="871"/>
        <w:gridCol w:w="871"/>
        <w:gridCol w:w="871"/>
        <w:gridCol w:w="870"/>
        <w:gridCol w:w="871"/>
        <w:gridCol w:w="871"/>
        <w:gridCol w:w="871"/>
        <w:gridCol w:w="871"/>
        <w:gridCol w:w="870"/>
        <w:gridCol w:w="871"/>
        <w:gridCol w:w="871"/>
        <w:gridCol w:w="871"/>
        <w:gridCol w:w="871"/>
      </w:tblGrid>
      <w:tr w:rsidR="00C14F36" w:rsidRPr="006E1978" w14:paraId="0F403B55" w14:textId="77777777" w:rsidTr="00C16026">
        <w:tc>
          <w:tcPr>
            <w:tcW w:w="1985" w:type="dxa"/>
            <w:tcBorders>
              <w:bottom w:val="single" w:sz="4" w:space="0" w:color="auto"/>
            </w:tcBorders>
          </w:tcPr>
          <w:p w14:paraId="21A5AD46" w14:textId="77777777" w:rsidR="00C14F36" w:rsidRPr="006E1978" w:rsidRDefault="00C14F36" w:rsidP="00474F6C">
            <w:pPr>
              <w:rPr>
                <w:rFonts w:cs="Times New Roman"/>
                <w:sz w:val="22"/>
              </w:rPr>
            </w:pPr>
          </w:p>
        </w:tc>
        <w:tc>
          <w:tcPr>
            <w:tcW w:w="870" w:type="dxa"/>
            <w:tcBorders>
              <w:bottom w:val="single" w:sz="4" w:space="0" w:color="auto"/>
            </w:tcBorders>
          </w:tcPr>
          <w:p w14:paraId="6BF52840" w14:textId="77777777" w:rsidR="00C14F36" w:rsidRPr="006E1978" w:rsidRDefault="00C14F36" w:rsidP="00474F6C">
            <w:pPr>
              <w:jc w:val="center"/>
              <w:rPr>
                <w:rFonts w:cs="Times New Roman"/>
                <w:i/>
                <w:iCs/>
                <w:szCs w:val="21"/>
              </w:rPr>
            </w:pPr>
            <w:r w:rsidRPr="006E1978">
              <w:rPr>
                <w:rFonts w:cs="Times New Roman" w:hint="eastAsia"/>
                <w:i/>
                <w:iCs/>
                <w:szCs w:val="21"/>
              </w:rPr>
              <w:t>M</w:t>
            </w:r>
          </w:p>
        </w:tc>
        <w:tc>
          <w:tcPr>
            <w:tcW w:w="871" w:type="dxa"/>
            <w:tcBorders>
              <w:bottom w:val="single" w:sz="4" w:space="0" w:color="auto"/>
            </w:tcBorders>
          </w:tcPr>
          <w:p w14:paraId="37160694" w14:textId="77777777" w:rsidR="00C14F36" w:rsidRPr="006E1978" w:rsidRDefault="00C14F36" w:rsidP="00474F6C">
            <w:pPr>
              <w:jc w:val="center"/>
              <w:rPr>
                <w:rFonts w:cs="Times New Roman"/>
                <w:i/>
                <w:iCs/>
                <w:szCs w:val="21"/>
              </w:rPr>
            </w:pPr>
            <w:r w:rsidRPr="006E1978">
              <w:rPr>
                <w:rFonts w:cs="Times New Roman" w:hint="eastAsia"/>
                <w:i/>
                <w:iCs/>
                <w:szCs w:val="21"/>
              </w:rPr>
              <w:t>S</w:t>
            </w:r>
            <w:r w:rsidRPr="006E1978">
              <w:rPr>
                <w:rFonts w:cs="Times New Roman"/>
                <w:i/>
                <w:iCs/>
                <w:szCs w:val="21"/>
              </w:rPr>
              <w:t>D</w:t>
            </w:r>
          </w:p>
        </w:tc>
        <w:tc>
          <w:tcPr>
            <w:tcW w:w="871" w:type="dxa"/>
            <w:tcBorders>
              <w:bottom w:val="single" w:sz="4" w:space="0" w:color="auto"/>
            </w:tcBorders>
          </w:tcPr>
          <w:p w14:paraId="630721D2" w14:textId="77777777" w:rsidR="00C14F36" w:rsidRPr="006E1978" w:rsidRDefault="00C14F36" w:rsidP="00474F6C">
            <w:pPr>
              <w:jc w:val="center"/>
              <w:rPr>
                <w:rFonts w:cs="Times New Roman"/>
                <w:szCs w:val="21"/>
              </w:rPr>
            </w:pPr>
            <w:r w:rsidRPr="006E1978">
              <w:rPr>
                <w:rFonts w:cs="Times New Roman" w:hint="eastAsia"/>
                <w:szCs w:val="21"/>
              </w:rPr>
              <w:t>1</w:t>
            </w:r>
          </w:p>
        </w:tc>
        <w:tc>
          <w:tcPr>
            <w:tcW w:w="871" w:type="dxa"/>
            <w:tcBorders>
              <w:bottom w:val="single" w:sz="4" w:space="0" w:color="auto"/>
            </w:tcBorders>
          </w:tcPr>
          <w:p w14:paraId="23A96F20" w14:textId="77777777" w:rsidR="00C14F36" w:rsidRPr="006E1978" w:rsidRDefault="00C14F36" w:rsidP="00474F6C">
            <w:pPr>
              <w:jc w:val="center"/>
              <w:rPr>
                <w:rFonts w:cs="Times New Roman"/>
                <w:szCs w:val="21"/>
              </w:rPr>
            </w:pPr>
            <w:r w:rsidRPr="006E1978">
              <w:rPr>
                <w:rFonts w:cs="Times New Roman" w:hint="eastAsia"/>
                <w:szCs w:val="21"/>
              </w:rPr>
              <w:t>2</w:t>
            </w:r>
          </w:p>
        </w:tc>
        <w:tc>
          <w:tcPr>
            <w:tcW w:w="870" w:type="dxa"/>
            <w:tcBorders>
              <w:bottom w:val="single" w:sz="4" w:space="0" w:color="auto"/>
            </w:tcBorders>
          </w:tcPr>
          <w:p w14:paraId="3618DF70" w14:textId="77777777" w:rsidR="00C14F36" w:rsidRPr="006E1978" w:rsidRDefault="00C14F36" w:rsidP="00474F6C">
            <w:pPr>
              <w:jc w:val="center"/>
              <w:rPr>
                <w:rFonts w:cs="Times New Roman"/>
                <w:szCs w:val="21"/>
              </w:rPr>
            </w:pPr>
            <w:r w:rsidRPr="006E1978">
              <w:rPr>
                <w:rFonts w:cs="Times New Roman" w:hint="eastAsia"/>
                <w:szCs w:val="21"/>
              </w:rPr>
              <w:t>3</w:t>
            </w:r>
          </w:p>
        </w:tc>
        <w:tc>
          <w:tcPr>
            <w:tcW w:w="871" w:type="dxa"/>
            <w:tcBorders>
              <w:bottom w:val="single" w:sz="4" w:space="0" w:color="auto"/>
            </w:tcBorders>
          </w:tcPr>
          <w:p w14:paraId="7340AA18" w14:textId="77777777" w:rsidR="00C14F36" w:rsidRPr="006E1978" w:rsidRDefault="00C14F36" w:rsidP="00474F6C">
            <w:pPr>
              <w:jc w:val="center"/>
              <w:rPr>
                <w:rFonts w:cs="Times New Roman"/>
                <w:szCs w:val="21"/>
              </w:rPr>
            </w:pPr>
            <w:r w:rsidRPr="006E1978">
              <w:rPr>
                <w:rFonts w:cs="Times New Roman" w:hint="eastAsia"/>
                <w:szCs w:val="21"/>
              </w:rPr>
              <w:t>4</w:t>
            </w:r>
          </w:p>
        </w:tc>
        <w:tc>
          <w:tcPr>
            <w:tcW w:w="871" w:type="dxa"/>
            <w:tcBorders>
              <w:bottom w:val="single" w:sz="4" w:space="0" w:color="auto"/>
            </w:tcBorders>
          </w:tcPr>
          <w:p w14:paraId="12CA55D4" w14:textId="77777777" w:rsidR="00C14F36" w:rsidRPr="006E1978" w:rsidRDefault="00C14F36" w:rsidP="00474F6C">
            <w:pPr>
              <w:jc w:val="center"/>
              <w:rPr>
                <w:rFonts w:cs="Times New Roman"/>
                <w:szCs w:val="21"/>
              </w:rPr>
            </w:pPr>
            <w:r w:rsidRPr="006E1978">
              <w:rPr>
                <w:rFonts w:cs="Times New Roman" w:hint="eastAsia"/>
                <w:szCs w:val="21"/>
              </w:rPr>
              <w:t>5</w:t>
            </w:r>
          </w:p>
        </w:tc>
        <w:tc>
          <w:tcPr>
            <w:tcW w:w="871" w:type="dxa"/>
            <w:tcBorders>
              <w:bottom w:val="single" w:sz="4" w:space="0" w:color="auto"/>
            </w:tcBorders>
          </w:tcPr>
          <w:p w14:paraId="774B6A46" w14:textId="77777777" w:rsidR="00C14F36" w:rsidRPr="006E1978" w:rsidRDefault="00C14F36" w:rsidP="00474F6C">
            <w:pPr>
              <w:jc w:val="center"/>
              <w:rPr>
                <w:rFonts w:cs="Times New Roman"/>
                <w:szCs w:val="21"/>
              </w:rPr>
            </w:pPr>
            <w:r w:rsidRPr="006E1978">
              <w:rPr>
                <w:rFonts w:cs="Times New Roman" w:hint="eastAsia"/>
                <w:szCs w:val="21"/>
              </w:rPr>
              <w:t>6</w:t>
            </w:r>
          </w:p>
        </w:tc>
        <w:tc>
          <w:tcPr>
            <w:tcW w:w="871" w:type="dxa"/>
            <w:tcBorders>
              <w:bottom w:val="single" w:sz="4" w:space="0" w:color="auto"/>
            </w:tcBorders>
          </w:tcPr>
          <w:p w14:paraId="2338EB7A" w14:textId="77777777" w:rsidR="00C14F36" w:rsidRPr="006E1978" w:rsidRDefault="00C14F36" w:rsidP="00474F6C">
            <w:pPr>
              <w:jc w:val="center"/>
              <w:rPr>
                <w:rFonts w:cs="Times New Roman"/>
                <w:szCs w:val="21"/>
              </w:rPr>
            </w:pPr>
            <w:r w:rsidRPr="006E1978">
              <w:rPr>
                <w:rFonts w:cs="Times New Roman" w:hint="eastAsia"/>
                <w:szCs w:val="21"/>
              </w:rPr>
              <w:t>7</w:t>
            </w:r>
          </w:p>
        </w:tc>
        <w:tc>
          <w:tcPr>
            <w:tcW w:w="870" w:type="dxa"/>
            <w:tcBorders>
              <w:bottom w:val="single" w:sz="4" w:space="0" w:color="auto"/>
            </w:tcBorders>
          </w:tcPr>
          <w:p w14:paraId="59AE7E76" w14:textId="77777777" w:rsidR="00C14F36" w:rsidRPr="006E1978" w:rsidRDefault="00C14F36" w:rsidP="00474F6C">
            <w:pPr>
              <w:jc w:val="center"/>
              <w:rPr>
                <w:rFonts w:cs="Times New Roman"/>
                <w:szCs w:val="21"/>
              </w:rPr>
            </w:pPr>
            <w:r w:rsidRPr="006E1978">
              <w:rPr>
                <w:rFonts w:cs="Times New Roman" w:hint="eastAsia"/>
                <w:szCs w:val="21"/>
              </w:rPr>
              <w:t>8</w:t>
            </w:r>
          </w:p>
        </w:tc>
        <w:tc>
          <w:tcPr>
            <w:tcW w:w="871" w:type="dxa"/>
            <w:tcBorders>
              <w:bottom w:val="single" w:sz="4" w:space="0" w:color="auto"/>
            </w:tcBorders>
          </w:tcPr>
          <w:p w14:paraId="1636583A" w14:textId="77777777" w:rsidR="00C14F36" w:rsidRPr="006E1978" w:rsidRDefault="00C14F36" w:rsidP="00474F6C">
            <w:pPr>
              <w:jc w:val="center"/>
              <w:rPr>
                <w:rFonts w:cs="Times New Roman"/>
                <w:szCs w:val="21"/>
              </w:rPr>
            </w:pPr>
            <w:r w:rsidRPr="006E1978">
              <w:rPr>
                <w:rFonts w:cs="Times New Roman" w:hint="eastAsia"/>
                <w:szCs w:val="21"/>
              </w:rPr>
              <w:t>9</w:t>
            </w:r>
          </w:p>
        </w:tc>
        <w:tc>
          <w:tcPr>
            <w:tcW w:w="871" w:type="dxa"/>
            <w:tcBorders>
              <w:bottom w:val="single" w:sz="4" w:space="0" w:color="auto"/>
            </w:tcBorders>
          </w:tcPr>
          <w:p w14:paraId="3DE35700" w14:textId="77777777" w:rsidR="00C14F36" w:rsidRPr="006E1978" w:rsidRDefault="00C14F36" w:rsidP="00474F6C">
            <w:pPr>
              <w:jc w:val="center"/>
              <w:rPr>
                <w:rFonts w:cs="Times New Roman"/>
                <w:szCs w:val="21"/>
              </w:rPr>
            </w:pPr>
            <w:r w:rsidRPr="006E1978">
              <w:rPr>
                <w:rFonts w:cs="Times New Roman" w:hint="eastAsia"/>
                <w:szCs w:val="21"/>
              </w:rPr>
              <w:t>1</w:t>
            </w:r>
            <w:r w:rsidRPr="006E1978">
              <w:rPr>
                <w:rFonts w:cs="Times New Roman"/>
                <w:szCs w:val="21"/>
              </w:rPr>
              <w:t>0</w:t>
            </w:r>
          </w:p>
        </w:tc>
        <w:tc>
          <w:tcPr>
            <w:tcW w:w="871" w:type="dxa"/>
            <w:tcBorders>
              <w:bottom w:val="single" w:sz="4" w:space="0" w:color="auto"/>
            </w:tcBorders>
          </w:tcPr>
          <w:p w14:paraId="558D821A" w14:textId="77777777" w:rsidR="00C14F36" w:rsidRPr="006E1978" w:rsidRDefault="00C14F36" w:rsidP="00474F6C">
            <w:pPr>
              <w:jc w:val="center"/>
              <w:rPr>
                <w:rFonts w:cs="Times New Roman"/>
                <w:szCs w:val="21"/>
              </w:rPr>
            </w:pPr>
            <w:r w:rsidRPr="006E1978">
              <w:rPr>
                <w:rFonts w:cs="Times New Roman" w:hint="eastAsia"/>
                <w:szCs w:val="21"/>
              </w:rPr>
              <w:t>1</w:t>
            </w:r>
            <w:r w:rsidRPr="006E1978">
              <w:rPr>
                <w:rFonts w:cs="Times New Roman"/>
                <w:szCs w:val="21"/>
              </w:rPr>
              <w:t>1</w:t>
            </w:r>
          </w:p>
        </w:tc>
        <w:tc>
          <w:tcPr>
            <w:tcW w:w="871" w:type="dxa"/>
            <w:tcBorders>
              <w:bottom w:val="single" w:sz="4" w:space="0" w:color="auto"/>
            </w:tcBorders>
          </w:tcPr>
          <w:p w14:paraId="30C4F6E3" w14:textId="77777777" w:rsidR="00C14F36" w:rsidRPr="006E1978" w:rsidRDefault="00C14F36" w:rsidP="00474F6C">
            <w:pPr>
              <w:jc w:val="center"/>
              <w:rPr>
                <w:rFonts w:cs="Times New Roman"/>
                <w:szCs w:val="21"/>
              </w:rPr>
            </w:pPr>
            <w:r w:rsidRPr="006E1978">
              <w:rPr>
                <w:rFonts w:cs="Times New Roman" w:hint="eastAsia"/>
                <w:szCs w:val="21"/>
              </w:rPr>
              <w:t>1</w:t>
            </w:r>
            <w:r w:rsidRPr="006E1978">
              <w:rPr>
                <w:rFonts w:cs="Times New Roman"/>
                <w:szCs w:val="21"/>
              </w:rPr>
              <w:t>2</w:t>
            </w:r>
          </w:p>
        </w:tc>
      </w:tr>
      <w:tr w:rsidR="00C14F36" w:rsidRPr="006E1978" w14:paraId="2B6D1967" w14:textId="77777777" w:rsidTr="00C16026">
        <w:tc>
          <w:tcPr>
            <w:tcW w:w="1985" w:type="dxa"/>
          </w:tcPr>
          <w:p w14:paraId="2E30EFB1" w14:textId="77777777" w:rsidR="00C14F36" w:rsidRPr="006E1978" w:rsidRDefault="00C14F36" w:rsidP="00474F6C">
            <w:pPr>
              <w:jc w:val="left"/>
              <w:rPr>
                <w:rFonts w:cs="Times New Roman"/>
                <w:sz w:val="22"/>
              </w:rPr>
            </w:pPr>
            <w:r w:rsidRPr="006E1978">
              <w:rPr>
                <w:rFonts w:cs="Times New Roman"/>
                <w:sz w:val="22"/>
              </w:rPr>
              <w:t>1. N-MOG</w:t>
            </w:r>
          </w:p>
        </w:tc>
        <w:tc>
          <w:tcPr>
            <w:tcW w:w="870" w:type="dxa"/>
          </w:tcPr>
          <w:p w14:paraId="26681B8A" w14:textId="77777777" w:rsidR="00C14F36" w:rsidRPr="006E1978" w:rsidRDefault="00C14F36" w:rsidP="00474F6C">
            <w:pPr>
              <w:jc w:val="center"/>
              <w:rPr>
                <w:rFonts w:cs="Times New Roman"/>
                <w:szCs w:val="21"/>
              </w:rPr>
            </w:pPr>
            <w:r w:rsidRPr="006E1978">
              <w:rPr>
                <w:rFonts w:cs="Times New Roman" w:hint="eastAsia"/>
                <w:szCs w:val="21"/>
              </w:rPr>
              <w:t>8</w:t>
            </w:r>
            <w:r w:rsidRPr="006E1978">
              <w:rPr>
                <w:rFonts w:cs="Times New Roman"/>
                <w:szCs w:val="21"/>
              </w:rPr>
              <w:t>.79</w:t>
            </w:r>
          </w:p>
        </w:tc>
        <w:tc>
          <w:tcPr>
            <w:tcW w:w="871" w:type="dxa"/>
          </w:tcPr>
          <w:p w14:paraId="02F5467E" w14:textId="77777777" w:rsidR="00C14F36" w:rsidRPr="006E1978" w:rsidRDefault="00C14F36" w:rsidP="00474F6C">
            <w:pPr>
              <w:jc w:val="center"/>
              <w:rPr>
                <w:rFonts w:cs="Times New Roman"/>
                <w:szCs w:val="21"/>
              </w:rPr>
            </w:pPr>
            <w:r w:rsidRPr="006E1978">
              <w:rPr>
                <w:rFonts w:cs="Times New Roman"/>
                <w:szCs w:val="21"/>
              </w:rPr>
              <w:t>3.38</w:t>
            </w:r>
          </w:p>
        </w:tc>
        <w:tc>
          <w:tcPr>
            <w:tcW w:w="871" w:type="dxa"/>
          </w:tcPr>
          <w:p w14:paraId="169DFC95" w14:textId="77777777" w:rsidR="00C14F36" w:rsidRPr="006E1978" w:rsidRDefault="00C14F36" w:rsidP="00474F6C">
            <w:pPr>
              <w:jc w:val="center"/>
              <w:rPr>
                <w:rFonts w:cs="Times New Roman"/>
                <w:szCs w:val="21"/>
              </w:rPr>
            </w:pPr>
            <w:r w:rsidRPr="006E1978">
              <w:rPr>
                <w:rFonts w:cs="Times New Roman" w:hint="eastAsia"/>
                <w:szCs w:val="21"/>
              </w:rPr>
              <w:t>(.</w:t>
            </w:r>
            <w:r w:rsidRPr="006E1978">
              <w:rPr>
                <w:rFonts w:cs="Times New Roman"/>
                <w:szCs w:val="21"/>
              </w:rPr>
              <w:t>90</w:t>
            </w:r>
            <w:r w:rsidRPr="006E1978">
              <w:rPr>
                <w:rFonts w:cs="Times New Roman" w:hint="eastAsia"/>
                <w:szCs w:val="21"/>
              </w:rPr>
              <w:t>)</w:t>
            </w:r>
          </w:p>
        </w:tc>
        <w:tc>
          <w:tcPr>
            <w:tcW w:w="871" w:type="dxa"/>
          </w:tcPr>
          <w:p w14:paraId="45EFAB6F" w14:textId="77777777" w:rsidR="00C14F36" w:rsidRPr="006E1978" w:rsidRDefault="00C14F36" w:rsidP="00474F6C">
            <w:pPr>
              <w:jc w:val="center"/>
              <w:rPr>
                <w:rFonts w:cs="Times New Roman"/>
                <w:szCs w:val="21"/>
              </w:rPr>
            </w:pPr>
          </w:p>
        </w:tc>
        <w:tc>
          <w:tcPr>
            <w:tcW w:w="870" w:type="dxa"/>
          </w:tcPr>
          <w:p w14:paraId="1690A0DC" w14:textId="77777777" w:rsidR="00C14F36" w:rsidRPr="006E1978" w:rsidRDefault="00C14F36" w:rsidP="00474F6C">
            <w:pPr>
              <w:jc w:val="center"/>
              <w:rPr>
                <w:rFonts w:cs="Times New Roman"/>
                <w:szCs w:val="21"/>
              </w:rPr>
            </w:pPr>
          </w:p>
        </w:tc>
        <w:tc>
          <w:tcPr>
            <w:tcW w:w="871" w:type="dxa"/>
          </w:tcPr>
          <w:p w14:paraId="4577E21A" w14:textId="77777777" w:rsidR="00C14F36" w:rsidRPr="006E1978" w:rsidRDefault="00C14F36" w:rsidP="00474F6C">
            <w:pPr>
              <w:jc w:val="center"/>
              <w:rPr>
                <w:rFonts w:cs="Times New Roman"/>
                <w:szCs w:val="21"/>
              </w:rPr>
            </w:pPr>
          </w:p>
        </w:tc>
        <w:tc>
          <w:tcPr>
            <w:tcW w:w="871" w:type="dxa"/>
          </w:tcPr>
          <w:p w14:paraId="2329D28B" w14:textId="77777777" w:rsidR="00C14F36" w:rsidRPr="006E1978" w:rsidRDefault="00C14F36" w:rsidP="00474F6C">
            <w:pPr>
              <w:jc w:val="center"/>
              <w:rPr>
                <w:rFonts w:cs="Times New Roman"/>
                <w:szCs w:val="21"/>
              </w:rPr>
            </w:pPr>
          </w:p>
        </w:tc>
        <w:tc>
          <w:tcPr>
            <w:tcW w:w="871" w:type="dxa"/>
          </w:tcPr>
          <w:p w14:paraId="167EE2D5" w14:textId="77777777" w:rsidR="00C14F36" w:rsidRPr="006E1978" w:rsidRDefault="00C14F36" w:rsidP="00474F6C">
            <w:pPr>
              <w:jc w:val="center"/>
              <w:rPr>
                <w:rFonts w:cs="Times New Roman"/>
                <w:szCs w:val="21"/>
              </w:rPr>
            </w:pPr>
          </w:p>
        </w:tc>
        <w:tc>
          <w:tcPr>
            <w:tcW w:w="871" w:type="dxa"/>
          </w:tcPr>
          <w:p w14:paraId="1CD0D208" w14:textId="77777777" w:rsidR="00C14F36" w:rsidRPr="006E1978" w:rsidRDefault="00C14F36" w:rsidP="00474F6C">
            <w:pPr>
              <w:jc w:val="center"/>
              <w:rPr>
                <w:rFonts w:cs="Times New Roman"/>
                <w:szCs w:val="21"/>
              </w:rPr>
            </w:pPr>
          </w:p>
        </w:tc>
        <w:tc>
          <w:tcPr>
            <w:tcW w:w="870" w:type="dxa"/>
          </w:tcPr>
          <w:p w14:paraId="12164FC8" w14:textId="77777777" w:rsidR="00C14F36" w:rsidRPr="006E1978" w:rsidRDefault="00C14F36" w:rsidP="00474F6C">
            <w:pPr>
              <w:jc w:val="center"/>
              <w:rPr>
                <w:rFonts w:cs="Times New Roman"/>
                <w:szCs w:val="21"/>
              </w:rPr>
            </w:pPr>
          </w:p>
        </w:tc>
        <w:tc>
          <w:tcPr>
            <w:tcW w:w="871" w:type="dxa"/>
          </w:tcPr>
          <w:p w14:paraId="7CFF5B15" w14:textId="77777777" w:rsidR="00C14F36" w:rsidRPr="006E1978" w:rsidRDefault="00C14F36" w:rsidP="00474F6C">
            <w:pPr>
              <w:jc w:val="center"/>
              <w:rPr>
                <w:rFonts w:cs="Times New Roman"/>
                <w:szCs w:val="21"/>
              </w:rPr>
            </w:pPr>
          </w:p>
        </w:tc>
        <w:tc>
          <w:tcPr>
            <w:tcW w:w="871" w:type="dxa"/>
          </w:tcPr>
          <w:p w14:paraId="6B563401" w14:textId="77777777" w:rsidR="00C14F36" w:rsidRPr="006E1978" w:rsidRDefault="00C14F36" w:rsidP="00474F6C">
            <w:pPr>
              <w:jc w:val="center"/>
              <w:rPr>
                <w:rFonts w:cs="Times New Roman"/>
                <w:szCs w:val="21"/>
              </w:rPr>
            </w:pPr>
          </w:p>
        </w:tc>
        <w:tc>
          <w:tcPr>
            <w:tcW w:w="871" w:type="dxa"/>
          </w:tcPr>
          <w:p w14:paraId="65160279" w14:textId="77777777" w:rsidR="00C14F36" w:rsidRPr="006E1978" w:rsidRDefault="00C14F36" w:rsidP="00474F6C">
            <w:pPr>
              <w:jc w:val="center"/>
              <w:rPr>
                <w:rFonts w:cs="Times New Roman"/>
                <w:szCs w:val="21"/>
              </w:rPr>
            </w:pPr>
          </w:p>
        </w:tc>
        <w:tc>
          <w:tcPr>
            <w:tcW w:w="871" w:type="dxa"/>
          </w:tcPr>
          <w:p w14:paraId="1869BC64" w14:textId="77777777" w:rsidR="00C14F36" w:rsidRPr="006E1978" w:rsidRDefault="00C14F36" w:rsidP="00474F6C">
            <w:pPr>
              <w:jc w:val="center"/>
              <w:rPr>
                <w:rFonts w:cs="Times New Roman"/>
                <w:szCs w:val="21"/>
              </w:rPr>
            </w:pPr>
          </w:p>
        </w:tc>
      </w:tr>
      <w:tr w:rsidR="00C14F36" w:rsidRPr="006E1978" w14:paraId="167C4C4E" w14:textId="77777777" w:rsidTr="00C16026">
        <w:tc>
          <w:tcPr>
            <w:tcW w:w="1985" w:type="dxa"/>
          </w:tcPr>
          <w:p w14:paraId="13744C6D" w14:textId="77777777" w:rsidR="00C14F36" w:rsidRPr="006E1978" w:rsidRDefault="00C14F36" w:rsidP="00474F6C">
            <w:pPr>
              <w:jc w:val="left"/>
              <w:rPr>
                <w:rFonts w:cs="Times New Roman"/>
                <w:sz w:val="22"/>
              </w:rPr>
            </w:pPr>
            <w:r w:rsidRPr="006E1978">
              <w:rPr>
                <w:rFonts w:cs="Times New Roman"/>
                <w:sz w:val="22"/>
              </w:rPr>
              <w:t>2. P-MOG</w:t>
            </w:r>
          </w:p>
        </w:tc>
        <w:tc>
          <w:tcPr>
            <w:tcW w:w="870" w:type="dxa"/>
          </w:tcPr>
          <w:p w14:paraId="6FA4BA6D" w14:textId="77777777" w:rsidR="00C14F36" w:rsidRPr="006E1978" w:rsidRDefault="00C14F36" w:rsidP="00474F6C">
            <w:pPr>
              <w:jc w:val="center"/>
              <w:rPr>
                <w:rFonts w:cs="Times New Roman"/>
                <w:szCs w:val="21"/>
              </w:rPr>
            </w:pPr>
            <w:r w:rsidRPr="006E1978">
              <w:rPr>
                <w:rFonts w:cs="Times New Roman"/>
                <w:szCs w:val="21"/>
              </w:rPr>
              <w:t>8.70</w:t>
            </w:r>
          </w:p>
        </w:tc>
        <w:tc>
          <w:tcPr>
            <w:tcW w:w="871" w:type="dxa"/>
          </w:tcPr>
          <w:p w14:paraId="1D90D6B8" w14:textId="77777777" w:rsidR="00C14F36" w:rsidRPr="006E1978" w:rsidRDefault="00C14F36" w:rsidP="00474F6C">
            <w:pPr>
              <w:jc w:val="center"/>
              <w:rPr>
                <w:rFonts w:cs="Times New Roman"/>
                <w:szCs w:val="21"/>
              </w:rPr>
            </w:pPr>
            <w:r w:rsidRPr="006E1978">
              <w:rPr>
                <w:rFonts w:cs="Times New Roman"/>
                <w:szCs w:val="21"/>
              </w:rPr>
              <w:t>3.35</w:t>
            </w:r>
          </w:p>
        </w:tc>
        <w:tc>
          <w:tcPr>
            <w:tcW w:w="871" w:type="dxa"/>
          </w:tcPr>
          <w:p w14:paraId="588A12B4" w14:textId="77777777" w:rsidR="00C14F36" w:rsidRPr="006E1978" w:rsidRDefault="00C14F36" w:rsidP="00474F6C">
            <w:pPr>
              <w:jc w:val="center"/>
              <w:rPr>
                <w:rFonts w:cs="Times New Roman"/>
                <w:szCs w:val="21"/>
              </w:rPr>
            </w:pPr>
            <w:r w:rsidRPr="006E1978">
              <w:rPr>
                <w:rFonts w:cs="Times New Roman"/>
                <w:szCs w:val="21"/>
              </w:rPr>
              <w:t>.53</w:t>
            </w:r>
            <w:r w:rsidRPr="006E1978">
              <w:rPr>
                <w:rFonts w:cs="Times New Roman"/>
                <w:szCs w:val="21"/>
                <w:vertAlign w:val="superscript"/>
              </w:rPr>
              <w:t>***</w:t>
            </w:r>
          </w:p>
        </w:tc>
        <w:tc>
          <w:tcPr>
            <w:tcW w:w="871" w:type="dxa"/>
          </w:tcPr>
          <w:p w14:paraId="43FC76A1" w14:textId="77777777" w:rsidR="00C14F36" w:rsidRPr="006E1978" w:rsidRDefault="00C14F36" w:rsidP="00474F6C">
            <w:pPr>
              <w:jc w:val="center"/>
              <w:rPr>
                <w:rFonts w:cs="Times New Roman"/>
                <w:szCs w:val="21"/>
              </w:rPr>
            </w:pPr>
            <w:r w:rsidRPr="006E1978">
              <w:rPr>
                <w:rFonts w:cs="Times New Roman"/>
                <w:szCs w:val="21"/>
              </w:rPr>
              <w:t>(.92)</w:t>
            </w:r>
          </w:p>
        </w:tc>
        <w:tc>
          <w:tcPr>
            <w:tcW w:w="870" w:type="dxa"/>
          </w:tcPr>
          <w:p w14:paraId="475FE644" w14:textId="77777777" w:rsidR="00C14F36" w:rsidRPr="006E1978" w:rsidRDefault="00C14F36" w:rsidP="00474F6C">
            <w:pPr>
              <w:jc w:val="center"/>
              <w:rPr>
                <w:rFonts w:cs="Times New Roman"/>
                <w:szCs w:val="21"/>
              </w:rPr>
            </w:pPr>
          </w:p>
        </w:tc>
        <w:tc>
          <w:tcPr>
            <w:tcW w:w="871" w:type="dxa"/>
          </w:tcPr>
          <w:p w14:paraId="45118822" w14:textId="77777777" w:rsidR="00C14F36" w:rsidRPr="006E1978" w:rsidRDefault="00C14F36" w:rsidP="00474F6C">
            <w:pPr>
              <w:jc w:val="center"/>
              <w:rPr>
                <w:rFonts w:cs="Times New Roman"/>
                <w:szCs w:val="21"/>
              </w:rPr>
            </w:pPr>
          </w:p>
        </w:tc>
        <w:tc>
          <w:tcPr>
            <w:tcW w:w="871" w:type="dxa"/>
          </w:tcPr>
          <w:p w14:paraId="4CA05A7D" w14:textId="77777777" w:rsidR="00C14F36" w:rsidRPr="006E1978" w:rsidRDefault="00C14F36" w:rsidP="00474F6C">
            <w:pPr>
              <w:jc w:val="center"/>
              <w:rPr>
                <w:rFonts w:cs="Times New Roman"/>
                <w:szCs w:val="21"/>
              </w:rPr>
            </w:pPr>
          </w:p>
        </w:tc>
        <w:tc>
          <w:tcPr>
            <w:tcW w:w="871" w:type="dxa"/>
          </w:tcPr>
          <w:p w14:paraId="3EBC5AF5" w14:textId="77777777" w:rsidR="00C14F36" w:rsidRPr="006E1978" w:rsidRDefault="00C14F36" w:rsidP="00474F6C">
            <w:pPr>
              <w:jc w:val="center"/>
              <w:rPr>
                <w:rFonts w:cs="Times New Roman"/>
                <w:szCs w:val="21"/>
              </w:rPr>
            </w:pPr>
          </w:p>
        </w:tc>
        <w:tc>
          <w:tcPr>
            <w:tcW w:w="871" w:type="dxa"/>
          </w:tcPr>
          <w:p w14:paraId="5AFA31E8" w14:textId="77777777" w:rsidR="00C14F36" w:rsidRPr="006E1978" w:rsidRDefault="00C14F36" w:rsidP="00474F6C">
            <w:pPr>
              <w:jc w:val="center"/>
              <w:rPr>
                <w:rFonts w:cs="Times New Roman"/>
                <w:szCs w:val="21"/>
              </w:rPr>
            </w:pPr>
          </w:p>
        </w:tc>
        <w:tc>
          <w:tcPr>
            <w:tcW w:w="870" w:type="dxa"/>
          </w:tcPr>
          <w:p w14:paraId="4B59875E" w14:textId="77777777" w:rsidR="00C14F36" w:rsidRPr="006E1978" w:rsidRDefault="00C14F36" w:rsidP="00474F6C">
            <w:pPr>
              <w:jc w:val="center"/>
              <w:rPr>
                <w:rFonts w:cs="Times New Roman"/>
                <w:szCs w:val="21"/>
              </w:rPr>
            </w:pPr>
          </w:p>
        </w:tc>
        <w:tc>
          <w:tcPr>
            <w:tcW w:w="871" w:type="dxa"/>
          </w:tcPr>
          <w:p w14:paraId="44AB052E" w14:textId="77777777" w:rsidR="00C14F36" w:rsidRPr="006E1978" w:rsidRDefault="00C14F36" w:rsidP="00474F6C">
            <w:pPr>
              <w:jc w:val="center"/>
              <w:rPr>
                <w:rFonts w:cs="Times New Roman"/>
                <w:szCs w:val="21"/>
              </w:rPr>
            </w:pPr>
          </w:p>
        </w:tc>
        <w:tc>
          <w:tcPr>
            <w:tcW w:w="871" w:type="dxa"/>
          </w:tcPr>
          <w:p w14:paraId="6FF27BFE" w14:textId="77777777" w:rsidR="00C14F36" w:rsidRPr="006E1978" w:rsidRDefault="00C14F36" w:rsidP="00474F6C">
            <w:pPr>
              <w:jc w:val="center"/>
              <w:rPr>
                <w:rFonts w:cs="Times New Roman"/>
                <w:szCs w:val="21"/>
              </w:rPr>
            </w:pPr>
          </w:p>
        </w:tc>
        <w:tc>
          <w:tcPr>
            <w:tcW w:w="871" w:type="dxa"/>
          </w:tcPr>
          <w:p w14:paraId="448BA7A6" w14:textId="77777777" w:rsidR="00C14F36" w:rsidRPr="006E1978" w:rsidRDefault="00C14F36" w:rsidP="00474F6C">
            <w:pPr>
              <w:jc w:val="center"/>
              <w:rPr>
                <w:rFonts w:cs="Times New Roman"/>
                <w:szCs w:val="21"/>
              </w:rPr>
            </w:pPr>
          </w:p>
        </w:tc>
        <w:tc>
          <w:tcPr>
            <w:tcW w:w="871" w:type="dxa"/>
          </w:tcPr>
          <w:p w14:paraId="3CAB6631" w14:textId="77777777" w:rsidR="00C14F36" w:rsidRPr="006E1978" w:rsidRDefault="00C14F36" w:rsidP="00474F6C">
            <w:pPr>
              <w:jc w:val="center"/>
              <w:rPr>
                <w:rFonts w:cs="Times New Roman"/>
                <w:szCs w:val="21"/>
              </w:rPr>
            </w:pPr>
          </w:p>
        </w:tc>
      </w:tr>
      <w:tr w:rsidR="00C14F36" w:rsidRPr="006E1978" w14:paraId="456A79B3" w14:textId="77777777" w:rsidTr="00C16026">
        <w:tc>
          <w:tcPr>
            <w:tcW w:w="1985" w:type="dxa"/>
          </w:tcPr>
          <w:p w14:paraId="39881265" w14:textId="77777777" w:rsidR="00C14F36" w:rsidRPr="006E1978" w:rsidRDefault="00C14F36" w:rsidP="00474F6C">
            <w:pPr>
              <w:jc w:val="left"/>
              <w:rPr>
                <w:rFonts w:cs="Times New Roman"/>
                <w:sz w:val="22"/>
              </w:rPr>
            </w:pPr>
            <w:r w:rsidRPr="006E1978">
              <w:rPr>
                <w:rFonts w:cs="Times New Roman"/>
                <w:sz w:val="22"/>
              </w:rPr>
              <w:t>3. Short N-MOG</w:t>
            </w:r>
          </w:p>
        </w:tc>
        <w:tc>
          <w:tcPr>
            <w:tcW w:w="870" w:type="dxa"/>
          </w:tcPr>
          <w:p w14:paraId="3436802A" w14:textId="77777777" w:rsidR="00C14F36" w:rsidRPr="006E1978" w:rsidRDefault="00C14F36" w:rsidP="00474F6C">
            <w:pPr>
              <w:jc w:val="center"/>
              <w:rPr>
                <w:rFonts w:cs="Times New Roman"/>
                <w:szCs w:val="21"/>
              </w:rPr>
            </w:pPr>
            <w:r w:rsidRPr="006E1978">
              <w:rPr>
                <w:rFonts w:cs="Times New Roman" w:hint="eastAsia"/>
                <w:szCs w:val="21"/>
              </w:rPr>
              <w:t>4</w:t>
            </w:r>
            <w:r w:rsidRPr="006E1978">
              <w:rPr>
                <w:rFonts w:cs="Times New Roman"/>
                <w:szCs w:val="21"/>
              </w:rPr>
              <w:t>.21</w:t>
            </w:r>
          </w:p>
        </w:tc>
        <w:tc>
          <w:tcPr>
            <w:tcW w:w="871" w:type="dxa"/>
          </w:tcPr>
          <w:p w14:paraId="29DF8C13" w14:textId="77777777" w:rsidR="00C14F36" w:rsidRPr="006E1978" w:rsidRDefault="00C14F36" w:rsidP="00474F6C">
            <w:pPr>
              <w:jc w:val="center"/>
              <w:rPr>
                <w:rFonts w:cs="Times New Roman"/>
                <w:szCs w:val="21"/>
              </w:rPr>
            </w:pPr>
            <w:r w:rsidRPr="006E1978">
              <w:rPr>
                <w:rFonts w:cs="Times New Roman" w:hint="eastAsia"/>
                <w:szCs w:val="21"/>
              </w:rPr>
              <w:t>1</w:t>
            </w:r>
            <w:r w:rsidRPr="006E1978">
              <w:rPr>
                <w:rFonts w:cs="Times New Roman"/>
                <w:szCs w:val="21"/>
              </w:rPr>
              <w:t>.86</w:t>
            </w:r>
          </w:p>
        </w:tc>
        <w:tc>
          <w:tcPr>
            <w:tcW w:w="871" w:type="dxa"/>
          </w:tcPr>
          <w:p w14:paraId="000D6CF4" w14:textId="77777777" w:rsidR="00C14F36" w:rsidRPr="006E1978" w:rsidRDefault="00C14F36" w:rsidP="00474F6C">
            <w:pPr>
              <w:jc w:val="center"/>
              <w:rPr>
                <w:rFonts w:cs="Times New Roman"/>
                <w:szCs w:val="21"/>
              </w:rPr>
            </w:pPr>
            <w:r w:rsidRPr="006E1978">
              <w:rPr>
                <w:rFonts w:cs="Times New Roman"/>
                <w:szCs w:val="21"/>
              </w:rPr>
              <w:t>.94</w:t>
            </w:r>
            <w:r w:rsidRPr="006E1978">
              <w:rPr>
                <w:rFonts w:cs="Times New Roman" w:hint="eastAsia"/>
                <w:szCs w:val="21"/>
                <w:vertAlign w:val="superscript"/>
              </w:rPr>
              <w:t>***</w:t>
            </w:r>
          </w:p>
        </w:tc>
        <w:tc>
          <w:tcPr>
            <w:tcW w:w="871" w:type="dxa"/>
          </w:tcPr>
          <w:p w14:paraId="1E197B06" w14:textId="77777777" w:rsidR="00C14F36" w:rsidRPr="006E1978" w:rsidRDefault="00C14F36" w:rsidP="00474F6C">
            <w:pPr>
              <w:jc w:val="center"/>
              <w:rPr>
                <w:rFonts w:cs="Times New Roman"/>
                <w:szCs w:val="21"/>
              </w:rPr>
            </w:pPr>
            <w:r w:rsidRPr="006E1978">
              <w:rPr>
                <w:rFonts w:cs="Times New Roman"/>
                <w:szCs w:val="21"/>
              </w:rPr>
              <w:t>.47</w:t>
            </w:r>
            <w:r w:rsidRPr="006E1978">
              <w:rPr>
                <w:rFonts w:cs="Times New Roman" w:hint="eastAsia"/>
                <w:szCs w:val="21"/>
                <w:vertAlign w:val="superscript"/>
              </w:rPr>
              <w:t>***</w:t>
            </w:r>
          </w:p>
        </w:tc>
        <w:tc>
          <w:tcPr>
            <w:tcW w:w="870" w:type="dxa"/>
          </w:tcPr>
          <w:p w14:paraId="5291595D" w14:textId="77777777" w:rsidR="00C14F36" w:rsidRPr="006E1978" w:rsidRDefault="00C14F36" w:rsidP="00474F6C">
            <w:pPr>
              <w:jc w:val="center"/>
              <w:rPr>
                <w:rFonts w:cs="Times New Roman"/>
                <w:szCs w:val="21"/>
              </w:rPr>
            </w:pPr>
            <w:r w:rsidRPr="006E1978">
              <w:rPr>
                <w:rFonts w:cs="Times New Roman"/>
                <w:szCs w:val="21"/>
              </w:rPr>
              <w:t>(.89)</w:t>
            </w:r>
          </w:p>
        </w:tc>
        <w:tc>
          <w:tcPr>
            <w:tcW w:w="871" w:type="dxa"/>
          </w:tcPr>
          <w:p w14:paraId="2D1E3780" w14:textId="77777777" w:rsidR="00C14F36" w:rsidRPr="006E1978" w:rsidRDefault="00C14F36" w:rsidP="00474F6C">
            <w:pPr>
              <w:jc w:val="center"/>
              <w:rPr>
                <w:rFonts w:cs="Times New Roman"/>
                <w:szCs w:val="21"/>
              </w:rPr>
            </w:pPr>
          </w:p>
        </w:tc>
        <w:tc>
          <w:tcPr>
            <w:tcW w:w="871" w:type="dxa"/>
          </w:tcPr>
          <w:p w14:paraId="7B4406DB" w14:textId="77777777" w:rsidR="00C14F36" w:rsidRPr="006E1978" w:rsidRDefault="00C14F36" w:rsidP="00474F6C">
            <w:pPr>
              <w:jc w:val="center"/>
              <w:rPr>
                <w:rFonts w:cs="Times New Roman"/>
                <w:szCs w:val="21"/>
              </w:rPr>
            </w:pPr>
          </w:p>
        </w:tc>
        <w:tc>
          <w:tcPr>
            <w:tcW w:w="871" w:type="dxa"/>
          </w:tcPr>
          <w:p w14:paraId="7BC80C32" w14:textId="77777777" w:rsidR="00C14F36" w:rsidRPr="006E1978" w:rsidRDefault="00C14F36" w:rsidP="00474F6C">
            <w:pPr>
              <w:jc w:val="center"/>
              <w:rPr>
                <w:rFonts w:cs="Times New Roman"/>
                <w:szCs w:val="21"/>
              </w:rPr>
            </w:pPr>
          </w:p>
        </w:tc>
        <w:tc>
          <w:tcPr>
            <w:tcW w:w="871" w:type="dxa"/>
          </w:tcPr>
          <w:p w14:paraId="4488D81E" w14:textId="77777777" w:rsidR="00C14F36" w:rsidRPr="006E1978" w:rsidRDefault="00C14F36" w:rsidP="00474F6C">
            <w:pPr>
              <w:jc w:val="center"/>
              <w:rPr>
                <w:rFonts w:cs="Times New Roman"/>
                <w:szCs w:val="21"/>
              </w:rPr>
            </w:pPr>
          </w:p>
        </w:tc>
        <w:tc>
          <w:tcPr>
            <w:tcW w:w="870" w:type="dxa"/>
          </w:tcPr>
          <w:p w14:paraId="50D7DDC6" w14:textId="77777777" w:rsidR="00C14F36" w:rsidRPr="006E1978" w:rsidRDefault="00C14F36" w:rsidP="00474F6C">
            <w:pPr>
              <w:jc w:val="center"/>
              <w:rPr>
                <w:rFonts w:cs="Times New Roman"/>
                <w:szCs w:val="21"/>
              </w:rPr>
            </w:pPr>
          </w:p>
        </w:tc>
        <w:tc>
          <w:tcPr>
            <w:tcW w:w="871" w:type="dxa"/>
          </w:tcPr>
          <w:p w14:paraId="0463DDD5" w14:textId="77777777" w:rsidR="00C14F36" w:rsidRPr="006E1978" w:rsidRDefault="00C14F36" w:rsidP="00474F6C">
            <w:pPr>
              <w:jc w:val="center"/>
              <w:rPr>
                <w:rFonts w:cs="Times New Roman"/>
                <w:szCs w:val="21"/>
              </w:rPr>
            </w:pPr>
          </w:p>
        </w:tc>
        <w:tc>
          <w:tcPr>
            <w:tcW w:w="871" w:type="dxa"/>
          </w:tcPr>
          <w:p w14:paraId="0641F33F" w14:textId="77777777" w:rsidR="00C14F36" w:rsidRPr="006E1978" w:rsidRDefault="00C14F36" w:rsidP="00474F6C">
            <w:pPr>
              <w:jc w:val="center"/>
              <w:rPr>
                <w:rFonts w:cs="Times New Roman"/>
                <w:szCs w:val="21"/>
              </w:rPr>
            </w:pPr>
          </w:p>
        </w:tc>
        <w:tc>
          <w:tcPr>
            <w:tcW w:w="871" w:type="dxa"/>
          </w:tcPr>
          <w:p w14:paraId="2B1D7A93" w14:textId="77777777" w:rsidR="00C14F36" w:rsidRPr="006E1978" w:rsidRDefault="00C14F36" w:rsidP="00474F6C">
            <w:pPr>
              <w:jc w:val="center"/>
              <w:rPr>
                <w:rFonts w:cs="Times New Roman"/>
                <w:szCs w:val="21"/>
              </w:rPr>
            </w:pPr>
          </w:p>
        </w:tc>
        <w:tc>
          <w:tcPr>
            <w:tcW w:w="871" w:type="dxa"/>
          </w:tcPr>
          <w:p w14:paraId="24F42635" w14:textId="77777777" w:rsidR="00C14F36" w:rsidRPr="006E1978" w:rsidRDefault="00C14F36" w:rsidP="00474F6C">
            <w:pPr>
              <w:jc w:val="center"/>
              <w:rPr>
                <w:rFonts w:cs="Times New Roman"/>
                <w:szCs w:val="21"/>
              </w:rPr>
            </w:pPr>
          </w:p>
        </w:tc>
      </w:tr>
      <w:tr w:rsidR="00C14F36" w:rsidRPr="006E1978" w14:paraId="3C5C55CC" w14:textId="77777777" w:rsidTr="00C16026">
        <w:tc>
          <w:tcPr>
            <w:tcW w:w="1985" w:type="dxa"/>
          </w:tcPr>
          <w:p w14:paraId="20CB9595" w14:textId="77777777" w:rsidR="00C14F36" w:rsidRPr="006E1978" w:rsidRDefault="00C14F36" w:rsidP="00474F6C">
            <w:pPr>
              <w:jc w:val="left"/>
              <w:rPr>
                <w:rFonts w:cs="Times New Roman"/>
                <w:sz w:val="22"/>
              </w:rPr>
            </w:pPr>
            <w:r w:rsidRPr="006E1978">
              <w:rPr>
                <w:rFonts w:cs="Times New Roman"/>
                <w:sz w:val="22"/>
              </w:rPr>
              <w:t>4. Short P-MOG</w:t>
            </w:r>
          </w:p>
        </w:tc>
        <w:tc>
          <w:tcPr>
            <w:tcW w:w="870" w:type="dxa"/>
          </w:tcPr>
          <w:p w14:paraId="3D362888" w14:textId="77777777" w:rsidR="00C14F36" w:rsidRPr="006E1978" w:rsidRDefault="00C14F36" w:rsidP="00474F6C">
            <w:pPr>
              <w:jc w:val="center"/>
              <w:rPr>
                <w:rFonts w:cs="Times New Roman"/>
                <w:szCs w:val="21"/>
              </w:rPr>
            </w:pPr>
            <w:r w:rsidRPr="006E1978">
              <w:rPr>
                <w:rFonts w:cs="Times New Roman"/>
                <w:szCs w:val="21"/>
              </w:rPr>
              <w:t>5.33</w:t>
            </w:r>
          </w:p>
        </w:tc>
        <w:tc>
          <w:tcPr>
            <w:tcW w:w="871" w:type="dxa"/>
          </w:tcPr>
          <w:p w14:paraId="61BDB41C" w14:textId="77777777" w:rsidR="00C14F36" w:rsidRPr="006E1978" w:rsidRDefault="00C14F36" w:rsidP="00474F6C">
            <w:pPr>
              <w:jc w:val="center"/>
              <w:rPr>
                <w:rFonts w:cs="Times New Roman"/>
                <w:szCs w:val="21"/>
              </w:rPr>
            </w:pPr>
            <w:r w:rsidRPr="006E1978">
              <w:rPr>
                <w:rFonts w:cs="Times New Roman"/>
                <w:szCs w:val="21"/>
              </w:rPr>
              <w:t>2.11</w:t>
            </w:r>
          </w:p>
        </w:tc>
        <w:tc>
          <w:tcPr>
            <w:tcW w:w="871" w:type="dxa"/>
          </w:tcPr>
          <w:p w14:paraId="45B373AF" w14:textId="77777777" w:rsidR="00C14F36" w:rsidRPr="006E1978" w:rsidRDefault="00C14F36" w:rsidP="00474F6C">
            <w:pPr>
              <w:jc w:val="center"/>
              <w:rPr>
                <w:rFonts w:cs="Times New Roman"/>
                <w:szCs w:val="21"/>
              </w:rPr>
            </w:pPr>
            <w:r w:rsidRPr="006E1978">
              <w:rPr>
                <w:rFonts w:cs="Times New Roman"/>
                <w:szCs w:val="21"/>
              </w:rPr>
              <w:t>.49</w:t>
            </w:r>
            <w:r w:rsidRPr="006E1978">
              <w:rPr>
                <w:rFonts w:cs="Times New Roman"/>
                <w:szCs w:val="21"/>
                <w:vertAlign w:val="superscript"/>
              </w:rPr>
              <w:t>***</w:t>
            </w:r>
          </w:p>
        </w:tc>
        <w:tc>
          <w:tcPr>
            <w:tcW w:w="871" w:type="dxa"/>
          </w:tcPr>
          <w:p w14:paraId="1069CE6E" w14:textId="77777777" w:rsidR="00C14F36" w:rsidRPr="006E1978" w:rsidRDefault="00C14F36" w:rsidP="00474F6C">
            <w:pPr>
              <w:jc w:val="center"/>
              <w:rPr>
                <w:rFonts w:cs="Times New Roman"/>
                <w:szCs w:val="21"/>
              </w:rPr>
            </w:pPr>
            <w:r w:rsidRPr="006E1978">
              <w:rPr>
                <w:rFonts w:cs="Times New Roman"/>
                <w:szCs w:val="21"/>
              </w:rPr>
              <w:t>.98</w:t>
            </w:r>
            <w:r w:rsidRPr="006E1978">
              <w:rPr>
                <w:rFonts w:cs="Times New Roman"/>
                <w:szCs w:val="21"/>
                <w:vertAlign w:val="superscript"/>
              </w:rPr>
              <w:t>***</w:t>
            </w:r>
          </w:p>
        </w:tc>
        <w:tc>
          <w:tcPr>
            <w:tcW w:w="870" w:type="dxa"/>
          </w:tcPr>
          <w:p w14:paraId="4620FADF" w14:textId="77777777" w:rsidR="00C14F36" w:rsidRPr="006E1978" w:rsidRDefault="00C14F36" w:rsidP="00474F6C">
            <w:pPr>
              <w:jc w:val="center"/>
              <w:rPr>
                <w:rFonts w:cs="Times New Roman"/>
                <w:szCs w:val="21"/>
              </w:rPr>
            </w:pPr>
            <w:r w:rsidRPr="006E1978">
              <w:rPr>
                <w:rFonts w:cs="Times New Roman"/>
                <w:szCs w:val="21"/>
              </w:rPr>
              <w:t>.43</w:t>
            </w:r>
            <w:r w:rsidRPr="006E1978">
              <w:rPr>
                <w:rFonts w:cs="Times New Roman"/>
                <w:szCs w:val="21"/>
                <w:vertAlign w:val="superscript"/>
              </w:rPr>
              <w:t>***</w:t>
            </w:r>
          </w:p>
        </w:tc>
        <w:tc>
          <w:tcPr>
            <w:tcW w:w="871" w:type="dxa"/>
          </w:tcPr>
          <w:p w14:paraId="7A451D97" w14:textId="77777777" w:rsidR="00C14F36" w:rsidRPr="006E1978" w:rsidRDefault="00C14F36" w:rsidP="00474F6C">
            <w:pPr>
              <w:jc w:val="center"/>
              <w:rPr>
                <w:rFonts w:cs="Times New Roman"/>
                <w:szCs w:val="21"/>
              </w:rPr>
            </w:pPr>
            <w:r w:rsidRPr="006E1978">
              <w:rPr>
                <w:rFonts w:cs="Times New Roman"/>
                <w:szCs w:val="21"/>
              </w:rPr>
              <w:t>(.90)</w:t>
            </w:r>
          </w:p>
        </w:tc>
        <w:tc>
          <w:tcPr>
            <w:tcW w:w="871" w:type="dxa"/>
          </w:tcPr>
          <w:p w14:paraId="488D2F3A" w14:textId="77777777" w:rsidR="00C14F36" w:rsidRPr="006E1978" w:rsidRDefault="00C14F36" w:rsidP="00474F6C">
            <w:pPr>
              <w:jc w:val="center"/>
              <w:rPr>
                <w:rFonts w:cs="Times New Roman"/>
                <w:szCs w:val="21"/>
              </w:rPr>
            </w:pPr>
          </w:p>
        </w:tc>
        <w:tc>
          <w:tcPr>
            <w:tcW w:w="871" w:type="dxa"/>
          </w:tcPr>
          <w:p w14:paraId="6B59AA32" w14:textId="77777777" w:rsidR="00C14F36" w:rsidRPr="006E1978" w:rsidRDefault="00C14F36" w:rsidP="00474F6C">
            <w:pPr>
              <w:jc w:val="center"/>
              <w:rPr>
                <w:rFonts w:cs="Times New Roman"/>
                <w:szCs w:val="21"/>
              </w:rPr>
            </w:pPr>
          </w:p>
        </w:tc>
        <w:tc>
          <w:tcPr>
            <w:tcW w:w="871" w:type="dxa"/>
          </w:tcPr>
          <w:p w14:paraId="69E3301B" w14:textId="77777777" w:rsidR="00C14F36" w:rsidRPr="006E1978" w:rsidRDefault="00C14F36" w:rsidP="00474F6C">
            <w:pPr>
              <w:jc w:val="center"/>
              <w:rPr>
                <w:rFonts w:cs="Times New Roman"/>
                <w:szCs w:val="21"/>
              </w:rPr>
            </w:pPr>
          </w:p>
        </w:tc>
        <w:tc>
          <w:tcPr>
            <w:tcW w:w="870" w:type="dxa"/>
          </w:tcPr>
          <w:p w14:paraId="4BB96409" w14:textId="77777777" w:rsidR="00C14F36" w:rsidRPr="006E1978" w:rsidRDefault="00C14F36" w:rsidP="00474F6C">
            <w:pPr>
              <w:jc w:val="center"/>
              <w:rPr>
                <w:rFonts w:cs="Times New Roman"/>
                <w:szCs w:val="21"/>
              </w:rPr>
            </w:pPr>
          </w:p>
        </w:tc>
        <w:tc>
          <w:tcPr>
            <w:tcW w:w="871" w:type="dxa"/>
          </w:tcPr>
          <w:p w14:paraId="223F7A26" w14:textId="77777777" w:rsidR="00C14F36" w:rsidRPr="006E1978" w:rsidRDefault="00C14F36" w:rsidP="00474F6C">
            <w:pPr>
              <w:jc w:val="center"/>
              <w:rPr>
                <w:rFonts w:cs="Times New Roman"/>
                <w:szCs w:val="21"/>
              </w:rPr>
            </w:pPr>
          </w:p>
        </w:tc>
        <w:tc>
          <w:tcPr>
            <w:tcW w:w="871" w:type="dxa"/>
          </w:tcPr>
          <w:p w14:paraId="783DC537" w14:textId="77777777" w:rsidR="00C14F36" w:rsidRPr="006E1978" w:rsidRDefault="00C14F36" w:rsidP="00474F6C">
            <w:pPr>
              <w:jc w:val="center"/>
              <w:rPr>
                <w:rFonts w:cs="Times New Roman"/>
                <w:szCs w:val="21"/>
              </w:rPr>
            </w:pPr>
          </w:p>
        </w:tc>
        <w:tc>
          <w:tcPr>
            <w:tcW w:w="871" w:type="dxa"/>
          </w:tcPr>
          <w:p w14:paraId="74C3BEC5" w14:textId="77777777" w:rsidR="00C14F36" w:rsidRPr="006E1978" w:rsidRDefault="00C14F36" w:rsidP="00474F6C">
            <w:pPr>
              <w:jc w:val="center"/>
              <w:rPr>
                <w:rFonts w:cs="Times New Roman"/>
                <w:szCs w:val="21"/>
              </w:rPr>
            </w:pPr>
          </w:p>
        </w:tc>
        <w:tc>
          <w:tcPr>
            <w:tcW w:w="871" w:type="dxa"/>
          </w:tcPr>
          <w:p w14:paraId="147A8C12" w14:textId="77777777" w:rsidR="00C14F36" w:rsidRPr="006E1978" w:rsidRDefault="00C14F36" w:rsidP="00474F6C">
            <w:pPr>
              <w:jc w:val="center"/>
              <w:rPr>
                <w:rFonts w:cs="Times New Roman"/>
                <w:szCs w:val="21"/>
              </w:rPr>
            </w:pPr>
          </w:p>
        </w:tc>
      </w:tr>
      <w:tr w:rsidR="00C14F36" w:rsidRPr="006E1978" w14:paraId="7CCF90EE" w14:textId="77777777" w:rsidTr="00C16026">
        <w:tc>
          <w:tcPr>
            <w:tcW w:w="1985" w:type="dxa"/>
          </w:tcPr>
          <w:p w14:paraId="3D5442FC" w14:textId="77777777" w:rsidR="00C14F36" w:rsidRPr="006E1978" w:rsidRDefault="00C14F36" w:rsidP="00474F6C">
            <w:pPr>
              <w:jc w:val="left"/>
              <w:rPr>
                <w:rFonts w:cs="Times New Roman"/>
                <w:sz w:val="22"/>
              </w:rPr>
            </w:pPr>
            <w:r w:rsidRPr="006E1978">
              <w:rPr>
                <w:rFonts w:cs="Times New Roman"/>
                <w:sz w:val="22"/>
              </w:rPr>
              <w:t xml:space="preserve">5. </w:t>
            </w:r>
            <w:proofErr w:type="spellStart"/>
            <w:r w:rsidRPr="006E1978">
              <w:rPr>
                <w:rFonts w:cs="Times New Roman"/>
                <w:sz w:val="22"/>
              </w:rPr>
              <w:t>POS</w:t>
            </w:r>
            <w:r w:rsidRPr="006E1978">
              <w:rPr>
                <w:rFonts w:cs="Times New Roman"/>
                <w:sz w:val="22"/>
                <w:vertAlign w:val="superscript"/>
              </w:rPr>
              <w:t>a</w:t>
            </w:r>
            <w:proofErr w:type="spellEnd"/>
          </w:p>
        </w:tc>
        <w:tc>
          <w:tcPr>
            <w:tcW w:w="870" w:type="dxa"/>
          </w:tcPr>
          <w:p w14:paraId="649A8926" w14:textId="77777777" w:rsidR="00C14F36" w:rsidRPr="006E1978" w:rsidRDefault="00C14F36" w:rsidP="00474F6C">
            <w:pPr>
              <w:jc w:val="center"/>
              <w:rPr>
                <w:rFonts w:cs="Times New Roman"/>
                <w:szCs w:val="21"/>
              </w:rPr>
            </w:pPr>
            <w:r w:rsidRPr="006E1978">
              <w:rPr>
                <w:rFonts w:cs="Times New Roman" w:hint="eastAsia"/>
                <w:szCs w:val="21"/>
              </w:rPr>
              <w:t>1</w:t>
            </w:r>
            <w:r w:rsidRPr="006E1978">
              <w:rPr>
                <w:rFonts w:cs="Times New Roman"/>
                <w:szCs w:val="21"/>
              </w:rPr>
              <w:t>1.10</w:t>
            </w:r>
          </w:p>
        </w:tc>
        <w:tc>
          <w:tcPr>
            <w:tcW w:w="871" w:type="dxa"/>
          </w:tcPr>
          <w:p w14:paraId="178C5B36" w14:textId="77777777" w:rsidR="00C14F36" w:rsidRPr="006E1978" w:rsidRDefault="00C14F36" w:rsidP="00474F6C">
            <w:pPr>
              <w:jc w:val="center"/>
              <w:rPr>
                <w:rFonts w:cs="Times New Roman"/>
                <w:szCs w:val="21"/>
              </w:rPr>
            </w:pPr>
            <w:r w:rsidRPr="006E1978">
              <w:rPr>
                <w:rFonts w:cs="Times New Roman" w:hint="eastAsia"/>
                <w:szCs w:val="21"/>
              </w:rPr>
              <w:t>3</w:t>
            </w:r>
            <w:r w:rsidRPr="006E1978">
              <w:rPr>
                <w:rFonts w:cs="Times New Roman"/>
                <w:szCs w:val="21"/>
              </w:rPr>
              <w:t>.30</w:t>
            </w:r>
          </w:p>
        </w:tc>
        <w:tc>
          <w:tcPr>
            <w:tcW w:w="871" w:type="dxa"/>
          </w:tcPr>
          <w:p w14:paraId="7E93E960" w14:textId="77777777" w:rsidR="00C14F36" w:rsidRPr="006E1978" w:rsidRDefault="00C14F36" w:rsidP="00474F6C">
            <w:pPr>
              <w:jc w:val="center"/>
              <w:rPr>
                <w:rFonts w:cs="Times New Roman"/>
                <w:szCs w:val="21"/>
              </w:rPr>
            </w:pPr>
            <w:r w:rsidRPr="006E1978">
              <w:rPr>
                <w:rFonts w:cs="Times New Roman"/>
                <w:szCs w:val="21"/>
              </w:rPr>
              <w:t>.46</w:t>
            </w:r>
            <w:r w:rsidRPr="006E1978">
              <w:rPr>
                <w:rFonts w:cs="Times New Roman" w:hint="eastAsia"/>
                <w:szCs w:val="21"/>
                <w:vertAlign w:val="superscript"/>
              </w:rPr>
              <w:t>***</w:t>
            </w:r>
          </w:p>
        </w:tc>
        <w:tc>
          <w:tcPr>
            <w:tcW w:w="871" w:type="dxa"/>
          </w:tcPr>
          <w:p w14:paraId="0B6D0203" w14:textId="77777777" w:rsidR="00C14F36" w:rsidRPr="006E1978" w:rsidRDefault="00C14F36" w:rsidP="00474F6C">
            <w:pPr>
              <w:jc w:val="center"/>
              <w:rPr>
                <w:rFonts w:cs="Times New Roman"/>
                <w:szCs w:val="21"/>
              </w:rPr>
            </w:pPr>
            <w:r w:rsidRPr="006E1978">
              <w:rPr>
                <w:rFonts w:cs="Times New Roman"/>
                <w:szCs w:val="21"/>
              </w:rPr>
              <w:t>.39</w:t>
            </w:r>
            <w:r w:rsidRPr="006E1978">
              <w:rPr>
                <w:rFonts w:cs="Times New Roman" w:hint="eastAsia"/>
                <w:szCs w:val="21"/>
                <w:vertAlign w:val="superscript"/>
              </w:rPr>
              <w:t>***</w:t>
            </w:r>
          </w:p>
        </w:tc>
        <w:tc>
          <w:tcPr>
            <w:tcW w:w="870" w:type="dxa"/>
          </w:tcPr>
          <w:p w14:paraId="6FF2E38F" w14:textId="77777777" w:rsidR="00C14F36" w:rsidRPr="006E1978" w:rsidRDefault="00C14F36" w:rsidP="00474F6C">
            <w:pPr>
              <w:jc w:val="center"/>
              <w:rPr>
                <w:rFonts w:cs="Times New Roman"/>
                <w:szCs w:val="21"/>
              </w:rPr>
            </w:pPr>
            <w:r w:rsidRPr="006E1978">
              <w:rPr>
                <w:rFonts w:cs="Times New Roman"/>
                <w:szCs w:val="21"/>
              </w:rPr>
              <w:t>.44</w:t>
            </w:r>
            <w:r w:rsidRPr="006E1978">
              <w:rPr>
                <w:rFonts w:cs="Times New Roman" w:hint="eastAsia"/>
                <w:szCs w:val="21"/>
                <w:vertAlign w:val="superscript"/>
              </w:rPr>
              <w:t>***</w:t>
            </w:r>
          </w:p>
        </w:tc>
        <w:tc>
          <w:tcPr>
            <w:tcW w:w="871" w:type="dxa"/>
          </w:tcPr>
          <w:p w14:paraId="5410E72C" w14:textId="77777777" w:rsidR="00C14F36" w:rsidRPr="006E1978" w:rsidRDefault="00C14F36" w:rsidP="00474F6C">
            <w:pPr>
              <w:jc w:val="center"/>
              <w:rPr>
                <w:rFonts w:cs="Times New Roman"/>
                <w:szCs w:val="21"/>
              </w:rPr>
            </w:pPr>
            <w:r w:rsidRPr="006E1978">
              <w:rPr>
                <w:rFonts w:cs="Times New Roman"/>
                <w:szCs w:val="21"/>
              </w:rPr>
              <w:t>.36</w:t>
            </w:r>
            <w:r w:rsidRPr="006E1978">
              <w:rPr>
                <w:rFonts w:cs="Times New Roman" w:hint="eastAsia"/>
                <w:szCs w:val="21"/>
                <w:vertAlign w:val="superscript"/>
              </w:rPr>
              <w:t>***</w:t>
            </w:r>
          </w:p>
        </w:tc>
        <w:tc>
          <w:tcPr>
            <w:tcW w:w="871" w:type="dxa"/>
          </w:tcPr>
          <w:p w14:paraId="27817780" w14:textId="77777777" w:rsidR="00C14F36" w:rsidRPr="006E1978" w:rsidRDefault="00C14F36" w:rsidP="00474F6C">
            <w:pPr>
              <w:jc w:val="center"/>
              <w:rPr>
                <w:rFonts w:cs="Times New Roman"/>
                <w:szCs w:val="21"/>
              </w:rPr>
            </w:pPr>
            <w:r w:rsidRPr="006E1978">
              <w:rPr>
                <w:rFonts w:cs="Times New Roman" w:hint="eastAsia"/>
                <w:szCs w:val="21"/>
              </w:rPr>
              <w:t>(</w:t>
            </w:r>
            <w:r w:rsidRPr="006E1978">
              <w:rPr>
                <w:rFonts w:cs="Times New Roman"/>
                <w:szCs w:val="21"/>
              </w:rPr>
              <w:t>.85)</w:t>
            </w:r>
          </w:p>
        </w:tc>
        <w:tc>
          <w:tcPr>
            <w:tcW w:w="871" w:type="dxa"/>
          </w:tcPr>
          <w:p w14:paraId="2CD22E49" w14:textId="77777777" w:rsidR="00C14F36" w:rsidRPr="006E1978" w:rsidRDefault="00C14F36" w:rsidP="00474F6C">
            <w:pPr>
              <w:jc w:val="center"/>
              <w:rPr>
                <w:rFonts w:cs="Times New Roman"/>
                <w:szCs w:val="21"/>
              </w:rPr>
            </w:pPr>
          </w:p>
        </w:tc>
        <w:tc>
          <w:tcPr>
            <w:tcW w:w="871" w:type="dxa"/>
          </w:tcPr>
          <w:p w14:paraId="1646769F" w14:textId="77777777" w:rsidR="00C14F36" w:rsidRPr="006E1978" w:rsidRDefault="00C14F36" w:rsidP="00474F6C">
            <w:pPr>
              <w:jc w:val="center"/>
              <w:rPr>
                <w:rFonts w:cs="Times New Roman"/>
                <w:szCs w:val="21"/>
              </w:rPr>
            </w:pPr>
          </w:p>
        </w:tc>
        <w:tc>
          <w:tcPr>
            <w:tcW w:w="870" w:type="dxa"/>
          </w:tcPr>
          <w:p w14:paraId="28416BE8" w14:textId="77777777" w:rsidR="00C14F36" w:rsidRPr="006E1978" w:rsidRDefault="00C14F36" w:rsidP="00474F6C">
            <w:pPr>
              <w:jc w:val="center"/>
              <w:rPr>
                <w:rFonts w:cs="Times New Roman"/>
                <w:szCs w:val="21"/>
              </w:rPr>
            </w:pPr>
          </w:p>
        </w:tc>
        <w:tc>
          <w:tcPr>
            <w:tcW w:w="871" w:type="dxa"/>
          </w:tcPr>
          <w:p w14:paraId="70D57B52" w14:textId="77777777" w:rsidR="00C14F36" w:rsidRPr="006E1978" w:rsidRDefault="00C14F36" w:rsidP="00474F6C">
            <w:pPr>
              <w:jc w:val="center"/>
              <w:rPr>
                <w:rFonts w:cs="Times New Roman"/>
                <w:szCs w:val="21"/>
              </w:rPr>
            </w:pPr>
          </w:p>
        </w:tc>
        <w:tc>
          <w:tcPr>
            <w:tcW w:w="871" w:type="dxa"/>
          </w:tcPr>
          <w:p w14:paraId="48E8E30A" w14:textId="77777777" w:rsidR="00C14F36" w:rsidRPr="006E1978" w:rsidRDefault="00C14F36" w:rsidP="00474F6C">
            <w:pPr>
              <w:jc w:val="center"/>
              <w:rPr>
                <w:rFonts w:cs="Times New Roman"/>
                <w:szCs w:val="21"/>
              </w:rPr>
            </w:pPr>
          </w:p>
        </w:tc>
        <w:tc>
          <w:tcPr>
            <w:tcW w:w="871" w:type="dxa"/>
          </w:tcPr>
          <w:p w14:paraId="295ABFFD" w14:textId="77777777" w:rsidR="00C14F36" w:rsidRPr="006E1978" w:rsidRDefault="00C14F36" w:rsidP="00474F6C">
            <w:pPr>
              <w:jc w:val="center"/>
              <w:rPr>
                <w:rFonts w:cs="Times New Roman"/>
                <w:szCs w:val="21"/>
              </w:rPr>
            </w:pPr>
          </w:p>
        </w:tc>
        <w:tc>
          <w:tcPr>
            <w:tcW w:w="871" w:type="dxa"/>
          </w:tcPr>
          <w:p w14:paraId="19842015" w14:textId="77777777" w:rsidR="00C14F36" w:rsidRPr="006E1978" w:rsidRDefault="00C14F36" w:rsidP="00474F6C">
            <w:pPr>
              <w:jc w:val="center"/>
              <w:rPr>
                <w:rFonts w:cs="Times New Roman"/>
                <w:szCs w:val="21"/>
              </w:rPr>
            </w:pPr>
          </w:p>
        </w:tc>
      </w:tr>
      <w:tr w:rsidR="00C14F36" w:rsidRPr="006E1978" w14:paraId="04F27C5D" w14:textId="77777777" w:rsidTr="00C16026">
        <w:tc>
          <w:tcPr>
            <w:tcW w:w="1985" w:type="dxa"/>
          </w:tcPr>
          <w:p w14:paraId="41F7E95B" w14:textId="77777777" w:rsidR="00C14F36" w:rsidRPr="006E1978" w:rsidRDefault="00C14F36" w:rsidP="00474F6C">
            <w:pPr>
              <w:jc w:val="left"/>
              <w:rPr>
                <w:rFonts w:cs="Times New Roman"/>
                <w:sz w:val="22"/>
              </w:rPr>
            </w:pPr>
            <w:r w:rsidRPr="006E1978">
              <w:rPr>
                <w:rFonts w:cs="Times New Roman"/>
                <w:sz w:val="22"/>
              </w:rPr>
              <w:t xml:space="preserve">6. </w:t>
            </w:r>
            <w:proofErr w:type="spellStart"/>
            <w:r w:rsidRPr="006E1978">
              <w:rPr>
                <w:rFonts w:cs="Times New Roman"/>
                <w:sz w:val="22"/>
              </w:rPr>
              <w:t>NEG</w:t>
            </w:r>
            <w:r w:rsidRPr="006E1978">
              <w:rPr>
                <w:rFonts w:cs="Times New Roman"/>
                <w:sz w:val="22"/>
                <w:vertAlign w:val="superscript"/>
              </w:rPr>
              <w:t>a</w:t>
            </w:r>
            <w:proofErr w:type="spellEnd"/>
          </w:p>
        </w:tc>
        <w:tc>
          <w:tcPr>
            <w:tcW w:w="870" w:type="dxa"/>
          </w:tcPr>
          <w:p w14:paraId="5EC01B4D" w14:textId="77777777" w:rsidR="00C14F36" w:rsidRPr="006E1978" w:rsidRDefault="00C14F36" w:rsidP="00474F6C">
            <w:pPr>
              <w:jc w:val="center"/>
              <w:rPr>
                <w:rFonts w:cs="Times New Roman"/>
                <w:szCs w:val="21"/>
              </w:rPr>
            </w:pPr>
            <w:r w:rsidRPr="006E1978">
              <w:rPr>
                <w:rFonts w:cs="Times New Roman" w:hint="eastAsia"/>
                <w:szCs w:val="21"/>
              </w:rPr>
              <w:t>1</w:t>
            </w:r>
            <w:r w:rsidRPr="006E1978">
              <w:rPr>
                <w:rFonts w:cs="Times New Roman"/>
                <w:szCs w:val="21"/>
              </w:rPr>
              <w:t>1.90</w:t>
            </w:r>
          </w:p>
        </w:tc>
        <w:tc>
          <w:tcPr>
            <w:tcW w:w="871" w:type="dxa"/>
          </w:tcPr>
          <w:p w14:paraId="0AE4519C" w14:textId="77777777" w:rsidR="00C14F36" w:rsidRPr="006E1978" w:rsidRDefault="00C14F36" w:rsidP="00474F6C">
            <w:pPr>
              <w:jc w:val="center"/>
              <w:rPr>
                <w:rFonts w:cs="Times New Roman"/>
                <w:szCs w:val="21"/>
              </w:rPr>
            </w:pPr>
            <w:r w:rsidRPr="006E1978">
              <w:rPr>
                <w:rFonts w:cs="Times New Roman" w:hint="eastAsia"/>
                <w:szCs w:val="21"/>
              </w:rPr>
              <w:t>3</w:t>
            </w:r>
            <w:r w:rsidRPr="006E1978">
              <w:rPr>
                <w:rFonts w:cs="Times New Roman"/>
                <w:szCs w:val="21"/>
              </w:rPr>
              <w:t>.42</w:t>
            </w:r>
          </w:p>
        </w:tc>
        <w:tc>
          <w:tcPr>
            <w:tcW w:w="871" w:type="dxa"/>
          </w:tcPr>
          <w:p w14:paraId="741B9214" w14:textId="77777777" w:rsidR="00C14F36" w:rsidRPr="006E1978" w:rsidRDefault="00C14F36" w:rsidP="00474F6C">
            <w:pPr>
              <w:jc w:val="center"/>
              <w:rPr>
                <w:rFonts w:cs="Times New Roman"/>
                <w:szCs w:val="21"/>
              </w:rPr>
            </w:pPr>
            <w:r w:rsidRPr="006E1978">
              <w:rPr>
                <w:rFonts w:cs="Times New Roman"/>
                <w:szCs w:val="21"/>
              </w:rPr>
              <w:t>.41</w:t>
            </w:r>
            <w:r w:rsidRPr="006E1978">
              <w:rPr>
                <w:rFonts w:cs="Times New Roman" w:hint="eastAsia"/>
                <w:szCs w:val="21"/>
                <w:vertAlign w:val="superscript"/>
              </w:rPr>
              <w:t>***</w:t>
            </w:r>
          </w:p>
        </w:tc>
        <w:tc>
          <w:tcPr>
            <w:tcW w:w="871" w:type="dxa"/>
          </w:tcPr>
          <w:p w14:paraId="60C0033F" w14:textId="77777777" w:rsidR="00C14F36" w:rsidRPr="006E1978" w:rsidRDefault="00C14F36" w:rsidP="00474F6C">
            <w:pPr>
              <w:jc w:val="center"/>
              <w:rPr>
                <w:rFonts w:cs="Times New Roman"/>
                <w:szCs w:val="21"/>
              </w:rPr>
            </w:pPr>
            <w:r w:rsidRPr="006E1978">
              <w:rPr>
                <w:rFonts w:cs="Times New Roman"/>
                <w:szCs w:val="21"/>
              </w:rPr>
              <w:t>.40</w:t>
            </w:r>
            <w:r w:rsidRPr="006E1978">
              <w:rPr>
                <w:rFonts w:cs="Times New Roman" w:hint="eastAsia"/>
                <w:szCs w:val="21"/>
                <w:vertAlign w:val="superscript"/>
              </w:rPr>
              <w:t>***</w:t>
            </w:r>
          </w:p>
        </w:tc>
        <w:tc>
          <w:tcPr>
            <w:tcW w:w="870" w:type="dxa"/>
          </w:tcPr>
          <w:p w14:paraId="41497D00" w14:textId="77777777" w:rsidR="00C14F36" w:rsidRPr="006E1978" w:rsidRDefault="00C14F36" w:rsidP="00474F6C">
            <w:pPr>
              <w:jc w:val="center"/>
              <w:rPr>
                <w:rFonts w:cs="Times New Roman"/>
                <w:szCs w:val="21"/>
              </w:rPr>
            </w:pPr>
            <w:r w:rsidRPr="006E1978">
              <w:rPr>
                <w:rFonts w:cs="Times New Roman"/>
                <w:szCs w:val="21"/>
              </w:rPr>
              <w:t>.36</w:t>
            </w:r>
            <w:r w:rsidRPr="006E1978">
              <w:rPr>
                <w:rFonts w:cs="Times New Roman" w:hint="eastAsia"/>
                <w:szCs w:val="21"/>
                <w:vertAlign w:val="superscript"/>
              </w:rPr>
              <w:t>***</w:t>
            </w:r>
          </w:p>
        </w:tc>
        <w:tc>
          <w:tcPr>
            <w:tcW w:w="871" w:type="dxa"/>
          </w:tcPr>
          <w:p w14:paraId="3B4D3F2B" w14:textId="77777777" w:rsidR="00C14F36" w:rsidRPr="006E1978" w:rsidRDefault="00C14F36" w:rsidP="00474F6C">
            <w:pPr>
              <w:jc w:val="center"/>
              <w:rPr>
                <w:rFonts w:cs="Times New Roman"/>
                <w:szCs w:val="21"/>
              </w:rPr>
            </w:pPr>
            <w:r w:rsidRPr="006E1978">
              <w:rPr>
                <w:rFonts w:cs="Times New Roman"/>
                <w:szCs w:val="21"/>
              </w:rPr>
              <w:t>.38</w:t>
            </w:r>
            <w:r w:rsidRPr="006E1978">
              <w:rPr>
                <w:rFonts w:cs="Times New Roman" w:hint="eastAsia"/>
                <w:szCs w:val="21"/>
                <w:vertAlign w:val="superscript"/>
              </w:rPr>
              <w:t>***</w:t>
            </w:r>
          </w:p>
        </w:tc>
        <w:tc>
          <w:tcPr>
            <w:tcW w:w="871" w:type="dxa"/>
          </w:tcPr>
          <w:p w14:paraId="1D7D2A1E" w14:textId="77777777" w:rsidR="00C14F36" w:rsidRPr="006E1978" w:rsidRDefault="00C14F36" w:rsidP="00474F6C">
            <w:pPr>
              <w:jc w:val="center"/>
              <w:rPr>
                <w:rFonts w:cs="Times New Roman"/>
                <w:szCs w:val="21"/>
              </w:rPr>
            </w:pPr>
            <w:r w:rsidRPr="006E1978">
              <w:rPr>
                <w:rFonts w:cs="Times New Roman"/>
                <w:szCs w:val="21"/>
              </w:rPr>
              <w:t>.76</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65C57E0A" w14:textId="77777777" w:rsidR="00C14F36" w:rsidRPr="006E1978" w:rsidRDefault="00C14F36" w:rsidP="00474F6C">
            <w:pPr>
              <w:jc w:val="center"/>
              <w:rPr>
                <w:rFonts w:cs="Times New Roman"/>
                <w:szCs w:val="21"/>
              </w:rPr>
            </w:pPr>
            <w:r w:rsidRPr="006E1978">
              <w:rPr>
                <w:rFonts w:cs="Times New Roman" w:hint="eastAsia"/>
                <w:szCs w:val="21"/>
              </w:rPr>
              <w:t>(</w:t>
            </w:r>
            <w:r w:rsidRPr="006E1978">
              <w:rPr>
                <w:rFonts w:cs="Times New Roman"/>
                <w:szCs w:val="21"/>
              </w:rPr>
              <w:t>.84)</w:t>
            </w:r>
          </w:p>
        </w:tc>
        <w:tc>
          <w:tcPr>
            <w:tcW w:w="871" w:type="dxa"/>
          </w:tcPr>
          <w:p w14:paraId="648127DD" w14:textId="77777777" w:rsidR="00C14F36" w:rsidRPr="006E1978" w:rsidRDefault="00C14F36" w:rsidP="00474F6C">
            <w:pPr>
              <w:jc w:val="center"/>
              <w:rPr>
                <w:rFonts w:cs="Times New Roman"/>
                <w:szCs w:val="21"/>
              </w:rPr>
            </w:pPr>
          </w:p>
        </w:tc>
        <w:tc>
          <w:tcPr>
            <w:tcW w:w="870" w:type="dxa"/>
          </w:tcPr>
          <w:p w14:paraId="49E32825" w14:textId="77777777" w:rsidR="00C14F36" w:rsidRPr="006E1978" w:rsidRDefault="00C14F36" w:rsidP="00474F6C">
            <w:pPr>
              <w:jc w:val="center"/>
              <w:rPr>
                <w:rFonts w:cs="Times New Roman"/>
                <w:szCs w:val="21"/>
              </w:rPr>
            </w:pPr>
          </w:p>
        </w:tc>
        <w:tc>
          <w:tcPr>
            <w:tcW w:w="871" w:type="dxa"/>
          </w:tcPr>
          <w:p w14:paraId="2A87EBA2" w14:textId="77777777" w:rsidR="00C14F36" w:rsidRPr="006E1978" w:rsidRDefault="00C14F36" w:rsidP="00474F6C">
            <w:pPr>
              <w:jc w:val="center"/>
              <w:rPr>
                <w:rFonts w:cs="Times New Roman"/>
                <w:szCs w:val="21"/>
              </w:rPr>
            </w:pPr>
          </w:p>
        </w:tc>
        <w:tc>
          <w:tcPr>
            <w:tcW w:w="871" w:type="dxa"/>
          </w:tcPr>
          <w:p w14:paraId="3B6777AD" w14:textId="77777777" w:rsidR="00C14F36" w:rsidRPr="006E1978" w:rsidRDefault="00C14F36" w:rsidP="00474F6C">
            <w:pPr>
              <w:jc w:val="center"/>
              <w:rPr>
                <w:rFonts w:cs="Times New Roman"/>
                <w:szCs w:val="21"/>
              </w:rPr>
            </w:pPr>
          </w:p>
        </w:tc>
        <w:tc>
          <w:tcPr>
            <w:tcW w:w="871" w:type="dxa"/>
          </w:tcPr>
          <w:p w14:paraId="0B66E8D0" w14:textId="77777777" w:rsidR="00C14F36" w:rsidRPr="006E1978" w:rsidRDefault="00C14F36" w:rsidP="00474F6C">
            <w:pPr>
              <w:jc w:val="center"/>
              <w:rPr>
                <w:rFonts w:cs="Times New Roman"/>
                <w:szCs w:val="21"/>
              </w:rPr>
            </w:pPr>
          </w:p>
        </w:tc>
        <w:tc>
          <w:tcPr>
            <w:tcW w:w="871" w:type="dxa"/>
          </w:tcPr>
          <w:p w14:paraId="05FE398D" w14:textId="77777777" w:rsidR="00C14F36" w:rsidRPr="006E1978" w:rsidRDefault="00C14F36" w:rsidP="00474F6C">
            <w:pPr>
              <w:jc w:val="center"/>
              <w:rPr>
                <w:rFonts w:cs="Times New Roman"/>
                <w:szCs w:val="21"/>
              </w:rPr>
            </w:pPr>
          </w:p>
        </w:tc>
      </w:tr>
      <w:tr w:rsidR="00C14F36" w:rsidRPr="006E1978" w14:paraId="0B6C7A24" w14:textId="77777777" w:rsidTr="00C16026">
        <w:tc>
          <w:tcPr>
            <w:tcW w:w="1985" w:type="dxa"/>
          </w:tcPr>
          <w:p w14:paraId="6599C0B8" w14:textId="77777777" w:rsidR="00C14F36" w:rsidRPr="006E1978" w:rsidRDefault="00C14F36" w:rsidP="00474F6C">
            <w:pPr>
              <w:jc w:val="left"/>
              <w:rPr>
                <w:rFonts w:cs="Times New Roman"/>
                <w:sz w:val="22"/>
              </w:rPr>
            </w:pPr>
            <w:r w:rsidRPr="006E1978">
              <w:rPr>
                <w:rFonts w:cs="Times New Roman"/>
                <w:sz w:val="22"/>
              </w:rPr>
              <w:t xml:space="preserve">7. </w:t>
            </w:r>
            <w:proofErr w:type="spellStart"/>
            <w:r w:rsidRPr="006E1978">
              <w:rPr>
                <w:rFonts w:cs="Times New Roman"/>
                <w:sz w:val="22"/>
              </w:rPr>
              <w:t>CC</w:t>
            </w:r>
            <w:r w:rsidRPr="006E1978">
              <w:rPr>
                <w:rFonts w:cs="Times New Roman"/>
                <w:sz w:val="22"/>
                <w:vertAlign w:val="superscript"/>
              </w:rPr>
              <w:t>a</w:t>
            </w:r>
            <w:proofErr w:type="spellEnd"/>
          </w:p>
        </w:tc>
        <w:tc>
          <w:tcPr>
            <w:tcW w:w="870" w:type="dxa"/>
          </w:tcPr>
          <w:p w14:paraId="568330E1" w14:textId="77777777" w:rsidR="00C14F36" w:rsidRPr="006E1978" w:rsidRDefault="00C14F36" w:rsidP="00474F6C">
            <w:pPr>
              <w:jc w:val="center"/>
              <w:rPr>
                <w:rFonts w:cs="Times New Roman"/>
                <w:szCs w:val="21"/>
              </w:rPr>
            </w:pPr>
            <w:r w:rsidRPr="006E1978">
              <w:rPr>
                <w:rFonts w:cs="Times New Roman" w:hint="eastAsia"/>
                <w:szCs w:val="21"/>
              </w:rPr>
              <w:t>1</w:t>
            </w:r>
            <w:r w:rsidRPr="006E1978">
              <w:rPr>
                <w:rFonts w:cs="Times New Roman"/>
                <w:szCs w:val="21"/>
              </w:rPr>
              <w:t>1.16</w:t>
            </w:r>
          </w:p>
        </w:tc>
        <w:tc>
          <w:tcPr>
            <w:tcW w:w="871" w:type="dxa"/>
          </w:tcPr>
          <w:p w14:paraId="01F70002" w14:textId="77777777" w:rsidR="00C14F36" w:rsidRPr="006E1978" w:rsidRDefault="00C14F36" w:rsidP="00474F6C">
            <w:pPr>
              <w:jc w:val="center"/>
              <w:rPr>
                <w:rFonts w:cs="Times New Roman"/>
                <w:szCs w:val="21"/>
              </w:rPr>
            </w:pPr>
            <w:r w:rsidRPr="006E1978">
              <w:rPr>
                <w:rFonts w:cs="Times New Roman" w:hint="eastAsia"/>
                <w:szCs w:val="21"/>
              </w:rPr>
              <w:t>3</w:t>
            </w:r>
            <w:r w:rsidRPr="006E1978">
              <w:rPr>
                <w:rFonts w:cs="Times New Roman"/>
                <w:szCs w:val="21"/>
              </w:rPr>
              <w:t>.22</w:t>
            </w:r>
          </w:p>
        </w:tc>
        <w:tc>
          <w:tcPr>
            <w:tcW w:w="871" w:type="dxa"/>
          </w:tcPr>
          <w:p w14:paraId="7BC7FF26" w14:textId="77777777" w:rsidR="00C14F36" w:rsidRPr="006E1978" w:rsidRDefault="00C14F36" w:rsidP="00474F6C">
            <w:pPr>
              <w:jc w:val="center"/>
              <w:rPr>
                <w:rFonts w:cs="Times New Roman"/>
                <w:szCs w:val="21"/>
              </w:rPr>
            </w:pPr>
            <w:r w:rsidRPr="006E1978">
              <w:rPr>
                <w:rFonts w:cs="Times New Roman"/>
                <w:szCs w:val="21"/>
              </w:rPr>
              <w:t>.47</w:t>
            </w:r>
            <w:r w:rsidRPr="006E1978">
              <w:rPr>
                <w:rFonts w:cs="Times New Roman" w:hint="eastAsia"/>
                <w:szCs w:val="21"/>
                <w:vertAlign w:val="superscript"/>
              </w:rPr>
              <w:t>***</w:t>
            </w:r>
          </w:p>
        </w:tc>
        <w:tc>
          <w:tcPr>
            <w:tcW w:w="871" w:type="dxa"/>
          </w:tcPr>
          <w:p w14:paraId="42945E60" w14:textId="77777777" w:rsidR="00C14F36" w:rsidRPr="006E1978" w:rsidRDefault="00C14F36" w:rsidP="00474F6C">
            <w:pPr>
              <w:jc w:val="center"/>
              <w:rPr>
                <w:rFonts w:cs="Times New Roman"/>
                <w:szCs w:val="21"/>
              </w:rPr>
            </w:pPr>
            <w:r w:rsidRPr="006E1978">
              <w:rPr>
                <w:rFonts w:cs="Times New Roman"/>
                <w:szCs w:val="21"/>
              </w:rPr>
              <w:t>.36</w:t>
            </w:r>
            <w:r w:rsidRPr="006E1978">
              <w:rPr>
                <w:rFonts w:cs="Times New Roman" w:hint="eastAsia"/>
                <w:szCs w:val="21"/>
                <w:vertAlign w:val="superscript"/>
              </w:rPr>
              <w:t>***</w:t>
            </w:r>
          </w:p>
        </w:tc>
        <w:tc>
          <w:tcPr>
            <w:tcW w:w="870" w:type="dxa"/>
          </w:tcPr>
          <w:p w14:paraId="50F5664F" w14:textId="77777777" w:rsidR="00C14F36" w:rsidRPr="006E1978" w:rsidRDefault="00C14F36" w:rsidP="00474F6C">
            <w:pPr>
              <w:jc w:val="center"/>
              <w:rPr>
                <w:rFonts w:cs="Times New Roman"/>
                <w:szCs w:val="21"/>
              </w:rPr>
            </w:pPr>
            <w:r w:rsidRPr="006E1978">
              <w:rPr>
                <w:rFonts w:cs="Times New Roman"/>
                <w:szCs w:val="21"/>
              </w:rPr>
              <w:t>.44</w:t>
            </w:r>
            <w:r w:rsidRPr="006E1978">
              <w:rPr>
                <w:rFonts w:cs="Times New Roman" w:hint="eastAsia"/>
                <w:szCs w:val="21"/>
                <w:vertAlign w:val="superscript"/>
              </w:rPr>
              <w:t>***</w:t>
            </w:r>
          </w:p>
        </w:tc>
        <w:tc>
          <w:tcPr>
            <w:tcW w:w="871" w:type="dxa"/>
          </w:tcPr>
          <w:p w14:paraId="7162D1F1" w14:textId="77777777" w:rsidR="00C14F36" w:rsidRPr="006E1978" w:rsidRDefault="00C14F36" w:rsidP="00474F6C">
            <w:pPr>
              <w:jc w:val="center"/>
              <w:rPr>
                <w:rFonts w:cs="Times New Roman"/>
                <w:szCs w:val="21"/>
              </w:rPr>
            </w:pPr>
            <w:r w:rsidRPr="006E1978">
              <w:rPr>
                <w:rFonts w:cs="Times New Roman"/>
                <w:szCs w:val="21"/>
              </w:rPr>
              <w:t>.34</w:t>
            </w:r>
            <w:r w:rsidRPr="006E1978">
              <w:rPr>
                <w:rFonts w:cs="Times New Roman" w:hint="eastAsia"/>
                <w:szCs w:val="21"/>
                <w:vertAlign w:val="superscript"/>
              </w:rPr>
              <w:t>***</w:t>
            </w:r>
          </w:p>
        </w:tc>
        <w:tc>
          <w:tcPr>
            <w:tcW w:w="871" w:type="dxa"/>
          </w:tcPr>
          <w:p w14:paraId="771D044E" w14:textId="77777777" w:rsidR="00C14F36" w:rsidRPr="006E1978" w:rsidRDefault="00C14F36" w:rsidP="00474F6C">
            <w:pPr>
              <w:jc w:val="center"/>
              <w:rPr>
                <w:rFonts w:cs="Times New Roman"/>
                <w:szCs w:val="21"/>
              </w:rPr>
            </w:pPr>
            <w:r w:rsidRPr="006E1978">
              <w:rPr>
                <w:rFonts w:cs="Times New Roman"/>
                <w:szCs w:val="21"/>
              </w:rPr>
              <w:t>.84</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2F3B2AFC" w14:textId="77777777" w:rsidR="00C14F36" w:rsidRPr="006E1978" w:rsidRDefault="00C14F36" w:rsidP="00474F6C">
            <w:pPr>
              <w:jc w:val="center"/>
              <w:rPr>
                <w:rFonts w:cs="Times New Roman"/>
                <w:szCs w:val="21"/>
              </w:rPr>
            </w:pPr>
            <w:r w:rsidRPr="006E1978">
              <w:rPr>
                <w:rFonts w:cs="Times New Roman"/>
                <w:szCs w:val="21"/>
              </w:rPr>
              <w:t>.75</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0BECC8C3" w14:textId="77777777" w:rsidR="00C14F36" w:rsidRPr="006E1978" w:rsidRDefault="00C14F36" w:rsidP="00474F6C">
            <w:pPr>
              <w:jc w:val="center"/>
              <w:rPr>
                <w:rFonts w:cs="Times New Roman"/>
                <w:szCs w:val="21"/>
              </w:rPr>
            </w:pPr>
            <w:r w:rsidRPr="006E1978">
              <w:rPr>
                <w:rFonts w:cs="Times New Roman" w:hint="eastAsia"/>
                <w:szCs w:val="21"/>
              </w:rPr>
              <w:t>(</w:t>
            </w:r>
            <w:r w:rsidRPr="006E1978">
              <w:rPr>
                <w:rFonts w:cs="Times New Roman"/>
                <w:szCs w:val="21"/>
              </w:rPr>
              <w:t>.85)</w:t>
            </w:r>
          </w:p>
        </w:tc>
        <w:tc>
          <w:tcPr>
            <w:tcW w:w="870" w:type="dxa"/>
          </w:tcPr>
          <w:p w14:paraId="15DE91B2" w14:textId="77777777" w:rsidR="00C14F36" w:rsidRPr="006E1978" w:rsidRDefault="00C14F36" w:rsidP="00474F6C">
            <w:pPr>
              <w:jc w:val="center"/>
              <w:rPr>
                <w:rFonts w:cs="Times New Roman"/>
                <w:szCs w:val="21"/>
              </w:rPr>
            </w:pPr>
          </w:p>
        </w:tc>
        <w:tc>
          <w:tcPr>
            <w:tcW w:w="871" w:type="dxa"/>
          </w:tcPr>
          <w:p w14:paraId="16881DA0" w14:textId="77777777" w:rsidR="00C14F36" w:rsidRPr="006E1978" w:rsidRDefault="00C14F36" w:rsidP="00474F6C">
            <w:pPr>
              <w:jc w:val="center"/>
              <w:rPr>
                <w:rFonts w:cs="Times New Roman"/>
                <w:szCs w:val="21"/>
              </w:rPr>
            </w:pPr>
          </w:p>
        </w:tc>
        <w:tc>
          <w:tcPr>
            <w:tcW w:w="871" w:type="dxa"/>
          </w:tcPr>
          <w:p w14:paraId="7EE5534B" w14:textId="77777777" w:rsidR="00C14F36" w:rsidRPr="006E1978" w:rsidRDefault="00C14F36" w:rsidP="00474F6C">
            <w:pPr>
              <w:jc w:val="center"/>
              <w:rPr>
                <w:rFonts w:cs="Times New Roman"/>
                <w:szCs w:val="21"/>
              </w:rPr>
            </w:pPr>
          </w:p>
        </w:tc>
        <w:tc>
          <w:tcPr>
            <w:tcW w:w="871" w:type="dxa"/>
          </w:tcPr>
          <w:p w14:paraId="3EB97216" w14:textId="77777777" w:rsidR="00C14F36" w:rsidRPr="006E1978" w:rsidRDefault="00C14F36" w:rsidP="00474F6C">
            <w:pPr>
              <w:jc w:val="center"/>
              <w:rPr>
                <w:rFonts w:cs="Times New Roman"/>
                <w:szCs w:val="21"/>
              </w:rPr>
            </w:pPr>
          </w:p>
        </w:tc>
        <w:tc>
          <w:tcPr>
            <w:tcW w:w="871" w:type="dxa"/>
          </w:tcPr>
          <w:p w14:paraId="6B5A89FC" w14:textId="77777777" w:rsidR="00C14F36" w:rsidRPr="006E1978" w:rsidRDefault="00C14F36" w:rsidP="00474F6C">
            <w:pPr>
              <w:jc w:val="center"/>
              <w:rPr>
                <w:rFonts w:cs="Times New Roman"/>
                <w:szCs w:val="21"/>
              </w:rPr>
            </w:pPr>
          </w:p>
        </w:tc>
      </w:tr>
      <w:tr w:rsidR="00C14F36" w:rsidRPr="006E1978" w14:paraId="2EAD4B1D" w14:textId="77777777" w:rsidTr="00C16026">
        <w:tc>
          <w:tcPr>
            <w:tcW w:w="1985" w:type="dxa"/>
          </w:tcPr>
          <w:p w14:paraId="5B9678A4" w14:textId="77777777" w:rsidR="00C14F36" w:rsidRPr="006E1978" w:rsidRDefault="00C14F36" w:rsidP="00474F6C">
            <w:pPr>
              <w:jc w:val="left"/>
              <w:rPr>
                <w:rFonts w:cs="Times New Roman"/>
                <w:sz w:val="22"/>
              </w:rPr>
            </w:pPr>
            <w:r w:rsidRPr="006E1978">
              <w:rPr>
                <w:rFonts w:cs="Times New Roman"/>
                <w:sz w:val="22"/>
              </w:rPr>
              <w:t xml:space="preserve">8. </w:t>
            </w:r>
            <w:proofErr w:type="spellStart"/>
            <w:r w:rsidRPr="006E1978">
              <w:rPr>
                <w:rFonts w:cs="Times New Roman"/>
                <w:sz w:val="22"/>
              </w:rPr>
              <w:t>NC</w:t>
            </w:r>
            <w:r w:rsidRPr="006E1978">
              <w:rPr>
                <w:rFonts w:cs="Times New Roman"/>
                <w:sz w:val="22"/>
                <w:vertAlign w:val="superscript"/>
              </w:rPr>
              <w:t>a</w:t>
            </w:r>
            <w:proofErr w:type="spellEnd"/>
          </w:p>
        </w:tc>
        <w:tc>
          <w:tcPr>
            <w:tcW w:w="870" w:type="dxa"/>
          </w:tcPr>
          <w:p w14:paraId="369F02F2" w14:textId="77777777" w:rsidR="00C14F36" w:rsidRPr="006E1978" w:rsidRDefault="00C14F36" w:rsidP="00474F6C">
            <w:pPr>
              <w:jc w:val="center"/>
              <w:rPr>
                <w:rFonts w:cs="Times New Roman"/>
                <w:szCs w:val="21"/>
              </w:rPr>
            </w:pPr>
            <w:r w:rsidRPr="006E1978">
              <w:rPr>
                <w:rFonts w:cs="Times New Roman" w:hint="eastAsia"/>
                <w:szCs w:val="21"/>
              </w:rPr>
              <w:t>1</w:t>
            </w:r>
            <w:r w:rsidRPr="006E1978">
              <w:rPr>
                <w:rFonts w:cs="Times New Roman"/>
                <w:szCs w:val="21"/>
              </w:rPr>
              <w:t>1.47</w:t>
            </w:r>
          </w:p>
        </w:tc>
        <w:tc>
          <w:tcPr>
            <w:tcW w:w="871" w:type="dxa"/>
          </w:tcPr>
          <w:p w14:paraId="0D40CFD0" w14:textId="77777777" w:rsidR="00C14F36" w:rsidRPr="006E1978" w:rsidRDefault="00C14F36" w:rsidP="00474F6C">
            <w:pPr>
              <w:jc w:val="center"/>
              <w:rPr>
                <w:rFonts w:cs="Times New Roman"/>
                <w:szCs w:val="21"/>
              </w:rPr>
            </w:pPr>
            <w:r w:rsidRPr="006E1978">
              <w:rPr>
                <w:rFonts w:cs="Times New Roman" w:hint="eastAsia"/>
                <w:szCs w:val="21"/>
              </w:rPr>
              <w:t>3</w:t>
            </w:r>
            <w:r w:rsidRPr="006E1978">
              <w:rPr>
                <w:rFonts w:cs="Times New Roman"/>
                <w:szCs w:val="21"/>
              </w:rPr>
              <w:t>.41</w:t>
            </w:r>
          </w:p>
        </w:tc>
        <w:tc>
          <w:tcPr>
            <w:tcW w:w="871" w:type="dxa"/>
          </w:tcPr>
          <w:p w14:paraId="0A71267F" w14:textId="77777777" w:rsidR="00C14F36" w:rsidRPr="006E1978" w:rsidRDefault="00C14F36" w:rsidP="00474F6C">
            <w:pPr>
              <w:jc w:val="center"/>
              <w:rPr>
                <w:rFonts w:cs="Times New Roman"/>
                <w:szCs w:val="21"/>
              </w:rPr>
            </w:pPr>
            <w:r w:rsidRPr="006E1978">
              <w:rPr>
                <w:rFonts w:cs="Times New Roman"/>
                <w:szCs w:val="21"/>
              </w:rPr>
              <w:t>.48</w:t>
            </w:r>
            <w:r w:rsidRPr="006E1978">
              <w:rPr>
                <w:rFonts w:cs="Times New Roman" w:hint="eastAsia"/>
                <w:szCs w:val="21"/>
                <w:vertAlign w:val="superscript"/>
              </w:rPr>
              <w:t>***</w:t>
            </w:r>
          </w:p>
        </w:tc>
        <w:tc>
          <w:tcPr>
            <w:tcW w:w="871" w:type="dxa"/>
          </w:tcPr>
          <w:p w14:paraId="31DE9800" w14:textId="77777777" w:rsidR="00C14F36" w:rsidRPr="006E1978" w:rsidRDefault="00C14F36" w:rsidP="00474F6C">
            <w:pPr>
              <w:jc w:val="center"/>
              <w:rPr>
                <w:rFonts w:cs="Times New Roman"/>
                <w:szCs w:val="21"/>
              </w:rPr>
            </w:pPr>
            <w:r w:rsidRPr="006E1978">
              <w:rPr>
                <w:rFonts w:cs="Times New Roman"/>
                <w:szCs w:val="21"/>
              </w:rPr>
              <w:t>.40</w:t>
            </w:r>
            <w:r w:rsidRPr="006E1978">
              <w:rPr>
                <w:rFonts w:cs="Times New Roman" w:hint="eastAsia"/>
                <w:szCs w:val="21"/>
                <w:vertAlign w:val="superscript"/>
              </w:rPr>
              <w:t>***</w:t>
            </w:r>
          </w:p>
        </w:tc>
        <w:tc>
          <w:tcPr>
            <w:tcW w:w="870" w:type="dxa"/>
          </w:tcPr>
          <w:p w14:paraId="437A04E0" w14:textId="77777777" w:rsidR="00C14F36" w:rsidRPr="006E1978" w:rsidRDefault="00C14F36" w:rsidP="00474F6C">
            <w:pPr>
              <w:jc w:val="center"/>
              <w:rPr>
                <w:rFonts w:cs="Times New Roman"/>
                <w:szCs w:val="21"/>
              </w:rPr>
            </w:pPr>
            <w:r w:rsidRPr="006E1978">
              <w:rPr>
                <w:rFonts w:cs="Times New Roman"/>
                <w:szCs w:val="21"/>
              </w:rPr>
              <w:t>.46</w:t>
            </w:r>
            <w:r w:rsidRPr="006E1978">
              <w:rPr>
                <w:rFonts w:cs="Times New Roman" w:hint="eastAsia"/>
                <w:szCs w:val="21"/>
                <w:vertAlign w:val="superscript"/>
              </w:rPr>
              <w:t>***</w:t>
            </w:r>
          </w:p>
        </w:tc>
        <w:tc>
          <w:tcPr>
            <w:tcW w:w="871" w:type="dxa"/>
          </w:tcPr>
          <w:p w14:paraId="3B19ED27" w14:textId="77777777" w:rsidR="00C14F36" w:rsidRPr="006E1978" w:rsidRDefault="00C14F36" w:rsidP="00474F6C">
            <w:pPr>
              <w:jc w:val="center"/>
              <w:rPr>
                <w:rFonts w:cs="Times New Roman"/>
                <w:szCs w:val="21"/>
              </w:rPr>
            </w:pPr>
            <w:r w:rsidRPr="006E1978">
              <w:rPr>
                <w:rFonts w:cs="Times New Roman"/>
                <w:szCs w:val="21"/>
              </w:rPr>
              <w:t>.38</w:t>
            </w:r>
            <w:r w:rsidRPr="006E1978">
              <w:rPr>
                <w:rFonts w:cs="Times New Roman" w:hint="eastAsia"/>
                <w:szCs w:val="21"/>
                <w:vertAlign w:val="superscript"/>
              </w:rPr>
              <w:t>***</w:t>
            </w:r>
          </w:p>
        </w:tc>
        <w:tc>
          <w:tcPr>
            <w:tcW w:w="871" w:type="dxa"/>
          </w:tcPr>
          <w:p w14:paraId="6CABBA98" w14:textId="77777777" w:rsidR="00C14F36" w:rsidRPr="006E1978" w:rsidRDefault="00C14F36" w:rsidP="00474F6C">
            <w:pPr>
              <w:jc w:val="center"/>
              <w:rPr>
                <w:rFonts w:cs="Times New Roman"/>
                <w:szCs w:val="21"/>
              </w:rPr>
            </w:pPr>
            <w:r w:rsidRPr="006E1978">
              <w:rPr>
                <w:rFonts w:cs="Times New Roman"/>
                <w:szCs w:val="21"/>
              </w:rPr>
              <w:t>.81</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132259B9" w14:textId="77777777" w:rsidR="00C14F36" w:rsidRPr="006E1978" w:rsidRDefault="00C14F36" w:rsidP="00474F6C">
            <w:pPr>
              <w:jc w:val="center"/>
              <w:rPr>
                <w:rFonts w:cs="Times New Roman"/>
                <w:szCs w:val="21"/>
              </w:rPr>
            </w:pPr>
            <w:r w:rsidRPr="006E1978">
              <w:rPr>
                <w:rFonts w:cs="Times New Roman"/>
                <w:szCs w:val="21"/>
              </w:rPr>
              <w:t>.81</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27D8D577" w14:textId="77777777" w:rsidR="00C14F36" w:rsidRPr="006E1978" w:rsidRDefault="00C14F36" w:rsidP="00474F6C">
            <w:pPr>
              <w:jc w:val="center"/>
              <w:rPr>
                <w:rFonts w:cs="Times New Roman"/>
                <w:szCs w:val="21"/>
              </w:rPr>
            </w:pPr>
            <w:r w:rsidRPr="006E1978">
              <w:rPr>
                <w:rFonts w:cs="Times New Roman"/>
                <w:szCs w:val="21"/>
              </w:rPr>
              <w:t>.83</w:t>
            </w:r>
            <w:r w:rsidRPr="006E1978">
              <w:rPr>
                <w:rFonts w:cs="Times New Roman"/>
                <w:kern w:val="0"/>
                <w:szCs w:val="21"/>
                <w:vertAlign w:val="superscript"/>
              </w:rPr>
              <w:t>**</w:t>
            </w:r>
            <w:r w:rsidRPr="006E1978">
              <w:rPr>
                <w:rFonts w:cs="Times New Roman" w:hint="eastAsia"/>
                <w:szCs w:val="21"/>
                <w:vertAlign w:val="superscript"/>
              </w:rPr>
              <w:t>*</w:t>
            </w:r>
          </w:p>
        </w:tc>
        <w:tc>
          <w:tcPr>
            <w:tcW w:w="870" w:type="dxa"/>
          </w:tcPr>
          <w:p w14:paraId="4482061B" w14:textId="77777777" w:rsidR="00C14F36" w:rsidRPr="006E1978" w:rsidRDefault="00C14F36" w:rsidP="00474F6C">
            <w:pPr>
              <w:jc w:val="center"/>
              <w:rPr>
                <w:rFonts w:cs="Times New Roman"/>
                <w:szCs w:val="21"/>
              </w:rPr>
            </w:pPr>
            <w:r w:rsidRPr="006E1978">
              <w:rPr>
                <w:rFonts w:cs="Times New Roman" w:hint="eastAsia"/>
                <w:szCs w:val="21"/>
              </w:rPr>
              <w:t>(</w:t>
            </w:r>
            <w:r w:rsidRPr="006E1978">
              <w:rPr>
                <w:rFonts w:cs="Times New Roman"/>
                <w:szCs w:val="21"/>
              </w:rPr>
              <w:t>.82)</w:t>
            </w:r>
          </w:p>
        </w:tc>
        <w:tc>
          <w:tcPr>
            <w:tcW w:w="871" w:type="dxa"/>
          </w:tcPr>
          <w:p w14:paraId="4B310569" w14:textId="77777777" w:rsidR="00C14F36" w:rsidRPr="006E1978" w:rsidRDefault="00C14F36" w:rsidP="00474F6C">
            <w:pPr>
              <w:jc w:val="center"/>
              <w:rPr>
                <w:rFonts w:cs="Times New Roman"/>
                <w:szCs w:val="21"/>
              </w:rPr>
            </w:pPr>
          </w:p>
        </w:tc>
        <w:tc>
          <w:tcPr>
            <w:tcW w:w="871" w:type="dxa"/>
          </w:tcPr>
          <w:p w14:paraId="32A9718D" w14:textId="77777777" w:rsidR="00C14F36" w:rsidRPr="006E1978" w:rsidRDefault="00C14F36" w:rsidP="00474F6C">
            <w:pPr>
              <w:jc w:val="center"/>
              <w:rPr>
                <w:rFonts w:cs="Times New Roman"/>
                <w:szCs w:val="21"/>
              </w:rPr>
            </w:pPr>
          </w:p>
        </w:tc>
        <w:tc>
          <w:tcPr>
            <w:tcW w:w="871" w:type="dxa"/>
          </w:tcPr>
          <w:p w14:paraId="2975F0FC" w14:textId="77777777" w:rsidR="00C14F36" w:rsidRPr="006E1978" w:rsidRDefault="00C14F36" w:rsidP="00474F6C">
            <w:pPr>
              <w:jc w:val="center"/>
              <w:rPr>
                <w:rFonts w:cs="Times New Roman"/>
                <w:szCs w:val="21"/>
              </w:rPr>
            </w:pPr>
          </w:p>
        </w:tc>
        <w:tc>
          <w:tcPr>
            <w:tcW w:w="871" w:type="dxa"/>
          </w:tcPr>
          <w:p w14:paraId="2CAAC751" w14:textId="77777777" w:rsidR="00C14F36" w:rsidRPr="006E1978" w:rsidRDefault="00C14F36" w:rsidP="00474F6C">
            <w:pPr>
              <w:jc w:val="center"/>
              <w:rPr>
                <w:rFonts w:cs="Times New Roman"/>
                <w:szCs w:val="21"/>
              </w:rPr>
            </w:pPr>
          </w:p>
        </w:tc>
      </w:tr>
      <w:tr w:rsidR="00C14F36" w:rsidRPr="006E1978" w14:paraId="5E9AAFDC" w14:textId="77777777" w:rsidTr="00C16026">
        <w:tc>
          <w:tcPr>
            <w:tcW w:w="1985" w:type="dxa"/>
          </w:tcPr>
          <w:p w14:paraId="49276576" w14:textId="77777777" w:rsidR="00C14F36" w:rsidRPr="006E1978" w:rsidRDefault="00C14F36" w:rsidP="00474F6C">
            <w:pPr>
              <w:jc w:val="left"/>
              <w:rPr>
                <w:rFonts w:cs="Times New Roman"/>
                <w:sz w:val="22"/>
              </w:rPr>
            </w:pPr>
            <w:r w:rsidRPr="006E1978">
              <w:rPr>
                <w:rFonts w:cs="Times New Roman"/>
                <w:sz w:val="22"/>
              </w:rPr>
              <w:t xml:space="preserve">9. </w:t>
            </w:r>
            <w:proofErr w:type="spellStart"/>
            <w:r w:rsidRPr="006E1978">
              <w:rPr>
                <w:rFonts w:cs="Times New Roman"/>
                <w:sz w:val="22"/>
              </w:rPr>
              <w:t>CSC</w:t>
            </w:r>
            <w:r w:rsidRPr="006E1978">
              <w:rPr>
                <w:rFonts w:cs="Times New Roman"/>
                <w:sz w:val="22"/>
                <w:vertAlign w:val="superscript"/>
              </w:rPr>
              <w:t>a</w:t>
            </w:r>
            <w:proofErr w:type="spellEnd"/>
          </w:p>
        </w:tc>
        <w:tc>
          <w:tcPr>
            <w:tcW w:w="870" w:type="dxa"/>
          </w:tcPr>
          <w:p w14:paraId="076C361D" w14:textId="77777777" w:rsidR="00C14F36" w:rsidRPr="006E1978" w:rsidRDefault="00C14F36" w:rsidP="00474F6C">
            <w:pPr>
              <w:jc w:val="center"/>
              <w:rPr>
                <w:rFonts w:cs="Times New Roman"/>
                <w:szCs w:val="21"/>
              </w:rPr>
            </w:pPr>
            <w:r w:rsidRPr="006E1978">
              <w:rPr>
                <w:rFonts w:cs="Times New Roman" w:hint="eastAsia"/>
                <w:szCs w:val="21"/>
              </w:rPr>
              <w:t>1</w:t>
            </w:r>
            <w:r w:rsidRPr="006E1978">
              <w:rPr>
                <w:rFonts w:cs="Times New Roman"/>
                <w:szCs w:val="21"/>
              </w:rPr>
              <w:t>2.34</w:t>
            </w:r>
          </w:p>
        </w:tc>
        <w:tc>
          <w:tcPr>
            <w:tcW w:w="871" w:type="dxa"/>
          </w:tcPr>
          <w:p w14:paraId="5D64ACA2" w14:textId="77777777" w:rsidR="00C14F36" w:rsidRPr="006E1978" w:rsidRDefault="00C14F36" w:rsidP="00474F6C">
            <w:pPr>
              <w:jc w:val="center"/>
              <w:rPr>
                <w:rFonts w:cs="Times New Roman"/>
                <w:szCs w:val="21"/>
              </w:rPr>
            </w:pPr>
            <w:r w:rsidRPr="006E1978">
              <w:rPr>
                <w:rFonts w:cs="Times New Roman" w:hint="eastAsia"/>
                <w:szCs w:val="21"/>
              </w:rPr>
              <w:t>3</w:t>
            </w:r>
            <w:r w:rsidRPr="006E1978">
              <w:rPr>
                <w:rFonts w:cs="Times New Roman"/>
                <w:szCs w:val="21"/>
              </w:rPr>
              <w:t>.15</w:t>
            </w:r>
          </w:p>
        </w:tc>
        <w:tc>
          <w:tcPr>
            <w:tcW w:w="871" w:type="dxa"/>
          </w:tcPr>
          <w:p w14:paraId="7A3FA23B" w14:textId="77777777" w:rsidR="00C14F36" w:rsidRPr="006E1978" w:rsidRDefault="00C14F36" w:rsidP="00474F6C">
            <w:pPr>
              <w:jc w:val="center"/>
              <w:rPr>
                <w:rFonts w:cs="Times New Roman"/>
                <w:szCs w:val="21"/>
              </w:rPr>
            </w:pPr>
            <w:r w:rsidRPr="006E1978">
              <w:rPr>
                <w:rFonts w:cs="Times New Roman"/>
                <w:szCs w:val="21"/>
              </w:rPr>
              <w:t>.37</w:t>
            </w:r>
            <w:r w:rsidRPr="006E1978">
              <w:rPr>
                <w:rFonts w:cs="Times New Roman" w:hint="eastAsia"/>
                <w:szCs w:val="21"/>
                <w:vertAlign w:val="superscript"/>
              </w:rPr>
              <w:t>***</w:t>
            </w:r>
          </w:p>
        </w:tc>
        <w:tc>
          <w:tcPr>
            <w:tcW w:w="871" w:type="dxa"/>
          </w:tcPr>
          <w:p w14:paraId="763FBA66" w14:textId="77777777" w:rsidR="00C14F36" w:rsidRPr="006E1978" w:rsidRDefault="00C14F36" w:rsidP="00474F6C">
            <w:pPr>
              <w:jc w:val="center"/>
              <w:rPr>
                <w:rFonts w:cs="Times New Roman"/>
                <w:szCs w:val="21"/>
              </w:rPr>
            </w:pPr>
            <w:r w:rsidRPr="006E1978">
              <w:rPr>
                <w:rFonts w:cs="Times New Roman"/>
                <w:szCs w:val="21"/>
              </w:rPr>
              <w:t>.36</w:t>
            </w:r>
            <w:r w:rsidRPr="006E1978">
              <w:rPr>
                <w:rFonts w:cs="Times New Roman" w:hint="eastAsia"/>
                <w:szCs w:val="21"/>
                <w:vertAlign w:val="superscript"/>
              </w:rPr>
              <w:t>***</w:t>
            </w:r>
          </w:p>
        </w:tc>
        <w:tc>
          <w:tcPr>
            <w:tcW w:w="870" w:type="dxa"/>
          </w:tcPr>
          <w:p w14:paraId="05DEDCC2" w14:textId="77777777" w:rsidR="00C14F36" w:rsidRPr="006E1978" w:rsidRDefault="00C14F36" w:rsidP="00474F6C">
            <w:pPr>
              <w:jc w:val="center"/>
              <w:rPr>
                <w:rFonts w:cs="Times New Roman"/>
                <w:szCs w:val="21"/>
              </w:rPr>
            </w:pPr>
            <w:r w:rsidRPr="006E1978">
              <w:rPr>
                <w:rFonts w:cs="Times New Roman"/>
                <w:szCs w:val="21"/>
              </w:rPr>
              <w:t>.33</w:t>
            </w:r>
            <w:r w:rsidRPr="006E1978">
              <w:rPr>
                <w:rFonts w:cs="Times New Roman" w:hint="eastAsia"/>
                <w:szCs w:val="21"/>
                <w:vertAlign w:val="superscript"/>
              </w:rPr>
              <w:t>***</w:t>
            </w:r>
          </w:p>
        </w:tc>
        <w:tc>
          <w:tcPr>
            <w:tcW w:w="871" w:type="dxa"/>
          </w:tcPr>
          <w:p w14:paraId="51C7C223" w14:textId="77777777" w:rsidR="00C14F36" w:rsidRPr="006E1978" w:rsidRDefault="00C14F36" w:rsidP="00474F6C">
            <w:pPr>
              <w:jc w:val="center"/>
              <w:rPr>
                <w:rFonts w:cs="Times New Roman"/>
                <w:szCs w:val="21"/>
              </w:rPr>
            </w:pPr>
            <w:r w:rsidRPr="006E1978">
              <w:rPr>
                <w:rFonts w:cs="Times New Roman"/>
                <w:szCs w:val="21"/>
              </w:rPr>
              <w:t>.35</w:t>
            </w:r>
            <w:r w:rsidRPr="006E1978">
              <w:rPr>
                <w:rFonts w:cs="Times New Roman" w:hint="eastAsia"/>
                <w:szCs w:val="21"/>
                <w:vertAlign w:val="superscript"/>
              </w:rPr>
              <w:t>***</w:t>
            </w:r>
          </w:p>
        </w:tc>
        <w:tc>
          <w:tcPr>
            <w:tcW w:w="871" w:type="dxa"/>
          </w:tcPr>
          <w:p w14:paraId="776F9360" w14:textId="77777777" w:rsidR="00C14F36" w:rsidRPr="006E1978" w:rsidRDefault="00C14F36" w:rsidP="00474F6C">
            <w:pPr>
              <w:jc w:val="center"/>
              <w:rPr>
                <w:rFonts w:cs="Times New Roman"/>
                <w:szCs w:val="21"/>
              </w:rPr>
            </w:pPr>
            <w:r w:rsidRPr="006E1978">
              <w:rPr>
                <w:rFonts w:cs="Times New Roman"/>
                <w:szCs w:val="21"/>
              </w:rPr>
              <w:t>.73</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0E75C1D7" w14:textId="77777777" w:rsidR="00C14F36" w:rsidRPr="006E1978" w:rsidRDefault="00C14F36" w:rsidP="00474F6C">
            <w:pPr>
              <w:jc w:val="center"/>
              <w:rPr>
                <w:rFonts w:cs="Times New Roman"/>
                <w:szCs w:val="21"/>
              </w:rPr>
            </w:pPr>
            <w:r w:rsidRPr="006E1978">
              <w:rPr>
                <w:rFonts w:cs="Times New Roman"/>
                <w:szCs w:val="21"/>
              </w:rPr>
              <w:t>.81</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569A013D" w14:textId="77777777" w:rsidR="00C14F36" w:rsidRPr="006E1978" w:rsidRDefault="00C14F36" w:rsidP="00474F6C">
            <w:pPr>
              <w:jc w:val="center"/>
              <w:rPr>
                <w:rFonts w:cs="Times New Roman"/>
                <w:szCs w:val="21"/>
              </w:rPr>
            </w:pPr>
            <w:r w:rsidRPr="006E1978">
              <w:rPr>
                <w:rFonts w:cs="Times New Roman"/>
                <w:szCs w:val="21"/>
              </w:rPr>
              <w:t>.74</w:t>
            </w:r>
            <w:r w:rsidRPr="006E1978">
              <w:rPr>
                <w:rFonts w:cs="Times New Roman"/>
                <w:kern w:val="0"/>
                <w:szCs w:val="21"/>
                <w:vertAlign w:val="superscript"/>
              </w:rPr>
              <w:t>**</w:t>
            </w:r>
            <w:r w:rsidRPr="006E1978">
              <w:rPr>
                <w:rFonts w:cs="Times New Roman" w:hint="eastAsia"/>
                <w:szCs w:val="21"/>
                <w:vertAlign w:val="superscript"/>
              </w:rPr>
              <w:t>*</w:t>
            </w:r>
          </w:p>
        </w:tc>
        <w:tc>
          <w:tcPr>
            <w:tcW w:w="870" w:type="dxa"/>
          </w:tcPr>
          <w:p w14:paraId="6D2E5A79" w14:textId="77777777" w:rsidR="00C14F36" w:rsidRPr="006E1978" w:rsidRDefault="00C14F36" w:rsidP="00474F6C">
            <w:pPr>
              <w:jc w:val="center"/>
              <w:rPr>
                <w:rFonts w:cs="Times New Roman"/>
                <w:szCs w:val="21"/>
              </w:rPr>
            </w:pPr>
            <w:r w:rsidRPr="006E1978">
              <w:rPr>
                <w:rFonts w:cs="Times New Roman"/>
                <w:szCs w:val="21"/>
              </w:rPr>
              <w:t>.78</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2651C194" w14:textId="77777777" w:rsidR="00C14F36" w:rsidRPr="006E1978" w:rsidRDefault="00C14F36" w:rsidP="00474F6C">
            <w:pPr>
              <w:jc w:val="center"/>
              <w:rPr>
                <w:rFonts w:cs="Times New Roman"/>
                <w:szCs w:val="21"/>
              </w:rPr>
            </w:pPr>
            <w:r w:rsidRPr="006E1978">
              <w:rPr>
                <w:rFonts w:cs="Times New Roman" w:hint="eastAsia"/>
                <w:szCs w:val="21"/>
              </w:rPr>
              <w:t>(</w:t>
            </w:r>
            <w:r w:rsidRPr="006E1978">
              <w:rPr>
                <w:rFonts w:cs="Times New Roman"/>
                <w:szCs w:val="21"/>
              </w:rPr>
              <w:t>.84)</w:t>
            </w:r>
          </w:p>
        </w:tc>
        <w:tc>
          <w:tcPr>
            <w:tcW w:w="871" w:type="dxa"/>
          </w:tcPr>
          <w:p w14:paraId="297C1AB7" w14:textId="77777777" w:rsidR="00C14F36" w:rsidRPr="006E1978" w:rsidRDefault="00C14F36" w:rsidP="00474F6C">
            <w:pPr>
              <w:jc w:val="center"/>
              <w:rPr>
                <w:rFonts w:cs="Times New Roman"/>
                <w:szCs w:val="21"/>
              </w:rPr>
            </w:pPr>
          </w:p>
        </w:tc>
        <w:tc>
          <w:tcPr>
            <w:tcW w:w="871" w:type="dxa"/>
          </w:tcPr>
          <w:p w14:paraId="1919B10E" w14:textId="77777777" w:rsidR="00C14F36" w:rsidRPr="006E1978" w:rsidRDefault="00C14F36" w:rsidP="00474F6C">
            <w:pPr>
              <w:jc w:val="center"/>
              <w:rPr>
                <w:rFonts w:cs="Times New Roman"/>
                <w:szCs w:val="21"/>
              </w:rPr>
            </w:pPr>
          </w:p>
        </w:tc>
        <w:tc>
          <w:tcPr>
            <w:tcW w:w="871" w:type="dxa"/>
          </w:tcPr>
          <w:p w14:paraId="09AA2002" w14:textId="77777777" w:rsidR="00C14F36" w:rsidRPr="006E1978" w:rsidRDefault="00C14F36" w:rsidP="00474F6C">
            <w:pPr>
              <w:jc w:val="center"/>
              <w:rPr>
                <w:rFonts w:cs="Times New Roman"/>
                <w:szCs w:val="21"/>
              </w:rPr>
            </w:pPr>
          </w:p>
        </w:tc>
      </w:tr>
      <w:tr w:rsidR="00C14F36" w:rsidRPr="006E1978" w14:paraId="7DB942F8" w14:textId="77777777" w:rsidTr="00C16026">
        <w:tc>
          <w:tcPr>
            <w:tcW w:w="1985" w:type="dxa"/>
          </w:tcPr>
          <w:p w14:paraId="6F598188" w14:textId="77777777" w:rsidR="00C14F36" w:rsidRPr="006E1978" w:rsidRDefault="00C14F36" w:rsidP="00474F6C">
            <w:pPr>
              <w:jc w:val="left"/>
              <w:rPr>
                <w:rFonts w:cs="Times New Roman"/>
                <w:sz w:val="22"/>
              </w:rPr>
            </w:pPr>
            <w:r w:rsidRPr="006E1978">
              <w:rPr>
                <w:rFonts w:cs="Times New Roman"/>
                <w:sz w:val="22"/>
              </w:rPr>
              <w:t>10. Stress</w:t>
            </w:r>
          </w:p>
        </w:tc>
        <w:tc>
          <w:tcPr>
            <w:tcW w:w="870" w:type="dxa"/>
          </w:tcPr>
          <w:p w14:paraId="57CB2CD9" w14:textId="77777777" w:rsidR="00C14F36" w:rsidRPr="006E1978" w:rsidRDefault="00C14F36" w:rsidP="00474F6C">
            <w:pPr>
              <w:jc w:val="center"/>
              <w:rPr>
                <w:rFonts w:cs="Times New Roman"/>
                <w:szCs w:val="21"/>
              </w:rPr>
            </w:pPr>
            <w:r w:rsidRPr="006E1978">
              <w:rPr>
                <w:rFonts w:cs="Times New Roman" w:hint="eastAsia"/>
                <w:szCs w:val="21"/>
              </w:rPr>
              <w:t>4</w:t>
            </w:r>
            <w:r w:rsidRPr="006E1978">
              <w:rPr>
                <w:rFonts w:cs="Times New Roman"/>
                <w:szCs w:val="21"/>
              </w:rPr>
              <w:t>.96</w:t>
            </w:r>
          </w:p>
        </w:tc>
        <w:tc>
          <w:tcPr>
            <w:tcW w:w="871" w:type="dxa"/>
          </w:tcPr>
          <w:p w14:paraId="28847725" w14:textId="77777777" w:rsidR="00C14F36" w:rsidRPr="006E1978" w:rsidRDefault="00C14F36" w:rsidP="00474F6C">
            <w:pPr>
              <w:jc w:val="center"/>
              <w:rPr>
                <w:rFonts w:cs="Times New Roman"/>
                <w:szCs w:val="21"/>
              </w:rPr>
            </w:pPr>
            <w:r w:rsidRPr="006E1978">
              <w:rPr>
                <w:rFonts w:cs="Times New Roman" w:hint="eastAsia"/>
                <w:szCs w:val="21"/>
              </w:rPr>
              <w:t>4</w:t>
            </w:r>
            <w:r w:rsidRPr="006E1978">
              <w:rPr>
                <w:rFonts w:cs="Times New Roman"/>
                <w:szCs w:val="21"/>
              </w:rPr>
              <w:t>.56</w:t>
            </w:r>
          </w:p>
        </w:tc>
        <w:tc>
          <w:tcPr>
            <w:tcW w:w="871" w:type="dxa"/>
          </w:tcPr>
          <w:p w14:paraId="7CDB9902" w14:textId="77777777" w:rsidR="00C14F36" w:rsidRPr="006E1978" w:rsidRDefault="00C14F36" w:rsidP="00474F6C">
            <w:pPr>
              <w:jc w:val="center"/>
              <w:rPr>
                <w:rFonts w:cs="Times New Roman"/>
                <w:szCs w:val="21"/>
              </w:rPr>
            </w:pPr>
            <w:r w:rsidRPr="006E1978">
              <w:rPr>
                <w:rFonts w:cs="Times New Roman"/>
                <w:szCs w:val="21"/>
              </w:rPr>
              <w:t>.46</w:t>
            </w:r>
            <w:r w:rsidRPr="006E1978">
              <w:rPr>
                <w:rFonts w:cs="Times New Roman" w:hint="eastAsia"/>
                <w:szCs w:val="21"/>
                <w:vertAlign w:val="superscript"/>
              </w:rPr>
              <w:t>***</w:t>
            </w:r>
          </w:p>
        </w:tc>
        <w:tc>
          <w:tcPr>
            <w:tcW w:w="871" w:type="dxa"/>
          </w:tcPr>
          <w:p w14:paraId="0F89E860" w14:textId="77777777" w:rsidR="00C14F36" w:rsidRPr="006E1978" w:rsidRDefault="00C14F36" w:rsidP="00474F6C">
            <w:pPr>
              <w:jc w:val="center"/>
              <w:rPr>
                <w:rFonts w:cs="Times New Roman"/>
                <w:szCs w:val="21"/>
              </w:rPr>
            </w:pPr>
            <w:r w:rsidRPr="006E1978">
              <w:rPr>
                <w:rFonts w:cs="Times New Roman"/>
                <w:szCs w:val="21"/>
              </w:rPr>
              <w:t>.29</w:t>
            </w:r>
            <w:r w:rsidRPr="006E1978">
              <w:rPr>
                <w:rFonts w:cs="Times New Roman" w:hint="eastAsia"/>
                <w:szCs w:val="21"/>
                <w:vertAlign w:val="superscript"/>
              </w:rPr>
              <w:t>***</w:t>
            </w:r>
          </w:p>
        </w:tc>
        <w:tc>
          <w:tcPr>
            <w:tcW w:w="870" w:type="dxa"/>
          </w:tcPr>
          <w:p w14:paraId="38A46E16" w14:textId="77777777" w:rsidR="00C14F36" w:rsidRPr="006E1978" w:rsidRDefault="00C14F36" w:rsidP="00474F6C">
            <w:pPr>
              <w:jc w:val="center"/>
              <w:rPr>
                <w:rFonts w:cs="Times New Roman"/>
                <w:szCs w:val="21"/>
              </w:rPr>
            </w:pPr>
            <w:r w:rsidRPr="006E1978">
              <w:rPr>
                <w:rFonts w:cs="Times New Roman"/>
                <w:szCs w:val="21"/>
              </w:rPr>
              <w:t>.45</w:t>
            </w:r>
            <w:r w:rsidRPr="006E1978">
              <w:rPr>
                <w:rFonts w:cs="Times New Roman" w:hint="eastAsia"/>
                <w:szCs w:val="21"/>
                <w:vertAlign w:val="superscript"/>
              </w:rPr>
              <w:t>***</w:t>
            </w:r>
          </w:p>
        </w:tc>
        <w:tc>
          <w:tcPr>
            <w:tcW w:w="871" w:type="dxa"/>
          </w:tcPr>
          <w:p w14:paraId="17201936" w14:textId="77777777" w:rsidR="00C14F36" w:rsidRPr="006E1978" w:rsidRDefault="00C14F36" w:rsidP="00474F6C">
            <w:pPr>
              <w:jc w:val="center"/>
              <w:rPr>
                <w:rFonts w:cs="Times New Roman"/>
                <w:szCs w:val="21"/>
              </w:rPr>
            </w:pPr>
            <w:r w:rsidRPr="006E1978">
              <w:rPr>
                <w:rFonts w:cs="Times New Roman"/>
                <w:szCs w:val="21"/>
              </w:rPr>
              <w:t>.27</w:t>
            </w:r>
            <w:r w:rsidRPr="006E1978">
              <w:rPr>
                <w:rFonts w:cs="Times New Roman" w:hint="eastAsia"/>
                <w:szCs w:val="21"/>
                <w:vertAlign w:val="superscript"/>
              </w:rPr>
              <w:t>***</w:t>
            </w:r>
          </w:p>
        </w:tc>
        <w:tc>
          <w:tcPr>
            <w:tcW w:w="871" w:type="dxa"/>
          </w:tcPr>
          <w:p w14:paraId="4573F094" w14:textId="77777777" w:rsidR="00C14F36" w:rsidRPr="006E1978" w:rsidRDefault="00C14F36" w:rsidP="00474F6C">
            <w:pPr>
              <w:jc w:val="center"/>
              <w:rPr>
                <w:rFonts w:cs="Times New Roman"/>
                <w:szCs w:val="21"/>
              </w:rPr>
            </w:pPr>
            <w:r w:rsidRPr="006E1978">
              <w:rPr>
                <w:rFonts w:cs="Times New Roman"/>
                <w:szCs w:val="21"/>
              </w:rPr>
              <w:t>.50</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0BE12DF1" w14:textId="77777777" w:rsidR="00C14F36" w:rsidRPr="006E1978" w:rsidRDefault="00C14F36" w:rsidP="00474F6C">
            <w:pPr>
              <w:jc w:val="center"/>
              <w:rPr>
                <w:rFonts w:cs="Times New Roman"/>
                <w:szCs w:val="21"/>
              </w:rPr>
            </w:pPr>
            <w:r w:rsidRPr="006E1978">
              <w:rPr>
                <w:rFonts w:cs="Times New Roman"/>
                <w:szCs w:val="21"/>
              </w:rPr>
              <w:t>.47</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58AC37AA" w14:textId="77777777" w:rsidR="00C14F36" w:rsidRPr="006E1978" w:rsidRDefault="00C14F36" w:rsidP="00474F6C">
            <w:pPr>
              <w:jc w:val="center"/>
              <w:rPr>
                <w:rFonts w:cs="Times New Roman"/>
                <w:szCs w:val="21"/>
              </w:rPr>
            </w:pPr>
            <w:r w:rsidRPr="006E1978">
              <w:rPr>
                <w:rFonts w:cs="Times New Roman"/>
                <w:szCs w:val="21"/>
              </w:rPr>
              <w:t>.51</w:t>
            </w:r>
            <w:r w:rsidRPr="006E1978">
              <w:rPr>
                <w:rFonts w:cs="Times New Roman"/>
                <w:kern w:val="0"/>
                <w:szCs w:val="21"/>
                <w:vertAlign w:val="superscript"/>
              </w:rPr>
              <w:t>**</w:t>
            </w:r>
            <w:r w:rsidRPr="006E1978">
              <w:rPr>
                <w:rFonts w:cs="Times New Roman" w:hint="eastAsia"/>
                <w:szCs w:val="21"/>
                <w:vertAlign w:val="superscript"/>
              </w:rPr>
              <w:t>*</w:t>
            </w:r>
          </w:p>
        </w:tc>
        <w:tc>
          <w:tcPr>
            <w:tcW w:w="870" w:type="dxa"/>
          </w:tcPr>
          <w:p w14:paraId="61E048AD" w14:textId="77777777" w:rsidR="00C14F36" w:rsidRPr="006E1978" w:rsidRDefault="00C14F36" w:rsidP="00474F6C">
            <w:pPr>
              <w:jc w:val="center"/>
              <w:rPr>
                <w:rFonts w:cs="Times New Roman"/>
                <w:szCs w:val="21"/>
              </w:rPr>
            </w:pPr>
            <w:r w:rsidRPr="006E1978">
              <w:rPr>
                <w:rFonts w:cs="Times New Roman"/>
                <w:szCs w:val="21"/>
              </w:rPr>
              <w:t>.52</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7450FF78" w14:textId="77777777" w:rsidR="00C14F36" w:rsidRPr="006E1978" w:rsidRDefault="00C14F36" w:rsidP="00474F6C">
            <w:pPr>
              <w:jc w:val="center"/>
              <w:rPr>
                <w:rFonts w:cs="Times New Roman"/>
                <w:szCs w:val="21"/>
              </w:rPr>
            </w:pPr>
            <w:r w:rsidRPr="006E1978">
              <w:rPr>
                <w:rFonts w:cs="Times New Roman"/>
                <w:szCs w:val="21"/>
              </w:rPr>
              <w:t>.41</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62658AA3" w14:textId="77777777" w:rsidR="00C14F36" w:rsidRPr="006E1978" w:rsidRDefault="00C14F36" w:rsidP="00474F6C">
            <w:pPr>
              <w:jc w:val="center"/>
              <w:rPr>
                <w:rFonts w:cs="Times New Roman"/>
                <w:szCs w:val="21"/>
              </w:rPr>
            </w:pPr>
            <w:r w:rsidRPr="006E1978">
              <w:rPr>
                <w:rFonts w:cs="Times New Roman" w:hint="eastAsia"/>
                <w:szCs w:val="21"/>
              </w:rPr>
              <w:t>(</w:t>
            </w:r>
            <w:r w:rsidRPr="006E1978">
              <w:rPr>
                <w:rFonts w:cs="Times New Roman"/>
                <w:szCs w:val="21"/>
              </w:rPr>
              <w:t>.90)</w:t>
            </w:r>
          </w:p>
        </w:tc>
        <w:tc>
          <w:tcPr>
            <w:tcW w:w="871" w:type="dxa"/>
          </w:tcPr>
          <w:p w14:paraId="6C848CB8" w14:textId="77777777" w:rsidR="00C14F36" w:rsidRPr="006E1978" w:rsidRDefault="00C14F36" w:rsidP="00474F6C">
            <w:pPr>
              <w:jc w:val="center"/>
              <w:rPr>
                <w:rFonts w:cs="Times New Roman"/>
                <w:szCs w:val="21"/>
              </w:rPr>
            </w:pPr>
          </w:p>
        </w:tc>
        <w:tc>
          <w:tcPr>
            <w:tcW w:w="871" w:type="dxa"/>
          </w:tcPr>
          <w:p w14:paraId="34175233" w14:textId="77777777" w:rsidR="00C14F36" w:rsidRPr="006E1978" w:rsidRDefault="00C14F36" w:rsidP="00474F6C">
            <w:pPr>
              <w:jc w:val="center"/>
              <w:rPr>
                <w:rFonts w:cs="Times New Roman"/>
                <w:szCs w:val="21"/>
              </w:rPr>
            </w:pPr>
          </w:p>
        </w:tc>
      </w:tr>
      <w:tr w:rsidR="00C14F36" w:rsidRPr="006E1978" w14:paraId="1AA9CB67" w14:textId="77777777" w:rsidTr="00C16026">
        <w:tc>
          <w:tcPr>
            <w:tcW w:w="1985" w:type="dxa"/>
          </w:tcPr>
          <w:p w14:paraId="474B1922" w14:textId="209C5AC7" w:rsidR="00C14F36" w:rsidRPr="006E1978" w:rsidRDefault="00C14F36" w:rsidP="00474F6C">
            <w:pPr>
              <w:jc w:val="left"/>
              <w:rPr>
                <w:rFonts w:cs="Times New Roman"/>
                <w:sz w:val="22"/>
              </w:rPr>
            </w:pPr>
            <w:r w:rsidRPr="006E1978">
              <w:rPr>
                <w:rFonts w:cs="Times New Roman"/>
                <w:sz w:val="22"/>
              </w:rPr>
              <w:t xml:space="preserve">11. IGD </w:t>
            </w:r>
            <w:proofErr w:type="spellStart"/>
            <w:r w:rsidR="00124152" w:rsidRPr="006E1978">
              <w:rPr>
                <w:rFonts w:cs="Times New Roman"/>
                <w:sz w:val="22"/>
              </w:rPr>
              <w:t>tendency</w:t>
            </w:r>
            <w:r w:rsidRPr="006E1978">
              <w:rPr>
                <w:rFonts w:cs="Times New Roman"/>
                <w:sz w:val="22"/>
                <w:vertAlign w:val="superscript"/>
              </w:rPr>
              <w:t>b</w:t>
            </w:r>
            <w:proofErr w:type="spellEnd"/>
          </w:p>
        </w:tc>
        <w:tc>
          <w:tcPr>
            <w:tcW w:w="870" w:type="dxa"/>
          </w:tcPr>
          <w:p w14:paraId="270FFCB4" w14:textId="77777777" w:rsidR="00C14F36" w:rsidRPr="006E1978" w:rsidRDefault="00C14F36" w:rsidP="00474F6C">
            <w:pPr>
              <w:jc w:val="center"/>
              <w:rPr>
                <w:rFonts w:cs="Times New Roman"/>
                <w:szCs w:val="21"/>
              </w:rPr>
            </w:pPr>
            <w:r w:rsidRPr="006E1978">
              <w:rPr>
                <w:rFonts w:cs="Times New Roman" w:hint="eastAsia"/>
                <w:szCs w:val="21"/>
              </w:rPr>
              <w:t>9</w:t>
            </w:r>
            <w:r w:rsidRPr="006E1978">
              <w:rPr>
                <w:rFonts w:cs="Times New Roman"/>
                <w:szCs w:val="21"/>
              </w:rPr>
              <w:t>.57</w:t>
            </w:r>
          </w:p>
        </w:tc>
        <w:tc>
          <w:tcPr>
            <w:tcW w:w="871" w:type="dxa"/>
          </w:tcPr>
          <w:p w14:paraId="2B5E4694" w14:textId="77777777" w:rsidR="00C14F36" w:rsidRPr="006E1978" w:rsidRDefault="00C14F36" w:rsidP="00474F6C">
            <w:pPr>
              <w:jc w:val="center"/>
              <w:rPr>
                <w:rFonts w:cs="Times New Roman"/>
                <w:szCs w:val="21"/>
              </w:rPr>
            </w:pPr>
            <w:r w:rsidRPr="006E1978">
              <w:rPr>
                <w:rFonts w:cs="Times New Roman"/>
                <w:szCs w:val="21"/>
              </w:rPr>
              <w:t>8.85</w:t>
            </w:r>
          </w:p>
        </w:tc>
        <w:tc>
          <w:tcPr>
            <w:tcW w:w="871" w:type="dxa"/>
          </w:tcPr>
          <w:p w14:paraId="5AC676A7" w14:textId="77777777" w:rsidR="00C14F36" w:rsidRPr="006E1978" w:rsidRDefault="00C14F36" w:rsidP="00474F6C">
            <w:pPr>
              <w:jc w:val="center"/>
              <w:rPr>
                <w:rFonts w:cs="Times New Roman"/>
                <w:szCs w:val="21"/>
              </w:rPr>
            </w:pPr>
            <w:r w:rsidRPr="006E1978">
              <w:rPr>
                <w:rFonts w:cs="Times New Roman"/>
                <w:szCs w:val="21"/>
              </w:rPr>
              <w:t>.55</w:t>
            </w:r>
            <w:r w:rsidRPr="006E1978">
              <w:rPr>
                <w:rFonts w:cs="Times New Roman"/>
                <w:szCs w:val="21"/>
                <w:vertAlign w:val="superscript"/>
              </w:rPr>
              <w:t>***</w:t>
            </w:r>
          </w:p>
        </w:tc>
        <w:tc>
          <w:tcPr>
            <w:tcW w:w="871" w:type="dxa"/>
          </w:tcPr>
          <w:p w14:paraId="0AC2CB2C" w14:textId="77777777" w:rsidR="00C14F36" w:rsidRPr="006E1978" w:rsidRDefault="00C14F36" w:rsidP="00474F6C">
            <w:pPr>
              <w:jc w:val="center"/>
              <w:rPr>
                <w:rFonts w:cs="Times New Roman"/>
                <w:szCs w:val="21"/>
              </w:rPr>
            </w:pPr>
            <w:r w:rsidRPr="006E1978">
              <w:rPr>
                <w:rFonts w:cs="Times New Roman"/>
                <w:szCs w:val="21"/>
              </w:rPr>
              <w:t>.47</w:t>
            </w:r>
            <w:r w:rsidRPr="006E1978">
              <w:rPr>
                <w:rFonts w:cs="Times New Roman"/>
                <w:szCs w:val="21"/>
                <w:vertAlign w:val="superscript"/>
              </w:rPr>
              <w:t>***</w:t>
            </w:r>
          </w:p>
        </w:tc>
        <w:tc>
          <w:tcPr>
            <w:tcW w:w="870" w:type="dxa"/>
          </w:tcPr>
          <w:p w14:paraId="6DF91D0A" w14:textId="77777777" w:rsidR="00C14F36" w:rsidRPr="006E1978" w:rsidRDefault="00C14F36" w:rsidP="00474F6C">
            <w:pPr>
              <w:jc w:val="center"/>
              <w:rPr>
                <w:rFonts w:cs="Times New Roman"/>
                <w:szCs w:val="21"/>
              </w:rPr>
            </w:pPr>
            <w:r w:rsidRPr="006E1978">
              <w:rPr>
                <w:rFonts w:cs="Times New Roman"/>
                <w:szCs w:val="21"/>
              </w:rPr>
              <w:t>.47</w:t>
            </w:r>
            <w:r w:rsidRPr="006E1978">
              <w:rPr>
                <w:rFonts w:cs="Times New Roman"/>
                <w:szCs w:val="21"/>
                <w:vertAlign w:val="superscript"/>
              </w:rPr>
              <w:t>***</w:t>
            </w:r>
          </w:p>
        </w:tc>
        <w:tc>
          <w:tcPr>
            <w:tcW w:w="871" w:type="dxa"/>
          </w:tcPr>
          <w:p w14:paraId="08DC0278" w14:textId="77777777" w:rsidR="00C14F36" w:rsidRPr="006E1978" w:rsidRDefault="00C14F36" w:rsidP="00474F6C">
            <w:pPr>
              <w:jc w:val="center"/>
              <w:rPr>
                <w:rFonts w:cs="Times New Roman"/>
                <w:szCs w:val="21"/>
              </w:rPr>
            </w:pPr>
            <w:r w:rsidRPr="006E1978">
              <w:rPr>
                <w:rFonts w:cs="Times New Roman"/>
                <w:szCs w:val="21"/>
              </w:rPr>
              <w:t>.46</w:t>
            </w:r>
            <w:r w:rsidRPr="006E1978">
              <w:rPr>
                <w:rFonts w:cs="Times New Roman"/>
                <w:szCs w:val="21"/>
                <w:vertAlign w:val="superscript"/>
              </w:rPr>
              <w:t>***</w:t>
            </w:r>
          </w:p>
        </w:tc>
        <w:tc>
          <w:tcPr>
            <w:tcW w:w="871" w:type="dxa"/>
          </w:tcPr>
          <w:p w14:paraId="7B57768E" w14:textId="77777777" w:rsidR="00C14F36" w:rsidRPr="006E1978" w:rsidRDefault="00C14F36" w:rsidP="00474F6C">
            <w:pPr>
              <w:jc w:val="center"/>
              <w:rPr>
                <w:rFonts w:cs="Times New Roman"/>
                <w:szCs w:val="21"/>
              </w:rPr>
            </w:pPr>
            <w:r w:rsidRPr="006E1978">
              <w:rPr>
                <w:rFonts w:cs="Times New Roman"/>
                <w:szCs w:val="21"/>
              </w:rPr>
              <w:t>.35</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656C11EE" w14:textId="77777777" w:rsidR="00C14F36" w:rsidRPr="006E1978" w:rsidRDefault="00C14F36" w:rsidP="00474F6C">
            <w:pPr>
              <w:jc w:val="center"/>
              <w:rPr>
                <w:rFonts w:cs="Times New Roman"/>
                <w:szCs w:val="21"/>
              </w:rPr>
            </w:pPr>
            <w:r w:rsidRPr="006E1978">
              <w:rPr>
                <w:rFonts w:cs="Times New Roman"/>
                <w:szCs w:val="21"/>
              </w:rPr>
              <w:t>.36</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7DF8CA79" w14:textId="77777777" w:rsidR="00C14F36" w:rsidRPr="006E1978" w:rsidRDefault="00C14F36" w:rsidP="00474F6C">
            <w:pPr>
              <w:jc w:val="center"/>
              <w:rPr>
                <w:rFonts w:cs="Times New Roman"/>
                <w:szCs w:val="21"/>
              </w:rPr>
            </w:pPr>
            <w:r w:rsidRPr="006E1978">
              <w:rPr>
                <w:rFonts w:cs="Times New Roman"/>
                <w:szCs w:val="21"/>
              </w:rPr>
              <w:t>.36</w:t>
            </w:r>
            <w:r w:rsidRPr="006E1978">
              <w:rPr>
                <w:rFonts w:cs="Times New Roman"/>
                <w:kern w:val="0"/>
                <w:szCs w:val="21"/>
                <w:vertAlign w:val="superscript"/>
              </w:rPr>
              <w:t>**</w:t>
            </w:r>
            <w:r w:rsidRPr="006E1978">
              <w:rPr>
                <w:rFonts w:cs="Times New Roman" w:hint="eastAsia"/>
                <w:szCs w:val="21"/>
                <w:vertAlign w:val="superscript"/>
              </w:rPr>
              <w:t>*</w:t>
            </w:r>
          </w:p>
        </w:tc>
        <w:tc>
          <w:tcPr>
            <w:tcW w:w="870" w:type="dxa"/>
          </w:tcPr>
          <w:p w14:paraId="4C7C7D31" w14:textId="77777777" w:rsidR="00C14F36" w:rsidRPr="006E1978" w:rsidRDefault="00C14F36" w:rsidP="00474F6C">
            <w:pPr>
              <w:jc w:val="center"/>
              <w:rPr>
                <w:rFonts w:cs="Times New Roman"/>
                <w:szCs w:val="21"/>
              </w:rPr>
            </w:pPr>
            <w:r w:rsidRPr="006E1978">
              <w:rPr>
                <w:rFonts w:cs="Times New Roman"/>
                <w:szCs w:val="21"/>
              </w:rPr>
              <w:t>.37</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5EDB96BE" w14:textId="77777777" w:rsidR="00C14F36" w:rsidRPr="006E1978" w:rsidRDefault="00C14F36" w:rsidP="00474F6C">
            <w:pPr>
              <w:jc w:val="center"/>
              <w:rPr>
                <w:rFonts w:cs="Times New Roman"/>
                <w:szCs w:val="21"/>
              </w:rPr>
            </w:pPr>
            <w:r w:rsidRPr="006E1978">
              <w:rPr>
                <w:rFonts w:cs="Times New Roman"/>
                <w:szCs w:val="21"/>
              </w:rPr>
              <w:t>.31</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2932DDFA" w14:textId="77777777" w:rsidR="00C14F36" w:rsidRPr="006E1978" w:rsidRDefault="00C14F36" w:rsidP="00474F6C">
            <w:pPr>
              <w:jc w:val="center"/>
              <w:rPr>
                <w:rFonts w:cs="Times New Roman"/>
                <w:szCs w:val="21"/>
              </w:rPr>
            </w:pPr>
            <w:r w:rsidRPr="006E1978">
              <w:rPr>
                <w:rFonts w:cs="Times New Roman"/>
                <w:szCs w:val="21"/>
              </w:rPr>
              <w:t>.38</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1F7A8954" w14:textId="77777777" w:rsidR="00C14F36" w:rsidRPr="006E1978" w:rsidRDefault="00C14F36" w:rsidP="00474F6C">
            <w:pPr>
              <w:jc w:val="center"/>
              <w:rPr>
                <w:rFonts w:cs="Times New Roman"/>
                <w:szCs w:val="21"/>
              </w:rPr>
            </w:pPr>
            <w:r w:rsidRPr="006E1978">
              <w:rPr>
                <w:rFonts w:cs="Times New Roman" w:hint="eastAsia"/>
                <w:szCs w:val="21"/>
              </w:rPr>
              <w:t>(</w:t>
            </w:r>
            <w:r w:rsidRPr="006E1978">
              <w:rPr>
                <w:rFonts w:cs="Times New Roman"/>
                <w:szCs w:val="21"/>
              </w:rPr>
              <w:t>.95)</w:t>
            </w:r>
          </w:p>
        </w:tc>
        <w:tc>
          <w:tcPr>
            <w:tcW w:w="871" w:type="dxa"/>
          </w:tcPr>
          <w:p w14:paraId="3AF31643" w14:textId="77777777" w:rsidR="00C14F36" w:rsidRPr="006E1978" w:rsidRDefault="00C14F36" w:rsidP="00474F6C">
            <w:pPr>
              <w:jc w:val="center"/>
              <w:rPr>
                <w:rFonts w:cs="Times New Roman"/>
                <w:szCs w:val="21"/>
              </w:rPr>
            </w:pPr>
          </w:p>
        </w:tc>
      </w:tr>
      <w:tr w:rsidR="00C14F36" w:rsidRPr="006E1978" w14:paraId="4A58E578" w14:textId="77777777" w:rsidTr="00C16026">
        <w:tc>
          <w:tcPr>
            <w:tcW w:w="1985" w:type="dxa"/>
          </w:tcPr>
          <w:p w14:paraId="7EECF7B2" w14:textId="48C9942E" w:rsidR="00C14F36" w:rsidRPr="006E1978" w:rsidRDefault="00C14F36" w:rsidP="00474F6C">
            <w:pPr>
              <w:jc w:val="left"/>
              <w:rPr>
                <w:rFonts w:cs="Times New Roman"/>
                <w:sz w:val="22"/>
              </w:rPr>
            </w:pPr>
            <w:r w:rsidRPr="006E1978">
              <w:rPr>
                <w:rFonts w:cs="Times New Roman"/>
                <w:sz w:val="22"/>
              </w:rPr>
              <w:t xml:space="preserve">12. </w:t>
            </w:r>
            <w:proofErr w:type="spellStart"/>
            <w:r w:rsidRPr="006E1978">
              <w:rPr>
                <w:rFonts w:cs="Times New Roman"/>
                <w:sz w:val="22"/>
              </w:rPr>
              <w:t>Sex</w:t>
            </w:r>
            <w:r w:rsidR="00C16026" w:rsidRPr="006E1978">
              <w:rPr>
                <w:rFonts w:cs="Times New Roman"/>
                <w:sz w:val="22"/>
                <w:vertAlign w:val="superscript"/>
              </w:rPr>
              <w:t>c</w:t>
            </w:r>
            <w:proofErr w:type="spellEnd"/>
          </w:p>
        </w:tc>
        <w:tc>
          <w:tcPr>
            <w:tcW w:w="870" w:type="dxa"/>
          </w:tcPr>
          <w:p w14:paraId="63E75A3A" w14:textId="77777777" w:rsidR="00C14F36" w:rsidRPr="006E1978" w:rsidRDefault="00C14F36" w:rsidP="00474F6C">
            <w:pPr>
              <w:jc w:val="center"/>
              <w:rPr>
                <w:rFonts w:cs="Times New Roman"/>
                <w:szCs w:val="21"/>
              </w:rPr>
            </w:pPr>
            <w:r w:rsidRPr="006E1978">
              <w:rPr>
                <w:rFonts w:cs="Times New Roman" w:hint="eastAsia"/>
                <w:szCs w:val="21"/>
              </w:rPr>
              <w:t>-</w:t>
            </w:r>
            <w:r w:rsidRPr="006E1978">
              <w:rPr>
                <w:rFonts w:cs="Times New Roman"/>
                <w:szCs w:val="21"/>
              </w:rPr>
              <w:t>-</w:t>
            </w:r>
          </w:p>
        </w:tc>
        <w:tc>
          <w:tcPr>
            <w:tcW w:w="871" w:type="dxa"/>
          </w:tcPr>
          <w:p w14:paraId="3D7D58EF" w14:textId="77777777" w:rsidR="00C14F36" w:rsidRPr="006E1978" w:rsidRDefault="00C14F36" w:rsidP="00474F6C">
            <w:pPr>
              <w:jc w:val="center"/>
              <w:rPr>
                <w:rFonts w:cs="Times New Roman"/>
                <w:szCs w:val="21"/>
              </w:rPr>
            </w:pPr>
            <w:r w:rsidRPr="006E1978">
              <w:rPr>
                <w:rFonts w:cs="Times New Roman" w:hint="eastAsia"/>
                <w:szCs w:val="21"/>
              </w:rPr>
              <w:t>-</w:t>
            </w:r>
            <w:r w:rsidRPr="006E1978">
              <w:rPr>
                <w:rFonts w:cs="Times New Roman"/>
                <w:szCs w:val="21"/>
              </w:rPr>
              <w:t>-</w:t>
            </w:r>
          </w:p>
        </w:tc>
        <w:tc>
          <w:tcPr>
            <w:tcW w:w="871" w:type="dxa"/>
          </w:tcPr>
          <w:p w14:paraId="0CC997F4" w14:textId="77777777" w:rsidR="00C14F36" w:rsidRPr="006E1978" w:rsidRDefault="00C14F36" w:rsidP="00474F6C">
            <w:pPr>
              <w:jc w:val="center"/>
              <w:rPr>
                <w:rFonts w:cs="Times New Roman"/>
                <w:szCs w:val="21"/>
              </w:rPr>
            </w:pPr>
            <w:r w:rsidRPr="006E1978">
              <w:rPr>
                <w:rFonts w:cs="Times New Roman"/>
                <w:szCs w:val="21"/>
              </w:rPr>
              <w:t>.26</w:t>
            </w:r>
            <w:r w:rsidRPr="006E1978">
              <w:rPr>
                <w:rFonts w:cs="Times New Roman" w:hint="eastAsia"/>
                <w:szCs w:val="21"/>
                <w:vertAlign w:val="superscript"/>
              </w:rPr>
              <w:t>**</w:t>
            </w:r>
          </w:p>
        </w:tc>
        <w:tc>
          <w:tcPr>
            <w:tcW w:w="871" w:type="dxa"/>
          </w:tcPr>
          <w:p w14:paraId="2CD717ED" w14:textId="77777777" w:rsidR="00C14F36" w:rsidRPr="006E1978" w:rsidRDefault="00C14F36" w:rsidP="00474F6C">
            <w:pPr>
              <w:jc w:val="center"/>
              <w:rPr>
                <w:rFonts w:cs="Times New Roman"/>
                <w:szCs w:val="21"/>
              </w:rPr>
            </w:pPr>
            <w:r w:rsidRPr="006E1978">
              <w:rPr>
                <w:rFonts w:cs="Times New Roman"/>
                <w:szCs w:val="21"/>
              </w:rPr>
              <w:t>.19</w:t>
            </w:r>
            <w:r w:rsidRPr="006E1978">
              <w:rPr>
                <w:rFonts w:cs="Times New Roman" w:hint="eastAsia"/>
                <w:szCs w:val="21"/>
                <w:vertAlign w:val="superscript"/>
              </w:rPr>
              <w:t>***</w:t>
            </w:r>
          </w:p>
        </w:tc>
        <w:tc>
          <w:tcPr>
            <w:tcW w:w="870" w:type="dxa"/>
          </w:tcPr>
          <w:p w14:paraId="52BD9FFC" w14:textId="77777777" w:rsidR="00C14F36" w:rsidRPr="006E1978" w:rsidRDefault="00C14F36" w:rsidP="00474F6C">
            <w:pPr>
              <w:jc w:val="center"/>
              <w:rPr>
                <w:rFonts w:cs="Times New Roman"/>
                <w:szCs w:val="21"/>
              </w:rPr>
            </w:pPr>
            <w:r w:rsidRPr="006E1978">
              <w:rPr>
                <w:rFonts w:cs="Times New Roman"/>
                <w:szCs w:val="21"/>
              </w:rPr>
              <w:t>.23</w:t>
            </w:r>
            <w:r w:rsidRPr="006E1978">
              <w:rPr>
                <w:rFonts w:cs="Times New Roman" w:hint="eastAsia"/>
                <w:szCs w:val="21"/>
                <w:vertAlign w:val="superscript"/>
              </w:rPr>
              <w:t>***</w:t>
            </w:r>
          </w:p>
        </w:tc>
        <w:tc>
          <w:tcPr>
            <w:tcW w:w="871" w:type="dxa"/>
          </w:tcPr>
          <w:p w14:paraId="4FAF6BED" w14:textId="77777777" w:rsidR="00C14F36" w:rsidRPr="006E1978" w:rsidRDefault="00C14F36" w:rsidP="00474F6C">
            <w:pPr>
              <w:jc w:val="center"/>
              <w:rPr>
                <w:rFonts w:cs="Times New Roman"/>
                <w:szCs w:val="21"/>
              </w:rPr>
            </w:pPr>
            <w:r w:rsidRPr="006E1978">
              <w:rPr>
                <w:rFonts w:cs="Times New Roman"/>
                <w:szCs w:val="21"/>
              </w:rPr>
              <w:t>.19</w:t>
            </w:r>
            <w:r w:rsidRPr="006E1978">
              <w:rPr>
                <w:rFonts w:cs="Times New Roman" w:hint="eastAsia"/>
                <w:szCs w:val="21"/>
                <w:vertAlign w:val="superscript"/>
              </w:rPr>
              <w:t>***</w:t>
            </w:r>
          </w:p>
        </w:tc>
        <w:tc>
          <w:tcPr>
            <w:tcW w:w="871" w:type="dxa"/>
          </w:tcPr>
          <w:p w14:paraId="17CC33B9" w14:textId="77777777" w:rsidR="00C14F36" w:rsidRPr="006E1978" w:rsidRDefault="00C14F36" w:rsidP="00474F6C">
            <w:pPr>
              <w:jc w:val="center"/>
              <w:rPr>
                <w:rFonts w:cs="Times New Roman"/>
                <w:szCs w:val="21"/>
              </w:rPr>
            </w:pPr>
            <w:r w:rsidRPr="006E1978">
              <w:rPr>
                <w:rFonts w:cs="Times New Roman"/>
                <w:szCs w:val="21"/>
              </w:rPr>
              <w:t>.18</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0FE904C5" w14:textId="77777777" w:rsidR="00C14F36" w:rsidRPr="006E1978" w:rsidRDefault="00C14F36" w:rsidP="00474F6C">
            <w:pPr>
              <w:jc w:val="center"/>
              <w:rPr>
                <w:rFonts w:cs="Times New Roman"/>
                <w:szCs w:val="21"/>
              </w:rPr>
            </w:pPr>
            <w:r w:rsidRPr="006E1978">
              <w:rPr>
                <w:rFonts w:cs="Times New Roman"/>
                <w:szCs w:val="21"/>
              </w:rPr>
              <w:t>.09</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7968B4C2" w14:textId="77777777" w:rsidR="00C14F36" w:rsidRPr="006E1978" w:rsidRDefault="00C14F36" w:rsidP="00474F6C">
            <w:pPr>
              <w:jc w:val="center"/>
              <w:rPr>
                <w:rFonts w:cs="Times New Roman"/>
                <w:szCs w:val="21"/>
              </w:rPr>
            </w:pPr>
            <w:r w:rsidRPr="006E1978">
              <w:rPr>
                <w:rFonts w:cs="Times New Roman"/>
                <w:szCs w:val="21"/>
              </w:rPr>
              <w:t>.18</w:t>
            </w:r>
            <w:r w:rsidRPr="006E1978">
              <w:rPr>
                <w:rFonts w:cs="Times New Roman"/>
                <w:kern w:val="0"/>
                <w:szCs w:val="21"/>
                <w:vertAlign w:val="superscript"/>
              </w:rPr>
              <w:t>**</w:t>
            </w:r>
            <w:r w:rsidRPr="006E1978">
              <w:rPr>
                <w:rFonts w:cs="Times New Roman" w:hint="eastAsia"/>
                <w:szCs w:val="21"/>
                <w:vertAlign w:val="superscript"/>
              </w:rPr>
              <w:t>*</w:t>
            </w:r>
          </w:p>
        </w:tc>
        <w:tc>
          <w:tcPr>
            <w:tcW w:w="870" w:type="dxa"/>
          </w:tcPr>
          <w:p w14:paraId="40EB6359" w14:textId="77777777" w:rsidR="00C14F36" w:rsidRPr="006E1978" w:rsidRDefault="00C14F36" w:rsidP="00474F6C">
            <w:pPr>
              <w:jc w:val="center"/>
              <w:rPr>
                <w:rFonts w:cs="Times New Roman"/>
                <w:szCs w:val="21"/>
              </w:rPr>
            </w:pPr>
            <w:r w:rsidRPr="006E1978">
              <w:rPr>
                <w:rFonts w:cs="Times New Roman"/>
                <w:szCs w:val="21"/>
              </w:rPr>
              <w:t>.14</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214F2453" w14:textId="77777777" w:rsidR="00C14F36" w:rsidRPr="006E1978" w:rsidRDefault="00C14F36" w:rsidP="00474F6C">
            <w:pPr>
              <w:jc w:val="center"/>
              <w:rPr>
                <w:rFonts w:cs="Times New Roman"/>
                <w:szCs w:val="21"/>
              </w:rPr>
            </w:pPr>
            <w:r w:rsidRPr="006E1978">
              <w:rPr>
                <w:rFonts w:cs="Times New Roman"/>
                <w:szCs w:val="21"/>
              </w:rPr>
              <w:t>.07</w:t>
            </w:r>
            <w:r w:rsidRPr="006E1978">
              <w:rPr>
                <w:rFonts w:cs="Times New Roman"/>
                <w:kern w:val="0"/>
                <w:szCs w:val="21"/>
                <w:vertAlign w:val="superscript"/>
              </w:rPr>
              <w:t>*</w:t>
            </w:r>
          </w:p>
        </w:tc>
        <w:tc>
          <w:tcPr>
            <w:tcW w:w="871" w:type="dxa"/>
          </w:tcPr>
          <w:p w14:paraId="74315991" w14:textId="77777777" w:rsidR="00C14F36" w:rsidRPr="006E1978" w:rsidRDefault="00C14F36" w:rsidP="00474F6C">
            <w:pPr>
              <w:jc w:val="center"/>
              <w:rPr>
                <w:rFonts w:cs="Times New Roman"/>
                <w:szCs w:val="21"/>
              </w:rPr>
            </w:pPr>
            <w:r w:rsidRPr="006E1978">
              <w:rPr>
                <w:rFonts w:cs="Times New Roman"/>
                <w:szCs w:val="21"/>
              </w:rPr>
              <w:t>.26</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24461294" w14:textId="77777777" w:rsidR="00C14F36" w:rsidRPr="006E1978" w:rsidRDefault="00C14F36" w:rsidP="00474F6C">
            <w:pPr>
              <w:jc w:val="center"/>
              <w:rPr>
                <w:rFonts w:cs="Times New Roman"/>
                <w:szCs w:val="21"/>
              </w:rPr>
            </w:pPr>
            <w:r w:rsidRPr="006E1978">
              <w:rPr>
                <w:rFonts w:cs="Times New Roman"/>
                <w:szCs w:val="21"/>
              </w:rPr>
              <w:t>.31</w:t>
            </w:r>
            <w:r w:rsidRPr="006E1978">
              <w:rPr>
                <w:rFonts w:cs="Times New Roman"/>
                <w:kern w:val="0"/>
                <w:szCs w:val="21"/>
                <w:vertAlign w:val="superscript"/>
              </w:rPr>
              <w:t>**</w:t>
            </w:r>
            <w:r w:rsidRPr="006E1978">
              <w:rPr>
                <w:rFonts w:cs="Times New Roman" w:hint="eastAsia"/>
                <w:szCs w:val="21"/>
                <w:vertAlign w:val="superscript"/>
              </w:rPr>
              <w:t>*</w:t>
            </w:r>
          </w:p>
        </w:tc>
        <w:tc>
          <w:tcPr>
            <w:tcW w:w="871" w:type="dxa"/>
          </w:tcPr>
          <w:p w14:paraId="2F4377D5" w14:textId="77777777" w:rsidR="00C14F36" w:rsidRPr="006E1978" w:rsidRDefault="00C14F36" w:rsidP="00474F6C">
            <w:pPr>
              <w:jc w:val="center"/>
              <w:rPr>
                <w:rFonts w:cs="Times New Roman"/>
                <w:szCs w:val="21"/>
              </w:rPr>
            </w:pPr>
            <w:r w:rsidRPr="006E1978">
              <w:rPr>
                <w:rFonts w:cs="Times New Roman" w:hint="eastAsia"/>
                <w:szCs w:val="21"/>
              </w:rPr>
              <w:t>(</w:t>
            </w:r>
            <w:r w:rsidRPr="006E1978">
              <w:rPr>
                <w:rFonts w:cs="Times New Roman"/>
                <w:szCs w:val="21"/>
              </w:rPr>
              <w:t>--)</w:t>
            </w:r>
          </w:p>
        </w:tc>
      </w:tr>
      <w:tr w:rsidR="00C14F36" w:rsidRPr="006E1978" w14:paraId="077D19CA" w14:textId="77777777" w:rsidTr="00C16026">
        <w:tc>
          <w:tcPr>
            <w:tcW w:w="1985" w:type="dxa"/>
          </w:tcPr>
          <w:p w14:paraId="4F68042F" w14:textId="77777777" w:rsidR="00C14F36" w:rsidRPr="006E1978" w:rsidRDefault="00C14F36" w:rsidP="00474F6C">
            <w:pPr>
              <w:jc w:val="left"/>
              <w:rPr>
                <w:rFonts w:cs="Times New Roman"/>
                <w:sz w:val="22"/>
              </w:rPr>
            </w:pPr>
            <w:r w:rsidRPr="006E1978">
              <w:rPr>
                <w:rFonts w:cs="Times New Roman" w:hint="eastAsia"/>
                <w:sz w:val="22"/>
              </w:rPr>
              <w:t>1</w:t>
            </w:r>
            <w:r w:rsidRPr="006E1978">
              <w:rPr>
                <w:rFonts w:cs="Times New Roman"/>
                <w:sz w:val="22"/>
              </w:rPr>
              <w:t>3. Age</w:t>
            </w:r>
          </w:p>
        </w:tc>
        <w:tc>
          <w:tcPr>
            <w:tcW w:w="870" w:type="dxa"/>
          </w:tcPr>
          <w:p w14:paraId="647565E0" w14:textId="77777777" w:rsidR="00C14F36" w:rsidRPr="006E1978" w:rsidRDefault="00C14F36" w:rsidP="00474F6C">
            <w:pPr>
              <w:jc w:val="center"/>
              <w:rPr>
                <w:rFonts w:cs="Times New Roman"/>
                <w:szCs w:val="21"/>
              </w:rPr>
            </w:pPr>
            <w:r w:rsidRPr="006E1978">
              <w:rPr>
                <w:rFonts w:cs="Times New Roman" w:hint="eastAsia"/>
                <w:szCs w:val="21"/>
              </w:rPr>
              <w:t>1</w:t>
            </w:r>
            <w:r w:rsidRPr="006E1978">
              <w:rPr>
                <w:rFonts w:cs="Times New Roman"/>
                <w:szCs w:val="21"/>
              </w:rPr>
              <w:t>9.84</w:t>
            </w:r>
          </w:p>
        </w:tc>
        <w:tc>
          <w:tcPr>
            <w:tcW w:w="871" w:type="dxa"/>
          </w:tcPr>
          <w:p w14:paraId="06D2244F" w14:textId="77777777" w:rsidR="00C14F36" w:rsidRPr="006E1978" w:rsidRDefault="00C14F36" w:rsidP="00474F6C">
            <w:pPr>
              <w:jc w:val="center"/>
              <w:rPr>
                <w:rFonts w:cs="Times New Roman"/>
                <w:szCs w:val="21"/>
              </w:rPr>
            </w:pPr>
            <w:r w:rsidRPr="006E1978">
              <w:rPr>
                <w:rFonts w:cs="Times New Roman" w:hint="eastAsia"/>
                <w:szCs w:val="21"/>
              </w:rPr>
              <w:t>1</w:t>
            </w:r>
            <w:r w:rsidRPr="006E1978">
              <w:rPr>
                <w:rFonts w:cs="Times New Roman"/>
                <w:szCs w:val="21"/>
              </w:rPr>
              <w:t>.33</w:t>
            </w:r>
          </w:p>
        </w:tc>
        <w:tc>
          <w:tcPr>
            <w:tcW w:w="871" w:type="dxa"/>
          </w:tcPr>
          <w:p w14:paraId="46C7ADAF" w14:textId="77777777" w:rsidR="00C14F36" w:rsidRPr="006E1978" w:rsidRDefault="00C14F36" w:rsidP="00474F6C">
            <w:pPr>
              <w:jc w:val="center"/>
              <w:rPr>
                <w:rFonts w:cs="Times New Roman"/>
                <w:szCs w:val="21"/>
              </w:rPr>
            </w:pPr>
            <w:r w:rsidRPr="006E1978">
              <w:rPr>
                <w:rFonts w:cs="Times New Roman"/>
                <w:szCs w:val="21"/>
              </w:rPr>
              <w:t>.01</w:t>
            </w:r>
          </w:p>
        </w:tc>
        <w:tc>
          <w:tcPr>
            <w:tcW w:w="871" w:type="dxa"/>
          </w:tcPr>
          <w:p w14:paraId="755EFB3F" w14:textId="77777777" w:rsidR="00C14F36" w:rsidRPr="006E1978" w:rsidRDefault="00C14F36" w:rsidP="00474F6C">
            <w:pPr>
              <w:jc w:val="center"/>
              <w:rPr>
                <w:rFonts w:cs="Times New Roman"/>
                <w:szCs w:val="21"/>
              </w:rPr>
            </w:pPr>
            <w:r w:rsidRPr="006E1978">
              <w:rPr>
                <w:rFonts w:cs="Times New Roman"/>
                <w:szCs w:val="21"/>
              </w:rPr>
              <w:t>-.01</w:t>
            </w:r>
          </w:p>
        </w:tc>
        <w:tc>
          <w:tcPr>
            <w:tcW w:w="870" w:type="dxa"/>
          </w:tcPr>
          <w:p w14:paraId="57D99692" w14:textId="77777777" w:rsidR="00C14F36" w:rsidRPr="006E1978" w:rsidRDefault="00C14F36" w:rsidP="00474F6C">
            <w:pPr>
              <w:jc w:val="center"/>
              <w:rPr>
                <w:rFonts w:cs="Times New Roman"/>
                <w:szCs w:val="21"/>
              </w:rPr>
            </w:pPr>
            <w:r w:rsidRPr="006E1978">
              <w:rPr>
                <w:rFonts w:cs="Times New Roman"/>
                <w:szCs w:val="21"/>
              </w:rPr>
              <w:t>.00</w:t>
            </w:r>
          </w:p>
        </w:tc>
        <w:tc>
          <w:tcPr>
            <w:tcW w:w="871" w:type="dxa"/>
          </w:tcPr>
          <w:p w14:paraId="51725473" w14:textId="77777777" w:rsidR="00C14F36" w:rsidRPr="006E1978" w:rsidRDefault="00C14F36" w:rsidP="00474F6C">
            <w:pPr>
              <w:jc w:val="center"/>
              <w:rPr>
                <w:rFonts w:cs="Times New Roman"/>
                <w:szCs w:val="21"/>
              </w:rPr>
            </w:pPr>
            <w:r w:rsidRPr="006E1978">
              <w:rPr>
                <w:rFonts w:cs="Times New Roman"/>
                <w:szCs w:val="21"/>
              </w:rPr>
              <w:t>.00</w:t>
            </w:r>
          </w:p>
        </w:tc>
        <w:tc>
          <w:tcPr>
            <w:tcW w:w="871" w:type="dxa"/>
          </w:tcPr>
          <w:p w14:paraId="2A1EB1D2" w14:textId="77777777" w:rsidR="00C14F36" w:rsidRPr="006E1978" w:rsidRDefault="00C14F36" w:rsidP="00474F6C">
            <w:pPr>
              <w:jc w:val="center"/>
              <w:rPr>
                <w:rFonts w:cs="Times New Roman"/>
                <w:szCs w:val="21"/>
              </w:rPr>
            </w:pPr>
            <w:r w:rsidRPr="006E1978">
              <w:rPr>
                <w:rFonts w:cs="Times New Roman"/>
                <w:szCs w:val="21"/>
              </w:rPr>
              <w:t>-.07</w:t>
            </w:r>
            <w:r w:rsidRPr="006E1978">
              <w:rPr>
                <w:rFonts w:cs="Times New Roman"/>
                <w:kern w:val="0"/>
                <w:szCs w:val="21"/>
                <w:vertAlign w:val="superscript"/>
              </w:rPr>
              <w:t>**</w:t>
            </w:r>
          </w:p>
        </w:tc>
        <w:tc>
          <w:tcPr>
            <w:tcW w:w="871" w:type="dxa"/>
          </w:tcPr>
          <w:p w14:paraId="76988A4C" w14:textId="77777777" w:rsidR="00C14F36" w:rsidRPr="006E1978" w:rsidRDefault="00C14F36" w:rsidP="00474F6C">
            <w:pPr>
              <w:jc w:val="center"/>
              <w:rPr>
                <w:rFonts w:cs="Times New Roman"/>
                <w:szCs w:val="21"/>
              </w:rPr>
            </w:pPr>
            <w:r w:rsidRPr="006E1978">
              <w:rPr>
                <w:rFonts w:cs="Times New Roman"/>
                <w:szCs w:val="21"/>
              </w:rPr>
              <w:t>-.04</w:t>
            </w:r>
          </w:p>
        </w:tc>
        <w:tc>
          <w:tcPr>
            <w:tcW w:w="871" w:type="dxa"/>
          </w:tcPr>
          <w:p w14:paraId="54FE6A9D" w14:textId="77777777" w:rsidR="00C14F36" w:rsidRPr="006E1978" w:rsidRDefault="00C14F36" w:rsidP="00474F6C">
            <w:pPr>
              <w:jc w:val="center"/>
              <w:rPr>
                <w:rFonts w:cs="Times New Roman"/>
                <w:szCs w:val="21"/>
              </w:rPr>
            </w:pPr>
            <w:r w:rsidRPr="006E1978">
              <w:rPr>
                <w:rFonts w:cs="Times New Roman"/>
                <w:szCs w:val="21"/>
              </w:rPr>
              <w:t>-.04</w:t>
            </w:r>
          </w:p>
        </w:tc>
        <w:tc>
          <w:tcPr>
            <w:tcW w:w="870" w:type="dxa"/>
          </w:tcPr>
          <w:p w14:paraId="3F4CDD2E" w14:textId="77777777" w:rsidR="00C14F36" w:rsidRPr="006E1978" w:rsidRDefault="00C14F36" w:rsidP="00474F6C">
            <w:pPr>
              <w:jc w:val="center"/>
              <w:rPr>
                <w:rFonts w:cs="Times New Roman"/>
                <w:szCs w:val="21"/>
              </w:rPr>
            </w:pPr>
            <w:r w:rsidRPr="006E1978">
              <w:rPr>
                <w:rFonts w:cs="Times New Roman"/>
                <w:szCs w:val="21"/>
              </w:rPr>
              <w:t>-.06</w:t>
            </w:r>
            <w:r w:rsidRPr="006E1978">
              <w:rPr>
                <w:rFonts w:cs="Times New Roman"/>
                <w:kern w:val="0"/>
                <w:szCs w:val="21"/>
                <w:vertAlign w:val="superscript"/>
              </w:rPr>
              <w:t>*</w:t>
            </w:r>
          </w:p>
        </w:tc>
        <w:tc>
          <w:tcPr>
            <w:tcW w:w="871" w:type="dxa"/>
          </w:tcPr>
          <w:p w14:paraId="02CE06E1" w14:textId="77777777" w:rsidR="00C14F36" w:rsidRPr="006E1978" w:rsidRDefault="00C14F36" w:rsidP="00474F6C">
            <w:pPr>
              <w:jc w:val="center"/>
              <w:rPr>
                <w:rFonts w:cs="Times New Roman"/>
                <w:szCs w:val="21"/>
              </w:rPr>
            </w:pPr>
            <w:r w:rsidRPr="006E1978">
              <w:rPr>
                <w:rFonts w:cs="Times New Roman"/>
                <w:szCs w:val="21"/>
              </w:rPr>
              <w:t>-.05</w:t>
            </w:r>
          </w:p>
        </w:tc>
        <w:tc>
          <w:tcPr>
            <w:tcW w:w="871" w:type="dxa"/>
          </w:tcPr>
          <w:p w14:paraId="34EA9F0F" w14:textId="77777777" w:rsidR="00C14F36" w:rsidRPr="006E1978" w:rsidRDefault="00C14F36" w:rsidP="00474F6C">
            <w:pPr>
              <w:jc w:val="center"/>
              <w:rPr>
                <w:rFonts w:cs="Times New Roman"/>
                <w:szCs w:val="21"/>
              </w:rPr>
            </w:pPr>
            <w:r w:rsidRPr="006E1978">
              <w:rPr>
                <w:rFonts w:cs="Times New Roman"/>
                <w:szCs w:val="21"/>
              </w:rPr>
              <w:t>-.07</w:t>
            </w:r>
            <w:r w:rsidRPr="006E1978">
              <w:rPr>
                <w:rFonts w:cs="Times New Roman"/>
                <w:kern w:val="0"/>
                <w:szCs w:val="21"/>
                <w:vertAlign w:val="superscript"/>
              </w:rPr>
              <w:t>*</w:t>
            </w:r>
          </w:p>
        </w:tc>
        <w:tc>
          <w:tcPr>
            <w:tcW w:w="871" w:type="dxa"/>
          </w:tcPr>
          <w:p w14:paraId="27E4DA92" w14:textId="77777777" w:rsidR="00C14F36" w:rsidRPr="006E1978" w:rsidRDefault="00C14F36" w:rsidP="00474F6C">
            <w:pPr>
              <w:jc w:val="center"/>
              <w:rPr>
                <w:rFonts w:cs="Times New Roman"/>
                <w:szCs w:val="21"/>
              </w:rPr>
            </w:pPr>
            <w:r w:rsidRPr="006E1978">
              <w:rPr>
                <w:rFonts w:cs="Times New Roman"/>
                <w:szCs w:val="21"/>
              </w:rPr>
              <w:t>-.00</w:t>
            </w:r>
          </w:p>
        </w:tc>
        <w:tc>
          <w:tcPr>
            <w:tcW w:w="871" w:type="dxa"/>
          </w:tcPr>
          <w:p w14:paraId="11A1CE89" w14:textId="77777777" w:rsidR="00C14F36" w:rsidRPr="006E1978" w:rsidRDefault="00C14F36" w:rsidP="00474F6C">
            <w:pPr>
              <w:jc w:val="center"/>
              <w:rPr>
                <w:rFonts w:cs="Times New Roman"/>
                <w:szCs w:val="21"/>
              </w:rPr>
            </w:pPr>
            <w:r w:rsidRPr="006E1978">
              <w:rPr>
                <w:rFonts w:cs="Times New Roman"/>
                <w:szCs w:val="21"/>
              </w:rPr>
              <w:t>-.03</w:t>
            </w:r>
          </w:p>
        </w:tc>
      </w:tr>
    </w:tbl>
    <w:p w14:paraId="655320D0" w14:textId="349B7638" w:rsidR="00C14F36" w:rsidRPr="006E1978" w:rsidRDefault="00C14F36" w:rsidP="00C14F36">
      <w:pPr>
        <w:jc w:val="left"/>
        <w:rPr>
          <w:rFonts w:cs="Times New Roman"/>
          <w:szCs w:val="21"/>
        </w:rPr>
      </w:pPr>
      <w:r w:rsidRPr="006E1978">
        <w:rPr>
          <w:rFonts w:cs="Times New Roman"/>
          <w:i/>
          <w:iCs/>
          <w:szCs w:val="21"/>
        </w:rPr>
        <w:t xml:space="preserve">Note. </w:t>
      </w:r>
      <w:r w:rsidRPr="006E1978">
        <w:rPr>
          <w:rFonts w:cs="Times New Roman"/>
          <w:szCs w:val="21"/>
        </w:rPr>
        <w:t>N-</w:t>
      </w:r>
      <w:r w:rsidRPr="006E1978">
        <w:rPr>
          <w:rFonts w:cs="Times New Roman" w:hint="eastAsia"/>
          <w:szCs w:val="21"/>
        </w:rPr>
        <w:t>M</w:t>
      </w:r>
      <w:r w:rsidRPr="006E1978">
        <w:rPr>
          <w:rFonts w:cs="Times New Roman"/>
          <w:szCs w:val="21"/>
        </w:rPr>
        <w:t>OG = Negative metacognitions about online gaming; P-</w:t>
      </w:r>
      <w:r w:rsidRPr="006E1978">
        <w:rPr>
          <w:rFonts w:cs="Times New Roman" w:hint="eastAsia"/>
          <w:szCs w:val="21"/>
        </w:rPr>
        <w:t>M</w:t>
      </w:r>
      <w:r w:rsidRPr="006E1978">
        <w:rPr>
          <w:rFonts w:cs="Times New Roman"/>
          <w:szCs w:val="21"/>
        </w:rPr>
        <w:t xml:space="preserve">OG = Positive metacognitions about online gaming; POS= Positive beliefs about worry; NEG = Negative beliefs about worry; CC = Cognitive confidence; NC= Need for control; CSC= Cognitive self-consciousness; </w:t>
      </w:r>
      <w:r w:rsidRPr="006E1978">
        <w:rPr>
          <w:rFonts w:cs="Times New Roman"/>
          <w:szCs w:val="21"/>
          <w:lang w:eastAsia="zh-TW"/>
        </w:rPr>
        <w:t>I</w:t>
      </w:r>
      <w:r w:rsidRPr="006E1978">
        <w:rPr>
          <w:rFonts w:cs="Times New Roman" w:hint="eastAsia"/>
          <w:szCs w:val="21"/>
          <w:lang w:eastAsia="zh-TW"/>
        </w:rPr>
        <w:t>G</w:t>
      </w:r>
      <w:r w:rsidRPr="006E1978">
        <w:rPr>
          <w:rFonts w:cs="Times New Roman"/>
          <w:szCs w:val="21"/>
        </w:rPr>
        <w:t xml:space="preserve">D = Internet Gaming Disorder. </w:t>
      </w:r>
      <w:proofErr w:type="spellStart"/>
      <w:proofErr w:type="gramStart"/>
      <w:r w:rsidRPr="006E1978">
        <w:rPr>
          <w:rFonts w:cs="Times New Roman"/>
          <w:szCs w:val="21"/>
          <w:vertAlign w:val="superscript"/>
        </w:rPr>
        <w:t>a</w:t>
      </w:r>
      <w:proofErr w:type="spellEnd"/>
      <w:r w:rsidRPr="006E1978">
        <w:rPr>
          <w:rFonts w:cs="Times New Roman"/>
          <w:szCs w:val="21"/>
        </w:rPr>
        <w:t xml:space="preserve"> the</w:t>
      </w:r>
      <w:proofErr w:type="gramEnd"/>
      <w:r w:rsidRPr="006E1978">
        <w:rPr>
          <w:rFonts w:cs="Times New Roman"/>
          <w:szCs w:val="21"/>
        </w:rPr>
        <w:t xml:space="preserve"> five generic metacognitions from the Metacognitions Questionnaire (MCQ-30). Cronbach’s α was reported in parentheses along the diagonal line. </w:t>
      </w:r>
      <w:r w:rsidRPr="006E1978">
        <w:rPr>
          <w:rFonts w:cs="Times New Roman"/>
          <w:szCs w:val="21"/>
          <w:vertAlign w:val="superscript"/>
        </w:rPr>
        <w:t xml:space="preserve">b </w:t>
      </w:r>
      <w:r w:rsidRPr="006E1978">
        <w:rPr>
          <w:rFonts w:cs="Times New Roman"/>
          <w:szCs w:val="21"/>
        </w:rPr>
        <w:t xml:space="preserve">only 1232 past-year gamers responded to items of this construct. </w:t>
      </w:r>
      <w:r w:rsidR="00C16026" w:rsidRPr="006E1978">
        <w:rPr>
          <w:rFonts w:cs="Times New Roman"/>
          <w:szCs w:val="21"/>
          <w:vertAlign w:val="superscript"/>
        </w:rPr>
        <w:t>c</w:t>
      </w:r>
      <w:r w:rsidR="00C16026" w:rsidRPr="006E1978">
        <w:rPr>
          <w:rFonts w:cs="Times New Roman"/>
          <w:szCs w:val="21"/>
        </w:rPr>
        <w:t xml:space="preserve"> Female = 0, Male = 1. </w:t>
      </w:r>
      <w:r w:rsidRPr="006E1978">
        <w:rPr>
          <w:rFonts w:cs="Times New Roman"/>
          <w:szCs w:val="21"/>
          <w:vertAlign w:val="superscript"/>
        </w:rPr>
        <w:t>***</w:t>
      </w:r>
      <w:r w:rsidRPr="006E1978">
        <w:rPr>
          <w:rFonts w:cs="Times New Roman"/>
          <w:i/>
          <w:iCs/>
          <w:szCs w:val="21"/>
        </w:rPr>
        <w:t>p</w:t>
      </w:r>
      <w:r w:rsidRPr="006E1978">
        <w:rPr>
          <w:rFonts w:cs="Times New Roman"/>
          <w:szCs w:val="21"/>
        </w:rPr>
        <w:t xml:space="preserve">&lt; .001; </w:t>
      </w:r>
      <w:r w:rsidRPr="006E1978">
        <w:rPr>
          <w:rFonts w:cs="Times New Roman"/>
          <w:szCs w:val="21"/>
          <w:vertAlign w:val="superscript"/>
        </w:rPr>
        <w:t>**</w:t>
      </w:r>
      <w:r w:rsidRPr="006E1978">
        <w:rPr>
          <w:rFonts w:cs="Times New Roman"/>
          <w:szCs w:val="21"/>
        </w:rPr>
        <w:t xml:space="preserve"> </w:t>
      </w:r>
      <w:r w:rsidRPr="006E1978">
        <w:rPr>
          <w:rFonts w:cs="Times New Roman"/>
          <w:i/>
          <w:iCs/>
          <w:szCs w:val="21"/>
        </w:rPr>
        <w:t>p</w:t>
      </w:r>
      <w:r w:rsidRPr="006E1978">
        <w:rPr>
          <w:rFonts w:cs="Times New Roman"/>
          <w:szCs w:val="21"/>
        </w:rPr>
        <w:t xml:space="preserve">&lt; .01; </w:t>
      </w:r>
      <w:r w:rsidRPr="006E1978">
        <w:rPr>
          <w:rFonts w:cs="Times New Roman"/>
          <w:szCs w:val="21"/>
          <w:vertAlign w:val="superscript"/>
        </w:rPr>
        <w:t>*</w:t>
      </w:r>
      <w:r w:rsidRPr="006E1978">
        <w:rPr>
          <w:rFonts w:cs="Times New Roman"/>
          <w:szCs w:val="21"/>
        </w:rPr>
        <w:t xml:space="preserve"> </w:t>
      </w:r>
      <w:r w:rsidRPr="006E1978">
        <w:rPr>
          <w:rFonts w:cs="Times New Roman"/>
          <w:i/>
          <w:iCs/>
          <w:szCs w:val="21"/>
        </w:rPr>
        <w:t>p</w:t>
      </w:r>
      <w:r w:rsidRPr="006E1978">
        <w:rPr>
          <w:rFonts w:cs="Times New Roman"/>
          <w:szCs w:val="21"/>
        </w:rPr>
        <w:t>&lt;.05.</w:t>
      </w:r>
      <w:r w:rsidR="00C16026" w:rsidRPr="006E1978">
        <w:rPr>
          <w:rFonts w:cs="Times New Roman"/>
          <w:szCs w:val="21"/>
          <w:vertAlign w:val="superscript"/>
        </w:rPr>
        <w:t xml:space="preserve"> </w:t>
      </w:r>
    </w:p>
    <w:p w14:paraId="7E568CF9" w14:textId="5FE7CD84" w:rsidR="00DD14E1" w:rsidRPr="006E1978" w:rsidRDefault="00DD14E1">
      <w:pPr>
        <w:widowControl/>
        <w:jc w:val="left"/>
        <w:rPr>
          <w:rFonts w:cs="Times New Roman"/>
          <w:szCs w:val="21"/>
        </w:rPr>
      </w:pPr>
      <w:r w:rsidRPr="006E1978">
        <w:rPr>
          <w:rFonts w:cs="Times New Roman"/>
          <w:szCs w:val="21"/>
        </w:rPr>
        <w:br w:type="page"/>
      </w:r>
    </w:p>
    <w:p w14:paraId="4958183B" w14:textId="2F8A17A2" w:rsidR="00DD14E1" w:rsidRPr="006E1978" w:rsidRDefault="0020358A" w:rsidP="00DD14E1">
      <w:pPr>
        <w:rPr>
          <w:rFonts w:cs="Times New Roman"/>
          <w:sz w:val="24"/>
          <w:szCs w:val="32"/>
        </w:rPr>
      </w:pPr>
      <w:r w:rsidRPr="006E1978">
        <w:rPr>
          <w:rFonts w:cs="Times New Roman"/>
          <w:noProof/>
          <w:sz w:val="20"/>
          <w:szCs w:val="20"/>
        </w:rPr>
        <w:lastRenderedPageBreak/>
        <w:drawing>
          <wp:inline distT="0" distB="0" distL="0" distR="0" wp14:anchorId="30790219" wp14:editId="73336744">
            <wp:extent cx="8863330" cy="4069132"/>
            <wp:effectExtent l="0" t="0" r="0" b="0"/>
            <wp:docPr id="2" name="图片 1" descr="图形用户界面,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文本&#10;&#10;描述已自动生成"/>
                    <pic:cNvPicPr/>
                  </pic:nvPicPr>
                  <pic:blipFill>
                    <a:blip r:embed="rId12"/>
                    <a:stretch>
                      <a:fillRect/>
                    </a:stretch>
                  </pic:blipFill>
                  <pic:spPr>
                    <a:xfrm>
                      <a:off x="0" y="0"/>
                      <a:ext cx="8863330" cy="4069132"/>
                    </a:xfrm>
                    <a:prstGeom prst="rect">
                      <a:avLst/>
                    </a:prstGeom>
                  </pic:spPr>
                </pic:pic>
              </a:graphicData>
            </a:graphic>
          </wp:inline>
        </w:drawing>
      </w:r>
    </w:p>
    <w:p w14:paraId="53A679FB" w14:textId="77777777" w:rsidR="00DD14E1" w:rsidRPr="006E1978" w:rsidRDefault="00DD14E1" w:rsidP="00DD14E1">
      <w:pPr>
        <w:rPr>
          <w:rFonts w:cs="Times New Roman"/>
          <w:sz w:val="24"/>
          <w:szCs w:val="32"/>
        </w:rPr>
      </w:pPr>
    </w:p>
    <w:p w14:paraId="34A27743" w14:textId="77777777" w:rsidR="00DD14E1" w:rsidRPr="006E1978" w:rsidRDefault="00DD14E1" w:rsidP="00DD14E1">
      <w:pPr>
        <w:rPr>
          <w:rFonts w:cs="Times New Roman"/>
          <w:sz w:val="24"/>
          <w:szCs w:val="32"/>
        </w:rPr>
      </w:pPr>
      <w:bookmarkStart w:id="19" w:name="_Hlk92575225"/>
      <w:r w:rsidRPr="006E1978">
        <w:rPr>
          <w:rFonts w:cs="Times New Roman"/>
          <w:b/>
          <w:bCs/>
          <w:sz w:val="24"/>
          <w:szCs w:val="32"/>
        </w:rPr>
        <w:t>Figure 1</w:t>
      </w:r>
      <w:r w:rsidRPr="006E1978">
        <w:rPr>
          <w:rFonts w:cs="Times New Roman"/>
          <w:sz w:val="24"/>
          <w:szCs w:val="32"/>
        </w:rPr>
        <w:t>. The latent two-factor structure of the 11-item, full-scale Chinese version of MOGS based on Subsample B (</w:t>
      </w:r>
      <w:r w:rsidRPr="006E1978">
        <w:rPr>
          <w:rFonts w:cs="Times New Roman"/>
          <w:i/>
          <w:iCs/>
          <w:sz w:val="24"/>
          <w:szCs w:val="32"/>
        </w:rPr>
        <w:t>n</w:t>
      </w:r>
      <w:r w:rsidRPr="006E1978">
        <w:rPr>
          <w:rFonts w:cs="Times New Roman"/>
          <w:sz w:val="24"/>
          <w:szCs w:val="32"/>
        </w:rPr>
        <w:t xml:space="preserve"> = 670). Standardized factor loadings were reported. N-MOG = negative metacognition about online gaming, P-MOG = positive metacognition about online gaming.</w:t>
      </w:r>
    </w:p>
    <w:bookmarkEnd w:id="19"/>
    <w:p w14:paraId="5AC41BD7" w14:textId="16954A9E" w:rsidR="00DD14E1" w:rsidRPr="006E1978" w:rsidRDefault="00DD14E1">
      <w:pPr>
        <w:widowControl/>
        <w:jc w:val="left"/>
        <w:rPr>
          <w:rFonts w:cs="Times New Roman"/>
          <w:szCs w:val="21"/>
        </w:rPr>
      </w:pPr>
      <w:r w:rsidRPr="006E1978">
        <w:rPr>
          <w:rFonts w:cs="Times New Roman"/>
          <w:szCs w:val="21"/>
        </w:rPr>
        <w:br w:type="page"/>
      </w:r>
    </w:p>
    <w:p w14:paraId="42277E23" w14:textId="77777777" w:rsidR="00DD14E1" w:rsidRPr="006E1978" w:rsidRDefault="00DD14E1" w:rsidP="00DD14E1">
      <w:pPr>
        <w:rPr>
          <w:rFonts w:cs="Times New Roman"/>
          <w:sz w:val="24"/>
          <w:szCs w:val="32"/>
        </w:rPr>
      </w:pPr>
    </w:p>
    <w:p w14:paraId="001EEF44" w14:textId="56B97691" w:rsidR="00DD14E1" w:rsidRPr="006E1978" w:rsidRDefault="00F63CA4" w:rsidP="00DD14E1">
      <w:pPr>
        <w:rPr>
          <w:rFonts w:cs="Times New Roman"/>
          <w:sz w:val="24"/>
          <w:szCs w:val="32"/>
        </w:rPr>
      </w:pPr>
      <w:r w:rsidRPr="006E1978">
        <w:rPr>
          <w:rFonts w:cs="Times New Roman"/>
          <w:noProof/>
          <w:sz w:val="24"/>
          <w:szCs w:val="32"/>
        </w:rPr>
        <w:drawing>
          <wp:inline distT="0" distB="0" distL="0" distR="0" wp14:anchorId="73A8DB54" wp14:editId="150A4469">
            <wp:extent cx="8587740" cy="2759837"/>
            <wp:effectExtent l="0" t="0" r="381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01258" cy="2764181"/>
                    </a:xfrm>
                    <a:prstGeom prst="rect">
                      <a:avLst/>
                    </a:prstGeom>
                    <a:noFill/>
                  </pic:spPr>
                </pic:pic>
              </a:graphicData>
            </a:graphic>
          </wp:inline>
        </w:drawing>
      </w:r>
    </w:p>
    <w:p w14:paraId="2E8F37F3" w14:textId="77777777" w:rsidR="0020358A" w:rsidRPr="006E1978" w:rsidRDefault="0020358A" w:rsidP="00DD14E1">
      <w:pPr>
        <w:rPr>
          <w:rFonts w:cs="Times New Roman"/>
          <w:sz w:val="24"/>
          <w:szCs w:val="32"/>
        </w:rPr>
      </w:pPr>
    </w:p>
    <w:p w14:paraId="3DCDC26B" w14:textId="77777777" w:rsidR="00DD14E1" w:rsidRDefault="00DD14E1" w:rsidP="00DD14E1">
      <w:pPr>
        <w:rPr>
          <w:rFonts w:cs="Times New Roman"/>
          <w:sz w:val="24"/>
          <w:szCs w:val="32"/>
        </w:rPr>
      </w:pPr>
      <w:r w:rsidRPr="006E1978">
        <w:rPr>
          <w:rFonts w:cs="Times New Roman"/>
          <w:b/>
          <w:bCs/>
          <w:sz w:val="24"/>
          <w:szCs w:val="32"/>
        </w:rPr>
        <w:t>Figure 2</w:t>
      </w:r>
      <w:r w:rsidRPr="006E1978">
        <w:rPr>
          <w:rFonts w:cs="Times New Roman"/>
          <w:sz w:val="24"/>
          <w:szCs w:val="32"/>
        </w:rPr>
        <w:t>. The latent two-factor structure of the 6-item, short-form Chinese version of MOGS based on Subsample B (</w:t>
      </w:r>
      <w:r w:rsidRPr="006E1978">
        <w:rPr>
          <w:rFonts w:cs="Times New Roman"/>
          <w:i/>
          <w:iCs/>
          <w:sz w:val="24"/>
          <w:szCs w:val="32"/>
        </w:rPr>
        <w:t>n</w:t>
      </w:r>
      <w:r w:rsidRPr="006E1978">
        <w:rPr>
          <w:rFonts w:cs="Times New Roman"/>
          <w:sz w:val="24"/>
          <w:szCs w:val="32"/>
        </w:rPr>
        <w:t xml:space="preserve"> = 670). Standardized factor loadings were reported. N-MOG = negative metacognition about online gaming, P-MOG = positive metacognition about online gaming.</w:t>
      </w:r>
    </w:p>
    <w:p w14:paraId="785C5D9F" w14:textId="6FEC8CAD" w:rsidR="00D935CF" w:rsidRPr="006A2A5C" w:rsidRDefault="00D935CF">
      <w:pPr>
        <w:widowControl/>
        <w:jc w:val="left"/>
        <w:rPr>
          <w:rFonts w:cs="Times New Roman"/>
          <w:szCs w:val="21"/>
        </w:rPr>
      </w:pPr>
    </w:p>
    <w:sectPr w:rsidR="00D935CF" w:rsidRPr="006A2A5C" w:rsidSect="00D1592A">
      <w:pgSz w:w="16838" w:h="11906" w:orient="landscape"/>
      <w:pgMar w:top="1797" w:right="1440" w:bottom="1797" w:left="1440" w:header="851" w:footer="992" w:gutter="0"/>
      <w:lnNumType w:countBy="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CB97" w14:textId="77777777" w:rsidR="003C1B5F" w:rsidRDefault="003C1B5F" w:rsidP="0050432A">
      <w:r>
        <w:separator/>
      </w:r>
    </w:p>
  </w:endnote>
  <w:endnote w:type="continuationSeparator" w:id="0">
    <w:p w14:paraId="06A34808" w14:textId="77777777" w:rsidR="003C1B5F" w:rsidRDefault="003C1B5F" w:rsidP="0050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27A5" w14:textId="77777777" w:rsidR="003C1B5F" w:rsidRDefault="003C1B5F" w:rsidP="0050432A">
      <w:r>
        <w:separator/>
      </w:r>
    </w:p>
  </w:footnote>
  <w:footnote w:type="continuationSeparator" w:id="0">
    <w:p w14:paraId="6008952F" w14:textId="77777777" w:rsidR="003C1B5F" w:rsidRDefault="003C1B5F" w:rsidP="0050432A">
      <w:r>
        <w:continuationSeparator/>
      </w:r>
    </w:p>
  </w:footnote>
  <w:footnote w:id="1">
    <w:p w14:paraId="0C7B9BF2" w14:textId="3201A58F" w:rsidR="00D55ECD" w:rsidRPr="00794D7E" w:rsidRDefault="00D55ECD">
      <w:pPr>
        <w:pStyle w:val="FootnoteText"/>
        <w:rPr>
          <w:rFonts w:cs="Times New Roman"/>
        </w:rPr>
      </w:pPr>
      <w:r w:rsidRPr="006E1978">
        <w:rPr>
          <w:rStyle w:val="FootnoteReference"/>
          <w:rFonts w:cs="Times New Roman"/>
        </w:rPr>
        <w:footnoteRef/>
      </w:r>
      <w:r w:rsidRPr="006E1978">
        <w:rPr>
          <w:rFonts w:cs="Times New Roman"/>
        </w:rPr>
        <w:t xml:space="preserve"> This proportion of probable IGD gamers falls within the range of problematic online gamer (POG) estimation (i.e., 3.5-17.0%) revealed in a recent systematic review of POG studies in China (Long et al., 2018).</w:t>
      </w:r>
      <w:r>
        <w:rPr>
          <w:rFonts w:cs="Times New Roman"/>
        </w:rPr>
        <w:t xml:space="preserve"> </w:t>
      </w:r>
    </w:p>
  </w:footnote>
  <w:footnote w:id="2">
    <w:p w14:paraId="33E0F774" w14:textId="48371544" w:rsidR="00D55ECD" w:rsidRDefault="00D55ECD">
      <w:pPr>
        <w:pStyle w:val="FootnoteText"/>
      </w:pPr>
      <w:r w:rsidRPr="006E1978">
        <w:rPr>
          <w:rStyle w:val="FootnoteReference"/>
        </w:rPr>
        <w:footnoteRef/>
      </w:r>
      <w:r w:rsidRPr="006E1978">
        <w:t xml:space="preserve"> </w:t>
      </w:r>
      <w:r w:rsidRPr="006E1978">
        <w:rPr>
          <w:rFonts w:cs="Times New Roman"/>
        </w:rPr>
        <w:t>Additional comparisons between MOGS and the generic metacognition were conducted by EFA, in which all the 11 MOGS items and 30 items generic metacognition were put together for factor extraction with Subsample A’s data. Following the extracted factor number suggested by the parallel analysis, the EFA successfully extracted two MOGS factors, N-MOG and P-MOG, as expected, in addition to generic metacognition factors, indicating the differences among MOGS and the generic metacognition items on the latent factor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989638"/>
      <w:docPartObj>
        <w:docPartGallery w:val="Page Numbers (Top of Page)"/>
        <w:docPartUnique/>
      </w:docPartObj>
    </w:sdtPr>
    <w:sdtEndPr>
      <w:rPr>
        <w:rFonts w:cs="Times New Roman"/>
        <w:sz w:val="20"/>
        <w:szCs w:val="20"/>
      </w:rPr>
    </w:sdtEndPr>
    <w:sdtContent>
      <w:p w14:paraId="35D6C25C" w14:textId="1D3366E4" w:rsidR="00D55ECD" w:rsidRPr="00B16E7E" w:rsidRDefault="00D55ECD">
        <w:pPr>
          <w:pStyle w:val="Header"/>
          <w:jc w:val="right"/>
          <w:rPr>
            <w:rFonts w:cs="Times New Roman"/>
            <w:sz w:val="20"/>
            <w:szCs w:val="20"/>
          </w:rPr>
        </w:pPr>
        <w:r w:rsidRPr="00B16E7E">
          <w:rPr>
            <w:rFonts w:cs="Times New Roman"/>
            <w:sz w:val="20"/>
            <w:szCs w:val="20"/>
          </w:rPr>
          <w:t>MOGS VALIDATION</w:t>
        </w:r>
        <w:r>
          <w:rPr>
            <w:rFonts w:cs="Times New Roman"/>
            <w:sz w:val="20"/>
            <w:szCs w:val="20"/>
          </w:rPr>
          <w:t xml:space="preserve">                                                             </w:t>
        </w:r>
        <w:r w:rsidRPr="00B16E7E">
          <w:rPr>
            <w:rFonts w:cs="Times New Roman"/>
            <w:sz w:val="20"/>
            <w:szCs w:val="20"/>
          </w:rPr>
          <w:t xml:space="preserve"> </w:t>
        </w:r>
        <w:r w:rsidRPr="00B16E7E">
          <w:rPr>
            <w:rFonts w:cs="Times New Roman"/>
            <w:sz w:val="20"/>
            <w:szCs w:val="20"/>
          </w:rPr>
          <w:fldChar w:fldCharType="begin"/>
        </w:r>
        <w:r w:rsidRPr="00B16E7E">
          <w:rPr>
            <w:rFonts w:cs="Times New Roman"/>
            <w:sz w:val="20"/>
            <w:szCs w:val="20"/>
          </w:rPr>
          <w:instrText>PAGE   \* MERGEFORMAT</w:instrText>
        </w:r>
        <w:r w:rsidRPr="00B16E7E">
          <w:rPr>
            <w:rFonts w:cs="Times New Roman"/>
            <w:sz w:val="20"/>
            <w:szCs w:val="20"/>
          </w:rPr>
          <w:fldChar w:fldCharType="separate"/>
        </w:r>
        <w:r w:rsidRPr="00D86DB1">
          <w:rPr>
            <w:rFonts w:cs="Times New Roman"/>
            <w:noProof/>
            <w:sz w:val="20"/>
            <w:szCs w:val="20"/>
            <w:lang w:val="zh-CN"/>
          </w:rPr>
          <w:t>27</w:t>
        </w:r>
        <w:r w:rsidRPr="00B16E7E">
          <w:rPr>
            <w:rFonts w:cs="Times New Roman"/>
            <w:sz w:val="20"/>
            <w:szCs w:val="20"/>
          </w:rPr>
          <w:fldChar w:fldCharType="end"/>
        </w:r>
      </w:p>
    </w:sdtContent>
  </w:sdt>
  <w:p w14:paraId="654DE405" w14:textId="61D4A54F" w:rsidR="00D55ECD" w:rsidRPr="002A037E" w:rsidRDefault="00D55ECD" w:rsidP="006072BA">
    <w:pPr>
      <w:rPr>
        <w:rFonts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AC05" w14:textId="0A2A100C" w:rsidR="00D55ECD" w:rsidRPr="006072BA" w:rsidRDefault="00D55ECD" w:rsidP="006072BA">
    <w:pPr>
      <w:rPr>
        <w:rFonts w:cs="Times New Roman"/>
        <w:sz w:val="24"/>
        <w:szCs w:val="24"/>
      </w:rPr>
    </w:pPr>
    <w:r w:rsidRPr="006072BA">
      <w:rPr>
        <w:rFonts w:cs="Times New Roman"/>
        <w:sz w:val="24"/>
        <w:szCs w:val="24"/>
      </w:rPr>
      <w:t>MOGS VALIDATION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59E7"/>
    <w:multiLevelType w:val="hybridMultilevel"/>
    <w:tmpl w:val="904AD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1A687C"/>
    <w:multiLevelType w:val="hybridMultilevel"/>
    <w:tmpl w:val="267A78D4"/>
    <w:lvl w:ilvl="0" w:tplc="92BE2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9E206D"/>
    <w:multiLevelType w:val="hybridMultilevel"/>
    <w:tmpl w:val="E692257A"/>
    <w:lvl w:ilvl="0" w:tplc="4B6E4740">
      <w:start w:val="350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FE74C64"/>
    <w:multiLevelType w:val="multilevel"/>
    <w:tmpl w:val="988E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pt-PT" w:vendorID="64" w:dllVersion="6" w:nlCheck="1" w:checkStyle="0"/>
  <w:activeWritingStyle w:appName="MSWord" w:lang="en-US" w:vendorID="64" w:dllVersion="0" w:nlCheck="1" w:checkStyle="0"/>
  <w:activeWritingStyle w:appName="MSWord" w:lang="fr-CA" w:vendorID="64" w:dllVersion="0" w:nlCheck="1" w:checkStyle="0"/>
  <w:activeWritingStyle w:appName="MSWord" w:lang="zh-TW" w:vendorID="64" w:dllVersion="0" w:nlCheck="1" w:checkStyle="1"/>
  <w:activeWritingStyle w:appName="MSWord" w:lang="en-US" w:vendorID="64" w:dllVersion="4096" w:nlCheck="1" w:checkStyle="0"/>
  <w:activeWritingStyle w:appName="MSWord" w:lang="zh-CN" w:vendorID="64" w:dllVersion="0" w:nlCheck="1" w:checkStyle="1"/>
  <w:activeWritingStyle w:appName="MSWord" w:lang="fr-CA" w:vendorID="64" w:dllVersion="4096" w:nlCheck="1" w:checkStyle="0"/>
  <w:activeWritingStyle w:appName="MSWord" w:lang="pt-P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pt-PT" w:vendorID="64" w:dllVersion="0" w:nlCheck="1" w:checkStyle="0"/>
  <w:activeWritingStyle w:appName="MSWord" w:lang="en-GB"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yNTQ2szA2AQIzMyUdpeDU4uLM/DyQAmOjWgC+cROyLQAAAA=="/>
  </w:docVars>
  <w:rsids>
    <w:rsidRoot w:val="00B27A46"/>
    <w:rsid w:val="00001756"/>
    <w:rsid w:val="000037EE"/>
    <w:rsid w:val="000043A4"/>
    <w:rsid w:val="00005AFE"/>
    <w:rsid w:val="000066C7"/>
    <w:rsid w:val="00016A12"/>
    <w:rsid w:val="00016FEF"/>
    <w:rsid w:val="0001727D"/>
    <w:rsid w:val="00020032"/>
    <w:rsid w:val="000207C1"/>
    <w:rsid w:val="00020BDA"/>
    <w:rsid w:val="00020D54"/>
    <w:rsid w:val="00021C18"/>
    <w:rsid w:val="00022CDD"/>
    <w:rsid w:val="00023BC3"/>
    <w:rsid w:val="00024A56"/>
    <w:rsid w:val="00026366"/>
    <w:rsid w:val="00033B23"/>
    <w:rsid w:val="00034934"/>
    <w:rsid w:val="00034F16"/>
    <w:rsid w:val="000356EB"/>
    <w:rsid w:val="00045F54"/>
    <w:rsid w:val="00046E26"/>
    <w:rsid w:val="00051561"/>
    <w:rsid w:val="000531D8"/>
    <w:rsid w:val="000543C3"/>
    <w:rsid w:val="00060EBF"/>
    <w:rsid w:val="0006114C"/>
    <w:rsid w:val="00063E90"/>
    <w:rsid w:val="000652D6"/>
    <w:rsid w:val="0006540D"/>
    <w:rsid w:val="0006545E"/>
    <w:rsid w:val="00066959"/>
    <w:rsid w:val="0007103F"/>
    <w:rsid w:val="00073609"/>
    <w:rsid w:val="000824F9"/>
    <w:rsid w:val="00083C29"/>
    <w:rsid w:val="000840A2"/>
    <w:rsid w:val="000856DC"/>
    <w:rsid w:val="00087B39"/>
    <w:rsid w:val="00091064"/>
    <w:rsid w:val="000912F4"/>
    <w:rsid w:val="00091FCE"/>
    <w:rsid w:val="00093908"/>
    <w:rsid w:val="00096A93"/>
    <w:rsid w:val="00096C53"/>
    <w:rsid w:val="000A0BD9"/>
    <w:rsid w:val="000A12C4"/>
    <w:rsid w:val="000A5493"/>
    <w:rsid w:val="000A60AE"/>
    <w:rsid w:val="000A668A"/>
    <w:rsid w:val="000B32FA"/>
    <w:rsid w:val="000B35A1"/>
    <w:rsid w:val="000B430F"/>
    <w:rsid w:val="000B5288"/>
    <w:rsid w:val="000C2EDC"/>
    <w:rsid w:val="000C3D1F"/>
    <w:rsid w:val="000C6A79"/>
    <w:rsid w:val="000C6ADF"/>
    <w:rsid w:val="000C75B4"/>
    <w:rsid w:val="000C797B"/>
    <w:rsid w:val="000D04F0"/>
    <w:rsid w:val="000D1B93"/>
    <w:rsid w:val="000D2169"/>
    <w:rsid w:val="000D4551"/>
    <w:rsid w:val="000D46E8"/>
    <w:rsid w:val="000D48C3"/>
    <w:rsid w:val="000D55D6"/>
    <w:rsid w:val="000D6EDF"/>
    <w:rsid w:val="000D7544"/>
    <w:rsid w:val="000E0142"/>
    <w:rsid w:val="000E0A72"/>
    <w:rsid w:val="000F0397"/>
    <w:rsid w:val="000F0E41"/>
    <w:rsid w:val="000F1963"/>
    <w:rsid w:val="000F217D"/>
    <w:rsid w:val="000F24CC"/>
    <w:rsid w:val="000F44C3"/>
    <w:rsid w:val="000F4B0B"/>
    <w:rsid w:val="000F70AA"/>
    <w:rsid w:val="00101386"/>
    <w:rsid w:val="00104031"/>
    <w:rsid w:val="0010735A"/>
    <w:rsid w:val="00110CC0"/>
    <w:rsid w:val="001118C9"/>
    <w:rsid w:val="00112870"/>
    <w:rsid w:val="00113912"/>
    <w:rsid w:val="001141E7"/>
    <w:rsid w:val="00115E6B"/>
    <w:rsid w:val="00117A73"/>
    <w:rsid w:val="001228D3"/>
    <w:rsid w:val="00122E4C"/>
    <w:rsid w:val="00122EBD"/>
    <w:rsid w:val="00123BB0"/>
    <w:rsid w:val="00123CD6"/>
    <w:rsid w:val="00124152"/>
    <w:rsid w:val="0012471F"/>
    <w:rsid w:val="00127F87"/>
    <w:rsid w:val="00133F69"/>
    <w:rsid w:val="00134D61"/>
    <w:rsid w:val="0013752D"/>
    <w:rsid w:val="00141F16"/>
    <w:rsid w:val="0014247F"/>
    <w:rsid w:val="001425CD"/>
    <w:rsid w:val="001479A0"/>
    <w:rsid w:val="001505A7"/>
    <w:rsid w:val="00152CB9"/>
    <w:rsid w:val="0015549D"/>
    <w:rsid w:val="001555FC"/>
    <w:rsid w:val="00156151"/>
    <w:rsid w:val="00156D78"/>
    <w:rsid w:val="001621AD"/>
    <w:rsid w:val="00162930"/>
    <w:rsid w:val="00165804"/>
    <w:rsid w:val="001716AE"/>
    <w:rsid w:val="001756DB"/>
    <w:rsid w:val="00177FF0"/>
    <w:rsid w:val="001816C3"/>
    <w:rsid w:val="00181E1E"/>
    <w:rsid w:val="00181F10"/>
    <w:rsid w:val="00183502"/>
    <w:rsid w:val="00183C37"/>
    <w:rsid w:val="0019278A"/>
    <w:rsid w:val="001966F5"/>
    <w:rsid w:val="001A13E2"/>
    <w:rsid w:val="001A14CF"/>
    <w:rsid w:val="001A24AC"/>
    <w:rsid w:val="001A37A7"/>
    <w:rsid w:val="001A4985"/>
    <w:rsid w:val="001A543E"/>
    <w:rsid w:val="001A6F20"/>
    <w:rsid w:val="001A788B"/>
    <w:rsid w:val="001A7C19"/>
    <w:rsid w:val="001B1D3A"/>
    <w:rsid w:val="001B1EEE"/>
    <w:rsid w:val="001B2F1D"/>
    <w:rsid w:val="001C01DB"/>
    <w:rsid w:val="001C36FA"/>
    <w:rsid w:val="001C461A"/>
    <w:rsid w:val="001C5F4B"/>
    <w:rsid w:val="001D2680"/>
    <w:rsid w:val="001D6955"/>
    <w:rsid w:val="001E4180"/>
    <w:rsid w:val="001E7F6A"/>
    <w:rsid w:val="001F06E4"/>
    <w:rsid w:val="001F0998"/>
    <w:rsid w:val="001F11E7"/>
    <w:rsid w:val="001F4C5A"/>
    <w:rsid w:val="001F79D4"/>
    <w:rsid w:val="001F7DE4"/>
    <w:rsid w:val="002025F3"/>
    <w:rsid w:val="0020302B"/>
    <w:rsid w:val="0020358A"/>
    <w:rsid w:val="00206133"/>
    <w:rsid w:val="00210969"/>
    <w:rsid w:val="0021169E"/>
    <w:rsid w:val="00213437"/>
    <w:rsid w:val="00217D31"/>
    <w:rsid w:val="0022306B"/>
    <w:rsid w:val="00226FC4"/>
    <w:rsid w:val="002314C7"/>
    <w:rsid w:val="002332B1"/>
    <w:rsid w:val="00233AFE"/>
    <w:rsid w:val="002347BC"/>
    <w:rsid w:val="00235D25"/>
    <w:rsid w:val="0023601E"/>
    <w:rsid w:val="00242091"/>
    <w:rsid w:val="002449F8"/>
    <w:rsid w:val="00246123"/>
    <w:rsid w:val="002462D9"/>
    <w:rsid w:val="00251F67"/>
    <w:rsid w:val="0025217D"/>
    <w:rsid w:val="002538B6"/>
    <w:rsid w:val="00254711"/>
    <w:rsid w:val="00254F77"/>
    <w:rsid w:val="002566EC"/>
    <w:rsid w:val="00261380"/>
    <w:rsid w:val="00261EAC"/>
    <w:rsid w:val="00261F78"/>
    <w:rsid w:val="00262066"/>
    <w:rsid w:val="00262087"/>
    <w:rsid w:val="00263992"/>
    <w:rsid w:val="00263DCC"/>
    <w:rsid w:val="00264B3B"/>
    <w:rsid w:val="00266CDE"/>
    <w:rsid w:val="00272D68"/>
    <w:rsid w:val="0027529F"/>
    <w:rsid w:val="00275C4D"/>
    <w:rsid w:val="00281CEE"/>
    <w:rsid w:val="00282E69"/>
    <w:rsid w:val="00285976"/>
    <w:rsid w:val="0028753E"/>
    <w:rsid w:val="002922AA"/>
    <w:rsid w:val="002954BE"/>
    <w:rsid w:val="00297BB0"/>
    <w:rsid w:val="002A037E"/>
    <w:rsid w:val="002B00F7"/>
    <w:rsid w:val="002B1D4B"/>
    <w:rsid w:val="002B2C98"/>
    <w:rsid w:val="002B319E"/>
    <w:rsid w:val="002B3444"/>
    <w:rsid w:val="002B3BE6"/>
    <w:rsid w:val="002B522A"/>
    <w:rsid w:val="002B6CF2"/>
    <w:rsid w:val="002B7088"/>
    <w:rsid w:val="002C1014"/>
    <w:rsid w:val="002C40C4"/>
    <w:rsid w:val="002C4F79"/>
    <w:rsid w:val="002C647F"/>
    <w:rsid w:val="002C709E"/>
    <w:rsid w:val="002C7BC2"/>
    <w:rsid w:val="002D1D4B"/>
    <w:rsid w:val="002D3369"/>
    <w:rsid w:val="002D7D16"/>
    <w:rsid w:val="002E37AB"/>
    <w:rsid w:val="002E623A"/>
    <w:rsid w:val="002E66B1"/>
    <w:rsid w:val="002E7D8E"/>
    <w:rsid w:val="002F022A"/>
    <w:rsid w:val="002F05FE"/>
    <w:rsid w:val="002F0C77"/>
    <w:rsid w:val="002F1C88"/>
    <w:rsid w:val="002F2377"/>
    <w:rsid w:val="002F3787"/>
    <w:rsid w:val="002F72FB"/>
    <w:rsid w:val="0030008A"/>
    <w:rsid w:val="003005FB"/>
    <w:rsid w:val="003043EC"/>
    <w:rsid w:val="0030764E"/>
    <w:rsid w:val="00311958"/>
    <w:rsid w:val="00314182"/>
    <w:rsid w:val="00315B32"/>
    <w:rsid w:val="003205F6"/>
    <w:rsid w:val="00323324"/>
    <w:rsid w:val="00324B66"/>
    <w:rsid w:val="00325C9E"/>
    <w:rsid w:val="00326073"/>
    <w:rsid w:val="00327879"/>
    <w:rsid w:val="0033031B"/>
    <w:rsid w:val="003311D9"/>
    <w:rsid w:val="00331325"/>
    <w:rsid w:val="00332848"/>
    <w:rsid w:val="003332BA"/>
    <w:rsid w:val="00334790"/>
    <w:rsid w:val="00335C5A"/>
    <w:rsid w:val="00335DA8"/>
    <w:rsid w:val="00336390"/>
    <w:rsid w:val="003403E8"/>
    <w:rsid w:val="003414D7"/>
    <w:rsid w:val="003422F8"/>
    <w:rsid w:val="00347AC9"/>
    <w:rsid w:val="00351079"/>
    <w:rsid w:val="00354F53"/>
    <w:rsid w:val="0035503F"/>
    <w:rsid w:val="00355E52"/>
    <w:rsid w:val="003571AA"/>
    <w:rsid w:val="00361CA5"/>
    <w:rsid w:val="00362D13"/>
    <w:rsid w:val="00365C74"/>
    <w:rsid w:val="00365CB2"/>
    <w:rsid w:val="00366AD2"/>
    <w:rsid w:val="00367178"/>
    <w:rsid w:val="00367B9C"/>
    <w:rsid w:val="0037157C"/>
    <w:rsid w:val="00372D19"/>
    <w:rsid w:val="00381F9E"/>
    <w:rsid w:val="00383239"/>
    <w:rsid w:val="00384E41"/>
    <w:rsid w:val="00385532"/>
    <w:rsid w:val="0038723B"/>
    <w:rsid w:val="00390256"/>
    <w:rsid w:val="00391518"/>
    <w:rsid w:val="0039179F"/>
    <w:rsid w:val="003928B9"/>
    <w:rsid w:val="00393C13"/>
    <w:rsid w:val="0039606E"/>
    <w:rsid w:val="003A0319"/>
    <w:rsid w:val="003A1093"/>
    <w:rsid w:val="003A24CB"/>
    <w:rsid w:val="003A64AD"/>
    <w:rsid w:val="003B1A29"/>
    <w:rsid w:val="003B1E48"/>
    <w:rsid w:val="003B306C"/>
    <w:rsid w:val="003B526E"/>
    <w:rsid w:val="003B6803"/>
    <w:rsid w:val="003C1B5F"/>
    <w:rsid w:val="003C2333"/>
    <w:rsid w:val="003C2C74"/>
    <w:rsid w:val="003C3399"/>
    <w:rsid w:val="003C4B70"/>
    <w:rsid w:val="003D6526"/>
    <w:rsid w:val="003D721B"/>
    <w:rsid w:val="003E0FDB"/>
    <w:rsid w:val="003E4B30"/>
    <w:rsid w:val="003E5C2A"/>
    <w:rsid w:val="003E74A5"/>
    <w:rsid w:val="003E7FB5"/>
    <w:rsid w:val="003F1DD8"/>
    <w:rsid w:val="003F479E"/>
    <w:rsid w:val="003F7574"/>
    <w:rsid w:val="00400A55"/>
    <w:rsid w:val="00403533"/>
    <w:rsid w:val="00403EFA"/>
    <w:rsid w:val="00405056"/>
    <w:rsid w:val="00407155"/>
    <w:rsid w:val="00407164"/>
    <w:rsid w:val="00410226"/>
    <w:rsid w:val="00410405"/>
    <w:rsid w:val="00414418"/>
    <w:rsid w:val="00417DE6"/>
    <w:rsid w:val="00420294"/>
    <w:rsid w:val="00421C83"/>
    <w:rsid w:val="00424626"/>
    <w:rsid w:val="00424B82"/>
    <w:rsid w:val="0042779F"/>
    <w:rsid w:val="0043544A"/>
    <w:rsid w:val="00435787"/>
    <w:rsid w:val="0044260E"/>
    <w:rsid w:val="00444968"/>
    <w:rsid w:val="004467D4"/>
    <w:rsid w:val="00452057"/>
    <w:rsid w:val="0045261B"/>
    <w:rsid w:val="004544AE"/>
    <w:rsid w:val="0045454F"/>
    <w:rsid w:val="0046080C"/>
    <w:rsid w:val="004608D7"/>
    <w:rsid w:val="004624BC"/>
    <w:rsid w:val="004648CD"/>
    <w:rsid w:val="004650B0"/>
    <w:rsid w:val="00467334"/>
    <w:rsid w:val="00467972"/>
    <w:rsid w:val="0047015F"/>
    <w:rsid w:val="00471B52"/>
    <w:rsid w:val="004732B7"/>
    <w:rsid w:val="00474064"/>
    <w:rsid w:val="004741CE"/>
    <w:rsid w:val="004743FE"/>
    <w:rsid w:val="00474F6C"/>
    <w:rsid w:val="00476FC6"/>
    <w:rsid w:val="004774CC"/>
    <w:rsid w:val="0048095C"/>
    <w:rsid w:val="0048432C"/>
    <w:rsid w:val="0049136B"/>
    <w:rsid w:val="004A0AB7"/>
    <w:rsid w:val="004A4D25"/>
    <w:rsid w:val="004A7E15"/>
    <w:rsid w:val="004B0DD9"/>
    <w:rsid w:val="004B2654"/>
    <w:rsid w:val="004B2697"/>
    <w:rsid w:val="004B2A97"/>
    <w:rsid w:val="004B2ACD"/>
    <w:rsid w:val="004B2F46"/>
    <w:rsid w:val="004B43D2"/>
    <w:rsid w:val="004B46A9"/>
    <w:rsid w:val="004C24B8"/>
    <w:rsid w:val="004D45F5"/>
    <w:rsid w:val="004D5181"/>
    <w:rsid w:val="004D565E"/>
    <w:rsid w:val="004D7F40"/>
    <w:rsid w:val="004E5275"/>
    <w:rsid w:val="004E66A1"/>
    <w:rsid w:val="004F250F"/>
    <w:rsid w:val="004F48FB"/>
    <w:rsid w:val="005015DC"/>
    <w:rsid w:val="0050432A"/>
    <w:rsid w:val="00504CE0"/>
    <w:rsid w:val="00506515"/>
    <w:rsid w:val="0051079B"/>
    <w:rsid w:val="00511402"/>
    <w:rsid w:val="0051395B"/>
    <w:rsid w:val="0051697B"/>
    <w:rsid w:val="00520F04"/>
    <w:rsid w:val="005213DC"/>
    <w:rsid w:val="00522C79"/>
    <w:rsid w:val="00523A7E"/>
    <w:rsid w:val="00525D4E"/>
    <w:rsid w:val="00525D72"/>
    <w:rsid w:val="005334B0"/>
    <w:rsid w:val="00533617"/>
    <w:rsid w:val="005365B5"/>
    <w:rsid w:val="00541336"/>
    <w:rsid w:val="00547CD0"/>
    <w:rsid w:val="005521B4"/>
    <w:rsid w:val="00552666"/>
    <w:rsid w:val="005526E4"/>
    <w:rsid w:val="00555C15"/>
    <w:rsid w:val="005569A2"/>
    <w:rsid w:val="005572E9"/>
    <w:rsid w:val="00560E40"/>
    <w:rsid w:val="00560F18"/>
    <w:rsid w:val="00563E21"/>
    <w:rsid w:val="00564603"/>
    <w:rsid w:val="005649CA"/>
    <w:rsid w:val="00566C63"/>
    <w:rsid w:val="00570B6C"/>
    <w:rsid w:val="00570C4C"/>
    <w:rsid w:val="00577816"/>
    <w:rsid w:val="00577F2C"/>
    <w:rsid w:val="00587771"/>
    <w:rsid w:val="00593AE2"/>
    <w:rsid w:val="00593E67"/>
    <w:rsid w:val="0059446E"/>
    <w:rsid w:val="00594998"/>
    <w:rsid w:val="005A03EE"/>
    <w:rsid w:val="005A3BBE"/>
    <w:rsid w:val="005B3156"/>
    <w:rsid w:val="005B7569"/>
    <w:rsid w:val="005C08CD"/>
    <w:rsid w:val="005C2D02"/>
    <w:rsid w:val="005C36EC"/>
    <w:rsid w:val="005C3AC3"/>
    <w:rsid w:val="005C52EA"/>
    <w:rsid w:val="005C5901"/>
    <w:rsid w:val="005C5F44"/>
    <w:rsid w:val="005D2B40"/>
    <w:rsid w:val="005D4627"/>
    <w:rsid w:val="005D4E7E"/>
    <w:rsid w:val="005D55F6"/>
    <w:rsid w:val="005D5C44"/>
    <w:rsid w:val="005D6069"/>
    <w:rsid w:val="005D725C"/>
    <w:rsid w:val="005E0253"/>
    <w:rsid w:val="005E36C1"/>
    <w:rsid w:val="005E3BEE"/>
    <w:rsid w:val="005E549F"/>
    <w:rsid w:val="005E57AC"/>
    <w:rsid w:val="005E611E"/>
    <w:rsid w:val="005E7CFA"/>
    <w:rsid w:val="005F1EDD"/>
    <w:rsid w:val="005F50DD"/>
    <w:rsid w:val="005F6D58"/>
    <w:rsid w:val="005F707F"/>
    <w:rsid w:val="00601A06"/>
    <w:rsid w:val="006031E9"/>
    <w:rsid w:val="00606F87"/>
    <w:rsid w:val="006072BA"/>
    <w:rsid w:val="0061099B"/>
    <w:rsid w:val="00611DDC"/>
    <w:rsid w:val="00616201"/>
    <w:rsid w:val="00616B63"/>
    <w:rsid w:val="00617654"/>
    <w:rsid w:val="006176B3"/>
    <w:rsid w:val="00617BDD"/>
    <w:rsid w:val="006212B2"/>
    <w:rsid w:val="00621432"/>
    <w:rsid w:val="00622053"/>
    <w:rsid w:val="0062609C"/>
    <w:rsid w:val="006274EB"/>
    <w:rsid w:val="00630603"/>
    <w:rsid w:val="00631D26"/>
    <w:rsid w:val="006345B2"/>
    <w:rsid w:val="00635839"/>
    <w:rsid w:val="00636FC6"/>
    <w:rsid w:val="006464FF"/>
    <w:rsid w:val="00647776"/>
    <w:rsid w:val="00650E1F"/>
    <w:rsid w:val="006516B1"/>
    <w:rsid w:val="006520E1"/>
    <w:rsid w:val="00655012"/>
    <w:rsid w:val="00657D44"/>
    <w:rsid w:val="0066091F"/>
    <w:rsid w:val="00663592"/>
    <w:rsid w:val="00665379"/>
    <w:rsid w:val="00670DE6"/>
    <w:rsid w:val="006716FA"/>
    <w:rsid w:val="006722EE"/>
    <w:rsid w:val="00672B88"/>
    <w:rsid w:val="00673A20"/>
    <w:rsid w:val="00681C46"/>
    <w:rsid w:val="00684235"/>
    <w:rsid w:val="00685E51"/>
    <w:rsid w:val="0069052F"/>
    <w:rsid w:val="00694A45"/>
    <w:rsid w:val="00695587"/>
    <w:rsid w:val="00697B84"/>
    <w:rsid w:val="006A09CF"/>
    <w:rsid w:val="006A1F47"/>
    <w:rsid w:val="006A2A5C"/>
    <w:rsid w:val="006A36D9"/>
    <w:rsid w:val="006A40A2"/>
    <w:rsid w:val="006A46E2"/>
    <w:rsid w:val="006A5189"/>
    <w:rsid w:val="006A5CAD"/>
    <w:rsid w:val="006A5E7D"/>
    <w:rsid w:val="006A797F"/>
    <w:rsid w:val="006B1516"/>
    <w:rsid w:val="006B15B8"/>
    <w:rsid w:val="006B5F54"/>
    <w:rsid w:val="006B667D"/>
    <w:rsid w:val="006C04AB"/>
    <w:rsid w:val="006C10EB"/>
    <w:rsid w:val="006C464D"/>
    <w:rsid w:val="006C587F"/>
    <w:rsid w:val="006C5DE5"/>
    <w:rsid w:val="006D0EE4"/>
    <w:rsid w:val="006D457D"/>
    <w:rsid w:val="006D599D"/>
    <w:rsid w:val="006D711E"/>
    <w:rsid w:val="006E10BC"/>
    <w:rsid w:val="006E1978"/>
    <w:rsid w:val="006E414C"/>
    <w:rsid w:val="006E4AE4"/>
    <w:rsid w:val="006E4F0A"/>
    <w:rsid w:val="006E57B4"/>
    <w:rsid w:val="006E6B83"/>
    <w:rsid w:val="006F09F2"/>
    <w:rsid w:val="006F1FA7"/>
    <w:rsid w:val="006F313D"/>
    <w:rsid w:val="006F344F"/>
    <w:rsid w:val="006F34D6"/>
    <w:rsid w:val="006F49F3"/>
    <w:rsid w:val="006F65E4"/>
    <w:rsid w:val="006F75F2"/>
    <w:rsid w:val="007008B9"/>
    <w:rsid w:val="0070090F"/>
    <w:rsid w:val="00703552"/>
    <w:rsid w:val="00703F63"/>
    <w:rsid w:val="0070617F"/>
    <w:rsid w:val="00707CBD"/>
    <w:rsid w:val="00711DFC"/>
    <w:rsid w:val="00713706"/>
    <w:rsid w:val="007163CA"/>
    <w:rsid w:val="00720645"/>
    <w:rsid w:val="00721449"/>
    <w:rsid w:val="00724221"/>
    <w:rsid w:val="00724C51"/>
    <w:rsid w:val="007251F4"/>
    <w:rsid w:val="00725691"/>
    <w:rsid w:val="007264BE"/>
    <w:rsid w:val="00731728"/>
    <w:rsid w:val="0073197F"/>
    <w:rsid w:val="00735D98"/>
    <w:rsid w:val="00737618"/>
    <w:rsid w:val="00742680"/>
    <w:rsid w:val="00745D9D"/>
    <w:rsid w:val="00747B2F"/>
    <w:rsid w:val="007500C9"/>
    <w:rsid w:val="00750854"/>
    <w:rsid w:val="00753EC3"/>
    <w:rsid w:val="00760A86"/>
    <w:rsid w:val="00761AF9"/>
    <w:rsid w:val="0076344D"/>
    <w:rsid w:val="00763FBD"/>
    <w:rsid w:val="00770482"/>
    <w:rsid w:val="0077073C"/>
    <w:rsid w:val="0077264B"/>
    <w:rsid w:val="00773650"/>
    <w:rsid w:val="00775873"/>
    <w:rsid w:val="00776CDC"/>
    <w:rsid w:val="00776EB6"/>
    <w:rsid w:val="00782269"/>
    <w:rsid w:val="00782F90"/>
    <w:rsid w:val="00783F29"/>
    <w:rsid w:val="007850E6"/>
    <w:rsid w:val="00785160"/>
    <w:rsid w:val="00792616"/>
    <w:rsid w:val="00794D7E"/>
    <w:rsid w:val="00797013"/>
    <w:rsid w:val="007A11FD"/>
    <w:rsid w:val="007A2D21"/>
    <w:rsid w:val="007A4D67"/>
    <w:rsid w:val="007A5C3E"/>
    <w:rsid w:val="007B26DC"/>
    <w:rsid w:val="007B6099"/>
    <w:rsid w:val="007B68BE"/>
    <w:rsid w:val="007C020D"/>
    <w:rsid w:val="007C1CBE"/>
    <w:rsid w:val="007C3A37"/>
    <w:rsid w:val="007C566D"/>
    <w:rsid w:val="007C6D58"/>
    <w:rsid w:val="007C70B0"/>
    <w:rsid w:val="007C7AA5"/>
    <w:rsid w:val="007C7E02"/>
    <w:rsid w:val="007D3BAB"/>
    <w:rsid w:val="007D4388"/>
    <w:rsid w:val="007E5023"/>
    <w:rsid w:val="007E67EA"/>
    <w:rsid w:val="007E7401"/>
    <w:rsid w:val="007E7789"/>
    <w:rsid w:val="007F016F"/>
    <w:rsid w:val="007F22F7"/>
    <w:rsid w:val="007F6F14"/>
    <w:rsid w:val="0080012A"/>
    <w:rsid w:val="0080100D"/>
    <w:rsid w:val="00805337"/>
    <w:rsid w:val="008073BE"/>
    <w:rsid w:val="0081311C"/>
    <w:rsid w:val="00815B8E"/>
    <w:rsid w:val="00816023"/>
    <w:rsid w:val="00816CDC"/>
    <w:rsid w:val="00817D81"/>
    <w:rsid w:val="0082214D"/>
    <w:rsid w:val="008226B3"/>
    <w:rsid w:val="00831C71"/>
    <w:rsid w:val="00832F63"/>
    <w:rsid w:val="00833CB6"/>
    <w:rsid w:val="0083582C"/>
    <w:rsid w:val="0084128C"/>
    <w:rsid w:val="00841815"/>
    <w:rsid w:val="00841DE8"/>
    <w:rsid w:val="008420FD"/>
    <w:rsid w:val="008422A9"/>
    <w:rsid w:val="008422CE"/>
    <w:rsid w:val="008441CD"/>
    <w:rsid w:val="00844E8E"/>
    <w:rsid w:val="00850C29"/>
    <w:rsid w:val="00853D69"/>
    <w:rsid w:val="008545A3"/>
    <w:rsid w:val="00855933"/>
    <w:rsid w:val="00856089"/>
    <w:rsid w:val="00856991"/>
    <w:rsid w:val="008614D7"/>
    <w:rsid w:val="0086155A"/>
    <w:rsid w:val="008629EE"/>
    <w:rsid w:val="00863840"/>
    <w:rsid w:val="00864D39"/>
    <w:rsid w:val="00865FCA"/>
    <w:rsid w:val="0086710D"/>
    <w:rsid w:val="00867DBA"/>
    <w:rsid w:val="00867DC0"/>
    <w:rsid w:val="0087359B"/>
    <w:rsid w:val="00874671"/>
    <w:rsid w:val="008749FC"/>
    <w:rsid w:val="00881545"/>
    <w:rsid w:val="00884527"/>
    <w:rsid w:val="00884757"/>
    <w:rsid w:val="00885E7C"/>
    <w:rsid w:val="008865A1"/>
    <w:rsid w:val="00891A58"/>
    <w:rsid w:val="00892652"/>
    <w:rsid w:val="00892AFA"/>
    <w:rsid w:val="00892EBA"/>
    <w:rsid w:val="008A1BD4"/>
    <w:rsid w:val="008A21E3"/>
    <w:rsid w:val="008A44BB"/>
    <w:rsid w:val="008A4571"/>
    <w:rsid w:val="008A4E77"/>
    <w:rsid w:val="008A650C"/>
    <w:rsid w:val="008A6CC6"/>
    <w:rsid w:val="008B1CAA"/>
    <w:rsid w:val="008B2291"/>
    <w:rsid w:val="008B26A8"/>
    <w:rsid w:val="008B4699"/>
    <w:rsid w:val="008C3C8C"/>
    <w:rsid w:val="008C49E1"/>
    <w:rsid w:val="008C50E1"/>
    <w:rsid w:val="008C706A"/>
    <w:rsid w:val="008D2C7C"/>
    <w:rsid w:val="008D33A0"/>
    <w:rsid w:val="008D56CF"/>
    <w:rsid w:val="008D7179"/>
    <w:rsid w:val="008E3C29"/>
    <w:rsid w:val="008F3658"/>
    <w:rsid w:val="008F3D96"/>
    <w:rsid w:val="008F3EE7"/>
    <w:rsid w:val="009007F7"/>
    <w:rsid w:val="00902208"/>
    <w:rsid w:val="00902B44"/>
    <w:rsid w:val="00902EC2"/>
    <w:rsid w:val="00904718"/>
    <w:rsid w:val="009048D6"/>
    <w:rsid w:val="0090624D"/>
    <w:rsid w:val="00906C01"/>
    <w:rsid w:val="00906EDA"/>
    <w:rsid w:val="0090705D"/>
    <w:rsid w:val="00910861"/>
    <w:rsid w:val="00914D3C"/>
    <w:rsid w:val="00915A5D"/>
    <w:rsid w:val="00916A1F"/>
    <w:rsid w:val="00916DD6"/>
    <w:rsid w:val="00922137"/>
    <w:rsid w:val="00922A0C"/>
    <w:rsid w:val="00924A73"/>
    <w:rsid w:val="009304AA"/>
    <w:rsid w:val="00930D75"/>
    <w:rsid w:val="009333F7"/>
    <w:rsid w:val="0094079C"/>
    <w:rsid w:val="00950CF7"/>
    <w:rsid w:val="00951605"/>
    <w:rsid w:val="00951D1E"/>
    <w:rsid w:val="00953BF7"/>
    <w:rsid w:val="009567DE"/>
    <w:rsid w:val="00956BEF"/>
    <w:rsid w:val="009620D7"/>
    <w:rsid w:val="009626C4"/>
    <w:rsid w:val="009651F7"/>
    <w:rsid w:val="00965348"/>
    <w:rsid w:val="009704AF"/>
    <w:rsid w:val="00973293"/>
    <w:rsid w:val="009733B4"/>
    <w:rsid w:val="00974D09"/>
    <w:rsid w:val="009802FA"/>
    <w:rsid w:val="009907EF"/>
    <w:rsid w:val="009910B8"/>
    <w:rsid w:val="00991D78"/>
    <w:rsid w:val="0099262A"/>
    <w:rsid w:val="00993571"/>
    <w:rsid w:val="0099478A"/>
    <w:rsid w:val="00997F94"/>
    <w:rsid w:val="009A114E"/>
    <w:rsid w:val="009A4BF9"/>
    <w:rsid w:val="009A551E"/>
    <w:rsid w:val="009B1374"/>
    <w:rsid w:val="009B19BA"/>
    <w:rsid w:val="009B2BF1"/>
    <w:rsid w:val="009B4646"/>
    <w:rsid w:val="009B4F40"/>
    <w:rsid w:val="009B58FC"/>
    <w:rsid w:val="009B69C8"/>
    <w:rsid w:val="009C084F"/>
    <w:rsid w:val="009C10B2"/>
    <w:rsid w:val="009C1110"/>
    <w:rsid w:val="009C13B4"/>
    <w:rsid w:val="009C3999"/>
    <w:rsid w:val="009C5813"/>
    <w:rsid w:val="009C6090"/>
    <w:rsid w:val="009D0049"/>
    <w:rsid w:val="009D3365"/>
    <w:rsid w:val="009D4232"/>
    <w:rsid w:val="009D62B9"/>
    <w:rsid w:val="009E061C"/>
    <w:rsid w:val="009E1AD3"/>
    <w:rsid w:val="009E28F4"/>
    <w:rsid w:val="009E31AA"/>
    <w:rsid w:val="009E61D4"/>
    <w:rsid w:val="009F0549"/>
    <w:rsid w:val="009F4EF0"/>
    <w:rsid w:val="009F51B8"/>
    <w:rsid w:val="009F568F"/>
    <w:rsid w:val="009F7EE8"/>
    <w:rsid w:val="00A00C1C"/>
    <w:rsid w:val="00A03D41"/>
    <w:rsid w:val="00A05405"/>
    <w:rsid w:val="00A06595"/>
    <w:rsid w:val="00A06B04"/>
    <w:rsid w:val="00A13463"/>
    <w:rsid w:val="00A15DC1"/>
    <w:rsid w:val="00A170ED"/>
    <w:rsid w:val="00A21E50"/>
    <w:rsid w:val="00A230C1"/>
    <w:rsid w:val="00A26C51"/>
    <w:rsid w:val="00A275D6"/>
    <w:rsid w:val="00A30EA0"/>
    <w:rsid w:val="00A33E01"/>
    <w:rsid w:val="00A3583E"/>
    <w:rsid w:val="00A36280"/>
    <w:rsid w:val="00A41C29"/>
    <w:rsid w:val="00A470AD"/>
    <w:rsid w:val="00A5174C"/>
    <w:rsid w:val="00A5322B"/>
    <w:rsid w:val="00A545DC"/>
    <w:rsid w:val="00A5565B"/>
    <w:rsid w:val="00A5595F"/>
    <w:rsid w:val="00A569D8"/>
    <w:rsid w:val="00A57587"/>
    <w:rsid w:val="00A60096"/>
    <w:rsid w:val="00A62123"/>
    <w:rsid w:val="00A62C84"/>
    <w:rsid w:val="00A62CF2"/>
    <w:rsid w:val="00A66FF7"/>
    <w:rsid w:val="00A71FDC"/>
    <w:rsid w:val="00A74C56"/>
    <w:rsid w:val="00A76BA9"/>
    <w:rsid w:val="00A77F65"/>
    <w:rsid w:val="00A84874"/>
    <w:rsid w:val="00A853F6"/>
    <w:rsid w:val="00A863EA"/>
    <w:rsid w:val="00A870E0"/>
    <w:rsid w:val="00A878F9"/>
    <w:rsid w:val="00A90988"/>
    <w:rsid w:val="00A90E2C"/>
    <w:rsid w:val="00A944A8"/>
    <w:rsid w:val="00A976BF"/>
    <w:rsid w:val="00AA1A8C"/>
    <w:rsid w:val="00AA2A61"/>
    <w:rsid w:val="00AA2C77"/>
    <w:rsid w:val="00AA3CE0"/>
    <w:rsid w:val="00AA4798"/>
    <w:rsid w:val="00AA48FA"/>
    <w:rsid w:val="00AA7423"/>
    <w:rsid w:val="00AB341E"/>
    <w:rsid w:val="00AB40D6"/>
    <w:rsid w:val="00AB6675"/>
    <w:rsid w:val="00AB6836"/>
    <w:rsid w:val="00AB7CAB"/>
    <w:rsid w:val="00AC08FE"/>
    <w:rsid w:val="00AC0F41"/>
    <w:rsid w:val="00AC1916"/>
    <w:rsid w:val="00AC50DF"/>
    <w:rsid w:val="00AD6B68"/>
    <w:rsid w:val="00AD6F33"/>
    <w:rsid w:val="00AD72B2"/>
    <w:rsid w:val="00AD7D71"/>
    <w:rsid w:val="00AE4DA3"/>
    <w:rsid w:val="00AE6881"/>
    <w:rsid w:val="00AE6A7D"/>
    <w:rsid w:val="00AE7F41"/>
    <w:rsid w:val="00AF4364"/>
    <w:rsid w:val="00AF607C"/>
    <w:rsid w:val="00AF62DB"/>
    <w:rsid w:val="00AF6708"/>
    <w:rsid w:val="00AF72CE"/>
    <w:rsid w:val="00B02CCE"/>
    <w:rsid w:val="00B04A60"/>
    <w:rsid w:val="00B14828"/>
    <w:rsid w:val="00B15DE1"/>
    <w:rsid w:val="00B16895"/>
    <w:rsid w:val="00B16E7E"/>
    <w:rsid w:val="00B23A21"/>
    <w:rsid w:val="00B26C8F"/>
    <w:rsid w:val="00B27A46"/>
    <w:rsid w:val="00B31A35"/>
    <w:rsid w:val="00B34BA4"/>
    <w:rsid w:val="00B406EE"/>
    <w:rsid w:val="00B4181A"/>
    <w:rsid w:val="00B43299"/>
    <w:rsid w:val="00B45D3F"/>
    <w:rsid w:val="00B471A9"/>
    <w:rsid w:val="00B47FDD"/>
    <w:rsid w:val="00B509A3"/>
    <w:rsid w:val="00B50A50"/>
    <w:rsid w:val="00B515D7"/>
    <w:rsid w:val="00B51D03"/>
    <w:rsid w:val="00B540E3"/>
    <w:rsid w:val="00B55AF1"/>
    <w:rsid w:val="00B60849"/>
    <w:rsid w:val="00B64598"/>
    <w:rsid w:val="00B64745"/>
    <w:rsid w:val="00B72757"/>
    <w:rsid w:val="00B729C6"/>
    <w:rsid w:val="00B76E4F"/>
    <w:rsid w:val="00B80BFC"/>
    <w:rsid w:val="00B828D8"/>
    <w:rsid w:val="00B86CA3"/>
    <w:rsid w:val="00B90573"/>
    <w:rsid w:val="00B90E70"/>
    <w:rsid w:val="00B92911"/>
    <w:rsid w:val="00B946D9"/>
    <w:rsid w:val="00B96D68"/>
    <w:rsid w:val="00B96EF9"/>
    <w:rsid w:val="00BA159C"/>
    <w:rsid w:val="00BA1CA0"/>
    <w:rsid w:val="00BA4D38"/>
    <w:rsid w:val="00BA5120"/>
    <w:rsid w:val="00BA6430"/>
    <w:rsid w:val="00BA76C9"/>
    <w:rsid w:val="00BA7BF6"/>
    <w:rsid w:val="00BB0B90"/>
    <w:rsid w:val="00BB3B21"/>
    <w:rsid w:val="00BB5825"/>
    <w:rsid w:val="00BC479A"/>
    <w:rsid w:val="00BC529E"/>
    <w:rsid w:val="00BC6C4A"/>
    <w:rsid w:val="00BC7A63"/>
    <w:rsid w:val="00BC7CC6"/>
    <w:rsid w:val="00BD0C95"/>
    <w:rsid w:val="00BD1520"/>
    <w:rsid w:val="00BE3AD4"/>
    <w:rsid w:val="00BF18B7"/>
    <w:rsid w:val="00BF19AC"/>
    <w:rsid w:val="00BF2EEC"/>
    <w:rsid w:val="00BF3968"/>
    <w:rsid w:val="00BF590B"/>
    <w:rsid w:val="00C00F14"/>
    <w:rsid w:val="00C01322"/>
    <w:rsid w:val="00C017D3"/>
    <w:rsid w:val="00C034B9"/>
    <w:rsid w:val="00C0528F"/>
    <w:rsid w:val="00C121AC"/>
    <w:rsid w:val="00C12838"/>
    <w:rsid w:val="00C14F36"/>
    <w:rsid w:val="00C15C2D"/>
    <w:rsid w:val="00C16026"/>
    <w:rsid w:val="00C16E85"/>
    <w:rsid w:val="00C2085E"/>
    <w:rsid w:val="00C2090A"/>
    <w:rsid w:val="00C21473"/>
    <w:rsid w:val="00C2274A"/>
    <w:rsid w:val="00C23B55"/>
    <w:rsid w:val="00C24634"/>
    <w:rsid w:val="00C25452"/>
    <w:rsid w:val="00C304E1"/>
    <w:rsid w:val="00C319B8"/>
    <w:rsid w:val="00C36C98"/>
    <w:rsid w:val="00C40D1F"/>
    <w:rsid w:val="00C410DB"/>
    <w:rsid w:val="00C42488"/>
    <w:rsid w:val="00C43429"/>
    <w:rsid w:val="00C438CA"/>
    <w:rsid w:val="00C4393A"/>
    <w:rsid w:val="00C45E8C"/>
    <w:rsid w:val="00C478FF"/>
    <w:rsid w:val="00C53940"/>
    <w:rsid w:val="00C53B11"/>
    <w:rsid w:val="00C610CF"/>
    <w:rsid w:val="00C61B62"/>
    <w:rsid w:val="00C639F6"/>
    <w:rsid w:val="00C65193"/>
    <w:rsid w:val="00C67909"/>
    <w:rsid w:val="00C718CD"/>
    <w:rsid w:val="00C72082"/>
    <w:rsid w:val="00C72564"/>
    <w:rsid w:val="00C770B6"/>
    <w:rsid w:val="00C8014B"/>
    <w:rsid w:val="00C80A31"/>
    <w:rsid w:val="00C86A3F"/>
    <w:rsid w:val="00C90619"/>
    <w:rsid w:val="00C94234"/>
    <w:rsid w:val="00C9693D"/>
    <w:rsid w:val="00CA2287"/>
    <w:rsid w:val="00CA46C3"/>
    <w:rsid w:val="00CB03A8"/>
    <w:rsid w:val="00CB17F1"/>
    <w:rsid w:val="00CB3E85"/>
    <w:rsid w:val="00CB4E28"/>
    <w:rsid w:val="00CC0697"/>
    <w:rsid w:val="00CC0BBE"/>
    <w:rsid w:val="00CC24F9"/>
    <w:rsid w:val="00CC2C1F"/>
    <w:rsid w:val="00CC4F6C"/>
    <w:rsid w:val="00CC5C3F"/>
    <w:rsid w:val="00CD1F02"/>
    <w:rsid w:val="00CD6792"/>
    <w:rsid w:val="00CE1911"/>
    <w:rsid w:val="00CE2973"/>
    <w:rsid w:val="00CE4354"/>
    <w:rsid w:val="00CE45A7"/>
    <w:rsid w:val="00CE7883"/>
    <w:rsid w:val="00CF63E1"/>
    <w:rsid w:val="00CF6428"/>
    <w:rsid w:val="00CF77E1"/>
    <w:rsid w:val="00D00941"/>
    <w:rsid w:val="00D02A39"/>
    <w:rsid w:val="00D035AF"/>
    <w:rsid w:val="00D05F91"/>
    <w:rsid w:val="00D11CD2"/>
    <w:rsid w:val="00D12209"/>
    <w:rsid w:val="00D13558"/>
    <w:rsid w:val="00D14801"/>
    <w:rsid w:val="00D14F63"/>
    <w:rsid w:val="00D1592A"/>
    <w:rsid w:val="00D229FB"/>
    <w:rsid w:val="00D24127"/>
    <w:rsid w:val="00D245FB"/>
    <w:rsid w:val="00D24C63"/>
    <w:rsid w:val="00D25D22"/>
    <w:rsid w:val="00D2611B"/>
    <w:rsid w:val="00D26E3E"/>
    <w:rsid w:val="00D32559"/>
    <w:rsid w:val="00D3629B"/>
    <w:rsid w:val="00D416E9"/>
    <w:rsid w:val="00D41962"/>
    <w:rsid w:val="00D41DCF"/>
    <w:rsid w:val="00D41EE8"/>
    <w:rsid w:val="00D42B13"/>
    <w:rsid w:val="00D44644"/>
    <w:rsid w:val="00D44718"/>
    <w:rsid w:val="00D447BA"/>
    <w:rsid w:val="00D44F78"/>
    <w:rsid w:val="00D46498"/>
    <w:rsid w:val="00D4672B"/>
    <w:rsid w:val="00D51CC4"/>
    <w:rsid w:val="00D53614"/>
    <w:rsid w:val="00D5472E"/>
    <w:rsid w:val="00D55ECD"/>
    <w:rsid w:val="00D57194"/>
    <w:rsid w:val="00D61C6A"/>
    <w:rsid w:val="00D62727"/>
    <w:rsid w:val="00D63D4D"/>
    <w:rsid w:val="00D651CD"/>
    <w:rsid w:val="00D658B8"/>
    <w:rsid w:val="00D70144"/>
    <w:rsid w:val="00D72754"/>
    <w:rsid w:val="00D734F8"/>
    <w:rsid w:val="00D73E44"/>
    <w:rsid w:val="00D74DA8"/>
    <w:rsid w:val="00D75A28"/>
    <w:rsid w:val="00D771AD"/>
    <w:rsid w:val="00D802E5"/>
    <w:rsid w:val="00D80624"/>
    <w:rsid w:val="00D80879"/>
    <w:rsid w:val="00D81A4D"/>
    <w:rsid w:val="00D8551B"/>
    <w:rsid w:val="00D85C00"/>
    <w:rsid w:val="00D86DB1"/>
    <w:rsid w:val="00D86F97"/>
    <w:rsid w:val="00D9126C"/>
    <w:rsid w:val="00D9206B"/>
    <w:rsid w:val="00D935CF"/>
    <w:rsid w:val="00D93F9F"/>
    <w:rsid w:val="00D95A1E"/>
    <w:rsid w:val="00D96060"/>
    <w:rsid w:val="00D96396"/>
    <w:rsid w:val="00D966EC"/>
    <w:rsid w:val="00D96D86"/>
    <w:rsid w:val="00D97297"/>
    <w:rsid w:val="00D9730A"/>
    <w:rsid w:val="00DA0DC3"/>
    <w:rsid w:val="00DA2DD0"/>
    <w:rsid w:val="00DA3270"/>
    <w:rsid w:val="00DB1DA7"/>
    <w:rsid w:val="00DB7349"/>
    <w:rsid w:val="00DC04FD"/>
    <w:rsid w:val="00DC3498"/>
    <w:rsid w:val="00DC47AF"/>
    <w:rsid w:val="00DC4850"/>
    <w:rsid w:val="00DC56B2"/>
    <w:rsid w:val="00DC585F"/>
    <w:rsid w:val="00DC5E89"/>
    <w:rsid w:val="00DC65AD"/>
    <w:rsid w:val="00DC6CE4"/>
    <w:rsid w:val="00DC7988"/>
    <w:rsid w:val="00DD14E1"/>
    <w:rsid w:val="00DD1771"/>
    <w:rsid w:val="00DD31E2"/>
    <w:rsid w:val="00DD38DD"/>
    <w:rsid w:val="00DE06A0"/>
    <w:rsid w:val="00DE0793"/>
    <w:rsid w:val="00DE18A2"/>
    <w:rsid w:val="00DE1CCB"/>
    <w:rsid w:val="00DE4973"/>
    <w:rsid w:val="00DE4E29"/>
    <w:rsid w:val="00DF5762"/>
    <w:rsid w:val="00DF5A6E"/>
    <w:rsid w:val="00DF61DA"/>
    <w:rsid w:val="00E01412"/>
    <w:rsid w:val="00E03677"/>
    <w:rsid w:val="00E03E62"/>
    <w:rsid w:val="00E046E6"/>
    <w:rsid w:val="00E0704E"/>
    <w:rsid w:val="00E07978"/>
    <w:rsid w:val="00E10D25"/>
    <w:rsid w:val="00E12117"/>
    <w:rsid w:val="00E142D4"/>
    <w:rsid w:val="00E1542A"/>
    <w:rsid w:val="00E15A2E"/>
    <w:rsid w:val="00E15E86"/>
    <w:rsid w:val="00E17CF3"/>
    <w:rsid w:val="00E20AE0"/>
    <w:rsid w:val="00E20F38"/>
    <w:rsid w:val="00E2127C"/>
    <w:rsid w:val="00E22519"/>
    <w:rsid w:val="00E226C0"/>
    <w:rsid w:val="00E2325A"/>
    <w:rsid w:val="00E260EF"/>
    <w:rsid w:val="00E262ED"/>
    <w:rsid w:val="00E278E9"/>
    <w:rsid w:val="00E311B0"/>
    <w:rsid w:val="00E31F03"/>
    <w:rsid w:val="00E36AAA"/>
    <w:rsid w:val="00E36B92"/>
    <w:rsid w:val="00E40797"/>
    <w:rsid w:val="00E4116C"/>
    <w:rsid w:val="00E45512"/>
    <w:rsid w:val="00E54CC5"/>
    <w:rsid w:val="00E5554D"/>
    <w:rsid w:val="00E56DCD"/>
    <w:rsid w:val="00E6098E"/>
    <w:rsid w:val="00E61E1A"/>
    <w:rsid w:val="00E62EA1"/>
    <w:rsid w:val="00E62FCF"/>
    <w:rsid w:val="00E647DA"/>
    <w:rsid w:val="00E65099"/>
    <w:rsid w:val="00E65389"/>
    <w:rsid w:val="00E65C66"/>
    <w:rsid w:val="00E66654"/>
    <w:rsid w:val="00E67581"/>
    <w:rsid w:val="00E6775C"/>
    <w:rsid w:val="00E67ED5"/>
    <w:rsid w:val="00E71585"/>
    <w:rsid w:val="00E71F53"/>
    <w:rsid w:val="00E741AE"/>
    <w:rsid w:val="00E7627A"/>
    <w:rsid w:val="00E76902"/>
    <w:rsid w:val="00E77E22"/>
    <w:rsid w:val="00E80073"/>
    <w:rsid w:val="00E803DB"/>
    <w:rsid w:val="00E819DD"/>
    <w:rsid w:val="00E81A8A"/>
    <w:rsid w:val="00E83898"/>
    <w:rsid w:val="00E83DF8"/>
    <w:rsid w:val="00E8479C"/>
    <w:rsid w:val="00E9089D"/>
    <w:rsid w:val="00E91085"/>
    <w:rsid w:val="00E968CB"/>
    <w:rsid w:val="00EA4C6C"/>
    <w:rsid w:val="00EB00B1"/>
    <w:rsid w:val="00EB1C6B"/>
    <w:rsid w:val="00EB37DB"/>
    <w:rsid w:val="00EB4010"/>
    <w:rsid w:val="00EB4F55"/>
    <w:rsid w:val="00EB568E"/>
    <w:rsid w:val="00EB6A9B"/>
    <w:rsid w:val="00EC0A10"/>
    <w:rsid w:val="00EC413B"/>
    <w:rsid w:val="00EC584A"/>
    <w:rsid w:val="00EC61BD"/>
    <w:rsid w:val="00EC649E"/>
    <w:rsid w:val="00EC65C6"/>
    <w:rsid w:val="00EC74CF"/>
    <w:rsid w:val="00ED01F9"/>
    <w:rsid w:val="00ED1443"/>
    <w:rsid w:val="00ED14E3"/>
    <w:rsid w:val="00ED1D98"/>
    <w:rsid w:val="00ED1ECA"/>
    <w:rsid w:val="00ED42D3"/>
    <w:rsid w:val="00ED5740"/>
    <w:rsid w:val="00ED5C09"/>
    <w:rsid w:val="00ED7973"/>
    <w:rsid w:val="00EE15A2"/>
    <w:rsid w:val="00EE3D07"/>
    <w:rsid w:val="00EE4B57"/>
    <w:rsid w:val="00EE66F9"/>
    <w:rsid w:val="00EE7AE2"/>
    <w:rsid w:val="00EF040E"/>
    <w:rsid w:val="00EF130C"/>
    <w:rsid w:val="00EF1311"/>
    <w:rsid w:val="00EF2615"/>
    <w:rsid w:val="00EF27B2"/>
    <w:rsid w:val="00F0111E"/>
    <w:rsid w:val="00F017E0"/>
    <w:rsid w:val="00F05E77"/>
    <w:rsid w:val="00F07356"/>
    <w:rsid w:val="00F10560"/>
    <w:rsid w:val="00F10823"/>
    <w:rsid w:val="00F12E44"/>
    <w:rsid w:val="00F14D0F"/>
    <w:rsid w:val="00F2039C"/>
    <w:rsid w:val="00F21CBB"/>
    <w:rsid w:val="00F233B7"/>
    <w:rsid w:val="00F25968"/>
    <w:rsid w:val="00F26DEE"/>
    <w:rsid w:val="00F27DF1"/>
    <w:rsid w:val="00F31F20"/>
    <w:rsid w:val="00F3258E"/>
    <w:rsid w:val="00F36151"/>
    <w:rsid w:val="00F3678F"/>
    <w:rsid w:val="00F4529C"/>
    <w:rsid w:val="00F467B4"/>
    <w:rsid w:val="00F4748D"/>
    <w:rsid w:val="00F505DD"/>
    <w:rsid w:val="00F514B7"/>
    <w:rsid w:val="00F52197"/>
    <w:rsid w:val="00F546B3"/>
    <w:rsid w:val="00F60EE7"/>
    <w:rsid w:val="00F62B1D"/>
    <w:rsid w:val="00F63CA4"/>
    <w:rsid w:val="00F6416F"/>
    <w:rsid w:val="00F65122"/>
    <w:rsid w:val="00F65494"/>
    <w:rsid w:val="00F70D48"/>
    <w:rsid w:val="00F7285B"/>
    <w:rsid w:val="00F74B58"/>
    <w:rsid w:val="00F76F2C"/>
    <w:rsid w:val="00F82998"/>
    <w:rsid w:val="00F82B7A"/>
    <w:rsid w:val="00F85362"/>
    <w:rsid w:val="00F8587E"/>
    <w:rsid w:val="00F952EE"/>
    <w:rsid w:val="00FA4F30"/>
    <w:rsid w:val="00FA7014"/>
    <w:rsid w:val="00FB0F08"/>
    <w:rsid w:val="00FB16AC"/>
    <w:rsid w:val="00FB296B"/>
    <w:rsid w:val="00FB2AEF"/>
    <w:rsid w:val="00FB51F5"/>
    <w:rsid w:val="00FB7A3C"/>
    <w:rsid w:val="00FC14DC"/>
    <w:rsid w:val="00FC1757"/>
    <w:rsid w:val="00FC25C5"/>
    <w:rsid w:val="00FC5EF0"/>
    <w:rsid w:val="00FC6589"/>
    <w:rsid w:val="00FC6BCA"/>
    <w:rsid w:val="00FD1D99"/>
    <w:rsid w:val="00FD228B"/>
    <w:rsid w:val="00FD6687"/>
    <w:rsid w:val="00FE07F5"/>
    <w:rsid w:val="00FE27C0"/>
    <w:rsid w:val="00FE2B8F"/>
    <w:rsid w:val="00FE3CA0"/>
    <w:rsid w:val="00FE40C0"/>
    <w:rsid w:val="00FE684C"/>
    <w:rsid w:val="00FF354D"/>
    <w:rsid w:val="00FF65D4"/>
    <w:rsid w:val="00FF6C36"/>
    <w:rsid w:val="00FF7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AEE27"/>
  <w15:chartTrackingRefBased/>
  <w15:docId w15:val="{33AC9183-8A42-436A-952D-1B60DA22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E6"/>
    <w:pPr>
      <w:widowControl w:val="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link w:val="Thesis0"/>
    <w:qFormat/>
    <w:rsid w:val="00731728"/>
    <w:pPr>
      <w:spacing w:line="480" w:lineRule="auto"/>
    </w:pPr>
    <w:rPr>
      <w:rFonts w:eastAsia="Times New Roman" w:cs="Times New Roman"/>
      <w:sz w:val="24"/>
    </w:rPr>
  </w:style>
  <w:style w:type="character" w:customStyle="1" w:styleId="Thesis0">
    <w:name w:val="Thesis 字元"/>
    <w:basedOn w:val="DefaultParagraphFont"/>
    <w:link w:val="Thesis"/>
    <w:rsid w:val="00731728"/>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B828D8"/>
    <w:rPr>
      <w:sz w:val="21"/>
      <w:szCs w:val="21"/>
    </w:rPr>
  </w:style>
  <w:style w:type="paragraph" w:styleId="CommentText">
    <w:name w:val="annotation text"/>
    <w:basedOn w:val="Normal"/>
    <w:link w:val="CommentTextChar"/>
    <w:uiPriority w:val="99"/>
    <w:unhideWhenUsed/>
    <w:rsid w:val="00B828D8"/>
    <w:pPr>
      <w:jc w:val="left"/>
    </w:pPr>
  </w:style>
  <w:style w:type="character" w:customStyle="1" w:styleId="CommentTextChar">
    <w:name w:val="Comment Text Char"/>
    <w:basedOn w:val="DefaultParagraphFont"/>
    <w:link w:val="CommentText"/>
    <w:uiPriority w:val="99"/>
    <w:rsid w:val="00B828D8"/>
  </w:style>
  <w:style w:type="paragraph" w:styleId="CommentSubject">
    <w:name w:val="annotation subject"/>
    <w:basedOn w:val="CommentText"/>
    <w:next w:val="CommentText"/>
    <w:link w:val="CommentSubjectChar"/>
    <w:uiPriority w:val="99"/>
    <w:semiHidden/>
    <w:unhideWhenUsed/>
    <w:rsid w:val="00B828D8"/>
    <w:rPr>
      <w:b/>
      <w:bCs/>
    </w:rPr>
  </w:style>
  <w:style w:type="character" w:customStyle="1" w:styleId="CommentSubjectChar">
    <w:name w:val="Comment Subject Char"/>
    <w:basedOn w:val="CommentTextChar"/>
    <w:link w:val="CommentSubject"/>
    <w:uiPriority w:val="99"/>
    <w:semiHidden/>
    <w:rsid w:val="00B828D8"/>
    <w:rPr>
      <w:b/>
      <w:bCs/>
    </w:rPr>
  </w:style>
  <w:style w:type="paragraph" w:styleId="Header">
    <w:name w:val="header"/>
    <w:basedOn w:val="Normal"/>
    <w:link w:val="HeaderChar"/>
    <w:uiPriority w:val="99"/>
    <w:unhideWhenUsed/>
    <w:rsid w:val="005043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0432A"/>
    <w:rPr>
      <w:sz w:val="18"/>
      <w:szCs w:val="18"/>
    </w:rPr>
  </w:style>
  <w:style w:type="paragraph" w:styleId="Footer">
    <w:name w:val="footer"/>
    <w:basedOn w:val="Normal"/>
    <w:link w:val="FooterChar"/>
    <w:uiPriority w:val="99"/>
    <w:unhideWhenUsed/>
    <w:rsid w:val="005043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0432A"/>
    <w:rPr>
      <w:sz w:val="18"/>
      <w:szCs w:val="18"/>
    </w:rPr>
  </w:style>
  <w:style w:type="paragraph" w:styleId="BalloonText">
    <w:name w:val="Balloon Text"/>
    <w:basedOn w:val="Normal"/>
    <w:link w:val="BalloonTextChar"/>
    <w:uiPriority w:val="99"/>
    <w:semiHidden/>
    <w:unhideWhenUsed/>
    <w:rsid w:val="004D4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F5"/>
    <w:rPr>
      <w:rFonts w:ascii="Segoe UI" w:hAnsi="Segoe UI" w:cs="Segoe UI"/>
      <w:sz w:val="18"/>
      <w:szCs w:val="18"/>
    </w:rPr>
  </w:style>
  <w:style w:type="paragraph" w:styleId="ListParagraph">
    <w:name w:val="List Paragraph"/>
    <w:basedOn w:val="Normal"/>
    <w:uiPriority w:val="34"/>
    <w:qFormat/>
    <w:rsid w:val="00D24127"/>
    <w:pPr>
      <w:ind w:left="720"/>
      <w:contextualSpacing/>
    </w:pPr>
  </w:style>
  <w:style w:type="character" w:styleId="PlaceholderText">
    <w:name w:val="Placeholder Text"/>
    <w:basedOn w:val="DefaultParagraphFont"/>
    <w:uiPriority w:val="99"/>
    <w:semiHidden/>
    <w:rsid w:val="0076344D"/>
    <w:rPr>
      <w:color w:val="808080"/>
    </w:rPr>
  </w:style>
  <w:style w:type="paragraph" w:styleId="Revision">
    <w:name w:val="Revision"/>
    <w:hidden/>
    <w:uiPriority w:val="99"/>
    <w:semiHidden/>
    <w:rsid w:val="00414418"/>
  </w:style>
  <w:style w:type="character" w:styleId="Hyperlink">
    <w:name w:val="Hyperlink"/>
    <w:basedOn w:val="DefaultParagraphFont"/>
    <w:uiPriority w:val="99"/>
    <w:unhideWhenUsed/>
    <w:rsid w:val="00B50A50"/>
    <w:rPr>
      <w:color w:val="0563C1" w:themeColor="hyperlink"/>
      <w:u w:val="single"/>
    </w:rPr>
  </w:style>
  <w:style w:type="character" w:styleId="FollowedHyperlink">
    <w:name w:val="FollowedHyperlink"/>
    <w:basedOn w:val="DefaultParagraphFont"/>
    <w:uiPriority w:val="99"/>
    <w:semiHidden/>
    <w:unhideWhenUsed/>
    <w:rsid w:val="001F11E7"/>
    <w:rPr>
      <w:color w:val="954F72" w:themeColor="followedHyperlink"/>
      <w:u w:val="single"/>
    </w:rPr>
  </w:style>
  <w:style w:type="character" w:customStyle="1" w:styleId="1">
    <w:name w:val="未解析的提及1"/>
    <w:basedOn w:val="DefaultParagraphFont"/>
    <w:uiPriority w:val="99"/>
    <w:semiHidden/>
    <w:unhideWhenUsed/>
    <w:rsid w:val="001A543E"/>
    <w:rPr>
      <w:color w:val="605E5C"/>
      <w:shd w:val="clear" w:color="auto" w:fill="E1DFDD"/>
    </w:rPr>
  </w:style>
  <w:style w:type="paragraph" w:customStyle="1" w:styleId="dx-doi">
    <w:name w:val="dx-doi"/>
    <w:basedOn w:val="Normal"/>
    <w:rsid w:val="00E81A8A"/>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20302B"/>
    <w:rPr>
      <w:b/>
      <w:bCs/>
    </w:rPr>
  </w:style>
  <w:style w:type="character" w:styleId="Emphasis">
    <w:name w:val="Emphasis"/>
    <w:basedOn w:val="DefaultParagraphFont"/>
    <w:uiPriority w:val="20"/>
    <w:qFormat/>
    <w:rsid w:val="008441CD"/>
    <w:rPr>
      <w:i/>
      <w:iCs/>
    </w:rPr>
  </w:style>
  <w:style w:type="table" w:styleId="TableGrid">
    <w:name w:val="Table Grid"/>
    <w:basedOn w:val="TableNormal"/>
    <w:uiPriority w:val="39"/>
    <w:rsid w:val="008C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31A35"/>
    <w:rPr>
      <w:color w:val="605E5C"/>
      <w:shd w:val="clear" w:color="auto" w:fill="E1DFDD"/>
    </w:rPr>
  </w:style>
  <w:style w:type="character" w:customStyle="1" w:styleId="UnresolvedMention2">
    <w:name w:val="Unresolved Mention2"/>
    <w:basedOn w:val="DefaultParagraphFont"/>
    <w:uiPriority w:val="99"/>
    <w:semiHidden/>
    <w:unhideWhenUsed/>
    <w:rsid w:val="00FF6C36"/>
    <w:rPr>
      <w:color w:val="605E5C"/>
      <w:shd w:val="clear" w:color="auto" w:fill="E1DFDD"/>
    </w:rPr>
  </w:style>
  <w:style w:type="paragraph" w:styleId="Bibliography">
    <w:name w:val="Bibliography"/>
    <w:basedOn w:val="Normal"/>
    <w:next w:val="Normal"/>
    <w:uiPriority w:val="37"/>
    <w:unhideWhenUsed/>
    <w:rsid w:val="000856DC"/>
    <w:pPr>
      <w:spacing w:line="480" w:lineRule="auto"/>
      <w:ind w:left="720" w:hanging="720"/>
    </w:pPr>
  </w:style>
  <w:style w:type="paragraph" w:styleId="FootnoteText">
    <w:name w:val="footnote text"/>
    <w:basedOn w:val="Normal"/>
    <w:link w:val="FootnoteTextChar"/>
    <w:uiPriority w:val="99"/>
    <w:semiHidden/>
    <w:unhideWhenUsed/>
    <w:rsid w:val="00CB03A8"/>
    <w:rPr>
      <w:sz w:val="20"/>
      <w:szCs w:val="20"/>
    </w:rPr>
  </w:style>
  <w:style w:type="character" w:customStyle="1" w:styleId="FootnoteTextChar">
    <w:name w:val="Footnote Text Char"/>
    <w:basedOn w:val="DefaultParagraphFont"/>
    <w:link w:val="FootnoteText"/>
    <w:uiPriority w:val="99"/>
    <w:semiHidden/>
    <w:rsid w:val="00CB03A8"/>
    <w:rPr>
      <w:sz w:val="20"/>
      <w:szCs w:val="20"/>
    </w:rPr>
  </w:style>
  <w:style w:type="character" w:styleId="FootnoteReference">
    <w:name w:val="footnote reference"/>
    <w:basedOn w:val="DefaultParagraphFont"/>
    <w:uiPriority w:val="99"/>
    <w:semiHidden/>
    <w:unhideWhenUsed/>
    <w:rsid w:val="00CB03A8"/>
    <w:rPr>
      <w:vertAlign w:val="superscript"/>
    </w:rPr>
  </w:style>
  <w:style w:type="character" w:styleId="LineNumber">
    <w:name w:val="line number"/>
    <w:basedOn w:val="DefaultParagraphFont"/>
    <w:uiPriority w:val="99"/>
    <w:semiHidden/>
    <w:unhideWhenUsed/>
    <w:rsid w:val="007850E6"/>
  </w:style>
  <w:style w:type="character" w:styleId="UnresolvedMention">
    <w:name w:val="Unresolved Mention"/>
    <w:basedOn w:val="DefaultParagraphFont"/>
    <w:uiPriority w:val="99"/>
    <w:semiHidden/>
    <w:unhideWhenUsed/>
    <w:rsid w:val="00034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485">
      <w:bodyDiv w:val="1"/>
      <w:marLeft w:val="0"/>
      <w:marRight w:val="0"/>
      <w:marTop w:val="0"/>
      <w:marBottom w:val="0"/>
      <w:divBdr>
        <w:top w:val="none" w:sz="0" w:space="0" w:color="auto"/>
        <w:left w:val="none" w:sz="0" w:space="0" w:color="auto"/>
        <w:bottom w:val="none" w:sz="0" w:space="0" w:color="auto"/>
        <w:right w:val="none" w:sz="0" w:space="0" w:color="auto"/>
      </w:divBdr>
      <w:divsChild>
        <w:div w:id="309529264">
          <w:marLeft w:val="480"/>
          <w:marRight w:val="0"/>
          <w:marTop w:val="0"/>
          <w:marBottom w:val="0"/>
          <w:divBdr>
            <w:top w:val="none" w:sz="0" w:space="0" w:color="auto"/>
            <w:left w:val="none" w:sz="0" w:space="0" w:color="auto"/>
            <w:bottom w:val="none" w:sz="0" w:space="0" w:color="auto"/>
            <w:right w:val="none" w:sz="0" w:space="0" w:color="auto"/>
          </w:divBdr>
          <w:divsChild>
            <w:div w:id="11717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3584">
      <w:bodyDiv w:val="1"/>
      <w:marLeft w:val="0"/>
      <w:marRight w:val="0"/>
      <w:marTop w:val="0"/>
      <w:marBottom w:val="0"/>
      <w:divBdr>
        <w:top w:val="none" w:sz="0" w:space="0" w:color="auto"/>
        <w:left w:val="none" w:sz="0" w:space="0" w:color="auto"/>
        <w:bottom w:val="none" w:sz="0" w:space="0" w:color="auto"/>
        <w:right w:val="none" w:sz="0" w:space="0" w:color="auto"/>
      </w:divBdr>
    </w:div>
    <w:div w:id="298876363">
      <w:bodyDiv w:val="1"/>
      <w:marLeft w:val="0"/>
      <w:marRight w:val="0"/>
      <w:marTop w:val="0"/>
      <w:marBottom w:val="0"/>
      <w:divBdr>
        <w:top w:val="none" w:sz="0" w:space="0" w:color="auto"/>
        <w:left w:val="none" w:sz="0" w:space="0" w:color="auto"/>
        <w:bottom w:val="none" w:sz="0" w:space="0" w:color="auto"/>
        <w:right w:val="none" w:sz="0" w:space="0" w:color="auto"/>
      </w:divBdr>
      <w:divsChild>
        <w:div w:id="334848341">
          <w:marLeft w:val="480"/>
          <w:marRight w:val="0"/>
          <w:marTop w:val="0"/>
          <w:marBottom w:val="0"/>
          <w:divBdr>
            <w:top w:val="none" w:sz="0" w:space="0" w:color="auto"/>
            <w:left w:val="none" w:sz="0" w:space="0" w:color="auto"/>
            <w:bottom w:val="none" w:sz="0" w:space="0" w:color="auto"/>
            <w:right w:val="none" w:sz="0" w:space="0" w:color="auto"/>
          </w:divBdr>
          <w:divsChild>
            <w:div w:id="128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6536">
      <w:bodyDiv w:val="1"/>
      <w:marLeft w:val="0"/>
      <w:marRight w:val="0"/>
      <w:marTop w:val="0"/>
      <w:marBottom w:val="0"/>
      <w:divBdr>
        <w:top w:val="none" w:sz="0" w:space="0" w:color="auto"/>
        <w:left w:val="none" w:sz="0" w:space="0" w:color="auto"/>
        <w:bottom w:val="none" w:sz="0" w:space="0" w:color="auto"/>
        <w:right w:val="none" w:sz="0" w:space="0" w:color="auto"/>
      </w:divBdr>
      <w:divsChild>
        <w:div w:id="330715793">
          <w:marLeft w:val="480"/>
          <w:marRight w:val="0"/>
          <w:marTop w:val="0"/>
          <w:marBottom w:val="0"/>
          <w:divBdr>
            <w:top w:val="none" w:sz="0" w:space="0" w:color="auto"/>
            <w:left w:val="none" w:sz="0" w:space="0" w:color="auto"/>
            <w:bottom w:val="none" w:sz="0" w:space="0" w:color="auto"/>
            <w:right w:val="none" w:sz="0" w:space="0" w:color="auto"/>
          </w:divBdr>
          <w:divsChild>
            <w:div w:id="17881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1175">
      <w:bodyDiv w:val="1"/>
      <w:marLeft w:val="0"/>
      <w:marRight w:val="0"/>
      <w:marTop w:val="0"/>
      <w:marBottom w:val="0"/>
      <w:divBdr>
        <w:top w:val="none" w:sz="0" w:space="0" w:color="auto"/>
        <w:left w:val="none" w:sz="0" w:space="0" w:color="auto"/>
        <w:bottom w:val="none" w:sz="0" w:space="0" w:color="auto"/>
        <w:right w:val="none" w:sz="0" w:space="0" w:color="auto"/>
      </w:divBdr>
    </w:div>
    <w:div w:id="571040917">
      <w:bodyDiv w:val="1"/>
      <w:marLeft w:val="0"/>
      <w:marRight w:val="0"/>
      <w:marTop w:val="0"/>
      <w:marBottom w:val="0"/>
      <w:divBdr>
        <w:top w:val="none" w:sz="0" w:space="0" w:color="auto"/>
        <w:left w:val="none" w:sz="0" w:space="0" w:color="auto"/>
        <w:bottom w:val="none" w:sz="0" w:space="0" w:color="auto"/>
        <w:right w:val="none" w:sz="0" w:space="0" w:color="auto"/>
      </w:divBdr>
      <w:divsChild>
        <w:div w:id="868377494">
          <w:marLeft w:val="480"/>
          <w:marRight w:val="0"/>
          <w:marTop w:val="0"/>
          <w:marBottom w:val="0"/>
          <w:divBdr>
            <w:top w:val="none" w:sz="0" w:space="0" w:color="auto"/>
            <w:left w:val="none" w:sz="0" w:space="0" w:color="auto"/>
            <w:bottom w:val="none" w:sz="0" w:space="0" w:color="auto"/>
            <w:right w:val="none" w:sz="0" w:space="0" w:color="auto"/>
          </w:divBdr>
          <w:divsChild>
            <w:div w:id="272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188">
      <w:bodyDiv w:val="1"/>
      <w:marLeft w:val="0"/>
      <w:marRight w:val="0"/>
      <w:marTop w:val="0"/>
      <w:marBottom w:val="0"/>
      <w:divBdr>
        <w:top w:val="none" w:sz="0" w:space="0" w:color="auto"/>
        <w:left w:val="none" w:sz="0" w:space="0" w:color="auto"/>
        <w:bottom w:val="none" w:sz="0" w:space="0" w:color="auto"/>
        <w:right w:val="none" w:sz="0" w:space="0" w:color="auto"/>
      </w:divBdr>
      <w:divsChild>
        <w:div w:id="660086043">
          <w:marLeft w:val="480"/>
          <w:marRight w:val="0"/>
          <w:marTop w:val="0"/>
          <w:marBottom w:val="0"/>
          <w:divBdr>
            <w:top w:val="none" w:sz="0" w:space="0" w:color="auto"/>
            <w:left w:val="none" w:sz="0" w:space="0" w:color="auto"/>
            <w:bottom w:val="none" w:sz="0" w:space="0" w:color="auto"/>
            <w:right w:val="none" w:sz="0" w:space="0" w:color="auto"/>
          </w:divBdr>
          <w:divsChild>
            <w:div w:id="2195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6210">
      <w:bodyDiv w:val="1"/>
      <w:marLeft w:val="0"/>
      <w:marRight w:val="0"/>
      <w:marTop w:val="0"/>
      <w:marBottom w:val="0"/>
      <w:divBdr>
        <w:top w:val="none" w:sz="0" w:space="0" w:color="auto"/>
        <w:left w:val="none" w:sz="0" w:space="0" w:color="auto"/>
        <w:bottom w:val="none" w:sz="0" w:space="0" w:color="auto"/>
        <w:right w:val="none" w:sz="0" w:space="0" w:color="auto"/>
      </w:divBdr>
      <w:divsChild>
        <w:div w:id="1322352433">
          <w:marLeft w:val="480"/>
          <w:marRight w:val="0"/>
          <w:marTop w:val="0"/>
          <w:marBottom w:val="0"/>
          <w:divBdr>
            <w:top w:val="none" w:sz="0" w:space="0" w:color="auto"/>
            <w:left w:val="none" w:sz="0" w:space="0" w:color="auto"/>
            <w:bottom w:val="none" w:sz="0" w:space="0" w:color="auto"/>
            <w:right w:val="none" w:sz="0" w:space="0" w:color="auto"/>
          </w:divBdr>
          <w:divsChild>
            <w:div w:id="11789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342">
      <w:bodyDiv w:val="1"/>
      <w:marLeft w:val="0"/>
      <w:marRight w:val="0"/>
      <w:marTop w:val="0"/>
      <w:marBottom w:val="0"/>
      <w:divBdr>
        <w:top w:val="none" w:sz="0" w:space="0" w:color="auto"/>
        <w:left w:val="none" w:sz="0" w:space="0" w:color="auto"/>
        <w:bottom w:val="none" w:sz="0" w:space="0" w:color="auto"/>
        <w:right w:val="none" w:sz="0" w:space="0" w:color="auto"/>
      </w:divBdr>
      <w:divsChild>
        <w:div w:id="614484362">
          <w:marLeft w:val="0"/>
          <w:marRight w:val="0"/>
          <w:marTop w:val="0"/>
          <w:marBottom w:val="0"/>
          <w:divBdr>
            <w:top w:val="none" w:sz="0" w:space="0" w:color="auto"/>
            <w:left w:val="none" w:sz="0" w:space="0" w:color="auto"/>
            <w:bottom w:val="none" w:sz="0" w:space="0" w:color="auto"/>
            <w:right w:val="none" w:sz="0" w:space="0" w:color="auto"/>
          </w:divBdr>
          <w:divsChild>
            <w:div w:id="1527056028">
              <w:marLeft w:val="0"/>
              <w:marRight w:val="0"/>
              <w:marTop w:val="0"/>
              <w:marBottom w:val="0"/>
              <w:divBdr>
                <w:top w:val="none" w:sz="0" w:space="0" w:color="auto"/>
                <w:left w:val="none" w:sz="0" w:space="0" w:color="auto"/>
                <w:bottom w:val="none" w:sz="0" w:space="0" w:color="auto"/>
                <w:right w:val="none" w:sz="0" w:space="0" w:color="auto"/>
              </w:divBdr>
              <w:divsChild>
                <w:div w:id="1503279063">
                  <w:marLeft w:val="0"/>
                  <w:marRight w:val="0"/>
                  <w:marTop w:val="0"/>
                  <w:marBottom w:val="0"/>
                  <w:divBdr>
                    <w:top w:val="none" w:sz="0" w:space="0" w:color="auto"/>
                    <w:left w:val="none" w:sz="0" w:space="0" w:color="auto"/>
                    <w:bottom w:val="none" w:sz="0" w:space="0" w:color="auto"/>
                    <w:right w:val="none" w:sz="0" w:space="0" w:color="auto"/>
                  </w:divBdr>
                  <w:divsChild>
                    <w:div w:id="17247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97752">
      <w:bodyDiv w:val="1"/>
      <w:marLeft w:val="0"/>
      <w:marRight w:val="0"/>
      <w:marTop w:val="0"/>
      <w:marBottom w:val="0"/>
      <w:divBdr>
        <w:top w:val="none" w:sz="0" w:space="0" w:color="auto"/>
        <w:left w:val="none" w:sz="0" w:space="0" w:color="auto"/>
        <w:bottom w:val="none" w:sz="0" w:space="0" w:color="auto"/>
        <w:right w:val="none" w:sz="0" w:space="0" w:color="auto"/>
      </w:divBdr>
    </w:div>
    <w:div w:id="1196043797">
      <w:bodyDiv w:val="1"/>
      <w:marLeft w:val="0"/>
      <w:marRight w:val="0"/>
      <w:marTop w:val="0"/>
      <w:marBottom w:val="0"/>
      <w:divBdr>
        <w:top w:val="none" w:sz="0" w:space="0" w:color="auto"/>
        <w:left w:val="none" w:sz="0" w:space="0" w:color="auto"/>
        <w:bottom w:val="none" w:sz="0" w:space="0" w:color="auto"/>
        <w:right w:val="none" w:sz="0" w:space="0" w:color="auto"/>
      </w:divBdr>
      <w:divsChild>
        <w:div w:id="785083481">
          <w:marLeft w:val="480"/>
          <w:marRight w:val="0"/>
          <w:marTop w:val="0"/>
          <w:marBottom w:val="0"/>
          <w:divBdr>
            <w:top w:val="none" w:sz="0" w:space="0" w:color="auto"/>
            <w:left w:val="none" w:sz="0" w:space="0" w:color="auto"/>
            <w:bottom w:val="none" w:sz="0" w:space="0" w:color="auto"/>
            <w:right w:val="none" w:sz="0" w:space="0" w:color="auto"/>
          </w:divBdr>
          <w:divsChild>
            <w:div w:id="4914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7592">
      <w:bodyDiv w:val="1"/>
      <w:marLeft w:val="0"/>
      <w:marRight w:val="0"/>
      <w:marTop w:val="0"/>
      <w:marBottom w:val="0"/>
      <w:divBdr>
        <w:top w:val="none" w:sz="0" w:space="0" w:color="auto"/>
        <w:left w:val="none" w:sz="0" w:space="0" w:color="auto"/>
        <w:bottom w:val="none" w:sz="0" w:space="0" w:color="auto"/>
        <w:right w:val="none" w:sz="0" w:space="0" w:color="auto"/>
      </w:divBdr>
      <w:divsChild>
        <w:div w:id="1760905316">
          <w:marLeft w:val="480"/>
          <w:marRight w:val="0"/>
          <w:marTop w:val="0"/>
          <w:marBottom w:val="0"/>
          <w:divBdr>
            <w:top w:val="none" w:sz="0" w:space="0" w:color="auto"/>
            <w:left w:val="none" w:sz="0" w:space="0" w:color="auto"/>
            <w:bottom w:val="none" w:sz="0" w:space="0" w:color="auto"/>
            <w:right w:val="none" w:sz="0" w:space="0" w:color="auto"/>
          </w:divBdr>
          <w:divsChild>
            <w:div w:id="9467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73113">
      <w:bodyDiv w:val="1"/>
      <w:marLeft w:val="0"/>
      <w:marRight w:val="0"/>
      <w:marTop w:val="0"/>
      <w:marBottom w:val="0"/>
      <w:divBdr>
        <w:top w:val="none" w:sz="0" w:space="0" w:color="auto"/>
        <w:left w:val="none" w:sz="0" w:space="0" w:color="auto"/>
        <w:bottom w:val="none" w:sz="0" w:space="0" w:color="auto"/>
        <w:right w:val="none" w:sz="0" w:space="0" w:color="auto"/>
      </w:divBdr>
    </w:div>
    <w:div w:id="1529372869">
      <w:bodyDiv w:val="1"/>
      <w:marLeft w:val="0"/>
      <w:marRight w:val="0"/>
      <w:marTop w:val="0"/>
      <w:marBottom w:val="0"/>
      <w:divBdr>
        <w:top w:val="none" w:sz="0" w:space="0" w:color="auto"/>
        <w:left w:val="none" w:sz="0" w:space="0" w:color="auto"/>
        <w:bottom w:val="none" w:sz="0" w:space="0" w:color="auto"/>
        <w:right w:val="none" w:sz="0" w:space="0" w:color="auto"/>
      </w:divBdr>
    </w:div>
    <w:div w:id="1529562551">
      <w:bodyDiv w:val="1"/>
      <w:marLeft w:val="0"/>
      <w:marRight w:val="0"/>
      <w:marTop w:val="0"/>
      <w:marBottom w:val="0"/>
      <w:divBdr>
        <w:top w:val="none" w:sz="0" w:space="0" w:color="auto"/>
        <w:left w:val="none" w:sz="0" w:space="0" w:color="auto"/>
        <w:bottom w:val="none" w:sz="0" w:space="0" w:color="auto"/>
        <w:right w:val="none" w:sz="0" w:space="0" w:color="auto"/>
      </w:divBdr>
      <w:divsChild>
        <w:div w:id="1470323100">
          <w:marLeft w:val="480"/>
          <w:marRight w:val="0"/>
          <w:marTop w:val="0"/>
          <w:marBottom w:val="0"/>
          <w:divBdr>
            <w:top w:val="none" w:sz="0" w:space="0" w:color="auto"/>
            <w:left w:val="none" w:sz="0" w:space="0" w:color="auto"/>
            <w:bottom w:val="none" w:sz="0" w:space="0" w:color="auto"/>
            <w:right w:val="none" w:sz="0" w:space="0" w:color="auto"/>
          </w:divBdr>
          <w:divsChild>
            <w:div w:id="16416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157">
      <w:bodyDiv w:val="1"/>
      <w:marLeft w:val="0"/>
      <w:marRight w:val="0"/>
      <w:marTop w:val="0"/>
      <w:marBottom w:val="0"/>
      <w:divBdr>
        <w:top w:val="none" w:sz="0" w:space="0" w:color="auto"/>
        <w:left w:val="none" w:sz="0" w:space="0" w:color="auto"/>
        <w:bottom w:val="none" w:sz="0" w:space="0" w:color="auto"/>
        <w:right w:val="none" w:sz="0" w:space="0" w:color="auto"/>
      </w:divBdr>
      <w:divsChild>
        <w:div w:id="449474882">
          <w:marLeft w:val="0"/>
          <w:marRight w:val="0"/>
          <w:marTop w:val="0"/>
          <w:marBottom w:val="0"/>
          <w:divBdr>
            <w:top w:val="none" w:sz="0" w:space="0" w:color="auto"/>
            <w:left w:val="none" w:sz="0" w:space="0" w:color="auto"/>
            <w:bottom w:val="none" w:sz="0" w:space="0" w:color="auto"/>
            <w:right w:val="none" w:sz="0" w:space="0" w:color="auto"/>
          </w:divBdr>
          <w:divsChild>
            <w:div w:id="2100326322">
              <w:marLeft w:val="0"/>
              <w:marRight w:val="0"/>
              <w:marTop w:val="0"/>
              <w:marBottom w:val="0"/>
              <w:divBdr>
                <w:top w:val="none" w:sz="0" w:space="0" w:color="auto"/>
                <w:left w:val="none" w:sz="0" w:space="0" w:color="auto"/>
                <w:bottom w:val="none" w:sz="0" w:space="0" w:color="auto"/>
                <w:right w:val="none" w:sz="0" w:space="0" w:color="auto"/>
              </w:divBdr>
            </w:div>
          </w:divsChild>
        </w:div>
        <w:div w:id="319161296">
          <w:marLeft w:val="0"/>
          <w:marRight w:val="0"/>
          <w:marTop w:val="0"/>
          <w:marBottom w:val="0"/>
          <w:divBdr>
            <w:top w:val="none" w:sz="0" w:space="0" w:color="auto"/>
            <w:left w:val="none" w:sz="0" w:space="0" w:color="auto"/>
            <w:bottom w:val="none" w:sz="0" w:space="0" w:color="auto"/>
            <w:right w:val="none" w:sz="0" w:space="0" w:color="auto"/>
          </w:divBdr>
        </w:div>
      </w:divsChild>
    </w:div>
    <w:div w:id="1645888032">
      <w:bodyDiv w:val="1"/>
      <w:marLeft w:val="0"/>
      <w:marRight w:val="0"/>
      <w:marTop w:val="0"/>
      <w:marBottom w:val="0"/>
      <w:divBdr>
        <w:top w:val="none" w:sz="0" w:space="0" w:color="auto"/>
        <w:left w:val="none" w:sz="0" w:space="0" w:color="auto"/>
        <w:bottom w:val="none" w:sz="0" w:space="0" w:color="auto"/>
        <w:right w:val="none" w:sz="0" w:space="0" w:color="auto"/>
      </w:divBdr>
      <w:divsChild>
        <w:div w:id="1601134608">
          <w:marLeft w:val="480"/>
          <w:marRight w:val="0"/>
          <w:marTop w:val="0"/>
          <w:marBottom w:val="0"/>
          <w:divBdr>
            <w:top w:val="none" w:sz="0" w:space="0" w:color="auto"/>
            <w:left w:val="none" w:sz="0" w:space="0" w:color="auto"/>
            <w:bottom w:val="none" w:sz="0" w:space="0" w:color="auto"/>
            <w:right w:val="none" w:sz="0" w:space="0" w:color="auto"/>
          </w:divBdr>
          <w:divsChild>
            <w:div w:id="4768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2447">
      <w:bodyDiv w:val="1"/>
      <w:marLeft w:val="0"/>
      <w:marRight w:val="0"/>
      <w:marTop w:val="0"/>
      <w:marBottom w:val="0"/>
      <w:divBdr>
        <w:top w:val="none" w:sz="0" w:space="0" w:color="auto"/>
        <w:left w:val="none" w:sz="0" w:space="0" w:color="auto"/>
        <w:bottom w:val="none" w:sz="0" w:space="0" w:color="auto"/>
        <w:right w:val="none" w:sz="0" w:space="0" w:color="auto"/>
      </w:divBdr>
    </w:div>
    <w:div w:id="1833982332">
      <w:bodyDiv w:val="1"/>
      <w:marLeft w:val="0"/>
      <w:marRight w:val="0"/>
      <w:marTop w:val="0"/>
      <w:marBottom w:val="0"/>
      <w:divBdr>
        <w:top w:val="none" w:sz="0" w:space="0" w:color="auto"/>
        <w:left w:val="none" w:sz="0" w:space="0" w:color="auto"/>
        <w:bottom w:val="none" w:sz="0" w:space="0" w:color="auto"/>
        <w:right w:val="none" w:sz="0" w:space="0" w:color="auto"/>
      </w:divBdr>
    </w:div>
    <w:div w:id="1884903721">
      <w:bodyDiv w:val="1"/>
      <w:marLeft w:val="0"/>
      <w:marRight w:val="0"/>
      <w:marTop w:val="0"/>
      <w:marBottom w:val="0"/>
      <w:divBdr>
        <w:top w:val="none" w:sz="0" w:space="0" w:color="auto"/>
        <w:left w:val="none" w:sz="0" w:space="0" w:color="auto"/>
        <w:bottom w:val="none" w:sz="0" w:space="0" w:color="auto"/>
        <w:right w:val="none" w:sz="0" w:space="0" w:color="auto"/>
      </w:divBdr>
      <w:divsChild>
        <w:div w:id="395904687">
          <w:marLeft w:val="480"/>
          <w:marRight w:val="0"/>
          <w:marTop w:val="0"/>
          <w:marBottom w:val="0"/>
          <w:divBdr>
            <w:top w:val="none" w:sz="0" w:space="0" w:color="auto"/>
            <w:left w:val="none" w:sz="0" w:space="0" w:color="auto"/>
            <w:bottom w:val="none" w:sz="0" w:space="0" w:color="auto"/>
            <w:right w:val="none" w:sz="0" w:space="0" w:color="auto"/>
          </w:divBdr>
          <w:divsChild>
            <w:div w:id="4361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1504">
      <w:bodyDiv w:val="1"/>
      <w:marLeft w:val="0"/>
      <w:marRight w:val="0"/>
      <w:marTop w:val="0"/>
      <w:marBottom w:val="0"/>
      <w:divBdr>
        <w:top w:val="none" w:sz="0" w:space="0" w:color="auto"/>
        <w:left w:val="none" w:sz="0" w:space="0" w:color="auto"/>
        <w:bottom w:val="none" w:sz="0" w:space="0" w:color="auto"/>
        <w:right w:val="none" w:sz="0" w:space="0" w:color="auto"/>
      </w:divBdr>
      <w:divsChild>
        <w:div w:id="1892813601">
          <w:marLeft w:val="0"/>
          <w:marRight w:val="0"/>
          <w:marTop w:val="0"/>
          <w:marBottom w:val="0"/>
          <w:divBdr>
            <w:top w:val="none" w:sz="0" w:space="0" w:color="auto"/>
            <w:left w:val="none" w:sz="0" w:space="0" w:color="auto"/>
            <w:bottom w:val="none" w:sz="0" w:space="0" w:color="auto"/>
            <w:right w:val="none" w:sz="0" w:space="0" w:color="auto"/>
          </w:divBdr>
          <w:divsChild>
            <w:div w:id="1767535210">
              <w:marLeft w:val="0"/>
              <w:marRight w:val="0"/>
              <w:marTop w:val="0"/>
              <w:marBottom w:val="0"/>
              <w:divBdr>
                <w:top w:val="none" w:sz="0" w:space="0" w:color="auto"/>
                <w:left w:val="none" w:sz="0" w:space="0" w:color="auto"/>
                <w:bottom w:val="none" w:sz="0" w:space="0" w:color="auto"/>
                <w:right w:val="none" w:sz="0" w:space="0" w:color="auto"/>
              </w:divBdr>
              <w:divsChild>
                <w:div w:id="1927373797">
                  <w:marLeft w:val="0"/>
                  <w:marRight w:val="0"/>
                  <w:marTop w:val="0"/>
                  <w:marBottom w:val="0"/>
                  <w:divBdr>
                    <w:top w:val="none" w:sz="0" w:space="0" w:color="auto"/>
                    <w:left w:val="none" w:sz="0" w:space="0" w:color="auto"/>
                    <w:bottom w:val="none" w:sz="0" w:space="0" w:color="auto"/>
                    <w:right w:val="none" w:sz="0" w:space="0" w:color="auto"/>
                  </w:divBdr>
                  <w:divsChild>
                    <w:div w:id="18552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9397">
      <w:bodyDiv w:val="1"/>
      <w:marLeft w:val="0"/>
      <w:marRight w:val="0"/>
      <w:marTop w:val="0"/>
      <w:marBottom w:val="0"/>
      <w:divBdr>
        <w:top w:val="none" w:sz="0" w:space="0" w:color="auto"/>
        <w:left w:val="none" w:sz="0" w:space="0" w:color="auto"/>
        <w:bottom w:val="none" w:sz="0" w:space="0" w:color="auto"/>
        <w:right w:val="none" w:sz="0" w:space="0" w:color="auto"/>
      </w:divBdr>
    </w:div>
    <w:div w:id="1992323799">
      <w:bodyDiv w:val="1"/>
      <w:marLeft w:val="0"/>
      <w:marRight w:val="0"/>
      <w:marTop w:val="0"/>
      <w:marBottom w:val="0"/>
      <w:divBdr>
        <w:top w:val="none" w:sz="0" w:space="0" w:color="auto"/>
        <w:left w:val="none" w:sz="0" w:space="0" w:color="auto"/>
        <w:bottom w:val="none" w:sz="0" w:space="0" w:color="auto"/>
        <w:right w:val="none" w:sz="0" w:space="0" w:color="auto"/>
      </w:divBdr>
      <w:divsChild>
        <w:div w:id="1600138867">
          <w:marLeft w:val="480"/>
          <w:marRight w:val="0"/>
          <w:marTop w:val="0"/>
          <w:marBottom w:val="0"/>
          <w:divBdr>
            <w:top w:val="none" w:sz="0" w:space="0" w:color="auto"/>
            <w:left w:val="none" w:sz="0" w:space="0" w:color="auto"/>
            <w:bottom w:val="none" w:sz="0" w:space="0" w:color="auto"/>
            <w:right w:val="none" w:sz="0" w:space="0" w:color="auto"/>
          </w:divBdr>
          <w:divsChild>
            <w:div w:id="10505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172">
      <w:bodyDiv w:val="1"/>
      <w:marLeft w:val="0"/>
      <w:marRight w:val="0"/>
      <w:marTop w:val="0"/>
      <w:marBottom w:val="0"/>
      <w:divBdr>
        <w:top w:val="none" w:sz="0" w:space="0" w:color="auto"/>
        <w:left w:val="none" w:sz="0" w:space="0" w:color="auto"/>
        <w:bottom w:val="none" w:sz="0" w:space="0" w:color="auto"/>
        <w:right w:val="none" w:sz="0" w:space="0" w:color="auto"/>
      </w:divBdr>
    </w:div>
    <w:div w:id="2121365017">
      <w:bodyDiv w:val="1"/>
      <w:marLeft w:val="0"/>
      <w:marRight w:val="0"/>
      <w:marTop w:val="0"/>
      <w:marBottom w:val="0"/>
      <w:divBdr>
        <w:top w:val="none" w:sz="0" w:space="0" w:color="auto"/>
        <w:left w:val="none" w:sz="0" w:space="0" w:color="auto"/>
        <w:bottom w:val="none" w:sz="0" w:space="0" w:color="auto"/>
        <w:right w:val="none" w:sz="0" w:space="0" w:color="auto"/>
      </w:divBdr>
      <w:divsChild>
        <w:div w:id="1812823219">
          <w:marLeft w:val="480"/>
          <w:marRight w:val="0"/>
          <w:marTop w:val="0"/>
          <w:marBottom w:val="0"/>
          <w:divBdr>
            <w:top w:val="none" w:sz="0" w:space="0" w:color="auto"/>
            <w:left w:val="none" w:sz="0" w:space="0" w:color="auto"/>
            <w:bottom w:val="none" w:sz="0" w:space="0" w:color="auto"/>
            <w:right w:val="none" w:sz="0" w:space="0" w:color="auto"/>
          </w:divBdr>
          <w:divsChild>
            <w:div w:id="17249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ewu@um.edu.mo"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abrep.2020.100296"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1FCDA9-EC49-2A42-8E23-A30B0B8F993F}">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EC7C7-998B-4458-899E-E865DE85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11202</Words>
  <Characters>63854</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Dang, L. et al. Validation of the Metacognitions about Online Gaming Scale (MOGS)</vt:lpstr>
    </vt:vector>
  </TitlesOfParts>
  <Company/>
  <LinksUpToDate>false</LinksUpToDate>
  <CharactersWithSpaces>74907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 L. et al. Validation of the Metacognitions about Online Gaming Scale (MOGS)</dc:title>
  <dc:subject/>
  <dc:creator>Della, Dang Le</dc:creator>
  <cp:keywords/>
  <dc:description/>
  <cp:lastModifiedBy>Spada, Marcantonio</cp:lastModifiedBy>
  <cp:revision>3</cp:revision>
  <dcterms:created xsi:type="dcterms:W3CDTF">2022-01-09T17:35:00Z</dcterms:created>
  <dcterms:modified xsi:type="dcterms:W3CDTF">2022-01-10T07:05:00Z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documentId_417</vt:lpwstr>
  </property>
  <property fmtid="{D5CDD505-2E9C-101B-9397-08002B2CF9AE}" pid="3" name="grammarly_documentContext">
    <vt:lpwstr>{"goals":[],"domain":"general","emotions":[],"dialect":"american"}</vt:lpwstr>
  </property>
  <property fmtid="{D5CDD505-2E9C-101B-9397-08002B2CF9AE}" pid="4" name="ZOTERO_PREF_1">
    <vt:lpwstr>&lt;data data-version="3" zotero-version="5.0.97-beta.46+4cfa23050"&gt;&lt;session id="lD8S2QvC"/&gt;&lt;style id="http://www.zotero.org/styles/apa" locale="en-US" hasBibliography="1" bibliographyStyleHasBeenSet="1"/&gt;&lt;prefs&gt;&lt;pref name="fieldType" value="Field"/&gt;&lt;pref na</vt:lpwstr>
  </property>
  <property fmtid="{D5CDD505-2E9C-101B-9397-08002B2CF9AE}" pid="5" name="ZOTERO_PREF_2">
    <vt:lpwstr>me="automaticJournalAbbreviations" value="true"/&gt;&lt;/prefs&gt;&lt;/data&gt;</vt:lpwstr>
  </property>
</Properties>
</file>