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85" w:rsidRDefault="005E5916">
      <w:pPr>
        <w:pStyle w:val="Heading1"/>
        <w:spacing w:before="33"/>
        <w:ind w:right="411"/>
        <w:rPr>
          <w:b w:val="0"/>
          <w:bCs w:val="0"/>
        </w:rPr>
      </w:pPr>
      <w:bookmarkStart w:id="0" w:name="_GoBack"/>
      <w:bookmarkEnd w:id="0"/>
      <w:r>
        <w:t>Title:</w:t>
      </w:r>
    </w:p>
    <w:p w:rsidR="00E63685" w:rsidRDefault="00E63685">
      <w:pPr>
        <w:spacing w:before="12"/>
        <w:rPr>
          <w:rFonts w:ascii="Calibri" w:eastAsia="Calibri" w:hAnsi="Calibri" w:cs="Calibri"/>
          <w:b/>
          <w:bCs/>
          <w:sz w:val="23"/>
          <w:szCs w:val="23"/>
        </w:rPr>
      </w:pPr>
    </w:p>
    <w:p w:rsidR="00E63685" w:rsidRDefault="005E5916">
      <w:pPr>
        <w:pStyle w:val="BodyText"/>
        <w:ind w:right="411"/>
      </w:pPr>
      <w:r>
        <w:t>The Role of Community Development in Building Critical Health</w:t>
      </w:r>
      <w:r>
        <w:rPr>
          <w:spacing w:val="-1"/>
        </w:rPr>
        <w:t xml:space="preserve"> </w:t>
      </w:r>
      <w:r>
        <w:t>Literacy</w:t>
      </w:r>
    </w:p>
    <w:p w:rsidR="00E63685" w:rsidRDefault="00E63685">
      <w:pPr>
        <w:rPr>
          <w:rFonts w:ascii="Calibri" w:eastAsia="Calibri" w:hAnsi="Calibri" w:cs="Calibri"/>
          <w:sz w:val="24"/>
          <w:szCs w:val="24"/>
        </w:rPr>
      </w:pPr>
    </w:p>
    <w:p w:rsidR="00E63685" w:rsidRDefault="00E63685">
      <w:pPr>
        <w:spacing w:before="12"/>
        <w:rPr>
          <w:rFonts w:ascii="Calibri" w:eastAsia="Calibri" w:hAnsi="Calibri" w:cs="Calibri"/>
          <w:sz w:val="23"/>
          <w:szCs w:val="23"/>
        </w:rPr>
      </w:pPr>
    </w:p>
    <w:p w:rsidR="00E63685" w:rsidRDefault="005E5916">
      <w:pPr>
        <w:pStyle w:val="Heading1"/>
        <w:ind w:right="411"/>
        <w:rPr>
          <w:b w:val="0"/>
          <w:bCs w:val="0"/>
        </w:rPr>
      </w:pPr>
      <w:r>
        <w:t>Authors:</w:t>
      </w:r>
    </w:p>
    <w:p w:rsidR="00E63685" w:rsidRDefault="00E63685">
      <w:pPr>
        <w:spacing w:before="7"/>
        <w:rPr>
          <w:rFonts w:ascii="Calibri" w:eastAsia="Calibri" w:hAnsi="Calibri" w:cs="Calibri"/>
          <w:b/>
          <w:bCs/>
          <w:sz w:val="23"/>
          <w:szCs w:val="23"/>
        </w:rPr>
      </w:pPr>
    </w:p>
    <w:p w:rsidR="00E63685" w:rsidRDefault="005E5916">
      <w:pPr>
        <w:pStyle w:val="BodyText"/>
        <w:spacing w:line="362" w:lineRule="auto"/>
        <w:ind w:right="411"/>
      </w:pPr>
      <w:r>
        <w:t xml:space="preserve">Dr. Susie Sykes, School of Health and Social Care, London South Bank University, London, United Kingdom, </w:t>
      </w:r>
      <w:hyperlink r:id="rId7">
        <w:r>
          <w:rPr>
            <w:color w:val="0000FF"/>
            <w:u w:val="single" w:color="0000FF"/>
          </w:rPr>
          <w:t>sykess@lsbu.ac.uk</w:t>
        </w:r>
      </w:hyperlink>
    </w:p>
    <w:p w:rsidR="00E63685" w:rsidRDefault="00E63685">
      <w:pPr>
        <w:rPr>
          <w:rFonts w:ascii="Calibri" w:eastAsia="Calibri" w:hAnsi="Calibri" w:cs="Calibri"/>
          <w:sz w:val="20"/>
          <w:szCs w:val="20"/>
        </w:rPr>
      </w:pPr>
    </w:p>
    <w:p w:rsidR="00E63685" w:rsidRDefault="005E5916">
      <w:pPr>
        <w:pStyle w:val="BodyText"/>
        <w:spacing w:before="192" w:line="357" w:lineRule="auto"/>
        <w:ind w:right="371"/>
      </w:pPr>
      <w:r>
        <w:t>Prof. Jane Wills, School of Health and Social Care, London South Bank University, London, United Kingdom</w:t>
      </w:r>
    </w:p>
    <w:p w:rsidR="00E63685" w:rsidRDefault="00E63685">
      <w:pPr>
        <w:rPr>
          <w:rFonts w:ascii="Calibri" w:eastAsia="Calibri" w:hAnsi="Calibri" w:cs="Calibri"/>
          <w:sz w:val="24"/>
          <w:szCs w:val="24"/>
        </w:rPr>
      </w:pPr>
    </w:p>
    <w:p w:rsidR="00E63685" w:rsidRDefault="005E5916">
      <w:pPr>
        <w:pStyle w:val="BodyText"/>
        <w:spacing w:before="153" w:line="357" w:lineRule="auto"/>
        <w:ind w:right="98"/>
      </w:pPr>
      <w:r>
        <w:t>Prof. Keith Popple, School of Health and Social Care, London South Bank University, London, United Kingdom,</w:t>
      </w:r>
    </w:p>
    <w:p w:rsidR="00E63685" w:rsidRDefault="00E63685">
      <w:pPr>
        <w:spacing w:line="357" w:lineRule="auto"/>
        <w:sectPr w:rsidR="00E63685">
          <w:type w:val="continuous"/>
          <w:pgSz w:w="11900" w:h="16840"/>
          <w:pgMar w:top="1420" w:right="1400" w:bottom="280" w:left="1680" w:header="720" w:footer="720" w:gutter="0"/>
          <w:cols w:space="720"/>
        </w:sectPr>
      </w:pPr>
    </w:p>
    <w:p w:rsidR="00E63685" w:rsidRDefault="005E5916">
      <w:pPr>
        <w:pStyle w:val="Heading1"/>
        <w:spacing w:before="33"/>
        <w:ind w:right="143"/>
        <w:rPr>
          <w:b w:val="0"/>
          <w:bCs w:val="0"/>
        </w:rPr>
      </w:pPr>
      <w:r>
        <w:lastRenderedPageBreak/>
        <w:t>Abstrac</w:t>
      </w:r>
      <w:r>
        <w:t>t:</w:t>
      </w:r>
    </w:p>
    <w:p w:rsidR="00E63685" w:rsidRDefault="00E63685">
      <w:pPr>
        <w:spacing w:before="7"/>
        <w:rPr>
          <w:rFonts w:ascii="Calibri" w:eastAsia="Calibri" w:hAnsi="Calibri" w:cs="Calibri"/>
          <w:b/>
          <w:bCs/>
          <w:sz w:val="23"/>
          <w:szCs w:val="23"/>
        </w:rPr>
      </w:pPr>
    </w:p>
    <w:p w:rsidR="00E63685" w:rsidRDefault="005E5916">
      <w:pPr>
        <w:pStyle w:val="BodyText"/>
        <w:spacing w:line="360" w:lineRule="auto"/>
        <w:ind w:right="143"/>
      </w:pPr>
      <w:r>
        <w:t>There is growing international interest in health literacy and the processes by which it can be developed. Critical health literacy, one of the domains of health literacy, shows an affinity with the goals and processes of community development. Critica</w:t>
      </w:r>
      <w:r>
        <w:t>l health literacy represents a cognitive and personal skill set that exists at either individual</w:t>
      </w:r>
      <w:r>
        <w:rPr>
          <w:spacing w:val="-1"/>
        </w:rPr>
        <w:t xml:space="preserve"> </w:t>
      </w:r>
      <w:r>
        <w:t>or community level and which is oriented towards social and political action on factors affecting health. This paper examines the relationship between critical</w:t>
      </w:r>
      <w:r>
        <w:t xml:space="preserve"> health literacy and community development. Using an illustrative case study it explores the extent</w:t>
      </w:r>
      <w:r>
        <w:rPr>
          <w:spacing w:val="-2"/>
        </w:rPr>
        <w:t xml:space="preserve"> </w:t>
      </w:r>
      <w:r>
        <w:t>to which community development processes were used by a project to build</w:t>
      </w:r>
      <w:r>
        <w:rPr>
          <w:spacing w:val="-4"/>
        </w:rPr>
        <w:t xml:space="preserve"> </w:t>
      </w:r>
      <w:r>
        <w:t>critical health literacy amongst vulnerable populations and communities. The case</w:t>
      </w:r>
      <w:r>
        <w:rPr>
          <w:spacing w:val="-1"/>
        </w:rPr>
        <w:t xml:space="preserve"> </w:t>
      </w:r>
      <w:r>
        <w:t>s</w:t>
      </w:r>
      <w:r>
        <w:t>tudy demonstrates that in working to build the different elements of critical health literacy processes were used that were typical of community development. These</w:t>
      </w:r>
      <w:r>
        <w:rPr>
          <w:spacing w:val="-6"/>
        </w:rPr>
        <w:t xml:space="preserve"> </w:t>
      </w:r>
      <w:r>
        <w:t>processes included; building self-efficacy and self esteem, participatory and mutual</w:t>
      </w:r>
      <w:r>
        <w:rPr>
          <w:spacing w:val="-1"/>
        </w:rPr>
        <w:t xml:space="preserve"> </w:t>
      </w:r>
      <w:r>
        <w:t>learnin</w:t>
      </w:r>
      <w:r>
        <w:t>g techniques, acquisition of technical, practical and emancipatory</w:t>
      </w:r>
      <w:r>
        <w:rPr>
          <w:spacing w:val="-3"/>
        </w:rPr>
        <w:t xml:space="preserve"> </w:t>
      </w:r>
      <w:r>
        <w:t>knowledge, democratic processes of collective decision making, critical questioning,</w:t>
      </w:r>
      <w:r>
        <w:rPr>
          <w:spacing w:val="-1"/>
        </w:rPr>
        <w:t xml:space="preserve"> </w:t>
      </w:r>
      <w:r>
        <w:t>critical awareness raising and conscientization. The paper argues for community</w:t>
      </w:r>
      <w:r>
        <w:rPr>
          <w:spacing w:val="-1"/>
        </w:rPr>
        <w:t xml:space="preserve"> </w:t>
      </w:r>
      <w:r>
        <w:t>development to embrace a</w:t>
      </w:r>
      <w:r>
        <w:t>nd advance the concept of critical health literacy in order that;</w:t>
      </w:r>
      <w:r>
        <w:rPr>
          <w:spacing w:val="-2"/>
        </w:rPr>
        <w:t xml:space="preserve"> </w:t>
      </w:r>
      <w:r>
        <w:t>its potential to address inequalities in health can be achieved and to create</w:t>
      </w:r>
      <w:r>
        <w:rPr>
          <w:spacing w:val="-1"/>
        </w:rPr>
        <w:t xml:space="preserve"> </w:t>
      </w:r>
      <w:r>
        <w:t>an opportunity to embed community development more fully within health policy and practice.</w:t>
      </w:r>
    </w:p>
    <w:p w:rsidR="00E63685" w:rsidRDefault="00E63685">
      <w:pPr>
        <w:spacing w:line="360" w:lineRule="auto"/>
        <w:sectPr w:rsidR="00E63685">
          <w:footerReference w:type="default" r:id="rId8"/>
          <w:pgSz w:w="11900" w:h="16840"/>
          <w:pgMar w:top="1420" w:right="1020" w:bottom="940" w:left="1680" w:header="0" w:footer="750" w:gutter="0"/>
          <w:pgNumType w:start="2"/>
          <w:cols w:space="720"/>
        </w:sectPr>
      </w:pPr>
    </w:p>
    <w:p w:rsidR="00E63685" w:rsidRDefault="005E5916">
      <w:pPr>
        <w:pStyle w:val="Heading1"/>
        <w:spacing w:before="141"/>
        <w:ind w:right="143"/>
        <w:rPr>
          <w:b w:val="0"/>
          <w:bCs w:val="0"/>
        </w:rPr>
      </w:pPr>
      <w:r>
        <w:lastRenderedPageBreak/>
        <w:t>Using Community Development to Build Critical Health</w:t>
      </w:r>
      <w:r>
        <w:rPr>
          <w:spacing w:val="-8"/>
        </w:rPr>
        <w:t xml:space="preserve"> </w:t>
      </w:r>
      <w:r>
        <w:t>Literacy.</w:t>
      </w:r>
    </w:p>
    <w:p w:rsidR="00E63685" w:rsidRDefault="00E63685">
      <w:pPr>
        <w:rPr>
          <w:rFonts w:ascii="Calibri" w:eastAsia="Calibri" w:hAnsi="Calibri" w:cs="Calibri"/>
          <w:b/>
          <w:bCs/>
          <w:sz w:val="24"/>
          <w:szCs w:val="24"/>
        </w:rPr>
      </w:pPr>
    </w:p>
    <w:p w:rsidR="00E63685" w:rsidRDefault="00E63685">
      <w:pPr>
        <w:rPr>
          <w:rFonts w:ascii="Calibri" w:eastAsia="Calibri" w:hAnsi="Calibri" w:cs="Calibri"/>
          <w:b/>
          <w:bCs/>
          <w:sz w:val="24"/>
          <w:szCs w:val="24"/>
        </w:rPr>
      </w:pPr>
    </w:p>
    <w:p w:rsidR="00E63685" w:rsidRDefault="00E63685">
      <w:pPr>
        <w:rPr>
          <w:rFonts w:ascii="Calibri" w:eastAsia="Calibri" w:hAnsi="Calibri" w:cs="Calibri"/>
          <w:b/>
          <w:bCs/>
          <w:sz w:val="24"/>
          <w:szCs w:val="24"/>
        </w:rPr>
      </w:pPr>
    </w:p>
    <w:p w:rsidR="00E63685" w:rsidRDefault="005E5916">
      <w:pPr>
        <w:spacing w:before="148"/>
        <w:ind w:left="585" w:right="143"/>
        <w:rPr>
          <w:rFonts w:ascii="Calibri" w:eastAsia="Calibri" w:hAnsi="Calibri" w:cs="Calibri"/>
          <w:sz w:val="24"/>
          <w:szCs w:val="24"/>
        </w:rPr>
      </w:pPr>
      <w:r>
        <w:rPr>
          <w:rFonts w:ascii="Calibri"/>
          <w:b/>
          <w:sz w:val="24"/>
        </w:rPr>
        <w:t>Background:</w:t>
      </w:r>
    </w:p>
    <w:p w:rsidR="00E63685" w:rsidRDefault="005E5916">
      <w:pPr>
        <w:spacing w:before="144" w:line="360" w:lineRule="auto"/>
        <w:ind w:left="585" w:right="117"/>
        <w:rPr>
          <w:rFonts w:ascii="Calibri" w:eastAsia="Calibri" w:hAnsi="Calibri" w:cs="Calibri"/>
          <w:sz w:val="24"/>
          <w:szCs w:val="24"/>
        </w:rPr>
      </w:pPr>
      <w:r>
        <w:rPr>
          <w:rFonts w:ascii="Calibri" w:eastAsia="Calibri" w:hAnsi="Calibri" w:cs="Calibri"/>
          <w:sz w:val="24"/>
          <w:szCs w:val="24"/>
        </w:rPr>
        <w:t xml:space="preserve">Health literacy is a concept that has attracted increased attention in the health sector globally over the last two decades. While different definitions exist, health literacy is typically presented as people’s: </w:t>
      </w:r>
      <w:r>
        <w:rPr>
          <w:rFonts w:ascii="Calibri" w:eastAsia="Calibri" w:hAnsi="Calibri" w:cs="Calibri"/>
          <w:i/>
          <w:sz w:val="24"/>
          <w:szCs w:val="24"/>
        </w:rPr>
        <w:t>“the personal characteristics and social</w:t>
      </w:r>
      <w:r>
        <w:rPr>
          <w:rFonts w:ascii="Calibri" w:eastAsia="Calibri" w:hAnsi="Calibri" w:cs="Calibri"/>
          <w:i/>
          <w:spacing w:val="-2"/>
          <w:sz w:val="24"/>
          <w:szCs w:val="24"/>
        </w:rPr>
        <w:t xml:space="preserve"> </w:t>
      </w:r>
      <w:r>
        <w:rPr>
          <w:rFonts w:ascii="Calibri" w:eastAsia="Calibri" w:hAnsi="Calibri" w:cs="Calibri"/>
          <w:i/>
          <w:sz w:val="24"/>
          <w:szCs w:val="24"/>
        </w:rPr>
        <w:t>res</w:t>
      </w:r>
      <w:r>
        <w:rPr>
          <w:rFonts w:ascii="Calibri" w:eastAsia="Calibri" w:hAnsi="Calibri" w:cs="Calibri"/>
          <w:i/>
          <w:sz w:val="24"/>
          <w:szCs w:val="24"/>
        </w:rPr>
        <w:t xml:space="preserve">ources needed for individuals and communities to access, understand, appraise and use information and services to make decisions about health.” </w:t>
      </w:r>
      <w:r>
        <w:rPr>
          <w:rFonts w:ascii="Calibri" w:eastAsia="Calibri" w:hAnsi="Calibri" w:cs="Calibri"/>
          <w:sz w:val="24"/>
          <w:szCs w:val="24"/>
        </w:rPr>
        <w:t>(WHO, 2015). Health</w:t>
      </w:r>
      <w:r>
        <w:rPr>
          <w:rFonts w:ascii="Calibri" w:eastAsia="Calibri" w:hAnsi="Calibri" w:cs="Calibri"/>
          <w:spacing w:val="-1"/>
          <w:sz w:val="24"/>
          <w:szCs w:val="24"/>
        </w:rPr>
        <w:t xml:space="preserve"> </w:t>
      </w:r>
      <w:r>
        <w:rPr>
          <w:rFonts w:ascii="Calibri" w:eastAsia="Calibri" w:hAnsi="Calibri" w:cs="Calibri"/>
          <w:sz w:val="24"/>
          <w:szCs w:val="24"/>
        </w:rPr>
        <w:t>literacy has been recognised as a determinant of an individual’s health and is itself</w:t>
      </w:r>
      <w:r>
        <w:rPr>
          <w:rFonts w:ascii="Calibri" w:eastAsia="Calibri" w:hAnsi="Calibri" w:cs="Calibri"/>
          <w:spacing w:val="-1"/>
          <w:sz w:val="24"/>
          <w:szCs w:val="24"/>
        </w:rPr>
        <w:t xml:space="preserve"> </w:t>
      </w:r>
      <w:r>
        <w:rPr>
          <w:rFonts w:ascii="Calibri" w:eastAsia="Calibri" w:hAnsi="Calibri" w:cs="Calibri"/>
          <w:sz w:val="24"/>
          <w:szCs w:val="24"/>
        </w:rPr>
        <w:t>determ</w:t>
      </w:r>
      <w:r>
        <w:rPr>
          <w:rFonts w:ascii="Calibri" w:eastAsia="Calibri" w:hAnsi="Calibri" w:cs="Calibri"/>
          <w:sz w:val="24"/>
          <w:szCs w:val="24"/>
        </w:rPr>
        <w:t>ined by a range of other variables such as socio economic status, education level, ethnicity and age (Kickbusch et al, 2013). It contributes to health inequalities because</w:t>
      </w:r>
      <w:r>
        <w:rPr>
          <w:rFonts w:ascii="Calibri" w:eastAsia="Calibri" w:hAnsi="Calibri" w:cs="Calibri"/>
          <w:spacing w:val="33"/>
          <w:sz w:val="24"/>
          <w:szCs w:val="24"/>
        </w:rPr>
        <w:t xml:space="preserve"> </w:t>
      </w:r>
      <w:r>
        <w:rPr>
          <w:rFonts w:ascii="Calibri" w:eastAsia="Calibri" w:hAnsi="Calibri" w:cs="Calibri"/>
          <w:sz w:val="24"/>
          <w:szCs w:val="24"/>
        </w:rPr>
        <w:t>the groups most at risk of limited health literacy are those with the poorest</w:t>
      </w:r>
      <w:r>
        <w:rPr>
          <w:rFonts w:ascii="Calibri" w:eastAsia="Calibri" w:hAnsi="Calibri" w:cs="Calibri"/>
          <w:spacing w:val="-1"/>
          <w:sz w:val="24"/>
          <w:szCs w:val="24"/>
        </w:rPr>
        <w:t xml:space="preserve"> </w:t>
      </w:r>
      <w:r>
        <w:rPr>
          <w:rFonts w:ascii="Calibri" w:eastAsia="Calibri" w:hAnsi="Calibri" w:cs="Calibri"/>
          <w:sz w:val="24"/>
          <w:szCs w:val="24"/>
        </w:rPr>
        <w:t>health</w:t>
      </w:r>
      <w:r>
        <w:rPr>
          <w:rFonts w:ascii="Calibri" w:eastAsia="Calibri" w:hAnsi="Calibri" w:cs="Calibri"/>
          <w:sz w:val="24"/>
          <w:szCs w:val="24"/>
        </w:rPr>
        <w:t xml:space="preserve"> outcomes (Paasche-Orlow, 2010) and is therefore of interest to practitioners</w:t>
      </w:r>
      <w:r>
        <w:rPr>
          <w:rFonts w:ascii="Calibri" w:eastAsia="Calibri" w:hAnsi="Calibri" w:cs="Calibri"/>
          <w:spacing w:val="33"/>
          <w:sz w:val="24"/>
          <w:szCs w:val="24"/>
        </w:rPr>
        <w:t xml:space="preserve"> </w:t>
      </w:r>
      <w:r>
        <w:rPr>
          <w:rFonts w:ascii="Calibri" w:eastAsia="Calibri" w:hAnsi="Calibri" w:cs="Calibri"/>
          <w:sz w:val="24"/>
          <w:szCs w:val="24"/>
        </w:rPr>
        <w:t>and policy makers internationally.</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150"/>
      </w:pPr>
      <w:r>
        <w:t>Central to the debates around health literacy, has been the contribution made by Nutbeam (Nutbeam, 2000), who presented a typology for health literacy consisting</w:t>
      </w:r>
      <w:r>
        <w:rPr>
          <w:spacing w:val="-1"/>
        </w:rPr>
        <w:t xml:space="preserve"> </w:t>
      </w:r>
      <w:r>
        <w:t>of: basic functional health literacy, communicative or interactive health literacy and critica</w:t>
      </w:r>
      <w:r>
        <w:t>l health literacy. Functional health literacy refers to the ability of individuals</w:t>
      </w:r>
      <w:r>
        <w:rPr>
          <w:spacing w:val="-3"/>
        </w:rPr>
        <w:t xml:space="preserve"> </w:t>
      </w:r>
      <w:r>
        <w:t>to access and understand written and numerical information while communicative</w:t>
      </w:r>
      <w:r>
        <w:rPr>
          <w:spacing w:val="-1"/>
        </w:rPr>
        <w:t xml:space="preserve"> </w:t>
      </w:r>
      <w:r>
        <w:t>or interactive health literacy involves the personal skills needed to understand and act</w:t>
      </w:r>
      <w:r>
        <w:rPr>
          <w:spacing w:val="-1"/>
        </w:rPr>
        <w:t xml:space="preserve"> </w:t>
      </w:r>
      <w:r>
        <w:t>on in</w:t>
      </w:r>
      <w:r>
        <w:t>formation in a supportive environment such as a school or health centre.</w:t>
      </w:r>
      <w:r>
        <w:rPr>
          <w:spacing w:val="-3"/>
        </w:rPr>
        <w:t xml:space="preserve"> </w:t>
      </w:r>
      <w:r>
        <w:t>Critical health literacy is the third domain distinguished by Nutbeam (2000) as the</w:t>
      </w:r>
      <w:r>
        <w:rPr>
          <w:spacing w:val="-1"/>
        </w:rPr>
        <w:t xml:space="preserve"> </w:t>
      </w:r>
      <w:r>
        <w:t>cognitive and skills development outcomes, which are oriented towards supporting effective social a</w:t>
      </w:r>
      <w:r>
        <w:t>nd political action. It is the least well developed and researched domain</w:t>
      </w:r>
      <w:r>
        <w:rPr>
          <w:spacing w:val="-2"/>
        </w:rPr>
        <w:t xml:space="preserve"> </w:t>
      </w:r>
      <w:r>
        <w:t>of Nutbeam’s typology but it points to people having the skills to use information to understand and change the factors that influence their health. An analysis of the specific chara</w:t>
      </w:r>
      <w:r>
        <w:t xml:space="preserve">cteristics of critical health literacy (Sykes </w:t>
      </w:r>
      <w:r>
        <w:rPr>
          <w:rFonts w:cs="Calibri"/>
          <w:i/>
        </w:rPr>
        <w:t>et al</w:t>
      </w:r>
      <w:r>
        <w:t>, 2013) shows that</w:t>
      </w:r>
      <w:r>
        <w:rPr>
          <w:spacing w:val="-8"/>
        </w:rPr>
        <w:t xml:space="preserve"> </w:t>
      </w:r>
      <w:r>
        <w:t>by developing critical health literacy, individuals and communities can; become</w:t>
      </w:r>
      <w:r>
        <w:rPr>
          <w:spacing w:val="-9"/>
        </w:rPr>
        <w:t xml:space="preserve"> </w:t>
      </w:r>
      <w:r>
        <w:t>informed about the health issues that may or do affect them, may be motivated and able</w:t>
      </w:r>
      <w:r>
        <w:rPr>
          <w:spacing w:val="-2"/>
        </w:rPr>
        <w:t xml:space="preserve"> </w:t>
      </w:r>
      <w:r>
        <w:t>to</w:t>
      </w:r>
    </w:p>
    <w:p w:rsidR="00E63685" w:rsidRDefault="00E63685">
      <w:pPr>
        <w:spacing w:line="360" w:lineRule="auto"/>
        <w:sectPr w:rsidR="00E63685">
          <w:pgSz w:w="11900" w:h="16840"/>
          <w:pgMar w:top="1600" w:right="1020" w:bottom="940" w:left="1680" w:header="0" w:footer="750" w:gutter="0"/>
          <w:cols w:space="720"/>
        </w:sectPr>
      </w:pPr>
    </w:p>
    <w:p w:rsidR="00E63685" w:rsidRDefault="005E5916">
      <w:pPr>
        <w:pStyle w:val="BodyText"/>
        <w:spacing w:before="48" w:line="360" w:lineRule="auto"/>
        <w:ind w:right="114"/>
      </w:pPr>
      <w:r>
        <w:lastRenderedPageBreak/>
        <w:t>access, manage, understand and critically analyse information on health issues,</w:t>
      </w:r>
      <w:r>
        <w:rPr>
          <w:spacing w:val="-1"/>
        </w:rPr>
        <w:t xml:space="preserve"> </w:t>
      </w:r>
      <w:r>
        <w:t>have the skills to effectively and critically communicate with professionals about health issues and make informed decisions about their own health. Importantly, they will al</w:t>
      </w:r>
      <w:r>
        <w:t>so understand the wider social and political causes of health issues and will be</w:t>
      </w:r>
      <w:r>
        <w:rPr>
          <w:spacing w:val="-1"/>
        </w:rPr>
        <w:t xml:space="preserve"> </w:t>
      </w:r>
      <w:r>
        <w:t xml:space="preserve">motivated and skilled to act to challenge and campaign for change at a structural level. Individuals and communities with this skill set are therefore important self-managers </w:t>
      </w:r>
      <w:r>
        <w:t>of their</w:t>
      </w:r>
      <w:r>
        <w:rPr>
          <w:spacing w:val="-1"/>
        </w:rPr>
        <w:t xml:space="preserve"> </w:t>
      </w:r>
      <w:r>
        <w:t>own and society’s health and can become important actors in achieving positive</w:t>
      </w:r>
      <w:r>
        <w:rPr>
          <w:spacing w:val="-1"/>
        </w:rPr>
        <w:t xml:space="preserve"> </w:t>
      </w:r>
      <w:r>
        <w:t>health outcomes and health equity. Of all the domains of health literacy, it is critical,</w:t>
      </w:r>
      <w:r>
        <w:rPr>
          <w:spacing w:val="-3"/>
        </w:rPr>
        <w:t xml:space="preserve"> </w:t>
      </w:r>
      <w:r>
        <w:t>rather than functional, health literacy that will allow individuals and commun</w:t>
      </w:r>
      <w:r>
        <w:t>ities</w:t>
      </w:r>
      <w:r>
        <w:rPr>
          <w:spacing w:val="49"/>
        </w:rPr>
        <w:t xml:space="preserve"> </w:t>
      </w:r>
      <w:r>
        <w:t>to challenge services and policies and tackle the root causes of health inequalities</w:t>
      </w:r>
      <w:r>
        <w:rPr>
          <w:spacing w:val="-2"/>
        </w:rPr>
        <w:t xml:space="preserve"> </w:t>
      </w:r>
      <w:r>
        <w:t xml:space="preserve">(Cross </w:t>
      </w:r>
      <w:r>
        <w:rPr>
          <w:rFonts w:cs="Calibri"/>
          <w:i/>
        </w:rPr>
        <w:t xml:space="preserve">et al, </w:t>
      </w:r>
      <w:r>
        <w:t>2017).</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239"/>
      </w:pPr>
      <w:r>
        <w:t>Building critical health literacy within communities contributes to individuals having more control over personal decisions and also as a “</w:t>
      </w:r>
      <w:r>
        <w:rPr>
          <w:rFonts w:cs="Calibri"/>
          <w:i/>
        </w:rPr>
        <w:t>set of skills that enables people</w:t>
      </w:r>
      <w:r>
        <w:rPr>
          <w:rFonts w:cs="Calibri"/>
          <w:i/>
          <w:spacing w:val="-2"/>
        </w:rPr>
        <w:t xml:space="preserve"> </w:t>
      </w:r>
      <w:r>
        <w:rPr>
          <w:rFonts w:cs="Calibri"/>
          <w:i/>
        </w:rPr>
        <w:t>to participate more actively in political and social decisions affecting their health</w:t>
      </w:r>
      <w:r>
        <w:t>”</w:t>
      </w:r>
      <w:r>
        <w:rPr>
          <w:spacing w:val="-2"/>
        </w:rPr>
        <w:t xml:space="preserve"> </w:t>
      </w:r>
      <w:r>
        <w:t>(Wise and Nutbeam, 2015 p24). However, efforts to develop interventions to address low levels of health literacy remain focused on indi</w:t>
      </w:r>
      <w:r>
        <w:t>vidual functional skills relating</w:t>
      </w:r>
      <w:r>
        <w:rPr>
          <w:spacing w:val="-1"/>
        </w:rPr>
        <w:t xml:space="preserve"> </w:t>
      </w:r>
      <w:r>
        <w:t xml:space="preserve">to reading health information and are primarily located in clinical settings (D’Eath </w:t>
      </w:r>
      <w:r>
        <w:rPr>
          <w:rFonts w:cs="Calibri"/>
          <w:i/>
        </w:rPr>
        <w:t>et</w:t>
      </w:r>
      <w:r>
        <w:rPr>
          <w:rFonts w:cs="Calibri"/>
          <w:i/>
          <w:spacing w:val="-1"/>
        </w:rPr>
        <w:t xml:space="preserve"> </w:t>
      </w:r>
      <w:r>
        <w:rPr>
          <w:rFonts w:cs="Calibri"/>
          <w:i/>
        </w:rPr>
        <w:t xml:space="preserve">al, </w:t>
      </w:r>
      <w:r>
        <w:t>2012). There are very few documented interventions specifically designed to</w:t>
      </w:r>
      <w:r>
        <w:rPr>
          <w:spacing w:val="-6"/>
        </w:rPr>
        <w:t xml:space="preserve"> </w:t>
      </w:r>
      <w:r>
        <w:t>build</w:t>
      </w:r>
      <w:r>
        <w:rPr>
          <w:spacing w:val="-1"/>
        </w:rPr>
        <w:t xml:space="preserve"> </w:t>
      </w:r>
      <w:r>
        <w:t>critical health literacy and little evaluation o</w:t>
      </w:r>
      <w:r>
        <w:t>r research has been undertaken</w:t>
      </w:r>
      <w:r>
        <w:rPr>
          <w:spacing w:val="-2"/>
        </w:rPr>
        <w:t xml:space="preserve"> </w:t>
      </w:r>
      <w:r>
        <w:t xml:space="preserve">where interventions do exist (D’Eath </w:t>
      </w:r>
      <w:r>
        <w:rPr>
          <w:rFonts w:cs="Calibri"/>
          <w:i/>
        </w:rPr>
        <w:t xml:space="preserve">et al, </w:t>
      </w:r>
      <w:r>
        <w:t xml:space="preserve">2012; Cross </w:t>
      </w:r>
      <w:r>
        <w:rPr>
          <w:rFonts w:cs="Calibri"/>
          <w:i/>
        </w:rPr>
        <w:t xml:space="preserve">et al, </w:t>
      </w:r>
      <w:r>
        <w:t>2017) Where studies have</w:t>
      </w:r>
      <w:r>
        <w:rPr>
          <w:spacing w:val="-11"/>
        </w:rPr>
        <w:t xml:space="preserve"> </w:t>
      </w:r>
      <w:r>
        <w:t xml:space="preserve">been published (Gould </w:t>
      </w:r>
      <w:r>
        <w:rPr>
          <w:rFonts w:cs="Calibri"/>
          <w:i/>
        </w:rPr>
        <w:t>et al</w:t>
      </w:r>
      <w:r>
        <w:t xml:space="preserve">, 2010; Mogford </w:t>
      </w:r>
      <w:r>
        <w:rPr>
          <w:rFonts w:cs="Calibri"/>
          <w:i/>
        </w:rPr>
        <w:t>et al</w:t>
      </w:r>
      <w:r>
        <w:t xml:space="preserve">, 2011; Renwick, 2014, McCuaig, </w:t>
      </w:r>
      <w:r>
        <w:rPr>
          <w:rFonts w:cs="Calibri"/>
          <w:i/>
        </w:rPr>
        <w:t>et</w:t>
      </w:r>
      <w:r>
        <w:rPr>
          <w:rFonts w:cs="Calibri"/>
          <w:i/>
          <w:spacing w:val="-8"/>
        </w:rPr>
        <w:t xml:space="preserve"> </w:t>
      </w:r>
      <w:r>
        <w:rPr>
          <w:rFonts w:cs="Calibri"/>
          <w:i/>
        </w:rPr>
        <w:t xml:space="preserve">al, </w:t>
      </w:r>
      <w:r>
        <w:t>2014) there is a focus on building critical health literacy amongst young people</w:t>
      </w:r>
      <w:r>
        <w:rPr>
          <w:spacing w:val="-4"/>
        </w:rPr>
        <w:t xml:space="preserve"> </w:t>
      </w:r>
      <w:r>
        <w:t>in</w:t>
      </w:r>
      <w:r>
        <w:rPr>
          <w:spacing w:val="-1"/>
        </w:rPr>
        <w:t xml:space="preserve"> </w:t>
      </w:r>
      <w:r>
        <w:t>school settings and a number of opportunities and challenges in doing this</w:t>
      </w:r>
      <w:r>
        <w:rPr>
          <w:spacing w:val="-2"/>
        </w:rPr>
        <w:t xml:space="preserve"> </w:t>
      </w:r>
      <w:r>
        <w:t>are identified including a focus on combining reflection and action for health</w:t>
      </w:r>
      <w:r>
        <w:rPr>
          <w:spacing w:val="-1"/>
        </w:rPr>
        <w:t xml:space="preserve"> </w:t>
      </w:r>
      <w:r>
        <w:t>education praxis .</w:t>
      </w:r>
      <w:r>
        <w:t xml:space="preserve"> The evidence base is, as yet however, too limited to offer clear guidance</w:t>
      </w:r>
      <w:r>
        <w:rPr>
          <w:spacing w:val="-7"/>
        </w:rPr>
        <w:t xml:space="preserve"> </w:t>
      </w:r>
      <w:r>
        <w:t>on</w:t>
      </w:r>
      <w:r>
        <w:rPr>
          <w:spacing w:val="-1"/>
        </w:rPr>
        <w:t xml:space="preserve"> </w:t>
      </w:r>
      <w:r>
        <w:t>effective routes to build critical health literacy.</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242"/>
      </w:pPr>
      <w:r>
        <w:t>Dawkins-Moultin et al (2016) argue that the focus on behavior change approaches</w:t>
      </w:r>
      <w:r>
        <w:rPr>
          <w:spacing w:val="-1"/>
        </w:rPr>
        <w:t xml:space="preserve"> </w:t>
      </w:r>
      <w:r>
        <w:t xml:space="preserve">to developing health literacy has not led to </w:t>
      </w:r>
      <w:r>
        <w:t>lasting outcomes because of its failure to recognize the positioning of health literacy at the intersection between individual and societal influences. They suggest a commitment to critical pedagogy</w:t>
      </w:r>
      <w:r>
        <w:rPr>
          <w:spacing w:val="-1"/>
        </w:rPr>
        <w:t xml:space="preserve"> </w:t>
      </w:r>
      <w:r>
        <w:t>within interventions would foster a move beyond a focus o</w:t>
      </w:r>
      <w:r>
        <w:t>n cognition and towards agency</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BodyText"/>
        <w:spacing w:before="48" w:line="360" w:lineRule="auto"/>
        <w:ind w:right="408"/>
      </w:pPr>
      <w:r>
        <w:lastRenderedPageBreak/>
        <w:t>and empowerment that would lead to lasting change and would be more consistent with the principles of Nutbeams’ three levels of health literacy. Exploring</w:t>
      </w:r>
      <w:r>
        <w:rPr>
          <w:spacing w:val="-1"/>
        </w:rPr>
        <w:t xml:space="preserve"> </w:t>
      </w:r>
      <w:r>
        <w:t>health literacy from a critical perspective and borr</w:t>
      </w:r>
      <w:r>
        <w:t>owing from Freire (1993), critical</w:t>
      </w:r>
      <w:r>
        <w:rPr>
          <w:spacing w:val="-6"/>
        </w:rPr>
        <w:t xml:space="preserve"> </w:t>
      </w:r>
      <w:r>
        <w:t>health literacy is embedded within the idea of ‘critical consciousness’ and is about</w:t>
      </w:r>
      <w:r>
        <w:rPr>
          <w:spacing w:val="-2"/>
        </w:rPr>
        <w:t xml:space="preserve"> </w:t>
      </w:r>
      <w:r>
        <w:t>social action for change or as Cross et al identify it; a form of ‘</w:t>
      </w:r>
      <w:r>
        <w:rPr>
          <w:rFonts w:cs="Calibri"/>
          <w:i/>
        </w:rPr>
        <w:t>health</w:t>
      </w:r>
      <w:r>
        <w:rPr>
          <w:rFonts w:cs="Calibri"/>
          <w:i/>
          <w:spacing w:val="-1"/>
        </w:rPr>
        <w:t xml:space="preserve"> </w:t>
      </w:r>
      <w:r>
        <w:rPr>
          <w:rFonts w:cs="Calibri"/>
          <w:i/>
        </w:rPr>
        <w:t xml:space="preserve">conscientization’ </w:t>
      </w:r>
      <w:r>
        <w:t>(p136). It is, like community development, a</w:t>
      </w:r>
      <w:r>
        <w:t>n emancipatory process through</w:t>
      </w:r>
      <w:r>
        <w:rPr>
          <w:spacing w:val="-9"/>
        </w:rPr>
        <w:t xml:space="preserve"> </w:t>
      </w:r>
      <w:r>
        <w:t>which individuals and communities become aware of issues and inequities, participate</w:t>
      </w:r>
      <w:r>
        <w:rPr>
          <w:spacing w:val="-2"/>
        </w:rPr>
        <w:t xml:space="preserve"> </w:t>
      </w:r>
      <w:r>
        <w:t>in critical dialogue, and become involved in decision-making and action for</w:t>
      </w:r>
      <w:r>
        <w:rPr>
          <w:spacing w:val="-2"/>
        </w:rPr>
        <w:t xml:space="preserve"> </w:t>
      </w:r>
      <w:r>
        <w:t xml:space="preserve">health (Zarcadoolas </w:t>
      </w:r>
      <w:r>
        <w:rPr>
          <w:rFonts w:cs="Calibri"/>
          <w:i/>
        </w:rPr>
        <w:t xml:space="preserve">et al, </w:t>
      </w:r>
      <w:r>
        <w:t>2005).</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151"/>
      </w:pPr>
      <w:r>
        <w:t>Despite this clear overlap wi</w:t>
      </w:r>
      <w:r>
        <w:t>th the principles and goals of community</w:t>
      </w:r>
      <w:r>
        <w:rPr>
          <w:spacing w:val="-1"/>
        </w:rPr>
        <w:t xml:space="preserve"> </w:t>
      </w:r>
      <w:r>
        <w:t xml:space="preserve">development, critical health literacy is almost entirely absent from the community development literature and debates (Sykes </w:t>
      </w:r>
      <w:r>
        <w:rPr>
          <w:i/>
        </w:rPr>
        <w:t>et al</w:t>
      </w:r>
      <w:r>
        <w:t>, 2013). This may be due to the relative</w:t>
      </w:r>
      <w:r>
        <w:rPr>
          <w:spacing w:val="-8"/>
        </w:rPr>
        <w:t xml:space="preserve"> </w:t>
      </w:r>
      <w:r>
        <w:t>immaturity of the concept, a lack of interes</w:t>
      </w:r>
      <w:r>
        <w:t>t in health by the community development field</w:t>
      </w:r>
      <w:r>
        <w:rPr>
          <w:spacing w:val="-2"/>
        </w:rPr>
        <w:t xml:space="preserve"> </w:t>
      </w:r>
      <w:r>
        <w:t>or because of the difficulties of operationalizing critical health literacy. It may also be</w:t>
      </w:r>
      <w:r>
        <w:rPr>
          <w:spacing w:val="-1"/>
        </w:rPr>
        <w:t xml:space="preserve"> </w:t>
      </w:r>
      <w:r>
        <w:t>the case that community development is unintentionally building critical health literacy as part of its work but with</w:t>
      </w:r>
      <w:r>
        <w:t>out recognising the concept or applying the terminology.</w:t>
      </w:r>
      <w:r>
        <w:rPr>
          <w:spacing w:val="-2"/>
        </w:rPr>
        <w:t xml:space="preserve"> </w:t>
      </w:r>
      <w:r>
        <w:t>A closer scrutiny of the relationship with community development could reveal</w:t>
      </w:r>
      <w:r>
        <w:rPr>
          <w:spacing w:val="-2"/>
        </w:rPr>
        <w:t xml:space="preserve"> </w:t>
      </w:r>
      <w:r>
        <w:t>key learning about the processes of development of critical health literacy and also a better understanding of what is me</w:t>
      </w:r>
      <w:r>
        <w:t>ant by community development for health (South, 2015). Exploring the reciprocal benefits of this relationship may, not only help</w:t>
      </w:r>
      <w:r>
        <w:rPr>
          <w:spacing w:val="-1"/>
        </w:rPr>
        <w:t xml:space="preserve"> </w:t>
      </w:r>
      <w:r>
        <w:t>advance the development of critical health literacy but may identify opportunities to</w:t>
      </w:r>
      <w:r>
        <w:rPr>
          <w:spacing w:val="-7"/>
        </w:rPr>
        <w:t xml:space="preserve"> </w:t>
      </w:r>
      <w:r>
        <w:t>embed</w:t>
      </w:r>
      <w:r>
        <w:t xml:space="preserve"> community development in health practice and policy.</w:t>
      </w:r>
    </w:p>
    <w:p w:rsidR="00E63685" w:rsidRDefault="00E63685">
      <w:pPr>
        <w:spacing w:before="9"/>
        <w:rPr>
          <w:rFonts w:ascii="Calibri" w:eastAsia="Calibri" w:hAnsi="Calibri" w:cs="Calibri"/>
          <w:sz w:val="23"/>
          <w:szCs w:val="23"/>
        </w:rPr>
      </w:pPr>
    </w:p>
    <w:p w:rsidR="00E63685" w:rsidRDefault="005E5916">
      <w:pPr>
        <w:pStyle w:val="BodyText"/>
        <w:spacing w:line="360" w:lineRule="auto"/>
        <w:ind w:right="196"/>
      </w:pPr>
      <w:r>
        <w:t>This paper examines the relationship between community development and</w:t>
      </w:r>
      <w:r>
        <w:rPr>
          <w:spacing w:val="-3"/>
        </w:rPr>
        <w:t xml:space="preserve"> </w:t>
      </w:r>
      <w:r>
        <w:t>the concept of critical health literacy through an illustrative case study. The study aims</w:t>
      </w:r>
      <w:r>
        <w:rPr>
          <w:spacing w:val="-2"/>
        </w:rPr>
        <w:t xml:space="preserve"> </w:t>
      </w:r>
      <w:r>
        <w:t>to examine the extent to which communit</w:t>
      </w:r>
      <w:r>
        <w:t>y development processes were used by</w:t>
      </w:r>
      <w:r>
        <w:rPr>
          <w:spacing w:val="-2"/>
        </w:rPr>
        <w:t xml:space="preserve"> </w:t>
      </w:r>
      <w:r>
        <w:t>a project to build critical health literacy amongst vulnerable populations and communities in order to tackle inequalities and issues of social justice. In using</w:t>
      </w:r>
      <w:r>
        <w:rPr>
          <w:spacing w:val="-3"/>
        </w:rPr>
        <w:t xml:space="preserve"> </w:t>
      </w:r>
      <w:r>
        <w:t>an illustrative case study, this paper intends to identif</w:t>
      </w:r>
      <w:r>
        <w:t>y and examine processes that</w:t>
      </w:r>
      <w:r>
        <w:rPr>
          <w:spacing w:val="-2"/>
        </w:rPr>
        <w:t xml:space="preserve"> </w:t>
      </w:r>
      <w:r>
        <w:t>could usefully be deployed in the development of projects to build critical health literacy.</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Heading1"/>
        <w:spacing w:before="48"/>
        <w:ind w:right="143"/>
        <w:rPr>
          <w:b w:val="0"/>
          <w:bCs w:val="0"/>
        </w:rPr>
      </w:pPr>
      <w:r>
        <w:lastRenderedPageBreak/>
        <w:t>Method.</w:t>
      </w:r>
    </w:p>
    <w:p w:rsidR="00E63685" w:rsidRDefault="00E63685">
      <w:pPr>
        <w:spacing w:before="10"/>
        <w:rPr>
          <w:rFonts w:ascii="Calibri" w:eastAsia="Calibri" w:hAnsi="Calibri" w:cs="Calibri"/>
          <w:b/>
          <w:bCs/>
          <w:sz w:val="31"/>
          <w:szCs w:val="31"/>
        </w:rPr>
      </w:pPr>
    </w:p>
    <w:p w:rsidR="00E63685" w:rsidRDefault="005E5916">
      <w:pPr>
        <w:pStyle w:val="BodyText"/>
        <w:spacing w:line="360" w:lineRule="auto"/>
        <w:ind w:right="224"/>
      </w:pPr>
      <w:r>
        <w:t>Case study research is appropriate when exploring questions that require a detailed understanding of social</w:t>
      </w:r>
      <w:r>
        <w:t xml:space="preserve"> or organisational process (Hartley, 2014) or studies that seek to answer a “how’ or “why” question (Yin, 2014). A case study was therefore deemed appropriate for this study, allowing the opportunity to investigate a particular case in depth and produce ri</w:t>
      </w:r>
      <w:r>
        <w:t>ch data that helps in understanding the processes involved</w:t>
      </w:r>
      <w:r>
        <w:rPr>
          <w:spacing w:val="-2"/>
        </w:rPr>
        <w:t xml:space="preserve"> </w:t>
      </w:r>
      <w:r>
        <w:t>in building critical health literacy and the relationship with community development.</w:t>
      </w:r>
      <w:r>
        <w:rPr>
          <w:spacing w:val="-1"/>
        </w:rPr>
        <w:t xml:space="preserve"> </w:t>
      </w:r>
      <w:r>
        <w:t>As an illustrative case study that aimed to illuminate and examine the implementation</w:t>
      </w:r>
      <w:r>
        <w:rPr>
          <w:spacing w:val="-1"/>
        </w:rPr>
        <w:t xml:space="preserve"> </w:t>
      </w:r>
      <w:r>
        <w:t>of processes, this resear</w:t>
      </w:r>
      <w:r>
        <w:t>ch was not evaluative and did not seek to identify the impact</w:t>
      </w:r>
      <w:r>
        <w:rPr>
          <w:spacing w:val="-8"/>
        </w:rPr>
        <w:t xml:space="preserve"> </w:t>
      </w:r>
      <w:r>
        <w:t>or outcomes of critical health literacy. This is an important area for future research</w:t>
      </w:r>
      <w:r>
        <w:rPr>
          <w:spacing w:val="-1"/>
        </w:rPr>
        <w:t xml:space="preserve"> </w:t>
      </w:r>
      <w:r>
        <w:t>and can be undertaken once more interventions to build critical health literacy have</w:t>
      </w:r>
      <w:r>
        <w:rPr>
          <w:spacing w:val="-5"/>
        </w:rPr>
        <w:t xml:space="preserve"> </w:t>
      </w:r>
      <w:r>
        <w:t>been established.</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128"/>
      </w:pPr>
      <w:r>
        <w:t>The</w:t>
      </w:r>
      <w:r>
        <w:t xml:space="preserve"> case for study was selected through a purposive sampling process. Very</w:t>
      </w:r>
      <w:r>
        <w:rPr>
          <w:spacing w:val="-2"/>
        </w:rPr>
        <w:t xml:space="preserve"> </w:t>
      </w:r>
      <w:r>
        <w:t>few projects that are explicitly designed to build critical health literacy have</w:t>
      </w:r>
      <w:r>
        <w:rPr>
          <w:spacing w:val="-2"/>
        </w:rPr>
        <w:t xml:space="preserve"> </w:t>
      </w:r>
      <w:r>
        <w:t>been documented and none have been identified in the field of community</w:t>
      </w:r>
      <w:r>
        <w:rPr>
          <w:spacing w:val="-5"/>
        </w:rPr>
        <w:t xml:space="preserve"> </w:t>
      </w:r>
      <w:r>
        <w:t>development. However, the attri</w:t>
      </w:r>
      <w:r>
        <w:t>butes being developed by a project can be seen as more</w:t>
      </w:r>
      <w:r>
        <w:rPr>
          <w:spacing w:val="-10"/>
        </w:rPr>
        <w:t xml:space="preserve"> </w:t>
      </w:r>
      <w:r>
        <w:t>important when selecting the case, than the name or language used by the project (Stake, 1995). A sampling process was therefore employed that ensured that a case was chosen</w:t>
      </w:r>
      <w:r>
        <w:rPr>
          <w:spacing w:val="-1"/>
        </w:rPr>
        <w:t xml:space="preserve"> </w:t>
      </w:r>
      <w:r>
        <w:t>that met the two criteria o</w:t>
      </w:r>
      <w:r>
        <w:t>f a) working according to community development principles</w:t>
      </w:r>
      <w:r>
        <w:rPr>
          <w:spacing w:val="-9"/>
        </w:rPr>
        <w:t xml:space="preserve"> </w:t>
      </w:r>
      <w:r>
        <w:t>and practices and b) building the characteristics of critical health literacy. A list of</w:t>
      </w:r>
      <w:r>
        <w:rPr>
          <w:spacing w:val="-4"/>
        </w:rPr>
        <w:t xml:space="preserve"> </w:t>
      </w:r>
      <w:r>
        <w:t>projects in the U.K. that work according to the principles and values of</w:t>
      </w:r>
      <w:r>
        <w:rPr>
          <w:spacing w:val="21"/>
        </w:rPr>
        <w:t xml:space="preserve"> </w:t>
      </w:r>
      <w:r>
        <w:t xml:space="preserve">community development was compiled </w:t>
      </w:r>
      <w:r>
        <w:t>from projects listed by three national</w:t>
      </w:r>
      <w:r>
        <w:rPr>
          <w:spacing w:val="-3"/>
        </w:rPr>
        <w:t xml:space="preserve"> </w:t>
      </w:r>
      <w:r>
        <w:t>umbrella organisations for community development: CDX, Community Development Foundation (both now closed) and the Federation for Community Development Learning. A list</w:t>
      </w:r>
      <w:r>
        <w:rPr>
          <w:spacing w:val="-3"/>
        </w:rPr>
        <w:t xml:space="preserve"> </w:t>
      </w:r>
      <w:r>
        <w:t>of</w:t>
      </w:r>
      <w:r>
        <w:rPr>
          <w:spacing w:val="-1"/>
        </w:rPr>
        <w:t xml:space="preserve"> </w:t>
      </w:r>
      <w:r>
        <w:t>29 possible projects was identified. The proje</w:t>
      </w:r>
      <w:r>
        <w:t>ct selected was the one that most</w:t>
      </w:r>
      <w:r>
        <w:rPr>
          <w:spacing w:val="-1"/>
        </w:rPr>
        <w:t xml:space="preserve"> </w:t>
      </w:r>
      <w:r>
        <w:t>closely pursued the characteristics of critical health literacy. This assessment was</w:t>
      </w:r>
      <w:r>
        <w:rPr>
          <w:spacing w:val="-2"/>
        </w:rPr>
        <w:t xml:space="preserve"> </w:t>
      </w:r>
      <w:r>
        <w:t>made through a review of publicly available information regarding the</w:t>
      </w:r>
      <w:r>
        <w:rPr>
          <w:spacing w:val="-1"/>
        </w:rPr>
        <w:t xml:space="preserve"> </w:t>
      </w:r>
      <w:r>
        <w:t>project.</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137"/>
        <w:jc w:val="both"/>
      </w:pPr>
      <w:r>
        <w:t>In order to gain a holistic and detailed picture of the processes used to develop</w:t>
      </w:r>
      <w:r>
        <w:rPr>
          <w:spacing w:val="-3"/>
        </w:rPr>
        <w:t xml:space="preserve"> </w:t>
      </w:r>
      <w:r>
        <w:t>critical health literacy, a number of data sources were included. The use of multiple sources</w:t>
      </w:r>
      <w:r>
        <w:rPr>
          <w:spacing w:val="-2"/>
        </w:rPr>
        <w:t xml:space="preserve"> </w:t>
      </w:r>
      <w:r>
        <w:t>of evidence allows for triangulation and corroboration allowing problems of cons</w:t>
      </w:r>
      <w:r>
        <w:t>truct</w:t>
      </w:r>
    </w:p>
    <w:p w:rsidR="00E63685" w:rsidRDefault="00E63685">
      <w:pPr>
        <w:spacing w:line="360" w:lineRule="auto"/>
        <w:jc w:val="both"/>
        <w:sectPr w:rsidR="00E63685">
          <w:pgSz w:w="11900" w:h="16840"/>
          <w:pgMar w:top="1400" w:right="1020" w:bottom="940" w:left="1680" w:header="0" w:footer="750" w:gutter="0"/>
          <w:cols w:space="720"/>
        </w:sectPr>
      </w:pPr>
    </w:p>
    <w:p w:rsidR="00E63685" w:rsidRDefault="005E5916">
      <w:pPr>
        <w:pStyle w:val="BodyText"/>
        <w:spacing w:before="48" w:line="362" w:lineRule="auto"/>
        <w:ind w:right="145"/>
      </w:pPr>
      <w:r>
        <w:lastRenderedPageBreak/>
        <w:t>validity to be addressed (Yin, 20014). Sources of data included; documents,</w:t>
      </w:r>
      <w:r>
        <w:rPr>
          <w:spacing w:val="-1"/>
        </w:rPr>
        <w:t xml:space="preserve"> </w:t>
      </w:r>
      <w:r>
        <w:t>interviews, photographs, audio recordings, social media and researcher field</w:t>
      </w:r>
      <w:r>
        <w:rPr>
          <w:spacing w:val="-1"/>
        </w:rPr>
        <w:t xml:space="preserve"> </w:t>
      </w:r>
      <w:r>
        <w:t>notes.</w:t>
      </w:r>
    </w:p>
    <w:p w:rsidR="00E63685" w:rsidRDefault="00E63685">
      <w:pPr>
        <w:spacing w:before="2"/>
        <w:rPr>
          <w:rFonts w:ascii="Calibri" w:eastAsia="Calibri" w:hAnsi="Calibri" w:cs="Calibri"/>
          <w:sz w:val="19"/>
          <w:szCs w:val="19"/>
        </w:rPr>
      </w:pPr>
    </w:p>
    <w:p w:rsidR="00E63685" w:rsidRDefault="005E5916">
      <w:pPr>
        <w:pStyle w:val="BodyText"/>
        <w:spacing w:line="360" w:lineRule="auto"/>
        <w:ind w:right="296"/>
      </w:pPr>
      <w:r>
        <w:t>This case was a UK project run by a community development organisation</w:t>
      </w:r>
      <w:r>
        <w:rPr>
          <w:spacing w:val="-4"/>
        </w:rPr>
        <w:t xml:space="preserve"> </w:t>
      </w:r>
      <w:r>
        <w:t>which campaigns to reduce barriers to health and wellbeing. The aim of this project was</w:t>
      </w:r>
      <w:r>
        <w:rPr>
          <w:spacing w:val="-2"/>
        </w:rPr>
        <w:t xml:space="preserve"> </w:t>
      </w:r>
      <w:r>
        <w:t>to create a vision of a better food system for which community members and the wider organisation could campaign. This was based on a position that community members ha</w:t>
      </w:r>
      <w:r>
        <w:t>ve a right to be involved in deciding what kind of food system they have and that these decisions should not be left to those who hold power.</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212"/>
      </w:pPr>
      <w:r>
        <w:t>The project based its approach on a ‘Citizens’ Jury’ model (Crosby et al,</w:t>
      </w:r>
      <w:r>
        <w:rPr>
          <w:spacing w:val="-3"/>
        </w:rPr>
        <w:t xml:space="preserve"> </w:t>
      </w:r>
      <w:r>
        <w:t>1989). Residents from four disadvantage</w:t>
      </w:r>
      <w:r>
        <w:t>d local areas in the UK were invited to take part in</w:t>
      </w:r>
      <w:r>
        <w:rPr>
          <w:spacing w:val="-3"/>
        </w:rPr>
        <w:t xml:space="preserve"> </w:t>
      </w:r>
      <w:r>
        <w:t>a programme of eight deliberative meetings called ‘Inquiries’. The Inquiries began</w:t>
      </w:r>
      <w:r>
        <w:rPr>
          <w:spacing w:val="-2"/>
        </w:rPr>
        <w:t xml:space="preserve"> </w:t>
      </w:r>
      <w:r>
        <w:t>with participants identifying and discussing their concerns around food and barriers</w:t>
      </w:r>
      <w:r>
        <w:rPr>
          <w:spacing w:val="-1"/>
        </w:rPr>
        <w:t xml:space="preserve"> </w:t>
      </w:r>
      <w:r>
        <w:t>to healthy eating. These concerns i</w:t>
      </w:r>
      <w:r>
        <w:t>ncluded issues such as lack of access to fresh fruit and vegetables, poor cookery skills and too many fast food outlets in the local area. These concerns were prioritised by the group and a range of external people (known</w:t>
      </w:r>
      <w:r>
        <w:rPr>
          <w:spacing w:val="-1"/>
        </w:rPr>
        <w:t xml:space="preserve"> </w:t>
      </w:r>
      <w:r>
        <w:t>as ‘commentators’) with relevant e</w:t>
      </w:r>
      <w:r>
        <w:t>xpertise were invited to speak to the groups</w:t>
      </w:r>
      <w:r>
        <w:rPr>
          <w:spacing w:val="-1"/>
        </w:rPr>
        <w:t xml:space="preserve"> </w:t>
      </w:r>
      <w:r>
        <w:t>about these issues and why they exist. The project attempted to arrange for two commentators, with differing or opposing perspectives, to speak on each issue.</w:t>
      </w:r>
      <w:r>
        <w:rPr>
          <w:spacing w:val="-2"/>
        </w:rPr>
        <w:t xml:space="preserve"> </w:t>
      </w:r>
      <w:r>
        <w:t>This meant that in one session a representative from</w:t>
      </w:r>
      <w:r>
        <w:t xml:space="preserve"> a large supermarket chain might be speaking alongside a representative from a campaign group against supermarket monopolies. Participants were given an opportunity to prepare and pose questions</w:t>
      </w:r>
      <w:r>
        <w:rPr>
          <w:spacing w:val="-1"/>
        </w:rPr>
        <w:t xml:space="preserve"> </w:t>
      </w:r>
      <w:r>
        <w:t>to these commentators. Towards the end of this process the pa</w:t>
      </w:r>
      <w:r>
        <w:t>rticipants used</w:t>
      </w:r>
      <w:r>
        <w:rPr>
          <w:spacing w:val="-1"/>
        </w:rPr>
        <w:t xml:space="preserve"> </w:t>
      </w:r>
      <w:r>
        <w:t>their learning to develop a series of actions that they wanted to be taken forward locally or as part of a region-wide campaign to achieve change within the local food system.</w:t>
      </w:r>
    </w:p>
    <w:p w:rsidR="00E63685" w:rsidRDefault="005E5916">
      <w:pPr>
        <w:pStyle w:val="BodyText"/>
        <w:spacing w:line="362" w:lineRule="auto"/>
        <w:ind w:right="162"/>
      </w:pPr>
      <w:r>
        <w:t>Finally, a campaign weekend was organised which brought together</w:t>
      </w:r>
      <w:r>
        <w:t xml:space="preserve"> all of the Inquiries to develop a joint action plan for change.</w:t>
      </w:r>
    </w:p>
    <w:p w:rsidR="00E63685" w:rsidRDefault="00E63685">
      <w:pPr>
        <w:spacing w:before="2"/>
        <w:rPr>
          <w:rFonts w:ascii="Calibri" w:eastAsia="Calibri" w:hAnsi="Calibri" w:cs="Calibri"/>
          <w:sz w:val="19"/>
          <w:szCs w:val="19"/>
        </w:rPr>
      </w:pPr>
    </w:p>
    <w:p w:rsidR="00E63685" w:rsidRDefault="005E5916">
      <w:pPr>
        <w:pStyle w:val="BodyText"/>
        <w:spacing w:line="360" w:lineRule="auto"/>
        <w:ind w:right="192"/>
      </w:pPr>
      <w:r>
        <w:t>The project was run as part of a wider community development campaigning organisation and was managed and run by two key members of staff. The project was guided by an ‘Oversight Panel’, who</w:t>
      </w:r>
      <w:r>
        <w:t>se role it was to oversee the structure</w:t>
      </w:r>
      <w:r>
        <w:rPr>
          <w:spacing w:val="-2"/>
        </w:rPr>
        <w:t xml:space="preserve"> </w:t>
      </w:r>
      <w:r>
        <w:t>and management of the project. This consisted of decision makers and people of influence</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BodyText"/>
        <w:spacing w:before="48" w:line="360" w:lineRule="auto"/>
        <w:ind w:right="197"/>
      </w:pPr>
      <w:r>
        <w:lastRenderedPageBreak/>
        <w:t>in the local area. Also in place was a ‘Stakeholder Group’ made up of other</w:t>
      </w:r>
      <w:r>
        <w:rPr>
          <w:spacing w:val="-2"/>
        </w:rPr>
        <w:t xml:space="preserve"> </w:t>
      </w:r>
      <w:r>
        <w:t>people interested in improving th</w:t>
      </w:r>
      <w:r>
        <w:t>e food system. They were involved in supporting the project at a more practical level.</w:t>
      </w:r>
    </w:p>
    <w:p w:rsidR="00E63685" w:rsidRDefault="00E63685">
      <w:pPr>
        <w:spacing w:before="10"/>
        <w:rPr>
          <w:rFonts w:ascii="Calibri" w:eastAsia="Calibri" w:hAnsi="Calibri" w:cs="Calibri"/>
          <w:sz w:val="19"/>
          <w:szCs w:val="19"/>
        </w:rPr>
      </w:pPr>
    </w:p>
    <w:p w:rsidR="00E63685" w:rsidRDefault="005E5916">
      <w:pPr>
        <w:pStyle w:val="Heading1"/>
        <w:ind w:right="143"/>
        <w:rPr>
          <w:b w:val="0"/>
          <w:bCs w:val="0"/>
        </w:rPr>
      </w:pPr>
      <w:r>
        <w:t>Case</w:t>
      </w:r>
      <w:r>
        <w:rPr>
          <w:spacing w:val="-6"/>
        </w:rPr>
        <w:t xml:space="preserve"> </w:t>
      </w:r>
      <w:r>
        <w:t>study</w:t>
      </w:r>
      <w:r>
        <w:rPr>
          <w:spacing w:val="-7"/>
        </w:rPr>
        <w:t xml:space="preserve"> </w:t>
      </w:r>
      <w:r>
        <w:t>findings</w:t>
      </w:r>
      <w:r>
        <w:rPr>
          <w:spacing w:val="-6"/>
        </w:rPr>
        <w:t xml:space="preserve"> </w:t>
      </w:r>
      <w:r>
        <w:t>and</w:t>
      </w:r>
      <w:r>
        <w:rPr>
          <w:spacing w:val="-7"/>
        </w:rPr>
        <w:t xml:space="preserve"> </w:t>
      </w:r>
      <w:r>
        <w:t>their</w:t>
      </w:r>
      <w:r>
        <w:rPr>
          <w:spacing w:val="-6"/>
        </w:rPr>
        <w:t xml:space="preserve"> </w:t>
      </w:r>
      <w:r>
        <w:t>relevance</w:t>
      </w:r>
      <w:r>
        <w:rPr>
          <w:spacing w:val="-6"/>
        </w:rPr>
        <w:t xml:space="preserve"> </w:t>
      </w:r>
      <w:r>
        <w:t>for</w:t>
      </w:r>
      <w:r>
        <w:rPr>
          <w:spacing w:val="-6"/>
        </w:rPr>
        <w:t xml:space="preserve"> </w:t>
      </w:r>
      <w:r>
        <w:t>community</w:t>
      </w:r>
      <w:r>
        <w:rPr>
          <w:spacing w:val="-7"/>
        </w:rPr>
        <w:t xml:space="preserve"> </w:t>
      </w:r>
      <w:r>
        <w:t>development</w:t>
      </w:r>
    </w:p>
    <w:p w:rsidR="00E63685" w:rsidRDefault="00E63685">
      <w:pPr>
        <w:spacing w:before="5"/>
        <w:rPr>
          <w:rFonts w:ascii="Calibri" w:eastAsia="Calibri" w:hAnsi="Calibri" w:cs="Calibri"/>
          <w:b/>
          <w:bCs/>
          <w:sz w:val="31"/>
          <w:szCs w:val="31"/>
        </w:rPr>
      </w:pPr>
    </w:p>
    <w:p w:rsidR="00E63685" w:rsidRDefault="005E5916">
      <w:pPr>
        <w:pStyle w:val="BodyText"/>
        <w:spacing w:line="360" w:lineRule="auto"/>
        <w:ind w:right="128"/>
      </w:pPr>
      <w:r>
        <w:t>The case study data showed that the community development project successfully</w:t>
      </w:r>
      <w:r>
        <w:rPr>
          <w:spacing w:val="-2"/>
        </w:rPr>
        <w:t xml:space="preserve"> </w:t>
      </w:r>
      <w:r>
        <w:t>and</w:t>
      </w:r>
      <w:r>
        <w:t xml:space="preserve"> deliberatively worked to develop each of the six identified characteristics of</w:t>
      </w:r>
      <w:r>
        <w:rPr>
          <w:spacing w:val="-3"/>
        </w:rPr>
        <w:t xml:space="preserve"> </w:t>
      </w:r>
      <w:r>
        <w:t>critical health literacy (Sykes et al, 2013). The data outlined below illustrate the processes</w:t>
      </w:r>
      <w:r>
        <w:rPr>
          <w:spacing w:val="-6"/>
        </w:rPr>
        <w:t xml:space="preserve"> </w:t>
      </w:r>
      <w:r>
        <w:t>by which the project worked to develop each characteristic and explores the</w:t>
      </w:r>
      <w:r>
        <w:rPr>
          <w:spacing w:val="-1"/>
        </w:rPr>
        <w:t xml:space="preserve"> </w:t>
      </w:r>
      <w:r>
        <w:t>relat</w:t>
      </w:r>
      <w:r>
        <w:t>ionship and relevance to community development that is</w:t>
      </w:r>
      <w:r>
        <w:rPr>
          <w:spacing w:val="-1"/>
        </w:rPr>
        <w:t xml:space="preserve"> </w:t>
      </w:r>
      <w:r>
        <w:t>revealed.</w:t>
      </w:r>
    </w:p>
    <w:p w:rsidR="00E63685" w:rsidRDefault="00E63685">
      <w:pPr>
        <w:spacing w:before="10"/>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i/>
          <w:sz w:val="24"/>
        </w:rPr>
        <w:t>Advanced Personal and Social Skills</w:t>
      </w:r>
    </w:p>
    <w:p w:rsidR="00E63685" w:rsidRDefault="00E63685">
      <w:pPr>
        <w:spacing w:before="10"/>
        <w:rPr>
          <w:rFonts w:ascii="Calibri" w:eastAsia="Calibri" w:hAnsi="Calibri" w:cs="Calibri"/>
          <w:i/>
          <w:sz w:val="31"/>
          <w:szCs w:val="31"/>
        </w:rPr>
      </w:pPr>
    </w:p>
    <w:p w:rsidR="00E63685" w:rsidRDefault="005E5916">
      <w:pPr>
        <w:pStyle w:val="BodyText"/>
        <w:spacing w:line="360" w:lineRule="auto"/>
        <w:ind w:right="231"/>
      </w:pPr>
      <w:r>
        <w:t>One of the characteristics of critical health literacy is that of advanced personal</w:t>
      </w:r>
      <w:r>
        <w:rPr>
          <w:spacing w:val="-3"/>
        </w:rPr>
        <w:t xml:space="preserve"> </w:t>
      </w:r>
      <w:r>
        <w:t>and</w:t>
      </w:r>
      <w:r>
        <w:t xml:space="preserve"> social skills that enable people to engage in health- enhancing behaviours</w:t>
      </w:r>
      <w:r>
        <w:rPr>
          <w:spacing w:val="-2"/>
        </w:rPr>
        <w:t xml:space="preserve"> </w:t>
      </w:r>
      <w:r>
        <w:t>and dialogues. Data from the case study demonstrated that the development of advanced personal skills was seen as a priority for this project. Clusters of four distinct types of pe</w:t>
      </w:r>
      <w:r>
        <w:t>rsonal skills development emerged. The first related to how participants felt</w:t>
      </w:r>
      <w:r>
        <w:rPr>
          <w:spacing w:val="-1"/>
        </w:rPr>
        <w:t xml:space="preserve"> </w:t>
      </w:r>
      <w:r>
        <w:t>about themselves as individuals including self-esteem, and confidence. The second</w:t>
      </w:r>
      <w:r>
        <w:rPr>
          <w:spacing w:val="-1"/>
        </w:rPr>
        <w:t xml:space="preserve"> </w:t>
      </w:r>
      <w:r>
        <w:t xml:space="preserve">included those skills that related to participants’ ability to communicate to others. The third </w:t>
      </w:r>
      <w:r>
        <w:t>skills set related to how participants interact with others and build relationships</w:t>
      </w:r>
      <w:r>
        <w:rPr>
          <w:spacing w:val="-1"/>
        </w:rPr>
        <w:t xml:space="preserve"> </w:t>
      </w:r>
      <w:r>
        <w:t>and the final set included more formal organisation and planning skills.</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193"/>
      </w:pPr>
      <w:r>
        <w:t>Key to the ethos of the project was that the participants were valued as experts. They were descri</w:t>
      </w:r>
      <w:r>
        <w:t>bed as being experts within the food system and in particular in</w:t>
      </w:r>
      <w:r>
        <w:rPr>
          <w:spacing w:val="-2"/>
        </w:rPr>
        <w:t xml:space="preserve"> </w:t>
      </w:r>
      <w:r>
        <w:t>their knowledge of barriers to accessing healthy food, but they were seen as coming to the project with little formal power over the system. The way that participants were valued as experts w</w:t>
      </w:r>
      <w:r>
        <w:t>as seen as being directly related to an increase in their</w:t>
      </w:r>
      <w:r>
        <w:rPr>
          <w:spacing w:val="-3"/>
        </w:rPr>
        <w:t xml:space="preserve"> </w:t>
      </w:r>
      <w:r>
        <w:t>confidence, self worth and self-esteem. Confidence was identified as a theme in numerous</w:t>
      </w:r>
      <w:r>
        <w:rPr>
          <w:spacing w:val="-2"/>
        </w:rPr>
        <w:t xml:space="preserve"> </w:t>
      </w:r>
      <w:r>
        <w:t>pieces of data with many examples cited of participants becoming increasingly willing and able to participate</w:t>
      </w:r>
      <w:r>
        <w:t>, speak and act within the group. Participants</w:t>
      </w:r>
      <w:r>
        <w:rPr>
          <w:spacing w:val="-1"/>
        </w:rPr>
        <w:t xml:space="preserve"> </w:t>
      </w:r>
      <w:r>
        <w:t>themselves commented on their growing confidence and facilitators described a</w:t>
      </w:r>
      <w:r>
        <w:rPr>
          <w:spacing w:val="-1"/>
        </w:rPr>
        <w:t xml:space="preserve"> </w:t>
      </w:r>
      <w:r>
        <w:t>deliberate strategy of valuing the experiences and views of participants as a mechanism for</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BodyText"/>
        <w:spacing w:before="48"/>
        <w:ind w:right="143"/>
      </w:pPr>
      <w:r>
        <w:lastRenderedPageBreak/>
        <w:t>increasing their conf</w:t>
      </w:r>
      <w:r>
        <w:t>idence and ultimately their ability to</w:t>
      </w:r>
      <w:r>
        <w:rPr>
          <w:spacing w:val="-1"/>
        </w:rPr>
        <w:t xml:space="preserve"> </w:t>
      </w:r>
      <w:r>
        <w:t>act.</w:t>
      </w:r>
    </w:p>
    <w:p w:rsidR="00E63685" w:rsidRDefault="00E63685">
      <w:pPr>
        <w:spacing w:before="10"/>
        <w:rPr>
          <w:rFonts w:ascii="Calibri" w:eastAsia="Calibri" w:hAnsi="Calibri" w:cs="Calibri"/>
          <w:sz w:val="31"/>
          <w:szCs w:val="31"/>
        </w:rPr>
      </w:pPr>
    </w:p>
    <w:p w:rsidR="00E63685" w:rsidRDefault="005E5916">
      <w:pPr>
        <w:pStyle w:val="BodyText"/>
        <w:spacing w:line="360" w:lineRule="auto"/>
        <w:ind w:right="146"/>
      </w:pPr>
      <w:r>
        <w:t>The building of these personal skills and social skills and the increased confidence,</w:t>
      </w:r>
      <w:r>
        <w:rPr>
          <w:spacing w:val="-8"/>
        </w:rPr>
        <w:t xml:space="preserve"> </w:t>
      </w:r>
      <w:r>
        <w:t>self- esteem and self-efficacy that they lead to are key to community development.</w:t>
      </w:r>
      <w:r>
        <w:rPr>
          <w:spacing w:val="-1"/>
        </w:rPr>
        <w:t xml:space="preserve"> </w:t>
      </w:r>
      <w:r>
        <w:t>They are the foundation upon which autonom</w:t>
      </w:r>
      <w:r>
        <w:t>y and the confidence to act are based (Ledwith 2011) and the building of psychological empowerment amongst individuals has been shown to be a key strategy in building collective empowerment (Wallerstein, 2006). Without such personal autonomy and control, c</w:t>
      </w:r>
      <w:r>
        <w:t>ritical participation in society and collective action is weakened (Doyal and Gough,</w:t>
      </w:r>
      <w:r>
        <w:rPr>
          <w:spacing w:val="-2"/>
        </w:rPr>
        <w:t xml:space="preserve"> </w:t>
      </w:r>
      <w:r>
        <w:t>1991).</w:t>
      </w:r>
    </w:p>
    <w:p w:rsidR="00E63685" w:rsidRDefault="00E63685">
      <w:pPr>
        <w:spacing w:before="5"/>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i/>
          <w:sz w:val="24"/>
        </w:rPr>
        <w:t>Advanced Information and Analytical Skills</w:t>
      </w:r>
    </w:p>
    <w:p w:rsidR="00E63685" w:rsidRDefault="00E63685">
      <w:pPr>
        <w:spacing w:before="10"/>
        <w:rPr>
          <w:rFonts w:ascii="Calibri" w:eastAsia="Calibri" w:hAnsi="Calibri" w:cs="Calibri"/>
          <w:i/>
          <w:sz w:val="31"/>
          <w:szCs w:val="31"/>
        </w:rPr>
      </w:pPr>
    </w:p>
    <w:p w:rsidR="00E63685" w:rsidRDefault="005E5916">
      <w:pPr>
        <w:pStyle w:val="BodyText"/>
        <w:spacing w:line="360" w:lineRule="auto"/>
        <w:ind w:right="126"/>
      </w:pPr>
      <w:r>
        <w:t>The critical health literacy characteristic of advanced information and analytical</w:t>
      </w:r>
      <w:r>
        <w:rPr>
          <w:spacing w:val="-2"/>
        </w:rPr>
        <w:t xml:space="preserve"> </w:t>
      </w:r>
      <w:r>
        <w:t>skills can be broken down into a num</w:t>
      </w:r>
      <w:r>
        <w:t>ber of more specific skills including; a motivation and ability to acquire health information, the skills to manage that information, understand information, discriminate between sources and assess credibility and finally the</w:t>
      </w:r>
      <w:r>
        <w:rPr>
          <w:spacing w:val="23"/>
        </w:rPr>
        <w:t xml:space="preserve"> </w:t>
      </w:r>
      <w:r>
        <w:t>skills to critically analyse</w:t>
      </w:r>
      <w:r>
        <w:rPr>
          <w:spacing w:val="-1"/>
        </w:rPr>
        <w:t xml:space="preserve"> </w:t>
      </w:r>
      <w:r>
        <w:t>i</w:t>
      </w:r>
      <w:r>
        <w:t>nformation.</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141"/>
      </w:pPr>
      <w:r>
        <w:t>The project generated a great deal of information for participants and employed a number of strategies to develop participants’ skills in these areas. Exercises</w:t>
      </w:r>
      <w:r>
        <w:rPr>
          <w:spacing w:val="-4"/>
        </w:rPr>
        <w:t xml:space="preserve"> </w:t>
      </w:r>
      <w:r>
        <w:t>were</w:t>
      </w:r>
      <w:r>
        <w:t xml:space="preserve"> frequently used that involved capturing information and reorganising it into categories or priorities using visual mapping type techniques. Participants had the opportunity to learn specific technical skills related to managing information such as how to </w:t>
      </w:r>
      <w:r>
        <w:t>do a</w:t>
      </w:r>
      <w:r>
        <w:rPr>
          <w:spacing w:val="-1"/>
        </w:rPr>
        <w:t xml:space="preserve"> </w:t>
      </w:r>
      <w:r>
        <w:t>food audit to capture what different shops were charging for the same food.</w:t>
      </w:r>
      <w:r>
        <w:rPr>
          <w:spacing w:val="-2"/>
        </w:rPr>
        <w:t xml:space="preserve"> </w:t>
      </w:r>
      <w:r>
        <w:t>Such techniques are widely used in participation projects and participatory research and they work to address the address the inequalities in access to resources (Cornwall and</w:t>
      </w:r>
      <w:r>
        <w:t xml:space="preserve"> Jewkes, 1995). Using such techniques of mutual learning and analysis empowers people as agents who can think critically and investigate their own situations (Holkup, et al 2004), so creating a critical awareness of one’s own situation, an important stage </w:t>
      </w:r>
      <w:r>
        <w:t>in the  Freirean process of conscientisation (Freire,</w:t>
      </w:r>
      <w:r>
        <w:rPr>
          <w:spacing w:val="-1"/>
        </w:rPr>
        <w:t xml:space="preserve"> </w:t>
      </w:r>
      <w:r>
        <w:t>1971).</w:t>
      </w:r>
    </w:p>
    <w:p w:rsidR="00E63685" w:rsidRDefault="00E63685">
      <w:pPr>
        <w:spacing w:before="10"/>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i/>
          <w:sz w:val="24"/>
        </w:rPr>
        <w:t>Health Knowledge</w:t>
      </w:r>
    </w:p>
    <w:p w:rsidR="00E63685" w:rsidRDefault="00E63685">
      <w:pPr>
        <w:spacing w:before="7"/>
        <w:rPr>
          <w:rFonts w:ascii="Calibri" w:eastAsia="Calibri" w:hAnsi="Calibri" w:cs="Calibri"/>
          <w:i/>
          <w:sz w:val="23"/>
          <w:szCs w:val="23"/>
        </w:rPr>
      </w:pPr>
    </w:p>
    <w:p w:rsidR="00E63685" w:rsidRDefault="005E5916">
      <w:pPr>
        <w:pStyle w:val="BodyText"/>
        <w:spacing w:line="362" w:lineRule="auto"/>
        <w:ind w:right="411"/>
      </w:pPr>
      <w:r>
        <w:t>Related to the ability to access, understand and analyse information is the third characteristic of critical health literacy; that of having health knowledge. This</w:t>
      </w:r>
      <w:r>
        <w:rPr>
          <w:spacing w:val="-1"/>
        </w:rPr>
        <w:t xml:space="preserve"> </w:t>
      </w:r>
      <w:r>
        <w:t>theme</w:t>
      </w:r>
    </w:p>
    <w:p w:rsidR="00E63685" w:rsidRDefault="00E63685">
      <w:pPr>
        <w:spacing w:line="362" w:lineRule="auto"/>
        <w:sectPr w:rsidR="00E63685">
          <w:pgSz w:w="11900" w:h="16840"/>
          <w:pgMar w:top="1400" w:right="1020" w:bottom="940" w:left="1680" w:header="0" w:footer="750" w:gutter="0"/>
          <w:cols w:space="720"/>
        </w:sectPr>
      </w:pPr>
    </w:p>
    <w:p w:rsidR="00E63685" w:rsidRDefault="005E5916">
      <w:pPr>
        <w:pStyle w:val="BodyText"/>
        <w:spacing w:before="48" w:line="360" w:lineRule="auto"/>
        <w:ind w:right="143"/>
      </w:pPr>
      <w:r>
        <w:lastRenderedPageBreak/>
        <w:t>includes being informed of, and understanding, health issues, either one issue</w:t>
      </w:r>
      <w:r>
        <w:rPr>
          <w:spacing w:val="-3"/>
        </w:rPr>
        <w:t xml:space="preserve"> </w:t>
      </w:r>
      <w:r>
        <w:t>in</w:t>
      </w:r>
      <w:r>
        <w:t xml:space="preserve"> particular or health issues in general. This understanding includes having a familiarity with the language and jargon that may accompany different health issues.</w:t>
      </w:r>
      <w:r>
        <w:rPr>
          <w:spacing w:val="-1"/>
        </w:rPr>
        <w:t xml:space="preserve"> </w:t>
      </w:r>
      <w:r>
        <w:t>Increasing health knowledge was a secondary rather than primary aim of the project.</w:t>
      </w:r>
      <w:r>
        <w:rPr>
          <w:spacing w:val="-1"/>
        </w:rPr>
        <w:t xml:space="preserve"> </w:t>
      </w:r>
      <w:r>
        <w:t xml:space="preserve">However, </w:t>
      </w:r>
      <w:r>
        <w:t>there were opportunities to increase knowledge about health issues through</w:t>
      </w:r>
      <w:r>
        <w:rPr>
          <w:spacing w:val="-1"/>
        </w:rPr>
        <w:t xml:space="preserve"> </w:t>
      </w:r>
      <w:r>
        <w:t>the contributions of the health</w:t>
      </w:r>
      <w:r>
        <w:rPr>
          <w:spacing w:val="-2"/>
        </w:rPr>
        <w:t xml:space="preserve"> </w:t>
      </w:r>
      <w:r>
        <w:t>commentators.</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214"/>
      </w:pPr>
      <w:r>
        <w:t>Learning processes and knowledge generation is central to many community development initiatives. Cranton (2006) uses Habermas’s criti</w:t>
      </w:r>
      <w:r>
        <w:t>cal theory to offer a framework of knowledge that drives transformational learning within community development. This includes three types of knowledge; technical, practical</w:t>
      </w:r>
      <w:r>
        <w:rPr>
          <w:spacing w:val="-1"/>
        </w:rPr>
        <w:t xml:space="preserve"> </w:t>
      </w:r>
      <w:r>
        <w:t>and emancipatory. While factual or technical knowledge gain is important, the comm</w:t>
      </w:r>
      <w:r>
        <w:t>unity development goals of social mobilization and action for change will only be achieved when this type of knowledge is accompanied by the acquisition of</w:t>
      </w:r>
      <w:r>
        <w:rPr>
          <w:spacing w:val="-1"/>
        </w:rPr>
        <w:t xml:space="preserve"> </w:t>
      </w:r>
      <w:r>
        <w:t>emancipatory knowledge (Westoby and Shevellar 2012) which allows for critical reflection on the soci</w:t>
      </w:r>
      <w:r>
        <w:t>al and political context. While this case study showed technical learning on issues such as healthy eating, salt content and obesity to have occurred,, this took</w:t>
      </w:r>
      <w:r>
        <w:rPr>
          <w:spacing w:val="-1"/>
        </w:rPr>
        <w:t xml:space="preserve"> </w:t>
      </w:r>
      <w:r>
        <w:t>place within a framework of more emancipatory knowledge acquisition which explored these issue</w:t>
      </w:r>
      <w:r>
        <w:t>s within the social and political contexts of issues such as food labelling, food policy food distribution systems and supermarket power.</w:t>
      </w:r>
    </w:p>
    <w:p w:rsidR="00E63685" w:rsidRDefault="00E63685">
      <w:pPr>
        <w:spacing w:before="10"/>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i/>
          <w:sz w:val="24"/>
        </w:rPr>
        <w:t>Effective Interaction between Services and Individuals.</w:t>
      </w:r>
    </w:p>
    <w:p w:rsidR="00E63685" w:rsidRDefault="00E63685">
      <w:pPr>
        <w:spacing w:before="5"/>
        <w:rPr>
          <w:rFonts w:ascii="Calibri" w:eastAsia="Calibri" w:hAnsi="Calibri" w:cs="Calibri"/>
          <w:i/>
          <w:sz w:val="31"/>
          <w:szCs w:val="31"/>
        </w:rPr>
      </w:pPr>
    </w:p>
    <w:p w:rsidR="00E63685" w:rsidRDefault="005E5916">
      <w:pPr>
        <w:pStyle w:val="BodyText"/>
        <w:spacing w:line="360" w:lineRule="auto"/>
        <w:ind w:right="210"/>
      </w:pPr>
      <w:r>
        <w:t>This characteristic relates to the relationship between serv</w:t>
      </w:r>
      <w:r>
        <w:t>ices and individuals and</w:t>
      </w:r>
      <w:r>
        <w:rPr>
          <w:spacing w:val="-5"/>
        </w:rPr>
        <w:t xml:space="preserve"> </w:t>
      </w:r>
      <w:r>
        <w:t>an ability to interact effectively. This involves an ability to navigate services but beyond this to advocate and articulate oneself confidently when communicating with a health professional and where necessary question or challeng</w:t>
      </w:r>
      <w:r>
        <w:t>e a professional in a constructive way. This level of effective interaction is not only dependent on the skills of the individual but also on the skills of the</w:t>
      </w:r>
      <w:r>
        <w:rPr>
          <w:spacing w:val="-2"/>
        </w:rPr>
        <w:t xml:space="preserve"> </w:t>
      </w:r>
      <w:r>
        <w:t>professional.</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239"/>
      </w:pPr>
      <w:r>
        <w:t>The skill set developed through this characteristic of critical health literacy i</w:t>
      </w:r>
      <w:r>
        <w:t>s an example of the acquisition of the second type of knowledge from Habermas’s framework described above; practical knowledge. This form of knowledge is based</w:t>
      </w:r>
      <w:r>
        <w:rPr>
          <w:spacing w:val="-1"/>
        </w:rPr>
        <w:t xml:space="preserve"> </w:t>
      </w:r>
      <w:r>
        <w:t>on</w:t>
      </w:r>
    </w:p>
    <w:p w:rsidR="00E63685" w:rsidRDefault="00E63685">
      <w:pPr>
        <w:spacing w:line="360" w:lineRule="auto"/>
        <w:sectPr w:rsidR="00E63685">
          <w:footerReference w:type="default" r:id="rId9"/>
          <w:pgSz w:w="11900" w:h="16840"/>
          <w:pgMar w:top="1400" w:right="1020" w:bottom="940" w:left="1680" w:header="0" w:footer="750" w:gutter="0"/>
          <w:cols w:space="720"/>
        </w:sectPr>
      </w:pPr>
    </w:p>
    <w:p w:rsidR="00E63685" w:rsidRDefault="005E5916">
      <w:pPr>
        <w:pStyle w:val="BodyText"/>
        <w:spacing w:before="48" w:line="360" w:lineRule="auto"/>
        <w:ind w:right="220"/>
      </w:pPr>
      <w:r>
        <w:lastRenderedPageBreak/>
        <w:t>our need to understand each other through the language we use and to recognize the interpretative processes that operate through communication and is significant in effective collective action (Westoby and Shevellar</w:t>
      </w:r>
      <w:r>
        <w:rPr>
          <w:spacing w:val="-3"/>
        </w:rPr>
        <w:t xml:space="preserve"> </w:t>
      </w:r>
      <w:r>
        <w:t>2012).</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121"/>
      </w:pPr>
      <w:r>
        <w:t>The very experience of coming together as part of a community project meant that participants gained an increased awareness of local resources such as the local Healthy Living Centre and the Locality Worker. The use of expert commentators to come</w:t>
      </w:r>
      <w:r>
        <w:rPr>
          <w:spacing w:val="-1"/>
        </w:rPr>
        <w:t xml:space="preserve"> </w:t>
      </w:r>
      <w:r>
        <w:t>and speak</w:t>
      </w:r>
      <w:r>
        <w:t xml:space="preserve"> to the group was a further route through which participants gained an increased awareness of the services available. Alongside an awareness of services was</w:t>
      </w:r>
      <w:r>
        <w:rPr>
          <w:spacing w:val="-4"/>
        </w:rPr>
        <w:t xml:space="preserve"> </w:t>
      </w:r>
      <w:r>
        <w:t>an increased understanding of what the services do and the systems within which</w:t>
      </w:r>
      <w:r>
        <w:rPr>
          <w:spacing w:val="-2"/>
        </w:rPr>
        <w:t xml:space="preserve"> </w:t>
      </w:r>
      <w:r>
        <w:t>those services oper</w:t>
      </w:r>
      <w:r>
        <w:t>ate. One important outcome of this process was that services</w:t>
      </w:r>
      <w:r>
        <w:rPr>
          <w:spacing w:val="-2"/>
        </w:rPr>
        <w:t xml:space="preserve"> </w:t>
      </w:r>
      <w:r>
        <w:t>became more humanised, generating an element of</w:t>
      </w:r>
      <w:r>
        <w:rPr>
          <w:spacing w:val="-1"/>
        </w:rPr>
        <w:t xml:space="preserve"> </w:t>
      </w:r>
      <w:r>
        <w:t>trust.</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104"/>
      </w:pPr>
      <w:r>
        <w:t xml:space="preserve">During the interaction with services, participants were encouraged to develop skills in considering and asking questions. Questioning went </w:t>
      </w:r>
      <w:r>
        <w:t>beyond asking for information</w:t>
      </w:r>
      <w:r>
        <w:rPr>
          <w:spacing w:val="-1"/>
        </w:rPr>
        <w:t xml:space="preserve"> </w:t>
      </w:r>
      <w:r>
        <w:t>and clarity, to a more critical level. The questioning of motives, credibility and reliability became almost normalised within the group and became part of how the commentators were</w:t>
      </w:r>
      <w:r>
        <w:rPr>
          <w:spacing w:val="-2"/>
        </w:rPr>
        <w:t xml:space="preserve"> </w:t>
      </w:r>
      <w:r>
        <w:t>received.</w:t>
      </w:r>
    </w:p>
    <w:p w:rsidR="00E63685" w:rsidRDefault="00E63685">
      <w:pPr>
        <w:spacing w:before="3"/>
        <w:rPr>
          <w:rFonts w:ascii="Calibri" w:eastAsia="Calibri" w:hAnsi="Calibri" w:cs="Calibri"/>
          <w:sz w:val="20"/>
          <w:szCs w:val="20"/>
        </w:rPr>
      </w:pPr>
    </w:p>
    <w:p w:rsidR="00E63685" w:rsidRDefault="005E5916">
      <w:pPr>
        <w:ind w:left="585" w:right="143"/>
        <w:rPr>
          <w:rFonts w:ascii="Calibri" w:eastAsia="Calibri" w:hAnsi="Calibri" w:cs="Calibri"/>
          <w:sz w:val="24"/>
          <w:szCs w:val="24"/>
        </w:rPr>
      </w:pPr>
      <w:r>
        <w:rPr>
          <w:rFonts w:ascii="Calibri"/>
          <w:i/>
          <w:sz w:val="24"/>
        </w:rPr>
        <w:t>Informed decision making</w:t>
      </w:r>
    </w:p>
    <w:p w:rsidR="00E63685" w:rsidRDefault="00E63685">
      <w:pPr>
        <w:spacing w:before="7"/>
        <w:rPr>
          <w:rFonts w:ascii="Calibri" w:eastAsia="Calibri" w:hAnsi="Calibri" w:cs="Calibri"/>
          <w:i/>
          <w:sz w:val="23"/>
          <w:szCs w:val="23"/>
        </w:rPr>
      </w:pPr>
    </w:p>
    <w:p w:rsidR="00E63685" w:rsidRDefault="005E5916">
      <w:pPr>
        <w:pStyle w:val="BodyText"/>
        <w:spacing w:line="360" w:lineRule="auto"/>
        <w:ind w:right="137"/>
      </w:pPr>
      <w:r>
        <w:t>The fif</w:t>
      </w:r>
      <w:r>
        <w:t>th characteristic of critical health literacy is the ability to</w:t>
      </w:r>
      <w:r>
        <w:rPr>
          <w:spacing w:val="-3"/>
        </w:rPr>
        <w:t xml:space="preserve"> </w:t>
      </w:r>
      <w:r>
        <w:t>contextualise information, apply it to one’s own situation, judge risk, act on information and thus share the decision making with health professionals. Working with participants to</w:t>
      </w:r>
      <w:r>
        <w:rPr>
          <w:spacing w:val="-1"/>
        </w:rPr>
        <w:t xml:space="preserve"> </w:t>
      </w:r>
      <w:r>
        <w:t xml:space="preserve">the point </w:t>
      </w:r>
      <w:r>
        <w:t>where they are able to make informed decisions based on a range</w:t>
      </w:r>
      <w:r>
        <w:rPr>
          <w:spacing w:val="-1"/>
        </w:rPr>
        <w:t xml:space="preserve"> </w:t>
      </w:r>
      <w:r>
        <w:t>of perspectives was a  key aim of the project. Having an opportunity and time to</w:t>
      </w:r>
      <w:r>
        <w:rPr>
          <w:spacing w:val="-2"/>
        </w:rPr>
        <w:t xml:space="preserve"> </w:t>
      </w:r>
      <w:r>
        <w:t>reflect on information and explore it with peers occurred both formally and informally.</w:t>
      </w:r>
      <w:r>
        <w:rPr>
          <w:spacing w:val="-1"/>
        </w:rPr>
        <w:t xml:space="preserve"> </w:t>
      </w:r>
      <w:r>
        <w:t>The structured processe</w:t>
      </w:r>
      <w:r>
        <w:t>s implemented by the project meant that participants were taken, as a group, through a staged process of decision making that went from receiving information, identifying recommendations about what should be done,</w:t>
      </w:r>
      <w:r>
        <w:rPr>
          <w:spacing w:val="-1"/>
        </w:rPr>
        <w:t xml:space="preserve"> </w:t>
      </w:r>
      <w:r>
        <w:t>prioritising these recommendations and fin</w:t>
      </w:r>
      <w:r>
        <w:t>ally voting on the best course of action. This meant the decision making process was informed and clear but was very much about making decisions at a collective rather than individual level. Democratic processes of</w:t>
      </w:r>
      <w:r>
        <w:rPr>
          <w:spacing w:val="-2"/>
        </w:rPr>
        <w:t xml:space="preserve"> </w:t>
      </w:r>
      <w:r>
        <w:t>collective decision making and their cont</w:t>
      </w:r>
      <w:r>
        <w:t>ribution to full citizenship lie at the heart of community</w:t>
      </w:r>
    </w:p>
    <w:p w:rsidR="00E63685" w:rsidRDefault="00E63685">
      <w:pPr>
        <w:spacing w:line="360" w:lineRule="auto"/>
        <w:sectPr w:rsidR="00E63685">
          <w:footerReference w:type="default" r:id="rId10"/>
          <w:pgSz w:w="11900" w:h="16840"/>
          <w:pgMar w:top="1400" w:right="1020" w:bottom="940" w:left="1680" w:header="0" w:footer="750" w:gutter="0"/>
          <w:pgNumType w:start="11"/>
          <w:cols w:space="720"/>
        </w:sectPr>
      </w:pPr>
    </w:p>
    <w:p w:rsidR="00E63685" w:rsidRDefault="005E5916">
      <w:pPr>
        <w:pStyle w:val="BodyText"/>
        <w:spacing w:before="48"/>
        <w:ind w:right="143"/>
      </w:pPr>
      <w:r>
        <w:lastRenderedPageBreak/>
        <w:t>development values (Gilchrist and Taylor, 2011).</w:t>
      </w:r>
    </w:p>
    <w:p w:rsidR="00E63685" w:rsidRDefault="00E63685">
      <w:pPr>
        <w:spacing w:before="10"/>
        <w:rPr>
          <w:rFonts w:ascii="Calibri" w:eastAsia="Calibri" w:hAnsi="Calibri" w:cs="Calibri"/>
          <w:sz w:val="31"/>
          <w:szCs w:val="31"/>
        </w:rPr>
      </w:pPr>
    </w:p>
    <w:p w:rsidR="00E63685" w:rsidRDefault="005E5916">
      <w:pPr>
        <w:ind w:left="585" w:right="143"/>
        <w:rPr>
          <w:rFonts w:ascii="Calibri" w:eastAsia="Calibri" w:hAnsi="Calibri" w:cs="Calibri"/>
          <w:sz w:val="24"/>
          <w:szCs w:val="24"/>
        </w:rPr>
      </w:pPr>
      <w:r>
        <w:rPr>
          <w:rFonts w:ascii="Calibri"/>
          <w:i/>
          <w:sz w:val="24"/>
        </w:rPr>
        <w:t>Empowerment and Political Action</w:t>
      </w:r>
    </w:p>
    <w:p w:rsidR="00E63685" w:rsidRDefault="00E63685">
      <w:pPr>
        <w:spacing w:before="5"/>
        <w:rPr>
          <w:rFonts w:ascii="Calibri" w:eastAsia="Calibri" w:hAnsi="Calibri" w:cs="Calibri"/>
          <w:i/>
          <w:sz w:val="31"/>
          <w:szCs w:val="31"/>
        </w:rPr>
      </w:pPr>
    </w:p>
    <w:p w:rsidR="00E63685" w:rsidRDefault="005E5916">
      <w:pPr>
        <w:pStyle w:val="BodyText"/>
        <w:spacing w:line="360" w:lineRule="auto"/>
        <w:ind w:right="121"/>
      </w:pPr>
      <w:r>
        <w:t>An important characteristic of critical health literacy can be broadly described</w:t>
      </w:r>
      <w:r>
        <w:rPr>
          <w:spacing w:val="-2"/>
        </w:rPr>
        <w:t xml:space="preserve"> </w:t>
      </w:r>
      <w:r>
        <w:t>as empowerment and political action. Within this, a critically health literate individual</w:t>
      </w:r>
      <w:r>
        <w:rPr>
          <w:spacing w:val="-1"/>
        </w:rPr>
        <w:t xml:space="preserve"> </w:t>
      </w:r>
      <w:r>
        <w:t>or community has an understanding of the determinants and the policy context of healt</w:t>
      </w:r>
      <w:r>
        <w:t>h, an understanding of opportunities to challenge these determinants and policy and</w:t>
      </w:r>
      <w:r>
        <w:rPr>
          <w:spacing w:val="-1"/>
        </w:rPr>
        <w:t xml:space="preserve"> </w:t>
      </w:r>
      <w:r>
        <w:t>the motivation to act at a political and social level. This reflects the critical awareness</w:t>
      </w:r>
      <w:r>
        <w:rPr>
          <w:spacing w:val="-1"/>
        </w:rPr>
        <w:t xml:space="preserve"> </w:t>
      </w:r>
      <w:r>
        <w:t>that comes from the conscientisation process that form the basis of Freire’s cri</w:t>
      </w:r>
      <w:r>
        <w:t>tical pedagogy and which is central to community development. The movement</w:t>
      </w:r>
      <w:r>
        <w:rPr>
          <w:spacing w:val="3"/>
        </w:rPr>
        <w:t xml:space="preserve"> </w:t>
      </w:r>
      <w:r>
        <w:t>from</w:t>
      </w:r>
      <w:r>
        <w:rPr>
          <w:spacing w:val="-1"/>
        </w:rPr>
        <w:t xml:space="preserve"> </w:t>
      </w:r>
      <w:r>
        <w:t>critical reflection to collective political and social action to address injustices is the core goal of community development and clearly emerges from this characteristic of cr</w:t>
      </w:r>
      <w:r>
        <w:t>itical health literacy (Gilchrist and Taylor, 2011).</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99"/>
      </w:pPr>
      <w:r>
        <w:t>The project fully embraced these elements and made explicit that its aim was</w:t>
      </w:r>
      <w:r>
        <w:rPr>
          <w:spacing w:val="-2"/>
        </w:rPr>
        <w:t xml:space="preserve"> </w:t>
      </w:r>
      <w:r>
        <w:t>to empower individuals and communities through a programme of community engagement. This sought to address, through action at</w:t>
      </w:r>
      <w:r>
        <w:t xml:space="preserve"> a political level, inequalities and injustices in health with particular reference to the barriers to healthy eating that</w:t>
      </w:r>
      <w:r>
        <w:rPr>
          <w:spacing w:val="-1"/>
        </w:rPr>
        <w:t xml:space="preserve"> </w:t>
      </w:r>
      <w:r>
        <w:t>exist in disadvantaged communities.</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183"/>
      </w:pPr>
      <w:r>
        <w:t>An important part of this process was the consideration of power. The project aims included a commitment to address power imbalances through the community engagement process and activities were undertaken to explore what power was</w:t>
      </w:r>
      <w:r>
        <w:rPr>
          <w:spacing w:val="-2"/>
        </w:rPr>
        <w:t xml:space="preserve"> </w:t>
      </w:r>
      <w:r>
        <w:t>held by different stakeho</w:t>
      </w:r>
      <w:r>
        <w:t>lders. Identifying areas for possible change was a</w:t>
      </w:r>
      <w:r>
        <w:rPr>
          <w:spacing w:val="-2"/>
        </w:rPr>
        <w:t xml:space="preserve"> </w:t>
      </w:r>
      <w:r>
        <w:t>structured process which involved all of the participants. This resulted in a lengthy list of areas which the groups then went on to prioritise through a voting system. The result of</w:t>
      </w:r>
      <w:r>
        <w:rPr>
          <w:spacing w:val="-2"/>
        </w:rPr>
        <w:t xml:space="preserve"> </w:t>
      </w:r>
      <w:r>
        <w:t>this prioritisation pr</w:t>
      </w:r>
      <w:r>
        <w:t>ocess was that a set of recommendations were agreed that the participants wanted to see taken forward. Some of these recommendations were taken on by the campaigning remit of the wider hosting organisation and some</w:t>
      </w:r>
      <w:r>
        <w:rPr>
          <w:spacing w:val="-2"/>
        </w:rPr>
        <w:t xml:space="preserve"> </w:t>
      </w:r>
      <w:r>
        <w:t>were taken on by the community members th</w:t>
      </w:r>
      <w:r>
        <w:t>emselves. Offering a level of on-going</w:t>
      </w:r>
      <w:r>
        <w:rPr>
          <w:spacing w:val="-2"/>
        </w:rPr>
        <w:t xml:space="preserve"> </w:t>
      </w:r>
      <w:r>
        <w:t>support to the participants in implementing changes was seen as important and unique from other deliberative</w:t>
      </w:r>
      <w:r>
        <w:rPr>
          <w:spacing w:val="-1"/>
        </w:rPr>
        <w:t xml:space="preserve"> </w:t>
      </w:r>
      <w:r>
        <w:t>processes.</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BodyText"/>
        <w:spacing w:before="48" w:line="360" w:lineRule="auto"/>
        <w:ind w:right="123"/>
      </w:pPr>
      <w:r>
        <w:lastRenderedPageBreak/>
        <w:t>Numerous examples were given of participants continuing, after the end of the</w:t>
      </w:r>
      <w:r>
        <w:rPr>
          <w:spacing w:val="-7"/>
        </w:rPr>
        <w:t xml:space="preserve"> </w:t>
      </w:r>
      <w:r>
        <w:t>f</w:t>
      </w:r>
      <w:r>
        <w:t>ormal project life, to work for change both as a collective and as individuals. Examples ranged from community level initiatives such as the setting up of a food co-op and</w:t>
      </w:r>
      <w:r>
        <w:rPr>
          <w:spacing w:val="-1"/>
        </w:rPr>
        <w:t xml:space="preserve"> </w:t>
      </w:r>
      <w:r>
        <w:t>community</w:t>
      </w:r>
      <w:r>
        <w:t xml:space="preserve"> cookery classes, to organising petitions, lobbying MPs, and working with local</w:t>
      </w:r>
      <w:r>
        <w:rPr>
          <w:spacing w:val="-2"/>
        </w:rPr>
        <w:t xml:space="preserve"> </w:t>
      </w:r>
      <w:r>
        <w:t>planning departments and takeaway owners. The result was described by project facilitators</w:t>
      </w:r>
      <w:r>
        <w:rPr>
          <w:spacing w:val="9"/>
        </w:rPr>
        <w:t xml:space="preserve"> </w:t>
      </w:r>
      <w:r>
        <w:t>as a shift from a collective of local individuals to a movement of local activists pu</w:t>
      </w:r>
      <w:r>
        <w:t>shing for change at a local, regional and national</w:t>
      </w:r>
      <w:r>
        <w:rPr>
          <w:spacing w:val="-1"/>
        </w:rPr>
        <w:t xml:space="preserve"> </w:t>
      </w:r>
      <w:r>
        <w:t>level.</w:t>
      </w:r>
    </w:p>
    <w:p w:rsidR="00E63685" w:rsidRDefault="00E63685">
      <w:pPr>
        <w:spacing w:before="10"/>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i/>
          <w:sz w:val="24"/>
        </w:rPr>
        <w:t>A Learned and Movable</w:t>
      </w:r>
      <w:r>
        <w:rPr>
          <w:rFonts w:ascii="Calibri"/>
          <w:i/>
          <w:spacing w:val="-2"/>
          <w:sz w:val="24"/>
        </w:rPr>
        <w:t xml:space="preserve"> </w:t>
      </w:r>
      <w:r>
        <w:rPr>
          <w:rFonts w:ascii="Calibri"/>
          <w:i/>
          <w:sz w:val="24"/>
        </w:rPr>
        <w:t>state</w:t>
      </w:r>
    </w:p>
    <w:p w:rsidR="00E63685" w:rsidRDefault="00E63685">
      <w:pPr>
        <w:spacing w:before="5"/>
        <w:rPr>
          <w:rFonts w:ascii="Calibri" w:eastAsia="Calibri" w:hAnsi="Calibri" w:cs="Calibri"/>
          <w:i/>
          <w:sz w:val="31"/>
          <w:szCs w:val="31"/>
        </w:rPr>
      </w:pPr>
    </w:p>
    <w:p w:rsidR="00E63685" w:rsidRDefault="005E5916">
      <w:pPr>
        <w:pStyle w:val="BodyText"/>
        <w:spacing w:line="360" w:lineRule="auto"/>
        <w:ind w:right="230"/>
      </w:pPr>
      <w:r>
        <w:t>This final characteristic of critical health literacy refers to it as an asset that is</w:t>
      </w:r>
      <w:r>
        <w:rPr>
          <w:spacing w:val="-3"/>
        </w:rPr>
        <w:t xml:space="preserve"> </w:t>
      </w:r>
      <w:r>
        <w:t>learned rather than inherent. As such, it represents something that is not static</w:t>
      </w:r>
      <w:r>
        <w:t xml:space="preserve"> but which</w:t>
      </w:r>
      <w:r>
        <w:rPr>
          <w:spacing w:val="-1"/>
        </w:rPr>
        <w:t xml:space="preserve"> </w:t>
      </w:r>
      <w:r>
        <w:t>can increase or decrease with time and according to different health issues (Sykes et al 2013). The project represented a learning process, as does community</w:t>
      </w:r>
      <w:r>
        <w:rPr>
          <w:spacing w:val="-1"/>
        </w:rPr>
        <w:t xml:space="preserve"> </w:t>
      </w:r>
      <w:r>
        <w:t>development, and was designed to increase the critical health literacy of participants.</w:t>
      </w:r>
      <w:r>
        <w:t xml:space="preserve"> As such,</w:t>
      </w:r>
      <w:r>
        <w:rPr>
          <w:spacing w:val="-4"/>
        </w:rPr>
        <w:t xml:space="preserve"> </w:t>
      </w:r>
      <w:r>
        <w:t>it represents a position that critical health literacy is learnt and can be developed rather than being inherent.</w:t>
      </w:r>
    </w:p>
    <w:p w:rsidR="00E63685" w:rsidRDefault="00E63685">
      <w:pPr>
        <w:rPr>
          <w:rFonts w:ascii="Calibri" w:eastAsia="Calibri" w:hAnsi="Calibri" w:cs="Calibri"/>
          <w:sz w:val="24"/>
          <w:szCs w:val="24"/>
        </w:rPr>
      </w:pPr>
    </w:p>
    <w:p w:rsidR="00E63685" w:rsidRDefault="00E63685">
      <w:pPr>
        <w:rPr>
          <w:rFonts w:ascii="Calibri" w:eastAsia="Calibri" w:hAnsi="Calibri" w:cs="Calibri"/>
          <w:sz w:val="24"/>
          <w:szCs w:val="24"/>
        </w:rPr>
      </w:pPr>
    </w:p>
    <w:p w:rsidR="00E63685" w:rsidRDefault="00E63685">
      <w:pPr>
        <w:spacing w:before="3"/>
        <w:rPr>
          <w:rFonts w:ascii="Calibri" w:eastAsia="Calibri" w:hAnsi="Calibri" w:cs="Calibri"/>
          <w:sz w:val="27"/>
          <w:szCs w:val="27"/>
        </w:rPr>
      </w:pPr>
    </w:p>
    <w:p w:rsidR="00E63685" w:rsidRDefault="005E5916">
      <w:pPr>
        <w:pStyle w:val="Heading1"/>
        <w:ind w:right="143"/>
        <w:rPr>
          <w:b w:val="0"/>
          <w:bCs w:val="0"/>
        </w:rPr>
      </w:pPr>
      <w:r>
        <w:t>Discussion</w:t>
      </w:r>
    </w:p>
    <w:p w:rsidR="00E63685" w:rsidRDefault="00E63685">
      <w:pPr>
        <w:spacing w:before="5"/>
        <w:rPr>
          <w:rFonts w:ascii="Calibri" w:eastAsia="Calibri" w:hAnsi="Calibri" w:cs="Calibri"/>
          <w:b/>
          <w:bCs/>
          <w:sz w:val="31"/>
          <w:szCs w:val="31"/>
        </w:rPr>
      </w:pPr>
    </w:p>
    <w:p w:rsidR="00E63685" w:rsidRDefault="005E5916">
      <w:pPr>
        <w:pStyle w:val="BodyText"/>
        <w:spacing w:line="360" w:lineRule="auto"/>
        <w:ind w:right="114"/>
      </w:pPr>
      <w:r>
        <w:t xml:space="preserve">A critically health literate community is one that has the personal, social, information and analytical skills along </w:t>
      </w:r>
      <w:r>
        <w:t>with health knowledge, that allows for informed</w:t>
      </w:r>
      <w:r>
        <w:rPr>
          <w:spacing w:val="-1"/>
        </w:rPr>
        <w:t xml:space="preserve"> </w:t>
      </w:r>
      <w:r>
        <w:t>decision making and action around factors that impact on a community’s health and well being (Sykes et al 2013). The sampling processes ensured that the project chosen was</w:t>
      </w:r>
      <w:r>
        <w:rPr>
          <w:spacing w:val="-2"/>
        </w:rPr>
        <w:t xml:space="preserve"> </w:t>
      </w:r>
      <w:r>
        <w:t xml:space="preserve">one that identified itself as being </w:t>
      </w:r>
      <w:r>
        <w:t>a community development initiative and indeed from</w:t>
      </w:r>
      <w:r>
        <w:rPr>
          <w:spacing w:val="-4"/>
        </w:rPr>
        <w:t xml:space="preserve"> </w:t>
      </w:r>
      <w:r>
        <w:t>the analysis of the case study it can be seen that its goals are to work collectively and interact with services and decision makers to challenge unjust determinants of health and work towards collective c</w:t>
      </w:r>
      <w:r>
        <w:t>hange. In this, it is possible to see a kinship with the</w:t>
      </w:r>
      <w:r>
        <w:rPr>
          <w:spacing w:val="-1"/>
        </w:rPr>
        <w:t xml:space="preserve"> </w:t>
      </w:r>
      <w:r>
        <w:t>goals of community development. Community Development has been described as</w:t>
      </w:r>
      <w:r>
        <w:rPr>
          <w:spacing w:val="20"/>
        </w:rPr>
        <w:t xml:space="preserve"> </w:t>
      </w:r>
      <w:r>
        <w:t>having an ‘ambiguous nature’ (Craig et al, 2011 p7) but common across definitions is that it is an approach that seeks to a</w:t>
      </w:r>
      <w:r>
        <w:t>chieve greater levels of social justice, with</w:t>
      </w:r>
      <w:r>
        <w:rPr>
          <w:spacing w:val="-1"/>
        </w:rPr>
        <w:t xml:space="preserve"> </w:t>
      </w:r>
      <w:r>
        <w:t>communities themselves identifying issues and priorities and working together towards a collective</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BodyText"/>
        <w:spacing w:before="48" w:line="360" w:lineRule="auto"/>
        <w:ind w:right="719"/>
      </w:pPr>
      <w:r>
        <w:lastRenderedPageBreak/>
        <w:t>solution (Gilchrist and Taylor, 2011; Popple, 2015; IACD, 2016). In developing the characteri</w:t>
      </w:r>
      <w:r>
        <w:t>stics of critical health literacy, this project has pursued these</w:t>
      </w:r>
      <w:r>
        <w:rPr>
          <w:spacing w:val="-1"/>
        </w:rPr>
        <w:t xml:space="preserve"> </w:t>
      </w:r>
      <w:r>
        <w:t>same ambitions.</w:t>
      </w:r>
    </w:p>
    <w:p w:rsidR="00E63685" w:rsidRDefault="00E63685">
      <w:pPr>
        <w:spacing w:before="12"/>
        <w:rPr>
          <w:rFonts w:ascii="Calibri" w:eastAsia="Calibri" w:hAnsi="Calibri" w:cs="Calibri"/>
          <w:sz w:val="35"/>
          <w:szCs w:val="35"/>
        </w:rPr>
      </w:pPr>
    </w:p>
    <w:p w:rsidR="00E63685" w:rsidRDefault="005E5916">
      <w:pPr>
        <w:pStyle w:val="BodyText"/>
        <w:spacing w:line="360" w:lineRule="auto"/>
        <w:ind w:right="269"/>
      </w:pPr>
      <w:r>
        <w:t>Not only do their goals align but the processes of community development are also shown by this case study to be relevant in the building of critical health literacy. This project uses participatory and emancipatory processes that echo those of</w:t>
      </w:r>
      <w:r>
        <w:rPr>
          <w:spacing w:val="-6"/>
        </w:rPr>
        <w:t xml:space="preserve"> </w:t>
      </w:r>
      <w:r>
        <w:t>community d</w:t>
      </w:r>
      <w:r>
        <w:t>evelopment of: working to help communities to understand their shared situation through critical consciousness-raising, of developing a questioning approach to</w:t>
      </w:r>
      <w:r>
        <w:rPr>
          <w:spacing w:val="-1"/>
        </w:rPr>
        <w:t xml:space="preserve"> </w:t>
      </w:r>
      <w:r>
        <w:t>their every day situation, of using dialogue to identify the causes of that experience</w:t>
      </w:r>
      <w:r>
        <w:rPr>
          <w:spacing w:val="-1"/>
        </w:rPr>
        <w:t xml:space="preserve"> </w:t>
      </w:r>
      <w:r>
        <w:t>and organ</w:t>
      </w:r>
      <w:r>
        <w:t>ising transformative action to address injustices (Gilchrist and Taylor, 2011).</w:t>
      </w:r>
    </w:p>
    <w:p w:rsidR="00E63685" w:rsidRDefault="00E63685">
      <w:pPr>
        <w:spacing w:before="5"/>
        <w:rPr>
          <w:rFonts w:ascii="Calibri" w:eastAsia="Calibri" w:hAnsi="Calibri" w:cs="Calibri"/>
          <w:sz w:val="19"/>
          <w:szCs w:val="19"/>
        </w:rPr>
      </w:pPr>
    </w:p>
    <w:p w:rsidR="00E63685" w:rsidRDefault="005E5916">
      <w:pPr>
        <w:pStyle w:val="BodyText"/>
        <w:spacing w:line="360" w:lineRule="auto"/>
        <w:ind w:right="142"/>
      </w:pPr>
      <w:r>
        <w:t>Despite this clear relationship between critical health literacy and community development the project did not use the term critical health literacy. The</w:t>
      </w:r>
      <w:r>
        <w:rPr>
          <w:spacing w:val="-1"/>
        </w:rPr>
        <w:t xml:space="preserve"> </w:t>
      </w:r>
      <w:r>
        <w:t>project</w:t>
      </w:r>
      <w:r>
        <w:t xml:space="preserve"> workers were aware of the concept and saw their work as being closely aligned to it, but did not use the term. In demonstrating the relevance of the concept to</w:t>
      </w:r>
      <w:r>
        <w:rPr>
          <w:spacing w:val="-1"/>
        </w:rPr>
        <w:t xml:space="preserve"> </w:t>
      </w:r>
      <w:r>
        <w:t>community development the question is why critical health literacy is not explicitly</w:t>
      </w:r>
      <w:r>
        <w:rPr>
          <w:spacing w:val="-2"/>
        </w:rPr>
        <w:t xml:space="preserve"> </w:t>
      </w:r>
      <w:r>
        <w:t>embraced w</w:t>
      </w:r>
      <w:r>
        <w:t>ithin the field of community development. Nutbeam (2000) in his original presentation of critical health literacy, identified links between health literacy, education and community development, and yet subsequent academic</w:t>
      </w:r>
      <w:r>
        <w:rPr>
          <w:spacing w:val="-1"/>
        </w:rPr>
        <w:t xml:space="preserve"> </w:t>
      </w:r>
      <w:r>
        <w:t>commentary has not referred to com</w:t>
      </w:r>
      <w:r>
        <w:t>munity development. Instead, discussions around health literacy have been dominated by a focus on functional interpretations that link low literacy and numeracy with poor health outcomes. The critical and political aspects</w:t>
      </w:r>
      <w:r>
        <w:rPr>
          <w:spacing w:val="-1"/>
        </w:rPr>
        <w:t xml:space="preserve"> </w:t>
      </w:r>
      <w:r>
        <w:t>of health literacy haven’t gained</w:t>
      </w:r>
      <w:r>
        <w:t xml:space="preserve"> the same currency (Sykes et al, 2013).</w:t>
      </w:r>
    </w:p>
    <w:p w:rsidR="00E63685" w:rsidRDefault="00E63685">
      <w:pPr>
        <w:spacing w:before="7"/>
        <w:rPr>
          <w:rFonts w:ascii="Calibri" w:eastAsia="Calibri" w:hAnsi="Calibri" w:cs="Calibri"/>
          <w:sz w:val="24"/>
          <w:szCs w:val="24"/>
        </w:rPr>
      </w:pPr>
    </w:p>
    <w:p w:rsidR="00E63685" w:rsidRDefault="005E5916">
      <w:pPr>
        <w:pStyle w:val="BodyText"/>
        <w:spacing w:line="360" w:lineRule="auto"/>
        <w:ind w:right="123"/>
      </w:pPr>
      <w:r>
        <w:t>Possible explanations for the absence of critical health literacy in</w:t>
      </w:r>
      <w:r>
        <w:rPr>
          <w:spacing w:val="-1"/>
        </w:rPr>
        <w:t xml:space="preserve"> </w:t>
      </w:r>
      <w:r>
        <w:t>community development discourse are that there is too little theoretical basis for critical</w:t>
      </w:r>
      <w:r>
        <w:rPr>
          <w:spacing w:val="-3"/>
        </w:rPr>
        <w:t xml:space="preserve"> </w:t>
      </w:r>
      <w:r>
        <w:t xml:space="preserve">health literacy to inform the complex pathways of the </w:t>
      </w:r>
      <w:r>
        <w:t>community development process</w:t>
      </w:r>
      <w:r>
        <w:rPr>
          <w:spacing w:val="-1"/>
        </w:rPr>
        <w:t xml:space="preserve"> </w:t>
      </w:r>
      <w:r>
        <w:t>or simply because the concept is too new. The lack of operationalisation of the concept in any field of practice means that the processes for developing critical health</w:t>
      </w:r>
      <w:r>
        <w:rPr>
          <w:spacing w:val="-1"/>
        </w:rPr>
        <w:t xml:space="preserve"> </w:t>
      </w:r>
      <w:r>
        <w:t>literacy have previously not been closely examined.</w:t>
      </w:r>
    </w:p>
    <w:p w:rsidR="00E63685" w:rsidRDefault="00E63685">
      <w:pPr>
        <w:spacing w:before="10"/>
        <w:rPr>
          <w:rFonts w:ascii="Calibri" w:eastAsia="Calibri" w:hAnsi="Calibri" w:cs="Calibri"/>
          <w:sz w:val="19"/>
          <w:szCs w:val="19"/>
        </w:rPr>
      </w:pPr>
    </w:p>
    <w:p w:rsidR="00E63685" w:rsidRDefault="005E5916">
      <w:pPr>
        <w:pStyle w:val="BodyText"/>
        <w:ind w:right="143"/>
      </w:pPr>
      <w:r>
        <w:t>A fu</w:t>
      </w:r>
      <w:r>
        <w:t>rther explanation however, could be the continued silo-mentality that</w:t>
      </w:r>
      <w:r>
        <w:rPr>
          <w:spacing w:val="-7"/>
        </w:rPr>
        <w:t xml:space="preserve"> </w:t>
      </w:r>
      <w:r>
        <w:t>exists</w:t>
      </w:r>
    </w:p>
    <w:p w:rsidR="00E63685" w:rsidRDefault="00E63685">
      <w:pPr>
        <w:sectPr w:rsidR="00E63685">
          <w:pgSz w:w="11900" w:h="16840"/>
          <w:pgMar w:top="1400" w:right="1020" w:bottom="940" w:left="1680" w:header="0" w:footer="750" w:gutter="0"/>
          <w:cols w:space="720"/>
        </w:sectPr>
      </w:pPr>
    </w:p>
    <w:p w:rsidR="00E63685" w:rsidRDefault="005E5916">
      <w:pPr>
        <w:pStyle w:val="BodyText"/>
        <w:spacing w:before="48" w:line="360" w:lineRule="auto"/>
        <w:ind w:right="120"/>
      </w:pPr>
      <w:r>
        <w:lastRenderedPageBreak/>
        <w:t>around health and health care and community development’s limited</w:t>
      </w:r>
      <w:r>
        <w:rPr>
          <w:spacing w:val="5"/>
        </w:rPr>
        <w:t xml:space="preserve"> </w:t>
      </w:r>
      <w:r>
        <w:t>engagement with the health sector. Despite attempts at a local and national policy level</w:t>
      </w:r>
      <w:r>
        <w:rPr>
          <w:spacing w:val="-2"/>
        </w:rPr>
        <w:t xml:space="preserve"> </w:t>
      </w:r>
      <w:r>
        <w:t>to enc</w:t>
      </w:r>
      <w:r>
        <w:t>ourage cross sector working (Baggott, 2010) the tendency to see health as a “</w:t>
      </w:r>
      <w:r>
        <w:rPr>
          <w:rFonts w:cs="Calibri"/>
          <w:i/>
        </w:rPr>
        <w:t xml:space="preserve">narrowly defined organisational and policy sector” </w:t>
      </w:r>
      <w:r>
        <w:t>(Hunter, 2008, p173)</w:t>
      </w:r>
      <w:r>
        <w:rPr>
          <w:spacing w:val="-1"/>
        </w:rPr>
        <w:t xml:space="preserve"> </w:t>
      </w:r>
      <w:r>
        <w:t>remains dominant. Community development, despite its contribution to health</w:t>
      </w:r>
      <w:r>
        <w:rPr>
          <w:spacing w:val="-2"/>
        </w:rPr>
        <w:t xml:space="preserve"> </w:t>
      </w:r>
      <w:r>
        <w:t>outcomes (Gregson and Court, 20</w:t>
      </w:r>
      <w:r>
        <w:t xml:space="preserve">10; Woodall </w:t>
      </w:r>
      <w:r>
        <w:rPr>
          <w:rFonts w:cs="Calibri"/>
          <w:i/>
        </w:rPr>
        <w:t>et al</w:t>
      </w:r>
      <w:r>
        <w:t>, 2010; HELP, 2011; Eden and Lowndes, 2013), has been used most commonly by Local Authority and voluntary agencies but has</w:t>
      </w:r>
      <w:r>
        <w:rPr>
          <w:spacing w:val="-1"/>
        </w:rPr>
        <w:t xml:space="preserve"> </w:t>
      </w:r>
      <w:r>
        <w:t>far weaker links with the health sector (Chanan, 2013). Chanan argues that where it</w:t>
      </w:r>
      <w:r>
        <w:rPr>
          <w:spacing w:val="-1"/>
        </w:rPr>
        <w:t xml:space="preserve"> </w:t>
      </w:r>
      <w:r>
        <w:t>has been used by the health sect</w:t>
      </w:r>
      <w:r>
        <w:t>or, it has often been regarded as a “</w:t>
      </w:r>
      <w:r>
        <w:rPr>
          <w:rFonts w:cs="Calibri"/>
          <w:i/>
        </w:rPr>
        <w:t>marginal public</w:t>
      </w:r>
      <w:r>
        <w:rPr>
          <w:rFonts w:cs="Calibri"/>
          <w:i/>
          <w:spacing w:val="-1"/>
        </w:rPr>
        <w:t xml:space="preserve"> </w:t>
      </w:r>
      <w:r>
        <w:rPr>
          <w:rFonts w:cs="Calibri"/>
          <w:i/>
        </w:rPr>
        <w:t xml:space="preserve">health technique” </w:t>
      </w:r>
      <w:r>
        <w:t>(Chanan, 2013, p3). Where community development has found a place</w:t>
      </w:r>
      <w:r>
        <w:rPr>
          <w:spacing w:val="-1"/>
        </w:rPr>
        <w:t xml:space="preserve"> </w:t>
      </w:r>
      <w:r>
        <w:t>in health policy, for example under the Labour Government 1997-2010, where a host</w:t>
      </w:r>
      <w:r>
        <w:rPr>
          <w:spacing w:val="-4"/>
        </w:rPr>
        <w:t xml:space="preserve"> </w:t>
      </w:r>
      <w:r>
        <w:t>of</w:t>
      </w:r>
      <w:r>
        <w:t xml:space="preserve"> community based health policies and initiatives were enacted, concern was raised that this undermined the true and radical element of community development. This, some claim, resulted in government delivered through communities rather than</w:t>
      </w:r>
      <w:r>
        <w:rPr>
          <w:spacing w:val="-10"/>
        </w:rPr>
        <w:t xml:space="preserve"> </w:t>
      </w:r>
      <w:r>
        <w:t>government deli</w:t>
      </w:r>
      <w:r>
        <w:t>vered by communities making community development simply an arm of</w:t>
      </w:r>
      <w:r>
        <w:rPr>
          <w:spacing w:val="-5"/>
        </w:rPr>
        <w:t xml:space="preserve"> </w:t>
      </w:r>
      <w:r>
        <w:t>policy implementations (Shaw, 2005).</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312"/>
      </w:pPr>
      <w:r>
        <w:t>It is also possible that critical health literacy has not found a place within community development because of its overlap with concepts that are alre</w:t>
      </w:r>
      <w:r>
        <w:t>ady established in</w:t>
      </w:r>
      <w:r>
        <w:rPr>
          <w:spacing w:val="-1"/>
        </w:rPr>
        <w:t xml:space="preserve"> </w:t>
      </w:r>
      <w:r>
        <w:t>the field. Health activism, for example, which involves action on a particular health</w:t>
      </w:r>
      <w:r>
        <w:rPr>
          <w:spacing w:val="-3"/>
        </w:rPr>
        <w:t xml:space="preserve"> </w:t>
      </w:r>
      <w:r>
        <w:t>cause (Laverack, 2013) may well share many of the characteristics of critical health</w:t>
      </w:r>
      <w:r>
        <w:rPr>
          <w:spacing w:val="-1"/>
        </w:rPr>
        <w:t xml:space="preserve"> </w:t>
      </w:r>
      <w:r>
        <w:t>literacy, particularly around political action on health issues su</w:t>
      </w:r>
      <w:r>
        <w:t>ch as access to anti</w:t>
      </w:r>
      <w:r>
        <w:rPr>
          <w:spacing w:val="-2"/>
        </w:rPr>
        <w:t xml:space="preserve"> </w:t>
      </w:r>
      <w:r>
        <w:t>retroviral treatment or mental health services. However, critical health literacy is a</w:t>
      </w:r>
      <w:r>
        <w:rPr>
          <w:spacing w:val="-1"/>
        </w:rPr>
        <w:t xml:space="preserve"> </w:t>
      </w:r>
      <w:r>
        <w:t>unique concept formed of a distinct set of characteristics (Chinn, 2011). It places a premium on information and analytical skills and these are not</w:t>
      </w:r>
      <w:r>
        <w:t xml:space="preserve"> highlighted in definitions</w:t>
      </w:r>
      <w:r>
        <w:rPr>
          <w:spacing w:val="-1"/>
        </w:rPr>
        <w:t xml:space="preserve"> </w:t>
      </w:r>
      <w:r>
        <w:t>of activism.</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right="285"/>
      </w:pPr>
      <w:r>
        <w:t>Despite the challenges facing the operationalisation of critical health literacy within the field of community development or elsewhere, explicit attempts to build</w:t>
      </w:r>
      <w:r>
        <w:rPr>
          <w:spacing w:val="-1"/>
        </w:rPr>
        <w:t xml:space="preserve"> </w:t>
      </w:r>
      <w:r>
        <w:t xml:space="preserve">critical health literacy could offer an important </w:t>
      </w:r>
      <w:r>
        <w:t>strategy for addressing key public</w:t>
      </w:r>
      <w:r>
        <w:rPr>
          <w:spacing w:val="-2"/>
        </w:rPr>
        <w:t xml:space="preserve"> </w:t>
      </w:r>
      <w:r>
        <w:t>health issues. Obesity, for example, is commonly addressed by behaviour change or</w:t>
      </w:r>
      <w:r>
        <w:rPr>
          <w:spacing w:val="-1"/>
        </w:rPr>
        <w:t xml:space="preserve"> </w:t>
      </w:r>
      <w:r>
        <w:t>through top down structural changes such as taxation. A focus on advanced information skills and a collective understanding of the determin</w:t>
      </w:r>
      <w:r>
        <w:t>ants of obesity could be</w:t>
      </w:r>
      <w:r>
        <w:rPr>
          <w:spacing w:val="-1"/>
        </w:rPr>
        <w:t xml:space="preserve"> </w:t>
      </w:r>
      <w:r>
        <w:t>empowering</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BodyText"/>
        <w:spacing w:before="48" w:line="360" w:lineRule="auto"/>
        <w:ind w:right="129"/>
      </w:pPr>
      <w:r>
        <w:lastRenderedPageBreak/>
        <w:t>for communities and result in transformative action for change. This can be seen in the case study described and in other community led initiatives such as the Mountains against Macdonalds group’s actio</w:t>
      </w:r>
      <w:r>
        <w:t>n in the Blue Hills in Australia (McIntyre, 2013).</w:t>
      </w:r>
      <w:r>
        <w:rPr>
          <w:spacing w:val="-1"/>
        </w:rPr>
        <w:t xml:space="preserve"> </w:t>
      </w:r>
      <w:r>
        <w:t xml:space="preserve">Such action has the potential to form the basis of positive health outcomes and when undertaken amongst those communities experiencing inequalities can offer opportunities for their voices to be heard and </w:t>
      </w:r>
      <w:r>
        <w:t>for social injustices to be</w:t>
      </w:r>
      <w:r>
        <w:rPr>
          <w:spacing w:val="-1"/>
        </w:rPr>
        <w:t xml:space="preserve"> </w:t>
      </w:r>
      <w:r>
        <w:t>challenged.</w:t>
      </w:r>
    </w:p>
    <w:p w:rsidR="00E63685" w:rsidRDefault="00E63685">
      <w:pPr>
        <w:spacing w:before="12"/>
        <w:rPr>
          <w:rFonts w:ascii="Calibri" w:eastAsia="Calibri" w:hAnsi="Calibri" w:cs="Calibri"/>
          <w:sz w:val="35"/>
          <w:szCs w:val="35"/>
        </w:rPr>
      </w:pPr>
    </w:p>
    <w:p w:rsidR="00E63685" w:rsidRDefault="005E5916">
      <w:pPr>
        <w:pStyle w:val="BodyText"/>
        <w:spacing w:line="360" w:lineRule="auto"/>
        <w:ind w:right="129"/>
      </w:pPr>
      <w:r>
        <w:t>Encouraging the field of community development to embrace the concept of critical health literacy could create a route for working more closely with the health sector. Community development is a field that is well u</w:t>
      </w:r>
      <w:r>
        <w:t>sed to falling in and out of favour amongst policy makers (Shaw, 2011) and Popple (2015) is confident that community development is well able to continue its vital work outside the direct remit of</w:t>
      </w:r>
      <w:r>
        <w:rPr>
          <w:spacing w:val="34"/>
        </w:rPr>
        <w:t xml:space="preserve"> </w:t>
      </w:r>
      <w:r>
        <w:t>the state. However, current economic pressures result in se</w:t>
      </w:r>
      <w:r>
        <w:t>rious implications for the</w:t>
      </w:r>
      <w:r>
        <w:rPr>
          <w:spacing w:val="-1"/>
        </w:rPr>
        <w:t xml:space="preserve"> </w:t>
      </w:r>
      <w:r>
        <w:t>field not least following the closure of the Community Development Foundation after fifty years as a public body (Pavee Point, 2013; Crowley, 2012). The field of community development in the UK has made a recent co-ordinated effo</w:t>
      </w:r>
      <w:r>
        <w:t>rt to be more</w:t>
      </w:r>
      <w:r>
        <w:rPr>
          <w:spacing w:val="-1"/>
        </w:rPr>
        <w:t xml:space="preserve"> </w:t>
      </w:r>
      <w:r>
        <w:t>fully recognised and utilised by the health sector. A Charter for Community</w:t>
      </w:r>
      <w:r>
        <w:rPr>
          <w:spacing w:val="-1"/>
        </w:rPr>
        <w:t xml:space="preserve"> </w:t>
      </w:r>
      <w:r>
        <w:t>Development (NHS Alliance 2014), developed under the umbrella of the NHS Alliance and Health Empowerment Leverage Project, formally called on national and local healt</w:t>
      </w:r>
      <w:r>
        <w:t>h bodies to use community development to improve health outcomes. Community development</w:t>
      </w:r>
      <w:r>
        <w:rPr>
          <w:spacing w:val="-1"/>
        </w:rPr>
        <w:t xml:space="preserve"> </w:t>
      </w:r>
      <w:r>
        <w:t>is explicitly identified as a competence for community health workers (PHE, 2016)</w:t>
      </w:r>
      <w:r>
        <w:rPr>
          <w:spacing w:val="-1"/>
        </w:rPr>
        <w:t xml:space="preserve"> </w:t>
      </w:r>
      <w:r>
        <w:t>and Public Health England calls for place-based approaches that draw on all the assets</w:t>
      </w:r>
      <w:r>
        <w:rPr>
          <w:spacing w:val="-3"/>
        </w:rPr>
        <w:t xml:space="preserve"> </w:t>
      </w:r>
      <w:r>
        <w:t>and resources of an area and builds resilience of communities in order to improve</w:t>
      </w:r>
      <w:r>
        <w:rPr>
          <w:spacing w:val="-1"/>
        </w:rPr>
        <w:t xml:space="preserve"> </w:t>
      </w:r>
      <w:r>
        <w:t>health and wellbeing for all and to reduce health inequalities (South,</w:t>
      </w:r>
      <w:r>
        <w:rPr>
          <w:spacing w:val="-1"/>
        </w:rPr>
        <w:t xml:space="preserve"> </w:t>
      </w:r>
      <w:r>
        <w:t>2015).</w:t>
      </w:r>
    </w:p>
    <w:p w:rsidR="00E63685" w:rsidRDefault="00E63685">
      <w:pPr>
        <w:spacing w:before="12"/>
        <w:rPr>
          <w:rFonts w:ascii="Calibri" w:eastAsia="Calibri" w:hAnsi="Calibri" w:cs="Calibri"/>
          <w:sz w:val="35"/>
          <w:szCs w:val="35"/>
        </w:rPr>
      </w:pPr>
    </w:p>
    <w:p w:rsidR="00E63685" w:rsidRDefault="005E5916">
      <w:pPr>
        <w:pStyle w:val="BodyText"/>
        <w:spacing w:line="360" w:lineRule="auto"/>
        <w:ind w:right="167"/>
      </w:pPr>
      <w:r>
        <w:t>Embracing and making explicit a link to the health literacy agenda through the development of critical health literacy could provide a useful entry point</w:t>
      </w:r>
      <w:r>
        <w:rPr>
          <w:spacing w:val="-2"/>
        </w:rPr>
        <w:t xml:space="preserve"> </w:t>
      </w:r>
      <w:r>
        <w:t>for community development into health. Critical health literacy exists within the large</w:t>
      </w:r>
      <w:r>
        <w:rPr>
          <w:spacing w:val="-1"/>
        </w:rPr>
        <w:t xml:space="preserve"> </w:t>
      </w:r>
      <w:r>
        <w:t>and establishe</w:t>
      </w:r>
      <w:r>
        <w:t>d health literacy movement (WHO 2016). By embracing critical</w:t>
      </w:r>
      <w:r>
        <w:rPr>
          <w:spacing w:val="-2"/>
        </w:rPr>
        <w:t xml:space="preserve"> </w:t>
      </w:r>
      <w:r>
        <w:t>health literacy, community development could potentially draw on the political will</w:t>
      </w:r>
      <w:r>
        <w:rPr>
          <w:spacing w:val="-1"/>
        </w:rPr>
        <w:t xml:space="preserve"> </w:t>
      </w:r>
      <w:r>
        <w:t xml:space="preserve">and capital that has been championed by the movement. The explicit element of empowerment and political action </w:t>
      </w:r>
      <w:r>
        <w:t>within critical health literacy would, at the same</w:t>
      </w:r>
    </w:p>
    <w:p w:rsidR="00E63685" w:rsidRDefault="00E63685">
      <w:pPr>
        <w:spacing w:line="360" w:lineRule="auto"/>
        <w:sectPr w:rsidR="00E63685">
          <w:pgSz w:w="11900" w:h="16840"/>
          <w:pgMar w:top="1400" w:right="1020" w:bottom="940" w:left="1680" w:header="0" w:footer="750" w:gutter="0"/>
          <w:cols w:space="720"/>
        </w:sectPr>
      </w:pPr>
    </w:p>
    <w:p w:rsidR="00E63685" w:rsidRDefault="005E5916">
      <w:pPr>
        <w:pStyle w:val="BodyText"/>
        <w:spacing w:before="48" w:line="362" w:lineRule="auto"/>
        <w:ind w:right="780"/>
      </w:pPr>
      <w:r>
        <w:lastRenderedPageBreak/>
        <w:t>time, ensure that this could be pursued while respecting the call to maintain</w:t>
      </w:r>
      <w:r>
        <w:rPr>
          <w:spacing w:val="-1"/>
        </w:rPr>
        <w:t xml:space="preserve"> </w:t>
      </w:r>
      <w:r>
        <w:t>the radical roots of community development (Ledwith,</w:t>
      </w:r>
      <w:r>
        <w:rPr>
          <w:spacing w:val="-1"/>
        </w:rPr>
        <w:t xml:space="preserve"> </w:t>
      </w:r>
      <w:r>
        <w:t>2015).</w:t>
      </w:r>
    </w:p>
    <w:p w:rsidR="00E63685" w:rsidRDefault="00E63685">
      <w:pPr>
        <w:spacing w:before="9"/>
        <w:rPr>
          <w:rFonts w:ascii="Calibri" w:eastAsia="Calibri" w:hAnsi="Calibri" w:cs="Calibri"/>
          <w:sz w:val="35"/>
          <w:szCs w:val="35"/>
        </w:rPr>
      </w:pPr>
    </w:p>
    <w:p w:rsidR="00E63685" w:rsidRDefault="005E5916">
      <w:pPr>
        <w:pStyle w:val="BodyText"/>
        <w:spacing w:line="360" w:lineRule="auto"/>
        <w:ind w:right="135"/>
      </w:pPr>
      <w:r>
        <w:t>Finally, a commitment to using community develop</w:t>
      </w:r>
      <w:r>
        <w:t>ment to achieve the Sustainable Development Goals (SDGs) (United Nations, 2015) has become central to the current community development dialogue (Howard and Wheeler, 2015a). The International Association for Community Development state that without communi</w:t>
      </w:r>
      <w:r>
        <w:t>ty development there is no sustainable development (IACD 2016) and community development is called on to engage with the SDGs to ensure they are truly transformative for</w:t>
      </w:r>
      <w:r>
        <w:rPr>
          <w:spacing w:val="-1"/>
        </w:rPr>
        <w:t xml:space="preserve"> </w:t>
      </w:r>
      <w:r>
        <w:t>those</w:t>
      </w:r>
      <w:r>
        <w:t xml:space="preserve"> living in greatest poverty (Howard and Wheeler, 2015b). In responding to this call, attention needs to be paid to the third SDG; “ensuring health and sustainable health and well being for all”. In considering how community development can best to</w:t>
      </w:r>
      <w:r>
        <w:rPr>
          <w:spacing w:val="-1"/>
        </w:rPr>
        <w:t xml:space="preserve"> </w:t>
      </w:r>
      <w:r>
        <w:t>work tow</w:t>
      </w:r>
      <w:r>
        <w:t>ards this, it should be noted that strengthening health literacy has been proposed by WHO (2016) as one of three priority action areas for health promotion to achieve this goal. This then offers a further reason for community development to consider</w:t>
      </w:r>
      <w:r>
        <w:rPr>
          <w:spacing w:val="-1"/>
        </w:rPr>
        <w:t xml:space="preserve"> </w:t>
      </w:r>
      <w:r>
        <w:t>the re</w:t>
      </w:r>
      <w:r>
        <w:t>levance of critical health literacy to the field.</w:t>
      </w:r>
    </w:p>
    <w:p w:rsidR="00E63685" w:rsidRDefault="00E63685">
      <w:pPr>
        <w:spacing w:before="12"/>
        <w:rPr>
          <w:rFonts w:ascii="Calibri" w:eastAsia="Calibri" w:hAnsi="Calibri" w:cs="Calibri"/>
          <w:sz w:val="35"/>
          <w:szCs w:val="35"/>
        </w:rPr>
      </w:pPr>
    </w:p>
    <w:p w:rsidR="00E63685" w:rsidRDefault="005E5916">
      <w:pPr>
        <w:pStyle w:val="BodyText"/>
        <w:spacing w:line="360" w:lineRule="auto"/>
        <w:ind w:right="149"/>
      </w:pPr>
      <w:r>
        <w:t>The use of an illustrative case study has offered the opportunity to examine in detail the processes used in developing each of the characteristics of critical health literacy. This provided a practice bas</w:t>
      </w:r>
      <w:r>
        <w:t>ed example from which to explore the broader</w:t>
      </w:r>
      <w:r>
        <w:rPr>
          <w:spacing w:val="-3"/>
        </w:rPr>
        <w:t xml:space="preserve"> </w:t>
      </w:r>
      <w:r>
        <w:t>community development theories and the insight they offer in understanding the potential</w:t>
      </w:r>
      <w:r>
        <w:rPr>
          <w:spacing w:val="-1"/>
        </w:rPr>
        <w:t xml:space="preserve"> </w:t>
      </w:r>
      <w:r>
        <w:t>role community development has to play in advancing critical health literacy . While</w:t>
      </w:r>
      <w:r>
        <w:rPr>
          <w:spacing w:val="-1"/>
        </w:rPr>
        <w:t xml:space="preserve"> </w:t>
      </w:r>
      <w:r>
        <w:t>a single rather than multiple case st</w:t>
      </w:r>
      <w:r>
        <w:t>udy approach was chosen, this allowed for the depth of analysis required to explore the complex process involved in delivering this</w:t>
      </w:r>
      <w:r>
        <w:rPr>
          <w:spacing w:val="-2"/>
        </w:rPr>
        <w:t xml:space="preserve"> </w:t>
      </w:r>
      <w:r>
        <w:t>project. A challenge of case study research is identifying an appropriate case (Yin, 2014) and this was a particular challen</w:t>
      </w:r>
      <w:r>
        <w:t>ge for this research for the reasons already discussed. One limitation of this research was that the chosen project had the development of</w:t>
      </w:r>
      <w:r>
        <w:rPr>
          <w:spacing w:val="-2"/>
        </w:rPr>
        <w:t xml:space="preserve"> </w:t>
      </w:r>
      <w:r>
        <w:t>health knowledge as a secondary rather than primary aim. However, the likelihood of</w:t>
      </w:r>
      <w:r>
        <w:rPr>
          <w:spacing w:val="-2"/>
        </w:rPr>
        <w:t xml:space="preserve"> </w:t>
      </w:r>
      <w:r>
        <w:t>finding a project that prioritise</w:t>
      </w:r>
      <w:r>
        <w:t>d the development of all the critical health</w:t>
      </w:r>
      <w:r>
        <w:rPr>
          <w:spacing w:val="-1"/>
        </w:rPr>
        <w:t xml:space="preserve"> </w:t>
      </w:r>
      <w:r>
        <w:t>literacy characteristics was unlikely given the limited number of interventions</w:t>
      </w:r>
      <w:r>
        <w:rPr>
          <w:spacing w:val="-1"/>
        </w:rPr>
        <w:t xml:space="preserve"> </w:t>
      </w:r>
      <w:r>
        <w:t>documented.</w:t>
      </w:r>
    </w:p>
    <w:p w:rsidR="00E63685" w:rsidRDefault="005E5916">
      <w:pPr>
        <w:pStyle w:val="BodyText"/>
        <w:spacing w:before="2" w:line="357" w:lineRule="auto"/>
        <w:ind w:right="225"/>
      </w:pPr>
      <w:r>
        <w:t>Despite the development of health knowledge being a secondary objective, there</w:t>
      </w:r>
      <w:r>
        <w:rPr>
          <w:spacing w:val="-1"/>
        </w:rPr>
        <w:t xml:space="preserve"> </w:t>
      </w:r>
      <w:r>
        <w:t>was sufficient attention given to this c</w:t>
      </w:r>
      <w:r>
        <w:t>haracteristic to extrapolate learning for</w:t>
      </w:r>
      <w:r>
        <w:rPr>
          <w:spacing w:val="-1"/>
        </w:rPr>
        <w:t xml:space="preserve"> </w:t>
      </w:r>
      <w:r>
        <w:t>future</w:t>
      </w:r>
    </w:p>
    <w:p w:rsidR="00E63685" w:rsidRDefault="00E63685">
      <w:pPr>
        <w:spacing w:line="357" w:lineRule="auto"/>
        <w:sectPr w:rsidR="00E63685">
          <w:pgSz w:w="11900" w:h="16840"/>
          <w:pgMar w:top="1400" w:right="1020" w:bottom="940" w:left="1680" w:header="0" w:footer="750" w:gutter="0"/>
          <w:cols w:space="720"/>
        </w:sectPr>
      </w:pPr>
    </w:p>
    <w:p w:rsidR="00E63685" w:rsidRDefault="005E5916">
      <w:pPr>
        <w:pStyle w:val="BodyText"/>
        <w:spacing w:before="48"/>
        <w:ind w:right="143"/>
      </w:pPr>
      <w:r>
        <w:lastRenderedPageBreak/>
        <w:t>interventions.</w:t>
      </w:r>
    </w:p>
    <w:p w:rsidR="00E63685" w:rsidRDefault="00E63685">
      <w:pPr>
        <w:rPr>
          <w:rFonts w:ascii="Calibri" w:eastAsia="Calibri" w:hAnsi="Calibri" w:cs="Calibri"/>
          <w:sz w:val="24"/>
          <w:szCs w:val="24"/>
        </w:rPr>
      </w:pPr>
    </w:p>
    <w:p w:rsidR="00E63685" w:rsidRDefault="00E63685">
      <w:pPr>
        <w:rPr>
          <w:rFonts w:ascii="Calibri" w:eastAsia="Calibri" w:hAnsi="Calibri" w:cs="Calibri"/>
          <w:sz w:val="24"/>
          <w:szCs w:val="24"/>
        </w:rPr>
      </w:pPr>
    </w:p>
    <w:p w:rsidR="00E63685" w:rsidRDefault="00E63685">
      <w:pPr>
        <w:rPr>
          <w:rFonts w:ascii="Calibri" w:eastAsia="Calibri" w:hAnsi="Calibri" w:cs="Calibri"/>
          <w:sz w:val="24"/>
          <w:szCs w:val="24"/>
        </w:rPr>
      </w:pPr>
    </w:p>
    <w:p w:rsidR="00E63685" w:rsidRDefault="00E63685">
      <w:pPr>
        <w:rPr>
          <w:rFonts w:ascii="Calibri" w:eastAsia="Calibri" w:hAnsi="Calibri" w:cs="Calibri"/>
          <w:sz w:val="24"/>
          <w:szCs w:val="24"/>
        </w:rPr>
      </w:pPr>
    </w:p>
    <w:p w:rsidR="00E63685" w:rsidRDefault="00E63685">
      <w:pPr>
        <w:spacing w:before="6"/>
        <w:rPr>
          <w:rFonts w:ascii="Calibri" w:eastAsia="Calibri" w:hAnsi="Calibri" w:cs="Calibri"/>
          <w:sz w:val="27"/>
          <w:szCs w:val="27"/>
        </w:rPr>
      </w:pPr>
    </w:p>
    <w:p w:rsidR="00E63685" w:rsidRDefault="005E5916">
      <w:pPr>
        <w:pStyle w:val="Heading1"/>
        <w:ind w:right="143"/>
        <w:rPr>
          <w:b w:val="0"/>
          <w:bCs w:val="0"/>
        </w:rPr>
      </w:pPr>
      <w:r>
        <w:t>Conclusion</w:t>
      </w:r>
    </w:p>
    <w:p w:rsidR="00E63685" w:rsidRDefault="00E63685">
      <w:pPr>
        <w:spacing w:before="5"/>
        <w:rPr>
          <w:rFonts w:ascii="Calibri" w:eastAsia="Calibri" w:hAnsi="Calibri" w:cs="Calibri"/>
          <w:b/>
          <w:bCs/>
          <w:sz w:val="31"/>
          <w:szCs w:val="31"/>
        </w:rPr>
      </w:pPr>
    </w:p>
    <w:p w:rsidR="00E63685" w:rsidRDefault="005E5916">
      <w:pPr>
        <w:pStyle w:val="BodyText"/>
        <w:spacing w:line="360" w:lineRule="auto"/>
        <w:ind w:right="133"/>
      </w:pPr>
      <w:r>
        <w:t>Building critical health literacy skills amongst individuals and communities could increase community influence over a range of determinants of health. Howev</w:t>
      </w:r>
      <w:r>
        <w:t>er, the lack of initiatives to build the concept means that this potential cannot be assessed. This illustrative case study shows a strong affinity between the goals and processes</w:t>
      </w:r>
      <w:r>
        <w:rPr>
          <w:spacing w:val="-2"/>
        </w:rPr>
        <w:t xml:space="preserve"> </w:t>
      </w:r>
      <w:r>
        <w:t>of community development and the characteristics of critical health literacy</w:t>
      </w:r>
      <w:r>
        <w:t xml:space="preserve"> and yet the concept has not found its way into the dialogue or practice of the field. It may be</w:t>
      </w:r>
      <w:r>
        <w:rPr>
          <w:spacing w:val="-1"/>
        </w:rPr>
        <w:t xml:space="preserve"> </w:t>
      </w:r>
      <w:r>
        <w:t>that the lack of operationalisation of critical health literacy is because it has not yet found its natural home and remains within the functionally focused ar</w:t>
      </w:r>
      <w:r>
        <w:t>ena of health. A more explicit adoption of the concept by the field of community development, may</w:t>
      </w:r>
      <w:r>
        <w:rPr>
          <w:spacing w:val="-1"/>
        </w:rPr>
        <w:t xml:space="preserve"> </w:t>
      </w:r>
      <w:r>
        <w:t>however offer it the opportunity to realize its potential.</w:t>
      </w:r>
    </w:p>
    <w:p w:rsidR="00E63685" w:rsidRDefault="00E63685">
      <w:pPr>
        <w:rPr>
          <w:rFonts w:ascii="Calibri" w:eastAsia="Calibri" w:hAnsi="Calibri" w:cs="Calibri"/>
          <w:sz w:val="24"/>
          <w:szCs w:val="24"/>
        </w:rPr>
      </w:pPr>
    </w:p>
    <w:p w:rsidR="00E63685" w:rsidRDefault="00E63685">
      <w:pPr>
        <w:rPr>
          <w:rFonts w:ascii="Calibri" w:eastAsia="Calibri" w:hAnsi="Calibri" w:cs="Calibri"/>
          <w:sz w:val="24"/>
          <w:szCs w:val="24"/>
        </w:rPr>
      </w:pPr>
    </w:p>
    <w:p w:rsidR="00E63685" w:rsidRDefault="00E63685">
      <w:pPr>
        <w:rPr>
          <w:rFonts w:ascii="Calibri" w:eastAsia="Calibri" w:hAnsi="Calibri" w:cs="Calibri"/>
          <w:sz w:val="24"/>
          <w:szCs w:val="24"/>
        </w:rPr>
      </w:pPr>
    </w:p>
    <w:p w:rsidR="00E63685" w:rsidRDefault="00E63685">
      <w:pPr>
        <w:rPr>
          <w:rFonts w:ascii="Calibri" w:eastAsia="Calibri" w:hAnsi="Calibri" w:cs="Calibri"/>
          <w:sz w:val="24"/>
          <w:szCs w:val="24"/>
        </w:rPr>
      </w:pPr>
    </w:p>
    <w:p w:rsidR="00E63685" w:rsidRDefault="00E63685">
      <w:pPr>
        <w:spacing w:before="1"/>
        <w:rPr>
          <w:rFonts w:ascii="Calibri" w:eastAsia="Calibri" w:hAnsi="Calibri" w:cs="Calibri"/>
          <w:sz w:val="35"/>
          <w:szCs w:val="35"/>
        </w:rPr>
      </w:pPr>
    </w:p>
    <w:p w:rsidR="00E63685" w:rsidRDefault="005E5916">
      <w:pPr>
        <w:pStyle w:val="Heading1"/>
        <w:ind w:right="143"/>
        <w:rPr>
          <w:b w:val="0"/>
          <w:bCs w:val="0"/>
        </w:rPr>
      </w:pPr>
      <w:r>
        <w:t>References:</w:t>
      </w:r>
    </w:p>
    <w:p w:rsidR="00E63685" w:rsidRDefault="005E5916">
      <w:pPr>
        <w:spacing w:before="66" w:line="682" w:lineRule="exact"/>
        <w:ind w:left="585" w:right="517"/>
        <w:rPr>
          <w:rFonts w:ascii="Calibri" w:eastAsia="Calibri" w:hAnsi="Calibri" w:cs="Calibri"/>
          <w:sz w:val="24"/>
          <w:szCs w:val="24"/>
        </w:rPr>
      </w:pPr>
      <w:r>
        <w:rPr>
          <w:rFonts w:ascii="Calibri"/>
          <w:sz w:val="24"/>
        </w:rPr>
        <w:t xml:space="preserve">Baggott, R. (2010). </w:t>
      </w:r>
      <w:r>
        <w:rPr>
          <w:rFonts w:ascii="Calibri"/>
          <w:i/>
          <w:sz w:val="24"/>
        </w:rPr>
        <w:t xml:space="preserve">Understanding Health Policy, </w:t>
      </w:r>
      <w:r>
        <w:rPr>
          <w:rFonts w:ascii="Calibri"/>
          <w:sz w:val="24"/>
        </w:rPr>
        <w:t>The Policy Press, Bristol.</w:t>
      </w:r>
      <w:r>
        <w:rPr>
          <w:rFonts w:ascii="Calibri"/>
          <w:spacing w:val="-6"/>
          <w:sz w:val="24"/>
        </w:rPr>
        <w:t xml:space="preserve"> </w:t>
      </w:r>
      <w:r>
        <w:rPr>
          <w:rFonts w:ascii="Calibri"/>
          <w:sz w:val="24"/>
        </w:rPr>
        <w:t xml:space="preserve">Chanan, G. (2013) </w:t>
      </w:r>
      <w:r>
        <w:rPr>
          <w:rFonts w:ascii="Calibri"/>
          <w:i/>
          <w:sz w:val="24"/>
        </w:rPr>
        <w:t>Community Development - improving population health</w:t>
      </w:r>
      <w:r>
        <w:rPr>
          <w:rFonts w:ascii="Calibri"/>
          <w:sz w:val="24"/>
        </w:rPr>
        <w:t>,</w:t>
      </w:r>
      <w:r>
        <w:rPr>
          <w:rFonts w:ascii="Calibri"/>
          <w:spacing w:val="-8"/>
          <w:sz w:val="24"/>
        </w:rPr>
        <w:t xml:space="preserve"> </w:t>
      </w:r>
      <w:r>
        <w:rPr>
          <w:rFonts w:ascii="Calibri"/>
          <w:sz w:val="24"/>
        </w:rPr>
        <w:t>PACES,</w:t>
      </w:r>
    </w:p>
    <w:p w:rsidR="00E63685" w:rsidRDefault="005E5916">
      <w:pPr>
        <w:pStyle w:val="BodyText"/>
        <w:spacing w:before="76"/>
        <w:ind w:left="1152" w:right="143"/>
      </w:pPr>
      <w:r>
        <w:t>Exeter.</w:t>
      </w:r>
    </w:p>
    <w:p w:rsidR="00E63685" w:rsidRDefault="00E63685">
      <w:pPr>
        <w:spacing w:before="5"/>
        <w:rPr>
          <w:rFonts w:ascii="Calibri" w:eastAsia="Calibri" w:hAnsi="Calibri" w:cs="Calibri"/>
          <w:sz w:val="31"/>
          <w:szCs w:val="31"/>
        </w:rPr>
      </w:pPr>
    </w:p>
    <w:p w:rsidR="00E63685" w:rsidRDefault="005E5916">
      <w:pPr>
        <w:spacing w:line="362" w:lineRule="auto"/>
        <w:ind w:left="1152" w:right="517" w:hanging="567"/>
        <w:rPr>
          <w:rFonts w:ascii="Calibri" w:eastAsia="Calibri" w:hAnsi="Calibri" w:cs="Calibri"/>
          <w:sz w:val="24"/>
          <w:szCs w:val="24"/>
        </w:rPr>
      </w:pPr>
      <w:r>
        <w:rPr>
          <w:rFonts w:ascii="Calibri"/>
          <w:sz w:val="24"/>
        </w:rPr>
        <w:t xml:space="preserve">Chinn, D. (2011) Critical health literacy: a review and critical analysis, </w:t>
      </w:r>
      <w:r>
        <w:rPr>
          <w:rFonts w:ascii="Calibri"/>
          <w:i/>
          <w:sz w:val="24"/>
        </w:rPr>
        <w:t>Social</w:t>
      </w:r>
      <w:r>
        <w:rPr>
          <w:rFonts w:ascii="Calibri"/>
          <w:i/>
          <w:spacing w:val="-4"/>
          <w:sz w:val="24"/>
        </w:rPr>
        <w:t xml:space="preserve"> </w:t>
      </w:r>
      <w:r>
        <w:rPr>
          <w:rFonts w:ascii="Calibri"/>
          <w:i/>
          <w:sz w:val="24"/>
        </w:rPr>
        <w:t xml:space="preserve">Science and Medicine. </w:t>
      </w:r>
      <w:r>
        <w:rPr>
          <w:rFonts w:ascii="Calibri"/>
          <w:b/>
          <w:sz w:val="24"/>
        </w:rPr>
        <w:t>73</w:t>
      </w:r>
      <w:r>
        <w:rPr>
          <w:rFonts w:ascii="Calibri"/>
          <w:sz w:val="24"/>
        </w:rPr>
        <w:t>(1),</w:t>
      </w:r>
      <w:r>
        <w:rPr>
          <w:rFonts w:ascii="Calibri"/>
          <w:spacing w:val="-1"/>
          <w:sz w:val="24"/>
        </w:rPr>
        <w:t xml:space="preserve"> </w:t>
      </w:r>
      <w:r>
        <w:rPr>
          <w:rFonts w:ascii="Calibri"/>
          <w:sz w:val="24"/>
        </w:rPr>
        <w:t>60-67</w:t>
      </w:r>
    </w:p>
    <w:p w:rsidR="00E63685" w:rsidRDefault="00E63685">
      <w:pPr>
        <w:spacing w:before="2"/>
        <w:rPr>
          <w:rFonts w:ascii="Calibri" w:eastAsia="Calibri" w:hAnsi="Calibri" w:cs="Calibri"/>
          <w:sz w:val="19"/>
          <w:szCs w:val="19"/>
        </w:rPr>
      </w:pPr>
    </w:p>
    <w:p w:rsidR="00E63685" w:rsidRDefault="005E5916">
      <w:pPr>
        <w:spacing w:line="362" w:lineRule="auto"/>
        <w:ind w:left="1152" w:right="337" w:hanging="567"/>
        <w:rPr>
          <w:rFonts w:ascii="Calibri" w:eastAsia="Calibri" w:hAnsi="Calibri" w:cs="Calibri"/>
          <w:sz w:val="24"/>
          <w:szCs w:val="24"/>
        </w:rPr>
      </w:pPr>
      <w:r>
        <w:rPr>
          <w:rFonts w:ascii="Calibri"/>
          <w:sz w:val="24"/>
        </w:rPr>
        <w:t xml:space="preserve">Cornwall, A. and Jewkes, R. (1995) What is participatory research? </w:t>
      </w:r>
      <w:r>
        <w:rPr>
          <w:rFonts w:ascii="Calibri"/>
          <w:i/>
          <w:sz w:val="24"/>
        </w:rPr>
        <w:t xml:space="preserve">Social Science and Medicine. </w:t>
      </w:r>
      <w:r>
        <w:rPr>
          <w:rFonts w:ascii="Calibri"/>
          <w:b/>
          <w:sz w:val="24"/>
        </w:rPr>
        <w:t>41</w:t>
      </w:r>
      <w:r>
        <w:rPr>
          <w:rFonts w:ascii="Calibri"/>
          <w:sz w:val="24"/>
        </w:rPr>
        <w:t>(12),</w:t>
      </w:r>
      <w:r>
        <w:rPr>
          <w:rFonts w:ascii="Calibri"/>
          <w:spacing w:val="-1"/>
          <w:sz w:val="24"/>
        </w:rPr>
        <w:t xml:space="preserve"> </w:t>
      </w:r>
      <w:r>
        <w:rPr>
          <w:rFonts w:ascii="Calibri"/>
          <w:sz w:val="24"/>
        </w:rPr>
        <w:t>1667-1676</w:t>
      </w:r>
    </w:p>
    <w:p w:rsidR="00E63685" w:rsidRDefault="00E63685">
      <w:pPr>
        <w:spacing w:before="2"/>
        <w:rPr>
          <w:rFonts w:ascii="Calibri" w:eastAsia="Calibri" w:hAnsi="Calibri" w:cs="Calibri"/>
          <w:sz w:val="19"/>
          <w:szCs w:val="19"/>
        </w:rPr>
      </w:pPr>
    </w:p>
    <w:p w:rsidR="00E63685" w:rsidRDefault="005E5916">
      <w:pPr>
        <w:spacing w:line="362" w:lineRule="auto"/>
        <w:ind w:left="1152" w:right="620" w:hanging="567"/>
        <w:rPr>
          <w:rFonts w:ascii="Calibri" w:eastAsia="Calibri" w:hAnsi="Calibri" w:cs="Calibri"/>
          <w:sz w:val="24"/>
          <w:szCs w:val="24"/>
        </w:rPr>
      </w:pPr>
      <w:r>
        <w:rPr>
          <w:rFonts w:ascii="Calibri"/>
          <w:sz w:val="24"/>
        </w:rPr>
        <w:t xml:space="preserve">Craig, G. Mayo, M. Popple, K. Shaw, M. and Taylor, M. eds. (2011) </w:t>
      </w:r>
      <w:r>
        <w:rPr>
          <w:rFonts w:ascii="Calibri"/>
          <w:i/>
          <w:sz w:val="24"/>
        </w:rPr>
        <w:t>The</w:t>
      </w:r>
      <w:r>
        <w:rPr>
          <w:rFonts w:ascii="Calibri"/>
          <w:i/>
          <w:spacing w:val="-7"/>
          <w:sz w:val="24"/>
        </w:rPr>
        <w:t xml:space="preserve"> </w:t>
      </w:r>
      <w:r>
        <w:rPr>
          <w:rFonts w:ascii="Calibri"/>
          <w:i/>
          <w:sz w:val="24"/>
        </w:rPr>
        <w:t xml:space="preserve">Community Development Reader; history, themes and issues. </w:t>
      </w:r>
      <w:r>
        <w:rPr>
          <w:rFonts w:ascii="Calibri"/>
          <w:sz w:val="24"/>
        </w:rPr>
        <w:t>The Policy Pr</w:t>
      </w:r>
      <w:r>
        <w:rPr>
          <w:rFonts w:ascii="Calibri"/>
          <w:sz w:val="24"/>
        </w:rPr>
        <w:t>ess,</w:t>
      </w:r>
      <w:r>
        <w:rPr>
          <w:rFonts w:ascii="Calibri"/>
          <w:spacing w:val="-6"/>
          <w:sz w:val="24"/>
        </w:rPr>
        <w:t xml:space="preserve"> </w:t>
      </w:r>
      <w:r>
        <w:rPr>
          <w:rFonts w:ascii="Calibri"/>
          <w:sz w:val="24"/>
        </w:rPr>
        <w:t>Bristol.</w:t>
      </w:r>
    </w:p>
    <w:p w:rsidR="00E63685" w:rsidRDefault="00E63685">
      <w:pPr>
        <w:spacing w:line="362" w:lineRule="auto"/>
        <w:rPr>
          <w:rFonts w:ascii="Calibri" w:eastAsia="Calibri" w:hAnsi="Calibri" w:cs="Calibri"/>
          <w:sz w:val="24"/>
          <w:szCs w:val="24"/>
        </w:rPr>
        <w:sectPr w:rsidR="00E63685">
          <w:pgSz w:w="11900" w:h="16840"/>
          <w:pgMar w:top="1400" w:right="1020" w:bottom="940" w:left="1680" w:header="0" w:footer="750" w:gutter="0"/>
          <w:cols w:space="720"/>
        </w:sectPr>
      </w:pPr>
    </w:p>
    <w:p w:rsidR="00E63685" w:rsidRDefault="005E5916">
      <w:pPr>
        <w:spacing w:before="48" w:line="362" w:lineRule="auto"/>
        <w:ind w:left="1152" w:right="378" w:hanging="567"/>
        <w:rPr>
          <w:rFonts w:ascii="Calibri" w:eastAsia="Calibri" w:hAnsi="Calibri" w:cs="Calibri"/>
          <w:sz w:val="24"/>
          <w:szCs w:val="24"/>
        </w:rPr>
      </w:pPr>
      <w:r>
        <w:rPr>
          <w:rFonts w:ascii="Calibri"/>
          <w:sz w:val="24"/>
        </w:rPr>
        <w:lastRenderedPageBreak/>
        <w:t>Crosby, N. Kelly, P. and Schaeffer, P. (1986) Citizen panels: a new approach to</w:t>
      </w:r>
      <w:r>
        <w:rPr>
          <w:rFonts w:ascii="Calibri"/>
          <w:spacing w:val="-8"/>
          <w:sz w:val="24"/>
        </w:rPr>
        <w:t xml:space="preserve"> </w:t>
      </w:r>
      <w:r>
        <w:rPr>
          <w:rFonts w:ascii="Calibri"/>
          <w:sz w:val="24"/>
        </w:rPr>
        <w:t xml:space="preserve">citizen participation, </w:t>
      </w:r>
      <w:r>
        <w:rPr>
          <w:rFonts w:ascii="Calibri"/>
          <w:i/>
          <w:sz w:val="24"/>
        </w:rPr>
        <w:t>Public Administration Review</w:t>
      </w:r>
      <w:r>
        <w:rPr>
          <w:rFonts w:ascii="Calibri"/>
          <w:sz w:val="24"/>
        </w:rPr>
        <w:t xml:space="preserve">, </w:t>
      </w:r>
      <w:r>
        <w:rPr>
          <w:rFonts w:ascii="Calibri"/>
          <w:b/>
          <w:sz w:val="24"/>
        </w:rPr>
        <w:t>46</w:t>
      </w:r>
      <w:r>
        <w:rPr>
          <w:rFonts w:ascii="Calibri"/>
          <w:sz w:val="24"/>
        </w:rPr>
        <w:t>,</w:t>
      </w:r>
      <w:r>
        <w:rPr>
          <w:rFonts w:ascii="Calibri"/>
          <w:spacing w:val="-2"/>
          <w:sz w:val="24"/>
        </w:rPr>
        <w:t xml:space="preserve"> </w:t>
      </w:r>
      <w:r>
        <w:rPr>
          <w:rFonts w:ascii="Calibri"/>
          <w:sz w:val="24"/>
        </w:rPr>
        <w:t>170-178.</w:t>
      </w:r>
    </w:p>
    <w:p w:rsidR="00E63685" w:rsidRDefault="00E63685">
      <w:pPr>
        <w:spacing w:before="2"/>
        <w:rPr>
          <w:rFonts w:ascii="Calibri" w:eastAsia="Calibri" w:hAnsi="Calibri" w:cs="Calibri"/>
          <w:sz w:val="19"/>
          <w:szCs w:val="19"/>
        </w:rPr>
      </w:pPr>
    </w:p>
    <w:p w:rsidR="00E63685" w:rsidRDefault="005E5916">
      <w:pPr>
        <w:spacing w:line="362" w:lineRule="auto"/>
        <w:ind w:left="1152" w:right="313" w:hanging="567"/>
        <w:rPr>
          <w:rFonts w:ascii="Calibri" w:eastAsia="Calibri" w:hAnsi="Calibri" w:cs="Calibri"/>
          <w:sz w:val="24"/>
          <w:szCs w:val="24"/>
        </w:rPr>
      </w:pPr>
      <w:r>
        <w:rPr>
          <w:rFonts w:ascii="Calibri" w:eastAsia="Calibri" w:hAnsi="Calibri" w:cs="Calibri"/>
          <w:sz w:val="24"/>
          <w:szCs w:val="24"/>
        </w:rPr>
        <w:t xml:space="preserve">Cross, R. Davis, S. and O’Neil, I. (2017) </w:t>
      </w:r>
      <w:r>
        <w:rPr>
          <w:rFonts w:ascii="Calibri" w:eastAsia="Calibri" w:hAnsi="Calibri" w:cs="Calibri"/>
          <w:i/>
          <w:sz w:val="24"/>
          <w:szCs w:val="24"/>
        </w:rPr>
        <w:t xml:space="preserve">Health Communication; theoretical and critical perspectives, </w:t>
      </w:r>
      <w:r>
        <w:rPr>
          <w:rFonts w:ascii="Calibri" w:eastAsia="Calibri" w:hAnsi="Calibri" w:cs="Calibri"/>
          <w:sz w:val="24"/>
          <w:szCs w:val="24"/>
        </w:rPr>
        <w:t>The Polity Press, Cambridge.</w:t>
      </w:r>
    </w:p>
    <w:p w:rsidR="00E63685" w:rsidRDefault="00E63685">
      <w:pPr>
        <w:spacing w:before="2"/>
        <w:rPr>
          <w:rFonts w:ascii="Calibri" w:eastAsia="Calibri" w:hAnsi="Calibri" w:cs="Calibri"/>
          <w:sz w:val="19"/>
          <w:szCs w:val="19"/>
        </w:rPr>
      </w:pPr>
    </w:p>
    <w:p w:rsidR="00E63685" w:rsidRDefault="005E5916">
      <w:pPr>
        <w:spacing w:line="362" w:lineRule="auto"/>
        <w:ind w:left="1152" w:right="520" w:hanging="567"/>
        <w:rPr>
          <w:rFonts w:ascii="Calibri" w:eastAsia="Calibri" w:hAnsi="Calibri" w:cs="Calibri"/>
          <w:sz w:val="24"/>
          <w:szCs w:val="24"/>
        </w:rPr>
      </w:pPr>
      <w:r>
        <w:rPr>
          <w:rFonts w:ascii="Calibri"/>
          <w:sz w:val="24"/>
        </w:rPr>
        <w:t xml:space="preserve">Crowley, N. (2012) </w:t>
      </w:r>
      <w:r>
        <w:rPr>
          <w:rFonts w:ascii="Calibri"/>
          <w:i/>
          <w:sz w:val="24"/>
        </w:rPr>
        <w:t xml:space="preserve">Lost in Austerity: Rethinking the Community Sector, </w:t>
      </w:r>
      <w:r>
        <w:rPr>
          <w:rFonts w:ascii="Calibri"/>
          <w:sz w:val="24"/>
        </w:rPr>
        <w:t>Third</w:t>
      </w:r>
      <w:r>
        <w:rPr>
          <w:rFonts w:ascii="Calibri"/>
          <w:spacing w:val="-12"/>
          <w:sz w:val="24"/>
        </w:rPr>
        <w:t xml:space="preserve"> </w:t>
      </w:r>
      <w:r>
        <w:rPr>
          <w:rFonts w:ascii="Calibri"/>
          <w:sz w:val="24"/>
        </w:rPr>
        <w:t>Sector Research Centre, Birmingham.</w:t>
      </w:r>
    </w:p>
    <w:p w:rsidR="00E63685" w:rsidRDefault="00E63685">
      <w:pPr>
        <w:spacing w:before="2"/>
        <w:rPr>
          <w:rFonts w:ascii="Calibri" w:eastAsia="Calibri" w:hAnsi="Calibri" w:cs="Calibri"/>
          <w:sz w:val="19"/>
          <w:szCs w:val="19"/>
        </w:rPr>
      </w:pPr>
    </w:p>
    <w:p w:rsidR="00E63685" w:rsidRDefault="005E5916">
      <w:pPr>
        <w:spacing w:line="360" w:lineRule="auto"/>
        <w:ind w:left="1152" w:right="267" w:hanging="567"/>
        <w:jc w:val="both"/>
        <w:rPr>
          <w:rFonts w:ascii="Calibri" w:eastAsia="Calibri" w:hAnsi="Calibri" w:cs="Calibri"/>
          <w:sz w:val="24"/>
          <w:szCs w:val="24"/>
        </w:rPr>
      </w:pPr>
      <w:r>
        <w:rPr>
          <w:rFonts w:ascii="Calibri"/>
          <w:sz w:val="24"/>
        </w:rPr>
        <w:t xml:space="preserve">Commission on Social Determinants of Health (2008) </w:t>
      </w:r>
      <w:r>
        <w:rPr>
          <w:rFonts w:ascii="Calibri"/>
          <w:i/>
          <w:sz w:val="24"/>
        </w:rPr>
        <w:t>Closing the Gap in a</w:t>
      </w:r>
      <w:r>
        <w:rPr>
          <w:rFonts w:ascii="Calibri"/>
          <w:i/>
          <w:spacing w:val="-9"/>
          <w:sz w:val="24"/>
        </w:rPr>
        <w:t xml:space="preserve"> </w:t>
      </w:r>
      <w:r>
        <w:rPr>
          <w:rFonts w:ascii="Calibri"/>
          <w:i/>
          <w:sz w:val="24"/>
        </w:rPr>
        <w:t>Generation; health equity through action on the social determinants of health</w:t>
      </w:r>
      <w:r>
        <w:rPr>
          <w:rFonts w:ascii="Calibri"/>
          <w:sz w:val="24"/>
        </w:rPr>
        <w:t>, World</w:t>
      </w:r>
      <w:r>
        <w:rPr>
          <w:rFonts w:ascii="Calibri"/>
          <w:spacing w:val="-1"/>
          <w:sz w:val="24"/>
        </w:rPr>
        <w:t xml:space="preserve"> </w:t>
      </w:r>
      <w:r>
        <w:rPr>
          <w:rFonts w:ascii="Calibri"/>
          <w:sz w:val="24"/>
        </w:rPr>
        <w:t>Health Organisation, Geneva.</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left="1152" w:right="354" w:hanging="567"/>
      </w:pPr>
      <w:r>
        <w:t>Dawkins-Moultin, L. McDonald, A. and McKyer, L. (2016) Integrating the principles</w:t>
      </w:r>
      <w:r>
        <w:rPr>
          <w:spacing w:val="-10"/>
        </w:rPr>
        <w:t xml:space="preserve"> </w:t>
      </w:r>
      <w:r>
        <w:t>of</w:t>
      </w:r>
      <w:r>
        <w:rPr>
          <w:spacing w:val="-1"/>
        </w:rPr>
        <w:t xml:space="preserve"> </w:t>
      </w:r>
      <w:r>
        <w:t xml:space="preserve">socioecology and critical pedagogy </w:t>
      </w:r>
      <w:r>
        <w:t xml:space="preserve">for health promotion health literacy interventions, </w:t>
      </w:r>
      <w:r>
        <w:rPr>
          <w:i/>
        </w:rPr>
        <w:t xml:space="preserve">Journal of Health Communication </w:t>
      </w:r>
      <w:r>
        <w:rPr>
          <w:b/>
        </w:rPr>
        <w:t>21</w:t>
      </w:r>
      <w:r>
        <w:t>(sup2)</w:t>
      </w:r>
      <w:r>
        <w:rPr>
          <w:spacing w:val="-8"/>
        </w:rPr>
        <w:t xml:space="preserve"> </w:t>
      </w:r>
      <w:r>
        <w:t>30-35</w:t>
      </w:r>
    </w:p>
    <w:p w:rsidR="00E63685" w:rsidRDefault="00E63685">
      <w:pPr>
        <w:spacing w:before="10"/>
        <w:rPr>
          <w:rFonts w:ascii="Calibri" w:eastAsia="Calibri" w:hAnsi="Calibri" w:cs="Calibri"/>
          <w:sz w:val="19"/>
          <w:szCs w:val="19"/>
        </w:rPr>
      </w:pPr>
    </w:p>
    <w:p w:rsidR="00E63685" w:rsidRDefault="005E5916">
      <w:pPr>
        <w:spacing w:line="360" w:lineRule="auto"/>
        <w:ind w:left="1152" w:right="234" w:hanging="567"/>
        <w:rPr>
          <w:rFonts w:ascii="Calibri" w:eastAsia="Calibri" w:hAnsi="Calibri" w:cs="Calibri"/>
          <w:sz w:val="24"/>
          <w:szCs w:val="24"/>
        </w:rPr>
      </w:pPr>
      <w:r>
        <w:rPr>
          <w:rFonts w:ascii="Calibri" w:eastAsia="Calibri" w:hAnsi="Calibri" w:cs="Calibri"/>
          <w:sz w:val="24"/>
          <w:szCs w:val="24"/>
        </w:rPr>
        <w:t xml:space="preserve">D’Eath, M. Barry, MM. Sixsmith, J. (2012) </w:t>
      </w:r>
      <w:r>
        <w:rPr>
          <w:rFonts w:ascii="Calibri" w:eastAsia="Calibri" w:hAnsi="Calibri" w:cs="Calibri"/>
          <w:i/>
          <w:sz w:val="24"/>
          <w:szCs w:val="24"/>
        </w:rPr>
        <w:t xml:space="preserve">Rapid Evidence Review of Interventions for Improving Health Literacy. </w:t>
      </w:r>
      <w:r>
        <w:rPr>
          <w:rFonts w:ascii="Calibri" w:eastAsia="Calibri" w:hAnsi="Calibri" w:cs="Calibri"/>
          <w:sz w:val="24"/>
          <w:szCs w:val="24"/>
        </w:rPr>
        <w:t>European Centre for Disease Prevention and</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z w:val="24"/>
          <w:szCs w:val="24"/>
        </w:rPr>
        <w:t>ontrol, Stockholm.</w:t>
      </w:r>
    </w:p>
    <w:p w:rsidR="00E63685" w:rsidRDefault="00E63685">
      <w:pPr>
        <w:spacing w:before="5"/>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sz w:val="24"/>
        </w:rPr>
        <w:t xml:space="preserve">Doyal, L. and Gough, I. (1991) </w:t>
      </w:r>
      <w:r>
        <w:rPr>
          <w:rFonts w:ascii="Calibri"/>
          <w:i/>
          <w:sz w:val="24"/>
        </w:rPr>
        <w:t xml:space="preserve">A Theory of Human Need. </w:t>
      </w:r>
      <w:r>
        <w:rPr>
          <w:rFonts w:ascii="Calibri"/>
          <w:sz w:val="24"/>
        </w:rPr>
        <w:t>New York,</w:t>
      </w:r>
      <w:r>
        <w:rPr>
          <w:rFonts w:ascii="Calibri"/>
          <w:spacing w:val="-5"/>
          <w:sz w:val="24"/>
        </w:rPr>
        <w:t xml:space="preserve"> </w:t>
      </w:r>
      <w:r>
        <w:rPr>
          <w:rFonts w:ascii="Calibri"/>
          <w:sz w:val="24"/>
        </w:rPr>
        <w:t>Guildford.</w:t>
      </w:r>
    </w:p>
    <w:p w:rsidR="00E63685" w:rsidRDefault="00E63685">
      <w:pPr>
        <w:spacing w:before="10"/>
        <w:rPr>
          <w:rFonts w:ascii="Calibri" w:eastAsia="Calibri" w:hAnsi="Calibri" w:cs="Calibri"/>
          <w:sz w:val="31"/>
          <w:szCs w:val="31"/>
        </w:rPr>
      </w:pPr>
    </w:p>
    <w:p w:rsidR="00E63685" w:rsidRDefault="005E5916">
      <w:pPr>
        <w:spacing w:line="357" w:lineRule="auto"/>
        <w:ind w:left="1152" w:right="164" w:hanging="567"/>
        <w:rPr>
          <w:rFonts w:ascii="Calibri" w:eastAsia="Calibri" w:hAnsi="Calibri" w:cs="Calibri"/>
          <w:sz w:val="24"/>
          <w:szCs w:val="24"/>
        </w:rPr>
      </w:pPr>
      <w:r>
        <w:rPr>
          <w:rFonts w:ascii="Calibri"/>
          <w:sz w:val="24"/>
        </w:rPr>
        <w:t xml:space="preserve">Eden, A. and Lowndes, J. (2013) Improving well-being through community health improvement: a service evaluation, </w:t>
      </w:r>
      <w:r>
        <w:rPr>
          <w:rFonts w:ascii="Calibri"/>
          <w:i/>
          <w:sz w:val="24"/>
        </w:rPr>
        <w:t xml:space="preserve">Perspectives in Public Health </w:t>
      </w:r>
      <w:r>
        <w:rPr>
          <w:rFonts w:ascii="Calibri"/>
          <w:b/>
          <w:sz w:val="24"/>
        </w:rPr>
        <w:t>133</w:t>
      </w:r>
      <w:r>
        <w:rPr>
          <w:rFonts w:ascii="Calibri"/>
          <w:sz w:val="24"/>
        </w:rPr>
        <w:t>(5)</w:t>
      </w:r>
      <w:r>
        <w:rPr>
          <w:rFonts w:ascii="Calibri"/>
          <w:spacing w:val="-5"/>
          <w:sz w:val="24"/>
        </w:rPr>
        <w:t xml:space="preserve"> </w:t>
      </w:r>
      <w:r>
        <w:rPr>
          <w:rFonts w:ascii="Calibri"/>
          <w:sz w:val="24"/>
        </w:rPr>
        <w:t>272-279.</w:t>
      </w:r>
    </w:p>
    <w:p w:rsidR="00E63685" w:rsidRDefault="00E63685">
      <w:pPr>
        <w:spacing w:before="1"/>
        <w:rPr>
          <w:rFonts w:ascii="Calibri" w:eastAsia="Calibri" w:hAnsi="Calibri" w:cs="Calibri"/>
          <w:sz w:val="20"/>
          <w:szCs w:val="20"/>
        </w:rPr>
      </w:pPr>
    </w:p>
    <w:p w:rsidR="00E63685" w:rsidRDefault="005E5916">
      <w:pPr>
        <w:spacing w:line="360" w:lineRule="auto"/>
        <w:ind w:left="1152" w:right="195" w:hanging="567"/>
        <w:rPr>
          <w:rFonts w:ascii="Calibri" w:eastAsia="Calibri" w:hAnsi="Calibri" w:cs="Calibri"/>
          <w:sz w:val="24"/>
          <w:szCs w:val="24"/>
        </w:rPr>
      </w:pPr>
      <w:r>
        <w:rPr>
          <w:rFonts w:ascii="Calibri"/>
          <w:sz w:val="24"/>
        </w:rPr>
        <w:t xml:space="preserve">Federation of Community Development and Learning (2015) </w:t>
      </w:r>
      <w:r>
        <w:rPr>
          <w:rFonts w:ascii="Calibri"/>
          <w:i/>
          <w:sz w:val="24"/>
        </w:rPr>
        <w:t>Community</w:t>
      </w:r>
      <w:r>
        <w:rPr>
          <w:rFonts w:ascii="Calibri"/>
          <w:i/>
          <w:spacing w:val="-1"/>
          <w:sz w:val="24"/>
        </w:rPr>
        <w:t xml:space="preserve"> </w:t>
      </w:r>
      <w:r>
        <w:rPr>
          <w:rFonts w:ascii="Calibri"/>
          <w:i/>
          <w:sz w:val="24"/>
        </w:rPr>
        <w:t>Development National Occupational Standards</w:t>
      </w:r>
      <w:r>
        <w:rPr>
          <w:rFonts w:ascii="Calibri"/>
          <w:sz w:val="24"/>
        </w:rPr>
        <w:t>, Federation for Community</w:t>
      </w:r>
      <w:r>
        <w:rPr>
          <w:rFonts w:ascii="Calibri"/>
          <w:spacing w:val="-1"/>
          <w:sz w:val="24"/>
        </w:rPr>
        <w:t xml:space="preserve"> </w:t>
      </w:r>
      <w:r>
        <w:rPr>
          <w:rFonts w:ascii="Calibri"/>
          <w:sz w:val="24"/>
        </w:rPr>
        <w:t>Development Learning,</w:t>
      </w:r>
      <w:r>
        <w:rPr>
          <w:rFonts w:ascii="Calibri"/>
          <w:spacing w:val="53"/>
          <w:sz w:val="24"/>
        </w:rPr>
        <w:t xml:space="preserve"> </w:t>
      </w:r>
      <w:r>
        <w:rPr>
          <w:rFonts w:ascii="Calibri"/>
          <w:sz w:val="24"/>
        </w:rPr>
        <w:t>Sheffield.</w:t>
      </w:r>
    </w:p>
    <w:p w:rsidR="00E63685" w:rsidRDefault="00E63685">
      <w:pPr>
        <w:spacing w:before="10"/>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sz w:val="24"/>
        </w:rPr>
        <w:t xml:space="preserve">Freire, P. (1993) </w:t>
      </w:r>
      <w:r>
        <w:rPr>
          <w:rFonts w:ascii="Calibri"/>
          <w:i/>
          <w:sz w:val="24"/>
        </w:rPr>
        <w:t>Pedagogy of the Oppressed</w:t>
      </w:r>
      <w:r>
        <w:rPr>
          <w:rFonts w:ascii="Calibri"/>
          <w:sz w:val="24"/>
        </w:rPr>
        <w:t>, Continuum/Seabody, New</w:t>
      </w:r>
      <w:r>
        <w:rPr>
          <w:rFonts w:ascii="Calibri"/>
          <w:spacing w:val="-12"/>
          <w:sz w:val="24"/>
        </w:rPr>
        <w:t xml:space="preserve"> </w:t>
      </w:r>
      <w:r>
        <w:rPr>
          <w:rFonts w:ascii="Calibri"/>
          <w:sz w:val="24"/>
        </w:rPr>
        <w:t>York.</w:t>
      </w:r>
    </w:p>
    <w:p w:rsidR="00E63685" w:rsidRDefault="00E63685">
      <w:pPr>
        <w:spacing w:before="5"/>
        <w:rPr>
          <w:rFonts w:ascii="Calibri" w:eastAsia="Calibri" w:hAnsi="Calibri" w:cs="Calibri"/>
          <w:sz w:val="31"/>
          <w:szCs w:val="31"/>
        </w:rPr>
      </w:pPr>
    </w:p>
    <w:p w:rsidR="00E63685" w:rsidRDefault="005E5916">
      <w:pPr>
        <w:spacing w:line="362" w:lineRule="auto"/>
        <w:ind w:left="1152" w:right="474" w:hanging="567"/>
        <w:rPr>
          <w:rFonts w:ascii="Calibri" w:eastAsia="Calibri" w:hAnsi="Calibri" w:cs="Calibri"/>
          <w:sz w:val="24"/>
          <w:szCs w:val="24"/>
        </w:rPr>
      </w:pPr>
      <w:r>
        <w:rPr>
          <w:rFonts w:ascii="Calibri"/>
          <w:sz w:val="24"/>
        </w:rPr>
        <w:t>Gilchrist,</w:t>
      </w:r>
      <w:r>
        <w:rPr>
          <w:rFonts w:ascii="Calibri"/>
          <w:sz w:val="24"/>
        </w:rPr>
        <w:t xml:space="preserve"> A. and Taylor, M. (2011) </w:t>
      </w:r>
      <w:r>
        <w:rPr>
          <w:rFonts w:ascii="Calibri"/>
          <w:i/>
          <w:sz w:val="24"/>
        </w:rPr>
        <w:t>The Short Guide to Community Development</w:t>
      </w:r>
      <w:r>
        <w:rPr>
          <w:rFonts w:ascii="Calibri"/>
          <w:sz w:val="24"/>
        </w:rPr>
        <w:t>,</w:t>
      </w:r>
      <w:r>
        <w:rPr>
          <w:rFonts w:ascii="Calibri"/>
          <w:spacing w:val="-1"/>
          <w:sz w:val="24"/>
        </w:rPr>
        <w:t xml:space="preserve"> </w:t>
      </w:r>
      <w:r>
        <w:rPr>
          <w:rFonts w:ascii="Calibri"/>
          <w:sz w:val="24"/>
        </w:rPr>
        <w:t>The Policy Press,</w:t>
      </w:r>
      <w:r>
        <w:rPr>
          <w:rFonts w:ascii="Calibri"/>
          <w:spacing w:val="-2"/>
          <w:sz w:val="24"/>
        </w:rPr>
        <w:t xml:space="preserve"> </w:t>
      </w:r>
      <w:r>
        <w:rPr>
          <w:rFonts w:ascii="Calibri"/>
          <w:sz w:val="24"/>
        </w:rPr>
        <w:t>Bristol.</w:t>
      </w:r>
    </w:p>
    <w:p w:rsidR="00E63685" w:rsidRDefault="00E63685">
      <w:pPr>
        <w:spacing w:line="362" w:lineRule="auto"/>
        <w:rPr>
          <w:rFonts w:ascii="Calibri" w:eastAsia="Calibri" w:hAnsi="Calibri" w:cs="Calibri"/>
          <w:sz w:val="24"/>
          <w:szCs w:val="24"/>
        </w:rPr>
        <w:sectPr w:rsidR="00E63685">
          <w:pgSz w:w="11900" w:h="16840"/>
          <w:pgMar w:top="1400" w:right="1020" w:bottom="940" w:left="1680" w:header="0" w:footer="750" w:gutter="0"/>
          <w:cols w:space="720"/>
        </w:sectPr>
      </w:pPr>
    </w:p>
    <w:p w:rsidR="00E63685" w:rsidRDefault="005E5916">
      <w:pPr>
        <w:pStyle w:val="BodyText"/>
        <w:spacing w:before="48" w:line="360" w:lineRule="auto"/>
        <w:ind w:left="1152" w:right="170" w:hanging="567"/>
      </w:pPr>
      <w:r>
        <w:lastRenderedPageBreak/>
        <w:t>Gould, L. Mogford, E. and DeVoght, A. (2010) Successes and challenges of teaching</w:t>
      </w:r>
      <w:r>
        <w:rPr>
          <w:spacing w:val="-1"/>
        </w:rPr>
        <w:t xml:space="preserve"> </w:t>
      </w:r>
      <w:r>
        <w:t xml:space="preserve">the social determinants of health in secondary schools: case </w:t>
      </w:r>
      <w:r>
        <w:t>examples in</w:t>
      </w:r>
      <w:r>
        <w:rPr>
          <w:spacing w:val="-2"/>
        </w:rPr>
        <w:t xml:space="preserve"> </w:t>
      </w:r>
      <w:r>
        <w:t xml:space="preserve">Seattle, Washington, </w:t>
      </w:r>
      <w:r>
        <w:rPr>
          <w:i/>
        </w:rPr>
        <w:t xml:space="preserve">Health Promotion Practice, </w:t>
      </w:r>
      <w:r>
        <w:rPr>
          <w:b/>
        </w:rPr>
        <w:t xml:space="preserve">11 </w:t>
      </w:r>
      <w:r>
        <w:t>(3)</w:t>
      </w:r>
      <w:r>
        <w:rPr>
          <w:spacing w:val="-1"/>
        </w:rPr>
        <w:t xml:space="preserve"> </w:t>
      </w:r>
      <w:r>
        <w:t>26s-33s.</w:t>
      </w:r>
    </w:p>
    <w:p w:rsidR="00E63685" w:rsidRDefault="00E63685">
      <w:pPr>
        <w:spacing w:before="10"/>
        <w:rPr>
          <w:rFonts w:ascii="Calibri" w:eastAsia="Calibri" w:hAnsi="Calibri" w:cs="Calibri"/>
          <w:sz w:val="19"/>
          <w:szCs w:val="19"/>
        </w:rPr>
      </w:pPr>
    </w:p>
    <w:p w:rsidR="00E63685" w:rsidRDefault="005E5916">
      <w:pPr>
        <w:spacing w:line="357" w:lineRule="auto"/>
        <w:ind w:left="1152" w:right="905" w:hanging="567"/>
        <w:rPr>
          <w:rFonts w:ascii="Calibri" w:eastAsia="Calibri" w:hAnsi="Calibri" w:cs="Calibri"/>
          <w:sz w:val="24"/>
          <w:szCs w:val="24"/>
        </w:rPr>
      </w:pPr>
      <w:r>
        <w:rPr>
          <w:rFonts w:ascii="Calibri"/>
          <w:sz w:val="24"/>
        </w:rPr>
        <w:t xml:space="preserve">Gregson, R. and Court, L. (2010) </w:t>
      </w:r>
      <w:r>
        <w:rPr>
          <w:rFonts w:ascii="Calibri"/>
          <w:i/>
          <w:sz w:val="24"/>
        </w:rPr>
        <w:t xml:space="preserve">Building Healthy Communities: A Community Empowerment Approach, </w:t>
      </w:r>
      <w:r>
        <w:rPr>
          <w:rFonts w:ascii="Calibri"/>
          <w:sz w:val="24"/>
        </w:rPr>
        <w:t>Community Development Foundation,</w:t>
      </w:r>
      <w:r>
        <w:rPr>
          <w:rFonts w:ascii="Calibri"/>
          <w:spacing w:val="-2"/>
          <w:sz w:val="24"/>
        </w:rPr>
        <w:t xml:space="preserve"> </w:t>
      </w:r>
      <w:r>
        <w:rPr>
          <w:rFonts w:ascii="Calibri"/>
          <w:sz w:val="24"/>
        </w:rPr>
        <w:t>London.</w:t>
      </w:r>
    </w:p>
    <w:p w:rsidR="00E63685" w:rsidRDefault="00E63685">
      <w:pPr>
        <w:spacing w:before="1"/>
        <w:rPr>
          <w:rFonts w:ascii="Calibri" w:eastAsia="Calibri" w:hAnsi="Calibri" w:cs="Calibri"/>
          <w:sz w:val="20"/>
          <w:szCs w:val="20"/>
        </w:rPr>
      </w:pPr>
    </w:p>
    <w:p w:rsidR="00E63685" w:rsidRDefault="005E5916">
      <w:pPr>
        <w:spacing w:line="360" w:lineRule="auto"/>
        <w:ind w:left="1152" w:right="337" w:hanging="567"/>
        <w:rPr>
          <w:rFonts w:ascii="Calibri" w:eastAsia="Calibri" w:hAnsi="Calibri" w:cs="Calibri"/>
          <w:sz w:val="24"/>
          <w:szCs w:val="24"/>
        </w:rPr>
      </w:pPr>
      <w:r>
        <w:rPr>
          <w:rFonts w:ascii="Calibri"/>
          <w:sz w:val="24"/>
        </w:rPr>
        <w:t>Hartley, J. (2014) Case studies in organisational research in Cassell, C. and Symon,</w:t>
      </w:r>
      <w:r>
        <w:rPr>
          <w:rFonts w:ascii="Calibri"/>
          <w:spacing w:val="-2"/>
          <w:sz w:val="24"/>
        </w:rPr>
        <w:t xml:space="preserve"> </w:t>
      </w:r>
      <w:r>
        <w:rPr>
          <w:rFonts w:ascii="Calibri"/>
          <w:sz w:val="24"/>
        </w:rPr>
        <w:t xml:space="preserve">G., eds, </w:t>
      </w:r>
      <w:r>
        <w:rPr>
          <w:rFonts w:ascii="Calibri"/>
          <w:i/>
          <w:sz w:val="24"/>
        </w:rPr>
        <w:t>Qualitative Methods in Organisational Research: a practical guide</w:t>
      </w:r>
      <w:r>
        <w:rPr>
          <w:rFonts w:ascii="Calibri"/>
          <w:sz w:val="24"/>
        </w:rPr>
        <w:t>,</w:t>
      </w:r>
      <w:r>
        <w:rPr>
          <w:rFonts w:ascii="Calibri"/>
          <w:spacing w:val="-3"/>
          <w:sz w:val="24"/>
        </w:rPr>
        <w:t xml:space="preserve"> </w:t>
      </w:r>
      <w:r>
        <w:rPr>
          <w:rFonts w:ascii="Calibri"/>
          <w:sz w:val="24"/>
        </w:rPr>
        <w:t>Sage, London, pp.</w:t>
      </w:r>
      <w:r>
        <w:rPr>
          <w:rFonts w:ascii="Calibri"/>
          <w:spacing w:val="-4"/>
          <w:sz w:val="24"/>
        </w:rPr>
        <w:t xml:space="preserve"> </w:t>
      </w:r>
      <w:r>
        <w:rPr>
          <w:rFonts w:ascii="Calibri"/>
          <w:sz w:val="24"/>
        </w:rPr>
        <w:t>208-230.</w:t>
      </w:r>
    </w:p>
    <w:p w:rsidR="00E63685" w:rsidRDefault="00E63685">
      <w:pPr>
        <w:spacing w:before="5"/>
        <w:rPr>
          <w:rFonts w:ascii="Calibri" w:eastAsia="Calibri" w:hAnsi="Calibri" w:cs="Calibri"/>
          <w:sz w:val="19"/>
          <w:szCs w:val="19"/>
        </w:rPr>
      </w:pPr>
    </w:p>
    <w:p w:rsidR="00E63685" w:rsidRDefault="005E5916">
      <w:pPr>
        <w:spacing w:line="362" w:lineRule="auto"/>
        <w:ind w:left="1152" w:right="207" w:hanging="567"/>
        <w:rPr>
          <w:rFonts w:ascii="Calibri" w:eastAsia="Calibri" w:hAnsi="Calibri" w:cs="Calibri"/>
          <w:sz w:val="24"/>
          <w:szCs w:val="24"/>
        </w:rPr>
      </w:pPr>
      <w:r>
        <w:rPr>
          <w:rFonts w:ascii="Calibri"/>
          <w:sz w:val="24"/>
        </w:rPr>
        <w:t xml:space="preserve">Health Empowerment Leverage Project (2011) </w:t>
      </w:r>
      <w:r>
        <w:rPr>
          <w:rFonts w:ascii="Calibri"/>
          <w:i/>
          <w:sz w:val="24"/>
        </w:rPr>
        <w:t>Empowering Communities for</w:t>
      </w:r>
      <w:r>
        <w:rPr>
          <w:rFonts w:ascii="Calibri"/>
          <w:i/>
          <w:spacing w:val="-6"/>
          <w:sz w:val="24"/>
        </w:rPr>
        <w:t xml:space="preserve"> </w:t>
      </w:r>
      <w:r>
        <w:rPr>
          <w:rFonts w:ascii="Calibri"/>
          <w:i/>
          <w:sz w:val="24"/>
        </w:rPr>
        <w:t xml:space="preserve">Health: Business Case and Practical Framework, </w:t>
      </w:r>
      <w:r>
        <w:rPr>
          <w:rFonts w:ascii="Calibri"/>
          <w:sz w:val="24"/>
        </w:rPr>
        <w:t>Health Empowerment Leverage</w:t>
      </w:r>
      <w:r>
        <w:rPr>
          <w:rFonts w:ascii="Calibri"/>
          <w:spacing w:val="-9"/>
          <w:sz w:val="24"/>
        </w:rPr>
        <w:t xml:space="preserve"> </w:t>
      </w:r>
      <w:r>
        <w:rPr>
          <w:rFonts w:ascii="Calibri"/>
          <w:sz w:val="24"/>
        </w:rPr>
        <w:t>Project, Exeter.</w:t>
      </w:r>
    </w:p>
    <w:p w:rsidR="00E63685" w:rsidRDefault="00E63685">
      <w:pPr>
        <w:spacing w:before="2"/>
        <w:rPr>
          <w:rFonts w:ascii="Calibri" w:eastAsia="Calibri" w:hAnsi="Calibri" w:cs="Calibri"/>
          <w:sz w:val="19"/>
          <w:szCs w:val="19"/>
        </w:rPr>
      </w:pPr>
    </w:p>
    <w:p w:rsidR="00E63685" w:rsidRDefault="005E5916">
      <w:pPr>
        <w:pStyle w:val="BodyText"/>
        <w:spacing w:line="362" w:lineRule="auto"/>
        <w:ind w:left="1152" w:right="970" w:hanging="567"/>
      </w:pPr>
      <w:r>
        <w:t xml:space="preserve">Holkup, P. Tripp-Reimer, T. Salois, E. and Weinert, C. (2004) Community-based participatory research. </w:t>
      </w:r>
      <w:r>
        <w:rPr>
          <w:i/>
        </w:rPr>
        <w:t>Advanced Nursing Science</w:t>
      </w:r>
      <w:r>
        <w:t xml:space="preserve">. </w:t>
      </w:r>
      <w:r>
        <w:rPr>
          <w:b/>
        </w:rPr>
        <w:t>27</w:t>
      </w:r>
      <w:r>
        <w:t>(3)</w:t>
      </w:r>
      <w:r>
        <w:rPr>
          <w:spacing w:val="-5"/>
        </w:rPr>
        <w:t xml:space="preserve"> </w:t>
      </w:r>
      <w:r>
        <w:t>16</w:t>
      </w:r>
      <w:r>
        <w:t>2-175</w:t>
      </w:r>
    </w:p>
    <w:p w:rsidR="00E63685" w:rsidRDefault="00E63685">
      <w:pPr>
        <w:spacing w:before="2"/>
        <w:rPr>
          <w:rFonts w:ascii="Calibri" w:eastAsia="Calibri" w:hAnsi="Calibri" w:cs="Calibri"/>
          <w:sz w:val="19"/>
          <w:szCs w:val="19"/>
        </w:rPr>
      </w:pPr>
    </w:p>
    <w:p w:rsidR="00E63685" w:rsidRDefault="005E5916">
      <w:pPr>
        <w:pStyle w:val="BodyText"/>
        <w:spacing w:line="360" w:lineRule="auto"/>
        <w:ind w:left="1152" w:right="257" w:hanging="567"/>
      </w:pPr>
      <w:r>
        <w:t xml:space="preserve">Howard, J. and Wheeler, J. (2015a) Editorial introduction – Post 2015: what should be the contribution of community development in the new global development framework? </w:t>
      </w:r>
      <w:r>
        <w:rPr>
          <w:rFonts w:cs="Calibri"/>
          <w:i/>
        </w:rPr>
        <w:t xml:space="preserve">Community Development Journal, </w:t>
      </w:r>
      <w:r>
        <w:rPr>
          <w:rFonts w:cs="Calibri"/>
          <w:b/>
          <w:bCs/>
        </w:rPr>
        <w:t xml:space="preserve">50 </w:t>
      </w:r>
      <w:r>
        <w:t>(4)</w:t>
      </w:r>
      <w:r>
        <w:rPr>
          <w:spacing w:val="-5"/>
        </w:rPr>
        <w:t xml:space="preserve"> </w:t>
      </w:r>
      <w:r>
        <w:t>548-551</w:t>
      </w:r>
    </w:p>
    <w:p w:rsidR="00E63685" w:rsidRDefault="00E63685">
      <w:pPr>
        <w:spacing w:before="10"/>
        <w:rPr>
          <w:rFonts w:ascii="Calibri" w:eastAsia="Calibri" w:hAnsi="Calibri" w:cs="Calibri"/>
          <w:sz w:val="19"/>
          <w:szCs w:val="19"/>
        </w:rPr>
      </w:pPr>
    </w:p>
    <w:p w:rsidR="00E63685" w:rsidRDefault="005E5916">
      <w:pPr>
        <w:pStyle w:val="BodyText"/>
        <w:spacing w:line="360" w:lineRule="auto"/>
        <w:ind w:left="1152" w:right="610" w:hanging="567"/>
      </w:pPr>
      <w:r>
        <w:t xml:space="preserve">Howard, J. and Wheeler, J. (2015b) What community development and citizen participation should contribute to the new global framework for sustainable development. </w:t>
      </w:r>
      <w:r>
        <w:rPr>
          <w:i/>
        </w:rPr>
        <w:t xml:space="preserve">Community Development Journal, </w:t>
      </w:r>
      <w:r>
        <w:rPr>
          <w:b/>
        </w:rPr>
        <w:t xml:space="preserve">50 </w:t>
      </w:r>
      <w:r>
        <w:t>(4)</w:t>
      </w:r>
      <w:r>
        <w:rPr>
          <w:spacing w:val="-6"/>
        </w:rPr>
        <w:t xml:space="preserve"> </w:t>
      </w:r>
      <w:r>
        <w:t>552-570</w:t>
      </w:r>
    </w:p>
    <w:p w:rsidR="00E63685" w:rsidRDefault="00E63685">
      <w:pPr>
        <w:spacing w:before="10"/>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sz w:val="24"/>
        </w:rPr>
        <w:t xml:space="preserve">Hunter, D. (2008) </w:t>
      </w:r>
      <w:r>
        <w:rPr>
          <w:rFonts w:ascii="Calibri"/>
          <w:i/>
          <w:sz w:val="24"/>
        </w:rPr>
        <w:t xml:space="preserve">The Health Debate, </w:t>
      </w:r>
      <w:r>
        <w:rPr>
          <w:rFonts w:ascii="Calibri"/>
          <w:sz w:val="24"/>
        </w:rPr>
        <w:t>The Polic</w:t>
      </w:r>
      <w:r>
        <w:rPr>
          <w:rFonts w:ascii="Calibri"/>
          <w:sz w:val="24"/>
        </w:rPr>
        <w:t>y Press,</w:t>
      </w:r>
      <w:r>
        <w:rPr>
          <w:rFonts w:ascii="Calibri"/>
          <w:spacing w:val="-6"/>
          <w:sz w:val="24"/>
        </w:rPr>
        <w:t xml:space="preserve"> </w:t>
      </w:r>
      <w:r>
        <w:rPr>
          <w:rFonts w:ascii="Calibri"/>
          <w:sz w:val="24"/>
        </w:rPr>
        <w:t>Bristol.</w:t>
      </w:r>
    </w:p>
    <w:p w:rsidR="00E63685" w:rsidRDefault="00E63685">
      <w:pPr>
        <w:spacing w:before="5"/>
        <w:rPr>
          <w:rFonts w:ascii="Calibri" w:eastAsia="Calibri" w:hAnsi="Calibri" w:cs="Calibri"/>
          <w:sz w:val="31"/>
          <w:szCs w:val="31"/>
        </w:rPr>
      </w:pPr>
    </w:p>
    <w:p w:rsidR="00E63685" w:rsidRDefault="005E5916">
      <w:pPr>
        <w:spacing w:line="360" w:lineRule="auto"/>
        <w:ind w:left="1152" w:right="515" w:hanging="567"/>
        <w:rPr>
          <w:rFonts w:ascii="Calibri" w:eastAsia="Calibri" w:hAnsi="Calibri" w:cs="Calibri"/>
          <w:sz w:val="24"/>
          <w:szCs w:val="24"/>
        </w:rPr>
      </w:pPr>
      <w:r>
        <w:rPr>
          <w:rFonts w:ascii="Calibri"/>
          <w:sz w:val="24"/>
        </w:rPr>
        <w:t xml:space="preserve">IACD, (2016) </w:t>
      </w:r>
      <w:r>
        <w:rPr>
          <w:rFonts w:ascii="Calibri"/>
          <w:i/>
          <w:sz w:val="24"/>
        </w:rPr>
        <w:t xml:space="preserve">Towards a Global Definition of Community Development, </w:t>
      </w:r>
      <w:r>
        <w:rPr>
          <w:rFonts w:ascii="Calibri"/>
          <w:sz w:val="24"/>
        </w:rPr>
        <w:t>accessed</w:t>
      </w:r>
      <w:r>
        <w:rPr>
          <w:rFonts w:ascii="Calibri"/>
          <w:spacing w:val="-1"/>
          <w:sz w:val="24"/>
        </w:rPr>
        <w:t xml:space="preserve"> </w:t>
      </w:r>
      <w:r>
        <w:rPr>
          <w:rFonts w:ascii="Calibri"/>
          <w:sz w:val="24"/>
        </w:rPr>
        <w:t xml:space="preserve">at </w:t>
      </w:r>
      <w:hyperlink r:id="rId11">
        <w:r>
          <w:rPr>
            <w:rFonts w:ascii="Calibri"/>
            <w:color w:val="0000FF"/>
            <w:sz w:val="24"/>
            <w:u w:val="single" w:color="0000FF"/>
          </w:rPr>
          <w:t>http://www.iacdglobal.org/news/towards-new-global-definition-commun</w:t>
        </w:r>
        <w:r>
          <w:rPr>
            <w:rFonts w:ascii="Calibri"/>
            <w:color w:val="0000FF"/>
            <w:sz w:val="24"/>
            <w:u w:val="single" w:color="0000FF"/>
          </w:rPr>
          <w:t>ity-</w:t>
        </w:r>
      </w:hyperlink>
      <w:r>
        <w:rPr>
          <w:rFonts w:ascii="Calibri"/>
          <w:color w:val="0000FF"/>
          <w:sz w:val="24"/>
        </w:rPr>
        <w:t xml:space="preserve"> </w:t>
      </w:r>
      <w:r>
        <w:rPr>
          <w:rFonts w:ascii="Calibri"/>
          <w:color w:val="0000FF"/>
          <w:sz w:val="24"/>
          <w:u w:val="single" w:color="0000FF"/>
        </w:rPr>
        <w:t xml:space="preserve">development </w:t>
      </w:r>
      <w:r>
        <w:rPr>
          <w:rFonts w:ascii="Calibri"/>
          <w:sz w:val="24"/>
        </w:rPr>
        <w:t>(13th September</w:t>
      </w:r>
      <w:r>
        <w:rPr>
          <w:rFonts w:ascii="Calibri"/>
          <w:spacing w:val="-8"/>
          <w:sz w:val="24"/>
        </w:rPr>
        <w:t xml:space="preserve"> </w:t>
      </w:r>
      <w:r>
        <w:rPr>
          <w:rFonts w:ascii="Calibri"/>
          <w:sz w:val="24"/>
        </w:rPr>
        <w:t>2016)</w:t>
      </w:r>
    </w:p>
    <w:p w:rsidR="00E63685" w:rsidRDefault="00E63685">
      <w:pPr>
        <w:rPr>
          <w:rFonts w:ascii="Calibri" w:eastAsia="Calibri" w:hAnsi="Calibri" w:cs="Calibri"/>
          <w:sz w:val="15"/>
          <w:szCs w:val="15"/>
        </w:rPr>
      </w:pPr>
    </w:p>
    <w:p w:rsidR="00E63685" w:rsidRDefault="005E5916">
      <w:pPr>
        <w:spacing w:before="58" w:line="357" w:lineRule="auto"/>
        <w:ind w:left="585" w:right="392"/>
        <w:rPr>
          <w:rFonts w:ascii="Calibri" w:eastAsia="Calibri" w:hAnsi="Calibri" w:cs="Calibri"/>
          <w:sz w:val="24"/>
          <w:szCs w:val="24"/>
        </w:rPr>
      </w:pPr>
      <w:r>
        <w:rPr>
          <w:rFonts w:ascii="Calibri"/>
          <w:sz w:val="24"/>
        </w:rPr>
        <w:t xml:space="preserve">Kickbusch, I. Pelikan, J. Apfel, F. and Tsouros, A. eds (2013) </w:t>
      </w:r>
      <w:r>
        <w:rPr>
          <w:rFonts w:ascii="Calibri"/>
          <w:i/>
          <w:sz w:val="24"/>
        </w:rPr>
        <w:t>Health Literacy: The</w:t>
      </w:r>
      <w:r>
        <w:rPr>
          <w:rFonts w:ascii="Calibri"/>
          <w:i/>
          <w:spacing w:val="-6"/>
          <w:sz w:val="24"/>
        </w:rPr>
        <w:t xml:space="preserve"> </w:t>
      </w:r>
      <w:r>
        <w:rPr>
          <w:rFonts w:ascii="Calibri"/>
          <w:i/>
          <w:sz w:val="24"/>
        </w:rPr>
        <w:t xml:space="preserve">Solid Facts, </w:t>
      </w:r>
      <w:r>
        <w:rPr>
          <w:rFonts w:ascii="Calibri"/>
          <w:sz w:val="24"/>
        </w:rPr>
        <w:t>World Health Organisation, Copenhagen.</w:t>
      </w:r>
    </w:p>
    <w:p w:rsidR="00E63685" w:rsidRDefault="00E63685">
      <w:pPr>
        <w:rPr>
          <w:rFonts w:ascii="Calibri" w:eastAsia="Calibri" w:hAnsi="Calibri" w:cs="Calibri"/>
          <w:sz w:val="24"/>
          <w:szCs w:val="24"/>
        </w:rPr>
      </w:pPr>
    </w:p>
    <w:p w:rsidR="00E63685" w:rsidRDefault="005E5916">
      <w:pPr>
        <w:spacing w:before="149"/>
        <w:ind w:left="585" w:right="143"/>
        <w:rPr>
          <w:rFonts w:ascii="Calibri" w:eastAsia="Calibri" w:hAnsi="Calibri" w:cs="Calibri"/>
          <w:sz w:val="24"/>
          <w:szCs w:val="24"/>
        </w:rPr>
      </w:pPr>
      <w:r>
        <w:rPr>
          <w:rFonts w:ascii="Calibri"/>
          <w:sz w:val="24"/>
        </w:rPr>
        <w:t xml:space="preserve">Laverack, G. (2013) </w:t>
      </w:r>
      <w:r>
        <w:rPr>
          <w:rFonts w:ascii="Calibri"/>
          <w:i/>
          <w:sz w:val="24"/>
        </w:rPr>
        <w:t>Health Activism</w:t>
      </w:r>
      <w:r>
        <w:rPr>
          <w:rFonts w:ascii="Calibri"/>
          <w:sz w:val="24"/>
        </w:rPr>
        <w:t>, Sage, London.</w:t>
      </w:r>
    </w:p>
    <w:p w:rsidR="00E63685" w:rsidRDefault="00E63685">
      <w:pPr>
        <w:rPr>
          <w:rFonts w:ascii="Calibri" w:eastAsia="Calibri" w:hAnsi="Calibri" w:cs="Calibri"/>
          <w:sz w:val="24"/>
          <w:szCs w:val="24"/>
        </w:rPr>
        <w:sectPr w:rsidR="00E63685">
          <w:footerReference w:type="default" r:id="rId12"/>
          <w:pgSz w:w="11900" w:h="16840"/>
          <w:pgMar w:top="1400" w:right="1020" w:bottom="940" w:left="1680" w:header="0" w:footer="750" w:gutter="0"/>
          <w:cols w:space="720"/>
        </w:sectPr>
      </w:pPr>
    </w:p>
    <w:p w:rsidR="00E63685" w:rsidRDefault="005E5916">
      <w:pPr>
        <w:spacing w:before="48" w:line="362" w:lineRule="auto"/>
        <w:ind w:left="1152" w:right="580" w:hanging="567"/>
        <w:rPr>
          <w:rFonts w:ascii="Calibri" w:eastAsia="Calibri" w:hAnsi="Calibri" w:cs="Calibri"/>
          <w:sz w:val="24"/>
          <w:szCs w:val="24"/>
        </w:rPr>
      </w:pPr>
      <w:r>
        <w:rPr>
          <w:rFonts w:ascii="Calibri"/>
          <w:sz w:val="24"/>
        </w:rPr>
        <w:lastRenderedPageBreak/>
        <w:t xml:space="preserve">Ledwith, M. (2011) </w:t>
      </w:r>
      <w:r>
        <w:rPr>
          <w:rFonts w:ascii="Calibri"/>
          <w:i/>
          <w:sz w:val="24"/>
        </w:rPr>
        <w:t xml:space="preserve">Community Development: a critical approach, </w:t>
      </w:r>
      <w:r>
        <w:rPr>
          <w:rFonts w:ascii="Calibri"/>
          <w:sz w:val="24"/>
        </w:rPr>
        <w:t>The Policy</w:t>
      </w:r>
      <w:r>
        <w:rPr>
          <w:rFonts w:ascii="Calibri"/>
          <w:spacing w:val="-6"/>
          <w:sz w:val="24"/>
        </w:rPr>
        <w:t xml:space="preserve"> </w:t>
      </w:r>
      <w:r>
        <w:rPr>
          <w:rFonts w:ascii="Calibri"/>
          <w:sz w:val="24"/>
        </w:rPr>
        <w:t>Press, Bristol.</w:t>
      </w:r>
    </w:p>
    <w:p w:rsidR="00E63685" w:rsidRDefault="00E63685">
      <w:pPr>
        <w:spacing w:before="2"/>
        <w:rPr>
          <w:rFonts w:ascii="Calibri" w:eastAsia="Calibri" w:hAnsi="Calibri" w:cs="Calibri"/>
          <w:sz w:val="19"/>
          <w:szCs w:val="19"/>
        </w:rPr>
      </w:pPr>
    </w:p>
    <w:p w:rsidR="00E63685" w:rsidRDefault="005E5916">
      <w:pPr>
        <w:spacing w:line="362" w:lineRule="auto"/>
        <w:ind w:left="1152" w:right="767" w:hanging="567"/>
        <w:rPr>
          <w:rFonts w:ascii="Calibri" w:eastAsia="Calibri" w:hAnsi="Calibri" w:cs="Calibri"/>
          <w:sz w:val="24"/>
          <w:szCs w:val="24"/>
        </w:rPr>
      </w:pPr>
      <w:r>
        <w:rPr>
          <w:rFonts w:ascii="Calibri"/>
          <w:sz w:val="24"/>
        </w:rPr>
        <w:t xml:space="preserve">Ledwith, M. (2015) </w:t>
      </w:r>
      <w:r>
        <w:rPr>
          <w:rFonts w:ascii="Calibri"/>
          <w:i/>
          <w:sz w:val="24"/>
        </w:rPr>
        <w:t xml:space="preserve">Community Development in practice; Putting Freire Back into Action, </w:t>
      </w:r>
      <w:r>
        <w:rPr>
          <w:rFonts w:ascii="Calibri"/>
          <w:sz w:val="24"/>
        </w:rPr>
        <w:t>The Policy Press, Bristol.</w:t>
      </w:r>
    </w:p>
    <w:p w:rsidR="00E63685" w:rsidRDefault="00E63685">
      <w:pPr>
        <w:spacing w:before="2"/>
        <w:rPr>
          <w:rFonts w:ascii="Calibri" w:eastAsia="Calibri" w:hAnsi="Calibri" w:cs="Calibri"/>
          <w:sz w:val="19"/>
          <w:szCs w:val="19"/>
        </w:rPr>
      </w:pPr>
    </w:p>
    <w:p w:rsidR="00E63685" w:rsidRDefault="005E5916">
      <w:pPr>
        <w:spacing w:line="360" w:lineRule="auto"/>
        <w:ind w:left="1152" w:right="161" w:hanging="567"/>
        <w:rPr>
          <w:rFonts w:ascii="Calibri" w:eastAsia="Calibri" w:hAnsi="Calibri" w:cs="Calibri"/>
          <w:sz w:val="24"/>
          <w:szCs w:val="24"/>
        </w:rPr>
      </w:pPr>
      <w:r>
        <w:rPr>
          <w:rFonts w:ascii="Calibri"/>
          <w:sz w:val="24"/>
        </w:rPr>
        <w:t>McCuaig, L. Carroll, K. and Macdonald, D. (2014) E</w:t>
      </w:r>
      <w:r>
        <w:rPr>
          <w:rFonts w:ascii="Calibri"/>
          <w:sz w:val="24"/>
        </w:rPr>
        <w:t>nacting critical health literacy in</w:t>
      </w:r>
      <w:r>
        <w:rPr>
          <w:rFonts w:ascii="Calibri"/>
          <w:spacing w:val="-2"/>
          <w:sz w:val="24"/>
        </w:rPr>
        <w:t xml:space="preserve"> </w:t>
      </w:r>
      <w:r>
        <w:rPr>
          <w:rFonts w:ascii="Calibri"/>
          <w:sz w:val="24"/>
        </w:rPr>
        <w:t>the Australian secondary school curriculum: the possibilities posed by e-health,</w:t>
      </w:r>
      <w:r>
        <w:rPr>
          <w:rFonts w:ascii="Calibri"/>
          <w:spacing w:val="-3"/>
          <w:sz w:val="24"/>
        </w:rPr>
        <w:t xml:space="preserve"> </w:t>
      </w:r>
      <w:r>
        <w:rPr>
          <w:rFonts w:ascii="Calibri"/>
          <w:i/>
          <w:sz w:val="24"/>
        </w:rPr>
        <w:t xml:space="preserve">Asia- Pacific Journal of Health, Sport and Physical Education, </w:t>
      </w:r>
      <w:r>
        <w:rPr>
          <w:rFonts w:ascii="Calibri"/>
          <w:b/>
          <w:sz w:val="24"/>
        </w:rPr>
        <w:t xml:space="preserve">5 </w:t>
      </w:r>
      <w:r>
        <w:rPr>
          <w:rFonts w:ascii="Calibri"/>
          <w:sz w:val="24"/>
        </w:rPr>
        <w:t>(3)</w:t>
      </w:r>
      <w:r>
        <w:rPr>
          <w:rFonts w:ascii="Calibri"/>
          <w:spacing w:val="-4"/>
          <w:sz w:val="24"/>
        </w:rPr>
        <w:t xml:space="preserve"> </w:t>
      </w:r>
      <w:r>
        <w:rPr>
          <w:rFonts w:ascii="Calibri"/>
          <w:sz w:val="24"/>
        </w:rPr>
        <w:t>217-231</w:t>
      </w:r>
    </w:p>
    <w:p w:rsidR="00E63685" w:rsidRDefault="00E63685">
      <w:pPr>
        <w:spacing w:before="10"/>
        <w:rPr>
          <w:rFonts w:ascii="Calibri" w:eastAsia="Calibri" w:hAnsi="Calibri" w:cs="Calibri"/>
          <w:sz w:val="19"/>
          <w:szCs w:val="19"/>
        </w:rPr>
      </w:pPr>
    </w:p>
    <w:p w:rsidR="00E63685" w:rsidRDefault="005E5916">
      <w:pPr>
        <w:spacing w:line="357" w:lineRule="auto"/>
        <w:ind w:left="1152" w:right="817" w:hanging="567"/>
        <w:rPr>
          <w:rFonts w:ascii="Calibri" w:eastAsia="Calibri" w:hAnsi="Calibri" w:cs="Calibri"/>
          <w:sz w:val="24"/>
          <w:szCs w:val="24"/>
        </w:rPr>
      </w:pPr>
      <w:r>
        <w:rPr>
          <w:rFonts w:ascii="Calibri"/>
          <w:sz w:val="24"/>
        </w:rPr>
        <w:t xml:space="preserve">McIntyre, I. (2013) </w:t>
      </w:r>
      <w:r>
        <w:rPr>
          <w:rFonts w:ascii="Calibri"/>
          <w:i/>
          <w:sz w:val="24"/>
        </w:rPr>
        <w:t>How to Make Trouble and Influence People:</w:t>
      </w:r>
      <w:r>
        <w:rPr>
          <w:rFonts w:ascii="Calibri"/>
          <w:i/>
          <w:sz w:val="24"/>
        </w:rPr>
        <w:t xml:space="preserve"> Pranks,</w:t>
      </w:r>
      <w:r>
        <w:rPr>
          <w:rFonts w:ascii="Calibri"/>
          <w:i/>
          <w:spacing w:val="-1"/>
          <w:sz w:val="24"/>
        </w:rPr>
        <w:t xml:space="preserve"> </w:t>
      </w:r>
      <w:r>
        <w:rPr>
          <w:rFonts w:ascii="Calibri"/>
          <w:i/>
          <w:sz w:val="24"/>
        </w:rPr>
        <w:t xml:space="preserve">Protests, Graffiti and Political Mischief-making. </w:t>
      </w:r>
      <w:r>
        <w:rPr>
          <w:rFonts w:ascii="Calibri"/>
          <w:sz w:val="24"/>
        </w:rPr>
        <w:t>Breakdown Press,</w:t>
      </w:r>
      <w:r>
        <w:rPr>
          <w:rFonts w:ascii="Calibri"/>
          <w:spacing w:val="-2"/>
          <w:sz w:val="24"/>
        </w:rPr>
        <w:t xml:space="preserve"> </w:t>
      </w:r>
      <w:r>
        <w:rPr>
          <w:rFonts w:ascii="Calibri"/>
          <w:sz w:val="24"/>
        </w:rPr>
        <w:t>Melbourne.</w:t>
      </w:r>
    </w:p>
    <w:p w:rsidR="00E63685" w:rsidRDefault="00E63685">
      <w:pPr>
        <w:spacing w:before="1"/>
        <w:rPr>
          <w:rFonts w:ascii="Calibri" w:eastAsia="Calibri" w:hAnsi="Calibri" w:cs="Calibri"/>
          <w:sz w:val="20"/>
          <w:szCs w:val="20"/>
        </w:rPr>
      </w:pPr>
    </w:p>
    <w:p w:rsidR="00E63685" w:rsidRDefault="005E5916">
      <w:pPr>
        <w:pStyle w:val="BodyText"/>
        <w:spacing w:line="360" w:lineRule="auto"/>
        <w:ind w:right="515"/>
      </w:pPr>
      <w:r>
        <w:t xml:space="preserve">Mogford, E. Gould, L. and DeVoght, A. (2011) Teaching critical health literacy in the US as a means to action on the social determinants of health, </w:t>
      </w:r>
      <w:r>
        <w:rPr>
          <w:i/>
        </w:rPr>
        <w:t>Health</w:t>
      </w:r>
      <w:r>
        <w:rPr>
          <w:i/>
          <w:spacing w:val="-2"/>
        </w:rPr>
        <w:t xml:space="preserve"> </w:t>
      </w:r>
      <w:r>
        <w:rPr>
          <w:i/>
        </w:rPr>
        <w:t>Promotion International</w:t>
      </w:r>
      <w:r>
        <w:t xml:space="preserve">, </w:t>
      </w:r>
      <w:r>
        <w:rPr>
          <w:b/>
        </w:rPr>
        <w:t xml:space="preserve">26 </w:t>
      </w:r>
      <w:r>
        <w:t>(1)</w:t>
      </w:r>
      <w:r>
        <w:rPr>
          <w:spacing w:val="51"/>
        </w:rPr>
        <w:t xml:space="preserve"> </w:t>
      </w:r>
      <w:r>
        <w:t>4-13.</w:t>
      </w:r>
    </w:p>
    <w:p w:rsidR="00E63685" w:rsidRDefault="00E63685">
      <w:pPr>
        <w:spacing w:before="12"/>
        <w:rPr>
          <w:rFonts w:ascii="Calibri" w:eastAsia="Calibri" w:hAnsi="Calibri" w:cs="Calibri"/>
          <w:sz w:val="35"/>
          <w:szCs w:val="35"/>
        </w:rPr>
      </w:pPr>
    </w:p>
    <w:p w:rsidR="00E63685" w:rsidRDefault="005E5916">
      <w:pPr>
        <w:spacing w:line="360" w:lineRule="auto"/>
        <w:ind w:left="1152" w:right="456" w:hanging="567"/>
        <w:rPr>
          <w:rFonts w:ascii="Calibri" w:eastAsia="Calibri" w:hAnsi="Calibri" w:cs="Calibri"/>
          <w:sz w:val="24"/>
          <w:szCs w:val="24"/>
        </w:rPr>
      </w:pPr>
      <w:r>
        <w:rPr>
          <w:rFonts w:ascii="Calibri"/>
          <w:sz w:val="24"/>
        </w:rPr>
        <w:t xml:space="preserve">NHS Alliance. (2014) </w:t>
      </w:r>
      <w:r>
        <w:rPr>
          <w:rFonts w:ascii="Calibri"/>
          <w:i/>
          <w:sz w:val="24"/>
        </w:rPr>
        <w:t xml:space="preserve">A Charter for Community Development, </w:t>
      </w:r>
      <w:r>
        <w:rPr>
          <w:rFonts w:ascii="Calibri"/>
          <w:sz w:val="24"/>
        </w:rPr>
        <w:t>accessed</w:t>
      </w:r>
      <w:r>
        <w:rPr>
          <w:rFonts w:ascii="Calibri"/>
          <w:spacing w:val="-3"/>
          <w:sz w:val="24"/>
        </w:rPr>
        <w:t xml:space="preserve"> </w:t>
      </w:r>
      <w:r>
        <w:rPr>
          <w:rFonts w:ascii="Calibri"/>
          <w:sz w:val="24"/>
        </w:rPr>
        <w:t xml:space="preserve">at </w:t>
      </w:r>
      <w:hyperlink r:id="rId13">
        <w:r>
          <w:rPr>
            <w:rFonts w:ascii="Calibri"/>
            <w:color w:val="0000FF"/>
            <w:sz w:val="24"/>
            <w:u w:val="single" w:color="0000FF"/>
          </w:rPr>
          <w:t>http://www.nhsalliance.org/wp-content/uploads/2014/08/NHSA-CD-Charter-</w:t>
        </w:r>
      </w:hyperlink>
      <w:r>
        <w:rPr>
          <w:rFonts w:ascii="Calibri"/>
          <w:color w:val="0000FF"/>
          <w:sz w:val="24"/>
        </w:rPr>
        <w:t xml:space="preserve"> </w:t>
      </w:r>
      <w:r>
        <w:rPr>
          <w:rFonts w:ascii="Calibri"/>
          <w:color w:val="0000FF"/>
          <w:sz w:val="24"/>
          <w:u w:val="single" w:color="0000FF"/>
        </w:rPr>
        <w:t xml:space="preserve">FINAL.pdf </w:t>
      </w:r>
      <w:r>
        <w:rPr>
          <w:rFonts w:ascii="Calibri"/>
          <w:sz w:val="24"/>
        </w:rPr>
        <w:t>(22nd July</w:t>
      </w:r>
      <w:r>
        <w:rPr>
          <w:rFonts w:ascii="Calibri"/>
          <w:spacing w:val="-2"/>
          <w:sz w:val="24"/>
        </w:rPr>
        <w:t xml:space="preserve"> </w:t>
      </w:r>
      <w:r>
        <w:rPr>
          <w:rFonts w:ascii="Calibri"/>
          <w:sz w:val="24"/>
        </w:rPr>
        <w:t>2016)</w:t>
      </w:r>
    </w:p>
    <w:p w:rsidR="00E63685" w:rsidRDefault="00E63685">
      <w:pPr>
        <w:rPr>
          <w:rFonts w:ascii="Calibri" w:eastAsia="Calibri" w:hAnsi="Calibri" w:cs="Calibri"/>
          <w:sz w:val="15"/>
          <w:szCs w:val="15"/>
        </w:rPr>
      </w:pPr>
    </w:p>
    <w:p w:rsidR="00E63685" w:rsidRDefault="005E5916">
      <w:pPr>
        <w:pStyle w:val="BodyText"/>
        <w:spacing w:before="58" w:line="340" w:lineRule="auto"/>
        <w:ind w:left="1152" w:right="691" w:hanging="567"/>
      </w:pPr>
      <w:r>
        <w:t>Nutbeam, D. (2000) Health literacy as a public health goal: a challenge for contemporary health education and communication strategies into the</w:t>
      </w:r>
      <w:r>
        <w:rPr>
          <w:spacing w:val="-3"/>
        </w:rPr>
        <w:t xml:space="preserve"> </w:t>
      </w:r>
      <w:r>
        <w:t>21</w:t>
      </w:r>
      <w:r>
        <w:rPr>
          <w:position w:val="11"/>
          <w:sz w:val="16"/>
        </w:rPr>
        <w:t>st</w:t>
      </w:r>
      <w:r>
        <w:rPr>
          <w:w w:val="99"/>
          <w:position w:val="11"/>
          <w:sz w:val="16"/>
        </w:rPr>
        <w:t xml:space="preserve"> </w:t>
      </w:r>
      <w:r>
        <w:t>century,</w:t>
      </w:r>
      <w:r>
        <w:t xml:space="preserve"> </w:t>
      </w:r>
      <w:r>
        <w:rPr>
          <w:i/>
        </w:rPr>
        <w:t xml:space="preserve">Health Promotion International, </w:t>
      </w:r>
      <w:r>
        <w:rPr>
          <w:b/>
        </w:rPr>
        <w:t xml:space="preserve">15 </w:t>
      </w:r>
      <w:r>
        <w:t>(3)</w:t>
      </w:r>
      <w:r>
        <w:rPr>
          <w:spacing w:val="-1"/>
        </w:rPr>
        <w:t xml:space="preserve"> </w:t>
      </w:r>
      <w:r>
        <w:t>259-267.</w:t>
      </w:r>
    </w:p>
    <w:p w:rsidR="00E63685" w:rsidRDefault="00E63685">
      <w:pPr>
        <w:spacing w:before="9"/>
        <w:rPr>
          <w:rFonts w:ascii="Calibri" w:eastAsia="Calibri" w:hAnsi="Calibri" w:cs="Calibri"/>
          <w:sz w:val="21"/>
          <w:szCs w:val="21"/>
        </w:rPr>
      </w:pPr>
    </w:p>
    <w:p w:rsidR="00E63685" w:rsidRDefault="005E5916">
      <w:pPr>
        <w:spacing w:line="360" w:lineRule="auto"/>
        <w:ind w:left="1152" w:right="347" w:hanging="567"/>
        <w:rPr>
          <w:rFonts w:ascii="Calibri" w:eastAsia="Calibri" w:hAnsi="Calibri" w:cs="Calibri"/>
          <w:sz w:val="24"/>
          <w:szCs w:val="24"/>
        </w:rPr>
      </w:pPr>
      <w:r>
        <w:rPr>
          <w:rFonts w:ascii="Calibri"/>
          <w:sz w:val="24"/>
        </w:rPr>
        <w:t>Paasche-Orlow, M. Wilson, E. and McCormack, L. (2010) The evolving field of</w:t>
      </w:r>
      <w:r>
        <w:rPr>
          <w:rFonts w:ascii="Calibri"/>
          <w:spacing w:val="-8"/>
          <w:sz w:val="24"/>
        </w:rPr>
        <w:t xml:space="preserve"> </w:t>
      </w:r>
      <w:r>
        <w:rPr>
          <w:rFonts w:ascii="Calibri"/>
          <w:sz w:val="24"/>
        </w:rPr>
        <w:t xml:space="preserve">health literacy research, </w:t>
      </w:r>
      <w:r>
        <w:rPr>
          <w:rFonts w:ascii="Calibri"/>
          <w:i/>
          <w:sz w:val="24"/>
        </w:rPr>
        <w:t>Journal of Health Communication: International</w:t>
      </w:r>
      <w:r>
        <w:rPr>
          <w:rFonts w:ascii="Calibri"/>
          <w:i/>
          <w:spacing w:val="-1"/>
          <w:sz w:val="24"/>
        </w:rPr>
        <w:t xml:space="preserve"> </w:t>
      </w:r>
      <w:r>
        <w:rPr>
          <w:rFonts w:ascii="Calibri"/>
          <w:i/>
          <w:sz w:val="24"/>
        </w:rPr>
        <w:t xml:space="preserve">Perspectives, </w:t>
      </w:r>
      <w:r>
        <w:rPr>
          <w:rFonts w:ascii="Calibri"/>
          <w:b/>
          <w:sz w:val="24"/>
        </w:rPr>
        <w:t xml:space="preserve">15 </w:t>
      </w:r>
      <w:r>
        <w:rPr>
          <w:rFonts w:ascii="Calibri"/>
          <w:sz w:val="24"/>
        </w:rPr>
        <w:t>(S2) 5-8.</w:t>
      </w:r>
    </w:p>
    <w:p w:rsidR="00E63685" w:rsidRDefault="00E63685">
      <w:pPr>
        <w:spacing w:before="5"/>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sz w:val="24"/>
        </w:rPr>
        <w:t xml:space="preserve">Pavee Pont (2013) </w:t>
      </w:r>
      <w:r>
        <w:rPr>
          <w:rFonts w:ascii="Calibri"/>
          <w:i/>
          <w:sz w:val="24"/>
        </w:rPr>
        <w:t>Travelling with Austerity</w:t>
      </w:r>
      <w:r>
        <w:rPr>
          <w:rFonts w:ascii="Calibri"/>
          <w:sz w:val="24"/>
        </w:rPr>
        <w:t>, Brian Harvey Social Research,</w:t>
      </w:r>
      <w:r>
        <w:rPr>
          <w:rFonts w:ascii="Calibri"/>
          <w:spacing w:val="-3"/>
          <w:sz w:val="24"/>
        </w:rPr>
        <w:t xml:space="preserve"> </w:t>
      </w:r>
      <w:r>
        <w:rPr>
          <w:rFonts w:ascii="Calibri"/>
          <w:sz w:val="24"/>
        </w:rPr>
        <w:t>Dublin.</w:t>
      </w:r>
    </w:p>
    <w:p w:rsidR="00E63685" w:rsidRDefault="00E63685">
      <w:pPr>
        <w:spacing w:before="10"/>
        <w:rPr>
          <w:rFonts w:ascii="Calibri" w:eastAsia="Calibri" w:hAnsi="Calibri" w:cs="Calibri"/>
          <w:sz w:val="31"/>
          <w:szCs w:val="31"/>
        </w:rPr>
      </w:pPr>
    </w:p>
    <w:p w:rsidR="00E63685" w:rsidRDefault="005E5916">
      <w:pPr>
        <w:spacing w:line="357" w:lineRule="auto"/>
        <w:ind w:left="1152" w:right="495" w:hanging="567"/>
        <w:rPr>
          <w:rFonts w:ascii="Calibri" w:eastAsia="Calibri" w:hAnsi="Calibri" w:cs="Calibri"/>
          <w:sz w:val="24"/>
          <w:szCs w:val="24"/>
        </w:rPr>
      </w:pPr>
      <w:r>
        <w:rPr>
          <w:rFonts w:ascii="Calibri"/>
          <w:sz w:val="24"/>
        </w:rPr>
        <w:t xml:space="preserve">Popple, K. (2015) </w:t>
      </w:r>
      <w:r>
        <w:rPr>
          <w:rFonts w:ascii="Calibri"/>
          <w:i/>
          <w:sz w:val="24"/>
        </w:rPr>
        <w:t xml:space="preserve">Analysing Community Work: theory and practice, </w:t>
      </w:r>
      <w:r>
        <w:rPr>
          <w:rFonts w:ascii="Calibri"/>
          <w:sz w:val="24"/>
        </w:rPr>
        <w:t>Open</w:t>
      </w:r>
      <w:r>
        <w:rPr>
          <w:rFonts w:ascii="Calibri"/>
          <w:spacing w:val="-6"/>
          <w:sz w:val="24"/>
        </w:rPr>
        <w:t xml:space="preserve"> </w:t>
      </w:r>
      <w:r>
        <w:rPr>
          <w:rFonts w:ascii="Calibri"/>
          <w:sz w:val="24"/>
        </w:rPr>
        <w:t>University Press,</w:t>
      </w:r>
      <w:r>
        <w:rPr>
          <w:rFonts w:ascii="Calibri"/>
          <w:spacing w:val="-4"/>
          <w:sz w:val="24"/>
        </w:rPr>
        <w:t xml:space="preserve"> </w:t>
      </w:r>
      <w:r>
        <w:rPr>
          <w:rFonts w:ascii="Calibri"/>
          <w:sz w:val="24"/>
        </w:rPr>
        <w:t>Berkshire.</w:t>
      </w:r>
    </w:p>
    <w:p w:rsidR="00E63685" w:rsidRDefault="00E63685">
      <w:pPr>
        <w:spacing w:before="1"/>
        <w:rPr>
          <w:rFonts w:ascii="Calibri" w:eastAsia="Calibri" w:hAnsi="Calibri" w:cs="Calibri"/>
          <w:sz w:val="20"/>
          <w:szCs w:val="20"/>
        </w:rPr>
      </w:pPr>
    </w:p>
    <w:p w:rsidR="00E63685" w:rsidRDefault="005E5916">
      <w:pPr>
        <w:spacing w:line="357" w:lineRule="auto"/>
        <w:ind w:left="1152" w:right="586" w:hanging="567"/>
        <w:rPr>
          <w:rFonts w:ascii="Calibri" w:eastAsia="Calibri" w:hAnsi="Calibri" w:cs="Calibri"/>
          <w:sz w:val="24"/>
          <w:szCs w:val="24"/>
        </w:rPr>
      </w:pPr>
      <w:r>
        <w:rPr>
          <w:rFonts w:ascii="Calibri"/>
          <w:sz w:val="24"/>
        </w:rPr>
        <w:t xml:space="preserve">Public Health England, (2016) </w:t>
      </w:r>
      <w:r>
        <w:rPr>
          <w:rFonts w:ascii="Calibri"/>
          <w:i/>
          <w:sz w:val="24"/>
        </w:rPr>
        <w:t>Public Health Skills and Knowledge Framework,</w:t>
      </w:r>
      <w:r>
        <w:rPr>
          <w:rFonts w:ascii="Calibri"/>
          <w:i/>
          <w:spacing w:val="-2"/>
          <w:sz w:val="24"/>
        </w:rPr>
        <w:t xml:space="preserve"> </w:t>
      </w:r>
      <w:r>
        <w:rPr>
          <w:rFonts w:ascii="Calibri"/>
          <w:sz w:val="24"/>
        </w:rPr>
        <w:t>PHE, London.</w:t>
      </w:r>
    </w:p>
    <w:p w:rsidR="00E63685" w:rsidRDefault="00E63685">
      <w:pPr>
        <w:spacing w:line="357" w:lineRule="auto"/>
        <w:rPr>
          <w:rFonts w:ascii="Calibri" w:eastAsia="Calibri" w:hAnsi="Calibri" w:cs="Calibri"/>
          <w:sz w:val="24"/>
          <w:szCs w:val="24"/>
        </w:rPr>
        <w:sectPr w:rsidR="00E63685">
          <w:footerReference w:type="default" r:id="rId14"/>
          <w:pgSz w:w="11900" w:h="16840"/>
          <w:pgMar w:top="1400" w:right="1020" w:bottom="940" w:left="1680" w:header="0" w:footer="750" w:gutter="0"/>
          <w:pgNumType w:start="21"/>
          <w:cols w:space="720"/>
        </w:sectPr>
      </w:pPr>
    </w:p>
    <w:p w:rsidR="00E63685" w:rsidRDefault="005E5916">
      <w:pPr>
        <w:spacing w:before="48" w:line="360" w:lineRule="auto"/>
        <w:ind w:left="1152" w:right="204" w:hanging="567"/>
        <w:jc w:val="both"/>
        <w:rPr>
          <w:rFonts w:ascii="Calibri" w:eastAsia="Calibri" w:hAnsi="Calibri" w:cs="Calibri"/>
          <w:sz w:val="24"/>
          <w:szCs w:val="24"/>
        </w:rPr>
      </w:pPr>
      <w:r>
        <w:rPr>
          <w:rFonts w:ascii="Calibri"/>
          <w:sz w:val="24"/>
        </w:rPr>
        <w:lastRenderedPageBreak/>
        <w:t>Renwick, K. (2014) Critical health literacy: shifting textual-social practices in the</w:t>
      </w:r>
      <w:r>
        <w:rPr>
          <w:rFonts w:ascii="Calibri"/>
          <w:spacing w:val="-1"/>
          <w:sz w:val="24"/>
        </w:rPr>
        <w:t xml:space="preserve"> </w:t>
      </w:r>
      <w:r>
        <w:rPr>
          <w:rFonts w:ascii="Calibri"/>
          <w:sz w:val="24"/>
        </w:rPr>
        <w:t xml:space="preserve">health classroom, </w:t>
      </w:r>
      <w:r>
        <w:rPr>
          <w:rFonts w:ascii="Calibri"/>
          <w:i/>
          <w:sz w:val="24"/>
        </w:rPr>
        <w:t>Asia-Pacific Journal of Health, Sport and Physical Education</w:t>
      </w:r>
      <w:r>
        <w:rPr>
          <w:rFonts w:ascii="Calibri"/>
          <w:sz w:val="24"/>
        </w:rPr>
        <w:t xml:space="preserve">, </w:t>
      </w:r>
      <w:r>
        <w:rPr>
          <w:rFonts w:ascii="Calibri"/>
          <w:b/>
          <w:sz w:val="24"/>
        </w:rPr>
        <w:t>5</w:t>
      </w:r>
      <w:r>
        <w:rPr>
          <w:rFonts w:ascii="Calibri"/>
          <w:sz w:val="24"/>
        </w:rPr>
        <w:t>(3)</w:t>
      </w:r>
      <w:r>
        <w:rPr>
          <w:rFonts w:ascii="Calibri"/>
          <w:spacing w:val="-2"/>
          <w:sz w:val="24"/>
        </w:rPr>
        <w:t xml:space="preserve"> </w:t>
      </w:r>
      <w:r>
        <w:rPr>
          <w:rFonts w:ascii="Calibri"/>
          <w:sz w:val="24"/>
        </w:rPr>
        <w:t>201- 216</w:t>
      </w:r>
    </w:p>
    <w:p w:rsidR="00E63685" w:rsidRDefault="00E63685">
      <w:pPr>
        <w:spacing w:before="10"/>
        <w:rPr>
          <w:rFonts w:ascii="Calibri" w:eastAsia="Calibri" w:hAnsi="Calibri" w:cs="Calibri"/>
          <w:sz w:val="19"/>
          <w:szCs w:val="19"/>
        </w:rPr>
      </w:pPr>
    </w:p>
    <w:p w:rsidR="00E63685" w:rsidRDefault="005E5916">
      <w:pPr>
        <w:pStyle w:val="BodyText"/>
        <w:spacing w:line="345" w:lineRule="auto"/>
        <w:ind w:left="1152" w:right="414" w:hanging="567"/>
      </w:pPr>
      <w:r>
        <w:t>Shaw, M. (2005) ‘Political, professional, powerful: understanding community development’, paper presented at Community Development Exchange</w:t>
      </w:r>
      <w:r>
        <w:rPr>
          <w:spacing w:val="-9"/>
        </w:rPr>
        <w:t xml:space="preserve"> </w:t>
      </w:r>
      <w:r>
        <w:t>Annual Conference, 23</w:t>
      </w:r>
      <w:r>
        <w:rPr>
          <w:position w:val="11"/>
          <w:sz w:val="16"/>
          <w:szCs w:val="16"/>
        </w:rPr>
        <w:t>rd</w:t>
      </w:r>
      <w:r>
        <w:t>-25</w:t>
      </w:r>
      <w:r>
        <w:rPr>
          <w:position w:val="11"/>
          <w:sz w:val="16"/>
          <w:szCs w:val="16"/>
        </w:rPr>
        <w:t xml:space="preserve">th </w:t>
      </w:r>
      <w:r>
        <w:t>September 2005,</w:t>
      </w:r>
      <w:r>
        <w:rPr>
          <w:spacing w:val="7"/>
        </w:rPr>
        <w:t xml:space="preserve"> </w:t>
      </w:r>
      <w:r>
        <w:t>Leeds.</w:t>
      </w:r>
    </w:p>
    <w:p w:rsidR="00E63685" w:rsidRDefault="005E5916">
      <w:pPr>
        <w:pStyle w:val="BodyText"/>
        <w:spacing w:before="240" w:line="360" w:lineRule="auto"/>
        <w:ind w:left="1152" w:right="337" w:hanging="567"/>
        <w:jc w:val="both"/>
      </w:pPr>
      <w:r>
        <w:t>Shaw, M. (2011) Community development and the politics of commun</w:t>
      </w:r>
      <w:r>
        <w:t>ity, in Craig,</w:t>
      </w:r>
      <w:r>
        <w:rPr>
          <w:spacing w:val="-1"/>
        </w:rPr>
        <w:t xml:space="preserve"> </w:t>
      </w:r>
      <w:r>
        <w:t xml:space="preserve">G. Mayo, M. Popple, K. Shaw, M. and Taylor, M. eds </w:t>
      </w:r>
      <w:r>
        <w:rPr>
          <w:i/>
        </w:rPr>
        <w:t>The Community</w:t>
      </w:r>
      <w:r>
        <w:rPr>
          <w:i/>
          <w:spacing w:val="-1"/>
        </w:rPr>
        <w:t xml:space="preserve"> </w:t>
      </w:r>
      <w:r>
        <w:rPr>
          <w:i/>
        </w:rPr>
        <w:t>Development Reade</w:t>
      </w:r>
      <w:r>
        <w:t>r, The Policy Press, Bristol, pp</w:t>
      </w:r>
      <w:r>
        <w:rPr>
          <w:spacing w:val="-6"/>
        </w:rPr>
        <w:t xml:space="preserve"> </w:t>
      </w:r>
      <w:r>
        <w:t>301-309.</w:t>
      </w:r>
    </w:p>
    <w:p w:rsidR="00E63685" w:rsidRDefault="00E63685">
      <w:pPr>
        <w:spacing w:before="9"/>
        <w:rPr>
          <w:rFonts w:ascii="Calibri" w:eastAsia="Calibri" w:hAnsi="Calibri" w:cs="Calibri"/>
          <w:sz w:val="25"/>
          <w:szCs w:val="25"/>
        </w:rPr>
      </w:pPr>
    </w:p>
    <w:p w:rsidR="00E63685" w:rsidRDefault="005E5916">
      <w:pPr>
        <w:ind w:left="585" w:right="143"/>
        <w:rPr>
          <w:rFonts w:ascii="Calibri" w:eastAsia="Calibri" w:hAnsi="Calibri" w:cs="Calibri"/>
          <w:sz w:val="24"/>
          <w:szCs w:val="24"/>
        </w:rPr>
      </w:pPr>
      <w:r>
        <w:rPr>
          <w:rFonts w:ascii="Calibri"/>
          <w:sz w:val="24"/>
        </w:rPr>
        <w:t xml:space="preserve">Simons, H. (2009). </w:t>
      </w:r>
      <w:r>
        <w:rPr>
          <w:rFonts w:ascii="Calibri"/>
          <w:i/>
          <w:sz w:val="24"/>
        </w:rPr>
        <w:t>Case Study Research in Practice</w:t>
      </w:r>
      <w:r>
        <w:rPr>
          <w:rFonts w:ascii="Calibri"/>
          <w:sz w:val="24"/>
        </w:rPr>
        <w:t>. Sage,</w:t>
      </w:r>
      <w:r>
        <w:rPr>
          <w:rFonts w:ascii="Calibri"/>
          <w:spacing w:val="-3"/>
          <w:sz w:val="24"/>
        </w:rPr>
        <w:t xml:space="preserve"> </w:t>
      </w:r>
      <w:r>
        <w:rPr>
          <w:rFonts w:ascii="Calibri"/>
          <w:sz w:val="24"/>
        </w:rPr>
        <w:t>London.</w:t>
      </w:r>
    </w:p>
    <w:p w:rsidR="00E63685" w:rsidRDefault="00E63685">
      <w:pPr>
        <w:spacing w:before="2"/>
        <w:rPr>
          <w:rFonts w:ascii="Calibri" w:eastAsia="Calibri" w:hAnsi="Calibri" w:cs="Calibri"/>
          <w:sz w:val="25"/>
          <w:szCs w:val="25"/>
        </w:rPr>
      </w:pPr>
    </w:p>
    <w:p w:rsidR="00E63685" w:rsidRDefault="005E5916">
      <w:pPr>
        <w:spacing w:line="295" w:lineRule="auto"/>
        <w:ind w:left="585" w:right="211"/>
        <w:rPr>
          <w:rFonts w:ascii="Calibri" w:eastAsia="Calibri" w:hAnsi="Calibri" w:cs="Calibri"/>
          <w:sz w:val="24"/>
          <w:szCs w:val="24"/>
        </w:rPr>
      </w:pPr>
      <w:r>
        <w:rPr>
          <w:rFonts w:ascii="Calibri"/>
          <w:sz w:val="24"/>
        </w:rPr>
        <w:t xml:space="preserve">South, J. (2015) A </w:t>
      </w:r>
      <w:r>
        <w:rPr>
          <w:rFonts w:ascii="Calibri"/>
          <w:i/>
          <w:sz w:val="24"/>
        </w:rPr>
        <w:t>Guide to Community-centred App</w:t>
      </w:r>
      <w:r>
        <w:rPr>
          <w:rFonts w:ascii="Calibri"/>
          <w:i/>
          <w:sz w:val="24"/>
        </w:rPr>
        <w:t>roaches for Health and</w:t>
      </w:r>
      <w:r>
        <w:rPr>
          <w:rFonts w:ascii="Calibri"/>
          <w:i/>
          <w:spacing w:val="-5"/>
          <w:sz w:val="24"/>
        </w:rPr>
        <w:t xml:space="preserve"> </w:t>
      </w:r>
      <w:r>
        <w:rPr>
          <w:rFonts w:ascii="Calibri"/>
          <w:i/>
          <w:sz w:val="24"/>
        </w:rPr>
        <w:t>Well-being</w:t>
      </w:r>
      <w:r>
        <w:rPr>
          <w:rFonts w:ascii="Calibri"/>
          <w:sz w:val="24"/>
        </w:rPr>
        <w:t>. Public Health England, London.</w:t>
      </w:r>
    </w:p>
    <w:p w:rsidR="00E63685" w:rsidRDefault="00E63685">
      <w:pPr>
        <w:spacing w:before="8"/>
        <w:rPr>
          <w:rFonts w:ascii="Calibri" w:eastAsia="Calibri" w:hAnsi="Calibri" w:cs="Calibri"/>
          <w:sz w:val="19"/>
          <w:szCs w:val="19"/>
        </w:rPr>
      </w:pPr>
    </w:p>
    <w:p w:rsidR="00E63685" w:rsidRDefault="005E5916">
      <w:pPr>
        <w:ind w:left="585" w:right="143"/>
        <w:rPr>
          <w:rFonts w:ascii="Calibri" w:eastAsia="Calibri" w:hAnsi="Calibri" w:cs="Calibri"/>
          <w:sz w:val="24"/>
          <w:szCs w:val="24"/>
        </w:rPr>
      </w:pPr>
      <w:r>
        <w:rPr>
          <w:rFonts w:ascii="Calibri"/>
          <w:sz w:val="24"/>
        </w:rPr>
        <w:t xml:space="preserve">Stake, R. (1995) </w:t>
      </w:r>
      <w:r>
        <w:rPr>
          <w:rFonts w:ascii="Calibri"/>
          <w:i/>
          <w:sz w:val="24"/>
        </w:rPr>
        <w:t>The Art of Case Study Research</w:t>
      </w:r>
      <w:r>
        <w:rPr>
          <w:rFonts w:ascii="Calibri"/>
          <w:sz w:val="24"/>
        </w:rPr>
        <w:t>, Sage,</w:t>
      </w:r>
      <w:r>
        <w:rPr>
          <w:rFonts w:ascii="Calibri"/>
          <w:spacing w:val="-1"/>
          <w:sz w:val="24"/>
        </w:rPr>
        <w:t xml:space="preserve"> </w:t>
      </w:r>
      <w:r>
        <w:rPr>
          <w:rFonts w:ascii="Calibri"/>
          <w:sz w:val="24"/>
        </w:rPr>
        <w:t>London.</w:t>
      </w:r>
    </w:p>
    <w:p w:rsidR="00E63685" w:rsidRDefault="00E63685">
      <w:pPr>
        <w:spacing w:before="3"/>
        <w:rPr>
          <w:rFonts w:ascii="Calibri" w:eastAsia="Calibri" w:hAnsi="Calibri" w:cs="Calibri"/>
          <w:sz w:val="19"/>
          <w:szCs w:val="19"/>
        </w:rPr>
      </w:pPr>
    </w:p>
    <w:p w:rsidR="00E63685" w:rsidRDefault="005E5916">
      <w:pPr>
        <w:pStyle w:val="BodyText"/>
        <w:spacing w:line="362" w:lineRule="auto"/>
        <w:ind w:left="1152" w:right="657" w:hanging="567"/>
      </w:pPr>
      <w:r>
        <w:t>Sykes, S. Wills, J. Rowlands, G. and Popple, K. (2013) Understanding critical</w:t>
      </w:r>
      <w:r>
        <w:rPr>
          <w:spacing w:val="-7"/>
        </w:rPr>
        <w:t xml:space="preserve"> </w:t>
      </w:r>
      <w:r>
        <w:t xml:space="preserve">health literacy; a concept analysis, </w:t>
      </w:r>
      <w:r>
        <w:rPr>
          <w:i/>
        </w:rPr>
        <w:t xml:space="preserve">BMC Public Health, </w:t>
      </w:r>
      <w:r>
        <w:rPr>
          <w:b/>
        </w:rPr>
        <w:t>13</w:t>
      </w:r>
      <w:r>
        <w:rPr>
          <w:b/>
          <w:spacing w:val="-2"/>
        </w:rPr>
        <w:t xml:space="preserve"> </w:t>
      </w:r>
      <w:r>
        <w:t>150.</w:t>
      </w:r>
    </w:p>
    <w:p w:rsidR="00E63685" w:rsidRDefault="00E63685">
      <w:pPr>
        <w:spacing w:before="2"/>
        <w:rPr>
          <w:rFonts w:ascii="Calibri" w:eastAsia="Calibri" w:hAnsi="Calibri" w:cs="Calibri"/>
          <w:sz w:val="19"/>
          <w:szCs w:val="19"/>
        </w:rPr>
      </w:pPr>
    </w:p>
    <w:p w:rsidR="00E63685" w:rsidRDefault="005E5916">
      <w:pPr>
        <w:spacing w:line="360" w:lineRule="auto"/>
        <w:ind w:left="1152" w:right="106" w:hanging="567"/>
        <w:rPr>
          <w:rFonts w:ascii="Calibri" w:eastAsia="Calibri" w:hAnsi="Calibri" w:cs="Calibri"/>
          <w:sz w:val="24"/>
          <w:szCs w:val="24"/>
        </w:rPr>
      </w:pPr>
      <w:r>
        <w:rPr>
          <w:rFonts w:ascii="Calibri"/>
          <w:sz w:val="24"/>
        </w:rPr>
        <w:t xml:space="preserve">United Nations (2015) </w:t>
      </w:r>
      <w:r>
        <w:rPr>
          <w:rFonts w:ascii="Calibri"/>
          <w:i/>
          <w:sz w:val="24"/>
        </w:rPr>
        <w:t xml:space="preserve">Transforming our World; The 20130 agenda for sustainable development, </w:t>
      </w:r>
      <w:r>
        <w:rPr>
          <w:rFonts w:ascii="Calibri"/>
          <w:sz w:val="24"/>
        </w:rPr>
        <w:t xml:space="preserve">accessed at: </w:t>
      </w:r>
      <w:r>
        <w:rPr>
          <w:rFonts w:ascii="Calibri"/>
          <w:color w:val="0000FF"/>
          <w:sz w:val="24"/>
          <w:u w:val="single" w:color="0000FF"/>
        </w:rPr>
        <w:t>https://sustainabledevelopment.un.org/post2015/transformingourworld/publica</w:t>
      </w:r>
      <w:r>
        <w:rPr>
          <w:rFonts w:ascii="Calibri"/>
          <w:color w:val="0000FF"/>
          <w:sz w:val="24"/>
        </w:rPr>
        <w:t xml:space="preserve"> </w:t>
      </w:r>
      <w:r>
        <w:rPr>
          <w:rFonts w:ascii="Calibri"/>
          <w:color w:val="0000FF"/>
          <w:sz w:val="24"/>
          <w:u w:val="single" w:color="0000FF"/>
        </w:rPr>
        <w:t xml:space="preserve">tion </w:t>
      </w:r>
      <w:r>
        <w:rPr>
          <w:rFonts w:ascii="Calibri"/>
          <w:sz w:val="24"/>
        </w:rPr>
        <w:t>(13th September 2016)</w:t>
      </w:r>
    </w:p>
    <w:p w:rsidR="00E63685" w:rsidRDefault="00E63685">
      <w:pPr>
        <w:spacing w:before="8"/>
        <w:rPr>
          <w:rFonts w:ascii="Calibri" w:eastAsia="Calibri" w:hAnsi="Calibri" w:cs="Calibri"/>
          <w:sz w:val="14"/>
          <w:szCs w:val="14"/>
        </w:rPr>
      </w:pPr>
    </w:p>
    <w:p w:rsidR="00E63685" w:rsidRDefault="005E5916">
      <w:pPr>
        <w:spacing w:before="58" w:line="362" w:lineRule="auto"/>
        <w:ind w:left="1152" w:right="775" w:hanging="567"/>
        <w:rPr>
          <w:rFonts w:ascii="Calibri" w:eastAsia="Calibri" w:hAnsi="Calibri" w:cs="Calibri"/>
          <w:sz w:val="24"/>
          <w:szCs w:val="24"/>
        </w:rPr>
      </w:pPr>
      <w:r>
        <w:rPr>
          <w:rFonts w:ascii="Calibri"/>
          <w:sz w:val="24"/>
        </w:rPr>
        <w:t>Wallerstein, N. (20</w:t>
      </w:r>
      <w:r>
        <w:rPr>
          <w:rFonts w:ascii="Calibri"/>
          <w:sz w:val="24"/>
        </w:rPr>
        <w:t xml:space="preserve">06) </w:t>
      </w:r>
      <w:r>
        <w:rPr>
          <w:rFonts w:ascii="Calibri"/>
          <w:i/>
          <w:sz w:val="24"/>
        </w:rPr>
        <w:t>What is the Evidence on Effectiveness of Empowerment</w:t>
      </w:r>
      <w:r>
        <w:rPr>
          <w:rFonts w:ascii="Calibri"/>
          <w:i/>
          <w:spacing w:val="-1"/>
          <w:sz w:val="24"/>
        </w:rPr>
        <w:t xml:space="preserve"> </w:t>
      </w:r>
      <w:r>
        <w:rPr>
          <w:rFonts w:ascii="Calibri"/>
          <w:i/>
          <w:sz w:val="24"/>
        </w:rPr>
        <w:t xml:space="preserve">to Improve Health? </w:t>
      </w:r>
      <w:r>
        <w:rPr>
          <w:rFonts w:ascii="Calibri"/>
          <w:sz w:val="24"/>
        </w:rPr>
        <w:t>WHO Regional Office for Europe,</w:t>
      </w:r>
      <w:r>
        <w:rPr>
          <w:rFonts w:ascii="Calibri"/>
          <w:spacing w:val="-1"/>
          <w:sz w:val="24"/>
        </w:rPr>
        <w:t xml:space="preserve"> </w:t>
      </w:r>
      <w:r>
        <w:rPr>
          <w:rFonts w:ascii="Calibri"/>
          <w:sz w:val="24"/>
        </w:rPr>
        <w:t>Copenhagen.</w:t>
      </w:r>
    </w:p>
    <w:p w:rsidR="00E63685" w:rsidRDefault="00E63685">
      <w:pPr>
        <w:spacing w:before="2"/>
        <w:rPr>
          <w:rFonts w:ascii="Calibri" w:eastAsia="Calibri" w:hAnsi="Calibri" w:cs="Calibri"/>
          <w:sz w:val="19"/>
          <w:szCs w:val="19"/>
        </w:rPr>
      </w:pPr>
    </w:p>
    <w:p w:rsidR="00E63685" w:rsidRDefault="005E5916">
      <w:pPr>
        <w:spacing w:line="362" w:lineRule="auto"/>
        <w:ind w:left="1152" w:right="1261" w:hanging="567"/>
        <w:rPr>
          <w:rFonts w:ascii="Calibri" w:eastAsia="Calibri" w:hAnsi="Calibri" w:cs="Calibri"/>
          <w:sz w:val="24"/>
          <w:szCs w:val="24"/>
        </w:rPr>
      </w:pPr>
      <w:r>
        <w:rPr>
          <w:rFonts w:ascii="Calibri"/>
          <w:sz w:val="24"/>
        </w:rPr>
        <w:t xml:space="preserve">Westoby, P and Shevellar, L. (2012) </w:t>
      </w:r>
      <w:r>
        <w:rPr>
          <w:rFonts w:ascii="Calibri"/>
          <w:i/>
          <w:sz w:val="24"/>
        </w:rPr>
        <w:t xml:space="preserve">Learning and Mobilising for Community Development, </w:t>
      </w:r>
      <w:r>
        <w:rPr>
          <w:rFonts w:ascii="Calibri"/>
          <w:sz w:val="24"/>
        </w:rPr>
        <w:t>Routledge, London.</w:t>
      </w:r>
    </w:p>
    <w:p w:rsidR="00E63685" w:rsidRDefault="00E63685">
      <w:pPr>
        <w:spacing w:before="7"/>
        <w:rPr>
          <w:rFonts w:ascii="Calibri" w:eastAsia="Calibri" w:hAnsi="Calibri" w:cs="Calibri"/>
          <w:sz w:val="19"/>
          <w:szCs w:val="19"/>
        </w:rPr>
      </w:pPr>
    </w:p>
    <w:p w:rsidR="00E63685" w:rsidRDefault="005E5916">
      <w:pPr>
        <w:pStyle w:val="BodyText"/>
        <w:spacing w:line="357" w:lineRule="auto"/>
        <w:ind w:left="1152" w:right="327" w:hanging="567"/>
      </w:pPr>
      <w:r>
        <w:t>Wise, M. and Nutbeam, D. (20</w:t>
      </w:r>
      <w:r>
        <w:t>15) Improving the health of communities by</w:t>
      </w:r>
      <w:r>
        <w:rPr>
          <w:spacing w:val="-2"/>
        </w:rPr>
        <w:t xml:space="preserve"> </w:t>
      </w:r>
      <w:r>
        <w:t xml:space="preserve">increasing critical health literacy, </w:t>
      </w:r>
      <w:r>
        <w:rPr>
          <w:i/>
        </w:rPr>
        <w:t>Health Voices</w:t>
      </w:r>
      <w:r>
        <w:t xml:space="preserve">, </w:t>
      </w:r>
      <w:r>
        <w:rPr>
          <w:b/>
        </w:rPr>
        <w:t>17</w:t>
      </w:r>
      <w:r>
        <w:rPr>
          <w:b/>
          <w:spacing w:val="-2"/>
        </w:rPr>
        <w:t xml:space="preserve"> </w:t>
      </w:r>
      <w:r>
        <w:t>23-25.</w:t>
      </w:r>
    </w:p>
    <w:p w:rsidR="00E63685" w:rsidRDefault="00E63685">
      <w:pPr>
        <w:spacing w:line="357" w:lineRule="auto"/>
        <w:sectPr w:rsidR="00E63685">
          <w:pgSz w:w="11900" w:h="16840"/>
          <w:pgMar w:top="1400" w:right="1020" w:bottom="940" w:left="1680" w:header="0" w:footer="750" w:gutter="0"/>
          <w:cols w:space="720"/>
        </w:sectPr>
      </w:pPr>
    </w:p>
    <w:p w:rsidR="00E63685" w:rsidRDefault="005E5916">
      <w:pPr>
        <w:spacing w:before="48" w:line="362" w:lineRule="auto"/>
        <w:ind w:left="1152" w:right="486" w:hanging="567"/>
        <w:rPr>
          <w:rFonts w:ascii="Calibri" w:eastAsia="Calibri" w:hAnsi="Calibri" w:cs="Calibri"/>
          <w:sz w:val="24"/>
          <w:szCs w:val="24"/>
        </w:rPr>
      </w:pPr>
      <w:r>
        <w:rPr>
          <w:rFonts w:ascii="Calibri"/>
          <w:sz w:val="24"/>
        </w:rPr>
        <w:lastRenderedPageBreak/>
        <w:t xml:space="preserve">WHO (2015) </w:t>
      </w:r>
      <w:r>
        <w:rPr>
          <w:rFonts w:ascii="Calibri"/>
          <w:i/>
          <w:sz w:val="24"/>
        </w:rPr>
        <w:t>Health Literacy Tool-kit for Low and Middle Income Countries</w:t>
      </w:r>
      <w:r>
        <w:rPr>
          <w:rFonts w:ascii="Calibri"/>
          <w:sz w:val="24"/>
        </w:rPr>
        <w:t>.</w:t>
      </w:r>
      <w:r>
        <w:rPr>
          <w:rFonts w:ascii="Calibri"/>
          <w:spacing w:val="-3"/>
          <w:sz w:val="24"/>
        </w:rPr>
        <w:t xml:space="preserve"> </w:t>
      </w:r>
      <w:r>
        <w:rPr>
          <w:rFonts w:ascii="Calibri"/>
          <w:sz w:val="24"/>
        </w:rPr>
        <w:t>Geneva, WHO</w:t>
      </w:r>
    </w:p>
    <w:p w:rsidR="00E63685" w:rsidRDefault="00E63685">
      <w:pPr>
        <w:spacing w:before="2"/>
        <w:rPr>
          <w:rFonts w:ascii="Calibri" w:eastAsia="Calibri" w:hAnsi="Calibri" w:cs="Calibri"/>
          <w:sz w:val="19"/>
          <w:szCs w:val="19"/>
        </w:rPr>
      </w:pPr>
    </w:p>
    <w:p w:rsidR="00E63685" w:rsidRDefault="005E5916">
      <w:pPr>
        <w:spacing w:line="350" w:lineRule="auto"/>
        <w:ind w:left="585" w:right="885"/>
        <w:rPr>
          <w:rFonts w:ascii="Calibri" w:eastAsia="Calibri" w:hAnsi="Calibri" w:cs="Calibri"/>
          <w:sz w:val="24"/>
          <w:szCs w:val="24"/>
        </w:rPr>
      </w:pPr>
      <w:r>
        <w:rPr>
          <w:rFonts w:ascii="Calibri"/>
          <w:sz w:val="24"/>
        </w:rPr>
        <w:t xml:space="preserve">WHO (2016) </w:t>
      </w:r>
      <w:r>
        <w:rPr>
          <w:rFonts w:ascii="Calibri"/>
          <w:i/>
          <w:sz w:val="24"/>
        </w:rPr>
        <w:t xml:space="preserve">Shanghai Declaration on Promoting Health in the 2030 Agenda for Sustainable Development, </w:t>
      </w:r>
      <w:r>
        <w:rPr>
          <w:rFonts w:ascii="Calibri"/>
          <w:sz w:val="24"/>
        </w:rPr>
        <w:t>accessed</w:t>
      </w:r>
      <w:r>
        <w:rPr>
          <w:rFonts w:ascii="Calibri"/>
          <w:spacing w:val="-1"/>
          <w:sz w:val="24"/>
        </w:rPr>
        <w:t xml:space="preserve"> </w:t>
      </w:r>
      <w:r>
        <w:rPr>
          <w:rFonts w:ascii="Calibri"/>
          <w:sz w:val="24"/>
        </w:rPr>
        <w:t xml:space="preserve">at: </w:t>
      </w:r>
      <w:hyperlink r:id="rId15">
        <w:r>
          <w:rPr>
            <w:rFonts w:ascii="Calibri"/>
            <w:color w:val="0000FF"/>
            <w:sz w:val="24"/>
            <w:u w:val="single" w:color="0000FF"/>
          </w:rPr>
          <w:t>http://www.who.int/healthpromotion/conferences/9gchp/shanghai-</w:t>
        </w:r>
      </w:hyperlink>
      <w:r>
        <w:rPr>
          <w:rFonts w:ascii="Calibri"/>
          <w:color w:val="0000FF"/>
          <w:sz w:val="24"/>
        </w:rPr>
        <w:t xml:space="preserve"> </w:t>
      </w:r>
      <w:r>
        <w:rPr>
          <w:rFonts w:ascii="Calibri"/>
          <w:color w:val="0000FF"/>
          <w:sz w:val="24"/>
          <w:u w:val="single" w:color="0000FF"/>
        </w:rPr>
        <w:t>declarati</w:t>
      </w:r>
      <w:r>
        <w:rPr>
          <w:rFonts w:ascii="Calibri"/>
          <w:color w:val="0000FF"/>
          <w:sz w:val="24"/>
          <w:u w:val="single" w:color="0000FF"/>
        </w:rPr>
        <w:t xml:space="preserve">on.pdf?ua=1 </w:t>
      </w:r>
      <w:r>
        <w:rPr>
          <w:rFonts w:ascii="Calibri"/>
          <w:sz w:val="24"/>
        </w:rPr>
        <w:t>(24</w:t>
      </w:r>
      <w:r>
        <w:rPr>
          <w:rFonts w:ascii="Calibri"/>
          <w:position w:val="11"/>
          <w:sz w:val="16"/>
        </w:rPr>
        <w:t xml:space="preserve">th </w:t>
      </w:r>
      <w:r>
        <w:rPr>
          <w:rFonts w:ascii="Calibri"/>
          <w:sz w:val="24"/>
        </w:rPr>
        <w:t>November</w:t>
      </w:r>
      <w:r>
        <w:rPr>
          <w:rFonts w:ascii="Calibri"/>
          <w:spacing w:val="6"/>
          <w:sz w:val="24"/>
        </w:rPr>
        <w:t xml:space="preserve"> </w:t>
      </w:r>
      <w:r>
        <w:rPr>
          <w:rFonts w:ascii="Calibri"/>
          <w:sz w:val="24"/>
        </w:rPr>
        <w:t>2016)</w:t>
      </w:r>
    </w:p>
    <w:p w:rsidR="00E63685" w:rsidRDefault="00E63685">
      <w:pPr>
        <w:spacing w:before="4"/>
        <w:rPr>
          <w:rFonts w:ascii="Calibri" w:eastAsia="Calibri" w:hAnsi="Calibri" w:cs="Calibri"/>
          <w:sz w:val="14"/>
          <w:szCs w:val="14"/>
        </w:rPr>
      </w:pPr>
    </w:p>
    <w:p w:rsidR="00E63685" w:rsidRDefault="005E5916">
      <w:pPr>
        <w:pStyle w:val="BodyText"/>
        <w:spacing w:before="58"/>
        <w:ind w:right="143"/>
      </w:pPr>
      <w:r>
        <w:t>Woodall, J. Warwick-Booth, L. and Cross, R. (2012) Has empowerment lost its power?</w:t>
      </w:r>
    </w:p>
    <w:p w:rsidR="00E63685" w:rsidRDefault="005E5916">
      <w:pPr>
        <w:spacing w:before="148"/>
        <w:ind w:left="1152" w:right="143"/>
        <w:rPr>
          <w:rFonts w:ascii="Calibri" w:eastAsia="Calibri" w:hAnsi="Calibri" w:cs="Calibri"/>
          <w:sz w:val="24"/>
          <w:szCs w:val="24"/>
        </w:rPr>
      </w:pPr>
      <w:r>
        <w:rPr>
          <w:rFonts w:ascii="Calibri"/>
          <w:i/>
          <w:sz w:val="24"/>
        </w:rPr>
        <w:t>Health Education Research</w:t>
      </w:r>
      <w:r>
        <w:rPr>
          <w:rFonts w:ascii="Calibri"/>
          <w:sz w:val="24"/>
        </w:rPr>
        <w:t xml:space="preserve">, </w:t>
      </w:r>
      <w:r>
        <w:rPr>
          <w:rFonts w:ascii="Calibri"/>
          <w:b/>
          <w:sz w:val="24"/>
        </w:rPr>
        <w:t>27</w:t>
      </w:r>
      <w:r>
        <w:rPr>
          <w:rFonts w:ascii="Calibri"/>
          <w:sz w:val="24"/>
        </w:rPr>
        <w:t>(4)</w:t>
      </w:r>
      <w:r>
        <w:rPr>
          <w:rFonts w:ascii="Calibri"/>
          <w:spacing w:val="-4"/>
          <w:sz w:val="24"/>
        </w:rPr>
        <w:t xml:space="preserve"> </w:t>
      </w:r>
      <w:r>
        <w:rPr>
          <w:rFonts w:ascii="Calibri"/>
          <w:sz w:val="24"/>
        </w:rPr>
        <w:t>742-745.</w:t>
      </w:r>
    </w:p>
    <w:p w:rsidR="00E63685" w:rsidRDefault="00E63685">
      <w:pPr>
        <w:spacing w:before="5"/>
        <w:rPr>
          <w:rFonts w:ascii="Calibri" w:eastAsia="Calibri" w:hAnsi="Calibri" w:cs="Calibri"/>
          <w:sz w:val="31"/>
          <w:szCs w:val="31"/>
        </w:rPr>
      </w:pPr>
    </w:p>
    <w:p w:rsidR="00E63685" w:rsidRDefault="005E5916">
      <w:pPr>
        <w:ind w:left="585" w:right="143"/>
        <w:rPr>
          <w:rFonts w:ascii="Calibri" w:eastAsia="Calibri" w:hAnsi="Calibri" w:cs="Calibri"/>
          <w:sz w:val="24"/>
          <w:szCs w:val="24"/>
        </w:rPr>
      </w:pPr>
      <w:r>
        <w:rPr>
          <w:rFonts w:ascii="Calibri"/>
          <w:sz w:val="24"/>
        </w:rPr>
        <w:t xml:space="preserve">Yin, R. (2014) </w:t>
      </w:r>
      <w:r>
        <w:rPr>
          <w:rFonts w:ascii="Calibri"/>
          <w:i/>
          <w:sz w:val="24"/>
        </w:rPr>
        <w:t>Case Study Research: Design and Methods</w:t>
      </w:r>
      <w:r>
        <w:rPr>
          <w:rFonts w:ascii="Calibri"/>
          <w:sz w:val="24"/>
        </w:rPr>
        <w:t>, Sage,</w:t>
      </w:r>
      <w:r>
        <w:rPr>
          <w:rFonts w:ascii="Calibri"/>
          <w:spacing w:val="-2"/>
          <w:sz w:val="24"/>
        </w:rPr>
        <w:t xml:space="preserve"> </w:t>
      </w:r>
      <w:r>
        <w:rPr>
          <w:rFonts w:ascii="Calibri"/>
          <w:sz w:val="24"/>
        </w:rPr>
        <w:t>London.</w:t>
      </w:r>
    </w:p>
    <w:p w:rsidR="00E63685" w:rsidRDefault="00E63685">
      <w:pPr>
        <w:spacing w:before="10"/>
        <w:rPr>
          <w:rFonts w:ascii="Calibri" w:eastAsia="Calibri" w:hAnsi="Calibri" w:cs="Calibri"/>
          <w:sz w:val="31"/>
          <w:szCs w:val="31"/>
        </w:rPr>
      </w:pPr>
    </w:p>
    <w:p w:rsidR="00E63685" w:rsidRDefault="005E5916">
      <w:pPr>
        <w:spacing w:line="362" w:lineRule="auto"/>
        <w:ind w:left="1152" w:right="921" w:hanging="567"/>
        <w:rPr>
          <w:rFonts w:ascii="Calibri" w:eastAsia="Calibri" w:hAnsi="Calibri" w:cs="Calibri"/>
          <w:sz w:val="24"/>
          <w:szCs w:val="24"/>
        </w:rPr>
      </w:pPr>
      <w:r>
        <w:rPr>
          <w:rFonts w:ascii="Calibri"/>
          <w:sz w:val="24"/>
        </w:rPr>
        <w:t>Zarcadoolas C, Pleasant A and Greer D (2005) Elaborating a definition of</w:t>
      </w:r>
      <w:r>
        <w:rPr>
          <w:rFonts w:ascii="Calibri"/>
          <w:spacing w:val="-1"/>
          <w:sz w:val="24"/>
        </w:rPr>
        <w:t xml:space="preserve"> </w:t>
      </w:r>
      <w:r>
        <w:rPr>
          <w:rFonts w:ascii="Calibri"/>
          <w:sz w:val="24"/>
        </w:rPr>
        <w:t xml:space="preserve">health literacy: a commentary, </w:t>
      </w:r>
      <w:r>
        <w:rPr>
          <w:rFonts w:ascii="Calibri"/>
          <w:i/>
          <w:sz w:val="24"/>
        </w:rPr>
        <w:t>Journal of Health Communication</w:t>
      </w:r>
      <w:r>
        <w:rPr>
          <w:rFonts w:ascii="Calibri"/>
          <w:sz w:val="24"/>
        </w:rPr>
        <w:t xml:space="preserve">, </w:t>
      </w:r>
      <w:r>
        <w:rPr>
          <w:rFonts w:ascii="Calibri"/>
          <w:b/>
          <w:sz w:val="24"/>
        </w:rPr>
        <w:t>8</w:t>
      </w:r>
      <w:r>
        <w:rPr>
          <w:rFonts w:ascii="Calibri"/>
          <w:b/>
          <w:spacing w:val="-2"/>
          <w:sz w:val="24"/>
        </w:rPr>
        <w:t xml:space="preserve"> </w:t>
      </w:r>
      <w:r>
        <w:rPr>
          <w:rFonts w:ascii="Calibri"/>
          <w:sz w:val="24"/>
        </w:rPr>
        <w:t>119-121.</w:t>
      </w:r>
    </w:p>
    <w:p w:rsidR="00E63685" w:rsidRDefault="00E63685">
      <w:pPr>
        <w:spacing w:line="362" w:lineRule="auto"/>
        <w:rPr>
          <w:rFonts w:ascii="Calibri" w:eastAsia="Calibri" w:hAnsi="Calibri" w:cs="Calibri"/>
          <w:sz w:val="24"/>
          <w:szCs w:val="24"/>
        </w:rPr>
        <w:sectPr w:rsidR="00E63685">
          <w:pgSz w:w="11900" w:h="16840"/>
          <w:pgMar w:top="1400" w:right="1020" w:bottom="940" w:left="1680" w:header="0" w:footer="750" w:gutter="0"/>
          <w:cols w:space="720"/>
        </w:sectPr>
      </w:pPr>
    </w:p>
    <w:p w:rsidR="00E63685" w:rsidRDefault="00E63685">
      <w:pPr>
        <w:spacing w:before="5"/>
        <w:rPr>
          <w:rFonts w:ascii="Times New Roman" w:eastAsia="Times New Roman" w:hAnsi="Times New Roman" w:cs="Times New Roman"/>
          <w:sz w:val="17"/>
          <w:szCs w:val="17"/>
        </w:rPr>
      </w:pPr>
    </w:p>
    <w:sectPr w:rsidR="00E63685">
      <w:footerReference w:type="default" r:id="rId16"/>
      <w:pgSz w:w="11900" w:h="16840"/>
      <w:pgMar w:top="1600" w:right="1020" w:bottom="920" w:left="1680" w:header="0"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916">
      <w:r>
        <w:separator/>
      </w:r>
    </w:p>
  </w:endnote>
  <w:endnote w:type="continuationSeparator" w:id="0">
    <w:p w:rsidR="00000000" w:rsidRDefault="005E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85" w:rsidRDefault="005E5916">
    <w:pPr>
      <w:spacing w:line="14" w:lineRule="auto"/>
      <w:rPr>
        <w:sz w:val="20"/>
        <w:szCs w:val="20"/>
      </w:rPr>
    </w:pPr>
    <w:r>
      <w:rPr>
        <w:noProof/>
        <w:lang w:val="en-GB" w:eastAsia="en-GB"/>
      </w:rPr>
      <mc:AlternateContent>
        <mc:Choice Requires="wps">
          <w:drawing>
            <wp:anchor distT="0" distB="0" distL="114300" distR="114300" simplePos="0" relativeHeight="503306600" behindDoc="1" locked="0" layoutInCell="1" allowOverlap="1">
              <wp:simplePos x="0" y="0"/>
              <wp:positionH relativeFrom="page">
                <wp:posOffset>6737985</wp:posOffset>
              </wp:positionH>
              <wp:positionV relativeFrom="page">
                <wp:posOffset>10077450</wp:posOffset>
              </wp:positionV>
              <wp:extent cx="128270" cy="177800"/>
              <wp:effectExtent l="3810" t="0" r="127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685" w:rsidRDefault="005E5916">
                          <w:pPr>
                            <w:pStyle w:val="BodyText"/>
                            <w:spacing w:line="272" w:lineRule="exact"/>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0.55pt;margin-top:793.5pt;width:10.1pt;height:14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PwrwIAAKg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" filled="f" stroked="f">
              <v:textbox inset="0,0,0,0">
                <w:txbxContent>
                  <w:p w:rsidR="00E63685" w:rsidRDefault="005E5916">
                    <w:pPr>
                      <w:pStyle w:val="BodyText"/>
                      <w:spacing w:line="272" w:lineRule="exact"/>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85" w:rsidRDefault="005E5916">
    <w:pPr>
      <w:spacing w:line="14" w:lineRule="auto"/>
      <w:rPr>
        <w:sz w:val="20"/>
        <w:szCs w:val="20"/>
      </w:rPr>
    </w:pPr>
    <w:r>
      <w:rPr>
        <w:noProof/>
        <w:lang w:val="en-GB" w:eastAsia="en-GB"/>
      </w:rPr>
      <mc:AlternateContent>
        <mc:Choice Requires="wps">
          <w:drawing>
            <wp:anchor distT="0" distB="0" distL="114300" distR="114300" simplePos="0" relativeHeight="503306624" behindDoc="1" locked="0" layoutInCell="1" allowOverlap="1">
              <wp:simplePos x="0" y="0"/>
              <wp:positionH relativeFrom="page">
                <wp:posOffset>6671310</wp:posOffset>
              </wp:positionH>
              <wp:positionV relativeFrom="page">
                <wp:posOffset>10077450</wp:posOffset>
              </wp:positionV>
              <wp:extent cx="180340" cy="177800"/>
              <wp:effectExtent l="381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685" w:rsidRDefault="005E5916">
                          <w:pPr>
                            <w:pStyle w:val="BodyText"/>
                            <w:spacing w:line="272"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5.3pt;margin-top:793.5pt;width:14.2pt;height:14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avsgIAAK8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" filled="f" stroked="f">
              <v:textbox inset="0,0,0,0">
                <w:txbxContent>
                  <w:p w:rsidR="00E63685" w:rsidRDefault="005E5916">
                    <w:pPr>
                      <w:pStyle w:val="BodyText"/>
                      <w:spacing w:line="272"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85" w:rsidRDefault="005E5916">
    <w:pPr>
      <w:spacing w:line="14" w:lineRule="auto"/>
      <w:rPr>
        <w:sz w:val="20"/>
        <w:szCs w:val="20"/>
      </w:rPr>
    </w:pPr>
    <w:r>
      <w:rPr>
        <w:noProof/>
        <w:lang w:val="en-GB" w:eastAsia="en-GB"/>
      </w:rPr>
      <mc:AlternateContent>
        <mc:Choice Requires="wps">
          <w:drawing>
            <wp:anchor distT="0" distB="0" distL="114300" distR="114300" simplePos="0" relativeHeight="503306648" behindDoc="1" locked="0" layoutInCell="1" allowOverlap="1">
              <wp:simplePos x="0" y="0"/>
              <wp:positionH relativeFrom="page">
                <wp:posOffset>6658610</wp:posOffset>
              </wp:positionH>
              <wp:positionV relativeFrom="page">
                <wp:posOffset>10077450</wp:posOffset>
              </wp:positionV>
              <wp:extent cx="205740" cy="177800"/>
              <wp:effectExtent l="635"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685" w:rsidRDefault="005E5916">
                          <w:pPr>
                            <w:pStyle w:val="BodyText"/>
                            <w:spacing w:line="272" w:lineRule="exact"/>
                            <w:ind w:left="40"/>
                          </w:pPr>
                          <w:r>
                            <w:fldChar w:fldCharType="begin"/>
                          </w:r>
                          <w:r>
                            <w:instrText xml:space="preserve"> PAGE </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4.3pt;margin-top:793.5pt;width:16.2pt;height:14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ovsgIAAK8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" filled="f" stroked="f">
              <v:textbox inset="0,0,0,0">
                <w:txbxContent>
                  <w:p w:rsidR="00E63685" w:rsidRDefault="005E5916">
                    <w:pPr>
                      <w:pStyle w:val="BodyText"/>
                      <w:spacing w:line="272" w:lineRule="exact"/>
                      <w:ind w:left="40"/>
                    </w:pPr>
                    <w:r>
                      <w:fldChar w:fldCharType="begin"/>
                    </w:r>
                    <w:r>
                      <w:instrText xml:space="preserve"> PAGE </w:instrText>
                    </w:r>
                    <w:r>
                      <w:fldChar w:fldCharType="separate"/>
                    </w:r>
                    <w:r>
                      <w:rPr>
                        <w:noProof/>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85" w:rsidRDefault="005E5916">
    <w:pPr>
      <w:spacing w:line="14" w:lineRule="auto"/>
      <w:rPr>
        <w:sz w:val="20"/>
        <w:szCs w:val="20"/>
      </w:rPr>
    </w:pPr>
    <w:r>
      <w:rPr>
        <w:noProof/>
        <w:lang w:val="en-GB" w:eastAsia="en-GB"/>
      </w:rPr>
      <mc:AlternateContent>
        <mc:Choice Requires="wps">
          <w:drawing>
            <wp:anchor distT="0" distB="0" distL="114300" distR="114300" simplePos="0" relativeHeight="503306672" behindDoc="1" locked="0" layoutInCell="1" allowOverlap="1">
              <wp:simplePos x="0" y="0"/>
              <wp:positionH relativeFrom="page">
                <wp:posOffset>6671310</wp:posOffset>
              </wp:positionH>
              <wp:positionV relativeFrom="page">
                <wp:posOffset>10077450</wp:posOffset>
              </wp:positionV>
              <wp:extent cx="180340" cy="17780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685" w:rsidRDefault="005E5916">
                          <w:pPr>
                            <w:pStyle w:val="BodyText"/>
                            <w:spacing w:line="272"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5.3pt;margin-top:793.5pt;width:14.2pt;height:14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i5sQIAAK8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" filled="f" stroked="f">
              <v:textbox inset="0,0,0,0">
                <w:txbxContent>
                  <w:p w:rsidR="00E63685" w:rsidRDefault="005E5916">
                    <w:pPr>
                      <w:pStyle w:val="BodyText"/>
                      <w:spacing w:line="272"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85" w:rsidRDefault="005E5916">
    <w:pPr>
      <w:spacing w:line="14" w:lineRule="auto"/>
      <w:rPr>
        <w:sz w:val="20"/>
        <w:szCs w:val="20"/>
      </w:rPr>
    </w:pPr>
    <w:r>
      <w:rPr>
        <w:noProof/>
        <w:lang w:val="en-GB" w:eastAsia="en-GB"/>
      </w:rPr>
      <mc:AlternateContent>
        <mc:Choice Requires="wps">
          <w:drawing>
            <wp:anchor distT="0" distB="0" distL="114300" distR="114300" simplePos="0" relativeHeight="503306696" behindDoc="1" locked="0" layoutInCell="1" allowOverlap="1">
              <wp:simplePos x="0" y="0"/>
              <wp:positionH relativeFrom="page">
                <wp:posOffset>6658610</wp:posOffset>
              </wp:positionH>
              <wp:positionV relativeFrom="page">
                <wp:posOffset>10077450</wp:posOffset>
              </wp:positionV>
              <wp:extent cx="205740" cy="177800"/>
              <wp:effectExtent l="635"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685" w:rsidRDefault="005E5916">
                          <w:pPr>
                            <w:pStyle w:val="BodyText"/>
                            <w:spacing w:line="272"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4.3pt;margin-top:793.5pt;width:16.2pt;height:14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60sg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" filled="f" stroked="f">
              <v:textbox inset="0,0,0,0">
                <w:txbxContent>
                  <w:p w:rsidR="00E63685" w:rsidRDefault="005E5916">
                    <w:pPr>
                      <w:pStyle w:val="BodyText"/>
                      <w:spacing w:line="272" w:lineRule="exact"/>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85" w:rsidRDefault="005E5916">
    <w:pPr>
      <w:spacing w:line="14" w:lineRule="auto"/>
      <w:rPr>
        <w:sz w:val="20"/>
        <w:szCs w:val="20"/>
      </w:rPr>
    </w:pPr>
    <w:r>
      <w:rPr>
        <w:noProof/>
        <w:lang w:val="en-GB" w:eastAsia="en-GB"/>
      </w:rPr>
      <mc:AlternateContent>
        <mc:Choice Requires="wps">
          <w:drawing>
            <wp:anchor distT="0" distB="0" distL="114300" distR="114300" simplePos="0" relativeHeight="503306720" behindDoc="1" locked="0" layoutInCell="1" allowOverlap="1">
              <wp:simplePos x="0" y="0"/>
              <wp:positionH relativeFrom="page">
                <wp:posOffset>6473190</wp:posOffset>
              </wp:positionH>
              <wp:positionV relativeFrom="page">
                <wp:posOffset>10079990</wp:posOffset>
              </wp:positionV>
              <wp:extent cx="180340" cy="177800"/>
              <wp:effectExtent l="0" t="254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685" w:rsidRDefault="005E5916">
                          <w:pPr>
                            <w:pStyle w:val="BodyText"/>
                            <w:spacing w:line="272" w:lineRule="exact"/>
                            <w:ind w:left="20"/>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9.7pt;margin-top:793.7pt;width:14.2pt;height:14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" filled="f" stroked="f">
              <v:textbox inset="0,0,0,0">
                <w:txbxContent>
                  <w:p w:rsidR="00E63685" w:rsidRDefault="005E5916">
                    <w:pPr>
                      <w:pStyle w:val="BodyText"/>
                      <w:spacing w:line="272" w:lineRule="exact"/>
                      <w:ind w:left="20"/>
                    </w:pPr>
                    <w:r>
                      <w:t>24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5916">
      <w:r>
        <w:separator/>
      </w:r>
    </w:p>
  </w:footnote>
  <w:footnote w:type="continuationSeparator" w:id="0">
    <w:p w:rsidR="00000000" w:rsidRDefault="005E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85"/>
    <w:rsid w:val="005E5916"/>
    <w:rsid w:val="00E6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8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8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salliance.org/wp-content/uploads/2014/08/NHSA-CD-Char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kess@lsbu.ac.uk" TargetMode="External"/><Relationship Id="rId12" Type="http://schemas.openxmlformats.org/officeDocument/2006/relationships/footer" Target="foot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acdglobal.org/news/towards-new-global-definition-community-" TargetMode="External"/><Relationship Id="rId5" Type="http://schemas.openxmlformats.org/officeDocument/2006/relationships/footnotes" Target="footnotes.xml"/><Relationship Id="rId15" Type="http://schemas.openxmlformats.org/officeDocument/2006/relationships/hyperlink" Target="http://www.who.int/healthpromotion/conferences/9gchp/shanghai-"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6853</Words>
  <Characters>39064</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Microsoft Word - CHLandCDpaperrevised.docx</vt:lpstr>
    </vt:vector>
  </TitlesOfParts>
  <Company>LSBU</Company>
  <LinksUpToDate>false</LinksUpToDate>
  <CharactersWithSpaces>45826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CHLandCDpaperrevised.docx</dc:title>
  <dc:creator>Wills, Jane</dc:creator>
  <cp:lastModifiedBy>Wills, Jane</cp:lastModifiedBy>
  <cp:revision>2</cp:revision>
  <dcterms:created xsi:type="dcterms:W3CDTF">2017-05-16T11:39:00Z</dcterms:created>
  <dcterms:modified xsi:type="dcterms:W3CDTF">2017-05-16T11:39:00Z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Word</vt:lpwstr>
  </property>
  <property fmtid="{D5CDD505-2E9C-101B-9397-08002B2CF9AE}" pid="4" name="LastSaved">
    <vt:filetime>2017-05-16T00:00:00Z</vt:filetime>
  </property>
</Properties>
</file>