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0BD6B" w14:textId="77777777" w:rsidR="00925534" w:rsidRPr="00506803" w:rsidRDefault="00925534" w:rsidP="00925534">
      <w:pPr>
        <w:rPr>
          <w:b/>
          <w:sz w:val="28"/>
          <w:szCs w:val="28"/>
        </w:rPr>
      </w:pPr>
      <w:r w:rsidRPr="00506803">
        <w:rPr>
          <w:b/>
          <w:sz w:val="28"/>
          <w:szCs w:val="28"/>
        </w:rPr>
        <w:t>Michael Sampson</w:t>
      </w:r>
    </w:p>
    <w:p w14:paraId="719F79A6" w14:textId="633162D9" w:rsidR="00925534" w:rsidRDefault="00925534" w:rsidP="00925534">
      <w:pPr>
        <w:rPr>
          <w:b/>
          <w:sz w:val="28"/>
          <w:szCs w:val="28"/>
        </w:rPr>
      </w:pPr>
      <w:r w:rsidRPr="00506803">
        <w:rPr>
          <w:b/>
          <w:sz w:val="28"/>
          <w:szCs w:val="28"/>
        </w:rPr>
        <w:t>Antiarrhythmic drugs</w:t>
      </w:r>
      <w:r w:rsidR="003B67ED">
        <w:rPr>
          <w:b/>
          <w:sz w:val="28"/>
          <w:szCs w:val="28"/>
        </w:rPr>
        <w:t xml:space="preserve">. Part </w:t>
      </w:r>
      <w:r w:rsidR="000D133B">
        <w:rPr>
          <w:b/>
          <w:sz w:val="28"/>
          <w:szCs w:val="28"/>
        </w:rPr>
        <w:t>3</w:t>
      </w:r>
      <w:r w:rsidR="003B67ED">
        <w:rPr>
          <w:b/>
          <w:sz w:val="28"/>
          <w:szCs w:val="28"/>
        </w:rPr>
        <w:t xml:space="preserve">: </w:t>
      </w:r>
      <w:r w:rsidR="005E5190">
        <w:rPr>
          <w:b/>
          <w:sz w:val="28"/>
          <w:szCs w:val="28"/>
        </w:rPr>
        <w:t>r</w:t>
      </w:r>
      <w:r w:rsidR="000D133B">
        <w:rPr>
          <w:b/>
          <w:sz w:val="28"/>
          <w:szCs w:val="28"/>
        </w:rPr>
        <w:t>ate</w:t>
      </w:r>
      <w:r w:rsidR="005E5190">
        <w:rPr>
          <w:b/>
          <w:sz w:val="28"/>
          <w:szCs w:val="28"/>
        </w:rPr>
        <w:t xml:space="preserve"> control drugs</w:t>
      </w:r>
    </w:p>
    <w:p w14:paraId="6F47F100" w14:textId="2DD311C4" w:rsidR="00EC4BE9" w:rsidRPr="0058485F" w:rsidRDefault="00EC4BE9" w:rsidP="00EC4BE9">
      <w:pPr>
        <w:spacing w:after="360"/>
        <w:rPr>
          <w:rFonts w:ascii="Calibri" w:eastAsia="Times New Roman" w:hAnsi="Calibri" w:cs="Times New Roman"/>
          <w:b/>
          <w:bCs/>
          <w:sz w:val="24"/>
          <w:szCs w:val="24"/>
        </w:rPr>
      </w:pPr>
      <w:r w:rsidRPr="0058485F">
        <w:rPr>
          <w:b/>
          <w:bCs/>
        </w:rPr>
        <w:t xml:space="preserve">British Journal of </w:t>
      </w:r>
      <w:r w:rsidRPr="009C41A6">
        <w:rPr>
          <w:b/>
          <w:bCs/>
        </w:rPr>
        <w:t>Cardiac Nursing [2019] 14(1</w:t>
      </w:r>
      <w:r>
        <w:rPr>
          <w:b/>
          <w:bCs/>
        </w:rPr>
        <w:t>1</w:t>
      </w:r>
      <w:r w:rsidRPr="009C41A6">
        <w:rPr>
          <w:b/>
          <w:bCs/>
        </w:rPr>
        <w:t xml:space="preserve">)1–11. </w:t>
      </w:r>
      <w:hyperlink r:id="rId7" w:history="1">
        <w:r w:rsidR="00FA45FD" w:rsidRPr="00901613">
          <w:rPr>
            <w:rStyle w:val="Hyperlink"/>
            <w:rFonts w:cs="Times LT Std"/>
            <w:b/>
            <w:bCs/>
          </w:rPr>
          <w:t>https://doi.org/10.12968/bjca.2019.00</w:t>
        </w:r>
        <w:r w:rsidR="00FA45FD" w:rsidRPr="00901613">
          <w:rPr>
            <w:rStyle w:val="Hyperlink"/>
            <w:rFonts w:cs="Times LT Std"/>
            <w:b/>
            <w:bCs/>
          </w:rPr>
          <w:t>79</w:t>
        </w:r>
      </w:hyperlink>
      <w:r>
        <w:rPr>
          <w:rFonts w:cs="Times LT Std"/>
          <w:color w:val="000000"/>
        </w:rPr>
        <w:t xml:space="preserve"> </w:t>
      </w:r>
    </w:p>
    <w:tbl>
      <w:tblPr>
        <w:tblStyle w:val="TableGrid"/>
        <w:tblW w:w="0" w:type="auto"/>
        <w:tblLook w:val="04A0" w:firstRow="1" w:lastRow="0" w:firstColumn="1" w:lastColumn="0" w:noHBand="0" w:noVBand="1"/>
      </w:tblPr>
      <w:tblGrid>
        <w:gridCol w:w="9016"/>
      </w:tblGrid>
      <w:tr w:rsidR="00EC4BE9" w14:paraId="241AC4F9" w14:textId="77777777" w:rsidTr="00EB3B98">
        <w:tc>
          <w:tcPr>
            <w:tcW w:w="9016" w:type="dxa"/>
          </w:tcPr>
          <w:p w14:paraId="35F571C8" w14:textId="72C4FF2A" w:rsidR="00EC4BE9" w:rsidRPr="00E9284C" w:rsidRDefault="00EC4BE9" w:rsidP="00EB3B98">
            <w:pPr>
              <w:rPr>
                <w:i/>
              </w:rPr>
            </w:pPr>
            <w:r w:rsidRPr="007B3716">
              <w:rPr>
                <w:i/>
              </w:rPr>
              <w:t>This is the accepted manuscript version of a published work that appeared in final form in the British Journal of Cardiac Nursing, copyright (c) MA Healthcare, after technical editing by the publisher. To access the final edited and published work see</w:t>
            </w:r>
            <w:r w:rsidRPr="002F5E13">
              <w:t xml:space="preserve"> </w:t>
            </w:r>
            <w:hyperlink r:id="rId8" w:history="1">
              <w:r w:rsidR="00FA45FD">
                <w:rPr>
                  <w:rStyle w:val="Hyperlink"/>
                </w:rPr>
                <w:t>https://www.magonlinelibrary.com/doi/abs/10.12968/bjca.2019.0079</w:t>
              </w:r>
            </w:hyperlink>
            <w:r>
              <w:t xml:space="preserve">. </w:t>
            </w:r>
            <w:r w:rsidRPr="007B3716">
              <w:rPr>
                <w:i/>
              </w:rPr>
              <w:t xml:space="preserve">Originally published </w:t>
            </w:r>
            <w:r w:rsidR="001D2A3D">
              <w:rPr>
                <w:i/>
              </w:rPr>
              <w:t>November</w:t>
            </w:r>
            <w:r>
              <w:rPr>
                <w:i/>
              </w:rPr>
              <w:t xml:space="preserve"> </w:t>
            </w:r>
            <w:r w:rsidRPr="007B3716">
              <w:rPr>
                <w:i/>
              </w:rPr>
              <w:t>201</w:t>
            </w:r>
            <w:r>
              <w:rPr>
                <w:i/>
              </w:rPr>
              <w:t>9</w:t>
            </w:r>
            <w:r w:rsidRPr="007B3716">
              <w:rPr>
                <w:i/>
              </w:rPr>
              <w:t xml:space="preserve">. </w:t>
            </w:r>
          </w:p>
        </w:tc>
      </w:tr>
    </w:tbl>
    <w:p w14:paraId="32034A97" w14:textId="77777777" w:rsidR="00EC4BE9" w:rsidRDefault="00EC4BE9" w:rsidP="00EC4BE9">
      <w:pPr>
        <w:rPr>
          <w:b/>
        </w:rPr>
      </w:pPr>
    </w:p>
    <w:p w14:paraId="10DA4210" w14:textId="77777777" w:rsidR="00EC4BE9" w:rsidRPr="00A66F99" w:rsidRDefault="00EC4BE9" w:rsidP="00925534">
      <w:pPr>
        <w:rPr>
          <w:b/>
          <w:sz w:val="28"/>
          <w:szCs w:val="28"/>
        </w:rPr>
      </w:pPr>
    </w:p>
    <w:p w14:paraId="0E0AD5F6" w14:textId="77777777" w:rsidR="00270A6E" w:rsidRPr="005547BC" w:rsidRDefault="00270A6E" w:rsidP="00270A6E">
      <w:pPr>
        <w:rPr>
          <w:b/>
          <w:bCs/>
          <w:sz w:val="28"/>
          <w:szCs w:val="28"/>
          <w:lang w:val="en-US"/>
        </w:rPr>
      </w:pPr>
      <w:r w:rsidRPr="005547BC">
        <w:rPr>
          <w:b/>
          <w:bCs/>
          <w:sz w:val="28"/>
          <w:szCs w:val="28"/>
          <w:lang w:val="en-US"/>
        </w:rPr>
        <w:t>Abstract</w:t>
      </w:r>
    </w:p>
    <w:p w14:paraId="183C50CD" w14:textId="2D5C43F5" w:rsidR="005064A4" w:rsidRDefault="00B66E06" w:rsidP="005064A4">
      <w:pPr>
        <w:rPr>
          <w:rFonts w:cstheme="minorHAnsi"/>
        </w:rPr>
      </w:pPr>
      <w:r>
        <w:t xml:space="preserve">Rate control drugs are used to reduce </w:t>
      </w:r>
      <w:r w:rsidR="00EB2CB6">
        <w:t xml:space="preserve">the </w:t>
      </w:r>
      <w:r>
        <w:t xml:space="preserve">ventricular rate during atrial arrhythmias and are widely used in both primary and secondary care. In this </w:t>
      </w:r>
      <w:r w:rsidR="00F17B37">
        <w:t xml:space="preserve">final instalment </w:t>
      </w:r>
      <w:r>
        <w:t xml:space="preserve">of a </w:t>
      </w:r>
      <w:r w:rsidR="00F17B37">
        <w:t xml:space="preserve">three-part </w:t>
      </w:r>
      <w:r>
        <w:t>series</w:t>
      </w:r>
      <w:r w:rsidR="00F17B37">
        <w:t xml:space="preserve">, </w:t>
      </w:r>
      <w:r>
        <w:t xml:space="preserve">we evaluate three commonly used rate control agents; bisoprolol, diltiazem, and digoxin.  Of these, bisoprolol has the widest range of indications as it is also used in the prevention of ventricular arrhythmias.  It has the best safety profile of the three drugs due to its combined renal and hepatic excretion.  Diltiazem and digoxin have a narrower range of use, and carry a greater risk of toxicity due to a reliance on either hepatic or renal elimination.  These issues are explored alongside consideration of evidence base for use, dosing, and interactions.  The focus is on </w:t>
      </w:r>
      <w:r w:rsidR="005064A4">
        <w:rPr>
          <w:rFonts w:cstheme="minorHAnsi"/>
        </w:rPr>
        <w:t>information that supports safe prescribing and administration.</w:t>
      </w:r>
    </w:p>
    <w:p w14:paraId="1B6C7FE8" w14:textId="77777777" w:rsidR="005547BC" w:rsidRDefault="005547BC" w:rsidP="00A66F99">
      <w:pPr>
        <w:rPr>
          <w:b/>
          <w:sz w:val="28"/>
          <w:szCs w:val="28"/>
          <w:lang w:val="en-US"/>
        </w:rPr>
      </w:pPr>
    </w:p>
    <w:p w14:paraId="27674240" w14:textId="77777777" w:rsidR="00270A6E" w:rsidRDefault="00270A6E" w:rsidP="00A66F99">
      <w:pPr>
        <w:rPr>
          <w:b/>
          <w:sz w:val="28"/>
          <w:szCs w:val="28"/>
          <w:lang w:val="en-US"/>
        </w:rPr>
      </w:pPr>
      <w:r>
        <w:rPr>
          <w:b/>
          <w:sz w:val="28"/>
          <w:szCs w:val="28"/>
          <w:lang w:val="en-US"/>
        </w:rPr>
        <w:t>Key words</w:t>
      </w:r>
    </w:p>
    <w:p w14:paraId="2B917F2A" w14:textId="07B41164" w:rsidR="00270A6E" w:rsidRDefault="006E158E" w:rsidP="00A66F99">
      <w:pPr>
        <w:rPr>
          <w:bCs/>
          <w:lang w:val="en-US"/>
        </w:rPr>
      </w:pPr>
      <w:r>
        <w:rPr>
          <w:bCs/>
          <w:lang w:val="en-US"/>
        </w:rPr>
        <w:t>R</w:t>
      </w:r>
      <w:r w:rsidR="00091456">
        <w:rPr>
          <w:bCs/>
          <w:lang w:val="en-US"/>
        </w:rPr>
        <w:t>ate</w:t>
      </w:r>
      <w:r>
        <w:rPr>
          <w:bCs/>
          <w:lang w:val="en-US"/>
        </w:rPr>
        <w:t xml:space="preserve"> control; </w:t>
      </w:r>
      <w:r w:rsidR="00091456">
        <w:rPr>
          <w:bCs/>
          <w:lang w:val="en-US"/>
        </w:rPr>
        <w:t xml:space="preserve">beta-blockers; </w:t>
      </w:r>
      <w:r w:rsidR="009543C7">
        <w:rPr>
          <w:bCs/>
          <w:lang w:val="en-US"/>
        </w:rPr>
        <w:t xml:space="preserve">bisoprolol; </w:t>
      </w:r>
      <w:r w:rsidR="00F17B37">
        <w:rPr>
          <w:bCs/>
          <w:lang w:val="en-US"/>
        </w:rPr>
        <w:t xml:space="preserve">digoxin; </w:t>
      </w:r>
      <w:r w:rsidR="00091456">
        <w:rPr>
          <w:bCs/>
          <w:lang w:val="en-US"/>
        </w:rPr>
        <w:t>diltiazem; verapamil</w:t>
      </w:r>
    </w:p>
    <w:p w14:paraId="7DB56575" w14:textId="33022687" w:rsidR="0021590A" w:rsidRDefault="0021590A" w:rsidP="00A66F99">
      <w:pPr>
        <w:rPr>
          <w:bCs/>
          <w:lang w:val="en-US"/>
        </w:rPr>
      </w:pPr>
    </w:p>
    <w:p w14:paraId="6B6EE754" w14:textId="77777777" w:rsidR="00DC4A20" w:rsidRPr="00473951" w:rsidRDefault="00DC4A20" w:rsidP="00DC4A20">
      <w:pPr>
        <w:rPr>
          <w:b/>
          <w:bCs/>
          <w:sz w:val="28"/>
          <w:szCs w:val="28"/>
        </w:rPr>
      </w:pPr>
      <w:r w:rsidRPr="00473951">
        <w:rPr>
          <w:b/>
          <w:bCs/>
          <w:sz w:val="28"/>
          <w:szCs w:val="28"/>
        </w:rPr>
        <w:t>Introduction</w:t>
      </w:r>
    </w:p>
    <w:p w14:paraId="18AD75BB" w14:textId="77777777" w:rsidR="00DC4A20" w:rsidRPr="00DC4A20" w:rsidRDefault="00DC4A20" w:rsidP="00DC4A20">
      <w:r w:rsidRPr="00DC4A20">
        <w:t xml:space="preserve">In the first two articles of this three-part series, we examined the principles of antiarrhythmic drug therapy and took a detailed look at three of the most commonly used rhythm control drugs.  In this final instalment, we turn our attention to the rate control drugs. </w:t>
      </w:r>
    </w:p>
    <w:p w14:paraId="518A5648" w14:textId="77777777" w:rsidR="00DC4A20" w:rsidRPr="00B32887" w:rsidRDefault="00DC4A20" w:rsidP="00DC4A20">
      <w:pPr>
        <w:rPr>
          <w:rFonts w:cstheme="minorHAnsi"/>
        </w:rPr>
      </w:pPr>
      <w:r w:rsidRPr="00DC4A20">
        <w:t>Rate control agents include beta-blockers, the non-dihydropyridine calcium channel blockers, and digoxin.  Their principal use in arrhythmia management is to slow the ventricular response during atrial arrhythmias, although some rate control drugs also have rhythm control properties (Bennett, 2013).  Like the rhythm control drugs, they are a heterogeneous group with a variety of mechanisms of action, pharmacological features and safety issues.  A sound knowledge of their unique features is therefore</w:t>
      </w:r>
      <w:r w:rsidRPr="00DC4A20">
        <w:rPr>
          <w:rFonts w:cstheme="minorHAnsi"/>
        </w:rPr>
        <w:t xml:space="preserve"> essential to safe practice.</w:t>
      </w:r>
      <w:r w:rsidRPr="00B32887">
        <w:rPr>
          <w:rFonts w:cstheme="minorHAnsi"/>
        </w:rPr>
        <w:t xml:space="preserve"> </w:t>
      </w:r>
    </w:p>
    <w:p w14:paraId="431CEFB5" w14:textId="77777777" w:rsidR="00DC4A20" w:rsidRPr="004400CC" w:rsidRDefault="00DC4A20" w:rsidP="00DC4A20">
      <w:pPr>
        <w:rPr>
          <w:rFonts w:cstheme="minorHAnsi"/>
        </w:rPr>
      </w:pPr>
      <w:r w:rsidRPr="00B32887">
        <w:rPr>
          <w:rFonts w:cstheme="minorHAnsi"/>
        </w:rPr>
        <w:t>In this article we examine three of the most commonly used rate control drugs in more detail; bisoprolol, diltiazem and digoxin.  As with previous articles in the series, the focus will be on establishing the rationale for drug use, and outlining</w:t>
      </w:r>
      <w:r w:rsidRPr="004400CC">
        <w:rPr>
          <w:rFonts w:cstheme="minorHAnsi"/>
        </w:rPr>
        <w:t xml:space="preserve"> the information that supports safe prescribing and administration.</w:t>
      </w:r>
    </w:p>
    <w:p w14:paraId="4824CDA4" w14:textId="77777777" w:rsidR="00DC4A20" w:rsidRDefault="00DC4A20" w:rsidP="00DC4A20">
      <w:pPr>
        <w:rPr>
          <w:lang w:val="en-US"/>
        </w:rPr>
      </w:pPr>
    </w:p>
    <w:p w14:paraId="46F1F314" w14:textId="77777777" w:rsidR="00DC4A20" w:rsidRPr="004400CC" w:rsidRDefault="00DC4A20" w:rsidP="00DC4A20">
      <w:pPr>
        <w:rPr>
          <w:b/>
          <w:bCs/>
          <w:sz w:val="28"/>
          <w:szCs w:val="28"/>
          <w:lang w:val="en-US"/>
        </w:rPr>
      </w:pPr>
      <w:r w:rsidRPr="004400CC">
        <w:rPr>
          <w:b/>
          <w:bCs/>
          <w:sz w:val="28"/>
          <w:szCs w:val="28"/>
          <w:lang w:val="en-US"/>
        </w:rPr>
        <w:lastRenderedPageBreak/>
        <w:t>Bisopolol</w:t>
      </w:r>
    </w:p>
    <w:p w14:paraId="4B0732B0" w14:textId="77777777" w:rsidR="00DC4A20" w:rsidRPr="00DC4A20" w:rsidRDefault="00DC4A20" w:rsidP="00DC4A20">
      <w:pPr>
        <w:rPr>
          <w:b/>
          <w:bCs/>
        </w:rPr>
      </w:pPr>
      <w:r w:rsidRPr="00DC4A20">
        <w:rPr>
          <w:b/>
          <w:bCs/>
        </w:rPr>
        <w:t>Overview and indications</w:t>
      </w:r>
    </w:p>
    <w:p w14:paraId="6E305D68" w14:textId="77777777" w:rsidR="00DC4A20" w:rsidRPr="00DC4A20" w:rsidRDefault="00DC4A20" w:rsidP="00DC4A20">
      <w:r w:rsidRPr="00DC4A20">
        <w:t xml:space="preserve">Bisoprolol is a beta-adrenergic receptor blocker, more commonly referred to as a beta-blocker (Joint Formulary Committee, 2019).  Beta blockers exert their effects by occupying beta-adrenergic receptors on the cell membrane (Fogoros and Mandola, 2018).   This prevents adrenaline and noradrenaline from binding to the cell, reducing the effects of the sympathetic nervous system and the “fight or flight” response (Klabunde, 2012).  There are two main subtypes of beta-adrenergic receptor; beta 1 receptors and beta 2 receptors.  Although many organs contain both subtypes, beta 1 receptors are more common in the heart, GI tract, kidney, brain, and fat cells.  Beta 2 receptors predominate in the bronchi, peripheral vasculature, pancreas, uterus and thyroid (Borchard 1998). </w:t>
      </w:r>
      <w:bookmarkStart w:id="0" w:name="_Hlk19796045"/>
      <w:r w:rsidRPr="00DC4A20">
        <w:t xml:space="preserve"> Beta-blockers bind to both receptor types.</w:t>
      </w:r>
      <w:bookmarkEnd w:id="0"/>
    </w:p>
    <w:p w14:paraId="507C45F5" w14:textId="77777777" w:rsidR="00DC4A20" w:rsidRPr="00DC4A20" w:rsidRDefault="00DC4A20" w:rsidP="00DC4A20">
      <w:r w:rsidRPr="00DC4A20">
        <w:t xml:space="preserve">In the heart, blockade of beta 1 receptors reduces automaticity, electrical conduction speed and contractility (Fogoros and Mandrola, 2018).  Beta blockers therefore slow the heart rate, reduce conduction speed through the AV node, and lower cardiac output.  Their effect on beta 1 receptors in the kidneys reduces renin production, targeting the start of the renin-angiotensin-aldosterone cascade; this reduces vasoconstriction and fluid retention, lowering the blood pressure (Klabunde, 2012).  These effects make beta-blockers useful agents in the management of angina, heart failure, hypertension and arrhythmias (Joint Formulary Committee, 2019).  </w:t>
      </w:r>
    </w:p>
    <w:p w14:paraId="4A94A67D" w14:textId="77777777" w:rsidR="00DC4A20" w:rsidRPr="00DC4A20" w:rsidRDefault="00DC4A20" w:rsidP="00DC4A20">
      <w:r w:rsidRPr="00DC4A20">
        <w:t xml:space="preserve">The effect of beta-blockers on beta 2 receptors is responsible for a range of extra-cardiac effects that may be undesirable, for example bronchospasm (Bain, 2005).  Unlike first generation beta-blockers such as propranolol, bisoprolol is cardioselective, meaning that it has a higher affinity for beta 1 receptors than beta 2 receptors (Baker, 2005).  This reduces the risk of extra-cardiac side effects but does not eliminate it entirely (Joint Formulary Committee, 2019).  It is also dose dependent, with cardioselectivity declining as the dose increases.  Unlike some second-generation beta blockers, bisoprolol has no additional vasodilatory properties (Mansour and Kaul, 2009).  </w:t>
      </w:r>
    </w:p>
    <w:p w14:paraId="43C3E51F" w14:textId="77777777" w:rsidR="00DC4A20" w:rsidRPr="00DC4A20" w:rsidRDefault="00DC4A20" w:rsidP="00DC4A20">
      <w:r w:rsidRPr="00DC4A20">
        <w:t xml:space="preserve">In atrial arrhythmias, bisoprolol is used to slow AV node conduction and therefore ventricular rate (Bennett, 2013).  This can relieve symptoms such as palpitations, breathlessness and fatigue, and reduces the risk of tachycardia-induced cardiomyopathy (Van Gelder et al, 2016).  The aim is to control symptoms, enable exercise, and preserve left ventricular (LV) function, without inducing bradycardia.  Guidelines suggest a target heart rate of less than 110 beats per minute at rest for most individuals; a lower heart rate may be needed if symptoms persist, LV function declines, or biventricular pacing is used (Kirchof et al, 2016).  Ambulatory monitoring is usually required to assess the response to treatment (Bennett, 2013).  </w:t>
      </w:r>
    </w:p>
    <w:p w14:paraId="4D39BCB0" w14:textId="77777777" w:rsidR="00DC4A20" w:rsidRPr="00DC4A20" w:rsidRDefault="00DC4A20" w:rsidP="00DC4A20">
      <w:r w:rsidRPr="00DC4A20">
        <w:t>Rate control with beta-blockers may be a standalone treatment, or may complement attempts to control the rhythm using drugs, DC cardioversion or catheter ablation (National Institute for Health and Care Excellence [NICE], 2014).  Beta blockers have a limited effect in preventing atrial arrhythmias on their own, although they are more effective when episodes have clear adrenergic triggers such as pain, anxiety or exercise (Grandi and Ripplinger, 2019).  They have proven efficacy in reducing atrial fibrillation (AF) following cardiac surgery, and can be used to terminate re-entrant supraventricular tachycardia (SVT) (Frendl et al, 2014; Page et al, 2015).</w:t>
      </w:r>
    </w:p>
    <w:p w14:paraId="3B089164" w14:textId="77777777" w:rsidR="00DC4A20" w:rsidRPr="00DC4A20" w:rsidRDefault="00DC4A20" w:rsidP="00DC4A20">
      <w:r w:rsidRPr="00DC4A20">
        <w:t xml:space="preserve">In the management of ventricular arrhythmia, beta blockers are considered the cornerstone of drug therapy (Priori et al, 2015).  They exert a greater rhythm control effect in the abnormal myocardium due to factors including reduced myocardial work and ischaemia, blockade of elevated sympathetic activity, and prevention of adverse ventricular remodelling (Grandi and Ripplinger, 2019).  They also have </w:t>
      </w:r>
      <w:r w:rsidRPr="00DC4A20">
        <w:lastRenderedPageBreak/>
        <w:t xml:space="preserve">specific antiarrhythmic effects including suppression of abnormal automaticity, and prolongation of the ventricular effective refractory period.  Beta blockers reduce sudden arrhythmic death in chronic heart failure (CHF) and following myocardial infarction (MI), and are first line therapies in these conditions (Priori et al, 2015).  They also reduce ventricular arrhythmia in long QT syndrome and catecholaminergic polymorphic ventricular tachycardia; the non-selective beta blockers nadolol and propranolol are preferred for this indication because of greater efficacy (Ackerman et al, 2017).  </w:t>
      </w:r>
    </w:p>
    <w:p w14:paraId="52BE80EB" w14:textId="77777777" w:rsidR="00DC4A20" w:rsidRPr="00DC4A20" w:rsidRDefault="00DC4A20" w:rsidP="00DC4A20"/>
    <w:p w14:paraId="71649E2C" w14:textId="77777777" w:rsidR="00DC4A20" w:rsidRPr="00DC4A20" w:rsidRDefault="00DC4A20" w:rsidP="00DC4A20">
      <w:pPr>
        <w:rPr>
          <w:b/>
          <w:bCs/>
        </w:rPr>
      </w:pPr>
      <w:r w:rsidRPr="00DC4A20">
        <w:rPr>
          <w:b/>
          <w:bCs/>
        </w:rPr>
        <w:t>Dosing and administration</w:t>
      </w:r>
    </w:p>
    <w:p w14:paraId="3C14DFEB" w14:textId="77777777" w:rsidR="00DC4A20" w:rsidRPr="00473951" w:rsidRDefault="00DC4A20" w:rsidP="00DC4A20">
      <w:r w:rsidRPr="00DC4A20">
        <w:t>Bisoprolol has a plasma elimination</w:t>
      </w:r>
      <w:r w:rsidRPr="00473951">
        <w:t xml:space="preserve"> half-life of 10-12 hours, allowing once daily dosing (Accord Healthcare Ltd, 2019).  The drug is well absorbed from the gut with or without food, and undergoes very little first pass metabolism, resulting in a bioavailability of 90%.  The usual starting dose is 1.25mg with weekly up titration as required (Joint Formulary Committee, 2019).  </w:t>
      </w:r>
    </w:p>
    <w:p w14:paraId="07DEFD70" w14:textId="77777777" w:rsidR="00DC4A20" w:rsidRPr="00DC4A20" w:rsidRDefault="00DC4A20" w:rsidP="00DC4A20">
      <w:r w:rsidRPr="00DC4A20">
        <w:t xml:space="preserve">In atrial arrhythmias, the dose should be increased until adequate control of the heart rate is achieved, assuming that intolerance or complications do not occur.  In the prevention of ventricular arrhythmia in CHF or following MI, the dose of bisoprolol should be increased incrementally, aiming for as near to the maximum dose as the patient can tolerate (NICE 2018; NICE 2013).  Careful assessment is required during dose titration as side effects, bradycardia, hypotension or AV block may prevent higher doses from being reached.  </w:t>
      </w:r>
    </w:p>
    <w:p w14:paraId="10AD549B" w14:textId="77777777" w:rsidR="00DC4A20" w:rsidRPr="00473951" w:rsidRDefault="00DC4A20" w:rsidP="00DC4A20">
      <w:r w:rsidRPr="00DC4A20">
        <w:t>The maximum licensed dose of bisoprolol</w:t>
      </w:r>
      <w:r w:rsidRPr="00473951">
        <w:t xml:space="preserve"> is 10mg daily in CHF, although up to 20mg can be given for other indications (Joint Formulary Committee, 2019).  </w:t>
      </w:r>
    </w:p>
    <w:p w14:paraId="64938A82" w14:textId="77777777" w:rsidR="00DC4A20" w:rsidRPr="004400CC" w:rsidRDefault="00DC4A20" w:rsidP="00DC4A20"/>
    <w:p w14:paraId="0B359304" w14:textId="77777777" w:rsidR="00DC4A20" w:rsidRPr="00531415" w:rsidRDefault="00DC4A20" w:rsidP="00DC4A20">
      <w:pPr>
        <w:rPr>
          <w:b/>
          <w:bCs/>
        </w:rPr>
      </w:pPr>
      <w:r w:rsidRPr="00531415">
        <w:rPr>
          <w:b/>
          <w:bCs/>
        </w:rPr>
        <w:t>Safety</w:t>
      </w:r>
    </w:p>
    <w:p w14:paraId="2155C89C" w14:textId="77777777" w:rsidR="00DC4A20" w:rsidRPr="00DC4A20" w:rsidRDefault="00DC4A20" w:rsidP="00DC4A20">
      <w:r w:rsidRPr="00DC4A20">
        <w:t xml:space="preserve">Because of its negative inotropic effects, bisoprolol is contraindicated in unstable heart failure, cardiogenic shock and symptomatic hypotension (Accord Healthcare Ltd, 2019).  Following MI or in newly diagnosed CHF, the drug should only be started once haemodynamic stability has been achieved. In common with other antiarrhythmic drugs, bisoprolol must not be used if there is significant conduction system disease unless a pacemaker is present.  It is also contraindicated in untreated pheochromocytoma and metabolic acidosis (Joint Formulary Committee, 2019). </w:t>
      </w:r>
    </w:p>
    <w:p w14:paraId="72FDDF70" w14:textId="77777777" w:rsidR="00DC4A20" w:rsidRPr="00DC4A20" w:rsidRDefault="00DC4A20" w:rsidP="00DC4A20">
      <w:r w:rsidRPr="00DC4A20">
        <w:t xml:space="preserve">Bisoprolol is usually well tolerated in people with chronic obstructive pulmonary disease, however caution is advised in asthma because of the potential for bronchospasm (Joint Formulary Committee, 2019).  Caution is also advised in individuals with peripheral vascular disease as it may decrease peripheral blood flow; it is contraindicated if there is severe occlusive arterial disease or Raynaud’s syndrome.  Beta blockers can affect glycaemic control and mask the signs of hypoglycaemia; care is therefore required in diabetes (Accord Healthcare Ltd, 2019).  </w:t>
      </w:r>
    </w:p>
    <w:p w14:paraId="1071B291" w14:textId="77777777" w:rsidR="00DC4A20" w:rsidRPr="00DC4A20" w:rsidRDefault="00DC4A20" w:rsidP="00DC4A20">
      <w:r w:rsidRPr="00DC4A20">
        <w:t>Bisoprolol should not be stopped suddenly, especially in coronary heart disease as this can produce rebound ischaemia; gradual dose reduction over a number of days is recommended (Bain, 2018).  The drug should be continued during surgery whenever possible. Common side effects include fatigue, dizziness, headache, cold hands and feet and gastrointestinal disturbances (Fogoros and Mandrola, 2018).</w:t>
      </w:r>
    </w:p>
    <w:p w14:paraId="74DC2749" w14:textId="0F7B1BBD" w:rsidR="00DC4A20" w:rsidRDefault="00DC4A20" w:rsidP="00DC4A20">
      <w:r w:rsidRPr="00DC4A20">
        <w:t xml:space="preserve">Bisoprolol is eliminated by two routes; 50% is converted to inactive metabolites by the liver prior to renal excretion, while the other half is excreted unchanged by the kidneys (Accord Healthcare Ltd, 2019).  Because of this dual elimination, dose reduction is not required if there is renal or hepatic </w:t>
      </w:r>
      <w:r w:rsidRPr="00DC4A20">
        <w:lastRenderedPageBreak/>
        <w:t xml:space="preserve">impairment, and there are no drugs interactions caused by shared hepatic pathways.  Combined with a broad therapeutic index, these features give bisoprolol a good safety profile (Bain, 2018).  Important drug interactions do occur because of additive effects, and these must be taken into account - see table 1 for more details. </w:t>
      </w:r>
    </w:p>
    <w:p w14:paraId="00E3D5AA" w14:textId="77777777" w:rsidR="00F17B37" w:rsidRPr="00DC4A20" w:rsidRDefault="00F17B37" w:rsidP="00DC4A20"/>
    <w:tbl>
      <w:tblPr>
        <w:tblStyle w:val="TableGrid"/>
        <w:tblW w:w="9351" w:type="dxa"/>
        <w:tblLook w:val="04A0" w:firstRow="1" w:lastRow="0" w:firstColumn="1" w:lastColumn="0" w:noHBand="0" w:noVBand="1"/>
      </w:tblPr>
      <w:tblGrid>
        <w:gridCol w:w="3007"/>
        <w:gridCol w:w="3418"/>
        <w:gridCol w:w="2926"/>
      </w:tblGrid>
      <w:tr w:rsidR="00F17B37" w14:paraId="7BACB813" w14:textId="77777777" w:rsidTr="00EB3B98">
        <w:tc>
          <w:tcPr>
            <w:tcW w:w="3007" w:type="dxa"/>
          </w:tcPr>
          <w:p w14:paraId="7B8B84CC" w14:textId="77777777" w:rsidR="00F17B37" w:rsidRPr="00BB543E" w:rsidRDefault="00F17B37" w:rsidP="00EB3B98">
            <w:pPr>
              <w:rPr>
                <w:b/>
                <w:bCs/>
              </w:rPr>
            </w:pPr>
            <w:r w:rsidRPr="00BB543E">
              <w:rPr>
                <w:b/>
                <w:bCs/>
              </w:rPr>
              <w:t>Drug</w:t>
            </w:r>
          </w:p>
        </w:tc>
        <w:tc>
          <w:tcPr>
            <w:tcW w:w="3418" w:type="dxa"/>
          </w:tcPr>
          <w:p w14:paraId="327288C9" w14:textId="77777777" w:rsidR="00F17B37" w:rsidRPr="00BB543E" w:rsidRDefault="00F17B37" w:rsidP="00EB3B98">
            <w:pPr>
              <w:rPr>
                <w:b/>
                <w:bCs/>
              </w:rPr>
            </w:pPr>
            <w:r w:rsidRPr="00BB543E">
              <w:rPr>
                <w:b/>
                <w:bCs/>
              </w:rPr>
              <w:t>Effect of co-administration</w:t>
            </w:r>
          </w:p>
        </w:tc>
        <w:tc>
          <w:tcPr>
            <w:tcW w:w="2926" w:type="dxa"/>
          </w:tcPr>
          <w:p w14:paraId="6EF65877" w14:textId="77777777" w:rsidR="00F17B37" w:rsidRPr="00BB543E" w:rsidRDefault="00F17B37" w:rsidP="00EB3B98">
            <w:pPr>
              <w:rPr>
                <w:b/>
                <w:bCs/>
              </w:rPr>
            </w:pPr>
            <w:r>
              <w:rPr>
                <w:b/>
                <w:bCs/>
              </w:rPr>
              <w:t>Recommendation</w:t>
            </w:r>
          </w:p>
        </w:tc>
      </w:tr>
      <w:tr w:rsidR="00F17B37" w14:paraId="0A5B2B73" w14:textId="77777777" w:rsidTr="00EB3B98">
        <w:tc>
          <w:tcPr>
            <w:tcW w:w="3007" w:type="dxa"/>
          </w:tcPr>
          <w:p w14:paraId="2C1EB201" w14:textId="77777777" w:rsidR="00F17B37" w:rsidRPr="00BB543E" w:rsidRDefault="00F17B37" w:rsidP="00EB3B98">
            <w:r>
              <w:t>Verapamil (and to a lesser extent diltiazem)</w:t>
            </w:r>
          </w:p>
        </w:tc>
        <w:tc>
          <w:tcPr>
            <w:tcW w:w="3418" w:type="dxa"/>
          </w:tcPr>
          <w:p w14:paraId="309FA901" w14:textId="77777777" w:rsidR="00F17B37" w:rsidRDefault="00F17B37" w:rsidP="00EB3B98">
            <w:r>
              <w:t>Additive effects on inotropy and AV conduction: increased risk of hypotension, bradycardia, AV block and heart failure.</w:t>
            </w:r>
          </w:p>
          <w:p w14:paraId="782360A1" w14:textId="77777777" w:rsidR="00F17B37" w:rsidRPr="00BB543E" w:rsidRDefault="00F17B37" w:rsidP="00EB3B98"/>
        </w:tc>
        <w:tc>
          <w:tcPr>
            <w:tcW w:w="2926" w:type="dxa"/>
          </w:tcPr>
          <w:p w14:paraId="003EF575" w14:textId="77777777" w:rsidR="00F17B37" w:rsidRDefault="00F17B37" w:rsidP="00EB3B98">
            <w:r>
              <w:t>Concomitant use not recommended</w:t>
            </w:r>
          </w:p>
        </w:tc>
      </w:tr>
      <w:tr w:rsidR="00F17B37" w14:paraId="743A8A34" w14:textId="77777777" w:rsidTr="00EB3B98">
        <w:tc>
          <w:tcPr>
            <w:tcW w:w="3007" w:type="dxa"/>
          </w:tcPr>
          <w:p w14:paraId="669E991E" w14:textId="77777777" w:rsidR="00F17B37" w:rsidRPr="00BB543E" w:rsidRDefault="00F17B37" w:rsidP="00EB3B98">
            <w:r>
              <w:t xml:space="preserve">Centrally acting antihypertensives, e.g. clonidine, </w:t>
            </w:r>
            <w:r w:rsidRPr="00247EFE">
              <w:t>methyldopa, moxonodine, rilmenidine</w:t>
            </w:r>
          </w:p>
        </w:tc>
        <w:tc>
          <w:tcPr>
            <w:tcW w:w="3418" w:type="dxa"/>
          </w:tcPr>
          <w:p w14:paraId="6D6500E8" w14:textId="77777777" w:rsidR="00F17B37" w:rsidRDefault="00F17B37" w:rsidP="00EB3B98">
            <w:r>
              <w:t>Additive effect on sympathetic tone: increased risk of bradycardia, hypotension, heart failure.</w:t>
            </w:r>
          </w:p>
          <w:p w14:paraId="56E0C036" w14:textId="77777777" w:rsidR="00F17B37" w:rsidRPr="00BB543E" w:rsidRDefault="00F17B37" w:rsidP="00EB3B98"/>
        </w:tc>
        <w:tc>
          <w:tcPr>
            <w:tcW w:w="2926" w:type="dxa"/>
          </w:tcPr>
          <w:p w14:paraId="073AC23E" w14:textId="77777777" w:rsidR="00F17B37" w:rsidRDefault="00F17B37" w:rsidP="00EB3B98">
            <w:r>
              <w:t>Concomitant use not recommended</w:t>
            </w:r>
          </w:p>
        </w:tc>
      </w:tr>
      <w:tr w:rsidR="00F17B37" w14:paraId="33FADF79" w14:textId="77777777" w:rsidTr="00EB3B98">
        <w:tc>
          <w:tcPr>
            <w:tcW w:w="3007" w:type="dxa"/>
          </w:tcPr>
          <w:p w14:paraId="04D4EA40" w14:textId="77777777" w:rsidR="00F17B37" w:rsidRDefault="00F17B37" w:rsidP="00EB3B98">
            <w:r>
              <w:t>Class I antiarrhythmic drugs, e.g. flecainide</w:t>
            </w:r>
          </w:p>
        </w:tc>
        <w:tc>
          <w:tcPr>
            <w:tcW w:w="3418" w:type="dxa"/>
          </w:tcPr>
          <w:p w14:paraId="772B4860" w14:textId="77777777" w:rsidR="00F17B37" w:rsidRDefault="00F17B37" w:rsidP="00EB3B98">
            <w:r>
              <w:t>Additive effects on inotropy and AV conduction: increased risk of hypotension, bradycardia and AV block.</w:t>
            </w:r>
          </w:p>
          <w:p w14:paraId="528494BE" w14:textId="77777777" w:rsidR="00F17B37" w:rsidRDefault="00F17B37" w:rsidP="00EB3B98"/>
        </w:tc>
        <w:tc>
          <w:tcPr>
            <w:tcW w:w="2926" w:type="dxa"/>
          </w:tcPr>
          <w:p w14:paraId="434B1F41" w14:textId="77777777" w:rsidR="00F17B37" w:rsidRDefault="00F17B37" w:rsidP="00EB3B98">
            <w:r>
              <w:t>Concomitant use not recommended in heart failure; use with caution in angina and hypertension</w:t>
            </w:r>
          </w:p>
        </w:tc>
      </w:tr>
      <w:tr w:rsidR="00F17B37" w14:paraId="16A3C500" w14:textId="77777777" w:rsidTr="00EB3B98">
        <w:tc>
          <w:tcPr>
            <w:tcW w:w="3007" w:type="dxa"/>
          </w:tcPr>
          <w:p w14:paraId="3A5BFD26" w14:textId="77777777" w:rsidR="00F17B37" w:rsidRDefault="00F17B37" w:rsidP="00EB3B98">
            <w:r>
              <w:t xml:space="preserve">Antihypertensives and drugs with blood pressure lowering potential, e.g. </w:t>
            </w:r>
            <w:r w:rsidRPr="007F07E1">
              <w:t>tricyclic antidepressants, barbiturates, phenothiazines</w:t>
            </w:r>
          </w:p>
          <w:p w14:paraId="760B6CA0" w14:textId="77777777" w:rsidR="00F17B37" w:rsidRDefault="00F17B37" w:rsidP="00EB3B98"/>
        </w:tc>
        <w:tc>
          <w:tcPr>
            <w:tcW w:w="3418" w:type="dxa"/>
          </w:tcPr>
          <w:p w14:paraId="2F531D74" w14:textId="77777777" w:rsidR="00F17B37" w:rsidRDefault="00F17B37" w:rsidP="00EB3B98">
            <w:r>
              <w:t>Additive effects on blood pressure; increased risk of hypotension</w:t>
            </w:r>
          </w:p>
        </w:tc>
        <w:tc>
          <w:tcPr>
            <w:tcW w:w="2926" w:type="dxa"/>
          </w:tcPr>
          <w:p w14:paraId="229DB133" w14:textId="77777777" w:rsidR="00F17B37" w:rsidRDefault="00F17B37" w:rsidP="00EB3B98">
            <w:r>
              <w:t>Use with caution</w:t>
            </w:r>
          </w:p>
        </w:tc>
      </w:tr>
      <w:tr w:rsidR="00F17B37" w14:paraId="2A4AEBDA" w14:textId="77777777" w:rsidTr="00EB3B98">
        <w:tc>
          <w:tcPr>
            <w:tcW w:w="3007" w:type="dxa"/>
          </w:tcPr>
          <w:p w14:paraId="23C951D1" w14:textId="77777777" w:rsidR="00F17B37" w:rsidRDefault="00F17B37" w:rsidP="00EB3B98">
            <w:r>
              <w:t>Class III antiarrhythmics, e.g.  amiodarone</w:t>
            </w:r>
          </w:p>
        </w:tc>
        <w:tc>
          <w:tcPr>
            <w:tcW w:w="3418" w:type="dxa"/>
          </w:tcPr>
          <w:p w14:paraId="7D5476F8" w14:textId="77777777" w:rsidR="00F17B37" w:rsidRDefault="00F17B37" w:rsidP="00EB3B98">
            <w:r>
              <w:t>Additive effect on AV conduction: increased risk of bradycardia and AV block.</w:t>
            </w:r>
          </w:p>
          <w:p w14:paraId="2C650334" w14:textId="77777777" w:rsidR="00F17B37" w:rsidRDefault="00F17B37" w:rsidP="00EB3B98"/>
        </w:tc>
        <w:tc>
          <w:tcPr>
            <w:tcW w:w="2926" w:type="dxa"/>
          </w:tcPr>
          <w:p w14:paraId="3A38A627" w14:textId="77777777" w:rsidR="00F17B37" w:rsidRDefault="00F17B37" w:rsidP="00EB3B98">
            <w:r>
              <w:t>Use with caution</w:t>
            </w:r>
          </w:p>
        </w:tc>
      </w:tr>
      <w:tr w:rsidR="00F17B37" w14:paraId="08B42107" w14:textId="77777777" w:rsidTr="00EB3B98">
        <w:tc>
          <w:tcPr>
            <w:tcW w:w="3007" w:type="dxa"/>
          </w:tcPr>
          <w:p w14:paraId="1746E131" w14:textId="77777777" w:rsidR="00F17B37" w:rsidRDefault="00F17B37" w:rsidP="00EB3B98">
            <w:r>
              <w:t>Topical beta blockers e.g. timolol eye drops</w:t>
            </w:r>
          </w:p>
          <w:p w14:paraId="1539C3DC" w14:textId="77777777" w:rsidR="00F17B37" w:rsidRDefault="00F17B37" w:rsidP="00EB3B98"/>
        </w:tc>
        <w:tc>
          <w:tcPr>
            <w:tcW w:w="3418" w:type="dxa"/>
          </w:tcPr>
          <w:p w14:paraId="641B8518" w14:textId="77777777" w:rsidR="00F17B37" w:rsidRDefault="00F17B37" w:rsidP="00EB3B98">
            <w:r>
              <w:t>Additive effects possible</w:t>
            </w:r>
          </w:p>
        </w:tc>
        <w:tc>
          <w:tcPr>
            <w:tcW w:w="2926" w:type="dxa"/>
          </w:tcPr>
          <w:p w14:paraId="0ECDD013" w14:textId="77777777" w:rsidR="00F17B37" w:rsidRDefault="00F17B37" w:rsidP="00EB3B98">
            <w:r>
              <w:t>Use with caution</w:t>
            </w:r>
          </w:p>
        </w:tc>
      </w:tr>
      <w:tr w:rsidR="00F17B37" w14:paraId="265B775F" w14:textId="77777777" w:rsidTr="00EB3B98">
        <w:tc>
          <w:tcPr>
            <w:tcW w:w="3007" w:type="dxa"/>
          </w:tcPr>
          <w:p w14:paraId="0163BEE5" w14:textId="77777777" w:rsidR="00F17B37" w:rsidRDefault="00F17B37" w:rsidP="00EB3B98">
            <w:r>
              <w:t>Digoxin,</w:t>
            </w:r>
            <w:r w:rsidRPr="007F07E1">
              <w:t> </w:t>
            </w:r>
            <w:r>
              <w:t>p</w:t>
            </w:r>
            <w:r w:rsidRPr="007F07E1">
              <w:t>arasympathomimetic</w:t>
            </w:r>
            <w:r>
              <w:t xml:space="preserve"> drugs</w:t>
            </w:r>
          </w:p>
        </w:tc>
        <w:tc>
          <w:tcPr>
            <w:tcW w:w="3418" w:type="dxa"/>
          </w:tcPr>
          <w:p w14:paraId="6A9F1741" w14:textId="77777777" w:rsidR="00F17B37" w:rsidRDefault="00F17B37" w:rsidP="00EB3B98">
            <w:r>
              <w:t>Additive effect on AV conduction: increased risk of bradycardia and AV block.</w:t>
            </w:r>
          </w:p>
          <w:p w14:paraId="744BFE11" w14:textId="77777777" w:rsidR="00F17B37" w:rsidRDefault="00F17B37" w:rsidP="00EB3B98"/>
        </w:tc>
        <w:tc>
          <w:tcPr>
            <w:tcW w:w="2926" w:type="dxa"/>
          </w:tcPr>
          <w:p w14:paraId="225EB53C" w14:textId="77777777" w:rsidR="00F17B37" w:rsidRDefault="00F17B37" w:rsidP="00EB3B98">
            <w:r>
              <w:t>Use with caution</w:t>
            </w:r>
          </w:p>
        </w:tc>
      </w:tr>
      <w:tr w:rsidR="00F17B37" w14:paraId="34ADED73" w14:textId="77777777" w:rsidTr="00EB3B98">
        <w:tc>
          <w:tcPr>
            <w:tcW w:w="3007" w:type="dxa"/>
          </w:tcPr>
          <w:p w14:paraId="1DFF304F" w14:textId="77777777" w:rsidR="00F17B37" w:rsidRDefault="00F17B37" w:rsidP="00EB3B98">
            <w:r>
              <w:t>Insulin and hypoglycaemic agents</w:t>
            </w:r>
          </w:p>
        </w:tc>
        <w:tc>
          <w:tcPr>
            <w:tcW w:w="3418" w:type="dxa"/>
          </w:tcPr>
          <w:p w14:paraId="61ED1466" w14:textId="77777777" w:rsidR="00F17B37" w:rsidRDefault="00F17B37" w:rsidP="00EB3B98">
            <w:r>
              <w:t>May increase effects and mask signs of hypoglycaemia</w:t>
            </w:r>
          </w:p>
          <w:p w14:paraId="5F3474C1" w14:textId="77777777" w:rsidR="00F17B37" w:rsidRDefault="00F17B37" w:rsidP="00EB3B98"/>
        </w:tc>
        <w:tc>
          <w:tcPr>
            <w:tcW w:w="2926" w:type="dxa"/>
          </w:tcPr>
          <w:p w14:paraId="7A6FF8EF" w14:textId="77777777" w:rsidR="00F17B37" w:rsidRDefault="00F17B37" w:rsidP="00EB3B98">
            <w:r>
              <w:t>Use with caution</w:t>
            </w:r>
          </w:p>
        </w:tc>
      </w:tr>
    </w:tbl>
    <w:p w14:paraId="3CDC07B7" w14:textId="0F6BFE8C" w:rsidR="00DC4A20" w:rsidRDefault="00DC4A20" w:rsidP="00DC4A20"/>
    <w:p w14:paraId="751BA196" w14:textId="77777777" w:rsidR="00F17B37" w:rsidRPr="000263AE" w:rsidRDefault="00F17B37" w:rsidP="00F17B37">
      <w:pPr>
        <w:rPr>
          <w:b/>
          <w:bCs/>
        </w:rPr>
      </w:pPr>
      <w:r w:rsidRPr="000263AE">
        <w:rPr>
          <w:b/>
          <w:bCs/>
        </w:rPr>
        <w:t xml:space="preserve">Table </w:t>
      </w:r>
      <w:r>
        <w:rPr>
          <w:b/>
          <w:bCs/>
        </w:rPr>
        <w:t>1</w:t>
      </w:r>
      <w:r w:rsidRPr="000263AE">
        <w:rPr>
          <w:b/>
          <w:bCs/>
        </w:rPr>
        <w:t xml:space="preserve">. </w:t>
      </w:r>
      <w:r>
        <w:rPr>
          <w:b/>
          <w:bCs/>
        </w:rPr>
        <w:t>Drugs with important additive effects to bisoprolol (Accord Healthcare Ltd, 2019)</w:t>
      </w:r>
    </w:p>
    <w:p w14:paraId="3D110D49" w14:textId="4012FA2B" w:rsidR="00F17B37" w:rsidRDefault="00F17B37" w:rsidP="00DC4A20"/>
    <w:p w14:paraId="33141512" w14:textId="24791807" w:rsidR="00F17B37" w:rsidRDefault="00F17B37" w:rsidP="00DC4A20"/>
    <w:p w14:paraId="549B78C4" w14:textId="77777777" w:rsidR="00F17B37" w:rsidRDefault="00F17B37" w:rsidP="00DC4A20"/>
    <w:p w14:paraId="38499FFD" w14:textId="77777777" w:rsidR="00F17B37" w:rsidRPr="00DC4A20" w:rsidRDefault="00F17B37" w:rsidP="00DC4A20"/>
    <w:p w14:paraId="6020DC68" w14:textId="77777777" w:rsidR="00DC4A20" w:rsidRPr="00DC4A20" w:rsidRDefault="00DC4A20" w:rsidP="00DC4A20">
      <w:pPr>
        <w:rPr>
          <w:b/>
          <w:bCs/>
          <w:sz w:val="28"/>
          <w:szCs w:val="28"/>
        </w:rPr>
      </w:pPr>
      <w:r w:rsidRPr="00DC4A20">
        <w:rPr>
          <w:b/>
          <w:bCs/>
          <w:sz w:val="28"/>
          <w:szCs w:val="28"/>
        </w:rPr>
        <w:lastRenderedPageBreak/>
        <w:t>Diltiazem</w:t>
      </w:r>
    </w:p>
    <w:p w14:paraId="67B47552" w14:textId="77777777" w:rsidR="00DC4A20" w:rsidRPr="00DC4A20" w:rsidRDefault="00DC4A20" w:rsidP="00DC4A20">
      <w:pPr>
        <w:rPr>
          <w:b/>
          <w:bCs/>
        </w:rPr>
      </w:pPr>
      <w:r w:rsidRPr="00DC4A20">
        <w:rPr>
          <w:b/>
          <w:bCs/>
        </w:rPr>
        <w:t>Overview and indications</w:t>
      </w:r>
    </w:p>
    <w:p w14:paraId="1105A814" w14:textId="77777777" w:rsidR="00DC4A20" w:rsidRPr="00DC4A20" w:rsidRDefault="00DC4A20" w:rsidP="00DC4A20">
      <w:r w:rsidRPr="00DC4A20">
        <w:t xml:space="preserve">Diltiazem is one of a heterogeneous group of drugs described as calcium channel blockers (Joint Formulary Committee, 2019).  The group can be subdivided into two main drug types - the dihydropyridine drugs, which include amlodipine, nifedipine and nicardipine; and the non-dihydropyridine drugs, which comprise diltiazem and verapamil.  All calcium channel blockers reduce the influx of calcium through voltage-gated L-type calcium channels, which are found in multiple organs including the heart, blood vessels, and gut (Abernethy and Schwartz, 1999).  </w:t>
      </w:r>
    </w:p>
    <w:p w14:paraId="210DC037" w14:textId="77777777" w:rsidR="00DC4A20" w:rsidRDefault="00DC4A20" w:rsidP="00DC4A20">
      <w:r w:rsidRPr="00DC4A20">
        <w:t>In the blood vessels, reduced calcium entry causes smooth muscle relaxation and vasodila</w:t>
      </w:r>
      <w:r w:rsidRPr="004400CC">
        <w:t>tation, lowering blood pressure and increasing coronary artery blood flow.  This makes calcium channel blockers useful drugs in the management of hypertension and angina</w:t>
      </w:r>
      <w:r>
        <w:t xml:space="preserve"> </w:t>
      </w:r>
      <w:r w:rsidRPr="004400CC">
        <w:t xml:space="preserve">(Joint Formulary Committee, 2019).  </w:t>
      </w:r>
    </w:p>
    <w:p w14:paraId="2793B342" w14:textId="77777777" w:rsidR="00DC4A20" w:rsidRPr="004400CC" w:rsidRDefault="00DC4A20" w:rsidP="00DC4A20">
      <w:r w:rsidRPr="004400CC">
        <w:t xml:space="preserve">In </w:t>
      </w:r>
      <w:r>
        <w:t xml:space="preserve">the heart, calcium channel blockade </w:t>
      </w:r>
      <w:r w:rsidRPr="004400CC">
        <w:t>reduce</w:t>
      </w:r>
      <w:r>
        <w:t>s</w:t>
      </w:r>
      <w:r w:rsidRPr="004400CC">
        <w:t xml:space="preserve"> contractility and slow</w:t>
      </w:r>
      <w:r>
        <w:t>s</w:t>
      </w:r>
      <w:r w:rsidRPr="004400CC">
        <w:t xml:space="preserve"> the depolarisation of cells within the cardiac conduction system</w:t>
      </w:r>
      <w:r>
        <w:t>.  This reduces the sinus rate and slows conduction through the AV node.</w:t>
      </w:r>
      <w:r w:rsidRPr="004400CC">
        <w:t xml:space="preserve">  The magnitude of these cardiac effects varies between the two groups of calcium channel blockers; the dihydropyridine drugs have little negative inotropic action, and do not affect electrical function </w:t>
      </w:r>
      <w:r w:rsidRPr="004400CC">
        <w:rPr>
          <w:i/>
          <w:iCs/>
        </w:rPr>
        <w:t xml:space="preserve">in vivo </w:t>
      </w:r>
      <w:r w:rsidRPr="004400CC">
        <w:t>(Abernethy and Schwartz, 1999).</w:t>
      </w:r>
      <w:r w:rsidRPr="004400CC">
        <w:rPr>
          <w:i/>
          <w:iCs/>
        </w:rPr>
        <w:t xml:space="preserve">  </w:t>
      </w:r>
      <w:r w:rsidRPr="004400CC">
        <w:t xml:space="preserve">In contrast, diltiazem and verapamil have a more profound negative inotropic effect and slow depolarisation of the sinus and AV nodes (Padial et al, 2016).  </w:t>
      </w:r>
    </w:p>
    <w:p w14:paraId="6850A412" w14:textId="77777777" w:rsidR="00DC4A20" w:rsidRDefault="00DC4A20" w:rsidP="00DC4A20">
      <w:r w:rsidRPr="00DC4A20">
        <w:t>The AV node slowing properties of diltiazem make it a useful drug for the rate control of atrial arrhythmias in people without significant left ventricular dysfunction (Van Gelder et al,</w:t>
      </w:r>
      <w:r w:rsidRPr="004400CC">
        <w:t xml:space="preserve"> 2016).  Although the drug is not licensed for this use, it is a first-line agent for rate control in AF guidelines, alongside beta-blockers (Kirchof et al, 2016; NICE, 2014).  The evidence base for its use is limited, but in a cross-over study of 60 patients with permanent AF, diltiazem controlled heart rate more effectively, both at rest and during exercise, than verapamil, metoprolol or carvedilol (Ulimoen et al, 2013).  The drug was also superior in terms of symptom management.  Unlike beta-blockers, diltiazem can be used</w:t>
      </w:r>
      <w:r>
        <w:t xml:space="preserve"> safely</w:t>
      </w:r>
      <w:r w:rsidRPr="004400CC">
        <w:t xml:space="preserve"> in asthma, and may cause less fatigue (Bennett, 2013).  </w:t>
      </w:r>
    </w:p>
    <w:p w14:paraId="78B3301C" w14:textId="77777777" w:rsidR="00DC4A20" w:rsidRPr="004400CC" w:rsidRDefault="00DC4A20" w:rsidP="00DC4A20">
      <w:r>
        <w:t xml:space="preserve">Diltiazem </w:t>
      </w:r>
      <w:r w:rsidRPr="004400CC">
        <w:t xml:space="preserve">does not reduce sympathetic activity or slow conduction within the myocardium, and therefore has no intrinsic antiarrhythmic properties.  It is not used in heart failure because of its negative inotropic effects (Padial et al, 2016).  Although diltiazem and verapamil may supress idiopathic ventricular tachycardia, they have no role in the management of ventricular arrhythmia secondary to structural heart disease, and are not used in the prevention of sudden cardiac death (Brugada and Diez, 2010).  Diltiazem and verapamil are effective alternatives to adenosine in the acute termination of re-entrant SVT; verapamil is used in this context because diltiazem is not available in intravenous form in the UK (Joint Formulary Committee, 2019).  </w:t>
      </w:r>
    </w:p>
    <w:p w14:paraId="0D499FC1" w14:textId="77777777" w:rsidR="00DC4A20" w:rsidRPr="004400CC" w:rsidRDefault="00DC4A20" w:rsidP="00DC4A20"/>
    <w:p w14:paraId="5C827312" w14:textId="77777777" w:rsidR="00DC4A20" w:rsidRPr="004400CC" w:rsidRDefault="00DC4A20" w:rsidP="00DC4A20">
      <w:pPr>
        <w:rPr>
          <w:b/>
          <w:bCs/>
        </w:rPr>
      </w:pPr>
      <w:r w:rsidRPr="00DC4A20">
        <w:rPr>
          <w:b/>
          <w:bCs/>
        </w:rPr>
        <w:t>Dosing and administration</w:t>
      </w:r>
    </w:p>
    <w:p w14:paraId="13857014" w14:textId="77777777" w:rsidR="00DC4A20" w:rsidRPr="004400CC" w:rsidRDefault="00DC4A20" w:rsidP="00DC4A20">
      <w:r w:rsidRPr="004400CC">
        <w:t xml:space="preserve">Diltiazem is well-absorbed orally, however a large first-pass effect reduces bioavailability to around 40% (Accord-UK Ltd, 2018).  With standard preparations, plasma half-life is only 4-8 hours, meaning that three times daily administration is required (Joint Formulary Committee, 2019).  To improve adherence, modified or sustained release preparations are typically used, allowing once or twice daily dosing.  In </w:t>
      </w:r>
      <w:r>
        <w:t>AF</w:t>
      </w:r>
      <w:r w:rsidRPr="004400CC">
        <w:t xml:space="preserve">, twice daily dosing is commonly employed, using a sustained-release preparation such as Tildiem Retard, which has an elimination half-life of 7-8 hours (Sanofi, 2019).  Preparations from different manufacturers have different pharmacokinetic profiles and are therefore not interchangeable.  </w:t>
      </w:r>
    </w:p>
    <w:p w14:paraId="01297062" w14:textId="77777777" w:rsidR="00DC4A20" w:rsidRPr="00DC4A20" w:rsidRDefault="00DC4A20" w:rsidP="00DC4A20">
      <w:r w:rsidRPr="004400CC">
        <w:lastRenderedPageBreak/>
        <w:t>Because diltiazem is not licensed for AF, manufacturers recommendations on dosing are not available (Accord-UK Ltd, 2018; Sanofi, 2019).  A typical starting dose is 90mg twice daily using a sustained release preparation; this should be re</w:t>
      </w:r>
      <w:r>
        <w:t xml:space="preserve">duced to 60mg in the elderly, or if </w:t>
      </w:r>
      <w:r w:rsidRPr="004400CC">
        <w:t xml:space="preserve">there is </w:t>
      </w:r>
      <w:r>
        <w:t xml:space="preserve">renal or </w:t>
      </w:r>
      <w:r w:rsidRPr="004400CC">
        <w:t xml:space="preserve">hepatic impairment </w:t>
      </w:r>
      <w:r w:rsidRPr="00DC4A20">
        <w:t xml:space="preserve">(Sanofi, 2019).  Dosing should be guided by clinical response; as with beta-blockers, the aim is to control symptoms and enable the patient to exercise, without producing bradycardia, hypotension or intolerable side effects (Van Gelder et al, 2016).  </w:t>
      </w:r>
    </w:p>
    <w:p w14:paraId="2DC90D29" w14:textId="77777777" w:rsidR="00DC4A20" w:rsidRPr="00DC4A20" w:rsidRDefault="00DC4A20" w:rsidP="00DC4A20">
      <w:r w:rsidRPr="00DC4A20">
        <w:t xml:space="preserve">In hypertension and angina, the maximum licensed doses of diltiazem for are 360mg and 480mg respectively (Accord-UK Ltd, 2018).  Up to 360mg daily has been used in clinical studies of AF rate control, although unwanted effects were more likely at this dose (Padial et al, 2016).  </w:t>
      </w:r>
    </w:p>
    <w:p w14:paraId="150AA229" w14:textId="77777777" w:rsidR="00DC4A20" w:rsidRPr="00DC4A20" w:rsidRDefault="00DC4A20" w:rsidP="00DC4A20"/>
    <w:p w14:paraId="53FBA9B7" w14:textId="77777777" w:rsidR="00DC4A20" w:rsidRPr="00DC4A20" w:rsidRDefault="00DC4A20" w:rsidP="00DC4A20">
      <w:pPr>
        <w:rPr>
          <w:b/>
          <w:bCs/>
        </w:rPr>
      </w:pPr>
      <w:r w:rsidRPr="00DC4A20">
        <w:rPr>
          <w:b/>
          <w:bCs/>
        </w:rPr>
        <w:t>Safety</w:t>
      </w:r>
    </w:p>
    <w:p w14:paraId="78AAB71E" w14:textId="77777777" w:rsidR="00DC4A20" w:rsidRPr="004400CC" w:rsidRDefault="00DC4A20" w:rsidP="00DC4A20">
      <w:r w:rsidRPr="00DC4A20">
        <w:t>Diltiazem should not be given if there is significant conduction system disease unless a pacemaker is present (Joint Formulary Committee</w:t>
      </w:r>
      <w:r w:rsidRPr="004400CC">
        <w:t>, 2019).  The drug is contraindicated in pregnancy and breastfeeding; congestive heart failure; severe aortic stenosis; cardiogenic shock; and severe hypotension (Sanofi, 2019).  Common side effects include headache, dizziness, flushing, constipation and ankle oedema (Accord-UK Ltd, 2018).</w:t>
      </w:r>
    </w:p>
    <w:p w14:paraId="483FF621" w14:textId="4DD89339" w:rsidR="00DC4A20" w:rsidRDefault="00DC4A20" w:rsidP="00DC4A20">
      <w:r w:rsidRPr="004400CC">
        <w:t xml:space="preserve">Diltiazem is deactivated in the liver, with only 5% excreted unchanged in the urine (Abernethy and Schwartz, 1999).  Despite this small renal involvement, plasma levels increase during both hepatic and renal impairment, requiring dose reduction (Sanofi, 2019).  Diltiazem is primarily metabolised by CYP3A4, and also inhibits this enzyme (Accord-UK Ltd, 2018).  Interactions occur when diltiazem is coadministration with drugs metabolised by, or affecting, CYP3A4.  Additive effects occur with drugs that decrease blood pressure or cardiac conduction. Important interactions are outlined in table 2. </w:t>
      </w:r>
    </w:p>
    <w:p w14:paraId="0894D524" w14:textId="50C17AFA" w:rsidR="001178A3" w:rsidRDefault="001178A3" w:rsidP="00DC4A20"/>
    <w:p w14:paraId="2997ABCD" w14:textId="3AA6AF4A" w:rsidR="001178A3" w:rsidRDefault="001178A3" w:rsidP="00DC4A20"/>
    <w:p w14:paraId="279F7F3A" w14:textId="2CE0A9A4" w:rsidR="001178A3" w:rsidRDefault="001178A3" w:rsidP="00DC4A20"/>
    <w:p w14:paraId="41D8BCB0" w14:textId="32CB8A0C" w:rsidR="001178A3" w:rsidRDefault="001178A3" w:rsidP="00DC4A20"/>
    <w:p w14:paraId="457BCD98" w14:textId="398B14E3" w:rsidR="001178A3" w:rsidRDefault="001178A3" w:rsidP="00DC4A20"/>
    <w:p w14:paraId="27AD2C0C" w14:textId="397F8B32" w:rsidR="001178A3" w:rsidRDefault="001178A3" w:rsidP="00DC4A20"/>
    <w:p w14:paraId="6D0BD7E6" w14:textId="7A66917B" w:rsidR="001178A3" w:rsidRDefault="001178A3" w:rsidP="00DC4A20"/>
    <w:p w14:paraId="4BE8107F" w14:textId="20CDB8DF" w:rsidR="001178A3" w:rsidRDefault="001178A3" w:rsidP="00DC4A20"/>
    <w:p w14:paraId="0F3A0999" w14:textId="408EEA1B" w:rsidR="001178A3" w:rsidRDefault="001178A3" w:rsidP="00DC4A20"/>
    <w:p w14:paraId="45B7D823" w14:textId="38EB97BF" w:rsidR="001178A3" w:rsidRDefault="001178A3" w:rsidP="00DC4A20"/>
    <w:p w14:paraId="41295CD8" w14:textId="6ADB97DE" w:rsidR="001178A3" w:rsidRDefault="001178A3" w:rsidP="00DC4A20"/>
    <w:p w14:paraId="055E11D8" w14:textId="04DF380E" w:rsidR="001178A3" w:rsidRDefault="001178A3" w:rsidP="00DC4A20"/>
    <w:p w14:paraId="0276277D" w14:textId="09D594F2" w:rsidR="001178A3" w:rsidRDefault="001178A3" w:rsidP="00DC4A20"/>
    <w:p w14:paraId="61BFB3AC" w14:textId="125CC151" w:rsidR="001178A3" w:rsidRDefault="001178A3" w:rsidP="00DC4A20"/>
    <w:p w14:paraId="0B7103F1" w14:textId="09B0DAEB" w:rsidR="001178A3" w:rsidRDefault="001178A3" w:rsidP="00DC4A20"/>
    <w:tbl>
      <w:tblPr>
        <w:tblStyle w:val="TableGrid"/>
        <w:tblW w:w="9351" w:type="dxa"/>
        <w:tblLook w:val="04A0" w:firstRow="1" w:lastRow="0" w:firstColumn="1" w:lastColumn="0" w:noHBand="0" w:noVBand="1"/>
      </w:tblPr>
      <w:tblGrid>
        <w:gridCol w:w="2263"/>
        <w:gridCol w:w="3828"/>
        <w:gridCol w:w="3260"/>
      </w:tblGrid>
      <w:tr w:rsidR="001178A3" w14:paraId="548BBFB4"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564AFB40" w14:textId="77777777" w:rsidR="001178A3" w:rsidRDefault="001178A3" w:rsidP="00EB3B98">
            <w:pPr>
              <w:rPr>
                <w:b/>
                <w:bCs/>
              </w:rPr>
            </w:pPr>
            <w:r>
              <w:rPr>
                <w:b/>
                <w:bCs/>
              </w:rPr>
              <w:lastRenderedPageBreak/>
              <w:t>Drug</w:t>
            </w:r>
          </w:p>
        </w:tc>
        <w:tc>
          <w:tcPr>
            <w:tcW w:w="3828" w:type="dxa"/>
            <w:tcBorders>
              <w:top w:val="single" w:sz="4" w:space="0" w:color="auto"/>
              <w:left w:val="single" w:sz="4" w:space="0" w:color="auto"/>
              <w:bottom w:val="single" w:sz="4" w:space="0" w:color="auto"/>
              <w:right w:val="single" w:sz="4" w:space="0" w:color="auto"/>
            </w:tcBorders>
            <w:hideMark/>
          </w:tcPr>
          <w:p w14:paraId="1595ADF4" w14:textId="77777777" w:rsidR="001178A3" w:rsidRDefault="001178A3" w:rsidP="00EB3B98">
            <w:pPr>
              <w:rPr>
                <w:b/>
                <w:bCs/>
              </w:rPr>
            </w:pPr>
            <w:r>
              <w:rPr>
                <w:b/>
                <w:bCs/>
              </w:rPr>
              <w:t>Effect of co-administration</w:t>
            </w:r>
          </w:p>
        </w:tc>
        <w:tc>
          <w:tcPr>
            <w:tcW w:w="3260" w:type="dxa"/>
            <w:tcBorders>
              <w:top w:val="single" w:sz="4" w:space="0" w:color="auto"/>
              <w:left w:val="single" w:sz="4" w:space="0" w:color="auto"/>
              <w:bottom w:val="single" w:sz="4" w:space="0" w:color="auto"/>
              <w:right w:val="single" w:sz="4" w:space="0" w:color="auto"/>
            </w:tcBorders>
            <w:hideMark/>
          </w:tcPr>
          <w:p w14:paraId="2A3F2C1B" w14:textId="77777777" w:rsidR="001178A3" w:rsidRDefault="001178A3" w:rsidP="00EB3B98">
            <w:pPr>
              <w:rPr>
                <w:b/>
                <w:bCs/>
              </w:rPr>
            </w:pPr>
            <w:r>
              <w:rPr>
                <w:b/>
                <w:bCs/>
              </w:rPr>
              <w:t>Recommendation</w:t>
            </w:r>
          </w:p>
        </w:tc>
      </w:tr>
      <w:tr w:rsidR="001178A3" w14:paraId="44743EF0" w14:textId="77777777" w:rsidTr="00EB3B98">
        <w:tc>
          <w:tcPr>
            <w:tcW w:w="2263" w:type="dxa"/>
            <w:tcBorders>
              <w:top w:val="single" w:sz="4" w:space="0" w:color="auto"/>
              <w:left w:val="single" w:sz="4" w:space="0" w:color="auto"/>
              <w:bottom w:val="single" w:sz="4" w:space="0" w:color="auto"/>
              <w:right w:val="single" w:sz="4" w:space="0" w:color="auto"/>
            </w:tcBorders>
          </w:tcPr>
          <w:p w14:paraId="10464990" w14:textId="77777777" w:rsidR="001178A3" w:rsidRDefault="001178A3" w:rsidP="00EB3B98">
            <w:r>
              <w:t>Alpha antagonists, nitrates</w:t>
            </w:r>
          </w:p>
          <w:p w14:paraId="7380E5BD" w14:textId="77777777" w:rsidR="001178A3" w:rsidRDefault="001178A3" w:rsidP="00EB3B98">
            <w:pPr>
              <w:rPr>
                <w:b/>
                <w:bCs/>
              </w:rPr>
            </w:pPr>
          </w:p>
        </w:tc>
        <w:tc>
          <w:tcPr>
            <w:tcW w:w="3828" w:type="dxa"/>
            <w:tcBorders>
              <w:top w:val="single" w:sz="4" w:space="0" w:color="auto"/>
              <w:left w:val="single" w:sz="4" w:space="0" w:color="auto"/>
              <w:bottom w:val="single" w:sz="4" w:space="0" w:color="auto"/>
              <w:right w:val="single" w:sz="4" w:space="0" w:color="auto"/>
            </w:tcBorders>
            <w:hideMark/>
          </w:tcPr>
          <w:p w14:paraId="32FA67FE" w14:textId="77777777" w:rsidR="001178A3" w:rsidRDefault="001178A3" w:rsidP="00EB3B98">
            <w:pPr>
              <w:rPr>
                <w:b/>
                <w:bCs/>
              </w:rPr>
            </w:pPr>
            <w:r>
              <w:t>Additive hypotensive effect</w:t>
            </w:r>
          </w:p>
        </w:tc>
        <w:tc>
          <w:tcPr>
            <w:tcW w:w="3260" w:type="dxa"/>
            <w:tcBorders>
              <w:top w:val="single" w:sz="4" w:space="0" w:color="auto"/>
              <w:left w:val="single" w:sz="4" w:space="0" w:color="auto"/>
              <w:bottom w:val="single" w:sz="4" w:space="0" w:color="auto"/>
              <w:right w:val="single" w:sz="4" w:space="0" w:color="auto"/>
            </w:tcBorders>
            <w:hideMark/>
          </w:tcPr>
          <w:p w14:paraId="4B743724" w14:textId="77777777" w:rsidR="001178A3" w:rsidRDefault="001178A3" w:rsidP="00EB3B98">
            <w:pPr>
              <w:rPr>
                <w:b/>
                <w:bCs/>
              </w:rPr>
            </w:pPr>
            <w:r>
              <w:t>Use with caution, monitor blood pressure.</w:t>
            </w:r>
          </w:p>
        </w:tc>
      </w:tr>
      <w:tr w:rsidR="001178A3" w14:paraId="12FBAA4C"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3A9F5561" w14:textId="77777777" w:rsidR="001178A3" w:rsidRDefault="001178A3" w:rsidP="00EB3B98">
            <w:pPr>
              <w:rPr>
                <w:b/>
                <w:bCs/>
              </w:rPr>
            </w:pPr>
            <w:r>
              <w:t>Amiodarone</w:t>
            </w:r>
          </w:p>
        </w:tc>
        <w:tc>
          <w:tcPr>
            <w:tcW w:w="3828" w:type="dxa"/>
            <w:tcBorders>
              <w:top w:val="single" w:sz="4" w:space="0" w:color="auto"/>
              <w:left w:val="single" w:sz="4" w:space="0" w:color="auto"/>
              <w:bottom w:val="single" w:sz="4" w:space="0" w:color="auto"/>
              <w:right w:val="single" w:sz="4" w:space="0" w:color="auto"/>
            </w:tcBorders>
          </w:tcPr>
          <w:p w14:paraId="0D9B3C10" w14:textId="77777777" w:rsidR="001178A3" w:rsidRDefault="001178A3" w:rsidP="00EB3B98">
            <w:r>
              <w:t>Additive effect on AV conduction: increased risk of bradycardia, AV block.</w:t>
            </w:r>
          </w:p>
          <w:p w14:paraId="175BF2C7" w14:textId="77777777" w:rsidR="001178A3" w:rsidRDefault="001178A3" w:rsidP="00EB3B98">
            <w:pPr>
              <w:rPr>
                <w:b/>
                <w:bCs/>
              </w:rPr>
            </w:pPr>
          </w:p>
        </w:tc>
        <w:tc>
          <w:tcPr>
            <w:tcW w:w="3260" w:type="dxa"/>
            <w:tcBorders>
              <w:top w:val="single" w:sz="4" w:space="0" w:color="auto"/>
              <w:left w:val="single" w:sz="4" w:space="0" w:color="auto"/>
              <w:bottom w:val="single" w:sz="4" w:space="0" w:color="auto"/>
              <w:right w:val="single" w:sz="4" w:space="0" w:color="auto"/>
            </w:tcBorders>
            <w:hideMark/>
          </w:tcPr>
          <w:p w14:paraId="3D7D8247" w14:textId="77777777" w:rsidR="001178A3" w:rsidRDefault="001178A3" w:rsidP="00EB3B98">
            <w:pPr>
              <w:rPr>
                <w:b/>
                <w:bCs/>
              </w:rPr>
            </w:pPr>
            <w:r>
              <w:t>Use with caution – close supervision and ECG monitoring</w:t>
            </w:r>
          </w:p>
        </w:tc>
      </w:tr>
      <w:tr w:rsidR="001178A3" w14:paraId="664168A2"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5BC0EA8B" w14:textId="77777777" w:rsidR="001178A3" w:rsidRDefault="001178A3" w:rsidP="00EB3B98">
            <w:r>
              <w:t>Anti-H2 agents (cimetidine, ranitidine)</w:t>
            </w:r>
          </w:p>
        </w:tc>
        <w:tc>
          <w:tcPr>
            <w:tcW w:w="3828" w:type="dxa"/>
            <w:tcBorders>
              <w:top w:val="single" w:sz="4" w:space="0" w:color="auto"/>
              <w:left w:val="single" w:sz="4" w:space="0" w:color="auto"/>
              <w:bottom w:val="single" w:sz="4" w:space="0" w:color="auto"/>
              <w:right w:val="single" w:sz="4" w:space="0" w:color="auto"/>
            </w:tcBorders>
            <w:hideMark/>
          </w:tcPr>
          <w:p w14:paraId="12F2B489" w14:textId="77777777" w:rsidR="001178A3" w:rsidRDefault="001178A3" w:rsidP="00EB3B98">
            <w:r>
              <w:t>Increase in diltiazem plasma levels</w:t>
            </w:r>
          </w:p>
        </w:tc>
        <w:tc>
          <w:tcPr>
            <w:tcW w:w="3260" w:type="dxa"/>
            <w:tcBorders>
              <w:top w:val="single" w:sz="4" w:space="0" w:color="auto"/>
              <w:left w:val="single" w:sz="4" w:space="0" w:color="auto"/>
              <w:bottom w:val="single" w:sz="4" w:space="0" w:color="auto"/>
              <w:right w:val="single" w:sz="4" w:space="0" w:color="auto"/>
            </w:tcBorders>
          </w:tcPr>
          <w:p w14:paraId="04049DAD" w14:textId="77777777" w:rsidR="001178A3" w:rsidRDefault="001178A3" w:rsidP="00EB3B98">
            <w:r>
              <w:t>Careful monitoring and dose reduction if necessary</w:t>
            </w:r>
          </w:p>
          <w:p w14:paraId="4021A846" w14:textId="77777777" w:rsidR="001178A3" w:rsidRDefault="001178A3" w:rsidP="00EB3B98"/>
        </w:tc>
      </w:tr>
      <w:tr w:rsidR="001178A3" w14:paraId="063952F9"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7657FB92" w14:textId="77777777" w:rsidR="001178A3" w:rsidRDefault="001178A3" w:rsidP="00EB3B98">
            <w:r>
              <w:t>Atorvastatin, simvastatin</w:t>
            </w:r>
          </w:p>
        </w:tc>
        <w:tc>
          <w:tcPr>
            <w:tcW w:w="3828" w:type="dxa"/>
            <w:tcBorders>
              <w:top w:val="single" w:sz="4" w:space="0" w:color="auto"/>
              <w:left w:val="single" w:sz="4" w:space="0" w:color="auto"/>
              <w:bottom w:val="single" w:sz="4" w:space="0" w:color="auto"/>
              <w:right w:val="single" w:sz="4" w:space="0" w:color="auto"/>
            </w:tcBorders>
            <w:hideMark/>
          </w:tcPr>
          <w:p w14:paraId="285AFF62" w14:textId="77777777" w:rsidR="001178A3" w:rsidRDefault="001178A3" w:rsidP="00EB3B98">
            <w:r>
              <w:t>Increased statin plasma levels; muscle toxicity possible</w:t>
            </w:r>
          </w:p>
        </w:tc>
        <w:tc>
          <w:tcPr>
            <w:tcW w:w="3260" w:type="dxa"/>
            <w:tcBorders>
              <w:top w:val="single" w:sz="4" w:space="0" w:color="auto"/>
              <w:left w:val="single" w:sz="4" w:space="0" w:color="auto"/>
              <w:bottom w:val="single" w:sz="4" w:space="0" w:color="auto"/>
              <w:right w:val="single" w:sz="4" w:space="0" w:color="auto"/>
            </w:tcBorders>
          </w:tcPr>
          <w:p w14:paraId="46042972" w14:textId="77777777" w:rsidR="001178A3" w:rsidRDefault="001178A3" w:rsidP="00EB3B98">
            <w:r>
              <w:t>Change to a statin not metabolised by CYP3A4, e.g. pravastatin, rosuvastatin</w:t>
            </w:r>
          </w:p>
          <w:p w14:paraId="28B6C1E6" w14:textId="77777777" w:rsidR="001178A3" w:rsidRDefault="001178A3" w:rsidP="00EB3B98"/>
        </w:tc>
      </w:tr>
      <w:tr w:rsidR="001178A3" w14:paraId="790BACC0"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6030D9B2" w14:textId="77777777" w:rsidR="001178A3" w:rsidRDefault="001178A3" w:rsidP="00EB3B98">
            <w:pPr>
              <w:rPr>
                <w:b/>
                <w:bCs/>
              </w:rPr>
            </w:pPr>
            <w:r>
              <w:t>Beta blockers</w:t>
            </w:r>
          </w:p>
        </w:tc>
        <w:tc>
          <w:tcPr>
            <w:tcW w:w="3828" w:type="dxa"/>
            <w:tcBorders>
              <w:top w:val="single" w:sz="4" w:space="0" w:color="auto"/>
              <w:left w:val="single" w:sz="4" w:space="0" w:color="auto"/>
              <w:bottom w:val="single" w:sz="4" w:space="0" w:color="auto"/>
              <w:right w:val="single" w:sz="4" w:space="0" w:color="auto"/>
            </w:tcBorders>
          </w:tcPr>
          <w:p w14:paraId="4D1C6731" w14:textId="77777777" w:rsidR="001178A3" w:rsidRDefault="001178A3" w:rsidP="00EB3B98">
            <w:r>
              <w:t>Additive effects on cardiac conduction and inotropy – increased risk of bradycardia, AV block, heart failure</w:t>
            </w:r>
          </w:p>
          <w:p w14:paraId="55AFA15C" w14:textId="77777777" w:rsidR="001178A3" w:rsidRDefault="001178A3" w:rsidP="00EB3B98">
            <w:pPr>
              <w:rPr>
                <w:b/>
                <w:bCs/>
              </w:rPr>
            </w:pPr>
          </w:p>
        </w:tc>
        <w:tc>
          <w:tcPr>
            <w:tcW w:w="3260" w:type="dxa"/>
            <w:tcBorders>
              <w:top w:val="single" w:sz="4" w:space="0" w:color="auto"/>
              <w:left w:val="single" w:sz="4" w:space="0" w:color="auto"/>
              <w:bottom w:val="single" w:sz="4" w:space="0" w:color="auto"/>
              <w:right w:val="single" w:sz="4" w:space="0" w:color="auto"/>
            </w:tcBorders>
            <w:hideMark/>
          </w:tcPr>
          <w:p w14:paraId="4DCE291A" w14:textId="77777777" w:rsidR="001178A3" w:rsidRDefault="001178A3" w:rsidP="00EB3B98">
            <w:pPr>
              <w:rPr>
                <w:b/>
                <w:bCs/>
              </w:rPr>
            </w:pPr>
            <w:r>
              <w:t xml:space="preserve">Use with caution – close supervision and ECG monitoring </w:t>
            </w:r>
          </w:p>
        </w:tc>
      </w:tr>
      <w:tr w:rsidR="001178A3" w14:paraId="24D68138"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4FEF2794" w14:textId="77777777" w:rsidR="001178A3" w:rsidRDefault="001178A3" w:rsidP="00EB3B98">
            <w:r>
              <w:t>Carbamazepine</w:t>
            </w:r>
          </w:p>
        </w:tc>
        <w:tc>
          <w:tcPr>
            <w:tcW w:w="3828" w:type="dxa"/>
            <w:tcBorders>
              <w:top w:val="single" w:sz="4" w:space="0" w:color="auto"/>
              <w:left w:val="single" w:sz="4" w:space="0" w:color="auto"/>
              <w:bottom w:val="single" w:sz="4" w:space="0" w:color="auto"/>
              <w:right w:val="single" w:sz="4" w:space="0" w:color="auto"/>
            </w:tcBorders>
          </w:tcPr>
          <w:p w14:paraId="24CE2CE9" w14:textId="77777777" w:rsidR="001178A3" w:rsidRDefault="001178A3" w:rsidP="00EB3B98">
            <w:r>
              <w:t>Increased plasma levels of carbamazepine</w:t>
            </w:r>
          </w:p>
          <w:p w14:paraId="149DBFD0" w14:textId="77777777" w:rsidR="001178A3" w:rsidRDefault="001178A3" w:rsidP="00EB3B98"/>
        </w:tc>
        <w:tc>
          <w:tcPr>
            <w:tcW w:w="3260" w:type="dxa"/>
            <w:tcBorders>
              <w:top w:val="single" w:sz="4" w:space="0" w:color="auto"/>
              <w:left w:val="single" w:sz="4" w:space="0" w:color="auto"/>
              <w:bottom w:val="single" w:sz="4" w:space="0" w:color="auto"/>
              <w:right w:val="single" w:sz="4" w:space="0" w:color="auto"/>
            </w:tcBorders>
            <w:hideMark/>
          </w:tcPr>
          <w:p w14:paraId="02D447E3" w14:textId="77777777" w:rsidR="001178A3" w:rsidRDefault="001178A3" w:rsidP="00EB3B98">
            <w:r>
              <w:t>Check plasma levels and adjust dose if necessary</w:t>
            </w:r>
          </w:p>
        </w:tc>
      </w:tr>
      <w:tr w:rsidR="001178A3" w14:paraId="243E5585"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54280C33" w14:textId="77777777" w:rsidR="001178A3" w:rsidRDefault="001178A3" w:rsidP="00EB3B98">
            <w:r>
              <w:t>Ciclosporin</w:t>
            </w:r>
          </w:p>
        </w:tc>
        <w:tc>
          <w:tcPr>
            <w:tcW w:w="3828" w:type="dxa"/>
            <w:tcBorders>
              <w:top w:val="single" w:sz="4" w:space="0" w:color="auto"/>
              <w:left w:val="single" w:sz="4" w:space="0" w:color="auto"/>
              <w:bottom w:val="single" w:sz="4" w:space="0" w:color="auto"/>
              <w:right w:val="single" w:sz="4" w:space="0" w:color="auto"/>
            </w:tcBorders>
            <w:hideMark/>
          </w:tcPr>
          <w:p w14:paraId="1F68DC9E" w14:textId="77777777" w:rsidR="001178A3" w:rsidRDefault="001178A3" w:rsidP="00EB3B98">
            <w:r>
              <w:t>Increase in ciclosporin plasma levels</w:t>
            </w:r>
          </w:p>
        </w:tc>
        <w:tc>
          <w:tcPr>
            <w:tcW w:w="3260" w:type="dxa"/>
            <w:tcBorders>
              <w:top w:val="single" w:sz="4" w:space="0" w:color="auto"/>
              <w:left w:val="single" w:sz="4" w:space="0" w:color="auto"/>
              <w:bottom w:val="single" w:sz="4" w:space="0" w:color="auto"/>
              <w:right w:val="single" w:sz="4" w:space="0" w:color="auto"/>
            </w:tcBorders>
          </w:tcPr>
          <w:p w14:paraId="14E455F2" w14:textId="77777777" w:rsidR="001178A3" w:rsidRDefault="001178A3" w:rsidP="00EB3B98">
            <w:r>
              <w:t>Use reduced dose of ciclosporin and monitor plasma levels and renal function.</w:t>
            </w:r>
          </w:p>
          <w:p w14:paraId="16C1CF67" w14:textId="77777777" w:rsidR="001178A3" w:rsidRDefault="001178A3" w:rsidP="00EB3B98"/>
        </w:tc>
      </w:tr>
      <w:tr w:rsidR="001178A3" w14:paraId="4ECC577A"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0663A484" w14:textId="77777777" w:rsidR="001178A3" w:rsidRDefault="001178A3" w:rsidP="00EB3B98">
            <w:r>
              <w:t>Dantrolene</w:t>
            </w:r>
          </w:p>
        </w:tc>
        <w:tc>
          <w:tcPr>
            <w:tcW w:w="3828" w:type="dxa"/>
            <w:tcBorders>
              <w:top w:val="single" w:sz="4" w:space="0" w:color="auto"/>
              <w:left w:val="single" w:sz="4" w:space="0" w:color="auto"/>
              <w:bottom w:val="single" w:sz="4" w:space="0" w:color="auto"/>
              <w:right w:val="single" w:sz="4" w:space="0" w:color="auto"/>
            </w:tcBorders>
          </w:tcPr>
          <w:p w14:paraId="37AAFD39" w14:textId="77777777" w:rsidR="001178A3" w:rsidRDefault="001178A3" w:rsidP="00EB3B98">
            <w:r>
              <w:t>Ventricular fibrillation when dantrolene coadministered with verapamil.</w:t>
            </w:r>
          </w:p>
          <w:p w14:paraId="35C1400F" w14:textId="77777777" w:rsidR="001178A3" w:rsidRDefault="001178A3" w:rsidP="00EB3B98"/>
        </w:tc>
        <w:tc>
          <w:tcPr>
            <w:tcW w:w="3260" w:type="dxa"/>
            <w:tcBorders>
              <w:top w:val="single" w:sz="4" w:space="0" w:color="auto"/>
              <w:left w:val="single" w:sz="4" w:space="0" w:color="auto"/>
              <w:bottom w:val="single" w:sz="4" w:space="0" w:color="auto"/>
              <w:right w:val="single" w:sz="4" w:space="0" w:color="auto"/>
            </w:tcBorders>
            <w:hideMark/>
          </w:tcPr>
          <w:p w14:paraId="51C35CCF" w14:textId="77777777" w:rsidR="001178A3" w:rsidRDefault="001178A3" w:rsidP="00EB3B98">
            <w:r>
              <w:t>Concomitant use contraindicated</w:t>
            </w:r>
          </w:p>
        </w:tc>
      </w:tr>
      <w:tr w:rsidR="001178A3" w14:paraId="54B427CE"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1044BAD7" w14:textId="77777777" w:rsidR="001178A3" w:rsidRDefault="001178A3" w:rsidP="00EB3B98">
            <w:r>
              <w:t>Digoxin</w:t>
            </w:r>
          </w:p>
        </w:tc>
        <w:tc>
          <w:tcPr>
            <w:tcW w:w="3828" w:type="dxa"/>
            <w:tcBorders>
              <w:top w:val="single" w:sz="4" w:space="0" w:color="auto"/>
              <w:left w:val="single" w:sz="4" w:space="0" w:color="auto"/>
              <w:bottom w:val="single" w:sz="4" w:space="0" w:color="auto"/>
              <w:right w:val="single" w:sz="4" w:space="0" w:color="auto"/>
            </w:tcBorders>
          </w:tcPr>
          <w:p w14:paraId="37C08394" w14:textId="77777777" w:rsidR="001178A3" w:rsidRDefault="001178A3" w:rsidP="00EB3B98">
            <w:r>
              <w:t>Additive effect on AV conduction: increased risk of bradycardia and AV block.  Increased digoxin plasma level.</w:t>
            </w:r>
          </w:p>
          <w:p w14:paraId="6F848474" w14:textId="77777777" w:rsidR="001178A3" w:rsidRDefault="001178A3" w:rsidP="00EB3B98"/>
        </w:tc>
        <w:tc>
          <w:tcPr>
            <w:tcW w:w="3260" w:type="dxa"/>
            <w:tcBorders>
              <w:top w:val="single" w:sz="4" w:space="0" w:color="auto"/>
              <w:left w:val="single" w:sz="4" w:space="0" w:color="auto"/>
              <w:bottom w:val="single" w:sz="4" w:space="0" w:color="auto"/>
              <w:right w:val="single" w:sz="4" w:space="0" w:color="auto"/>
            </w:tcBorders>
            <w:hideMark/>
          </w:tcPr>
          <w:p w14:paraId="49DA3F1D" w14:textId="77777777" w:rsidR="001178A3" w:rsidRDefault="001178A3" w:rsidP="00EB3B98">
            <w:r>
              <w:t xml:space="preserve">Use with caution – close supervision and ECG monitoring </w:t>
            </w:r>
          </w:p>
        </w:tc>
      </w:tr>
      <w:tr w:rsidR="001178A3" w14:paraId="014A89F1"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1E67F5BC" w14:textId="77777777" w:rsidR="001178A3" w:rsidRDefault="001178A3" w:rsidP="00EB3B98">
            <w:r>
              <w:t>Ivabradine</w:t>
            </w:r>
          </w:p>
        </w:tc>
        <w:tc>
          <w:tcPr>
            <w:tcW w:w="3828" w:type="dxa"/>
            <w:tcBorders>
              <w:top w:val="single" w:sz="4" w:space="0" w:color="auto"/>
              <w:left w:val="single" w:sz="4" w:space="0" w:color="auto"/>
              <w:bottom w:val="single" w:sz="4" w:space="0" w:color="auto"/>
              <w:right w:val="single" w:sz="4" w:space="0" w:color="auto"/>
            </w:tcBorders>
          </w:tcPr>
          <w:p w14:paraId="154AF65B" w14:textId="77777777" w:rsidR="001178A3" w:rsidRDefault="001178A3" w:rsidP="00EB3B98">
            <w:r>
              <w:t>Additive effect on sinus rate – risk of significant bradycardia</w:t>
            </w:r>
          </w:p>
          <w:p w14:paraId="77D9B85A" w14:textId="77777777" w:rsidR="001178A3" w:rsidRDefault="001178A3" w:rsidP="00EB3B98"/>
        </w:tc>
        <w:tc>
          <w:tcPr>
            <w:tcW w:w="3260" w:type="dxa"/>
            <w:tcBorders>
              <w:top w:val="single" w:sz="4" w:space="0" w:color="auto"/>
              <w:left w:val="single" w:sz="4" w:space="0" w:color="auto"/>
              <w:bottom w:val="single" w:sz="4" w:space="0" w:color="auto"/>
              <w:right w:val="single" w:sz="4" w:space="0" w:color="auto"/>
            </w:tcBorders>
            <w:hideMark/>
          </w:tcPr>
          <w:p w14:paraId="768256D8" w14:textId="77777777" w:rsidR="001178A3" w:rsidRDefault="001178A3" w:rsidP="00EB3B98">
            <w:r>
              <w:t>Concomitant use contraindicated</w:t>
            </w:r>
          </w:p>
        </w:tc>
      </w:tr>
      <w:tr w:rsidR="001178A3" w14:paraId="75659F05"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239AA491" w14:textId="77777777" w:rsidR="001178A3" w:rsidRDefault="001178A3" w:rsidP="00EB3B98">
            <w:r>
              <w:t>Lithium</w:t>
            </w:r>
          </w:p>
        </w:tc>
        <w:tc>
          <w:tcPr>
            <w:tcW w:w="3828" w:type="dxa"/>
            <w:tcBorders>
              <w:top w:val="single" w:sz="4" w:space="0" w:color="auto"/>
              <w:left w:val="single" w:sz="4" w:space="0" w:color="auto"/>
              <w:bottom w:val="single" w:sz="4" w:space="0" w:color="auto"/>
              <w:right w:val="single" w:sz="4" w:space="0" w:color="auto"/>
            </w:tcBorders>
          </w:tcPr>
          <w:p w14:paraId="7EA80320" w14:textId="77777777" w:rsidR="001178A3" w:rsidRDefault="001178A3" w:rsidP="00EB3B98">
            <w:r>
              <w:t>Increased risk of lithium-induced neurotoxicity</w:t>
            </w:r>
          </w:p>
          <w:p w14:paraId="0E8CCDAA" w14:textId="77777777" w:rsidR="001178A3" w:rsidRDefault="001178A3" w:rsidP="00EB3B98"/>
        </w:tc>
        <w:tc>
          <w:tcPr>
            <w:tcW w:w="3260" w:type="dxa"/>
            <w:tcBorders>
              <w:top w:val="single" w:sz="4" w:space="0" w:color="auto"/>
              <w:left w:val="single" w:sz="4" w:space="0" w:color="auto"/>
              <w:bottom w:val="single" w:sz="4" w:space="0" w:color="auto"/>
              <w:right w:val="single" w:sz="4" w:space="0" w:color="auto"/>
            </w:tcBorders>
            <w:hideMark/>
          </w:tcPr>
          <w:p w14:paraId="4ABAA556" w14:textId="77777777" w:rsidR="001178A3" w:rsidRDefault="001178A3" w:rsidP="00EB3B98">
            <w:r>
              <w:t>Use with caution</w:t>
            </w:r>
          </w:p>
        </w:tc>
      </w:tr>
      <w:tr w:rsidR="001178A3" w14:paraId="0A9D5288"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5692674B" w14:textId="77777777" w:rsidR="001178A3" w:rsidRDefault="001178A3" w:rsidP="00EB3B98">
            <w:r>
              <w:t>Rifampicin</w:t>
            </w:r>
          </w:p>
        </w:tc>
        <w:tc>
          <w:tcPr>
            <w:tcW w:w="3828" w:type="dxa"/>
            <w:tcBorders>
              <w:top w:val="single" w:sz="4" w:space="0" w:color="auto"/>
              <w:left w:val="single" w:sz="4" w:space="0" w:color="auto"/>
              <w:bottom w:val="single" w:sz="4" w:space="0" w:color="auto"/>
              <w:right w:val="single" w:sz="4" w:space="0" w:color="auto"/>
            </w:tcBorders>
          </w:tcPr>
          <w:p w14:paraId="4991986A" w14:textId="77777777" w:rsidR="001178A3" w:rsidRDefault="001178A3" w:rsidP="00EB3B98">
            <w:r>
              <w:t>May decrease plasma levels of diltiazem</w:t>
            </w:r>
          </w:p>
          <w:p w14:paraId="7190F11F" w14:textId="77777777" w:rsidR="001178A3" w:rsidRDefault="001178A3" w:rsidP="00EB3B98"/>
        </w:tc>
        <w:tc>
          <w:tcPr>
            <w:tcW w:w="3260" w:type="dxa"/>
            <w:tcBorders>
              <w:top w:val="single" w:sz="4" w:space="0" w:color="auto"/>
              <w:left w:val="single" w:sz="4" w:space="0" w:color="auto"/>
              <w:bottom w:val="single" w:sz="4" w:space="0" w:color="auto"/>
              <w:right w:val="single" w:sz="4" w:space="0" w:color="auto"/>
            </w:tcBorders>
            <w:hideMark/>
          </w:tcPr>
          <w:p w14:paraId="607F3190" w14:textId="77777777" w:rsidR="001178A3" w:rsidRDefault="001178A3" w:rsidP="00EB3B98">
            <w:r>
              <w:t>Monitor rate control</w:t>
            </w:r>
          </w:p>
        </w:tc>
      </w:tr>
      <w:tr w:rsidR="001178A3" w14:paraId="007FE700" w14:textId="77777777" w:rsidTr="00EB3B98">
        <w:tc>
          <w:tcPr>
            <w:tcW w:w="2263" w:type="dxa"/>
            <w:tcBorders>
              <w:top w:val="single" w:sz="4" w:space="0" w:color="auto"/>
              <w:left w:val="single" w:sz="4" w:space="0" w:color="auto"/>
              <w:bottom w:val="single" w:sz="4" w:space="0" w:color="auto"/>
              <w:right w:val="single" w:sz="4" w:space="0" w:color="auto"/>
            </w:tcBorders>
            <w:hideMark/>
          </w:tcPr>
          <w:p w14:paraId="5073F07D" w14:textId="77777777" w:rsidR="001178A3" w:rsidRDefault="001178A3" w:rsidP="00EB3B98">
            <w:r>
              <w:t>Theophylline</w:t>
            </w:r>
          </w:p>
        </w:tc>
        <w:tc>
          <w:tcPr>
            <w:tcW w:w="3828" w:type="dxa"/>
            <w:tcBorders>
              <w:top w:val="single" w:sz="4" w:space="0" w:color="auto"/>
              <w:left w:val="single" w:sz="4" w:space="0" w:color="auto"/>
              <w:bottom w:val="single" w:sz="4" w:space="0" w:color="auto"/>
              <w:right w:val="single" w:sz="4" w:space="0" w:color="auto"/>
            </w:tcBorders>
          </w:tcPr>
          <w:p w14:paraId="0ADDD763" w14:textId="77777777" w:rsidR="001178A3" w:rsidRDefault="001178A3" w:rsidP="00EB3B98">
            <w:r>
              <w:t>Increase in circulating theophylline levels</w:t>
            </w:r>
          </w:p>
          <w:p w14:paraId="7B9C9A9F" w14:textId="77777777" w:rsidR="001178A3" w:rsidRDefault="001178A3" w:rsidP="00EB3B98"/>
        </w:tc>
        <w:tc>
          <w:tcPr>
            <w:tcW w:w="3260" w:type="dxa"/>
            <w:tcBorders>
              <w:top w:val="single" w:sz="4" w:space="0" w:color="auto"/>
              <w:left w:val="single" w:sz="4" w:space="0" w:color="auto"/>
              <w:bottom w:val="single" w:sz="4" w:space="0" w:color="auto"/>
              <w:right w:val="single" w:sz="4" w:space="0" w:color="auto"/>
            </w:tcBorders>
            <w:hideMark/>
          </w:tcPr>
          <w:p w14:paraId="41E4C5AA" w14:textId="77777777" w:rsidR="001178A3" w:rsidRDefault="001178A3" w:rsidP="00EB3B98">
            <w:r>
              <w:t>Use with caution</w:t>
            </w:r>
          </w:p>
        </w:tc>
      </w:tr>
    </w:tbl>
    <w:p w14:paraId="60CB1CD8" w14:textId="6B1E8280" w:rsidR="001178A3" w:rsidRDefault="001178A3" w:rsidP="00DC4A20"/>
    <w:p w14:paraId="79F83A80" w14:textId="77777777" w:rsidR="001178A3" w:rsidRDefault="001178A3" w:rsidP="001178A3">
      <w:pPr>
        <w:rPr>
          <w:b/>
          <w:bCs/>
        </w:rPr>
      </w:pPr>
      <w:r>
        <w:rPr>
          <w:b/>
          <w:bCs/>
        </w:rPr>
        <w:t>Table 2. Important drug interactions with diltiazem (Accord-UK Ltd, 2018)</w:t>
      </w:r>
    </w:p>
    <w:p w14:paraId="0C816842" w14:textId="42E94C8B" w:rsidR="001178A3" w:rsidRDefault="001178A3" w:rsidP="00DC4A20"/>
    <w:p w14:paraId="0B2A36B5" w14:textId="6D8178CC" w:rsidR="001178A3" w:rsidRDefault="001178A3" w:rsidP="00DC4A20"/>
    <w:p w14:paraId="1B04090C" w14:textId="77777777" w:rsidR="001178A3" w:rsidRDefault="001178A3" w:rsidP="00DC4A20"/>
    <w:p w14:paraId="58D2301F" w14:textId="77777777" w:rsidR="00DC4A20" w:rsidRPr="004400CC" w:rsidRDefault="00DC4A20" w:rsidP="00DC4A20">
      <w:pPr>
        <w:rPr>
          <w:b/>
          <w:bCs/>
          <w:sz w:val="28"/>
          <w:szCs w:val="28"/>
        </w:rPr>
      </w:pPr>
      <w:r w:rsidRPr="004400CC">
        <w:rPr>
          <w:b/>
          <w:bCs/>
          <w:sz w:val="28"/>
          <w:szCs w:val="28"/>
        </w:rPr>
        <w:lastRenderedPageBreak/>
        <w:t>Digoxin</w:t>
      </w:r>
    </w:p>
    <w:p w14:paraId="128CF0D4" w14:textId="77777777" w:rsidR="00DC4A20" w:rsidRPr="00DC4A20" w:rsidRDefault="00DC4A20" w:rsidP="00DC4A20">
      <w:pPr>
        <w:rPr>
          <w:b/>
          <w:bCs/>
        </w:rPr>
      </w:pPr>
      <w:r w:rsidRPr="00DC4A20">
        <w:rPr>
          <w:b/>
          <w:bCs/>
        </w:rPr>
        <w:t>Overview and indications</w:t>
      </w:r>
    </w:p>
    <w:p w14:paraId="43FFA725" w14:textId="77777777" w:rsidR="00DC4A20" w:rsidRDefault="00DC4A20" w:rsidP="00DC4A20">
      <w:r w:rsidRPr="00DC4A20">
        <w:t xml:space="preserve">Digoxin is one of the oldest cardiovascular medicines.  The drug is extracted from the Foxglove plant </w:t>
      </w:r>
      <w:r w:rsidRPr="00DC4A20">
        <w:rPr>
          <w:i/>
        </w:rPr>
        <w:t xml:space="preserve">digitalis lanata, </w:t>
      </w:r>
      <w:r w:rsidRPr="00DC4A20">
        <w:t>which has been used for centuries in traditional remedies for “dropsy”, an archaic term for oedema (Stucky and Goldberger, 2015).  In the 18</w:t>
      </w:r>
      <w:r w:rsidRPr="00DC4A20">
        <w:rPr>
          <w:vertAlign w:val="superscript"/>
        </w:rPr>
        <w:t>th</w:t>
      </w:r>
      <w:r w:rsidRPr="00DC4A20">
        <w:t xml:space="preserve"> century, William Withering investigated the properties of digitalis, publishing a paper on its clinical use in 1785.  From then until the mid-twentieth century, digitalis preparations were the only effective drug therapy for heart failure and AF; digoxin, the pharmaceutical compound prepared from the digitalis plant, continues to be used in these two conditions, although its use has declined in recent years (Wyse, 2014).</w:t>
      </w:r>
      <w:r w:rsidRPr="004400CC">
        <w:t xml:space="preserve">  </w:t>
      </w:r>
    </w:p>
    <w:p w14:paraId="41BBFDC6" w14:textId="77777777" w:rsidR="00DC4A20" w:rsidRPr="004400CC" w:rsidRDefault="00DC4A20" w:rsidP="00DC4A20">
      <w:r w:rsidRPr="004400CC">
        <w:t xml:space="preserve">Digoxin binds to the sodium-potassium pump in the cell membrane, occupying the receptor site for potassium (Stucky and Goldberger, 2015).  Inhibition of the pump causes an increase in intracellular sodium; this affects the sodium-calcium exchange mechanism, resulting in increased levels of intracellular calcium.  In the cardiac myocyte, increased calcium levels produce a positive inotropic effect.  The same mechanism in nerve cells increases parasympathetic tone, slowing sinus node activity and conduction through the AV node (Accord-UK Ltd, 2019).  This reduces the heart rate during sinus rhythm and slows the ventricular response to atrial tachyarrhythmias.   </w:t>
      </w:r>
    </w:p>
    <w:p w14:paraId="64036BC5" w14:textId="77777777" w:rsidR="00DC4A20" w:rsidRDefault="00DC4A20" w:rsidP="00DC4A20">
      <w:pPr>
        <w:rPr>
          <w:rFonts w:cstheme="minorHAnsi"/>
        </w:rPr>
      </w:pPr>
      <w:r w:rsidRPr="004400CC">
        <w:t xml:space="preserve">The positive inotropic effects of digoxin can be useful in chronic heart failure, although its use is no longer recommended until first- and second-line therapies have been optimised (Ponikowski et al, 2016).  </w:t>
      </w:r>
      <w:r w:rsidRPr="004400CC">
        <w:rPr>
          <w:rFonts w:cstheme="minorHAnsi"/>
        </w:rPr>
        <w:t xml:space="preserve">In the DIG study, a large randomised controlled trial of </w:t>
      </w:r>
      <w:r>
        <w:rPr>
          <w:rFonts w:cstheme="minorHAnsi"/>
        </w:rPr>
        <w:t xml:space="preserve">heart failure </w:t>
      </w:r>
      <w:r w:rsidRPr="004400CC">
        <w:rPr>
          <w:rFonts w:cstheme="minorHAnsi"/>
        </w:rPr>
        <w:t>patients</w:t>
      </w:r>
      <w:r>
        <w:rPr>
          <w:rFonts w:cstheme="minorHAnsi"/>
        </w:rPr>
        <w:t xml:space="preserve">, </w:t>
      </w:r>
      <w:r w:rsidRPr="004400CC">
        <w:rPr>
          <w:rFonts w:cstheme="minorHAnsi"/>
        </w:rPr>
        <w:t>digoxin had a neutral effect on mortality</w:t>
      </w:r>
      <w:r>
        <w:rPr>
          <w:rFonts w:cstheme="minorHAnsi"/>
        </w:rPr>
        <w:t xml:space="preserve"> when compared to placebo</w:t>
      </w:r>
      <w:r w:rsidRPr="004400CC">
        <w:rPr>
          <w:rFonts w:cstheme="minorHAnsi"/>
        </w:rPr>
        <w:t xml:space="preserve">, but reduced hospitalisation for heart failure by 28% (Digitalis Investigation Group, 1997).  </w:t>
      </w:r>
    </w:p>
    <w:p w14:paraId="724A5269" w14:textId="77777777" w:rsidR="00DC4A20" w:rsidRPr="004400CC" w:rsidRDefault="00DC4A20" w:rsidP="00DC4A20">
      <w:pPr>
        <w:rPr>
          <w:rFonts w:cstheme="minorHAnsi"/>
        </w:rPr>
      </w:pPr>
      <w:r w:rsidRPr="004400CC">
        <w:rPr>
          <w:rFonts w:cstheme="minorHAnsi"/>
        </w:rPr>
        <w:t xml:space="preserve">The effect of digoxin on AV node conduction is widely exploited in the rate control of atrial arrhythmias, in particular AF (Kirchof et al, 2016).  As with heart failure, other drugs are considered first-line (beta blockers and non-dihydropyridine calcium channel blockers) however digoxin can be a useful adjunct to these agents.  The use of digoxin as monotherapy is not recommended unless the patient is sedentary, as it does not control the heart rate during exercise (Van Gelder et al, 2016).  Digoxin has no intrinsic antiarrhythmic activity, and has no additional indications in arrhythmia management. </w:t>
      </w:r>
    </w:p>
    <w:p w14:paraId="28486AED" w14:textId="77777777" w:rsidR="00DC4A20" w:rsidRPr="004400CC" w:rsidRDefault="00DC4A20" w:rsidP="00DC4A20">
      <w:pPr>
        <w:rPr>
          <w:rFonts w:cstheme="minorHAnsi"/>
        </w:rPr>
      </w:pPr>
    </w:p>
    <w:p w14:paraId="7D3AC569" w14:textId="77777777" w:rsidR="00DC4A20" w:rsidRPr="004400CC" w:rsidRDefault="00DC4A20" w:rsidP="00DC4A20">
      <w:pPr>
        <w:rPr>
          <w:b/>
          <w:bCs/>
        </w:rPr>
      </w:pPr>
      <w:r w:rsidRPr="00DC4A20">
        <w:rPr>
          <w:b/>
          <w:bCs/>
        </w:rPr>
        <w:t>Dosing and administration</w:t>
      </w:r>
    </w:p>
    <w:p w14:paraId="52B439A4" w14:textId="77777777" w:rsidR="00DC4A20" w:rsidRPr="004400CC" w:rsidRDefault="00DC4A20" w:rsidP="00DC4A20">
      <w:pPr>
        <w:rPr>
          <w:rFonts w:cstheme="minorHAnsi"/>
        </w:rPr>
      </w:pPr>
      <w:r w:rsidRPr="004400CC">
        <w:rPr>
          <w:rFonts w:cstheme="minorHAnsi"/>
        </w:rPr>
        <w:t xml:space="preserve">Although digoxin can be given intravenously, its predominant use is in long term oral therapy.  Typical doses are 125 – 250micrograms once daily, although smaller doses may be required in elderly patients and in heart failure; 62.5 microgram tablets are available (Joint Formulary Committee, 2019).  </w:t>
      </w:r>
    </w:p>
    <w:p w14:paraId="67142304" w14:textId="77777777" w:rsidR="00DC4A20" w:rsidRPr="004400CC" w:rsidRDefault="00DC4A20" w:rsidP="00DC4A20">
      <w:pPr>
        <w:rPr>
          <w:rFonts w:cstheme="minorHAnsi"/>
        </w:rPr>
      </w:pPr>
      <w:r w:rsidRPr="004400CC">
        <w:rPr>
          <w:rFonts w:cstheme="minorHAnsi"/>
        </w:rPr>
        <w:t xml:space="preserve">Peak plasma levels are reached 2-6 hours after oral administration; however, the drug has a large volume of distribution so it takes some days to achieve steady state plasma levels (Accord-UK Ltd, 2019).  A more rapid clinical response can be achieved by oral loading, for example 0.75 to 1.5mg over 24 hours in divided doses (Joint Formulary Committee, 2019).  Absorption is slowed when digoxin is taken with food, but bioavailability is unaffected at around 63% (Accord-UK Ltd, 2019).   </w:t>
      </w:r>
    </w:p>
    <w:p w14:paraId="0A903383" w14:textId="77777777" w:rsidR="00DC4A20" w:rsidRPr="004400CC" w:rsidRDefault="00DC4A20" w:rsidP="00DC4A20">
      <w:pPr>
        <w:rPr>
          <w:rFonts w:cstheme="minorHAnsi"/>
        </w:rPr>
      </w:pPr>
      <w:r w:rsidRPr="004400CC">
        <w:rPr>
          <w:rFonts w:cstheme="minorHAnsi"/>
        </w:rPr>
        <w:t>Although a small fraction of digoxin is metabolised in the liver, the majority is excreted unchanged by the kidneys; the dose should therefore be reduced when renal function is impaired.  Elimination half-life in people with normal renal function is 30-40 hours (Accord-UK Ltd, 2019).</w:t>
      </w:r>
    </w:p>
    <w:p w14:paraId="5914E102" w14:textId="77777777" w:rsidR="00DC4A20" w:rsidRPr="004400CC" w:rsidRDefault="00DC4A20" w:rsidP="00DC4A20">
      <w:pPr>
        <w:rPr>
          <w:rFonts w:cstheme="minorHAnsi"/>
        </w:rPr>
      </w:pPr>
    </w:p>
    <w:p w14:paraId="11090151" w14:textId="77777777" w:rsidR="00DC4A20" w:rsidRDefault="00DC4A20" w:rsidP="00DC4A20">
      <w:pPr>
        <w:rPr>
          <w:b/>
          <w:bCs/>
        </w:rPr>
      </w:pPr>
    </w:p>
    <w:p w14:paraId="21843002" w14:textId="77777777" w:rsidR="00DC4A20" w:rsidRPr="00DC4A20" w:rsidRDefault="00DC4A20" w:rsidP="00DC4A20">
      <w:pPr>
        <w:rPr>
          <w:b/>
          <w:bCs/>
        </w:rPr>
      </w:pPr>
      <w:r w:rsidRPr="00DC4A20">
        <w:rPr>
          <w:b/>
          <w:bCs/>
        </w:rPr>
        <w:lastRenderedPageBreak/>
        <w:t>Safety</w:t>
      </w:r>
    </w:p>
    <w:p w14:paraId="67327D50" w14:textId="77777777" w:rsidR="00DC4A20" w:rsidRPr="00DC4A20" w:rsidRDefault="00DC4A20" w:rsidP="00DC4A20">
      <w:pPr>
        <w:rPr>
          <w:rFonts w:cstheme="minorHAnsi"/>
        </w:rPr>
      </w:pPr>
      <w:r w:rsidRPr="00DC4A20">
        <w:rPr>
          <w:rFonts w:cstheme="minorHAnsi"/>
        </w:rPr>
        <w:t>Although digoxin is a useful rate control agent, a number of safety issues affect its use. These include a risk of drug toxicity, concerns about increased mortality, and multiple interactions.</w:t>
      </w:r>
    </w:p>
    <w:p w14:paraId="16FE55EF" w14:textId="77777777" w:rsidR="00DC4A20" w:rsidRPr="00DC4A20" w:rsidRDefault="00DC4A20" w:rsidP="00DC4A20">
      <w:pPr>
        <w:rPr>
          <w:rFonts w:cstheme="minorHAnsi"/>
        </w:rPr>
      </w:pPr>
      <w:r w:rsidRPr="00DC4A20">
        <w:rPr>
          <w:rFonts w:cstheme="minorHAnsi"/>
        </w:rPr>
        <w:t xml:space="preserve">Digoxin has a narrow therapeutic index, meaning that toxic effects can develop rapidly if over-dosing or drug accumulation occurs (Bennett, 2013).  Risk factors for toxicity include renal impairment and the coadministration of drugs that reduce digoxin clearance, for example amiodarone or verapamil (Accord-UK Ltd, 2019).  Toxicity is also more likely when there is hypokalaemia because the drug competes with potassium for binding sites on the sodium-potassium pump (Klabunde, 2012).  People with heart failure are a high-risk group for digoxin toxicity because they often have impaired renal function, and are frequently treated with diuretics, which can cause hypokalaemia (Wang et al, 2010).   </w:t>
      </w:r>
    </w:p>
    <w:p w14:paraId="36336C92" w14:textId="77777777" w:rsidR="00DC4A20" w:rsidRPr="00DC4A20" w:rsidRDefault="00DC4A20" w:rsidP="00DC4A20">
      <w:pPr>
        <w:rPr>
          <w:rFonts w:cstheme="minorHAnsi"/>
        </w:rPr>
      </w:pPr>
      <w:r w:rsidRPr="00DC4A20">
        <w:rPr>
          <w:rFonts w:cstheme="minorHAnsi"/>
        </w:rPr>
        <w:t xml:space="preserve">The symptoms of digoxin toxicity are non-specific and include fatigue, nausea, weight loss, headache and confusion (Stucky and Goldberger, 2015).  As serum levels increase, xanthopsia, a yellowing of the vision, may occur.  This is commonly known as the “Van Gogh” effect after the famous painter.  Van Gogh was treated with digitalis compounds, and it has been speculated that his “yellow-period” work was influenced by drug toxicity.  Digoxin toxicity is associated with arrhythmia development including frequent ectopic beats, atrial tachycardia with 2:1 AV block, and junctional rhythms.  Ventricular tachycardia can also occur, which can cause cardiac arrest (Bennett, 2013).  </w:t>
      </w:r>
    </w:p>
    <w:p w14:paraId="6DD8E019" w14:textId="77777777" w:rsidR="00DC4A20" w:rsidRPr="00DC4A20" w:rsidRDefault="00DC4A20" w:rsidP="00DC4A20">
      <w:r w:rsidRPr="00DC4A20">
        <w:rPr>
          <w:rFonts w:cstheme="minorHAnsi"/>
        </w:rPr>
        <w:t xml:space="preserve">Because of the risk of toxicity and proarrhythmia, regular blood tests for renal function and plasma digoxin levels are recommended in people taking digoxin (Accord-UK Ltd, 2016).  Toxicity is more likely at plasma concentrations above 2.0ng/ml, but can occur at lower concentrations (Stucky and Goldberger, 2015).  Guidance from the European Society of cardiology recommends a target serum digoxin level of </w:t>
      </w:r>
      <w:r w:rsidRPr="00DC4A20">
        <w:t xml:space="preserve">0.5–0.9 ng/mL (Kirchof et al, 2016).  Blood for digoxin levels should be taken at least six hours after the last dose of the drug (Accord-UK Ltd, 2016).  </w:t>
      </w:r>
    </w:p>
    <w:p w14:paraId="341A0EBA" w14:textId="77777777" w:rsidR="00DC4A20" w:rsidRPr="00473951" w:rsidRDefault="00DC4A20" w:rsidP="00DC4A20">
      <w:pPr>
        <w:rPr>
          <w:rFonts w:cstheme="minorHAnsi"/>
        </w:rPr>
      </w:pPr>
      <w:r w:rsidRPr="00DC4A20">
        <w:rPr>
          <w:rFonts w:cstheme="minorHAnsi"/>
        </w:rPr>
        <w:t>Increased mortality in patients taking digoxin has been debated for many years (Wyse, 2014).  Although this was not seen in the DIG trial of heart failure patients, subsequent studies of people with AF have demonstrated a higher death rate in individuals taking digoxin (Wyse, 2014).  These trials were mainly retrospective cohort studies, and therefore at risk of bias.  Ziff et al (2015) perfomed a meta-analysis of the available data, concluding that there was a neutral effect on mortality in randomised controlled trails, although these were all of patients with heart failure.  Considerable prescription bias was found in the retrospective studies of AF patients; individuals taking digoxin were older, sicker and more likely to be taking diuretics and antiarrhythmic drugs.  Ziff et al (2015) concluded that the increase in mortality was probably due to confounding, and not the effect of digoxin.  Other authors have pointed to data linking increased mortality with higher serum digoxin levels, suggesting that any excess mortality risk might be mitigated by careful dosing and monitoring of drug levels (Lopes et al, 2018; Wyse, 2014).</w:t>
      </w:r>
    </w:p>
    <w:p w14:paraId="66B3C1EC" w14:textId="2A391C96" w:rsidR="00DC4A20" w:rsidRDefault="00DC4A20" w:rsidP="00DC4A20">
      <w:pPr>
        <w:rPr>
          <w:rFonts w:cstheme="minorHAnsi"/>
        </w:rPr>
      </w:pPr>
      <w:r>
        <w:rPr>
          <w:rFonts w:cstheme="minorHAnsi"/>
        </w:rPr>
        <w:t>D</w:t>
      </w:r>
      <w:r w:rsidRPr="004400CC">
        <w:rPr>
          <w:rFonts w:cstheme="minorHAnsi"/>
        </w:rPr>
        <w:t xml:space="preserve">igoxin is contraindicated in significant conduction system disease (unless a pacemaker is present), myocarditis, Wolff-Parkinson-White syndrome, and ventricular arrhythmias (Joint Formulary Committee, 2019).  </w:t>
      </w:r>
      <w:r>
        <w:rPr>
          <w:rFonts w:cstheme="minorHAnsi"/>
        </w:rPr>
        <w:t xml:space="preserve">The drug </w:t>
      </w:r>
      <w:r w:rsidRPr="004400CC">
        <w:rPr>
          <w:rFonts w:cstheme="minorHAnsi"/>
        </w:rPr>
        <w:t>has multiple interactions; readers are referred to manufacturer’s guidance (Accord-UK Ltd, 2019).  Among those most relevant to cardiac nurses are interactions with other rate control drugs, which result in additive effects on heart rate and AV conduction (Bennett, 2013).  ACE inhibitors, amiodarone, angiotensin receptors blockers, atorvastatin</w:t>
      </w:r>
      <w:r w:rsidR="007323B5">
        <w:rPr>
          <w:rFonts w:cstheme="minorHAnsi"/>
        </w:rPr>
        <w:t xml:space="preserve"> and</w:t>
      </w:r>
      <w:r w:rsidRPr="004400CC">
        <w:rPr>
          <w:rFonts w:cstheme="minorHAnsi"/>
        </w:rPr>
        <w:t xml:space="preserve"> calcium channels blockers may all increase digoxin plasma levels.  Diuretics cause electrolyte depletion, increasing the risk of digoxin toxicity (Accord-UK Ltd, 2019).  </w:t>
      </w:r>
    </w:p>
    <w:p w14:paraId="19235819" w14:textId="77777777" w:rsidR="00DC4A20" w:rsidRDefault="00DC4A20" w:rsidP="00DC4A20">
      <w:pPr>
        <w:rPr>
          <w:rFonts w:cstheme="minorHAnsi"/>
        </w:rPr>
      </w:pPr>
    </w:p>
    <w:p w14:paraId="7BF776FE" w14:textId="77777777" w:rsidR="00DC4A20" w:rsidRDefault="00DC4A20" w:rsidP="00DC4A20">
      <w:pPr>
        <w:rPr>
          <w:rFonts w:cstheme="minorHAnsi"/>
        </w:rPr>
      </w:pPr>
    </w:p>
    <w:p w14:paraId="5F9CEC27" w14:textId="77777777" w:rsidR="00DC4A20" w:rsidRPr="004400CC" w:rsidRDefault="00DC4A20" w:rsidP="00DC4A20">
      <w:pPr>
        <w:rPr>
          <w:b/>
          <w:bCs/>
          <w:sz w:val="28"/>
          <w:szCs w:val="28"/>
        </w:rPr>
      </w:pPr>
      <w:r w:rsidRPr="004400CC">
        <w:rPr>
          <w:b/>
          <w:bCs/>
          <w:sz w:val="28"/>
          <w:szCs w:val="28"/>
        </w:rPr>
        <w:lastRenderedPageBreak/>
        <w:t>Conclusion</w:t>
      </w:r>
    </w:p>
    <w:p w14:paraId="221C7401" w14:textId="77777777" w:rsidR="00DC4A20" w:rsidRPr="00DC4A20" w:rsidRDefault="00DC4A20" w:rsidP="00DC4A20">
      <w:pPr>
        <w:rPr>
          <w:rFonts w:cstheme="minorHAnsi"/>
        </w:rPr>
      </w:pPr>
      <w:r w:rsidRPr="004400CC">
        <w:rPr>
          <w:rFonts w:cstheme="minorHAnsi"/>
        </w:rPr>
        <w:t xml:space="preserve">The rate control drugs are a diverse group with various mechanisms of action, pharmacological properties, and safety profiles.  Bisoprolol has the widest range of indications, being useful in both atrial and ventricular arrhythmia, and has a good safety profile if additive effects with other cardiovascular drugs are taken into account.  Diltiazem has a narrower range of use, but is an effective alternative in the rate control of AF, especially in patients with asthma or intolerance to beta-blockers.  Digoxin is </w:t>
      </w:r>
      <w:r w:rsidRPr="00DC4A20">
        <w:rPr>
          <w:rFonts w:cstheme="minorHAnsi"/>
        </w:rPr>
        <w:t xml:space="preserve">largely used as an adjunct as it fails to control heart rate during exercise.  The drug suffers </w:t>
      </w:r>
      <w:r w:rsidRPr="00DC4A20">
        <w:t xml:space="preserve">from a narrow therapeutic index, multiple interactions, and renal excretion.  This results in a risk of toxicity, which can produce life-threatening arrhythmia.  Some studies have linked the drug to an increase in mortality, although there is no clear consensus on this issue. </w:t>
      </w:r>
    </w:p>
    <w:p w14:paraId="389B0A0E" w14:textId="77777777" w:rsidR="00DC4A20" w:rsidRDefault="00DC4A20" w:rsidP="00DC4A20">
      <w:pPr>
        <w:rPr>
          <w:rFonts w:cstheme="minorHAnsi"/>
        </w:rPr>
      </w:pPr>
      <w:r w:rsidRPr="00DC4A20">
        <w:rPr>
          <w:rFonts w:cstheme="minorHAnsi"/>
        </w:rPr>
        <w:t>All medicines have the potential for adverse events, especially if they are used without adequate</w:t>
      </w:r>
      <w:r w:rsidRPr="004400CC">
        <w:rPr>
          <w:rFonts w:cstheme="minorHAnsi"/>
        </w:rPr>
        <w:t xml:space="preserve"> assessment or monitoring of the patient.  Antiarrhythmic drugs can produce life threatening complications, so </w:t>
      </w:r>
      <w:r>
        <w:rPr>
          <w:rFonts w:cstheme="minorHAnsi"/>
        </w:rPr>
        <w:t xml:space="preserve">an understanding </w:t>
      </w:r>
      <w:r w:rsidRPr="004400CC">
        <w:rPr>
          <w:rFonts w:cstheme="minorHAnsi"/>
        </w:rPr>
        <w:t xml:space="preserve">of their uses, pharmacology, and interactions is especially important.  This series has highlighted the key issues in the use of these drugs, and </w:t>
      </w:r>
      <w:r>
        <w:rPr>
          <w:rFonts w:cstheme="minorHAnsi"/>
        </w:rPr>
        <w:t>described</w:t>
      </w:r>
      <w:r w:rsidRPr="004400CC">
        <w:rPr>
          <w:rFonts w:cstheme="minorHAnsi"/>
        </w:rPr>
        <w:t xml:space="preserve"> six commonly used drugs</w:t>
      </w:r>
      <w:r>
        <w:rPr>
          <w:rFonts w:cstheme="minorHAnsi"/>
        </w:rPr>
        <w:t xml:space="preserve"> in detail</w:t>
      </w:r>
      <w:r w:rsidRPr="004400CC">
        <w:rPr>
          <w:rFonts w:cstheme="minorHAnsi"/>
        </w:rPr>
        <w:t>.  Although important safety information has been highlighted, clinicians should augment this with their own investigation of product literature, especially when prescribing.</w:t>
      </w:r>
      <w:r>
        <w:rPr>
          <w:rFonts w:cstheme="minorHAnsi"/>
        </w:rPr>
        <w:t xml:space="preserve">   </w:t>
      </w:r>
    </w:p>
    <w:p w14:paraId="2EDD7DB3" w14:textId="08513D7C" w:rsidR="00DC4A20" w:rsidRDefault="00DC4A20" w:rsidP="00DC4A20">
      <w:pPr>
        <w:rPr>
          <w:rFonts w:cstheme="minorHAnsi"/>
        </w:rPr>
      </w:pPr>
    </w:p>
    <w:p w14:paraId="7DDD78EC" w14:textId="77777777" w:rsidR="00DC4A20" w:rsidRPr="00A94F4F" w:rsidRDefault="00DC4A20" w:rsidP="00DC4A20">
      <w:pPr>
        <w:rPr>
          <w:b/>
          <w:bCs/>
          <w:sz w:val="28"/>
          <w:szCs w:val="28"/>
        </w:rPr>
      </w:pPr>
      <w:r>
        <w:rPr>
          <w:b/>
          <w:bCs/>
          <w:sz w:val="28"/>
          <w:szCs w:val="28"/>
        </w:rPr>
        <w:t>Key points</w:t>
      </w:r>
    </w:p>
    <w:p w14:paraId="3474EBAC" w14:textId="6E368E83" w:rsidR="00DC4A20" w:rsidRDefault="00DC4A20" w:rsidP="00DC4A20">
      <w:pPr>
        <w:pStyle w:val="ListParagraph"/>
        <w:numPr>
          <w:ilvl w:val="0"/>
          <w:numId w:val="13"/>
        </w:numPr>
      </w:pPr>
      <w:r>
        <w:t xml:space="preserve">Bisoprolol, diltiazem and digoxin are useful drugs in the management of heart rate during atrial arrhythmia.  </w:t>
      </w:r>
    </w:p>
    <w:p w14:paraId="0481FBBB" w14:textId="77777777" w:rsidR="00DC4A20" w:rsidRDefault="00DC4A20" w:rsidP="00DC4A20">
      <w:pPr>
        <w:pStyle w:val="ListParagraph"/>
        <w:ind w:left="360"/>
      </w:pPr>
    </w:p>
    <w:p w14:paraId="09A2EB09" w14:textId="77777777" w:rsidR="00DC4A20" w:rsidRDefault="00DC4A20" w:rsidP="00DC4A20">
      <w:pPr>
        <w:pStyle w:val="ListParagraph"/>
        <w:numPr>
          <w:ilvl w:val="0"/>
          <w:numId w:val="13"/>
        </w:numPr>
      </w:pPr>
      <w:r>
        <w:t xml:space="preserve">Bisoprolol has additional indications in the management of ventricular arrhythmia, and confers a mortality benefit in chronic heart failure and following myocardial infarction.  It has a broad therapeutic index, with few interactions, making it a relatively safe drug providing additive effects are taken into account.  </w:t>
      </w:r>
    </w:p>
    <w:p w14:paraId="4A1F714A" w14:textId="77777777" w:rsidR="00DC4A20" w:rsidRDefault="00DC4A20" w:rsidP="00DC4A20">
      <w:pPr>
        <w:pStyle w:val="ListParagraph"/>
      </w:pPr>
    </w:p>
    <w:p w14:paraId="334A067D" w14:textId="77777777" w:rsidR="00DC4A20" w:rsidRDefault="00DC4A20" w:rsidP="00DC4A20">
      <w:pPr>
        <w:pStyle w:val="ListParagraph"/>
        <w:numPr>
          <w:ilvl w:val="0"/>
          <w:numId w:val="13"/>
        </w:numPr>
      </w:pPr>
      <w:r>
        <w:t xml:space="preserve">Diltiazem is a useful alternative in the rate control of atrial arrhythmia, although it has no significant place in the management of ventricular arrhythmia.  Unlike bisoprolol, it can be given to patients with asthma, but suffers from more interactions due to its hepatic elimination.  Diltiazem is contraindicated in heart failure because of its negative inotropic effects.  </w:t>
      </w:r>
    </w:p>
    <w:p w14:paraId="39E7C4C0" w14:textId="77777777" w:rsidR="00DC4A20" w:rsidRDefault="00DC4A20" w:rsidP="00DC4A20">
      <w:pPr>
        <w:pStyle w:val="ListParagraph"/>
      </w:pPr>
    </w:p>
    <w:p w14:paraId="0B73BD57" w14:textId="77777777" w:rsidR="00DC4A20" w:rsidRDefault="00DC4A20" w:rsidP="00DC4A20">
      <w:pPr>
        <w:pStyle w:val="ListParagraph"/>
        <w:numPr>
          <w:ilvl w:val="0"/>
          <w:numId w:val="13"/>
        </w:numPr>
      </w:pPr>
      <w:r>
        <w:t>Digoxin is a second line drug in rate control, and can be a useful adjunct in heart failure.  It does not control heart rate during exercise, so is generally used in conjunction with a beta blocker or diltiazem.  There is a risk of drug toxicity that increases in renal impairment and hypokalaemia - monitoring</w:t>
      </w:r>
      <w:r>
        <w:rPr>
          <w:rFonts w:cstheme="minorHAnsi"/>
        </w:rPr>
        <w:t xml:space="preserve"> of renal function and serum digoxin levels are therefore important aspects of safe management.  </w:t>
      </w:r>
    </w:p>
    <w:p w14:paraId="72335FEF" w14:textId="77777777" w:rsidR="00DC4A20" w:rsidRDefault="00DC4A20" w:rsidP="00DC4A20">
      <w:pPr>
        <w:pStyle w:val="ListParagraph"/>
      </w:pPr>
    </w:p>
    <w:p w14:paraId="37F44FE8" w14:textId="77777777" w:rsidR="00DC4A20" w:rsidRDefault="00DC4A20" w:rsidP="00DC4A20">
      <w:pPr>
        <w:pStyle w:val="ListParagraph"/>
        <w:numPr>
          <w:ilvl w:val="0"/>
          <w:numId w:val="13"/>
        </w:numPr>
      </w:pPr>
      <w:r>
        <w:t>Antiarrhythmic drugs have the potential for adverse events, especially if they are used unwisely or without sufficient assessment or follow up.  Understanding the key features of each drug, its recommended uses, and the potential for interaction with other medicines are important aspects of ensuring that antiarrhythmic drug therapy is delivered safely.</w:t>
      </w:r>
    </w:p>
    <w:p w14:paraId="78D90218" w14:textId="2AB6FB91" w:rsidR="008B636C" w:rsidRDefault="008B636C" w:rsidP="00B1706F">
      <w:pPr>
        <w:rPr>
          <w:rFonts w:cstheme="minorHAnsi"/>
        </w:rPr>
      </w:pPr>
    </w:p>
    <w:p w14:paraId="48DDA818" w14:textId="0031D78A" w:rsidR="008B636C" w:rsidRDefault="008B636C" w:rsidP="00B1706F">
      <w:pPr>
        <w:rPr>
          <w:rFonts w:cstheme="minorHAnsi"/>
        </w:rPr>
      </w:pPr>
    </w:p>
    <w:p w14:paraId="70C7E7B5" w14:textId="77777777" w:rsidR="006E158E" w:rsidRDefault="006E158E" w:rsidP="006E158E">
      <w:pPr>
        <w:rPr>
          <w:b/>
          <w:sz w:val="28"/>
          <w:szCs w:val="28"/>
          <w:lang w:val="en-US"/>
        </w:rPr>
      </w:pPr>
      <w:r w:rsidRPr="00552C46">
        <w:rPr>
          <w:b/>
          <w:sz w:val="28"/>
          <w:szCs w:val="28"/>
          <w:lang w:val="en-US"/>
        </w:rPr>
        <w:lastRenderedPageBreak/>
        <w:t xml:space="preserve">CPD </w:t>
      </w:r>
      <w:r>
        <w:rPr>
          <w:b/>
          <w:sz w:val="28"/>
          <w:szCs w:val="28"/>
          <w:lang w:val="en-US"/>
        </w:rPr>
        <w:t>questions</w:t>
      </w:r>
    </w:p>
    <w:p w14:paraId="0AC731ED" w14:textId="00BD1908" w:rsidR="003D46DE" w:rsidRDefault="002B521B" w:rsidP="00367357">
      <w:pPr>
        <w:pStyle w:val="ListParagraph"/>
        <w:numPr>
          <w:ilvl w:val="0"/>
          <w:numId w:val="12"/>
        </w:numPr>
      </w:pPr>
      <w:r>
        <w:t>Rate control agents often produce side effects such as fatigue and breathlessness (beta blockers) and ankle swelling (diltiazem).  How would you identify these as unwanted drug effects, rather than symptoms of the patients underlying heart problem?</w:t>
      </w:r>
    </w:p>
    <w:p w14:paraId="4D00597E" w14:textId="77777777" w:rsidR="00C711CF" w:rsidRDefault="00C711CF" w:rsidP="00C711CF">
      <w:pPr>
        <w:pStyle w:val="ListParagraph"/>
        <w:ind w:left="360"/>
      </w:pPr>
    </w:p>
    <w:p w14:paraId="4C7D846C" w14:textId="47CCC6CC" w:rsidR="00C711CF" w:rsidRDefault="002B521B" w:rsidP="00C711CF">
      <w:pPr>
        <w:pStyle w:val="ListParagraph"/>
        <w:numPr>
          <w:ilvl w:val="0"/>
          <w:numId w:val="12"/>
        </w:numPr>
      </w:pPr>
      <w:r>
        <w:t xml:space="preserve">How would you monitor the effect of rate control agents on heart rate?  What </w:t>
      </w:r>
      <w:r w:rsidR="00725804">
        <w:t>range is desirable, and what problems should you be looking out for?</w:t>
      </w:r>
    </w:p>
    <w:p w14:paraId="106699A2" w14:textId="77777777" w:rsidR="00C711CF" w:rsidRDefault="00C711CF" w:rsidP="00C711CF">
      <w:pPr>
        <w:pStyle w:val="ListParagraph"/>
        <w:ind w:left="360"/>
      </w:pPr>
    </w:p>
    <w:p w14:paraId="3C8C42E6" w14:textId="540DF898" w:rsidR="00D4421D" w:rsidRDefault="002B521B" w:rsidP="005C4208">
      <w:pPr>
        <w:pStyle w:val="ListParagraph"/>
        <w:numPr>
          <w:ilvl w:val="0"/>
          <w:numId w:val="12"/>
        </w:numPr>
      </w:pPr>
      <w:r>
        <w:t xml:space="preserve">Digoxin often produces characteristic ST depression </w:t>
      </w:r>
      <w:r w:rsidR="00A45C2A">
        <w:t>o</w:t>
      </w:r>
      <w:r>
        <w:t xml:space="preserve">n the 12-lead ECG.  </w:t>
      </w:r>
      <w:r w:rsidR="00725804">
        <w:t>Would you recognise these changes? What effect might they</w:t>
      </w:r>
      <w:r w:rsidR="00A45C2A">
        <w:t xml:space="preserve"> </w:t>
      </w:r>
      <w:r>
        <w:t xml:space="preserve">have on the diagnosis of acute </w:t>
      </w:r>
      <w:r w:rsidR="00A45C2A">
        <w:t xml:space="preserve">myocardial </w:t>
      </w:r>
      <w:r>
        <w:t>ischaemi</w:t>
      </w:r>
      <w:r w:rsidR="00A45C2A">
        <w:t xml:space="preserve">a?  </w:t>
      </w:r>
    </w:p>
    <w:p w14:paraId="04D5EE7A" w14:textId="0F51250F" w:rsidR="00240C15" w:rsidRDefault="00240C15" w:rsidP="00BD01CC"/>
    <w:p w14:paraId="5DE979C2" w14:textId="3607B3DD" w:rsidR="006D5692" w:rsidRPr="000F79ED" w:rsidRDefault="006D5692" w:rsidP="00113DCB">
      <w:pPr>
        <w:rPr>
          <w:rFonts w:cstheme="minorHAnsi"/>
          <w:b/>
          <w:sz w:val="28"/>
          <w:szCs w:val="28"/>
        </w:rPr>
      </w:pPr>
      <w:r w:rsidRPr="000F79ED">
        <w:rPr>
          <w:rFonts w:cstheme="minorHAnsi"/>
          <w:b/>
          <w:sz w:val="28"/>
          <w:szCs w:val="28"/>
        </w:rPr>
        <w:t>References</w:t>
      </w:r>
    </w:p>
    <w:p w14:paraId="47997132" w14:textId="77777777" w:rsidR="00121ECB" w:rsidRDefault="00121ECB" w:rsidP="00E534A8">
      <w:pPr>
        <w:pStyle w:val="reftext"/>
        <w:spacing w:after="0"/>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 xml:space="preserve">Abernethy DR, Schwartz JB (1999) Calcium-antagonist drugs, </w:t>
      </w:r>
      <w:r w:rsidRPr="00121ECB">
        <w:rPr>
          <w:rFonts w:asciiTheme="minorHAnsi" w:hAnsiTheme="minorHAnsi" w:cstheme="minorHAnsi"/>
          <w:i/>
          <w:iCs/>
          <w:color w:val="auto"/>
          <w:sz w:val="22"/>
          <w:szCs w:val="22"/>
          <w:lang w:val="en-GB"/>
        </w:rPr>
        <w:t>New England Journal of Medicine</w:t>
      </w:r>
      <w:r>
        <w:rPr>
          <w:rFonts w:asciiTheme="minorHAnsi" w:hAnsiTheme="minorHAnsi" w:cstheme="minorHAnsi"/>
          <w:color w:val="auto"/>
          <w:sz w:val="22"/>
          <w:szCs w:val="22"/>
          <w:lang w:val="en-GB"/>
        </w:rPr>
        <w:t xml:space="preserve">, </w:t>
      </w:r>
    </w:p>
    <w:p w14:paraId="711B7D04" w14:textId="4C9C2D20" w:rsidR="00121ECB" w:rsidRDefault="00121ECB" w:rsidP="00E534A8">
      <w:pPr>
        <w:pStyle w:val="reftext"/>
        <w:spacing w:after="0"/>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341(19), 1447-57.</w:t>
      </w:r>
    </w:p>
    <w:p w14:paraId="1E7BF5A0" w14:textId="77777777" w:rsidR="00F84ABF" w:rsidRDefault="00F84ABF" w:rsidP="00E534A8">
      <w:pPr>
        <w:pStyle w:val="reftext"/>
        <w:spacing w:after="0"/>
        <w:rPr>
          <w:rFonts w:asciiTheme="minorHAnsi" w:hAnsiTheme="minorHAnsi" w:cstheme="minorHAnsi"/>
          <w:color w:val="auto"/>
          <w:sz w:val="22"/>
          <w:szCs w:val="22"/>
          <w:lang w:val="en-GB"/>
        </w:rPr>
      </w:pPr>
    </w:p>
    <w:p w14:paraId="70C10CB6" w14:textId="77BEE31B" w:rsidR="00B568BA" w:rsidRPr="00204633" w:rsidRDefault="00CE0CF8" w:rsidP="00E534A8">
      <w:pPr>
        <w:pStyle w:val="reftext"/>
        <w:spacing w:after="0"/>
        <w:rPr>
          <w:rFonts w:asciiTheme="minorHAnsi" w:hAnsiTheme="minorHAnsi" w:cstheme="minorHAnsi"/>
          <w:i/>
          <w:iCs/>
          <w:color w:val="auto"/>
          <w:sz w:val="22"/>
          <w:szCs w:val="22"/>
          <w:lang w:val="en-GB"/>
        </w:rPr>
      </w:pPr>
      <w:r>
        <w:rPr>
          <w:rFonts w:asciiTheme="minorHAnsi" w:hAnsiTheme="minorHAnsi" w:cstheme="minorHAnsi"/>
          <w:color w:val="auto"/>
          <w:sz w:val="22"/>
          <w:szCs w:val="22"/>
          <w:lang w:val="en-GB"/>
        </w:rPr>
        <w:t>Accord Healthcare Ltd (2019</w:t>
      </w:r>
      <w:r w:rsidRPr="00204633">
        <w:rPr>
          <w:rFonts w:asciiTheme="minorHAnsi" w:hAnsiTheme="minorHAnsi" w:cstheme="minorHAnsi"/>
          <w:i/>
          <w:iCs/>
          <w:color w:val="auto"/>
          <w:sz w:val="22"/>
          <w:szCs w:val="22"/>
          <w:lang w:val="en-GB"/>
        </w:rPr>
        <w:t xml:space="preserve">) Summary of product </w:t>
      </w:r>
      <w:r w:rsidR="00B568BA" w:rsidRPr="00204633">
        <w:rPr>
          <w:rFonts w:asciiTheme="minorHAnsi" w:hAnsiTheme="minorHAnsi" w:cstheme="minorHAnsi"/>
          <w:i/>
          <w:iCs/>
          <w:color w:val="auto"/>
          <w:sz w:val="22"/>
          <w:szCs w:val="22"/>
          <w:lang w:val="en-GB"/>
        </w:rPr>
        <w:t>characteristics</w:t>
      </w:r>
      <w:r w:rsidRPr="00204633">
        <w:rPr>
          <w:rFonts w:asciiTheme="minorHAnsi" w:hAnsiTheme="minorHAnsi" w:cstheme="minorHAnsi"/>
          <w:i/>
          <w:iCs/>
          <w:color w:val="auto"/>
          <w:sz w:val="22"/>
          <w:szCs w:val="22"/>
          <w:lang w:val="en-GB"/>
        </w:rPr>
        <w:t>: bisoprolol 2.5mg</w:t>
      </w:r>
      <w:r w:rsidR="00B568BA" w:rsidRPr="00204633">
        <w:rPr>
          <w:rFonts w:asciiTheme="minorHAnsi" w:hAnsiTheme="minorHAnsi" w:cstheme="minorHAnsi"/>
          <w:i/>
          <w:iCs/>
          <w:color w:val="auto"/>
          <w:sz w:val="22"/>
          <w:szCs w:val="22"/>
          <w:lang w:val="en-GB"/>
        </w:rPr>
        <w:t xml:space="preserve"> film-coated</w:t>
      </w:r>
    </w:p>
    <w:p w14:paraId="3B728612" w14:textId="758FA9E5" w:rsidR="00CE0CF8" w:rsidRDefault="00CE0CF8" w:rsidP="00E534A8">
      <w:pPr>
        <w:pStyle w:val="reftext"/>
        <w:spacing w:after="0"/>
        <w:rPr>
          <w:rFonts w:asciiTheme="minorHAnsi" w:hAnsiTheme="minorHAnsi" w:cstheme="minorHAnsi"/>
          <w:color w:val="auto"/>
          <w:sz w:val="22"/>
          <w:szCs w:val="22"/>
          <w:lang w:val="en-GB"/>
        </w:rPr>
      </w:pPr>
      <w:r w:rsidRPr="00204633">
        <w:rPr>
          <w:rFonts w:asciiTheme="minorHAnsi" w:hAnsiTheme="minorHAnsi" w:cstheme="minorHAnsi"/>
          <w:i/>
          <w:iCs/>
          <w:color w:val="auto"/>
          <w:sz w:val="22"/>
          <w:szCs w:val="22"/>
          <w:lang w:val="en-GB"/>
        </w:rPr>
        <w:t>tablet</w:t>
      </w:r>
      <w:r>
        <w:rPr>
          <w:rFonts w:asciiTheme="minorHAnsi" w:hAnsiTheme="minorHAnsi" w:cstheme="minorHAnsi"/>
          <w:color w:val="auto"/>
          <w:sz w:val="22"/>
          <w:szCs w:val="22"/>
          <w:lang w:val="en-GB"/>
        </w:rPr>
        <w:t xml:space="preserve">, </w:t>
      </w:r>
      <w:hyperlink r:id="rId9" w:history="1">
        <w:r w:rsidRPr="00FD6AF4">
          <w:rPr>
            <w:rStyle w:val="Hyperlink"/>
            <w:rFonts w:asciiTheme="minorHAnsi" w:hAnsiTheme="minorHAnsi" w:cstheme="minorHAnsi"/>
            <w:sz w:val="22"/>
            <w:szCs w:val="22"/>
            <w:lang w:val="en-GB"/>
          </w:rPr>
          <w:t>https://www.medicines.org.uk/emc/product/6126/smpc</w:t>
        </w:r>
      </w:hyperlink>
      <w:r>
        <w:rPr>
          <w:rFonts w:asciiTheme="minorHAnsi" w:hAnsiTheme="minorHAnsi" w:cstheme="minorHAnsi"/>
          <w:color w:val="auto"/>
          <w:sz w:val="22"/>
          <w:szCs w:val="22"/>
          <w:lang w:val="en-GB"/>
        </w:rPr>
        <w:t xml:space="preserve"> accessed 09/07/2019.</w:t>
      </w:r>
    </w:p>
    <w:p w14:paraId="594D5229" w14:textId="27CE28F5" w:rsidR="00CE0CF8" w:rsidRDefault="00CE0CF8" w:rsidP="00E534A8">
      <w:pPr>
        <w:pStyle w:val="reftext"/>
        <w:spacing w:after="0"/>
        <w:rPr>
          <w:rFonts w:asciiTheme="minorHAnsi" w:hAnsiTheme="minorHAnsi" w:cstheme="minorHAnsi"/>
          <w:color w:val="auto"/>
          <w:sz w:val="22"/>
          <w:szCs w:val="22"/>
          <w:lang w:val="en-GB"/>
        </w:rPr>
      </w:pPr>
    </w:p>
    <w:p w14:paraId="7C19B2A7" w14:textId="77777777" w:rsidR="009C14F8" w:rsidRPr="009C14F8" w:rsidRDefault="009C14F8" w:rsidP="00E534A8">
      <w:pPr>
        <w:pStyle w:val="reftext"/>
        <w:spacing w:after="0"/>
        <w:rPr>
          <w:rFonts w:asciiTheme="minorHAnsi" w:hAnsiTheme="minorHAnsi" w:cstheme="minorHAnsi"/>
          <w:i/>
          <w:iCs/>
          <w:color w:val="auto"/>
          <w:sz w:val="22"/>
          <w:szCs w:val="22"/>
          <w:lang w:val="en-GB"/>
        </w:rPr>
      </w:pPr>
      <w:r>
        <w:rPr>
          <w:rFonts w:asciiTheme="minorHAnsi" w:hAnsiTheme="minorHAnsi" w:cstheme="minorHAnsi"/>
          <w:color w:val="auto"/>
          <w:sz w:val="22"/>
          <w:szCs w:val="22"/>
          <w:lang w:val="en-GB"/>
        </w:rPr>
        <w:t xml:space="preserve">Accord-UK Ltd (2018) </w:t>
      </w:r>
      <w:r w:rsidRPr="009C14F8">
        <w:rPr>
          <w:rFonts w:asciiTheme="minorHAnsi" w:hAnsiTheme="minorHAnsi" w:cstheme="minorHAnsi"/>
          <w:i/>
          <w:iCs/>
          <w:color w:val="auto"/>
          <w:sz w:val="22"/>
          <w:szCs w:val="22"/>
          <w:lang w:val="en-GB"/>
        </w:rPr>
        <w:t xml:space="preserve">Summary of product characteristics: Diltiazem Hydrochloride Tablets 60mg </w:t>
      </w:r>
    </w:p>
    <w:p w14:paraId="2B05FFE5" w14:textId="4B0E580F" w:rsidR="009C14F8" w:rsidRDefault="009C14F8" w:rsidP="00E534A8">
      <w:pPr>
        <w:pStyle w:val="reftext"/>
        <w:spacing w:after="0"/>
        <w:rPr>
          <w:rFonts w:asciiTheme="minorHAnsi" w:hAnsiTheme="minorHAnsi" w:cstheme="minorHAnsi"/>
          <w:color w:val="auto"/>
          <w:sz w:val="22"/>
          <w:szCs w:val="22"/>
          <w:lang w:val="en-GB"/>
        </w:rPr>
      </w:pPr>
      <w:r w:rsidRPr="009C14F8">
        <w:rPr>
          <w:rFonts w:asciiTheme="minorHAnsi" w:hAnsiTheme="minorHAnsi" w:cstheme="minorHAnsi"/>
          <w:i/>
          <w:iCs/>
          <w:color w:val="auto"/>
          <w:sz w:val="22"/>
          <w:szCs w:val="22"/>
          <w:lang w:val="en-GB"/>
        </w:rPr>
        <w:t xml:space="preserve">(pack size 84), </w:t>
      </w:r>
      <w:hyperlink r:id="rId10" w:history="1">
        <w:r w:rsidR="000B3D03" w:rsidRPr="00756C5F">
          <w:rPr>
            <w:rStyle w:val="Hyperlink"/>
            <w:rFonts w:asciiTheme="minorHAnsi" w:hAnsiTheme="minorHAnsi" w:cstheme="minorHAnsi"/>
            <w:sz w:val="22"/>
            <w:szCs w:val="22"/>
            <w:lang w:val="en-GB"/>
          </w:rPr>
          <w:t>https://www.medicines.org.uk/emc/product/5774/smpc accessed 16/07/2019</w:t>
        </w:r>
      </w:hyperlink>
    </w:p>
    <w:p w14:paraId="5AFF4CD1" w14:textId="005504C8" w:rsidR="000B3D03" w:rsidRDefault="000B3D03" w:rsidP="00E534A8">
      <w:pPr>
        <w:pStyle w:val="reftext"/>
        <w:spacing w:after="0"/>
        <w:rPr>
          <w:rFonts w:asciiTheme="minorHAnsi" w:hAnsiTheme="minorHAnsi" w:cstheme="minorHAnsi"/>
          <w:color w:val="auto"/>
          <w:sz w:val="22"/>
          <w:szCs w:val="22"/>
          <w:lang w:val="en-GB"/>
        </w:rPr>
      </w:pPr>
    </w:p>
    <w:p w14:paraId="701B9231" w14:textId="77777777" w:rsidR="000B3D03" w:rsidRDefault="000B3D03" w:rsidP="00E534A8">
      <w:pPr>
        <w:pStyle w:val="reftext"/>
        <w:spacing w:after="0"/>
        <w:rPr>
          <w:rFonts w:asciiTheme="minorHAnsi" w:hAnsiTheme="minorHAnsi" w:cstheme="minorHAnsi"/>
          <w:i/>
          <w:iCs/>
          <w:color w:val="auto"/>
          <w:sz w:val="22"/>
          <w:szCs w:val="22"/>
          <w:lang w:val="en-GB"/>
        </w:rPr>
      </w:pPr>
      <w:r>
        <w:rPr>
          <w:rFonts w:asciiTheme="minorHAnsi" w:hAnsiTheme="minorHAnsi" w:cstheme="minorHAnsi"/>
          <w:color w:val="auto"/>
          <w:sz w:val="22"/>
          <w:szCs w:val="22"/>
          <w:lang w:val="en-GB"/>
        </w:rPr>
        <w:t xml:space="preserve">Accord-UK Ltd (2019) </w:t>
      </w:r>
      <w:r w:rsidRPr="009C14F8">
        <w:rPr>
          <w:rFonts w:asciiTheme="minorHAnsi" w:hAnsiTheme="minorHAnsi" w:cstheme="minorHAnsi"/>
          <w:i/>
          <w:iCs/>
          <w:color w:val="auto"/>
          <w:sz w:val="22"/>
          <w:szCs w:val="22"/>
          <w:lang w:val="en-GB"/>
        </w:rPr>
        <w:t>Summary of product characteristics: Di</w:t>
      </w:r>
      <w:r>
        <w:rPr>
          <w:rFonts w:asciiTheme="minorHAnsi" w:hAnsiTheme="minorHAnsi" w:cstheme="minorHAnsi"/>
          <w:i/>
          <w:iCs/>
          <w:color w:val="auto"/>
          <w:sz w:val="22"/>
          <w:szCs w:val="22"/>
          <w:lang w:val="en-GB"/>
        </w:rPr>
        <w:t xml:space="preserve">goxin tablet BP 125 micrograms, </w:t>
      </w:r>
    </w:p>
    <w:p w14:paraId="2FB80326" w14:textId="2E4BCBCC" w:rsidR="009C14F8" w:rsidRPr="009C14F8" w:rsidRDefault="00E31F4A" w:rsidP="00E534A8">
      <w:pPr>
        <w:pStyle w:val="reftext"/>
        <w:spacing w:after="0"/>
        <w:rPr>
          <w:rFonts w:asciiTheme="minorHAnsi" w:hAnsiTheme="minorHAnsi" w:cstheme="minorHAnsi"/>
          <w:color w:val="auto"/>
          <w:sz w:val="22"/>
          <w:szCs w:val="22"/>
          <w:lang w:val="en-GB"/>
        </w:rPr>
      </w:pPr>
      <w:hyperlink r:id="rId11" w:history="1">
        <w:r w:rsidR="000B3D03" w:rsidRPr="0077665E">
          <w:rPr>
            <w:rStyle w:val="Hyperlink"/>
            <w:rFonts w:asciiTheme="minorHAnsi" w:hAnsiTheme="minorHAnsi" w:cstheme="minorHAnsi"/>
            <w:sz w:val="22"/>
            <w:szCs w:val="22"/>
            <w:lang w:val="en-GB"/>
          </w:rPr>
          <w:t>https://www.medicines.org.uk/emc/product/5772/smpc</w:t>
        </w:r>
      </w:hyperlink>
      <w:r w:rsidR="000B3D03">
        <w:rPr>
          <w:rFonts w:asciiTheme="minorHAnsi" w:hAnsiTheme="minorHAnsi" w:cstheme="minorHAnsi"/>
          <w:i/>
          <w:iCs/>
          <w:color w:val="auto"/>
          <w:sz w:val="22"/>
          <w:szCs w:val="22"/>
          <w:lang w:val="en-GB"/>
        </w:rPr>
        <w:t xml:space="preserve"> </w:t>
      </w:r>
      <w:r w:rsidR="000B3D03" w:rsidRPr="000B3D03">
        <w:rPr>
          <w:rFonts w:asciiTheme="minorHAnsi" w:hAnsiTheme="minorHAnsi" w:cstheme="minorHAnsi"/>
          <w:color w:val="auto"/>
          <w:sz w:val="22"/>
          <w:szCs w:val="22"/>
          <w:lang w:val="en-GB"/>
        </w:rPr>
        <w:t>accessed 17/07/2019</w:t>
      </w:r>
    </w:p>
    <w:p w14:paraId="3D5B4676" w14:textId="77777777" w:rsidR="009C14F8" w:rsidRDefault="009C14F8" w:rsidP="00E534A8">
      <w:pPr>
        <w:pStyle w:val="reftext"/>
        <w:spacing w:after="0"/>
        <w:rPr>
          <w:rFonts w:asciiTheme="minorHAnsi" w:hAnsiTheme="minorHAnsi" w:cstheme="minorHAnsi"/>
          <w:color w:val="auto"/>
          <w:sz w:val="22"/>
          <w:szCs w:val="22"/>
          <w:lang w:val="en-GB"/>
        </w:rPr>
      </w:pPr>
    </w:p>
    <w:p w14:paraId="5D31B09D" w14:textId="47EF1E84" w:rsidR="00C40074" w:rsidRDefault="00C40074" w:rsidP="00E534A8">
      <w:pPr>
        <w:pStyle w:val="reftext"/>
        <w:spacing w:after="0"/>
        <w:rPr>
          <w:rFonts w:asciiTheme="minorHAnsi" w:hAnsiTheme="minorHAnsi" w:cstheme="minorHAnsi"/>
          <w:color w:val="auto"/>
          <w:sz w:val="22"/>
          <w:szCs w:val="22"/>
          <w:lang w:val="en-GB"/>
        </w:rPr>
      </w:pPr>
      <w:r w:rsidRPr="00C40074">
        <w:rPr>
          <w:rFonts w:asciiTheme="minorHAnsi" w:hAnsiTheme="minorHAnsi" w:cstheme="minorHAnsi"/>
          <w:color w:val="auto"/>
          <w:sz w:val="22"/>
          <w:szCs w:val="22"/>
          <w:lang w:val="en-GB"/>
        </w:rPr>
        <w:t xml:space="preserve">Ackerman MJ, Priori SG, Dubin AM, Kowey P, Linker NJ, Slotwiner D, Triedman J, Van Hare GF, Gold </w:t>
      </w:r>
    </w:p>
    <w:p w14:paraId="0E6760BE" w14:textId="77777777" w:rsidR="00C40074" w:rsidRDefault="00C40074" w:rsidP="00E534A8">
      <w:pPr>
        <w:pStyle w:val="reftext"/>
        <w:spacing w:after="0"/>
        <w:rPr>
          <w:rFonts w:asciiTheme="minorHAnsi" w:hAnsiTheme="minorHAnsi" w:cstheme="minorHAnsi"/>
          <w:color w:val="auto"/>
          <w:sz w:val="22"/>
          <w:szCs w:val="22"/>
          <w:lang w:val="en-GB"/>
        </w:rPr>
      </w:pPr>
      <w:r w:rsidRPr="00C40074">
        <w:rPr>
          <w:rFonts w:asciiTheme="minorHAnsi" w:hAnsiTheme="minorHAnsi" w:cstheme="minorHAnsi"/>
          <w:color w:val="auto"/>
          <w:sz w:val="22"/>
          <w:szCs w:val="22"/>
          <w:lang w:val="en-GB"/>
        </w:rPr>
        <w:t>MR</w:t>
      </w:r>
      <w:r>
        <w:rPr>
          <w:rFonts w:asciiTheme="minorHAnsi" w:hAnsiTheme="minorHAnsi" w:cstheme="minorHAnsi"/>
          <w:color w:val="auto"/>
          <w:sz w:val="22"/>
          <w:szCs w:val="22"/>
          <w:lang w:val="en-GB"/>
        </w:rPr>
        <w:t xml:space="preserve"> (2017) </w:t>
      </w:r>
      <w:r w:rsidRPr="00C40074">
        <w:rPr>
          <w:rFonts w:asciiTheme="minorHAnsi" w:hAnsiTheme="minorHAnsi" w:cstheme="minorHAnsi"/>
          <w:color w:val="auto"/>
          <w:sz w:val="22"/>
          <w:szCs w:val="22"/>
          <w:lang w:val="en-GB"/>
        </w:rPr>
        <w:t xml:space="preserve">Beta-blocker therapy for long QT syndrome and catecholaminergic polymorphic </w:t>
      </w:r>
    </w:p>
    <w:p w14:paraId="505E7AD0" w14:textId="0B59D513" w:rsidR="00087A40" w:rsidRDefault="00C40074" w:rsidP="00E534A8">
      <w:pPr>
        <w:pStyle w:val="reftext"/>
        <w:spacing w:after="0"/>
        <w:rPr>
          <w:rFonts w:asciiTheme="minorHAnsi" w:hAnsiTheme="minorHAnsi" w:cstheme="minorHAnsi"/>
          <w:color w:val="auto"/>
          <w:sz w:val="22"/>
          <w:szCs w:val="22"/>
          <w:lang w:val="en-GB"/>
        </w:rPr>
      </w:pPr>
      <w:r w:rsidRPr="00C40074">
        <w:rPr>
          <w:rFonts w:asciiTheme="minorHAnsi" w:hAnsiTheme="minorHAnsi" w:cstheme="minorHAnsi"/>
          <w:color w:val="auto"/>
          <w:sz w:val="22"/>
          <w:szCs w:val="22"/>
          <w:lang w:val="en-GB"/>
        </w:rPr>
        <w:t xml:space="preserve">ventricular tachycardia: Are all beta-blockers equivalent? </w:t>
      </w:r>
      <w:r w:rsidRPr="00C40074">
        <w:rPr>
          <w:rFonts w:asciiTheme="minorHAnsi" w:hAnsiTheme="minorHAnsi" w:cstheme="minorHAnsi"/>
          <w:i/>
          <w:iCs/>
          <w:color w:val="auto"/>
          <w:sz w:val="22"/>
          <w:szCs w:val="22"/>
          <w:lang w:val="en-GB"/>
        </w:rPr>
        <w:t>Heart Rhythm</w:t>
      </w:r>
      <w:r w:rsidRPr="00C40074">
        <w:rPr>
          <w:rFonts w:asciiTheme="minorHAnsi" w:hAnsiTheme="minorHAnsi" w:cstheme="minorHAnsi"/>
          <w:color w:val="auto"/>
          <w:sz w:val="22"/>
          <w:szCs w:val="22"/>
          <w:lang w:val="en-GB"/>
        </w:rPr>
        <w:t>. 14(1):e41-4.</w:t>
      </w:r>
    </w:p>
    <w:p w14:paraId="53DE8A5D" w14:textId="1B6EEE40" w:rsidR="00486C80" w:rsidRDefault="00486C80" w:rsidP="00E534A8">
      <w:pPr>
        <w:pStyle w:val="reftext"/>
        <w:spacing w:after="0" w:line="259" w:lineRule="auto"/>
        <w:ind w:left="0" w:firstLine="0"/>
        <w:rPr>
          <w:rFonts w:asciiTheme="minorHAnsi" w:hAnsiTheme="minorHAnsi" w:cstheme="minorHAnsi"/>
          <w:color w:val="auto"/>
          <w:sz w:val="22"/>
          <w:szCs w:val="22"/>
          <w:lang w:val="en-GB"/>
        </w:rPr>
      </w:pPr>
    </w:p>
    <w:p w14:paraId="43E127AC" w14:textId="5162C2AC" w:rsidR="00486C80" w:rsidRDefault="00486C80" w:rsidP="00E534A8">
      <w:pPr>
        <w:pStyle w:val="reftext"/>
        <w:spacing w:after="0" w:line="259" w:lineRule="auto"/>
        <w:ind w:left="0" w:firstLine="0"/>
        <w:rPr>
          <w:rFonts w:asciiTheme="minorHAnsi" w:hAnsiTheme="minorHAnsi" w:cstheme="minorHAnsi"/>
          <w:color w:val="auto"/>
          <w:sz w:val="22"/>
          <w:szCs w:val="22"/>
        </w:rPr>
      </w:pPr>
      <w:r w:rsidRPr="00113DCB">
        <w:rPr>
          <w:rFonts w:asciiTheme="minorHAnsi" w:hAnsiTheme="minorHAnsi" w:cstheme="minorHAnsi"/>
          <w:color w:val="auto"/>
          <w:sz w:val="22"/>
          <w:szCs w:val="22"/>
        </w:rPr>
        <w:t>Antzelevitch C, Burashnikov A.</w:t>
      </w:r>
      <w:r>
        <w:rPr>
          <w:rFonts w:asciiTheme="minorHAnsi" w:hAnsiTheme="minorHAnsi" w:cstheme="minorHAnsi"/>
          <w:color w:val="auto"/>
          <w:sz w:val="22"/>
          <w:szCs w:val="22"/>
        </w:rPr>
        <w:t xml:space="preserve"> (2011)</w:t>
      </w:r>
      <w:r w:rsidRPr="00113DCB">
        <w:rPr>
          <w:rFonts w:asciiTheme="minorHAnsi" w:hAnsiTheme="minorHAnsi" w:cstheme="minorHAnsi"/>
          <w:color w:val="auto"/>
          <w:sz w:val="22"/>
          <w:szCs w:val="22"/>
        </w:rPr>
        <w:t xml:space="preserve"> Overview of basic mechanisms of cardiac arrhythmia. </w:t>
      </w:r>
      <w:r w:rsidRPr="00113DCB">
        <w:rPr>
          <w:rFonts w:asciiTheme="minorHAnsi" w:hAnsiTheme="minorHAnsi" w:cstheme="minorHAnsi"/>
          <w:i/>
          <w:color w:val="auto"/>
          <w:sz w:val="22"/>
          <w:szCs w:val="22"/>
        </w:rPr>
        <w:t xml:space="preserve">Cardiac </w:t>
      </w:r>
      <w:r w:rsidR="00E534A8">
        <w:rPr>
          <w:rFonts w:asciiTheme="minorHAnsi" w:hAnsiTheme="minorHAnsi" w:cstheme="minorHAnsi"/>
          <w:i/>
          <w:color w:val="auto"/>
          <w:sz w:val="22"/>
          <w:szCs w:val="22"/>
        </w:rPr>
        <w:t>E</w:t>
      </w:r>
      <w:r w:rsidRPr="00113DCB">
        <w:rPr>
          <w:rFonts w:asciiTheme="minorHAnsi" w:hAnsiTheme="minorHAnsi" w:cstheme="minorHAnsi"/>
          <w:i/>
          <w:color w:val="auto"/>
          <w:sz w:val="22"/>
          <w:szCs w:val="22"/>
        </w:rPr>
        <w:t xml:space="preserve">lectrophysiology </w:t>
      </w:r>
      <w:r w:rsidR="00E534A8">
        <w:rPr>
          <w:rFonts w:asciiTheme="minorHAnsi" w:hAnsiTheme="minorHAnsi" w:cstheme="minorHAnsi"/>
          <w:i/>
          <w:color w:val="auto"/>
          <w:sz w:val="22"/>
          <w:szCs w:val="22"/>
        </w:rPr>
        <w:t>C</w:t>
      </w:r>
      <w:r w:rsidRPr="00113DCB">
        <w:rPr>
          <w:rFonts w:asciiTheme="minorHAnsi" w:hAnsiTheme="minorHAnsi" w:cstheme="minorHAnsi"/>
          <w:i/>
          <w:color w:val="auto"/>
          <w:sz w:val="22"/>
          <w:szCs w:val="22"/>
        </w:rPr>
        <w:t>linics</w:t>
      </w:r>
      <w:r w:rsidRPr="00113DCB">
        <w:rPr>
          <w:rFonts w:asciiTheme="minorHAnsi" w:hAnsiTheme="minorHAnsi" w:cstheme="minorHAnsi"/>
          <w:color w:val="auto"/>
          <w:sz w:val="22"/>
          <w:szCs w:val="22"/>
        </w:rPr>
        <w:t>. 3(1):23-45</w:t>
      </w:r>
      <w:r>
        <w:rPr>
          <w:rFonts w:asciiTheme="minorHAnsi" w:hAnsiTheme="minorHAnsi" w:cstheme="minorHAnsi"/>
          <w:color w:val="auto"/>
          <w:sz w:val="22"/>
          <w:szCs w:val="22"/>
        </w:rPr>
        <w:t>.</w:t>
      </w:r>
    </w:p>
    <w:p w14:paraId="09B6C646" w14:textId="77777777" w:rsidR="00486C80" w:rsidRDefault="00486C80" w:rsidP="00E534A8">
      <w:pPr>
        <w:pStyle w:val="reftext"/>
        <w:spacing w:after="0" w:line="259" w:lineRule="auto"/>
        <w:ind w:left="0" w:firstLine="0"/>
        <w:rPr>
          <w:rFonts w:asciiTheme="minorHAnsi" w:hAnsiTheme="minorHAnsi" w:cstheme="minorHAnsi"/>
          <w:color w:val="auto"/>
          <w:sz w:val="22"/>
          <w:szCs w:val="22"/>
          <w:lang w:val="en-GB"/>
        </w:rPr>
      </w:pPr>
    </w:p>
    <w:p w14:paraId="05F2BF2C" w14:textId="4B86A232" w:rsidR="00A95EF8" w:rsidRDefault="00B90FC0" w:rsidP="00E534A8">
      <w:pPr>
        <w:pStyle w:val="reftext"/>
        <w:spacing w:after="0" w:line="259" w:lineRule="auto"/>
        <w:ind w:left="0" w:firstLine="0"/>
        <w:rPr>
          <w:rFonts w:asciiTheme="minorHAnsi" w:hAnsiTheme="minorHAnsi" w:cstheme="minorHAnsi"/>
          <w:color w:val="auto"/>
          <w:sz w:val="22"/>
          <w:szCs w:val="22"/>
          <w:lang w:val="en-GB"/>
        </w:rPr>
      </w:pPr>
      <w:r w:rsidRPr="00B90FC0">
        <w:rPr>
          <w:rFonts w:asciiTheme="minorHAnsi" w:hAnsiTheme="minorHAnsi" w:cstheme="minorHAnsi"/>
          <w:color w:val="auto"/>
          <w:sz w:val="22"/>
          <w:szCs w:val="22"/>
          <w:lang w:val="en-GB"/>
        </w:rPr>
        <w:t>Bain A</w:t>
      </w:r>
      <w:r>
        <w:rPr>
          <w:rFonts w:asciiTheme="minorHAnsi" w:hAnsiTheme="minorHAnsi" w:cstheme="minorHAnsi"/>
          <w:color w:val="auto"/>
          <w:sz w:val="22"/>
          <w:szCs w:val="22"/>
          <w:lang w:val="en-GB"/>
        </w:rPr>
        <w:t xml:space="preserve"> (2018)</w:t>
      </w:r>
      <w:r w:rsidRPr="00B90FC0">
        <w:rPr>
          <w:rFonts w:asciiTheme="minorHAnsi" w:hAnsiTheme="minorHAnsi" w:cstheme="minorHAnsi"/>
          <w:color w:val="auto"/>
          <w:sz w:val="22"/>
          <w:szCs w:val="22"/>
          <w:lang w:val="en-GB"/>
        </w:rPr>
        <w:t xml:space="preserve"> Beta-blocker use in cardiovascular disease</w:t>
      </w:r>
      <w:r>
        <w:rPr>
          <w:rFonts w:asciiTheme="minorHAnsi" w:hAnsiTheme="minorHAnsi" w:cstheme="minorHAnsi"/>
          <w:color w:val="auto"/>
          <w:sz w:val="22"/>
          <w:szCs w:val="22"/>
          <w:lang w:val="en-GB"/>
        </w:rPr>
        <w:t>,</w:t>
      </w:r>
      <w:r w:rsidRPr="00B90FC0">
        <w:rPr>
          <w:rFonts w:asciiTheme="minorHAnsi" w:hAnsiTheme="minorHAnsi" w:cstheme="minorHAnsi"/>
          <w:color w:val="auto"/>
          <w:sz w:val="22"/>
          <w:szCs w:val="22"/>
          <w:lang w:val="en-GB"/>
        </w:rPr>
        <w:t xml:space="preserve"> </w:t>
      </w:r>
      <w:r w:rsidRPr="00B90FC0">
        <w:rPr>
          <w:rFonts w:asciiTheme="minorHAnsi" w:hAnsiTheme="minorHAnsi" w:cstheme="minorHAnsi"/>
          <w:i/>
          <w:iCs/>
          <w:color w:val="auto"/>
          <w:sz w:val="22"/>
          <w:szCs w:val="22"/>
          <w:lang w:val="en-GB"/>
        </w:rPr>
        <w:t>British Journal of Cardiac Nursing</w:t>
      </w:r>
      <w:r>
        <w:rPr>
          <w:rFonts w:asciiTheme="minorHAnsi" w:hAnsiTheme="minorHAnsi" w:cstheme="minorHAnsi"/>
          <w:color w:val="auto"/>
          <w:sz w:val="22"/>
          <w:szCs w:val="22"/>
          <w:lang w:val="en-GB"/>
        </w:rPr>
        <w:t>,</w:t>
      </w:r>
      <w:r w:rsidRPr="00B90FC0">
        <w:rPr>
          <w:rFonts w:asciiTheme="minorHAnsi" w:hAnsiTheme="minorHAnsi" w:cstheme="minorHAnsi"/>
          <w:color w:val="auto"/>
          <w:sz w:val="22"/>
          <w:szCs w:val="22"/>
          <w:lang w:val="en-GB"/>
        </w:rPr>
        <w:t xml:space="preserve"> 13(10):491-7.</w:t>
      </w:r>
    </w:p>
    <w:p w14:paraId="70F22948" w14:textId="1526A9AB" w:rsidR="00B3258C" w:rsidRDefault="00B3258C" w:rsidP="00E534A8">
      <w:pPr>
        <w:pStyle w:val="reftext"/>
        <w:spacing w:after="0" w:line="259" w:lineRule="auto"/>
        <w:ind w:left="0" w:firstLine="0"/>
        <w:rPr>
          <w:rFonts w:asciiTheme="minorHAnsi" w:hAnsiTheme="minorHAnsi" w:cstheme="minorHAnsi"/>
          <w:color w:val="auto"/>
          <w:sz w:val="22"/>
          <w:szCs w:val="22"/>
          <w:lang w:val="en-GB"/>
        </w:rPr>
      </w:pPr>
    </w:p>
    <w:p w14:paraId="2A424B00" w14:textId="77777777" w:rsidR="00B3258C" w:rsidRDefault="00B3258C" w:rsidP="00E534A8">
      <w:pPr>
        <w:pStyle w:val="reftext"/>
        <w:spacing w:after="0"/>
        <w:rPr>
          <w:rFonts w:asciiTheme="minorHAnsi" w:hAnsiTheme="minorHAnsi" w:cstheme="minorHAnsi"/>
          <w:color w:val="auto"/>
          <w:sz w:val="22"/>
          <w:szCs w:val="22"/>
          <w:lang w:val="en-GB"/>
        </w:rPr>
      </w:pPr>
      <w:r w:rsidRPr="00B3258C">
        <w:rPr>
          <w:rFonts w:asciiTheme="minorHAnsi" w:hAnsiTheme="minorHAnsi" w:cstheme="minorHAnsi"/>
          <w:color w:val="auto"/>
          <w:sz w:val="22"/>
          <w:szCs w:val="22"/>
          <w:lang w:val="en-GB"/>
        </w:rPr>
        <w:t>Baker JG (2005) The selectivity of beta-adrenoceptor antagonists at the</w:t>
      </w:r>
      <w:r>
        <w:rPr>
          <w:rFonts w:asciiTheme="minorHAnsi" w:hAnsiTheme="minorHAnsi" w:cstheme="minorHAnsi"/>
          <w:color w:val="auto"/>
          <w:sz w:val="22"/>
          <w:szCs w:val="22"/>
          <w:lang w:val="en-GB"/>
        </w:rPr>
        <w:t xml:space="preserve"> </w:t>
      </w:r>
      <w:r w:rsidRPr="00B3258C">
        <w:rPr>
          <w:rFonts w:asciiTheme="minorHAnsi" w:hAnsiTheme="minorHAnsi" w:cstheme="minorHAnsi"/>
          <w:color w:val="auto"/>
          <w:sz w:val="22"/>
          <w:szCs w:val="22"/>
          <w:lang w:val="en-GB"/>
        </w:rPr>
        <w:t xml:space="preserve">human beta1, beta2 and </w:t>
      </w:r>
    </w:p>
    <w:p w14:paraId="0747B800" w14:textId="10F04D9F" w:rsidR="00B3258C" w:rsidRDefault="00B3258C" w:rsidP="00E534A8">
      <w:pPr>
        <w:pStyle w:val="reftext"/>
        <w:spacing w:after="0"/>
        <w:rPr>
          <w:rFonts w:asciiTheme="minorHAnsi" w:hAnsiTheme="minorHAnsi" w:cstheme="minorHAnsi"/>
          <w:color w:val="auto"/>
          <w:sz w:val="22"/>
          <w:szCs w:val="22"/>
          <w:lang w:val="en-GB"/>
        </w:rPr>
      </w:pPr>
      <w:r w:rsidRPr="00B3258C">
        <w:rPr>
          <w:rFonts w:asciiTheme="minorHAnsi" w:hAnsiTheme="minorHAnsi" w:cstheme="minorHAnsi"/>
          <w:color w:val="auto"/>
          <w:sz w:val="22"/>
          <w:szCs w:val="22"/>
          <w:lang w:val="en-GB"/>
        </w:rPr>
        <w:t xml:space="preserve">beta3 adrenoceptors, </w:t>
      </w:r>
      <w:r w:rsidRPr="00B3258C">
        <w:rPr>
          <w:rFonts w:asciiTheme="minorHAnsi" w:hAnsiTheme="minorHAnsi" w:cstheme="minorHAnsi"/>
          <w:i/>
          <w:iCs/>
          <w:color w:val="auto"/>
          <w:sz w:val="22"/>
          <w:szCs w:val="22"/>
          <w:lang w:val="en-GB"/>
        </w:rPr>
        <w:t>Br</w:t>
      </w:r>
      <w:r w:rsidR="0000615F">
        <w:rPr>
          <w:rFonts w:asciiTheme="minorHAnsi" w:hAnsiTheme="minorHAnsi" w:cstheme="minorHAnsi"/>
          <w:i/>
          <w:iCs/>
          <w:color w:val="auto"/>
          <w:sz w:val="22"/>
          <w:szCs w:val="22"/>
          <w:lang w:val="en-GB"/>
        </w:rPr>
        <w:t>itish</w:t>
      </w:r>
      <w:r w:rsidRPr="00B3258C">
        <w:rPr>
          <w:rFonts w:asciiTheme="minorHAnsi" w:hAnsiTheme="minorHAnsi" w:cstheme="minorHAnsi"/>
          <w:i/>
          <w:iCs/>
          <w:color w:val="auto"/>
          <w:sz w:val="22"/>
          <w:szCs w:val="22"/>
          <w:lang w:val="en-GB"/>
        </w:rPr>
        <w:t xml:space="preserve"> </w:t>
      </w:r>
      <w:r w:rsidR="0000615F" w:rsidRPr="00B3258C">
        <w:rPr>
          <w:rFonts w:asciiTheme="minorHAnsi" w:hAnsiTheme="minorHAnsi" w:cstheme="minorHAnsi"/>
          <w:i/>
          <w:iCs/>
          <w:color w:val="auto"/>
          <w:sz w:val="22"/>
          <w:szCs w:val="22"/>
          <w:lang w:val="en-GB"/>
        </w:rPr>
        <w:t>J</w:t>
      </w:r>
      <w:r w:rsidR="0000615F">
        <w:rPr>
          <w:rFonts w:asciiTheme="minorHAnsi" w:hAnsiTheme="minorHAnsi" w:cstheme="minorHAnsi"/>
          <w:i/>
          <w:iCs/>
          <w:color w:val="auto"/>
          <w:sz w:val="22"/>
          <w:szCs w:val="22"/>
          <w:lang w:val="en-GB"/>
        </w:rPr>
        <w:t>ournal of</w:t>
      </w:r>
      <w:r w:rsidRPr="00B3258C">
        <w:rPr>
          <w:rFonts w:asciiTheme="minorHAnsi" w:hAnsiTheme="minorHAnsi" w:cstheme="minorHAnsi"/>
          <w:i/>
          <w:iCs/>
          <w:color w:val="auto"/>
          <w:sz w:val="22"/>
          <w:szCs w:val="22"/>
          <w:lang w:val="en-GB"/>
        </w:rPr>
        <w:t xml:space="preserve"> Pharmacol</w:t>
      </w:r>
      <w:r w:rsidR="0000615F">
        <w:rPr>
          <w:rFonts w:asciiTheme="minorHAnsi" w:hAnsiTheme="minorHAnsi" w:cstheme="minorHAnsi"/>
          <w:i/>
          <w:iCs/>
          <w:color w:val="auto"/>
          <w:sz w:val="22"/>
          <w:szCs w:val="22"/>
          <w:lang w:val="en-GB"/>
        </w:rPr>
        <w:t>ogy</w:t>
      </w:r>
      <w:r w:rsidRPr="00B3258C">
        <w:rPr>
          <w:rFonts w:asciiTheme="minorHAnsi" w:hAnsiTheme="minorHAnsi" w:cstheme="minorHAnsi"/>
          <w:color w:val="auto"/>
          <w:sz w:val="22"/>
          <w:szCs w:val="22"/>
          <w:lang w:val="en-GB"/>
        </w:rPr>
        <w:t>, 144, 317-322.</w:t>
      </w:r>
    </w:p>
    <w:p w14:paraId="7764F83E" w14:textId="77777777" w:rsidR="00B90FC0" w:rsidRDefault="00B90FC0" w:rsidP="00E534A8">
      <w:pPr>
        <w:pStyle w:val="reftext"/>
        <w:spacing w:after="0" w:line="259" w:lineRule="auto"/>
        <w:ind w:left="0" w:firstLine="0"/>
        <w:rPr>
          <w:rFonts w:asciiTheme="minorHAnsi" w:hAnsiTheme="minorHAnsi" w:cstheme="minorHAnsi"/>
          <w:color w:val="auto"/>
          <w:sz w:val="22"/>
          <w:szCs w:val="22"/>
          <w:lang w:val="en-GB"/>
        </w:rPr>
      </w:pPr>
    </w:p>
    <w:p w14:paraId="7FB028E0" w14:textId="56E8D18A" w:rsidR="006D5692" w:rsidRDefault="006D5692" w:rsidP="00E534A8">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rPr>
        <w:t>Bennett DH</w:t>
      </w:r>
      <w:r w:rsidR="00736EFF">
        <w:rPr>
          <w:rFonts w:asciiTheme="minorHAnsi" w:hAnsiTheme="minorHAnsi" w:cstheme="minorHAnsi"/>
          <w:color w:val="auto"/>
          <w:sz w:val="22"/>
          <w:szCs w:val="22"/>
        </w:rPr>
        <w:t xml:space="preserve"> (2013)</w:t>
      </w:r>
      <w:r w:rsidRPr="00113DCB">
        <w:rPr>
          <w:rFonts w:asciiTheme="minorHAnsi" w:hAnsiTheme="minorHAnsi" w:cstheme="minorHAnsi"/>
          <w:color w:val="auto"/>
          <w:sz w:val="22"/>
          <w:szCs w:val="22"/>
        </w:rPr>
        <w:t xml:space="preserve"> </w:t>
      </w:r>
      <w:r w:rsidRPr="00113DCB">
        <w:rPr>
          <w:rFonts w:asciiTheme="minorHAnsi" w:hAnsiTheme="minorHAnsi" w:cstheme="minorHAnsi"/>
          <w:i/>
          <w:color w:val="auto"/>
          <w:sz w:val="22"/>
          <w:szCs w:val="22"/>
          <w:lang w:val="en-GB"/>
        </w:rPr>
        <w:t>Bennett’s Cardiac Arrhythmias: Practical notes on interpretation and treatment</w:t>
      </w:r>
      <w:r w:rsidR="00736EFF">
        <w:rPr>
          <w:rFonts w:asciiTheme="minorHAnsi" w:hAnsiTheme="minorHAnsi" w:cstheme="minorHAnsi"/>
          <w:color w:val="auto"/>
          <w:sz w:val="22"/>
          <w:szCs w:val="22"/>
          <w:lang w:val="en-GB"/>
        </w:rPr>
        <w:t>.</w:t>
      </w:r>
      <w:r w:rsidRPr="00113DCB">
        <w:rPr>
          <w:rFonts w:asciiTheme="minorHAnsi" w:hAnsiTheme="minorHAnsi" w:cstheme="minorHAnsi"/>
          <w:color w:val="auto"/>
          <w:sz w:val="22"/>
          <w:szCs w:val="22"/>
          <w:lang w:val="en-GB"/>
        </w:rPr>
        <w:t xml:space="preserve"> 8th ed. London: Hodder Arnold</w:t>
      </w:r>
      <w:r w:rsidR="00736EFF">
        <w:rPr>
          <w:rFonts w:asciiTheme="minorHAnsi" w:hAnsiTheme="minorHAnsi" w:cstheme="minorHAnsi"/>
          <w:color w:val="auto"/>
          <w:sz w:val="22"/>
          <w:szCs w:val="22"/>
          <w:lang w:val="en-GB"/>
        </w:rPr>
        <w:t>.</w:t>
      </w:r>
    </w:p>
    <w:p w14:paraId="3CBB7040" w14:textId="77777777" w:rsidR="00C64434" w:rsidRDefault="00C64434" w:rsidP="00E534A8">
      <w:pPr>
        <w:pStyle w:val="reftext"/>
        <w:spacing w:after="0" w:line="259" w:lineRule="auto"/>
        <w:ind w:left="0" w:firstLine="0"/>
        <w:rPr>
          <w:rFonts w:asciiTheme="minorHAnsi" w:hAnsiTheme="minorHAnsi" w:cstheme="minorHAnsi"/>
          <w:color w:val="auto"/>
          <w:sz w:val="22"/>
          <w:szCs w:val="22"/>
          <w:lang w:val="en-GB"/>
        </w:rPr>
      </w:pPr>
    </w:p>
    <w:p w14:paraId="41C16E96" w14:textId="393C5D8B" w:rsidR="00C64434" w:rsidRDefault="00C64434" w:rsidP="00E534A8">
      <w:pPr>
        <w:pStyle w:val="reftext"/>
        <w:spacing w:after="0" w:line="259" w:lineRule="auto"/>
        <w:ind w:left="0" w:firstLine="0"/>
        <w:rPr>
          <w:rFonts w:asciiTheme="minorHAnsi" w:hAnsiTheme="minorHAnsi" w:cstheme="minorHAnsi"/>
          <w:color w:val="auto"/>
          <w:sz w:val="22"/>
          <w:szCs w:val="22"/>
          <w:lang w:val="en-GB"/>
        </w:rPr>
      </w:pPr>
      <w:r w:rsidRPr="00C64434">
        <w:rPr>
          <w:rFonts w:asciiTheme="minorHAnsi" w:hAnsiTheme="minorHAnsi" w:cstheme="minorHAnsi"/>
          <w:color w:val="auto"/>
          <w:sz w:val="22"/>
          <w:szCs w:val="22"/>
          <w:lang w:val="en-GB"/>
        </w:rPr>
        <w:t xml:space="preserve">Borchard U (1998) Pharmacological properties of beta-adrenoceptor blocking drugs, </w:t>
      </w:r>
      <w:r w:rsidR="00F21D0B" w:rsidRPr="00F21D0B">
        <w:rPr>
          <w:rFonts w:asciiTheme="minorHAnsi" w:hAnsiTheme="minorHAnsi" w:cstheme="minorHAnsi"/>
          <w:i/>
          <w:iCs/>
          <w:color w:val="auto"/>
          <w:sz w:val="22"/>
          <w:szCs w:val="22"/>
          <w:lang w:val="en-GB"/>
        </w:rPr>
        <w:t>Journal of Clinical and Basic Cardiology</w:t>
      </w:r>
      <w:r w:rsidRPr="00C64434">
        <w:rPr>
          <w:rFonts w:asciiTheme="minorHAnsi" w:hAnsiTheme="minorHAnsi" w:cstheme="minorHAnsi"/>
          <w:color w:val="auto"/>
          <w:sz w:val="22"/>
          <w:szCs w:val="22"/>
          <w:lang w:val="en-GB"/>
        </w:rPr>
        <w:t>, 1, 5-9.</w:t>
      </w:r>
    </w:p>
    <w:p w14:paraId="2581B96D" w14:textId="77777777" w:rsidR="00893F20" w:rsidRDefault="00893F20" w:rsidP="00E534A8">
      <w:pPr>
        <w:pStyle w:val="reftext"/>
        <w:spacing w:after="0" w:line="259" w:lineRule="auto"/>
        <w:ind w:left="0" w:firstLine="0"/>
        <w:rPr>
          <w:rFonts w:asciiTheme="minorHAnsi" w:hAnsiTheme="minorHAnsi" w:cstheme="minorHAnsi"/>
          <w:color w:val="auto"/>
          <w:sz w:val="22"/>
          <w:szCs w:val="22"/>
          <w:lang w:val="en-GB"/>
        </w:rPr>
      </w:pPr>
    </w:p>
    <w:p w14:paraId="34E2B07F" w14:textId="10B82075" w:rsidR="00A97424" w:rsidRDefault="00A97424" w:rsidP="00E534A8">
      <w:pPr>
        <w:pStyle w:val="reftext"/>
        <w:spacing w:after="0" w:line="259" w:lineRule="auto"/>
        <w:ind w:left="0" w:firstLine="0"/>
        <w:rPr>
          <w:rFonts w:asciiTheme="minorHAnsi" w:hAnsiTheme="minorHAnsi" w:cstheme="minorHAnsi"/>
          <w:color w:val="auto"/>
          <w:sz w:val="22"/>
          <w:szCs w:val="22"/>
          <w:lang w:val="en-GB"/>
        </w:rPr>
      </w:pPr>
      <w:r w:rsidRPr="00A97424">
        <w:rPr>
          <w:rFonts w:asciiTheme="minorHAnsi" w:hAnsiTheme="minorHAnsi" w:cstheme="minorHAnsi"/>
          <w:color w:val="auto"/>
          <w:sz w:val="22"/>
          <w:szCs w:val="22"/>
          <w:lang w:val="en-GB"/>
        </w:rPr>
        <w:t>Brugada J, Diez PD</w:t>
      </w:r>
      <w:r>
        <w:rPr>
          <w:rFonts w:asciiTheme="minorHAnsi" w:hAnsiTheme="minorHAnsi" w:cstheme="minorHAnsi"/>
          <w:color w:val="auto"/>
          <w:sz w:val="22"/>
          <w:szCs w:val="22"/>
          <w:lang w:val="en-GB"/>
        </w:rPr>
        <w:t xml:space="preserve"> (2010)</w:t>
      </w:r>
      <w:r w:rsidRPr="00A97424">
        <w:rPr>
          <w:rFonts w:asciiTheme="minorHAnsi" w:hAnsiTheme="minorHAnsi" w:cstheme="minorHAnsi"/>
          <w:color w:val="auto"/>
          <w:sz w:val="22"/>
          <w:szCs w:val="22"/>
          <w:lang w:val="en-GB"/>
        </w:rPr>
        <w:t xml:space="preserve"> How to recognise and manage idiopathic ventricular tachycardia</w:t>
      </w:r>
      <w:r>
        <w:rPr>
          <w:rFonts w:asciiTheme="minorHAnsi" w:hAnsiTheme="minorHAnsi" w:cstheme="minorHAnsi"/>
          <w:color w:val="auto"/>
          <w:sz w:val="22"/>
          <w:szCs w:val="22"/>
          <w:lang w:val="en-GB"/>
        </w:rPr>
        <w:t xml:space="preserve">, </w:t>
      </w:r>
      <w:r w:rsidRPr="00A97424">
        <w:rPr>
          <w:rFonts w:asciiTheme="minorHAnsi" w:hAnsiTheme="minorHAnsi" w:cstheme="minorHAnsi"/>
          <w:i/>
          <w:iCs/>
          <w:color w:val="auto"/>
          <w:sz w:val="22"/>
          <w:szCs w:val="22"/>
          <w:lang w:val="en-GB"/>
        </w:rPr>
        <w:t>E-journal of the ESC Council of Cardiology Practice</w:t>
      </w:r>
      <w:r>
        <w:rPr>
          <w:rFonts w:asciiTheme="minorHAnsi" w:hAnsiTheme="minorHAnsi" w:cstheme="minorHAnsi"/>
          <w:color w:val="auto"/>
          <w:sz w:val="22"/>
          <w:szCs w:val="22"/>
          <w:lang w:val="en-GB"/>
        </w:rPr>
        <w:t xml:space="preserve">, </w:t>
      </w:r>
      <w:r w:rsidRPr="00A97424">
        <w:rPr>
          <w:rFonts w:asciiTheme="minorHAnsi" w:hAnsiTheme="minorHAnsi" w:cstheme="minorHAnsi"/>
          <w:color w:val="auto"/>
          <w:sz w:val="22"/>
          <w:szCs w:val="22"/>
          <w:lang w:val="en-GB"/>
        </w:rPr>
        <w:t>8</w:t>
      </w:r>
      <w:r>
        <w:rPr>
          <w:rFonts w:asciiTheme="minorHAnsi" w:hAnsiTheme="minorHAnsi" w:cstheme="minorHAnsi"/>
          <w:color w:val="auto"/>
          <w:sz w:val="22"/>
          <w:szCs w:val="22"/>
          <w:lang w:val="en-GB"/>
        </w:rPr>
        <w:t xml:space="preserve"> (</w:t>
      </w:r>
      <w:r w:rsidRPr="00A97424">
        <w:rPr>
          <w:rFonts w:asciiTheme="minorHAnsi" w:hAnsiTheme="minorHAnsi" w:cstheme="minorHAnsi"/>
          <w:color w:val="auto"/>
          <w:sz w:val="22"/>
          <w:szCs w:val="22"/>
          <w:lang w:val="en-GB"/>
        </w:rPr>
        <w:t>26</w:t>
      </w:r>
      <w:r>
        <w:rPr>
          <w:rFonts w:asciiTheme="minorHAnsi" w:hAnsiTheme="minorHAnsi" w:cstheme="minorHAnsi"/>
          <w:color w:val="auto"/>
          <w:sz w:val="22"/>
          <w:szCs w:val="22"/>
          <w:lang w:val="en-GB"/>
        </w:rPr>
        <w:t xml:space="preserve">), </w:t>
      </w:r>
      <w:hyperlink r:id="rId12" w:history="1">
        <w:r w:rsidRPr="00A97424">
          <w:rPr>
            <w:rStyle w:val="Hyperlink"/>
            <w:rFonts w:asciiTheme="minorHAnsi" w:hAnsiTheme="minorHAnsi" w:cstheme="minorHAnsi"/>
            <w:sz w:val="22"/>
            <w:szCs w:val="22"/>
            <w:lang w:val="en-GB"/>
          </w:rPr>
          <w:t>https://www.escardio.org/Journals/E-Journal-of-Cardiology-Practice/Volume-8/How-to-recognise-and-manage-idiopathic-ventricular-tachycardia</w:t>
        </w:r>
      </w:hyperlink>
      <w:r>
        <w:rPr>
          <w:rFonts w:asciiTheme="minorHAnsi" w:hAnsiTheme="minorHAnsi" w:cstheme="minorHAnsi"/>
          <w:color w:val="auto"/>
          <w:sz w:val="22"/>
          <w:szCs w:val="22"/>
          <w:lang w:val="en-GB"/>
        </w:rPr>
        <w:t xml:space="preserve"> accessed 16/07/2019.</w:t>
      </w:r>
    </w:p>
    <w:p w14:paraId="7F1E08CA" w14:textId="6A0A1446" w:rsidR="00826586" w:rsidRDefault="00826586" w:rsidP="00E534A8">
      <w:pPr>
        <w:pStyle w:val="reftext"/>
        <w:spacing w:after="0" w:line="259" w:lineRule="auto"/>
        <w:ind w:left="0" w:firstLine="0"/>
        <w:rPr>
          <w:rFonts w:asciiTheme="minorHAnsi" w:hAnsiTheme="minorHAnsi" w:cstheme="minorHAnsi"/>
          <w:color w:val="auto"/>
          <w:sz w:val="22"/>
          <w:szCs w:val="22"/>
          <w:lang w:val="en-GB"/>
        </w:rPr>
      </w:pPr>
    </w:p>
    <w:p w14:paraId="57FA6C39" w14:textId="75BEC528" w:rsidR="002F0954" w:rsidRDefault="002F0954" w:rsidP="00E534A8">
      <w:pPr>
        <w:pStyle w:val="reftext"/>
        <w:spacing w:after="0" w:line="259" w:lineRule="auto"/>
        <w:ind w:left="0" w:firstLine="0"/>
        <w:rPr>
          <w:rFonts w:asciiTheme="minorHAnsi" w:hAnsiTheme="minorHAnsi" w:cstheme="minorHAnsi"/>
          <w:color w:val="auto"/>
          <w:sz w:val="22"/>
          <w:szCs w:val="22"/>
        </w:rPr>
      </w:pPr>
      <w:r w:rsidRPr="00113DCB">
        <w:rPr>
          <w:rFonts w:asciiTheme="minorHAnsi" w:hAnsiTheme="minorHAnsi" w:cstheme="minorHAnsi"/>
          <w:color w:val="auto"/>
          <w:sz w:val="22"/>
          <w:szCs w:val="22"/>
        </w:rPr>
        <w:t>Dan GA, Martinez-Rubio A, Agewall S, Boriani G, Borggrefe M, Gaita F, van Gelder I, Gorenek B, Kaski JC, Kjeldsen K, Lip GY</w:t>
      </w:r>
      <w:r>
        <w:rPr>
          <w:rFonts w:asciiTheme="minorHAnsi" w:hAnsiTheme="minorHAnsi" w:cstheme="minorHAnsi"/>
          <w:color w:val="auto"/>
          <w:sz w:val="22"/>
          <w:szCs w:val="22"/>
        </w:rPr>
        <w:t xml:space="preserve"> (2018)</w:t>
      </w:r>
      <w:r w:rsidRPr="00113DCB">
        <w:rPr>
          <w:rFonts w:asciiTheme="minorHAnsi" w:hAnsiTheme="minorHAnsi" w:cstheme="minorHAnsi"/>
          <w:color w:val="auto"/>
          <w:sz w:val="22"/>
          <w:szCs w:val="22"/>
        </w:rPr>
        <w:t xml:space="preserve"> Antiarrhythmic drugs–clinical use and clinical decision making: a consensus document from the European Heart Rhythm Association (EHRA) and European Society of Cardiology (ESC) Working Group on Cardiovascular Pharmacology, endorsed by the Heart Rhythm Society (HRS), Asia-Pacific Heart Rhythm Society (APHRS) and International Society of Cardiovascular Pharmacotherapy (ISCP). </w:t>
      </w:r>
      <w:r w:rsidRPr="00113DCB">
        <w:rPr>
          <w:rFonts w:asciiTheme="minorHAnsi" w:hAnsiTheme="minorHAnsi" w:cstheme="minorHAnsi"/>
          <w:i/>
          <w:color w:val="auto"/>
          <w:sz w:val="22"/>
          <w:szCs w:val="22"/>
        </w:rPr>
        <w:t>Europace.</w:t>
      </w:r>
      <w:r w:rsidRPr="00113DCB">
        <w:rPr>
          <w:rFonts w:asciiTheme="minorHAnsi" w:hAnsiTheme="minorHAnsi" w:cstheme="minorHAnsi"/>
          <w:color w:val="auto"/>
          <w:sz w:val="22"/>
          <w:szCs w:val="22"/>
        </w:rPr>
        <w:t xml:space="preserve"> Feb 9.</w:t>
      </w:r>
    </w:p>
    <w:p w14:paraId="13BFA583" w14:textId="77777777" w:rsidR="002327BD" w:rsidRDefault="002327BD" w:rsidP="00E534A8">
      <w:pPr>
        <w:pStyle w:val="reftext"/>
        <w:spacing w:after="0" w:line="259" w:lineRule="auto"/>
        <w:ind w:left="0" w:firstLine="0"/>
        <w:rPr>
          <w:rFonts w:asciiTheme="minorHAnsi" w:hAnsiTheme="minorHAnsi" w:cstheme="minorHAnsi"/>
          <w:color w:val="auto"/>
          <w:sz w:val="22"/>
          <w:szCs w:val="22"/>
        </w:rPr>
      </w:pPr>
    </w:p>
    <w:p w14:paraId="5EAB3D4E" w14:textId="033E665D" w:rsidR="002327BD" w:rsidRDefault="002327BD" w:rsidP="00E534A8">
      <w:pPr>
        <w:pStyle w:val="reftext"/>
        <w:spacing w:after="0" w:line="259" w:lineRule="auto"/>
        <w:ind w:left="0" w:firstLine="0"/>
        <w:rPr>
          <w:rFonts w:asciiTheme="minorHAnsi" w:hAnsiTheme="minorHAnsi" w:cstheme="minorHAnsi"/>
          <w:color w:val="auto"/>
          <w:sz w:val="22"/>
          <w:szCs w:val="22"/>
        </w:rPr>
      </w:pPr>
      <w:r w:rsidRPr="002327BD">
        <w:rPr>
          <w:rFonts w:asciiTheme="minorHAnsi" w:hAnsiTheme="minorHAnsi" w:cstheme="minorHAnsi"/>
          <w:color w:val="auto"/>
          <w:sz w:val="22"/>
          <w:szCs w:val="22"/>
        </w:rPr>
        <w:t>Digitalis Investigation Group</w:t>
      </w:r>
      <w:r>
        <w:rPr>
          <w:rFonts w:asciiTheme="minorHAnsi" w:hAnsiTheme="minorHAnsi" w:cstheme="minorHAnsi"/>
          <w:color w:val="auto"/>
          <w:sz w:val="22"/>
          <w:szCs w:val="22"/>
        </w:rPr>
        <w:t xml:space="preserve"> (1997)</w:t>
      </w:r>
      <w:r w:rsidRPr="002327BD">
        <w:rPr>
          <w:rFonts w:asciiTheme="minorHAnsi" w:hAnsiTheme="minorHAnsi" w:cstheme="minorHAnsi"/>
          <w:color w:val="auto"/>
          <w:sz w:val="22"/>
          <w:szCs w:val="22"/>
        </w:rPr>
        <w:t xml:space="preserve"> The effect of digoxin on mortality and morbidity in patients with heart failure</w:t>
      </w:r>
      <w:r>
        <w:rPr>
          <w:rFonts w:asciiTheme="minorHAnsi" w:hAnsiTheme="minorHAnsi" w:cstheme="minorHAnsi"/>
          <w:color w:val="auto"/>
          <w:sz w:val="22"/>
          <w:szCs w:val="22"/>
        </w:rPr>
        <w:t xml:space="preserve">, </w:t>
      </w:r>
      <w:r w:rsidRPr="002327BD">
        <w:rPr>
          <w:rFonts w:asciiTheme="minorHAnsi" w:hAnsiTheme="minorHAnsi" w:cstheme="minorHAnsi"/>
          <w:i/>
          <w:iCs/>
          <w:color w:val="auto"/>
          <w:sz w:val="22"/>
          <w:szCs w:val="22"/>
        </w:rPr>
        <w:t>New England Journal of Medicine</w:t>
      </w:r>
      <w:r>
        <w:rPr>
          <w:rFonts w:asciiTheme="minorHAnsi" w:hAnsiTheme="minorHAnsi" w:cstheme="minorHAnsi"/>
          <w:color w:val="auto"/>
          <w:sz w:val="22"/>
          <w:szCs w:val="22"/>
        </w:rPr>
        <w:t xml:space="preserve">, </w:t>
      </w:r>
      <w:r w:rsidRPr="002327BD">
        <w:rPr>
          <w:rFonts w:asciiTheme="minorHAnsi" w:hAnsiTheme="minorHAnsi" w:cstheme="minorHAnsi"/>
          <w:color w:val="auto"/>
          <w:sz w:val="22"/>
          <w:szCs w:val="22"/>
        </w:rPr>
        <w:t>336:525–533</w:t>
      </w:r>
      <w:r>
        <w:rPr>
          <w:rFonts w:asciiTheme="minorHAnsi" w:hAnsiTheme="minorHAnsi" w:cstheme="minorHAnsi"/>
          <w:color w:val="auto"/>
          <w:sz w:val="22"/>
          <w:szCs w:val="22"/>
        </w:rPr>
        <w:t>.</w:t>
      </w:r>
    </w:p>
    <w:p w14:paraId="2942BD56" w14:textId="77777777" w:rsidR="008079CC" w:rsidRDefault="008079CC" w:rsidP="00E534A8">
      <w:pPr>
        <w:pStyle w:val="reftext"/>
        <w:spacing w:after="0" w:line="259" w:lineRule="auto"/>
        <w:ind w:left="0" w:firstLine="0"/>
        <w:rPr>
          <w:rFonts w:asciiTheme="minorHAnsi" w:hAnsiTheme="minorHAnsi" w:cstheme="minorHAnsi"/>
          <w:color w:val="auto"/>
          <w:sz w:val="22"/>
          <w:szCs w:val="22"/>
          <w:lang w:val="en-GB"/>
        </w:rPr>
      </w:pPr>
    </w:p>
    <w:p w14:paraId="27EECE79" w14:textId="4985A1AB" w:rsidR="00736EFF" w:rsidRDefault="00736EFF" w:rsidP="00E534A8">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lang w:val="en-GB"/>
        </w:rPr>
        <w:t xml:space="preserve">Fogoros RN, Mandrola JM </w:t>
      </w:r>
      <w:r>
        <w:rPr>
          <w:rFonts w:asciiTheme="minorHAnsi" w:hAnsiTheme="minorHAnsi" w:cstheme="minorHAnsi"/>
          <w:color w:val="auto"/>
          <w:sz w:val="22"/>
          <w:szCs w:val="22"/>
          <w:lang w:val="en-GB"/>
        </w:rPr>
        <w:t xml:space="preserve">(2018) </w:t>
      </w:r>
      <w:r w:rsidRPr="00736EFF">
        <w:rPr>
          <w:rFonts w:asciiTheme="minorHAnsi" w:hAnsiTheme="minorHAnsi" w:cstheme="minorHAnsi"/>
          <w:i/>
          <w:color w:val="auto"/>
          <w:sz w:val="22"/>
          <w:szCs w:val="22"/>
          <w:lang w:val="en-GB"/>
        </w:rPr>
        <w:t>Fogoros' electrophysiologic testing</w:t>
      </w:r>
      <w:r w:rsidRPr="00113DCB">
        <w:rPr>
          <w:rFonts w:asciiTheme="minorHAnsi" w:hAnsiTheme="minorHAnsi" w:cstheme="minorHAnsi"/>
          <w:color w:val="auto"/>
          <w:sz w:val="22"/>
          <w:szCs w:val="22"/>
          <w:lang w:val="en-GB"/>
        </w:rPr>
        <w:t>. 6th ed. Oxford: Wiley Blackwell; 2018.</w:t>
      </w:r>
    </w:p>
    <w:p w14:paraId="6E250360" w14:textId="77777777" w:rsidR="00D279BC" w:rsidRDefault="00D279BC" w:rsidP="00E534A8">
      <w:pPr>
        <w:pStyle w:val="reftext"/>
        <w:spacing w:after="0"/>
        <w:rPr>
          <w:rFonts w:asciiTheme="minorHAnsi" w:hAnsiTheme="minorHAnsi" w:cstheme="minorHAnsi"/>
          <w:color w:val="auto"/>
          <w:sz w:val="22"/>
          <w:szCs w:val="22"/>
          <w:lang w:val="en-GB"/>
        </w:rPr>
      </w:pPr>
      <w:r w:rsidRPr="00D279BC">
        <w:rPr>
          <w:rFonts w:asciiTheme="minorHAnsi" w:hAnsiTheme="minorHAnsi" w:cstheme="minorHAnsi"/>
          <w:color w:val="auto"/>
          <w:sz w:val="22"/>
          <w:szCs w:val="22"/>
          <w:lang w:val="en-GB"/>
        </w:rPr>
        <w:t>Frendl</w:t>
      </w:r>
      <w:r>
        <w:rPr>
          <w:rFonts w:asciiTheme="minorHAnsi" w:hAnsiTheme="minorHAnsi" w:cstheme="minorHAnsi"/>
          <w:color w:val="auto"/>
          <w:sz w:val="22"/>
          <w:szCs w:val="22"/>
          <w:lang w:val="en-GB"/>
        </w:rPr>
        <w:t xml:space="preserve"> G</w:t>
      </w:r>
      <w:r w:rsidRPr="00D279BC">
        <w:rPr>
          <w:rFonts w:asciiTheme="minorHAnsi" w:hAnsiTheme="minorHAnsi" w:cstheme="minorHAnsi"/>
          <w:color w:val="auto"/>
          <w:sz w:val="22"/>
          <w:szCs w:val="22"/>
          <w:lang w:val="en-GB"/>
        </w:rPr>
        <w:t>, Sodickson</w:t>
      </w:r>
      <w:r>
        <w:rPr>
          <w:rFonts w:asciiTheme="minorHAnsi" w:hAnsiTheme="minorHAnsi" w:cstheme="minorHAnsi"/>
          <w:color w:val="auto"/>
          <w:sz w:val="22"/>
          <w:szCs w:val="22"/>
          <w:lang w:val="en-GB"/>
        </w:rPr>
        <w:t xml:space="preserve"> AC</w:t>
      </w:r>
      <w:r w:rsidRPr="00D279BC">
        <w:rPr>
          <w:rFonts w:asciiTheme="minorHAnsi" w:hAnsiTheme="minorHAnsi" w:cstheme="minorHAnsi"/>
          <w:color w:val="auto"/>
          <w:sz w:val="22"/>
          <w:szCs w:val="22"/>
          <w:lang w:val="en-GB"/>
        </w:rPr>
        <w:t>, Chung</w:t>
      </w:r>
      <w:r>
        <w:rPr>
          <w:rFonts w:asciiTheme="minorHAnsi" w:hAnsiTheme="minorHAnsi" w:cstheme="minorHAnsi"/>
          <w:color w:val="auto"/>
          <w:sz w:val="22"/>
          <w:szCs w:val="22"/>
          <w:lang w:val="en-GB"/>
        </w:rPr>
        <w:t xml:space="preserve"> MK, </w:t>
      </w:r>
      <w:r w:rsidRPr="00D279BC">
        <w:rPr>
          <w:rFonts w:asciiTheme="minorHAnsi" w:hAnsiTheme="minorHAnsi" w:cstheme="minorHAnsi"/>
          <w:color w:val="auto"/>
          <w:sz w:val="22"/>
          <w:szCs w:val="22"/>
          <w:lang w:val="en-GB"/>
        </w:rPr>
        <w:t>Waldo</w:t>
      </w:r>
      <w:r>
        <w:rPr>
          <w:rFonts w:asciiTheme="minorHAnsi" w:hAnsiTheme="minorHAnsi" w:cstheme="minorHAnsi"/>
          <w:color w:val="auto"/>
          <w:sz w:val="22"/>
          <w:szCs w:val="22"/>
          <w:lang w:val="en-GB"/>
        </w:rPr>
        <w:t xml:space="preserve"> AL</w:t>
      </w:r>
      <w:r w:rsidRPr="00D279BC">
        <w:rPr>
          <w:rFonts w:asciiTheme="minorHAnsi" w:hAnsiTheme="minorHAnsi" w:cstheme="minorHAnsi"/>
          <w:color w:val="auto"/>
          <w:sz w:val="22"/>
          <w:szCs w:val="22"/>
          <w:lang w:val="en-GB"/>
        </w:rPr>
        <w:t>, Gersh</w:t>
      </w:r>
      <w:r>
        <w:rPr>
          <w:rFonts w:asciiTheme="minorHAnsi" w:hAnsiTheme="minorHAnsi" w:cstheme="minorHAnsi"/>
          <w:color w:val="auto"/>
          <w:sz w:val="22"/>
          <w:szCs w:val="22"/>
          <w:lang w:val="en-GB"/>
        </w:rPr>
        <w:t xml:space="preserve"> BJ</w:t>
      </w:r>
      <w:r w:rsidRPr="00D279BC">
        <w:rPr>
          <w:rFonts w:asciiTheme="minorHAnsi" w:hAnsiTheme="minorHAnsi" w:cstheme="minorHAnsi"/>
          <w:color w:val="auto"/>
          <w:sz w:val="22"/>
          <w:szCs w:val="22"/>
          <w:lang w:val="en-GB"/>
        </w:rPr>
        <w:t>, Tisdale</w:t>
      </w:r>
      <w:r>
        <w:rPr>
          <w:rFonts w:asciiTheme="minorHAnsi" w:hAnsiTheme="minorHAnsi" w:cstheme="minorHAnsi"/>
          <w:color w:val="auto"/>
          <w:sz w:val="22"/>
          <w:szCs w:val="22"/>
          <w:lang w:val="en-GB"/>
        </w:rPr>
        <w:t xml:space="preserve"> JE</w:t>
      </w:r>
      <w:r w:rsidRPr="00D279BC">
        <w:rPr>
          <w:rFonts w:asciiTheme="minorHAnsi" w:hAnsiTheme="minorHAnsi" w:cstheme="minorHAnsi"/>
          <w:color w:val="auto"/>
          <w:sz w:val="22"/>
          <w:szCs w:val="22"/>
          <w:lang w:val="en-GB"/>
        </w:rPr>
        <w:t>,</w:t>
      </w:r>
      <w:r>
        <w:rPr>
          <w:rFonts w:asciiTheme="minorHAnsi" w:hAnsiTheme="minorHAnsi" w:cstheme="minorHAnsi"/>
          <w:color w:val="auto"/>
          <w:sz w:val="22"/>
          <w:szCs w:val="22"/>
          <w:lang w:val="en-GB"/>
        </w:rPr>
        <w:t xml:space="preserve"> </w:t>
      </w:r>
      <w:r w:rsidRPr="00D279BC">
        <w:rPr>
          <w:rFonts w:asciiTheme="minorHAnsi" w:hAnsiTheme="minorHAnsi" w:cstheme="minorHAnsi"/>
          <w:color w:val="auto"/>
          <w:sz w:val="22"/>
          <w:szCs w:val="22"/>
          <w:lang w:val="en-GB"/>
        </w:rPr>
        <w:t>Calkins</w:t>
      </w:r>
      <w:r>
        <w:rPr>
          <w:rFonts w:asciiTheme="minorHAnsi" w:hAnsiTheme="minorHAnsi" w:cstheme="minorHAnsi"/>
          <w:color w:val="auto"/>
          <w:sz w:val="22"/>
          <w:szCs w:val="22"/>
          <w:lang w:val="en-GB"/>
        </w:rPr>
        <w:t xml:space="preserve"> H</w:t>
      </w:r>
      <w:r w:rsidRPr="00D279BC">
        <w:rPr>
          <w:rFonts w:asciiTheme="minorHAnsi" w:hAnsiTheme="minorHAnsi" w:cstheme="minorHAnsi"/>
          <w:color w:val="auto"/>
          <w:sz w:val="22"/>
          <w:szCs w:val="22"/>
          <w:lang w:val="en-GB"/>
        </w:rPr>
        <w:t>, Aranki</w:t>
      </w:r>
      <w:r>
        <w:rPr>
          <w:rFonts w:asciiTheme="minorHAnsi" w:hAnsiTheme="minorHAnsi" w:cstheme="minorHAnsi"/>
          <w:color w:val="auto"/>
          <w:sz w:val="22"/>
          <w:szCs w:val="22"/>
          <w:lang w:val="en-GB"/>
        </w:rPr>
        <w:t xml:space="preserve"> S, </w:t>
      </w:r>
      <w:r w:rsidRPr="00D279BC">
        <w:rPr>
          <w:rFonts w:asciiTheme="minorHAnsi" w:hAnsiTheme="minorHAnsi" w:cstheme="minorHAnsi"/>
          <w:color w:val="auto"/>
          <w:sz w:val="22"/>
          <w:szCs w:val="22"/>
          <w:lang w:val="en-GB"/>
        </w:rPr>
        <w:t>Kaneko</w:t>
      </w:r>
      <w:r>
        <w:rPr>
          <w:rFonts w:asciiTheme="minorHAnsi" w:hAnsiTheme="minorHAnsi" w:cstheme="minorHAnsi"/>
          <w:color w:val="auto"/>
          <w:sz w:val="22"/>
          <w:szCs w:val="22"/>
          <w:lang w:val="en-GB"/>
        </w:rPr>
        <w:t xml:space="preserve"> T</w:t>
      </w:r>
      <w:r w:rsidRPr="00D279BC">
        <w:rPr>
          <w:rFonts w:asciiTheme="minorHAnsi" w:hAnsiTheme="minorHAnsi" w:cstheme="minorHAnsi"/>
          <w:color w:val="auto"/>
          <w:sz w:val="22"/>
          <w:szCs w:val="22"/>
          <w:lang w:val="en-GB"/>
        </w:rPr>
        <w:t>,</w:t>
      </w:r>
    </w:p>
    <w:p w14:paraId="484E573B" w14:textId="77777777" w:rsidR="00B5791B" w:rsidRDefault="00D279BC" w:rsidP="00E534A8">
      <w:pPr>
        <w:pStyle w:val="reftext"/>
        <w:spacing w:after="0"/>
        <w:rPr>
          <w:rFonts w:asciiTheme="minorHAnsi" w:hAnsiTheme="minorHAnsi" w:cstheme="minorHAnsi"/>
          <w:color w:val="auto"/>
          <w:sz w:val="22"/>
          <w:szCs w:val="22"/>
          <w:lang w:val="en-GB"/>
        </w:rPr>
      </w:pPr>
      <w:r w:rsidRPr="00D279BC">
        <w:rPr>
          <w:rFonts w:asciiTheme="minorHAnsi" w:hAnsiTheme="minorHAnsi" w:cstheme="minorHAnsi"/>
          <w:color w:val="auto"/>
          <w:sz w:val="22"/>
          <w:szCs w:val="22"/>
          <w:lang w:val="en-GB"/>
        </w:rPr>
        <w:t>Cassivi</w:t>
      </w:r>
      <w:r>
        <w:rPr>
          <w:rFonts w:asciiTheme="minorHAnsi" w:hAnsiTheme="minorHAnsi" w:cstheme="minorHAnsi"/>
          <w:color w:val="auto"/>
          <w:sz w:val="22"/>
          <w:szCs w:val="22"/>
          <w:lang w:val="en-GB"/>
        </w:rPr>
        <w:t xml:space="preserve"> S</w:t>
      </w:r>
      <w:r w:rsidRPr="00D279BC">
        <w:rPr>
          <w:rFonts w:asciiTheme="minorHAnsi" w:hAnsiTheme="minorHAnsi" w:cstheme="minorHAnsi"/>
          <w:color w:val="auto"/>
          <w:sz w:val="22"/>
          <w:szCs w:val="22"/>
          <w:lang w:val="en-GB"/>
        </w:rPr>
        <w:t>, Smith</w:t>
      </w:r>
      <w:r>
        <w:rPr>
          <w:rFonts w:asciiTheme="minorHAnsi" w:hAnsiTheme="minorHAnsi" w:cstheme="minorHAnsi"/>
          <w:color w:val="auto"/>
          <w:sz w:val="22"/>
          <w:szCs w:val="22"/>
          <w:lang w:val="en-GB"/>
        </w:rPr>
        <w:t xml:space="preserve"> SC</w:t>
      </w:r>
      <w:r w:rsidRPr="00D279BC">
        <w:rPr>
          <w:rFonts w:asciiTheme="minorHAnsi" w:hAnsiTheme="minorHAnsi" w:cstheme="minorHAnsi"/>
          <w:color w:val="auto"/>
          <w:sz w:val="22"/>
          <w:szCs w:val="22"/>
          <w:lang w:val="en-GB"/>
        </w:rPr>
        <w:t>, Darbar</w:t>
      </w:r>
      <w:r>
        <w:rPr>
          <w:rFonts w:asciiTheme="minorHAnsi" w:hAnsiTheme="minorHAnsi" w:cstheme="minorHAnsi"/>
          <w:color w:val="auto"/>
          <w:sz w:val="22"/>
          <w:szCs w:val="22"/>
          <w:lang w:val="en-GB"/>
        </w:rPr>
        <w:t xml:space="preserve"> D, </w:t>
      </w:r>
      <w:r w:rsidRPr="00D279BC">
        <w:rPr>
          <w:rFonts w:asciiTheme="minorHAnsi" w:hAnsiTheme="minorHAnsi" w:cstheme="minorHAnsi"/>
          <w:color w:val="auto"/>
          <w:sz w:val="22"/>
          <w:szCs w:val="22"/>
          <w:lang w:val="en-GB"/>
        </w:rPr>
        <w:t>Wee</w:t>
      </w:r>
      <w:r>
        <w:rPr>
          <w:rFonts w:asciiTheme="minorHAnsi" w:hAnsiTheme="minorHAnsi" w:cstheme="minorHAnsi"/>
          <w:color w:val="auto"/>
          <w:sz w:val="22"/>
          <w:szCs w:val="22"/>
          <w:lang w:val="en-GB"/>
        </w:rPr>
        <w:t xml:space="preserve"> JO, </w:t>
      </w:r>
      <w:r w:rsidRPr="00D279BC">
        <w:rPr>
          <w:rFonts w:asciiTheme="minorHAnsi" w:hAnsiTheme="minorHAnsi" w:cstheme="minorHAnsi"/>
          <w:color w:val="auto"/>
          <w:sz w:val="22"/>
          <w:szCs w:val="22"/>
          <w:lang w:val="en-GB"/>
        </w:rPr>
        <w:t>Waddell</w:t>
      </w:r>
      <w:r>
        <w:rPr>
          <w:rFonts w:asciiTheme="minorHAnsi" w:hAnsiTheme="minorHAnsi" w:cstheme="minorHAnsi"/>
          <w:color w:val="auto"/>
          <w:sz w:val="22"/>
          <w:szCs w:val="22"/>
          <w:lang w:val="en-GB"/>
        </w:rPr>
        <w:t xml:space="preserve"> TK, </w:t>
      </w:r>
      <w:r w:rsidRPr="00D279BC">
        <w:rPr>
          <w:rFonts w:asciiTheme="minorHAnsi" w:hAnsiTheme="minorHAnsi" w:cstheme="minorHAnsi"/>
          <w:color w:val="auto"/>
          <w:sz w:val="22"/>
          <w:szCs w:val="22"/>
          <w:lang w:val="en-GB"/>
        </w:rPr>
        <w:t>Amar</w:t>
      </w:r>
      <w:r>
        <w:rPr>
          <w:rFonts w:asciiTheme="minorHAnsi" w:hAnsiTheme="minorHAnsi" w:cstheme="minorHAnsi"/>
          <w:color w:val="auto"/>
          <w:sz w:val="22"/>
          <w:szCs w:val="22"/>
          <w:lang w:val="en-GB"/>
        </w:rPr>
        <w:t xml:space="preserve"> D, </w:t>
      </w:r>
      <w:r w:rsidRPr="00D279BC">
        <w:rPr>
          <w:rFonts w:asciiTheme="minorHAnsi" w:hAnsiTheme="minorHAnsi" w:cstheme="minorHAnsi"/>
          <w:color w:val="auto"/>
          <w:sz w:val="22"/>
          <w:szCs w:val="22"/>
          <w:lang w:val="en-GB"/>
        </w:rPr>
        <w:t>Adler</w:t>
      </w:r>
      <w:r>
        <w:rPr>
          <w:rFonts w:asciiTheme="minorHAnsi" w:hAnsiTheme="minorHAnsi" w:cstheme="minorHAnsi"/>
          <w:color w:val="auto"/>
          <w:sz w:val="22"/>
          <w:szCs w:val="22"/>
          <w:lang w:val="en-GB"/>
        </w:rPr>
        <w:t xml:space="preserve"> D</w:t>
      </w:r>
      <w:r w:rsidR="00B5791B">
        <w:rPr>
          <w:rFonts w:asciiTheme="minorHAnsi" w:hAnsiTheme="minorHAnsi" w:cstheme="minorHAnsi"/>
          <w:color w:val="auto"/>
          <w:sz w:val="22"/>
          <w:szCs w:val="22"/>
          <w:lang w:val="en-GB"/>
        </w:rPr>
        <w:t xml:space="preserve"> (2014) </w:t>
      </w:r>
      <w:r w:rsidR="00B5791B" w:rsidRPr="00B5791B">
        <w:rPr>
          <w:rFonts w:asciiTheme="minorHAnsi" w:hAnsiTheme="minorHAnsi" w:cstheme="minorHAnsi"/>
          <w:color w:val="auto"/>
          <w:sz w:val="22"/>
          <w:szCs w:val="22"/>
          <w:lang w:val="en-GB"/>
        </w:rPr>
        <w:t xml:space="preserve">2014 AATS guidelines for </w:t>
      </w:r>
    </w:p>
    <w:p w14:paraId="43259F20" w14:textId="77777777" w:rsidR="00B5791B" w:rsidRDefault="00B5791B" w:rsidP="00E534A8">
      <w:pPr>
        <w:pStyle w:val="reftext"/>
        <w:spacing w:after="0"/>
        <w:rPr>
          <w:rFonts w:asciiTheme="minorHAnsi" w:hAnsiTheme="minorHAnsi" w:cstheme="minorHAnsi"/>
          <w:color w:val="auto"/>
          <w:sz w:val="22"/>
          <w:szCs w:val="22"/>
          <w:lang w:val="en-GB"/>
        </w:rPr>
      </w:pPr>
      <w:r w:rsidRPr="00B5791B">
        <w:rPr>
          <w:rFonts w:asciiTheme="minorHAnsi" w:hAnsiTheme="minorHAnsi" w:cstheme="minorHAnsi"/>
          <w:color w:val="auto"/>
          <w:sz w:val="22"/>
          <w:szCs w:val="22"/>
          <w:lang w:val="en-GB"/>
        </w:rPr>
        <w:t>the prevention and management of</w:t>
      </w:r>
      <w:r>
        <w:rPr>
          <w:rFonts w:asciiTheme="minorHAnsi" w:hAnsiTheme="minorHAnsi" w:cstheme="minorHAnsi"/>
          <w:color w:val="auto"/>
          <w:sz w:val="22"/>
          <w:szCs w:val="22"/>
          <w:lang w:val="en-GB"/>
        </w:rPr>
        <w:t xml:space="preserve"> </w:t>
      </w:r>
      <w:r w:rsidRPr="00B5791B">
        <w:rPr>
          <w:rFonts w:asciiTheme="minorHAnsi" w:hAnsiTheme="minorHAnsi" w:cstheme="minorHAnsi"/>
          <w:color w:val="auto"/>
          <w:sz w:val="22"/>
          <w:szCs w:val="22"/>
          <w:lang w:val="en-GB"/>
        </w:rPr>
        <w:t>perioperative atrial fibrillation and flutter for thoracic</w:t>
      </w:r>
      <w:r>
        <w:rPr>
          <w:rFonts w:asciiTheme="minorHAnsi" w:hAnsiTheme="minorHAnsi" w:cstheme="minorHAnsi"/>
          <w:color w:val="auto"/>
          <w:sz w:val="22"/>
          <w:szCs w:val="22"/>
          <w:lang w:val="en-GB"/>
        </w:rPr>
        <w:t xml:space="preserve"> </w:t>
      </w:r>
      <w:r w:rsidRPr="00B5791B">
        <w:rPr>
          <w:rFonts w:asciiTheme="minorHAnsi" w:hAnsiTheme="minorHAnsi" w:cstheme="minorHAnsi"/>
          <w:color w:val="auto"/>
          <w:sz w:val="22"/>
          <w:szCs w:val="22"/>
          <w:lang w:val="en-GB"/>
        </w:rPr>
        <w:t xml:space="preserve">surgical </w:t>
      </w:r>
    </w:p>
    <w:p w14:paraId="7BC494F3" w14:textId="17D1AD35" w:rsidR="005B1D0E" w:rsidRDefault="00B5791B" w:rsidP="00E534A8">
      <w:pPr>
        <w:pStyle w:val="reftext"/>
        <w:spacing w:after="0"/>
        <w:rPr>
          <w:rFonts w:asciiTheme="minorHAnsi" w:hAnsiTheme="minorHAnsi" w:cstheme="minorHAnsi"/>
          <w:color w:val="auto"/>
          <w:sz w:val="22"/>
          <w:szCs w:val="22"/>
          <w:lang w:val="en-GB"/>
        </w:rPr>
      </w:pPr>
      <w:r w:rsidRPr="00B5791B">
        <w:rPr>
          <w:rFonts w:asciiTheme="minorHAnsi" w:hAnsiTheme="minorHAnsi" w:cstheme="minorHAnsi"/>
          <w:color w:val="auto"/>
          <w:sz w:val="22"/>
          <w:szCs w:val="22"/>
          <w:lang w:val="en-GB"/>
        </w:rPr>
        <w:t>procedures</w:t>
      </w:r>
      <w:r>
        <w:rPr>
          <w:rFonts w:asciiTheme="minorHAnsi" w:hAnsiTheme="minorHAnsi" w:cstheme="minorHAnsi"/>
          <w:color w:val="auto"/>
          <w:sz w:val="22"/>
          <w:szCs w:val="22"/>
          <w:lang w:val="en-GB"/>
        </w:rPr>
        <w:t xml:space="preserve">, </w:t>
      </w:r>
      <w:r w:rsidR="00D279BC" w:rsidRPr="00B5791B">
        <w:rPr>
          <w:rFonts w:asciiTheme="minorHAnsi" w:hAnsiTheme="minorHAnsi" w:cstheme="minorHAnsi"/>
          <w:i/>
          <w:iCs/>
          <w:color w:val="auto"/>
          <w:sz w:val="22"/>
          <w:szCs w:val="22"/>
          <w:lang w:val="en-GB"/>
        </w:rPr>
        <w:t>J</w:t>
      </w:r>
      <w:r w:rsidR="00F46A59">
        <w:rPr>
          <w:rFonts w:asciiTheme="minorHAnsi" w:hAnsiTheme="minorHAnsi" w:cstheme="minorHAnsi"/>
          <w:i/>
          <w:iCs/>
          <w:color w:val="auto"/>
          <w:sz w:val="22"/>
          <w:szCs w:val="22"/>
          <w:lang w:val="en-GB"/>
        </w:rPr>
        <w:t>ournal of</w:t>
      </w:r>
      <w:r w:rsidR="00D279BC" w:rsidRPr="00B5791B">
        <w:rPr>
          <w:rFonts w:asciiTheme="minorHAnsi" w:hAnsiTheme="minorHAnsi" w:cstheme="minorHAnsi"/>
          <w:i/>
          <w:iCs/>
          <w:color w:val="auto"/>
          <w:sz w:val="22"/>
          <w:szCs w:val="22"/>
          <w:lang w:val="en-GB"/>
        </w:rPr>
        <w:t xml:space="preserve"> Thorac</w:t>
      </w:r>
      <w:r w:rsidR="00F46A59">
        <w:rPr>
          <w:rFonts w:asciiTheme="minorHAnsi" w:hAnsiTheme="minorHAnsi" w:cstheme="minorHAnsi"/>
          <w:i/>
          <w:iCs/>
          <w:color w:val="auto"/>
          <w:sz w:val="22"/>
          <w:szCs w:val="22"/>
          <w:lang w:val="en-GB"/>
        </w:rPr>
        <w:t>ic and</w:t>
      </w:r>
      <w:r w:rsidR="00D279BC" w:rsidRPr="00B5791B">
        <w:rPr>
          <w:rFonts w:asciiTheme="minorHAnsi" w:hAnsiTheme="minorHAnsi" w:cstheme="minorHAnsi"/>
          <w:i/>
          <w:iCs/>
          <w:color w:val="auto"/>
          <w:sz w:val="22"/>
          <w:szCs w:val="22"/>
          <w:lang w:val="en-GB"/>
        </w:rPr>
        <w:t xml:space="preserve"> Cardiovasc</w:t>
      </w:r>
      <w:r w:rsidR="00F46A59">
        <w:rPr>
          <w:rFonts w:asciiTheme="minorHAnsi" w:hAnsiTheme="minorHAnsi" w:cstheme="minorHAnsi"/>
          <w:i/>
          <w:iCs/>
          <w:color w:val="auto"/>
          <w:sz w:val="22"/>
          <w:szCs w:val="22"/>
          <w:lang w:val="en-GB"/>
        </w:rPr>
        <w:t>ular</w:t>
      </w:r>
      <w:r w:rsidR="00D279BC" w:rsidRPr="00B5791B">
        <w:rPr>
          <w:rFonts w:asciiTheme="minorHAnsi" w:hAnsiTheme="minorHAnsi" w:cstheme="minorHAnsi"/>
          <w:i/>
          <w:iCs/>
          <w:color w:val="auto"/>
          <w:sz w:val="22"/>
          <w:szCs w:val="22"/>
          <w:lang w:val="en-GB"/>
        </w:rPr>
        <w:t xml:space="preserve"> Surg</w:t>
      </w:r>
      <w:r w:rsidR="00F46A59">
        <w:rPr>
          <w:rFonts w:asciiTheme="minorHAnsi" w:hAnsiTheme="minorHAnsi" w:cstheme="minorHAnsi"/>
          <w:i/>
          <w:iCs/>
          <w:color w:val="auto"/>
          <w:sz w:val="22"/>
          <w:szCs w:val="22"/>
          <w:lang w:val="en-GB"/>
        </w:rPr>
        <w:t>ery</w:t>
      </w:r>
      <w:r>
        <w:rPr>
          <w:rFonts w:asciiTheme="minorHAnsi" w:hAnsiTheme="minorHAnsi" w:cstheme="minorHAnsi"/>
          <w:color w:val="auto"/>
          <w:sz w:val="22"/>
          <w:szCs w:val="22"/>
          <w:lang w:val="en-GB"/>
        </w:rPr>
        <w:t xml:space="preserve">, </w:t>
      </w:r>
      <w:r w:rsidR="00D279BC" w:rsidRPr="00D279BC">
        <w:rPr>
          <w:rFonts w:asciiTheme="minorHAnsi" w:hAnsiTheme="minorHAnsi" w:cstheme="minorHAnsi"/>
          <w:color w:val="auto"/>
          <w:sz w:val="22"/>
          <w:szCs w:val="22"/>
          <w:lang w:val="en-GB"/>
        </w:rPr>
        <w:t>148:e153-93</w:t>
      </w:r>
    </w:p>
    <w:p w14:paraId="022A8C65" w14:textId="72B26E70" w:rsidR="00B86194" w:rsidRDefault="00B86194" w:rsidP="00E534A8">
      <w:pPr>
        <w:pStyle w:val="reftext"/>
        <w:spacing w:after="0"/>
        <w:ind w:left="0" w:firstLine="0"/>
        <w:rPr>
          <w:rFonts w:asciiTheme="minorHAnsi" w:hAnsiTheme="minorHAnsi" w:cstheme="minorHAnsi"/>
          <w:color w:val="auto"/>
          <w:sz w:val="22"/>
          <w:szCs w:val="22"/>
          <w:lang w:val="en-GB"/>
        </w:rPr>
      </w:pPr>
    </w:p>
    <w:p w14:paraId="3CCDF944" w14:textId="4CAE02CA" w:rsidR="00C90D25" w:rsidRDefault="00C90D25" w:rsidP="00E534A8">
      <w:pPr>
        <w:spacing w:after="0" w:line="240" w:lineRule="auto"/>
      </w:pPr>
      <w:r w:rsidRPr="00AB3720">
        <w:t xml:space="preserve">Garcia TB (2015) </w:t>
      </w:r>
      <w:r w:rsidRPr="00AB3720">
        <w:rPr>
          <w:i/>
        </w:rPr>
        <w:t xml:space="preserve">12-lead ECG: The Art of Interpretation. </w:t>
      </w:r>
      <w:r w:rsidRPr="00AB3720">
        <w:t xml:space="preserve"> 2</w:t>
      </w:r>
      <w:r w:rsidRPr="00AB3720">
        <w:rPr>
          <w:vertAlign w:val="superscript"/>
        </w:rPr>
        <w:t>nd</w:t>
      </w:r>
      <w:r w:rsidRPr="00AB3720">
        <w:t xml:space="preserve"> Edition. Burlington, Ma : Jones and Bartlett </w:t>
      </w:r>
    </w:p>
    <w:p w14:paraId="4AADDF71" w14:textId="77777777" w:rsidR="00F13498" w:rsidRDefault="00F13498" w:rsidP="00E534A8">
      <w:pPr>
        <w:spacing w:after="0" w:line="240" w:lineRule="auto"/>
      </w:pPr>
    </w:p>
    <w:p w14:paraId="7C9EC6B6" w14:textId="0BBCE88D" w:rsidR="00C90D25" w:rsidRDefault="00A110C5" w:rsidP="00E534A8">
      <w:pPr>
        <w:spacing w:after="0" w:line="240" w:lineRule="auto"/>
      </w:pPr>
      <w:r w:rsidRPr="00A110C5">
        <w:t>Grandi E, Ripplinger CM</w:t>
      </w:r>
      <w:r>
        <w:t xml:space="preserve"> (2019)</w:t>
      </w:r>
      <w:r w:rsidRPr="00A110C5">
        <w:t xml:space="preserve"> Antiarrhythmic mechanisms of beta blocker therapy</w:t>
      </w:r>
      <w:r>
        <w:t>,</w:t>
      </w:r>
      <w:r w:rsidRPr="00A110C5">
        <w:t xml:space="preserve"> </w:t>
      </w:r>
      <w:r w:rsidRPr="00A110C5">
        <w:rPr>
          <w:i/>
          <w:iCs/>
        </w:rPr>
        <w:t xml:space="preserve">Pharmacological </w:t>
      </w:r>
      <w:r>
        <w:rPr>
          <w:i/>
          <w:iCs/>
        </w:rPr>
        <w:t>R</w:t>
      </w:r>
      <w:r w:rsidRPr="00A110C5">
        <w:rPr>
          <w:i/>
          <w:iCs/>
        </w:rPr>
        <w:t>esearch</w:t>
      </w:r>
      <w:r>
        <w:rPr>
          <w:i/>
          <w:iCs/>
        </w:rPr>
        <w:t xml:space="preserve">, 146, </w:t>
      </w:r>
      <w:r w:rsidRPr="00A110C5">
        <w:t>104274.</w:t>
      </w:r>
      <w:r>
        <w:t xml:space="preserve"> </w:t>
      </w:r>
      <w:r w:rsidRPr="00A110C5">
        <w:t>doi.org/10.1016/j.phrs.2019.104274</w:t>
      </w:r>
    </w:p>
    <w:p w14:paraId="5A7FFAA3" w14:textId="77777777" w:rsidR="00F13498" w:rsidRPr="00A110C5" w:rsidRDefault="00F13498" w:rsidP="00E534A8">
      <w:pPr>
        <w:spacing w:after="0" w:line="240" w:lineRule="auto"/>
      </w:pPr>
    </w:p>
    <w:p w14:paraId="2F2DB1B0" w14:textId="0A79C59D" w:rsidR="00901EA4" w:rsidRDefault="00901EA4" w:rsidP="00E534A8">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lang w:val="en-GB"/>
        </w:rPr>
        <w:t>Joint Formulary Committee</w:t>
      </w:r>
      <w:r>
        <w:rPr>
          <w:rFonts w:asciiTheme="minorHAnsi" w:hAnsiTheme="minorHAnsi" w:cstheme="minorHAnsi"/>
          <w:color w:val="auto"/>
          <w:sz w:val="22"/>
          <w:szCs w:val="22"/>
          <w:lang w:val="en-GB"/>
        </w:rPr>
        <w:t xml:space="preserve"> (201</w:t>
      </w:r>
      <w:r w:rsidR="00066A74">
        <w:rPr>
          <w:rFonts w:asciiTheme="minorHAnsi" w:hAnsiTheme="minorHAnsi" w:cstheme="minorHAnsi"/>
          <w:color w:val="auto"/>
          <w:sz w:val="22"/>
          <w:szCs w:val="22"/>
          <w:lang w:val="en-GB"/>
        </w:rPr>
        <w:t>9</w:t>
      </w:r>
      <w:r>
        <w:rPr>
          <w:rFonts w:asciiTheme="minorHAnsi" w:hAnsiTheme="minorHAnsi" w:cstheme="minorHAnsi"/>
          <w:color w:val="auto"/>
          <w:sz w:val="22"/>
          <w:szCs w:val="22"/>
          <w:lang w:val="en-GB"/>
        </w:rPr>
        <w:t>)</w:t>
      </w:r>
      <w:r w:rsidRPr="00113DCB">
        <w:rPr>
          <w:rFonts w:asciiTheme="minorHAnsi" w:hAnsiTheme="minorHAnsi" w:cstheme="minorHAnsi"/>
          <w:color w:val="auto"/>
          <w:sz w:val="22"/>
          <w:szCs w:val="22"/>
          <w:lang w:val="en-GB"/>
        </w:rPr>
        <w:t xml:space="preserve"> </w:t>
      </w:r>
      <w:r w:rsidRPr="00901EA4">
        <w:rPr>
          <w:rFonts w:asciiTheme="minorHAnsi" w:hAnsiTheme="minorHAnsi" w:cstheme="minorHAnsi"/>
          <w:i/>
          <w:color w:val="auto"/>
          <w:sz w:val="22"/>
          <w:szCs w:val="22"/>
          <w:lang w:val="en-GB"/>
        </w:rPr>
        <w:t>British National Formulary</w:t>
      </w:r>
      <w:r w:rsidRPr="00113DCB">
        <w:rPr>
          <w:rFonts w:asciiTheme="minorHAnsi" w:hAnsiTheme="minorHAnsi" w:cstheme="minorHAnsi"/>
          <w:color w:val="auto"/>
          <w:sz w:val="22"/>
          <w:szCs w:val="22"/>
          <w:lang w:val="en-GB"/>
        </w:rPr>
        <w:t>, 7</w:t>
      </w:r>
      <w:r w:rsidR="00066A74">
        <w:rPr>
          <w:rFonts w:asciiTheme="minorHAnsi" w:hAnsiTheme="minorHAnsi" w:cstheme="minorHAnsi"/>
          <w:color w:val="auto"/>
          <w:sz w:val="22"/>
          <w:szCs w:val="22"/>
          <w:lang w:val="en-GB"/>
        </w:rPr>
        <w:t>7</w:t>
      </w:r>
      <w:r w:rsidRPr="00113DCB">
        <w:rPr>
          <w:rFonts w:asciiTheme="minorHAnsi" w:hAnsiTheme="minorHAnsi" w:cstheme="minorHAnsi"/>
          <w:color w:val="auto"/>
          <w:sz w:val="22"/>
          <w:szCs w:val="22"/>
          <w:vertAlign w:val="superscript"/>
          <w:lang w:val="en-GB"/>
        </w:rPr>
        <w:t>th</w:t>
      </w:r>
      <w:r w:rsidRPr="00113DCB">
        <w:rPr>
          <w:rFonts w:asciiTheme="minorHAnsi" w:hAnsiTheme="minorHAnsi" w:cstheme="minorHAnsi"/>
          <w:color w:val="auto"/>
          <w:sz w:val="22"/>
          <w:szCs w:val="22"/>
          <w:lang w:val="en-GB"/>
        </w:rPr>
        <w:t xml:space="preserve"> edition, London: BMJ Group and Pharmaceutical Press. </w:t>
      </w:r>
    </w:p>
    <w:p w14:paraId="07067193" w14:textId="77777777" w:rsidR="00901EA4" w:rsidRDefault="00901EA4" w:rsidP="00E534A8">
      <w:pPr>
        <w:pStyle w:val="reftext"/>
        <w:spacing w:after="0" w:line="259" w:lineRule="auto"/>
        <w:ind w:left="0" w:firstLine="0"/>
        <w:rPr>
          <w:rFonts w:asciiTheme="minorHAnsi" w:hAnsiTheme="minorHAnsi" w:cstheme="minorHAnsi"/>
          <w:color w:val="auto"/>
          <w:sz w:val="22"/>
          <w:szCs w:val="22"/>
          <w:lang w:val="en-GB"/>
        </w:rPr>
      </w:pPr>
    </w:p>
    <w:p w14:paraId="6F9D50EC" w14:textId="052F0B47" w:rsidR="00D41458" w:rsidRDefault="001541B9" w:rsidP="00E534A8">
      <w:pPr>
        <w:spacing w:after="0"/>
        <w:rPr>
          <w:rFonts w:eastAsia="Calibri" w:cstheme="minorHAnsi"/>
          <w:lang w:val="en-US"/>
        </w:rPr>
      </w:pPr>
      <w:r w:rsidRPr="001541B9">
        <w:rPr>
          <w:rFonts w:eastAsia="Calibri" w:cstheme="minorHAnsi"/>
          <w:lang w:val="en-US"/>
        </w:rPr>
        <w:t>Kirchhof P, Benussi S, Kotecha</w:t>
      </w:r>
      <w:r w:rsidRPr="001541B9">
        <w:rPr>
          <w:rFonts w:eastAsia="Calibri" w:cstheme="minorHAnsi"/>
        </w:rPr>
        <w:t xml:space="preserve"> D et al (2016) </w:t>
      </w:r>
      <w:r w:rsidRPr="001541B9">
        <w:rPr>
          <w:rFonts w:eastAsia="Calibri" w:cstheme="minorHAnsi"/>
          <w:lang w:val="en-US"/>
        </w:rPr>
        <w:t xml:space="preserve">ESC Guidelines for the management of atrial fibrillation developed in collaboration with EACTS, </w:t>
      </w:r>
      <w:r w:rsidRPr="001541B9">
        <w:rPr>
          <w:rFonts w:eastAsia="Calibri" w:cstheme="minorHAnsi"/>
          <w:i/>
        </w:rPr>
        <w:t>Eur</w:t>
      </w:r>
      <w:r w:rsidR="00F46A59">
        <w:rPr>
          <w:rFonts w:eastAsia="Calibri" w:cstheme="minorHAnsi"/>
          <w:i/>
        </w:rPr>
        <w:t>opean</w:t>
      </w:r>
      <w:r w:rsidRPr="001541B9">
        <w:rPr>
          <w:rFonts w:eastAsia="Calibri" w:cstheme="minorHAnsi"/>
          <w:i/>
        </w:rPr>
        <w:t xml:space="preserve"> Heart J</w:t>
      </w:r>
      <w:r w:rsidR="00F46A59">
        <w:rPr>
          <w:rFonts w:eastAsia="Calibri" w:cstheme="minorHAnsi"/>
          <w:i/>
        </w:rPr>
        <w:t>ournal</w:t>
      </w:r>
      <w:r w:rsidRPr="001541B9">
        <w:rPr>
          <w:rFonts w:eastAsia="Calibri" w:cstheme="minorHAnsi"/>
        </w:rPr>
        <w:t xml:space="preserve">, 37, </w:t>
      </w:r>
      <w:r w:rsidRPr="001541B9">
        <w:rPr>
          <w:rFonts w:eastAsia="Calibri" w:cstheme="minorHAnsi"/>
          <w:lang w:val="en-US"/>
        </w:rPr>
        <w:t xml:space="preserve">2893–2962. </w:t>
      </w:r>
    </w:p>
    <w:p w14:paraId="4DF2A36B" w14:textId="70741F54" w:rsidR="007A6BCE" w:rsidRDefault="007A6BCE" w:rsidP="00E534A8">
      <w:pPr>
        <w:pStyle w:val="reftext"/>
        <w:spacing w:after="0" w:line="259" w:lineRule="auto"/>
        <w:ind w:left="0" w:firstLine="0"/>
        <w:rPr>
          <w:rFonts w:asciiTheme="minorHAnsi" w:hAnsiTheme="minorHAnsi" w:cstheme="minorHAnsi"/>
          <w:color w:val="auto"/>
          <w:sz w:val="22"/>
          <w:szCs w:val="22"/>
        </w:rPr>
      </w:pPr>
    </w:p>
    <w:p w14:paraId="31E2DA18" w14:textId="13AA55B0" w:rsidR="007A6BCE" w:rsidRDefault="007A6BCE" w:rsidP="00E534A8">
      <w:pPr>
        <w:pStyle w:val="reftext"/>
        <w:spacing w:after="0" w:line="259" w:lineRule="auto"/>
        <w:ind w:left="0" w:firstLine="0"/>
        <w:rPr>
          <w:rFonts w:asciiTheme="minorHAnsi" w:hAnsiTheme="minorHAnsi" w:cstheme="minorHAnsi"/>
          <w:color w:val="auto"/>
          <w:sz w:val="22"/>
          <w:szCs w:val="22"/>
        </w:rPr>
      </w:pPr>
      <w:r w:rsidRPr="007A6BCE">
        <w:rPr>
          <w:rFonts w:asciiTheme="minorHAnsi" w:hAnsiTheme="minorHAnsi" w:cstheme="minorHAnsi"/>
          <w:color w:val="auto"/>
          <w:sz w:val="22"/>
          <w:szCs w:val="22"/>
          <w:lang w:val="en-GB"/>
        </w:rPr>
        <w:t>Lopes RD, Rordorf R, De Ferrari GM, Leonardi S, Thomas L, Wojdyla DM, Ridefelt P, Lawrence JH, De Caterina R, Vinereanu D, Hanna M</w:t>
      </w:r>
      <w:r>
        <w:rPr>
          <w:rFonts w:asciiTheme="minorHAnsi" w:hAnsiTheme="minorHAnsi" w:cstheme="minorHAnsi"/>
          <w:color w:val="auto"/>
          <w:sz w:val="22"/>
          <w:szCs w:val="22"/>
          <w:lang w:val="en-GB"/>
        </w:rPr>
        <w:t xml:space="preserve"> (2018) </w:t>
      </w:r>
      <w:r w:rsidRPr="007A6BCE">
        <w:rPr>
          <w:rFonts w:asciiTheme="minorHAnsi" w:hAnsiTheme="minorHAnsi" w:cstheme="minorHAnsi"/>
          <w:color w:val="auto"/>
          <w:sz w:val="22"/>
          <w:szCs w:val="22"/>
          <w:lang w:val="en-GB"/>
        </w:rPr>
        <w:t xml:space="preserve">Digoxin and mortality in patients with atrial fibrillation. </w:t>
      </w:r>
      <w:r w:rsidRPr="007A6BCE">
        <w:rPr>
          <w:rFonts w:asciiTheme="minorHAnsi" w:hAnsiTheme="minorHAnsi" w:cstheme="minorHAnsi"/>
          <w:i/>
          <w:iCs/>
          <w:color w:val="auto"/>
          <w:sz w:val="22"/>
          <w:szCs w:val="22"/>
          <w:lang w:val="en-GB"/>
        </w:rPr>
        <w:t>Journal of the American College of Cardiology</w:t>
      </w:r>
      <w:r>
        <w:rPr>
          <w:rFonts w:asciiTheme="minorHAnsi" w:hAnsiTheme="minorHAnsi" w:cstheme="minorHAnsi"/>
          <w:color w:val="auto"/>
          <w:sz w:val="22"/>
          <w:szCs w:val="22"/>
          <w:lang w:val="en-GB"/>
        </w:rPr>
        <w:t xml:space="preserve">, </w:t>
      </w:r>
      <w:r w:rsidRPr="007A6BCE">
        <w:rPr>
          <w:rFonts w:asciiTheme="minorHAnsi" w:hAnsiTheme="minorHAnsi" w:cstheme="minorHAnsi"/>
          <w:color w:val="auto"/>
          <w:sz w:val="22"/>
          <w:szCs w:val="22"/>
          <w:lang w:val="en-GB"/>
        </w:rPr>
        <w:t>71(10):1063-74.</w:t>
      </w:r>
    </w:p>
    <w:p w14:paraId="4B2722CF" w14:textId="2220152E" w:rsidR="0079069A" w:rsidRDefault="0079069A" w:rsidP="00E534A8">
      <w:pPr>
        <w:pStyle w:val="reftext"/>
        <w:spacing w:after="0" w:line="259" w:lineRule="auto"/>
        <w:ind w:left="0" w:firstLine="0"/>
        <w:rPr>
          <w:rFonts w:asciiTheme="minorHAnsi" w:hAnsiTheme="minorHAnsi" w:cstheme="minorHAnsi"/>
          <w:color w:val="auto"/>
          <w:sz w:val="22"/>
          <w:szCs w:val="22"/>
          <w:lang w:val="en-GB"/>
        </w:rPr>
      </w:pPr>
    </w:p>
    <w:p w14:paraId="43D95BCE" w14:textId="79A7CCBA" w:rsidR="005C19C5" w:rsidRDefault="005C19C5" w:rsidP="00E534A8">
      <w:pPr>
        <w:pStyle w:val="reftext"/>
        <w:spacing w:after="0" w:line="259" w:lineRule="auto"/>
        <w:ind w:left="0" w:firstLine="0"/>
        <w:rPr>
          <w:rFonts w:asciiTheme="minorHAnsi" w:hAnsiTheme="minorHAnsi" w:cstheme="minorHAnsi"/>
          <w:color w:val="auto"/>
          <w:sz w:val="22"/>
          <w:szCs w:val="22"/>
          <w:lang w:val="en-GB"/>
        </w:rPr>
      </w:pPr>
      <w:r w:rsidRPr="005C19C5">
        <w:rPr>
          <w:rFonts w:asciiTheme="minorHAnsi" w:hAnsiTheme="minorHAnsi" w:cstheme="minorHAnsi"/>
          <w:color w:val="auto"/>
          <w:sz w:val="22"/>
          <w:szCs w:val="22"/>
          <w:lang w:val="en-GB"/>
        </w:rPr>
        <w:t>Mansoor AH, Kaul U</w:t>
      </w:r>
      <w:r>
        <w:rPr>
          <w:rFonts w:asciiTheme="minorHAnsi" w:hAnsiTheme="minorHAnsi" w:cstheme="minorHAnsi"/>
          <w:color w:val="auto"/>
          <w:sz w:val="22"/>
          <w:szCs w:val="22"/>
          <w:lang w:val="en-GB"/>
        </w:rPr>
        <w:t xml:space="preserve"> (2009)</w:t>
      </w:r>
      <w:r w:rsidRPr="005C19C5">
        <w:rPr>
          <w:rFonts w:asciiTheme="minorHAnsi" w:hAnsiTheme="minorHAnsi" w:cstheme="minorHAnsi"/>
          <w:color w:val="auto"/>
          <w:sz w:val="22"/>
          <w:szCs w:val="22"/>
          <w:lang w:val="en-GB"/>
        </w:rPr>
        <w:t xml:space="preserve"> Beta-blockers in cardiovascular medicine</w:t>
      </w:r>
      <w:r>
        <w:rPr>
          <w:rFonts w:asciiTheme="minorHAnsi" w:hAnsiTheme="minorHAnsi" w:cstheme="minorHAnsi"/>
          <w:color w:val="auto"/>
          <w:sz w:val="22"/>
          <w:szCs w:val="22"/>
          <w:lang w:val="en-GB"/>
        </w:rPr>
        <w:t>,</w:t>
      </w:r>
      <w:r w:rsidRPr="005C19C5">
        <w:rPr>
          <w:rFonts w:asciiTheme="minorHAnsi" w:hAnsiTheme="minorHAnsi" w:cstheme="minorHAnsi"/>
          <w:color w:val="auto"/>
          <w:sz w:val="22"/>
          <w:szCs w:val="22"/>
          <w:lang w:val="en-GB"/>
        </w:rPr>
        <w:t xml:space="preserve"> </w:t>
      </w:r>
      <w:r w:rsidRPr="005C19C5">
        <w:rPr>
          <w:rFonts w:asciiTheme="minorHAnsi" w:hAnsiTheme="minorHAnsi" w:cstheme="minorHAnsi"/>
          <w:i/>
          <w:iCs/>
          <w:color w:val="auto"/>
          <w:sz w:val="22"/>
          <w:szCs w:val="22"/>
          <w:lang w:val="en-GB"/>
        </w:rPr>
        <w:t>J</w:t>
      </w:r>
      <w:r w:rsidR="00F46A59">
        <w:rPr>
          <w:rFonts w:asciiTheme="minorHAnsi" w:hAnsiTheme="minorHAnsi" w:cstheme="minorHAnsi"/>
          <w:i/>
          <w:iCs/>
          <w:color w:val="auto"/>
          <w:sz w:val="22"/>
          <w:szCs w:val="22"/>
          <w:lang w:val="en-GB"/>
        </w:rPr>
        <w:t>ournal of the</w:t>
      </w:r>
      <w:r w:rsidRPr="005C19C5">
        <w:rPr>
          <w:rFonts w:asciiTheme="minorHAnsi" w:hAnsiTheme="minorHAnsi" w:cstheme="minorHAnsi"/>
          <w:i/>
          <w:iCs/>
          <w:color w:val="auto"/>
          <w:sz w:val="22"/>
          <w:szCs w:val="22"/>
          <w:lang w:val="en-GB"/>
        </w:rPr>
        <w:t xml:space="preserve"> Assoc</w:t>
      </w:r>
      <w:r w:rsidR="00F46A59">
        <w:rPr>
          <w:rFonts w:asciiTheme="minorHAnsi" w:hAnsiTheme="minorHAnsi" w:cstheme="minorHAnsi"/>
          <w:i/>
          <w:iCs/>
          <w:color w:val="auto"/>
          <w:sz w:val="22"/>
          <w:szCs w:val="22"/>
          <w:lang w:val="en-GB"/>
        </w:rPr>
        <w:t>iation of</w:t>
      </w:r>
      <w:r w:rsidRPr="005C19C5">
        <w:rPr>
          <w:rFonts w:asciiTheme="minorHAnsi" w:hAnsiTheme="minorHAnsi" w:cstheme="minorHAnsi"/>
          <w:i/>
          <w:iCs/>
          <w:color w:val="auto"/>
          <w:sz w:val="22"/>
          <w:szCs w:val="22"/>
          <w:lang w:val="en-GB"/>
        </w:rPr>
        <w:t xml:space="preserve"> Physicians</w:t>
      </w:r>
      <w:r w:rsidR="00F46A59">
        <w:rPr>
          <w:rFonts w:asciiTheme="minorHAnsi" w:hAnsiTheme="minorHAnsi" w:cstheme="minorHAnsi"/>
          <w:i/>
          <w:iCs/>
          <w:color w:val="auto"/>
          <w:sz w:val="22"/>
          <w:szCs w:val="22"/>
          <w:lang w:val="en-GB"/>
        </w:rPr>
        <w:t xml:space="preserve"> of</w:t>
      </w:r>
      <w:r w:rsidRPr="005C19C5">
        <w:rPr>
          <w:rFonts w:asciiTheme="minorHAnsi" w:hAnsiTheme="minorHAnsi" w:cstheme="minorHAnsi"/>
          <w:i/>
          <w:iCs/>
          <w:color w:val="auto"/>
          <w:sz w:val="22"/>
          <w:szCs w:val="22"/>
          <w:lang w:val="en-GB"/>
        </w:rPr>
        <w:t xml:space="preserve"> India</w:t>
      </w:r>
      <w:r>
        <w:rPr>
          <w:rFonts w:asciiTheme="minorHAnsi" w:hAnsiTheme="minorHAnsi" w:cstheme="minorHAnsi"/>
          <w:color w:val="auto"/>
          <w:sz w:val="22"/>
          <w:szCs w:val="22"/>
          <w:lang w:val="en-GB"/>
        </w:rPr>
        <w:t>,</w:t>
      </w:r>
      <w:r w:rsidRPr="005C19C5">
        <w:rPr>
          <w:rFonts w:asciiTheme="minorHAnsi" w:hAnsiTheme="minorHAnsi" w:cstheme="minorHAnsi"/>
          <w:color w:val="auto"/>
          <w:sz w:val="22"/>
          <w:szCs w:val="22"/>
          <w:lang w:val="en-GB"/>
        </w:rPr>
        <w:t xml:space="preserve"> 57:7-12.</w:t>
      </w:r>
    </w:p>
    <w:p w14:paraId="2C7D5AEE" w14:textId="77777777" w:rsidR="008B636C" w:rsidRDefault="008B636C" w:rsidP="00E534A8">
      <w:pPr>
        <w:pStyle w:val="reftext"/>
        <w:spacing w:after="0" w:line="259" w:lineRule="auto"/>
        <w:ind w:left="0" w:firstLine="0"/>
        <w:rPr>
          <w:rFonts w:asciiTheme="minorHAnsi" w:hAnsiTheme="minorHAnsi" w:cstheme="minorHAnsi"/>
          <w:color w:val="auto"/>
          <w:sz w:val="22"/>
          <w:szCs w:val="22"/>
          <w:lang w:val="en-GB"/>
        </w:rPr>
      </w:pPr>
    </w:p>
    <w:p w14:paraId="5806D3CD" w14:textId="77777777" w:rsidR="008B636C" w:rsidRDefault="00434633" w:rsidP="00E534A8">
      <w:pPr>
        <w:pStyle w:val="reftext"/>
        <w:spacing w:after="0" w:line="259" w:lineRule="auto"/>
        <w:rPr>
          <w:rFonts w:asciiTheme="minorHAnsi" w:hAnsiTheme="minorHAnsi" w:cstheme="minorHAnsi"/>
          <w:i/>
          <w:color w:val="auto"/>
          <w:sz w:val="22"/>
          <w:szCs w:val="22"/>
        </w:rPr>
      </w:pPr>
      <w:r w:rsidRPr="006B49CE">
        <w:rPr>
          <w:rFonts w:asciiTheme="minorHAnsi" w:hAnsiTheme="minorHAnsi" w:cstheme="minorHAnsi"/>
          <w:color w:val="auto"/>
          <w:sz w:val="22"/>
          <w:szCs w:val="22"/>
          <w:lang w:val="en-GB"/>
        </w:rPr>
        <w:t>National Institute for Health and Care Excellence (201</w:t>
      </w:r>
      <w:r>
        <w:rPr>
          <w:rFonts w:asciiTheme="minorHAnsi" w:hAnsiTheme="minorHAnsi" w:cstheme="minorHAnsi"/>
          <w:color w:val="auto"/>
          <w:sz w:val="22"/>
          <w:szCs w:val="22"/>
          <w:lang w:val="en-GB"/>
        </w:rPr>
        <w:t>3</w:t>
      </w:r>
      <w:r w:rsidRPr="006B49CE">
        <w:rPr>
          <w:rFonts w:asciiTheme="minorHAnsi" w:hAnsiTheme="minorHAnsi" w:cstheme="minorHAnsi"/>
          <w:color w:val="auto"/>
          <w:sz w:val="22"/>
          <w:szCs w:val="22"/>
          <w:lang w:val="en-GB"/>
        </w:rPr>
        <w:t xml:space="preserve">) </w:t>
      </w:r>
      <w:r w:rsidRPr="00434633">
        <w:rPr>
          <w:rFonts w:asciiTheme="minorHAnsi" w:hAnsiTheme="minorHAnsi" w:cstheme="minorHAnsi"/>
          <w:i/>
          <w:color w:val="auto"/>
          <w:sz w:val="22"/>
          <w:szCs w:val="22"/>
        </w:rPr>
        <w:t>Myocardial infarction: cardiac</w:t>
      </w:r>
    </w:p>
    <w:p w14:paraId="7061F032" w14:textId="77777777" w:rsidR="008B636C" w:rsidRDefault="00434633" w:rsidP="00E534A8">
      <w:pPr>
        <w:pStyle w:val="reftext"/>
        <w:spacing w:after="0" w:line="259" w:lineRule="auto"/>
        <w:rPr>
          <w:rFonts w:asciiTheme="minorHAnsi" w:hAnsiTheme="minorHAnsi" w:cstheme="minorHAnsi"/>
          <w:i/>
          <w:color w:val="auto"/>
          <w:sz w:val="22"/>
          <w:szCs w:val="22"/>
        </w:rPr>
      </w:pPr>
      <w:r w:rsidRPr="00434633">
        <w:rPr>
          <w:rFonts w:asciiTheme="minorHAnsi" w:hAnsiTheme="minorHAnsi" w:cstheme="minorHAnsi"/>
          <w:i/>
          <w:color w:val="auto"/>
          <w:sz w:val="22"/>
          <w:szCs w:val="22"/>
        </w:rPr>
        <w:t>rehabilitation and prevention of further cardiovascular disease</w:t>
      </w:r>
      <w:r>
        <w:rPr>
          <w:rFonts w:asciiTheme="minorHAnsi" w:hAnsiTheme="minorHAnsi" w:cstheme="minorHAnsi"/>
          <w:i/>
          <w:color w:val="auto"/>
          <w:sz w:val="22"/>
          <w:szCs w:val="22"/>
        </w:rPr>
        <w:t xml:space="preserve">. NICE clinical guideline CG172. </w:t>
      </w:r>
    </w:p>
    <w:p w14:paraId="5F782681" w14:textId="438246B1" w:rsidR="00434633" w:rsidRDefault="00434633" w:rsidP="00E534A8">
      <w:pPr>
        <w:pStyle w:val="reftext"/>
        <w:spacing w:after="0" w:line="259" w:lineRule="auto"/>
        <w:rPr>
          <w:rStyle w:val="Hyperlink"/>
          <w:rFonts w:asciiTheme="minorHAnsi" w:hAnsiTheme="minorHAnsi" w:cstheme="minorHAnsi"/>
          <w:sz w:val="22"/>
          <w:szCs w:val="22"/>
          <w:lang w:val="en-GB"/>
        </w:rPr>
      </w:pPr>
      <w:r w:rsidRPr="008B636C">
        <w:rPr>
          <w:rFonts w:asciiTheme="minorHAnsi" w:hAnsiTheme="minorHAnsi" w:cstheme="minorHAnsi"/>
          <w:color w:val="auto"/>
          <w:sz w:val="22"/>
          <w:szCs w:val="22"/>
        </w:rPr>
        <w:t xml:space="preserve">Available at </w:t>
      </w:r>
      <w:hyperlink r:id="rId13" w:history="1">
        <w:r w:rsidRPr="008B636C">
          <w:rPr>
            <w:rStyle w:val="Hyperlink"/>
            <w:rFonts w:asciiTheme="minorHAnsi" w:hAnsiTheme="minorHAnsi" w:cstheme="minorHAnsi"/>
            <w:sz w:val="22"/>
            <w:szCs w:val="22"/>
            <w:lang w:val="en-GB"/>
          </w:rPr>
          <w:t>https://www.nice.org.uk/guidance/cg172</w:t>
        </w:r>
      </w:hyperlink>
    </w:p>
    <w:p w14:paraId="77DED8DA" w14:textId="77777777" w:rsidR="00A110C5" w:rsidRPr="008B636C" w:rsidRDefault="00A110C5" w:rsidP="00E534A8">
      <w:pPr>
        <w:pStyle w:val="reftext"/>
        <w:spacing w:after="0" w:line="259" w:lineRule="auto"/>
        <w:rPr>
          <w:rFonts w:asciiTheme="minorHAnsi" w:hAnsiTheme="minorHAnsi" w:cstheme="minorHAnsi"/>
          <w:color w:val="auto"/>
          <w:sz w:val="22"/>
          <w:szCs w:val="22"/>
        </w:rPr>
      </w:pPr>
    </w:p>
    <w:p w14:paraId="08644B59" w14:textId="346B5CA4" w:rsidR="006B49CE" w:rsidRDefault="006B49CE" w:rsidP="00E534A8">
      <w:pPr>
        <w:pStyle w:val="reftext"/>
        <w:spacing w:after="0" w:line="259" w:lineRule="auto"/>
        <w:ind w:left="0" w:firstLine="0"/>
        <w:rPr>
          <w:rFonts w:asciiTheme="minorHAnsi" w:hAnsiTheme="minorHAnsi" w:cstheme="minorHAnsi"/>
          <w:color w:val="auto"/>
          <w:sz w:val="22"/>
          <w:szCs w:val="22"/>
          <w:lang w:val="en-GB"/>
        </w:rPr>
      </w:pPr>
      <w:r w:rsidRPr="006B49CE">
        <w:rPr>
          <w:rFonts w:asciiTheme="minorHAnsi" w:hAnsiTheme="minorHAnsi" w:cstheme="minorHAnsi"/>
          <w:color w:val="auto"/>
          <w:sz w:val="22"/>
          <w:szCs w:val="22"/>
          <w:lang w:val="en-GB"/>
        </w:rPr>
        <w:t xml:space="preserve">National Institute for Health and Care Excellence (2014) </w:t>
      </w:r>
      <w:r w:rsidRPr="006B49CE">
        <w:rPr>
          <w:rFonts w:asciiTheme="minorHAnsi" w:hAnsiTheme="minorHAnsi" w:cstheme="minorHAnsi"/>
          <w:i/>
          <w:color w:val="auto"/>
          <w:sz w:val="22"/>
          <w:szCs w:val="22"/>
          <w:lang w:val="en-GB"/>
        </w:rPr>
        <w:t>Atrial fibrillation: the management of atrial fibrillation.  NICE clinical guideline 180.</w:t>
      </w:r>
      <w:r w:rsidRPr="006B49CE">
        <w:rPr>
          <w:rFonts w:asciiTheme="minorHAnsi" w:hAnsiTheme="minorHAnsi" w:cstheme="minorHAnsi"/>
          <w:color w:val="auto"/>
          <w:sz w:val="22"/>
          <w:szCs w:val="22"/>
          <w:lang w:val="en-GB"/>
        </w:rPr>
        <w:t xml:space="preserve">  Available at </w:t>
      </w:r>
      <w:hyperlink r:id="rId14" w:history="1">
        <w:r w:rsidR="008B636C" w:rsidRPr="009169F0">
          <w:rPr>
            <w:rStyle w:val="Hyperlink"/>
            <w:rFonts w:asciiTheme="minorHAnsi" w:hAnsiTheme="minorHAnsi" w:cstheme="minorHAnsi"/>
            <w:sz w:val="22"/>
            <w:szCs w:val="22"/>
            <w:lang w:val="en-GB"/>
          </w:rPr>
          <w:t>https://www.nice.org.uk/guidance/cg180</w:t>
        </w:r>
      </w:hyperlink>
    </w:p>
    <w:p w14:paraId="5E1A157F" w14:textId="29B7993B" w:rsidR="00434633" w:rsidRDefault="00434633" w:rsidP="00E534A8">
      <w:pPr>
        <w:pStyle w:val="reftext"/>
        <w:spacing w:after="0" w:line="259" w:lineRule="auto"/>
        <w:ind w:left="0" w:firstLine="0"/>
        <w:rPr>
          <w:rFonts w:asciiTheme="minorHAnsi" w:hAnsiTheme="minorHAnsi" w:cstheme="minorHAnsi"/>
          <w:color w:val="auto"/>
          <w:sz w:val="22"/>
          <w:szCs w:val="22"/>
          <w:lang w:val="en-GB"/>
        </w:rPr>
      </w:pPr>
    </w:p>
    <w:p w14:paraId="037E3C16" w14:textId="5E85AA1E" w:rsidR="00434633" w:rsidRDefault="00434633" w:rsidP="00E534A8">
      <w:pPr>
        <w:pStyle w:val="reftext"/>
        <w:spacing w:after="0" w:line="259" w:lineRule="auto"/>
        <w:ind w:left="0" w:firstLine="0"/>
        <w:rPr>
          <w:rStyle w:val="Hyperlink"/>
          <w:rFonts w:asciiTheme="minorHAnsi" w:hAnsiTheme="minorHAnsi" w:cstheme="minorHAnsi"/>
          <w:sz w:val="22"/>
          <w:szCs w:val="22"/>
          <w:lang w:val="en-GB"/>
        </w:rPr>
      </w:pPr>
      <w:r w:rsidRPr="006B49CE">
        <w:rPr>
          <w:rFonts w:asciiTheme="minorHAnsi" w:hAnsiTheme="minorHAnsi" w:cstheme="minorHAnsi"/>
          <w:color w:val="auto"/>
          <w:sz w:val="22"/>
          <w:szCs w:val="22"/>
          <w:lang w:val="en-GB"/>
        </w:rPr>
        <w:t>National Institute for Health and Care Excellence (201</w:t>
      </w:r>
      <w:r>
        <w:rPr>
          <w:rFonts w:asciiTheme="minorHAnsi" w:hAnsiTheme="minorHAnsi" w:cstheme="minorHAnsi"/>
          <w:color w:val="auto"/>
          <w:sz w:val="22"/>
          <w:szCs w:val="22"/>
          <w:lang w:val="en-GB"/>
        </w:rPr>
        <w:t xml:space="preserve">8) </w:t>
      </w:r>
      <w:r w:rsidRPr="00434633">
        <w:rPr>
          <w:rFonts w:asciiTheme="minorHAnsi" w:hAnsiTheme="minorHAnsi" w:cstheme="minorHAnsi"/>
          <w:i/>
          <w:iCs/>
          <w:color w:val="auto"/>
          <w:sz w:val="22"/>
          <w:szCs w:val="22"/>
          <w:lang w:val="en-GB"/>
        </w:rPr>
        <w:t>Chronic heart failure in adults: diagnosis and management. NICE guideline NG106</w:t>
      </w:r>
      <w:r>
        <w:rPr>
          <w:rFonts w:asciiTheme="minorHAnsi" w:hAnsiTheme="minorHAnsi" w:cstheme="minorHAnsi"/>
          <w:color w:val="auto"/>
          <w:sz w:val="22"/>
          <w:szCs w:val="22"/>
          <w:lang w:val="en-GB"/>
        </w:rPr>
        <w:t xml:space="preserve">. Available at </w:t>
      </w:r>
      <w:hyperlink r:id="rId15" w:history="1">
        <w:r w:rsidRPr="00FD6AF4">
          <w:rPr>
            <w:rStyle w:val="Hyperlink"/>
            <w:rFonts w:asciiTheme="minorHAnsi" w:hAnsiTheme="minorHAnsi" w:cstheme="minorHAnsi"/>
            <w:sz w:val="22"/>
            <w:szCs w:val="22"/>
            <w:lang w:val="en-GB"/>
          </w:rPr>
          <w:t>https://www.nice.org.uk/guidance/ng106</w:t>
        </w:r>
      </w:hyperlink>
    </w:p>
    <w:p w14:paraId="48DC3377" w14:textId="42AF2BA8" w:rsidR="00923EBF" w:rsidRDefault="00923EBF" w:rsidP="00E534A8">
      <w:pPr>
        <w:pStyle w:val="reftext"/>
        <w:spacing w:after="0" w:line="259" w:lineRule="auto"/>
        <w:ind w:left="0" w:firstLine="0"/>
        <w:rPr>
          <w:rStyle w:val="Hyperlink"/>
          <w:rFonts w:asciiTheme="minorHAnsi" w:hAnsiTheme="minorHAnsi" w:cstheme="minorHAnsi"/>
          <w:sz w:val="22"/>
          <w:szCs w:val="22"/>
          <w:lang w:val="en-GB"/>
        </w:rPr>
      </w:pPr>
    </w:p>
    <w:p w14:paraId="552A9430" w14:textId="513001A7" w:rsidR="00923EBF" w:rsidRDefault="00923EBF" w:rsidP="00E534A8">
      <w:pPr>
        <w:pStyle w:val="reftext"/>
        <w:spacing w:after="0" w:line="259" w:lineRule="auto"/>
        <w:ind w:left="0" w:firstLine="0"/>
        <w:rPr>
          <w:rFonts w:asciiTheme="minorHAnsi" w:hAnsiTheme="minorHAnsi" w:cstheme="minorHAnsi"/>
          <w:color w:val="auto"/>
          <w:sz w:val="22"/>
          <w:szCs w:val="22"/>
          <w:lang w:val="en-GB"/>
        </w:rPr>
      </w:pPr>
      <w:r w:rsidRPr="00923EBF">
        <w:rPr>
          <w:rFonts w:asciiTheme="minorHAnsi" w:hAnsiTheme="minorHAnsi" w:cstheme="minorHAnsi"/>
          <w:color w:val="auto"/>
          <w:sz w:val="22"/>
          <w:szCs w:val="22"/>
          <w:lang w:val="en-GB"/>
        </w:rPr>
        <w:t>Padial LR, Baron-Esquivias G, Madrid AH, Martín DM, Pallares-Carratala V, de la Sierra A</w:t>
      </w:r>
      <w:r>
        <w:rPr>
          <w:rFonts w:asciiTheme="minorHAnsi" w:hAnsiTheme="minorHAnsi" w:cstheme="minorHAnsi"/>
          <w:color w:val="auto"/>
          <w:sz w:val="22"/>
          <w:szCs w:val="22"/>
          <w:lang w:val="en-GB"/>
        </w:rPr>
        <w:t xml:space="preserve"> (2016)</w:t>
      </w:r>
      <w:r w:rsidRPr="00923EBF">
        <w:rPr>
          <w:rFonts w:asciiTheme="minorHAnsi" w:hAnsiTheme="minorHAnsi" w:cstheme="minorHAnsi"/>
          <w:color w:val="auto"/>
          <w:sz w:val="22"/>
          <w:szCs w:val="22"/>
          <w:lang w:val="en-GB"/>
        </w:rPr>
        <w:t xml:space="preserve"> Clinical experience with diltiazem in the treatment of cardiovascular diseases</w:t>
      </w:r>
      <w:r>
        <w:rPr>
          <w:rFonts w:asciiTheme="minorHAnsi" w:hAnsiTheme="minorHAnsi" w:cstheme="minorHAnsi"/>
          <w:color w:val="auto"/>
          <w:sz w:val="22"/>
          <w:szCs w:val="22"/>
          <w:lang w:val="en-GB"/>
        </w:rPr>
        <w:t xml:space="preserve">, </w:t>
      </w:r>
      <w:r w:rsidRPr="00923EBF">
        <w:rPr>
          <w:rFonts w:asciiTheme="minorHAnsi" w:hAnsiTheme="minorHAnsi" w:cstheme="minorHAnsi"/>
          <w:i/>
          <w:iCs/>
          <w:color w:val="auto"/>
          <w:sz w:val="22"/>
          <w:szCs w:val="22"/>
          <w:lang w:val="en-GB"/>
        </w:rPr>
        <w:t>Cardiology and Therapy</w:t>
      </w:r>
      <w:r>
        <w:rPr>
          <w:rFonts w:asciiTheme="minorHAnsi" w:hAnsiTheme="minorHAnsi" w:cstheme="minorHAnsi"/>
          <w:color w:val="auto"/>
          <w:sz w:val="22"/>
          <w:szCs w:val="22"/>
          <w:lang w:val="en-GB"/>
        </w:rPr>
        <w:t xml:space="preserve">, </w:t>
      </w:r>
      <w:r w:rsidRPr="00923EBF">
        <w:rPr>
          <w:rFonts w:asciiTheme="minorHAnsi" w:hAnsiTheme="minorHAnsi" w:cstheme="minorHAnsi"/>
          <w:color w:val="auto"/>
          <w:sz w:val="22"/>
          <w:szCs w:val="22"/>
          <w:lang w:val="en-GB"/>
        </w:rPr>
        <w:t>5(1):75-82.</w:t>
      </w:r>
    </w:p>
    <w:p w14:paraId="2BD537FB" w14:textId="2DD16702" w:rsidR="00C77625" w:rsidRDefault="00C77625" w:rsidP="00E534A8">
      <w:pPr>
        <w:pStyle w:val="reftext"/>
        <w:spacing w:after="0" w:line="259" w:lineRule="auto"/>
        <w:ind w:left="0" w:firstLine="0"/>
        <w:rPr>
          <w:rFonts w:asciiTheme="minorHAnsi" w:hAnsiTheme="minorHAnsi" w:cstheme="minorHAnsi"/>
          <w:color w:val="auto"/>
          <w:sz w:val="22"/>
          <w:szCs w:val="22"/>
        </w:rPr>
      </w:pPr>
    </w:p>
    <w:p w14:paraId="4E80B3A8" w14:textId="77777777" w:rsidR="00C77625" w:rsidRDefault="00C77625" w:rsidP="00E534A8">
      <w:pPr>
        <w:spacing w:after="0"/>
      </w:pPr>
      <w:r>
        <w:t xml:space="preserve">Page RL, Joglar JA, Halperin JL &amp; Levine GN (2015) </w:t>
      </w:r>
      <w:r w:rsidRPr="004F607E">
        <w:t>2015 ACC/AHA/HRS Guideline for the Management of Adult Patients With Supraventricular Tachycardia</w:t>
      </w:r>
      <w:r>
        <w:t xml:space="preserve">, </w:t>
      </w:r>
      <w:r w:rsidRPr="004F607E">
        <w:rPr>
          <w:i/>
        </w:rPr>
        <w:t>Circulation</w:t>
      </w:r>
      <w:r>
        <w:t xml:space="preserve">, </w:t>
      </w:r>
      <w:hyperlink r:id="rId16" w:history="1">
        <w:r w:rsidRPr="00813FBC">
          <w:rPr>
            <w:rStyle w:val="Hyperlink"/>
          </w:rPr>
          <w:t>http://dx.doi.org/10.1016/j.hrthm.2015.09.019</w:t>
        </w:r>
      </w:hyperlink>
      <w:r>
        <w:t xml:space="preserve"> </w:t>
      </w:r>
    </w:p>
    <w:p w14:paraId="7DA7A5D3" w14:textId="23918451" w:rsidR="00614167" w:rsidRDefault="00614167" w:rsidP="00E534A8">
      <w:pPr>
        <w:pStyle w:val="reftext"/>
        <w:spacing w:after="0" w:line="259" w:lineRule="auto"/>
        <w:ind w:left="0" w:firstLine="0"/>
        <w:rPr>
          <w:rFonts w:asciiTheme="minorHAnsi" w:hAnsiTheme="minorHAnsi" w:cstheme="minorHAnsi"/>
          <w:color w:val="auto"/>
          <w:sz w:val="22"/>
          <w:szCs w:val="22"/>
        </w:rPr>
      </w:pPr>
    </w:p>
    <w:p w14:paraId="208DEA39" w14:textId="0FEB08E8" w:rsidR="00614167" w:rsidRPr="00113DCB" w:rsidRDefault="00614167" w:rsidP="00E534A8">
      <w:pPr>
        <w:pStyle w:val="reftext"/>
        <w:spacing w:after="0" w:line="259" w:lineRule="auto"/>
        <w:ind w:left="0" w:firstLine="0"/>
        <w:rPr>
          <w:rFonts w:asciiTheme="minorHAnsi" w:hAnsiTheme="minorHAnsi" w:cstheme="minorHAnsi"/>
          <w:color w:val="auto"/>
          <w:sz w:val="22"/>
          <w:szCs w:val="22"/>
        </w:rPr>
      </w:pPr>
      <w:r w:rsidRPr="00614167">
        <w:rPr>
          <w:rFonts w:asciiTheme="minorHAnsi" w:hAnsiTheme="minorHAnsi" w:cstheme="minorHAnsi"/>
          <w:color w:val="auto"/>
          <w:sz w:val="22"/>
          <w:szCs w:val="22"/>
          <w:lang w:val="en-GB"/>
        </w:rPr>
        <w:t>Ponikowski P, Voors AA, Anker SD, Bueno H, Cleland JG, Coats AJ, Falk V, González‐Juanatey JR, Harjola VP, Jankowska EA, Jessup M</w:t>
      </w:r>
      <w:r>
        <w:rPr>
          <w:rFonts w:asciiTheme="minorHAnsi" w:hAnsiTheme="minorHAnsi" w:cstheme="minorHAnsi"/>
          <w:color w:val="auto"/>
          <w:sz w:val="22"/>
          <w:szCs w:val="22"/>
          <w:lang w:val="en-GB"/>
        </w:rPr>
        <w:t xml:space="preserve"> (2016)</w:t>
      </w:r>
      <w:r w:rsidRPr="00614167">
        <w:rPr>
          <w:rFonts w:asciiTheme="minorHAnsi" w:hAnsiTheme="minorHAnsi" w:cstheme="minorHAnsi"/>
          <w:color w:val="auto"/>
          <w:sz w:val="22"/>
          <w:szCs w:val="22"/>
          <w:lang w:val="en-GB"/>
        </w:rPr>
        <w:t xml:space="preserve"> 2016 ESC Guidelines for the diagnosis and treatment of acute and chronic heart failure</w:t>
      </w:r>
      <w:r>
        <w:rPr>
          <w:rFonts w:asciiTheme="minorHAnsi" w:hAnsiTheme="minorHAnsi" w:cstheme="minorHAnsi"/>
          <w:color w:val="auto"/>
          <w:sz w:val="22"/>
          <w:szCs w:val="22"/>
          <w:lang w:val="en-GB"/>
        </w:rPr>
        <w:t xml:space="preserve">, </w:t>
      </w:r>
      <w:r w:rsidRPr="00F46A59">
        <w:rPr>
          <w:rFonts w:asciiTheme="minorHAnsi" w:hAnsiTheme="minorHAnsi" w:cstheme="minorHAnsi"/>
          <w:i/>
          <w:iCs/>
          <w:color w:val="auto"/>
          <w:sz w:val="22"/>
          <w:szCs w:val="22"/>
          <w:lang w:val="en-GB"/>
        </w:rPr>
        <w:t>European Journal of Heart Failure,</w:t>
      </w:r>
      <w:r>
        <w:rPr>
          <w:rFonts w:asciiTheme="minorHAnsi" w:hAnsiTheme="minorHAnsi" w:cstheme="minorHAnsi"/>
          <w:color w:val="auto"/>
          <w:sz w:val="22"/>
          <w:szCs w:val="22"/>
          <w:lang w:val="en-GB"/>
        </w:rPr>
        <w:t xml:space="preserve"> </w:t>
      </w:r>
      <w:r w:rsidRPr="00614167">
        <w:rPr>
          <w:rFonts w:asciiTheme="minorHAnsi" w:hAnsiTheme="minorHAnsi" w:cstheme="minorHAnsi"/>
          <w:color w:val="auto"/>
          <w:sz w:val="22"/>
          <w:szCs w:val="22"/>
          <w:lang w:val="en-GB"/>
        </w:rPr>
        <w:t>18(8):891-975.</w:t>
      </w:r>
    </w:p>
    <w:p w14:paraId="35832889" w14:textId="71A059B9" w:rsidR="00067F6D" w:rsidRDefault="00067F6D" w:rsidP="00E534A8">
      <w:pPr>
        <w:pStyle w:val="reftext"/>
        <w:spacing w:after="0" w:line="259" w:lineRule="auto"/>
        <w:ind w:left="0" w:firstLine="0"/>
        <w:rPr>
          <w:rFonts w:asciiTheme="minorHAnsi" w:hAnsiTheme="minorHAnsi" w:cstheme="minorHAnsi"/>
          <w:color w:val="auto"/>
          <w:sz w:val="22"/>
          <w:szCs w:val="22"/>
          <w:lang w:val="en-GB"/>
        </w:rPr>
      </w:pPr>
    </w:p>
    <w:p w14:paraId="58159BB4" w14:textId="51FD2CA9" w:rsidR="005D57E6" w:rsidRDefault="005D57E6" w:rsidP="00E534A8">
      <w:pPr>
        <w:pStyle w:val="reftext"/>
        <w:spacing w:after="0"/>
        <w:rPr>
          <w:rFonts w:asciiTheme="minorHAnsi" w:hAnsiTheme="minorHAnsi" w:cstheme="minorHAnsi"/>
          <w:color w:val="auto"/>
          <w:sz w:val="22"/>
          <w:szCs w:val="22"/>
          <w:lang w:val="en-GB"/>
        </w:rPr>
      </w:pPr>
      <w:bookmarkStart w:id="1" w:name="_GoBack"/>
      <w:bookmarkEnd w:id="1"/>
      <w:r>
        <w:rPr>
          <w:rFonts w:asciiTheme="minorHAnsi" w:hAnsiTheme="minorHAnsi" w:cstheme="minorHAnsi"/>
          <w:color w:val="auto"/>
          <w:sz w:val="22"/>
          <w:szCs w:val="22"/>
          <w:lang w:val="en-GB"/>
        </w:rPr>
        <w:t>Priori SG,</w:t>
      </w:r>
      <w:r w:rsidRPr="005D57E6">
        <w:rPr>
          <w:rFonts w:asciiTheme="minorHAnsi" w:hAnsiTheme="minorHAnsi" w:cstheme="minorHAnsi"/>
          <w:color w:val="auto"/>
          <w:sz w:val="22"/>
          <w:szCs w:val="22"/>
          <w:lang w:val="en-GB"/>
        </w:rPr>
        <w:t xml:space="preserve"> Blomstrom-Lundqvist</w:t>
      </w:r>
      <w:r>
        <w:rPr>
          <w:rFonts w:asciiTheme="minorHAnsi" w:hAnsiTheme="minorHAnsi" w:cstheme="minorHAnsi"/>
          <w:color w:val="auto"/>
          <w:sz w:val="22"/>
          <w:szCs w:val="22"/>
          <w:lang w:val="en-GB"/>
        </w:rPr>
        <w:t xml:space="preserve"> C, </w:t>
      </w:r>
      <w:r w:rsidRPr="005D57E6">
        <w:rPr>
          <w:rFonts w:asciiTheme="minorHAnsi" w:hAnsiTheme="minorHAnsi" w:cstheme="minorHAnsi"/>
          <w:color w:val="auto"/>
          <w:sz w:val="22"/>
          <w:szCs w:val="22"/>
          <w:lang w:val="en-GB"/>
        </w:rPr>
        <w:t>Mazzanti</w:t>
      </w:r>
      <w:r>
        <w:rPr>
          <w:rFonts w:asciiTheme="minorHAnsi" w:hAnsiTheme="minorHAnsi" w:cstheme="minorHAnsi"/>
          <w:color w:val="auto"/>
          <w:sz w:val="22"/>
          <w:szCs w:val="22"/>
          <w:lang w:val="en-GB"/>
        </w:rPr>
        <w:t xml:space="preserve"> A, </w:t>
      </w:r>
      <w:r w:rsidRPr="005D57E6">
        <w:rPr>
          <w:rFonts w:asciiTheme="minorHAnsi" w:hAnsiTheme="minorHAnsi" w:cstheme="minorHAnsi"/>
          <w:color w:val="auto"/>
          <w:sz w:val="22"/>
          <w:szCs w:val="22"/>
          <w:lang w:val="en-GB"/>
        </w:rPr>
        <w:t>Bloma</w:t>
      </w:r>
      <w:r>
        <w:rPr>
          <w:rFonts w:asciiTheme="minorHAnsi" w:hAnsiTheme="minorHAnsi" w:cstheme="minorHAnsi"/>
          <w:color w:val="auto"/>
          <w:sz w:val="22"/>
          <w:szCs w:val="22"/>
          <w:lang w:val="en-GB"/>
        </w:rPr>
        <w:t xml:space="preserve"> N, </w:t>
      </w:r>
      <w:r w:rsidRPr="005D57E6">
        <w:rPr>
          <w:rFonts w:asciiTheme="minorHAnsi" w:hAnsiTheme="minorHAnsi" w:cstheme="minorHAnsi"/>
          <w:color w:val="auto"/>
          <w:sz w:val="22"/>
          <w:szCs w:val="22"/>
          <w:lang w:val="en-GB"/>
        </w:rPr>
        <w:t>Borggrefe</w:t>
      </w:r>
      <w:r>
        <w:rPr>
          <w:rFonts w:asciiTheme="minorHAnsi" w:hAnsiTheme="minorHAnsi" w:cstheme="minorHAnsi"/>
          <w:color w:val="auto"/>
          <w:sz w:val="22"/>
          <w:szCs w:val="22"/>
          <w:lang w:val="en-GB"/>
        </w:rPr>
        <w:t xml:space="preserve"> M, </w:t>
      </w:r>
      <w:r w:rsidRPr="005D57E6">
        <w:rPr>
          <w:rFonts w:asciiTheme="minorHAnsi" w:hAnsiTheme="minorHAnsi" w:cstheme="minorHAnsi"/>
          <w:color w:val="auto"/>
          <w:sz w:val="22"/>
          <w:szCs w:val="22"/>
          <w:lang w:val="en-GB"/>
        </w:rPr>
        <w:t xml:space="preserve">Camm </w:t>
      </w:r>
      <w:r>
        <w:rPr>
          <w:rFonts w:asciiTheme="minorHAnsi" w:hAnsiTheme="minorHAnsi" w:cstheme="minorHAnsi"/>
          <w:color w:val="auto"/>
          <w:sz w:val="22"/>
          <w:szCs w:val="22"/>
          <w:lang w:val="en-GB"/>
        </w:rPr>
        <w:t xml:space="preserve">J, </w:t>
      </w:r>
      <w:r w:rsidRPr="005D57E6">
        <w:rPr>
          <w:rFonts w:asciiTheme="minorHAnsi" w:hAnsiTheme="minorHAnsi" w:cstheme="minorHAnsi"/>
          <w:color w:val="auto"/>
          <w:sz w:val="22"/>
          <w:szCs w:val="22"/>
          <w:lang w:val="en-GB"/>
        </w:rPr>
        <w:t>Elliott</w:t>
      </w:r>
      <w:r>
        <w:rPr>
          <w:rFonts w:asciiTheme="minorHAnsi" w:hAnsiTheme="minorHAnsi" w:cstheme="minorHAnsi"/>
          <w:color w:val="auto"/>
          <w:sz w:val="22"/>
          <w:szCs w:val="22"/>
          <w:lang w:val="en-GB"/>
        </w:rPr>
        <w:t xml:space="preserve"> PM, </w:t>
      </w:r>
      <w:r w:rsidRPr="005D57E6">
        <w:rPr>
          <w:rFonts w:asciiTheme="minorHAnsi" w:hAnsiTheme="minorHAnsi" w:cstheme="minorHAnsi"/>
          <w:color w:val="auto"/>
          <w:sz w:val="22"/>
          <w:szCs w:val="22"/>
          <w:lang w:val="en-GB"/>
        </w:rPr>
        <w:t>Fitzsimons</w:t>
      </w:r>
      <w:r>
        <w:rPr>
          <w:rFonts w:asciiTheme="minorHAnsi" w:hAnsiTheme="minorHAnsi" w:cstheme="minorHAnsi"/>
          <w:color w:val="auto"/>
          <w:sz w:val="22"/>
          <w:szCs w:val="22"/>
          <w:lang w:val="en-GB"/>
        </w:rPr>
        <w:t xml:space="preserve"> </w:t>
      </w:r>
    </w:p>
    <w:p w14:paraId="09A48F05" w14:textId="77777777" w:rsidR="005D57E6" w:rsidRDefault="005D57E6" w:rsidP="00E534A8">
      <w:pPr>
        <w:pStyle w:val="reftext"/>
        <w:spacing w:after="0"/>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 xml:space="preserve">D, </w:t>
      </w:r>
      <w:r w:rsidRPr="005D57E6">
        <w:rPr>
          <w:rFonts w:asciiTheme="minorHAnsi" w:hAnsiTheme="minorHAnsi" w:cstheme="minorHAnsi"/>
          <w:color w:val="auto"/>
          <w:sz w:val="22"/>
          <w:szCs w:val="22"/>
          <w:lang w:val="en-GB"/>
        </w:rPr>
        <w:t xml:space="preserve"> Hatala</w:t>
      </w:r>
      <w:r>
        <w:rPr>
          <w:rFonts w:asciiTheme="minorHAnsi" w:hAnsiTheme="minorHAnsi" w:cstheme="minorHAnsi"/>
          <w:color w:val="auto"/>
          <w:sz w:val="22"/>
          <w:szCs w:val="22"/>
          <w:lang w:val="en-GB"/>
        </w:rPr>
        <w:t xml:space="preserve"> R, </w:t>
      </w:r>
      <w:r w:rsidRPr="005D57E6">
        <w:rPr>
          <w:rFonts w:asciiTheme="minorHAnsi" w:hAnsiTheme="minorHAnsi" w:cstheme="minorHAnsi"/>
          <w:color w:val="auto"/>
          <w:sz w:val="22"/>
          <w:szCs w:val="22"/>
          <w:lang w:val="en-GB"/>
        </w:rPr>
        <w:t>Hindricks</w:t>
      </w:r>
      <w:r>
        <w:rPr>
          <w:rFonts w:asciiTheme="minorHAnsi" w:hAnsiTheme="minorHAnsi" w:cstheme="minorHAnsi"/>
          <w:color w:val="auto"/>
          <w:sz w:val="22"/>
          <w:szCs w:val="22"/>
          <w:lang w:val="en-GB"/>
        </w:rPr>
        <w:t xml:space="preserve"> G, </w:t>
      </w:r>
      <w:r w:rsidRPr="005D57E6">
        <w:rPr>
          <w:rFonts w:asciiTheme="minorHAnsi" w:hAnsiTheme="minorHAnsi" w:cstheme="minorHAnsi"/>
          <w:color w:val="auto"/>
          <w:sz w:val="22"/>
          <w:szCs w:val="22"/>
          <w:lang w:val="en-GB"/>
        </w:rPr>
        <w:t>Kirchhof</w:t>
      </w:r>
      <w:r>
        <w:rPr>
          <w:rFonts w:asciiTheme="minorHAnsi" w:hAnsiTheme="minorHAnsi" w:cstheme="minorHAnsi"/>
          <w:color w:val="auto"/>
          <w:sz w:val="22"/>
          <w:szCs w:val="22"/>
          <w:lang w:val="en-GB"/>
        </w:rPr>
        <w:t xml:space="preserve"> P, </w:t>
      </w:r>
      <w:r w:rsidRPr="005D57E6">
        <w:rPr>
          <w:rFonts w:asciiTheme="minorHAnsi" w:hAnsiTheme="minorHAnsi" w:cstheme="minorHAnsi"/>
          <w:color w:val="auto"/>
          <w:sz w:val="22"/>
          <w:szCs w:val="22"/>
          <w:lang w:val="en-GB"/>
        </w:rPr>
        <w:t>Kjeldsen</w:t>
      </w:r>
      <w:r>
        <w:rPr>
          <w:rFonts w:asciiTheme="minorHAnsi" w:hAnsiTheme="minorHAnsi" w:cstheme="minorHAnsi"/>
          <w:color w:val="auto"/>
          <w:sz w:val="22"/>
          <w:szCs w:val="22"/>
          <w:lang w:val="en-GB"/>
        </w:rPr>
        <w:t xml:space="preserve"> K, </w:t>
      </w:r>
      <w:r w:rsidRPr="005D57E6">
        <w:rPr>
          <w:rFonts w:asciiTheme="minorHAnsi" w:hAnsiTheme="minorHAnsi" w:cstheme="minorHAnsi"/>
          <w:color w:val="auto"/>
          <w:sz w:val="22"/>
          <w:szCs w:val="22"/>
          <w:lang w:val="en-GB"/>
        </w:rPr>
        <w:t xml:space="preserve">Kuck </w:t>
      </w:r>
      <w:r>
        <w:rPr>
          <w:rFonts w:asciiTheme="minorHAnsi" w:hAnsiTheme="minorHAnsi" w:cstheme="minorHAnsi"/>
          <w:color w:val="auto"/>
          <w:sz w:val="22"/>
          <w:szCs w:val="22"/>
          <w:lang w:val="en-GB"/>
        </w:rPr>
        <w:t xml:space="preserve">KH, </w:t>
      </w:r>
      <w:r w:rsidRPr="005D57E6">
        <w:rPr>
          <w:rFonts w:asciiTheme="minorHAnsi" w:hAnsiTheme="minorHAnsi" w:cstheme="minorHAnsi"/>
          <w:color w:val="auto"/>
          <w:sz w:val="22"/>
          <w:szCs w:val="22"/>
          <w:lang w:val="en-GB"/>
        </w:rPr>
        <w:t>Hernandez-Madrid</w:t>
      </w:r>
      <w:r>
        <w:rPr>
          <w:rFonts w:asciiTheme="minorHAnsi" w:hAnsiTheme="minorHAnsi" w:cstheme="minorHAnsi"/>
          <w:color w:val="auto"/>
          <w:sz w:val="22"/>
          <w:szCs w:val="22"/>
          <w:lang w:val="en-GB"/>
        </w:rPr>
        <w:t xml:space="preserve"> A, </w:t>
      </w:r>
      <w:r w:rsidRPr="005D57E6">
        <w:rPr>
          <w:rFonts w:asciiTheme="minorHAnsi" w:hAnsiTheme="minorHAnsi" w:cstheme="minorHAnsi"/>
          <w:color w:val="auto"/>
          <w:sz w:val="22"/>
          <w:szCs w:val="22"/>
          <w:lang w:val="en-GB"/>
        </w:rPr>
        <w:t>Nikolaou</w:t>
      </w:r>
      <w:r>
        <w:rPr>
          <w:rFonts w:asciiTheme="minorHAnsi" w:hAnsiTheme="minorHAnsi" w:cstheme="minorHAnsi"/>
          <w:color w:val="auto"/>
          <w:sz w:val="22"/>
          <w:szCs w:val="22"/>
          <w:lang w:val="en-GB"/>
        </w:rPr>
        <w:t xml:space="preserve"> N, </w:t>
      </w:r>
    </w:p>
    <w:p w14:paraId="1C22E40D" w14:textId="77777777" w:rsidR="005D57E6" w:rsidRDefault="005D57E6" w:rsidP="00E534A8">
      <w:pPr>
        <w:pStyle w:val="reftext"/>
        <w:spacing w:after="0"/>
        <w:rPr>
          <w:rFonts w:asciiTheme="minorHAnsi" w:hAnsiTheme="minorHAnsi" w:cstheme="minorHAnsi"/>
          <w:color w:val="auto"/>
          <w:sz w:val="22"/>
          <w:szCs w:val="22"/>
        </w:rPr>
      </w:pPr>
      <w:r w:rsidRPr="005D57E6">
        <w:rPr>
          <w:rFonts w:asciiTheme="minorHAnsi" w:hAnsiTheme="minorHAnsi" w:cstheme="minorHAnsi"/>
          <w:color w:val="auto"/>
          <w:sz w:val="22"/>
          <w:szCs w:val="22"/>
          <w:lang w:val="en-GB"/>
        </w:rPr>
        <w:t>Norekva</w:t>
      </w:r>
      <w:r>
        <w:rPr>
          <w:rFonts w:asciiTheme="minorHAnsi" w:hAnsiTheme="minorHAnsi" w:cstheme="minorHAnsi"/>
          <w:color w:val="auto"/>
          <w:sz w:val="22"/>
          <w:szCs w:val="22"/>
          <w:lang w:val="en-GB"/>
        </w:rPr>
        <w:t xml:space="preserve"> TM, </w:t>
      </w:r>
      <w:r w:rsidRPr="005D57E6">
        <w:rPr>
          <w:rFonts w:asciiTheme="minorHAnsi" w:hAnsiTheme="minorHAnsi" w:cstheme="minorHAnsi"/>
          <w:color w:val="auto"/>
          <w:sz w:val="22"/>
          <w:szCs w:val="22"/>
          <w:lang w:val="en-GB"/>
        </w:rPr>
        <w:t xml:space="preserve">Spaulding </w:t>
      </w:r>
      <w:r>
        <w:rPr>
          <w:rFonts w:asciiTheme="minorHAnsi" w:hAnsiTheme="minorHAnsi" w:cstheme="minorHAnsi"/>
          <w:color w:val="auto"/>
          <w:sz w:val="22"/>
          <w:szCs w:val="22"/>
          <w:lang w:val="en-GB"/>
        </w:rPr>
        <w:t xml:space="preserve">C, </w:t>
      </w:r>
      <w:r w:rsidRPr="005D57E6">
        <w:rPr>
          <w:rFonts w:asciiTheme="minorHAnsi" w:hAnsiTheme="minorHAnsi" w:cstheme="minorHAnsi"/>
          <w:color w:val="auto"/>
          <w:sz w:val="22"/>
          <w:szCs w:val="22"/>
          <w:lang w:val="en-GB"/>
        </w:rPr>
        <w:t>Van Veldhuisen</w:t>
      </w:r>
      <w:r>
        <w:rPr>
          <w:rFonts w:asciiTheme="minorHAnsi" w:hAnsiTheme="minorHAnsi" w:cstheme="minorHAnsi"/>
          <w:color w:val="auto"/>
          <w:sz w:val="22"/>
          <w:szCs w:val="22"/>
          <w:lang w:val="en-GB"/>
        </w:rPr>
        <w:t xml:space="preserve"> DJ (2015) </w:t>
      </w:r>
      <w:r w:rsidRPr="005D57E6">
        <w:rPr>
          <w:rFonts w:asciiTheme="minorHAnsi" w:hAnsiTheme="minorHAnsi" w:cstheme="minorHAnsi"/>
          <w:color w:val="auto"/>
          <w:sz w:val="22"/>
          <w:szCs w:val="22"/>
        </w:rPr>
        <w:t xml:space="preserve">2015 ESC Guidelines for the management of </w:t>
      </w:r>
    </w:p>
    <w:p w14:paraId="2C91B9B0" w14:textId="77777777" w:rsidR="005D57E6" w:rsidRDefault="005D57E6" w:rsidP="00E534A8">
      <w:pPr>
        <w:pStyle w:val="reftext"/>
        <w:spacing w:after="0"/>
        <w:rPr>
          <w:rFonts w:asciiTheme="minorHAnsi" w:hAnsiTheme="minorHAnsi" w:cstheme="minorHAnsi"/>
          <w:color w:val="auto"/>
          <w:sz w:val="22"/>
          <w:szCs w:val="22"/>
        </w:rPr>
      </w:pPr>
      <w:r w:rsidRPr="005D57E6">
        <w:rPr>
          <w:rFonts w:asciiTheme="minorHAnsi" w:hAnsiTheme="minorHAnsi" w:cstheme="minorHAnsi"/>
          <w:color w:val="auto"/>
          <w:sz w:val="22"/>
          <w:szCs w:val="22"/>
        </w:rPr>
        <w:t>patients with ventricular Arrhythmias</w:t>
      </w:r>
      <w:r>
        <w:rPr>
          <w:rFonts w:asciiTheme="minorHAnsi" w:hAnsiTheme="minorHAnsi" w:cstheme="minorHAnsi"/>
          <w:color w:val="auto"/>
          <w:sz w:val="22"/>
          <w:szCs w:val="22"/>
        </w:rPr>
        <w:t xml:space="preserve"> </w:t>
      </w:r>
      <w:r w:rsidRPr="005D57E6">
        <w:rPr>
          <w:rFonts w:asciiTheme="minorHAnsi" w:hAnsiTheme="minorHAnsi" w:cstheme="minorHAnsi"/>
          <w:color w:val="auto"/>
          <w:sz w:val="22"/>
          <w:szCs w:val="22"/>
        </w:rPr>
        <w:t>and the prevention of sudden cardiac death: The Task Force</w:t>
      </w:r>
    </w:p>
    <w:p w14:paraId="2950C94B" w14:textId="77777777" w:rsidR="005D57E6" w:rsidRDefault="005D57E6" w:rsidP="00E534A8">
      <w:pPr>
        <w:pStyle w:val="reftext"/>
        <w:spacing w:after="0"/>
        <w:rPr>
          <w:rFonts w:asciiTheme="minorHAnsi" w:hAnsiTheme="minorHAnsi" w:cstheme="minorHAnsi"/>
          <w:color w:val="auto"/>
          <w:sz w:val="22"/>
          <w:szCs w:val="22"/>
        </w:rPr>
      </w:pPr>
      <w:r w:rsidRPr="005D57E6">
        <w:rPr>
          <w:rFonts w:asciiTheme="minorHAnsi" w:hAnsiTheme="minorHAnsi" w:cstheme="minorHAnsi"/>
          <w:color w:val="auto"/>
          <w:sz w:val="22"/>
          <w:szCs w:val="22"/>
        </w:rPr>
        <w:t>for the Management of</w:t>
      </w:r>
      <w:r>
        <w:rPr>
          <w:rFonts w:asciiTheme="minorHAnsi" w:hAnsiTheme="minorHAnsi" w:cstheme="minorHAnsi"/>
          <w:color w:val="auto"/>
          <w:sz w:val="22"/>
          <w:szCs w:val="22"/>
        </w:rPr>
        <w:t xml:space="preserve"> </w:t>
      </w:r>
      <w:r w:rsidRPr="005D57E6">
        <w:rPr>
          <w:rFonts w:asciiTheme="minorHAnsi" w:hAnsiTheme="minorHAnsi" w:cstheme="minorHAnsi"/>
          <w:color w:val="auto"/>
          <w:sz w:val="22"/>
          <w:szCs w:val="22"/>
        </w:rPr>
        <w:t>Patients with</w:t>
      </w:r>
      <w:r>
        <w:rPr>
          <w:rFonts w:asciiTheme="minorHAnsi" w:hAnsiTheme="minorHAnsi" w:cstheme="minorHAnsi"/>
          <w:color w:val="auto"/>
          <w:sz w:val="22"/>
          <w:szCs w:val="22"/>
        </w:rPr>
        <w:t xml:space="preserve"> </w:t>
      </w:r>
      <w:r w:rsidRPr="005D57E6">
        <w:rPr>
          <w:rFonts w:asciiTheme="minorHAnsi" w:hAnsiTheme="minorHAnsi" w:cstheme="minorHAnsi"/>
          <w:color w:val="auto"/>
          <w:sz w:val="22"/>
          <w:szCs w:val="22"/>
        </w:rPr>
        <w:t>Ventricular Arrhythmias and the Prevention of Sudden Cardiac</w:t>
      </w:r>
    </w:p>
    <w:p w14:paraId="22982752" w14:textId="73C88527" w:rsidR="005D57E6" w:rsidRDefault="005D57E6" w:rsidP="00E534A8">
      <w:pPr>
        <w:pStyle w:val="reftext"/>
        <w:spacing w:after="0"/>
        <w:rPr>
          <w:rFonts w:asciiTheme="minorHAnsi" w:hAnsiTheme="minorHAnsi" w:cstheme="minorHAnsi"/>
          <w:color w:val="auto"/>
          <w:sz w:val="22"/>
          <w:szCs w:val="22"/>
          <w:lang w:val="en-GB"/>
        </w:rPr>
      </w:pPr>
      <w:r w:rsidRPr="005D57E6">
        <w:rPr>
          <w:rFonts w:asciiTheme="minorHAnsi" w:hAnsiTheme="minorHAnsi" w:cstheme="minorHAnsi"/>
          <w:color w:val="auto"/>
          <w:sz w:val="22"/>
          <w:szCs w:val="22"/>
        </w:rPr>
        <w:t>Death of the European Society of Cardiology (ESC)</w:t>
      </w:r>
      <w:r>
        <w:rPr>
          <w:rFonts w:asciiTheme="minorHAnsi" w:hAnsiTheme="minorHAnsi" w:cstheme="minorHAnsi"/>
          <w:color w:val="auto"/>
          <w:sz w:val="22"/>
          <w:szCs w:val="22"/>
        </w:rPr>
        <w:t xml:space="preserve">, </w:t>
      </w:r>
      <w:r w:rsidRPr="005D57E6">
        <w:rPr>
          <w:rFonts w:asciiTheme="minorHAnsi" w:hAnsiTheme="minorHAnsi" w:cstheme="minorHAnsi"/>
          <w:i/>
          <w:iCs/>
          <w:color w:val="auto"/>
          <w:sz w:val="22"/>
          <w:szCs w:val="22"/>
          <w:lang w:val="en-GB"/>
        </w:rPr>
        <w:t>European Heart Journal</w:t>
      </w:r>
      <w:r>
        <w:rPr>
          <w:rFonts w:asciiTheme="minorHAnsi" w:hAnsiTheme="minorHAnsi" w:cstheme="minorHAnsi"/>
          <w:color w:val="auto"/>
          <w:sz w:val="22"/>
          <w:szCs w:val="22"/>
          <w:lang w:val="en-GB"/>
        </w:rPr>
        <w:t xml:space="preserve">, </w:t>
      </w:r>
      <w:r w:rsidRPr="005D57E6">
        <w:rPr>
          <w:rFonts w:asciiTheme="minorHAnsi" w:hAnsiTheme="minorHAnsi" w:cstheme="minorHAnsi"/>
          <w:color w:val="auto"/>
          <w:sz w:val="22"/>
          <w:szCs w:val="22"/>
          <w:lang w:val="en-GB"/>
        </w:rPr>
        <w:t>36, 2793–2867</w:t>
      </w:r>
      <w:r>
        <w:rPr>
          <w:rFonts w:asciiTheme="minorHAnsi" w:hAnsiTheme="minorHAnsi" w:cstheme="minorHAnsi"/>
          <w:color w:val="auto"/>
          <w:sz w:val="22"/>
          <w:szCs w:val="22"/>
          <w:lang w:val="en-GB"/>
        </w:rPr>
        <w:t>.</w:t>
      </w:r>
    </w:p>
    <w:p w14:paraId="6EA91C41" w14:textId="77777777" w:rsidR="00976F70" w:rsidRDefault="00976F70" w:rsidP="00E534A8">
      <w:pPr>
        <w:pStyle w:val="reftext"/>
        <w:spacing w:after="0"/>
        <w:rPr>
          <w:rFonts w:asciiTheme="minorHAnsi" w:hAnsiTheme="minorHAnsi" w:cstheme="minorHAnsi"/>
          <w:color w:val="auto"/>
          <w:sz w:val="22"/>
          <w:szCs w:val="22"/>
          <w:lang w:val="en-GB"/>
        </w:rPr>
      </w:pPr>
    </w:p>
    <w:p w14:paraId="556281B3" w14:textId="77777777" w:rsidR="006349A5" w:rsidRDefault="006349A5" w:rsidP="00E534A8">
      <w:pPr>
        <w:pStyle w:val="reftext"/>
        <w:spacing w:after="0"/>
        <w:rPr>
          <w:rFonts w:asciiTheme="minorHAnsi" w:hAnsiTheme="minorHAnsi" w:cstheme="minorHAnsi"/>
          <w:color w:val="auto"/>
          <w:sz w:val="22"/>
          <w:szCs w:val="22"/>
          <w:lang w:val="en-GB"/>
        </w:rPr>
      </w:pPr>
      <w:r w:rsidRPr="006349A5">
        <w:rPr>
          <w:rFonts w:asciiTheme="minorHAnsi" w:hAnsiTheme="minorHAnsi" w:cstheme="minorHAnsi"/>
          <w:color w:val="auto"/>
          <w:sz w:val="22"/>
          <w:szCs w:val="22"/>
          <w:lang w:val="en-GB"/>
        </w:rPr>
        <w:t>Prichard BN</w:t>
      </w:r>
      <w:r>
        <w:rPr>
          <w:rFonts w:asciiTheme="minorHAnsi" w:hAnsiTheme="minorHAnsi" w:cstheme="minorHAnsi"/>
          <w:color w:val="auto"/>
          <w:sz w:val="22"/>
          <w:szCs w:val="22"/>
          <w:lang w:val="en-GB"/>
        </w:rPr>
        <w:t xml:space="preserve"> (1987)</w:t>
      </w:r>
      <w:r w:rsidRPr="006349A5">
        <w:rPr>
          <w:rFonts w:asciiTheme="minorHAnsi" w:hAnsiTheme="minorHAnsi" w:cstheme="minorHAnsi"/>
          <w:color w:val="auto"/>
          <w:sz w:val="22"/>
          <w:szCs w:val="22"/>
          <w:lang w:val="en-GB"/>
        </w:rPr>
        <w:t xml:space="preserve"> Bisoprolol: a new beta-adrenoceptor blocking drug</w:t>
      </w:r>
      <w:r>
        <w:rPr>
          <w:rFonts w:asciiTheme="minorHAnsi" w:hAnsiTheme="minorHAnsi" w:cstheme="minorHAnsi"/>
          <w:color w:val="auto"/>
          <w:sz w:val="22"/>
          <w:szCs w:val="22"/>
          <w:lang w:val="en-GB"/>
        </w:rPr>
        <w:t>,</w:t>
      </w:r>
      <w:r w:rsidRPr="006349A5">
        <w:rPr>
          <w:rFonts w:asciiTheme="minorHAnsi" w:hAnsiTheme="minorHAnsi" w:cstheme="minorHAnsi"/>
          <w:color w:val="auto"/>
          <w:sz w:val="22"/>
          <w:szCs w:val="22"/>
          <w:lang w:val="en-GB"/>
        </w:rPr>
        <w:t xml:space="preserve"> </w:t>
      </w:r>
      <w:r w:rsidRPr="006349A5">
        <w:rPr>
          <w:rFonts w:asciiTheme="minorHAnsi" w:hAnsiTheme="minorHAnsi" w:cstheme="minorHAnsi"/>
          <w:i/>
          <w:iCs/>
          <w:color w:val="auto"/>
          <w:sz w:val="22"/>
          <w:szCs w:val="22"/>
          <w:lang w:val="en-GB"/>
        </w:rPr>
        <w:t>European Heart Journal</w:t>
      </w:r>
      <w:r>
        <w:rPr>
          <w:rFonts w:asciiTheme="minorHAnsi" w:hAnsiTheme="minorHAnsi" w:cstheme="minorHAnsi"/>
          <w:color w:val="auto"/>
          <w:sz w:val="22"/>
          <w:szCs w:val="22"/>
          <w:lang w:val="en-GB"/>
        </w:rPr>
        <w:t xml:space="preserve">, </w:t>
      </w:r>
    </w:p>
    <w:p w14:paraId="6411F9FA" w14:textId="77D8DB50" w:rsidR="006349A5" w:rsidRDefault="006349A5" w:rsidP="00E534A8">
      <w:pPr>
        <w:pStyle w:val="reftext"/>
        <w:spacing w:after="0"/>
        <w:rPr>
          <w:rFonts w:asciiTheme="minorHAnsi" w:hAnsiTheme="minorHAnsi" w:cstheme="minorHAnsi"/>
          <w:color w:val="auto"/>
          <w:sz w:val="22"/>
          <w:szCs w:val="22"/>
          <w:lang w:val="en-GB"/>
        </w:rPr>
      </w:pPr>
      <w:r w:rsidRPr="006349A5">
        <w:rPr>
          <w:rFonts w:asciiTheme="minorHAnsi" w:hAnsiTheme="minorHAnsi" w:cstheme="minorHAnsi"/>
          <w:color w:val="auto"/>
          <w:sz w:val="22"/>
          <w:szCs w:val="22"/>
          <w:lang w:val="en-GB"/>
        </w:rPr>
        <w:t>8(suppl_M):121-9.</w:t>
      </w:r>
    </w:p>
    <w:p w14:paraId="437428C2" w14:textId="3BDAB11B" w:rsidR="00C62BD8" w:rsidRDefault="00C62BD8" w:rsidP="00E534A8">
      <w:pPr>
        <w:pStyle w:val="reftext"/>
        <w:spacing w:after="0" w:line="259" w:lineRule="auto"/>
        <w:ind w:left="0" w:firstLine="0"/>
        <w:rPr>
          <w:rFonts w:asciiTheme="minorHAnsi" w:hAnsiTheme="minorHAnsi" w:cstheme="minorHAnsi"/>
          <w:color w:val="auto"/>
          <w:sz w:val="22"/>
          <w:szCs w:val="22"/>
          <w:lang w:val="en-GB"/>
        </w:rPr>
      </w:pPr>
    </w:p>
    <w:p w14:paraId="4FC925C2" w14:textId="57BE7741" w:rsidR="002B1AC9" w:rsidRPr="00077463" w:rsidRDefault="002B1AC9" w:rsidP="00E534A8">
      <w:pPr>
        <w:pStyle w:val="reftext"/>
        <w:spacing w:after="0" w:line="259" w:lineRule="auto"/>
        <w:ind w:left="0" w:firstLine="0"/>
        <w:rPr>
          <w:rStyle w:val="Hyperlink"/>
          <w:rFonts w:asciiTheme="minorHAnsi" w:hAnsiTheme="minorHAnsi" w:cstheme="minorHAnsi"/>
          <w:sz w:val="22"/>
          <w:szCs w:val="22"/>
          <w:shd w:val="clear" w:color="auto" w:fill="FFFFFF"/>
        </w:rPr>
      </w:pPr>
      <w:r w:rsidRPr="00077463">
        <w:rPr>
          <w:rFonts w:asciiTheme="minorHAnsi" w:hAnsiTheme="minorHAnsi" w:cstheme="minorHAnsi"/>
          <w:sz w:val="22"/>
          <w:szCs w:val="22"/>
          <w:shd w:val="clear" w:color="auto" w:fill="FFFFFF"/>
        </w:rPr>
        <w:t xml:space="preserve">Sanofi (2019) </w:t>
      </w:r>
      <w:r w:rsidRPr="00F46A59">
        <w:rPr>
          <w:rFonts w:asciiTheme="minorHAnsi" w:hAnsiTheme="minorHAnsi" w:cstheme="minorHAnsi"/>
          <w:i/>
          <w:iCs/>
          <w:sz w:val="22"/>
          <w:szCs w:val="22"/>
          <w:shd w:val="clear" w:color="auto" w:fill="FFFFFF"/>
        </w:rPr>
        <w:t>Summary of product characteristics: Tildiem Retard 90mg Prolonged-Release Tablets,</w:t>
      </w:r>
      <w:r w:rsidRPr="00077463">
        <w:rPr>
          <w:rFonts w:asciiTheme="minorHAnsi" w:hAnsiTheme="minorHAnsi" w:cstheme="minorHAnsi"/>
          <w:sz w:val="22"/>
          <w:szCs w:val="22"/>
          <w:shd w:val="clear" w:color="auto" w:fill="FFFFFF"/>
        </w:rPr>
        <w:t xml:space="preserve"> </w:t>
      </w:r>
      <w:hyperlink r:id="rId17" w:history="1">
        <w:r w:rsidRPr="00077463">
          <w:rPr>
            <w:rStyle w:val="Hyperlink"/>
            <w:rFonts w:asciiTheme="minorHAnsi" w:hAnsiTheme="minorHAnsi" w:cstheme="minorHAnsi"/>
            <w:sz w:val="22"/>
            <w:szCs w:val="22"/>
            <w:shd w:val="clear" w:color="auto" w:fill="FFFFFF"/>
            <w:lang w:val="en-GB"/>
          </w:rPr>
          <w:t>https://www.medicines.org.uk/emc/product/4970/smpc</w:t>
        </w:r>
        <w:r w:rsidRPr="00077463">
          <w:rPr>
            <w:rStyle w:val="Hyperlink"/>
            <w:rFonts w:asciiTheme="minorHAnsi" w:hAnsiTheme="minorHAnsi" w:cstheme="minorHAnsi"/>
            <w:sz w:val="22"/>
            <w:szCs w:val="22"/>
            <w:shd w:val="clear" w:color="auto" w:fill="FFFFFF"/>
          </w:rPr>
          <w:t xml:space="preserve"> accessed 16/07/2019</w:t>
        </w:r>
      </w:hyperlink>
    </w:p>
    <w:p w14:paraId="68685F13" w14:textId="77777777" w:rsidR="00372966" w:rsidRDefault="00372966" w:rsidP="00E534A8">
      <w:pPr>
        <w:pStyle w:val="reftext"/>
        <w:spacing w:after="0" w:line="259" w:lineRule="auto"/>
        <w:ind w:left="0" w:firstLine="0"/>
        <w:rPr>
          <w:rFonts w:asciiTheme="minorHAnsi" w:hAnsiTheme="minorHAnsi" w:cstheme="minorHAnsi"/>
          <w:color w:val="auto"/>
          <w:sz w:val="22"/>
          <w:szCs w:val="22"/>
          <w:lang w:val="en-GB"/>
        </w:rPr>
      </w:pPr>
    </w:p>
    <w:p w14:paraId="29616436" w14:textId="3565EAD7" w:rsidR="00F84ABF" w:rsidRDefault="00C62BD8" w:rsidP="00E534A8">
      <w:pPr>
        <w:pStyle w:val="reftext"/>
        <w:spacing w:after="0" w:line="259" w:lineRule="auto"/>
        <w:ind w:left="0" w:firstLine="0"/>
        <w:rPr>
          <w:rFonts w:asciiTheme="minorHAnsi" w:hAnsiTheme="minorHAnsi" w:cstheme="minorHAnsi"/>
          <w:color w:val="auto"/>
          <w:sz w:val="22"/>
          <w:szCs w:val="22"/>
          <w:lang w:val="en-GB"/>
        </w:rPr>
      </w:pPr>
      <w:r w:rsidRPr="00C62BD8">
        <w:rPr>
          <w:rFonts w:asciiTheme="minorHAnsi" w:hAnsiTheme="minorHAnsi" w:cstheme="minorHAnsi"/>
          <w:color w:val="auto"/>
          <w:sz w:val="22"/>
          <w:szCs w:val="22"/>
          <w:lang w:val="en-GB"/>
        </w:rPr>
        <w:t>Stucky MA, Goldberger ZD</w:t>
      </w:r>
      <w:r>
        <w:rPr>
          <w:rFonts w:asciiTheme="minorHAnsi" w:hAnsiTheme="minorHAnsi" w:cstheme="minorHAnsi"/>
          <w:color w:val="auto"/>
          <w:sz w:val="22"/>
          <w:szCs w:val="22"/>
          <w:lang w:val="en-GB"/>
        </w:rPr>
        <w:t xml:space="preserve"> (2015)</w:t>
      </w:r>
      <w:r w:rsidRPr="00C62BD8">
        <w:rPr>
          <w:rFonts w:asciiTheme="minorHAnsi" w:hAnsiTheme="minorHAnsi" w:cstheme="minorHAnsi"/>
          <w:color w:val="auto"/>
          <w:sz w:val="22"/>
          <w:szCs w:val="22"/>
          <w:lang w:val="en-GB"/>
        </w:rPr>
        <w:t xml:space="preserve"> Digoxin: its role in contemporary medicine</w:t>
      </w:r>
      <w:r>
        <w:rPr>
          <w:rFonts w:asciiTheme="minorHAnsi" w:hAnsiTheme="minorHAnsi" w:cstheme="minorHAnsi"/>
          <w:color w:val="auto"/>
          <w:sz w:val="22"/>
          <w:szCs w:val="22"/>
          <w:lang w:val="en-GB"/>
        </w:rPr>
        <w:t>,</w:t>
      </w:r>
      <w:r w:rsidRPr="00C62BD8">
        <w:rPr>
          <w:rFonts w:asciiTheme="minorHAnsi" w:hAnsiTheme="minorHAnsi" w:cstheme="minorHAnsi"/>
          <w:color w:val="auto"/>
          <w:sz w:val="22"/>
          <w:szCs w:val="22"/>
          <w:lang w:val="en-GB"/>
        </w:rPr>
        <w:t xml:space="preserve"> </w:t>
      </w:r>
      <w:r w:rsidRPr="00C62BD8">
        <w:rPr>
          <w:rFonts w:asciiTheme="minorHAnsi" w:hAnsiTheme="minorHAnsi" w:cstheme="minorHAnsi"/>
          <w:i/>
          <w:iCs/>
          <w:color w:val="auto"/>
          <w:sz w:val="22"/>
          <w:szCs w:val="22"/>
          <w:lang w:val="en-GB"/>
        </w:rPr>
        <w:t>Postgraduate Medical Journal</w:t>
      </w:r>
      <w:r>
        <w:rPr>
          <w:rFonts w:asciiTheme="minorHAnsi" w:hAnsiTheme="minorHAnsi" w:cstheme="minorHAnsi"/>
          <w:color w:val="auto"/>
          <w:sz w:val="22"/>
          <w:szCs w:val="22"/>
          <w:lang w:val="en-GB"/>
        </w:rPr>
        <w:t xml:space="preserve">, </w:t>
      </w:r>
      <w:r w:rsidRPr="00C62BD8">
        <w:rPr>
          <w:rFonts w:asciiTheme="minorHAnsi" w:hAnsiTheme="minorHAnsi" w:cstheme="minorHAnsi"/>
          <w:color w:val="auto"/>
          <w:sz w:val="22"/>
          <w:szCs w:val="22"/>
          <w:lang w:val="en-GB"/>
        </w:rPr>
        <w:t>91(1079):514-8.</w:t>
      </w:r>
    </w:p>
    <w:p w14:paraId="21EF09E8" w14:textId="77777777" w:rsidR="00F46A59" w:rsidRDefault="00F46A59" w:rsidP="00E534A8">
      <w:pPr>
        <w:pStyle w:val="reftext"/>
        <w:spacing w:after="0" w:line="259" w:lineRule="auto"/>
        <w:ind w:left="0" w:firstLine="0"/>
        <w:rPr>
          <w:rFonts w:asciiTheme="minorHAnsi" w:hAnsiTheme="minorHAnsi" w:cstheme="minorHAnsi"/>
          <w:color w:val="auto"/>
          <w:sz w:val="22"/>
          <w:szCs w:val="22"/>
          <w:lang w:val="en-GB"/>
        </w:rPr>
      </w:pPr>
    </w:p>
    <w:p w14:paraId="39601283" w14:textId="3744C327" w:rsidR="00D05D67" w:rsidRDefault="00D05D67" w:rsidP="00E534A8">
      <w:pPr>
        <w:pStyle w:val="reftext"/>
        <w:spacing w:after="0" w:line="259" w:lineRule="auto"/>
        <w:ind w:left="0" w:firstLine="0"/>
        <w:rPr>
          <w:rFonts w:asciiTheme="minorHAnsi" w:hAnsiTheme="minorHAnsi" w:cstheme="minorHAnsi"/>
          <w:color w:val="auto"/>
          <w:sz w:val="22"/>
          <w:szCs w:val="22"/>
          <w:lang w:val="en-GB"/>
        </w:rPr>
      </w:pPr>
      <w:r w:rsidRPr="00D05D67">
        <w:rPr>
          <w:rFonts w:asciiTheme="minorHAnsi" w:hAnsiTheme="minorHAnsi" w:cstheme="minorHAnsi"/>
          <w:color w:val="auto"/>
          <w:sz w:val="22"/>
          <w:szCs w:val="22"/>
          <w:lang w:val="en-GB"/>
        </w:rPr>
        <w:t>Ulimoen SR, Enger S, Carlson J, Platonov PG, Pripp AH, Abdelnoor M, Arnesen H, Gjesdal K, Tveit A</w:t>
      </w:r>
      <w:r w:rsidR="00023F37">
        <w:rPr>
          <w:rFonts w:asciiTheme="minorHAnsi" w:hAnsiTheme="minorHAnsi" w:cstheme="minorHAnsi"/>
          <w:color w:val="auto"/>
          <w:sz w:val="22"/>
          <w:szCs w:val="22"/>
          <w:lang w:val="en-GB"/>
        </w:rPr>
        <w:t xml:space="preserve"> (2013)</w:t>
      </w:r>
      <w:r w:rsidRPr="00D05D67">
        <w:rPr>
          <w:rFonts w:asciiTheme="minorHAnsi" w:hAnsiTheme="minorHAnsi" w:cstheme="minorHAnsi"/>
          <w:color w:val="auto"/>
          <w:sz w:val="22"/>
          <w:szCs w:val="22"/>
          <w:lang w:val="en-GB"/>
        </w:rPr>
        <w:t xml:space="preserve"> Comparison of four single-drug regimens on ventricular rate and arrhythmia-related symptoms in patients with permanent atrial fibrillation</w:t>
      </w:r>
      <w:r w:rsidR="00023F37">
        <w:rPr>
          <w:rFonts w:asciiTheme="minorHAnsi" w:hAnsiTheme="minorHAnsi" w:cstheme="minorHAnsi"/>
          <w:color w:val="auto"/>
          <w:sz w:val="22"/>
          <w:szCs w:val="22"/>
          <w:lang w:val="en-GB"/>
        </w:rPr>
        <w:t xml:space="preserve">, </w:t>
      </w:r>
      <w:r w:rsidRPr="00023F37">
        <w:rPr>
          <w:rFonts w:asciiTheme="minorHAnsi" w:hAnsiTheme="minorHAnsi" w:cstheme="minorHAnsi"/>
          <w:i/>
          <w:iCs/>
          <w:color w:val="auto"/>
          <w:sz w:val="22"/>
          <w:szCs w:val="22"/>
          <w:lang w:val="en-GB"/>
        </w:rPr>
        <w:t xml:space="preserve">American </w:t>
      </w:r>
      <w:r w:rsidR="00023F37" w:rsidRPr="00023F37">
        <w:rPr>
          <w:rFonts w:asciiTheme="minorHAnsi" w:hAnsiTheme="minorHAnsi" w:cstheme="minorHAnsi"/>
          <w:i/>
          <w:iCs/>
          <w:color w:val="auto"/>
          <w:sz w:val="22"/>
          <w:szCs w:val="22"/>
          <w:lang w:val="en-GB"/>
        </w:rPr>
        <w:t>J</w:t>
      </w:r>
      <w:r w:rsidRPr="00023F37">
        <w:rPr>
          <w:rFonts w:asciiTheme="minorHAnsi" w:hAnsiTheme="minorHAnsi" w:cstheme="minorHAnsi"/>
          <w:i/>
          <w:iCs/>
          <w:color w:val="auto"/>
          <w:sz w:val="22"/>
          <w:szCs w:val="22"/>
          <w:lang w:val="en-GB"/>
        </w:rPr>
        <w:t xml:space="preserve">ournal of </w:t>
      </w:r>
      <w:r w:rsidR="00023F37" w:rsidRPr="00023F37">
        <w:rPr>
          <w:rFonts w:asciiTheme="minorHAnsi" w:hAnsiTheme="minorHAnsi" w:cstheme="minorHAnsi"/>
          <w:i/>
          <w:iCs/>
          <w:color w:val="auto"/>
          <w:sz w:val="22"/>
          <w:szCs w:val="22"/>
          <w:lang w:val="en-GB"/>
        </w:rPr>
        <w:t>C</w:t>
      </w:r>
      <w:r w:rsidRPr="00023F37">
        <w:rPr>
          <w:rFonts w:asciiTheme="minorHAnsi" w:hAnsiTheme="minorHAnsi" w:cstheme="minorHAnsi"/>
          <w:i/>
          <w:iCs/>
          <w:color w:val="auto"/>
          <w:sz w:val="22"/>
          <w:szCs w:val="22"/>
          <w:lang w:val="en-GB"/>
        </w:rPr>
        <w:t>ardiology</w:t>
      </w:r>
      <w:r w:rsidR="00023F37">
        <w:rPr>
          <w:rFonts w:asciiTheme="minorHAnsi" w:hAnsiTheme="minorHAnsi" w:cstheme="minorHAnsi"/>
          <w:i/>
          <w:iCs/>
          <w:color w:val="auto"/>
          <w:sz w:val="22"/>
          <w:szCs w:val="22"/>
          <w:lang w:val="en-GB"/>
        </w:rPr>
        <w:t xml:space="preserve">, </w:t>
      </w:r>
      <w:r w:rsidRPr="00D05D67">
        <w:rPr>
          <w:rFonts w:asciiTheme="minorHAnsi" w:hAnsiTheme="minorHAnsi" w:cstheme="minorHAnsi"/>
          <w:color w:val="auto"/>
          <w:sz w:val="22"/>
          <w:szCs w:val="22"/>
          <w:lang w:val="en-GB"/>
        </w:rPr>
        <w:t>111(2):225-30.</w:t>
      </w:r>
    </w:p>
    <w:p w14:paraId="332CA8D6" w14:textId="77777777" w:rsidR="00372966" w:rsidRDefault="00372966" w:rsidP="00E534A8">
      <w:pPr>
        <w:pStyle w:val="reftext"/>
        <w:spacing w:after="0" w:line="259" w:lineRule="auto"/>
        <w:ind w:left="0" w:firstLine="0"/>
        <w:rPr>
          <w:rFonts w:asciiTheme="minorHAnsi" w:hAnsiTheme="minorHAnsi" w:cstheme="minorHAnsi"/>
          <w:color w:val="auto"/>
          <w:sz w:val="22"/>
          <w:szCs w:val="22"/>
          <w:lang w:val="en-GB"/>
        </w:rPr>
      </w:pPr>
    </w:p>
    <w:p w14:paraId="36ECE0D3" w14:textId="7B9C0EC5" w:rsidR="00CE5558" w:rsidRDefault="00CE5558" w:rsidP="00E534A8">
      <w:pPr>
        <w:pStyle w:val="reftext"/>
        <w:spacing w:after="0" w:line="259" w:lineRule="auto"/>
        <w:ind w:left="0" w:firstLine="0"/>
        <w:rPr>
          <w:rFonts w:asciiTheme="minorHAnsi" w:hAnsiTheme="minorHAnsi" w:cstheme="minorHAnsi"/>
          <w:color w:val="auto"/>
          <w:sz w:val="22"/>
          <w:szCs w:val="22"/>
          <w:lang w:val="en-GB"/>
        </w:rPr>
      </w:pPr>
      <w:r w:rsidRPr="00A6318B">
        <w:rPr>
          <w:rFonts w:asciiTheme="minorHAnsi" w:hAnsiTheme="minorHAnsi" w:cstheme="minorHAnsi"/>
          <w:color w:val="auto"/>
          <w:sz w:val="22"/>
          <w:szCs w:val="22"/>
          <w:lang w:val="en-GB"/>
        </w:rPr>
        <w:t>Van Gelder IC, Rienstra M, Crijns HJ, Olshansky B</w:t>
      </w:r>
      <w:r>
        <w:rPr>
          <w:rFonts w:asciiTheme="minorHAnsi" w:hAnsiTheme="minorHAnsi" w:cstheme="minorHAnsi"/>
          <w:color w:val="auto"/>
          <w:sz w:val="22"/>
          <w:szCs w:val="22"/>
          <w:lang w:val="en-GB"/>
        </w:rPr>
        <w:t xml:space="preserve"> (2016)</w:t>
      </w:r>
      <w:r w:rsidRPr="00A6318B">
        <w:rPr>
          <w:rFonts w:asciiTheme="minorHAnsi" w:hAnsiTheme="minorHAnsi" w:cstheme="minorHAnsi"/>
          <w:color w:val="auto"/>
          <w:sz w:val="22"/>
          <w:szCs w:val="22"/>
          <w:lang w:val="en-GB"/>
        </w:rPr>
        <w:t xml:space="preserve"> Rate control in atrial fibrillation</w:t>
      </w:r>
      <w:r w:rsidRPr="00A6318B">
        <w:rPr>
          <w:rFonts w:asciiTheme="minorHAnsi" w:hAnsiTheme="minorHAnsi" w:cstheme="minorHAnsi"/>
          <w:i/>
          <w:iCs/>
          <w:color w:val="auto"/>
          <w:sz w:val="22"/>
          <w:szCs w:val="22"/>
          <w:lang w:val="en-GB"/>
        </w:rPr>
        <w:t>. The Lancet</w:t>
      </w:r>
      <w:r w:rsidRPr="00A6318B">
        <w:rPr>
          <w:rFonts w:asciiTheme="minorHAnsi" w:hAnsiTheme="minorHAnsi" w:cstheme="minorHAnsi"/>
          <w:color w:val="auto"/>
          <w:sz w:val="22"/>
          <w:szCs w:val="22"/>
          <w:lang w:val="en-GB"/>
        </w:rPr>
        <w:t>. 388(10046):818-28.</w:t>
      </w:r>
    </w:p>
    <w:p w14:paraId="2CEF8D50" w14:textId="7D0CF646" w:rsidR="00A1030B" w:rsidRDefault="00A1030B" w:rsidP="00E534A8">
      <w:pPr>
        <w:pStyle w:val="reftext"/>
        <w:spacing w:after="0" w:line="259" w:lineRule="auto"/>
        <w:ind w:left="0" w:firstLine="0"/>
        <w:rPr>
          <w:rFonts w:asciiTheme="minorHAnsi" w:hAnsiTheme="minorHAnsi" w:cstheme="minorHAnsi"/>
          <w:color w:val="auto"/>
          <w:sz w:val="22"/>
          <w:szCs w:val="22"/>
          <w:lang w:val="en-GB"/>
        </w:rPr>
      </w:pPr>
    </w:p>
    <w:p w14:paraId="7550CED1" w14:textId="42112E42" w:rsidR="00A1030B" w:rsidRDefault="00A1030B" w:rsidP="00E534A8">
      <w:pPr>
        <w:pStyle w:val="reftext"/>
        <w:spacing w:after="0" w:line="259" w:lineRule="auto"/>
        <w:ind w:left="0" w:firstLine="0"/>
        <w:rPr>
          <w:rFonts w:asciiTheme="minorHAnsi" w:hAnsiTheme="minorHAnsi" w:cstheme="minorHAnsi"/>
          <w:color w:val="auto"/>
          <w:sz w:val="22"/>
          <w:szCs w:val="22"/>
          <w:lang w:val="en-GB"/>
        </w:rPr>
      </w:pPr>
      <w:r w:rsidRPr="00A1030B">
        <w:rPr>
          <w:rFonts w:asciiTheme="minorHAnsi" w:hAnsiTheme="minorHAnsi" w:cstheme="minorHAnsi"/>
          <w:color w:val="auto"/>
          <w:sz w:val="22"/>
          <w:szCs w:val="22"/>
          <w:lang w:val="en-GB"/>
        </w:rPr>
        <w:t>Wang MT, Su CY, Chan AL, Lian PW, Leu HB, Hsu YJ</w:t>
      </w:r>
      <w:r>
        <w:rPr>
          <w:rFonts w:asciiTheme="minorHAnsi" w:hAnsiTheme="minorHAnsi" w:cstheme="minorHAnsi"/>
          <w:color w:val="auto"/>
          <w:sz w:val="22"/>
          <w:szCs w:val="22"/>
          <w:lang w:val="en-GB"/>
        </w:rPr>
        <w:t xml:space="preserve"> (2010)</w:t>
      </w:r>
      <w:r w:rsidRPr="00A1030B">
        <w:rPr>
          <w:rFonts w:asciiTheme="minorHAnsi" w:hAnsiTheme="minorHAnsi" w:cstheme="minorHAnsi"/>
          <w:color w:val="auto"/>
          <w:sz w:val="22"/>
          <w:szCs w:val="22"/>
          <w:lang w:val="en-GB"/>
        </w:rPr>
        <w:t xml:space="preserve"> Risk of digoxin intoxication in heart failure patients exposed to digoxin–diuretic interactions: a population‐based study</w:t>
      </w:r>
      <w:r>
        <w:rPr>
          <w:rFonts w:asciiTheme="minorHAnsi" w:hAnsiTheme="minorHAnsi" w:cstheme="minorHAnsi"/>
          <w:color w:val="auto"/>
          <w:sz w:val="22"/>
          <w:szCs w:val="22"/>
          <w:lang w:val="en-GB"/>
        </w:rPr>
        <w:t xml:space="preserve">, </w:t>
      </w:r>
      <w:r w:rsidRPr="00A1030B">
        <w:rPr>
          <w:rFonts w:asciiTheme="minorHAnsi" w:hAnsiTheme="minorHAnsi" w:cstheme="minorHAnsi"/>
          <w:i/>
          <w:iCs/>
          <w:color w:val="auto"/>
          <w:sz w:val="22"/>
          <w:szCs w:val="22"/>
          <w:lang w:val="en-GB"/>
        </w:rPr>
        <w:t>British Journal of Clinical Pharmacology</w:t>
      </w:r>
      <w:r>
        <w:rPr>
          <w:rFonts w:asciiTheme="minorHAnsi" w:hAnsiTheme="minorHAnsi" w:cstheme="minorHAnsi"/>
          <w:color w:val="auto"/>
          <w:sz w:val="22"/>
          <w:szCs w:val="22"/>
          <w:lang w:val="en-GB"/>
        </w:rPr>
        <w:t xml:space="preserve">, </w:t>
      </w:r>
      <w:r w:rsidRPr="00A1030B">
        <w:rPr>
          <w:rFonts w:asciiTheme="minorHAnsi" w:hAnsiTheme="minorHAnsi" w:cstheme="minorHAnsi"/>
          <w:color w:val="auto"/>
          <w:sz w:val="22"/>
          <w:szCs w:val="22"/>
          <w:lang w:val="en-GB"/>
        </w:rPr>
        <w:t>70(2):258-67.</w:t>
      </w:r>
    </w:p>
    <w:p w14:paraId="708CD594" w14:textId="65EA75A4" w:rsidR="00A52A58" w:rsidRDefault="00A52A58" w:rsidP="00E534A8">
      <w:pPr>
        <w:pStyle w:val="reftext"/>
        <w:spacing w:after="0"/>
        <w:ind w:left="0" w:firstLine="0"/>
        <w:rPr>
          <w:rFonts w:asciiTheme="minorHAnsi" w:hAnsiTheme="minorHAnsi" w:cstheme="minorHAnsi"/>
          <w:color w:val="auto"/>
          <w:sz w:val="22"/>
          <w:szCs w:val="22"/>
          <w:lang w:val="en-GB"/>
        </w:rPr>
      </w:pPr>
    </w:p>
    <w:p w14:paraId="350AC654" w14:textId="77777777" w:rsidR="00A52A58" w:rsidRPr="00A52A58" w:rsidRDefault="00A52A58" w:rsidP="00E534A8">
      <w:pPr>
        <w:pStyle w:val="reftext"/>
        <w:spacing w:after="0"/>
        <w:rPr>
          <w:rFonts w:asciiTheme="minorHAnsi" w:hAnsiTheme="minorHAnsi" w:cstheme="minorHAnsi"/>
          <w:i/>
          <w:iCs/>
          <w:color w:val="auto"/>
          <w:sz w:val="22"/>
          <w:szCs w:val="22"/>
          <w:lang w:val="en-GB"/>
        </w:rPr>
      </w:pPr>
      <w:r w:rsidRPr="00A52A58">
        <w:rPr>
          <w:rFonts w:asciiTheme="minorHAnsi" w:hAnsiTheme="minorHAnsi" w:cstheme="minorHAnsi"/>
          <w:color w:val="auto"/>
          <w:sz w:val="22"/>
          <w:szCs w:val="22"/>
          <w:lang w:val="en-GB"/>
        </w:rPr>
        <w:t>Wyse DG</w:t>
      </w:r>
      <w:r>
        <w:rPr>
          <w:rFonts w:asciiTheme="minorHAnsi" w:hAnsiTheme="minorHAnsi" w:cstheme="minorHAnsi"/>
          <w:color w:val="auto"/>
          <w:sz w:val="22"/>
          <w:szCs w:val="22"/>
          <w:lang w:val="en-GB"/>
        </w:rPr>
        <w:t xml:space="preserve"> (2014)</w:t>
      </w:r>
      <w:r w:rsidRPr="00A52A58">
        <w:rPr>
          <w:rFonts w:asciiTheme="minorHAnsi" w:hAnsiTheme="minorHAnsi" w:cstheme="minorHAnsi"/>
          <w:color w:val="auto"/>
          <w:sz w:val="22"/>
          <w:szCs w:val="22"/>
          <w:lang w:val="en-GB"/>
        </w:rPr>
        <w:t xml:space="preserve"> Death and digoxin: stop me if you've heard this one before</w:t>
      </w:r>
      <w:r>
        <w:rPr>
          <w:rFonts w:asciiTheme="minorHAnsi" w:hAnsiTheme="minorHAnsi" w:cstheme="minorHAnsi"/>
          <w:color w:val="auto"/>
          <w:sz w:val="22"/>
          <w:szCs w:val="22"/>
          <w:lang w:val="en-GB"/>
        </w:rPr>
        <w:t>,</w:t>
      </w:r>
      <w:r w:rsidRPr="00A52A58">
        <w:rPr>
          <w:rFonts w:asciiTheme="minorHAnsi" w:hAnsiTheme="minorHAnsi" w:cstheme="minorHAnsi"/>
          <w:color w:val="auto"/>
          <w:sz w:val="22"/>
          <w:szCs w:val="22"/>
          <w:lang w:val="en-GB"/>
        </w:rPr>
        <w:t xml:space="preserve"> </w:t>
      </w:r>
      <w:r w:rsidRPr="00A52A58">
        <w:rPr>
          <w:rFonts w:asciiTheme="minorHAnsi" w:hAnsiTheme="minorHAnsi" w:cstheme="minorHAnsi"/>
          <w:i/>
          <w:iCs/>
          <w:color w:val="auto"/>
          <w:sz w:val="22"/>
          <w:szCs w:val="22"/>
          <w:lang w:val="en-GB"/>
        </w:rPr>
        <w:t xml:space="preserve">Canadian Journal of </w:t>
      </w:r>
    </w:p>
    <w:p w14:paraId="6EAFFD8D" w14:textId="4CECE6D2" w:rsidR="00A52A58" w:rsidRDefault="00A52A58" w:rsidP="00E534A8">
      <w:pPr>
        <w:pStyle w:val="reftext"/>
        <w:spacing w:after="0"/>
        <w:rPr>
          <w:rFonts w:asciiTheme="minorHAnsi" w:hAnsiTheme="minorHAnsi" w:cstheme="minorHAnsi"/>
          <w:color w:val="auto"/>
          <w:sz w:val="22"/>
          <w:szCs w:val="22"/>
          <w:lang w:val="en-GB"/>
        </w:rPr>
      </w:pPr>
      <w:r w:rsidRPr="00A52A58">
        <w:rPr>
          <w:rFonts w:asciiTheme="minorHAnsi" w:hAnsiTheme="minorHAnsi" w:cstheme="minorHAnsi"/>
          <w:i/>
          <w:iCs/>
          <w:color w:val="auto"/>
          <w:sz w:val="22"/>
          <w:szCs w:val="22"/>
          <w:lang w:val="en-GB"/>
        </w:rPr>
        <w:t>Cardiology</w:t>
      </w:r>
      <w:r>
        <w:rPr>
          <w:rFonts w:asciiTheme="minorHAnsi" w:hAnsiTheme="minorHAnsi" w:cstheme="minorHAnsi"/>
          <w:color w:val="auto"/>
          <w:sz w:val="22"/>
          <w:szCs w:val="22"/>
          <w:lang w:val="en-GB"/>
        </w:rPr>
        <w:t xml:space="preserve">, </w:t>
      </w:r>
      <w:r w:rsidRPr="00A52A58">
        <w:rPr>
          <w:rFonts w:asciiTheme="minorHAnsi" w:hAnsiTheme="minorHAnsi" w:cstheme="minorHAnsi"/>
          <w:color w:val="auto"/>
          <w:sz w:val="22"/>
          <w:szCs w:val="22"/>
          <w:lang w:val="en-GB"/>
        </w:rPr>
        <w:t>30(10):1145-7.</w:t>
      </w:r>
    </w:p>
    <w:p w14:paraId="7C92467F" w14:textId="12A76303" w:rsidR="008A20FE" w:rsidRDefault="008A20FE" w:rsidP="00E534A8">
      <w:pPr>
        <w:pStyle w:val="reftext"/>
        <w:spacing w:after="0"/>
        <w:rPr>
          <w:rFonts w:asciiTheme="minorHAnsi" w:hAnsiTheme="minorHAnsi" w:cstheme="minorHAnsi"/>
          <w:color w:val="auto"/>
          <w:sz w:val="22"/>
          <w:szCs w:val="22"/>
          <w:lang w:val="en-GB"/>
        </w:rPr>
      </w:pPr>
    </w:p>
    <w:p w14:paraId="3B876CC2" w14:textId="77777777" w:rsidR="00BF3056" w:rsidRDefault="00BF3056" w:rsidP="00E534A8">
      <w:pPr>
        <w:pStyle w:val="reftext"/>
        <w:spacing w:after="0"/>
        <w:rPr>
          <w:rFonts w:asciiTheme="minorHAnsi" w:hAnsiTheme="minorHAnsi" w:cstheme="minorHAnsi"/>
          <w:color w:val="auto"/>
          <w:sz w:val="22"/>
          <w:szCs w:val="22"/>
          <w:lang w:val="en-GB"/>
        </w:rPr>
      </w:pPr>
      <w:r w:rsidRPr="00BF3056">
        <w:rPr>
          <w:rFonts w:asciiTheme="minorHAnsi" w:hAnsiTheme="minorHAnsi" w:cstheme="minorHAnsi"/>
          <w:color w:val="auto"/>
          <w:sz w:val="22"/>
          <w:szCs w:val="22"/>
          <w:lang w:val="en-GB"/>
        </w:rPr>
        <w:t>Ziff OJ, Lane DA, Samra M, Griffith M, Kirchhof P, Lip GY, Steeds RP, Townend J, Kotecha D</w:t>
      </w:r>
      <w:r>
        <w:rPr>
          <w:rFonts w:asciiTheme="minorHAnsi" w:hAnsiTheme="minorHAnsi" w:cstheme="minorHAnsi"/>
          <w:color w:val="auto"/>
          <w:sz w:val="22"/>
          <w:szCs w:val="22"/>
          <w:lang w:val="en-GB"/>
        </w:rPr>
        <w:t xml:space="preserve"> (2015)</w:t>
      </w:r>
    </w:p>
    <w:p w14:paraId="6374F836" w14:textId="77777777" w:rsidR="00BF3056" w:rsidRDefault="00BF3056" w:rsidP="00E534A8">
      <w:pPr>
        <w:pStyle w:val="reftext"/>
        <w:spacing w:after="0"/>
        <w:rPr>
          <w:rFonts w:asciiTheme="minorHAnsi" w:hAnsiTheme="minorHAnsi" w:cstheme="minorHAnsi"/>
          <w:color w:val="auto"/>
          <w:sz w:val="22"/>
          <w:szCs w:val="22"/>
          <w:lang w:val="en-GB"/>
        </w:rPr>
      </w:pPr>
      <w:r w:rsidRPr="00BF3056">
        <w:rPr>
          <w:rFonts w:asciiTheme="minorHAnsi" w:hAnsiTheme="minorHAnsi" w:cstheme="minorHAnsi"/>
          <w:color w:val="auto"/>
          <w:sz w:val="22"/>
          <w:szCs w:val="22"/>
          <w:lang w:val="en-GB"/>
        </w:rPr>
        <w:t xml:space="preserve">Safety and efficacy of digoxin: systematic review and meta-analysis of observational and controlled </w:t>
      </w:r>
    </w:p>
    <w:p w14:paraId="22F3EA9F" w14:textId="327B711F" w:rsidR="00877532" w:rsidRPr="00B86194" w:rsidRDefault="00BF3056" w:rsidP="00E534A8">
      <w:pPr>
        <w:pStyle w:val="reftext"/>
        <w:spacing w:after="0"/>
        <w:rPr>
          <w:rFonts w:asciiTheme="minorHAnsi" w:hAnsiTheme="minorHAnsi" w:cstheme="minorHAnsi"/>
          <w:color w:val="auto"/>
          <w:sz w:val="22"/>
          <w:szCs w:val="22"/>
          <w:lang w:val="en-GB"/>
        </w:rPr>
      </w:pPr>
      <w:r w:rsidRPr="00BF3056">
        <w:rPr>
          <w:rFonts w:asciiTheme="minorHAnsi" w:hAnsiTheme="minorHAnsi" w:cstheme="minorHAnsi"/>
          <w:color w:val="auto"/>
          <w:sz w:val="22"/>
          <w:szCs w:val="22"/>
          <w:lang w:val="en-GB"/>
        </w:rPr>
        <w:t>trial data</w:t>
      </w:r>
      <w:r>
        <w:rPr>
          <w:rFonts w:asciiTheme="minorHAnsi" w:hAnsiTheme="minorHAnsi" w:cstheme="minorHAnsi"/>
          <w:color w:val="auto"/>
          <w:sz w:val="22"/>
          <w:szCs w:val="22"/>
          <w:lang w:val="en-GB"/>
        </w:rPr>
        <w:t xml:space="preserve">, </w:t>
      </w:r>
      <w:r w:rsidRPr="00BF3056">
        <w:rPr>
          <w:rFonts w:asciiTheme="minorHAnsi" w:hAnsiTheme="minorHAnsi" w:cstheme="minorHAnsi"/>
          <w:i/>
          <w:iCs/>
          <w:color w:val="auto"/>
          <w:sz w:val="22"/>
          <w:szCs w:val="22"/>
          <w:lang w:val="en-GB"/>
        </w:rPr>
        <w:t>BMJ,</w:t>
      </w:r>
      <w:r>
        <w:rPr>
          <w:rFonts w:asciiTheme="minorHAnsi" w:hAnsiTheme="minorHAnsi" w:cstheme="minorHAnsi"/>
          <w:color w:val="auto"/>
          <w:sz w:val="22"/>
          <w:szCs w:val="22"/>
          <w:lang w:val="en-GB"/>
        </w:rPr>
        <w:t xml:space="preserve"> </w:t>
      </w:r>
      <w:r w:rsidRPr="00BF3056">
        <w:rPr>
          <w:rFonts w:asciiTheme="minorHAnsi" w:hAnsiTheme="minorHAnsi" w:cstheme="minorHAnsi"/>
          <w:color w:val="auto"/>
          <w:sz w:val="22"/>
          <w:szCs w:val="22"/>
          <w:lang w:val="en-GB"/>
        </w:rPr>
        <w:t>351:h4451.</w:t>
      </w:r>
    </w:p>
    <w:sectPr w:rsidR="00877532" w:rsidRPr="00B86194" w:rsidSect="008B636C">
      <w:footerReference w:type="default" r:id="rId18"/>
      <w:footerReference w:type="first" r:id="rId19"/>
      <w:pgSz w:w="11906" w:h="16838"/>
      <w:pgMar w:top="1418"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B5A70" w14:textId="77777777" w:rsidR="00E31F4A" w:rsidRDefault="00E31F4A" w:rsidP="00A66F99">
      <w:pPr>
        <w:spacing w:after="0" w:line="240" w:lineRule="auto"/>
      </w:pPr>
      <w:r>
        <w:separator/>
      </w:r>
    </w:p>
  </w:endnote>
  <w:endnote w:type="continuationSeparator" w:id="0">
    <w:p w14:paraId="6855BD42" w14:textId="77777777" w:rsidR="00E31F4A" w:rsidRDefault="00E31F4A" w:rsidP="00A6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00"/>
    <w:family w:val="roman"/>
    <w:notTrueType/>
    <w:pitch w:val="default"/>
    <w:sig w:usb0="00000003" w:usb1="08070000" w:usb2="00000010" w:usb3="00000000" w:csb0="00020001" w:csb1="00000000"/>
  </w:font>
  <w:font w:name="HelveticaNeue-Italic">
    <w:altName w:val="Arial"/>
    <w:panose1 w:val="00000000000000000000"/>
    <w:charset w:val="4D"/>
    <w:family w:val="auto"/>
    <w:notTrueType/>
    <w:pitch w:val="default"/>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025035"/>
      <w:docPartObj>
        <w:docPartGallery w:val="Page Numbers (Bottom of Page)"/>
        <w:docPartUnique/>
      </w:docPartObj>
    </w:sdtPr>
    <w:sdtEndPr>
      <w:rPr>
        <w:noProof/>
      </w:rPr>
    </w:sdtEndPr>
    <w:sdtContent>
      <w:p w14:paraId="344EF8A5" w14:textId="3BEAE44C" w:rsidR="00941D45" w:rsidRDefault="00941D45">
        <w:pPr>
          <w:pStyle w:val="Footer"/>
          <w:jc w:val="center"/>
        </w:pPr>
        <w:r>
          <w:fldChar w:fldCharType="begin"/>
        </w:r>
        <w:r>
          <w:instrText xml:space="preserve"> PAGE   \* MERGEFORMAT </w:instrText>
        </w:r>
        <w:r>
          <w:fldChar w:fldCharType="separate"/>
        </w:r>
        <w:r w:rsidR="008B636C">
          <w:rPr>
            <w:noProof/>
          </w:rPr>
          <w:t>14</w:t>
        </w:r>
        <w:r>
          <w:rPr>
            <w:noProof/>
          </w:rPr>
          <w:fldChar w:fldCharType="end"/>
        </w:r>
      </w:p>
    </w:sdtContent>
  </w:sdt>
  <w:p w14:paraId="54A59779" w14:textId="77777777" w:rsidR="00941D45" w:rsidRDefault="00941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808646"/>
      <w:docPartObj>
        <w:docPartGallery w:val="Page Numbers (Bottom of Page)"/>
        <w:docPartUnique/>
      </w:docPartObj>
    </w:sdtPr>
    <w:sdtEndPr>
      <w:rPr>
        <w:noProof/>
      </w:rPr>
    </w:sdtEndPr>
    <w:sdtContent>
      <w:p w14:paraId="72B37CD2" w14:textId="2A479F3F" w:rsidR="00F17B37" w:rsidRDefault="00F17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109008" w14:textId="77777777" w:rsidR="00F17B37" w:rsidRDefault="00F17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39E22" w14:textId="77777777" w:rsidR="00E31F4A" w:rsidRDefault="00E31F4A" w:rsidP="00A66F99">
      <w:pPr>
        <w:spacing w:after="0" w:line="240" w:lineRule="auto"/>
      </w:pPr>
      <w:r>
        <w:separator/>
      </w:r>
    </w:p>
  </w:footnote>
  <w:footnote w:type="continuationSeparator" w:id="0">
    <w:p w14:paraId="14B5F5DA" w14:textId="77777777" w:rsidR="00E31F4A" w:rsidRDefault="00E31F4A" w:rsidP="00A66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0EE5"/>
    <w:multiLevelType w:val="hybridMultilevel"/>
    <w:tmpl w:val="1C44A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E90B75"/>
    <w:multiLevelType w:val="hybridMultilevel"/>
    <w:tmpl w:val="6E6EE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72CC9"/>
    <w:multiLevelType w:val="hybridMultilevel"/>
    <w:tmpl w:val="A2CC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3F1B46"/>
    <w:multiLevelType w:val="hybridMultilevel"/>
    <w:tmpl w:val="093EFD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6D7DC9"/>
    <w:multiLevelType w:val="hybridMultilevel"/>
    <w:tmpl w:val="CE7CF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D40AD4"/>
    <w:multiLevelType w:val="hybridMultilevel"/>
    <w:tmpl w:val="2708E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2974FD"/>
    <w:multiLevelType w:val="hybridMultilevel"/>
    <w:tmpl w:val="BE008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D27BC2"/>
    <w:multiLevelType w:val="hybridMultilevel"/>
    <w:tmpl w:val="3F34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AF458E"/>
    <w:multiLevelType w:val="hybridMultilevel"/>
    <w:tmpl w:val="215E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570BAF"/>
    <w:multiLevelType w:val="hybridMultilevel"/>
    <w:tmpl w:val="DC14A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0223F"/>
    <w:multiLevelType w:val="hybridMultilevel"/>
    <w:tmpl w:val="0D6AE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190B02"/>
    <w:multiLevelType w:val="hybridMultilevel"/>
    <w:tmpl w:val="1D4A1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F25781"/>
    <w:multiLevelType w:val="hybridMultilevel"/>
    <w:tmpl w:val="3252F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9"/>
  </w:num>
  <w:num w:numId="5">
    <w:abstractNumId w:val="7"/>
  </w:num>
  <w:num w:numId="6">
    <w:abstractNumId w:val="6"/>
  </w:num>
  <w:num w:numId="7">
    <w:abstractNumId w:val="2"/>
  </w:num>
  <w:num w:numId="8">
    <w:abstractNumId w:val="11"/>
  </w:num>
  <w:num w:numId="9">
    <w:abstractNumId w:val="5"/>
  </w:num>
  <w:num w:numId="10">
    <w:abstractNumId w:val="12"/>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35"/>
    <w:rsid w:val="0000040A"/>
    <w:rsid w:val="0000615F"/>
    <w:rsid w:val="000109B2"/>
    <w:rsid w:val="00010F12"/>
    <w:rsid w:val="00013961"/>
    <w:rsid w:val="000140F9"/>
    <w:rsid w:val="00021F24"/>
    <w:rsid w:val="00023E2E"/>
    <w:rsid w:val="00023F37"/>
    <w:rsid w:val="0002543B"/>
    <w:rsid w:val="00027756"/>
    <w:rsid w:val="00030F9D"/>
    <w:rsid w:val="00031E72"/>
    <w:rsid w:val="00035FF4"/>
    <w:rsid w:val="0003660F"/>
    <w:rsid w:val="000366D1"/>
    <w:rsid w:val="000376EB"/>
    <w:rsid w:val="000418D2"/>
    <w:rsid w:val="00043843"/>
    <w:rsid w:val="00046DC7"/>
    <w:rsid w:val="00052262"/>
    <w:rsid w:val="00053E31"/>
    <w:rsid w:val="00054320"/>
    <w:rsid w:val="00054378"/>
    <w:rsid w:val="00061B7E"/>
    <w:rsid w:val="00061E97"/>
    <w:rsid w:val="00062E5D"/>
    <w:rsid w:val="00066A74"/>
    <w:rsid w:val="00067F6D"/>
    <w:rsid w:val="000710F5"/>
    <w:rsid w:val="00071352"/>
    <w:rsid w:val="00071475"/>
    <w:rsid w:val="00071627"/>
    <w:rsid w:val="00072E63"/>
    <w:rsid w:val="0007556F"/>
    <w:rsid w:val="0007576B"/>
    <w:rsid w:val="000766EE"/>
    <w:rsid w:val="00077463"/>
    <w:rsid w:val="00081B55"/>
    <w:rsid w:val="00083F95"/>
    <w:rsid w:val="0008429A"/>
    <w:rsid w:val="00086280"/>
    <w:rsid w:val="000865F9"/>
    <w:rsid w:val="00087A40"/>
    <w:rsid w:val="00091456"/>
    <w:rsid w:val="00096D40"/>
    <w:rsid w:val="000B2301"/>
    <w:rsid w:val="000B3175"/>
    <w:rsid w:val="000B3D03"/>
    <w:rsid w:val="000B50DE"/>
    <w:rsid w:val="000B51B4"/>
    <w:rsid w:val="000B6DEC"/>
    <w:rsid w:val="000C2160"/>
    <w:rsid w:val="000C4D32"/>
    <w:rsid w:val="000D133B"/>
    <w:rsid w:val="000D1C19"/>
    <w:rsid w:val="000D2726"/>
    <w:rsid w:val="000D5D98"/>
    <w:rsid w:val="000E30E1"/>
    <w:rsid w:val="000E46D8"/>
    <w:rsid w:val="000F2EC2"/>
    <w:rsid w:val="000F4A0C"/>
    <w:rsid w:val="000F4BDE"/>
    <w:rsid w:val="000F534C"/>
    <w:rsid w:val="000F5CBA"/>
    <w:rsid w:val="000F663C"/>
    <w:rsid w:val="000F79ED"/>
    <w:rsid w:val="000F7F8D"/>
    <w:rsid w:val="00102288"/>
    <w:rsid w:val="00104A35"/>
    <w:rsid w:val="00110759"/>
    <w:rsid w:val="00113DCB"/>
    <w:rsid w:val="00113F9A"/>
    <w:rsid w:val="001178A3"/>
    <w:rsid w:val="00121ECB"/>
    <w:rsid w:val="0012235B"/>
    <w:rsid w:val="00124366"/>
    <w:rsid w:val="0012485C"/>
    <w:rsid w:val="0013685A"/>
    <w:rsid w:val="00142E00"/>
    <w:rsid w:val="001446BD"/>
    <w:rsid w:val="001541B9"/>
    <w:rsid w:val="00164684"/>
    <w:rsid w:val="00167CC9"/>
    <w:rsid w:val="001703B6"/>
    <w:rsid w:val="00170EBF"/>
    <w:rsid w:val="001713CB"/>
    <w:rsid w:val="0018390F"/>
    <w:rsid w:val="001839A8"/>
    <w:rsid w:val="0018625E"/>
    <w:rsid w:val="001872FD"/>
    <w:rsid w:val="00190702"/>
    <w:rsid w:val="001954F6"/>
    <w:rsid w:val="00196CC0"/>
    <w:rsid w:val="001A0EE5"/>
    <w:rsid w:val="001A112D"/>
    <w:rsid w:val="001A3F82"/>
    <w:rsid w:val="001B4015"/>
    <w:rsid w:val="001C04EA"/>
    <w:rsid w:val="001C321F"/>
    <w:rsid w:val="001C4CAE"/>
    <w:rsid w:val="001D2A3D"/>
    <w:rsid w:val="001D56C9"/>
    <w:rsid w:val="001E0117"/>
    <w:rsid w:val="001E70F8"/>
    <w:rsid w:val="001F1708"/>
    <w:rsid w:val="001F750C"/>
    <w:rsid w:val="00201B01"/>
    <w:rsid w:val="00204633"/>
    <w:rsid w:val="002069FC"/>
    <w:rsid w:val="0021590A"/>
    <w:rsid w:val="002238FD"/>
    <w:rsid w:val="002327BD"/>
    <w:rsid w:val="00233479"/>
    <w:rsid w:val="0023509B"/>
    <w:rsid w:val="00236EDE"/>
    <w:rsid w:val="00240C15"/>
    <w:rsid w:val="00243AB0"/>
    <w:rsid w:val="00247033"/>
    <w:rsid w:val="002501FE"/>
    <w:rsid w:val="00254E0B"/>
    <w:rsid w:val="00255674"/>
    <w:rsid w:val="00263D82"/>
    <w:rsid w:val="00270A6E"/>
    <w:rsid w:val="00271413"/>
    <w:rsid w:val="0027278B"/>
    <w:rsid w:val="00276D6E"/>
    <w:rsid w:val="00276F07"/>
    <w:rsid w:val="00281BBB"/>
    <w:rsid w:val="00282DAE"/>
    <w:rsid w:val="00287015"/>
    <w:rsid w:val="00287C85"/>
    <w:rsid w:val="00291032"/>
    <w:rsid w:val="00291AB2"/>
    <w:rsid w:val="00293890"/>
    <w:rsid w:val="00295287"/>
    <w:rsid w:val="00297967"/>
    <w:rsid w:val="002A1EF6"/>
    <w:rsid w:val="002A7F27"/>
    <w:rsid w:val="002B08E7"/>
    <w:rsid w:val="002B1AC9"/>
    <w:rsid w:val="002B521B"/>
    <w:rsid w:val="002B6D15"/>
    <w:rsid w:val="002C11FF"/>
    <w:rsid w:val="002C4FFE"/>
    <w:rsid w:val="002D212D"/>
    <w:rsid w:val="002D25EA"/>
    <w:rsid w:val="002D6728"/>
    <w:rsid w:val="002E4F39"/>
    <w:rsid w:val="002F0954"/>
    <w:rsid w:val="002F3AE6"/>
    <w:rsid w:val="002F6C00"/>
    <w:rsid w:val="002F7013"/>
    <w:rsid w:val="002F7166"/>
    <w:rsid w:val="002F784D"/>
    <w:rsid w:val="00300073"/>
    <w:rsid w:val="003008C4"/>
    <w:rsid w:val="00313CB4"/>
    <w:rsid w:val="003148F4"/>
    <w:rsid w:val="00317055"/>
    <w:rsid w:val="00326B32"/>
    <w:rsid w:val="00326D7D"/>
    <w:rsid w:val="00334123"/>
    <w:rsid w:val="0034056F"/>
    <w:rsid w:val="00352AF0"/>
    <w:rsid w:val="003532F8"/>
    <w:rsid w:val="0035582B"/>
    <w:rsid w:val="00357E93"/>
    <w:rsid w:val="00360525"/>
    <w:rsid w:val="00364CB0"/>
    <w:rsid w:val="00365906"/>
    <w:rsid w:val="00367357"/>
    <w:rsid w:val="00371CEF"/>
    <w:rsid w:val="00372966"/>
    <w:rsid w:val="0038278D"/>
    <w:rsid w:val="00382E73"/>
    <w:rsid w:val="003833F2"/>
    <w:rsid w:val="0039186D"/>
    <w:rsid w:val="00392E3F"/>
    <w:rsid w:val="003951AE"/>
    <w:rsid w:val="00397173"/>
    <w:rsid w:val="003A1E22"/>
    <w:rsid w:val="003A25FC"/>
    <w:rsid w:val="003A4225"/>
    <w:rsid w:val="003B170D"/>
    <w:rsid w:val="003B3A62"/>
    <w:rsid w:val="003B5BB6"/>
    <w:rsid w:val="003B67ED"/>
    <w:rsid w:val="003C0A24"/>
    <w:rsid w:val="003C1DF3"/>
    <w:rsid w:val="003C41A5"/>
    <w:rsid w:val="003C7E67"/>
    <w:rsid w:val="003D0914"/>
    <w:rsid w:val="003D16F6"/>
    <w:rsid w:val="003D3E87"/>
    <w:rsid w:val="003D46DE"/>
    <w:rsid w:val="003E13D3"/>
    <w:rsid w:val="003E758C"/>
    <w:rsid w:val="003E7672"/>
    <w:rsid w:val="003F2B44"/>
    <w:rsid w:val="004001A7"/>
    <w:rsid w:val="0040489E"/>
    <w:rsid w:val="00405B2C"/>
    <w:rsid w:val="00405F35"/>
    <w:rsid w:val="00407D11"/>
    <w:rsid w:val="00414054"/>
    <w:rsid w:val="00415331"/>
    <w:rsid w:val="004161DE"/>
    <w:rsid w:val="00423108"/>
    <w:rsid w:val="00424BC7"/>
    <w:rsid w:val="00425943"/>
    <w:rsid w:val="004310C5"/>
    <w:rsid w:val="00434051"/>
    <w:rsid w:val="00434633"/>
    <w:rsid w:val="00434FEC"/>
    <w:rsid w:val="00436D08"/>
    <w:rsid w:val="00445C5E"/>
    <w:rsid w:val="00445FAD"/>
    <w:rsid w:val="00447556"/>
    <w:rsid w:val="0045058B"/>
    <w:rsid w:val="00460B23"/>
    <w:rsid w:val="00461D2A"/>
    <w:rsid w:val="004661CA"/>
    <w:rsid w:val="004708D0"/>
    <w:rsid w:val="00470A99"/>
    <w:rsid w:val="00475D3B"/>
    <w:rsid w:val="00482DFF"/>
    <w:rsid w:val="00484A8B"/>
    <w:rsid w:val="00485359"/>
    <w:rsid w:val="00486C80"/>
    <w:rsid w:val="00487332"/>
    <w:rsid w:val="004935BE"/>
    <w:rsid w:val="00493A18"/>
    <w:rsid w:val="004A324E"/>
    <w:rsid w:val="004A5C9D"/>
    <w:rsid w:val="004A6673"/>
    <w:rsid w:val="004B3CA5"/>
    <w:rsid w:val="004B5114"/>
    <w:rsid w:val="004B5991"/>
    <w:rsid w:val="004B59C9"/>
    <w:rsid w:val="004C08DB"/>
    <w:rsid w:val="004C4786"/>
    <w:rsid w:val="004D2872"/>
    <w:rsid w:val="004D3C13"/>
    <w:rsid w:val="004D4156"/>
    <w:rsid w:val="004D57B5"/>
    <w:rsid w:val="004D598E"/>
    <w:rsid w:val="004E2C26"/>
    <w:rsid w:val="004E4595"/>
    <w:rsid w:val="004F07FB"/>
    <w:rsid w:val="004F5ADF"/>
    <w:rsid w:val="00502CB3"/>
    <w:rsid w:val="0050440E"/>
    <w:rsid w:val="005064A4"/>
    <w:rsid w:val="00506803"/>
    <w:rsid w:val="00512081"/>
    <w:rsid w:val="00521C68"/>
    <w:rsid w:val="00530F76"/>
    <w:rsid w:val="005329F7"/>
    <w:rsid w:val="00533EC0"/>
    <w:rsid w:val="00536A41"/>
    <w:rsid w:val="0053730E"/>
    <w:rsid w:val="00540EDA"/>
    <w:rsid w:val="005455B5"/>
    <w:rsid w:val="00546C57"/>
    <w:rsid w:val="00552C46"/>
    <w:rsid w:val="00553FC1"/>
    <w:rsid w:val="005547BC"/>
    <w:rsid w:val="005627CB"/>
    <w:rsid w:val="00577430"/>
    <w:rsid w:val="005777B8"/>
    <w:rsid w:val="00581F86"/>
    <w:rsid w:val="00584AEE"/>
    <w:rsid w:val="005853A1"/>
    <w:rsid w:val="00586339"/>
    <w:rsid w:val="0058654C"/>
    <w:rsid w:val="00586F59"/>
    <w:rsid w:val="00597985"/>
    <w:rsid w:val="005A5DCD"/>
    <w:rsid w:val="005A788F"/>
    <w:rsid w:val="005B1D0E"/>
    <w:rsid w:val="005B1F89"/>
    <w:rsid w:val="005B5C01"/>
    <w:rsid w:val="005B6053"/>
    <w:rsid w:val="005C19C5"/>
    <w:rsid w:val="005C7A28"/>
    <w:rsid w:val="005D083E"/>
    <w:rsid w:val="005D2E52"/>
    <w:rsid w:val="005D48DF"/>
    <w:rsid w:val="005D4B78"/>
    <w:rsid w:val="005D4D32"/>
    <w:rsid w:val="005D57E6"/>
    <w:rsid w:val="005D5F4E"/>
    <w:rsid w:val="005E00B0"/>
    <w:rsid w:val="005E0A56"/>
    <w:rsid w:val="005E16E6"/>
    <w:rsid w:val="005E2596"/>
    <w:rsid w:val="005E3846"/>
    <w:rsid w:val="005E5190"/>
    <w:rsid w:val="005F1217"/>
    <w:rsid w:val="005F5C72"/>
    <w:rsid w:val="00602353"/>
    <w:rsid w:val="0060331B"/>
    <w:rsid w:val="00606960"/>
    <w:rsid w:val="006111FF"/>
    <w:rsid w:val="00612F6B"/>
    <w:rsid w:val="00614167"/>
    <w:rsid w:val="006162B0"/>
    <w:rsid w:val="00626274"/>
    <w:rsid w:val="006349A5"/>
    <w:rsid w:val="006357D4"/>
    <w:rsid w:val="00642A2E"/>
    <w:rsid w:val="00643708"/>
    <w:rsid w:val="00647CD6"/>
    <w:rsid w:val="006547EB"/>
    <w:rsid w:val="00656D4A"/>
    <w:rsid w:val="006605FD"/>
    <w:rsid w:val="006630A3"/>
    <w:rsid w:val="00663460"/>
    <w:rsid w:val="0066540B"/>
    <w:rsid w:val="0067166B"/>
    <w:rsid w:val="00672F44"/>
    <w:rsid w:val="00681796"/>
    <w:rsid w:val="00691FF4"/>
    <w:rsid w:val="0069340D"/>
    <w:rsid w:val="00696FA9"/>
    <w:rsid w:val="006A37E9"/>
    <w:rsid w:val="006A5EFF"/>
    <w:rsid w:val="006A75E1"/>
    <w:rsid w:val="006A764D"/>
    <w:rsid w:val="006B04F3"/>
    <w:rsid w:val="006B14D4"/>
    <w:rsid w:val="006B49CE"/>
    <w:rsid w:val="006C125C"/>
    <w:rsid w:val="006D1999"/>
    <w:rsid w:val="006D20A9"/>
    <w:rsid w:val="006D2393"/>
    <w:rsid w:val="006D276E"/>
    <w:rsid w:val="006D5692"/>
    <w:rsid w:val="006D6B69"/>
    <w:rsid w:val="006E0F23"/>
    <w:rsid w:val="006E158E"/>
    <w:rsid w:val="006E4B3C"/>
    <w:rsid w:val="006E5705"/>
    <w:rsid w:val="006F0EA3"/>
    <w:rsid w:val="006F23A5"/>
    <w:rsid w:val="00700F7B"/>
    <w:rsid w:val="00705C77"/>
    <w:rsid w:val="00706893"/>
    <w:rsid w:val="00706DD7"/>
    <w:rsid w:val="0071227B"/>
    <w:rsid w:val="0071611A"/>
    <w:rsid w:val="00720550"/>
    <w:rsid w:val="00722C11"/>
    <w:rsid w:val="00723853"/>
    <w:rsid w:val="00725440"/>
    <w:rsid w:val="00725804"/>
    <w:rsid w:val="00730FAC"/>
    <w:rsid w:val="00731A71"/>
    <w:rsid w:val="007323B5"/>
    <w:rsid w:val="00732B74"/>
    <w:rsid w:val="00736D05"/>
    <w:rsid w:val="00736EFF"/>
    <w:rsid w:val="00737F80"/>
    <w:rsid w:val="00745D50"/>
    <w:rsid w:val="00747367"/>
    <w:rsid w:val="00750161"/>
    <w:rsid w:val="007620BE"/>
    <w:rsid w:val="007627B8"/>
    <w:rsid w:val="007671E8"/>
    <w:rsid w:val="00774B68"/>
    <w:rsid w:val="0077665E"/>
    <w:rsid w:val="00782B49"/>
    <w:rsid w:val="00784447"/>
    <w:rsid w:val="0079069A"/>
    <w:rsid w:val="0079350A"/>
    <w:rsid w:val="007A495F"/>
    <w:rsid w:val="007A6BCE"/>
    <w:rsid w:val="007B1F74"/>
    <w:rsid w:val="007B233E"/>
    <w:rsid w:val="007B45B5"/>
    <w:rsid w:val="007D0CAC"/>
    <w:rsid w:val="007D2581"/>
    <w:rsid w:val="007D3CD1"/>
    <w:rsid w:val="007D5119"/>
    <w:rsid w:val="007E0999"/>
    <w:rsid w:val="007E33DC"/>
    <w:rsid w:val="007E46BA"/>
    <w:rsid w:val="007F65D3"/>
    <w:rsid w:val="007F7FF1"/>
    <w:rsid w:val="008012E1"/>
    <w:rsid w:val="00801D52"/>
    <w:rsid w:val="00802091"/>
    <w:rsid w:val="008037D5"/>
    <w:rsid w:val="008079CC"/>
    <w:rsid w:val="00814B95"/>
    <w:rsid w:val="00816F37"/>
    <w:rsid w:val="0082043A"/>
    <w:rsid w:val="00824EDC"/>
    <w:rsid w:val="00826586"/>
    <w:rsid w:val="00832EE3"/>
    <w:rsid w:val="00833622"/>
    <w:rsid w:val="00835604"/>
    <w:rsid w:val="00843C8C"/>
    <w:rsid w:val="008443F4"/>
    <w:rsid w:val="00845EC6"/>
    <w:rsid w:val="00845F9E"/>
    <w:rsid w:val="00850814"/>
    <w:rsid w:val="00855345"/>
    <w:rsid w:val="00870F43"/>
    <w:rsid w:val="00871D18"/>
    <w:rsid w:val="00872175"/>
    <w:rsid w:val="00875820"/>
    <w:rsid w:val="00877532"/>
    <w:rsid w:val="008805B2"/>
    <w:rsid w:val="00893164"/>
    <w:rsid w:val="00893F20"/>
    <w:rsid w:val="00895235"/>
    <w:rsid w:val="008A20FE"/>
    <w:rsid w:val="008A2507"/>
    <w:rsid w:val="008A2577"/>
    <w:rsid w:val="008B277D"/>
    <w:rsid w:val="008B3740"/>
    <w:rsid w:val="008B4393"/>
    <w:rsid w:val="008B5035"/>
    <w:rsid w:val="008B636C"/>
    <w:rsid w:val="008B67C6"/>
    <w:rsid w:val="008B6BFB"/>
    <w:rsid w:val="008C44B4"/>
    <w:rsid w:val="008C6996"/>
    <w:rsid w:val="008D1977"/>
    <w:rsid w:val="008D21D2"/>
    <w:rsid w:val="008D2242"/>
    <w:rsid w:val="008D2B09"/>
    <w:rsid w:val="008D2E77"/>
    <w:rsid w:val="008D4E32"/>
    <w:rsid w:val="008E63A5"/>
    <w:rsid w:val="00901EA4"/>
    <w:rsid w:val="0090286F"/>
    <w:rsid w:val="00903468"/>
    <w:rsid w:val="00903CD9"/>
    <w:rsid w:val="00904807"/>
    <w:rsid w:val="0090556C"/>
    <w:rsid w:val="00914A81"/>
    <w:rsid w:val="009171D0"/>
    <w:rsid w:val="00917241"/>
    <w:rsid w:val="009222FD"/>
    <w:rsid w:val="00922D97"/>
    <w:rsid w:val="00922FC3"/>
    <w:rsid w:val="00923EBF"/>
    <w:rsid w:val="00925534"/>
    <w:rsid w:val="009409F2"/>
    <w:rsid w:val="00941D45"/>
    <w:rsid w:val="00942904"/>
    <w:rsid w:val="00943BA0"/>
    <w:rsid w:val="00944CCB"/>
    <w:rsid w:val="009502B1"/>
    <w:rsid w:val="009543C7"/>
    <w:rsid w:val="00961FBD"/>
    <w:rsid w:val="00965A90"/>
    <w:rsid w:val="009679D9"/>
    <w:rsid w:val="009722E9"/>
    <w:rsid w:val="00973BCD"/>
    <w:rsid w:val="00973CBB"/>
    <w:rsid w:val="00976F70"/>
    <w:rsid w:val="0098221D"/>
    <w:rsid w:val="0099139D"/>
    <w:rsid w:val="009943C2"/>
    <w:rsid w:val="0099728C"/>
    <w:rsid w:val="009A3DA9"/>
    <w:rsid w:val="009A723E"/>
    <w:rsid w:val="009B6A20"/>
    <w:rsid w:val="009B6C2E"/>
    <w:rsid w:val="009B7A59"/>
    <w:rsid w:val="009B7FD9"/>
    <w:rsid w:val="009C03CE"/>
    <w:rsid w:val="009C14F8"/>
    <w:rsid w:val="009C25C0"/>
    <w:rsid w:val="009C54E7"/>
    <w:rsid w:val="009C7C49"/>
    <w:rsid w:val="009C7F3B"/>
    <w:rsid w:val="009D295F"/>
    <w:rsid w:val="009D2A41"/>
    <w:rsid w:val="009D4D4B"/>
    <w:rsid w:val="009D7036"/>
    <w:rsid w:val="009D7312"/>
    <w:rsid w:val="009E1045"/>
    <w:rsid w:val="009F7D2C"/>
    <w:rsid w:val="00A00479"/>
    <w:rsid w:val="00A01950"/>
    <w:rsid w:val="00A045A4"/>
    <w:rsid w:val="00A05B83"/>
    <w:rsid w:val="00A06CEC"/>
    <w:rsid w:val="00A1030B"/>
    <w:rsid w:val="00A110C5"/>
    <w:rsid w:val="00A1506D"/>
    <w:rsid w:val="00A22CCA"/>
    <w:rsid w:val="00A233D0"/>
    <w:rsid w:val="00A24D50"/>
    <w:rsid w:val="00A24E54"/>
    <w:rsid w:val="00A26926"/>
    <w:rsid w:val="00A31218"/>
    <w:rsid w:val="00A413D8"/>
    <w:rsid w:val="00A43D29"/>
    <w:rsid w:val="00A45C2A"/>
    <w:rsid w:val="00A47BCD"/>
    <w:rsid w:val="00A529C2"/>
    <w:rsid w:val="00A52A58"/>
    <w:rsid w:val="00A53A27"/>
    <w:rsid w:val="00A54680"/>
    <w:rsid w:val="00A54CA0"/>
    <w:rsid w:val="00A61B34"/>
    <w:rsid w:val="00A6318B"/>
    <w:rsid w:val="00A65122"/>
    <w:rsid w:val="00A6680B"/>
    <w:rsid w:val="00A66F99"/>
    <w:rsid w:val="00A67E91"/>
    <w:rsid w:val="00A70B0C"/>
    <w:rsid w:val="00A70B10"/>
    <w:rsid w:val="00A72FDE"/>
    <w:rsid w:val="00A8034F"/>
    <w:rsid w:val="00A81957"/>
    <w:rsid w:val="00A8350C"/>
    <w:rsid w:val="00A83DE8"/>
    <w:rsid w:val="00A91403"/>
    <w:rsid w:val="00A91881"/>
    <w:rsid w:val="00A94F4F"/>
    <w:rsid w:val="00A95EF8"/>
    <w:rsid w:val="00A97424"/>
    <w:rsid w:val="00AA1239"/>
    <w:rsid w:val="00AA1995"/>
    <w:rsid w:val="00AA41C9"/>
    <w:rsid w:val="00AA46E7"/>
    <w:rsid w:val="00AA49BB"/>
    <w:rsid w:val="00AA5880"/>
    <w:rsid w:val="00AB26AC"/>
    <w:rsid w:val="00AB38F3"/>
    <w:rsid w:val="00AC094C"/>
    <w:rsid w:val="00AC26DA"/>
    <w:rsid w:val="00AC5206"/>
    <w:rsid w:val="00AC5BEB"/>
    <w:rsid w:val="00AC7189"/>
    <w:rsid w:val="00AC7630"/>
    <w:rsid w:val="00AD3251"/>
    <w:rsid w:val="00AD74EC"/>
    <w:rsid w:val="00AE0A19"/>
    <w:rsid w:val="00AE0C8C"/>
    <w:rsid w:val="00AE1C67"/>
    <w:rsid w:val="00AE3A23"/>
    <w:rsid w:val="00AE70FD"/>
    <w:rsid w:val="00AF448B"/>
    <w:rsid w:val="00AF5DA8"/>
    <w:rsid w:val="00AF6D67"/>
    <w:rsid w:val="00B10DDA"/>
    <w:rsid w:val="00B10FF3"/>
    <w:rsid w:val="00B14909"/>
    <w:rsid w:val="00B154A0"/>
    <w:rsid w:val="00B1706F"/>
    <w:rsid w:val="00B17AF0"/>
    <w:rsid w:val="00B228B9"/>
    <w:rsid w:val="00B244B7"/>
    <w:rsid w:val="00B262B0"/>
    <w:rsid w:val="00B3252B"/>
    <w:rsid w:val="00B3258C"/>
    <w:rsid w:val="00B3394E"/>
    <w:rsid w:val="00B36336"/>
    <w:rsid w:val="00B450BF"/>
    <w:rsid w:val="00B468C0"/>
    <w:rsid w:val="00B50974"/>
    <w:rsid w:val="00B52444"/>
    <w:rsid w:val="00B5467F"/>
    <w:rsid w:val="00B568BA"/>
    <w:rsid w:val="00B5791B"/>
    <w:rsid w:val="00B60ED1"/>
    <w:rsid w:val="00B66E06"/>
    <w:rsid w:val="00B7097A"/>
    <w:rsid w:val="00B71E35"/>
    <w:rsid w:val="00B7464B"/>
    <w:rsid w:val="00B81A5F"/>
    <w:rsid w:val="00B84229"/>
    <w:rsid w:val="00B86194"/>
    <w:rsid w:val="00B90A09"/>
    <w:rsid w:val="00B90FC0"/>
    <w:rsid w:val="00BA1935"/>
    <w:rsid w:val="00BA5C33"/>
    <w:rsid w:val="00BA7852"/>
    <w:rsid w:val="00BB0133"/>
    <w:rsid w:val="00BB5AD2"/>
    <w:rsid w:val="00BB7637"/>
    <w:rsid w:val="00BC1A67"/>
    <w:rsid w:val="00BC244B"/>
    <w:rsid w:val="00BC25A3"/>
    <w:rsid w:val="00BD01CC"/>
    <w:rsid w:val="00BD1B7D"/>
    <w:rsid w:val="00BD5606"/>
    <w:rsid w:val="00BE09D2"/>
    <w:rsid w:val="00BE4B63"/>
    <w:rsid w:val="00BE702F"/>
    <w:rsid w:val="00BE7E8E"/>
    <w:rsid w:val="00BF2134"/>
    <w:rsid w:val="00BF3056"/>
    <w:rsid w:val="00BF55D0"/>
    <w:rsid w:val="00BF5A71"/>
    <w:rsid w:val="00C046DC"/>
    <w:rsid w:val="00C056E1"/>
    <w:rsid w:val="00C13D4B"/>
    <w:rsid w:val="00C268D0"/>
    <w:rsid w:val="00C27583"/>
    <w:rsid w:val="00C35D4A"/>
    <w:rsid w:val="00C40074"/>
    <w:rsid w:val="00C412DF"/>
    <w:rsid w:val="00C4136C"/>
    <w:rsid w:val="00C43D04"/>
    <w:rsid w:val="00C44A6B"/>
    <w:rsid w:val="00C46675"/>
    <w:rsid w:val="00C50295"/>
    <w:rsid w:val="00C527A8"/>
    <w:rsid w:val="00C52C4A"/>
    <w:rsid w:val="00C6054B"/>
    <w:rsid w:val="00C62BD8"/>
    <w:rsid w:val="00C64434"/>
    <w:rsid w:val="00C647DE"/>
    <w:rsid w:val="00C6481D"/>
    <w:rsid w:val="00C711CF"/>
    <w:rsid w:val="00C726F5"/>
    <w:rsid w:val="00C75C71"/>
    <w:rsid w:val="00C76954"/>
    <w:rsid w:val="00C76ABE"/>
    <w:rsid w:val="00C76FF4"/>
    <w:rsid w:val="00C774D0"/>
    <w:rsid w:val="00C77625"/>
    <w:rsid w:val="00C80A87"/>
    <w:rsid w:val="00C81191"/>
    <w:rsid w:val="00C81315"/>
    <w:rsid w:val="00C837BB"/>
    <w:rsid w:val="00C85756"/>
    <w:rsid w:val="00C85879"/>
    <w:rsid w:val="00C90D25"/>
    <w:rsid w:val="00C96208"/>
    <w:rsid w:val="00C96E10"/>
    <w:rsid w:val="00C97C4A"/>
    <w:rsid w:val="00CA0708"/>
    <w:rsid w:val="00CA0D5C"/>
    <w:rsid w:val="00CA0E87"/>
    <w:rsid w:val="00CA28A1"/>
    <w:rsid w:val="00CA4072"/>
    <w:rsid w:val="00CA448D"/>
    <w:rsid w:val="00CB2D96"/>
    <w:rsid w:val="00CB4C85"/>
    <w:rsid w:val="00CD098C"/>
    <w:rsid w:val="00CD1D68"/>
    <w:rsid w:val="00CE0CF8"/>
    <w:rsid w:val="00CE1AF4"/>
    <w:rsid w:val="00CE5558"/>
    <w:rsid w:val="00CF6D74"/>
    <w:rsid w:val="00D05D67"/>
    <w:rsid w:val="00D06FCD"/>
    <w:rsid w:val="00D166FE"/>
    <w:rsid w:val="00D1766F"/>
    <w:rsid w:val="00D21080"/>
    <w:rsid w:val="00D2204F"/>
    <w:rsid w:val="00D25838"/>
    <w:rsid w:val="00D279BC"/>
    <w:rsid w:val="00D31C71"/>
    <w:rsid w:val="00D325F4"/>
    <w:rsid w:val="00D33B0E"/>
    <w:rsid w:val="00D350A1"/>
    <w:rsid w:val="00D41458"/>
    <w:rsid w:val="00D4287D"/>
    <w:rsid w:val="00D4421D"/>
    <w:rsid w:val="00D503E9"/>
    <w:rsid w:val="00D57C77"/>
    <w:rsid w:val="00D62696"/>
    <w:rsid w:val="00D64A44"/>
    <w:rsid w:val="00D65416"/>
    <w:rsid w:val="00D675FA"/>
    <w:rsid w:val="00D71478"/>
    <w:rsid w:val="00D73A12"/>
    <w:rsid w:val="00D745D2"/>
    <w:rsid w:val="00D809A4"/>
    <w:rsid w:val="00D840BA"/>
    <w:rsid w:val="00D86285"/>
    <w:rsid w:val="00D90163"/>
    <w:rsid w:val="00D9167C"/>
    <w:rsid w:val="00D91BAE"/>
    <w:rsid w:val="00D940EB"/>
    <w:rsid w:val="00D9457B"/>
    <w:rsid w:val="00DA23D5"/>
    <w:rsid w:val="00DA5553"/>
    <w:rsid w:val="00DB372A"/>
    <w:rsid w:val="00DB51E0"/>
    <w:rsid w:val="00DC039E"/>
    <w:rsid w:val="00DC40C2"/>
    <w:rsid w:val="00DC4A20"/>
    <w:rsid w:val="00DD1EAA"/>
    <w:rsid w:val="00DD5BAD"/>
    <w:rsid w:val="00DE054F"/>
    <w:rsid w:val="00DE213B"/>
    <w:rsid w:val="00DE4E21"/>
    <w:rsid w:val="00DF260A"/>
    <w:rsid w:val="00E011C7"/>
    <w:rsid w:val="00E013D2"/>
    <w:rsid w:val="00E0155D"/>
    <w:rsid w:val="00E024B9"/>
    <w:rsid w:val="00E05B61"/>
    <w:rsid w:val="00E15DD7"/>
    <w:rsid w:val="00E177ED"/>
    <w:rsid w:val="00E20A0E"/>
    <w:rsid w:val="00E23227"/>
    <w:rsid w:val="00E2677F"/>
    <w:rsid w:val="00E27235"/>
    <w:rsid w:val="00E31F4A"/>
    <w:rsid w:val="00E34AE7"/>
    <w:rsid w:val="00E37164"/>
    <w:rsid w:val="00E41E22"/>
    <w:rsid w:val="00E4314D"/>
    <w:rsid w:val="00E46A86"/>
    <w:rsid w:val="00E530DF"/>
    <w:rsid w:val="00E533BC"/>
    <w:rsid w:val="00E534A8"/>
    <w:rsid w:val="00E552CD"/>
    <w:rsid w:val="00E5604A"/>
    <w:rsid w:val="00E57C9E"/>
    <w:rsid w:val="00E70299"/>
    <w:rsid w:val="00E70CE5"/>
    <w:rsid w:val="00E7182F"/>
    <w:rsid w:val="00E730EA"/>
    <w:rsid w:val="00E74607"/>
    <w:rsid w:val="00E765AB"/>
    <w:rsid w:val="00E85E49"/>
    <w:rsid w:val="00E912F8"/>
    <w:rsid w:val="00E93446"/>
    <w:rsid w:val="00E93E05"/>
    <w:rsid w:val="00E95C01"/>
    <w:rsid w:val="00EA2F2A"/>
    <w:rsid w:val="00EA66C7"/>
    <w:rsid w:val="00EA6986"/>
    <w:rsid w:val="00EA6E97"/>
    <w:rsid w:val="00EB2CB6"/>
    <w:rsid w:val="00EB2EFA"/>
    <w:rsid w:val="00EB55C6"/>
    <w:rsid w:val="00EB6797"/>
    <w:rsid w:val="00EC4BE9"/>
    <w:rsid w:val="00EC7413"/>
    <w:rsid w:val="00ED076A"/>
    <w:rsid w:val="00ED308E"/>
    <w:rsid w:val="00ED3378"/>
    <w:rsid w:val="00EE1F6E"/>
    <w:rsid w:val="00EE4E8F"/>
    <w:rsid w:val="00EE6AF2"/>
    <w:rsid w:val="00EE7632"/>
    <w:rsid w:val="00EE7C17"/>
    <w:rsid w:val="00EE7CE6"/>
    <w:rsid w:val="00EF06B4"/>
    <w:rsid w:val="00EF1B4E"/>
    <w:rsid w:val="00EF303D"/>
    <w:rsid w:val="00F00AC7"/>
    <w:rsid w:val="00F0436B"/>
    <w:rsid w:val="00F054CE"/>
    <w:rsid w:val="00F10C64"/>
    <w:rsid w:val="00F10E2C"/>
    <w:rsid w:val="00F116EB"/>
    <w:rsid w:val="00F13498"/>
    <w:rsid w:val="00F158A0"/>
    <w:rsid w:val="00F17B37"/>
    <w:rsid w:val="00F20104"/>
    <w:rsid w:val="00F203CC"/>
    <w:rsid w:val="00F20770"/>
    <w:rsid w:val="00F21C75"/>
    <w:rsid w:val="00F21D0B"/>
    <w:rsid w:val="00F24384"/>
    <w:rsid w:val="00F250F7"/>
    <w:rsid w:val="00F300F8"/>
    <w:rsid w:val="00F32BDC"/>
    <w:rsid w:val="00F37015"/>
    <w:rsid w:val="00F43939"/>
    <w:rsid w:val="00F46A59"/>
    <w:rsid w:val="00F57DE5"/>
    <w:rsid w:val="00F6044E"/>
    <w:rsid w:val="00F613E0"/>
    <w:rsid w:val="00F61C02"/>
    <w:rsid w:val="00F61D5F"/>
    <w:rsid w:val="00F64726"/>
    <w:rsid w:val="00F70DA7"/>
    <w:rsid w:val="00F72291"/>
    <w:rsid w:val="00F746EB"/>
    <w:rsid w:val="00F81F72"/>
    <w:rsid w:val="00F84ABF"/>
    <w:rsid w:val="00F8575C"/>
    <w:rsid w:val="00F9135A"/>
    <w:rsid w:val="00F95C72"/>
    <w:rsid w:val="00F96D57"/>
    <w:rsid w:val="00FA18E4"/>
    <w:rsid w:val="00FA2E5A"/>
    <w:rsid w:val="00FA45FD"/>
    <w:rsid w:val="00FA4CA2"/>
    <w:rsid w:val="00FB14FA"/>
    <w:rsid w:val="00FB1966"/>
    <w:rsid w:val="00FB1FBE"/>
    <w:rsid w:val="00FB31F2"/>
    <w:rsid w:val="00FC0338"/>
    <w:rsid w:val="00FC4E0F"/>
    <w:rsid w:val="00FC6E0B"/>
    <w:rsid w:val="00FD324C"/>
    <w:rsid w:val="00FD5C7D"/>
    <w:rsid w:val="00FD70A1"/>
    <w:rsid w:val="00FE2AC4"/>
    <w:rsid w:val="00FE4E62"/>
    <w:rsid w:val="00FE56DD"/>
    <w:rsid w:val="00FE777F"/>
    <w:rsid w:val="00FF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C7CB"/>
  <w15:chartTrackingRefBased/>
  <w15:docId w15:val="{3B2D88B9-3BE4-46AD-8A62-8852618D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7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olhd">
    <w:name w:val="T col hd"/>
    <w:basedOn w:val="Normal"/>
    <w:uiPriority w:val="99"/>
    <w:rsid w:val="00CD1D68"/>
    <w:pPr>
      <w:widowControl w:val="0"/>
      <w:pBdr>
        <w:bottom w:val="single" w:sz="8" w:space="4" w:color="A42628"/>
      </w:pBdr>
      <w:tabs>
        <w:tab w:val="left" w:pos="4540"/>
      </w:tabs>
      <w:autoSpaceDE w:val="0"/>
      <w:autoSpaceDN w:val="0"/>
      <w:adjustRightInd w:val="0"/>
      <w:spacing w:after="113" w:line="260" w:lineRule="atLeast"/>
      <w:textAlignment w:val="center"/>
    </w:pPr>
    <w:rPr>
      <w:rFonts w:ascii="HelveticaNeue-Bold" w:eastAsiaTheme="minorEastAsia" w:hAnsi="HelveticaNeue-Bold" w:cs="HelveticaNeue-Bold"/>
      <w:b/>
      <w:bCs/>
      <w:caps/>
      <w:color w:val="008597"/>
      <w:spacing w:val="17"/>
      <w:sz w:val="14"/>
      <w:szCs w:val="14"/>
      <w:lang w:val="en-US" w:eastAsia="en-AU"/>
    </w:rPr>
  </w:style>
  <w:style w:type="paragraph" w:customStyle="1" w:styleId="Tbody">
    <w:name w:val="T body"/>
    <w:basedOn w:val="Normal"/>
    <w:uiPriority w:val="99"/>
    <w:rsid w:val="00CD1D68"/>
    <w:pPr>
      <w:widowControl w:val="0"/>
      <w:tabs>
        <w:tab w:val="left" w:pos="4535"/>
      </w:tabs>
      <w:suppressAutoHyphens/>
      <w:autoSpaceDE w:val="0"/>
      <w:autoSpaceDN w:val="0"/>
      <w:adjustRightInd w:val="0"/>
      <w:spacing w:after="0" w:line="220" w:lineRule="atLeast"/>
      <w:ind w:left="4535" w:right="57" w:hanging="4535"/>
      <w:jc w:val="both"/>
      <w:textAlignment w:val="center"/>
    </w:pPr>
    <w:rPr>
      <w:rFonts w:ascii="HelveticaNeue-Roman" w:eastAsiaTheme="minorEastAsia" w:hAnsi="HelveticaNeue-Roman" w:cs="HelveticaNeue-Roman"/>
      <w:color w:val="000000"/>
      <w:sz w:val="16"/>
      <w:szCs w:val="16"/>
      <w:lang w:val="en-US" w:eastAsia="en-AU"/>
    </w:rPr>
  </w:style>
  <w:style w:type="paragraph" w:customStyle="1" w:styleId="Tnum">
    <w:name w:val="T num"/>
    <w:basedOn w:val="Normal"/>
    <w:uiPriority w:val="99"/>
    <w:rsid w:val="00CD1D68"/>
    <w:pPr>
      <w:widowControl w:val="0"/>
      <w:suppressAutoHyphens/>
      <w:autoSpaceDE w:val="0"/>
      <w:autoSpaceDN w:val="0"/>
      <w:adjustRightInd w:val="0"/>
      <w:spacing w:before="57" w:after="57" w:line="200" w:lineRule="atLeast"/>
      <w:textAlignment w:val="center"/>
    </w:pPr>
    <w:rPr>
      <w:rFonts w:ascii="HelveticaNeue-Bold" w:eastAsiaTheme="minorEastAsia" w:hAnsi="HelveticaNeue-Bold" w:cs="HelveticaNeue-Bold"/>
      <w:b/>
      <w:bCs/>
      <w:color w:val="000000"/>
      <w:sz w:val="18"/>
      <w:szCs w:val="18"/>
      <w:lang w:val="en-US" w:eastAsia="en-AU"/>
    </w:rPr>
  </w:style>
  <w:style w:type="paragraph" w:customStyle="1" w:styleId="NoParagraphStyle">
    <w:name w:val="[No Paragraph Style]"/>
    <w:rsid w:val="00CD1D6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en-AU"/>
    </w:rPr>
  </w:style>
  <w:style w:type="paragraph" w:customStyle="1" w:styleId="Tcredit">
    <w:name w:val="T credit"/>
    <w:basedOn w:val="NoParagraphStyle"/>
    <w:uiPriority w:val="99"/>
    <w:rsid w:val="00CD1D68"/>
    <w:pPr>
      <w:suppressAutoHyphens/>
      <w:spacing w:after="170" w:line="200" w:lineRule="atLeast"/>
    </w:pPr>
    <w:rPr>
      <w:rFonts w:ascii="HelveticaNeue-Italic" w:hAnsi="HelveticaNeue-Italic" w:cs="HelveticaNeue-Italic"/>
      <w:i/>
      <w:iCs/>
      <w:sz w:val="16"/>
      <w:szCs w:val="16"/>
    </w:rPr>
  </w:style>
  <w:style w:type="paragraph" w:customStyle="1" w:styleId="reftext">
    <w:name w:val="ref text"/>
    <w:basedOn w:val="NoParagraphStyle"/>
    <w:uiPriority w:val="99"/>
    <w:rsid w:val="006D5692"/>
    <w:pPr>
      <w:suppressAutoHyphens/>
      <w:spacing w:after="28" w:line="220" w:lineRule="atLeast"/>
      <w:ind w:left="227" w:hanging="227"/>
    </w:pPr>
    <w:rPr>
      <w:rFonts w:ascii="HelveticaNeue-Roman" w:hAnsi="HelveticaNeue-Roman" w:cs="HelveticaNeue-Roman"/>
      <w:sz w:val="15"/>
      <w:szCs w:val="15"/>
    </w:rPr>
  </w:style>
  <w:style w:type="paragraph" w:styleId="Header">
    <w:name w:val="header"/>
    <w:basedOn w:val="Normal"/>
    <w:link w:val="HeaderChar"/>
    <w:uiPriority w:val="99"/>
    <w:unhideWhenUsed/>
    <w:rsid w:val="00A66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F99"/>
  </w:style>
  <w:style w:type="paragraph" w:styleId="Footer">
    <w:name w:val="footer"/>
    <w:basedOn w:val="Normal"/>
    <w:link w:val="FooterChar"/>
    <w:uiPriority w:val="99"/>
    <w:unhideWhenUsed/>
    <w:rsid w:val="00A66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F99"/>
  </w:style>
  <w:style w:type="paragraph" w:styleId="ListParagraph">
    <w:name w:val="List Paragraph"/>
    <w:basedOn w:val="Normal"/>
    <w:uiPriority w:val="34"/>
    <w:qFormat/>
    <w:rsid w:val="00270A6E"/>
    <w:pPr>
      <w:ind w:left="720"/>
      <w:contextualSpacing/>
    </w:pPr>
  </w:style>
  <w:style w:type="character" w:styleId="Hyperlink">
    <w:name w:val="Hyperlink"/>
    <w:basedOn w:val="DefaultParagraphFont"/>
    <w:uiPriority w:val="99"/>
    <w:unhideWhenUsed/>
    <w:rsid w:val="00201B01"/>
    <w:rPr>
      <w:color w:val="0563C1" w:themeColor="hyperlink"/>
      <w:u w:val="single"/>
    </w:rPr>
  </w:style>
  <w:style w:type="character" w:customStyle="1" w:styleId="UnresolvedMention1">
    <w:name w:val="Unresolved Mention1"/>
    <w:basedOn w:val="DefaultParagraphFont"/>
    <w:uiPriority w:val="99"/>
    <w:semiHidden/>
    <w:unhideWhenUsed/>
    <w:rsid w:val="00201B01"/>
    <w:rPr>
      <w:color w:val="605E5C"/>
      <w:shd w:val="clear" w:color="auto" w:fill="E1DFDD"/>
    </w:rPr>
  </w:style>
  <w:style w:type="table" w:styleId="TableGrid">
    <w:name w:val="Table Grid"/>
    <w:basedOn w:val="TableNormal"/>
    <w:uiPriority w:val="39"/>
    <w:rsid w:val="008D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57E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54680"/>
    <w:rPr>
      <w:color w:val="954F72" w:themeColor="followedHyperlink"/>
      <w:u w:val="single"/>
    </w:rPr>
  </w:style>
  <w:style w:type="character" w:styleId="UnresolvedMention">
    <w:name w:val="Unresolved Mention"/>
    <w:basedOn w:val="DefaultParagraphFont"/>
    <w:uiPriority w:val="99"/>
    <w:semiHidden/>
    <w:unhideWhenUsed/>
    <w:rsid w:val="00FA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751">
      <w:bodyDiv w:val="1"/>
      <w:marLeft w:val="0"/>
      <w:marRight w:val="0"/>
      <w:marTop w:val="0"/>
      <w:marBottom w:val="0"/>
      <w:divBdr>
        <w:top w:val="none" w:sz="0" w:space="0" w:color="auto"/>
        <w:left w:val="none" w:sz="0" w:space="0" w:color="auto"/>
        <w:bottom w:val="none" w:sz="0" w:space="0" w:color="auto"/>
        <w:right w:val="none" w:sz="0" w:space="0" w:color="auto"/>
      </w:divBdr>
    </w:div>
    <w:div w:id="197861058">
      <w:bodyDiv w:val="1"/>
      <w:marLeft w:val="0"/>
      <w:marRight w:val="0"/>
      <w:marTop w:val="0"/>
      <w:marBottom w:val="0"/>
      <w:divBdr>
        <w:top w:val="none" w:sz="0" w:space="0" w:color="auto"/>
        <w:left w:val="none" w:sz="0" w:space="0" w:color="auto"/>
        <w:bottom w:val="none" w:sz="0" w:space="0" w:color="auto"/>
        <w:right w:val="none" w:sz="0" w:space="0" w:color="auto"/>
      </w:divBdr>
      <w:divsChild>
        <w:div w:id="518395667">
          <w:marLeft w:val="0"/>
          <w:marRight w:val="0"/>
          <w:marTop w:val="0"/>
          <w:marBottom w:val="0"/>
          <w:divBdr>
            <w:top w:val="none" w:sz="0" w:space="0" w:color="auto"/>
            <w:left w:val="none" w:sz="0" w:space="0" w:color="auto"/>
            <w:bottom w:val="none" w:sz="0" w:space="0" w:color="auto"/>
            <w:right w:val="none" w:sz="0" w:space="0" w:color="auto"/>
          </w:divBdr>
          <w:divsChild>
            <w:div w:id="1413164329">
              <w:marLeft w:val="0"/>
              <w:marRight w:val="0"/>
              <w:marTop w:val="0"/>
              <w:marBottom w:val="0"/>
              <w:divBdr>
                <w:top w:val="none" w:sz="0" w:space="0" w:color="auto"/>
                <w:left w:val="none" w:sz="0" w:space="0" w:color="auto"/>
                <w:bottom w:val="none" w:sz="0" w:space="0" w:color="auto"/>
                <w:right w:val="none" w:sz="0" w:space="0" w:color="auto"/>
              </w:divBdr>
              <w:divsChild>
                <w:div w:id="1595213339">
                  <w:marLeft w:val="0"/>
                  <w:marRight w:val="0"/>
                  <w:marTop w:val="0"/>
                  <w:marBottom w:val="0"/>
                  <w:divBdr>
                    <w:top w:val="none" w:sz="0" w:space="0" w:color="auto"/>
                    <w:left w:val="none" w:sz="0" w:space="0" w:color="auto"/>
                    <w:bottom w:val="none" w:sz="0" w:space="0" w:color="auto"/>
                    <w:right w:val="none" w:sz="0" w:space="0" w:color="auto"/>
                  </w:divBdr>
                </w:div>
                <w:div w:id="1416245217">
                  <w:marLeft w:val="0"/>
                  <w:marRight w:val="0"/>
                  <w:marTop w:val="0"/>
                  <w:marBottom w:val="0"/>
                  <w:divBdr>
                    <w:top w:val="none" w:sz="0" w:space="0" w:color="auto"/>
                    <w:left w:val="none" w:sz="0" w:space="0" w:color="auto"/>
                    <w:bottom w:val="none" w:sz="0" w:space="0" w:color="auto"/>
                    <w:right w:val="none" w:sz="0" w:space="0" w:color="auto"/>
                  </w:divBdr>
                </w:div>
              </w:divsChild>
            </w:div>
            <w:div w:id="386413198">
              <w:marLeft w:val="0"/>
              <w:marRight w:val="0"/>
              <w:marTop w:val="0"/>
              <w:marBottom w:val="0"/>
              <w:divBdr>
                <w:top w:val="none" w:sz="0" w:space="0" w:color="auto"/>
                <w:left w:val="none" w:sz="0" w:space="0" w:color="auto"/>
                <w:bottom w:val="none" w:sz="0" w:space="0" w:color="auto"/>
                <w:right w:val="none" w:sz="0" w:space="0" w:color="auto"/>
              </w:divBdr>
              <w:divsChild>
                <w:div w:id="97988925">
                  <w:marLeft w:val="0"/>
                  <w:marRight w:val="0"/>
                  <w:marTop w:val="0"/>
                  <w:marBottom w:val="0"/>
                  <w:divBdr>
                    <w:top w:val="none" w:sz="0" w:space="0" w:color="auto"/>
                    <w:left w:val="none" w:sz="0" w:space="0" w:color="auto"/>
                    <w:bottom w:val="none" w:sz="0" w:space="0" w:color="auto"/>
                    <w:right w:val="none" w:sz="0" w:space="0" w:color="auto"/>
                  </w:divBdr>
                </w:div>
                <w:div w:id="2106070768">
                  <w:marLeft w:val="0"/>
                  <w:marRight w:val="0"/>
                  <w:marTop w:val="0"/>
                  <w:marBottom w:val="0"/>
                  <w:divBdr>
                    <w:top w:val="none" w:sz="0" w:space="0" w:color="auto"/>
                    <w:left w:val="none" w:sz="0" w:space="0" w:color="auto"/>
                    <w:bottom w:val="none" w:sz="0" w:space="0" w:color="auto"/>
                    <w:right w:val="none" w:sz="0" w:space="0" w:color="auto"/>
                  </w:divBdr>
                </w:div>
              </w:divsChild>
            </w:div>
            <w:div w:id="1912764437">
              <w:marLeft w:val="0"/>
              <w:marRight w:val="0"/>
              <w:marTop w:val="0"/>
              <w:marBottom w:val="0"/>
              <w:divBdr>
                <w:top w:val="none" w:sz="0" w:space="0" w:color="auto"/>
                <w:left w:val="none" w:sz="0" w:space="0" w:color="auto"/>
                <w:bottom w:val="none" w:sz="0" w:space="0" w:color="auto"/>
                <w:right w:val="none" w:sz="0" w:space="0" w:color="auto"/>
              </w:divBdr>
              <w:divsChild>
                <w:div w:id="3014869">
                  <w:marLeft w:val="0"/>
                  <w:marRight w:val="0"/>
                  <w:marTop w:val="0"/>
                  <w:marBottom w:val="0"/>
                  <w:divBdr>
                    <w:top w:val="none" w:sz="0" w:space="0" w:color="auto"/>
                    <w:left w:val="none" w:sz="0" w:space="0" w:color="auto"/>
                    <w:bottom w:val="none" w:sz="0" w:space="0" w:color="auto"/>
                    <w:right w:val="none" w:sz="0" w:space="0" w:color="auto"/>
                  </w:divBdr>
                </w:div>
                <w:div w:id="1942378248">
                  <w:marLeft w:val="0"/>
                  <w:marRight w:val="0"/>
                  <w:marTop w:val="0"/>
                  <w:marBottom w:val="0"/>
                  <w:divBdr>
                    <w:top w:val="none" w:sz="0" w:space="0" w:color="auto"/>
                    <w:left w:val="none" w:sz="0" w:space="0" w:color="auto"/>
                    <w:bottom w:val="none" w:sz="0" w:space="0" w:color="auto"/>
                    <w:right w:val="none" w:sz="0" w:space="0" w:color="auto"/>
                  </w:divBdr>
                </w:div>
              </w:divsChild>
            </w:div>
            <w:div w:id="116805102">
              <w:marLeft w:val="0"/>
              <w:marRight w:val="0"/>
              <w:marTop w:val="0"/>
              <w:marBottom w:val="0"/>
              <w:divBdr>
                <w:top w:val="none" w:sz="0" w:space="0" w:color="auto"/>
                <w:left w:val="none" w:sz="0" w:space="0" w:color="auto"/>
                <w:bottom w:val="none" w:sz="0" w:space="0" w:color="auto"/>
                <w:right w:val="none" w:sz="0" w:space="0" w:color="auto"/>
              </w:divBdr>
              <w:divsChild>
                <w:div w:id="1975720627">
                  <w:marLeft w:val="0"/>
                  <w:marRight w:val="0"/>
                  <w:marTop w:val="0"/>
                  <w:marBottom w:val="0"/>
                  <w:divBdr>
                    <w:top w:val="none" w:sz="0" w:space="0" w:color="auto"/>
                    <w:left w:val="none" w:sz="0" w:space="0" w:color="auto"/>
                    <w:bottom w:val="none" w:sz="0" w:space="0" w:color="auto"/>
                    <w:right w:val="none" w:sz="0" w:space="0" w:color="auto"/>
                  </w:divBdr>
                </w:div>
                <w:div w:id="1571503142">
                  <w:marLeft w:val="0"/>
                  <w:marRight w:val="0"/>
                  <w:marTop w:val="0"/>
                  <w:marBottom w:val="0"/>
                  <w:divBdr>
                    <w:top w:val="none" w:sz="0" w:space="0" w:color="auto"/>
                    <w:left w:val="none" w:sz="0" w:space="0" w:color="auto"/>
                    <w:bottom w:val="none" w:sz="0" w:space="0" w:color="auto"/>
                    <w:right w:val="none" w:sz="0" w:space="0" w:color="auto"/>
                  </w:divBdr>
                </w:div>
              </w:divsChild>
            </w:div>
            <w:div w:id="527374716">
              <w:marLeft w:val="0"/>
              <w:marRight w:val="0"/>
              <w:marTop w:val="0"/>
              <w:marBottom w:val="0"/>
              <w:divBdr>
                <w:top w:val="none" w:sz="0" w:space="0" w:color="auto"/>
                <w:left w:val="none" w:sz="0" w:space="0" w:color="auto"/>
                <w:bottom w:val="none" w:sz="0" w:space="0" w:color="auto"/>
                <w:right w:val="none" w:sz="0" w:space="0" w:color="auto"/>
              </w:divBdr>
              <w:divsChild>
                <w:div w:id="964895325">
                  <w:marLeft w:val="0"/>
                  <w:marRight w:val="0"/>
                  <w:marTop w:val="0"/>
                  <w:marBottom w:val="0"/>
                  <w:divBdr>
                    <w:top w:val="none" w:sz="0" w:space="0" w:color="auto"/>
                    <w:left w:val="none" w:sz="0" w:space="0" w:color="auto"/>
                    <w:bottom w:val="none" w:sz="0" w:space="0" w:color="auto"/>
                    <w:right w:val="none" w:sz="0" w:space="0" w:color="auto"/>
                  </w:divBdr>
                </w:div>
                <w:div w:id="1495298647">
                  <w:marLeft w:val="0"/>
                  <w:marRight w:val="0"/>
                  <w:marTop w:val="0"/>
                  <w:marBottom w:val="0"/>
                  <w:divBdr>
                    <w:top w:val="none" w:sz="0" w:space="0" w:color="auto"/>
                    <w:left w:val="none" w:sz="0" w:space="0" w:color="auto"/>
                    <w:bottom w:val="none" w:sz="0" w:space="0" w:color="auto"/>
                    <w:right w:val="none" w:sz="0" w:space="0" w:color="auto"/>
                  </w:divBdr>
                </w:div>
              </w:divsChild>
            </w:div>
            <w:div w:id="1847329118">
              <w:marLeft w:val="0"/>
              <w:marRight w:val="0"/>
              <w:marTop w:val="0"/>
              <w:marBottom w:val="0"/>
              <w:divBdr>
                <w:top w:val="none" w:sz="0" w:space="0" w:color="auto"/>
                <w:left w:val="none" w:sz="0" w:space="0" w:color="auto"/>
                <w:bottom w:val="none" w:sz="0" w:space="0" w:color="auto"/>
                <w:right w:val="none" w:sz="0" w:space="0" w:color="auto"/>
              </w:divBdr>
              <w:divsChild>
                <w:div w:id="1052120393">
                  <w:marLeft w:val="0"/>
                  <w:marRight w:val="0"/>
                  <w:marTop w:val="0"/>
                  <w:marBottom w:val="0"/>
                  <w:divBdr>
                    <w:top w:val="none" w:sz="0" w:space="0" w:color="auto"/>
                    <w:left w:val="none" w:sz="0" w:space="0" w:color="auto"/>
                    <w:bottom w:val="none" w:sz="0" w:space="0" w:color="auto"/>
                    <w:right w:val="none" w:sz="0" w:space="0" w:color="auto"/>
                  </w:divBdr>
                </w:div>
                <w:div w:id="854152491">
                  <w:marLeft w:val="0"/>
                  <w:marRight w:val="0"/>
                  <w:marTop w:val="0"/>
                  <w:marBottom w:val="0"/>
                  <w:divBdr>
                    <w:top w:val="none" w:sz="0" w:space="0" w:color="auto"/>
                    <w:left w:val="none" w:sz="0" w:space="0" w:color="auto"/>
                    <w:bottom w:val="none" w:sz="0" w:space="0" w:color="auto"/>
                    <w:right w:val="none" w:sz="0" w:space="0" w:color="auto"/>
                  </w:divBdr>
                </w:div>
              </w:divsChild>
            </w:div>
            <w:div w:id="1579364500">
              <w:marLeft w:val="0"/>
              <w:marRight w:val="0"/>
              <w:marTop w:val="0"/>
              <w:marBottom w:val="0"/>
              <w:divBdr>
                <w:top w:val="none" w:sz="0" w:space="0" w:color="auto"/>
                <w:left w:val="none" w:sz="0" w:space="0" w:color="auto"/>
                <w:bottom w:val="none" w:sz="0" w:space="0" w:color="auto"/>
                <w:right w:val="none" w:sz="0" w:space="0" w:color="auto"/>
              </w:divBdr>
              <w:divsChild>
                <w:div w:id="399830">
                  <w:marLeft w:val="0"/>
                  <w:marRight w:val="0"/>
                  <w:marTop w:val="0"/>
                  <w:marBottom w:val="0"/>
                  <w:divBdr>
                    <w:top w:val="none" w:sz="0" w:space="0" w:color="auto"/>
                    <w:left w:val="none" w:sz="0" w:space="0" w:color="auto"/>
                    <w:bottom w:val="none" w:sz="0" w:space="0" w:color="auto"/>
                    <w:right w:val="none" w:sz="0" w:space="0" w:color="auto"/>
                  </w:divBdr>
                </w:div>
                <w:div w:id="1034814533">
                  <w:marLeft w:val="0"/>
                  <w:marRight w:val="0"/>
                  <w:marTop w:val="0"/>
                  <w:marBottom w:val="0"/>
                  <w:divBdr>
                    <w:top w:val="none" w:sz="0" w:space="0" w:color="auto"/>
                    <w:left w:val="none" w:sz="0" w:space="0" w:color="auto"/>
                    <w:bottom w:val="none" w:sz="0" w:space="0" w:color="auto"/>
                    <w:right w:val="none" w:sz="0" w:space="0" w:color="auto"/>
                  </w:divBdr>
                </w:div>
              </w:divsChild>
            </w:div>
            <w:div w:id="1453475249">
              <w:marLeft w:val="0"/>
              <w:marRight w:val="0"/>
              <w:marTop w:val="0"/>
              <w:marBottom w:val="0"/>
              <w:divBdr>
                <w:top w:val="none" w:sz="0" w:space="0" w:color="auto"/>
                <w:left w:val="none" w:sz="0" w:space="0" w:color="auto"/>
                <w:bottom w:val="none" w:sz="0" w:space="0" w:color="auto"/>
                <w:right w:val="none" w:sz="0" w:space="0" w:color="auto"/>
              </w:divBdr>
              <w:divsChild>
                <w:div w:id="872883491">
                  <w:marLeft w:val="0"/>
                  <w:marRight w:val="0"/>
                  <w:marTop w:val="0"/>
                  <w:marBottom w:val="0"/>
                  <w:divBdr>
                    <w:top w:val="none" w:sz="0" w:space="0" w:color="auto"/>
                    <w:left w:val="none" w:sz="0" w:space="0" w:color="auto"/>
                    <w:bottom w:val="none" w:sz="0" w:space="0" w:color="auto"/>
                    <w:right w:val="none" w:sz="0" w:space="0" w:color="auto"/>
                  </w:divBdr>
                </w:div>
                <w:div w:id="954406048">
                  <w:marLeft w:val="0"/>
                  <w:marRight w:val="0"/>
                  <w:marTop w:val="0"/>
                  <w:marBottom w:val="0"/>
                  <w:divBdr>
                    <w:top w:val="none" w:sz="0" w:space="0" w:color="auto"/>
                    <w:left w:val="none" w:sz="0" w:space="0" w:color="auto"/>
                    <w:bottom w:val="none" w:sz="0" w:space="0" w:color="auto"/>
                    <w:right w:val="none" w:sz="0" w:space="0" w:color="auto"/>
                  </w:divBdr>
                </w:div>
              </w:divsChild>
            </w:div>
            <w:div w:id="693724211">
              <w:marLeft w:val="0"/>
              <w:marRight w:val="0"/>
              <w:marTop w:val="0"/>
              <w:marBottom w:val="0"/>
              <w:divBdr>
                <w:top w:val="none" w:sz="0" w:space="0" w:color="auto"/>
                <w:left w:val="none" w:sz="0" w:space="0" w:color="auto"/>
                <w:bottom w:val="none" w:sz="0" w:space="0" w:color="auto"/>
                <w:right w:val="none" w:sz="0" w:space="0" w:color="auto"/>
              </w:divBdr>
              <w:divsChild>
                <w:div w:id="867648550">
                  <w:marLeft w:val="0"/>
                  <w:marRight w:val="0"/>
                  <w:marTop w:val="0"/>
                  <w:marBottom w:val="0"/>
                  <w:divBdr>
                    <w:top w:val="none" w:sz="0" w:space="0" w:color="auto"/>
                    <w:left w:val="none" w:sz="0" w:space="0" w:color="auto"/>
                    <w:bottom w:val="none" w:sz="0" w:space="0" w:color="auto"/>
                    <w:right w:val="none" w:sz="0" w:space="0" w:color="auto"/>
                  </w:divBdr>
                </w:div>
                <w:div w:id="64688307">
                  <w:marLeft w:val="0"/>
                  <w:marRight w:val="0"/>
                  <w:marTop w:val="0"/>
                  <w:marBottom w:val="0"/>
                  <w:divBdr>
                    <w:top w:val="none" w:sz="0" w:space="0" w:color="auto"/>
                    <w:left w:val="none" w:sz="0" w:space="0" w:color="auto"/>
                    <w:bottom w:val="none" w:sz="0" w:space="0" w:color="auto"/>
                    <w:right w:val="none" w:sz="0" w:space="0" w:color="auto"/>
                  </w:divBdr>
                </w:div>
              </w:divsChild>
            </w:div>
            <w:div w:id="2054040106">
              <w:marLeft w:val="0"/>
              <w:marRight w:val="0"/>
              <w:marTop w:val="0"/>
              <w:marBottom w:val="0"/>
              <w:divBdr>
                <w:top w:val="none" w:sz="0" w:space="0" w:color="auto"/>
                <w:left w:val="none" w:sz="0" w:space="0" w:color="auto"/>
                <w:bottom w:val="none" w:sz="0" w:space="0" w:color="auto"/>
                <w:right w:val="none" w:sz="0" w:space="0" w:color="auto"/>
              </w:divBdr>
              <w:divsChild>
                <w:div w:id="713507499">
                  <w:marLeft w:val="0"/>
                  <w:marRight w:val="0"/>
                  <w:marTop w:val="0"/>
                  <w:marBottom w:val="0"/>
                  <w:divBdr>
                    <w:top w:val="none" w:sz="0" w:space="0" w:color="auto"/>
                    <w:left w:val="none" w:sz="0" w:space="0" w:color="auto"/>
                    <w:bottom w:val="none" w:sz="0" w:space="0" w:color="auto"/>
                    <w:right w:val="none" w:sz="0" w:space="0" w:color="auto"/>
                  </w:divBdr>
                </w:div>
                <w:div w:id="875895996">
                  <w:marLeft w:val="0"/>
                  <w:marRight w:val="0"/>
                  <w:marTop w:val="0"/>
                  <w:marBottom w:val="0"/>
                  <w:divBdr>
                    <w:top w:val="none" w:sz="0" w:space="0" w:color="auto"/>
                    <w:left w:val="none" w:sz="0" w:space="0" w:color="auto"/>
                    <w:bottom w:val="none" w:sz="0" w:space="0" w:color="auto"/>
                    <w:right w:val="none" w:sz="0" w:space="0" w:color="auto"/>
                  </w:divBdr>
                </w:div>
              </w:divsChild>
            </w:div>
            <w:div w:id="1499997320">
              <w:marLeft w:val="0"/>
              <w:marRight w:val="0"/>
              <w:marTop w:val="0"/>
              <w:marBottom w:val="0"/>
              <w:divBdr>
                <w:top w:val="none" w:sz="0" w:space="0" w:color="auto"/>
                <w:left w:val="none" w:sz="0" w:space="0" w:color="auto"/>
                <w:bottom w:val="none" w:sz="0" w:space="0" w:color="auto"/>
                <w:right w:val="none" w:sz="0" w:space="0" w:color="auto"/>
              </w:divBdr>
              <w:divsChild>
                <w:div w:id="323701533">
                  <w:marLeft w:val="0"/>
                  <w:marRight w:val="0"/>
                  <w:marTop w:val="0"/>
                  <w:marBottom w:val="0"/>
                  <w:divBdr>
                    <w:top w:val="none" w:sz="0" w:space="0" w:color="auto"/>
                    <w:left w:val="none" w:sz="0" w:space="0" w:color="auto"/>
                    <w:bottom w:val="none" w:sz="0" w:space="0" w:color="auto"/>
                    <w:right w:val="none" w:sz="0" w:space="0" w:color="auto"/>
                  </w:divBdr>
                </w:div>
                <w:div w:id="1129277783">
                  <w:marLeft w:val="0"/>
                  <w:marRight w:val="0"/>
                  <w:marTop w:val="0"/>
                  <w:marBottom w:val="0"/>
                  <w:divBdr>
                    <w:top w:val="none" w:sz="0" w:space="0" w:color="auto"/>
                    <w:left w:val="none" w:sz="0" w:space="0" w:color="auto"/>
                    <w:bottom w:val="none" w:sz="0" w:space="0" w:color="auto"/>
                    <w:right w:val="none" w:sz="0" w:space="0" w:color="auto"/>
                  </w:divBdr>
                </w:div>
              </w:divsChild>
            </w:div>
            <w:div w:id="1912156793">
              <w:marLeft w:val="0"/>
              <w:marRight w:val="0"/>
              <w:marTop w:val="0"/>
              <w:marBottom w:val="0"/>
              <w:divBdr>
                <w:top w:val="none" w:sz="0" w:space="0" w:color="auto"/>
                <w:left w:val="none" w:sz="0" w:space="0" w:color="auto"/>
                <w:bottom w:val="none" w:sz="0" w:space="0" w:color="auto"/>
                <w:right w:val="none" w:sz="0" w:space="0" w:color="auto"/>
              </w:divBdr>
              <w:divsChild>
                <w:div w:id="288051461">
                  <w:marLeft w:val="0"/>
                  <w:marRight w:val="0"/>
                  <w:marTop w:val="0"/>
                  <w:marBottom w:val="0"/>
                  <w:divBdr>
                    <w:top w:val="none" w:sz="0" w:space="0" w:color="auto"/>
                    <w:left w:val="none" w:sz="0" w:space="0" w:color="auto"/>
                    <w:bottom w:val="none" w:sz="0" w:space="0" w:color="auto"/>
                    <w:right w:val="none" w:sz="0" w:space="0" w:color="auto"/>
                  </w:divBdr>
                </w:div>
                <w:div w:id="1322350777">
                  <w:marLeft w:val="0"/>
                  <w:marRight w:val="0"/>
                  <w:marTop w:val="0"/>
                  <w:marBottom w:val="0"/>
                  <w:divBdr>
                    <w:top w:val="none" w:sz="0" w:space="0" w:color="auto"/>
                    <w:left w:val="none" w:sz="0" w:space="0" w:color="auto"/>
                    <w:bottom w:val="none" w:sz="0" w:space="0" w:color="auto"/>
                    <w:right w:val="none" w:sz="0" w:space="0" w:color="auto"/>
                  </w:divBdr>
                </w:div>
              </w:divsChild>
            </w:div>
            <w:div w:id="255526371">
              <w:marLeft w:val="0"/>
              <w:marRight w:val="0"/>
              <w:marTop w:val="0"/>
              <w:marBottom w:val="0"/>
              <w:divBdr>
                <w:top w:val="none" w:sz="0" w:space="0" w:color="auto"/>
                <w:left w:val="none" w:sz="0" w:space="0" w:color="auto"/>
                <w:bottom w:val="none" w:sz="0" w:space="0" w:color="auto"/>
                <w:right w:val="none" w:sz="0" w:space="0" w:color="auto"/>
              </w:divBdr>
              <w:divsChild>
                <w:div w:id="1808008096">
                  <w:marLeft w:val="0"/>
                  <w:marRight w:val="0"/>
                  <w:marTop w:val="0"/>
                  <w:marBottom w:val="0"/>
                  <w:divBdr>
                    <w:top w:val="none" w:sz="0" w:space="0" w:color="auto"/>
                    <w:left w:val="none" w:sz="0" w:space="0" w:color="auto"/>
                    <w:bottom w:val="none" w:sz="0" w:space="0" w:color="auto"/>
                    <w:right w:val="none" w:sz="0" w:space="0" w:color="auto"/>
                  </w:divBdr>
                </w:div>
                <w:div w:id="544373852">
                  <w:marLeft w:val="0"/>
                  <w:marRight w:val="0"/>
                  <w:marTop w:val="0"/>
                  <w:marBottom w:val="0"/>
                  <w:divBdr>
                    <w:top w:val="none" w:sz="0" w:space="0" w:color="auto"/>
                    <w:left w:val="none" w:sz="0" w:space="0" w:color="auto"/>
                    <w:bottom w:val="none" w:sz="0" w:space="0" w:color="auto"/>
                    <w:right w:val="none" w:sz="0" w:space="0" w:color="auto"/>
                  </w:divBdr>
                </w:div>
              </w:divsChild>
            </w:div>
            <w:div w:id="817385008">
              <w:marLeft w:val="0"/>
              <w:marRight w:val="0"/>
              <w:marTop w:val="0"/>
              <w:marBottom w:val="0"/>
              <w:divBdr>
                <w:top w:val="none" w:sz="0" w:space="0" w:color="auto"/>
                <w:left w:val="none" w:sz="0" w:space="0" w:color="auto"/>
                <w:bottom w:val="none" w:sz="0" w:space="0" w:color="auto"/>
                <w:right w:val="none" w:sz="0" w:space="0" w:color="auto"/>
              </w:divBdr>
              <w:divsChild>
                <w:div w:id="1513295309">
                  <w:marLeft w:val="0"/>
                  <w:marRight w:val="0"/>
                  <w:marTop w:val="0"/>
                  <w:marBottom w:val="0"/>
                  <w:divBdr>
                    <w:top w:val="none" w:sz="0" w:space="0" w:color="auto"/>
                    <w:left w:val="none" w:sz="0" w:space="0" w:color="auto"/>
                    <w:bottom w:val="none" w:sz="0" w:space="0" w:color="auto"/>
                    <w:right w:val="none" w:sz="0" w:space="0" w:color="auto"/>
                  </w:divBdr>
                </w:div>
                <w:div w:id="100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5772">
          <w:marLeft w:val="0"/>
          <w:marRight w:val="0"/>
          <w:marTop w:val="0"/>
          <w:marBottom w:val="0"/>
          <w:divBdr>
            <w:top w:val="none" w:sz="0" w:space="0" w:color="auto"/>
            <w:left w:val="none" w:sz="0" w:space="0" w:color="auto"/>
            <w:bottom w:val="none" w:sz="0" w:space="0" w:color="auto"/>
            <w:right w:val="none" w:sz="0" w:space="0" w:color="auto"/>
          </w:divBdr>
        </w:div>
        <w:div w:id="1825849246">
          <w:marLeft w:val="0"/>
          <w:marRight w:val="0"/>
          <w:marTop w:val="0"/>
          <w:marBottom w:val="0"/>
          <w:divBdr>
            <w:top w:val="none" w:sz="0" w:space="0" w:color="auto"/>
            <w:left w:val="none" w:sz="0" w:space="0" w:color="auto"/>
            <w:bottom w:val="none" w:sz="0" w:space="0" w:color="auto"/>
            <w:right w:val="none" w:sz="0" w:space="0" w:color="auto"/>
          </w:divBdr>
        </w:div>
        <w:div w:id="847404419">
          <w:marLeft w:val="0"/>
          <w:marRight w:val="0"/>
          <w:marTop w:val="0"/>
          <w:marBottom w:val="0"/>
          <w:divBdr>
            <w:top w:val="none" w:sz="0" w:space="0" w:color="auto"/>
            <w:left w:val="none" w:sz="0" w:space="0" w:color="auto"/>
            <w:bottom w:val="none" w:sz="0" w:space="0" w:color="auto"/>
            <w:right w:val="none" w:sz="0" w:space="0" w:color="auto"/>
          </w:divBdr>
        </w:div>
        <w:div w:id="528377153">
          <w:marLeft w:val="0"/>
          <w:marRight w:val="0"/>
          <w:marTop w:val="0"/>
          <w:marBottom w:val="0"/>
          <w:divBdr>
            <w:top w:val="none" w:sz="0" w:space="0" w:color="auto"/>
            <w:left w:val="none" w:sz="0" w:space="0" w:color="auto"/>
            <w:bottom w:val="none" w:sz="0" w:space="0" w:color="auto"/>
            <w:right w:val="none" w:sz="0" w:space="0" w:color="auto"/>
          </w:divBdr>
        </w:div>
        <w:div w:id="349986931">
          <w:marLeft w:val="0"/>
          <w:marRight w:val="0"/>
          <w:marTop w:val="0"/>
          <w:marBottom w:val="0"/>
          <w:divBdr>
            <w:top w:val="none" w:sz="0" w:space="0" w:color="auto"/>
            <w:left w:val="none" w:sz="0" w:space="0" w:color="auto"/>
            <w:bottom w:val="none" w:sz="0" w:space="0" w:color="auto"/>
            <w:right w:val="none" w:sz="0" w:space="0" w:color="auto"/>
          </w:divBdr>
        </w:div>
        <w:div w:id="1070351048">
          <w:marLeft w:val="0"/>
          <w:marRight w:val="0"/>
          <w:marTop w:val="0"/>
          <w:marBottom w:val="0"/>
          <w:divBdr>
            <w:top w:val="none" w:sz="0" w:space="0" w:color="auto"/>
            <w:left w:val="none" w:sz="0" w:space="0" w:color="auto"/>
            <w:bottom w:val="none" w:sz="0" w:space="0" w:color="auto"/>
            <w:right w:val="none" w:sz="0" w:space="0" w:color="auto"/>
          </w:divBdr>
        </w:div>
      </w:divsChild>
    </w:div>
    <w:div w:id="276379194">
      <w:bodyDiv w:val="1"/>
      <w:marLeft w:val="0"/>
      <w:marRight w:val="0"/>
      <w:marTop w:val="0"/>
      <w:marBottom w:val="0"/>
      <w:divBdr>
        <w:top w:val="none" w:sz="0" w:space="0" w:color="auto"/>
        <w:left w:val="none" w:sz="0" w:space="0" w:color="auto"/>
        <w:bottom w:val="none" w:sz="0" w:space="0" w:color="auto"/>
        <w:right w:val="none" w:sz="0" w:space="0" w:color="auto"/>
      </w:divBdr>
    </w:div>
    <w:div w:id="497498552">
      <w:bodyDiv w:val="1"/>
      <w:marLeft w:val="0"/>
      <w:marRight w:val="0"/>
      <w:marTop w:val="0"/>
      <w:marBottom w:val="0"/>
      <w:divBdr>
        <w:top w:val="none" w:sz="0" w:space="0" w:color="auto"/>
        <w:left w:val="none" w:sz="0" w:space="0" w:color="auto"/>
        <w:bottom w:val="none" w:sz="0" w:space="0" w:color="auto"/>
        <w:right w:val="none" w:sz="0" w:space="0" w:color="auto"/>
      </w:divBdr>
    </w:div>
    <w:div w:id="593242315">
      <w:bodyDiv w:val="1"/>
      <w:marLeft w:val="0"/>
      <w:marRight w:val="0"/>
      <w:marTop w:val="0"/>
      <w:marBottom w:val="0"/>
      <w:divBdr>
        <w:top w:val="none" w:sz="0" w:space="0" w:color="auto"/>
        <w:left w:val="none" w:sz="0" w:space="0" w:color="auto"/>
        <w:bottom w:val="none" w:sz="0" w:space="0" w:color="auto"/>
        <w:right w:val="none" w:sz="0" w:space="0" w:color="auto"/>
      </w:divBdr>
    </w:div>
    <w:div w:id="647323656">
      <w:bodyDiv w:val="1"/>
      <w:marLeft w:val="0"/>
      <w:marRight w:val="0"/>
      <w:marTop w:val="0"/>
      <w:marBottom w:val="0"/>
      <w:divBdr>
        <w:top w:val="none" w:sz="0" w:space="0" w:color="auto"/>
        <w:left w:val="none" w:sz="0" w:space="0" w:color="auto"/>
        <w:bottom w:val="none" w:sz="0" w:space="0" w:color="auto"/>
        <w:right w:val="none" w:sz="0" w:space="0" w:color="auto"/>
      </w:divBdr>
    </w:div>
    <w:div w:id="1009060498">
      <w:bodyDiv w:val="1"/>
      <w:marLeft w:val="0"/>
      <w:marRight w:val="0"/>
      <w:marTop w:val="0"/>
      <w:marBottom w:val="0"/>
      <w:divBdr>
        <w:top w:val="none" w:sz="0" w:space="0" w:color="auto"/>
        <w:left w:val="none" w:sz="0" w:space="0" w:color="auto"/>
        <w:bottom w:val="none" w:sz="0" w:space="0" w:color="auto"/>
        <w:right w:val="none" w:sz="0" w:space="0" w:color="auto"/>
      </w:divBdr>
      <w:divsChild>
        <w:div w:id="1645348618">
          <w:marLeft w:val="0"/>
          <w:marRight w:val="0"/>
          <w:marTop w:val="0"/>
          <w:marBottom w:val="0"/>
          <w:divBdr>
            <w:top w:val="none" w:sz="0" w:space="0" w:color="auto"/>
            <w:left w:val="none" w:sz="0" w:space="0" w:color="auto"/>
            <w:bottom w:val="none" w:sz="0" w:space="0" w:color="auto"/>
            <w:right w:val="none" w:sz="0" w:space="0" w:color="auto"/>
          </w:divBdr>
        </w:div>
        <w:div w:id="44109596">
          <w:marLeft w:val="0"/>
          <w:marRight w:val="0"/>
          <w:marTop w:val="0"/>
          <w:marBottom w:val="0"/>
          <w:divBdr>
            <w:top w:val="none" w:sz="0" w:space="0" w:color="auto"/>
            <w:left w:val="none" w:sz="0" w:space="0" w:color="auto"/>
            <w:bottom w:val="none" w:sz="0" w:space="0" w:color="auto"/>
            <w:right w:val="none" w:sz="0" w:space="0" w:color="auto"/>
          </w:divBdr>
        </w:div>
        <w:div w:id="864713000">
          <w:marLeft w:val="0"/>
          <w:marRight w:val="0"/>
          <w:marTop w:val="0"/>
          <w:marBottom w:val="0"/>
          <w:divBdr>
            <w:top w:val="none" w:sz="0" w:space="0" w:color="auto"/>
            <w:left w:val="none" w:sz="0" w:space="0" w:color="auto"/>
            <w:bottom w:val="none" w:sz="0" w:space="0" w:color="auto"/>
            <w:right w:val="none" w:sz="0" w:space="0" w:color="auto"/>
          </w:divBdr>
        </w:div>
        <w:div w:id="271128498">
          <w:marLeft w:val="0"/>
          <w:marRight w:val="0"/>
          <w:marTop w:val="0"/>
          <w:marBottom w:val="0"/>
          <w:divBdr>
            <w:top w:val="none" w:sz="0" w:space="0" w:color="auto"/>
            <w:left w:val="none" w:sz="0" w:space="0" w:color="auto"/>
            <w:bottom w:val="none" w:sz="0" w:space="0" w:color="auto"/>
            <w:right w:val="none" w:sz="0" w:space="0" w:color="auto"/>
          </w:divBdr>
        </w:div>
        <w:div w:id="397291272">
          <w:marLeft w:val="0"/>
          <w:marRight w:val="0"/>
          <w:marTop w:val="0"/>
          <w:marBottom w:val="0"/>
          <w:divBdr>
            <w:top w:val="none" w:sz="0" w:space="0" w:color="auto"/>
            <w:left w:val="none" w:sz="0" w:space="0" w:color="auto"/>
            <w:bottom w:val="none" w:sz="0" w:space="0" w:color="auto"/>
            <w:right w:val="none" w:sz="0" w:space="0" w:color="auto"/>
          </w:divBdr>
        </w:div>
        <w:div w:id="1449859352">
          <w:marLeft w:val="0"/>
          <w:marRight w:val="0"/>
          <w:marTop w:val="0"/>
          <w:marBottom w:val="0"/>
          <w:divBdr>
            <w:top w:val="none" w:sz="0" w:space="0" w:color="auto"/>
            <w:left w:val="none" w:sz="0" w:space="0" w:color="auto"/>
            <w:bottom w:val="none" w:sz="0" w:space="0" w:color="auto"/>
            <w:right w:val="none" w:sz="0" w:space="0" w:color="auto"/>
          </w:divBdr>
        </w:div>
        <w:div w:id="893278159">
          <w:marLeft w:val="0"/>
          <w:marRight w:val="0"/>
          <w:marTop w:val="0"/>
          <w:marBottom w:val="0"/>
          <w:divBdr>
            <w:top w:val="none" w:sz="0" w:space="0" w:color="auto"/>
            <w:left w:val="none" w:sz="0" w:space="0" w:color="auto"/>
            <w:bottom w:val="none" w:sz="0" w:space="0" w:color="auto"/>
            <w:right w:val="none" w:sz="0" w:space="0" w:color="auto"/>
          </w:divBdr>
        </w:div>
      </w:divsChild>
    </w:div>
    <w:div w:id="1044863203">
      <w:bodyDiv w:val="1"/>
      <w:marLeft w:val="0"/>
      <w:marRight w:val="0"/>
      <w:marTop w:val="0"/>
      <w:marBottom w:val="0"/>
      <w:divBdr>
        <w:top w:val="none" w:sz="0" w:space="0" w:color="auto"/>
        <w:left w:val="none" w:sz="0" w:space="0" w:color="auto"/>
        <w:bottom w:val="none" w:sz="0" w:space="0" w:color="auto"/>
        <w:right w:val="none" w:sz="0" w:space="0" w:color="auto"/>
      </w:divBdr>
    </w:div>
    <w:div w:id="1045593707">
      <w:bodyDiv w:val="1"/>
      <w:marLeft w:val="0"/>
      <w:marRight w:val="0"/>
      <w:marTop w:val="0"/>
      <w:marBottom w:val="0"/>
      <w:divBdr>
        <w:top w:val="none" w:sz="0" w:space="0" w:color="auto"/>
        <w:left w:val="none" w:sz="0" w:space="0" w:color="auto"/>
        <w:bottom w:val="none" w:sz="0" w:space="0" w:color="auto"/>
        <w:right w:val="none" w:sz="0" w:space="0" w:color="auto"/>
      </w:divBdr>
    </w:div>
    <w:div w:id="1053968114">
      <w:bodyDiv w:val="1"/>
      <w:marLeft w:val="0"/>
      <w:marRight w:val="0"/>
      <w:marTop w:val="0"/>
      <w:marBottom w:val="0"/>
      <w:divBdr>
        <w:top w:val="none" w:sz="0" w:space="0" w:color="auto"/>
        <w:left w:val="none" w:sz="0" w:space="0" w:color="auto"/>
        <w:bottom w:val="none" w:sz="0" w:space="0" w:color="auto"/>
        <w:right w:val="none" w:sz="0" w:space="0" w:color="auto"/>
      </w:divBdr>
    </w:div>
    <w:div w:id="1285186778">
      <w:bodyDiv w:val="1"/>
      <w:marLeft w:val="0"/>
      <w:marRight w:val="0"/>
      <w:marTop w:val="0"/>
      <w:marBottom w:val="0"/>
      <w:divBdr>
        <w:top w:val="none" w:sz="0" w:space="0" w:color="auto"/>
        <w:left w:val="none" w:sz="0" w:space="0" w:color="auto"/>
        <w:bottom w:val="none" w:sz="0" w:space="0" w:color="auto"/>
        <w:right w:val="none" w:sz="0" w:space="0" w:color="auto"/>
      </w:divBdr>
      <w:divsChild>
        <w:div w:id="1727411002">
          <w:marLeft w:val="0"/>
          <w:marRight w:val="0"/>
          <w:marTop w:val="0"/>
          <w:marBottom w:val="300"/>
          <w:divBdr>
            <w:top w:val="none" w:sz="0" w:space="0" w:color="auto"/>
            <w:left w:val="none" w:sz="0" w:space="0" w:color="auto"/>
            <w:bottom w:val="none" w:sz="0" w:space="0" w:color="auto"/>
            <w:right w:val="none" w:sz="0" w:space="0" w:color="auto"/>
          </w:divBdr>
          <w:divsChild>
            <w:div w:id="299725207">
              <w:marLeft w:val="-225"/>
              <w:marRight w:val="-225"/>
              <w:marTop w:val="0"/>
              <w:marBottom w:val="0"/>
              <w:divBdr>
                <w:top w:val="none" w:sz="0" w:space="0" w:color="auto"/>
                <w:left w:val="none" w:sz="0" w:space="0" w:color="auto"/>
                <w:bottom w:val="none" w:sz="0" w:space="0" w:color="auto"/>
                <w:right w:val="none" w:sz="0" w:space="0" w:color="auto"/>
              </w:divBdr>
              <w:divsChild>
                <w:div w:id="618298631">
                  <w:marLeft w:val="0"/>
                  <w:marRight w:val="0"/>
                  <w:marTop w:val="0"/>
                  <w:marBottom w:val="0"/>
                  <w:divBdr>
                    <w:top w:val="none" w:sz="0" w:space="0" w:color="auto"/>
                    <w:left w:val="none" w:sz="0" w:space="0" w:color="auto"/>
                    <w:bottom w:val="none" w:sz="0" w:space="0" w:color="auto"/>
                    <w:right w:val="none" w:sz="0" w:space="0" w:color="auto"/>
                  </w:divBdr>
                  <w:divsChild>
                    <w:div w:id="15181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29656">
      <w:bodyDiv w:val="1"/>
      <w:marLeft w:val="0"/>
      <w:marRight w:val="0"/>
      <w:marTop w:val="0"/>
      <w:marBottom w:val="0"/>
      <w:divBdr>
        <w:top w:val="none" w:sz="0" w:space="0" w:color="auto"/>
        <w:left w:val="none" w:sz="0" w:space="0" w:color="auto"/>
        <w:bottom w:val="none" w:sz="0" w:space="0" w:color="auto"/>
        <w:right w:val="none" w:sz="0" w:space="0" w:color="auto"/>
      </w:divBdr>
    </w:div>
    <w:div w:id="1527602516">
      <w:bodyDiv w:val="1"/>
      <w:marLeft w:val="0"/>
      <w:marRight w:val="0"/>
      <w:marTop w:val="0"/>
      <w:marBottom w:val="0"/>
      <w:divBdr>
        <w:top w:val="none" w:sz="0" w:space="0" w:color="auto"/>
        <w:left w:val="none" w:sz="0" w:space="0" w:color="auto"/>
        <w:bottom w:val="none" w:sz="0" w:space="0" w:color="auto"/>
        <w:right w:val="none" w:sz="0" w:space="0" w:color="auto"/>
      </w:divBdr>
    </w:div>
    <w:div w:id="1996302894">
      <w:bodyDiv w:val="1"/>
      <w:marLeft w:val="0"/>
      <w:marRight w:val="0"/>
      <w:marTop w:val="0"/>
      <w:marBottom w:val="0"/>
      <w:divBdr>
        <w:top w:val="none" w:sz="0" w:space="0" w:color="auto"/>
        <w:left w:val="none" w:sz="0" w:space="0" w:color="auto"/>
        <w:bottom w:val="none" w:sz="0" w:space="0" w:color="auto"/>
        <w:right w:val="none" w:sz="0" w:space="0" w:color="auto"/>
      </w:divBdr>
      <w:divsChild>
        <w:div w:id="258368632">
          <w:marLeft w:val="0"/>
          <w:marRight w:val="0"/>
          <w:marTop w:val="0"/>
          <w:marBottom w:val="0"/>
          <w:divBdr>
            <w:top w:val="none" w:sz="0" w:space="0" w:color="auto"/>
            <w:left w:val="none" w:sz="0" w:space="0" w:color="auto"/>
            <w:bottom w:val="none" w:sz="0" w:space="0" w:color="auto"/>
            <w:right w:val="none" w:sz="0" w:space="0" w:color="auto"/>
          </w:divBdr>
        </w:div>
        <w:div w:id="2052263476">
          <w:marLeft w:val="0"/>
          <w:marRight w:val="0"/>
          <w:marTop w:val="0"/>
          <w:marBottom w:val="0"/>
          <w:divBdr>
            <w:top w:val="none" w:sz="0" w:space="0" w:color="auto"/>
            <w:left w:val="none" w:sz="0" w:space="0" w:color="auto"/>
            <w:bottom w:val="none" w:sz="0" w:space="0" w:color="auto"/>
            <w:right w:val="none" w:sz="0" w:space="0" w:color="auto"/>
          </w:divBdr>
        </w:div>
        <w:div w:id="2007322648">
          <w:marLeft w:val="0"/>
          <w:marRight w:val="0"/>
          <w:marTop w:val="0"/>
          <w:marBottom w:val="0"/>
          <w:divBdr>
            <w:top w:val="none" w:sz="0" w:space="0" w:color="auto"/>
            <w:left w:val="none" w:sz="0" w:space="0" w:color="auto"/>
            <w:bottom w:val="none" w:sz="0" w:space="0" w:color="auto"/>
            <w:right w:val="none" w:sz="0" w:space="0" w:color="auto"/>
          </w:divBdr>
        </w:div>
        <w:div w:id="1506164498">
          <w:marLeft w:val="0"/>
          <w:marRight w:val="0"/>
          <w:marTop w:val="0"/>
          <w:marBottom w:val="0"/>
          <w:divBdr>
            <w:top w:val="none" w:sz="0" w:space="0" w:color="auto"/>
            <w:left w:val="none" w:sz="0" w:space="0" w:color="auto"/>
            <w:bottom w:val="none" w:sz="0" w:space="0" w:color="auto"/>
            <w:right w:val="none" w:sz="0" w:space="0" w:color="auto"/>
          </w:divBdr>
        </w:div>
        <w:div w:id="495071669">
          <w:marLeft w:val="0"/>
          <w:marRight w:val="0"/>
          <w:marTop w:val="0"/>
          <w:marBottom w:val="0"/>
          <w:divBdr>
            <w:top w:val="none" w:sz="0" w:space="0" w:color="auto"/>
            <w:left w:val="none" w:sz="0" w:space="0" w:color="auto"/>
            <w:bottom w:val="none" w:sz="0" w:space="0" w:color="auto"/>
            <w:right w:val="none" w:sz="0" w:space="0" w:color="auto"/>
          </w:divBdr>
        </w:div>
        <w:div w:id="144323093">
          <w:marLeft w:val="0"/>
          <w:marRight w:val="0"/>
          <w:marTop w:val="0"/>
          <w:marBottom w:val="0"/>
          <w:divBdr>
            <w:top w:val="none" w:sz="0" w:space="0" w:color="auto"/>
            <w:left w:val="none" w:sz="0" w:space="0" w:color="auto"/>
            <w:bottom w:val="none" w:sz="0" w:space="0" w:color="auto"/>
            <w:right w:val="none" w:sz="0" w:space="0" w:color="auto"/>
          </w:divBdr>
        </w:div>
        <w:div w:id="1655405907">
          <w:marLeft w:val="0"/>
          <w:marRight w:val="0"/>
          <w:marTop w:val="0"/>
          <w:marBottom w:val="0"/>
          <w:divBdr>
            <w:top w:val="none" w:sz="0" w:space="0" w:color="auto"/>
            <w:left w:val="none" w:sz="0" w:space="0" w:color="auto"/>
            <w:bottom w:val="none" w:sz="0" w:space="0" w:color="auto"/>
            <w:right w:val="none" w:sz="0" w:space="0" w:color="auto"/>
          </w:divBdr>
        </w:div>
      </w:divsChild>
    </w:div>
    <w:div w:id="20767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onlinelibrary.com/doi/abs/10.12968/bjca.2019.0079" TargetMode="External"/><Relationship Id="rId13" Type="http://schemas.openxmlformats.org/officeDocument/2006/relationships/hyperlink" Target="https://www.nice.org.uk/guidance/cg1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2968/bjca.2019.0079" TargetMode="External"/><Relationship Id="rId12" Type="http://schemas.openxmlformats.org/officeDocument/2006/relationships/hyperlink" Target="https://www.escardio.org/Journals/E-Journal-of-Cardiology-Practice/Volume-8/How-to-recognise-and-manage-idiopathic-ventricular-tachycardia" TargetMode="External"/><Relationship Id="rId17" Type="http://schemas.openxmlformats.org/officeDocument/2006/relationships/hyperlink" Target="https://www.medicines.org.uk/emc/product/4970/smpc%20accessed%2016/07/2019" TargetMode="External"/><Relationship Id="rId2" Type="http://schemas.openxmlformats.org/officeDocument/2006/relationships/styles" Target="styles.xml"/><Relationship Id="rId16" Type="http://schemas.openxmlformats.org/officeDocument/2006/relationships/hyperlink" Target="http://dx.doi.org/10.1016/j.hrthm.2015.09.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ines.org.uk/emc/product/5772/smpc" TargetMode="External"/><Relationship Id="rId5" Type="http://schemas.openxmlformats.org/officeDocument/2006/relationships/footnotes" Target="footnotes.xml"/><Relationship Id="rId15" Type="http://schemas.openxmlformats.org/officeDocument/2006/relationships/hyperlink" Target="https://www.nice.org.uk/guidance/ng106" TargetMode="External"/><Relationship Id="rId10" Type="http://schemas.openxmlformats.org/officeDocument/2006/relationships/hyperlink" Target="https://www.medicines.org.uk/emc/product/5774/smpc%20accessed%2016/07/201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edicines.org.uk/emc/product/6126/smpc" TargetMode="External"/><Relationship Id="rId14" Type="http://schemas.openxmlformats.org/officeDocument/2006/relationships/hyperlink" Target="https://www.nice.org.uk/guidance/cg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2832</TotalTime>
  <Pages>13</Pages>
  <Words>5785</Words>
  <Characters>32977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Sampson</dc:creator>
  <cp:keywords/>
  <dc:description/>
  <cp:lastModifiedBy>Michael Sampson</cp:lastModifiedBy>
  <cp:revision>558</cp:revision>
  <dcterms:created xsi:type="dcterms:W3CDTF">2019-06-11T07:44:00Z</dcterms:created>
  <dcterms:modified xsi:type="dcterms:W3CDTF">2019-11-27T11:44:00Z</dcterms:modified>
</cp:coreProperties>
</file>