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907F8" w14:textId="6C5FE4BA" w:rsidR="00962B45" w:rsidRDefault="00962B45" w:rsidP="00962B45">
      <w:pPr>
        <w:widowControl w:val="0"/>
        <w:autoSpaceDE w:val="0"/>
        <w:autoSpaceDN w:val="0"/>
        <w:adjustRightInd w:val="0"/>
        <w:spacing w:after="240" w:line="360" w:lineRule="auto"/>
        <w:jc w:val="center"/>
        <w:rPr>
          <w:rFonts w:ascii="Arial" w:hAnsi="Arial" w:cs="Arial"/>
          <w:b/>
          <w:lang w:val="en-US"/>
        </w:rPr>
      </w:pPr>
      <w:r>
        <w:rPr>
          <w:rFonts w:ascii="Arial" w:hAnsi="Arial" w:cs="Arial"/>
          <w:b/>
          <w:lang w:val="en-US"/>
        </w:rPr>
        <w:t xml:space="preserve">Do High Street Fashion Brands All </w:t>
      </w:r>
      <w:proofErr w:type="gramStart"/>
      <w:r>
        <w:rPr>
          <w:rFonts w:ascii="Arial" w:hAnsi="Arial" w:cs="Arial"/>
          <w:b/>
          <w:lang w:val="en-US"/>
        </w:rPr>
        <w:t>Share</w:t>
      </w:r>
      <w:proofErr w:type="gramEnd"/>
      <w:r>
        <w:rPr>
          <w:rFonts w:ascii="Arial" w:hAnsi="Arial" w:cs="Arial"/>
          <w:b/>
          <w:lang w:val="en-US"/>
        </w:rPr>
        <w:t xml:space="preserve"> the Same Types of Customers?</w:t>
      </w:r>
    </w:p>
    <w:p w14:paraId="53C45DBB" w14:textId="77777777" w:rsidR="00962B45" w:rsidRDefault="00962B45" w:rsidP="00962B45">
      <w:pPr>
        <w:widowControl w:val="0"/>
        <w:autoSpaceDE w:val="0"/>
        <w:autoSpaceDN w:val="0"/>
        <w:adjustRightInd w:val="0"/>
        <w:spacing w:after="240" w:line="360" w:lineRule="auto"/>
        <w:jc w:val="center"/>
        <w:rPr>
          <w:rFonts w:ascii="Arial" w:hAnsi="Arial" w:cs="Arial"/>
          <w:b/>
          <w:lang w:val="en-US"/>
        </w:rPr>
      </w:pPr>
    </w:p>
    <w:p w14:paraId="2F4CAD0B" w14:textId="77777777" w:rsidR="00962B45" w:rsidRDefault="00962B45" w:rsidP="00962B45">
      <w:pPr>
        <w:widowControl w:val="0"/>
        <w:autoSpaceDE w:val="0"/>
        <w:autoSpaceDN w:val="0"/>
        <w:adjustRightInd w:val="0"/>
        <w:spacing w:after="240" w:line="360" w:lineRule="auto"/>
        <w:jc w:val="center"/>
        <w:rPr>
          <w:rFonts w:ascii="Arial" w:hAnsi="Arial" w:cs="Arial"/>
          <w:b/>
          <w:lang w:val="en-US"/>
        </w:rPr>
      </w:pPr>
    </w:p>
    <w:p w14:paraId="13C6F9E9" w14:textId="4092C16D" w:rsidR="00962B45" w:rsidRDefault="00962B45" w:rsidP="00962B45">
      <w:pPr>
        <w:widowControl w:val="0"/>
        <w:autoSpaceDE w:val="0"/>
        <w:autoSpaceDN w:val="0"/>
        <w:adjustRightInd w:val="0"/>
        <w:spacing w:after="120" w:line="360" w:lineRule="auto"/>
        <w:jc w:val="center"/>
        <w:rPr>
          <w:rFonts w:ascii="Arial" w:hAnsi="Arial" w:cs="Arial"/>
          <w:b/>
          <w:lang w:val="en-US"/>
        </w:rPr>
      </w:pPr>
      <w:r>
        <w:rPr>
          <w:rFonts w:ascii="Arial" w:hAnsi="Arial" w:cs="Arial"/>
          <w:b/>
          <w:lang w:val="en-US"/>
        </w:rPr>
        <w:t>Business in a Dynamic World</w:t>
      </w:r>
    </w:p>
    <w:p w14:paraId="536E1119" w14:textId="5913482A" w:rsidR="00962B45" w:rsidRDefault="00962B45" w:rsidP="00962B45">
      <w:pPr>
        <w:widowControl w:val="0"/>
        <w:autoSpaceDE w:val="0"/>
        <w:autoSpaceDN w:val="0"/>
        <w:adjustRightInd w:val="0"/>
        <w:spacing w:after="240" w:line="360" w:lineRule="auto"/>
        <w:jc w:val="center"/>
        <w:rPr>
          <w:rFonts w:ascii="Arial" w:hAnsi="Arial" w:cs="Arial"/>
          <w:b/>
          <w:lang w:val="en-US"/>
        </w:rPr>
      </w:pPr>
      <w:r>
        <w:rPr>
          <w:rFonts w:ascii="Arial" w:hAnsi="Arial" w:cs="Arial"/>
          <w:b/>
          <w:lang w:val="en-US"/>
        </w:rPr>
        <w:t>Cyprus 2016</w:t>
      </w:r>
    </w:p>
    <w:p w14:paraId="0845AA0F" w14:textId="77777777" w:rsidR="00962B45" w:rsidRDefault="00962B45" w:rsidP="00962B45">
      <w:pPr>
        <w:widowControl w:val="0"/>
        <w:autoSpaceDE w:val="0"/>
        <w:autoSpaceDN w:val="0"/>
        <w:adjustRightInd w:val="0"/>
        <w:spacing w:after="240" w:line="360" w:lineRule="auto"/>
        <w:jc w:val="both"/>
        <w:rPr>
          <w:rFonts w:ascii="Arial" w:hAnsi="Arial" w:cs="Arial"/>
          <w:b/>
          <w:lang w:val="en-US"/>
        </w:rPr>
      </w:pPr>
    </w:p>
    <w:p w14:paraId="2D2F89D2" w14:textId="77777777" w:rsidR="00962B45" w:rsidRDefault="00962B45" w:rsidP="00962B45">
      <w:pPr>
        <w:widowControl w:val="0"/>
        <w:autoSpaceDE w:val="0"/>
        <w:autoSpaceDN w:val="0"/>
        <w:adjustRightInd w:val="0"/>
        <w:spacing w:after="240" w:line="360" w:lineRule="auto"/>
        <w:jc w:val="both"/>
        <w:rPr>
          <w:rFonts w:ascii="Arial" w:hAnsi="Arial" w:cs="Arial"/>
          <w:b/>
          <w:lang w:val="en-US"/>
        </w:rPr>
      </w:pPr>
    </w:p>
    <w:p w14:paraId="3983E4EB" w14:textId="1EFF59D7" w:rsidR="00962B45" w:rsidRPr="00962B45" w:rsidRDefault="00962B45" w:rsidP="00962B45">
      <w:pPr>
        <w:spacing w:after="0"/>
        <w:jc w:val="both"/>
        <w:rPr>
          <w:rFonts w:ascii="Arial" w:hAnsi="Arial" w:cs="Arial"/>
          <w:b/>
        </w:rPr>
      </w:pPr>
      <w:proofErr w:type="spellStart"/>
      <w:r w:rsidRPr="00962B45">
        <w:rPr>
          <w:rFonts w:ascii="Arial" w:hAnsi="Arial" w:cs="Arial"/>
          <w:b/>
        </w:rPr>
        <w:t>Dr.</w:t>
      </w:r>
      <w:proofErr w:type="spellEnd"/>
      <w:r w:rsidRPr="00962B45">
        <w:rPr>
          <w:rFonts w:ascii="Arial" w:hAnsi="Arial" w:cs="Arial"/>
          <w:b/>
        </w:rPr>
        <w:t xml:space="preserve"> Dag Bennett</w:t>
      </w:r>
    </w:p>
    <w:p w14:paraId="45263EDC" w14:textId="674648C6" w:rsidR="00962B45" w:rsidRDefault="00962B45" w:rsidP="00962B45">
      <w:pPr>
        <w:spacing w:after="0"/>
        <w:jc w:val="both"/>
        <w:rPr>
          <w:rFonts w:ascii="Arial" w:hAnsi="Arial" w:cs="Arial"/>
        </w:rPr>
      </w:pPr>
      <w:r w:rsidRPr="00962B45">
        <w:rPr>
          <w:rFonts w:ascii="Arial" w:hAnsi="Arial" w:cs="Arial"/>
        </w:rPr>
        <w:t>Corresponding Author</w:t>
      </w:r>
    </w:p>
    <w:p w14:paraId="3387718F" w14:textId="4DF691B0" w:rsidR="00962B45" w:rsidRPr="00962B45" w:rsidRDefault="00962B45" w:rsidP="00962B45">
      <w:pPr>
        <w:autoSpaceDE w:val="0"/>
        <w:autoSpaceDN w:val="0"/>
        <w:adjustRightInd w:val="0"/>
        <w:spacing w:after="0"/>
        <w:jc w:val="both"/>
        <w:rPr>
          <w:rFonts w:ascii="Arial" w:hAnsi="Arial" w:cs="Arial"/>
          <w:i/>
        </w:rPr>
      </w:pPr>
      <w:r w:rsidRPr="00962B45">
        <w:rPr>
          <w:rFonts w:ascii="Arial" w:hAnsi="Arial" w:cs="Arial"/>
          <w:i/>
        </w:rPr>
        <w:t>London South Bank University</w:t>
      </w:r>
    </w:p>
    <w:p w14:paraId="13F1E7C3" w14:textId="77777777" w:rsidR="00962B45" w:rsidRPr="00962B45" w:rsidRDefault="0050192B" w:rsidP="00962B45">
      <w:pPr>
        <w:spacing w:after="0"/>
        <w:jc w:val="both"/>
        <w:rPr>
          <w:rFonts w:ascii="Arial" w:hAnsi="Arial" w:cs="Arial"/>
        </w:rPr>
      </w:pPr>
      <w:hyperlink r:id="rId7" w:history="1">
        <w:r w:rsidR="00962B45" w:rsidRPr="00962B45">
          <w:rPr>
            <w:rStyle w:val="Hyperlink"/>
            <w:rFonts w:ascii="Arial" w:hAnsi="Arial" w:cs="Arial"/>
          </w:rPr>
          <w:t>bennetd@lsbu.ac.uk</w:t>
        </w:r>
      </w:hyperlink>
    </w:p>
    <w:p w14:paraId="4B9E728E" w14:textId="77777777" w:rsidR="00962B45" w:rsidRDefault="00962B45" w:rsidP="00962B45">
      <w:pPr>
        <w:autoSpaceDE w:val="0"/>
        <w:autoSpaceDN w:val="0"/>
        <w:adjustRightInd w:val="0"/>
        <w:jc w:val="both"/>
        <w:rPr>
          <w:rFonts w:ascii="Arial" w:hAnsi="Arial" w:cs="Arial"/>
          <w:i/>
        </w:rPr>
      </w:pPr>
    </w:p>
    <w:p w14:paraId="30629628" w14:textId="77777777" w:rsidR="00962B45" w:rsidRPr="00962B45" w:rsidRDefault="00962B45" w:rsidP="00962B45">
      <w:pPr>
        <w:autoSpaceDE w:val="0"/>
        <w:autoSpaceDN w:val="0"/>
        <w:adjustRightInd w:val="0"/>
        <w:jc w:val="both"/>
        <w:rPr>
          <w:rFonts w:ascii="Arial" w:hAnsi="Arial" w:cs="Arial"/>
          <w:i/>
        </w:rPr>
      </w:pPr>
    </w:p>
    <w:p w14:paraId="4C2F36B3" w14:textId="3A4B11B2" w:rsidR="00962B45" w:rsidRPr="00962B45" w:rsidRDefault="00962B45" w:rsidP="00962B45">
      <w:pPr>
        <w:spacing w:after="0"/>
        <w:jc w:val="both"/>
        <w:rPr>
          <w:rFonts w:ascii="Arial" w:hAnsi="Arial" w:cs="Arial"/>
          <w:b/>
        </w:rPr>
      </w:pPr>
      <w:r w:rsidRPr="00962B45">
        <w:rPr>
          <w:rFonts w:ascii="Arial" w:hAnsi="Arial" w:cs="Arial"/>
          <w:b/>
        </w:rPr>
        <w:t>Maria Clemente</w:t>
      </w:r>
    </w:p>
    <w:p w14:paraId="53736848" w14:textId="77777777" w:rsidR="00962B45" w:rsidRPr="00962B45" w:rsidRDefault="00962B45" w:rsidP="00962B45">
      <w:pPr>
        <w:autoSpaceDE w:val="0"/>
        <w:autoSpaceDN w:val="0"/>
        <w:adjustRightInd w:val="0"/>
        <w:spacing w:after="0"/>
        <w:jc w:val="both"/>
        <w:rPr>
          <w:rFonts w:ascii="Arial" w:hAnsi="Arial" w:cs="Arial"/>
          <w:i/>
        </w:rPr>
      </w:pPr>
      <w:r w:rsidRPr="00962B45">
        <w:rPr>
          <w:rFonts w:ascii="Arial" w:hAnsi="Arial" w:cs="Arial"/>
          <w:i/>
        </w:rPr>
        <w:t>London South Bank University</w:t>
      </w:r>
    </w:p>
    <w:p w14:paraId="16E9B2D2" w14:textId="5A4F46B2" w:rsidR="00962B45" w:rsidRDefault="0050192B" w:rsidP="00962B45">
      <w:pPr>
        <w:autoSpaceDE w:val="0"/>
        <w:autoSpaceDN w:val="0"/>
        <w:adjustRightInd w:val="0"/>
        <w:jc w:val="both"/>
        <w:rPr>
          <w:rFonts w:ascii="Arial" w:eastAsia="Times New Roman" w:hAnsi="Arial" w:cs="Arial"/>
          <w:lang w:val="en-US" w:eastAsia="en-US"/>
        </w:rPr>
      </w:pPr>
      <w:hyperlink r:id="rId8" w:history="1">
        <w:r w:rsidR="00962B45" w:rsidRPr="00005998">
          <w:rPr>
            <w:rStyle w:val="Hyperlink"/>
            <w:rFonts w:ascii="Arial" w:hAnsi="Arial" w:cs="Arial"/>
          </w:rPr>
          <w:t>mariaclemente2001@gmail.com</w:t>
        </w:r>
      </w:hyperlink>
    </w:p>
    <w:p w14:paraId="6D8827EA" w14:textId="77777777" w:rsidR="00962B45" w:rsidRDefault="00962B45" w:rsidP="00962B45">
      <w:pPr>
        <w:autoSpaceDE w:val="0"/>
        <w:autoSpaceDN w:val="0"/>
        <w:adjustRightInd w:val="0"/>
        <w:jc w:val="both"/>
        <w:rPr>
          <w:rFonts w:ascii="Arial" w:eastAsia="Times New Roman" w:hAnsi="Arial" w:cs="Arial"/>
          <w:lang w:val="en-US" w:eastAsia="en-US"/>
        </w:rPr>
      </w:pPr>
    </w:p>
    <w:p w14:paraId="40AFA3E6" w14:textId="77777777" w:rsidR="00962B45" w:rsidRPr="00962B45" w:rsidRDefault="00962B45" w:rsidP="00962B45">
      <w:pPr>
        <w:autoSpaceDE w:val="0"/>
        <w:autoSpaceDN w:val="0"/>
        <w:adjustRightInd w:val="0"/>
        <w:jc w:val="both"/>
        <w:rPr>
          <w:rFonts w:ascii="Arial" w:eastAsia="Times New Roman" w:hAnsi="Arial" w:cs="Arial"/>
          <w:lang w:val="en-US" w:eastAsia="en-US"/>
        </w:rPr>
      </w:pPr>
    </w:p>
    <w:p w14:paraId="1E7DCFC6" w14:textId="77777777" w:rsidR="00962B45" w:rsidRPr="00962B45" w:rsidRDefault="00962B45" w:rsidP="00962B45">
      <w:pPr>
        <w:spacing w:after="0"/>
        <w:jc w:val="both"/>
        <w:rPr>
          <w:rFonts w:ascii="Arial" w:hAnsi="Arial" w:cs="Arial"/>
          <w:b/>
        </w:rPr>
      </w:pPr>
      <w:proofErr w:type="spellStart"/>
      <w:r w:rsidRPr="00962B45">
        <w:rPr>
          <w:rFonts w:ascii="Arial" w:hAnsi="Arial" w:cs="Arial"/>
          <w:b/>
        </w:rPr>
        <w:t>Dr.</w:t>
      </w:r>
      <w:proofErr w:type="spellEnd"/>
      <w:r w:rsidRPr="00962B45">
        <w:rPr>
          <w:rFonts w:ascii="Arial" w:hAnsi="Arial" w:cs="Arial"/>
          <w:b/>
        </w:rPr>
        <w:t xml:space="preserve"> Diana </w:t>
      </w:r>
      <w:proofErr w:type="spellStart"/>
      <w:r w:rsidRPr="00962B45">
        <w:rPr>
          <w:rFonts w:ascii="Arial" w:hAnsi="Arial" w:cs="Arial"/>
          <w:b/>
        </w:rPr>
        <w:t>Peréez</w:t>
      </w:r>
      <w:proofErr w:type="spellEnd"/>
      <w:r w:rsidRPr="00962B45">
        <w:rPr>
          <w:rFonts w:ascii="Arial" w:hAnsi="Arial" w:cs="Arial"/>
          <w:b/>
        </w:rPr>
        <w:t xml:space="preserve">-Bustamante </w:t>
      </w:r>
      <w:proofErr w:type="spellStart"/>
      <w:r w:rsidRPr="00962B45">
        <w:rPr>
          <w:rFonts w:ascii="Arial" w:hAnsi="Arial" w:cs="Arial"/>
          <w:b/>
        </w:rPr>
        <w:t>Yábar</w:t>
      </w:r>
      <w:proofErr w:type="spellEnd"/>
    </w:p>
    <w:p w14:paraId="581C8557" w14:textId="74F0DD69" w:rsidR="00962B45" w:rsidRPr="00962B45" w:rsidRDefault="00962B45" w:rsidP="00962B45">
      <w:pPr>
        <w:spacing w:after="0"/>
        <w:jc w:val="both"/>
        <w:rPr>
          <w:rFonts w:ascii="Arial" w:hAnsi="Arial" w:cs="Arial"/>
          <w:lang w:val="en-US"/>
        </w:rPr>
      </w:pPr>
      <w:r w:rsidRPr="00962B45">
        <w:rPr>
          <w:rFonts w:ascii="Arial" w:hAnsi="Arial" w:cs="Arial"/>
          <w:lang w:val="en-US"/>
        </w:rPr>
        <w:t>Rey</w:t>
      </w:r>
      <w:r>
        <w:rPr>
          <w:rFonts w:ascii="Arial" w:hAnsi="Arial" w:cs="Arial"/>
          <w:lang w:val="en-US"/>
        </w:rPr>
        <w:t xml:space="preserve"> Juan Carlos University (URJC),</w:t>
      </w:r>
    </w:p>
    <w:p w14:paraId="5B989C38" w14:textId="77777777" w:rsidR="00962B45" w:rsidRPr="00962B45" w:rsidRDefault="00962B45" w:rsidP="00962B45">
      <w:pPr>
        <w:spacing w:after="0"/>
        <w:jc w:val="both"/>
        <w:rPr>
          <w:rFonts w:ascii="Arial" w:hAnsi="Arial" w:cs="Arial"/>
        </w:rPr>
      </w:pPr>
      <w:proofErr w:type="gramStart"/>
      <w:r w:rsidRPr="00962B45">
        <w:rPr>
          <w:rFonts w:ascii="Arial" w:hAnsi="Arial" w:cs="Arial"/>
        </w:rPr>
        <w:t>diana.perezbustamaante@urjc.es</w:t>
      </w:r>
      <w:proofErr w:type="gramEnd"/>
    </w:p>
    <w:p w14:paraId="16567836" w14:textId="77777777" w:rsidR="00962B45" w:rsidRPr="00962B45" w:rsidRDefault="00962B45" w:rsidP="00962B45">
      <w:pPr>
        <w:jc w:val="both"/>
        <w:rPr>
          <w:rFonts w:ascii="Arial" w:hAnsi="Arial" w:cs="Arial"/>
          <w:lang w:val="en-US"/>
        </w:rPr>
      </w:pPr>
    </w:p>
    <w:p w14:paraId="7399AB8E" w14:textId="56799FF4" w:rsidR="00962B45" w:rsidRPr="00962B45" w:rsidRDefault="00962B45" w:rsidP="00962B45">
      <w:pPr>
        <w:widowControl w:val="0"/>
        <w:autoSpaceDE w:val="0"/>
        <w:autoSpaceDN w:val="0"/>
        <w:adjustRightInd w:val="0"/>
        <w:spacing w:after="240" w:line="360" w:lineRule="auto"/>
        <w:jc w:val="both"/>
        <w:rPr>
          <w:rFonts w:ascii="Arial" w:hAnsi="Arial" w:cs="Arial"/>
          <w:b/>
          <w:lang w:val="en-US"/>
        </w:rPr>
      </w:pPr>
    </w:p>
    <w:p w14:paraId="31EA85FD" w14:textId="7F43783A" w:rsidR="00962B45" w:rsidRDefault="00962B45">
      <w:pPr>
        <w:spacing w:after="0"/>
        <w:rPr>
          <w:rFonts w:ascii="Arial" w:hAnsi="Arial" w:cs="Arial"/>
          <w:b/>
          <w:lang w:val="en-US"/>
        </w:rPr>
      </w:pPr>
      <w:r>
        <w:rPr>
          <w:rFonts w:ascii="Arial" w:hAnsi="Arial" w:cs="Arial"/>
          <w:b/>
          <w:lang w:val="en-US"/>
        </w:rPr>
        <w:br w:type="page"/>
      </w:r>
    </w:p>
    <w:p w14:paraId="35D6B0B4" w14:textId="77777777" w:rsidR="00962B45" w:rsidRDefault="00962B45">
      <w:pPr>
        <w:spacing w:after="0"/>
        <w:rPr>
          <w:rFonts w:ascii="Arial" w:hAnsi="Arial" w:cs="Arial"/>
          <w:b/>
          <w:lang w:val="en-US"/>
        </w:rPr>
      </w:pPr>
    </w:p>
    <w:p w14:paraId="5A683FAE" w14:textId="77777777" w:rsidR="00962B45" w:rsidRDefault="00962B45">
      <w:pPr>
        <w:spacing w:after="0"/>
        <w:rPr>
          <w:rFonts w:ascii="Arial" w:hAnsi="Arial" w:cs="Arial"/>
          <w:b/>
          <w:lang w:val="en-US"/>
        </w:rPr>
      </w:pPr>
    </w:p>
    <w:p w14:paraId="23071C3C" w14:textId="051FD993" w:rsidR="009C1D9A" w:rsidRPr="00962B45" w:rsidRDefault="0075155E" w:rsidP="000607E8">
      <w:pPr>
        <w:widowControl w:val="0"/>
        <w:autoSpaceDE w:val="0"/>
        <w:autoSpaceDN w:val="0"/>
        <w:adjustRightInd w:val="0"/>
        <w:spacing w:after="240" w:line="360" w:lineRule="auto"/>
        <w:jc w:val="both"/>
        <w:rPr>
          <w:rFonts w:ascii="Arial" w:hAnsi="Arial" w:cs="Arial"/>
          <w:b/>
          <w:lang w:val="en-US"/>
        </w:rPr>
      </w:pPr>
      <w:r>
        <w:rPr>
          <w:rFonts w:ascii="Arial" w:hAnsi="Arial" w:cs="Arial"/>
          <w:b/>
          <w:lang w:val="en-US"/>
        </w:rPr>
        <w:t xml:space="preserve">Do High Street Fashion Brands All </w:t>
      </w:r>
      <w:proofErr w:type="gramStart"/>
      <w:r>
        <w:rPr>
          <w:rFonts w:ascii="Arial" w:hAnsi="Arial" w:cs="Arial"/>
          <w:b/>
          <w:lang w:val="en-US"/>
        </w:rPr>
        <w:t>Share</w:t>
      </w:r>
      <w:proofErr w:type="gramEnd"/>
      <w:r>
        <w:rPr>
          <w:rFonts w:ascii="Arial" w:hAnsi="Arial" w:cs="Arial"/>
          <w:b/>
          <w:lang w:val="en-US"/>
        </w:rPr>
        <w:t xml:space="preserve"> the Same Types of Customers?</w:t>
      </w:r>
    </w:p>
    <w:p w14:paraId="2689877F" w14:textId="77777777" w:rsidR="00962B45" w:rsidRDefault="00962B45" w:rsidP="000607E8">
      <w:pPr>
        <w:widowControl w:val="0"/>
        <w:autoSpaceDE w:val="0"/>
        <w:autoSpaceDN w:val="0"/>
        <w:adjustRightInd w:val="0"/>
        <w:spacing w:after="240" w:line="360" w:lineRule="auto"/>
        <w:jc w:val="both"/>
        <w:rPr>
          <w:rFonts w:ascii="Arial" w:hAnsi="Arial" w:cs="Arial"/>
          <w:lang w:val="en-US"/>
        </w:rPr>
      </w:pPr>
    </w:p>
    <w:p w14:paraId="31F1F87F" w14:textId="77777777" w:rsidR="00B47497" w:rsidRPr="00962B45" w:rsidRDefault="00B47497" w:rsidP="000607E8">
      <w:pPr>
        <w:widowControl w:val="0"/>
        <w:autoSpaceDE w:val="0"/>
        <w:autoSpaceDN w:val="0"/>
        <w:adjustRightInd w:val="0"/>
        <w:spacing w:after="240" w:line="360" w:lineRule="auto"/>
        <w:jc w:val="both"/>
        <w:rPr>
          <w:rFonts w:ascii="Arial" w:hAnsi="Arial" w:cs="Arial"/>
          <w:b/>
          <w:i/>
          <w:lang w:val="en-US"/>
        </w:rPr>
      </w:pPr>
      <w:r w:rsidRPr="00962B45">
        <w:rPr>
          <w:rFonts w:ascii="Arial" w:hAnsi="Arial" w:cs="Arial"/>
          <w:b/>
          <w:i/>
          <w:lang w:val="en-US"/>
        </w:rPr>
        <w:t>Abstract</w:t>
      </w:r>
    </w:p>
    <w:p w14:paraId="11CB50D2" w14:textId="00971258" w:rsidR="00B47497"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It is widely thought that different brands appeal to different types of consumers and therefore countless segmen</w:t>
      </w:r>
      <w:r w:rsidR="0075155E">
        <w:rPr>
          <w:rFonts w:ascii="Arial" w:hAnsi="Arial" w:cs="Arial"/>
          <w:lang w:val="en-US"/>
        </w:rPr>
        <w:t>tation studies are carried out.</w:t>
      </w:r>
      <w:r w:rsidRPr="00D20D9B">
        <w:rPr>
          <w:rFonts w:ascii="Arial" w:hAnsi="Arial" w:cs="Arial"/>
          <w:lang w:val="en-US"/>
        </w:rPr>
        <w:t xml:space="preserve"> In practice however, little is known about who the custome</w:t>
      </w:r>
      <w:r w:rsidR="0075155E">
        <w:rPr>
          <w:rFonts w:ascii="Arial" w:hAnsi="Arial" w:cs="Arial"/>
          <w:lang w:val="en-US"/>
        </w:rPr>
        <w:t>rs for most brands actually are. Now, after a decade of</w:t>
      </w:r>
      <w:r w:rsidRPr="00D20D9B">
        <w:rPr>
          <w:rFonts w:ascii="Arial" w:hAnsi="Arial" w:cs="Arial"/>
          <w:lang w:val="en-US"/>
        </w:rPr>
        <w:t xml:space="preserve"> research in FMCG categories has shown that in general the consumer profiles in developed competitive market categori</w:t>
      </w:r>
      <w:r w:rsidR="0075155E">
        <w:rPr>
          <w:rFonts w:ascii="Arial" w:hAnsi="Arial" w:cs="Arial"/>
          <w:lang w:val="en-US"/>
        </w:rPr>
        <w:t>es differ little between brands, t</w:t>
      </w:r>
      <w:r w:rsidRPr="00D20D9B">
        <w:rPr>
          <w:rFonts w:ascii="Arial" w:hAnsi="Arial" w:cs="Arial"/>
          <w:lang w:val="en-US"/>
        </w:rPr>
        <w:t xml:space="preserve">his study </w:t>
      </w:r>
      <w:r w:rsidR="0075155E">
        <w:rPr>
          <w:rFonts w:ascii="Arial" w:hAnsi="Arial" w:cs="Arial"/>
          <w:lang w:val="en-US"/>
        </w:rPr>
        <w:t>extends this research to examine</w:t>
      </w:r>
      <w:r w:rsidRPr="00D20D9B">
        <w:rPr>
          <w:rFonts w:ascii="Arial" w:hAnsi="Arial" w:cs="Arial"/>
          <w:lang w:val="en-US"/>
        </w:rPr>
        <w:t xml:space="preserve"> consumer profiles in the high street fashion industry to see whether there are notable differences between brands in terms</w:t>
      </w:r>
      <w:r w:rsidR="00362B42" w:rsidRPr="00D20D9B">
        <w:rPr>
          <w:rFonts w:ascii="Arial" w:hAnsi="Arial" w:cs="Arial"/>
          <w:lang w:val="en-US"/>
        </w:rPr>
        <w:t xml:space="preserve"> of the customers who buy them.</w:t>
      </w:r>
      <w:r w:rsidRPr="00D20D9B">
        <w:rPr>
          <w:rFonts w:ascii="Arial" w:hAnsi="Arial" w:cs="Arial"/>
          <w:lang w:val="en-US"/>
        </w:rPr>
        <w:t xml:space="preserve"> Using Kantar </w:t>
      </w:r>
      <w:proofErr w:type="spellStart"/>
      <w:r w:rsidRPr="00D20D9B">
        <w:rPr>
          <w:rFonts w:ascii="Arial" w:hAnsi="Arial" w:cs="Arial"/>
          <w:lang w:val="en-US"/>
        </w:rPr>
        <w:t>Fashiontrack</w:t>
      </w:r>
      <w:proofErr w:type="spellEnd"/>
      <w:r w:rsidRPr="00D20D9B">
        <w:rPr>
          <w:rFonts w:ascii="Arial" w:hAnsi="Arial" w:cs="Arial"/>
          <w:lang w:val="en-US"/>
        </w:rPr>
        <w:t xml:space="preserve"> data (n=15,000) we compared the user profiles of fashion brands in the UK along demographic and psychographic dimensions.  The data were categorized a</w:t>
      </w:r>
      <w:r w:rsidR="0075155E">
        <w:rPr>
          <w:rFonts w:ascii="Arial" w:hAnsi="Arial" w:cs="Arial"/>
          <w:lang w:val="en-US"/>
        </w:rPr>
        <w:t>s ‘retail brands’ and we</w:t>
      </w:r>
      <w:r w:rsidRPr="00D20D9B">
        <w:rPr>
          <w:rFonts w:ascii="Arial" w:hAnsi="Arial" w:cs="Arial"/>
          <w:lang w:val="en-US"/>
        </w:rPr>
        <w:t xml:space="preserve"> concentrate on the most popular category of retailing, women’s outerwear</w:t>
      </w:r>
      <w:r w:rsidR="00233D82">
        <w:rPr>
          <w:rFonts w:ascii="Arial" w:hAnsi="Arial" w:cs="Arial"/>
          <w:lang w:val="en-US"/>
        </w:rPr>
        <w:t>,</w:t>
      </w:r>
      <w:r w:rsidRPr="00D20D9B">
        <w:rPr>
          <w:rFonts w:ascii="Arial" w:hAnsi="Arial" w:cs="Arial"/>
          <w:lang w:val="en-US"/>
        </w:rPr>
        <w:t xml:space="preserve"> </w:t>
      </w:r>
      <w:r w:rsidR="00233D82">
        <w:rPr>
          <w:rFonts w:ascii="Arial" w:hAnsi="Arial" w:cs="Arial"/>
          <w:lang w:val="en-US"/>
        </w:rPr>
        <w:t>purchased by women</w:t>
      </w:r>
      <w:r w:rsidRPr="00D20D9B">
        <w:rPr>
          <w:rFonts w:ascii="Arial" w:hAnsi="Arial" w:cs="Arial"/>
          <w:lang w:val="en-US"/>
        </w:rPr>
        <w:t xml:space="preserve"> for themselves.</w:t>
      </w:r>
    </w:p>
    <w:p w14:paraId="0594DC71" w14:textId="5103ED01" w:rsidR="00362B42"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The results are that the customers of most brands are little different from the customers of other brands at </w:t>
      </w:r>
      <w:r w:rsidR="00362B42" w:rsidRPr="00D20D9B">
        <w:rPr>
          <w:rFonts w:ascii="Arial" w:hAnsi="Arial" w:cs="Arial"/>
          <w:lang w:val="en-US"/>
        </w:rPr>
        <w:t>the high street retailer level.</w:t>
      </w:r>
      <w:r w:rsidRPr="00D20D9B">
        <w:rPr>
          <w:rFonts w:ascii="Arial" w:hAnsi="Arial" w:cs="Arial"/>
          <w:lang w:val="en-US"/>
        </w:rPr>
        <w:t xml:space="preserve"> However, some brands do attain a level of customer differentiation, particularly those that differentiated by age.  </w:t>
      </w:r>
      <w:r w:rsidR="00362B42" w:rsidRPr="00D20D9B">
        <w:rPr>
          <w:rFonts w:ascii="Arial" w:hAnsi="Arial" w:cs="Arial"/>
          <w:lang w:val="en-US"/>
        </w:rPr>
        <w:t xml:space="preserve">The brands that achieve this type of segmentation are those that are part of a brand portfolio owned by a company </w:t>
      </w:r>
      <w:r w:rsidR="0075155E">
        <w:rPr>
          <w:rFonts w:ascii="Arial" w:hAnsi="Arial" w:cs="Arial"/>
          <w:lang w:val="en-US"/>
        </w:rPr>
        <w:t>that</w:t>
      </w:r>
      <w:r w:rsidR="00362B42" w:rsidRPr="00D20D9B">
        <w:rPr>
          <w:rFonts w:ascii="Arial" w:hAnsi="Arial" w:cs="Arial"/>
          <w:lang w:val="en-US"/>
        </w:rPr>
        <w:t xml:space="preserve"> </w:t>
      </w:r>
      <w:r w:rsidR="00211954" w:rsidRPr="00D20D9B">
        <w:rPr>
          <w:rFonts w:ascii="Arial" w:hAnsi="Arial" w:cs="Arial"/>
          <w:lang w:val="en-US"/>
        </w:rPr>
        <w:t xml:space="preserve">uses individual brands to target different user groups.   </w:t>
      </w:r>
    </w:p>
    <w:p w14:paraId="3FE84668" w14:textId="3AD99725" w:rsidR="00B47497"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The key implication for marketing practitioners is that market segmentation using consumer characteristics will unnecessarily limit the vast potential that markets offer.  Most brands would be better off with strategies that are not too narrowly focused, but that emphasize reaching as many category buyers as possible.    </w:t>
      </w:r>
    </w:p>
    <w:p w14:paraId="4B480339" w14:textId="46059827" w:rsidR="00134A54" w:rsidRPr="00D20D9B" w:rsidRDefault="00B47497" w:rsidP="000607E8">
      <w:pPr>
        <w:widowControl w:val="0"/>
        <w:autoSpaceDE w:val="0"/>
        <w:autoSpaceDN w:val="0"/>
        <w:adjustRightInd w:val="0"/>
        <w:spacing w:after="240" w:line="360" w:lineRule="auto"/>
        <w:jc w:val="both"/>
        <w:rPr>
          <w:rFonts w:ascii="Arial" w:hAnsi="Arial" w:cs="Arial"/>
          <w:b/>
          <w:lang w:val="en-US"/>
        </w:rPr>
      </w:pPr>
      <w:r w:rsidRPr="00D20D9B">
        <w:rPr>
          <w:rFonts w:ascii="Arial" w:hAnsi="Arial" w:cs="Arial"/>
          <w:b/>
          <w:lang w:val="en-US"/>
        </w:rPr>
        <w:t xml:space="preserve">Keywords: consumer profiles, segmentation, empirical </w:t>
      </w:r>
      <w:proofErr w:type="spellStart"/>
      <w:r w:rsidRPr="00D20D9B">
        <w:rPr>
          <w:rFonts w:ascii="Arial" w:hAnsi="Arial" w:cs="Arial"/>
          <w:b/>
          <w:lang w:val="en-US"/>
        </w:rPr>
        <w:t>generalisations</w:t>
      </w:r>
      <w:proofErr w:type="spellEnd"/>
      <w:r w:rsidRPr="00D20D9B">
        <w:rPr>
          <w:rFonts w:ascii="Arial" w:hAnsi="Arial" w:cs="Arial"/>
          <w:b/>
          <w:lang w:val="en-US"/>
        </w:rPr>
        <w:t>.</w:t>
      </w:r>
    </w:p>
    <w:p w14:paraId="6C907D31" w14:textId="77777777" w:rsidR="00962B45" w:rsidRDefault="00962B45" w:rsidP="000607E8">
      <w:pPr>
        <w:widowControl w:val="0"/>
        <w:autoSpaceDE w:val="0"/>
        <w:autoSpaceDN w:val="0"/>
        <w:adjustRightInd w:val="0"/>
        <w:spacing w:after="240" w:line="360" w:lineRule="auto"/>
        <w:jc w:val="both"/>
        <w:rPr>
          <w:rFonts w:ascii="Arial" w:hAnsi="Arial" w:cs="Arial"/>
          <w:b/>
          <w:lang w:val="en-US"/>
        </w:rPr>
      </w:pPr>
    </w:p>
    <w:p w14:paraId="24B06C1D" w14:textId="77777777" w:rsidR="00B47497" w:rsidRPr="00D20D9B" w:rsidRDefault="00B47497" w:rsidP="000607E8">
      <w:pPr>
        <w:widowControl w:val="0"/>
        <w:autoSpaceDE w:val="0"/>
        <w:autoSpaceDN w:val="0"/>
        <w:adjustRightInd w:val="0"/>
        <w:spacing w:after="240" w:line="360" w:lineRule="auto"/>
        <w:jc w:val="both"/>
        <w:rPr>
          <w:rFonts w:ascii="Arial" w:hAnsi="Arial" w:cs="Arial"/>
          <w:b/>
          <w:lang w:val="en-US"/>
        </w:rPr>
      </w:pPr>
      <w:r w:rsidRPr="00D20D9B">
        <w:rPr>
          <w:rFonts w:ascii="Arial" w:hAnsi="Arial" w:cs="Arial"/>
          <w:b/>
          <w:lang w:val="en-US"/>
        </w:rPr>
        <w:t>1.  Introduction</w:t>
      </w:r>
    </w:p>
    <w:p w14:paraId="1F30562D" w14:textId="55E2ECB4" w:rsidR="00B47497"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Empirical </w:t>
      </w:r>
      <w:proofErr w:type="spellStart"/>
      <w:r w:rsidRPr="00D20D9B">
        <w:rPr>
          <w:rFonts w:ascii="Arial" w:hAnsi="Arial" w:cs="Arial"/>
          <w:lang w:val="en-US"/>
        </w:rPr>
        <w:t>generalisations</w:t>
      </w:r>
      <w:proofErr w:type="spellEnd"/>
      <w:r w:rsidRPr="00D20D9B">
        <w:rPr>
          <w:rFonts w:ascii="Arial" w:hAnsi="Arial" w:cs="Arial"/>
          <w:lang w:val="en-US"/>
        </w:rPr>
        <w:t xml:space="preserve"> </w:t>
      </w:r>
      <w:r w:rsidR="00D20D9B">
        <w:rPr>
          <w:rFonts w:ascii="Arial" w:hAnsi="Arial" w:cs="Arial"/>
          <w:lang w:val="en-US"/>
        </w:rPr>
        <w:t>or benchmarks</w:t>
      </w:r>
      <w:r w:rsidRPr="00D20D9B">
        <w:rPr>
          <w:rFonts w:ascii="Arial" w:hAnsi="Arial" w:cs="Arial"/>
          <w:lang w:val="en-US"/>
        </w:rPr>
        <w:t xml:space="preserve"> are a form of marketing knowledge that arise from experiments or observations across a range of conditions resulting in a pattern or regularity that repeats over different circumstances and that can be described simply by mathematical, graphic or symbolic methods (Bass, 1995)</w:t>
      </w:r>
      <w:r w:rsidR="00211954" w:rsidRPr="00D20D9B">
        <w:rPr>
          <w:rFonts w:ascii="Arial" w:hAnsi="Arial" w:cs="Arial"/>
          <w:lang w:val="en-US"/>
        </w:rPr>
        <w:t>.</w:t>
      </w:r>
      <w:r w:rsidRPr="00D20D9B">
        <w:rPr>
          <w:rFonts w:ascii="Arial" w:hAnsi="Arial" w:cs="Arial"/>
          <w:lang w:val="en-US"/>
        </w:rPr>
        <w:t xml:space="preserve"> The emphasis on patterns or regularities over differing circumstances is critical to developing fundamental knowledge of market</w:t>
      </w:r>
      <w:r w:rsidR="00211954" w:rsidRPr="00D20D9B">
        <w:rPr>
          <w:rFonts w:ascii="Arial" w:hAnsi="Arial" w:cs="Arial"/>
          <w:lang w:val="en-US"/>
        </w:rPr>
        <w:t>ing and practical implications.</w:t>
      </w:r>
      <w:r w:rsidRPr="00D20D9B">
        <w:rPr>
          <w:rFonts w:ascii="Arial" w:hAnsi="Arial" w:cs="Arial"/>
          <w:lang w:val="en-US"/>
        </w:rPr>
        <w:t xml:space="preserve"> A key use of </w:t>
      </w:r>
      <w:r w:rsidR="00D20D9B">
        <w:rPr>
          <w:rFonts w:ascii="Arial" w:hAnsi="Arial" w:cs="Arial"/>
          <w:lang w:val="en-US"/>
        </w:rPr>
        <w:t>rules</w:t>
      </w:r>
      <w:r w:rsidR="009C1D9A">
        <w:rPr>
          <w:rFonts w:ascii="Arial" w:hAnsi="Arial" w:cs="Arial"/>
          <w:lang w:val="en-US"/>
        </w:rPr>
        <w:t xml:space="preserve"> or norms is to provide benchmarks</w:t>
      </w:r>
      <w:r w:rsidRPr="00D20D9B">
        <w:rPr>
          <w:rFonts w:ascii="Arial" w:hAnsi="Arial" w:cs="Arial"/>
          <w:lang w:val="en-US"/>
        </w:rPr>
        <w:t xml:space="preserve"> to indicate in which</w:t>
      </w:r>
      <w:r w:rsidR="009C1D9A">
        <w:rPr>
          <w:rFonts w:ascii="Arial" w:hAnsi="Arial" w:cs="Arial"/>
          <w:lang w:val="en-US"/>
        </w:rPr>
        <w:t xml:space="preserve"> conditions, regularities apply</w:t>
      </w:r>
      <w:r w:rsidRPr="00D20D9B">
        <w:rPr>
          <w:rFonts w:ascii="Arial" w:hAnsi="Arial" w:cs="Arial"/>
          <w:lang w:val="en-US"/>
        </w:rPr>
        <w:t xml:space="preserve"> and under which conditions those regularities might not be applicable (Uncles &amp; Wright, 2004).   </w:t>
      </w:r>
    </w:p>
    <w:p w14:paraId="1C66B452" w14:textId="77777777" w:rsidR="00B47497" w:rsidRPr="00D20D9B" w:rsidRDefault="00B47497" w:rsidP="000607E8">
      <w:pPr>
        <w:widowControl w:val="0"/>
        <w:autoSpaceDE w:val="0"/>
        <w:autoSpaceDN w:val="0"/>
        <w:adjustRightInd w:val="0"/>
        <w:spacing w:after="240" w:line="360" w:lineRule="auto"/>
        <w:jc w:val="both"/>
        <w:rPr>
          <w:rFonts w:ascii="Arial" w:hAnsi="Arial" w:cs="Arial"/>
          <w:b/>
          <w:i/>
          <w:lang w:val="en-US"/>
        </w:rPr>
      </w:pPr>
      <w:r w:rsidRPr="00D20D9B">
        <w:rPr>
          <w:rFonts w:ascii="Arial" w:hAnsi="Arial" w:cs="Arial"/>
          <w:b/>
          <w:i/>
          <w:lang w:val="en-US"/>
        </w:rPr>
        <w:t>Empirical generalizations in consumer profiles</w:t>
      </w:r>
    </w:p>
    <w:p w14:paraId="2B207B91" w14:textId="1F97C9D0" w:rsidR="00B47497" w:rsidRPr="00D20D9B" w:rsidRDefault="009C1D9A" w:rsidP="000607E8">
      <w:pPr>
        <w:widowControl w:val="0"/>
        <w:autoSpaceDE w:val="0"/>
        <w:autoSpaceDN w:val="0"/>
        <w:adjustRightInd w:val="0"/>
        <w:spacing w:after="240" w:line="360" w:lineRule="auto"/>
        <w:jc w:val="both"/>
        <w:rPr>
          <w:rFonts w:ascii="Arial" w:hAnsi="Arial" w:cs="Arial"/>
          <w:lang w:val="en-US"/>
        </w:rPr>
      </w:pPr>
      <w:r>
        <w:rPr>
          <w:rFonts w:ascii="Arial" w:hAnsi="Arial" w:cs="Arial"/>
          <w:lang w:val="en-US"/>
        </w:rPr>
        <w:t>This</w:t>
      </w:r>
      <w:r w:rsidR="00B47497" w:rsidRPr="00D20D9B">
        <w:rPr>
          <w:rFonts w:ascii="Arial" w:hAnsi="Arial" w:cs="Arial"/>
          <w:lang w:val="en-US"/>
        </w:rPr>
        <w:t xml:space="preserve"> approach has identified that consumer profiles are homogenous across brands in a wide range of product categories and countries (e.g. Hammond, Ehrenberg, &amp; </w:t>
      </w:r>
      <w:proofErr w:type="spellStart"/>
      <w:r w:rsidR="00B47497" w:rsidRPr="00D20D9B">
        <w:rPr>
          <w:rFonts w:ascii="Arial" w:hAnsi="Arial" w:cs="Arial"/>
          <w:lang w:val="en-US"/>
        </w:rPr>
        <w:t>Goodhardt</w:t>
      </w:r>
      <w:proofErr w:type="spellEnd"/>
      <w:r w:rsidR="00B47497" w:rsidRPr="00D20D9B">
        <w:rPr>
          <w:rFonts w:ascii="Arial" w:hAnsi="Arial" w:cs="Arial"/>
          <w:lang w:val="en-US"/>
        </w:rPr>
        <w:t xml:space="preserve">, 1996; Kennedy &amp; Ehrenberg, 2001a; Kennedy, Ehrenberg, </w:t>
      </w:r>
      <w:r>
        <w:rPr>
          <w:rFonts w:ascii="Arial" w:hAnsi="Arial" w:cs="Arial"/>
          <w:lang w:val="en-US"/>
        </w:rPr>
        <w:t>&amp; Long, 2000</w:t>
      </w:r>
      <w:r w:rsidR="00B47497" w:rsidRPr="00D20D9B">
        <w:rPr>
          <w:rFonts w:ascii="Arial" w:hAnsi="Arial" w:cs="Arial"/>
          <w:lang w:val="en-US"/>
        </w:rPr>
        <w:t xml:space="preserve">). These consistent findings </w:t>
      </w:r>
      <w:r w:rsidR="00134A54" w:rsidRPr="00D20D9B">
        <w:rPr>
          <w:rFonts w:ascii="Arial" w:hAnsi="Arial" w:cs="Arial"/>
          <w:lang w:val="en-US"/>
        </w:rPr>
        <w:t xml:space="preserve">show </w:t>
      </w:r>
      <w:r w:rsidR="00B47497" w:rsidRPr="00D20D9B">
        <w:rPr>
          <w:rFonts w:ascii="Arial" w:hAnsi="Arial" w:cs="Arial"/>
          <w:lang w:val="en-US"/>
        </w:rPr>
        <w:t xml:space="preserve">that user profiles of brands rarely differ significantly </w:t>
      </w:r>
      <w:r w:rsidR="00134A54" w:rsidRPr="00D20D9B">
        <w:rPr>
          <w:rFonts w:ascii="Arial" w:hAnsi="Arial" w:cs="Arial"/>
          <w:lang w:val="en-US"/>
        </w:rPr>
        <w:t>on demographic, psychographic</w:t>
      </w:r>
      <w:r w:rsidR="00B47497" w:rsidRPr="00D20D9B">
        <w:rPr>
          <w:rFonts w:ascii="Arial" w:hAnsi="Arial" w:cs="Arial"/>
          <w:lang w:val="en-US"/>
        </w:rPr>
        <w:t xml:space="preserve"> or brand attitude variables. The implication is that brands should try to develop broad appeal across their category because marketing strategies aimed at a limited number of consumers or narrow segments unnecessarily restrict the potential customers for a brand.</w:t>
      </w:r>
    </w:p>
    <w:p w14:paraId="183131FC" w14:textId="1D5E5A8B" w:rsidR="00B47497"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Although few meaningful differences in consumer profiles are found in practice, segmentation followed by targeted marketing continues to be promoted in text books (</w:t>
      </w:r>
      <w:proofErr w:type="spellStart"/>
      <w:r w:rsidRPr="00D20D9B">
        <w:rPr>
          <w:rFonts w:ascii="Arial" w:hAnsi="Arial" w:cs="Arial"/>
          <w:lang w:val="en-US"/>
        </w:rPr>
        <w:t>Kotler</w:t>
      </w:r>
      <w:proofErr w:type="spellEnd"/>
      <w:r w:rsidRPr="00D20D9B">
        <w:rPr>
          <w:rFonts w:ascii="Arial" w:hAnsi="Arial" w:cs="Arial"/>
          <w:lang w:val="en-US"/>
        </w:rPr>
        <w:t>, Brown, Burton, Deans, &amp; Armstrong, 2010), and by a sophisticated research industry that promotes segmentation and targeting techniques as a means of achieving differential advantage (</w:t>
      </w:r>
      <w:proofErr w:type="spellStart"/>
      <w:r w:rsidRPr="00D20D9B">
        <w:rPr>
          <w:rFonts w:ascii="Arial" w:hAnsi="Arial" w:cs="Arial"/>
          <w:lang w:val="en-US"/>
        </w:rPr>
        <w:t>Foe</w:t>
      </w:r>
      <w:r w:rsidR="00134A54" w:rsidRPr="00D20D9B">
        <w:rPr>
          <w:rFonts w:ascii="Arial" w:hAnsi="Arial" w:cs="Arial"/>
          <w:lang w:val="en-US"/>
        </w:rPr>
        <w:t>demayr</w:t>
      </w:r>
      <w:proofErr w:type="spellEnd"/>
      <w:r w:rsidR="00134A54" w:rsidRPr="00D20D9B">
        <w:rPr>
          <w:rFonts w:ascii="Arial" w:hAnsi="Arial" w:cs="Arial"/>
          <w:lang w:val="en-US"/>
        </w:rPr>
        <w:t xml:space="preserve"> &amp; Diamantopoulos, 2008).</w:t>
      </w:r>
      <w:r w:rsidRPr="00D20D9B">
        <w:rPr>
          <w:rFonts w:ascii="Arial" w:hAnsi="Arial" w:cs="Arial"/>
          <w:lang w:val="en-US"/>
        </w:rPr>
        <w:t xml:space="preserve"> Highly targeted</w:t>
      </w:r>
      <w:r w:rsidR="00134A54" w:rsidRPr="00D20D9B">
        <w:rPr>
          <w:rFonts w:ascii="Arial" w:hAnsi="Arial" w:cs="Arial"/>
          <w:lang w:val="en-US"/>
        </w:rPr>
        <w:t xml:space="preserve"> marketing efforts are</w:t>
      </w:r>
      <w:r w:rsidRPr="00D20D9B">
        <w:rPr>
          <w:rFonts w:ascii="Arial" w:hAnsi="Arial" w:cs="Arial"/>
          <w:lang w:val="en-US"/>
        </w:rPr>
        <w:t xml:space="preserve"> the norm for many marketing practitioners (Franklin, 2012; </w:t>
      </w:r>
      <w:proofErr w:type="spellStart"/>
      <w:r w:rsidRPr="00D20D9B">
        <w:rPr>
          <w:rFonts w:ascii="Arial" w:hAnsi="Arial" w:cs="Arial"/>
          <w:lang w:val="en-US"/>
        </w:rPr>
        <w:t>O’Regan</w:t>
      </w:r>
      <w:proofErr w:type="spellEnd"/>
      <w:r w:rsidRPr="00D20D9B">
        <w:rPr>
          <w:rFonts w:ascii="Arial" w:hAnsi="Arial" w:cs="Arial"/>
          <w:lang w:val="en-US"/>
        </w:rPr>
        <w:t>, Asho</w:t>
      </w:r>
      <w:r w:rsidR="00134A54" w:rsidRPr="00D20D9B">
        <w:rPr>
          <w:rFonts w:ascii="Arial" w:hAnsi="Arial" w:cs="Arial"/>
          <w:lang w:val="en-US"/>
        </w:rPr>
        <w:t xml:space="preserve">k, </w:t>
      </w:r>
      <w:proofErr w:type="spellStart"/>
      <w:r w:rsidR="00134A54" w:rsidRPr="00D20D9B">
        <w:rPr>
          <w:rFonts w:ascii="Arial" w:hAnsi="Arial" w:cs="Arial"/>
          <w:lang w:val="en-US"/>
        </w:rPr>
        <w:t>Maksimova</w:t>
      </w:r>
      <w:proofErr w:type="spellEnd"/>
      <w:r w:rsidR="00134A54" w:rsidRPr="00D20D9B">
        <w:rPr>
          <w:rFonts w:ascii="Arial" w:hAnsi="Arial" w:cs="Arial"/>
          <w:lang w:val="en-US"/>
        </w:rPr>
        <w:t xml:space="preserve"> &amp; </w:t>
      </w:r>
      <w:proofErr w:type="spellStart"/>
      <w:r w:rsidR="00134A54" w:rsidRPr="00D20D9B">
        <w:rPr>
          <w:rFonts w:ascii="Arial" w:hAnsi="Arial" w:cs="Arial"/>
          <w:lang w:val="en-US"/>
        </w:rPr>
        <w:t>Reshetin</w:t>
      </w:r>
      <w:proofErr w:type="spellEnd"/>
      <w:r w:rsidR="00134A54" w:rsidRPr="00D20D9B">
        <w:rPr>
          <w:rFonts w:ascii="Arial" w:hAnsi="Arial" w:cs="Arial"/>
          <w:lang w:val="en-US"/>
        </w:rPr>
        <w:t>, 2011).</w:t>
      </w:r>
      <w:r w:rsidR="0075155E">
        <w:rPr>
          <w:rFonts w:ascii="Arial" w:hAnsi="Arial" w:cs="Arial"/>
          <w:lang w:val="en-US"/>
        </w:rPr>
        <w:t xml:space="preserve"> </w:t>
      </w:r>
      <w:r w:rsidRPr="00D20D9B">
        <w:rPr>
          <w:rFonts w:ascii="Arial" w:hAnsi="Arial" w:cs="Arial"/>
          <w:lang w:val="en-US"/>
        </w:rPr>
        <w:t>This is partly because targeting is conceptually appealing to managers whose marketing resources are too limi</w:t>
      </w:r>
      <w:r w:rsidR="00134A54" w:rsidRPr="00D20D9B">
        <w:rPr>
          <w:rFonts w:ascii="Arial" w:hAnsi="Arial" w:cs="Arial"/>
          <w:lang w:val="en-US"/>
        </w:rPr>
        <w:t>ted to try to address all</w:t>
      </w:r>
      <w:r w:rsidRPr="00D20D9B">
        <w:rPr>
          <w:rFonts w:ascii="Arial" w:hAnsi="Arial" w:cs="Arial"/>
          <w:lang w:val="en-US"/>
        </w:rPr>
        <w:t xml:space="preserve"> potentia</w:t>
      </w:r>
      <w:r w:rsidR="0075155E">
        <w:rPr>
          <w:rFonts w:ascii="Arial" w:hAnsi="Arial" w:cs="Arial"/>
          <w:lang w:val="en-US"/>
        </w:rPr>
        <w:t>l customers in the marketplace.</w:t>
      </w:r>
      <w:r w:rsidRPr="00D20D9B">
        <w:rPr>
          <w:rFonts w:ascii="Arial" w:hAnsi="Arial" w:cs="Arial"/>
          <w:lang w:val="en-US"/>
        </w:rPr>
        <w:t xml:space="preserve"> It is also</w:t>
      </w:r>
      <w:r w:rsidR="00134A54" w:rsidRPr="00D20D9B">
        <w:rPr>
          <w:rFonts w:ascii="Arial" w:hAnsi="Arial" w:cs="Arial"/>
          <w:lang w:val="en-US"/>
        </w:rPr>
        <w:t xml:space="preserve"> true</w:t>
      </w:r>
      <w:r w:rsidRPr="00D20D9B">
        <w:rPr>
          <w:rFonts w:ascii="Arial" w:hAnsi="Arial" w:cs="Arial"/>
          <w:lang w:val="en-US"/>
        </w:rPr>
        <w:t xml:space="preserve"> </w:t>
      </w:r>
      <w:r w:rsidR="00134A54" w:rsidRPr="00D20D9B">
        <w:rPr>
          <w:rFonts w:ascii="Arial" w:hAnsi="Arial" w:cs="Arial"/>
          <w:lang w:val="en-US"/>
        </w:rPr>
        <w:t>that</w:t>
      </w:r>
      <w:r w:rsidRPr="00D20D9B">
        <w:rPr>
          <w:rFonts w:ascii="Arial" w:hAnsi="Arial" w:cs="Arial"/>
          <w:lang w:val="en-US"/>
        </w:rPr>
        <w:t xml:space="preserve"> having a target market in mind can be useful for developing creative communications strategies and also possibly for product design reasons.</w:t>
      </w:r>
    </w:p>
    <w:p w14:paraId="32574EE3" w14:textId="77777777" w:rsidR="00B47497" w:rsidRPr="00D20D9B" w:rsidRDefault="00B47497" w:rsidP="000607E8">
      <w:pPr>
        <w:widowControl w:val="0"/>
        <w:autoSpaceDE w:val="0"/>
        <w:autoSpaceDN w:val="0"/>
        <w:adjustRightInd w:val="0"/>
        <w:spacing w:after="240" w:line="360" w:lineRule="auto"/>
        <w:jc w:val="both"/>
        <w:rPr>
          <w:rFonts w:ascii="Arial" w:hAnsi="Arial" w:cs="Arial"/>
          <w:b/>
          <w:lang w:val="en-US"/>
        </w:rPr>
      </w:pPr>
      <w:r w:rsidRPr="00D20D9B">
        <w:rPr>
          <w:rFonts w:ascii="Arial" w:hAnsi="Arial" w:cs="Arial"/>
          <w:b/>
          <w:lang w:val="en-US"/>
        </w:rPr>
        <w:t>2.  The body of knowledge</w:t>
      </w:r>
    </w:p>
    <w:p w14:paraId="5A7A3919" w14:textId="43024C71" w:rsidR="00B47497"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Customer switching between competitive brands has been studied repeatedly over the years and the accumulated evidence is that in most categories</w:t>
      </w:r>
      <w:r w:rsidR="00211954" w:rsidRPr="00D20D9B">
        <w:rPr>
          <w:rFonts w:ascii="Arial" w:hAnsi="Arial" w:cs="Arial"/>
          <w:lang w:val="en-US"/>
        </w:rPr>
        <w:t>, brands share their customers.</w:t>
      </w:r>
      <w:r w:rsidRPr="00D20D9B">
        <w:rPr>
          <w:rFonts w:ascii="Arial" w:hAnsi="Arial" w:cs="Arial"/>
          <w:lang w:val="en-US"/>
        </w:rPr>
        <w:t xml:space="preserve"> While there are functional differences between brands in some areas—convertible sports cars are different to family estate cars—leading to some </w:t>
      </w:r>
      <w:proofErr w:type="gramStart"/>
      <w:r w:rsidRPr="00D20D9B">
        <w:rPr>
          <w:rFonts w:ascii="Arial" w:hAnsi="Arial" w:cs="Arial"/>
          <w:lang w:val="en-US"/>
        </w:rPr>
        <w:t>function</w:t>
      </w:r>
      <w:r w:rsidR="00134A54" w:rsidRPr="00D20D9B">
        <w:rPr>
          <w:rFonts w:ascii="Arial" w:hAnsi="Arial" w:cs="Arial"/>
          <w:lang w:val="en-US"/>
        </w:rPr>
        <w:t>ally</w:t>
      </w:r>
      <w:r w:rsidRPr="00D20D9B">
        <w:rPr>
          <w:rFonts w:ascii="Arial" w:hAnsi="Arial" w:cs="Arial"/>
          <w:lang w:val="en-US"/>
        </w:rPr>
        <w:t>-based</w:t>
      </w:r>
      <w:proofErr w:type="gramEnd"/>
      <w:r w:rsidRPr="00D20D9B">
        <w:rPr>
          <w:rFonts w:ascii="Arial" w:hAnsi="Arial" w:cs="Arial"/>
          <w:lang w:val="en-US"/>
        </w:rPr>
        <w:t xml:space="preserve"> differentiation, for the most part brands compe</w:t>
      </w:r>
      <w:r w:rsidR="00211954" w:rsidRPr="00D20D9B">
        <w:rPr>
          <w:rFonts w:ascii="Arial" w:hAnsi="Arial" w:cs="Arial"/>
          <w:lang w:val="en-US"/>
        </w:rPr>
        <w:t>te as if they were look-alikes.</w:t>
      </w:r>
      <w:r w:rsidRPr="00D20D9B">
        <w:rPr>
          <w:rFonts w:ascii="Arial" w:hAnsi="Arial" w:cs="Arial"/>
          <w:lang w:val="en-US"/>
        </w:rPr>
        <w:t xml:space="preserve"> In addition, competition tends to diminish the functional differences between brands ov</w:t>
      </w:r>
      <w:r w:rsidR="00134A54" w:rsidRPr="00D20D9B">
        <w:rPr>
          <w:rFonts w:ascii="Arial" w:hAnsi="Arial" w:cs="Arial"/>
          <w:lang w:val="en-US"/>
        </w:rPr>
        <w:t>er time.</w:t>
      </w:r>
      <w:r w:rsidRPr="00D20D9B">
        <w:rPr>
          <w:rFonts w:ascii="Arial" w:hAnsi="Arial" w:cs="Arial"/>
          <w:lang w:val="en-US"/>
        </w:rPr>
        <w:t xml:space="preserve"> There has been less work on differences in brand performance be</w:t>
      </w:r>
      <w:r w:rsidR="0075155E">
        <w:rPr>
          <w:rFonts w:ascii="Arial" w:hAnsi="Arial" w:cs="Arial"/>
          <w:lang w:val="en-US"/>
        </w:rPr>
        <w:t>tween different types of buyers</w:t>
      </w:r>
      <w:r w:rsidRPr="00D20D9B">
        <w:rPr>
          <w:rFonts w:ascii="Arial" w:hAnsi="Arial" w:cs="Arial"/>
          <w:lang w:val="en-US"/>
        </w:rPr>
        <w:t xml:space="preserve"> but the analysis that does exist, spanning dozens of categories</w:t>
      </w:r>
      <w:r w:rsidR="0075155E">
        <w:rPr>
          <w:rFonts w:ascii="Arial" w:hAnsi="Arial" w:cs="Arial"/>
          <w:lang w:val="en-US"/>
        </w:rPr>
        <w:t>,</w:t>
      </w:r>
      <w:r w:rsidRPr="00D20D9B">
        <w:rPr>
          <w:rFonts w:ascii="Arial" w:hAnsi="Arial" w:cs="Arial"/>
          <w:lang w:val="en-US"/>
        </w:rPr>
        <w:t xml:space="preserve"> </w:t>
      </w:r>
      <w:r w:rsidR="0075155E">
        <w:rPr>
          <w:rFonts w:ascii="Arial" w:hAnsi="Arial" w:cs="Arial"/>
          <w:lang w:val="en-US"/>
        </w:rPr>
        <w:t>usually</w:t>
      </w:r>
      <w:r w:rsidRPr="00D20D9B">
        <w:rPr>
          <w:rFonts w:ascii="Arial" w:hAnsi="Arial" w:cs="Arial"/>
          <w:lang w:val="en-US"/>
        </w:rPr>
        <w:t xml:space="preserve"> finds that the u</w:t>
      </w:r>
      <w:r w:rsidR="0075155E">
        <w:rPr>
          <w:rFonts w:ascii="Arial" w:hAnsi="Arial" w:cs="Arial"/>
          <w:lang w:val="en-US"/>
        </w:rPr>
        <w:t>sers of competing brands</w:t>
      </w:r>
      <w:r w:rsidRPr="00D20D9B">
        <w:rPr>
          <w:rFonts w:ascii="Arial" w:hAnsi="Arial" w:cs="Arial"/>
          <w:lang w:val="en-US"/>
        </w:rPr>
        <w:t xml:space="preserve"> have similar demographic and psychographic profiles (Kennedy, Ehrenberg and Long, 2000; Fennell, A</w:t>
      </w:r>
      <w:r w:rsidR="0075155E">
        <w:rPr>
          <w:rFonts w:ascii="Arial" w:hAnsi="Arial" w:cs="Arial"/>
          <w:lang w:val="en-US"/>
        </w:rPr>
        <w:t>llenby, Yang and Edwards 2003).</w:t>
      </w:r>
      <w:r w:rsidRPr="00D20D9B">
        <w:rPr>
          <w:rFonts w:ascii="Arial" w:hAnsi="Arial" w:cs="Arial"/>
          <w:lang w:val="en-US"/>
        </w:rPr>
        <w:t xml:space="preserve"> Thus, the evidence suggests that measures of brand performance in consumer markets are generally fairly evenly spread across all customers, with large brands scoring better across all demographic or psychographic measures, an</w:t>
      </w:r>
      <w:r w:rsidR="0075155E">
        <w:rPr>
          <w:rFonts w:ascii="Arial" w:hAnsi="Arial" w:cs="Arial"/>
          <w:lang w:val="en-US"/>
        </w:rPr>
        <w:t>d smaller brands scoring lower.</w:t>
      </w:r>
      <w:r w:rsidRPr="00D20D9B">
        <w:rPr>
          <w:rFonts w:ascii="Arial" w:hAnsi="Arial" w:cs="Arial"/>
          <w:lang w:val="en-US"/>
        </w:rPr>
        <w:t xml:space="preserve"> This is an example of the well-k</w:t>
      </w:r>
      <w:r w:rsidR="00134A54" w:rsidRPr="00D20D9B">
        <w:rPr>
          <w:rFonts w:ascii="Arial" w:hAnsi="Arial" w:cs="Arial"/>
          <w:lang w:val="en-US"/>
        </w:rPr>
        <w:t>nown double jeopardy phenomenon—a</w:t>
      </w:r>
      <w:r w:rsidRPr="00D20D9B">
        <w:rPr>
          <w:rFonts w:ascii="Arial" w:hAnsi="Arial" w:cs="Arial"/>
          <w:lang w:val="en-US"/>
        </w:rPr>
        <w:t xml:space="preserve"> statistical selection effect that generates the pattern favoring large brands on all brand performance metrics.</w:t>
      </w:r>
    </w:p>
    <w:p w14:paraId="4A3B7500" w14:textId="77777777" w:rsidR="0075155E" w:rsidRPr="00D20D9B" w:rsidRDefault="0075155E" w:rsidP="000607E8">
      <w:pPr>
        <w:widowControl w:val="0"/>
        <w:autoSpaceDE w:val="0"/>
        <w:autoSpaceDN w:val="0"/>
        <w:adjustRightInd w:val="0"/>
        <w:spacing w:after="240" w:line="360" w:lineRule="auto"/>
        <w:jc w:val="both"/>
        <w:rPr>
          <w:rFonts w:ascii="Arial" w:hAnsi="Arial" w:cs="Arial"/>
          <w:lang w:val="en-US"/>
        </w:rPr>
      </w:pPr>
    </w:p>
    <w:p w14:paraId="1DED5DBC" w14:textId="77777777" w:rsidR="00B47497" w:rsidRPr="00D20D9B" w:rsidRDefault="00B47497" w:rsidP="000607E8">
      <w:pPr>
        <w:widowControl w:val="0"/>
        <w:autoSpaceDE w:val="0"/>
        <w:autoSpaceDN w:val="0"/>
        <w:adjustRightInd w:val="0"/>
        <w:spacing w:after="240" w:line="360" w:lineRule="auto"/>
        <w:jc w:val="both"/>
        <w:rPr>
          <w:rFonts w:ascii="Arial" w:hAnsi="Arial" w:cs="Arial"/>
          <w:b/>
          <w:i/>
          <w:lang w:val="en-US"/>
        </w:rPr>
      </w:pPr>
      <w:r w:rsidRPr="00D20D9B">
        <w:rPr>
          <w:rFonts w:ascii="Arial" w:hAnsi="Arial" w:cs="Arial"/>
          <w:b/>
          <w:i/>
          <w:lang w:val="en-US"/>
        </w:rPr>
        <w:t>Are there exceptions?</w:t>
      </w:r>
    </w:p>
    <w:p w14:paraId="3631AD1F" w14:textId="2D3196BD" w:rsidR="00B47497"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Successful marketing careers have been built on doing the unexpected—a brand manager who actually manages to grow a brand</w:t>
      </w:r>
      <w:r w:rsidR="00134A54" w:rsidRPr="00D20D9B">
        <w:rPr>
          <w:rFonts w:ascii="Arial" w:hAnsi="Arial" w:cs="Arial"/>
          <w:lang w:val="en-US"/>
        </w:rPr>
        <w:t>’s market share</w:t>
      </w:r>
      <w:r w:rsidR="00211954" w:rsidRPr="00D20D9B">
        <w:rPr>
          <w:rFonts w:ascii="Arial" w:hAnsi="Arial" w:cs="Arial"/>
          <w:lang w:val="en-US"/>
        </w:rPr>
        <w:t>, for example.</w:t>
      </w:r>
      <w:r w:rsidRPr="00D20D9B">
        <w:rPr>
          <w:rFonts w:ascii="Arial" w:hAnsi="Arial" w:cs="Arial"/>
          <w:lang w:val="en-US"/>
        </w:rPr>
        <w:t xml:space="preserve"> Perhaps there might be other exceptions to the general findings about customer sharing as well, for exam</w:t>
      </w:r>
      <w:r w:rsidR="00134A54" w:rsidRPr="00D20D9B">
        <w:rPr>
          <w:rFonts w:ascii="Arial" w:hAnsi="Arial" w:cs="Arial"/>
          <w:lang w:val="en-US"/>
        </w:rPr>
        <w:t>ple there might be categories</w:t>
      </w:r>
      <w:r w:rsidRPr="00D20D9B">
        <w:rPr>
          <w:rFonts w:ascii="Arial" w:hAnsi="Arial" w:cs="Arial"/>
          <w:lang w:val="en-US"/>
        </w:rPr>
        <w:t xml:space="preserve"> that cater to and promote style, self-expression and individuality, where the general rules governing the patterns and structure in buying behavior and brand p</w:t>
      </w:r>
      <w:r w:rsidR="00211954" w:rsidRPr="00D20D9B">
        <w:rPr>
          <w:rFonts w:ascii="Arial" w:hAnsi="Arial" w:cs="Arial"/>
          <w:lang w:val="en-US"/>
        </w:rPr>
        <w:t>erformance might bend a little.</w:t>
      </w:r>
      <w:r w:rsidRPr="00D20D9B">
        <w:rPr>
          <w:rFonts w:ascii="Arial" w:hAnsi="Arial" w:cs="Arial"/>
          <w:lang w:val="en-US"/>
        </w:rPr>
        <w:t xml:space="preserve"> </w:t>
      </w:r>
      <w:r w:rsidR="00134A54" w:rsidRPr="00D20D9B">
        <w:rPr>
          <w:rFonts w:ascii="Arial" w:hAnsi="Arial" w:cs="Arial"/>
          <w:lang w:val="en-US"/>
        </w:rPr>
        <w:t xml:space="preserve">There may be categories where brands are more clearly differentiated </w:t>
      </w:r>
      <w:r w:rsidR="00433624" w:rsidRPr="00D20D9B">
        <w:rPr>
          <w:rFonts w:ascii="Arial" w:hAnsi="Arial" w:cs="Arial"/>
          <w:lang w:val="en-US"/>
        </w:rPr>
        <w:t>and therefore do n</w:t>
      </w:r>
      <w:r w:rsidR="00211954" w:rsidRPr="00D20D9B">
        <w:rPr>
          <w:rFonts w:ascii="Arial" w:hAnsi="Arial" w:cs="Arial"/>
          <w:lang w:val="en-US"/>
        </w:rPr>
        <w:t>ot compete as near look-alikes.</w:t>
      </w:r>
      <w:r w:rsidR="00433624" w:rsidRPr="00D20D9B">
        <w:rPr>
          <w:rFonts w:ascii="Arial" w:hAnsi="Arial" w:cs="Arial"/>
          <w:lang w:val="en-US"/>
        </w:rPr>
        <w:t xml:space="preserve"> </w:t>
      </w:r>
      <w:r w:rsidRPr="00D20D9B">
        <w:rPr>
          <w:rFonts w:ascii="Arial" w:hAnsi="Arial" w:cs="Arial"/>
          <w:lang w:val="en-US"/>
        </w:rPr>
        <w:t xml:space="preserve">An obvious candidate that might fulfill </w:t>
      </w:r>
      <w:r w:rsidR="00433624" w:rsidRPr="00D20D9B">
        <w:rPr>
          <w:rFonts w:ascii="Arial" w:hAnsi="Arial" w:cs="Arial"/>
          <w:lang w:val="en-US"/>
        </w:rPr>
        <w:t>these conditions</w:t>
      </w:r>
      <w:r w:rsidRPr="00D20D9B">
        <w:rPr>
          <w:rFonts w:ascii="Arial" w:hAnsi="Arial" w:cs="Arial"/>
          <w:lang w:val="en-US"/>
        </w:rPr>
        <w:t xml:space="preserve"> is women’s fashion.  </w:t>
      </w:r>
    </w:p>
    <w:p w14:paraId="660454B1" w14:textId="77777777" w:rsidR="0075155E" w:rsidRPr="00D20D9B" w:rsidRDefault="0075155E" w:rsidP="000607E8">
      <w:pPr>
        <w:widowControl w:val="0"/>
        <w:autoSpaceDE w:val="0"/>
        <w:autoSpaceDN w:val="0"/>
        <w:adjustRightInd w:val="0"/>
        <w:spacing w:after="240" w:line="360" w:lineRule="auto"/>
        <w:jc w:val="both"/>
        <w:rPr>
          <w:rFonts w:ascii="Arial" w:hAnsi="Arial" w:cs="Arial"/>
          <w:lang w:val="en-US"/>
        </w:rPr>
      </w:pPr>
    </w:p>
    <w:p w14:paraId="2ACB3E1A" w14:textId="77777777" w:rsidR="00B47497" w:rsidRPr="00D20D9B" w:rsidRDefault="00B47497" w:rsidP="000607E8">
      <w:pPr>
        <w:autoSpaceDE w:val="0"/>
        <w:autoSpaceDN w:val="0"/>
        <w:adjustRightInd w:val="0"/>
        <w:spacing w:after="0" w:line="360" w:lineRule="auto"/>
        <w:jc w:val="both"/>
        <w:rPr>
          <w:rFonts w:ascii="Arial" w:hAnsi="Arial" w:cs="Arial"/>
          <w:b/>
          <w:i/>
          <w:color w:val="231F20"/>
          <w:lang w:val="en-US" w:eastAsia="es-ES"/>
        </w:rPr>
      </w:pPr>
      <w:r w:rsidRPr="00D20D9B">
        <w:rPr>
          <w:rFonts w:ascii="Arial" w:hAnsi="Arial" w:cs="Arial"/>
          <w:b/>
          <w:i/>
          <w:color w:val="231F20"/>
          <w:lang w:val="en-US" w:eastAsia="es-ES"/>
        </w:rPr>
        <w:t>Fashion</w:t>
      </w:r>
    </w:p>
    <w:p w14:paraId="521A3BFE" w14:textId="77777777" w:rsidR="00B47497" w:rsidRPr="00D20D9B" w:rsidRDefault="00B47497" w:rsidP="000607E8">
      <w:pPr>
        <w:autoSpaceDE w:val="0"/>
        <w:autoSpaceDN w:val="0"/>
        <w:adjustRightInd w:val="0"/>
        <w:spacing w:after="0" w:line="360" w:lineRule="auto"/>
        <w:jc w:val="both"/>
        <w:rPr>
          <w:rFonts w:ascii="Arial" w:hAnsi="Arial" w:cs="Arial"/>
          <w:color w:val="231F20"/>
          <w:lang w:val="en-US" w:eastAsia="es-ES"/>
        </w:rPr>
      </w:pPr>
    </w:p>
    <w:p w14:paraId="537C633A" w14:textId="68DC1F84" w:rsidR="00B47497" w:rsidRPr="00D20D9B" w:rsidRDefault="0075155E" w:rsidP="000607E8">
      <w:pPr>
        <w:autoSpaceDE w:val="0"/>
        <w:autoSpaceDN w:val="0"/>
        <w:adjustRightInd w:val="0"/>
        <w:spacing w:after="0" w:line="360" w:lineRule="auto"/>
        <w:jc w:val="both"/>
        <w:rPr>
          <w:rFonts w:ascii="Arial" w:hAnsi="Arial" w:cs="Arial"/>
          <w:lang w:val="en-US"/>
        </w:rPr>
      </w:pPr>
      <w:proofErr w:type="spellStart"/>
      <w:r>
        <w:rPr>
          <w:rFonts w:ascii="Arial" w:hAnsi="Arial" w:cs="Arial"/>
          <w:lang w:val="en-US"/>
        </w:rPr>
        <w:t>Breward</w:t>
      </w:r>
      <w:proofErr w:type="spellEnd"/>
      <w:r>
        <w:rPr>
          <w:rFonts w:ascii="Arial" w:hAnsi="Arial" w:cs="Arial"/>
          <w:lang w:val="en-US"/>
        </w:rPr>
        <w:t xml:space="preserve"> (2003</w:t>
      </w:r>
      <w:r w:rsidR="00B47497" w:rsidRPr="00D20D9B">
        <w:rPr>
          <w:rFonts w:ascii="Arial" w:hAnsi="Arial" w:cs="Arial"/>
          <w:lang w:val="en-US"/>
        </w:rPr>
        <w:t>) describes fashion as an important conduit for the expression of social identity, polit</w:t>
      </w:r>
      <w:r w:rsidR="00FE7949">
        <w:rPr>
          <w:rFonts w:ascii="Arial" w:hAnsi="Arial" w:cs="Arial"/>
          <w:lang w:val="en-US"/>
        </w:rPr>
        <w:t>ical ideas and aesthetic taste.</w:t>
      </w:r>
      <w:r w:rsidR="00B47497" w:rsidRPr="00D20D9B">
        <w:rPr>
          <w:rFonts w:ascii="Arial" w:hAnsi="Arial" w:cs="Arial"/>
          <w:lang w:val="en-US"/>
        </w:rPr>
        <w:t xml:space="preserve"> </w:t>
      </w:r>
      <w:proofErr w:type="spellStart"/>
      <w:r w:rsidR="00B47497" w:rsidRPr="00D20D9B">
        <w:rPr>
          <w:rFonts w:ascii="Arial" w:hAnsi="Arial" w:cs="Arial"/>
          <w:lang w:val="en-US"/>
        </w:rPr>
        <w:t>Perna</w:t>
      </w:r>
      <w:proofErr w:type="spellEnd"/>
      <w:r w:rsidR="00B47497" w:rsidRPr="00D20D9B">
        <w:rPr>
          <w:rFonts w:ascii="Arial" w:hAnsi="Arial" w:cs="Arial"/>
          <w:lang w:val="en-US"/>
        </w:rPr>
        <w:t xml:space="preserve"> (1987) deﬁnes fashion as “an expression of the times,” while </w:t>
      </w:r>
      <w:proofErr w:type="spellStart"/>
      <w:r w:rsidR="00B47497" w:rsidRPr="00D20D9B">
        <w:rPr>
          <w:rFonts w:ascii="Arial" w:hAnsi="Arial" w:cs="Arial"/>
          <w:lang w:val="en-US"/>
        </w:rPr>
        <w:t>Pol</w:t>
      </w:r>
      <w:r w:rsidR="00FE7949">
        <w:rPr>
          <w:rFonts w:ascii="Arial" w:hAnsi="Arial" w:cs="Arial"/>
          <w:lang w:val="en-US"/>
        </w:rPr>
        <w:t>hemus</w:t>
      </w:r>
      <w:proofErr w:type="spellEnd"/>
      <w:r w:rsidR="00FE7949">
        <w:rPr>
          <w:rFonts w:ascii="Arial" w:hAnsi="Arial" w:cs="Arial"/>
          <w:lang w:val="en-US"/>
        </w:rPr>
        <w:t xml:space="preserve"> and Procter (1978) point</w:t>
      </w:r>
      <w:r w:rsidR="00B47497" w:rsidRPr="00D20D9B">
        <w:rPr>
          <w:rFonts w:ascii="Arial" w:hAnsi="Arial" w:cs="Arial"/>
          <w:lang w:val="en-US"/>
        </w:rPr>
        <w:t xml:space="preserve"> out that the term ‘fashion’ ‘is often used as a synonym </w:t>
      </w:r>
      <w:r w:rsidR="00433624" w:rsidRPr="00D20D9B">
        <w:rPr>
          <w:rFonts w:ascii="Arial" w:hAnsi="Arial" w:cs="Arial"/>
          <w:lang w:val="en-US"/>
        </w:rPr>
        <w:t>for</w:t>
      </w:r>
      <w:r w:rsidR="00B47497" w:rsidRPr="00D20D9B">
        <w:rPr>
          <w:rFonts w:ascii="Arial" w:hAnsi="Arial" w:cs="Arial"/>
          <w:lang w:val="en-US"/>
        </w:rPr>
        <w:t xml:space="preserve"> “adornment”, “</w:t>
      </w:r>
      <w:r w:rsidR="00433624" w:rsidRPr="00D20D9B">
        <w:rPr>
          <w:rFonts w:ascii="Arial" w:hAnsi="Arial" w:cs="Arial"/>
          <w:lang w:val="en-US"/>
        </w:rPr>
        <w:t xml:space="preserve">style” and “dress”.’  Coco </w:t>
      </w:r>
      <w:r w:rsidR="00B47497" w:rsidRPr="00D20D9B">
        <w:rPr>
          <w:rFonts w:ascii="Arial" w:hAnsi="Arial" w:cs="Arial"/>
          <w:lang w:val="en-US"/>
        </w:rPr>
        <w:t>Chanel made this point ear</w:t>
      </w:r>
      <w:r w:rsidR="00433624" w:rsidRPr="00D20D9B">
        <w:rPr>
          <w:rFonts w:ascii="Arial" w:hAnsi="Arial" w:cs="Arial"/>
          <w:lang w:val="en-US"/>
        </w:rPr>
        <w:t>ly in the 20th century say</w:t>
      </w:r>
      <w:r w:rsidR="009E3E36" w:rsidRPr="00D20D9B">
        <w:rPr>
          <w:rFonts w:ascii="Arial" w:hAnsi="Arial" w:cs="Arial"/>
          <w:lang w:val="en-US"/>
        </w:rPr>
        <w:t>i</w:t>
      </w:r>
      <w:r w:rsidR="00B47497" w:rsidRPr="00D20D9B">
        <w:rPr>
          <w:rFonts w:ascii="Arial" w:hAnsi="Arial" w:cs="Arial"/>
          <w:lang w:val="en-US"/>
        </w:rPr>
        <w:t>ng, ‘Fashion does not exist unless it goes down into the streets. The fashion that remains in the salons has no more signiﬁcance than a costume ba</w:t>
      </w:r>
      <w:r w:rsidR="00FE7949">
        <w:rPr>
          <w:rFonts w:ascii="Arial" w:hAnsi="Arial" w:cs="Arial"/>
          <w:lang w:val="en-US"/>
        </w:rPr>
        <w:t>ll’, (Charles-Roux, 1981</w:t>
      </w:r>
      <w:r w:rsidR="00B47497" w:rsidRPr="00D20D9B">
        <w:rPr>
          <w:rFonts w:ascii="Arial" w:hAnsi="Arial" w:cs="Arial"/>
          <w:lang w:val="en-US"/>
        </w:rPr>
        <w:t xml:space="preserve">). </w:t>
      </w:r>
    </w:p>
    <w:p w14:paraId="5B67A067" w14:textId="77777777" w:rsidR="00B47497" w:rsidRPr="00D20D9B" w:rsidRDefault="00B47497" w:rsidP="000607E8">
      <w:pPr>
        <w:autoSpaceDE w:val="0"/>
        <w:autoSpaceDN w:val="0"/>
        <w:adjustRightInd w:val="0"/>
        <w:spacing w:after="0" w:line="360" w:lineRule="auto"/>
        <w:jc w:val="both"/>
        <w:rPr>
          <w:rFonts w:ascii="Arial" w:hAnsi="Arial" w:cs="Arial"/>
          <w:color w:val="231F20"/>
          <w:lang w:val="en-US" w:eastAsia="es-ES"/>
        </w:rPr>
      </w:pPr>
    </w:p>
    <w:p w14:paraId="3181765F" w14:textId="74622A15" w:rsidR="00B47497" w:rsidRPr="00D20D9B" w:rsidRDefault="00B47497" w:rsidP="000607E8">
      <w:pPr>
        <w:autoSpaceDE w:val="0"/>
        <w:autoSpaceDN w:val="0"/>
        <w:adjustRightInd w:val="0"/>
        <w:spacing w:after="0" w:line="360" w:lineRule="auto"/>
        <w:jc w:val="both"/>
        <w:rPr>
          <w:rFonts w:ascii="Arial" w:hAnsi="Arial" w:cs="Arial"/>
          <w:color w:val="231F20"/>
          <w:lang w:val="en-US" w:eastAsia="es-ES"/>
        </w:rPr>
      </w:pPr>
      <w:r w:rsidRPr="00D20D9B">
        <w:rPr>
          <w:rFonts w:ascii="Arial" w:hAnsi="Arial" w:cs="Arial"/>
          <w:color w:val="231F20"/>
          <w:lang w:val="en-US" w:eastAsia="es-ES"/>
        </w:rPr>
        <w:t xml:space="preserve">For many individuals, fashion and clothing are communication tools to </w:t>
      </w:r>
      <w:r w:rsidR="00211954" w:rsidRPr="00D20D9B">
        <w:rPr>
          <w:rFonts w:ascii="Arial" w:hAnsi="Arial" w:cs="Arial"/>
          <w:color w:val="231F20"/>
          <w:lang w:val="en-US" w:eastAsia="es-ES"/>
        </w:rPr>
        <w:t>express personally held values.</w:t>
      </w:r>
      <w:r w:rsidRPr="00D20D9B">
        <w:rPr>
          <w:rFonts w:ascii="Arial" w:hAnsi="Arial" w:cs="Arial"/>
          <w:color w:val="231F20"/>
          <w:lang w:val="en-US" w:eastAsia="es-ES"/>
        </w:rPr>
        <w:t xml:space="preserve"> This idea was deve</w:t>
      </w:r>
      <w:r w:rsidR="00FE7949">
        <w:rPr>
          <w:rFonts w:ascii="Arial" w:hAnsi="Arial" w:cs="Arial"/>
          <w:color w:val="231F20"/>
          <w:lang w:val="en-US" w:eastAsia="es-ES"/>
        </w:rPr>
        <w:t xml:space="preserve">loped by </w:t>
      </w:r>
      <w:proofErr w:type="spellStart"/>
      <w:r w:rsidR="00FE7949">
        <w:rPr>
          <w:rFonts w:ascii="Arial" w:hAnsi="Arial" w:cs="Arial"/>
          <w:color w:val="231F20"/>
          <w:lang w:val="en-US" w:eastAsia="es-ES"/>
        </w:rPr>
        <w:t>McCraken</w:t>
      </w:r>
      <w:proofErr w:type="spellEnd"/>
      <w:r w:rsidR="00FE7949">
        <w:rPr>
          <w:rFonts w:ascii="Arial" w:hAnsi="Arial" w:cs="Arial"/>
          <w:color w:val="231F20"/>
          <w:lang w:val="en-US" w:eastAsia="es-ES"/>
        </w:rPr>
        <w:t xml:space="preserve"> and Roth (198</w:t>
      </w:r>
      <w:r w:rsidRPr="00D20D9B">
        <w:rPr>
          <w:rFonts w:ascii="Arial" w:hAnsi="Arial" w:cs="Arial"/>
          <w:color w:val="231F20"/>
          <w:lang w:val="en-US" w:eastAsia="es-ES"/>
        </w:rPr>
        <w:t>9) who held that ‘the knowledge of a code (fashion) may have more uneven distribution for products than it does for language.’ The term ‘ high-fashion brand” refers to brands that hold considerable intangible value and have durable positive brand images at the forefront of design, quality, and status</w:t>
      </w:r>
      <w:r w:rsidR="00FE7949">
        <w:rPr>
          <w:rFonts w:ascii="Arial" w:hAnsi="Arial" w:cs="Arial"/>
          <w:color w:val="231F20"/>
          <w:lang w:val="en-US" w:eastAsia="es-ES"/>
        </w:rPr>
        <w:t>,</w:t>
      </w:r>
      <w:r w:rsidRPr="00D20D9B">
        <w:rPr>
          <w:rFonts w:ascii="Arial" w:hAnsi="Arial" w:cs="Arial"/>
          <w:lang w:val="en-US"/>
        </w:rPr>
        <w:t xml:space="preserve"> (</w:t>
      </w:r>
      <w:hyperlink r:id="rId9" w:tooltip="Haga clic para buscar más entradas de este autor" w:history="1">
        <w:proofErr w:type="spellStart"/>
        <w:r w:rsidRPr="00D20D9B">
          <w:rPr>
            <w:rFonts w:ascii="Arial" w:hAnsi="Arial" w:cs="Arial"/>
            <w:lang w:val="en-US"/>
          </w:rPr>
          <w:t>Juggessur</w:t>
        </w:r>
        <w:proofErr w:type="spellEnd"/>
      </w:hyperlink>
      <w:r w:rsidRPr="00D20D9B">
        <w:rPr>
          <w:rFonts w:ascii="Arial" w:hAnsi="Arial" w:cs="Arial"/>
          <w:lang w:val="en-US"/>
        </w:rPr>
        <w:t xml:space="preserve"> and </w:t>
      </w:r>
      <w:hyperlink r:id="rId10" w:tooltip="Haga clic para buscar más entradas de este autor" w:history="1">
        <w:r w:rsidRPr="00D20D9B">
          <w:rPr>
            <w:rFonts w:ascii="Arial" w:hAnsi="Arial" w:cs="Arial"/>
            <w:lang w:val="en-US"/>
          </w:rPr>
          <w:t>Cohen</w:t>
        </w:r>
      </w:hyperlink>
      <w:r w:rsidRPr="00D20D9B">
        <w:rPr>
          <w:rFonts w:ascii="Arial" w:hAnsi="Arial" w:cs="Arial"/>
          <w:lang w:val="en-US"/>
        </w:rPr>
        <w:t>, 2009)</w:t>
      </w:r>
      <w:r w:rsidR="00211954" w:rsidRPr="00D20D9B">
        <w:rPr>
          <w:rFonts w:ascii="Arial" w:hAnsi="Arial" w:cs="Arial"/>
          <w:color w:val="231F20"/>
          <w:lang w:val="en-US" w:eastAsia="es-ES"/>
        </w:rPr>
        <w:t>.</w:t>
      </w:r>
      <w:r w:rsidRPr="00D20D9B">
        <w:rPr>
          <w:rFonts w:ascii="Arial" w:hAnsi="Arial" w:cs="Arial"/>
          <w:color w:val="231F20"/>
          <w:lang w:val="en-US" w:eastAsia="es-ES"/>
        </w:rPr>
        <w:t xml:space="preserve"> Fashion therefore g</w:t>
      </w:r>
      <w:r w:rsidR="00433624" w:rsidRPr="00D20D9B">
        <w:rPr>
          <w:rFonts w:ascii="Arial" w:hAnsi="Arial" w:cs="Arial"/>
          <w:color w:val="231F20"/>
          <w:lang w:val="en-US" w:eastAsia="es-ES"/>
        </w:rPr>
        <w:t>oes hand in hand with branding</w:t>
      </w:r>
      <w:r w:rsidRPr="00D20D9B">
        <w:rPr>
          <w:rFonts w:ascii="Arial" w:hAnsi="Arial" w:cs="Arial"/>
          <w:color w:val="231F20"/>
          <w:lang w:val="en-US" w:eastAsia="es-ES"/>
        </w:rPr>
        <w:t xml:space="preserve">, and according to Moore, (1995), high-fashion brands trade on the theory of ‘lifestyle branding,’ </w:t>
      </w:r>
      <w:r w:rsidR="00433624" w:rsidRPr="00D20D9B">
        <w:rPr>
          <w:rFonts w:ascii="Arial" w:hAnsi="Arial" w:cs="Arial"/>
          <w:color w:val="231F20"/>
          <w:lang w:val="en-US" w:eastAsia="es-ES"/>
        </w:rPr>
        <w:t>that</w:t>
      </w:r>
      <w:r w:rsidRPr="00D20D9B">
        <w:rPr>
          <w:rFonts w:ascii="Arial" w:hAnsi="Arial" w:cs="Arial"/>
          <w:color w:val="231F20"/>
          <w:lang w:val="en-US" w:eastAsia="es-ES"/>
        </w:rPr>
        <w:t xml:space="preserve"> stresses the images, values and elite connotations that a brand</w:t>
      </w:r>
      <w:r w:rsidR="00433624" w:rsidRPr="00D20D9B">
        <w:rPr>
          <w:rFonts w:ascii="Arial" w:hAnsi="Arial" w:cs="Arial"/>
          <w:color w:val="231F20"/>
          <w:lang w:val="en-US" w:eastAsia="es-ES"/>
        </w:rPr>
        <w:t xml:space="preserve"> reflects to those of an aspirational</w:t>
      </w:r>
      <w:r w:rsidRPr="00D20D9B">
        <w:rPr>
          <w:rFonts w:ascii="Arial" w:hAnsi="Arial" w:cs="Arial"/>
          <w:color w:val="231F20"/>
          <w:lang w:val="en-US" w:eastAsia="es-ES"/>
        </w:rPr>
        <w:t xml:space="preserve"> consumer segment. </w:t>
      </w:r>
    </w:p>
    <w:p w14:paraId="5CE21CE0" w14:textId="77777777" w:rsidR="00B47497" w:rsidRPr="00D20D9B" w:rsidRDefault="00B47497" w:rsidP="000607E8">
      <w:pPr>
        <w:autoSpaceDE w:val="0"/>
        <w:autoSpaceDN w:val="0"/>
        <w:adjustRightInd w:val="0"/>
        <w:spacing w:after="0" w:line="360" w:lineRule="auto"/>
        <w:jc w:val="both"/>
        <w:rPr>
          <w:rFonts w:ascii="Arial" w:hAnsi="Arial" w:cs="Arial"/>
          <w:color w:val="FF0000"/>
          <w:lang w:val="en-US" w:eastAsia="es-ES"/>
        </w:rPr>
      </w:pPr>
    </w:p>
    <w:p w14:paraId="697A96E9" w14:textId="77777777" w:rsidR="00B47497" w:rsidRPr="00D20D9B" w:rsidRDefault="00AB1C81" w:rsidP="000607E8">
      <w:pPr>
        <w:widowControl w:val="0"/>
        <w:autoSpaceDE w:val="0"/>
        <w:autoSpaceDN w:val="0"/>
        <w:adjustRightInd w:val="0"/>
        <w:spacing w:after="240" w:line="360" w:lineRule="auto"/>
        <w:jc w:val="both"/>
        <w:rPr>
          <w:rFonts w:ascii="Arial" w:hAnsi="Arial" w:cs="Arial"/>
          <w:b/>
          <w:i/>
          <w:lang w:val="en-US"/>
        </w:rPr>
      </w:pPr>
      <w:r w:rsidRPr="00D20D9B">
        <w:rPr>
          <w:rFonts w:ascii="Arial" w:hAnsi="Arial" w:cs="Arial"/>
          <w:b/>
          <w:i/>
          <w:lang w:val="en-US"/>
        </w:rPr>
        <w:t xml:space="preserve">Fashion </w:t>
      </w:r>
      <w:r w:rsidR="00B47497" w:rsidRPr="00D20D9B">
        <w:rPr>
          <w:rFonts w:ascii="Arial" w:hAnsi="Arial" w:cs="Arial"/>
          <w:b/>
          <w:i/>
          <w:lang w:val="en-US"/>
        </w:rPr>
        <w:t>Industry Size and trends</w:t>
      </w:r>
    </w:p>
    <w:p w14:paraId="1EFC6B2C" w14:textId="776C267D" w:rsidR="00B47497" w:rsidRPr="00D20D9B" w:rsidRDefault="00B47497" w:rsidP="000607E8">
      <w:pPr>
        <w:pStyle w:val="NormalWeb"/>
        <w:spacing w:line="360" w:lineRule="auto"/>
        <w:jc w:val="both"/>
        <w:rPr>
          <w:rFonts w:ascii="Arial" w:hAnsi="Arial" w:cs="Arial"/>
          <w:lang w:val="en-US"/>
        </w:rPr>
      </w:pPr>
      <w:r w:rsidRPr="00D20D9B">
        <w:rPr>
          <w:rFonts w:ascii="Arial" w:hAnsi="Arial" w:cs="Arial"/>
          <w:lang w:val="en-US"/>
        </w:rPr>
        <w:t xml:space="preserve">The global retail industry has </w:t>
      </w:r>
      <w:r w:rsidR="001573FF" w:rsidRPr="00D20D9B">
        <w:rPr>
          <w:rFonts w:ascii="Arial" w:hAnsi="Arial" w:cs="Arial"/>
          <w:lang w:val="en-US"/>
        </w:rPr>
        <w:t>seen steady growth</w:t>
      </w:r>
      <w:r w:rsidRPr="00D20D9B">
        <w:rPr>
          <w:rFonts w:ascii="Arial" w:hAnsi="Arial" w:cs="Arial"/>
          <w:lang w:val="en-US"/>
        </w:rPr>
        <w:t xml:space="preserve"> over the last few years and is estimated to </w:t>
      </w:r>
      <w:r w:rsidR="001573FF" w:rsidRPr="00D20D9B">
        <w:rPr>
          <w:rFonts w:ascii="Arial" w:hAnsi="Arial" w:cs="Arial"/>
          <w:lang w:val="en-US"/>
        </w:rPr>
        <w:t>reach</w:t>
      </w:r>
      <w:r w:rsidR="00FE7949">
        <w:rPr>
          <w:rFonts w:ascii="Arial" w:hAnsi="Arial" w:cs="Arial"/>
          <w:lang w:val="en-US"/>
        </w:rPr>
        <w:t xml:space="preserve"> $1.4</w:t>
      </w:r>
      <w:r w:rsidRPr="00D20D9B">
        <w:rPr>
          <w:rFonts w:ascii="Arial" w:hAnsi="Arial" w:cs="Arial"/>
          <w:lang w:val="en-US"/>
        </w:rPr>
        <w:t xml:space="preserve"> trillion</w:t>
      </w:r>
      <w:r w:rsidR="00FE7949">
        <w:rPr>
          <w:rFonts w:ascii="Arial" w:hAnsi="Arial" w:cs="Arial"/>
          <w:lang w:val="en-US"/>
        </w:rPr>
        <w:t xml:space="preserve"> by 2016 (</w:t>
      </w:r>
      <w:proofErr w:type="spellStart"/>
      <w:r w:rsidR="00FE7949">
        <w:rPr>
          <w:rFonts w:ascii="Arial" w:hAnsi="Arial" w:cs="Arial"/>
          <w:lang w:val="en-US"/>
        </w:rPr>
        <w:t>Reportlinker</w:t>
      </w:r>
      <w:proofErr w:type="spellEnd"/>
      <w:r w:rsidR="00FE7949">
        <w:rPr>
          <w:rFonts w:ascii="Arial" w:hAnsi="Arial" w:cs="Arial"/>
          <w:lang w:val="en-US"/>
        </w:rPr>
        <w:t xml:space="preserve">, Fashion Industry, 2015). </w:t>
      </w:r>
      <w:r w:rsidR="001573FF" w:rsidRPr="00D20D9B">
        <w:rPr>
          <w:rFonts w:ascii="Arial" w:hAnsi="Arial" w:cs="Arial"/>
          <w:lang w:val="en-US"/>
        </w:rPr>
        <w:t>The</w:t>
      </w:r>
      <w:r w:rsidRPr="00D20D9B">
        <w:rPr>
          <w:rFonts w:ascii="Arial" w:hAnsi="Arial" w:cs="Arial"/>
          <w:lang w:val="en-US"/>
        </w:rPr>
        <w:t xml:space="preserve"> growth of the industry also embodies dynamic changes such as the addition of new channels of distribution, re</w:t>
      </w:r>
      <w:r w:rsidR="001573FF" w:rsidRPr="00D20D9B">
        <w:rPr>
          <w:rFonts w:ascii="Arial" w:hAnsi="Arial" w:cs="Arial"/>
          <w:lang w:val="en-US"/>
        </w:rPr>
        <w:t>source shortages</w:t>
      </w:r>
      <w:r w:rsidRPr="00D20D9B">
        <w:rPr>
          <w:rFonts w:ascii="Arial" w:hAnsi="Arial" w:cs="Arial"/>
          <w:lang w:val="en-US"/>
        </w:rPr>
        <w:t>, demographic changes, new technologies, and shifts in the global economy that impact both retailers and their customers (</w:t>
      </w:r>
      <w:hyperlink r:id="rId11" w:history="1">
        <w:proofErr w:type="spellStart"/>
        <w:r w:rsidRPr="00D20D9B">
          <w:rPr>
            <w:rFonts w:ascii="Arial" w:hAnsi="Arial" w:cs="Arial"/>
            <w:lang w:val="en-US"/>
          </w:rPr>
          <w:t>Pookulangara</w:t>
        </w:r>
        <w:proofErr w:type="spellEnd"/>
      </w:hyperlink>
      <w:r w:rsidRPr="00D20D9B">
        <w:rPr>
          <w:rFonts w:ascii="Arial" w:hAnsi="Arial" w:cs="Arial"/>
          <w:lang w:val="en-US"/>
        </w:rPr>
        <w:t xml:space="preserve">, </w:t>
      </w:r>
      <w:hyperlink r:id="rId12" w:history="1">
        <w:proofErr w:type="spellStart"/>
        <w:r w:rsidRPr="00D20D9B">
          <w:rPr>
            <w:rFonts w:ascii="Arial" w:hAnsi="Arial" w:cs="Arial"/>
            <w:lang w:val="en-US"/>
          </w:rPr>
          <w:t>Shephard</w:t>
        </w:r>
        <w:proofErr w:type="spellEnd"/>
      </w:hyperlink>
      <w:r w:rsidRPr="00D20D9B">
        <w:rPr>
          <w:rFonts w:ascii="Arial" w:hAnsi="Arial" w:cs="Arial"/>
          <w:lang w:val="en-US"/>
        </w:rPr>
        <w:t>, 2013).</w:t>
      </w:r>
    </w:p>
    <w:p w14:paraId="54A83A7E" w14:textId="77777777" w:rsidR="00B47497" w:rsidRPr="00D20D9B" w:rsidRDefault="00B47497" w:rsidP="000607E8">
      <w:pPr>
        <w:autoSpaceDE w:val="0"/>
        <w:autoSpaceDN w:val="0"/>
        <w:adjustRightInd w:val="0"/>
        <w:spacing w:after="0" w:line="360" w:lineRule="auto"/>
        <w:jc w:val="both"/>
        <w:rPr>
          <w:rFonts w:ascii="Arial" w:hAnsi="Arial" w:cs="Arial"/>
          <w:lang w:val="en-US" w:eastAsia="es-ES"/>
        </w:rPr>
      </w:pPr>
      <w:r w:rsidRPr="00D20D9B">
        <w:rPr>
          <w:rFonts w:ascii="Arial" w:hAnsi="Arial" w:cs="Arial"/>
          <w:lang w:val="en-US" w:eastAsia="es-ES"/>
        </w:rPr>
        <w:t>The UK fashion retail sector is characterized by high levels of concentration and domination by large multiple retailers, producing a highly competitive market, (Hines and Bruce, 2001; Jones, 2002) that has evolved in recent years, transitioning from a primarily push-based system, where designers dictated trends, to a pull system where retailers respond to consumer demands</w:t>
      </w:r>
      <w:r w:rsidRPr="00D20D9B">
        <w:rPr>
          <w:rFonts w:ascii="Arial" w:eastAsia="Times New Roman" w:hAnsi="Arial" w:cs="Arial"/>
          <w:sz w:val="20"/>
          <w:szCs w:val="20"/>
          <w:lang w:val="en-US" w:eastAsia="es-ES"/>
        </w:rPr>
        <w:t xml:space="preserve"> </w:t>
      </w:r>
      <w:r w:rsidRPr="00D20D9B">
        <w:rPr>
          <w:rFonts w:ascii="Arial" w:hAnsi="Arial" w:cs="Arial"/>
          <w:lang w:val="en-US" w:eastAsia="es-ES"/>
        </w:rPr>
        <w:t>(Barnes</w:t>
      </w:r>
      <w:r w:rsidR="001573FF" w:rsidRPr="00D20D9B">
        <w:rPr>
          <w:rFonts w:ascii="Arial" w:hAnsi="Arial" w:cs="Arial"/>
          <w:lang w:val="en-US" w:eastAsia="es-ES"/>
        </w:rPr>
        <w:t xml:space="preserve"> </w:t>
      </w:r>
      <w:r w:rsidRPr="00D20D9B">
        <w:rPr>
          <w:rFonts w:ascii="Arial" w:hAnsi="Arial" w:cs="Arial"/>
          <w:lang w:val="en-US" w:eastAsia="es-ES"/>
        </w:rPr>
        <w:t>and, Lea-Greenwood,</w:t>
      </w:r>
      <w:r w:rsidR="001573FF" w:rsidRPr="00D20D9B">
        <w:rPr>
          <w:rFonts w:ascii="Arial" w:hAnsi="Arial" w:cs="Arial"/>
          <w:lang w:val="en-US" w:eastAsia="es-ES"/>
        </w:rPr>
        <w:t xml:space="preserve"> </w:t>
      </w:r>
      <w:r w:rsidRPr="00D20D9B">
        <w:rPr>
          <w:rFonts w:ascii="Arial" w:hAnsi="Arial" w:cs="Arial"/>
          <w:lang w:val="en-US" w:eastAsia="es-ES"/>
        </w:rPr>
        <w:t xml:space="preserve">2010; </w:t>
      </w:r>
      <w:proofErr w:type="spellStart"/>
      <w:r w:rsidRPr="00D20D9B">
        <w:rPr>
          <w:rFonts w:ascii="Arial" w:hAnsi="Arial" w:cs="Arial"/>
          <w:lang w:val="en-US" w:eastAsia="es-ES"/>
        </w:rPr>
        <w:t>Sull</w:t>
      </w:r>
      <w:proofErr w:type="spellEnd"/>
      <w:r w:rsidRPr="00D20D9B">
        <w:rPr>
          <w:rFonts w:ascii="Arial" w:hAnsi="Arial" w:cs="Arial"/>
          <w:lang w:val="en-US" w:eastAsia="es-ES"/>
        </w:rPr>
        <w:t xml:space="preserve">, </w:t>
      </w:r>
      <w:proofErr w:type="spellStart"/>
      <w:r w:rsidRPr="00D20D9B">
        <w:rPr>
          <w:rFonts w:ascii="Arial" w:hAnsi="Arial" w:cs="Arial"/>
          <w:lang w:val="en-US" w:eastAsia="es-ES"/>
        </w:rPr>
        <w:t>Turconi</w:t>
      </w:r>
      <w:proofErr w:type="spellEnd"/>
      <w:r w:rsidRPr="00D20D9B">
        <w:rPr>
          <w:rFonts w:ascii="Arial" w:hAnsi="Arial" w:cs="Arial"/>
          <w:lang w:val="en-US" w:eastAsia="es-ES"/>
        </w:rPr>
        <w:t>,</w:t>
      </w:r>
      <w:r w:rsidR="001573FF" w:rsidRPr="00D20D9B">
        <w:rPr>
          <w:rFonts w:ascii="Arial" w:hAnsi="Arial" w:cs="Arial"/>
          <w:lang w:val="en-US" w:eastAsia="es-ES"/>
        </w:rPr>
        <w:t xml:space="preserve"> </w:t>
      </w:r>
      <w:r w:rsidRPr="00D20D9B">
        <w:rPr>
          <w:rFonts w:ascii="Arial" w:hAnsi="Arial" w:cs="Arial"/>
          <w:lang w:val="en-US" w:eastAsia="es-ES"/>
        </w:rPr>
        <w:t>2008).</w:t>
      </w:r>
    </w:p>
    <w:p w14:paraId="54D8E6DD" w14:textId="192ABF5A" w:rsidR="00B47497" w:rsidRPr="00D20D9B" w:rsidRDefault="00B47497" w:rsidP="000607E8">
      <w:pPr>
        <w:pStyle w:val="NormalWeb"/>
        <w:spacing w:line="360" w:lineRule="auto"/>
        <w:jc w:val="both"/>
        <w:rPr>
          <w:rFonts w:ascii="Arial" w:hAnsi="Arial" w:cs="Arial"/>
          <w:b/>
          <w:lang w:val="en-US"/>
        </w:rPr>
      </w:pPr>
      <w:proofErr w:type="spellStart"/>
      <w:r w:rsidRPr="00D20D9B">
        <w:rPr>
          <w:rFonts w:ascii="Arial" w:hAnsi="Arial" w:cs="Arial"/>
          <w:lang w:val="en-US"/>
        </w:rPr>
        <w:t>Womenswear</w:t>
      </w:r>
      <w:proofErr w:type="spellEnd"/>
      <w:r w:rsidRPr="00D20D9B">
        <w:rPr>
          <w:rFonts w:ascii="Arial" w:hAnsi="Arial" w:cs="Arial"/>
          <w:lang w:val="en-US"/>
        </w:rPr>
        <w:t xml:space="preserve"> is the largest and highest profile part of the clothing industry and accounts for two thirds of the value of the adult outerwear market, reflecting women’s affinity for fashion and enjoyment of the clothes shopping experience. This enjoyment is more pronounced in some countries; in France, women’s wear makes up 25</w:t>
      </w:r>
      <w:r w:rsidR="00B13090" w:rsidRPr="00D20D9B">
        <w:rPr>
          <w:rFonts w:ascii="Arial" w:hAnsi="Arial" w:cs="Arial"/>
          <w:lang w:val="en-US"/>
        </w:rPr>
        <w:t xml:space="preserve">% of the market, </w:t>
      </w:r>
      <w:r w:rsidRPr="00D20D9B">
        <w:rPr>
          <w:rFonts w:ascii="Arial" w:hAnsi="Arial" w:cs="Arial"/>
          <w:lang w:val="en-US"/>
        </w:rPr>
        <w:t xml:space="preserve">while in the United Kingdom </w:t>
      </w:r>
      <w:r w:rsidR="00B13090" w:rsidRPr="00D20D9B">
        <w:rPr>
          <w:rFonts w:ascii="Arial" w:hAnsi="Arial" w:cs="Arial"/>
          <w:lang w:val="en-US"/>
        </w:rPr>
        <w:t>it</w:t>
      </w:r>
      <w:r w:rsidRPr="00D20D9B">
        <w:rPr>
          <w:rFonts w:ascii="Arial" w:hAnsi="Arial" w:cs="Arial"/>
          <w:lang w:val="en-US"/>
        </w:rPr>
        <w:t xml:space="preserve"> constitutes just </w:t>
      </w:r>
      <w:proofErr w:type="gramStart"/>
      <w:r w:rsidRPr="00D20D9B">
        <w:rPr>
          <w:rFonts w:ascii="Arial" w:hAnsi="Arial" w:cs="Arial"/>
          <w:lang w:val="en-US"/>
        </w:rPr>
        <w:t>under</w:t>
      </w:r>
      <w:proofErr w:type="gramEnd"/>
      <w:r w:rsidRPr="00D20D9B">
        <w:rPr>
          <w:rFonts w:ascii="Arial" w:hAnsi="Arial" w:cs="Arial"/>
          <w:lang w:val="en-US"/>
        </w:rPr>
        <w:t xml:space="preserve"> 60%</w:t>
      </w:r>
      <w:r w:rsidR="00B13090" w:rsidRPr="00D20D9B">
        <w:rPr>
          <w:rFonts w:ascii="Arial" w:hAnsi="Arial" w:cs="Arial"/>
          <w:lang w:val="en-US"/>
        </w:rPr>
        <w:t xml:space="preserve"> </w:t>
      </w:r>
      <w:r w:rsidR="00FE7949">
        <w:rPr>
          <w:rFonts w:ascii="Arial" w:hAnsi="Arial" w:cs="Arial"/>
          <w:lang w:val="en-US"/>
        </w:rPr>
        <w:t>(</w:t>
      </w:r>
      <w:r w:rsidR="00FE7949">
        <w:rPr>
          <w:rFonts w:ascii="Arial" w:hAnsi="Arial" w:cs="Arial"/>
          <w:lang w:val="en-US" w:eastAsia="en-US"/>
        </w:rPr>
        <w:t>Mintel, Global Market Navigato</w:t>
      </w:r>
      <w:r w:rsidR="00FE7949">
        <w:rPr>
          <w:rFonts w:ascii="Arial" w:hAnsi="Arial" w:cs="Arial"/>
          <w:lang w:val="en-US"/>
        </w:rPr>
        <w:t>r, 2014).</w:t>
      </w:r>
    </w:p>
    <w:p w14:paraId="201D8620" w14:textId="1D0F6794" w:rsidR="00B47497" w:rsidRPr="00D20D9B" w:rsidRDefault="00B47497" w:rsidP="000607E8">
      <w:pPr>
        <w:pStyle w:val="NormalWeb"/>
        <w:spacing w:line="360" w:lineRule="auto"/>
        <w:jc w:val="both"/>
        <w:rPr>
          <w:rFonts w:ascii="Arial" w:hAnsi="Arial" w:cs="Arial"/>
          <w:lang w:val="en-US"/>
        </w:rPr>
      </w:pPr>
      <w:r w:rsidRPr="00D20D9B">
        <w:rPr>
          <w:rFonts w:ascii="Arial" w:hAnsi="Arial" w:cs="Arial"/>
          <w:lang w:val="en-US"/>
        </w:rPr>
        <w:t xml:space="preserve">Almost six in ten (57%) British women </w:t>
      </w:r>
      <w:r w:rsidR="00233D82">
        <w:rPr>
          <w:rFonts w:ascii="Arial" w:hAnsi="Arial" w:cs="Arial"/>
          <w:lang w:val="en-US"/>
        </w:rPr>
        <w:t>list clothing, shoes and jewel</w:t>
      </w:r>
      <w:r w:rsidRPr="00D20D9B">
        <w:rPr>
          <w:rFonts w:ascii="Arial" w:hAnsi="Arial" w:cs="Arial"/>
          <w:lang w:val="en-US"/>
        </w:rPr>
        <w:t xml:space="preserve">ry as spending priorities, making this their main area of discretionary spending. Young fashion-oriented women continue to underpin the performance of the </w:t>
      </w:r>
      <w:r w:rsidR="001573FF" w:rsidRPr="00D20D9B">
        <w:rPr>
          <w:rFonts w:ascii="Arial" w:hAnsi="Arial" w:cs="Arial"/>
          <w:lang w:val="en-US"/>
        </w:rPr>
        <w:t xml:space="preserve">market.  </w:t>
      </w:r>
      <w:r w:rsidR="00FE7949">
        <w:rPr>
          <w:rFonts w:ascii="Arial" w:hAnsi="Arial" w:cs="Arial"/>
          <w:lang w:val="en-US"/>
        </w:rPr>
        <w:t>In 2015 the UK</w:t>
      </w:r>
      <w:r w:rsidRPr="00D20D9B">
        <w:rPr>
          <w:rFonts w:ascii="Arial" w:hAnsi="Arial" w:cs="Arial"/>
          <w:lang w:val="en-US"/>
        </w:rPr>
        <w:t xml:space="preserve"> clothing </w:t>
      </w:r>
      <w:r w:rsidR="00FE7949">
        <w:rPr>
          <w:rFonts w:ascii="Arial" w:hAnsi="Arial" w:cs="Arial"/>
          <w:lang w:val="en-US"/>
        </w:rPr>
        <w:t>market had robust sales of £39</w:t>
      </w:r>
      <w:r w:rsidRPr="00D20D9B">
        <w:rPr>
          <w:rFonts w:ascii="Arial" w:hAnsi="Arial" w:cs="Arial"/>
          <w:lang w:val="en-US"/>
        </w:rPr>
        <w:t xml:space="preserve"> billion, accounting for about 5% of total </w:t>
      </w:r>
      <w:r w:rsidR="00233D82">
        <w:rPr>
          <w:rFonts w:ascii="Arial" w:hAnsi="Arial" w:cs="Arial"/>
          <w:lang w:val="en-US"/>
        </w:rPr>
        <w:t xml:space="preserve">UK </w:t>
      </w:r>
      <w:r w:rsidRPr="00D20D9B">
        <w:rPr>
          <w:rFonts w:ascii="Arial" w:hAnsi="Arial" w:cs="Arial"/>
          <w:lang w:val="en-US"/>
        </w:rPr>
        <w:t>consumer spending, (</w:t>
      </w:r>
      <w:r w:rsidR="00FC1312">
        <w:rPr>
          <w:rFonts w:ascii="Arial" w:hAnsi="Arial" w:cs="Arial"/>
          <w:lang w:val="en-US"/>
        </w:rPr>
        <w:t>IBIS, Retailing Market Research Report 2015).</w:t>
      </w:r>
      <w:r w:rsidRPr="00D20D9B">
        <w:rPr>
          <w:rFonts w:ascii="Arial" w:hAnsi="Arial" w:cs="Arial"/>
          <w:lang w:val="en-US"/>
        </w:rPr>
        <w:t xml:space="preserve"> </w:t>
      </w:r>
      <w:r w:rsidR="00FC1312">
        <w:rPr>
          <w:rFonts w:ascii="Arial" w:hAnsi="Arial" w:cs="Arial"/>
          <w:lang w:val="en-US"/>
        </w:rPr>
        <w:t xml:space="preserve"> </w:t>
      </w:r>
    </w:p>
    <w:p w14:paraId="0AE87C01" w14:textId="77777777" w:rsidR="00ED1037" w:rsidRPr="00D20D9B" w:rsidRDefault="00ED1037" w:rsidP="000607E8">
      <w:pPr>
        <w:widowControl w:val="0"/>
        <w:autoSpaceDE w:val="0"/>
        <w:autoSpaceDN w:val="0"/>
        <w:adjustRightInd w:val="0"/>
        <w:spacing w:after="0" w:line="360" w:lineRule="auto"/>
        <w:jc w:val="both"/>
        <w:rPr>
          <w:rFonts w:ascii="Arial" w:hAnsi="Arial" w:cs="Arial"/>
          <w:b/>
          <w:i/>
          <w:lang w:val="en-US"/>
        </w:rPr>
      </w:pPr>
      <w:r w:rsidRPr="00D20D9B">
        <w:rPr>
          <w:rFonts w:ascii="Arial" w:hAnsi="Arial" w:cs="Arial"/>
          <w:b/>
          <w:i/>
          <w:lang w:val="en-US"/>
        </w:rPr>
        <w:t>Fashion Consumers</w:t>
      </w:r>
    </w:p>
    <w:p w14:paraId="13E9DA3A" w14:textId="77777777" w:rsidR="002E5298" w:rsidRPr="00D20D9B" w:rsidRDefault="002E5298" w:rsidP="000607E8">
      <w:pPr>
        <w:widowControl w:val="0"/>
        <w:autoSpaceDE w:val="0"/>
        <w:autoSpaceDN w:val="0"/>
        <w:adjustRightInd w:val="0"/>
        <w:spacing w:after="0" w:line="360" w:lineRule="auto"/>
        <w:jc w:val="both"/>
        <w:rPr>
          <w:rFonts w:ascii="Arial" w:hAnsi="Arial" w:cs="Arial"/>
          <w:b/>
          <w:lang w:val="en-US"/>
        </w:rPr>
      </w:pPr>
    </w:p>
    <w:p w14:paraId="120FADF7" w14:textId="3C204051" w:rsidR="00B47497"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Based on observations of the history of high street fashion brands for women,</w:t>
      </w:r>
      <w:r w:rsidR="0039175F">
        <w:rPr>
          <w:rFonts w:ascii="Arial" w:hAnsi="Arial" w:cs="Arial"/>
          <w:lang w:val="en-US"/>
        </w:rPr>
        <w:t xml:space="preserve"> </w:t>
      </w:r>
      <w:r w:rsidR="00FC1312">
        <w:rPr>
          <w:rFonts w:ascii="Arial" w:hAnsi="Arial" w:cs="Arial"/>
          <w:lang w:val="en-US"/>
        </w:rPr>
        <w:t>t</w:t>
      </w:r>
      <w:r w:rsidR="0039175F">
        <w:rPr>
          <w:rFonts w:ascii="Arial" w:hAnsi="Arial" w:cs="Arial"/>
          <w:lang w:val="en-US"/>
        </w:rPr>
        <w:t>h</w:t>
      </w:r>
      <w:r w:rsidR="00FC1312">
        <w:rPr>
          <w:rFonts w:ascii="Arial" w:hAnsi="Arial" w:cs="Arial"/>
          <w:lang w:val="en-US"/>
        </w:rPr>
        <w:t>ere are decided trends in the rising and falling popularity of brands</w:t>
      </w:r>
      <w:r w:rsidR="0039175F">
        <w:rPr>
          <w:rFonts w:ascii="Arial" w:hAnsi="Arial" w:cs="Arial"/>
          <w:lang w:val="en-US"/>
        </w:rPr>
        <w:t>,</w:t>
      </w:r>
      <w:r w:rsidRPr="00D20D9B">
        <w:rPr>
          <w:rFonts w:ascii="Arial" w:hAnsi="Arial" w:cs="Arial"/>
          <w:lang w:val="en-US"/>
        </w:rPr>
        <w:t xml:space="preserve"> </w:t>
      </w:r>
      <w:r w:rsidR="00FC1312">
        <w:rPr>
          <w:rFonts w:ascii="Arial" w:hAnsi="Arial" w:cs="Arial"/>
          <w:lang w:val="en-US"/>
        </w:rPr>
        <w:t xml:space="preserve">and so </w:t>
      </w:r>
      <w:r w:rsidRPr="00D20D9B">
        <w:rPr>
          <w:rFonts w:ascii="Arial" w:hAnsi="Arial" w:cs="Arial"/>
          <w:lang w:val="en-US"/>
        </w:rPr>
        <w:t>this category might represent an exception to the gener</w:t>
      </w:r>
      <w:r w:rsidR="00681E6A" w:rsidRPr="00D20D9B">
        <w:rPr>
          <w:rFonts w:ascii="Arial" w:hAnsi="Arial" w:cs="Arial"/>
          <w:lang w:val="en-US"/>
        </w:rPr>
        <w:t>al rules of consumer behavior</w:t>
      </w:r>
      <w:r w:rsidR="00FC1312">
        <w:rPr>
          <w:rFonts w:ascii="Arial" w:hAnsi="Arial" w:cs="Arial"/>
          <w:lang w:val="en-US"/>
        </w:rPr>
        <w:t xml:space="preserve"> where there is great stability in the popularity and market shares of most brands</w:t>
      </w:r>
      <w:r w:rsidR="00681E6A" w:rsidRPr="00D20D9B">
        <w:rPr>
          <w:rFonts w:ascii="Arial" w:hAnsi="Arial" w:cs="Arial"/>
          <w:lang w:val="en-US"/>
        </w:rPr>
        <w:t xml:space="preserve">. </w:t>
      </w:r>
      <w:r w:rsidRPr="00D20D9B">
        <w:rPr>
          <w:rFonts w:ascii="Arial" w:hAnsi="Arial" w:cs="Arial"/>
          <w:lang w:val="en-US"/>
        </w:rPr>
        <w:t>This study therefore examines the evidence available in the form of consumer purchase records from</w:t>
      </w:r>
      <w:r>
        <w:rPr>
          <w:rFonts w:ascii="Times New Roman" w:hAnsi="Times New Roman"/>
          <w:lang w:val="en-US"/>
        </w:rPr>
        <w:t xml:space="preserve"> </w:t>
      </w:r>
      <w:r w:rsidRPr="00D20D9B">
        <w:rPr>
          <w:rFonts w:ascii="Arial" w:hAnsi="Arial" w:cs="Arial"/>
          <w:lang w:val="en-US"/>
        </w:rPr>
        <w:t xml:space="preserve">Kantar’s </w:t>
      </w:r>
      <w:proofErr w:type="spellStart"/>
      <w:r w:rsidRPr="00D20D9B">
        <w:rPr>
          <w:rFonts w:ascii="Arial" w:hAnsi="Arial" w:cs="Arial"/>
          <w:lang w:val="en-US"/>
        </w:rPr>
        <w:t>FashionTrak</w:t>
      </w:r>
      <w:proofErr w:type="spellEnd"/>
      <w:r w:rsidRPr="00D20D9B">
        <w:rPr>
          <w:rFonts w:ascii="Arial" w:hAnsi="Arial" w:cs="Arial"/>
          <w:lang w:val="en-US"/>
        </w:rPr>
        <w:t xml:space="preserve"> panel in the UK, to determine if women’s outerwear represents a different kind of market, where established empirical generalizations do not h</w:t>
      </w:r>
      <w:r w:rsidR="00681E6A" w:rsidRPr="00D20D9B">
        <w:rPr>
          <w:rFonts w:ascii="Arial" w:hAnsi="Arial" w:cs="Arial"/>
          <w:lang w:val="en-US"/>
        </w:rPr>
        <w:t>old.</w:t>
      </w:r>
      <w:r w:rsidRPr="00D20D9B">
        <w:rPr>
          <w:rFonts w:ascii="Arial" w:hAnsi="Arial" w:cs="Arial"/>
          <w:lang w:val="en-US"/>
        </w:rPr>
        <w:t xml:space="preserve"> The study examines the brand user profiles of brands in the </w:t>
      </w:r>
      <w:proofErr w:type="spellStart"/>
      <w:r w:rsidRPr="00D20D9B">
        <w:rPr>
          <w:rFonts w:ascii="Arial" w:hAnsi="Arial" w:cs="Arial"/>
          <w:lang w:val="en-US"/>
        </w:rPr>
        <w:t>womens</w:t>
      </w:r>
      <w:proofErr w:type="spellEnd"/>
      <w:r w:rsidRPr="00D20D9B">
        <w:rPr>
          <w:rFonts w:ascii="Arial" w:hAnsi="Arial" w:cs="Arial"/>
          <w:lang w:val="en-US"/>
        </w:rPr>
        <w:t>’ outerwear category with special emp</w:t>
      </w:r>
      <w:r w:rsidR="00681E6A" w:rsidRPr="00D20D9B">
        <w:rPr>
          <w:rFonts w:ascii="Arial" w:hAnsi="Arial" w:cs="Arial"/>
          <w:lang w:val="en-US"/>
        </w:rPr>
        <w:t>hasis on demographic groupings.</w:t>
      </w:r>
      <w:r w:rsidRPr="00D20D9B">
        <w:rPr>
          <w:rFonts w:ascii="Arial" w:hAnsi="Arial" w:cs="Arial"/>
          <w:lang w:val="en-US"/>
        </w:rPr>
        <w:t xml:space="preserve"> If the results are that fashion brands share their customers </w:t>
      </w:r>
      <w:r w:rsidR="00FC1312">
        <w:rPr>
          <w:rFonts w:ascii="Arial" w:hAnsi="Arial" w:cs="Arial"/>
          <w:lang w:val="en-US"/>
        </w:rPr>
        <w:t>un</w:t>
      </w:r>
      <w:r w:rsidRPr="00D20D9B">
        <w:rPr>
          <w:rFonts w:ascii="Arial" w:hAnsi="Arial" w:cs="Arial"/>
          <w:lang w:val="en-US"/>
        </w:rPr>
        <w:t>evenly then we might conclude that there is user based segmentation and that would be a notable discovery. Alternatively, we may conclude that despite their best efforts, even very distinctive or iconic brands have predictable performance metrics that conform to the established laws of marketing.</w:t>
      </w:r>
    </w:p>
    <w:p w14:paraId="6A581CCE" w14:textId="1D3EEB32" w:rsidR="009F7F46" w:rsidRDefault="009F7F46" w:rsidP="009F7F46">
      <w:pPr>
        <w:widowControl w:val="0"/>
        <w:autoSpaceDE w:val="0"/>
        <w:autoSpaceDN w:val="0"/>
        <w:adjustRightInd w:val="0"/>
        <w:spacing w:after="0" w:line="360" w:lineRule="auto"/>
        <w:jc w:val="both"/>
        <w:rPr>
          <w:rFonts w:ascii="Arial" w:hAnsi="Arial" w:cs="Arial"/>
          <w:b/>
          <w:i/>
          <w:lang w:val="en-US"/>
        </w:rPr>
      </w:pPr>
      <w:r>
        <w:rPr>
          <w:rFonts w:ascii="Arial" w:hAnsi="Arial" w:cs="Arial"/>
          <w:b/>
          <w:i/>
          <w:lang w:val="en-US"/>
        </w:rPr>
        <w:t>Theoretical Contribution</w:t>
      </w:r>
    </w:p>
    <w:p w14:paraId="6C6296C5" w14:textId="77777777" w:rsidR="009F7F46" w:rsidRPr="00D20D9B" w:rsidRDefault="009F7F46" w:rsidP="009F7F46">
      <w:pPr>
        <w:widowControl w:val="0"/>
        <w:autoSpaceDE w:val="0"/>
        <w:autoSpaceDN w:val="0"/>
        <w:adjustRightInd w:val="0"/>
        <w:spacing w:after="0" w:line="360" w:lineRule="auto"/>
        <w:jc w:val="both"/>
        <w:rPr>
          <w:rFonts w:ascii="Arial" w:hAnsi="Arial" w:cs="Arial"/>
          <w:b/>
          <w:i/>
          <w:lang w:val="en-US"/>
        </w:rPr>
      </w:pPr>
    </w:p>
    <w:p w14:paraId="29380977" w14:textId="3D9E8544" w:rsidR="009F7F46" w:rsidRDefault="00FC1312" w:rsidP="000607E8">
      <w:pPr>
        <w:widowControl w:val="0"/>
        <w:autoSpaceDE w:val="0"/>
        <w:autoSpaceDN w:val="0"/>
        <w:adjustRightInd w:val="0"/>
        <w:spacing w:after="240" w:line="360" w:lineRule="auto"/>
        <w:jc w:val="both"/>
        <w:rPr>
          <w:rFonts w:ascii="Arial" w:hAnsi="Arial" w:cs="Arial"/>
          <w:lang w:val="en-US"/>
        </w:rPr>
      </w:pPr>
      <w:r>
        <w:rPr>
          <w:rFonts w:ascii="Arial" w:hAnsi="Arial" w:cs="Arial"/>
          <w:lang w:val="en-US"/>
        </w:rPr>
        <w:t>Our key research question is about whether women’s fashion is a market where brands perform differently to those i</w:t>
      </w:r>
      <w:r w:rsidR="00A20FF8">
        <w:rPr>
          <w:rFonts w:ascii="Arial" w:hAnsi="Arial" w:cs="Arial"/>
          <w:lang w:val="en-US"/>
        </w:rPr>
        <w:t>n other better-studied markets.</w:t>
      </w:r>
      <w:r>
        <w:rPr>
          <w:rFonts w:ascii="Arial" w:hAnsi="Arial" w:cs="Arial"/>
          <w:lang w:val="en-US"/>
        </w:rPr>
        <w:t xml:space="preserve"> If the analysis shows that they do, then this would be a signal that fashion</w:t>
      </w:r>
      <w:r w:rsidR="00233D82">
        <w:rPr>
          <w:rFonts w:ascii="Arial" w:hAnsi="Arial" w:cs="Arial"/>
          <w:lang w:val="en-US"/>
        </w:rPr>
        <w:t>,</w:t>
      </w:r>
      <w:r w:rsidR="00A20FF8">
        <w:rPr>
          <w:rFonts w:ascii="Arial" w:hAnsi="Arial" w:cs="Arial"/>
          <w:lang w:val="en-US"/>
        </w:rPr>
        <w:t xml:space="preserve"> or the marketing interventions that drive the popularity of fashion brands</w:t>
      </w:r>
      <w:r w:rsidR="00233D82">
        <w:rPr>
          <w:rFonts w:ascii="Arial" w:hAnsi="Arial" w:cs="Arial"/>
          <w:lang w:val="en-US"/>
        </w:rPr>
        <w:t>,</w:t>
      </w:r>
      <w:r>
        <w:rPr>
          <w:rFonts w:ascii="Arial" w:hAnsi="Arial" w:cs="Arial"/>
          <w:lang w:val="en-US"/>
        </w:rPr>
        <w:t xml:space="preserve"> </w:t>
      </w:r>
      <w:r w:rsidR="00233D82">
        <w:rPr>
          <w:rFonts w:ascii="Arial" w:hAnsi="Arial" w:cs="Arial"/>
          <w:lang w:val="en-US"/>
        </w:rPr>
        <w:t>function</w:t>
      </w:r>
      <w:r w:rsidR="00A20FF8">
        <w:rPr>
          <w:rFonts w:ascii="Arial" w:hAnsi="Arial" w:cs="Arial"/>
          <w:lang w:val="en-US"/>
        </w:rPr>
        <w:t xml:space="preserve"> in ways that have not been documented in competitive markets before. </w:t>
      </w:r>
      <w:r w:rsidR="00233D82">
        <w:rPr>
          <w:rFonts w:ascii="Arial" w:hAnsi="Arial" w:cs="Arial"/>
          <w:lang w:val="en-US"/>
        </w:rPr>
        <w:t>To discover</w:t>
      </w:r>
      <w:r w:rsidR="00A20FF8">
        <w:rPr>
          <w:rFonts w:ascii="Arial" w:hAnsi="Arial" w:cs="Arial"/>
          <w:lang w:val="en-US"/>
        </w:rPr>
        <w:t xml:space="preserve"> </w:t>
      </w:r>
      <w:r>
        <w:rPr>
          <w:rFonts w:ascii="Arial" w:hAnsi="Arial" w:cs="Arial"/>
          <w:lang w:val="en-US"/>
        </w:rPr>
        <w:t>underlying category structure and brand performance me</w:t>
      </w:r>
      <w:r w:rsidR="009F7F46">
        <w:rPr>
          <w:rFonts w:ascii="Arial" w:hAnsi="Arial" w:cs="Arial"/>
          <w:lang w:val="en-US"/>
        </w:rPr>
        <w:t>asures</w:t>
      </w:r>
      <w:r w:rsidR="00A20FF8">
        <w:rPr>
          <w:rFonts w:ascii="Arial" w:hAnsi="Arial" w:cs="Arial"/>
          <w:lang w:val="en-US"/>
        </w:rPr>
        <w:t xml:space="preserve"> that are markedly different than </w:t>
      </w:r>
      <w:r w:rsidR="00233D82">
        <w:rPr>
          <w:rFonts w:ascii="Arial" w:hAnsi="Arial" w:cs="Arial"/>
          <w:lang w:val="en-US"/>
        </w:rPr>
        <w:t>found in</w:t>
      </w:r>
      <w:r w:rsidR="00A20FF8">
        <w:rPr>
          <w:rFonts w:ascii="Arial" w:hAnsi="Arial" w:cs="Arial"/>
          <w:lang w:val="en-US"/>
        </w:rPr>
        <w:t xml:space="preserve"> previous research</w:t>
      </w:r>
      <w:r w:rsidR="00233D82">
        <w:rPr>
          <w:rFonts w:ascii="Arial" w:hAnsi="Arial" w:cs="Arial"/>
          <w:lang w:val="en-US"/>
        </w:rPr>
        <w:t xml:space="preserve"> </w:t>
      </w:r>
      <w:r w:rsidR="00A20FF8">
        <w:rPr>
          <w:rFonts w:ascii="Arial" w:hAnsi="Arial" w:cs="Arial"/>
          <w:lang w:val="en-US"/>
        </w:rPr>
        <w:t xml:space="preserve"> </w:t>
      </w:r>
      <w:r w:rsidR="009F7F46">
        <w:rPr>
          <w:rFonts w:ascii="Arial" w:hAnsi="Arial" w:cs="Arial"/>
          <w:lang w:val="en-US"/>
        </w:rPr>
        <w:t xml:space="preserve"> would be </w:t>
      </w:r>
      <w:r w:rsidR="00A20FF8">
        <w:rPr>
          <w:rFonts w:ascii="Arial" w:hAnsi="Arial" w:cs="Arial"/>
          <w:lang w:val="en-US"/>
        </w:rPr>
        <w:t xml:space="preserve">a </w:t>
      </w:r>
      <w:r w:rsidR="009F7F46">
        <w:rPr>
          <w:rFonts w:ascii="Arial" w:hAnsi="Arial" w:cs="Arial"/>
          <w:lang w:val="en-US"/>
        </w:rPr>
        <w:t>remarkable</w:t>
      </w:r>
      <w:r w:rsidR="00A20FF8">
        <w:rPr>
          <w:rFonts w:ascii="Arial" w:hAnsi="Arial" w:cs="Arial"/>
          <w:lang w:val="en-US"/>
        </w:rPr>
        <w:t xml:space="preserve"> result. It</w:t>
      </w:r>
      <w:r w:rsidR="009F7F46">
        <w:rPr>
          <w:rFonts w:ascii="Arial" w:hAnsi="Arial" w:cs="Arial"/>
          <w:lang w:val="en-US"/>
        </w:rPr>
        <w:t xml:space="preserve"> would set a precedent, and also call for further research.</w:t>
      </w:r>
    </w:p>
    <w:p w14:paraId="043060A4" w14:textId="77777777" w:rsidR="009F7F46" w:rsidRDefault="009F7F46" w:rsidP="000607E8">
      <w:pPr>
        <w:widowControl w:val="0"/>
        <w:autoSpaceDE w:val="0"/>
        <w:autoSpaceDN w:val="0"/>
        <w:adjustRightInd w:val="0"/>
        <w:spacing w:after="240" w:line="360" w:lineRule="auto"/>
        <w:jc w:val="both"/>
        <w:rPr>
          <w:rFonts w:ascii="Arial" w:hAnsi="Arial" w:cs="Arial"/>
          <w:b/>
          <w:lang w:val="en-US"/>
        </w:rPr>
      </w:pPr>
    </w:p>
    <w:p w14:paraId="0BF78E6D" w14:textId="72C82B41" w:rsidR="00B47497" w:rsidRPr="009F7F46"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b/>
          <w:lang w:val="en-US"/>
        </w:rPr>
        <w:t>3.  Method and Data Analysis</w:t>
      </w:r>
    </w:p>
    <w:p w14:paraId="331F91D0" w14:textId="47507F11" w:rsidR="00B47497"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In keeping with an Empirical Generalizations approach to marketing science, this study uses a large (n=15,000) data set covering buying behavior in the fashionable </w:t>
      </w:r>
      <w:r w:rsidR="009F7F46">
        <w:rPr>
          <w:rFonts w:ascii="Arial" w:hAnsi="Arial" w:cs="Arial"/>
          <w:lang w:val="en-US"/>
        </w:rPr>
        <w:t>clothing category for one year.</w:t>
      </w:r>
      <w:r w:rsidRPr="00D20D9B">
        <w:rPr>
          <w:rFonts w:ascii="Arial" w:hAnsi="Arial" w:cs="Arial"/>
          <w:lang w:val="en-US"/>
        </w:rPr>
        <w:t xml:space="preserve"> Consumer participants in the panel continuously record</w:t>
      </w:r>
      <w:r w:rsidR="00233D82">
        <w:rPr>
          <w:rFonts w:ascii="Arial" w:hAnsi="Arial" w:cs="Arial"/>
          <w:lang w:val="en-US"/>
        </w:rPr>
        <w:t>ed</w:t>
      </w:r>
      <w:r w:rsidRPr="00D20D9B">
        <w:rPr>
          <w:rFonts w:ascii="Arial" w:hAnsi="Arial" w:cs="Arial"/>
          <w:lang w:val="en-US"/>
        </w:rPr>
        <w:t xml:space="preserve"> all their category purchases using electronic terminals with bar-code r</w:t>
      </w:r>
      <w:r w:rsidR="00233D82">
        <w:rPr>
          <w:rFonts w:ascii="Arial" w:hAnsi="Arial" w:cs="Arial"/>
          <w:lang w:val="en-US"/>
        </w:rPr>
        <w:t>eaders that they kept</w:t>
      </w:r>
      <w:r w:rsidR="00681E6A" w:rsidRPr="00D20D9B">
        <w:rPr>
          <w:rFonts w:ascii="Arial" w:hAnsi="Arial" w:cs="Arial"/>
          <w:lang w:val="en-US"/>
        </w:rPr>
        <w:t xml:space="preserve"> at home.</w:t>
      </w:r>
      <w:r w:rsidRPr="00D20D9B">
        <w:rPr>
          <w:rFonts w:ascii="Arial" w:hAnsi="Arial" w:cs="Arial"/>
          <w:lang w:val="en-US"/>
        </w:rPr>
        <w:t xml:space="preserve"> The panel is weighted to accurately represent the UK population in terms of demographi</w:t>
      </w:r>
      <w:r w:rsidR="00681E6A" w:rsidRPr="00D20D9B">
        <w:rPr>
          <w:rFonts w:ascii="Arial" w:hAnsi="Arial" w:cs="Arial"/>
          <w:lang w:val="en-US"/>
        </w:rPr>
        <w:t>cs and geographic distribution.</w:t>
      </w:r>
      <w:r w:rsidR="00F22C0F" w:rsidRPr="00D20D9B">
        <w:rPr>
          <w:rFonts w:ascii="Arial" w:hAnsi="Arial" w:cs="Arial"/>
          <w:lang w:val="en-US"/>
        </w:rPr>
        <w:t xml:space="preserve"> It is</w:t>
      </w:r>
      <w:r w:rsidR="00EC22B7" w:rsidRPr="00D20D9B">
        <w:rPr>
          <w:rFonts w:ascii="Arial" w:hAnsi="Arial" w:cs="Arial"/>
          <w:lang w:val="en-US"/>
        </w:rPr>
        <w:t xml:space="preserve"> a reliable and validated</w:t>
      </w:r>
      <w:r w:rsidR="00681E6A" w:rsidRPr="00D20D9B">
        <w:rPr>
          <w:rFonts w:ascii="Arial" w:hAnsi="Arial" w:cs="Arial"/>
          <w:lang w:val="en-US"/>
        </w:rPr>
        <w:t xml:space="preserve"> data </w:t>
      </w:r>
      <w:r w:rsidR="00EC22B7" w:rsidRPr="00D20D9B">
        <w:rPr>
          <w:rFonts w:ascii="Arial" w:hAnsi="Arial" w:cs="Arial"/>
          <w:lang w:val="en-US"/>
        </w:rPr>
        <w:t xml:space="preserve">source </w:t>
      </w:r>
      <w:r w:rsidR="00681E6A" w:rsidRPr="00D20D9B">
        <w:rPr>
          <w:rFonts w:ascii="Arial" w:hAnsi="Arial" w:cs="Arial"/>
          <w:lang w:val="en-US"/>
        </w:rPr>
        <w:t>for a study of this type.</w:t>
      </w:r>
      <w:r w:rsidRPr="00D20D9B">
        <w:rPr>
          <w:rFonts w:ascii="Arial" w:hAnsi="Arial" w:cs="Arial"/>
          <w:lang w:val="en-US"/>
        </w:rPr>
        <w:t xml:space="preserve"> Initially, data was extracted for the ten largest </w:t>
      </w:r>
      <w:r w:rsidR="006F7A89" w:rsidRPr="00D20D9B">
        <w:rPr>
          <w:rFonts w:ascii="Arial" w:hAnsi="Arial" w:cs="Arial"/>
          <w:lang w:val="en-US"/>
        </w:rPr>
        <w:t>women</w:t>
      </w:r>
      <w:r w:rsidR="00F22C0F" w:rsidRPr="00D20D9B">
        <w:rPr>
          <w:rFonts w:ascii="Arial" w:hAnsi="Arial" w:cs="Arial"/>
          <w:lang w:val="en-US"/>
        </w:rPr>
        <w:t>’</w:t>
      </w:r>
      <w:r w:rsidR="00EC22B7" w:rsidRPr="00D20D9B">
        <w:rPr>
          <w:rFonts w:ascii="Arial" w:hAnsi="Arial" w:cs="Arial"/>
          <w:lang w:val="en-US"/>
        </w:rPr>
        <w:t>s</w:t>
      </w:r>
      <w:r w:rsidRPr="00D20D9B">
        <w:rPr>
          <w:rFonts w:ascii="Arial" w:hAnsi="Arial" w:cs="Arial"/>
          <w:lang w:val="en-US"/>
        </w:rPr>
        <w:t xml:space="preserve"> outerwear brands, </w:t>
      </w:r>
      <w:r w:rsidR="00F22C0F" w:rsidRPr="00D20D9B">
        <w:rPr>
          <w:rFonts w:ascii="Arial" w:hAnsi="Arial" w:cs="Arial"/>
          <w:lang w:val="en-US"/>
        </w:rPr>
        <w:t>plus</w:t>
      </w:r>
      <w:r w:rsidRPr="00D20D9B">
        <w:rPr>
          <w:rFonts w:ascii="Arial" w:hAnsi="Arial" w:cs="Arial"/>
          <w:lang w:val="en-US"/>
        </w:rPr>
        <w:t xml:space="preserve"> a sample of ten middle sized and ten smaller brand</w:t>
      </w:r>
      <w:r w:rsidR="00F22C0F" w:rsidRPr="00D20D9B">
        <w:rPr>
          <w:rFonts w:ascii="Arial" w:hAnsi="Arial" w:cs="Arial"/>
          <w:lang w:val="en-US"/>
        </w:rPr>
        <w:t>s</w:t>
      </w:r>
      <w:r w:rsidR="009F7F46">
        <w:rPr>
          <w:rFonts w:ascii="Arial" w:hAnsi="Arial" w:cs="Arial"/>
          <w:lang w:val="en-US"/>
        </w:rPr>
        <w:t>.</w:t>
      </w:r>
      <w:r w:rsidRPr="00D20D9B">
        <w:rPr>
          <w:rFonts w:ascii="Arial" w:hAnsi="Arial" w:cs="Arial"/>
          <w:lang w:val="en-US"/>
        </w:rPr>
        <w:t xml:space="preserve"> This was a necessary step because of the large number of (mostly</w:t>
      </w:r>
      <w:r w:rsidR="00681E6A" w:rsidRPr="00D20D9B">
        <w:rPr>
          <w:rFonts w:ascii="Arial" w:hAnsi="Arial" w:cs="Arial"/>
          <w:lang w:val="en-US"/>
        </w:rPr>
        <w:t xml:space="preserve"> small) brands in the category.</w:t>
      </w:r>
      <w:r w:rsidRPr="00D20D9B">
        <w:rPr>
          <w:rFonts w:ascii="Arial" w:hAnsi="Arial" w:cs="Arial"/>
          <w:lang w:val="en-US"/>
        </w:rPr>
        <w:t xml:space="preserve"> The market share figures </w:t>
      </w:r>
      <w:r w:rsidR="00B1345A">
        <w:rPr>
          <w:rFonts w:ascii="Arial" w:hAnsi="Arial" w:cs="Arial"/>
          <w:lang w:val="en-US"/>
        </w:rPr>
        <w:t>here</w:t>
      </w:r>
      <w:r w:rsidR="00233D82">
        <w:rPr>
          <w:rFonts w:ascii="Arial" w:hAnsi="Arial" w:cs="Arial"/>
          <w:lang w:val="en-US"/>
        </w:rPr>
        <w:t xml:space="preserve"> </w:t>
      </w:r>
      <w:r w:rsidRPr="00D20D9B">
        <w:rPr>
          <w:rFonts w:ascii="Arial" w:hAnsi="Arial" w:cs="Arial"/>
          <w:lang w:val="en-US"/>
        </w:rPr>
        <w:t>cover the top 80%</w:t>
      </w:r>
      <w:r w:rsidR="00233D82">
        <w:rPr>
          <w:rFonts w:ascii="Arial" w:hAnsi="Arial" w:cs="Arial"/>
          <w:lang w:val="en-US"/>
        </w:rPr>
        <w:t xml:space="preserve"> of the market</w:t>
      </w:r>
      <w:r w:rsidRPr="00D20D9B">
        <w:rPr>
          <w:rFonts w:ascii="Arial" w:hAnsi="Arial" w:cs="Arial"/>
          <w:lang w:val="en-US"/>
        </w:rPr>
        <w:t>, with the remaining 20% being made up of dozens of smaller brands.</w:t>
      </w:r>
    </w:p>
    <w:p w14:paraId="5D29A477" w14:textId="48561795" w:rsidR="00B47497" w:rsidRPr="00D20D9B" w:rsidRDefault="00B1345A" w:rsidP="000607E8">
      <w:pPr>
        <w:widowControl w:val="0"/>
        <w:autoSpaceDE w:val="0"/>
        <w:autoSpaceDN w:val="0"/>
        <w:adjustRightInd w:val="0"/>
        <w:spacing w:after="240" w:line="360" w:lineRule="auto"/>
        <w:jc w:val="both"/>
        <w:rPr>
          <w:rFonts w:ascii="Arial" w:hAnsi="Arial" w:cs="Arial"/>
          <w:lang w:val="en-US"/>
        </w:rPr>
      </w:pPr>
      <w:r>
        <w:rPr>
          <w:rFonts w:ascii="Arial" w:hAnsi="Arial" w:cs="Arial"/>
          <w:lang w:val="en-US"/>
        </w:rPr>
        <w:t xml:space="preserve">The first step in analysis is to </w:t>
      </w:r>
      <w:r w:rsidR="00F22C0F" w:rsidRPr="00D20D9B">
        <w:rPr>
          <w:rFonts w:ascii="Arial" w:hAnsi="Arial" w:cs="Arial"/>
          <w:lang w:val="en-US"/>
        </w:rPr>
        <w:t>calculat</w:t>
      </w:r>
      <w:r>
        <w:rPr>
          <w:rFonts w:ascii="Arial" w:hAnsi="Arial" w:cs="Arial"/>
          <w:lang w:val="en-US"/>
        </w:rPr>
        <w:t>e</w:t>
      </w:r>
      <w:r w:rsidR="00B47497" w:rsidRPr="00D20D9B">
        <w:rPr>
          <w:rFonts w:ascii="Arial" w:hAnsi="Arial" w:cs="Arial"/>
          <w:lang w:val="en-US"/>
        </w:rPr>
        <w:t xml:space="preserve"> descriptive statistics such as averages, means and mean a</w:t>
      </w:r>
      <w:r w:rsidR="00233D82">
        <w:rPr>
          <w:rFonts w:ascii="Arial" w:hAnsi="Arial" w:cs="Arial"/>
          <w:lang w:val="en-US"/>
        </w:rPr>
        <w:t>bsolute</w:t>
      </w:r>
      <w:r w:rsidR="00B47497" w:rsidRPr="00D20D9B">
        <w:rPr>
          <w:rFonts w:ascii="Arial" w:hAnsi="Arial" w:cs="Arial"/>
          <w:lang w:val="en-US"/>
        </w:rPr>
        <w:t xml:space="preserve"> deviations (MAD) (</w:t>
      </w:r>
      <w:proofErr w:type="spellStart"/>
      <w:r w:rsidR="00B47497" w:rsidRPr="00D20D9B">
        <w:rPr>
          <w:rFonts w:ascii="Arial" w:hAnsi="Arial" w:cs="Arial"/>
          <w:lang w:val="en-US"/>
        </w:rPr>
        <w:t>Barwise</w:t>
      </w:r>
      <w:proofErr w:type="spellEnd"/>
      <w:r w:rsidR="00B47497" w:rsidRPr="00D20D9B">
        <w:rPr>
          <w:rFonts w:ascii="Arial" w:hAnsi="Arial" w:cs="Arial"/>
          <w:lang w:val="en-US"/>
        </w:rPr>
        <w:t xml:space="preserve">, 1995; A.S.C. Ehrenberg, 1990). This study uses the analytical framework developed for the creation and comparison of user profiles existing for developed markets (Hammond, et al., 1996; Kennedy &amp; Ehrenberg, 2001a; Kennedy, et al., 2000; M. Uncles, et al., 2012).  Variables available for analysis include gender, age, region, education, income and marital status. </w:t>
      </w:r>
    </w:p>
    <w:p w14:paraId="21974326" w14:textId="44476D9A" w:rsidR="00B47497" w:rsidRPr="00D20D9B" w:rsidRDefault="00B47497" w:rsidP="000607E8">
      <w:pPr>
        <w:pStyle w:val="BodyText"/>
        <w:jc w:val="both"/>
        <w:rPr>
          <w:rFonts w:ascii="Arial" w:hAnsi="Arial" w:cs="Arial"/>
        </w:rPr>
      </w:pPr>
      <w:proofErr w:type="gramStart"/>
      <w:r w:rsidRPr="00D20D9B">
        <w:rPr>
          <w:rFonts w:ascii="Arial" w:hAnsi="Arial" w:cs="Arial"/>
        </w:rPr>
        <w:t xml:space="preserve">The model used here </w:t>
      </w:r>
      <w:r w:rsidR="00B13090" w:rsidRPr="00D20D9B">
        <w:rPr>
          <w:rFonts w:ascii="Arial" w:hAnsi="Arial" w:cs="Arial"/>
        </w:rPr>
        <w:t>was</w:t>
      </w:r>
      <w:r w:rsidRPr="00D20D9B">
        <w:rPr>
          <w:rFonts w:ascii="Arial" w:hAnsi="Arial" w:cs="Arial"/>
        </w:rPr>
        <w:t xml:space="preserve"> developed by Andrew Ehrenberg and Gerald </w:t>
      </w:r>
      <w:proofErr w:type="spellStart"/>
      <w:r w:rsidRPr="00D20D9B">
        <w:rPr>
          <w:rFonts w:ascii="Arial" w:hAnsi="Arial" w:cs="Arial"/>
        </w:rPr>
        <w:t>Goodhardt</w:t>
      </w:r>
      <w:proofErr w:type="spellEnd"/>
      <w:r w:rsidRPr="00D20D9B">
        <w:rPr>
          <w:rFonts w:ascii="Arial" w:hAnsi="Arial" w:cs="Arial"/>
        </w:rPr>
        <w:t xml:space="preserve"> </w:t>
      </w:r>
      <w:r w:rsidR="00A20FF8">
        <w:rPr>
          <w:rFonts w:ascii="Arial" w:hAnsi="Arial" w:cs="Arial"/>
        </w:rPr>
        <w:t>t</w:t>
      </w:r>
      <w:r w:rsidR="00B13090" w:rsidRPr="00D20D9B">
        <w:rPr>
          <w:rFonts w:ascii="Arial" w:hAnsi="Arial" w:cs="Arial"/>
        </w:rPr>
        <w:t>o</w:t>
      </w:r>
      <w:r w:rsidRPr="00D20D9B">
        <w:rPr>
          <w:rFonts w:ascii="Arial" w:hAnsi="Arial" w:cs="Arial"/>
        </w:rPr>
        <w:t xml:space="preserve"> describe the behavior of consumers in com</w:t>
      </w:r>
      <w:r w:rsidR="00B13090" w:rsidRPr="00D20D9B">
        <w:rPr>
          <w:rFonts w:ascii="Arial" w:hAnsi="Arial" w:cs="Arial"/>
        </w:rPr>
        <w:t>petitive markets</w:t>
      </w:r>
      <w:proofErr w:type="gramEnd"/>
      <w:r w:rsidR="00233D82">
        <w:rPr>
          <w:rFonts w:ascii="Arial" w:hAnsi="Arial" w:cs="Arial"/>
        </w:rPr>
        <w:t>.</w:t>
      </w:r>
      <w:r w:rsidR="00A20FF8">
        <w:rPr>
          <w:rFonts w:ascii="Arial" w:hAnsi="Arial" w:cs="Arial"/>
        </w:rPr>
        <w:t xml:space="preserve"> It</w:t>
      </w:r>
      <w:r w:rsidR="00B13090" w:rsidRPr="00D20D9B">
        <w:rPr>
          <w:rFonts w:ascii="Arial" w:hAnsi="Arial" w:cs="Arial"/>
        </w:rPr>
        <w:t xml:space="preserve"> established</w:t>
      </w:r>
      <w:r w:rsidRPr="00D20D9B">
        <w:rPr>
          <w:rFonts w:ascii="Arial" w:hAnsi="Arial" w:cs="Arial"/>
        </w:rPr>
        <w:t xml:space="preserve"> that how often people buy a product, and the brands or products that they buy is largely habitual, with individual behavior aggregating to measures of brand performance </w:t>
      </w:r>
      <w:r w:rsidR="00ED53DB">
        <w:rPr>
          <w:rFonts w:ascii="Arial" w:hAnsi="Arial" w:cs="Arial"/>
        </w:rPr>
        <w:t>that</w:t>
      </w:r>
      <w:r w:rsidRPr="00D20D9B">
        <w:rPr>
          <w:rFonts w:ascii="Arial" w:hAnsi="Arial" w:cs="Arial"/>
        </w:rPr>
        <w:t xml:space="preserve"> follow regular </w:t>
      </w:r>
      <w:r w:rsidR="00ED53DB">
        <w:rPr>
          <w:rFonts w:ascii="Arial" w:hAnsi="Arial" w:cs="Arial"/>
        </w:rPr>
        <w:t>law-like patterns (</w:t>
      </w:r>
      <w:r w:rsidRPr="00D20D9B">
        <w:rPr>
          <w:rFonts w:ascii="Arial" w:hAnsi="Arial" w:cs="Arial"/>
        </w:rPr>
        <w:t>Ehrenberg, U</w:t>
      </w:r>
      <w:r w:rsidR="00B13090" w:rsidRPr="00D20D9B">
        <w:rPr>
          <w:rFonts w:ascii="Arial" w:hAnsi="Arial" w:cs="Arial"/>
        </w:rPr>
        <w:t xml:space="preserve">ncles </w:t>
      </w:r>
      <w:r w:rsidR="00ED53DB">
        <w:rPr>
          <w:rFonts w:ascii="Arial" w:hAnsi="Arial" w:cs="Arial"/>
        </w:rPr>
        <w:t>&amp;</w:t>
      </w:r>
      <w:r w:rsidR="00B13090" w:rsidRPr="00D20D9B">
        <w:rPr>
          <w:rFonts w:ascii="Arial" w:hAnsi="Arial" w:cs="Arial"/>
        </w:rPr>
        <w:t xml:space="preserve"> </w:t>
      </w:r>
      <w:proofErr w:type="spellStart"/>
      <w:r w:rsidR="00B13090" w:rsidRPr="00D20D9B">
        <w:rPr>
          <w:rFonts w:ascii="Arial" w:hAnsi="Arial" w:cs="Arial"/>
        </w:rPr>
        <w:t>Goodhardt</w:t>
      </w:r>
      <w:proofErr w:type="spellEnd"/>
      <w:r w:rsidR="00B13090" w:rsidRPr="00D20D9B">
        <w:rPr>
          <w:rFonts w:ascii="Arial" w:hAnsi="Arial" w:cs="Arial"/>
        </w:rPr>
        <w:t>, 2004). Their</w:t>
      </w:r>
      <w:r w:rsidRPr="00D20D9B">
        <w:rPr>
          <w:rFonts w:ascii="Arial" w:hAnsi="Arial" w:cs="Arial"/>
        </w:rPr>
        <w:t xml:space="preserve"> approach </w:t>
      </w:r>
      <w:r w:rsidR="00B13090" w:rsidRPr="00D20D9B">
        <w:rPr>
          <w:rFonts w:ascii="Arial" w:hAnsi="Arial" w:cs="Arial"/>
        </w:rPr>
        <w:t>used</w:t>
      </w:r>
      <w:r w:rsidRPr="00D20D9B">
        <w:rPr>
          <w:rFonts w:ascii="Arial" w:hAnsi="Arial" w:cs="Arial"/>
        </w:rPr>
        <w:t xml:space="preserve"> the well-known NBD-</w:t>
      </w:r>
      <w:proofErr w:type="spellStart"/>
      <w:r w:rsidRPr="00D20D9B">
        <w:rPr>
          <w:rFonts w:ascii="Arial" w:hAnsi="Arial" w:cs="Arial"/>
        </w:rPr>
        <w:t>Dirichlet</w:t>
      </w:r>
      <w:proofErr w:type="spellEnd"/>
      <w:r w:rsidRPr="00D20D9B">
        <w:rPr>
          <w:rFonts w:ascii="Arial" w:hAnsi="Arial" w:cs="Arial"/>
        </w:rPr>
        <w:t xml:space="preserve"> model of purchase incidence and brand choice in established competitive markets</w:t>
      </w:r>
      <w:r w:rsidR="00B13090" w:rsidRPr="00D20D9B">
        <w:rPr>
          <w:rFonts w:ascii="Arial" w:hAnsi="Arial" w:cs="Arial"/>
        </w:rPr>
        <w:t xml:space="preserve"> and over time showed</w:t>
      </w:r>
      <w:r w:rsidRPr="00D20D9B">
        <w:rPr>
          <w:rFonts w:ascii="Arial" w:hAnsi="Arial" w:cs="Arial"/>
        </w:rPr>
        <w:t xml:space="preserve"> that most markets behave in a predictable ‘</w:t>
      </w:r>
      <w:proofErr w:type="spellStart"/>
      <w:r w:rsidRPr="00D20D9B">
        <w:rPr>
          <w:rFonts w:ascii="Arial" w:hAnsi="Arial" w:cs="Arial"/>
        </w:rPr>
        <w:t>Dirichlet</w:t>
      </w:r>
      <w:proofErr w:type="spellEnd"/>
      <w:r w:rsidRPr="00D20D9B">
        <w:rPr>
          <w:rFonts w:ascii="Arial" w:hAnsi="Arial" w:cs="Arial"/>
        </w:rPr>
        <w:t>’ manner</w:t>
      </w:r>
      <w:r w:rsidR="00B13090" w:rsidRPr="00D20D9B">
        <w:rPr>
          <w:rFonts w:ascii="Arial" w:hAnsi="Arial" w:cs="Arial"/>
        </w:rPr>
        <w:t>. This</w:t>
      </w:r>
      <w:r w:rsidRPr="00D20D9B">
        <w:rPr>
          <w:rFonts w:ascii="Arial" w:hAnsi="Arial" w:cs="Arial"/>
        </w:rPr>
        <w:t xml:space="preserve"> led to</w:t>
      </w:r>
      <w:r w:rsidR="00785CD4" w:rsidRPr="00D20D9B">
        <w:rPr>
          <w:rFonts w:ascii="Arial" w:hAnsi="Arial" w:cs="Arial"/>
        </w:rPr>
        <w:t xml:space="preserve"> a number of</w:t>
      </w:r>
      <w:r w:rsidRPr="00D20D9B">
        <w:rPr>
          <w:rFonts w:ascii="Arial" w:hAnsi="Arial" w:cs="Arial"/>
        </w:rPr>
        <w:t xml:space="preserve"> remarkable conclusions:</w:t>
      </w:r>
    </w:p>
    <w:p w14:paraId="42F7BB15" w14:textId="77777777" w:rsidR="00B47497" w:rsidRPr="00D20D9B" w:rsidRDefault="00B47497" w:rsidP="000607E8">
      <w:pPr>
        <w:pStyle w:val="BodyText"/>
        <w:jc w:val="both"/>
        <w:rPr>
          <w:rFonts w:ascii="Arial" w:hAnsi="Arial" w:cs="Arial"/>
        </w:rPr>
      </w:pPr>
    </w:p>
    <w:p w14:paraId="34D0E9E6" w14:textId="77777777" w:rsidR="00B47497" w:rsidRPr="00D20D9B" w:rsidRDefault="00B47497" w:rsidP="000607E8">
      <w:pPr>
        <w:pStyle w:val="BodyText"/>
        <w:numPr>
          <w:ilvl w:val="0"/>
          <w:numId w:val="3"/>
        </w:numPr>
        <w:tabs>
          <w:tab w:val="clear" w:pos="300"/>
          <w:tab w:val="left" w:pos="1134"/>
          <w:tab w:val="left" w:pos="1985"/>
        </w:tabs>
        <w:ind w:left="1134" w:right="559" w:hanging="567"/>
        <w:jc w:val="both"/>
        <w:rPr>
          <w:rFonts w:ascii="Arial" w:hAnsi="Arial" w:cs="Arial"/>
        </w:rPr>
      </w:pPr>
      <w:r w:rsidRPr="00D20D9B">
        <w:rPr>
          <w:rFonts w:ascii="Arial" w:hAnsi="Arial" w:cs="Arial"/>
        </w:rPr>
        <w:t>Loyalty (the propensity to purchase) at the individual consumer level has multiple causes.  However, it produces a common effect at the brand level, which is captured by many different measures,</w:t>
      </w:r>
    </w:p>
    <w:p w14:paraId="4DA9EB27" w14:textId="77777777" w:rsidR="00B47497" w:rsidRPr="00D20D9B" w:rsidRDefault="00B47497" w:rsidP="000607E8">
      <w:pPr>
        <w:pStyle w:val="BodyText"/>
        <w:numPr>
          <w:ilvl w:val="0"/>
          <w:numId w:val="3"/>
        </w:numPr>
        <w:tabs>
          <w:tab w:val="clear" w:pos="300"/>
          <w:tab w:val="left" w:pos="1134"/>
          <w:tab w:val="left" w:pos="1985"/>
        </w:tabs>
        <w:ind w:left="1134" w:right="417" w:hanging="567"/>
        <w:jc w:val="both"/>
        <w:rPr>
          <w:rFonts w:ascii="Arial" w:hAnsi="Arial" w:cs="Arial"/>
        </w:rPr>
      </w:pPr>
      <w:r w:rsidRPr="00D20D9B">
        <w:rPr>
          <w:rFonts w:ascii="Arial" w:hAnsi="Arial" w:cs="Arial"/>
        </w:rPr>
        <w:t>Competing brands differ little in the levels of loyalty they enjoy</w:t>
      </w:r>
      <w:r w:rsidR="00785CD4" w:rsidRPr="00D20D9B">
        <w:rPr>
          <w:rFonts w:ascii="Arial" w:hAnsi="Arial" w:cs="Arial"/>
        </w:rPr>
        <w:t>,</w:t>
      </w:r>
    </w:p>
    <w:p w14:paraId="0AAF25C4" w14:textId="5B90B66F" w:rsidR="00785CD4" w:rsidRPr="00D20D9B" w:rsidRDefault="00785CD4" w:rsidP="000607E8">
      <w:pPr>
        <w:pStyle w:val="BodyText"/>
        <w:numPr>
          <w:ilvl w:val="0"/>
          <w:numId w:val="3"/>
        </w:numPr>
        <w:tabs>
          <w:tab w:val="clear" w:pos="300"/>
          <w:tab w:val="left" w:pos="1134"/>
          <w:tab w:val="left" w:pos="1985"/>
        </w:tabs>
        <w:ind w:left="1134" w:right="417" w:hanging="567"/>
        <w:jc w:val="both"/>
        <w:rPr>
          <w:rFonts w:ascii="Arial" w:hAnsi="Arial" w:cs="Arial"/>
        </w:rPr>
      </w:pPr>
      <w:r w:rsidRPr="00D20D9B">
        <w:rPr>
          <w:rFonts w:ascii="Arial" w:hAnsi="Arial" w:cs="Arial"/>
        </w:rPr>
        <w:t>Consumer loyalty is spr</w:t>
      </w:r>
      <w:r w:rsidR="00ED53DB">
        <w:rPr>
          <w:rFonts w:ascii="Arial" w:hAnsi="Arial" w:cs="Arial"/>
        </w:rPr>
        <w:t>ead across a number</w:t>
      </w:r>
      <w:r w:rsidRPr="00D20D9B">
        <w:rPr>
          <w:rFonts w:ascii="Arial" w:hAnsi="Arial" w:cs="Arial"/>
        </w:rPr>
        <w:t xml:space="preserve"> of brands, some of which are bought more often than others, but all are bought more or less loyally</w:t>
      </w:r>
    </w:p>
    <w:p w14:paraId="7C488792" w14:textId="77777777" w:rsidR="00B47497" w:rsidRPr="00D20D9B" w:rsidRDefault="00B47497" w:rsidP="000607E8">
      <w:pPr>
        <w:pStyle w:val="BodyText"/>
        <w:tabs>
          <w:tab w:val="left" w:pos="1134"/>
          <w:tab w:val="left" w:pos="1985"/>
        </w:tabs>
        <w:ind w:left="1134" w:right="417"/>
        <w:jc w:val="both"/>
        <w:rPr>
          <w:rFonts w:ascii="Arial" w:hAnsi="Arial" w:cs="Arial"/>
        </w:rPr>
      </w:pPr>
    </w:p>
    <w:p w14:paraId="0585F529" w14:textId="76A04270" w:rsidR="00B47497" w:rsidRPr="00D20D9B" w:rsidRDefault="00B47497" w:rsidP="00ED53DB">
      <w:pPr>
        <w:pStyle w:val="BodyText"/>
        <w:tabs>
          <w:tab w:val="left" w:pos="1134"/>
          <w:tab w:val="left" w:pos="1985"/>
        </w:tabs>
        <w:ind w:right="48"/>
        <w:jc w:val="both"/>
        <w:rPr>
          <w:rFonts w:ascii="Arial" w:hAnsi="Arial" w:cs="Arial"/>
        </w:rPr>
      </w:pPr>
      <w:r w:rsidRPr="00D20D9B">
        <w:rPr>
          <w:rFonts w:ascii="Arial" w:hAnsi="Arial" w:cs="Arial"/>
        </w:rPr>
        <w:t>The NBD-</w:t>
      </w:r>
      <w:proofErr w:type="spellStart"/>
      <w:r w:rsidRPr="00D20D9B">
        <w:rPr>
          <w:rFonts w:ascii="Arial" w:hAnsi="Arial" w:cs="Arial"/>
        </w:rPr>
        <w:t>Dirichlet</w:t>
      </w:r>
      <w:proofErr w:type="spellEnd"/>
      <w:r w:rsidRPr="00D20D9B">
        <w:rPr>
          <w:rFonts w:ascii="Arial" w:hAnsi="Arial" w:cs="Arial"/>
        </w:rPr>
        <w:t xml:space="preserve"> (</w:t>
      </w:r>
      <w:proofErr w:type="spellStart"/>
      <w:r w:rsidRPr="00D20D9B">
        <w:rPr>
          <w:rFonts w:ascii="Arial" w:hAnsi="Arial" w:cs="Arial"/>
        </w:rPr>
        <w:t>Goodhardt</w:t>
      </w:r>
      <w:proofErr w:type="spellEnd"/>
      <w:r w:rsidRPr="00D20D9B">
        <w:rPr>
          <w:rFonts w:ascii="Arial" w:hAnsi="Arial" w:cs="Arial"/>
        </w:rPr>
        <w:t xml:space="preserve"> </w:t>
      </w:r>
      <w:r w:rsidRPr="00D20D9B">
        <w:rPr>
          <w:rFonts w:ascii="Arial" w:hAnsi="Arial" w:cs="Arial"/>
          <w:i/>
        </w:rPr>
        <w:t>et al.,</w:t>
      </w:r>
      <w:r w:rsidRPr="00D20D9B">
        <w:rPr>
          <w:rFonts w:ascii="Arial" w:hAnsi="Arial" w:cs="Arial"/>
        </w:rPr>
        <w:t xml:space="preserve"> 1984) is a stochastic model of choice probability distributions for stationar</w:t>
      </w:r>
      <w:r w:rsidR="00785CD4" w:rsidRPr="00D20D9B">
        <w:rPr>
          <w:rFonts w:ascii="Arial" w:hAnsi="Arial" w:cs="Arial"/>
        </w:rPr>
        <w:t>y</w:t>
      </w:r>
      <w:r w:rsidR="00F22C0F" w:rsidRPr="00D20D9B">
        <w:rPr>
          <w:rFonts w:ascii="Arial" w:hAnsi="Arial" w:cs="Arial"/>
        </w:rPr>
        <w:t>, non-partitioned categories</w:t>
      </w:r>
      <w:r w:rsidR="0039175F">
        <w:rPr>
          <w:rFonts w:ascii="Arial" w:hAnsi="Arial" w:cs="Arial"/>
        </w:rPr>
        <w:t>.</w:t>
      </w:r>
      <w:r w:rsidR="00785CD4" w:rsidRPr="00D20D9B">
        <w:rPr>
          <w:rFonts w:ascii="Arial" w:hAnsi="Arial" w:cs="Arial"/>
        </w:rPr>
        <w:t xml:space="preserve"> To fit the model for</w:t>
      </w:r>
      <w:r w:rsidRPr="00D20D9B">
        <w:rPr>
          <w:rFonts w:ascii="Arial" w:hAnsi="Arial" w:cs="Arial"/>
        </w:rPr>
        <w:t xml:space="preserve"> a chosen period of time requires a calculation of the proportion of the total p</w:t>
      </w:r>
      <w:r w:rsidR="00785CD4" w:rsidRPr="00D20D9B">
        <w:rPr>
          <w:rFonts w:ascii="Arial" w:hAnsi="Arial" w:cs="Arial"/>
        </w:rPr>
        <w:t>opulation that buy the category</w:t>
      </w:r>
      <w:r w:rsidRPr="00D20D9B">
        <w:rPr>
          <w:rFonts w:ascii="Arial" w:hAnsi="Arial" w:cs="Arial"/>
        </w:rPr>
        <w:t xml:space="preserve"> and the average number of purchase</w:t>
      </w:r>
      <w:r w:rsidR="0039175F">
        <w:rPr>
          <w:rFonts w:ascii="Arial" w:hAnsi="Arial" w:cs="Arial"/>
        </w:rPr>
        <w:t>s</w:t>
      </w:r>
      <w:r w:rsidRPr="00D20D9B">
        <w:rPr>
          <w:rFonts w:ascii="Arial" w:hAnsi="Arial" w:cs="Arial"/>
        </w:rPr>
        <w:t xml:space="preserve"> of the product cate</w:t>
      </w:r>
      <w:r w:rsidR="00ED53DB">
        <w:rPr>
          <w:rFonts w:ascii="Arial" w:hAnsi="Arial" w:cs="Arial"/>
        </w:rPr>
        <w:t>gory for those who purchase it.</w:t>
      </w:r>
      <w:r w:rsidRPr="00D20D9B">
        <w:rPr>
          <w:rFonts w:ascii="Arial" w:hAnsi="Arial" w:cs="Arial"/>
        </w:rPr>
        <w:t xml:space="preserve"> At the brand level, the inputs are the proportion of t</w:t>
      </w:r>
      <w:r w:rsidR="00ED53DB">
        <w:rPr>
          <w:rFonts w:ascii="Arial" w:hAnsi="Arial" w:cs="Arial"/>
        </w:rPr>
        <w:t>he population buying each brand</w:t>
      </w:r>
      <w:r w:rsidRPr="00D20D9B">
        <w:rPr>
          <w:rFonts w:ascii="Arial" w:hAnsi="Arial" w:cs="Arial"/>
        </w:rPr>
        <w:t xml:space="preserve"> and the ave</w:t>
      </w:r>
      <w:r w:rsidR="00233D82">
        <w:rPr>
          <w:rFonts w:ascii="Arial" w:hAnsi="Arial" w:cs="Arial"/>
        </w:rPr>
        <w:t>rage number of purchases of the</w:t>
      </w:r>
      <w:r w:rsidRPr="00D20D9B">
        <w:rPr>
          <w:rFonts w:ascii="Arial" w:hAnsi="Arial" w:cs="Arial"/>
        </w:rPr>
        <w:t xml:space="preserve"> brand by those who buy it. These data are readily available from purchase panels.  </w:t>
      </w:r>
    </w:p>
    <w:p w14:paraId="7F1AE8F4" w14:textId="77777777" w:rsidR="00B47497" w:rsidRPr="00D20D9B" w:rsidRDefault="00B47497" w:rsidP="00ED53DB">
      <w:pPr>
        <w:pStyle w:val="BodyText"/>
        <w:tabs>
          <w:tab w:val="left" w:pos="1134"/>
          <w:tab w:val="left" w:pos="1985"/>
        </w:tabs>
        <w:ind w:right="48"/>
        <w:jc w:val="both"/>
        <w:rPr>
          <w:rFonts w:ascii="Arial" w:hAnsi="Arial" w:cs="Arial"/>
        </w:rPr>
      </w:pPr>
    </w:p>
    <w:p w14:paraId="4667C849" w14:textId="0511D0AC" w:rsidR="00B47497" w:rsidRPr="00D20D9B" w:rsidRDefault="00B47497" w:rsidP="00ED53DB">
      <w:pPr>
        <w:pStyle w:val="BodyText"/>
        <w:tabs>
          <w:tab w:val="left" w:pos="1134"/>
          <w:tab w:val="left" w:pos="1985"/>
        </w:tabs>
        <w:ind w:right="48"/>
        <w:jc w:val="both"/>
        <w:rPr>
          <w:rFonts w:ascii="Arial" w:hAnsi="Arial" w:cs="Arial"/>
        </w:rPr>
      </w:pPr>
      <w:r w:rsidRPr="00D20D9B">
        <w:rPr>
          <w:rFonts w:ascii="Arial" w:hAnsi="Arial" w:cs="Arial"/>
        </w:rPr>
        <w:t xml:space="preserve">The data </w:t>
      </w:r>
      <w:r w:rsidR="00B13090" w:rsidRPr="00D20D9B">
        <w:rPr>
          <w:rFonts w:ascii="Arial" w:hAnsi="Arial" w:cs="Arial"/>
        </w:rPr>
        <w:t>for this study</w:t>
      </w:r>
      <w:r w:rsidRPr="00D20D9B">
        <w:rPr>
          <w:rFonts w:ascii="Arial" w:hAnsi="Arial" w:cs="Arial"/>
        </w:rPr>
        <w:t xml:space="preserve"> were from Kantar’s </w:t>
      </w:r>
      <w:proofErr w:type="spellStart"/>
      <w:r w:rsidRPr="00D20D9B">
        <w:rPr>
          <w:rFonts w:ascii="Arial" w:hAnsi="Arial" w:cs="Arial"/>
        </w:rPr>
        <w:t>Fashiontrak</w:t>
      </w:r>
      <w:proofErr w:type="spellEnd"/>
      <w:r w:rsidRPr="00D20D9B">
        <w:rPr>
          <w:rFonts w:ascii="Arial" w:hAnsi="Arial" w:cs="Arial"/>
        </w:rPr>
        <w:t xml:space="preserve"> and were analyzed using proprietary software called </w:t>
      </w:r>
      <w:proofErr w:type="spellStart"/>
      <w:r w:rsidRPr="00D20D9B">
        <w:rPr>
          <w:rFonts w:ascii="Arial" w:hAnsi="Arial" w:cs="Arial"/>
        </w:rPr>
        <w:t>Power</w:t>
      </w:r>
      <w:r w:rsidR="00B13090" w:rsidRPr="00D20D9B">
        <w:rPr>
          <w:rFonts w:ascii="Arial" w:hAnsi="Arial" w:cs="Arial"/>
        </w:rPr>
        <w:t>view</w:t>
      </w:r>
      <w:proofErr w:type="spellEnd"/>
      <w:r w:rsidR="00B13090" w:rsidRPr="00D20D9B">
        <w:rPr>
          <w:rFonts w:ascii="Arial" w:hAnsi="Arial" w:cs="Arial"/>
        </w:rPr>
        <w:t xml:space="preserve">. </w:t>
      </w:r>
      <w:r w:rsidRPr="00D20D9B">
        <w:rPr>
          <w:rFonts w:ascii="Arial" w:hAnsi="Arial" w:cs="Arial"/>
        </w:rPr>
        <w:t>The program produces a number of brand performance measures such as:</w:t>
      </w:r>
    </w:p>
    <w:p w14:paraId="167B64E0" w14:textId="77777777" w:rsidR="00B47497" w:rsidRPr="00D20D9B" w:rsidRDefault="00B47497" w:rsidP="000607E8">
      <w:pPr>
        <w:pStyle w:val="BodyText"/>
        <w:numPr>
          <w:ilvl w:val="0"/>
          <w:numId w:val="5"/>
        </w:numPr>
        <w:tabs>
          <w:tab w:val="left" w:pos="1134"/>
          <w:tab w:val="left" w:pos="1985"/>
        </w:tabs>
        <w:ind w:right="417"/>
        <w:jc w:val="both"/>
        <w:rPr>
          <w:rFonts w:ascii="Arial" w:hAnsi="Arial" w:cs="Arial"/>
        </w:rPr>
      </w:pPr>
      <w:r w:rsidRPr="00D20D9B">
        <w:rPr>
          <w:rFonts w:ascii="Arial" w:hAnsi="Arial" w:cs="Arial"/>
        </w:rPr>
        <w:t>Penetration of purchasers (percentage buying the brand at all)</w:t>
      </w:r>
    </w:p>
    <w:p w14:paraId="16D99C60" w14:textId="77777777" w:rsidR="00B47497" w:rsidRPr="00D20D9B" w:rsidRDefault="00B47497" w:rsidP="000607E8">
      <w:pPr>
        <w:pStyle w:val="BodyText"/>
        <w:numPr>
          <w:ilvl w:val="0"/>
          <w:numId w:val="5"/>
        </w:numPr>
        <w:tabs>
          <w:tab w:val="left" w:pos="1134"/>
          <w:tab w:val="left" w:pos="1985"/>
        </w:tabs>
        <w:ind w:right="417"/>
        <w:jc w:val="both"/>
        <w:rPr>
          <w:rFonts w:ascii="Arial" w:hAnsi="Arial" w:cs="Arial"/>
        </w:rPr>
      </w:pPr>
      <w:r w:rsidRPr="00D20D9B">
        <w:rPr>
          <w:rFonts w:ascii="Arial" w:hAnsi="Arial" w:cs="Arial"/>
        </w:rPr>
        <w:t>Percentage buying the brand once and five times or more in the period</w:t>
      </w:r>
    </w:p>
    <w:p w14:paraId="3550CECA" w14:textId="2F38DDD5" w:rsidR="00B47497" w:rsidRPr="00D20D9B" w:rsidRDefault="00B47497" w:rsidP="000607E8">
      <w:pPr>
        <w:pStyle w:val="BodyText"/>
        <w:numPr>
          <w:ilvl w:val="0"/>
          <w:numId w:val="5"/>
        </w:numPr>
        <w:tabs>
          <w:tab w:val="left" w:pos="1134"/>
          <w:tab w:val="left" w:pos="1985"/>
        </w:tabs>
        <w:ind w:right="417"/>
        <w:jc w:val="both"/>
        <w:rPr>
          <w:rFonts w:ascii="Arial" w:hAnsi="Arial" w:cs="Arial"/>
        </w:rPr>
      </w:pPr>
      <w:r w:rsidRPr="00D20D9B">
        <w:rPr>
          <w:rFonts w:ascii="Arial" w:hAnsi="Arial" w:cs="Arial"/>
        </w:rPr>
        <w:t>Ave</w:t>
      </w:r>
      <w:r w:rsidR="009F7F46">
        <w:rPr>
          <w:rFonts w:ascii="Arial" w:hAnsi="Arial" w:cs="Arial"/>
        </w:rPr>
        <w:t>r</w:t>
      </w:r>
      <w:r w:rsidRPr="00D20D9B">
        <w:rPr>
          <w:rFonts w:ascii="Arial" w:hAnsi="Arial" w:cs="Arial"/>
        </w:rPr>
        <w:t>age number of purchases of the brand per buyer of the brand</w:t>
      </w:r>
    </w:p>
    <w:p w14:paraId="7819F2E5" w14:textId="77777777" w:rsidR="00B47497" w:rsidRPr="00D20D9B" w:rsidRDefault="00B47497" w:rsidP="000607E8">
      <w:pPr>
        <w:pStyle w:val="BodyText"/>
        <w:numPr>
          <w:ilvl w:val="0"/>
          <w:numId w:val="5"/>
        </w:numPr>
        <w:tabs>
          <w:tab w:val="left" w:pos="1134"/>
          <w:tab w:val="left" w:pos="1985"/>
        </w:tabs>
        <w:ind w:right="417"/>
        <w:jc w:val="both"/>
        <w:rPr>
          <w:rFonts w:ascii="Arial" w:hAnsi="Arial" w:cs="Arial"/>
        </w:rPr>
      </w:pPr>
      <w:r w:rsidRPr="00D20D9B">
        <w:rPr>
          <w:rFonts w:ascii="Arial" w:hAnsi="Arial" w:cs="Arial"/>
        </w:rPr>
        <w:t>Share of category requirements</w:t>
      </w:r>
    </w:p>
    <w:p w14:paraId="16884164" w14:textId="77777777" w:rsidR="00B47497" w:rsidRPr="00D20D9B" w:rsidRDefault="00B47497" w:rsidP="000607E8">
      <w:pPr>
        <w:pStyle w:val="BodyText"/>
        <w:numPr>
          <w:ilvl w:val="0"/>
          <w:numId w:val="5"/>
        </w:numPr>
        <w:tabs>
          <w:tab w:val="left" w:pos="1134"/>
          <w:tab w:val="left" w:pos="1985"/>
        </w:tabs>
        <w:ind w:right="417"/>
        <w:jc w:val="both"/>
        <w:rPr>
          <w:rFonts w:ascii="Arial" w:hAnsi="Arial" w:cs="Arial"/>
        </w:rPr>
      </w:pPr>
      <w:r w:rsidRPr="00D20D9B">
        <w:rPr>
          <w:rFonts w:ascii="Arial" w:hAnsi="Arial" w:cs="Arial"/>
        </w:rPr>
        <w:t>Percentage of sole buyers (who only buy one brand in the category)</w:t>
      </w:r>
    </w:p>
    <w:p w14:paraId="04415919" w14:textId="77777777" w:rsidR="00B47497" w:rsidRDefault="00B47497" w:rsidP="000607E8">
      <w:pPr>
        <w:pStyle w:val="BodyText"/>
        <w:numPr>
          <w:ilvl w:val="0"/>
          <w:numId w:val="5"/>
        </w:numPr>
        <w:tabs>
          <w:tab w:val="left" w:pos="1134"/>
          <w:tab w:val="left" w:pos="1985"/>
        </w:tabs>
        <w:ind w:right="417"/>
        <w:jc w:val="both"/>
        <w:rPr>
          <w:rFonts w:ascii="Arial" w:hAnsi="Arial" w:cs="Arial"/>
        </w:rPr>
      </w:pPr>
      <w:r w:rsidRPr="00D20D9B">
        <w:rPr>
          <w:rFonts w:ascii="Arial" w:hAnsi="Arial" w:cs="Arial"/>
        </w:rPr>
        <w:t>Purchase rate of sole buyers</w:t>
      </w:r>
    </w:p>
    <w:p w14:paraId="171A4FCE" w14:textId="77777777" w:rsidR="00ED53DB" w:rsidRPr="00D20D9B" w:rsidRDefault="00ED53DB" w:rsidP="00ED53DB">
      <w:pPr>
        <w:pStyle w:val="BodyText"/>
        <w:tabs>
          <w:tab w:val="left" w:pos="1134"/>
          <w:tab w:val="left" w:pos="1985"/>
        </w:tabs>
        <w:ind w:left="1500" w:right="417"/>
        <w:jc w:val="both"/>
        <w:rPr>
          <w:rFonts w:ascii="Arial" w:hAnsi="Arial" w:cs="Arial"/>
        </w:rPr>
      </w:pPr>
    </w:p>
    <w:p w14:paraId="3DF073BC" w14:textId="5EE12154" w:rsidR="00681E6A" w:rsidRDefault="00ED53DB" w:rsidP="00ED53DB">
      <w:pPr>
        <w:pStyle w:val="BodyText"/>
        <w:tabs>
          <w:tab w:val="left" w:pos="1134"/>
          <w:tab w:val="left" w:pos="1985"/>
        </w:tabs>
        <w:ind w:right="48"/>
        <w:jc w:val="both"/>
        <w:rPr>
          <w:rFonts w:ascii="Arial" w:hAnsi="Arial" w:cs="Arial"/>
        </w:rPr>
      </w:pPr>
      <w:r w:rsidRPr="00D20D9B">
        <w:rPr>
          <w:rFonts w:ascii="Arial" w:hAnsi="Arial" w:cs="Arial"/>
        </w:rPr>
        <w:t xml:space="preserve">Other brand performance measures are available from detailed analysis, but are not included here as our </w:t>
      </w:r>
      <w:r>
        <w:rPr>
          <w:rFonts w:ascii="Arial" w:hAnsi="Arial" w:cs="Arial"/>
        </w:rPr>
        <w:t>main</w:t>
      </w:r>
      <w:r w:rsidRPr="00D20D9B">
        <w:rPr>
          <w:rFonts w:ascii="Arial" w:hAnsi="Arial" w:cs="Arial"/>
        </w:rPr>
        <w:t xml:space="preserve"> </w:t>
      </w:r>
      <w:r>
        <w:rPr>
          <w:rFonts w:ascii="Arial" w:hAnsi="Arial" w:cs="Arial"/>
        </w:rPr>
        <w:t>task</w:t>
      </w:r>
      <w:r w:rsidRPr="00D20D9B">
        <w:rPr>
          <w:rFonts w:ascii="Arial" w:hAnsi="Arial" w:cs="Arial"/>
        </w:rPr>
        <w:t xml:space="preserve"> is to establish </w:t>
      </w:r>
      <w:r>
        <w:rPr>
          <w:rFonts w:ascii="Arial" w:hAnsi="Arial" w:cs="Arial"/>
        </w:rPr>
        <w:t xml:space="preserve">whether fashion brands </w:t>
      </w:r>
      <w:r w:rsidRPr="00D20D9B">
        <w:rPr>
          <w:rFonts w:ascii="Arial" w:hAnsi="Arial" w:cs="Arial"/>
        </w:rPr>
        <w:t xml:space="preserve">display the main measures similarly to those in other consumer goods categories. </w:t>
      </w:r>
      <w:r>
        <w:rPr>
          <w:rFonts w:ascii="Arial" w:hAnsi="Arial" w:cs="Arial"/>
        </w:rPr>
        <w:t xml:space="preserve">Table 1 is a </w:t>
      </w:r>
      <w:r w:rsidRPr="00D20D9B">
        <w:rPr>
          <w:rFonts w:ascii="Arial" w:hAnsi="Arial" w:cs="Arial"/>
        </w:rPr>
        <w:t xml:space="preserve">compilation of brand performance measures (BPMs) drawn from the database of fashion shoppers. The data is from women who shopped for themselves (not for other family members or for gifts) and bought women’s outerwear at high street shops (not online purchases) during the year up to March 2012. The data have been organized by brand size, from largest to smallest. This is a standard procedure that makes it much easier to spot patterns in the data. Thus New Look is the largest brand in the market with 20% market share, followed by Other (a composite of many small brands) at 19%, Next with 15% and so on. The second column displays brand penetration—the percentage of all fashion buyers who bought each brand. The observed level of penetration (o) declines steadily with market share, as </w:t>
      </w:r>
      <w:r>
        <w:rPr>
          <w:rFonts w:ascii="Arial" w:hAnsi="Arial" w:cs="Arial"/>
        </w:rPr>
        <w:t>does the theoretical level (t).</w:t>
      </w:r>
      <w:r w:rsidRPr="00D20D9B">
        <w:rPr>
          <w:rFonts w:ascii="Arial" w:hAnsi="Arial" w:cs="Arial"/>
        </w:rPr>
        <w:t xml:space="preserve"> In fitting the model, the theoretical values are derived from the category inputs and are included here as indicators of goodness of fit</w:t>
      </w:r>
      <w:r>
        <w:rPr>
          <w:rFonts w:ascii="Arial" w:hAnsi="Arial" w:cs="Arial"/>
        </w:rPr>
        <w:t>.</w:t>
      </w:r>
    </w:p>
    <w:p w14:paraId="1C03385E" w14:textId="77777777" w:rsidR="00ED53DB" w:rsidRDefault="00ED53DB" w:rsidP="00681E6A">
      <w:pPr>
        <w:pStyle w:val="BodyText"/>
        <w:tabs>
          <w:tab w:val="left" w:pos="1134"/>
          <w:tab w:val="left" w:pos="1985"/>
        </w:tabs>
        <w:ind w:right="417"/>
        <w:jc w:val="both"/>
        <w:rPr>
          <w:rFonts w:ascii="Arial" w:hAnsi="Arial" w:cs="Arial"/>
        </w:rPr>
      </w:pPr>
    </w:p>
    <w:p w14:paraId="14724A5A" w14:textId="13D6E6BA" w:rsidR="00ED53DB" w:rsidRPr="00C70E09" w:rsidRDefault="00ED53DB" w:rsidP="00C70E09">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In the ‘Purchases” section, it can be seen that on average women made 8.9 purchases per year of outerwear.  Of these, the fourth column shows that customers of New Look made on average 4.4 purchases of that brand, Customers of Other, made 3.2 purch</w:t>
      </w:r>
      <w:r w:rsidR="00233D82">
        <w:rPr>
          <w:rFonts w:ascii="Arial" w:hAnsi="Arial" w:cs="Arial"/>
          <w:lang w:val="en-US"/>
        </w:rPr>
        <w:t>ases and so on down the column.</w:t>
      </w:r>
      <w:r w:rsidRPr="00D20D9B">
        <w:rPr>
          <w:rFonts w:ascii="Arial" w:hAnsi="Arial" w:cs="Arial"/>
          <w:lang w:val="en-US"/>
        </w:rPr>
        <w:t xml:space="preserve"> Note that the figures decline as one reads down the column, as did the figures for market penetration, both of which illustrate the well known double jeopardy phenomenon in which larger brands both have more customers, and those customers tend to be more loyal—here indicated by a higher purchasing rate. The obverse of this is seen in the next bracket of figures (Percent Buying once, or 5+ times) which shows that the percentage of once-only buyers rises as the brands get smaller, while the percentage of buyers making five or more purchases is higher for the larger brands at the top of the table.  </w:t>
      </w:r>
    </w:p>
    <w:p w14:paraId="25BE3460" w14:textId="77777777" w:rsidR="00B47497"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Table 1. Example of the analysis</w:t>
      </w:r>
    </w:p>
    <w:tbl>
      <w:tblPr>
        <w:tblW w:w="12018" w:type="dxa"/>
        <w:tblInd w:w="93" w:type="dxa"/>
        <w:tblLayout w:type="fixed"/>
        <w:tblLook w:val="04A0" w:firstRow="1" w:lastRow="0" w:firstColumn="1" w:lastColumn="0" w:noHBand="0" w:noVBand="1"/>
      </w:tblPr>
      <w:tblGrid>
        <w:gridCol w:w="2040"/>
        <w:gridCol w:w="828"/>
        <w:gridCol w:w="620"/>
        <w:gridCol w:w="620"/>
        <w:gridCol w:w="630"/>
        <w:gridCol w:w="630"/>
        <w:gridCol w:w="515"/>
        <w:gridCol w:w="515"/>
        <w:gridCol w:w="515"/>
        <w:gridCol w:w="515"/>
        <w:gridCol w:w="515"/>
        <w:gridCol w:w="16"/>
        <w:gridCol w:w="531"/>
        <w:gridCol w:w="30"/>
        <w:gridCol w:w="485"/>
        <w:gridCol w:w="224"/>
        <w:gridCol w:w="12"/>
        <w:gridCol w:w="457"/>
        <w:gridCol w:w="58"/>
        <w:gridCol w:w="40"/>
        <w:gridCol w:w="344"/>
        <w:gridCol w:w="245"/>
        <w:gridCol w:w="375"/>
        <w:gridCol w:w="196"/>
        <w:gridCol w:w="58"/>
        <w:gridCol w:w="375"/>
        <w:gridCol w:w="629"/>
      </w:tblGrid>
      <w:tr w:rsidR="00B47497" w:rsidRPr="00B04106" w14:paraId="3D94A1AE" w14:textId="77777777">
        <w:trPr>
          <w:trHeight w:val="240"/>
        </w:trPr>
        <w:tc>
          <w:tcPr>
            <w:tcW w:w="2040" w:type="dxa"/>
            <w:tcBorders>
              <w:top w:val="nil"/>
              <w:left w:val="nil"/>
              <w:bottom w:val="nil"/>
              <w:right w:val="nil"/>
            </w:tcBorders>
            <w:shd w:val="clear" w:color="000000" w:fill="FFFFFF"/>
            <w:noWrap/>
            <w:vAlign w:val="bottom"/>
          </w:tcPr>
          <w:p w14:paraId="0CEC18C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828" w:type="dxa"/>
            <w:tcBorders>
              <w:top w:val="nil"/>
              <w:left w:val="nil"/>
              <w:bottom w:val="nil"/>
              <w:right w:val="nil"/>
            </w:tcBorders>
            <w:shd w:val="clear" w:color="000000" w:fill="FFFFFF"/>
            <w:noWrap/>
            <w:vAlign w:val="bottom"/>
          </w:tcPr>
          <w:p w14:paraId="587F2BD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9150" w:type="dxa"/>
            <w:gridSpan w:val="25"/>
            <w:tcBorders>
              <w:top w:val="nil"/>
              <w:left w:val="nil"/>
              <w:bottom w:val="nil"/>
              <w:right w:val="nil"/>
            </w:tcBorders>
            <w:shd w:val="clear" w:color="000000" w:fill="FFFFFF"/>
            <w:noWrap/>
            <w:vAlign w:val="bottom"/>
          </w:tcPr>
          <w:p w14:paraId="21C27F2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Observed (O) and Theoretical (T) Performance Measures</w:t>
            </w:r>
          </w:p>
        </w:tc>
      </w:tr>
      <w:tr w:rsidR="00B47497" w:rsidRPr="00B04106" w14:paraId="254BEA92" w14:textId="77777777">
        <w:trPr>
          <w:trHeight w:val="240"/>
        </w:trPr>
        <w:tc>
          <w:tcPr>
            <w:tcW w:w="2040" w:type="dxa"/>
            <w:tcBorders>
              <w:top w:val="single" w:sz="4" w:space="0" w:color="auto"/>
              <w:left w:val="single" w:sz="4" w:space="0" w:color="auto"/>
              <w:bottom w:val="nil"/>
              <w:right w:val="single" w:sz="4" w:space="0" w:color="auto"/>
            </w:tcBorders>
            <w:shd w:val="clear" w:color="000000" w:fill="FFFFFF"/>
            <w:noWrap/>
            <w:vAlign w:val="bottom"/>
          </w:tcPr>
          <w:p w14:paraId="6DD5E8A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828" w:type="dxa"/>
            <w:tcBorders>
              <w:top w:val="single" w:sz="4" w:space="0" w:color="auto"/>
              <w:left w:val="nil"/>
              <w:bottom w:val="nil"/>
              <w:right w:val="single" w:sz="4" w:space="0" w:color="auto"/>
            </w:tcBorders>
            <w:shd w:val="clear" w:color="000000" w:fill="FFFFFF"/>
            <w:noWrap/>
            <w:vAlign w:val="bottom"/>
          </w:tcPr>
          <w:p w14:paraId="424AB18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Market </w:t>
            </w:r>
          </w:p>
        </w:tc>
        <w:tc>
          <w:tcPr>
            <w:tcW w:w="1240" w:type="dxa"/>
            <w:gridSpan w:val="2"/>
            <w:tcBorders>
              <w:top w:val="single" w:sz="4" w:space="0" w:color="auto"/>
              <w:left w:val="nil"/>
              <w:bottom w:val="nil"/>
              <w:right w:val="single" w:sz="4" w:space="0" w:color="000000"/>
            </w:tcBorders>
            <w:shd w:val="clear" w:color="000000" w:fill="FFFFFF"/>
            <w:noWrap/>
            <w:vAlign w:val="bottom"/>
          </w:tcPr>
          <w:p w14:paraId="4689225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Penetration</w:t>
            </w:r>
          </w:p>
        </w:tc>
        <w:tc>
          <w:tcPr>
            <w:tcW w:w="1260" w:type="dxa"/>
            <w:gridSpan w:val="2"/>
            <w:tcBorders>
              <w:top w:val="single" w:sz="4" w:space="0" w:color="auto"/>
              <w:left w:val="nil"/>
              <w:bottom w:val="nil"/>
              <w:right w:val="single" w:sz="4" w:space="0" w:color="000000"/>
            </w:tcBorders>
            <w:shd w:val="clear" w:color="000000" w:fill="FFFFFF"/>
            <w:noWrap/>
            <w:vAlign w:val="bottom"/>
          </w:tcPr>
          <w:p w14:paraId="15F75A7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Purchase</w:t>
            </w:r>
          </w:p>
        </w:tc>
        <w:tc>
          <w:tcPr>
            <w:tcW w:w="2060" w:type="dxa"/>
            <w:gridSpan w:val="4"/>
            <w:tcBorders>
              <w:top w:val="single" w:sz="4" w:space="0" w:color="auto"/>
              <w:left w:val="nil"/>
              <w:bottom w:val="single" w:sz="4" w:space="0" w:color="auto"/>
              <w:right w:val="single" w:sz="4" w:space="0" w:color="000000"/>
            </w:tcBorders>
            <w:shd w:val="clear" w:color="000000" w:fill="FFFFFF"/>
            <w:noWrap/>
            <w:vAlign w:val="bottom"/>
          </w:tcPr>
          <w:p w14:paraId="4D557E0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Buying</w:t>
            </w:r>
          </w:p>
        </w:tc>
        <w:tc>
          <w:tcPr>
            <w:tcW w:w="1092" w:type="dxa"/>
            <w:gridSpan w:val="4"/>
            <w:tcBorders>
              <w:top w:val="single" w:sz="4" w:space="0" w:color="auto"/>
              <w:left w:val="nil"/>
              <w:bottom w:val="single" w:sz="4" w:space="0" w:color="auto"/>
              <w:right w:val="single" w:sz="4" w:space="0" w:color="000000"/>
            </w:tcBorders>
            <w:shd w:val="clear" w:color="000000" w:fill="FFFFFF"/>
            <w:noWrap/>
            <w:vAlign w:val="bottom"/>
          </w:tcPr>
          <w:p w14:paraId="63D1091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Category</w:t>
            </w:r>
          </w:p>
        </w:tc>
        <w:tc>
          <w:tcPr>
            <w:tcW w:w="3498" w:type="dxa"/>
            <w:gridSpan w:val="13"/>
            <w:tcBorders>
              <w:top w:val="single" w:sz="4" w:space="0" w:color="auto"/>
              <w:left w:val="nil"/>
              <w:bottom w:val="single" w:sz="4" w:space="0" w:color="auto"/>
              <w:right w:val="single" w:sz="4" w:space="0" w:color="000000"/>
            </w:tcBorders>
            <w:shd w:val="clear" w:color="000000" w:fill="FFFFFF"/>
            <w:noWrap/>
            <w:vAlign w:val="bottom"/>
          </w:tcPr>
          <w:p w14:paraId="6555BD4C" w14:textId="77777777" w:rsidR="00B47497" w:rsidRPr="00AE16D2" w:rsidRDefault="00B47497" w:rsidP="000607E8">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AE16D2">
              <w:rPr>
                <w:rFonts w:ascii="Arial" w:eastAsia="Times New Roman" w:hAnsi="Arial" w:cs="Arial"/>
                <w:sz w:val="20"/>
                <w:szCs w:val="20"/>
                <w:lang w:eastAsia="en-US"/>
              </w:rPr>
              <w:t xml:space="preserve">100% Loyal </w:t>
            </w:r>
          </w:p>
        </w:tc>
      </w:tr>
      <w:tr w:rsidR="00B47497" w:rsidRPr="00B04106" w14:paraId="29D41858" w14:textId="77777777">
        <w:trPr>
          <w:gridAfter w:val="3"/>
          <w:wAfter w:w="1062"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6C72B45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Range </w:t>
            </w:r>
          </w:p>
        </w:tc>
        <w:tc>
          <w:tcPr>
            <w:tcW w:w="828" w:type="dxa"/>
            <w:tcBorders>
              <w:top w:val="nil"/>
              <w:left w:val="nil"/>
              <w:bottom w:val="nil"/>
              <w:right w:val="single" w:sz="4" w:space="0" w:color="auto"/>
            </w:tcBorders>
            <w:shd w:val="clear" w:color="000000" w:fill="FFFFFF"/>
            <w:noWrap/>
            <w:vAlign w:val="bottom"/>
          </w:tcPr>
          <w:p w14:paraId="077D242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Share</w:t>
            </w:r>
          </w:p>
        </w:tc>
        <w:tc>
          <w:tcPr>
            <w:tcW w:w="1240" w:type="dxa"/>
            <w:gridSpan w:val="2"/>
            <w:tcBorders>
              <w:top w:val="nil"/>
              <w:left w:val="nil"/>
              <w:bottom w:val="nil"/>
              <w:right w:val="single" w:sz="4" w:space="0" w:color="000000"/>
            </w:tcBorders>
            <w:shd w:val="clear" w:color="000000" w:fill="FFFFFF"/>
            <w:noWrap/>
            <w:vAlign w:val="bottom"/>
          </w:tcPr>
          <w:p w14:paraId="66E0CEF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w:t>
            </w:r>
          </w:p>
        </w:tc>
        <w:tc>
          <w:tcPr>
            <w:tcW w:w="1260" w:type="dxa"/>
            <w:gridSpan w:val="2"/>
            <w:tcBorders>
              <w:top w:val="nil"/>
              <w:left w:val="nil"/>
              <w:bottom w:val="nil"/>
              <w:right w:val="single" w:sz="4" w:space="0" w:color="000000"/>
            </w:tcBorders>
            <w:shd w:val="clear" w:color="000000" w:fill="FFFFFF"/>
            <w:noWrap/>
            <w:vAlign w:val="bottom"/>
          </w:tcPr>
          <w:p w14:paraId="5971FCE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w:t>
            </w:r>
            <w:proofErr w:type="gramStart"/>
            <w:r w:rsidRPr="00AE16D2">
              <w:rPr>
                <w:rFonts w:ascii="Arial" w:eastAsia="Times New Roman" w:hAnsi="Arial" w:cs="Arial"/>
                <w:sz w:val="20"/>
                <w:szCs w:val="20"/>
                <w:lang w:eastAsia="en-US"/>
              </w:rPr>
              <w:t>per</w:t>
            </w:r>
            <w:proofErr w:type="gramEnd"/>
            <w:r w:rsidRPr="00AE16D2">
              <w:rPr>
                <w:rFonts w:ascii="Arial" w:eastAsia="Times New Roman" w:hAnsi="Arial" w:cs="Arial"/>
                <w:sz w:val="20"/>
                <w:szCs w:val="20"/>
                <w:lang w:eastAsia="en-US"/>
              </w:rPr>
              <w:t xml:space="preserve"> buyer</w:t>
            </w:r>
          </w:p>
        </w:tc>
        <w:tc>
          <w:tcPr>
            <w:tcW w:w="1030" w:type="dxa"/>
            <w:gridSpan w:val="2"/>
            <w:tcBorders>
              <w:top w:val="single" w:sz="4" w:space="0" w:color="auto"/>
              <w:left w:val="nil"/>
              <w:bottom w:val="nil"/>
              <w:right w:val="nil"/>
            </w:tcBorders>
            <w:shd w:val="clear" w:color="000000" w:fill="FFFFFF"/>
            <w:noWrap/>
            <w:vAlign w:val="bottom"/>
          </w:tcPr>
          <w:p w14:paraId="04FF215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Once</w:t>
            </w:r>
          </w:p>
        </w:tc>
        <w:tc>
          <w:tcPr>
            <w:tcW w:w="1030" w:type="dxa"/>
            <w:gridSpan w:val="2"/>
            <w:tcBorders>
              <w:top w:val="single" w:sz="4" w:space="0" w:color="auto"/>
              <w:left w:val="nil"/>
              <w:bottom w:val="nil"/>
              <w:right w:val="single" w:sz="4" w:space="0" w:color="000000"/>
            </w:tcBorders>
            <w:shd w:val="clear" w:color="000000" w:fill="FFFFFF"/>
            <w:noWrap/>
            <w:vAlign w:val="bottom"/>
          </w:tcPr>
          <w:p w14:paraId="4AAE41F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5+ </w:t>
            </w:r>
          </w:p>
        </w:tc>
        <w:tc>
          <w:tcPr>
            <w:tcW w:w="1092" w:type="dxa"/>
            <w:gridSpan w:val="4"/>
            <w:tcBorders>
              <w:top w:val="single" w:sz="4" w:space="0" w:color="auto"/>
              <w:left w:val="nil"/>
              <w:bottom w:val="nil"/>
              <w:right w:val="single" w:sz="4" w:space="0" w:color="000000"/>
            </w:tcBorders>
            <w:shd w:val="clear" w:color="000000" w:fill="FFFFFF"/>
            <w:noWrap/>
            <w:vAlign w:val="bottom"/>
          </w:tcPr>
          <w:p w14:paraId="1A25B89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SCR (%)</w:t>
            </w:r>
          </w:p>
        </w:tc>
        <w:tc>
          <w:tcPr>
            <w:tcW w:w="1276" w:type="dxa"/>
            <w:gridSpan w:val="6"/>
            <w:tcBorders>
              <w:top w:val="single" w:sz="4" w:space="0" w:color="auto"/>
              <w:left w:val="nil"/>
              <w:bottom w:val="nil"/>
              <w:right w:val="nil"/>
            </w:tcBorders>
            <w:shd w:val="clear" w:color="000000" w:fill="FFFFFF"/>
            <w:noWrap/>
            <w:vAlign w:val="bottom"/>
          </w:tcPr>
          <w:p w14:paraId="342819A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Penetration</w:t>
            </w:r>
          </w:p>
        </w:tc>
        <w:tc>
          <w:tcPr>
            <w:tcW w:w="1160" w:type="dxa"/>
            <w:gridSpan w:val="4"/>
            <w:tcBorders>
              <w:top w:val="single" w:sz="4" w:space="0" w:color="auto"/>
              <w:left w:val="nil"/>
              <w:bottom w:val="nil"/>
              <w:right w:val="single" w:sz="4" w:space="0" w:color="000000"/>
            </w:tcBorders>
            <w:shd w:val="clear" w:color="000000" w:fill="FFFFFF"/>
            <w:noWrap/>
            <w:vAlign w:val="bottom"/>
          </w:tcPr>
          <w:p w14:paraId="016C10F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Av Purchase</w:t>
            </w:r>
          </w:p>
        </w:tc>
      </w:tr>
      <w:tr w:rsidR="00B47497" w:rsidRPr="00B04106" w14:paraId="49E856D9" w14:textId="77777777" w:rsidTr="00ED53DB">
        <w:trPr>
          <w:gridAfter w:val="3"/>
          <w:wAfter w:w="1062" w:type="dxa"/>
          <w:trHeight w:val="129"/>
        </w:trPr>
        <w:tc>
          <w:tcPr>
            <w:tcW w:w="2040" w:type="dxa"/>
            <w:tcBorders>
              <w:top w:val="nil"/>
              <w:left w:val="single" w:sz="4" w:space="0" w:color="auto"/>
              <w:bottom w:val="nil"/>
              <w:right w:val="single" w:sz="4" w:space="0" w:color="auto"/>
            </w:tcBorders>
            <w:shd w:val="clear" w:color="000000" w:fill="FFFFFF"/>
            <w:noWrap/>
            <w:vAlign w:val="bottom"/>
          </w:tcPr>
          <w:p w14:paraId="48B6B36C" w14:textId="77777777" w:rsidR="00B47497" w:rsidRPr="00AE16D2" w:rsidRDefault="00B47497" w:rsidP="000607E8">
            <w:pPr>
              <w:spacing w:after="0" w:line="360" w:lineRule="auto"/>
              <w:jc w:val="both"/>
              <w:rPr>
                <w:rFonts w:ascii="Arial" w:eastAsia="Times New Roman" w:hAnsi="Arial" w:cs="Arial"/>
                <w:color w:val="DD0806"/>
                <w:sz w:val="20"/>
                <w:szCs w:val="20"/>
                <w:lang w:eastAsia="en-US"/>
              </w:rPr>
            </w:pPr>
            <w:r w:rsidRPr="00AE16D2">
              <w:rPr>
                <w:rFonts w:ascii="Arial" w:eastAsia="Times New Roman" w:hAnsi="Arial" w:cs="Arial"/>
                <w:color w:val="DD0806"/>
                <w:sz w:val="20"/>
                <w:szCs w:val="20"/>
                <w:lang w:eastAsia="en-US"/>
              </w:rPr>
              <w:t> </w:t>
            </w:r>
          </w:p>
        </w:tc>
        <w:tc>
          <w:tcPr>
            <w:tcW w:w="828" w:type="dxa"/>
            <w:tcBorders>
              <w:top w:val="nil"/>
              <w:left w:val="nil"/>
              <w:bottom w:val="single" w:sz="4" w:space="0" w:color="auto"/>
              <w:right w:val="single" w:sz="4" w:space="0" w:color="auto"/>
            </w:tcBorders>
            <w:shd w:val="clear" w:color="000000" w:fill="FFFFFF"/>
            <w:noWrap/>
            <w:vAlign w:val="bottom"/>
          </w:tcPr>
          <w:p w14:paraId="240E183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w:t>
            </w:r>
          </w:p>
        </w:tc>
        <w:tc>
          <w:tcPr>
            <w:tcW w:w="1240" w:type="dxa"/>
            <w:gridSpan w:val="2"/>
            <w:tcBorders>
              <w:top w:val="nil"/>
              <w:left w:val="nil"/>
              <w:bottom w:val="single" w:sz="4" w:space="0" w:color="auto"/>
              <w:right w:val="single" w:sz="4" w:space="0" w:color="000000"/>
            </w:tcBorders>
            <w:shd w:val="clear" w:color="000000" w:fill="FFFFFF"/>
            <w:noWrap/>
            <w:vAlign w:val="bottom"/>
          </w:tcPr>
          <w:p w14:paraId="4BC35C8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1260" w:type="dxa"/>
            <w:gridSpan w:val="2"/>
            <w:tcBorders>
              <w:top w:val="nil"/>
              <w:left w:val="nil"/>
              <w:bottom w:val="single" w:sz="4" w:space="0" w:color="auto"/>
              <w:right w:val="single" w:sz="4" w:space="0" w:color="000000"/>
            </w:tcBorders>
            <w:shd w:val="clear" w:color="000000" w:fill="FFFFFF"/>
            <w:noWrap/>
            <w:vAlign w:val="bottom"/>
          </w:tcPr>
          <w:p w14:paraId="20C0A3F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1030" w:type="dxa"/>
            <w:gridSpan w:val="2"/>
            <w:tcBorders>
              <w:top w:val="nil"/>
              <w:left w:val="nil"/>
              <w:bottom w:val="single" w:sz="4" w:space="0" w:color="auto"/>
              <w:right w:val="nil"/>
            </w:tcBorders>
            <w:shd w:val="clear" w:color="000000" w:fill="FFFFFF"/>
            <w:noWrap/>
            <w:vAlign w:val="bottom"/>
          </w:tcPr>
          <w:p w14:paraId="19602D0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1030" w:type="dxa"/>
            <w:gridSpan w:val="2"/>
            <w:tcBorders>
              <w:top w:val="nil"/>
              <w:left w:val="nil"/>
              <w:bottom w:val="single" w:sz="4" w:space="0" w:color="auto"/>
              <w:right w:val="single" w:sz="4" w:space="0" w:color="000000"/>
            </w:tcBorders>
            <w:shd w:val="clear" w:color="000000" w:fill="FFFFFF"/>
            <w:noWrap/>
            <w:vAlign w:val="bottom"/>
          </w:tcPr>
          <w:p w14:paraId="19AC32A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1092" w:type="dxa"/>
            <w:gridSpan w:val="4"/>
            <w:tcBorders>
              <w:top w:val="nil"/>
              <w:left w:val="nil"/>
              <w:bottom w:val="single" w:sz="4" w:space="0" w:color="auto"/>
              <w:right w:val="single" w:sz="4" w:space="0" w:color="000000"/>
            </w:tcBorders>
            <w:shd w:val="clear" w:color="000000" w:fill="FFFFFF"/>
            <w:noWrap/>
            <w:vAlign w:val="bottom"/>
          </w:tcPr>
          <w:p w14:paraId="7E1FBA4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1276" w:type="dxa"/>
            <w:gridSpan w:val="6"/>
            <w:tcBorders>
              <w:top w:val="nil"/>
              <w:left w:val="nil"/>
              <w:bottom w:val="single" w:sz="4" w:space="0" w:color="auto"/>
              <w:right w:val="nil"/>
            </w:tcBorders>
            <w:shd w:val="clear" w:color="000000" w:fill="FFFFFF"/>
            <w:noWrap/>
            <w:vAlign w:val="bottom"/>
          </w:tcPr>
          <w:p w14:paraId="2239596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1160" w:type="dxa"/>
            <w:gridSpan w:val="4"/>
            <w:tcBorders>
              <w:top w:val="nil"/>
              <w:left w:val="nil"/>
              <w:bottom w:val="single" w:sz="4" w:space="0" w:color="auto"/>
              <w:right w:val="single" w:sz="4" w:space="0" w:color="000000"/>
            </w:tcBorders>
            <w:shd w:val="clear" w:color="000000" w:fill="FFFFFF"/>
            <w:noWrap/>
            <w:vAlign w:val="bottom"/>
          </w:tcPr>
          <w:p w14:paraId="0D27C61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r>
      <w:tr w:rsidR="00B47497" w:rsidRPr="00B04106" w14:paraId="27A4CE3F" w14:textId="77777777">
        <w:trPr>
          <w:gridAfter w:val="2"/>
          <w:wAfter w:w="1004" w:type="dxa"/>
          <w:trHeight w:val="240"/>
        </w:trPr>
        <w:tc>
          <w:tcPr>
            <w:tcW w:w="2040" w:type="dxa"/>
            <w:tcBorders>
              <w:top w:val="single" w:sz="4" w:space="0" w:color="auto"/>
              <w:left w:val="single" w:sz="4" w:space="0" w:color="auto"/>
              <w:bottom w:val="nil"/>
              <w:right w:val="single" w:sz="4" w:space="0" w:color="auto"/>
            </w:tcBorders>
            <w:shd w:val="clear" w:color="000000" w:fill="FFFFFF"/>
            <w:noWrap/>
            <w:vAlign w:val="bottom"/>
          </w:tcPr>
          <w:p w14:paraId="7158968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828" w:type="dxa"/>
            <w:tcBorders>
              <w:top w:val="nil"/>
              <w:left w:val="nil"/>
              <w:bottom w:val="nil"/>
              <w:right w:val="single" w:sz="4" w:space="0" w:color="auto"/>
            </w:tcBorders>
            <w:shd w:val="clear" w:color="000000" w:fill="FFFFFF"/>
            <w:noWrap/>
            <w:vAlign w:val="bottom"/>
          </w:tcPr>
          <w:p w14:paraId="6E938EC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2DD8A0E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O</w:t>
            </w:r>
          </w:p>
        </w:tc>
        <w:tc>
          <w:tcPr>
            <w:tcW w:w="620" w:type="dxa"/>
            <w:tcBorders>
              <w:top w:val="nil"/>
              <w:left w:val="nil"/>
              <w:bottom w:val="nil"/>
              <w:right w:val="single" w:sz="4" w:space="0" w:color="auto"/>
            </w:tcBorders>
            <w:shd w:val="clear" w:color="000000" w:fill="FFFFFF"/>
            <w:noWrap/>
            <w:vAlign w:val="bottom"/>
          </w:tcPr>
          <w:p w14:paraId="6AA0FA68"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T</w:t>
            </w:r>
          </w:p>
        </w:tc>
        <w:tc>
          <w:tcPr>
            <w:tcW w:w="630" w:type="dxa"/>
            <w:tcBorders>
              <w:top w:val="nil"/>
              <w:left w:val="nil"/>
              <w:bottom w:val="nil"/>
              <w:right w:val="nil"/>
            </w:tcBorders>
            <w:shd w:val="clear" w:color="000000" w:fill="FFFFFF"/>
            <w:noWrap/>
            <w:vAlign w:val="bottom"/>
          </w:tcPr>
          <w:p w14:paraId="3CB34EB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O</w:t>
            </w:r>
          </w:p>
        </w:tc>
        <w:tc>
          <w:tcPr>
            <w:tcW w:w="630" w:type="dxa"/>
            <w:tcBorders>
              <w:top w:val="nil"/>
              <w:left w:val="nil"/>
              <w:bottom w:val="nil"/>
              <w:right w:val="nil"/>
            </w:tcBorders>
            <w:shd w:val="clear" w:color="000000" w:fill="FFFFFF"/>
            <w:noWrap/>
            <w:vAlign w:val="bottom"/>
          </w:tcPr>
          <w:p w14:paraId="45E04BC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T</w:t>
            </w:r>
          </w:p>
        </w:tc>
        <w:tc>
          <w:tcPr>
            <w:tcW w:w="515" w:type="dxa"/>
            <w:tcBorders>
              <w:top w:val="nil"/>
              <w:left w:val="single" w:sz="4" w:space="0" w:color="auto"/>
              <w:bottom w:val="nil"/>
              <w:right w:val="nil"/>
            </w:tcBorders>
            <w:shd w:val="clear" w:color="000000" w:fill="FFFFFF"/>
            <w:noWrap/>
            <w:vAlign w:val="bottom"/>
          </w:tcPr>
          <w:p w14:paraId="48C8D89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O</w:t>
            </w:r>
          </w:p>
        </w:tc>
        <w:tc>
          <w:tcPr>
            <w:tcW w:w="515" w:type="dxa"/>
            <w:tcBorders>
              <w:top w:val="nil"/>
              <w:left w:val="nil"/>
              <w:bottom w:val="nil"/>
              <w:right w:val="nil"/>
            </w:tcBorders>
            <w:shd w:val="clear" w:color="000000" w:fill="FFFFFF"/>
            <w:noWrap/>
            <w:vAlign w:val="bottom"/>
          </w:tcPr>
          <w:p w14:paraId="5C298F30"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T</w:t>
            </w:r>
          </w:p>
        </w:tc>
        <w:tc>
          <w:tcPr>
            <w:tcW w:w="515" w:type="dxa"/>
            <w:tcBorders>
              <w:top w:val="nil"/>
              <w:left w:val="nil"/>
              <w:bottom w:val="nil"/>
              <w:right w:val="nil"/>
            </w:tcBorders>
            <w:shd w:val="clear" w:color="000000" w:fill="FFFFFF"/>
            <w:noWrap/>
            <w:vAlign w:val="bottom"/>
          </w:tcPr>
          <w:p w14:paraId="4167141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O</w:t>
            </w:r>
          </w:p>
        </w:tc>
        <w:tc>
          <w:tcPr>
            <w:tcW w:w="515" w:type="dxa"/>
            <w:tcBorders>
              <w:top w:val="nil"/>
              <w:left w:val="nil"/>
              <w:bottom w:val="nil"/>
              <w:right w:val="single" w:sz="4" w:space="0" w:color="auto"/>
            </w:tcBorders>
            <w:shd w:val="clear" w:color="000000" w:fill="FFFFFF"/>
            <w:noWrap/>
            <w:vAlign w:val="bottom"/>
          </w:tcPr>
          <w:p w14:paraId="2A7A35D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T</w:t>
            </w:r>
          </w:p>
        </w:tc>
        <w:tc>
          <w:tcPr>
            <w:tcW w:w="515" w:type="dxa"/>
            <w:tcBorders>
              <w:top w:val="nil"/>
              <w:left w:val="nil"/>
              <w:bottom w:val="nil"/>
              <w:right w:val="nil"/>
            </w:tcBorders>
            <w:shd w:val="clear" w:color="000000" w:fill="FFFFFF"/>
            <w:noWrap/>
            <w:vAlign w:val="bottom"/>
          </w:tcPr>
          <w:p w14:paraId="2D6FFBC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O</w:t>
            </w:r>
          </w:p>
        </w:tc>
        <w:tc>
          <w:tcPr>
            <w:tcW w:w="577" w:type="dxa"/>
            <w:gridSpan w:val="3"/>
            <w:tcBorders>
              <w:top w:val="nil"/>
              <w:left w:val="nil"/>
              <w:bottom w:val="nil"/>
              <w:right w:val="single" w:sz="4" w:space="0" w:color="auto"/>
            </w:tcBorders>
            <w:shd w:val="clear" w:color="000000" w:fill="FFFFFF"/>
            <w:noWrap/>
            <w:vAlign w:val="bottom"/>
          </w:tcPr>
          <w:p w14:paraId="3C1BD5FE"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T</w:t>
            </w:r>
          </w:p>
        </w:tc>
        <w:tc>
          <w:tcPr>
            <w:tcW w:w="709" w:type="dxa"/>
            <w:gridSpan w:val="2"/>
            <w:tcBorders>
              <w:top w:val="nil"/>
              <w:left w:val="nil"/>
              <w:bottom w:val="nil"/>
              <w:right w:val="nil"/>
            </w:tcBorders>
            <w:shd w:val="clear" w:color="000000" w:fill="FFFFFF"/>
            <w:noWrap/>
            <w:vAlign w:val="bottom"/>
          </w:tcPr>
          <w:p w14:paraId="12ED480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O</w:t>
            </w:r>
          </w:p>
        </w:tc>
        <w:tc>
          <w:tcPr>
            <w:tcW w:w="527" w:type="dxa"/>
            <w:gridSpan w:val="3"/>
            <w:tcBorders>
              <w:top w:val="nil"/>
              <w:left w:val="nil"/>
              <w:bottom w:val="nil"/>
              <w:right w:val="nil"/>
            </w:tcBorders>
            <w:shd w:val="clear" w:color="000000" w:fill="FFFFFF"/>
            <w:noWrap/>
            <w:vAlign w:val="bottom"/>
          </w:tcPr>
          <w:p w14:paraId="33F18E8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T</w:t>
            </w:r>
          </w:p>
        </w:tc>
        <w:tc>
          <w:tcPr>
            <w:tcW w:w="629" w:type="dxa"/>
            <w:gridSpan w:val="3"/>
            <w:tcBorders>
              <w:top w:val="nil"/>
              <w:left w:val="nil"/>
              <w:bottom w:val="nil"/>
              <w:right w:val="nil"/>
            </w:tcBorders>
            <w:shd w:val="clear" w:color="000000" w:fill="FFFFFF"/>
            <w:noWrap/>
            <w:vAlign w:val="bottom"/>
          </w:tcPr>
          <w:p w14:paraId="54F4FA2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O</w:t>
            </w:r>
          </w:p>
        </w:tc>
        <w:tc>
          <w:tcPr>
            <w:tcW w:w="629" w:type="dxa"/>
            <w:gridSpan w:val="3"/>
            <w:tcBorders>
              <w:top w:val="nil"/>
              <w:left w:val="nil"/>
              <w:bottom w:val="nil"/>
              <w:right w:val="single" w:sz="4" w:space="0" w:color="auto"/>
            </w:tcBorders>
            <w:shd w:val="clear" w:color="000000" w:fill="FFFFFF"/>
            <w:noWrap/>
            <w:vAlign w:val="bottom"/>
          </w:tcPr>
          <w:p w14:paraId="552C82DA"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T</w:t>
            </w:r>
          </w:p>
        </w:tc>
      </w:tr>
      <w:tr w:rsidR="00B47497" w:rsidRPr="00B04106" w14:paraId="19B50817"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788913AF"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828" w:type="dxa"/>
            <w:tcBorders>
              <w:top w:val="nil"/>
              <w:left w:val="nil"/>
              <w:bottom w:val="nil"/>
              <w:right w:val="single" w:sz="4" w:space="0" w:color="auto"/>
            </w:tcBorders>
            <w:shd w:val="clear" w:color="000000" w:fill="FFFFFF"/>
            <w:noWrap/>
            <w:vAlign w:val="bottom"/>
          </w:tcPr>
          <w:p w14:paraId="3DC527BF"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4F9297F0"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45DBABF4"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630" w:type="dxa"/>
            <w:tcBorders>
              <w:top w:val="nil"/>
              <w:left w:val="single" w:sz="4" w:space="0" w:color="auto"/>
              <w:bottom w:val="nil"/>
              <w:right w:val="nil"/>
            </w:tcBorders>
            <w:shd w:val="clear" w:color="000000" w:fill="FFFFFF"/>
            <w:noWrap/>
            <w:vAlign w:val="bottom"/>
          </w:tcPr>
          <w:p w14:paraId="17607A59"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30" w:type="dxa"/>
            <w:tcBorders>
              <w:top w:val="nil"/>
              <w:left w:val="nil"/>
              <w:bottom w:val="nil"/>
              <w:right w:val="nil"/>
            </w:tcBorders>
            <w:shd w:val="clear" w:color="000000" w:fill="FFFFFF"/>
            <w:noWrap/>
            <w:vAlign w:val="bottom"/>
          </w:tcPr>
          <w:p w14:paraId="6B425F7A"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single" w:sz="4" w:space="0" w:color="auto"/>
              <w:bottom w:val="nil"/>
              <w:right w:val="nil"/>
            </w:tcBorders>
            <w:shd w:val="clear" w:color="000000" w:fill="FFFFFF"/>
            <w:noWrap/>
            <w:vAlign w:val="bottom"/>
          </w:tcPr>
          <w:p w14:paraId="6C55BF88"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nil"/>
            </w:tcBorders>
            <w:shd w:val="clear" w:color="000000" w:fill="FFFFFF"/>
            <w:noWrap/>
            <w:vAlign w:val="bottom"/>
          </w:tcPr>
          <w:p w14:paraId="30A1BA1F"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476DF886"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single" w:sz="4" w:space="0" w:color="auto"/>
            </w:tcBorders>
            <w:shd w:val="clear" w:color="000000" w:fill="FFFFFF"/>
            <w:noWrap/>
            <w:vAlign w:val="bottom"/>
          </w:tcPr>
          <w:p w14:paraId="60E40E89"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280E8027"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77" w:type="dxa"/>
            <w:gridSpan w:val="3"/>
            <w:tcBorders>
              <w:top w:val="nil"/>
              <w:left w:val="nil"/>
              <w:bottom w:val="nil"/>
              <w:right w:val="single" w:sz="4" w:space="0" w:color="auto"/>
            </w:tcBorders>
            <w:shd w:val="clear" w:color="000000" w:fill="FFFFFF"/>
            <w:noWrap/>
            <w:vAlign w:val="bottom"/>
          </w:tcPr>
          <w:p w14:paraId="4F571E9A"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709" w:type="dxa"/>
            <w:gridSpan w:val="2"/>
            <w:tcBorders>
              <w:top w:val="nil"/>
              <w:left w:val="nil"/>
              <w:bottom w:val="nil"/>
              <w:right w:val="nil"/>
            </w:tcBorders>
            <w:shd w:val="clear" w:color="000000" w:fill="FFFFFF"/>
            <w:noWrap/>
            <w:vAlign w:val="bottom"/>
          </w:tcPr>
          <w:p w14:paraId="5C3DC9E4"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27" w:type="dxa"/>
            <w:gridSpan w:val="3"/>
            <w:tcBorders>
              <w:top w:val="nil"/>
              <w:left w:val="nil"/>
              <w:bottom w:val="nil"/>
              <w:right w:val="nil"/>
            </w:tcBorders>
            <w:shd w:val="clear" w:color="000000" w:fill="FFFFFF"/>
            <w:noWrap/>
            <w:vAlign w:val="bottom"/>
          </w:tcPr>
          <w:p w14:paraId="497728C3"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629" w:type="dxa"/>
            <w:gridSpan w:val="3"/>
            <w:tcBorders>
              <w:top w:val="nil"/>
              <w:left w:val="nil"/>
              <w:bottom w:val="nil"/>
              <w:right w:val="nil"/>
            </w:tcBorders>
            <w:shd w:val="clear" w:color="000000" w:fill="FFFFFF"/>
            <w:noWrap/>
            <w:vAlign w:val="bottom"/>
          </w:tcPr>
          <w:p w14:paraId="7B63A11F"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9" w:type="dxa"/>
            <w:gridSpan w:val="3"/>
            <w:tcBorders>
              <w:top w:val="nil"/>
              <w:left w:val="nil"/>
              <w:bottom w:val="nil"/>
              <w:right w:val="single" w:sz="4" w:space="0" w:color="auto"/>
            </w:tcBorders>
            <w:shd w:val="clear" w:color="000000" w:fill="FFFFFF"/>
            <w:noWrap/>
            <w:vAlign w:val="bottom"/>
          </w:tcPr>
          <w:p w14:paraId="38290BC3"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r>
      <w:tr w:rsidR="00B47497" w:rsidRPr="00B04106" w14:paraId="0ABCA8A0"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51042270"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Total  </w:t>
            </w:r>
          </w:p>
        </w:tc>
        <w:tc>
          <w:tcPr>
            <w:tcW w:w="828" w:type="dxa"/>
            <w:tcBorders>
              <w:top w:val="nil"/>
              <w:left w:val="nil"/>
              <w:bottom w:val="nil"/>
              <w:right w:val="single" w:sz="4" w:space="0" w:color="auto"/>
            </w:tcBorders>
            <w:shd w:val="clear" w:color="000000" w:fill="FFFFFF"/>
            <w:noWrap/>
            <w:vAlign w:val="bottom"/>
          </w:tcPr>
          <w:p w14:paraId="26A9F27D"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100</w:t>
            </w:r>
          </w:p>
        </w:tc>
        <w:tc>
          <w:tcPr>
            <w:tcW w:w="620" w:type="dxa"/>
            <w:tcBorders>
              <w:top w:val="nil"/>
              <w:left w:val="nil"/>
              <w:bottom w:val="nil"/>
              <w:right w:val="nil"/>
            </w:tcBorders>
            <w:shd w:val="clear" w:color="000000" w:fill="FFFFFF"/>
            <w:noWrap/>
            <w:vAlign w:val="bottom"/>
          </w:tcPr>
          <w:p w14:paraId="60C86A0B"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36</w:t>
            </w:r>
          </w:p>
        </w:tc>
        <w:tc>
          <w:tcPr>
            <w:tcW w:w="620" w:type="dxa"/>
            <w:tcBorders>
              <w:top w:val="nil"/>
              <w:left w:val="nil"/>
              <w:bottom w:val="nil"/>
              <w:right w:val="nil"/>
            </w:tcBorders>
            <w:shd w:val="clear" w:color="000000" w:fill="FFFFFF"/>
            <w:noWrap/>
            <w:vAlign w:val="bottom"/>
          </w:tcPr>
          <w:p w14:paraId="03991086"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630" w:type="dxa"/>
            <w:tcBorders>
              <w:top w:val="nil"/>
              <w:left w:val="single" w:sz="4" w:space="0" w:color="auto"/>
              <w:bottom w:val="nil"/>
              <w:right w:val="nil"/>
            </w:tcBorders>
            <w:shd w:val="clear" w:color="000000" w:fill="FFFFFF"/>
            <w:noWrap/>
            <w:vAlign w:val="bottom"/>
          </w:tcPr>
          <w:p w14:paraId="221BA711"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8.9</w:t>
            </w:r>
          </w:p>
        </w:tc>
        <w:tc>
          <w:tcPr>
            <w:tcW w:w="630" w:type="dxa"/>
            <w:tcBorders>
              <w:top w:val="nil"/>
              <w:left w:val="nil"/>
              <w:bottom w:val="nil"/>
              <w:right w:val="single" w:sz="4" w:space="0" w:color="auto"/>
            </w:tcBorders>
            <w:shd w:val="clear" w:color="000000" w:fill="FFFFFF"/>
            <w:noWrap/>
            <w:vAlign w:val="bottom"/>
          </w:tcPr>
          <w:p w14:paraId="19E50E78"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0368DC87"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nil"/>
            </w:tcBorders>
            <w:shd w:val="clear" w:color="000000" w:fill="FFFFFF"/>
            <w:noWrap/>
            <w:vAlign w:val="bottom"/>
          </w:tcPr>
          <w:p w14:paraId="68E0CCBB"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131B09CA"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single" w:sz="4" w:space="0" w:color="auto"/>
            </w:tcBorders>
            <w:shd w:val="clear" w:color="000000" w:fill="FFFFFF"/>
            <w:noWrap/>
            <w:vAlign w:val="bottom"/>
          </w:tcPr>
          <w:p w14:paraId="0F53346C"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060EC2E5"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77" w:type="dxa"/>
            <w:gridSpan w:val="3"/>
            <w:tcBorders>
              <w:top w:val="nil"/>
              <w:left w:val="nil"/>
              <w:bottom w:val="nil"/>
              <w:right w:val="single" w:sz="4" w:space="0" w:color="auto"/>
            </w:tcBorders>
            <w:shd w:val="clear" w:color="000000" w:fill="FFFFFF"/>
            <w:noWrap/>
            <w:vAlign w:val="bottom"/>
          </w:tcPr>
          <w:p w14:paraId="7F576C62"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709" w:type="dxa"/>
            <w:gridSpan w:val="2"/>
            <w:tcBorders>
              <w:top w:val="nil"/>
              <w:left w:val="nil"/>
              <w:bottom w:val="nil"/>
              <w:right w:val="nil"/>
            </w:tcBorders>
            <w:shd w:val="clear" w:color="000000" w:fill="FFFFFF"/>
            <w:noWrap/>
            <w:vAlign w:val="bottom"/>
          </w:tcPr>
          <w:p w14:paraId="57E5D759"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27" w:type="dxa"/>
            <w:gridSpan w:val="3"/>
            <w:tcBorders>
              <w:top w:val="nil"/>
              <w:left w:val="nil"/>
              <w:bottom w:val="nil"/>
              <w:right w:val="nil"/>
            </w:tcBorders>
            <w:shd w:val="clear" w:color="000000" w:fill="FFFFFF"/>
            <w:noWrap/>
            <w:vAlign w:val="bottom"/>
          </w:tcPr>
          <w:p w14:paraId="278352F7"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629" w:type="dxa"/>
            <w:gridSpan w:val="3"/>
            <w:tcBorders>
              <w:top w:val="nil"/>
              <w:left w:val="nil"/>
              <w:bottom w:val="nil"/>
              <w:right w:val="nil"/>
            </w:tcBorders>
            <w:shd w:val="clear" w:color="000000" w:fill="FFFFFF"/>
            <w:noWrap/>
            <w:vAlign w:val="bottom"/>
          </w:tcPr>
          <w:p w14:paraId="74129B34" w14:textId="77777777" w:rsidR="00B47497" w:rsidRPr="00AE16D2" w:rsidRDefault="00B47497" w:rsidP="00F22C0F">
            <w:pPr>
              <w:spacing w:after="0"/>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9" w:type="dxa"/>
            <w:gridSpan w:val="3"/>
            <w:tcBorders>
              <w:top w:val="nil"/>
              <w:left w:val="nil"/>
              <w:bottom w:val="nil"/>
              <w:right w:val="single" w:sz="4" w:space="0" w:color="auto"/>
            </w:tcBorders>
            <w:shd w:val="clear" w:color="000000" w:fill="FFFFFF"/>
            <w:noWrap/>
            <w:vAlign w:val="bottom"/>
          </w:tcPr>
          <w:p w14:paraId="08D9130E" w14:textId="77777777" w:rsidR="00B47497" w:rsidRPr="00AE16D2" w:rsidRDefault="00B47497" w:rsidP="00F22C0F">
            <w:pPr>
              <w:spacing w:after="0"/>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r>
      <w:tr w:rsidR="00B47497" w:rsidRPr="00B04106" w14:paraId="7B56B07A"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029DBFD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828" w:type="dxa"/>
            <w:tcBorders>
              <w:top w:val="nil"/>
              <w:left w:val="nil"/>
              <w:bottom w:val="nil"/>
              <w:right w:val="single" w:sz="4" w:space="0" w:color="auto"/>
            </w:tcBorders>
            <w:shd w:val="clear" w:color="000000" w:fill="FFFFFF"/>
            <w:noWrap/>
            <w:vAlign w:val="bottom"/>
          </w:tcPr>
          <w:p w14:paraId="78D674E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564F7FC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42E71A77"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630" w:type="dxa"/>
            <w:tcBorders>
              <w:top w:val="nil"/>
              <w:left w:val="single" w:sz="4" w:space="0" w:color="auto"/>
              <w:bottom w:val="nil"/>
              <w:right w:val="nil"/>
            </w:tcBorders>
            <w:shd w:val="clear" w:color="000000" w:fill="FFFFFF"/>
            <w:noWrap/>
            <w:vAlign w:val="bottom"/>
          </w:tcPr>
          <w:p w14:paraId="36EF212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30" w:type="dxa"/>
            <w:tcBorders>
              <w:top w:val="nil"/>
              <w:left w:val="nil"/>
              <w:bottom w:val="nil"/>
              <w:right w:val="nil"/>
            </w:tcBorders>
            <w:shd w:val="clear" w:color="000000" w:fill="FFFFFF"/>
            <w:noWrap/>
            <w:vAlign w:val="bottom"/>
          </w:tcPr>
          <w:p w14:paraId="0ED76116"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single" w:sz="4" w:space="0" w:color="auto"/>
              <w:bottom w:val="nil"/>
              <w:right w:val="nil"/>
            </w:tcBorders>
            <w:shd w:val="clear" w:color="000000" w:fill="FFFFFF"/>
            <w:noWrap/>
            <w:vAlign w:val="bottom"/>
          </w:tcPr>
          <w:p w14:paraId="77B437E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nil"/>
            </w:tcBorders>
            <w:shd w:val="clear" w:color="000000" w:fill="FFFFFF"/>
            <w:noWrap/>
            <w:vAlign w:val="bottom"/>
          </w:tcPr>
          <w:p w14:paraId="57D14127"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11BD63D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single" w:sz="4" w:space="0" w:color="auto"/>
            </w:tcBorders>
            <w:shd w:val="clear" w:color="000000" w:fill="FFFFFF"/>
            <w:noWrap/>
            <w:vAlign w:val="bottom"/>
          </w:tcPr>
          <w:p w14:paraId="29ABED7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43C10D0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77" w:type="dxa"/>
            <w:gridSpan w:val="3"/>
            <w:tcBorders>
              <w:top w:val="nil"/>
              <w:left w:val="nil"/>
              <w:bottom w:val="nil"/>
              <w:right w:val="single" w:sz="4" w:space="0" w:color="auto"/>
            </w:tcBorders>
            <w:shd w:val="clear" w:color="000000" w:fill="FFFFFF"/>
            <w:noWrap/>
            <w:vAlign w:val="bottom"/>
          </w:tcPr>
          <w:p w14:paraId="601E6F02"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709" w:type="dxa"/>
            <w:gridSpan w:val="2"/>
            <w:tcBorders>
              <w:top w:val="nil"/>
              <w:left w:val="nil"/>
              <w:bottom w:val="nil"/>
              <w:right w:val="nil"/>
            </w:tcBorders>
            <w:shd w:val="clear" w:color="000000" w:fill="FFFFFF"/>
            <w:noWrap/>
            <w:vAlign w:val="bottom"/>
          </w:tcPr>
          <w:p w14:paraId="0A957DE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27" w:type="dxa"/>
            <w:gridSpan w:val="3"/>
            <w:tcBorders>
              <w:top w:val="nil"/>
              <w:left w:val="nil"/>
              <w:bottom w:val="nil"/>
              <w:right w:val="nil"/>
            </w:tcBorders>
            <w:shd w:val="clear" w:color="000000" w:fill="FFFFFF"/>
            <w:noWrap/>
            <w:vAlign w:val="bottom"/>
          </w:tcPr>
          <w:p w14:paraId="240C39D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629" w:type="dxa"/>
            <w:gridSpan w:val="3"/>
            <w:tcBorders>
              <w:top w:val="nil"/>
              <w:left w:val="nil"/>
              <w:bottom w:val="nil"/>
              <w:right w:val="nil"/>
            </w:tcBorders>
            <w:shd w:val="clear" w:color="000000" w:fill="FFFFFF"/>
            <w:noWrap/>
            <w:vAlign w:val="bottom"/>
          </w:tcPr>
          <w:p w14:paraId="04140A6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9" w:type="dxa"/>
            <w:gridSpan w:val="3"/>
            <w:tcBorders>
              <w:top w:val="nil"/>
              <w:left w:val="nil"/>
              <w:bottom w:val="nil"/>
              <w:right w:val="single" w:sz="4" w:space="0" w:color="auto"/>
            </w:tcBorders>
            <w:shd w:val="clear" w:color="000000" w:fill="FFFFFF"/>
            <w:noWrap/>
            <w:vAlign w:val="bottom"/>
          </w:tcPr>
          <w:p w14:paraId="0FDF0F32"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r>
      <w:tr w:rsidR="00B47497" w:rsidRPr="00B04106" w14:paraId="370A3B55"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47BD24D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New Look</w:t>
            </w:r>
          </w:p>
        </w:tc>
        <w:tc>
          <w:tcPr>
            <w:tcW w:w="828" w:type="dxa"/>
            <w:tcBorders>
              <w:top w:val="nil"/>
              <w:left w:val="nil"/>
              <w:bottom w:val="nil"/>
              <w:right w:val="single" w:sz="4" w:space="0" w:color="auto"/>
            </w:tcBorders>
            <w:shd w:val="clear" w:color="000000" w:fill="FFFFFF"/>
            <w:noWrap/>
            <w:vAlign w:val="bottom"/>
          </w:tcPr>
          <w:p w14:paraId="3E3A405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20</w:t>
            </w:r>
          </w:p>
        </w:tc>
        <w:tc>
          <w:tcPr>
            <w:tcW w:w="620" w:type="dxa"/>
            <w:tcBorders>
              <w:top w:val="nil"/>
              <w:left w:val="nil"/>
              <w:bottom w:val="nil"/>
              <w:right w:val="nil"/>
            </w:tcBorders>
            <w:shd w:val="clear" w:color="000000" w:fill="FFFFFF"/>
            <w:noWrap/>
            <w:vAlign w:val="bottom"/>
          </w:tcPr>
          <w:p w14:paraId="5BC412D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15</w:t>
            </w:r>
          </w:p>
        </w:tc>
        <w:tc>
          <w:tcPr>
            <w:tcW w:w="620" w:type="dxa"/>
            <w:tcBorders>
              <w:top w:val="nil"/>
              <w:left w:val="nil"/>
              <w:bottom w:val="nil"/>
              <w:right w:val="nil"/>
            </w:tcBorders>
            <w:shd w:val="clear" w:color="000000" w:fill="FFFFFF"/>
            <w:noWrap/>
            <w:vAlign w:val="bottom"/>
          </w:tcPr>
          <w:p w14:paraId="0C13A0E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17</w:t>
            </w:r>
          </w:p>
        </w:tc>
        <w:tc>
          <w:tcPr>
            <w:tcW w:w="630" w:type="dxa"/>
            <w:tcBorders>
              <w:top w:val="nil"/>
              <w:left w:val="single" w:sz="4" w:space="0" w:color="auto"/>
              <w:bottom w:val="nil"/>
              <w:right w:val="nil"/>
            </w:tcBorders>
            <w:shd w:val="clear" w:color="000000" w:fill="FFFFFF"/>
            <w:noWrap/>
            <w:vAlign w:val="bottom"/>
          </w:tcPr>
          <w:p w14:paraId="68101C0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4.4</w:t>
            </w:r>
          </w:p>
        </w:tc>
        <w:tc>
          <w:tcPr>
            <w:tcW w:w="630" w:type="dxa"/>
            <w:tcBorders>
              <w:top w:val="nil"/>
              <w:left w:val="nil"/>
              <w:bottom w:val="nil"/>
              <w:right w:val="nil"/>
            </w:tcBorders>
            <w:shd w:val="clear" w:color="000000" w:fill="FFFFFF"/>
            <w:noWrap/>
            <w:vAlign w:val="bottom"/>
          </w:tcPr>
          <w:p w14:paraId="4D10F4AA"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3.7</w:t>
            </w:r>
          </w:p>
        </w:tc>
        <w:tc>
          <w:tcPr>
            <w:tcW w:w="515" w:type="dxa"/>
            <w:tcBorders>
              <w:top w:val="nil"/>
              <w:left w:val="single" w:sz="4" w:space="0" w:color="auto"/>
              <w:bottom w:val="nil"/>
              <w:right w:val="nil"/>
            </w:tcBorders>
            <w:shd w:val="clear" w:color="000000" w:fill="FFFFFF"/>
            <w:noWrap/>
            <w:vAlign w:val="bottom"/>
          </w:tcPr>
          <w:p w14:paraId="1E8704B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42</w:t>
            </w:r>
          </w:p>
        </w:tc>
        <w:tc>
          <w:tcPr>
            <w:tcW w:w="515" w:type="dxa"/>
            <w:tcBorders>
              <w:top w:val="nil"/>
              <w:left w:val="nil"/>
              <w:bottom w:val="nil"/>
              <w:right w:val="nil"/>
            </w:tcBorders>
            <w:shd w:val="clear" w:color="000000" w:fill="FFFFFF"/>
            <w:noWrap/>
            <w:vAlign w:val="bottom"/>
          </w:tcPr>
          <w:p w14:paraId="3CCC839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43</w:t>
            </w:r>
          </w:p>
        </w:tc>
        <w:tc>
          <w:tcPr>
            <w:tcW w:w="515" w:type="dxa"/>
            <w:tcBorders>
              <w:top w:val="nil"/>
              <w:left w:val="nil"/>
              <w:bottom w:val="nil"/>
              <w:right w:val="nil"/>
            </w:tcBorders>
            <w:shd w:val="clear" w:color="000000" w:fill="FFFFFF"/>
            <w:noWrap/>
            <w:vAlign w:val="bottom"/>
          </w:tcPr>
          <w:p w14:paraId="0CE24BD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15</w:t>
            </w:r>
          </w:p>
        </w:tc>
        <w:tc>
          <w:tcPr>
            <w:tcW w:w="515" w:type="dxa"/>
            <w:tcBorders>
              <w:top w:val="nil"/>
              <w:left w:val="nil"/>
              <w:bottom w:val="nil"/>
              <w:right w:val="single" w:sz="4" w:space="0" w:color="auto"/>
            </w:tcBorders>
            <w:shd w:val="clear" w:color="000000" w:fill="FFFFFF"/>
            <w:noWrap/>
            <w:vAlign w:val="bottom"/>
          </w:tcPr>
          <w:p w14:paraId="60856D12"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22</w:t>
            </w:r>
          </w:p>
        </w:tc>
        <w:tc>
          <w:tcPr>
            <w:tcW w:w="515" w:type="dxa"/>
            <w:tcBorders>
              <w:top w:val="nil"/>
              <w:left w:val="nil"/>
              <w:bottom w:val="nil"/>
              <w:right w:val="nil"/>
            </w:tcBorders>
            <w:shd w:val="clear" w:color="000000" w:fill="FFFFFF"/>
            <w:noWrap/>
            <w:vAlign w:val="bottom"/>
          </w:tcPr>
          <w:p w14:paraId="79B63B2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33</w:t>
            </w:r>
          </w:p>
        </w:tc>
        <w:tc>
          <w:tcPr>
            <w:tcW w:w="577" w:type="dxa"/>
            <w:gridSpan w:val="3"/>
            <w:tcBorders>
              <w:top w:val="nil"/>
              <w:left w:val="nil"/>
              <w:bottom w:val="nil"/>
              <w:right w:val="single" w:sz="4" w:space="0" w:color="auto"/>
            </w:tcBorders>
            <w:shd w:val="clear" w:color="000000" w:fill="FFFFFF"/>
            <w:noWrap/>
            <w:vAlign w:val="bottom"/>
          </w:tcPr>
          <w:p w14:paraId="5F094646"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28</w:t>
            </w:r>
          </w:p>
        </w:tc>
        <w:tc>
          <w:tcPr>
            <w:tcW w:w="709" w:type="dxa"/>
            <w:gridSpan w:val="2"/>
            <w:tcBorders>
              <w:top w:val="nil"/>
              <w:left w:val="nil"/>
              <w:bottom w:val="nil"/>
              <w:right w:val="nil"/>
            </w:tcBorders>
            <w:shd w:val="clear" w:color="000000" w:fill="FFFFFF"/>
            <w:noWrap/>
            <w:vAlign w:val="bottom"/>
          </w:tcPr>
          <w:p w14:paraId="01D9E14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12</w:t>
            </w:r>
          </w:p>
        </w:tc>
        <w:tc>
          <w:tcPr>
            <w:tcW w:w="527" w:type="dxa"/>
            <w:gridSpan w:val="3"/>
            <w:tcBorders>
              <w:top w:val="nil"/>
              <w:left w:val="nil"/>
              <w:bottom w:val="nil"/>
              <w:right w:val="nil"/>
            </w:tcBorders>
            <w:shd w:val="clear" w:color="000000" w:fill="FFFFFF"/>
            <w:noWrap/>
            <w:vAlign w:val="bottom"/>
          </w:tcPr>
          <w:p w14:paraId="1EA4C95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14</w:t>
            </w:r>
          </w:p>
        </w:tc>
        <w:tc>
          <w:tcPr>
            <w:tcW w:w="629" w:type="dxa"/>
            <w:gridSpan w:val="3"/>
            <w:tcBorders>
              <w:top w:val="nil"/>
              <w:left w:val="nil"/>
              <w:bottom w:val="nil"/>
              <w:right w:val="nil"/>
            </w:tcBorders>
            <w:shd w:val="clear" w:color="000000" w:fill="FFFFFF"/>
            <w:noWrap/>
            <w:vAlign w:val="bottom"/>
          </w:tcPr>
          <w:p w14:paraId="32CE142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3.4</w:t>
            </w:r>
          </w:p>
        </w:tc>
        <w:tc>
          <w:tcPr>
            <w:tcW w:w="629" w:type="dxa"/>
            <w:gridSpan w:val="3"/>
            <w:tcBorders>
              <w:top w:val="nil"/>
              <w:left w:val="nil"/>
              <w:bottom w:val="nil"/>
              <w:right w:val="single" w:sz="4" w:space="0" w:color="auto"/>
            </w:tcBorders>
            <w:shd w:val="clear" w:color="000000" w:fill="FFFFFF"/>
            <w:noWrap/>
            <w:vAlign w:val="bottom"/>
          </w:tcPr>
          <w:p w14:paraId="26E840CA"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1.5</w:t>
            </w:r>
          </w:p>
        </w:tc>
      </w:tr>
      <w:tr w:rsidR="00B47497" w:rsidRPr="00B04106" w14:paraId="088152C5"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1E92FD5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Other</w:t>
            </w:r>
          </w:p>
        </w:tc>
        <w:tc>
          <w:tcPr>
            <w:tcW w:w="828" w:type="dxa"/>
            <w:tcBorders>
              <w:top w:val="nil"/>
              <w:left w:val="nil"/>
              <w:bottom w:val="nil"/>
              <w:right w:val="single" w:sz="4" w:space="0" w:color="auto"/>
            </w:tcBorders>
            <w:shd w:val="clear" w:color="000000" w:fill="FFFFFF"/>
            <w:noWrap/>
            <w:vAlign w:val="bottom"/>
          </w:tcPr>
          <w:p w14:paraId="080D440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19</w:t>
            </w:r>
          </w:p>
        </w:tc>
        <w:tc>
          <w:tcPr>
            <w:tcW w:w="620" w:type="dxa"/>
            <w:tcBorders>
              <w:top w:val="nil"/>
              <w:left w:val="nil"/>
              <w:bottom w:val="nil"/>
              <w:right w:val="nil"/>
            </w:tcBorders>
            <w:shd w:val="clear" w:color="000000" w:fill="FFFFFF"/>
            <w:noWrap/>
            <w:vAlign w:val="bottom"/>
          </w:tcPr>
          <w:p w14:paraId="7FF68E9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19</w:t>
            </w:r>
          </w:p>
        </w:tc>
        <w:tc>
          <w:tcPr>
            <w:tcW w:w="620" w:type="dxa"/>
            <w:tcBorders>
              <w:top w:val="nil"/>
              <w:left w:val="nil"/>
              <w:bottom w:val="nil"/>
              <w:right w:val="nil"/>
            </w:tcBorders>
            <w:shd w:val="clear" w:color="000000" w:fill="FFFFFF"/>
            <w:noWrap/>
            <w:vAlign w:val="bottom"/>
          </w:tcPr>
          <w:p w14:paraId="30C9017C"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17</w:t>
            </w:r>
          </w:p>
        </w:tc>
        <w:tc>
          <w:tcPr>
            <w:tcW w:w="630" w:type="dxa"/>
            <w:tcBorders>
              <w:top w:val="nil"/>
              <w:left w:val="single" w:sz="4" w:space="0" w:color="auto"/>
              <w:bottom w:val="nil"/>
              <w:right w:val="nil"/>
            </w:tcBorders>
            <w:shd w:val="clear" w:color="000000" w:fill="FFFFFF"/>
            <w:noWrap/>
            <w:vAlign w:val="bottom"/>
          </w:tcPr>
          <w:p w14:paraId="2A4AC89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3.2</w:t>
            </w:r>
          </w:p>
        </w:tc>
        <w:tc>
          <w:tcPr>
            <w:tcW w:w="630" w:type="dxa"/>
            <w:tcBorders>
              <w:top w:val="nil"/>
              <w:left w:val="nil"/>
              <w:bottom w:val="nil"/>
              <w:right w:val="nil"/>
            </w:tcBorders>
            <w:shd w:val="clear" w:color="000000" w:fill="FFFFFF"/>
            <w:noWrap/>
            <w:vAlign w:val="bottom"/>
          </w:tcPr>
          <w:p w14:paraId="11FE1AD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3.6</w:t>
            </w:r>
          </w:p>
        </w:tc>
        <w:tc>
          <w:tcPr>
            <w:tcW w:w="515" w:type="dxa"/>
            <w:tcBorders>
              <w:top w:val="nil"/>
              <w:left w:val="single" w:sz="4" w:space="0" w:color="auto"/>
              <w:bottom w:val="nil"/>
              <w:right w:val="nil"/>
            </w:tcBorders>
            <w:shd w:val="clear" w:color="000000" w:fill="FFFFFF"/>
            <w:noWrap/>
            <w:vAlign w:val="bottom"/>
          </w:tcPr>
          <w:p w14:paraId="5C5805E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50</w:t>
            </w:r>
          </w:p>
        </w:tc>
        <w:tc>
          <w:tcPr>
            <w:tcW w:w="515" w:type="dxa"/>
            <w:tcBorders>
              <w:top w:val="nil"/>
              <w:left w:val="nil"/>
              <w:bottom w:val="nil"/>
              <w:right w:val="nil"/>
            </w:tcBorders>
            <w:shd w:val="clear" w:color="000000" w:fill="FFFFFF"/>
            <w:noWrap/>
            <w:vAlign w:val="bottom"/>
          </w:tcPr>
          <w:p w14:paraId="37E7C61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43</w:t>
            </w:r>
          </w:p>
        </w:tc>
        <w:tc>
          <w:tcPr>
            <w:tcW w:w="515" w:type="dxa"/>
            <w:tcBorders>
              <w:top w:val="nil"/>
              <w:left w:val="nil"/>
              <w:bottom w:val="nil"/>
              <w:right w:val="nil"/>
            </w:tcBorders>
            <w:shd w:val="clear" w:color="000000" w:fill="FFFFFF"/>
            <w:noWrap/>
            <w:vAlign w:val="bottom"/>
          </w:tcPr>
          <w:p w14:paraId="51A813C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11</w:t>
            </w:r>
          </w:p>
        </w:tc>
        <w:tc>
          <w:tcPr>
            <w:tcW w:w="515" w:type="dxa"/>
            <w:tcBorders>
              <w:top w:val="nil"/>
              <w:left w:val="nil"/>
              <w:bottom w:val="nil"/>
              <w:right w:val="single" w:sz="4" w:space="0" w:color="auto"/>
            </w:tcBorders>
            <w:shd w:val="clear" w:color="000000" w:fill="FFFFFF"/>
            <w:noWrap/>
            <w:vAlign w:val="bottom"/>
          </w:tcPr>
          <w:p w14:paraId="380BEA46"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22</w:t>
            </w:r>
          </w:p>
        </w:tc>
        <w:tc>
          <w:tcPr>
            <w:tcW w:w="515" w:type="dxa"/>
            <w:tcBorders>
              <w:top w:val="nil"/>
              <w:left w:val="nil"/>
              <w:bottom w:val="nil"/>
              <w:right w:val="nil"/>
            </w:tcBorders>
            <w:shd w:val="clear" w:color="000000" w:fill="FFFFFF"/>
            <w:noWrap/>
            <w:vAlign w:val="bottom"/>
          </w:tcPr>
          <w:p w14:paraId="3C275A9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28</w:t>
            </w:r>
          </w:p>
        </w:tc>
        <w:tc>
          <w:tcPr>
            <w:tcW w:w="577" w:type="dxa"/>
            <w:gridSpan w:val="3"/>
            <w:tcBorders>
              <w:top w:val="nil"/>
              <w:left w:val="nil"/>
              <w:bottom w:val="nil"/>
              <w:right w:val="single" w:sz="4" w:space="0" w:color="auto"/>
            </w:tcBorders>
            <w:shd w:val="clear" w:color="000000" w:fill="FFFFFF"/>
            <w:noWrap/>
            <w:vAlign w:val="bottom"/>
          </w:tcPr>
          <w:p w14:paraId="4CCC3B6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27</w:t>
            </w:r>
          </w:p>
        </w:tc>
        <w:tc>
          <w:tcPr>
            <w:tcW w:w="709" w:type="dxa"/>
            <w:gridSpan w:val="2"/>
            <w:tcBorders>
              <w:top w:val="nil"/>
              <w:left w:val="nil"/>
              <w:bottom w:val="nil"/>
              <w:right w:val="nil"/>
            </w:tcBorders>
            <w:shd w:val="clear" w:color="000000" w:fill="FFFFFF"/>
            <w:noWrap/>
            <w:vAlign w:val="bottom"/>
          </w:tcPr>
          <w:p w14:paraId="5210071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21</w:t>
            </w:r>
          </w:p>
        </w:tc>
        <w:tc>
          <w:tcPr>
            <w:tcW w:w="527" w:type="dxa"/>
            <w:gridSpan w:val="3"/>
            <w:tcBorders>
              <w:top w:val="nil"/>
              <w:left w:val="nil"/>
              <w:bottom w:val="nil"/>
              <w:right w:val="nil"/>
            </w:tcBorders>
            <w:shd w:val="clear" w:color="000000" w:fill="FFFFFF"/>
            <w:noWrap/>
            <w:vAlign w:val="bottom"/>
          </w:tcPr>
          <w:p w14:paraId="4BEC859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c>
          <w:tcPr>
            <w:tcW w:w="629" w:type="dxa"/>
            <w:gridSpan w:val="3"/>
            <w:tcBorders>
              <w:top w:val="nil"/>
              <w:left w:val="nil"/>
              <w:bottom w:val="nil"/>
              <w:right w:val="nil"/>
            </w:tcBorders>
            <w:shd w:val="clear" w:color="000000" w:fill="FFFFFF"/>
            <w:noWrap/>
            <w:vAlign w:val="bottom"/>
          </w:tcPr>
          <w:p w14:paraId="4BCE17A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2.8</w:t>
            </w:r>
          </w:p>
        </w:tc>
        <w:tc>
          <w:tcPr>
            <w:tcW w:w="629" w:type="dxa"/>
            <w:gridSpan w:val="3"/>
            <w:tcBorders>
              <w:top w:val="nil"/>
              <w:left w:val="nil"/>
              <w:bottom w:val="nil"/>
              <w:right w:val="single" w:sz="4" w:space="0" w:color="auto"/>
            </w:tcBorders>
            <w:shd w:val="clear" w:color="000000" w:fill="FFFFFF"/>
            <w:noWrap/>
            <w:vAlign w:val="bottom"/>
          </w:tcPr>
          <w:p w14:paraId="3C6EFA3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1.5</w:t>
            </w:r>
          </w:p>
        </w:tc>
      </w:tr>
      <w:tr w:rsidR="00B47497" w:rsidRPr="00B04106" w14:paraId="3F98989A"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6450F3A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Next</w:t>
            </w:r>
          </w:p>
        </w:tc>
        <w:tc>
          <w:tcPr>
            <w:tcW w:w="828" w:type="dxa"/>
            <w:tcBorders>
              <w:top w:val="nil"/>
              <w:left w:val="nil"/>
              <w:bottom w:val="nil"/>
              <w:right w:val="single" w:sz="4" w:space="0" w:color="auto"/>
            </w:tcBorders>
            <w:shd w:val="clear" w:color="000000" w:fill="FFFFFF"/>
            <w:noWrap/>
            <w:vAlign w:val="bottom"/>
          </w:tcPr>
          <w:p w14:paraId="10A1492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15</w:t>
            </w:r>
          </w:p>
        </w:tc>
        <w:tc>
          <w:tcPr>
            <w:tcW w:w="620" w:type="dxa"/>
            <w:tcBorders>
              <w:top w:val="nil"/>
              <w:left w:val="nil"/>
              <w:bottom w:val="nil"/>
              <w:right w:val="nil"/>
            </w:tcBorders>
            <w:shd w:val="clear" w:color="000000" w:fill="FFFFFF"/>
            <w:noWrap/>
            <w:vAlign w:val="bottom"/>
          </w:tcPr>
          <w:p w14:paraId="168143E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14</w:t>
            </w:r>
          </w:p>
        </w:tc>
        <w:tc>
          <w:tcPr>
            <w:tcW w:w="620" w:type="dxa"/>
            <w:tcBorders>
              <w:top w:val="nil"/>
              <w:left w:val="nil"/>
              <w:bottom w:val="nil"/>
              <w:right w:val="nil"/>
            </w:tcBorders>
            <w:shd w:val="clear" w:color="000000" w:fill="FFFFFF"/>
            <w:noWrap/>
            <w:vAlign w:val="bottom"/>
          </w:tcPr>
          <w:p w14:paraId="7817A93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14</w:t>
            </w:r>
          </w:p>
        </w:tc>
        <w:tc>
          <w:tcPr>
            <w:tcW w:w="630" w:type="dxa"/>
            <w:tcBorders>
              <w:top w:val="nil"/>
              <w:left w:val="single" w:sz="4" w:space="0" w:color="auto"/>
              <w:bottom w:val="nil"/>
              <w:right w:val="nil"/>
            </w:tcBorders>
            <w:shd w:val="clear" w:color="000000" w:fill="FFFFFF"/>
            <w:noWrap/>
            <w:vAlign w:val="bottom"/>
          </w:tcPr>
          <w:p w14:paraId="3EC4C10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3.5</w:t>
            </w:r>
          </w:p>
        </w:tc>
        <w:tc>
          <w:tcPr>
            <w:tcW w:w="630" w:type="dxa"/>
            <w:tcBorders>
              <w:top w:val="nil"/>
              <w:left w:val="nil"/>
              <w:bottom w:val="nil"/>
              <w:right w:val="nil"/>
            </w:tcBorders>
            <w:shd w:val="clear" w:color="000000" w:fill="FFFFFF"/>
            <w:noWrap/>
            <w:vAlign w:val="bottom"/>
          </w:tcPr>
          <w:p w14:paraId="1D2E468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3.4</w:t>
            </w:r>
          </w:p>
        </w:tc>
        <w:tc>
          <w:tcPr>
            <w:tcW w:w="515" w:type="dxa"/>
            <w:tcBorders>
              <w:top w:val="nil"/>
              <w:left w:val="single" w:sz="4" w:space="0" w:color="auto"/>
              <w:bottom w:val="nil"/>
              <w:right w:val="nil"/>
            </w:tcBorders>
            <w:shd w:val="clear" w:color="000000" w:fill="FFFFFF"/>
            <w:noWrap/>
            <w:vAlign w:val="bottom"/>
          </w:tcPr>
          <w:p w14:paraId="1354246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50</w:t>
            </w:r>
          </w:p>
        </w:tc>
        <w:tc>
          <w:tcPr>
            <w:tcW w:w="515" w:type="dxa"/>
            <w:tcBorders>
              <w:top w:val="nil"/>
              <w:left w:val="nil"/>
              <w:bottom w:val="nil"/>
              <w:right w:val="nil"/>
            </w:tcBorders>
            <w:shd w:val="clear" w:color="000000" w:fill="FFFFFF"/>
            <w:noWrap/>
            <w:vAlign w:val="bottom"/>
          </w:tcPr>
          <w:p w14:paraId="1E052CD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45</w:t>
            </w:r>
          </w:p>
        </w:tc>
        <w:tc>
          <w:tcPr>
            <w:tcW w:w="515" w:type="dxa"/>
            <w:tcBorders>
              <w:top w:val="nil"/>
              <w:left w:val="nil"/>
              <w:bottom w:val="nil"/>
              <w:right w:val="nil"/>
            </w:tcBorders>
            <w:shd w:val="clear" w:color="000000" w:fill="FFFFFF"/>
            <w:noWrap/>
            <w:vAlign w:val="bottom"/>
          </w:tcPr>
          <w:p w14:paraId="4796923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11</w:t>
            </w:r>
          </w:p>
        </w:tc>
        <w:tc>
          <w:tcPr>
            <w:tcW w:w="515" w:type="dxa"/>
            <w:tcBorders>
              <w:top w:val="nil"/>
              <w:left w:val="nil"/>
              <w:bottom w:val="nil"/>
              <w:right w:val="single" w:sz="4" w:space="0" w:color="auto"/>
            </w:tcBorders>
            <w:shd w:val="clear" w:color="000000" w:fill="FFFFFF"/>
            <w:noWrap/>
            <w:vAlign w:val="bottom"/>
          </w:tcPr>
          <w:p w14:paraId="76734A5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20</w:t>
            </w:r>
          </w:p>
        </w:tc>
        <w:tc>
          <w:tcPr>
            <w:tcW w:w="515" w:type="dxa"/>
            <w:tcBorders>
              <w:top w:val="nil"/>
              <w:left w:val="nil"/>
              <w:bottom w:val="nil"/>
              <w:right w:val="nil"/>
            </w:tcBorders>
            <w:shd w:val="clear" w:color="000000" w:fill="FFFFFF"/>
            <w:noWrap/>
            <w:vAlign w:val="bottom"/>
          </w:tcPr>
          <w:p w14:paraId="3FF73AE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32</w:t>
            </w:r>
          </w:p>
        </w:tc>
        <w:tc>
          <w:tcPr>
            <w:tcW w:w="577" w:type="dxa"/>
            <w:gridSpan w:val="3"/>
            <w:tcBorders>
              <w:top w:val="nil"/>
              <w:left w:val="nil"/>
              <w:bottom w:val="nil"/>
              <w:right w:val="single" w:sz="4" w:space="0" w:color="auto"/>
            </w:tcBorders>
            <w:shd w:val="clear" w:color="000000" w:fill="FFFFFF"/>
            <w:noWrap/>
            <w:vAlign w:val="bottom"/>
          </w:tcPr>
          <w:p w14:paraId="0A9B875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25</w:t>
            </w:r>
          </w:p>
        </w:tc>
        <w:tc>
          <w:tcPr>
            <w:tcW w:w="709" w:type="dxa"/>
            <w:gridSpan w:val="2"/>
            <w:tcBorders>
              <w:top w:val="nil"/>
              <w:left w:val="nil"/>
              <w:bottom w:val="nil"/>
              <w:right w:val="nil"/>
            </w:tcBorders>
            <w:shd w:val="clear" w:color="000000" w:fill="FFFFFF"/>
            <w:noWrap/>
            <w:vAlign w:val="bottom"/>
          </w:tcPr>
          <w:p w14:paraId="0BA4AD4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18</w:t>
            </w:r>
          </w:p>
        </w:tc>
        <w:tc>
          <w:tcPr>
            <w:tcW w:w="527" w:type="dxa"/>
            <w:gridSpan w:val="3"/>
            <w:tcBorders>
              <w:top w:val="nil"/>
              <w:left w:val="nil"/>
              <w:bottom w:val="nil"/>
              <w:right w:val="nil"/>
            </w:tcBorders>
            <w:shd w:val="clear" w:color="000000" w:fill="FFFFFF"/>
            <w:noWrap/>
            <w:vAlign w:val="bottom"/>
          </w:tcPr>
          <w:p w14:paraId="4798B3B1"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12</w:t>
            </w:r>
          </w:p>
        </w:tc>
        <w:tc>
          <w:tcPr>
            <w:tcW w:w="629" w:type="dxa"/>
            <w:gridSpan w:val="3"/>
            <w:tcBorders>
              <w:top w:val="nil"/>
              <w:left w:val="nil"/>
              <w:bottom w:val="nil"/>
              <w:right w:val="nil"/>
            </w:tcBorders>
            <w:shd w:val="clear" w:color="000000" w:fill="FFFFFF"/>
            <w:noWrap/>
            <w:vAlign w:val="bottom"/>
          </w:tcPr>
          <w:p w14:paraId="483275E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3.2</w:t>
            </w:r>
          </w:p>
        </w:tc>
        <w:tc>
          <w:tcPr>
            <w:tcW w:w="629" w:type="dxa"/>
            <w:gridSpan w:val="3"/>
            <w:tcBorders>
              <w:top w:val="nil"/>
              <w:left w:val="nil"/>
              <w:bottom w:val="nil"/>
              <w:right w:val="single" w:sz="4" w:space="0" w:color="auto"/>
            </w:tcBorders>
            <w:shd w:val="clear" w:color="000000" w:fill="FFFFFF"/>
            <w:noWrap/>
            <w:vAlign w:val="bottom"/>
          </w:tcPr>
          <w:p w14:paraId="52E1E846"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1.4</w:t>
            </w:r>
          </w:p>
        </w:tc>
      </w:tr>
      <w:tr w:rsidR="00B47497" w:rsidRPr="00B04106" w14:paraId="6ABEC038"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5C23173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w:t>
            </w:r>
            <w:proofErr w:type="spellStart"/>
            <w:r w:rsidRPr="00AE16D2">
              <w:rPr>
                <w:rFonts w:ascii="Arial" w:eastAsia="Times New Roman" w:hAnsi="Arial" w:cs="Arial"/>
                <w:sz w:val="20"/>
                <w:szCs w:val="20"/>
                <w:lang w:eastAsia="en-US"/>
              </w:rPr>
              <w:t>Hennes</w:t>
            </w:r>
            <w:proofErr w:type="spellEnd"/>
            <w:r w:rsidRPr="00AE16D2">
              <w:rPr>
                <w:rFonts w:ascii="Arial" w:eastAsia="Times New Roman" w:hAnsi="Arial" w:cs="Arial"/>
                <w:sz w:val="20"/>
                <w:szCs w:val="20"/>
                <w:lang w:eastAsia="en-US"/>
              </w:rPr>
              <w:t>/H&amp;M</w:t>
            </w:r>
          </w:p>
        </w:tc>
        <w:tc>
          <w:tcPr>
            <w:tcW w:w="828" w:type="dxa"/>
            <w:tcBorders>
              <w:top w:val="nil"/>
              <w:left w:val="nil"/>
              <w:bottom w:val="nil"/>
              <w:right w:val="single" w:sz="4" w:space="0" w:color="auto"/>
            </w:tcBorders>
            <w:shd w:val="clear" w:color="000000" w:fill="FFFFFF"/>
            <w:noWrap/>
            <w:vAlign w:val="bottom"/>
          </w:tcPr>
          <w:p w14:paraId="493FBAC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11</w:t>
            </w:r>
          </w:p>
        </w:tc>
        <w:tc>
          <w:tcPr>
            <w:tcW w:w="620" w:type="dxa"/>
            <w:tcBorders>
              <w:top w:val="nil"/>
              <w:left w:val="nil"/>
              <w:bottom w:val="nil"/>
              <w:right w:val="nil"/>
            </w:tcBorders>
            <w:shd w:val="clear" w:color="000000" w:fill="FFFFFF"/>
            <w:noWrap/>
            <w:vAlign w:val="bottom"/>
          </w:tcPr>
          <w:p w14:paraId="2CED5DE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9</w:t>
            </w:r>
          </w:p>
        </w:tc>
        <w:tc>
          <w:tcPr>
            <w:tcW w:w="620" w:type="dxa"/>
            <w:tcBorders>
              <w:top w:val="nil"/>
              <w:left w:val="nil"/>
              <w:bottom w:val="nil"/>
              <w:right w:val="nil"/>
            </w:tcBorders>
            <w:shd w:val="clear" w:color="000000" w:fill="FFFFFF"/>
            <w:noWrap/>
            <w:vAlign w:val="bottom"/>
          </w:tcPr>
          <w:p w14:paraId="29383931"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12</w:t>
            </w:r>
          </w:p>
        </w:tc>
        <w:tc>
          <w:tcPr>
            <w:tcW w:w="630" w:type="dxa"/>
            <w:tcBorders>
              <w:top w:val="nil"/>
              <w:left w:val="single" w:sz="4" w:space="0" w:color="auto"/>
              <w:bottom w:val="nil"/>
              <w:right w:val="nil"/>
            </w:tcBorders>
            <w:shd w:val="clear" w:color="000000" w:fill="FFFFFF"/>
            <w:noWrap/>
            <w:vAlign w:val="bottom"/>
          </w:tcPr>
          <w:p w14:paraId="6CF6D13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4.0</w:t>
            </w:r>
          </w:p>
        </w:tc>
        <w:tc>
          <w:tcPr>
            <w:tcW w:w="630" w:type="dxa"/>
            <w:tcBorders>
              <w:top w:val="nil"/>
              <w:left w:val="nil"/>
              <w:bottom w:val="nil"/>
              <w:right w:val="nil"/>
            </w:tcBorders>
            <w:shd w:val="clear" w:color="000000" w:fill="FFFFFF"/>
            <w:noWrap/>
            <w:vAlign w:val="bottom"/>
          </w:tcPr>
          <w:p w14:paraId="53C4D83C"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3.2</w:t>
            </w:r>
          </w:p>
        </w:tc>
        <w:tc>
          <w:tcPr>
            <w:tcW w:w="515" w:type="dxa"/>
            <w:tcBorders>
              <w:top w:val="nil"/>
              <w:left w:val="single" w:sz="4" w:space="0" w:color="auto"/>
              <w:bottom w:val="nil"/>
              <w:right w:val="nil"/>
            </w:tcBorders>
            <w:shd w:val="clear" w:color="000000" w:fill="FFFFFF"/>
            <w:noWrap/>
            <w:vAlign w:val="bottom"/>
          </w:tcPr>
          <w:p w14:paraId="41A86AE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47</w:t>
            </w:r>
          </w:p>
        </w:tc>
        <w:tc>
          <w:tcPr>
            <w:tcW w:w="515" w:type="dxa"/>
            <w:tcBorders>
              <w:top w:val="nil"/>
              <w:left w:val="nil"/>
              <w:bottom w:val="nil"/>
              <w:right w:val="nil"/>
            </w:tcBorders>
            <w:shd w:val="clear" w:color="000000" w:fill="FFFFFF"/>
            <w:noWrap/>
            <w:vAlign w:val="bottom"/>
          </w:tcPr>
          <w:p w14:paraId="751A42C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48</w:t>
            </w:r>
          </w:p>
        </w:tc>
        <w:tc>
          <w:tcPr>
            <w:tcW w:w="515" w:type="dxa"/>
            <w:tcBorders>
              <w:top w:val="nil"/>
              <w:left w:val="nil"/>
              <w:bottom w:val="nil"/>
              <w:right w:val="nil"/>
            </w:tcBorders>
            <w:shd w:val="clear" w:color="000000" w:fill="FFFFFF"/>
            <w:noWrap/>
            <w:vAlign w:val="bottom"/>
          </w:tcPr>
          <w:p w14:paraId="0B81FB0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13</w:t>
            </w:r>
          </w:p>
        </w:tc>
        <w:tc>
          <w:tcPr>
            <w:tcW w:w="515" w:type="dxa"/>
            <w:tcBorders>
              <w:top w:val="nil"/>
              <w:left w:val="nil"/>
              <w:bottom w:val="nil"/>
              <w:right w:val="single" w:sz="4" w:space="0" w:color="auto"/>
            </w:tcBorders>
            <w:shd w:val="clear" w:color="000000" w:fill="FFFFFF"/>
            <w:noWrap/>
            <w:vAlign w:val="bottom"/>
          </w:tcPr>
          <w:p w14:paraId="14892BA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18</w:t>
            </w:r>
          </w:p>
        </w:tc>
        <w:tc>
          <w:tcPr>
            <w:tcW w:w="515" w:type="dxa"/>
            <w:tcBorders>
              <w:top w:val="nil"/>
              <w:left w:val="nil"/>
              <w:bottom w:val="nil"/>
              <w:right w:val="nil"/>
            </w:tcBorders>
            <w:shd w:val="clear" w:color="000000" w:fill="FFFFFF"/>
            <w:noWrap/>
            <w:vAlign w:val="bottom"/>
          </w:tcPr>
          <w:p w14:paraId="6D5D01F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26</w:t>
            </w:r>
          </w:p>
        </w:tc>
        <w:tc>
          <w:tcPr>
            <w:tcW w:w="577" w:type="dxa"/>
            <w:gridSpan w:val="3"/>
            <w:tcBorders>
              <w:top w:val="nil"/>
              <w:left w:val="nil"/>
              <w:bottom w:val="nil"/>
              <w:right w:val="single" w:sz="4" w:space="0" w:color="auto"/>
            </w:tcBorders>
            <w:shd w:val="clear" w:color="000000" w:fill="FFFFFF"/>
            <w:noWrap/>
            <w:vAlign w:val="bottom"/>
          </w:tcPr>
          <w:p w14:paraId="2420EEBE"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22</w:t>
            </w:r>
          </w:p>
        </w:tc>
        <w:tc>
          <w:tcPr>
            <w:tcW w:w="709" w:type="dxa"/>
            <w:gridSpan w:val="2"/>
            <w:tcBorders>
              <w:top w:val="nil"/>
              <w:left w:val="nil"/>
              <w:bottom w:val="nil"/>
              <w:right w:val="nil"/>
            </w:tcBorders>
            <w:shd w:val="clear" w:color="000000" w:fill="FFFFFF"/>
            <w:noWrap/>
            <w:vAlign w:val="bottom"/>
          </w:tcPr>
          <w:p w14:paraId="1E73C7A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w:t>
            </w:r>
          </w:p>
        </w:tc>
        <w:tc>
          <w:tcPr>
            <w:tcW w:w="527" w:type="dxa"/>
            <w:gridSpan w:val="3"/>
            <w:tcBorders>
              <w:top w:val="nil"/>
              <w:left w:val="nil"/>
              <w:bottom w:val="nil"/>
              <w:right w:val="nil"/>
            </w:tcBorders>
            <w:shd w:val="clear" w:color="000000" w:fill="FFFFFF"/>
            <w:noWrap/>
            <w:vAlign w:val="bottom"/>
          </w:tcPr>
          <w:p w14:paraId="5ABF9A06"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11</w:t>
            </w:r>
          </w:p>
        </w:tc>
        <w:tc>
          <w:tcPr>
            <w:tcW w:w="629" w:type="dxa"/>
            <w:gridSpan w:val="3"/>
            <w:tcBorders>
              <w:top w:val="nil"/>
              <w:left w:val="nil"/>
              <w:bottom w:val="nil"/>
              <w:right w:val="nil"/>
            </w:tcBorders>
            <w:shd w:val="clear" w:color="000000" w:fill="FFFFFF"/>
            <w:noWrap/>
            <w:vAlign w:val="bottom"/>
          </w:tcPr>
          <w:p w14:paraId="0384CD2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1.8</w:t>
            </w:r>
          </w:p>
        </w:tc>
        <w:tc>
          <w:tcPr>
            <w:tcW w:w="629" w:type="dxa"/>
            <w:gridSpan w:val="3"/>
            <w:tcBorders>
              <w:top w:val="nil"/>
              <w:left w:val="nil"/>
              <w:bottom w:val="nil"/>
              <w:right w:val="single" w:sz="4" w:space="0" w:color="auto"/>
            </w:tcBorders>
            <w:shd w:val="clear" w:color="000000" w:fill="FFFFFF"/>
            <w:noWrap/>
            <w:vAlign w:val="bottom"/>
          </w:tcPr>
          <w:p w14:paraId="18BECCA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1.4</w:t>
            </w:r>
          </w:p>
        </w:tc>
      </w:tr>
      <w:tr w:rsidR="00B47497" w:rsidRPr="00B04106" w14:paraId="6B02FC39"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32E1071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Dorothy Perkins</w:t>
            </w:r>
          </w:p>
        </w:tc>
        <w:tc>
          <w:tcPr>
            <w:tcW w:w="828" w:type="dxa"/>
            <w:tcBorders>
              <w:top w:val="nil"/>
              <w:left w:val="nil"/>
              <w:bottom w:val="nil"/>
              <w:right w:val="single" w:sz="4" w:space="0" w:color="auto"/>
            </w:tcBorders>
            <w:shd w:val="clear" w:color="000000" w:fill="FFFFFF"/>
            <w:noWrap/>
            <w:vAlign w:val="bottom"/>
          </w:tcPr>
          <w:p w14:paraId="7DDA335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9</w:t>
            </w:r>
          </w:p>
        </w:tc>
        <w:tc>
          <w:tcPr>
            <w:tcW w:w="620" w:type="dxa"/>
            <w:tcBorders>
              <w:top w:val="nil"/>
              <w:left w:val="nil"/>
              <w:bottom w:val="nil"/>
              <w:right w:val="nil"/>
            </w:tcBorders>
            <w:shd w:val="clear" w:color="000000" w:fill="FFFFFF"/>
            <w:noWrap/>
            <w:vAlign w:val="bottom"/>
          </w:tcPr>
          <w:p w14:paraId="36F10BC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9</w:t>
            </w:r>
          </w:p>
        </w:tc>
        <w:tc>
          <w:tcPr>
            <w:tcW w:w="620" w:type="dxa"/>
            <w:tcBorders>
              <w:top w:val="nil"/>
              <w:left w:val="nil"/>
              <w:bottom w:val="nil"/>
              <w:right w:val="nil"/>
            </w:tcBorders>
            <w:shd w:val="clear" w:color="000000" w:fill="FFFFFF"/>
            <w:noWrap/>
            <w:vAlign w:val="bottom"/>
          </w:tcPr>
          <w:p w14:paraId="585D32A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9</w:t>
            </w:r>
          </w:p>
        </w:tc>
        <w:tc>
          <w:tcPr>
            <w:tcW w:w="630" w:type="dxa"/>
            <w:tcBorders>
              <w:top w:val="nil"/>
              <w:left w:val="single" w:sz="4" w:space="0" w:color="auto"/>
              <w:bottom w:val="nil"/>
              <w:right w:val="nil"/>
            </w:tcBorders>
            <w:shd w:val="clear" w:color="000000" w:fill="FFFFFF"/>
            <w:noWrap/>
            <w:vAlign w:val="bottom"/>
          </w:tcPr>
          <w:p w14:paraId="0A6CD8F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3.0</w:t>
            </w:r>
          </w:p>
        </w:tc>
        <w:tc>
          <w:tcPr>
            <w:tcW w:w="630" w:type="dxa"/>
            <w:tcBorders>
              <w:top w:val="nil"/>
              <w:left w:val="nil"/>
              <w:bottom w:val="nil"/>
              <w:right w:val="nil"/>
            </w:tcBorders>
            <w:shd w:val="clear" w:color="000000" w:fill="FFFFFF"/>
            <w:noWrap/>
            <w:vAlign w:val="bottom"/>
          </w:tcPr>
          <w:p w14:paraId="0CCCE46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3.0</w:t>
            </w:r>
          </w:p>
        </w:tc>
        <w:tc>
          <w:tcPr>
            <w:tcW w:w="515" w:type="dxa"/>
            <w:tcBorders>
              <w:top w:val="nil"/>
              <w:left w:val="single" w:sz="4" w:space="0" w:color="auto"/>
              <w:bottom w:val="nil"/>
              <w:right w:val="nil"/>
            </w:tcBorders>
            <w:shd w:val="clear" w:color="000000" w:fill="FFFFFF"/>
            <w:noWrap/>
            <w:vAlign w:val="bottom"/>
          </w:tcPr>
          <w:p w14:paraId="2B625D3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56</w:t>
            </w:r>
          </w:p>
        </w:tc>
        <w:tc>
          <w:tcPr>
            <w:tcW w:w="515" w:type="dxa"/>
            <w:tcBorders>
              <w:top w:val="nil"/>
              <w:left w:val="nil"/>
              <w:bottom w:val="nil"/>
              <w:right w:val="nil"/>
            </w:tcBorders>
            <w:shd w:val="clear" w:color="000000" w:fill="FFFFFF"/>
            <w:noWrap/>
            <w:vAlign w:val="bottom"/>
          </w:tcPr>
          <w:p w14:paraId="779EEA1C"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50</w:t>
            </w:r>
          </w:p>
        </w:tc>
        <w:tc>
          <w:tcPr>
            <w:tcW w:w="515" w:type="dxa"/>
            <w:tcBorders>
              <w:top w:val="nil"/>
              <w:left w:val="nil"/>
              <w:bottom w:val="nil"/>
              <w:right w:val="nil"/>
            </w:tcBorders>
            <w:shd w:val="clear" w:color="000000" w:fill="FFFFFF"/>
            <w:noWrap/>
            <w:vAlign w:val="bottom"/>
          </w:tcPr>
          <w:p w14:paraId="268819E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w:t>
            </w:r>
          </w:p>
        </w:tc>
        <w:tc>
          <w:tcPr>
            <w:tcW w:w="515" w:type="dxa"/>
            <w:tcBorders>
              <w:top w:val="nil"/>
              <w:left w:val="nil"/>
              <w:bottom w:val="nil"/>
              <w:right w:val="single" w:sz="4" w:space="0" w:color="auto"/>
            </w:tcBorders>
            <w:shd w:val="clear" w:color="000000" w:fill="FFFFFF"/>
            <w:noWrap/>
            <w:vAlign w:val="bottom"/>
          </w:tcPr>
          <w:p w14:paraId="4E57665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16</w:t>
            </w:r>
          </w:p>
        </w:tc>
        <w:tc>
          <w:tcPr>
            <w:tcW w:w="515" w:type="dxa"/>
            <w:tcBorders>
              <w:top w:val="nil"/>
              <w:left w:val="nil"/>
              <w:bottom w:val="nil"/>
              <w:right w:val="nil"/>
            </w:tcBorders>
            <w:shd w:val="clear" w:color="000000" w:fill="FFFFFF"/>
            <w:noWrap/>
            <w:vAlign w:val="bottom"/>
          </w:tcPr>
          <w:p w14:paraId="09FE489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21</w:t>
            </w:r>
          </w:p>
        </w:tc>
        <w:tc>
          <w:tcPr>
            <w:tcW w:w="577" w:type="dxa"/>
            <w:gridSpan w:val="3"/>
            <w:tcBorders>
              <w:top w:val="nil"/>
              <w:left w:val="nil"/>
              <w:bottom w:val="nil"/>
              <w:right w:val="single" w:sz="4" w:space="0" w:color="auto"/>
            </w:tcBorders>
            <w:shd w:val="clear" w:color="000000" w:fill="FFFFFF"/>
            <w:noWrap/>
            <w:vAlign w:val="bottom"/>
          </w:tcPr>
          <w:p w14:paraId="7B337DA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20</w:t>
            </w:r>
          </w:p>
        </w:tc>
        <w:tc>
          <w:tcPr>
            <w:tcW w:w="709" w:type="dxa"/>
            <w:gridSpan w:val="2"/>
            <w:tcBorders>
              <w:top w:val="nil"/>
              <w:left w:val="nil"/>
              <w:bottom w:val="nil"/>
              <w:right w:val="nil"/>
            </w:tcBorders>
            <w:shd w:val="clear" w:color="000000" w:fill="FFFFFF"/>
            <w:noWrap/>
            <w:vAlign w:val="bottom"/>
          </w:tcPr>
          <w:p w14:paraId="0169583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9</w:t>
            </w:r>
          </w:p>
        </w:tc>
        <w:tc>
          <w:tcPr>
            <w:tcW w:w="527" w:type="dxa"/>
            <w:gridSpan w:val="3"/>
            <w:tcBorders>
              <w:top w:val="nil"/>
              <w:left w:val="nil"/>
              <w:bottom w:val="nil"/>
              <w:right w:val="nil"/>
            </w:tcBorders>
            <w:shd w:val="clear" w:color="000000" w:fill="FFFFFF"/>
            <w:noWrap/>
            <w:vAlign w:val="bottom"/>
          </w:tcPr>
          <w:p w14:paraId="416A5EA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10</w:t>
            </w:r>
          </w:p>
        </w:tc>
        <w:tc>
          <w:tcPr>
            <w:tcW w:w="629" w:type="dxa"/>
            <w:gridSpan w:val="3"/>
            <w:tcBorders>
              <w:top w:val="nil"/>
              <w:left w:val="nil"/>
              <w:bottom w:val="nil"/>
              <w:right w:val="nil"/>
            </w:tcBorders>
            <w:shd w:val="clear" w:color="000000" w:fill="FFFFFF"/>
            <w:noWrap/>
            <w:vAlign w:val="bottom"/>
          </w:tcPr>
          <w:p w14:paraId="28BDB4E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2.7</w:t>
            </w:r>
          </w:p>
        </w:tc>
        <w:tc>
          <w:tcPr>
            <w:tcW w:w="629" w:type="dxa"/>
            <w:gridSpan w:val="3"/>
            <w:tcBorders>
              <w:top w:val="nil"/>
              <w:left w:val="nil"/>
              <w:bottom w:val="nil"/>
              <w:right w:val="single" w:sz="4" w:space="0" w:color="auto"/>
            </w:tcBorders>
            <w:shd w:val="clear" w:color="000000" w:fill="FFFFFF"/>
            <w:noWrap/>
            <w:vAlign w:val="bottom"/>
          </w:tcPr>
          <w:p w14:paraId="10D23334"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3FE14656"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6C93089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Top Shop</w:t>
            </w:r>
          </w:p>
        </w:tc>
        <w:tc>
          <w:tcPr>
            <w:tcW w:w="828" w:type="dxa"/>
            <w:tcBorders>
              <w:top w:val="nil"/>
              <w:left w:val="nil"/>
              <w:bottom w:val="nil"/>
              <w:right w:val="single" w:sz="4" w:space="0" w:color="auto"/>
            </w:tcBorders>
            <w:shd w:val="clear" w:color="000000" w:fill="FFFFFF"/>
            <w:noWrap/>
            <w:vAlign w:val="bottom"/>
          </w:tcPr>
          <w:p w14:paraId="5FBDB30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w:t>
            </w:r>
          </w:p>
        </w:tc>
        <w:tc>
          <w:tcPr>
            <w:tcW w:w="620" w:type="dxa"/>
            <w:tcBorders>
              <w:top w:val="nil"/>
              <w:left w:val="nil"/>
              <w:bottom w:val="nil"/>
              <w:right w:val="nil"/>
            </w:tcBorders>
            <w:shd w:val="clear" w:color="000000" w:fill="FFFFFF"/>
            <w:noWrap/>
            <w:vAlign w:val="bottom"/>
          </w:tcPr>
          <w:p w14:paraId="0B898DC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w:t>
            </w:r>
          </w:p>
        </w:tc>
        <w:tc>
          <w:tcPr>
            <w:tcW w:w="620" w:type="dxa"/>
            <w:tcBorders>
              <w:top w:val="nil"/>
              <w:left w:val="nil"/>
              <w:bottom w:val="nil"/>
              <w:right w:val="nil"/>
            </w:tcBorders>
            <w:shd w:val="clear" w:color="000000" w:fill="FFFFFF"/>
            <w:noWrap/>
            <w:vAlign w:val="bottom"/>
          </w:tcPr>
          <w:p w14:paraId="3710BF4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8</w:t>
            </w:r>
          </w:p>
        </w:tc>
        <w:tc>
          <w:tcPr>
            <w:tcW w:w="630" w:type="dxa"/>
            <w:tcBorders>
              <w:top w:val="nil"/>
              <w:left w:val="single" w:sz="4" w:space="0" w:color="auto"/>
              <w:bottom w:val="nil"/>
              <w:right w:val="nil"/>
            </w:tcBorders>
            <w:shd w:val="clear" w:color="000000" w:fill="FFFFFF"/>
            <w:noWrap/>
            <w:vAlign w:val="bottom"/>
          </w:tcPr>
          <w:p w14:paraId="18877C5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4.1</w:t>
            </w:r>
          </w:p>
        </w:tc>
        <w:tc>
          <w:tcPr>
            <w:tcW w:w="630" w:type="dxa"/>
            <w:tcBorders>
              <w:top w:val="nil"/>
              <w:left w:val="nil"/>
              <w:bottom w:val="nil"/>
              <w:right w:val="nil"/>
            </w:tcBorders>
            <w:shd w:val="clear" w:color="000000" w:fill="FFFFFF"/>
            <w:noWrap/>
            <w:vAlign w:val="bottom"/>
          </w:tcPr>
          <w:p w14:paraId="20B9ABC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2.9</w:t>
            </w:r>
          </w:p>
        </w:tc>
        <w:tc>
          <w:tcPr>
            <w:tcW w:w="515" w:type="dxa"/>
            <w:tcBorders>
              <w:top w:val="nil"/>
              <w:left w:val="single" w:sz="4" w:space="0" w:color="auto"/>
              <w:bottom w:val="nil"/>
              <w:right w:val="nil"/>
            </w:tcBorders>
            <w:shd w:val="clear" w:color="000000" w:fill="FFFFFF"/>
            <w:noWrap/>
            <w:vAlign w:val="bottom"/>
          </w:tcPr>
          <w:p w14:paraId="0E000ED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45</w:t>
            </w:r>
          </w:p>
        </w:tc>
        <w:tc>
          <w:tcPr>
            <w:tcW w:w="515" w:type="dxa"/>
            <w:tcBorders>
              <w:top w:val="nil"/>
              <w:left w:val="nil"/>
              <w:bottom w:val="nil"/>
              <w:right w:val="nil"/>
            </w:tcBorders>
            <w:shd w:val="clear" w:color="000000" w:fill="FFFFFF"/>
            <w:noWrap/>
            <w:vAlign w:val="bottom"/>
          </w:tcPr>
          <w:p w14:paraId="3347341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51</w:t>
            </w:r>
          </w:p>
        </w:tc>
        <w:tc>
          <w:tcPr>
            <w:tcW w:w="515" w:type="dxa"/>
            <w:tcBorders>
              <w:top w:val="nil"/>
              <w:left w:val="nil"/>
              <w:bottom w:val="nil"/>
              <w:right w:val="nil"/>
            </w:tcBorders>
            <w:shd w:val="clear" w:color="000000" w:fill="FFFFFF"/>
            <w:noWrap/>
            <w:vAlign w:val="bottom"/>
          </w:tcPr>
          <w:p w14:paraId="4DA711B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19</w:t>
            </w:r>
          </w:p>
        </w:tc>
        <w:tc>
          <w:tcPr>
            <w:tcW w:w="515" w:type="dxa"/>
            <w:tcBorders>
              <w:top w:val="nil"/>
              <w:left w:val="nil"/>
              <w:bottom w:val="nil"/>
              <w:right w:val="single" w:sz="4" w:space="0" w:color="auto"/>
            </w:tcBorders>
            <w:shd w:val="clear" w:color="000000" w:fill="FFFFFF"/>
            <w:noWrap/>
            <w:vAlign w:val="bottom"/>
          </w:tcPr>
          <w:p w14:paraId="1D5FFA91"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15</w:t>
            </w:r>
          </w:p>
        </w:tc>
        <w:tc>
          <w:tcPr>
            <w:tcW w:w="515" w:type="dxa"/>
            <w:tcBorders>
              <w:top w:val="nil"/>
              <w:left w:val="nil"/>
              <w:bottom w:val="nil"/>
              <w:right w:val="nil"/>
            </w:tcBorders>
            <w:shd w:val="clear" w:color="000000" w:fill="FFFFFF"/>
            <w:noWrap/>
            <w:vAlign w:val="bottom"/>
          </w:tcPr>
          <w:p w14:paraId="061C590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22</w:t>
            </w:r>
          </w:p>
        </w:tc>
        <w:tc>
          <w:tcPr>
            <w:tcW w:w="577" w:type="dxa"/>
            <w:gridSpan w:val="3"/>
            <w:tcBorders>
              <w:top w:val="nil"/>
              <w:left w:val="nil"/>
              <w:bottom w:val="nil"/>
              <w:right w:val="single" w:sz="4" w:space="0" w:color="auto"/>
            </w:tcBorders>
            <w:shd w:val="clear" w:color="000000" w:fill="FFFFFF"/>
            <w:noWrap/>
            <w:vAlign w:val="bottom"/>
          </w:tcPr>
          <w:p w14:paraId="08903EE8"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19</w:t>
            </w:r>
          </w:p>
        </w:tc>
        <w:tc>
          <w:tcPr>
            <w:tcW w:w="709" w:type="dxa"/>
            <w:gridSpan w:val="2"/>
            <w:tcBorders>
              <w:top w:val="nil"/>
              <w:left w:val="nil"/>
              <w:bottom w:val="nil"/>
              <w:right w:val="nil"/>
            </w:tcBorders>
            <w:shd w:val="clear" w:color="000000" w:fill="FFFFFF"/>
            <w:noWrap/>
            <w:vAlign w:val="bottom"/>
          </w:tcPr>
          <w:p w14:paraId="20CA0A3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w:t>
            </w:r>
          </w:p>
        </w:tc>
        <w:tc>
          <w:tcPr>
            <w:tcW w:w="527" w:type="dxa"/>
            <w:gridSpan w:val="3"/>
            <w:tcBorders>
              <w:top w:val="nil"/>
              <w:left w:val="nil"/>
              <w:bottom w:val="nil"/>
              <w:right w:val="nil"/>
            </w:tcBorders>
            <w:shd w:val="clear" w:color="000000" w:fill="FFFFFF"/>
            <w:noWrap/>
            <w:vAlign w:val="bottom"/>
          </w:tcPr>
          <w:p w14:paraId="01F5F7A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10</w:t>
            </w:r>
          </w:p>
        </w:tc>
        <w:tc>
          <w:tcPr>
            <w:tcW w:w="629" w:type="dxa"/>
            <w:gridSpan w:val="3"/>
            <w:tcBorders>
              <w:top w:val="nil"/>
              <w:left w:val="nil"/>
              <w:bottom w:val="nil"/>
              <w:right w:val="nil"/>
            </w:tcBorders>
            <w:shd w:val="clear" w:color="000000" w:fill="FFFFFF"/>
            <w:noWrap/>
            <w:vAlign w:val="bottom"/>
          </w:tcPr>
          <w:p w14:paraId="542BAE0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1.8</w:t>
            </w:r>
          </w:p>
        </w:tc>
        <w:tc>
          <w:tcPr>
            <w:tcW w:w="629" w:type="dxa"/>
            <w:gridSpan w:val="3"/>
            <w:tcBorders>
              <w:top w:val="nil"/>
              <w:left w:val="nil"/>
              <w:bottom w:val="nil"/>
              <w:right w:val="single" w:sz="4" w:space="0" w:color="auto"/>
            </w:tcBorders>
            <w:shd w:val="clear" w:color="000000" w:fill="FFFFFF"/>
            <w:noWrap/>
            <w:vAlign w:val="bottom"/>
          </w:tcPr>
          <w:p w14:paraId="2AC0C20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5199AD7A"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4054345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River Island</w:t>
            </w:r>
          </w:p>
        </w:tc>
        <w:tc>
          <w:tcPr>
            <w:tcW w:w="828" w:type="dxa"/>
            <w:tcBorders>
              <w:top w:val="nil"/>
              <w:left w:val="nil"/>
              <w:bottom w:val="nil"/>
              <w:right w:val="single" w:sz="4" w:space="0" w:color="auto"/>
            </w:tcBorders>
            <w:shd w:val="clear" w:color="000000" w:fill="FFFFFF"/>
            <w:noWrap/>
            <w:vAlign w:val="bottom"/>
          </w:tcPr>
          <w:p w14:paraId="796A064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w:t>
            </w:r>
          </w:p>
        </w:tc>
        <w:tc>
          <w:tcPr>
            <w:tcW w:w="620" w:type="dxa"/>
            <w:tcBorders>
              <w:top w:val="nil"/>
              <w:left w:val="nil"/>
              <w:bottom w:val="nil"/>
              <w:right w:val="nil"/>
            </w:tcBorders>
            <w:shd w:val="clear" w:color="000000" w:fill="FFFFFF"/>
            <w:noWrap/>
            <w:vAlign w:val="bottom"/>
          </w:tcPr>
          <w:p w14:paraId="737F2BC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w:t>
            </w:r>
          </w:p>
        </w:tc>
        <w:tc>
          <w:tcPr>
            <w:tcW w:w="620" w:type="dxa"/>
            <w:tcBorders>
              <w:top w:val="nil"/>
              <w:left w:val="nil"/>
              <w:bottom w:val="nil"/>
              <w:right w:val="nil"/>
            </w:tcBorders>
            <w:shd w:val="clear" w:color="000000" w:fill="FFFFFF"/>
            <w:noWrap/>
            <w:vAlign w:val="bottom"/>
          </w:tcPr>
          <w:p w14:paraId="70C0543A"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w:t>
            </w:r>
          </w:p>
        </w:tc>
        <w:tc>
          <w:tcPr>
            <w:tcW w:w="630" w:type="dxa"/>
            <w:tcBorders>
              <w:top w:val="nil"/>
              <w:left w:val="single" w:sz="4" w:space="0" w:color="auto"/>
              <w:bottom w:val="nil"/>
              <w:right w:val="nil"/>
            </w:tcBorders>
            <w:shd w:val="clear" w:color="000000" w:fill="FFFFFF"/>
            <w:noWrap/>
            <w:vAlign w:val="bottom"/>
          </w:tcPr>
          <w:p w14:paraId="1D6C1F8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3.1</w:t>
            </w:r>
          </w:p>
        </w:tc>
        <w:tc>
          <w:tcPr>
            <w:tcW w:w="630" w:type="dxa"/>
            <w:tcBorders>
              <w:top w:val="nil"/>
              <w:left w:val="nil"/>
              <w:bottom w:val="nil"/>
              <w:right w:val="nil"/>
            </w:tcBorders>
            <w:shd w:val="clear" w:color="000000" w:fill="FFFFFF"/>
            <w:noWrap/>
            <w:vAlign w:val="bottom"/>
          </w:tcPr>
          <w:p w14:paraId="5802F5AE"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2.7</w:t>
            </w:r>
          </w:p>
        </w:tc>
        <w:tc>
          <w:tcPr>
            <w:tcW w:w="515" w:type="dxa"/>
            <w:tcBorders>
              <w:top w:val="nil"/>
              <w:left w:val="single" w:sz="4" w:space="0" w:color="auto"/>
              <w:bottom w:val="nil"/>
              <w:right w:val="nil"/>
            </w:tcBorders>
            <w:shd w:val="clear" w:color="000000" w:fill="FFFFFF"/>
            <w:noWrap/>
            <w:vAlign w:val="bottom"/>
          </w:tcPr>
          <w:p w14:paraId="0497FA6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53</w:t>
            </w:r>
          </w:p>
        </w:tc>
        <w:tc>
          <w:tcPr>
            <w:tcW w:w="515" w:type="dxa"/>
            <w:tcBorders>
              <w:top w:val="nil"/>
              <w:left w:val="nil"/>
              <w:bottom w:val="nil"/>
              <w:right w:val="nil"/>
            </w:tcBorders>
            <w:shd w:val="clear" w:color="000000" w:fill="FFFFFF"/>
            <w:noWrap/>
            <w:vAlign w:val="bottom"/>
          </w:tcPr>
          <w:p w14:paraId="556E850E"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53</w:t>
            </w:r>
          </w:p>
        </w:tc>
        <w:tc>
          <w:tcPr>
            <w:tcW w:w="515" w:type="dxa"/>
            <w:tcBorders>
              <w:top w:val="nil"/>
              <w:left w:val="nil"/>
              <w:bottom w:val="nil"/>
              <w:right w:val="nil"/>
            </w:tcBorders>
            <w:shd w:val="clear" w:color="000000" w:fill="FFFFFF"/>
            <w:noWrap/>
            <w:vAlign w:val="bottom"/>
          </w:tcPr>
          <w:p w14:paraId="0BF34E0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9</w:t>
            </w:r>
          </w:p>
        </w:tc>
        <w:tc>
          <w:tcPr>
            <w:tcW w:w="515" w:type="dxa"/>
            <w:tcBorders>
              <w:top w:val="nil"/>
              <w:left w:val="nil"/>
              <w:bottom w:val="nil"/>
              <w:right w:val="single" w:sz="4" w:space="0" w:color="auto"/>
            </w:tcBorders>
            <w:shd w:val="clear" w:color="000000" w:fill="FFFFFF"/>
            <w:noWrap/>
            <w:vAlign w:val="bottom"/>
          </w:tcPr>
          <w:p w14:paraId="1005BB50"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14</w:t>
            </w:r>
          </w:p>
        </w:tc>
        <w:tc>
          <w:tcPr>
            <w:tcW w:w="515" w:type="dxa"/>
            <w:tcBorders>
              <w:top w:val="nil"/>
              <w:left w:val="nil"/>
              <w:bottom w:val="nil"/>
              <w:right w:val="nil"/>
            </w:tcBorders>
            <w:shd w:val="clear" w:color="000000" w:fill="FFFFFF"/>
            <w:noWrap/>
            <w:vAlign w:val="bottom"/>
          </w:tcPr>
          <w:p w14:paraId="46EFB23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16</w:t>
            </w:r>
          </w:p>
        </w:tc>
        <w:tc>
          <w:tcPr>
            <w:tcW w:w="577" w:type="dxa"/>
            <w:gridSpan w:val="3"/>
            <w:tcBorders>
              <w:top w:val="nil"/>
              <w:left w:val="nil"/>
              <w:bottom w:val="nil"/>
              <w:right w:val="single" w:sz="4" w:space="0" w:color="auto"/>
            </w:tcBorders>
            <w:shd w:val="clear" w:color="000000" w:fill="FFFFFF"/>
            <w:noWrap/>
            <w:vAlign w:val="bottom"/>
          </w:tcPr>
          <w:p w14:paraId="7494029A"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18</w:t>
            </w:r>
          </w:p>
        </w:tc>
        <w:tc>
          <w:tcPr>
            <w:tcW w:w="709" w:type="dxa"/>
            <w:gridSpan w:val="2"/>
            <w:tcBorders>
              <w:top w:val="nil"/>
              <w:left w:val="nil"/>
              <w:bottom w:val="nil"/>
              <w:right w:val="nil"/>
            </w:tcBorders>
            <w:shd w:val="clear" w:color="000000" w:fill="FFFFFF"/>
            <w:noWrap/>
            <w:vAlign w:val="bottom"/>
          </w:tcPr>
          <w:p w14:paraId="6D34B10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w:t>
            </w:r>
          </w:p>
        </w:tc>
        <w:tc>
          <w:tcPr>
            <w:tcW w:w="527" w:type="dxa"/>
            <w:gridSpan w:val="3"/>
            <w:tcBorders>
              <w:top w:val="nil"/>
              <w:left w:val="nil"/>
              <w:bottom w:val="nil"/>
              <w:right w:val="nil"/>
            </w:tcBorders>
            <w:shd w:val="clear" w:color="000000" w:fill="FFFFFF"/>
            <w:noWrap/>
            <w:vAlign w:val="bottom"/>
          </w:tcPr>
          <w:p w14:paraId="19772BF0"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9</w:t>
            </w:r>
          </w:p>
        </w:tc>
        <w:tc>
          <w:tcPr>
            <w:tcW w:w="629" w:type="dxa"/>
            <w:gridSpan w:val="3"/>
            <w:tcBorders>
              <w:top w:val="nil"/>
              <w:left w:val="nil"/>
              <w:bottom w:val="nil"/>
              <w:right w:val="nil"/>
            </w:tcBorders>
            <w:shd w:val="clear" w:color="000000" w:fill="FFFFFF"/>
            <w:noWrap/>
            <w:vAlign w:val="bottom"/>
          </w:tcPr>
          <w:p w14:paraId="0BDD4F1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1.3</w:t>
            </w:r>
          </w:p>
        </w:tc>
        <w:tc>
          <w:tcPr>
            <w:tcW w:w="629" w:type="dxa"/>
            <w:gridSpan w:val="3"/>
            <w:tcBorders>
              <w:top w:val="nil"/>
              <w:left w:val="nil"/>
              <w:bottom w:val="nil"/>
              <w:right w:val="single" w:sz="4" w:space="0" w:color="auto"/>
            </w:tcBorders>
            <w:shd w:val="clear" w:color="000000" w:fill="FFFFFF"/>
            <w:noWrap/>
            <w:vAlign w:val="bottom"/>
          </w:tcPr>
          <w:p w14:paraId="442EC71E"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098E772B"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00"/>
            <w:noWrap/>
            <w:vAlign w:val="bottom"/>
          </w:tcPr>
          <w:p w14:paraId="0FA10A8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Evans/Evans Col.</w:t>
            </w:r>
          </w:p>
        </w:tc>
        <w:tc>
          <w:tcPr>
            <w:tcW w:w="828" w:type="dxa"/>
            <w:tcBorders>
              <w:top w:val="nil"/>
              <w:left w:val="nil"/>
              <w:bottom w:val="nil"/>
              <w:right w:val="single" w:sz="4" w:space="0" w:color="auto"/>
            </w:tcBorders>
            <w:shd w:val="clear" w:color="000000" w:fill="FFFF00"/>
            <w:noWrap/>
            <w:vAlign w:val="bottom"/>
          </w:tcPr>
          <w:p w14:paraId="301D6B0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00"/>
            <w:noWrap/>
            <w:vAlign w:val="bottom"/>
          </w:tcPr>
          <w:p w14:paraId="73A0D0A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00"/>
            <w:noWrap/>
            <w:vAlign w:val="bottom"/>
          </w:tcPr>
          <w:p w14:paraId="7B7164F7"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4</w:t>
            </w:r>
          </w:p>
        </w:tc>
        <w:tc>
          <w:tcPr>
            <w:tcW w:w="630" w:type="dxa"/>
            <w:tcBorders>
              <w:top w:val="nil"/>
              <w:left w:val="single" w:sz="4" w:space="0" w:color="auto"/>
              <w:bottom w:val="nil"/>
              <w:right w:val="nil"/>
            </w:tcBorders>
            <w:shd w:val="clear" w:color="000000" w:fill="FFFF00"/>
            <w:noWrap/>
            <w:vAlign w:val="bottom"/>
          </w:tcPr>
          <w:p w14:paraId="483B50E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3.9</w:t>
            </w:r>
          </w:p>
        </w:tc>
        <w:tc>
          <w:tcPr>
            <w:tcW w:w="630" w:type="dxa"/>
            <w:tcBorders>
              <w:top w:val="nil"/>
              <w:left w:val="nil"/>
              <w:bottom w:val="nil"/>
              <w:right w:val="nil"/>
            </w:tcBorders>
            <w:shd w:val="clear" w:color="000000" w:fill="FFFF00"/>
            <w:noWrap/>
            <w:vAlign w:val="bottom"/>
          </w:tcPr>
          <w:p w14:paraId="269B09B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2.7</w:t>
            </w:r>
          </w:p>
        </w:tc>
        <w:tc>
          <w:tcPr>
            <w:tcW w:w="515" w:type="dxa"/>
            <w:tcBorders>
              <w:top w:val="nil"/>
              <w:left w:val="single" w:sz="4" w:space="0" w:color="auto"/>
              <w:bottom w:val="nil"/>
              <w:right w:val="nil"/>
            </w:tcBorders>
            <w:shd w:val="clear" w:color="000000" w:fill="FFFF00"/>
            <w:noWrap/>
            <w:vAlign w:val="bottom"/>
          </w:tcPr>
          <w:p w14:paraId="24D108A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52</w:t>
            </w:r>
          </w:p>
        </w:tc>
        <w:tc>
          <w:tcPr>
            <w:tcW w:w="515" w:type="dxa"/>
            <w:tcBorders>
              <w:top w:val="nil"/>
              <w:left w:val="nil"/>
              <w:bottom w:val="nil"/>
              <w:right w:val="nil"/>
            </w:tcBorders>
            <w:shd w:val="clear" w:color="000000" w:fill="FFFF00"/>
            <w:noWrap/>
            <w:vAlign w:val="bottom"/>
          </w:tcPr>
          <w:p w14:paraId="0246A21A"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54</w:t>
            </w:r>
          </w:p>
        </w:tc>
        <w:tc>
          <w:tcPr>
            <w:tcW w:w="515" w:type="dxa"/>
            <w:tcBorders>
              <w:top w:val="nil"/>
              <w:left w:val="nil"/>
              <w:bottom w:val="nil"/>
              <w:right w:val="nil"/>
            </w:tcBorders>
            <w:shd w:val="clear" w:color="000000" w:fill="FFFF00"/>
            <w:noWrap/>
            <w:vAlign w:val="bottom"/>
          </w:tcPr>
          <w:p w14:paraId="6AC57D5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11</w:t>
            </w:r>
          </w:p>
        </w:tc>
        <w:tc>
          <w:tcPr>
            <w:tcW w:w="515" w:type="dxa"/>
            <w:tcBorders>
              <w:top w:val="nil"/>
              <w:left w:val="nil"/>
              <w:bottom w:val="nil"/>
              <w:right w:val="single" w:sz="4" w:space="0" w:color="auto"/>
            </w:tcBorders>
            <w:shd w:val="clear" w:color="000000" w:fill="FFFF00"/>
            <w:noWrap/>
            <w:vAlign w:val="bottom"/>
          </w:tcPr>
          <w:p w14:paraId="3566276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c>
          <w:tcPr>
            <w:tcW w:w="515" w:type="dxa"/>
            <w:tcBorders>
              <w:top w:val="nil"/>
              <w:left w:val="nil"/>
              <w:bottom w:val="nil"/>
              <w:right w:val="nil"/>
            </w:tcBorders>
            <w:shd w:val="clear" w:color="000000" w:fill="FFFF00"/>
            <w:noWrap/>
            <w:vAlign w:val="bottom"/>
          </w:tcPr>
          <w:p w14:paraId="2B0399F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49</w:t>
            </w:r>
          </w:p>
        </w:tc>
        <w:tc>
          <w:tcPr>
            <w:tcW w:w="577" w:type="dxa"/>
            <w:gridSpan w:val="3"/>
            <w:tcBorders>
              <w:top w:val="nil"/>
              <w:left w:val="nil"/>
              <w:bottom w:val="nil"/>
              <w:right w:val="single" w:sz="4" w:space="0" w:color="auto"/>
            </w:tcBorders>
            <w:shd w:val="clear" w:color="000000" w:fill="FFFF00"/>
            <w:noWrap/>
            <w:vAlign w:val="bottom"/>
          </w:tcPr>
          <w:p w14:paraId="4436DEB1"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17</w:t>
            </w:r>
          </w:p>
        </w:tc>
        <w:tc>
          <w:tcPr>
            <w:tcW w:w="709" w:type="dxa"/>
            <w:gridSpan w:val="2"/>
            <w:tcBorders>
              <w:top w:val="nil"/>
              <w:left w:val="nil"/>
              <w:bottom w:val="nil"/>
              <w:right w:val="nil"/>
            </w:tcBorders>
            <w:shd w:val="clear" w:color="000000" w:fill="FFFF00"/>
            <w:noWrap/>
            <w:vAlign w:val="bottom"/>
          </w:tcPr>
          <w:p w14:paraId="080A021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37</w:t>
            </w:r>
          </w:p>
        </w:tc>
        <w:tc>
          <w:tcPr>
            <w:tcW w:w="527" w:type="dxa"/>
            <w:gridSpan w:val="3"/>
            <w:tcBorders>
              <w:top w:val="nil"/>
              <w:left w:val="nil"/>
              <w:bottom w:val="nil"/>
              <w:right w:val="nil"/>
            </w:tcBorders>
            <w:shd w:val="clear" w:color="000000" w:fill="FFFF00"/>
            <w:noWrap/>
            <w:vAlign w:val="bottom"/>
          </w:tcPr>
          <w:p w14:paraId="02FF2BB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9</w:t>
            </w:r>
          </w:p>
        </w:tc>
        <w:tc>
          <w:tcPr>
            <w:tcW w:w="629" w:type="dxa"/>
            <w:gridSpan w:val="3"/>
            <w:tcBorders>
              <w:top w:val="nil"/>
              <w:left w:val="nil"/>
              <w:bottom w:val="nil"/>
              <w:right w:val="nil"/>
            </w:tcBorders>
            <w:shd w:val="clear" w:color="000000" w:fill="FFFF00"/>
            <w:noWrap/>
            <w:vAlign w:val="bottom"/>
          </w:tcPr>
          <w:p w14:paraId="123D9D0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4.3</w:t>
            </w:r>
          </w:p>
        </w:tc>
        <w:tc>
          <w:tcPr>
            <w:tcW w:w="629" w:type="dxa"/>
            <w:gridSpan w:val="3"/>
            <w:tcBorders>
              <w:top w:val="nil"/>
              <w:left w:val="nil"/>
              <w:bottom w:val="nil"/>
              <w:right w:val="single" w:sz="4" w:space="0" w:color="auto"/>
            </w:tcBorders>
            <w:shd w:val="clear" w:color="000000" w:fill="FFFF00"/>
            <w:noWrap/>
            <w:vAlign w:val="bottom"/>
          </w:tcPr>
          <w:p w14:paraId="60BE8F5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41F295D6"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00"/>
            <w:noWrap/>
            <w:vAlign w:val="bottom"/>
          </w:tcPr>
          <w:p w14:paraId="397E6FA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w:t>
            </w:r>
            <w:proofErr w:type="spellStart"/>
            <w:r w:rsidRPr="00AE16D2">
              <w:rPr>
                <w:rFonts w:ascii="Arial" w:eastAsia="Times New Roman" w:hAnsi="Arial" w:cs="Arial"/>
                <w:sz w:val="20"/>
                <w:szCs w:val="20"/>
                <w:lang w:eastAsia="en-US"/>
              </w:rPr>
              <w:t>Mackays</w:t>
            </w:r>
            <w:proofErr w:type="spellEnd"/>
            <w:r w:rsidRPr="00AE16D2">
              <w:rPr>
                <w:rFonts w:ascii="Arial" w:eastAsia="Times New Roman" w:hAnsi="Arial" w:cs="Arial"/>
                <w:sz w:val="20"/>
                <w:szCs w:val="20"/>
                <w:lang w:eastAsia="en-US"/>
              </w:rPr>
              <w:t>/</w:t>
            </w:r>
            <w:proofErr w:type="spellStart"/>
            <w:r w:rsidRPr="00AE16D2">
              <w:rPr>
                <w:rFonts w:ascii="Arial" w:eastAsia="Times New Roman" w:hAnsi="Arial" w:cs="Arial"/>
                <w:sz w:val="20"/>
                <w:szCs w:val="20"/>
                <w:lang w:eastAsia="en-US"/>
              </w:rPr>
              <w:t>M&amp;Co</w:t>
            </w:r>
            <w:proofErr w:type="spellEnd"/>
          </w:p>
        </w:tc>
        <w:tc>
          <w:tcPr>
            <w:tcW w:w="828" w:type="dxa"/>
            <w:tcBorders>
              <w:top w:val="nil"/>
              <w:left w:val="nil"/>
              <w:bottom w:val="nil"/>
              <w:right w:val="single" w:sz="4" w:space="0" w:color="auto"/>
            </w:tcBorders>
            <w:shd w:val="clear" w:color="000000" w:fill="FFFF00"/>
            <w:noWrap/>
            <w:vAlign w:val="bottom"/>
          </w:tcPr>
          <w:p w14:paraId="428F55D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00"/>
            <w:noWrap/>
            <w:vAlign w:val="bottom"/>
          </w:tcPr>
          <w:p w14:paraId="0FDD7EC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00"/>
            <w:noWrap/>
            <w:vAlign w:val="bottom"/>
          </w:tcPr>
          <w:p w14:paraId="3F54CE44"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3</w:t>
            </w:r>
          </w:p>
        </w:tc>
        <w:tc>
          <w:tcPr>
            <w:tcW w:w="630" w:type="dxa"/>
            <w:tcBorders>
              <w:top w:val="nil"/>
              <w:left w:val="single" w:sz="4" w:space="0" w:color="auto"/>
              <w:bottom w:val="nil"/>
              <w:right w:val="nil"/>
            </w:tcBorders>
            <w:shd w:val="clear" w:color="000000" w:fill="FFFF00"/>
            <w:noWrap/>
            <w:vAlign w:val="bottom"/>
          </w:tcPr>
          <w:p w14:paraId="3379CED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3.1</w:t>
            </w:r>
          </w:p>
        </w:tc>
        <w:tc>
          <w:tcPr>
            <w:tcW w:w="630" w:type="dxa"/>
            <w:tcBorders>
              <w:top w:val="nil"/>
              <w:left w:val="nil"/>
              <w:bottom w:val="nil"/>
              <w:right w:val="nil"/>
            </w:tcBorders>
            <w:shd w:val="clear" w:color="000000" w:fill="FFFF00"/>
            <w:noWrap/>
            <w:vAlign w:val="bottom"/>
          </w:tcPr>
          <w:p w14:paraId="6301A4B0"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2.6</w:t>
            </w:r>
          </w:p>
        </w:tc>
        <w:tc>
          <w:tcPr>
            <w:tcW w:w="515" w:type="dxa"/>
            <w:tcBorders>
              <w:top w:val="nil"/>
              <w:left w:val="single" w:sz="4" w:space="0" w:color="auto"/>
              <w:bottom w:val="nil"/>
              <w:right w:val="nil"/>
            </w:tcBorders>
            <w:shd w:val="clear" w:color="000000" w:fill="FFFF00"/>
            <w:noWrap/>
            <w:vAlign w:val="bottom"/>
          </w:tcPr>
          <w:p w14:paraId="5117DAD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62</w:t>
            </w:r>
          </w:p>
        </w:tc>
        <w:tc>
          <w:tcPr>
            <w:tcW w:w="515" w:type="dxa"/>
            <w:tcBorders>
              <w:top w:val="nil"/>
              <w:left w:val="nil"/>
              <w:bottom w:val="nil"/>
              <w:right w:val="nil"/>
            </w:tcBorders>
            <w:shd w:val="clear" w:color="000000" w:fill="FFFF00"/>
            <w:noWrap/>
            <w:vAlign w:val="bottom"/>
          </w:tcPr>
          <w:p w14:paraId="1B324677"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55</w:t>
            </w:r>
          </w:p>
        </w:tc>
        <w:tc>
          <w:tcPr>
            <w:tcW w:w="515" w:type="dxa"/>
            <w:tcBorders>
              <w:top w:val="nil"/>
              <w:left w:val="nil"/>
              <w:bottom w:val="nil"/>
              <w:right w:val="nil"/>
            </w:tcBorders>
            <w:shd w:val="clear" w:color="000000" w:fill="FFFF00"/>
            <w:noWrap/>
            <w:vAlign w:val="bottom"/>
          </w:tcPr>
          <w:p w14:paraId="72C6021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10</w:t>
            </w:r>
          </w:p>
        </w:tc>
        <w:tc>
          <w:tcPr>
            <w:tcW w:w="515" w:type="dxa"/>
            <w:tcBorders>
              <w:top w:val="nil"/>
              <w:left w:val="nil"/>
              <w:bottom w:val="nil"/>
              <w:right w:val="single" w:sz="4" w:space="0" w:color="auto"/>
            </w:tcBorders>
            <w:shd w:val="clear" w:color="000000" w:fill="FFFF00"/>
            <w:noWrap/>
            <w:vAlign w:val="bottom"/>
          </w:tcPr>
          <w:p w14:paraId="314B3BC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c>
          <w:tcPr>
            <w:tcW w:w="515" w:type="dxa"/>
            <w:tcBorders>
              <w:top w:val="nil"/>
              <w:left w:val="nil"/>
              <w:bottom w:val="nil"/>
              <w:right w:val="nil"/>
            </w:tcBorders>
            <w:shd w:val="clear" w:color="000000" w:fill="FFFF00"/>
            <w:noWrap/>
            <w:vAlign w:val="bottom"/>
          </w:tcPr>
          <w:p w14:paraId="2E40C18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33</w:t>
            </w:r>
          </w:p>
        </w:tc>
        <w:tc>
          <w:tcPr>
            <w:tcW w:w="577" w:type="dxa"/>
            <w:gridSpan w:val="3"/>
            <w:tcBorders>
              <w:top w:val="nil"/>
              <w:left w:val="nil"/>
              <w:bottom w:val="nil"/>
              <w:right w:val="single" w:sz="4" w:space="0" w:color="auto"/>
            </w:tcBorders>
            <w:shd w:val="clear" w:color="000000" w:fill="FFFF00"/>
            <w:noWrap/>
            <w:vAlign w:val="bottom"/>
          </w:tcPr>
          <w:p w14:paraId="054CD3B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17</w:t>
            </w:r>
          </w:p>
        </w:tc>
        <w:tc>
          <w:tcPr>
            <w:tcW w:w="709" w:type="dxa"/>
            <w:gridSpan w:val="2"/>
            <w:tcBorders>
              <w:top w:val="nil"/>
              <w:left w:val="nil"/>
              <w:bottom w:val="nil"/>
              <w:right w:val="nil"/>
            </w:tcBorders>
            <w:shd w:val="clear" w:color="000000" w:fill="FFFF00"/>
            <w:noWrap/>
            <w:vAlign w:val="bottom"/>
          </w:tcPr>
          <w:p w14:paraId="6F623F5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21</w:t>
            </w:r>
          </w:p>
        </w:tc>
        <w:tc>
          <w:tcPr>
            <w:tcW w:w="527" w:type="dxa"/>
            <w:gridSpan w:val="3"/>
            <w:tcBorders>
              <w:top w:val="nil"/>
              <w:left w:val="nil"/>
              <w:bottom w:val="nil"/>
              <w:right w:val="nil"/>
            </w:tcBorders>
            <w:shd w:val="clear" w:color="000000" w:fill="FFFF00"/>
            <w:noWrap/>
            <w:vAlign w:val="bottom"/>
          </w:tcPr>
          <w:p w14:paraId="2724A0C2"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9</w:t>
            </w:r>
          </w:p>
        </w:tc>
        <w:tc>
          <w:tcPr>
            <w:tcW w:w="629" w:type="dxa"/>
            <w:gridSpan w:val="3"/>
            <w:tcBorders>
              <w:top w:val="nil"/>
              <w:left w:val="nil"/>
              <w:bottom w:val="nil"/>
              <w:right w:val="nil"/>
            </w:tcBorders>
            <w:shd w:val="clear" w:color="000000" w:fill="FFFF00"/>
            <w:noWrap/>
            <w:vAlign w:val="bottom"/>
          </w:tcPr>
          <w:p w14:paraId="4337F62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2.6</w:t>
            </w:r>
          </w:p>
        </w:tc>
        <w:tc>
          <w:tcPr>
            <w:tcW w:w="629" w:type="dxa"/>
            <w:gridSpan w:val="3"/>
            <w:tcBorders>
              <w:top w:val="nil"/>
              <w:left w:val="nil"/>
              <w:bottom w:val="nil"/>
              <w:right w:val="single" w:sz="4" w:space="0" w:color="auto"/>
            </w:tcBorders>
            <w:shd w:val="clear" w:color="000000" w:fill="FFFF00"/>
            <w:noWrap/>
            <w:vAlign w:val="bottom"/>
          </w:tcPr>
          <w:p w14:paraId="54EA7761"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2330962C"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00"/>
            <w:noWrap/>
            <w:vAlign w:val="bottom"/>
          </w:tcPr>
          <w:p w14:paraId="126B052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Gap</w:t>
            </w:r>
          </w:p>
        </w:tc>
        <w:tc>
          <w:tcPr>
            <w:tcW w:w="828" w:type="dxa"/>
            <w:tcBorders>
              <w:top w:val="nil"/>
              <w:left w:val="nil"/>
              <w:bottom w:val="nil"/>
              <w:right w:val="single" w:sz="4" w:space="0" w:color="auto"/>
            </w:tcBorders>
            <w:shd w:val="clear" w:color="000000" w:fill="FFFF00"/>
            <w:noWrap/>
            <w:vAlign w:val="bottom"/>
          </w:tcPr>
          <w:p w14:paraId="2EB1EE9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00"/>
            <w:noWrap/>
            <w:vAlign w:val="bottom"/>
          </w:tcPr>
          <w:p w14:paraId="7B1B7BA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00"/>
            <w:noWrap/>
            <w:vAlign w:val="bottom"/>
          </w:tcPr>
          <w:p w14:paraId="6864DE6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w:t>
            </w:r>
          </w:p>
        </w:tc>
        <w:tc>
          <w:tcPr>
            <w:tcW w:w="630" w:type="dxa"/>
            <w:tcBorders>
              <w:top w:val="nil"/>
              <w:left w:val="single" w:sz="4" w:space="0" w:color="auto"/>
              <w:bottom w:val="nil"/>
              <w:right w:val="nil"/>
            </w:tcBorders>
            <w:shd w:val="clear" w:color="000000" w:fill="FFFF00"/>
            <w:noWrap/>
            <w:vAlign w:val="bottom"/>
          </w:tcPr>
          <w:p w14:paraId="00B63DE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2.8</w:t>
            </w:r>
          </w:p>
        </w:tc>
        <w:tc>
          <w:tcPr>
            <w:tcW w:w="630" w:type="dxa"/>
            <w:tcBorders>
              <w:top w:val="nil"/>
              <w:left w:val="nil"/>
              <w:bottom w:val="nil"/>
              <w:right w:val="nil"/>
            </w:tcBorders>
            <w:shd w:val="clear" w:color="000000" w:fill="FFFF00"/>
            <w:noWrap/>
            <w:vAlign w:val="bottom"/>
          </w:tcPr>
          <w:p w14:paraId="6A710714"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2.6</w:t>
            </w:r>
          </w:p>
        </w:tc>
        <w:tc>
          <w:tcPr>
            <w:tcW w:w="515" w:type="dxa"/>
            <w:tcBorders>
              <w:top w:val="nil"/>
              <w:left w:val="single" w:sz="4" w:space="0" w:color="auto"/>
              <w:bottom w:val="nil"/>
              <w:right w:val="nil"/>
            </w:tcBorders>
            <w:shd w:val="clear" w:color="000000" w:fill="FFFF00"/>
            <w:noWrap/>
            <w:vAlign w:val="bottom"/>
          </w:tcPr>
          <w:p w14:paraId="0D296D6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68</w:t>
            </w:r>
          </w:p>
        </w:tc>
        <w:tc>
          <w:tcPr>
            <w:tcW w:w="515" w:type="dxa"/>
            <w:tcBorders>
              <w:top w:val="nil"/>
              <w:left w:val="nil"/>
              <w:bottom w:val="nil"/>
              <w:right w:val="nil"/>
            </w:tcBorders>
            <w:shd w:val="clear" w:color="000000" w:fill="FFFF00"/>
            <w:noWrap/>
            <w:vAlign w:val="bottom"/>
          </w:tcPr>
          <w:p w14:paraId="0956ACE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55</w:t>
            </w:r>
          </w:p>
        </w:tc>
        <w:tc>
          <w:tcPr>
            <w:tcW w:w="515" w:type="dxa"/>
            <w:tcBorders>
              <w:top w:val="nil"/>
              <w:left w:val="nil"/>
              <w:bottom w:val="nil"/>
              <w:right w:val="nil"/>
            </w:tcBorders>
            <w:shd w:val="clear" w:color="000000" w:fill="FFFF00"/>
            <w:noWrap/>
            <w:vAlign w:val="bottom"/>
          </w:tcPr>
          <w:p w14:paraId="5D342BB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w:t>
            </w:r>
          </w:p>
        </w:tc>
        <w:tc>
          <w:tcPr>
            <w:tcW w:w="515" w:type="dxa"/>
            <w:tcBorders>
              <w:top w:val="nil"/>
              <w:left w:val="nil"/>
              <w:bottom w:val="nil"/>
              <w:right w:val="single" w:sz="4" w:space="0" w:color="auto"/>
            </w:tcBorders>
            <w:shd w:val="clear" w:color="000000" w:fill="FFFF00"/>
            <w:noWrap/>
            <w:vAlign w:val="bottom"/>
          </w:tcPr>
          <w:p w14:paraId="357E6A8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c>
          <w:tcPr>
            <w:tcW w:w="515" w:type="dxa"/>
            <w:tcBorders>
              <w:top w:val="nil"/>
              <w:left w:val="nil"/>
              <w:bottom w:val="nil"/>
              <w:right w:val="nil"/>
            </w:tcBorders>
            <w:shd w:val="clear" w:color="000000" w:fill="FFFF00"/>
            <w:noWrap/>
            <w:vAlign w:val="bottom"/>
          </w:tcPr>
          <w:p w14:paraId="4DCA268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22</w:t>
            </w:r>
          </w:p>
        </w:tc>
        <w:tc>
          <w:tcPr>
            <w:tcW w:w="577" w:type="dxa"/>
            <w:gridSpan w:val="3"/>
            <w:tcBorders>
              <w:top w:val="nil"/>
              <w:left w:val="nil"/>
              <w:bottom w:val="nil"/>
              <w:right w:val="single" w:sz="4" w:space="0" w:color="auto"/>
            </w:tcBorders>
            <w:shd w:val="clear" w:color="000000" w:fill="FFFF00"/>
            <w:noWrap/>
            <w:vAlign w:val="bottom"/>
          </w:tcPr>
          <w:p w14:paraId="5F3495D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16</w:t>
            </w:r>
          </w:p>
        </w:tc>
        <w:tc>
          <w:tcPr>
            <w:tcW w:w="709" w:type="dxa"/>
            <w:gridSpan w:val="2"/>
            <w:tcBorders>
              <w:top w:val="nil"/>
              <w:left w:val="nil"/>
              <w:bottom w:val="nil"/>
              <w:right w:val="nil"/>
            </w:tcBorders>
            <w:shd w:val="clear" w:color="000000" w:fill="FFFF00"/>
            <w:noWrap/>
            <w:vAlign w:val="bottom"/>
          </w:tcPr>
          <w:p w14:paraId="7F65CEB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w:t>
            </w:r>
          </w:p>
        </w:tc>
        <w:tc>
          <w:tcPr>
            <w:tcW w:w="527" w:type="dxa"/>
            <w:gridSpan w:val="3"/>
            <w:tcBorders>
              <w:top w:val="nil"/>
              <w:left w:val="nil"/>
              <w:bottom w:val="nil"/>
              <w:right w:val="nil"/>
            </w:tcBorders>
            <w:shd w:val="clear" w:color="000000" w:fill="FFFF00"/>
            <w:noWrap/>
            <w:vAlign w:val="bottom"/>
          </w:tcPr>
          <w:p w14:paraId="7FB852B7"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8</w:t>
            </w:r>
          </w:p>
        </w:tc>
        <w:tc>
          <w:tcPr>
            <w:tcW w:w="629" w:type="dxa"/>
            <w:gridSpan w:val="3"/>
            <w:tcBorders>
              <w:top w:val="nil"/>
              <w:left w:val="nil"/>
              <w:bottom w:val="nil"/>
              <w:right w:val="nil"/>
            </w:tcBorders>
            <w:shd w:val="clear" w:color="000000" w:fill="FFFF00"/>
            <w:noWrap/>
            <w:vAlign w:val="bottom"/>
          </w:tcPr>
          <w:p w14:paraId="5D4A29A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1.8</w:t>
            </w:r>
          </w:p>
        </w:tc>
        <w:tc>
          <w:tcPr>
            <w:tcW w:w="629" w:type="dxa"/>
            <w:gridSpan w:val="3"/>
            <w:tcBorders>
              <w:top w:val="nil"/>
              <w:left w:val="nil"/>
              <w:bottom w:val="nil"/>
              <w:right w:val="single" w:sz="4" w:space="0" w:color="auto"/>
            </w:tcBorders>
            <w:shd w:val="clear" w:color="000000" w:fill="FFFF00"/>
            <w:noWrap/>
            <w:vAlign w:val="bottom"/>
          </w:tcPr>
          <w:p w14:paraId="012C7FD4"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408E9941"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19FDEBA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Monsoon</w:t>
            </w:r>
          </w:p>
        </w:tc>
        <w:tc>
          <w:tcPr>
            <w:tcW w:w="828" w:type="dxa"/>
            <w:tcBorders>
              <w:top w:val="nil"/>
              <w:left w:val="nil"/>
              <w:bottom w:val="nil"/>
              <w:right w:val="single" w:sz="4" w:space="0" w:color="auto"/>
            </w:tcBorders>
            <w:shd w:val="clear" w:color="000000" w:fill="FFFFFF"/>
            <w:noWrap/>
            <w:vAlign w:val="bottom"/>
          </w:tcPr>
          <w:p w14:paraId="3D45561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tcPr>
          <w:p w14:paraId="2803B2D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FF"/>
            <w:noWrap/>
            <w:vAlign w:val="bottom"/>
          </w:tcPr>
          <w:p w14:paraId="30EFB59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w:t>
            </w:r>
          </w:p>
        </w:tc>
        <w:tc>
          <w:tcPr>
            <w:tcW w:w="630" w:type="dxa"/>
            <w:tcBorders>
              <w:top w:val="nil"/>
              <w:left w:val="single" w:sz="4" w:space="0" w:color="auto"/>
              <w:bottom w:val="nil"/>
              <w:right w:val="nil"/>
            </w:tcBorders>
            <w:shd w:val="clear" w:color="000000" w:fill="FFFFFF"/>
            <w:noWrap/>
            <w:vAlign w:val="bottom"/>
          </w:tcPr>
          <w:p w14:paraId="7717695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2.0</w:t>
            </w:r>
          </w:p>
        </w:tc>
        <w:tc>
          <w:tcPr>
            <w:tcW w:w="630" w:type="dxa"/>
            <w:tcBorders>
              <w:top w:val="nil"/>
              <w:left w:val="nil"/>
              <w:bottom w:val="nil"/>
              <w:right w:val="nil"/>
            </w:tcBorders>
            <w:shd w:val="clear" w:color="000000" w:fill="FFFFFF"/>
            <w:noWrap/>
            <w:vAlign w:val="bottom"/>
          </w:tcPr>
          <w:p w14:paraId="5831A4A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2.6</w:t>
            </w:r>
          </w:p>
        </w:tc>
        <w:tc>
          <w:tcPr>
            <w:tcW w:w="515" w:type="dxa"/>
            <w:tcBorders>
              <w:top w:val="nil"/>
              <w:left w:val="single" w:sz="4" w:space="0" w:color="auto"/>
              <w:bottom w:val="nil"/>
              <w:right w:val="nil"/>
            </w:tcBorders>
            <w:shd w:val="clear" w:color="000000" w:fill="FFFFFF"/>
            <w:noWrap/>
            <w:vAlign w:val="bottom"/>
          </w:tcPr>
          <w:p w14:paraId="0387217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72</w:t>
            </w:r>
          </w:p>
        </w:tc>
        <w:tc>
          <w:tcPr>
            <w:tcW w:w="515" w:type="dxa"/>
            <w:tcBorders>
              <w:top w:val="nil"/>
              <w:left w:val="nil"/>
              <w:bottom w:val="nil"/>
              <w:right w:val="nil"/>
            </w:tcBorders>
            <w:shd w:val="clear" w:color="000000" w:fill="FFFFFF"/>
            <w:noWrap/>
            <w:vAlign w:val="bottom"/>
          </w:tcPr>
          <w:p w14:paraId="721AC66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55</w:t>
            </w:r>
          </w:p>
        </w:tc>
        <w:tc>
          <w:tcPr>
            <w:tcW w:w="515" w:type="dxa"/>
            <w:tcBorders>
              <w:top w:val="nil"/>
              <w:left w:val="nil"/>
              <w:bottom w:val="nil"/>
              <w:right w:val="nil"/>
            </w:tcBorders>
            <w:shd w:val="clear" w:color="000000" w:fill="FFFFFF"/>
            <w:noWrap/>
            <w:vAlign w:val="bottom"/>
          </w:tcPr>
          <w:p w14:paraId="083AAC9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515" w:type="dxa"/>
            <w:tcBorders>
              <w:top w:val="nil"/>
              <w:left w:val="nil"/>
              <w:bottom w:val="nil"/>
              <w:right w:val="single" w:sz="4" w:space="0" w:color="auto"/>
            </w:tcBorders>
            <w:shd w:val="clear" w:color="000000" w:fill="FFFFFF"/>
            <w:noWrap/>
            <w:vAlign w:val="bottom"/>
          </w:tcPr>
          <w:p w14:paraId="4DFC263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c>
          <w:tcPr>
            <w:tcW w:w="515" w:type="dxa"/>
            <w:tcBorders>
              <w:top w:val="nil"/>
              <w:left w:val="nil"/>
              <w:bottom w:val="nil"/>
              <w:right w:val="nil"/>
            </w:tcBorders>
            <w:shd w:val="clear" w:color="000000" w:fill="FFFFFF"/>
            <w:noWrap/>
            <w:vAlign w:val="bottom"/>
          </w:tcPr>
          <w:p w14:paraId="5D524A5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18</w:t>
            </w:r>
          </w:p>
        </w:tc>
        <w:tc>
          <w:tcPr>
            <w:tcW w:w="577" w:type="dxa"/>
            <w:gridSpan w:val="3"/>
            <w:tcBorders>
              <w:top w:val="nil"/>
              <w:left w:val="nil"/>
              <w:bottom w:val="nil"/>
              <w:right w:val="single" w:sz="4" w:space="0" w:color="auto"/>
            </w:tcBorders>
            <w:shd w:val="clear" w:color="000000" w:fill="FFFFFF"/>
            <w:noWrap/>
            <w:vAlign w:val="bottom"/>
          </w:tcPr>
          <w:p w14:paraId="38FAE750"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16</w:t>
            </w:r>
          </w:p>
        </w:tc>
        <w:tc>
          <w:tcPr>
            <w:tcW w:w="709" w:type="dxa"/>
            <w:gridSpan w:val="2"/>
            <w:tcBorders>
              <w:top w:val="nil"/>
              <w:left w:val="nil"/>
              <w:bottom w:val="nil"/>
              <w:right w:val="nil"/>
            </w:tcBorders>
            <w:shd w:val="clear" w:color="000000" w:fill="FFFFFF"/>
            <w:noWrap/>
            <w:vAlign w:val="bottom"/>
          </w:tcPr>
          <w:p w14:paraId="0C88BDA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10</w:t>
            </w:r>
          </w:p>
        </w:tc>
        <w:tc>
          <w:tcPr>
            <w:tcW w:w="527" w:type="dxa"/>
            <w:gridSpan w:val="3"/>
            <w:tcBorders>
              <w:top w:val="nil"/>
              <w:left w:val="nil"/>
              <w:bottom w:val="nil"/>
              <w:right w:val="nil"/>
            </w:tcBorders>
            <w:shd w:val="clear" w:color="000000" w:fill="FFFFFF"/>
            <w:noWrap/>
            <w:vAlign w:val="bottom"/>
          </w:tcPr>
          <w:p w14:paraId="74DFB3F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8</w:t>
            </w:r>
          </w:p>
        </w:tc>
        <w:tc>
          <w:tcPr>
            <w:tcW w:w="629" w:type="dxa"/>
            <w:gridSpan w:val="3"/>
            <w:tcBorders>
              <w:top w:val="nil"/>
              <w:left w:val="nil"/>
              <w:bottom w:val="nil"/>
              <w:right w:val="nil"/>
            </w:tcBorders>
            <w:shd w:val="clear" w:color="000000" w:fill="FFFFFF"/>
            <w:noWrap/>
            <w:vAlign w:val="bottom"/>
          </w:tcPr>
          <w:p w14:paraId="4507C27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1.9</w:t>
            </w:r>
          </w:p>
        </w:tc>
        <w:tc>
          <w:tcPr>
            <w:tcW w:w="629" w:type="dxa"/>
            <w:gridSpan w:val="3"/>
            <w:tcBorders>
              <w:top w:val="nil"/>
              <w:left w:val="nil"/>
              <w:bottom w:val="nil"/>
              <w:right w:val="single" w:sz="4" w:space="0" w:color="auto"/>
            </w:tcBorders>
            <w:shd w:val="clear" w:color="000000" w:fill="FFFFFF"/>
            <w:noWrap/>
            <w:vAlign w:val="bottom"/>
          </w:tcPr>
          <w:p w14:paraId="55BCA18E"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3DFAB582"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399A363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Miss Selfridge</w:t>
            </w:r>
          </w:p>
        </w:tc>
        <w:tc>
          <w:tcPr>
            <w:tcW w:w="828" w:type="dxa"/>
            <w:tcBorders>
              <w:top w:val="nil"/>
              <w:left w:val="nil"/>
              <w:bottom w:val="nil"/>
              <w:right w:val="single" w:sz="4" w:space="0" w:color="auto"/>
            </w:tcBorders>
            <w:shd w:val="clear" w:color="000000" w:fill="FFFFFF"/>
            <w:noWrap/>
            <w:vAlign w:val="bottom"/>
          </w:tcPr>
          <w:p w14:paraId="6C1DDEF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tcPr>
          <w:p w14:paraId="5100DDB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FF"/>
            <w:noWrap/>
            <w:vAlign w:val="bottom"/>
          </w:tcPr>
          <w:p w14:paraId="2947744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w:t>
            </w:r>
          </w:p>
        </w:tc>
        <w:tc>
          <w:tcPr>
            <w:tcW w:w="630" w:type="dxa"/>
            <w:tcBorders>
              <w:top w:val="nil"/>
              <w:left w:val="single" w:sz="4" w:space="0" w:color="auto"/>
              <w:bottom w:val="nil"/>
              <w:right w:val="nil"/>
            </w:tcBorders>
            <w:shd w:val="clear" w:color="000000" w:fill="FFFFFF"/>
            <w:noWrap/>
            <w:vAlign w:val="bottom"/>
          </w:tcPr>
          <w:p w14:paraId="3545833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2.3</w:t>
            </w:r>
          </w:p>
        </w:tc>
        <w:tc>
          <w:tcPr>
            <w:tcW w:w="630" w:type="dxa"/>
            <w:tcBorders>
              <w:top w:val="nil"/>
              <w:left w:val="nil"/>
              <w:bottom w:val="nil"/>
              <w:right w:val="nil"/>
            </w:tcBorders>
            <w:shd w:val="clear" w:color="000000" w:fill="FFFFFF"/>
            <w:noWrap/>
            <w:vAlign w:val="bottom"/>
          </w:tcPr>
          <w:p w14:paraId="46C8B020"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2.6</w:t>
            </w:r>
          </w:p>
        </w:tc>
        <w:tc>
          <w:tcPr>
            <w:tcW w:w="515" w:type="dxa"/>
            <w:tcBorders>
              <w:top w:val="nil"/>
              <w:left w:val="single" w:sz="4" w:space="0" w:color="auto"/>
              <w:bottom w:val="nil"/>
              <w:right w:val="nil"/>
            </w:tcBorders>
            <w:shd w:val="clear" w:color="000000" w:fill="FFFFFF"/>
            <w:noWrap/>
            <w:vAlign w:val="bottom"/>
          </w:tcPr>
          <w:p w14:paraId="1C1983D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58</w:t>
            </w:r>
          </w:p>
        </w:tc>
        <w:tc>
          <w:tcPr>
            <w:tcW w:w="515" w:type="dxa"/>
            <w:tcBorders>
              <w:top w:val="nil"/>
              <w:left w:val="nil"/>
              <w:bottom w:val="nil"/>
              <w:right w:val="nil"/>
            </w:tcBorders>
            <w:shd w:val="clear" w:color="000000" w:fill="FFFFFF"/>
            <w:noWrap/>
            <w:vAlign w:val="bottom"/>
          </w:tcPr>
          <w:p w14:paraId="19E4464C"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55</w:t>
            </w:r>
          </w:p>
        </w:tc>
        <w:tc>
          <w:tcPr>
            <w:tcW w:w="515" w:type="dxa"/>
            <w:tcBorders>
              <w:top w:val="nil"/>
              <w:left w:val="nil"/>
              <w:bottom w:val="nil"/>
              <w:right w:val="nil"/>
            </w:tcBorders>
            <w:shd w:val="clear" w:color="000000" w:fill="FFFFFF"/>
            <w:noWrap/>
            <w:vAlign w:val="bottom"/>
          </w:tcPr>
          <w:p w14:paraId="65698E0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w:t>
            </w:r>
          </w:p>
        </w:tc>
        <w:tc>
          <w:tcPr>
            <w:tcW w:w="515" w:type="dxa"/>
            <w:tcBorders>
              <w:top w:val="nil"/>
              <w:left w:val="nil"/>
              <w:bottom w:val="nil"/>
              <w:right w:val="single" w:sz="4" w:space="0" w:color="auto"/>
            </w:tcBorders>
            <w:shd w:val="clear" w:color="000000" w:fill="FFFFFF"/>
            <w:noWrap/>
            <w:vAlign w:val="bottom"/>
          </w:tcPr>
          <w:p w14:paraId="1D797F47"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c>
          <w:tcPr>
            <w:tcW w:w="515" w:type="dxa"/>
            <w:tcBorders>
              <w:top w:val="nil"/>
              <w:left w:val="nil"/>
              <w:bottom w:val="nil"/>
              <w:right w:val="nil"/>
            </w:tcBorders>
            <w:shd w:val="clear" w:color="000000" w:fill="FFFFFF"/>
            <w:noWrap/>
            <w:vAlign w:val="bottom"/>
          </w:tcPr>
          <w:p w14:paraId="5914822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10</w:t>
            </w:r>
          </w:p>
        </w:tc>
        <w:tc>
          <w:tcPr>
            <w:tcW w:w="577" w:type="dxa"/>
            <w:gridSpan w:val="3"/>
            <w:tcBorders>
              <w:top w:val="nil"/>
              <w:left w:val="nil"/>
              <w:bottom w:val="nil"/>
              <w:right w:val="single" w:sz="4" w:space="0" w:color="auto"/>
            </w:tcBorders>
            <w:shd w:val="clear" w:color="000000" w:fill="FFFFFF"/>
            <w:noWrap/>
            <w:vAlign w:val="bottom"/>
          </w:tcPr>
          <w:p w14:paraId="02D14D2A"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16</w:t>
            </w:r>
          </w:p>
        </w:tc>
        <w:tc>
          <w:tcPr>
            <w:tcW w:w="709" w:type="dxa"/>
            <w:gridSpan w:val="2"/>
            <w:tcBorders>
              <w:top w:val="nil"/>
              <w:left w:val="nil"/>
              <w:bottom w:val="nil"/>
              <w:right w:val="nil"/>
            </w:tcBorders>
            <w:shd w:val="clear" w:color="000000" w:fill="FFFFFF"/>
            <w:noWrap/>
            <w:vAlign w:val="bottom"/>
          </w:tcPr>
          <w:p w14:paraId="3289EC9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w:t>
            </w:r>
          </w:p>
        </w:tc>
        <w:tc>
          <w:tcPr>
            <w:tcW w:w="527" w:type="dxa"/>
            <w:gridSpan w:val="3"/>
            <w:tcBorders>
              <w:top w:val="nil"/>
              <w:left w:val="nil"/>
              <w:bottom w:val="nil"/>
              <w:right w:val="nil"/>
            </w:tcBorders>
            <w:shd w:val="clear" w:color="000000" w:fill="FFFFFF"/>
            <w:noWrap/>
            <w:vAlign w:val="bottom"/>
          </w:tcPr>
          <w:p w14:paraId="70456C3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8</w:t>
            </w:r>
          </w:p>
        </w:tc>
        <w:tc>
          <w:tcPr>
            <w:tcW w:w="629" w:type="dxa"/>
            <w:gridSpan w:val="3"/>
            <w:tcBorders>
              <w:top w:val="nil"/>
              <w:left w:val="nil"/>
              <w:bottom w:val="nil"/>
              <w:right w:val="nil"/>
            </w:tcBorders>
            <w:shd w:val="clear" w:color="000000" w:fill="FFFFFF"/>
            <w:noWrap/>
            <w:vAlign w:val="bottom"/>
          </w:tcPr>
          <w:p w14:paraId="325650C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1.2</w:t>
            </w:r>
          </w:p>
        </w:tc>
        <w:tc>
          <w:tcPr>
            <w:tcW w:w="629" w:type="dxa"/>
            <w:gridSpan w:val="3"/>
            <w:tcBorders>
              <w:top w:val="nil"/>
              <w:left w:val="nil"/>
              <w:bottom w:val="nil"/>
              <w:right w:val="single" w:sz="4" w:space="0" w:color="auto"/>
            </w:tcBorders>
            <w:shd w:val="clear" w:color="000000" w:fill="FFFFFF"/>
            <w:noWrap/>
            <w:vAlign w:val="bottom"/>
          </w:tcPr>
          <w:p w14:paraId="3465BC6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782D2B96"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5612052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Zara</w:t>
            </w:r>
          </w:p>
        </w:tc>
        <w:tc>
          <w:tcPr>
            <w:tcW w:w="828" w:type="dxa"/>
            <w:tcBorders>
              <w:top w:val="nil"/>
              <w:left w:val="nil"/>
              <w:bottom w:val="nil"/>
              <w:right w:val="single" w:sz="4" w:space="0" w:color="auto"/>
            </w:tcBorders>
            <w:shd w:val="clear" w:color="000000" w:fill="FFFFFF"/>
            <w:noWrap/>
            <w:vAlign w:val="bottom"/>
          </w:tcPr>
          <w:p w14:paraId="0C5BB91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tcPr>
          <w:p w14:paraId="35D7F1E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FF"/>
            <w:noWrap/>
            <w:vAlign w:val="bottom"/>
          </w:tcPr>
          <w:p w14:paraId="3869241C"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w:t>
            </w:r>
          </w:p>
        </w:tc>
        <w:tc>
          <w:tcPr>
            <w:tcW w:w="630" w:type="dxa"/>
            <w:tcBorders>
              <w:top w:val="nil"/>
              <w:left w:val="single" w:sz="4" w:space="0" w:color="auto"/>
              <w:bottom w:val="nil"/>
              <w:right w:val="nil"/>
            </w:tcBorders>
            <w:shd w:val="clear" w:color="000000" w:fill="FFFFFF"/>
            <w:noWrap/>
            <w:vAlign w:val="bottom"/>
          </w:tcPr>
          <w:p w14:paraId="349B082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2.2</w:t>
            </w:r>
          </w:p>
        </w:tc>
        <w:tc>
          <w:tcPr>
            <w:tcW w:w="630" w:type="dxa"/>
            <w:tcBorders>
              <w:top w:val="nil"/>
              <w:left w:val="nil"/>
              <w:bottom w:val="nil"/>
              <w:right w:val="nil"/>
            </w:tcBorders>
            <w:shd w:val="clear" w:color="000000" w:fill="FFFFFF"/>
            <w:noWrap/>
            <w:vAlign w:val="bottom"/>
          </w:tcPr>
          <w:p w14:paraId="3A95CDE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2.6</w:t>
            </w:r>
          </w:p>
        </w:tc>
        <w:tc>
          <w:tcPr>
            <w:tcW w:w="515" w:type="dxa"/>
            <w:tcBorders>
              <w:top w:val="nil"/>
              <w:left w:val="single" w:sz="4" w:space="0" w:color="auto"/>
              <w:bottom w:val="nil"/>
              <w:right w:val="nil"/>
            </w:tcBorders>
            <w:shd w:val="clear" w:color="000000" w:fill="FFFFFF"/>
            <w:noWrap/>
            <w:vAlign w:val="bottom"/>
          </w:tcPr>
          <w:p w14:paraId="20085D0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69</w:t>
            </w:r>
          </w:p>
        </w:tc>
        <w:tc>
          <w:tcPr>
            <w:tcW w:w="515" w:type="dxa"/>
            <w:tcBorders>
              <w:top w:val="nil"/>
              <w:left w:val="nil"/>
              <w:bottom w:val="nil"/>
              <w:right w:val="nil"/>
            </w:tcBorders>
            <w:shd w:val="clear" w:color="000000" w:fill="FFFFFF"/>
            <w:noWrap/>
            <w:vAlign w:val="bottom"/>
          </w:tcPr>
          <w:p w14:paraId="7BE4932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55</w:t>
            </w:r>
          </w:p>
        </w:tc>
        <w:tc>
          <w:tcPr>
            <w:tcW w:w="515" w:type="dxa"/>
            <w:tcBorders>
              <w:top w:val="nil"/>
              <w:left w:val="nil"/>
              <w:bottom w:val="nil"/>
              <w:right w:val="nil"/>
            </w:tcBorders>
            <w:shd w:val="clear" w:color="000000" w:fill="FFFFFF"/>
            <w:noWrap/>
            <w:vAlign w:val="bottom"/>
          </w:tcPr>
          <w:p w14:paraId="0AEF1ECF"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w:t>
            </w:r>
          </w:p>
        </w:tc>
        <w:tc>
          <w:tcPr>
            <w:tcW w:w="515" w:type="dxa"/>
            <w:tcBorders>
              <w:top w:val="nil"/>
              <w:left w:val="nil"/>
              <w:bottom w:val="nil"/>
              <w:right w:val="single" w:sz="4" w:space="0" w:color="auto"/>
            </w:tcBorders>
            <w:shd w:val="clear" w:color="000000" w:fill="FFFFFF"/>
            <w:noWrap/>
            <w:vAlign w:val="bottom"/>
          </w:tcPr>
          <w:p w14:paraId="127DAF9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c>
          <w:tcPr>
            <w:tcW w:w="515" w:type="dxa"/>
            <w:tcBorders>
              <w:top w:val="nil"/>
              <w:left w:val="nil"/>
              <w:bottom w:val="nil"/>
              <w:right w:val="nil"/>
            </w:tcBorders>
            <w:shd w:val="clear" w:color="000000" w:fill="FFFFFF"/>
            <w:noWrap/>
            <w:vAlign w:val="bottom"/>
          </w:tcPr>
          <w:p w14:paraId="7AC6C74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12</w:t>
            </w:r>
          </w:p>
        </w:tc>
        <w:tc>
          <w:tcPr>
            <w:tcW w:w="577" w:type="dxa"/>
            <w:gridSpan w:val="3"/>
            <w:tcBorders>
              <w:top w:val="nil"/>
              <w:left w:val="nil"/>
              <w:bottom w:val="nil"/>
              <w:right w:val="single" w:sz="4" w:space="0" w:color="auto"/>
            </w:tcBorders>
            <w:shd w:val="clear" w:color="000000" w:fill="FFFFFF"/>
            <w:noWrap/>
            <w:vAlign w:val="bottom"/>
          </w:tcPr>
          <w:p w14:paraId="36D856F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16</w:t>
            </w:r>
          </w:p>
        </w:tc>
        <w:tc>
          <w:tcPr>
            <w:tcW w:w="709" w:type="dxa"/>
            <w:gridSpan w:val="2"/>
            <w:tcBorders>
              <w:top w:val="nil"/>
              <w:left w:val="nil"/>
              <w:bottom w:val="nil"/>
              <w:right w:val="nil"/>
            </w:tcBorders>
            <w:shd w:val="clear" w:color="000000" w:fill="FFFFFF"/>
            <w:noWrap/>
            <w:vAlign w:val="bottom"/>
          </w:tcPr>
          <w:p w14:paraId="248E4AE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w:t>
            </w:r>
          </w:p>
        </w:tc>
        <w:tc>
          <w:tcPr>
            <w:tcW w:w="527" w:type="dxa"/>
            <w:gridSpan w:val="3"/>
            <w:tcBorders>
              <w:top w:val="nil"/>
              <w:left w:val="nil"/>
              <w:bottom w:val="nil"/>
              <w:right w:val="nil"/>
            </w:tcBorders>
            <w:shd w:val="clear" w:color="000000" w:fill="FFFFFF"/>
            <w:noWrap/>
            <w:vAlign w:val="bottom"/>
          </w:tcPr>
          <w:p w14:paraId="01DB7634"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8</w:t>
            </w:r>
          </w:p>
        </w:tc>
        <w:tc>
          <w:tcPr>
            <w:tcW w:w="629" w:type="dxa"/>
            <w:gridSpan w:val="3"/>
            <w:tcBorders>
              <w:top w:val="nil"/>
              <w:left w:val="nil"/>
              <w:bottom w:val="nil"/>
              <w:right w:val="nil"/>
            </w:tcBorders>
            <w:shd w:val="clear" w:color="000000" w:fill="FFFFFF"/>
            <w:noWrap/>
            <w:vAlign w:val="bottom"/>
          </w:tcPr>
          <w:p w14:paraId="5B5261E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1.2</w:t>
            </w:r>
          </w:p>
        </w:tc>
        <w:tc>
          <w:tcPr>
            <w:tcW w:w="629" w:type="dxa"/>
            <w:gridSpan w:val="3"/>
            <w:tcBorders>
              <w:top w:val="nil"/>
              <w:left w:val="nil"/>
              <w:bottom w:val="nil"/>
              <w:right w:val="single" w:sz="4" w:space="0" w:color="auto"/>
            </w:tcBorders>
            <w:shd w:val="clear" w:color="000000" w:fill="FFFFFF"/>
            <w:noWrap/>
            <w:vAlign w:val="bottom"/>
          </w:tcPr>
          <w:p w14:paraId="02830A42"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5C29448F"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77EE20B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Wallis</w:t>
            </w:r>
          </w:p>
        </w:tc>
        <w:tc>
          <w:tcPr>
            <w:tcW w:w="828" w:type="dxa"/>
            <w:tcBorders>
              <w:top w:val="nil"/>
              <w:left w:val="nil"/>
              <w:bottom w:val="nil"/>
              <w:right w:val="single" w:sz="4" w:space="0" w:color="auto"/>
            </w:tcBorders>
            <w:shd w:val="clear" w:color="000000" w:fill="FFFFFF"/>
            <w:noWrap/>
            <w:vAlign w:val="bottom"/>
          </w:tcPr>
          <w:p w14:paraId="056ADE3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tcPr>
          <w:p w14:paraId="6FDA7DB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FF"/>
            <w:noWrap/>
            <w:vAlign w:val="bottom"/>
          </w:tcPr>
          <w:p w14:paraId="2C161B71"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w:t>
            </w:r>
          </w:p>
        </w:tc>
        <w:tc>
          <w:tcPr>
            <w:tcW w:w="630" w:type="dxa"/>
            <w:tcBorders>
              <w:top w:val="nil"/>
              <w:left w:val="single" w:sz="4" w:space="0" w:color="auto"/>
              <w:bottom w:val="nil"/>
              <w:right w:val="nil"/>
            </w:tcBorders>
            <w:shd w:val="clear" w:color="000000" w:fill="FFFFFF"/>
            <w:noWrap/>
            <w:vAlign w:val="bottom"/>
          </w:tcPr>
          <w:p w14:paraId="672793F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2.0</w:t>
            </w:r>
          </w:p>
        </w:tc>
        <w:tc>
          <w:tcPr>
            <w:tcW w:w="630" w:type="dxa"/>
            <w:tcBorders>
              <w:top w:val="nil"/>
              <w:left w:val="nil"/>
              <w:bottom w:val="nil"/>
              <w:right w:val="nil"/>
            </w:tcBorders>
            <w:shd w:val="clear" w:color="000000" w:fill="FFFFFF"/>
            <w:noWrap/>
            <w:vAlign w:val="bottom"/>
          </w:tcPr>
          <w:p w14:paraId="74655E3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2.6</w:t>
            </w:r>
          </w:p>
        </w:tc>
        <w:tc>
          <w:tcPr>
            <w:tcW w:w="515" w:type="dxa"/>
            <w:tcBorders>
              <w:top w:val="nil"/>
              <w:left w:val="single" w:sz="4" w:space="0" w:color="auto"/>
              <w:bottom w:val="nil"/>
              <w:right w:val="nil"/>
            </w:tcBorders>
            <w:shd w:val="clear" w:color="000000" w:fill="FFFFFF"/>
            <w:noWrap/>
            <w:vAlign w:val="bottom"/>
          </w:tcPr>
          <w:p w14:paraId="6FDCA09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68</w:t>
            </w:r>
          </w:p>
        </w:tc>
        <w:tc>
          <w:tcPr>
            <w:tcW w:w="515" w:type="dxa"/>
            <w:tcBorders>
              <w:top w:val="nil"/>
              <w:left w:val="nil"/>
              <w:bottom w:val="nil"/>
              <w:right w:val="nil"/>
            </w:tcBorders>
            <w:shd w:val="clear" w:color="000000" w:fill="FFFFFF"/>
            <w:noWrap/>
            <w:vAlign w:val="bottom"/>
          </w:tcPr>
          <w:p w14:paraId="7E09089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56</w:t>
            </w:r>
          </w:p>
        </w:tc>
        <w:tc>
          <w:tcPr>
            <w:tcW w:w="515" w:type="dxa"/>
            <w:tcBorders>
              <w:top w:val="nil"/>
              <w:left w:val="nil"/>
              <w:bottom w:val="nil"/>
              <w:right w:val="nil"/>
            </w:tcBorders>
            <w:shd w:val="clear" w:color="000000" w:fill="FFFFFF"/>
            <w:noWrap/>
            <w:vAlign w:val="bottom"/>
          </w:tcPr>
          <w:p w14:paraId="3B9B2C9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4</w:t>
            </w:r>
          </w:p>
        </w:tc>
        <w:tc>
          <w:tcPr>
            <w:tcW w:w="515" w:type="dxa"/>
            <w:tcBorders>
              <w:top w:val="nil"/>
              <w:left w:val="nil"/>
              <w:bottom w:val="nil"/>
              <w:right w:val="single" w:sz="4" w:space="0" w:color="auto"/>
            </w:tcBorders>
            <w:shd w:val="clear" w:color="000000" w:fill="FFFFFF"/>
            <w:noWrap/>
            <w:vAlign w:val="bottom"/>
          </w:tcPr>
          <w:p w14:paraId="4B0AB5C9"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c>
          <w:tcPr>
            <w:tcW w:w="515" w:type="dxa"/>
            <w:tcBorders>
              <w:top w:val="nil"/>
              <w:left w:val="nil"/>
              <w:bottom w:val="nil"/>
              <w:right w:val="nil"/>
            </w:tcBorders>
            <w:shd w:val="clear" w:color="000000" w:fill="FFFFFF"/>
            <w:noWrap/>
            <w:vAlign w:val="bottom"/>
          </w:tcPr>
          <w:p w14:paraId="74ECAF7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20</w:t>
            </w:r>
          </w:p>
        </w:tc>
        <w:tc>
          <w:tcPr>
            <w:tcW w:w="577" w:type="dxa"/>
            <w:gridSpan w:val="3"/>
            <w:tcBorders>
              <w:top w:val="nil"/>
              <w:left w:val="nil"/>
              <w:bottom w:val="nil"/>
              <w:right w:val="single" w:sz="4" w:space="0" w:color="auto"/>
            </w:tcBorders>
            <w:shd w:val="clear" w:color="000000" w:fill="FFFFFF"/>
            <w:noWrap/>
            <w:vAlign w:val="bottom"/>
          </w:tcPr>
          <w:p w14:paraId="37137092"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16</w:t>
            </w:r>
          </w:p>
        </w:tc>
        <w:tc>
          <w:tcPr>
            <w:tcW w:w="709" w:type="dxa"/>
            <w:gridSpan w:val="2"/>
            <w:tcBorders>
              <w:top w:val="nil"/>
              <w:left w:val="nil"/>
              <w:bottom w:val="nil"/>
              <w:right w:val="nil"/>
            </w:tcBorders>
            <w:shd w:val="clear" w:color="000000" w:fill="FFFFFF"/>
            <w:noWrap/>
            <w:vAlign w:val="bottom"/>
          </w:tcPr>
          <w:p w14:paraId="7FD267E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8</w:t>
            </w:r>
          </w:p>
        </w:tc>
        <w:tc>
          <w:tcPr>
            <w:tcW w:w="527" w:type="dxa"/>
            <w:gridSpan w:val="3"/>
            <w:tcBorders>
              <w:top w:val="nil"/>
              <w:left w:val="nil"/>
              <w:bottom w:val="nil"/>
              <w:right w:val="nil"/>
            </w:tcBorders>
            <w:shd w:val="clear" w:color="000000" w:fill="FFFFFF"/>
            <w:noWrap/>
            <w:vAlign w:val="bottom"/>
          </w:tcPr>
          <w:p w14:paraId="45E81095"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8</w:t>
            </w:r>
          </w:p>
        </w:tc>
        <w:tc>
          <w:tcPr>
            <w:tcW w:w="629" w:type="dxa"/>
            <w:gridSpan w:val="3"/>
            <w:tcBorders>
              <w:top w:val="nil"/>
              <w:left w:val="nil"/>
              <w:bottom w:val="nil"/>
              <w:right w:val="nil"/>
            </w:tcBorders>
            <w:shd w:val="clear" w:color="000000" w:fill="FFFFFF"/>
            <w:noWrap/>
            <w:vAlign w:val="bottom"/>
          </w:tcPr>
          <w:p w14:paraId="72D1090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2.0</w:t>
            </w:r>
          </w:p>
        </w:tc>
        <w:tc>
          <w:tcPr>
            <w:tcW w:w="629" w:type="dxa"/>
            <w:gridSpan w:val="3"/>
            <w:tcBorders>
              <w:top w:val="nil"/>
              <w:left w:val="nil"/>
              <w:bottom w:val="nil"/>
              <w:right w:val="single" w:sz="4" w:space="0" w:color="auto"/>
            </w:tcBorders>
            <w:shd w:val="clear" w:color="000000" w:fill="FFFFFF"/>
            <w:noWrap/>
            <w:vAlign w:val="bottom"/>
          </w:tcPr>
          <w:p w14:paraId="585551A0"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61223554"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36380F3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828" w:type="dxa"/>
            <w:tcBorders>
              <w:top w:val="nil"/>
              <w:left w:val="nil"/>
              <w:bottom w:val="nil"/>
              <w:right w:val="single" w:sz="4" w:space="0" w:color="auto"/>
            </w:tcBorders>
            <w:shd w:val="clear" w:color="000000" w:fill="FFFFFF"/>
            <w:noWrap/>
            <w:vAlign w:val="bottom"/>
          </w:tcPr>
          <w:p w14:paraId="1FABC49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1BA0822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77AE1B0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630" w:type="dxa"/>
            <w:tcBorders>
              <w:top w:val="nil"/>
              <w:left w:val="single" w:sz="4" w:space="0" w:color="auto"/>
              <w:bottom w:val="nil"/>
              <w:right w:val="nil"/>
            </w:tcBorders>
            <w:shd w:val="clear" w:color="000000" w:fill="FFFFFF"/>
            <w:noWrap/>
            <w:vAlign w:val="bottom"/>
          </w:tcPr>
          <w:p w14:paraId="6D51092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30" w:type="dxa"/>
            <w:tcBorders>
              <w:top w:val="nil"/>
              <w:left w:val="nil"/>
              <w:bottom w:val="nil"/>
              <w:right w:val="nil"/>
            </w:tcBorders>
            <w:shd w:val="clear" w:color="000000" w:fill="FFFFFF"/>
            <w:noWrap/>
            <w:vAlign w:val="bottom"/>
          </w:tcPr>
          <w:p w14:paraId="58DA17EE"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single" w:sz="4" w:space="0" w:color="auto"/>
              <w:bottom w:val="nil"/>
              <w:right w:val="nil"/>
            </w:tcBorders>
            <w:shd w:val="clear" w:color="000000" w:fill="FFFFFF"/>
            <w:noWrap/>
            <w:vAlign w:val="bottom"/>
          </w:tcPr>
          <w:p w14:paraId="41D4E6C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nil"/>
            </w:tcBorders>
            <w:shd w:val="clear" w:color="000000" w:fill="FFFFFF"/>
            <w:noWrap/>
            <w:vAlign w:val="bottom"/>
          </w:tcPr>
          <w:p w14:paraId="1FA6D1B7"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5DC8166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single" w:sz="4" w:space="0" w:color="auto"/>
            </w:tcBorders>
            <w:shd w:val="clear" w:color="000000" w:fill="FFFFFF"/>
            <w:noWrap/>
            <w:vAlign w:val="bottom"/>
          </w:tcPr>
          <w:p w14:paraId="60101461"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515" w:type="dxa"/>
            <w:tcBorders>
              <w:top w:val="nil"/>
              <w:left w:val="nil"/>
              <w:bottom w:val="nil"/>
              <w:right w:val="nil"/>
            </w:tcBorders>
            <w:shd w:val="clear" w:color="000000" w:fill="FFFFFF"/>
            <w:noWrap/>
            <w:vAlign w:val="bottom"/>
          </w:tcPr>
          <w:p w14:paraId="63EAB87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77" w:type="dxa"/>
            <w:gridSpan w:val="3"/>
            <w:tcBorders>
              <w:top w:val="nil"/>
              <w:left w:val="nil"/>
              <w:bottom w:val="nil"/>
              <w:right w:val="single" w:sz="4" w:space="0" w:color="auto"/>
            </w:tcBorders>
            <w:shd w:val="clear" w:color="000000" w:fill="FFFFFF"/>
            <w:noWrap/>
            <w:vAlign w:val="bottom"/>
          </w:tcPr>
          <w:p w14:paraId="3EB35DEF"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709" w:type="dxa"/>
            <w:gridSpan w:val="2"/>
            <w:tcBorders>
              <w:top w:val="nil"/>
              <w:left w:val="nil"/>
              <w:bottom w:val="nil"/>
              <w:right w:val="nil"/>
            </w:tcBorders>
            <w:shd w:val="clear" w:color="000000" w:fill="FFFFFF"/>
            <w:noWrap/>
            <w:vAlign w:val="bottom"/>
          </w:tcPr>
          <w:p w14:paraId="0227763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27" w:type="dxa"/>
            <w:gridSpan w:val="3"/>
            <w:tcBorders>
              <w:top w:val="nil"/>
              <w:left w:val="nil"/>
              <w:bottom w:val="nil"/>
              <w:right w:val="nil"/>
            </w:tcBorders>
            <w:shd w:val="clear" w:color="000000" w:fill="FFFFFF"/>
            <w:noWrap/>
            <w:vAlign w:val="bottom"/>
          </w:tcPr>
          <w:p w14:paraId="3EEECE08"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c>
          <w:tcPr>
            <w:tcW w:w="629" w:type="dxa"/>
            <w:gridSpan w:val="3"/>
            <w:tcBorders>
              <w:top w:val="nil"/>
              <w:left w:val="nil"/>
              <w:bottom w:val="nil"/>
              <w:right w:val="nil"/>
            </w:tcBorders>
            <w:shd w:val="clear" w:color="000000" w:fill="FFFFFF"/>
            <w:noWrap/>
            <w:vAlign w:val="bottom"/>
          </w:tcPr>
          <w:p w14:paraId="6A62EFA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9" w:type="dxa"/>
            <w:gridSpan w:val="3"/>
            <w:tcBorders>
              <w:top w:val="nil"/>
              <w:left w:val="nil"/>
              <w:bottom w:val="nil"/>
              <w:right w:val="single" w:sz="4" w:space="0" w:color="auto"/>
            </w:tcBorders>
            <w:shd w:val="clear" w:color="000000" w:fill="FFFFFF"/>
            <w:noWrap/>
            <w:vAlign w:val="bottom"/>
          </w:tcPr>
          <w:p w14:paraId="70900BD1"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 </w:t>
            </w:r>
          </w:p>
        </w:tc>
      </w:tr>
      <w:tr w:rsidR="00B47497" w:rsidRPr="00B04106" w14:paraId="0FDB5132" w14:textId="77777777">
        <w:trPr>
          <w:gridAfter w:val="2"/>
          <w:wAfter w:w="1004"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7864C0A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Average </w:t>
            </w:r>
          </w:p>
        </w:tc>
        <w:tc>
          <w:tcPr>
            <w:tcW w:w="828" w:type="dxa"/>
            <w:tcBorders>
              <w:top w:val="nil"/>
              <w:left w:val="nil"/>
              <w:bottom w:val="nil"/>
              <w:right w:val="single" w:sz="4" w:space="0" w:color="auto"/>
            </w:tcBorders>
            <w:shd w:val="clear" w:color="000000" w:fill="FFFFFF"/>
            <w:noWrap/>
            <w:vAlign w:val="bottom"/>
          </w:tcPr>
          <w:p w14:paraId="4C3F275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w:t>
            </w:r>
          </w:p>
        </w:tc>
        <w:tc>
          <w:tcPr>
            <w:tcW w:w="620" w:type="dxa"/>
            <w:tcBorders>
              <w:top w:val="nil"/>
              <w:left w:val="nil"/>
              <w:bottom w:val="nil"/>
              <w:right w:val="nil"/>
            </w:tcBorders>
            <w:shd w:val="clear" w:color="000000" w:fill="FFFFFF"/>
            <w:noWrap/>
            <w:vAlign w:val="bottom"/>
          </w:tcPr>
          <w:p w14:paraId="2DD55E2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w:t>
            </w:r>
          </w:p>
        </w:tc>
        <w:tc>
          <w:tcPr>
            <w:tcW w:w="620" w:type="dxa"/>
            <w:tcBorders>
              <w:top w:val="nil"/>
              <w:left w:val="nil"/>
              <w:bottom w:val="nil"/>
              <w:right w:val="nil"/>
            </w:tcBorders>
            <w:shd w:val="clear" w:color="000000" w:fill="FFFFFF"/>
            <w:noWrap/>
            <w:vAlign w:val="bottom"/>
          </w:tcPr>
          <w:p w14:paraId="6D8A737B"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7</w:t>
            </w:r>
          </w:p>
        </w:tc>
        <w:tc>
          <w:tcPr>
            <w:tcW w:w="630" w:type="dxa"/>
            <w:tcBorders>
              <w:top w:val="nil"/>
              <w:left w:val="single" w:sz="4" w:space="0" w:color="auto"/>
              <w:bottom w:val="nil"/>
              <w:right w:val="nil"/>
            </w:tcBorders>
            <w:shd w:val="clear" w:color="000000" w:fill="FFFFFF"/>
            <w:noWrap/>
            <w:vAlign w:val="bottom"/>
          </w:tcPr>
          <w:p w14:paraId="737D2A0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3.1</w:t>
            </w:r>
          </w:p>
        </w:tc>
        <w:tc>
          <w:tcPr>
            <w:tcW w:w="630" w:type="dxa"/>
            <w:tcBorders>
              <w:top w:val="nil"/>
              <w:left w:val="nil"/>
              <w:bottom w:val="nil"/>
              <w:right w:val="nil"/>
            </w:tcBorders>
            <w:shd w:val="clear" w:color="000000" w:fill="FFFFFF"/>
            <w:noWrap/>
            <w:vAlign w:val="bottom"/>
          </w:tcPr>
          <w:p w14:paraId="23C2EBA6"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2.9</w:t>
            </w:r>
          </w:p>
        </w:tc>
        <w:tc>
          <w:tcPr>
            <w:tcW w:w="515" w:type="dxa"/>
            <w:tcBorders>
              <w:top w:val="nil"/>
              <w:left w:val="single" w:sz="4" w:space="0" w:color="auto"/>
              <w:bottom w:val="nil"/>
              <w:right w:val="nil"/>
            </w:tcBorders>
            <w:shd w:val="clear" w:color="000000" w:fill="FFFFFF"/>
            <w:noWrap/>
            <w:vAlign w:val="bottom"/>
          </w:tcPr>
          <w:p w14:paraId="07D6F85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57</w:t>
            </w:r>
          </w:p>
        </w:tc>
        <w:tc>
          <w:tcPr>
            <w:tcW w:w="515" w:type="dxa"/>
            <w:tcBorders>
              <w:top w:val="nil"/>
              <w:left w:val="nil"/>
              <w:bottom w:val="nil"/>
              <w:right w:val="nil"/>
            </w:tcBorders>
            <w:shd w:val="clear" w:color="000000" w:fill="FFFFFF"/>
            <w:noWrap/>
            <w:vAlign w:val="bottom"/>
          </w:tcPr>
          <w:p w14:paraId="5D016AC2"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51</w:t>
            </w:r>
          </w:p>
        </w:tc>
        <w:tc>
          <w:tcPr>
            <w:tcW w:w="515" w:type="dxa"/>
            <w:tcBorders>
              <w:top w:val="nil"/>
              <w:left w:val="nil"/>
              <w:bottom w:val="nil"/>
              <w:right w:val="nil"/>
            </w:tcBorders>
            <w:shd w:val="clear" w:color="000000" w:fill="FFFFFF"/>
            <w:noWrap/>
            <w:vAlign w:val="bottom"/>
          </w:tcPr>
          <w:p w14:paraId="1A696FD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9</w:t>
            </w:r>
          </w:p>
        </w:tc>
        <w:tc>
          <w:tcPr>
            <w:tcW w:w="515" w:type="dxa"/>
            <w:tcBorders>
              <w:top w:val="nil"/>
              <w:left w:val="nil"/>
              <w:bottom w:val="nil"/>
              <w:right w:val="single" w:sz="4" w:space="0" w:color="auto"/>
            </w:tcBorders>
            <w:shd w:val="clear" w:color="000000" w:fill="FFFFFF"/>
            <w:noWrap/>
            <w:vAlign w:val="bottom"/>
          </w:tcPr>
          <w:p w14:paraId="59F36883"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16</w:t>
            </w:r>
          </w:p>
        </w:tc>
        <w:tc>
          <w:tcPr>
            <w:tcW w:w="515" w:type="dxa"/>
            <w:tcBorders>
              <w:top w:val="nil"/>
              <w:left w:val="nil"/>
              <w:bottom w:val="nil"/>
              <w:right w:val="nil"/>
            </w:tcBorders>
            <w:shd w:val="clear" w:color="000000" w:fill="FFFFFF"/>
            <w:noWrap/>
            <w:vAlign w:val="bottom"/>
          </w:tcPr>
          <w:p w14:paraId="69FD3D4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24</w:t>
            </w:r>
          </w:p>
        </w:tc>
        <w:tc>
          <w:tcPr>
            <w:tcW w:w="577" w:type="dxa"/>
            <w:gridSpan w:val="3"/>
            <w:tcBorders>
              <w:top w:val="nil"/>
              <w:left w:val="nil"/>
              <w:bottom w:val="nil"/>
              <w:right w:val="single" w:sz="4" w:space="0" w:color="auto"/>
            </w:tcBorders>
            <w:shd w:val="clear" w:color="000000" w:fill="FFFFFF"/>
            <w:noWrap/>
            <w:vAlign w:val="bottom"/>
          </w:tcPr>
          <w:p w14:paraId="3324EF3D"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20</w:t>
            </w:r>
          </w:p>
        </w:tc>
        <w:tc>
          <w:tcPr>
            <w:tcW w:w="709" w:type="dxa"/>
            <w:gridSpan w:val="2"/>
            <w:tcBorders>
              <w:top w:val="nil"/>
              <w:left w:val="nil"/>
              <w:bottom w:val="nil"/>
              <w:right w:val="nil"/>
            </w:tcBorders>
            <w:shd w:val="clear" w:color="000000" w:fill="FFFFFF"/>
            <w:noWrap/>
            <w:vAlign w:val="bottom"/>
          </w:tcPr>
          <w:p w14:paraId="2AFAC93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11</w:t>
            </w:r>
          </w:p>
        </w:tc>
        <w:tc>
          <w:tcPr>
            <w:tcW w:w="527" w:type="dxa"/>
            <w:gridSpan w:val="3"/>
            <w:tcBorders>
              <w:top w:val="nil"/>
              <w:left w:val="nil"/>
              <w:bottom w:val="nil"/>
              <w:right w:val="nil"/>
            </w:tcBorders>
            <w:shd w:val="clear" w:color="000000" w:fill="FFFFFF"/>
            <w:noWrap/>
            <w:vAlign w:val="bottom"/>
          </w:tcPr>
          <w:p w14:paraId="7205CC1E"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10</w:t>
            </w:r>
          </w:p>
        </w:tc>
        <w:tc>
          <w:tcPr>
            <w:tcW w:w="629" w:type="dxa"/>
            <w:gridSpan w:val="3"/>
            <w:tcBorders>
              <w:top w:val="nil"/>
              <w:left w:val="nil"/>
              <w:bottom w:val="nil"/>
              <w:right w:val="nil"/>
            </w:tcBorders>
            <w:shd w:val="clear" w:color="000000" w:fill="FFFFFF"/>
            <w:noWrap/>
            <w:vAlign w:val="bottom"/>
          </w:tcPr>
          <w:p w14:paraId="6374A13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2.3</w:t>
            </w:r>
          </w:p>
        </w:tc>
        <w:tc>
          <w:tcPr>
            <w:tcW w:w="629" w:type="dxa"/>
            <w:gridSpan w:val="3"/>
            <w:tcBorders>
              <w:top w:val="nil"/>
              <w:left w:val="nil"/>
              <w:bottom w:val="nil"/>
              <w:right w:val="single" w:sz="4" w:space="0" w:color="auto"/>
            </w:tcBorders>
            <w:shd w:val="clear" w:color="000000" w:fill="FFFFFF"/>
            <w:noWrap/>
            <w:vAlign w:val="bottom"/>
          </w:tcPr>
          <w:p w14:paraId="0C5ABB97" w14:textId="77777777" w:rsidR="00B47497" w:rsidRPr="00AE16D2" w:rsidRDefault="00B47497" w:rsidP="000607E8">
            <w:pPr>
              <w:spacing w:after="0" w:line="360" w:lineRule="auto"/>
              <w:jc w:val="both"/>
              <w:rPr>
                <w:rFonts w:ascii="Arial" w:eastAsia="Times New Roman" w:hAnsi="Arial" w:cs="Arial"/>
                <w:b/>
                <w:bCs/>
                <w:sz w:val="20"/>
                <w:szCs w:val="20"/>
                <w:lang w:eastAsia="en-US"/>
              </w:rPr>
            </w:pPr>
            <w:r w:rsidRPr="00AE16D2">
              <w:rPr>
                <w:rFonts w:ascii="Arial" w:eastAsia="Times New Roman" w:hAnsi="Arial" w:cs="Arial"/>
                <w:b/>
                <w:bCs/>
                <w:sz w:val="20"/>
                <w:szCs w:val="20"/>
                <w:lang w:eastAsia="en-US"/>
              </w:rPr>
              <w:t>1.3</w:t>
            </w:r>
          </w:p>
        </w:tc>
      </w:tr>
      <w:tr w:rsidR="00B47497" w:rsidRPr="00B04106" w14:paraId="262E43AF" w14:textId="77777777">
        <w:trPr>
          <w:gridAfter w:val="3"/>
          <w:wAfter w:w="1062"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6BC6ADA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MAD</w:t>
            </w:r>
          </w:p>
        </w:tc>
        <w:tc>
          <w:tcPr>
            <w:tcW w:w="828" w:type="dxa"/>
            <w:tcBorders>
              <w:top w:val="nil"/>
              <w:left w:val="nil"/>
              <w:bottom w:val="nil"/>
              <w:right w:val="single" w:sz="4" w:space="0" w:color="auto"/>
            </w:tcBorders>
            <w:shd w:val="clear" w:color="000000" w:fill="FFFFFF"/>
            <w:noWrap/>
            <w:vAlign w:val="bottom"/>
          </w:tcPr>
          <w:p w14:paraId="3FFFB16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1240" w:type="dxa"/>
            <w:gridSpan w:val="2"/>
            <w:tcBorders>
              <w:top w:val="nil"/>
              <w:left w:val="nil"/>
              <w:bottom w:val="nil"/>
              <w:right w:val="single" w:sz="4" w:space="0" w:color="000000"/>
            </w:tcBorders>
            <w:shd w:val="clear" w:color="000000" w:fill="FFFFFF"/>
            <w:noWrap/>
            <w:vAlign w:val="bottom"/>
          </w:tcPr>
          <w:p w14:paraId="4F44E9E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w:t>
            </w:r>
          </w:p>
        </w:tc>
        <w:tc>
          <w:tcPr>
            <w:tcW w:w="1260" w:type="dxa"/>
            <w:gridSpan w:val="2"/>
            <w:tcBorders>
              <w:top w:val="nil"/>
              <w:left w:val="nil"/>
              <w:bottom w:val="nil"/>
              <w:right w:val="single" w:sz="4" w:space="0" w:color="000000"/>
            </w:tcBorders>
            <w:shd w:val="clear" w:color="000000" w:fill="FFFFFF"/>
            <w:noWrap/>
            <w:vAlign w:val="bottom"/>
          </w:tcPr>
          <w:p w14:paraId="21CEDD1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0.5</w:t>
            </w:r>
          </w:p>
        </w:tc>
        <w:tc>
          <w:tcPr>
            <w:tcW w:w="1030" w:type="dxa"/>
            <w:gridSpan w:val="2"/>
            <w:tcBorders>
              <w:top w:val="nil"/>
              <w:left w:val="nil"/>
              <w:bottom w:val="nil"/>
              <w:right w:val="nil"/>
            </w:tcBorders>
            <w:shd w:val="clear" w:color="000000" w:fill="FFFFFF"/>
            <w:noWrap/>
            <w:vAlign w:val="bottom"/>
          </w:tcPr>
          <w:p w14:paraId="1804E42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w:t>
            </w:r>
          </w:p>
        </w:tc>
        <w:tc>
          <w:tcPr>
            <w:tcW w:w="1030" w:type="dxa"/>
            <w:gridSpan w:val="2"/>
            <w:tcBorders>
              <w:top w:val="nil"/>
              <w:left w:val="nil"/>
              <w:bottom w:val="nil"/>
              <w:right w:val="single" w:sz="4" w:space="0" w:color="000000"/>
            </w:tcBorders>
            <w:shd w:val="clear" w:color="000000" w:fill="FFFFFF"/>
            <w:noWrap/>
            <w:vAlign w:val="bottom"/>
          </w:tcPr>
          <w:p w14:paraId="0EB2288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w:t>
            </w:r>
          </w:p>
        </w:tc>
        <w:tc>
          <w:tcPr>
            <w:tcW w:w="1092" w:type="dxa"/>
            <w:gridSpan w:val="4"/>
            <w:tcBorders>
              <w:top w:val="nil"/>
              <w:left w:val="nil"/>
              <w:bottom w:val="nil"/>
              <w:right w:val="single" w:sz="4" w:space="0" w:color="000000"/>
            </w:tcBorders>
            <w:shd w:val="clear" w:color="000000" w:fill="FFFFFF"/>
            <w:noWrap/>
            <w:vAlign w:val="bottom"/>
          </w:tcPr>
          <w:p w14:paraId="63C993E4"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7</w:t>
            </w:r>
          </w:p>
        </w:tc>
        <w:tc>
          <w:tcPr>
            <w:tcW w:w="1178" w:type="dxa"/>
            <w:gridSpan w:val="4"/>
            <w:tcBorders>
              <w:top w:val="nil"/>
              <w:left w:val="nil"/>
              <w:bottom w:val="nil"/>
              <w:right w:val="nil"/>
            </w:tcBorders>
            <w:shd w:val="clear" w:color="000000" w:fill="FFFFFF"/>
            <w:noWrap/>
            <w:vAlign w:val="bottom"/>
          </w:tcPr>
          <w:p w14:paraId="473B6B4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6</w:t>
            </w:r>
          </w:p>
        </w:tc>
        <w:tc>
          <w:tcPr>
            <w:tcW w:w="1258" w:type="dxa"/>
            <w:gridSpan w:val="6"/>
            <w:tcBorders>
              <w:top w:val="nil"/>
              <w:left w:val="nil"/>
              <w:bottom w:val="nil"/>
              <w:right w:val="single" w:sz="4" w:space="0" w:color="000000"/>
            </w:tcBorders>
            <w:shd w:val="clear" w:color="000000" w:fill="FFFFFF"/>
            <w:noWrap/>
            <w:vAlign w:val="bottom"/>
          </w:tcPr>
          <w:p w14:paraId="4D8FF17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1.0</w:t>
            </w:r>
          </w:p>
        </w:tc>
      </w:tr>
      <w:tr w:rsidR="00B47497" w:rsidRPr="00B04106" w14:paraId="46CE74DC" w14:textId="77777777">
        <w:trPr>
          <w:gridAfter w:val="3"/>
          <w:wAfter w:w="1062" w:type="dxa"/>
          <w:trHeight w:val="240"/>
        </w:trPr>
        <w:tc>
          <w:tcPr>
            <w:tcW w:w="2040" w:type="dxa"/>
            <w:tcBorders>
              <w:top w:val="nil"/>
              <w:left w:val="single" w:sz="4" w:space="0" w:color="auto"/>
              <w:bottom w:val="nil"/>
              <w:right w:val="single" w:sz="4" w:space="0" w:color="auto"/>
            </w:tcBorders>
            <w:shd w:val="clear" w:color="000000" w:fill="FFFFFF"/>
            <w:noWrap/>
            <w:vAlign w:val="bottom"/>
          </w:tcPr>
          <w:p w14:paraId="57E75CE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xml:space="preserve"> Correlation</w:t>
            </w:r>
          </w:p>
        </w:tc>
        <w:tc>
          <w:tcPr>
            <w:tcW w:w="828" w:type="dxa"/>
            <w:tcBorders>
              <w:top w:val="nil"/>
              <w:left w:val="nil"/>
              <w:bottom w:val="nil"/>
              <w:right w:val="single" w:sz="4" w:space="0" w:color="auto"/>
            </w:tcBorders>
            <w:shd w:val="clear" w:color="000000" w:fill="FFFFFF"/>
            <w:noWrap/>
            <w:vAlign w:val="bottom"/>
          </w:tcPr>
          <w:p w14:paraId="61E4CD7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1240" w:type="dxa"/>
            <w:gridSpan w:val="2"/>
            <w:tcBorders>
              <w:top w:val="nil"/>
              <w:left w:val="nil"/>
              <w:bottom w:val="nil"/>
              <w:right w:val="single" w:sz="4" w:space="0" w:color="000000"/>
            </w:tcBorders>
            <w:shd w:val="clear" w:color="000000" w:fill="FFFFFF"/>
            <w:noWrap/>
            <w:vAlign w:val="bottom"/>
          </w:tcPr>
          <w:p w14:paraId="21AAE7C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0.97</w:t>
            </w:r>
          </w:p>
        </w:tc>
        <w:tc>
          <w:tcPr>
            <w:tcW w:w="1260" w:type="dxa"/>
            <w:gridSpan w:val="2"/>
            <w:tcBorders>
              <w:top w:val="nil"/>
              <w:left w:val="nil"/>
              <w:bottom w:val="nil"/>
              <w:right w:val="single" w:sz="4" w:space="0" w:color="000000"/>
            </w:tcBorders>
            <w:shd w:val="clear" w:color="000000" w:fill="FFFFFF"/>
            <w:noWrap/>
            <w:vAlign w:val="bottom"/>
          </w:tcPr>
          <w:p w14:paraId="348ABB2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0.64</w:t>
            </w:r>
          </w:p>
        </w:tc>
        <w:tc>
          <w:tcPr>
            <w:tcW w:w="1030" w:type="dxa"/>
            <w:gridSpan w:val="2"/>
            <w:tcBorders>
              <w:top w:val="nil"/>
              <w:left w:val="nil"/>
              <w:bottom w:val="nil"/>
              <w:right w:val="nil"/>
            </w:tcBorders>
            <w:shd w:val="clear" w:color="000000" w:fill="FFFFFF"/>
            <w:noWrap/>
            <w:vAlign w:val="bottom"/>
          </w:tcPr>
          <w:p w14:paraId="493B66D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0.76</w:t>
            </w:r>
          </w:p>
        </w:tc>
        <w:tc>
          <w:tcPr>
            <w:tcW w:w="1030" w:type="dxa"/>
            <w:gridSpan w:val="2"/>
            <w:tcBorders>
              <w:top w:val="nil"/>
              <w:left w:val="nil"/>
              <w:bottom w:val="nil"/>
              <w:right w:val="single" w:sz="4" w:space="0" w:color="000000"/>
            </w:tcBorders>
            <w:shd w:val="clear" w:color="000000" w:fill="FFFFFF"/>
            <w:noWrap/>
            <w:vAlign w:val="bottom"/>
          </w:tcPr>
          <w:p w14:paraId="06E445F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0.59</w:t>
            </w:r>
          </w:p>
        </w:tc>
        <w:tc>
          <w:tcPr>
            <w:tcW w:w="1092" w:type="dxa"/>
            <w:gridSpan w:val="4"/>
            <w:tcBorders>
              <w:top w:val="nil"/>
              <w:left w:val="nil"/>
              <w:bottom w:val="nil"/>
              <w:right w:val="single" w:sz="4" w:space="0" w:color="000000"/>
            </w:tcBorders>
            <w:shd w:val="clear" w:color="000000" w:fill="FFFFFF"/>
            <w:noWrap/>
            <w:vAlign w:val="bottom"/>
          </w:tcPr>
          <w:p w14:paraId="7E5D70C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0.36</w:t>
            </w:r>
          </w:p>
        </w:tc>
        <w:tc>
          <w:tcPr>
            <w:tcW w:w="1178" w:type="dxa"/>
            <w:gridSpan w:val="4"/>
            <w:tcBorders>
              <w:top w:val="nil"/>
              <w:left w:val="nil"/>
              <w:bottom w:val="nil"/>
              <w:right w:val="nil"/>
            </w:tcBorders>
            <w:shd w:val="clear" w:color="000000" w:fill="FFFFFF"/>
            <w:noWrap/>
            <w:vAlign w:val="bottom"/>
          </w:tcPr>
          <w:p w14:paraId="61BD07F1"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0.21</w:t>
            </w:r>
          </w:p>
        </w:tc>
        <w:tc>
          <w:tcPr>
            <w:tcW w:w="1258" w:type="dxa"/>
            <w:gridSpan w:val="6"/>
            <w:tcBorders>
              <w:top w:val="nil"/>
              <w:left w:val="nil"/>
              <w:bottom w:val="nil"/>
              <w:right w:val="single" w:sz="4" w:space="0" w:color="000000"/>
            </w:tcBorders>
            <w:shd w:val="clear" w:color="000000" w:fill="FFFFFF"/>
            <w:noWrap/>
            <w:vAlign w:val="bottom"/>
          </w:tcPr>
          <w:p w14:paraId="2BE68D7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0.48</w:t>
            </w:r>
          </w:p>
        </w:tc>
      </w:tr>
      <w:tr w:rsidR="00B47497" w:rsidRPr="00F22C0F" w14:paraId="385A8B53" w14:textId="77777777" w:rsidTr="00ED53DB">
        <w:trPr>
          <w:trHeight w:val="84"/>
        </w:trPr>
        <w:tc>
          <w:tcPr>
            <w:tcW w:w="2040" w:type="dxa"/>
            <w:tcBorders>
              <w:top w:val="nil"/>
              <w:left w:val="single" w:sz="4" w:space="0" w:color="auto"/>
              <w:bottom w:val="single" w:sz="4" w:space="0" w:color="auto"/>
              <w:right w:val="single" w:sz="4" w:space="0" w:color="auto"/>
            </w:tcBorders>
            <w:shd w:val="clear" w:color="000000" w:fill="FFFFFF"/>
            <w:noWrap/>
            <w:vAlign w:val="bottom"/>
          </w:tcPr>
          <w:p w14:paraId="7965F934"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828" w:type="dxa"/>
            <w:tcBorders>
              <w:top w:val="nil"/>
              <w:left w:val="nil"/>
              <w:bottom w:val="single" w:sz="4" w:space="0" w:color="auto"/>
              <w:right w:val="single" w:sz="4" w:space="0" w:color="auto"/>
            </w:tcBorders>
            <w:shd w:val="clear" w:color="000000" w:fill="FFFFFF"/>
            <w:noWrap/>
            <w:vAlign w:val="bottom"/>
          </w:tcPr>
          <w:p w14:paraId="58164590"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620" w:type="dxa"/>
            <w:tcBorders>
              <w:top w:val="nil"/>
              <w:left w:val="nil"/>
              <w:bottom w:val="single" w:sz="4" w:space="0" w:color="auto"/>
              <w:right w:val="nil"/>
            </w:tcBorders>
            <w:shd w:val="clear" w:color="000000" w:fill="FFFFFF"/>
            <w:noWrap/>
            <w:vAlign w:val="bottom"/>
          </w:tcPr>
          <w:p w14:paraId="697780F3"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620" w:type="dxa"/>
            <w:tcBorders>
              <w:top w:val="nil"/>
              <w:left w:val="nil"/>
              <w:bottom w:val="single" w:sz="4" w:space="0" w:color="auto"/>
              <w:right w:val="single" w:sz="4" w:space="0" w:color="auto"/>
            </w:tcBorders>
            <w:shd w:val="clear" w:color="000000" w:fill="FFFFFF"/>
            <w:noWrap/>
            <w:vAlign w:val="bottom"/>
          </w:tcPr>
          <w:p w14:paraId="289AC9BD"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630" w:type="dxa"/>
            <w:tcBorders>
              <w:top w:val="nil"/>
              <w:left w:val="nil"/>
              <w:bottom w:val="single" w:sz="4" w:space="0" w:color="auto"/>
              <w:right w:val="nil"/>
            </w:tcBorders>
            <w:shd w:val="clear" w:color="000000" w:fill="FFFFFF"/>
            <w:noWrap/>
            <w:vAlign w:val="bottom"/>
          </w:tcPr>
          <w:p w14:paraId="553A1ADF"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630" w:type="dxa"/>
            <w:tcBorders>
              <w:top w:val="nil"/>
              <w:left w:val="nil"/>
              <w:bottom w:val="single" w:sz="4" w:space="0" w:color="auto"/>
              <w:right w:val="single" w:sz="4" w:space="0" w:color="auto"/>
            </w:tcBorders>
            <w:shd w:val="clear" w:color="000000" w:fill="FFFFFF"/>
            <w:noWrap/>
            <w:vAlign w:val="bottom"/>
          </w:tcPr>
          <w:p w14:paraId="3125B43B"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515" w:type="dxa"/>
            <w:tcBorders>
              <w:top w:val="nil"/>
              <w:left w:val="nil"/>
              <w:bottom w:val="single" w:sz="4" w:space="0" w:color="auto"/>
              <w:right w:val="nil"/>
            </w:tcBorders>
            <w:shd w:val="clear" w:color="000000" w:fill="FFFFFF"/>
            <w:noWrap/>
            <w:vAlign w:val="bottom"/>
          </w:tcPr>
          <w:p w14:paraId="0E7FFF66"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515" w:type="dxa"/>
            <w:tcBorders>
              <w:top w:val="nil"/>
              <w:left w:val="nil"/>
              <w:bottom w:val="single" w:sz="4" w:space="0" w:color="auto"/>
              <w:right w:val="nil"/>
            </w:tcBorders>
            <w:shd w:val="clear" w:color="000000" w:fill="FFFFFF"/>
            <w:noWrap/>
            <w:vAlign w:val="bottom"/>
          </w:tcPr>
          <w:p w14:paraId="5F7595DD"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515" w:type="dxa"/>
            <w:tcBorders>
              <w:top w:val="nil"/>
              <w:left w:val="nil"/>
              <w:bottom w:val="single" w:sz="4" w:space="0" w:color="auto"/>
              <w:right w:val="nil"/>
            </w:tcBorders>
            <w:shd w:val="clear" w:color="000000" w:fill="FFFFFF"/>
            <w:noWrap/>
            <w:vAlign w:val="bottom"/>
          </w:tcPr>
          <w:p w14:paraId="3D0326C3"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515" w:type="dxa"/>
            <w:tcBorders>
              <w:top w:val="nil"/>
              <w:left w:val="nil"/>
              <w:bottom w:val="single" w:sz="4" w:space="0" w:color="auto"/>
              <w:right w:val="single" w:sz="4" w:space="0" w:color="auto"/>
            </w:tcBorders>
            <w:shd w:val="clear" w:color="000000" w:fill="FFFFFF"/>
            <w:noWrap/>
            <w:vAlign w:val="bottom"/>
          </w:tcPr>
          <w:p w14:paraId="3CF2DAC3"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531" w:type="dxa"/>
            <w:gridSpan w:val="2"/>
            <w:tcBorders>
              <w:top w:val="nil"/>
              <w:left w:val="nil"/>
              <w:bottom w:val="single" w:sz="4" w:space="0" w:color="auto"/>
              <w:right w:val="nil"/>
            </w:tcBorders>
            <w:shd w:val="clear" w:color="000000" w:fill="FFFFFF"/>
            <w:noWrap/>
            <w:vAlign w:val="bottom"/>
          </w:tcPr>
          <w:p w14:paraId="4BBF2F19"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531" w:type="dxa"/>
            <w:tcBorders>
              <w:top w:val="nil"/>
              <w:left w:val="nil"/>
              <w:bottom w:val="single" w:sz="4" w:space="0" w:color="auto"/>
              <w:right w:val="nil"/>
            </w:tcBorders>
            <w:shd w:val="clear" w:color="000000" w:fill="FFFFFF"/>
            <w:noWrap/>
            <w:vAlign w:val="bottom"/>
          </w:tcPr>
          <w:p w14:paraId="007EBE22"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515" w:type="dxa"/>
            <w:gridSpan w:val="2"/>
            <w:tcBorders>
              <w:top w:val="nil"/>
              <w:left w:val="nil"/>
              <w:bottom w:val="single" w:sz="4" w:space="0" w:color="auto"/>
              <w:right w:val="nil"/>
            </w:tcBorders>
            <w:shd w:val="clear" w:color="000000" w:fill="FFFFFF"/>
            <w:noWrap/>
            <w:vAlign w:val="bottom"/>
          </w:tcPr>
          <w:p w14:paraId="1950CEFC"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236" w:type="dxa"/>
            <w:gridSpan w:val="2"/>
            <w:tcBorders>
              <w:top w:val="nil"/>
              <w:left w:val="nil"/>
              <w:bottom w:val="single" w:sz="4" w:space="0" w:color="auto"/>
              <w:right w:val="single" w:sz="4" w:space="0" w:color="auto"/>
            </w:tcBorders>
            <w:shd w:val="clear" w:color="000000" w:fill="FFFFFF"/>
            <w:noWrap/>
            <w:vAlign w:val="bottom"/>
          </w:tcPr>
          <w:p w14:paraId="4C21489A"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899" w:type="dxa"/>
            <w:gridSpan w:val="4"/>
            <w:tcBorders>
              <w:top w:val="nil"/>
              <w:left w:val="nil"/>
              <w:bottom w:val="single" w:sz="4" w:space="0" w:color="auto"/>
              <w:right w:val="nil"/>
            </w:tcBorders>
            <w:shd w:val="clear" w:color="000000" w:fill="FFFFFF"/>
            <w:noWrap/>
            <w:vAlign w:val="bottom"/>
          </w:tcPr>
          <w:p w14:paraId="33EB23FC"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620" w:type="dxa"/>
            <w:gridSpan w:val="2"/>
            <w:tcBorders>
              <w:top w:val="nil"/>
              <w:left w:val="nil"/>
              <w:bottom w:val="single" w:sz="4" w:space="0" w:color="auto"/>
              <w:right w:val="nil"/>
            </w:tcBorders>
            <w:shd w:val="clear" w:color="000000" w:fill="FFFFFF"/>
            <w:noWrap/>
            <w:vAlign w:val="bottom"/>
          </w:tcPr>
          <w:p w14:paraId="5ED04938"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629" w:type="dxa"/>
            <w:gridSpan w:val="3"/>
            <w:tcBorders>
              <w:top w:val="nil"/>
              <w:left w:val="nil"/>
              <w:bottom w:val="single" w:sz="4" w:space="0" w:color="auto"/>
              <w:right w:val="nil"/>
            </w:tcBorders>
            <w:shd w:val="clear" w:color="000000" w:fill="FFFFFF"/>
            <w:noWrap/>
            <w:vAlign w:val="bottom"/>
          </w:tcPr>
          <w:p w14:paraId="7795DEE7"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c>
          <w:tcPr>
            <w:tcW w:w="629" w:type="dxa"/>
            <w:tcBorders>
              <w:top w:val="nil"/>
              <w:left w:val="nil"/>
              <w:bottom w:val="single" w:sz="4" w:space="0" w:color="auto"/>
              <w:right w:val="single" w:sz="4" w:space="0" w:color="auto"/>
            </w:tcBorders>
            <w:shd w:val="clear" w:color="000000" w:fill="FFFFFF"/>
            <w:noWrap/>
            <w:vAlign w:val="bottom"/>
          </w:tcPr>
          <w:p w14:paraId="4B9543E5" w14:textId="77777777" w:rsidR="00B47497" w:rsidRPr="00F22C0F" w:rsidRDefault="00B47497" w:rsidP="000607E8">
            <w:pPr>
              <w:spacing w:after="0" w:line="360" w:lineRule="auto"/>
              <w:jc w:val="both"/>
              <w:rPr>
                <w:rFonts w:ascii="Arial" w:eastAsia="Times New Roman" w:hAnsi="Arial" w:cs="Arial"/>
                <w:sz w:val="16"/>
                <w:szCs w:val="16"/>
                <w:lang w:eastAsia="en-US"/>
              </w:rPr>
            </w:pPr>
            <w:r w:rsidRPr="00F22C0F">
              <w:rPr>
                <w:rFonts w:ascii="Arial" w:eastAsia="Times New Roman" w:hAnsi="Arial" w:cs="Arial"/>
                <w:sz w:val="16"/>
                <w:szCs w:val="16"/>
                <w:lang w:eastAsia="en-US"/>
              </w:rPr>
              <w:t> </w:t>
            </w:r>
          </w:p>
        </w:tc>
      </w:tr>
      <w:tr w:rsidR="00B47497" w:rsidRPr="00B04106" w14:paraId="1D7839E0" w14:textId="77777777">
        <w:trPr>
          <w:trHeight w:val="240"/>
        </w:trPr>
        <w:tc>
          <w:tcPr>
            <w:tcW w:w="2040" w:type="dxa"/>
            <w:tcBorders>
              <w:top w:val="nil"/>
              <w:left w:val="nil"/>
              <w:bottom w:val="nil"/>
              <w:right w:val="nil"/>
            </w:tcBorders>
            <w:shd w:val="clear" w:color="000000" w:fill="FFFFFF"/>
            <w:noWrap/>
            <w:vAlign w:val="bottom"/>
          </w:tcPr>
          <w:p w14:paraId="049FAE8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Source: TNS/Kantar</w:t>
            </w:r>
          </w:p>
        </w:tc>
        <w:tc>
          <w:tcPr>
            <w:tcW w:w="828" w:type="dxa"/>
            <w:tcBorders>
              <w:top w:val="nil"/>
              <w:left w:val="nil"/>
              <w:bottom w:val="nil"/>
              <w:right w:val="nil"/>
            </w:tcBorders>
            <w:shd w:val="clear" w:color="000000" w:fill="FFFFFF"/>
            <w:noWrap/>
            <w:vAlign w:val="bottom"/>
          </w:tcPr>
          <w:p w14:paraId="7CF7D79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4B16DEE6"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tcPr>
          <w:p w14:paraId="477200FC"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30" w:type="dxa"/>
            <w:tcBorders>
              <w:top w:val="nil"/>
              <w:left w:val="nil"/>
              <w:bottom w:val="nil"/>
              <w:right w:val="nil"/>
            </w:tcBorders>
            <w:shd w:val="clear" w:color="000000" w:fill="FFFFFF"/>
            <w:noWrap/>
            <w:vAlign w:val="bottom"/>
          </w:tcPr>
          <w:p w14:paraId="7B9C9EC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30" w:type="dxa"/>
            <w:tcBorders>
              <w:top w:val="nil"/>
              <w:left w:val="nil"/>
              <w:bottom w:val="nil"/>
              <w:right w:val="nil"/>
            </w:tcBorders>
            <w:shd w:val="clear" w:color="000000" w:fill="FFFFFF"/>
            <w:noWrap/>
            <w:vAlign w:val="bottom"/>
          </w:tcPr>
          <w:p w14:paraId="42854E2E"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nil"/>
            </w:tcBorders>
            <w:shd w:val="clear" w:color="000000" w:fill="FFFFFF"/>
            <w:noWrap/>
            <w:vAlign w:val="bottom"/>
          </w:tcPr>
          <w:p w14:paraId="0F15129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nil"/>
            </w:tcBorders>
            <w:shd w:val="clear" w:color="000000" w:fill="FFFFFF"/>
            <w:noWrap/>
            <w:vAlign w:val="bottom"/>
          </w:tcPr>
          <w:p w14:paraId="36777A42"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nil"/>
            </w:tcBorders>
            <w:shd w:val="clear" w:color="000000" w:fill="FFFFFF"/>
            <w:noWrap/>
            <w:vAlign w:val="bottom"/>
          </w:tcPr>
          <w:p w14:paraId="209A076D"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tcBorders>
              <w:top w:val="nil"/>
              <w:left w:val="nil"/>
              <w:bottom w:val="nil"/>
              <w:right w:val="nil"/>
            </w:tcBorders>
            <w:shd w:val="clear" w:color="000000" w:fill="FFFFFF"/>
            <w:noWrap/>
            <w:vAlign w:val="bottom"/>
          </w:tcPr>
          <w:p w14:paraId="501BA515"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31" w:type="dxa"/>
            <w:gridSpan w:val="2"/>
            <w:tcBorders>
              <w:top w:val="nil"/>
              <w:left w:val="nil"/>
              <w:bottom w:val="nil"/>
              <w:right w:val="nil"/>
            </w:tcBorders>
            <w:shd w:val="clear" w:color="000000" w:fill="FFFFFF"/>
            <w:noWrap/>
            <w:vAlign w:val="bottom"/>
          </w:tcPr>
          <w:p w14:paraId="4F98F137"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31" w:type="dxa"/>
            <w:tcBorders>
              <w:top w:val="nil"/>
              <w:left w:val="nil"/>
              <w:bottom w:val="nil"/>
              <w:right w:val="nil"/>
            </w:tcBorders>
            <w:shd w:val="clear" w:color="000000" w:fill="FFFFFF"/>
            <w:noWrap/>
            <w:vAlign w:val="bottom"/>
          </w:tcPr>
          <w:p w14:paraId="396ABBF9"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515" w:type="dxa"/>
            <w:gridSpan w:val="2"/>
            <w:tcBorders>
              <w:top w:val="nil"/>
              <w:left w:val="nil"/>
              <w:bottom w:val="nil"/>
              <w:right w:val="nil"/>
            </w:tcBorders>
            <w:shd w:val="clear" w:color="000000" w:fill="FFFFFF"/>
            <w:noWrap/>
            <w:vAlign w:val="bottom"/>
          </w:tcPr>
          <w:p w14:paraId="4EBA1600"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236" w:type="dxa"/>
            <w:gridSpan w:val="2"/>
            <w:tcBorders>
              <w:top w:val="nil"/>
              <w:left w:val="nil"/>
              <w:bottom w:val="nil"/>
              <w:right w:val="nil"/>
            </w:tcBorders>
            <w:shd w:val="clear" w:color="000000" w:fill="FFFFFF"/>
            <w:noWrap/>
            <w:vAlign w:val="bottom"/>
          </w:tcPr>
          <w:p w14:paraId="53EACFF8"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899" w:type="dxa"/>
            <w:gridSpan w:val="4"/>
            <w:tcBorders>
              <w:top w:val="nil"/>
              <w:left w:val="nil"/>
              <w:bottom w:val="nil"/>
              <w:right w:val="nil"/>
            </w:tcBorders>
            <w:shd w:val="clear" w:color="000000" w:fill="FFFFFF"/>
            <w:noWrap/>
            <w:vAlign w:val="bottom"/>
          </w:tcPr>
          <w:p w14:paraId="7239525B"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0" w:type="dxa"/>
            <w:gridSpan w:val="2"/>
            <w:tcBorders>
              <w:top w:val="nil"/>
              <w:left w:val="nil"/>
              <w:bottom w:val="nil"/>
              <w:right w:val="nil"/>
            </w:tcBorders>
            <w:shd w:val="clear" w:color="000000" w:fill="FFFFFF"/>
            <w:noWrap/>
            <w:vAlign w:val="bottom"/>
          </w:tcPr>
          <w:p w14:paraId="1C19512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9" w:type="dxa"/>
            <w:gridSpan w:val="3"/>
            <w:tcBorders>
              <w:top w:val="nil"/>
              <w:left w:val="nil"/>
              <w:bottom w:val="nil"/>
              <w:right w:val="nil"/>
            </w:tcBorders>
            <w:shd w:val="clear" w:color="000000" w:fill="FFFFFF"/>
            <w:noWrap/>
            <w:vAlign w:val="bottom"/>
          </w:tcPr>
          <w:p w14:paraId="124B8583"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c>
          <w:tcPr>
            <w:tcW w:w="629" w:type="dxa"/>
            <w:tcBorders>
              <w:top w:val="nil"/>
              <w:left w:val="nil"/>
              <w:bottom w:val="nil"/>
              <w:right w:val="nil"/>
            </w:tcBorders>
            <w:shd w:val="clear" w:color="000000" w:fill="FFFFFF"/>
            <w:noWrap/>
            <w:vAlign w:val="bottom"/>
          </w:tcPr>
          <w:p w14:paraId="764DB07A" w14:textId="77777777" w:rsidR="00B47497" w:rsidRPr="00AE16D2" w:rsidRDefault="00B47497" w:rsidP="000607E8">
            <w:pPr>
              <w:spacing w:after="0" w:line="360" w:lineRule="auto"/>
              <w:jc w:val="both"/>
              <w:rPr>
                <w:rFonts w:ascii="Arial" w:eastAsia="Times New Roman" w:hAnsi="Arial" w:cs="Arial"/>
                <w:sz w:val="20"/>
                <w:szCs w:val="20"/>
                <w:lang w:eastAsia="en-US"/>
              </w:rPr>
            </w:pPr>
            <w:r w:rsidRPr="00AE16D2">
              <w:rPr>
                <w:rFonts w:ascii="Arial" w:eastAsia="Times New Roman" w:hAnsi="Arial" w:cs="Arial"/>
                <w:sz w:val="20"/>
                <w:szCs w:val="20"/>
                <w:lang w:eastAsia="en-US"/>
              </w:rPr>
              <w:t> </w:t>
            </w:r>
          </w:p>
        </w:tc>
      </w:tr>
    </w:tbl>
    <w:p w14:paraId="2BA8D6B6" w14:textId="68C18704" w:rsidR="00C70E09" w:rsidRDefault="00C70E09" w:rsidP="00C70E09">
      <w:pPr>
        <w:pStyle w:val="BodyText"/>
        <w:tabs>
          <w:tab w:val="left" w:pos="1134"/>
          <w:tab w:val="left" w:pos="1985"/>
        </w:tabs>
        <w:ind w:right="417"/>
        <w:jc w:val="both"/>
        <w:rPr>
          <w:rFonts w:ascii="Arial" w:hAnsi="Arial" w:cs="Arial"/>
        </w:rPr>
      </w:pPr>
    </w:p>
    <w:p w14:paraId="7DA8C96E" w14:textId="119761D9" w:rsidR="00C86303"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Overall, the figures for each brand’s </w:t>
      </w:r>
      <w:r w:rsidR="00C70E09">
        <w:rPr>
          <w:rFonts w:ascii="Arial" w:hAnsi="Arial" w:cs="Arial"/>
          <w:lang w:val="en-US"/>
        </w:rPr>
        <w:t>BPMs</w:t>
      </w:r>
      <w:r w:rsidRPr="00D20D9B">
        <w:rPr>
          <w:rFonts w:ascii="Arial" w:hAnsi="Arial" w:cs="Arial"/>
          <w:lang w:val="en-US"/>
        </w:rPr>
        <w:t xml:space="preserve"> look much as they should in terms of similarity </w:t>
      </w:r>
      <w:r w:rsidR="00C70E09">
        <w:rPr>
          <w:rFonts w:ascii="Arial" w:hAnsi="Arial" w:cs="Arial"/>
          <w:lang w:val="en-US"/>
        </w:rPr>
        <w:t>between brands of similar size.</w:t>
      </w:r>
      <w:r w:rsidRPr="00D20D9B">
        <w:rPr>
          <w:rFonts w:ascii="Arial" w:hAnsi="Arial" w:cs="Arial"/>
          <w:lang w:val="en-US"/>
        </w:rPr>
        <w:t xml:space="preserve"> There </w:t>
      </w:r>
      <w:proofErr w:type="gramStart"/>
      <w:r w:rsidRPr="00D20D9B">
        <w:rPr>
          <w:rFonts w:ascii="Arial" w:hAnsi="Arial" w:cs="Arial"/>
          <w:lang w:val="en-US"/>
        </w:rPr>
        <w:t>are</w:t>
      </w:r>
      <w:proofErr w:type="gramEnd"/>
      <w:r w:rsidRPr="00D20D9B">
        <w:rPr>
          <w:rFonts w:ascii="Arial" w:hAnsi="Arial" w:cs="Arial"/>
          <w:lang w:val="en-US"/>
        </w:rPr>
        <w:t xml:space="preserve"> however some exceptions—Evans, </w:t>
      </w:r>
      <w:proofErr w:type="spellStart"/>
      <w:r w:rsidRPr="00D20D9B">
        <w:rPr>
          <w:rFonts w:ascii="Arial" w:hAnsi="Arial" w:cs="Arial"/>
          <w:lang w:val="en-US"/>
        </w:rPr>
        <w:t>Mackays</w:t>
      </w:r>
      <w:proofErr w:type="spellEnd"/>
      <w:r w:rsidRPr="00D20D9B">
        <w:rPr>
          <w:rFonts w:ascii="Arial" w:hAnsi="Arial" w:cs="Arial"/>
          <w:lang w:val="en-US"/>
        </w:rPr>
        <w:t xml:space="preserve"> and G</w:t>
      </w:r>
      <w:r w:rsidR="00681E6A" w:rsidRPr="00D20D9B">
        <w:rPr>
          <w:rFonts w:ascii="Arial" w:hAnsi="Arial" w:cs="Arial"/>
          <w:lang w:val="en-US"/>
        </w:rPr>
        <w:t>ap, all in the middle of table.</w:t>
      </w:r>
      <w:r w:rsidRPr="00D20D9B">
        <w:rPr>
          <w:rFonts w:ascii="Arial" w:hAnsi="Arial" w:cs="Arial"/>
          <w:lang w:val="en-US"/>
        </w:rPr>
        <w:t xml:space="preserve"> </w:t>
      </w:r>
      <w:r w:rsidR="00681E6A" w:rsidRPr="00D20D9B">
        <w:rPr>
          <w:rFonts w:ascii="Arial" w:hAnsi="Arial" w:cs="Arial"/>
          <w:lang w:val="en-US"/>
        </w:rPr>
        <w:t>But</w:t>
      </w:r>
      <w:r w:rsidRPr="00D20D9B">
        <w:rPr>
          <w:rFonts w:ascii="Arial" w:hAnsi="Arial" w:cs="Arial"/>
          <w:lang w:val="en-US"/>
        </w:rPr>
        <w:t xml:space="preserve"> the</w:t>
      </w:r>
      <w:r w:rsidR="00681E6A" w:rsidRPr="00D20D9B">
        <w:rPr>
          <w:rFonts w:ascii="Arial" w:hAnsi="Arial" w:cs="Arial"/>
          <w:lang w:val="en-US"/>
        </w:rPr>
        <w:t>se deviations can be explained.</w:t>
      </w:r>
      <w:r w:rsidRPr="00D20D9B">
        <w:rPr>
          <w:rFonts w:ascii="Arial" w:hAnsi="Arial" w:cs="Arial"/>
          <w:lang w:val="en-US"/>
        </w:rPr>
        <w:t xml:space="preserve"> Evans is a brand catering to large</w:t>
      </w:r>
      <w:r w:rsidR="00681E6A" w:rsidRPr="00D20D9B">
        <w:rPr>
          <w:rFonts w:ascii="Arial" w:hAnsi="Arial" w:cs="Arial"/>
          <w:lang w:val="en-US"/>
        </w:rPr>
        <w:t xml:space="preserve"> and tall women, or plus sizes.</w:t>
      </w:r>
      <w:r w:rsidR="00B06088" w:rsidRPr="00D20D9B">
        <w:rPr>
          <w:rFonts w:ascii="Arial" w:hAnsi="Arial" w:cs="Arial"/>
          <w:lang w:val="en-US"/>
        </w:rPr>
        <w:t xml:space="preserve"> This represents a functional partition in the market based on </w:t>
      </w:r>
      <w:r w:rsidR="00681E6A" w:rsidRPr="00D20D9B">
        <w:rPr>
          <w:rFonts w:ascii="Arial" w:hAnsi="Arial" w:cs="Arial"/>
          <w:lang w:val="en-US"/>
        </w:rPr>
        <w:t xml:space="preserve">the </w:t>
      </w:r>
      <w:r w:rsidR="00B06088" w:rsidRPr="00D20D9B">
        <w:rPr>
          <w:rFonts w:ascii="Arial" w:hAnsi="Arial" w:cs="Arial"/>
          <w:lang w:val="en-US"/>
        </w:rPr>
        <w:t xml:space="preserve">physical characteristics of </w:t>
      </w:r>
      <w:r w:rsidR="00681E6A" w:rsidRPr="00D20D9B">
        <w:rPr>
          <w:rFonts w:ascii="Arial" w:hAnsi="Arial" w:cs="Arial"/>
          <w:lang w:val="en-US"/>
        </w:rPr>
        <w:t>a subset of women shoppers.</w:t>
      </w:r>
      <w:r w:rsidRPr="00D20D9B">
        <w:rPr>
          <w:rFonts w:ascii="Arial" w:hAnsi="Arial" w:cs="Arial"/>
          <w:lang w:val="en-US"/>
        </w:rPr>
        <w:t xml:space="preserve"> </w:t>
      </w:r>
      <w:r w:rsidR="00B06088" w:rsidRPr="00D20D9B">
        <w:rPr>
          <w:rFonts w:ascii="Arial" w:hAnsi="Arial" w:cs="Arial"/>
          <w:lang w:val="en-US"/>
        </w:rPr>
        <w:t>As a result</w:t>
      </w:r>
      <w:r w:rsidR="00681E6A" w:rsidRPr="00D20D9B">
        <w:rPr>
          <w:rFonts w:ascii="Arial" w:hAnsi="Arial" w:cs="Arial"/>
          <w:lang w:val="en-US"/>
        </w:rPr>
        <w:t>,</w:t>
      </w:r>
      <w:r w:rsidRPr="00D20D9B">
        <w:rPr>
          <w:rFonts w:ascii="Arial" w:hAnsi="Arial" w:cs="Arial"/>
          <w:lang w:val="en-US"/>
        </w:rPr>
        <w:t xml:space="preserve"> the penetration of 100% </w:t>
      </w:r>
      <w:proofErr w:type="spellStart"/>
      <w:r w:rsidRPr="00D20D9B">
        <w:rPr>
          <w:rFonts w:ascii="Arial" w:hAnsi="Arial" w:cs="Arial"/>
          <w:lang w:val="en-US"/>
        </w:rPr>
        <w:t>loyals</w:t>
      </w:r>
      <w:proofErr w:type="spellEnd"/>
      <w:r w:rsidRPr="00D20D9B">
        <w:rPr>
          <w:rFonts w:ascii="Arial" w:hAnsi="Arial" w:cs="Arial"/>
          <w:lang w:val="en-US"/>
        </w:rPr>
        <w:t xml:space="preserve"> (37%), purchase rate (4.3) 5 and share of category requirements (49%) are all much higher than </w:t>
      </w:r>
      <w:r w:rsidR="00B06088" w:rsidRPr="00D20D9B">
        <w:rPr>
          <w:rFonts w:ascii="Arial" w:hAnsi="Arial" w:cs="Arial"/>
          <w:lang w:val="en-US"/>
        </w:rPr>
        <w:t xml:space="preserve">for </w:t>
      </w:r>
      <w:r w:rsidR="00681E6A" w:rsidRPr="00D20D9B">
        <w:rPr>
          <w:rFonts w:ascii="Arial" w:hAnsi="Arial" w:cs="Arial"/>
          <w:lang w:val="en-US"/>
        </w:rPr>
        <w:t>brands of a similar size.</w:t>
      </w:r>
      <w:r w:rsidRPr="00D20D9B">
        <w:rPr>
          <w:rFonts w:ascii="Arial" w:hAnsi="Arial" w:cs="Arial"/>
          <w:lang w:val="en-US"/>
        </w:rPr>
        <w:t xml:space="preserve"> In other words, the customers of Evans buy it more heavily than other brands, presumably because it caters to </w:t>
      </w:r>
      <w:r w:rsidR="00B06088" w:rsidRPr="00D20D9B">
        <w:rPr>
          <w:rFonts w:ascii="Arial" w:hAnsi="Arial" w:cs="Arial"/>
          <w:lang w:val="en-US"/>
        </w:rPr>
        <w:t xml:space="preserve">their particular requirements. </w:t>
      </w:r>
      <w:r w:rsidRPr="00D20D9B">
        <w:rPr>
          <w:rFonts w:ascii="Arial" w:hAnsi="Arial" w:cs="Arial"/>
          <w:lang w:val="en-US"/>
        </w:rPr>
        <w:t xml:space="preserve"> </w:t>
      </w:r>
    </w:p>
    <w:p w14:paraId="5D4C4CF3" w14:textId="5231A5BD" w:rsidR="00C86303" w:rsidRDefault="00B47497" w:rsidP="000607E8">
      <w:pPr>
        <w:widowControl w:val="0"/>
        <w:autoSpaceDE w:val="0"/>
        <w:autoSpaceDN w:val="0"/>
        <w:adjustRightInd w:val="0"/>
        <w:spacing w:after="240" w:line="360" w:lineRule="auto"/>
        <w:jc w:val="both"/>
        <w:rPr>
          <w:rFonts w:ascii="Arial" w:hAnsi="Arial" w:cs="Arial"/>
          <w:lang w:val="en-US"/>
        </w:rPr>
      </w:pPr>
      <w:proofErr w:type="spellStart"/>
      <w:r w:rsidRPr="00D20D9B">
        <w:rPr>
          <w:rFonts w:ascii="Arial" w:hAnsi="Arial" w:cs="Arial"/>
          <w:lang w:val="en-US"/>
        </w:rPr>
        <w:t>Mackays</w:t>
      </w:r>
      <w:proofErr w:type="spellEnd"/>
      <w:r w:rsidRPr="00D20D9B">
        <w:rPr>
          <w:rFonts w:ascii="Arial" w:hAnsi="Arial" w:cs="Arial"/>
          <w:lang w:val="en-US"/>
        </w:rPr>
        <w:t xml:space="preserve"> is another </w:t>
      </w:r>
      <w:proofErr w:type="gramStart"/>
      <w:r w:rsidRPr="00D20D9B">
        <w:rPr>
          <w:rFonts w:ascii="Arial" w:hAnsi="Arial" w:cs="Arial"/>
          <w:lang w:val="en-US"/>
        </w:rPr>
        <w:t>exception,</w:t>
      </w:r>
      <w:proofErr w:type="gramEnd"/>
      <w:r w:rsidRPr="00D20D9B">
        <w:rPr>
          <w:rFonts w:ascii="Arial" w:hAnsi="Arial" w:cs="Arial"/>
          <w:lang w:val="en-US"/>
        </w:rPr>
        <w:t xml:space="preserve"> in this case it has high purchasing and SCR because it is a big local brand in Scotland, giving it the higher performance measures of a bigger brand, but only in Scotland.</w:t>
      </w:r>
      <w:r w:rsidR="00B06088" w:rsidRPr="00D20D9B">
        <w:rPr>
          <w:rFonts w:ascii="Arial" w:hAnsi="Arial" w:cs="Arial"/>
          <w:lang w:val="en-US"/>
        </w:rPr>
        <w:t xml:space="preserve"> It is a regional brand </w:t>
      </w:r>
      <w:r w:rsidR="00681E6A" w:rsidRPr="00D20D9B">
        <w:rPr>
          <w:rFonts w:ascii="Arial" w:hAnsi="Arial" w:cs="Arial"/>
          <w:lang w:val="en-US"/>
        </w:rPr>
        <w:t>that</w:t>
      </w:r>
      <w:r w:rsidR="00B06088" w:rsidRPr="00D20D9B">
        <w:rPr>
          <w:rFonts w:ascii="Arial" w:hAnsi="Arial" w:cs="Arial"/>
          <w:lang w:val="en-US"/>
        </w:rPr>
        <w:t xml:space="preserve"> is big in its region, and absent in the rest of the market.</w:t>
      </w:r>
      <w:r w:rsidRPr="00D20D9B">
        <w:rPr>
          <w:rFonts w:ascii="Arial" w:hAnsi="Arial" w:cs="Arial"/>
          <w:lang w:val="en-US"/>
        </w:rPr>
        <w:t xml:space="preserve"> Finally, Gap, while a large international brand, is also a contracting brand, </w:t>
      </w:r>
      <w:r w:rsidR="00B06088" w:rsidRPr="00D20D9B">
        <w:rPr>
          <w:rFonts w:ascii="Arial" w:hAnsi="Arial" w:cs="Arial"/>
          <w:lang w:val="en-US"/>
        </w:rPr>
        <w:t>and closed</w:t>
      </w:r>
      <w:r w:rsidRPr="00D20D9B">
        <w:rPr>
          <w:rFonts w:ascii="Arial" w:hAnsi="Arial" w:cs="Arial"/>
          <w:lang w:val="en-US"/>
        </w:rPr>
        <w:t xml:space="preserve"> about 25% of i</w:t>
      </w:r>
      <w:r w:rsidR="00681E6A" w:rsidRPr="00D20D9B">
        <w:rPr>
          <w:rFonts w:ascii="Arial" w:hAnsi="Arial" w:cs="Arial"/>
          <w:lang w:val="en-US"/>
        </w:rPr>
        <w:t>ts shops between 2011 and 2012.</w:t>
      </w:r>
      <w:r w:rsidRPr="00D20D9B">
        <w:rPr>
          <w:rFonts w:ascii="Arial" w:hAnsi="Arial" w:cs="Arial"/>
          <w:lang w:val="en-US"/>
        </w:rPr>
        <w:t xml:space="preserve"> The result </w:t>
      </w:r>
      <w:r w:rsidR="00B06088" w:rsidRPr="00D20D9B">
        <w:rPr>
          <w:rFonts w:ascii="Arial" w:hAnsi="Arial" w:cs="Arial"/>
          <w:lang w:val="en-US"/>
        </w:rPr>
        <w:t xml:space="preserve">for Gap </w:t>
      </w:r>
      <w:r w:rsidR="00C86303" w:rsidRPr="00D20D9B">
        <w:rPr>
          <w:rFonts w:ascii="Arial" w:hAnsi="Arial" w:cs="Arial"/>
          <w:lang w:val="en-US"/>
        </w:rPr>
        <w:t>is higher than expected once-</w:t>
      </w:r>
      <w:r w:rsidRPr="00D20D9B">
        <w:rPr>
          <w:rFonts w:ascii="Arial" w:hAnsi="Arial" w:cs="Arial"/>
          <w:lang w:val="en-US"/>
        </w:rPr>
        <w:t>only buying, and lower 100% buying loyalty—</w:t>
      </w:r>
      <w:r w:rsidR="005D558A">
        <w:rPr>
          <w:rFonts w:ascii="Arial" w:hAnsi="Arial" w:cs="Arial"/>
          <w:lang w:val="en-US"/>
        </w:rPr>
        <w:t xml:space="preserve">because </w:t>
      </w:r>
      <w:r w:rsidRPr="00D20D9B">
        <w:rPr>
          <w:rFonts w:ascii="Arial" w:hAnsi="Arial" w:cs="Arial"/>
          <w:lang w:val="en-US"/>
        </w:rPr>
        <w:t>closing shops and decreasing distribution make it m</w:t>
      </w:r>
      <w:r w:rsidR="00B13090" w:rsidRPr="00D20D9B">
        <w:rPr>
          <w:rFonts w:ascii="Arial" w:hAnsi="Arial" w:cs="Arial"/>
          <w:lang w:val="en-US"/>
        </w:rPr>
        <w:t xml:space="preserve">ore difficult to remain loyal. </w:t>
      </w:r>
      <w:r w:rsidR="00C70E09">
        <w:rPr>
          <w:rFonts w:ascii="Arial" w:hAnsi="Arial" w:cs="Arial"/>
          <w:lang w:val="en-US"/>
        </w:rPr>
        <w:t>Thus, the exceptions to the general patterns can be explained.</w:t>
      </w:r>
    </w:p>
    <w:p w14:paraId="56B2FD36" w14:textId="6C86936C" w:rsidR="00C70E09" w:rsidRPr="00D20D9B" w:rsidRDefault="00C70E09" w:rsidP="00C70E09">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In Table 2, the comparison of competitive brands in the category shows more clearly the underlying structure of the market, where brand performance measures are closely aligned with, indeed predicated upon</w:t>
      </w:r>
      <w:r w:rsidR="005D558A">
        <w:rPr>
          <w:rFonts w:ascii="Arial" w:hAnsi="Arial" w:cs="Arial"/>
          <w:lang w:val="en-US"/>
        </w:rPr>
        <w:t>, the share of the brands.</w:t>
      </w:r>
      <w:r w:rsidRPr="00D20D9B">
        <w:rPr>
          <w:rFonts w:ascii="Arial" w:hAnsi="Arial" w:cs="Arial"/>
          <w:lang w:val="en-US"/>
        </w:rPr>
        <w:t xml:space="preserve"> </w:t>
      </w:r>
      <w:r w:rsidR="00B1345A">
        <w:rPr>
          <w:rFonts w:ascii="Arial" w:hAnsi="Arial" w:cs="Arial"/>
          <w:lang w:val="en-US"/>
        </w:rPr>
        <w:t>With</w:t>
      </w:r>
      <w:r w:rsidRPr="00D20D9B">
        <w:rPr>
          <w:rFonts w:ascii="Arial" w:hAnsi="Arial" w:cs="Arial"/>
          <w:lang w:val="en-US"/>
        </w:rPr>
        <w:t xml:space="preserve"> the non-competitive brands</w:t>
      </w:r>
      <w:r w:rsidR="00B1345A">
        <w:rPr>
          <w:rFonts w:ascii="Arial" w:hAnsi="Arial" w:cs="Arial"/>
          <w:lang w:val="en-US"/>
        </w:rPr>
        <w:t xml:space="preserve"> removed</w:t>
      </w:r>
      <w:r w:rsidRPr="00D20D9B">
        <w:rPr>
          <w:rFonts w:ascii="Arial" w:hAnsi="Arial" w:cs="Arial"/>
          <w:lang w:val="en-US"/>
        </w:rPr>
        <w:t xml:space="preserve">, </w:t>
      </w:r>
      <w:r w:rsidR="00B1345A">
        <w:rPr>
          <w:rFonts w:ascii="Arial" w:hAnsi="Arial" w:cs="Arial"/>
          <w:lang w:val="en-US"/>
        </w:rPr>
        <w:t>it is easy to observe</w:t>
      </w:r>
      <w:r w:rsidRPr="00D20D9B">
        <w:rPr>
          <w:rFonts w:ascii="Arial" w:hAnsi="Arial" w:cs="Arial"/>
          <w:lang w:val="en-US"/>
        </w:rPr>
        <w:t xml:space="preserve"> </w:t>
      </w:r>
      <w:r w:rsidR="00B1345A">
        <w:rPr>
          <w:rFonts w:ascii="Arial" w:hAnsi="Arial" w:cs="Arial"/>
          <w:lang w:val="en-US"/>
        </w:rPr>
        <w:t>the high</w:t>
      </w:r>
      <w:r w:rsidRPr="00D20D9B">
        <w:rPr>
          <w:rFonts w:ascii="Arial" w:hAnsi="Arial" w:cs="Arial"/>
          <w:lang w:val="en-US"/>
        </w:rPr>
        <w:t xml:space="preserve"> correlations between observed brand performance measures and their theoretical counterparts—listed in the bottom row of figures. Simply casting the eye down the columns however reveals that some slight exceptions to the general run of figures</w:t>
      </w:r>
      <w:r>
        <w:rPr>
          <w:rFonts w:ascii="Arial" w:hAnsi="Arial" w:cs="Arial"/>
          <w:lang w:val="en-US"/>
        </w:rPr>
        <w:t xml:space="preserve"> remain;</w:t>
      </w:r>
      <w:r w:rsidRPr="00D20D9B">
        <w:rPr>
          <w:rFonts w:ascii="Arial" w:hAnsi="Arial" w:cs="Arial"/>
          <w:lang w:val="en-US"/>
        </w:rPr>
        <w:t xml:space="preserve"> some brands have slightly higher or lower purchases per buyer for example, while others vary in their levels of once only or 5+ buyers. But as with the previous exceptional brands, explanations for the variations in the table could be found.  In any case, they are relatively small.  </w:t>
      </w:r>
    </w:p>
    <w:p w14:paraId="00B26400" w14:textId="680B457A" w:rsidR="00C70E09" w:rsidRDefault="00C70E09"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The main conclusion from the analysis of BPMs is that the fashion market has a normal structure, on a par with the structure found in many other consumer goods markets in which the various BPMs for the brands vary together by brand size, and are mainly determined by the market share of the brands. This important step in the analysis allowed us to establish that at least in terms of basic structure, the market does not appear to be exceptional.  </w:t>
      </w:r>
    </w:p>
    <w:p w14:paraId="1375575A" w14:textId="77777777" w:rsidR="00C70E09" w:rsidRPr="00D20D9B" w:rsidRDefault="00C70E09" w:rsidP="000607E8">
      <w:pPr>
        <w:widowControl w:val="0"/>
        <w:autoSpaceDE w:val="0"/>
        <w:autoSpaceDN w:val="0"/>
        <w:adjustRightInd w:val="0"/>
        <w:spacing w:after="240" w:line="360" w:lineRule="auto"/>
        <w:jc w:val="both"/>
        <w:rPr>
          <w:rFonts w:ascii="Arial" w:hAnsi="Arial" w:cs="Arial"/>
          <w:lang w:val="en-US"/>
        </w:rPr>
      </w:pPr>
    </w:p>
    <w:p w14:paraId="6C93D2F0" w14:textId="77777777" w:rsidR="000A4766" w:rsidRPr="00D20D9B" w:rsidRDefault="000A4766"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Table 2 Competitive Women’s Outerwear Brands</w:t>
      </w:r>
    </w:p>
    <w:tbl>
      <w:tblPr>
        <w:tblW w:w="11440" w:type="dxa"/>
        <w:tblInd w:w="93" w:type="dxa"/>
        <w:tblLook w:val="04A0" w:firstRow="1" w:lastRow="0" w:firstColumn="1" w:lastColumn="0" w:noHBand="0" w:noVBand="1"/>
      </w:tblPr>
      <w:tblGrid>
        <w:gridCol w:w="2140"/>
        <w:gridCol w:w="880"/>
        <w:gridCol w:w="620"/>
        <w:gridCol w:w="620"/>
        <w:gridCol w:w="666"/>
        <w:gridCol w:w="666"/>
        <w:gridCol w:w="546"/>
        <w:gridCol w:w="546"/>
        <w:gridCol w:w="546"/>
        <w:gridCol w:w="546"/>
        <w:gridCol w:w="546"/>
        <w:gridCol w:w="546"/>
        <w:gridCol w:w="620"/>
        <w:gridCol w:w="620"/>
        <w:gridCol w:w="666"/>
        <w:gridCol w:w="666"/>
      </w:tblGrid>
      <w:tr w:rsidR="000A4766" w:rsidRPr="000A4766" w14:paraId="36CE7FBE" w14:textId="77777777" w:rsidTr="000A4766">
        <w:trPr>
          <w:trHeight w:val="260"/>
        </w:trPr>
        <w:tc>
          <w:tcPr>
            <w:tcW w:w="2140" w:type="dxa"/>
            <w:tcBorders>
              <w:top w:val="nil"/>
              <w:left w:val="nil"/>
              <w:bottom w:val="nil"/>
              <w:right w:val="nil"/>
            </w:tcBorders>
            <w:shd w:val="clear" w:color="000000" w:fill="FFFFFF"/>
            <w:noWrap/>
            <w:vAlign w:val="bottom"/>
            <w:hideMark/>
          </w:tcPr>
          <w:p w14:paraId="7E103CB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80" w:type="dxa"/>
            <w:tcBorders>
              <w:top w:val="nil"/>
              <w:left w:val="nil"/>
              <w:bottom w:val="nil"/>
              <w:right w:val="nil"/>
            </w:tcBorders>
            <w:shd w:val="clear" w:color="000000" w:fill="FFFFFF"/>
            <w:noWrap/>
            <w:vAlign w:val="bottom"/>
            <w:hideMark/>
          </w:tcPr>
          <w:p w14:paraId="4FF73318"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420" w:type="dxa"/>
            <w:gridSpan w:val="14"/>
            <w:tcBorders>
              <w:top w:val="nil"/>
              <w:left w:val="nil"/>
              <w:bottom w:val="nil"/>
              <w:right w:val="nil"/>
            </w:tcBorders>
            <w:shd w:val="clear" w:color="000000" w:fill="FFFFFF"/>
            <w:noWrap/>
            <w:vAlign w:val="bottom"/>
            <w:hideMark/>
          </w:tcPr>
          <w:p w14:paraId="596FF31D" w14:textId="5330E67C"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Observed (O) and Theoretical (T) </w:t>
            </w:r>
            <w:r w:rsidR="00C86303">
              <w:rPr>
                <w:rFonts w:ascii="Arial" w:eastAsia="Times New Roman" w:hAnsi="Arial" w:cs="Arial"/>
                <w:sz w:val="20"/>
                <w:szCs w:val="20"/>
                <w:lang w:eastAsia="en-US"/>
              </w:rPr>
              <w:t xml:space="preserve">Brand </w:t>
            </w:r>
            <w:r w:rsidRPr="000A4766">
              <w:rPr>
                <w:rFonts w:ascii="Arial" w:eastAsia="Times New Roman" w:hAnsi="Arial" w:cs="Arial"/>
                <w:sz w:val="20"/>
                <w:szCs w:val="20"/>
                <w:lang w:eastAsia="en-US"/>
              </w:rPr>
              <w:t>Performance Measures</w:t>
            </w:r>
          </w:p>
        </w:tc>
      </w:tr>
      <w:tr w:rsidR="000A4766" w:rsidRPr="000A4766" w14:paraId="6A6E412F" w14:textId="77777777" w:rsidTr="000A4766">
        <w:trPr>
          <w:trHeight w:val="260"/>
        </w:trPr>
        <w:tc>
          <w:tcPr>
            <w:tcW w:w="2140" w:type="dxa"/>
            <w:tcBorders>
              <w:top w:val="nil"/>
              <w:left w:val="nil"/>
              <w:bottom w:val="nil"/>
              <w:right w:val="nil"/>
            </w:tcBorders>
            <w:shd w:val="clear" w:color="000000" w:fill="FFFFFF"/>
            <w:noWrap/>
            <w:vAlign w:val="bottom"/>
            <w:hideMark/>
          </w:tcPr>
          <w:p w14:paraId="2B077E8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80" w:type="dxa"/>
            <w:tcBorders>
              <w:top w:val="nil"/>
              <w:left w:val="nil"/>
              <w:bottom w:val="nil"/>
              <w:right w:val="nil"/>
            </w:tcBorders>
            <w:shd w:val="clear" w:color="000000" w:fill="FFFFFF"/>
            <w:noWrap/>
            <w:vAlign w:val="bottom"/>
            <w:hideMark/>
          </w:tcPr>
          <w:p w14:paraId="598EE1F4"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597F3BB6"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01228871"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24D909E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355EAFC0"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0C893840"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073FA2C4"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2F53FB2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43D7D7DC"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4A80E156"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4D516A45"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4766C497"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4C90A16F"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638DEB3A"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5685E9FC"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r>
      <w:tr w:rsidR="000A4766" w:rsidRPr="000A4766" w14:paraId="7102AFEB" w14:textId="77777777" w:rsidTr="000A4766">
        <w:trPr>
          <w:trHeight w:val="260"/>
        </w:trPr>
        <w:tc>
          <w:tcPr>
            <w:tcW w:w="2140" w:type="dxa"/>
            <w:tcBorders>
              <w:top w:val="single" w:sz="4" w:space="0" w:color="auto"/>
              <w:left w:val="single" w:sz="4" w:space="0" w:color="auto"/>
              <w:bottom w:val="nil"/>
              <w:right w:val="single" w:sz="4" w:space="0" w:color="auto"/>
            </w:tcBorders>
            <w:shd w:val="clear" w:color="000000" w:fill="FFFFFF"/>
            <w:noWrap/>
            <w:vAlign w:val="bottom"/>
            <w:hideMark/>
          </w:tcPr>
          <w:p w14:paraId="22C7A3B5"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80" w:type="dxa"/>
            <w:tcBorders>
              <w:top w:val="single" w:sz="4" w:space="0" w:color="auto"/>
              <w:left w:val="nil"/>
              <w:bottom w:val="nil"/>
              <w:right w:val="single" w:sz="4" w:space="0" w:color="auto"/>
            </w:tcBorders>
            <w:shd w:val="clear" w:color="000000" w:fill="FFFFFF"/>
            <w:noWrap/>
            <w:vAlign w:val="bottom"/>
            <w:hideMark/>
          </w:tcPr>
          <w:p w14:paraId="5FE0255A"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Market </w:t>
            </w:r>
          </w:p>
        </w:tc>
        <w:tc>
          <w:tcPr>
            <w:tcW w:w="1240" w:type="dxa"/>
            <w:gridSpan w:val="2"/>
            <w:tcBorders>
              <w:top w:val="single" w:sz="4" w:space="0" w:color="auto"/>
              <w:left w:val="nil"/>
              <w:bottom w:val="nil"/>
              <w:right w:val="single" w:sz="4" w:space="0" w:color="000000"/>
            </w:tcBorders>
            <w:shd w:val="clear" w:color="000000" w:fill="FFFFFF"/>
            <w:noWrap/>
            <w:vAlign w:val="bottom"/>
            <w:hideMark/>
          </w:tcPr>
          <w:p w14:paraId="3505DC4A"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Penetration</w:t>
            </w:r>
          </w:p>
        </w:tc>
        <w:tc>
          <w:tcPr>
            <w:tcW w:w="1332" w:type="dxa"/>
            <w:gridSpan w:val="2"/>
            <w:tcBorders>
              <w:top w:val="single" w:sz="4" w:space="0" w:color="auto"/>
              <w:left w:val="nil"/>
              <w:bottom w:val="nil"/>
              <w:right w:val="single" w:sz="4" w:space="0" w:color="000000"/>
            </w:tcBorders>
            <w:shd w:val="clear" w:color="000000" w:fill="FFFFFF"/>
            <w:noWrap/>
            <w:vAlign w:val="bottom"/>
            <w:hideMark/>
          </w:tcPr>
          <w:p w14:paraId="3CE0E09E"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Purchase</w:t>
            </w:r>
          </w:p>
        </w:tc>
        <w:tc>
          <w:tcPr>
            <w:tcW w:w="2184"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1A15F028"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Buying</w:t>
            </w:r>
          </w:p>
        </w:tc>
        <w:tc>
          <w:tcPr>
            <w:tcW w:w="10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AAF171"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Category</w:t>
            </w:r>
          </w:p>
        </w:tc>
        <w:tc>
          <w:tcPr>
            <w:tcW w:w="2572"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6FD5DC1"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100% Loyal </w:t>
            </w:r>
          </w:p>
        </w:tc>
      </w:tr>
      <w:tr w:rsidR="000A4766" w:rsidRPr="000A4766" w14:paraId="11078619"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0F23BF7D"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Range </w:t>
            </w:r>
          </w:p>
        </w:tc>
        <w:tc>
          <w:tcPr>
            <w:tcW w:w="880" w:type="dxa"/>
            <w:tcBorders>
              <w:top w:val="nil"/>
              <w:left w:val="nil"/>
              <w:bottom w:val="nil"/>
              <w:right w:val="single" w:sz="4" w:space="0" w:color="auto"/>
            </w:tcBorders>
            <w:shd w:val="clear" w:color="000000" w:fill="FFFFFF"/>
            <w:noWrap/>
            <w:vAlign w:val="bottom"/>
            <w:hideMark/>
          </w:tcPr>
          <w:p w14:paraId="6975CE4A"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Share</w:t>
            </w:r>
          </w:p>
        </w:tc>
        <w:tc>
          <w:tcPr>
            <w:tcW w:w="1240" w:type="dxa"/>
            <w:gridSpan w:val="2"/>
            <w:tcBorders>
              <w:top w:val="nil"/>
              <w:left w:val="nil"/>
              <w:bottom w:val="nil"/>
              <w:right w:val="single" w:sz="4" w:space="0" w:color="000000"/>
            </w:tcBorders>
            <w:shd w:val="clear" w:color="000000" w:fill="FFFFFF"/>
            <w:noWrap/>
            <w:vAlign w:val="bottom"/>
            <w:hideMark/>
          </w:tcPr>
          <w:p w14:paraId="6777C958"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w:t>
            </w:r>
          </w:p>
        </w:tc>
        <w:tc>
          <w:tcPr>
            <w:tcW w:w="1332" w:type="dxa"/>
            <w:gridSpan w:val="2"/>
            <w:tcBorders>
              <w:top w:val="nil"/>
              <w:left w:val="nil"/>
              <w:bottom w:val="nil"/>
              <w:right w:val="single" w:sz="4" w:space="0" w:color="000000"/>
            </w:tcBorders>
            <w:shd w:val="clear" w:color="000000" w:fill="FFFFFF"/>
            <w:noWrap/>
            <w:vAlign w:val="bottom"/>
            <w:hideMark/>
          </w:tcPr>
          <w:p w14:paraId="79741459"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w:t>
            </w:r>
            <w:proofErr w:type="gramStart"/>
            <w:r w:rsidRPr="000A4766">
              <w:rPr>
                <w:rFonts w:ascii="Arial" w:eastAsia="Times New Roman" w:hAnsi="Arial" w:cs="Arial"/>
                <w:sz w:val="20"/>
                <w:szCs w:val="20"/>
                <w:lang w:eastAsia="en-US"/>
              </w:rPr>
              <w:t>per</w:t>
            </w:r>
            <w:proofErr w:type="gramEnd"/>
            <w:r w:rsidRPr="000A4766">
              <w:rPr>
                <w:rFonts w:ascii="Arial" w:eastAsia="Times New Roman" w:hAnsi="Arial" w:cs="Arial"/>
                <w:sz w:val="20"/>
                <w:szCs w:val="20"/>
                <w:lang w:eastAsia="en-US"/>
              </w:rPr>
              <w:t xml:space="preserve"> buyer</w:t>
            </w:r>
          </w:p>
        </w:tc>
        <w:tc>
          <w:tcPr>
            <w:tcW w:w="1092" w:type="dxa"/>
            <w:gridSpan w:val="2"/>
            <w:tcBorders>
              <w:top w:val="single" w:sz="4" w:space="0" w:color="auto"/>
              <w:left w:val="nil"/>
              <w:bottom w:val="nil"/>
              <w:right w:val="nil"/>
            </w:tcBorders>
            <w:shd w:val="clear" w:color="000000" w:fill="FFFFFF"/>
            <w:noWrap/>
            <w:vAlign w:val="bottom"/>
            <w:hideMark/>
          </w:tcPr>
          <w:p w14:paraId="753DA34C"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Once</w:t>
            </w:r>
          </w:p>
        </w:tc>
        <w:tc>
          <w:tcPr>
            <w:tcW w:w="1092" w:type="dxa"/>
            <w:gridSpan w:val="2"/>
            <w:tcBorders>
              <w:top w:val="single" w:sz="4" w:space="0" w:color="auto"/>
              <w:left w:val="nil"/>
              <w:bottom w:val="nil"/>
              <w:right w:val="single" w:sz="4" w:space="0" w:color="000000"/>
            </w:tcBorders>
            <w:shd w:val="clear" w:color="000000" w:fill="FFFFFF"/>
            <w:noWrap/>
            <w:vAlign w:val="bottom"/>
            <w:hideMark/>
          </w:tcPr>
          <w:p w14:paraId="58AE9C4F"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5+ </w:t>
            </w:r>
          </w:p>
        </w:tc>
        <w:tc>
          <w:tcPr>
            <w:tcW w:w="1092" w:type="dxa"/>
            <w:gridSpan w:val="2"/>
            <w:tcBorders>
              <w:top w:val="single" w:sz="4" w:space="0" w:color="auto"/>
              <w:left w:val="nil"/>
              <w:bottom w:val="nil"/>
              <w:right w:val="single" w:sz="4" w:space="0" w:color="000000"/>
            </w:tcBorders>
            <w:shd w:val="clear" w:color="000000" w:fill="FFFFFF"/>
            <w:noWrap/>
            <w:vAlign w:val="bottom"/>
            <w:hideMark/>
          </w:tcPr>
          <w:p w14:paraId="3DAF6CB9"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SCR (%)</w:t>
            </w:r>
          </w:p>
        </w:tc>
        <w:tc>
          <w:tcPr>
            <w:tcW w:w="1240" w:type="dxa"/>
            <w:gridSpan w:val="2"/>
            <w:tcBorders>
              <w:top w:val="single" w:sz="4" w:space="0" w:color="auto"/>
              <w:left w:val="nil"/>
              <w:bottom w:val="nil"/>
              <w:right w:val="nil"/>
            </w:tcBorders>
            <w:shd w:val="clear" w:color="000000" w:fill="FFFFFF"/>
            <w:noWrap/>
            <w:vAlign w:val="bottom"/>
            <w:hideMark/>
          </w:tcPr>
          <w:p w14:paraId="0DEACFE0"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Penetration</w:t>
            </w:r>
          </w:p>
        </w:tc>
        <w:tc>
          <w:tcPr>
            <w:tcW w:w="1332" w:type="dxa"/>
            <w:gridSpan w:val="2"/>
            <w:tcBorders>
              <w:top w:val="single" w:sz="4" w:space="0" w:color="auto"/>
              <w:left w:val="nil"/>
              <w:bottom w:val="nil"/>
              <w:right w:val="single" w:sz="4" w:space="0" w:color="000000"/>
            </w:tcBorders>
            <w:shd w:val="clear" w:color="000000" w:fill="FFFFFF"/>
            <w:noWrap/>
            <w:vAlign w:val="bottom"/>
            <w:hideMark/>
          </w:tcPr>
          <w:p w14:paraId="04356F9D"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Av Purchase</w:t>
            </w:r>
          </w:p>
        </w:tc>
      </w:tr>
      <w:tr w:rsidR="000A4766" w:rsidRPr="000A4766" w14:paraId="05FC42F6"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68B01910" w14:textId="77777777" w:rsidR="000A4766" w:rsidRPr="000A4766" w:rsidRDefault="000A4766" w:rsidP="000A4766">
            <w:pPr>
              <w:spacing w:after="0"/>
              <w:jc w:val="center"/>
              <w:rPr>
                <w:rFonts w:ascii="Arial" w:eastAsia="Times New Roman" w:hAnsi="Arial" w:cs="Arial"/>
                <w:color w:val="DD0806"/>
                <w:sz w:val="20"/>
                <w:szCs w:val="20"/>
                <w:lang w:eastAsia="en-US"/>
              </w:rPr>
            </w:pPr>
            <w:r w:rsidRPr="000A4766">
              <w:rPr>
                <w:rFonts w:ascii="Arial" w:eastAsia="Times New Roman" w:hAnsi="Arial" w:cs="Arial"/>
                <w:color w:val="DD0806"/>
                <w:sz w:val="20"/>
                <w:szCs w:val="20"/>
                <w:lang w:eastAsia="en-US"/>
              </w:rPr>
              <w:t> </w:t>
            </w:r>
          </w:p>
        </w:tc>
        <w:tc>
          <w:tcPr>
            <w:tcW w:w="880" w:type="dxa"/>
            <w:tcBorders>
              <w:top w:val="nil"/>
              <w:left w:val="nil"/>
              <w:bottom w:val="single" w:sz="4" w:space="0" w:color="auto"/>
              <w:right w:val="single" w:sz="4" w:space="0" w:color="auto"/>
            </w:tcBorders>
            <w:shd w:val="clear" w:color="000000" w:fill="FFFFFF"/>
            <w:noWrap/>
            <w:vAlign w:val="bottom"/>
            <w:hideMark/>
          </w:tcPr>
          <w:p w14:paraId="46BE6C8E"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w:t>
            </w:r>
          </w:p>
        </w:tc>
        <w:tc>
          <w:tcPr>
            <w:tcW w:w="1240" w:type="dxa"/>
            <w:gridSpan w:val="2"/>
            <w:tcBorders>
              <w:top w:val="nil"/>
              <w:left w:val="nil"/>
              <w:bottom w:val="single" w:sz="4" w:space="0" w:color="auto"/>
              <w:right w:val="single" w:sz="4" w:space="0" w:color="000000"/>
            </w:tcBorders>
            <w:shd w:val="clear" w:color="000000" w:fill="FFFFFF"/>
            <w:noWrap/>
            <w:vAlign w:val="bottom"/>
            <w:hideMark/>
          </w:tcPr>
          <w:p w14:paraId="12575317"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1332" w:type="dxa"/>
            <w:gridSpan w:val="2"/>
            <w:tcBorders>
              <w:top w:val="nil"/>
              <w:left w:val="nil"/>
              <w:bottom w:val="single" w:sz="4" w:space="0" w:color="auto"/>
              <w:right w:val="single" w:sz="4" w:space="0" w:color="000000"/>
            </w:tcBorders>
            <w:shd w:val="clear" w:color="000000" w:fill="FFFFFF"/>
            <w:noWrap/>
            <w:vAlign w:val="bottom"/>
            <w:hideMark/>
          </w:tcPr>
          <w:p w14:paraId="3B1B421E"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1092" w:type="dxa"/>
            <w:gridSpan w:val="2"/>
            <w:tcBorders>
              <w:top w:val="nil"/>
              <w:left w:val="nil"/>
              <w:bottom w:val="single" w:sz="4" w:space="0" w:color="auto"/>
              <w:right w:val="nil"/>
            </w:tcBorders>
            <w:shd w:val="clear" w:color="000000" w:fill="FFFFFF"/>
            <w:noWrap/>
            <w:vAlign w:val="bottom"/>
            <w:hideMark/>
          </w:tcPr>
          <w:p w14:paraId="1FC44B8C"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1092" w:type="dxa"/>
            <w:gridSpan w:val="2"/>
            <w:tcBorders>
              <w:top w:val="nil"/>
              <w:left w:val="nil"/>
              <w:bottom w:val="single" w:sz="4" w:space="0" w:color="auto"/>
              <w:right w:val="single" w:sz="4" w:space="0" w:color="000000"/>
            </w:tcBorders>
            <w:shd w:val="clear" w:color="000000" w:fill="FFFFFF"/>
            <w:noWrap/>
            <w:vAlign w:val="bottom"/>
            <w:hideMark/>
          </w:tcPr>
          <w:p w14:paraId="4892FABF"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1092" w:type="dxa"/>
            <w:gridSpan w:val="2"/>
            <w:tcBorders>
              <w:top w:val="nil"/>
              <w:left w:val="nil"/>
              <w:bottom w:val="single" w:sz="4" w:space="0" w:color="auto"/>
              <w:right w:val="single" w:sz="4" w:space="0" w:color="000000"/>
            </w:tcBorders>
            <w:shd w:val="clear" w:color="000000" w:fill="FFFFFF"/>
            <w:noWrap/>
            <w:vAlign w:val="bottom"/>
            <w:hideMark/>
          </w:tcPr>
          <w:p w14:paraId="49AA56C4"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1240" w:type="dxa"/>
            <w:gridSpan w:val="2"/>
            <w:tcBorders>
              <w:top w:val="nil"/>
              <w:left w:val="nil"/>
              <w:bottom w:val="single" w:sz="4" w:space="0" w:color="auto"/>
              <w:right w:val="nil"/>
            </w:tcBorders>
            <w:shd w:val="clear" w:color="000000" w:fill="FFFFFF"/>
            <w:noWrap/>
            <w:vAlign w:val="bottom"/>
            <w:hideMark/>
          </w:tcPr>
          <w:p w14:paraId="26CF6DD4"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1332" w:type="dxa"/>
            <w:gridSpan w:val="2"/>
            <w:tcBorders>
              <w:top w:val="nil"/>
              <w:left w:val="nil"/>
              <w:bottom w:val="single" w:sz="4" w:space="0" w:color="auto"/>
              <w:right w:val="single" w:sz="4" w:space="0" w:color="000000"/>
            </w:tcBorders>
            <w:shd w:val="clear" w:color="000000" w:fill="FFFFFF"/>
            <w:noWrap/>
            <w:vAlign w:val="bottom"/>
            <w:hideMark/>
          </w:tcPr>
          <w:p w14:paraId="7EB52292"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r>
      <w:tr w:rsidR="000A4766" w:rsidRPr="000A4766" w14:paraId="6FF8B7C9" w14:textId="77777777" w:rsidTr="000A4766">
        <w:trPr>
          <w:trHeight w:val="260"/>
        </w:trPr>
        <w:tc>
          <w:tcPr>
            <w:tcW w:w="2140" w:type="dxa"/>
            <w:tcBorders>
              <w:top w:val="single" w:sz="4" w:space="0" w:color="auto"/>
              <w:left w:val="single" w:sz="4" w:space="0" w:color="auto"/>
              <w:bottom w:val="nil"/>
              <w:right w:val="single" w:sz="4" w:space="0" w:color="auto"/>
            </w:tcBorders>
            <w:shd w:val="clear" w:color="000000" w:fill="FFFFFF"/>
            <w:noWrap/>
            <w:vAlign w:val="bottom"/>
            <w:hideMark/>
          </w:tcPr>
          <w:p w14:paraId="39A19E06"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80" w:type="dxa"/>
            <w:tcBorders>
              <w:top w:val="nil"/>
              <w:left w:val="nil"/>
              <w:bottom w:val="nil"/>
              <w:right w:val="single" w:sz="4" w:space="0" w:color="auto"/>
            </w:tcBorders>
            <w:shd w:val="clear" w:color="000000" w:fill="FFFFFF"/>
            <w:noWrap/>
            <w:vAlign w:val="bottom"/>
            <w:hideMark/>
          </w:tcPr>
          <w:p w14:paraId="08383109"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6EBDEC7A"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O</w:t>
            </w:r>
          </w:p>
        </w:tc>
        <w:tc>
          <w:tcPr>
            <w:tcW w:w="620" w:type="dxa"/>
            <w:tcBorders>
              <w:top w:val="nil"/>
              <w:left w:val="nil"/>
              <w:bottom w:val="nil"/>
              <w:right w:val="single" w:sz="4" w:space="0" w:color="auto"/>
            </w:tcBorders>
            <w:shd w:val="clear" w:color="000000" w:fill="FFFFFF"/>
            <w:noWrap/>
            <w:vAlign w:val="bottom"/>
            <w:hideMark/>
          </w:tcPr>
          <w:p w14:paraId="0725E5BB" w14:textId="77777777" w:rsidR="000A4766" w:rsidRPr="000A4766" w:rsidRDefault="000A4766" w:rsidP="000A4766">
            <w:pPr>
              <w:spacing w:after="0"/>
              <w:jc w:val="center"/>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T</w:t>
            </w:r>
          </w:p>
        </w:tc>
        <w:tc>
          <w:tcPr>
            <w:tcW w:w="666" w:type="dxa"/>
            <w:tcBorders>
              <w:top w:val="nil"/>
              <w:left w:val="nil"/>
              <w:bottom w:val="nil"/>
              <w:right w:val="nil"/>
            </w:tcBorders>
            <w:shd w:val="clear" w:color="000000" w:fill="FFFFFF"/>
            <w:noWrap/>
            <w:vAlign w:val="bottom"/>
            <w:hideMark/>
          </w:tcPr>
          <w:p w14:paraId="53EAEF81"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O</w:t>
            </w:r>
          </w:p>
        </w:tc>
        <w:tc>
          <w:tcPr>
            <w:tcW w:w="666" w:type="dxa"/>
            <w:tcBorders>
              <w:top w:val="nil"/>
              <w:left w:val="nil"/>
              <w:bottom w:val="nil"/>
              <w:right w:val="nil"/>
            </w:tcBorders>
            <w:shd w:val="clear" w:color="000000" w:fill="FFFFFF"/>
            <w:noWrap/>
            <w:vAlign w:val="bottom"/>
            <w:hideMark/>
          </w:tcPr>
          <w:p w14:paraId="76F30705" w14:textId="77777777" w:rsidR="000A4766" w:rsidRPr="000A4766" w:rsidRDefault="000A4766" w:rsidP="000A4766">
            <w:pPr>
              <w:spacing w:after="0"/>
              <w:jc w:val="center"/>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T</w:t>
            </w:r>
          </w:p>
        </w:tc>
        <w:tc>
          <w:tcPr>
            <w:tcW w:w="546" w:type="dxa"/>
            <w:tcBorders>
              <w:top w:val="nil"/>
              <w:left w:val="single" w:sz="4" w:space="0" w:color="auto"/>
              <w:bottom w:val="nil"/>
              <w:right w:val="nil"/>
            </w:tcBorders>
            <w:shd w:val="clear" w:color="000000" w:fill="FFFFFF"/>
            <w:noWrap/>
            <w:vAlign w:val="bottom"/>
            <w:hideMark/>
          </w:tcPr>
          <w:p w14:paraId="64613EE1"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O</w:t>
            </w:r>
          </w:p>
        </w:tc>
        <w:tc>
          <w:tcPr>
            <w:tcW w:w="546" w:type="dxa"/>
            <w:tcBorders>
              <w:top w:val="nil"/>
              <w:left w:val="nil"/>
              <w:bottom w:val="nil"/>
              <w:right w:val="nil"/>
            </w:tcBorders>
            <w:shd w:val="clear" w:color="000000" w:fill="FFFFFF"/>
            <w:noWrap/>
            <w:vAlign w:val="bottom"/>
            <w:hideMark/>
          </w:tcPr>
          <w:p w14:paraId="01B62585" w14:textId="77777777" w:rsidR="000A4766" w:rsidRPr="000A4766" w:rsidRDefault="000A4766" w:rsidP="000A4766">
            <w:pPr>
              <w:spacing w:after="0"/>
              <w:jc w:val="center"/>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T</w:t>
            </w:r>
          </w:p>
        </w:tc>
        <w:tc>
          <w:tcPr>
            <w:tcW w:w="546" w:type="dxa"/>
            <w:tcBorders>
              <w:top w:val="nil"/>
              <w:left w:val="nil"/>
              <w:bottom w:val="nil"/>
              <w:right w:val="nil"/>
            </w:tcBorders>
            <w:shd w:val="clear" w:color="000000" w:fill="FFFFFF"/>
            <w:noWrap/>
            <w:vAlign w:val="bottom"/>
            <w:hideMark/>
          </w:tcPr>
          <w:p w14:paraId="43CA0262"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O</w:t>
            </w:r>
          </w:p>
        </w:tc>
        <w:tc>
          <w:tcPr>
            <w:tcW w:w="546" w:type="dxa"/>
            <w:tcBorders>
              <w:top w:val="nil"/>
              <w:left w:val="nil"/>
              <w:bottom w:val="nil"/>
              <w:right w:val="single" w:sz="4" w:space="0" w:color="auto"/>
            </w:tcBorders>
            <w:shd w:val="clear" w:color="000000" w:fill="FFFFFF"/>
            <w:noWrap/>
            <w:vAlign w:val="bottom"/>
            <w:hideMark/>
          </w:tcPr>
          <w:p w14:paraId="37CA43BE" w14:textId="77777777" w:rsidR="000A4766" w:rsidRPr="000A4766" w:rsidRDefault="000A4766" w:rsidP="000A4766">
            <w:pPr>
              <w:spacing w:after="0"/>
              <w:jc w:val="center"/>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T</w:t>
            </w:r>
          </w:p>
        </w:tc>
        <w:tc>
          <w:tcPr>
            <w:tcW w:w="546" w:type="dxa"/>
            <w:tcBorders>
              <w:top w:val="nil"/>
              <w:left w:val="nil"/>
              <w:bottom w:val="nil"/>
              <w:right w:val="nil"/>
            </w:tcBorders>
            <w:shd w:val="clear" w:color="000000" w:fill="FFFFFF"/>
            <w:noWrap/>
            <w:vAlign w:val="bottom"/>
            <w:hideMark/>
          </w:tcPr>
          <w:p w14:paraId="6595AE35"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O</w:t>
            </w:r>
          </w:p>
        </w:tc>
        <w:tc>
          <w:tcPr>
            <w:tcW w:w="546" w:type="dxa"/>
            <w:tcBorders>
              <w:top w:val="nil"/>
              <w:left w:val="nil"/>
              <w:bottom w:val="nil"/>
              <w:right w:val="single" w:sz="4" w:space="0" w:color="auto"/>
            </w:tcBorders>
            <w:shd w:val="clear" w:color="000000" w:fill="FFFFFF"/>
            <w:noWrap/>
            <w:vAlign w:val="bottom"/>
            <w:hideMark/>
          </w:tcPr>
          <w:p w14:paraId="3A490D75" w14:textId="77777777" w:rsidR="000A4766" w:rsidRPr="000A4766" w:rsidRDefault="000A4766" w:rsidP="000A4766">
            <w:pPr>
              <w:spacing w:after="0"/>
              <w:jc w:val="center"/>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T</w:t>
            </w:r>
          </w:p>
        </w:tc>
        <w:tc>
          <w:tcPr>
            <w:tcW w:w="620" w:type="dxa"/>
            <w:tcBorders>
              <w:top w:val="nil"/>
              <w:left w:val="nil"/>
              <w:bottom w:val="nil"/>
              <w:right w:val="nil"/>
            </w:tcBorders>
            <w:shd w:val="clear" w:color="000000" w:fill="FFFFFF"/>
            <w:noWrap/>
            <w:vAlign w:val="bottom"/>
            <w:hideMark/>
          </w:tcPr>
          <w:p w14:paraId="1F96120E"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O</w:t>
            </w:r>
          </w:p>
        </w:tc>
        <w:tc>
          <w:tcPr>
            <w:tcW w:w="620" w:type="dxa"/>
            <w:tcBorders>
              <w:top w:val="nil"/>
              <w:left w:val="nil"/>
              <w:bottom w:val="nil"/>
              <w:right w:val="nil"/>
            </w:tcBorders>
            <w:shd w:val="clear" w:color="000000" w:fill="FFFFFF"/>
            <w:noWrap/>
            <w:vAlign w:val="bottom"/>
            <w:hideMark/>
          </w:tcPr>
          <w:p w14:paraId="5B3F60AD" w14:textId="77777777" w:rsidR="000A4766" w:rsidRPr="000A4766" w:rsidRDefault="000A4766" w:rsidP="000A4766">
            <w:pPr>
              <w:spacing w:after="0"/>
              <w:jc w:val="center"/>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T</w:t>
            </w:r>
          </w:p>
        </w:tc>
        <w:tc>
          <w:tcPr>
            <w:tcW w:w="666" w:type="dxa"/>
            <w:tcBorders>
              <w:top w:val="nil"/>
              <w:left w:val="nil"/>
              <w:bottom w:val="nil"/>
              <w:right w:val="nil"/>
            </w:tcBorders>
            <w:shd w:val="clear" w:color="000000" w:fill="FFFFFF"/>
            <w:noWrap/>
            <w:vAlign w:val="bottom"/>
            <w:hideMark/>
          </w:tcPr>
          <w:p w14:paraId="296CB287"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O</w:t>
            </w:r>
          </w:p>
        </w:tc>
        <w:tc>
          <w:tcPr>
            <w:tcW w:w="666" w:type="dxa"/>
            <w:tcBorders>
              <w:top w:val="nil"/>
              <w:left w:val="nil"/>
              <w:bottom w:val="nil"/>
              <w:right w:val="single" w:sz="4" w:space="0" w:color="auto"/>
            </w:tcBorders>
            <w:shd w:val="clear" w:color="000000" w:fill="FFFFFF"/>
            <w:noWrap/>
            <w:vAlign w:val="bottom"/>
            <w:hideMark/>
          </w:tcPr>
          <w:p w14:paraId="4A09AB2D" w14:textId="77777777" w:rsidR="000A4766" w:rsidRPr="000A4766" w:rsidRDefault="000A4766" w:rsidP="000A4766">
            <w:pPr>
              <w:spacing w:after="0"/>
              <w:jc w:val="center"/>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T</w:t>
            </w:r>
          </w:p>
        </w:tc>
      </w:tr>
      <w:tr w:rsidR="000A4766" w:rsidRPr="000A4766" w14:paraId="72C86116"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33AF7D13"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80" w:type="dxa"/>
            <w:tcBorders>
              <w:top w:val="nil"/>
              <w:left w:val="nil"/>
              <w:bottom w:val="nil"/>
              <w:right w:val="single" w:sz="4" w:space="0" w:color="auto"/>
            </w:tcBorders>
            <w:shd w:val="clear" w:color="000000" w:fill="FFFFFF"/>
            <w:noWrap/>
            <w:vAlign w:val="bottom"/>
            <w:hideMark/>
          </w:tcPr>
          <w:p w14:paraId="6E5E20D6"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2C1E90E7"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2BA9BBC5"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66" w:type="dxa"/>
            <w:tcBorders>
              <w:top w:val="nil"/>
              <w:left w:val="single" w:sz="4" w:space="0" w:color="auto"/>
              <w:bottom w:val="nil"/>
              <w:right w:val="nil"/>
            </w:tcBorders>
            <w:shd w:val="clear" w:color="000000" w:fill="FFFFFF"/>
            <w:noWrap/>
            <w:vAlign w:val="bottom"/>
            <w:hideMark/>
          </w:tcPr>
          <w:p w14:paraId="299543D8"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5E586FB0"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single" w:sz="4" w:space="0" w:color="auto"/>
              <w:bottom w:val="nil"/>
              <w:right w:val="nil"/>
            </w:tcBorders>
            <w:shd w:val="clear" w:color="000000" w:fill="FFFFFF"/>
            <w:noWrap/>
            <w:vAlign w:val="bottom"/>
            <w:hideMark/>
          </w:tcPr>
          <w:p w14:paraId="01C191F3"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7A08D70A"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402E8A94"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single" w:sz="4" w:space="0" w:color="auto"/>
            </w:tcBorders>
            <w:shd w:val="clear" w:color="000000" w:fill="FFFFFF"/>
            <w:noWrap/>
            <w:vAlign w:val="bottom"/>
            <w:hideMark/>
          </w:tcPr>
          <w:p w14:paraId="5487288E"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602BB2CA"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single" w:sz="4" w:space="0" w:color="auto"/>
            </w:tcBorders>
            <w:shd w:val="clear" w:color="000000" w:fill="FFFFFF"/>
            <w:noWrap/>
            <w:vAlign w:val="bottom"/>
            <w:hideMark/>
          </w:tcPr>
          <w:p w14:paraId="0776DC1C"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20" w:type="dxa"/>
            <w:tcBorders>
              <w:top w:val="nil"/>
              <w:left w:val="nil"/>
              <w:bottom w:val="nil"/>
              <w:right w:val="nil"/>
            </w:tcBorders>
            <w:shd w:val="clear" w:color="000000" w:fill="FFFFFF"/>
            <w:noWrap/>
            <w:vAlign w:val="bottom"/>
            <w:hideMark/>
          </w:tcPr>
          <w:p w14:paraId="75E6C0C9"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307EDC13"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66" w:type="dxa"/>
            <w:tcBorders>
              <w:top w:val="nil"/>
              <w:left w:val="nil"/>
              <w:bottom w:val="nil"/>
              <w:right w:val="nil"/>
            </w:tcBorders>
            <w:shd w:val="clear" w:color="000000" w:fill="FFFFFF"/>
            <w:noWrap/>
            <w:vAlign w:val="bottom"/>
            <w:hideMark/>
          </w:tcPr>
          <w:p w14:paraId="0DCDA4E4"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single" w:sz="4" w:space="0" w:color="auto"/>
            </w:tcBorders>
            <w:shd w:val="clear" w:color="000000" w:fill="FFFFFF"/>
            <w:noWrap/>
            <w:vAlign w:val="bottom"/>
            <w:hideMark/>
          </w:tcPr>
          <w:p w14:paraId="253B6618"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r>
      <w:tr w:rsidR="000A4766" w:rsidRPr="000A4766" w14:paraId="1AA95D55"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0C4175F1"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Total  </w:t>
            </w:r>
          </w:p>
        </w:tc>
        <w:tc>
          <w:tcPr>
            <w:tcW w:w="880" w:type="dxa"/>
            <w:tcBorders>
              <w:top w:val="nil"/>
              <w:left w:val="nil"/>
              <w:bottom w:val="nil"/>
              <w:right w:val="single" w:sz="4" w:space="0" w:color="auto"/>
            </w:tcBorders>
            <w:shd w:val="clear" w:color="000000" w:fill="FFFFFF"/>
            <w:noWrap/>
            <w:vAlign w:val="bottom"/>
            <w:hideMark/>
          </w:tcPr>
          <w:p w14:paraId="4656563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92</w:t>
            </w:r>
          </w:p>
        </w:tc>
        <w:tc>
          <w:tcPr>
            <w:tcW w:w="620" w:type="dxa"/>
            <w:tcBorders>
              <w:top w:val="nil"/>
              <w:left w:val="nil"/>
              <w:bottom w:val="nil"/>
              <w:right w:val="nil"/>
            </w:tcBorders>
            <w:shd w:val="clear" w:color="000000" w:fill="FFFFFF"/>
            <w:noWrap/>
            <w:vAlign w:val="bottom"/>
            <w:hideMark/>
          </w:tcPr>
          <w:p w14:paraId="7936A0F8"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36</w:t>
            </w:r>
          </w:p>
        </w:tc>
        <w:tc>
          <w:tcPr>
            <w:tcW w:w="620" w:type="dxa"/>
            <w:tcBorders>
              <w:top w:val="nil"/>
              <w:left w:val="nil"/>
              <w:bottom w:val="nil"/>
              <w:right w:val="nil"/>
            </w:tcBorders>
            <w:shd w:val="clear" w:color="000000" w:fill="FFFFFF"/>
            <w:noWrap/>
            <w:vAlign w:val="bottom"/>
            <w:hideMark/>
          </w:tcPr>
          <w:p w14:paraId="3FCA493F"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66" w:type="dxa"/>
            <w:tcBorders>
              <w:top w:val="nil"/>
              <w:left w:val="single" w:sz="4" w:space="0" w:color="auto"/>
              <w:bottom w:val="nil"/>
              <w:right w:val="nil"/>
            </w:tcBorders>
            <w:shd w:val="clear" w:color="000000" w:fill="FFFFFF"/>
            <w:noWrap/>
            <w:vAlign w:val="bottom"/>
            <w:hideMark/>
          </w:tcPr>
          <w:p w14:paraId="4E68D92B"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8.9</w:t>
            </w:r>
          </w:p>
        </w:tc>
        <w:tc>
          <w:tcPr>
            <w:tcW w:w="666" w:type="dxa"/>
            <w:tcBorders>
              <w:top w:val="nil"/>
              <w:left w:val="nil"/>
              <w:bottom w:val="nil"/>
              <w:right w:val="single" w:sz="4" w:space="0" w:color="auto"/>
            </w:tcBorders>
            <w:shd w:val="clear" w:color="000000" w:fill="FFFFFF"/>
            <w:noWrap/>
            <w:vAlign w:val="bottom"/>
            <w:hideMark/>
          </w:tcPr>
          <w:p w14:paraId="276013F3"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2BEA1623"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4E6013C8"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56E3BC0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single" w:sz="4" w:space="0" w:color="auto"/>
            </w:tcBorders>
            <w:shd w:val="clear" w:color="000000" w:fill="FFFFFF"/>
            <w:noWrap/>
            <w:vAlign w:val="bottom"/>
            <w:hideMark/>
          </w:tcPr>
          <w:p w14:paraId="79B1CA69"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34AF04DF"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single" w:sz="4" w:space="0" w:color="auto"/>
            </w:tcBorders>
            <w:shd w:val="clear" w:color="000000" w:fill="FFFFFF"/>
            <w:noWrap/>
            <w:vAlign w:val="bottom"/>
            <w:hideMark/>
          </w:tcPr>
          <w:p w14:paraId="395ABA0D"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20" w:type="dxa"/>
            <w:tcBorders>
              <w:top w:val="nil"/>
              <w:left w:val="nil"/>
              <w:bottom w:val="nil"/>
              <w:right w:val="nil"/>
            </w:tcBorders>
            <w:shd w:val="clear" w:color="000000" w:fill="FFFFFF"/>
            <w:noWrap/>
            <w:vAlign w:val="bottom"/>
            <w:hideMark/>
          </w:tcPr>
          <w:p w14:paraId="68A052CC"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69954049"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66" w:type="dxa"/>
            <w:tcBorders>
              <w:top w:val="nil"/>
              <w:left w:val="nil"/>
              <w:bottom w:val="nil"/>
              <w:right w:val="nil"/>
            </w:tcBorders>
            <w:shd w:val="clear" w:color="000000" w:fill="FFFFFF"/>
            <w:noWrap/>
            <w:vAlign w:val="bottom"/>
            <w:hideMark/>
          </w:tcPr>
          <w:p w14:paraId="1DD02B1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single" w:sz="4" w:space="0" w:color="auto"/>
            </w:tcBorders>
            <w:shd w:val="clear" w:color="000000" w:fill="FFFFFF"/>
            <w:noWrap/>
            <w:vAlign w:val="bottom"/>
            <w:hideMark/>
          </w:tcPr>
          <w:p w14:paraId="56126494"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r>
      <w:tr w:rsidR="000A4766" w:rsidRPr="000A4766" w14:paraId="692B6685"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6E6E3801"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80" w:type="dxa"/>
            <w:tcBorders>
              <w:top w:val="nil"/>
              <w:left w:val="nil"/>
              <w:bottom w:val="nil"/>
              <w:right w:val="single" w:sz="4" w:space="0" w:color="auto"/>
            </w:tcBorders>
            <w:shd w:val="clear" w:color="000000" w:fill="FFFFFF"/>
            <w:noWrap/>
            <w:vAlign w:val="bottom"/>
            <w:hideMark/>
          </w:tcPr>
          <w:p w14:paraId="15676C10"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3BA9524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69C6CEBA"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66" w:type="dxa"/>
            <w:tcBorders>
              <w:top w:val="nil"/>
              <w:left w:val="single" w:sz="4" w:space="0" w:color="auto"/>
              <w:bottom w:val="nil"/>
              <w:right w:val="nil"/>
            </w:tcBorders>
            <w:shd w:val="clear" w:color="000000" w:fill="FFFFFF"/>
            <w:noWrap/>
            <w:vAlign w:val="bottom"/>
            <w:hideMark/>
          </w:tcPr>
          <w:p w14:paraId="0AF59A5A"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0B2F2DF0"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single" w:sz="4" w:space="0" w:color="auto"/>
              <w:bottom w:val="nil"/>
              <w:right w:val="nil"/>
            </w:tcBorders>
            <w:shd w:val="clear" w:color="000000" w:fill="FFFFFF"/>
            <w:noWrap/>
            <w:vAlign w:val="bottom"/>
            <w:hideMark/>
          </w:tcPr>
          <w:p w14:paraId="2C020F5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6613CE41"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20DC764C"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single" w:sz="4" w:space="0" w:color="auto"/>
            </w:tcBorders>
            <w:shd w:val="clear" w:color="000000" w:fill="FFFFFF"/>
            <w:noWrap/>
            <w:vAlign w:val="bottom"/>
            <w:hideMark/>
          </w:tcPr>
          <w:p w14:paraId="44B2FD8D"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21B5F00D"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single" w:sz="4" w:space="0" w:color="auto"/>
            </w:tcBorders>
            <w:shd w:val="clear" w:color="000000" w:fill="FFFFFF"/>
            <w:noWrap/>
            <w:vAlign w:val="bottom"/>
            <w:hideMark/>
          </w:tcPr>
          <w:p w14:paraId="5BC6F6CA"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20" w:type="dxa"/>
            <w:tcBorders>
              <w:top w:val="nil"/>
              <w:left w:val="nil"/>
              <w:bottom w:val="nil"/>
              <w:right w:val="nil"/>
            </w:tcBorders>
            <w:shd w:val="clear" w:color="000000" w:fill="FFFFFF"/>
            <w:noWrap/>
            <w:vAlign w:val="bottom"/>
            <w:hideMark/>
          </w:tcPr>
          <w:p w14:paraId="7AF69BF0"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61C9505B"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66" w:type="dxa"/>
            <w:tcBorders>
              <w:top w:val="nil"/>
              <w:left w:val="nil"/>
              <w:bottom w:val="nil"/>
              <w:right w:val="nil"/>
            </w:tcBorders>
            <w:shd w:val="clear" w:color="000000" w:fill="FFFFFF"/>
            <w:noWrap/>
            <w:vAlign w:val="bottom"/>
            <w:hideMark/>
          </w:tcPr>
          <w:p w14:paraId="031C8AC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single" w:sz="4" w:space="0" w:color="auto"/>
            </w:tcBorders>
            <w:shd w:val="clear" w:color="000000" w:fill="FFFFFF"/>
            <w:noWrap/>
            <w:vAlign w:val="bottom"/>
            <w:hideMark/>
          </w:tcPr>
          <w:p w14:paraId="7905A8D8"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r>
      <w:tr w:rsidR="000A4766" w:rsidRPr="000A4766" w14:paraId="2377FC5E"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4108FD6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New Look</w:t>
            </w:r>
          </w:p>
        </w:tc>
        <w:tc>
          <w:tcPr>
            <w:tcW w:w="880" w:type="dxa"/>
            <w:tcBorders>
              <w:top w:val="nil"/>
              <w:left w:val="nil"/>
              <w:bottom w:val="nil"/>
              <w:right w:val="single" w:sz="4" w:space="0" w:color="auto"/>
            </w:tcBorders>
            <w:shd w:val="clear" w:color="000000" w:fill="FFFFFF"/>
            <w:noWrap/>
            <w:vAlign w:val="bottom"/>
            <w:hideMark/>
          </w:tcPr>
          <w:p w14:paraId="10EECA71"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20</w:t>
            </w:r>
          </w:p>
        </w:tc>
        <w:tc>
          <w:tcPr>
            <w:tcW w:w="620" w:type="dxa"/>
            <w:tcBorders>
              <w:top w:val="nil"/>
              <w:left w:val="nil"/>
              <w:bottom w:val="nil"/>
              <w:right w:val="nil"/>
            </w:tcBorders>
            <w:shd w:val="clear" w:color="000000" w:fill="FFFFFF"/>
            <w:noWrap/>
            <w:vAlign w:val="bottom"/>
            <w:hideMark/>
          </w:tcPr>
          <w:p w14:paraId="33D8F8F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15</w:t>
            </w:r>
          </w:p>
        </w:tc>
        <w:tc>
          <w:tcPr>
            <w:tcW w:w="620" w:type="dxa"/>
            <w:tcBorders>
              <w:top w:val="nil"/>
              <w:left w:val="nil"/>
              <w:bottom w:val="nil"/>
              <w:right w:val="nil"/>
            </w:tcBorders>
            <w:shd w:val="clear" w:color="000000" w:fill="FFFFFF"/>
            <w:noWrap/>
            <w:vAlign w:val="bottom"/>
            <w:hideMark/>
          </w:tcPr>
          <w:p w14:paraId="25D4D4A2"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17</w:t>
            </w:r>
          </w:p>
        </w:tc>
        <w:tc>
          <w:tcPr>
            <w:tcW w:w="666" w:type="dxa"/>
            <w:tcBorders>
              <w:top w:val="nil"/>
              <w:left w:val="single" w:sz="4" w:space="0" w:color="auto"/>
              <w:bottom w:val="nil"/>
              <w:right w:val="nil"/>
            </w:tcBorders>
            <w:shd w:val="clear" w:color="000000" w:fill="FFFFFF"/>
            <w:noWrap/>
            <w:vAlign w:val="bottom"/>
            <w:hideMark/>
          </w:tcPr>
          <w:p w14:paraId="70EE12B5"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4.4</w:t>
            </w:r>
          </w:p>
        </w:tc>
        <w:tc>
          <w:tcPr>
            <w:tcW w:w="666" w:type="dxa"/>
            <w:tcBorders>
              <w:top w:val="nil"/>
              <w:left w:val="nil"/>
              <w:bottom w:val="nil"/>
              <w:right w:val="nil"/>
            </w:tcBorders>
            <w:shd w:val="clear" w:color="000000" w:fill="FFFFFF"/>
            <w:noWrap/>
            <w:vAlign w:val="bottom"/>
            <w:hideMark/>
          </w:tcPr>
          <w:p w14:paraId="78508B02"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3.7</w:t>
            </w:r>
          </w:p>
        </w:tc>
        <w:tc>
          <w:tcPr>
            <w:tcW w:w="546" w:type="dxa"/>
            <w:tcBorders>
              <w:top w:val="nil"/>
              <w:left w:val="single" w:sz="4" w:space="0" w:color="auto"/>
              <w:bottom w:val="nil"/>
              <w:right w:val="nil"/>
            </w:tcBorders>
            <w:shd w:val="clear" w:color="000000" w:fill="FFFFFF"/>
            <w:noWrap/>
            <w:vAlign w:val="bottom"/>
            <w:hideMark/>
          </w:tcPr>
          <w:p w14:paraId="44F1C33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42</w:t>
            </w:r>
          </w:p>
        </w:tc>
        <w:tc>
          <w:tcPr>
            <w:tcW w:w="546" w:type="dxa"/>
            <w:tcBorders>
              <w:top w:val="nil"/>
              <w:left w:val="nil"/>
              <w:bottom w:val="nil"/>
              <w:right w:val="nil"/>
            </w:tcBorders>
            <w:shd w:val="clear" w:color="000000" w:fill="FFFFFF"/>
            <w:noWrap/>
            <w:vAlign w:val="bottom"/>
            <w:hideMark/>
          </w:tcPr>
          <w:p w14:paraId="09DBCA37"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43</w:t>
            </w:r>
          </w:p>
        </w:tc>
        <w:tc>
          <w:tcPr>
            <w:tcW w:w="546" w:type="dxa"/>
            <w:tcBorders>
              <w:top w:val="nil"/>
              <w:left w:val="nil"/>
              <w:bottom w:val="nil"/>
              <w:right w:val="nil"/>
            </w:tcBorders>
            <w:shd w:val="clear" w:color="000000" w:fill="FFFFFF"/>
            <w:noWrap/>
            <w:vAlign w:val="bottom"/>
            <w:hideMark/>
          </w:tcPr>
          <w:p w14:paraId="4FE9454B"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15</w:t>
            </w:r>
          </w:p>
        </w:tc>
        <w:tc>
          <w:tcPr>
            <w:tcW w:w="546" w:type="dxa"/>
            <w:tcBorders>
              <w:top w:val="nil"/>
              <w:left w:val="nil"/>
              <w:bottom w:val="nil"/>
              <w:right w:val="single" w:sz="4" w:space="0" w:color="auto"/>
            </w:tcBorders>
            <w:shd w:val="clear" w:color="000000" w:fill="FFFFFF"/>
            <w:noWrap/>
            <w:vAlign w:val="bottom"/>
            <w:hideMark/>
          </w:tcPr>
          <w:p w14:paraId="4314399E"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22</w:t>
            </w:r>
          </w:p>
        </w:tc>
        <w:tc>
          <w:tcPr>
            <w:tcW w:w="546" w:type="dxa"/>
            <w:tcBorders>
              <w:top w:val="nil"/>
              <w:left w:val="nil"/>
              <w:bottom w:val="nil"/>
              <w:right w:val="nil"/>
            </w:tcBorders>
            <w:shd w:val="clear" w:color="000000" w:fill="FFFFFF"/>
            <w:noWrap/>
            <w:vAlign w:val="bottom"/>
            <w:hideMark/>
          </w:tcPr>
          <w:p w14:paraId="79F34766"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33</w:t>
            </w:r>
          </w:p>
        </w:tc>
        <w:tc>
          <w:tcPr>
            <w:tcW w:w="546" w:type="dxa"/>
            <w:tcBorders>
              <w:top w:val="nil"/>
              <w:left w:val="nil"/>
              <w:bottom w:val="nil"/>
              <w:right w:val="single" w:sz="4" w:space="0" w:color="auto"/>
            </w:tcBorders>
            <w:shd w:val="clear" w:color="000000" w:fill="FFFFFF"/>
            <w:noWrap/>
            <w:vAlign w:val="bottom"/>
            <w:hideMark/>
          </w:tcPr>
          <w:p w14:paraId="05070E91"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28</w:t>
            </w:r>
          </w:p>
        </w:tc>
        <w:tc>
          <w:tcPr>
            <w:tcW w:w="620" w:type="dxa"/>
            <w:tcBorders>
              <w:top w:val="nil"/>
              <w:left w:val="nil"/>
              <w:bottom w:val="nil"/>
              <w:right w:val="nil"/>
            </w:tcBorders>
            <w:shd w:val="clear" w:color="000000" w:fill="FFFFFF"/>
            <w:noWrap/>
            <w:vAlign w:val="bottom"/>
            <w:hideMark/>
          </w:tcPr>
          <w:p w14:paraId="7AC6838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12</w:t>
            </w:r>
          </w:p>
        </w:tc>
        <w:tc>
          <w:tcPr>
            <w:tcW w:w="620" w:type="dxa"/>
            <w:tcBorders>
              <w:top w:val="nil"/>
              <w:left w:val="nil"/>
              <w:bottom w:val="nil"/>
              <w:right w:val="nil"/>
            </w:tcBorders>
            <w:shd w:val="clear" w:color="000000" w:fill="FFFFFF"/>
            <w:noWrap/>
            <w:vAlign w:val="bottom"/>
            <w:hideMark/>
          </w:tcPr>
          <w:p w14:paraId="2CB19EE0"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13</w:t>
            </w:r>
          </w:p>
        </w:tc>
        <w:tc>
          <w:tcPr>
            <w:tcW w:w="666" w:type="dxa"/>
            <w:tcBorders>
              <w:top w:val="nil"/>
              <w:left w:val="nil"/>
              <w:bottom w:val="nil"/>
              <w:right w:val="nil"/>
            </w:tcBorders>
            <w:shd w:val="clear" w:color="000000" w:fill="FFFFFF"/>
            <w:noWrap/>
            <w:vAlign w:val="bottom"/>
            <w:hideMark/>
          </w:tcPr>
          <w:p w14:paraId="3528CB85"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3.4</w:t>
            </w:r>
          </w:p>
        </w:tc>
        <w:tc>
          <w:tcPr>
            <w:tcW w:w="666" w:type="dxa"/>
            <w:tcBorders>
              <w:top w:val="nil"/>
              <w:left w:val="nil"/>
              <w:bottom w:val="nil"/>
              <w:right w:val="single" w:sz="4" w:space="0" w:color="auto"/>
            </w:tcBorders>
            <w:shd w:val="clear" w:color="000000" w:fill="FFFFFF"/>
            <w:noWrap/>
            <w:vAlign w:val="bottom"/>
            <w:hideMark/>
          </w:tcPr>
          <w:p w14:paraId="7914867A"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1.5</w:t>
            </w:r>
          </w:p>
        </w:tc>
      </w:tr>
      <w:tr w:rsidR="000A4766" w:rsidRPr="000A4766" w14:paraId="2E9E991E"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4D197A57"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Other</w:t>
            </w:r>
          </w:p>
        </w:tc>
        <w:tc>
          <w:tcPr>
            <w:tcW w:w="880" w:type="dxa"/>
            <w:tcBorders>
              <w:top w:val="nil"/>
              <w:left w:val="nil"/>
              <w:bottom w:val="nil"/>
              <w:right w:val="single" w:sz="4" w:space="0" w:color="auto"/>
            </w:tcBorders>
            <w:shd w:val="clear" w:color="000000" w:fill="FFFFFF"/>
            <w:noWrap/>
            <w:vAlign w:val="bottom"/>
            <w:hideMark/>
          </w:tcPr>
          <w:p w14:paraId="65772D6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19</w:t>
            </w:r>
          </w:p>
        </w:tc>
        <w:tc>
          <w:tcPr>
            <w:tcW w:w="620" w:type="dxa"/>
            <w:tcBorders>
              <w:top w:val="nil"/>
              <w:left w:val="nil"/>
              <w:bottom w:val="nil"/>
              <w:right w:val="nil"/>
            </w:tcBorders>
            <w:shd w:val="clear" w:color="000000" w:fill="FFFFFF"/>
            <w:noWrap/>
            <w:vAlign w:val="bottom"/>
            <w:hideMark/>
          </w:tcPr>
          <w:p w14:paraId="281695E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19</w:t>
            </w:r>
          </w:p>
        </w:tc>
        <w:tc>
          <w:tcPr>
            <w:tcW w:w="620" w:type="dxa"/>
            <w:tcBorders>
              <w:top w:val="nil"/>
              <w:left w:val="nil"/>
              <w:bottom w:val="nil"/>
              <w:right w:val="nil"/>
            </w:tcBorders>
            <w:shd w:val="clear" w:color="000000" w:fill="FFFFFF"/>
            <w:noWrap/>
            <w:vAlign w:val="bottom"/>
            <w:hideMark/>
          </w:tcPr>
          <w:p w14:paraId="05826B16"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17</w:t>
            </w:r>
          </w:p>
        </w:tc>
        <w:tc>
          <w:tcPr>
            <w:tcW w:w="666" w:type="dxa"/>
            <w:tcBorders>
              <w:top w:val="nil"/>
              <w:left w:val="single" w:sz="4" w:space="0" w:color="auto"/>
              <w:bottom w:val="nil"/>
              <w:right w:val="nil"/>
            </w:tcBorders>
            <w:shd w:val="clear" w:color="000000" w:fill="FFFFFF"/>
            <w:noWrap/>
            <w:vAlign w:val="bottom"/>
            <w:hideMark/>
          </w:tcPr>
          <w:p w14:paraId="7752D121"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3.2</w:t>
            </w:r>
          </w:p>
        </w:tc>
        <w:tc>
          <w:tcPr>
            <w:tcW w:w="666" w:type="dxa"/>
            <w:tcBorders>
              <w:top w:val="nil"/>
              <w:left w:val="nil"/>
              <w:bottom w:val="nil"/>
              <w:right w:val="nil"/>
            </w:tcBorders>
            <w:shd w:val="clear" w:color="000000" w:fill="FFFFFF"/>
            <w:noWrap/>
            <w:vAlign w:val="bottom"/>
            <w:hideMark/>
          </w:tcPr>
          <w:p w14:paraId="3F2DCA49"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3.6</w:t>
            </w:r>
          </w:p>
        </w:tc>
        <w:tc>
          <w:tcPr>
            <w:tcW w:w="546" w:type="dxa"/>
            <w:tcBorders>
              <w:top w:val="nil"/>
              <w:left w:val="single" w:sz="4" w:space="0" w:color="auto"/>
              <w:bottom w:val="nil"/>
              <w:right w:val="nil"/>
            </w:tcBorders>
            <w:shd w:val="clear" w:color="000000" w:fill="FFFFFF"/>
            <w:noWrap/>
            <w:vAlign w:val="bottom"/>
            <w:hideMark/>
          </w:tcPr>
          <w:p w14:paraId="5AB6308E"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50</w:t>
            </w:r>
          </w:p>
        </w:tc>
        <w:tc>
          <w:tcPr>
            <w:tcW w:w="546" w:type="dxa"/>
            <w:tcBorders>
              <w:top w:val="nil"/>
              <w:left w:val="nil"/>
              <w:bottom w:val="nil"/>
              <w:right w:val="nil"/>
            </w:tcBorders>
            <w:shd w:val="clear" w:color="000000" w:fill="FFFFFF"/>
            <w:noWrap/>
            <w:vAlign w:val="bottom"/>
            <w:hideMark/>
          </w:tcPr>
          <w:p w14:paraId="1A718FDB"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43</w:t>
            </w:r>
          </w:p>
        </w:tc>
        <w:tc>
          <w:tcPr>
            <w:tcW w:w="546" w:type="dxa"/>
            <w:tcBorders>
              <w:top w:val="nil"/>
              <w:left w:val="nil"/>
              <w:bottom w:val="nil"/>
              <w:right w:val="nil"/>
            </w:tcBorders>
            <w:shd w:val="clear" w:color="000000" w:fill="FFFFFF"/>
            <w:noWrap/>
            <w:vAlign w:val="bottom"/>
            <w:hideMark/>
          </w:tcPr>
          <w:p w14:paraId="11A876F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11</w:t>
            </w:r>
          </w:p>
        </w:tc>
        <w:tc>
          <w:tcPr>
            <w:tcW w:w="546" w:type="dxa"/>
            <w:tcBorders>
              <w:top w:val="nil"/>
              <w:left w:val="nil"/>
              <w:bottom w:val="nil"/>
              <w:right w:val="single" w:sz="4" w:space="0" w:color="auto"/>
            </w:tcBorders>
            <w:shd w:val="clear" w:color="000000" w:fill="FFFFFF"/>
            <w:noWrap/>
            <w:vAlign w:val="bottom"/>
            <w:hideMark/>
          </w:tcPr>
          <w:p w14:paraId="06E984C1"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22</w:t>
            </w:r>
          </w:p>
        </w:tc>
        <w:tc>
          <w:tcPr>
            <w:tcW w:w="546" w:type="dxa"/>
            <w:tcBorders>
              <w:top w:val="nil"/>
              <w:left w:val="nil"/>
              <w:bottom w:val="nil"/>
              <w:right w:val="nil"/>
            </w:tcBorders>
            <w:shd w:val="clear" w:color="000000" w:fill="FFFFFF"/>
            <w:noWrap/>
            <w:vAlign w:val="bottom"/>
            <w:hideMark/>
          </w:tcPr>
          <w:p w14:paraId="4796A67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28</w:t>
            </w:r>
          </w:p>
        </w:tc>
        <w:tc>
          <w:tcPr>
            <w:tcW w:w="546" w:type="dxa"/>
            <w:tcBorders>
              <w:top w:val="nil"/>
              <w:left w:val="nil"/>
              <w:bottom w:val="nil"/>
              <w:right w:val="single" w:sz="4" w:space="0" w:color="auto"/>
            </w:tcBorders>
            <w:shd w:val="clear" w:color="000000" w:fill="FFFFFF"/>
            <w:noWrap/>
            <w:vAlign w:val="bottom"/>
            <w:hideMark/>
          </w:tcPr>
          <w:p w14:paraId="797D38EF"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27</w:t>
            </w:r>
          </w:p>
        </w:tc>
        <w:tc>
          <w:tcPr>
            <w:tcW w:w="620" w:type="dxa"/>
            <w:tcBorders>
              <w:top w:val="nil"/>
              <w:left w:val="nil"/>
              <w:bottom w:val="nil"/>
              <w:right w:val="nil"/>
            </w:tcBorders>
            <w:shd w:val="clear" w:color="000000" w:fill="FFFFFF"/>
            <w:noWrap/>
            <w:vAlign w:val="bottom"/>
            <w:hideMark/>
          </w:tcPr>
          <w:p w14:paraId="53FE25E1"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21</w:t>
            </w:r>
          </w:p>
        </w:tc>
        <w:tc>
          <w:tcPr>
            <w:tcW w:w="620" w:type="dxa"/>
            <w:tcBorders>
              <w:top w:val="nil"/>
              <w:left w:val="nil"/>
              <w:bottom w:val="nil"/>
              <w:right w:val="nil"/>
            </w:tcBorders>
            <w:shd w:val="clear" w:color="000000" w:fill="FFFFFF"/>
            <w:noWrap/>
            <w:vAlign w:val="bottom"/>
            <w:hideMark/>
          </w:tcPr>
          <w:p w14:paraId="580008B8"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13</w:t>
            </w:r>
          </w:p>
        </w:tc>
        <w:tc>
          <w:tcPr>
            <w:tcW w:w="666" w:type="dxa"/>
            <w:tcBorders>
              <w:top w:val="nil"/>
              <w:left w:val="nil"/>
              <w:bottom w:val="nil"/>
              <w:right w:val="nil"/>
            </w:tcBorders>
            <w:shd w:val="clear" w:color="000000" w:fill="FFFFFF"/>
            <w:noWrap/>
            <w:vAlign w:val="bottom"/>
            <w:hideMark/>
          </w:tcPr>
          <w:p w14:paraId="145B6ED6"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2.8</w:t>
            </w:r>
          </w:p>
        </w:tc>
        <w:tc>
          <w:tcPr>
            <w:tcW w:w="666" w:type="dxa"/>
            <w:tcBorders>
              <w:top w:val="nil"/>
              <w:left w:val="nil"/>
              <w:bottom w:val="nil"/>
              <w:right w:val="single" w:sz="4" w:space="0" w:color="auto"/>
            </w:tcBorders>
            <w:shd w:val="clear" w:color="000000" w:fill="FFFFFF"/>
            <w:noWrap/>
            <w:vAlign w:val="bottom"/>
            <w:hideMark/>
          </w:tcPr>
          <w:p w14:paraId="12B7C21D"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1.5</w:t>
            </w:r>
          </w:p>
        </w:tc>
      </w:tr>
      <w:tr w:rsidR="000A4766" w:rsidRPr="000A4766" w14:paraId="2624C07F"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1564F1C9"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Next</w:t>
            </w:r>
          </w:p>
        </w:tc>
        <w:tc>
          <w:tcPr>
            <w:tcW w:w="880" w:type="dxa"/>
            <w:tcBorders>
              <w:top w:val="nil"/>
              <w:left w:val="nil"/>
              <w:bottom w:val="nil"/>
              <w:right w:val="single" w:sz="4" w:space="0" w:color="auto"/>
            </w:tcBorders>
            <w:shd w:val="clear" w:color="000000" w:fill="FFFFFF"/>
            <w:noWrap/>
            <w:vAlign w:val="bottom"/>
            <w:hideMark/>
          </w:tcPr>
          <w:p w14:paraId="5C9C765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15</w:t>
            </w:r>
          </w:p>
        </w:tc>
        <w:tc>
          <w:tcPr>
            <w:tcW w:w="620" w:type="dxa"/>
            <w:tcBorders>
              <w:top w:val="nil"/>
              <w:left w:val="nil"/>
              <w:bottom w:val="nil"/>
              <w:right w:val="nil"/>
            </w:tcBorders>
            <w:shd w:val="clear" w:color="000000" w:fill="FFFFFF"/>
            <w:noWrap/>
            <w:vAlign w:val="bottom"/>
            <w:hideMark/>
          </w:tcPr>
          <w:p w14:paraId="7975155C"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14</w:t>
            </w:r>
          </w:p>
        </w:tc>
        <w:tc>
          <w:tcPr>
            <w:tcW w:w="620" w:type="dxa"/>
            <w:tcBorders>
              <w:top w:val="nil"/>
              <w:left w:val="nil"/>
              <w:bottom w:val="nil"/>
              <w:right w:val="nil"/>
            </w:tcBorders>
            <w:shd w:val="clear" w:color="000000" w:fill="FFFFFF"/>
            <w:noWrap/>
            <w:vAlign w:val="bottom"/>
            <w:hideMark/>
          </w:tcPr>
          <w:p w14:paraId="1BC1733E"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14</w:t>
            </w:r>
          </w:p>
        </w:tc>
        <w:tc>
          <w:tcPr>
            <w:tcW w:w="666" w:type="dxa"/>
            <w:tcBorders>
              <w:top w:val="nil"/>
              <w:left w:val="single" w:sz="4" w:space="0" w:color="auto"/>
              <w:bottom w:val="nil"/>
              <w:right w:val="nil"/>
            </w:tcBorders>
            <w:shd w:val="clear" w:color="000000" w:fill="FFFFFF"/>
            <w:noWrap/>
            <w:vAlign w:val="bottom"/>
            <w:hideMark/>
          </w:tcPr>
          <w:p w14:paraId="676EDF12"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3.5</w:t>
            </w:r>
          </w:p>
        </w:tc>
        <w:tc>
          <w:tcPr>
            <w:tcW w:w="666" w:type="dxa"/>
            <w:tcBorders>
              <w:top w:val="nil"/>
              <w:left w:val="nil"/>
              <w:bottom w:val="nil"/>
              <w:right w:val="nil"/>
            </w:tcBorders>
            <w:shd w:val="clear" w:color="000000" w:fill="FFFFFF"/>
            <w:noWrap/>
            <w:vAlign w:val="bottom"/>
            <w:hideMark/>
          </w:tcPr>
          <w:p w14:paraId="2370B5AB"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3.4</w:t>
            </w:r>
          </w:p>
        </w:tc>
        <w:tc>
          <w:tcPr>
            <w:tcW w:w="546" w:type="dxa"/>
            <w:tcBorders>
              <w:top w:val="nil"/>
              <w:left w:val="single" w:sz="4" w:space="0" w:color="auto"/>
              <w:bottom w:val="nil"/>
              <w:right w:val="nil"/>
            </w:tcBorders>
            <w:shd w:val="clear" w:color="000000" w:fill="FFFFFF"/>
            <w:noWrap/>
            <w:vAlign w:val="bottom"/>
            <w:hideMark/>
          </w:tcPr>
          <w:p w14:paraId="35F62BD3"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50</w:t>
            </w:r>
          </w:p>
        </w:tc>
        <w:tc>
          <w:tcPr>
            <w:tcW w:w="546" w:type="dxa"/>
            <w:tcBorders>
              <w:top w:val="nil"/>
              <w:left w:val="nil"/>
              <w:bottom w:val="nil"/>
              <w:right w:val="nil"/>
            </w:tcBorders>
            <w:shd w:val="clear" w:color="000000" w:fill="FFFFFF"/>
            <w:noWrap/>
            <w:vAlign w:val="bottom"/>
            <w:hideMark/>
          </w:tcPr>
          <w:p w14:paraId="3FFC1B2A"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45</w:t>
            </w:r>
          </w:p>
        </w:tc>
        <w:tc>
          <w:tcPr>
            <w:tcW w:w="546" w:type="dxa"/>
            <w:tcBorders>
              <w:top w:val="nil"/>
              <w:left w:val="nil"/>
              <w:bottom w:val="nil"/>
              <w:right w:val="nil"/>
            </w:tcBorders>
            <w:shd w:val="clear" w:color="000000" w:fill="FFFFFF"/>
            <w:noWrap/>
            <w:vAlign w:val="bottom"/>
            <w:hideMark/>
          </w:tcPr>
          <w:p w14:paraId="45AAE81C"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11</w:t>
            </w:r>
          </w:p>
        </w:tc>
        <w:tc>
          <w:tcPr>
            <w:tcW w:w="546" w:type="dxa"/>
            <w:tcBorders>
              <w:top w:val="nil"/>
              <w:left w:val="nil"/>
              <w:bottom w:val="nil"/>
              <w:right w:val="single" w:sz="4" w:space="0" w:color="auto"/>
            </w:tcBorders>
            <w:shd w:val="clear" w:color="000000" w:fill="FFFFFF"/>
            <w:noWrap/>
            <w:vAlign w:val="bottom"/>
            <w:hideMark/>
          </w:tcPr>
          <w:p w14:paraId="48974972"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20</w:t>
            </w:r>
          </w:p>
        </w:tc>
        <w:tc>
          <w:tcPr>
            <w:tcW w:w="546" w:type="dxa"/>
            <w:tcBorders>
              <w:top w:val="nil"/>
              <w:left w:val="nil"/>
              <w:bottom w:val="nil"/>
              <w:right w:val="nil"/>
            </w:tcBorders>
            <w:shd w:val="clear" w:color="000000" w:fill="FFFFFF"/>
            <w:noWrap/>
            <w:vAlign w:val="bottom"/>
            <w:hideMark/>
          </w:tcPr>
          <w:p w14:paraId="6EE97AFE"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32</w:t>
            </w:r>
          </w:p>
        </w:tc>
        <w:tc>
          <w:tcPr>
            <w:tcW w:w="546" w:type="dxa"/>
            <w:tcBorders>
              <w:top w:val="nil"/>
              <w:left w:val="nil"/>
              <w:bottom w:val="nil"/>
              <w:right w:val="single" w:sz="4" w:space="0" w:color="auto"/>
            </w:tcBorders>
            <w:shd w:val="clear" w:color="000000" w:fill="FFFFFF"/>
            <w:noWrap/>
            <w:vAlign w:val="bottom"/>
            <w:hideMark/>
          </w:tcPr>
          <w:p w14:paraId="0E2067A6"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24</w:t>
            </w:r>
          </w:p>
        </w:tc>
        <w:tc>
          <w:tcPr>
            <w:tcW w:w="620" w:type="dxa"/>
            <w:tcBorders>
              <w:top w:val="nil"/>
              <w:left w:val="nil"/>
              <w:bottom w:val="nil"/>
              <w:right w:val="nil"/>
            </w:tcBorders>
            <w:shd w:val="clear" w:color="000000" w:fill="FFFFFF"/>
            <w:noWrap/>
            <w:vAlign w:val="bottom"/>
            <w:hideMark/>
          </w:tcPr>
          <w:p w14:paraId="0C350B12"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18</w:t>
            </w:r>
          </w:p>
        </w:tc>
        <w:tc>
          <w:tcPr>
            <w:tcW w:w="620" w:type="dxa"/>
            <w:tcBorders>
              <w:top w:val="nil"/>
              <w:left w:val="nil"/>
              <w:bottom w:val="nil"/>
              <w:right w:val="nil"/>
            </w:tcBorders>
            <w:shd w:val="clear" w:color="000000" w:fill="FFFFFF"/>
            <w:noWrap/>
            <w:vAlign w:val="bottom"/>
            <w:hideMark/>
          </w:tcPr>
          <w:p w14:paraId="69F67B1E"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c>
          <w:tcPr>
            <w:tcW w:w="666" w:type="dxa"/>
            <w:tcBorders>
              <w:top w:val="nil"/>
              <w:left w:val="nil"/>
              <w:bottom w:val="nil"/>
              <w:right w:val="nil"/>
            </w:tcBorders>
            <w:shd w:val="clear" w:color="000000" w:fill="FFFFFF"/>
            <w:noWrap/>
            <w:vAlign w:val="bottom"/>
            <w:hideMark/>
          </w:tcPr>
          <w:p w14:paraId="2FDE15F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3.2</w:t>
            </w:r>
          </w:p>
        </w:tc>
        <w:tc>
          <w:tcPr>
            <w:tcW w:w="666" w:type="dxa"/>
            <w:tcBorders>
              <w:top w:val="nil"/>
              <w:left w:val="nil"/>
              <w:bottom w:val="nil"/>
              <w:right w:val="single" w:sz="4" w:space="0" w:color="auto"/>
            </w:tcBorders>
            <w:shd w:val="clear" w:color="000000" w:fill="FFFFFF"/>
            <w:noWrap/>
            <w:vAlign w:val="bottom"/>
            <w:hideMark/>
          </w:tcPr>
          <w:p w14:paraId="75FDD6C2"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1.4</w:t>
            </w:r>
          </w:p>
        </w:tc>
      </w:tr>
      <w:tr w:rsidR="000A4766" w:rsidRPr="000A4766" w14:paraId="59CEC263"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6AF990E4"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w:t>
            </w:r>
            <w:proofErr w:type="spellStart"/>
            <w:r w:rsidRPr="000A4766">
              <w:rPr>
                <w:rFonts w:ascii="Arial" w:eastAsia="Times New Roman" w:hAnsi="Arial" w:cs="Arial"/>
                <w:sz w:val="20"/>
                <w:szCs w:val="20"/>
                <w:lang w:eastAsia="en-US"/>
              </w:rPr>
              <w:t>Hennes</w:t>
            </w:r>
            <w:proofErr w:type="spellEnd"/>
            <w:r w:rsidRPr="000A4766">
              <w:rPr>
                <w:rFonts w:ascii="Arial" w:eastAsia="Times New Roman" w:hAnsi="Arial" w:cs="Arial"/>
                <w:sz w:val="20"/>
                <w:szCs w:val="20"/>
                <w:lang w:eastAsia="en-US"/>
              </w:rPr>
              <w:t>/H&amp;M</w:t>
            </w:r>
          </w:p>
        </w:tc>
        <w:tc>
          <w:tcPr>
            <w:tcW w:w="880" w:type="dxa"/>
            <w:tcBorders>
              <w:top w:val="nil"/>
              <w:left w:val="nil"/>
              <w:bottom w:val="nil"/>
              <w:right w:val="single" w:sz="4" w:space="0" w:color="auto"/>
            </w:tcBorders>
            <w:shd w:val="clear" w:color="000000" w:fill="FFFFFF"/>
            <w:noWrap/>
            <w:vAlign w:val="bottom"/>
            <w:hideMark/>
          </w:tcPr>
          <w:p w14:paraId="033862FC"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11</w:t>
            </w:r>
          </w:p>
        </w:tc>
        <w:tc>
          <w:tcPr>
            <w:tcW w:w="620" w:type="dxa"/>
            <w:tcBorders>
              <w:top w:val="nil"/>
              <w:left w:val="nil"/>
              <w:bottom w:val="nil"/>
              <w:right w:val="nil"/>
            </w:tcBorders>
            <w:shd w:val="clear" w:color="000000" w:fill="FFFFFF"/>
            <w:noWrap/>
            <w:vAlign w:val="bottom"/>
            <w:hideMark/>
          </w:tcPr>
          <w:p w14:paraId="2539FD3E"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9</w:t>
            </w:r>
          </w:p>
        </w:tc>
        <w:tc>
          <w:tcPr>
            <w:tcW w:w="620" w:type="dxa"/>
            <w:tcBorders>
              <w:top w:val="nil"/>
              <w:left w:val="nil"/>
              <w:bottom w:val="nil"/>
              <w:right w:val="nil"/>
            </w:tcBorders>
            <w:shd w:val="clear" w:color="000000" w:fill="FFFFFF"/>
            <w:noWrap/>
            <w:vAlign w:val="bottom"/>
            <w:hideMark/>
          </w:tcPr>
          <w:p w14:paraId="3CB506FF"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c>
          <w:tcPr>
            <w:tcW w:w="666" w:type="dxa"/>
            <w:tcBorders>
              <w:top w:val="nil"/>
              <w:left w:val="single" w:sz="4" w:space="0" w:color="auto"/>
              <w:bottom w:val="nil"/>
              <w:right w:val="nil"/>
            </w:tcBorders>
            <w:shd w:val="clear" w:color="000000" w:fill="FFFFFF"/>
            <w:noWrap/>
            <w:vAlign w:val="bottom"/>
            <w:hideMark/>
          </w:tcPr>
          <w:p w14:paraId="07DA3C75"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4.0</w:t>
            </w:r>
          </w:p>
        </w:tc>
        <w:tc>
          <w:tcPr>
            <w:tcW w:w="666" w:type="dxa"/>
            <w:tcBorders>
              <w:top w:val="nil"/>
              <w:left w:val="nil"/>
              <w:bottom w:val="nil"/>
              <w:right w:val="nil"/>
            </w:tcBorders>
            <w:shd w:val="clear" w:color="000000" w:fill="FFFFFF"/>
            <w:noWrap/>
            <w:vAlign w:val="bottom"/>
            <w:hideMark/>
          </w:tcPr>
          <w:p w14:paraId="5A4E037C"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3.1</w:t>
            </w:r>
          </w:p>
        </w:tc>
        <w:tc>
          <w:tcPr>
            <w:tcW w:w="546" w:type="dxa"/>
            <w:tcBorders>
              <w:top w:val="nil"/>
              <w:left w:val="single" w:sz="4" w:space="0" w:color="auto"/>
              <w:bottom w:val="nil"/>
              <w:right w:val="nil"/>
            </w:tcBorders>
            <w:shd w:val="clear" w:color="000000" w:fill="FFFFFF"/>
            <w:noWrap/>
            <w:vAlign w:val="bottom"/>
            <w:hideMark/>
          </w:tcPr>
          <w:p w14:paraId="7DE8819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47</w:t>
            </w:r>
          </w:p>
        </w:tc>
        <w:tc>
          <w:tcPr>
            <w:tcW w:w="546" w:type="dxa"/>
            <w:tcBorders>
              <w:top w:val="nil"/>
              <w:left w:val="nil"/>
              <w:bottom w:val="nil"/>
              <w:right w:val="nil"/>
            </w:tcBorders>
            <w:shd w:val="clear" w:color="000000" w:fill="FFFFFF"/>
            <w:noWrap/>
            <w:vAlign w:val="bottom"/>
            <w:hideMark/>
          </w:tcPr>
          <w:p w14:paraId="5BC14E82"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48</w:t>
            </w:r>
          </w:p>
        </w:tc>
        <w:tc>
          <w:tcPr>
            <w:tcW w:w="546" w:type="dxa"/>
            <w:tcBorders>
              <w:top w:val="nil"/>
              <w:left w:val="nil"/>
              <w:bottom w:val="nil"/>
              <w:right w:val="nil"/>
            </w:tcBorders>
            <w:shd w:val="clear" w:color="000000" w:fill="FFFFFF"/>
            <w:noWrap/>
            <w:vAlign w:val="bottom"/>
            <w:hideMark/>
          </w:tcPr>
          <w:p w14:paraId="21EDAF6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13</w:t>
            </w:r>
          </w:p>
        </w:tc>
        <w:tc>
          <w:tcPr>
            <w:tcW w:w="546" w:type="dxa"/>
            <w:tcBorders>
              <w:top w:val="nil"/>
              <w:left w:val="nil"/>
              <w:bottom w:val="nil"/>
              <w:right w:val="single" w:sz="4" w:space="0" w:color="auto"/>
            </w:tcBorders>
            <w:shd w:val="clear" w:color="000000" w:fill="FFFFFF"/>
            <w:noWrap/>
            <w:vAlign w:val="bottom"/>
            <w:hideMark/>
          </w:tcPr>
          <w:p w14:paraId="366F3559"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18</w:t>
            </w:r>
          </w:p>
        </w:tc>
        <w:tc>
          <w:tcPr>
            <w:tcW w:w="546" w:type="dxa"/>
            <w:tcBorders>
              <w:top w:val="nil"/>
              <w:left w:val="nil"/>
              <w:bottom w:val="nil"/>
              <w:right w:val="nil"/>
            </w:tcBorders>
            <w:shd w:val="clear" w:color="000000" w:fill="FFFFFF"/>
            <w:noWrap/>
            <w:vAlign w:val="bottom"/>
            <w:hideMark/>
          </w:tcPr>
          <w:p w14:paraId="635E67E1"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26</w:t>
            </w:r>
          </w:p>
        </w:tc>
        <w:tc>
          <w:tcPr>
            <w:tcW w:w="546" w:type="dxa"/>
            <w:tcBorders>
              <w:top w:val="nil"/>
              <w:left w:val="nil"/>
              <w:bottom w:val="nil"/>
              <w:right w:val="single" w:sz="4" w:space="0" w:color="auto"/>
            </w:tcBorders>
            <w:shd w:val="clear" w:color="000000" w:fill="FFFFFF"/>
            <w:noWrap/>
            <w:vAlign w:val="bottom"/>
            <w:hideMark/>
          </w:tcPr>
          <w:p w14:paraId="37C406B2"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22</w:t>
            </w:r>
          </w:p>
        </w:tc>
        <w:tc>
          <w:tcPr>
            <w:tcW w:w="620" w:type="dxa"/>
            <w:tcBorders>
              <w:top w:val="nil"/>
              <w:left w:val="nil"/>
              <w:bottom w:val="nil"/>
              <w:right w:val="nil"/>
            </w:tcBorders>
            <w:shd w:val="clear" w:color="000000" w:fill="FFFFFF"/>
            <w:noWrap/>
            <w:vAlign w:val="bottom"/>
            <w:hideMark/>
          </w:tcPr>
          <w:p w14:paraId="764199F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7</w:t>
            </w:r>
          </w:p>
        </w:tc>
        <w:tc>
          <w:tcPr>
            <w:tcW w:w="620" w:type="dxa"/>
            <w:tcBorders>
              <w:top w:val="nil"/>
              <w:left w:val="nil"/>
              <w:bottom w:val="nil"/>
              <w:right w:val="nil"/>
            </w:tcBorders>
            <w:shd w:val="clear" w:color="000000" w:fill="FFFFFF"/>
            <w:noWrap/>
            <w:vAlign w:val="bottom"/>
            <w:hideMark/>
          </w:tcPr>
          <w:p w14:paraId="4DBCF851"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11</w:t>
            </w:r>
          </w:p>
        </w:tc>
        <w:tc>
          <w:tcPr>
            <w:tcW w:w="666" w:type="dxa"/>
            <w:tcBorders>
              <w:top w:val="nil"/>
              <w:left w:val="nil"/>
              <w:bottom w:val="nil"/>
              <w:right w:val="nil"/>
            </w:tcBorders>
            <w:shd w:val="clear" w:color="000000" w:fill="FFFFFF"/>
            <w:noWrap/>
            <w:vAlign w:val="bottom"/>
            <w:hideMark/>
          </w:tcPr>
          <w:p w14:paraId="658F15D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1.8</w:t>
            </w:r>
          </w:p>
        </w:tc>
        <w:tc>
          <w:tcPr>
            <w:tcW w:w="666" w:type="dxa"/>
            <w:tcBorders>
              <w:top w:val="nil"/>
              <w:left w:val="nil"/>
              <w:bottom w:val="nil"/>
              <w:right w:val="single" w:sz="4" w:space="0" w:color="auto"/>
            </w:tcBorders>
            <w:shd w:val="clear" w:color="000000" w:fill="FFFFFF"/>
            <w:noWrap/>
            <w:vAlign w:val="bottom"/>
            <w:hideMark/>
          </w:tcPr>
          <w:p w14:paraId="3D46A257"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1.4</w:t>
            </w:r>
          </w:p>
        </w:tc>
      </w:tr>
      <w:tr w:rsidR="000A4766" w:rsidRPr="000A4766" w14:paraId="2603287C"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6C04478C"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Dorothy Perkins</w:t>
            </w:r>
          </w:p>
        </w:tc>
        <w:tc>
          <w:tcPr>
            <w:tcW w:w="880" w:type="dxa"/>
            <w:tcBorders>
              <w:top w:val="nil"/>
              <w:left w:val="nil"/>
              <w:bottom w:val="nil"/>
              <w:right w:val="single" w:sz="4" w:space="0" w:color="auto"/>
            </w:tcBorders>
            <w:shd w:val="clear" w:color="000000" w:fill="FFFFFF"/>
            <w:noWrap/>
            <w:vAlign w:val="bottom"/>
            <w:hideMark/>
          </w:tcPr>
          <w:p w14:paraId="7B39C22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9</w:t>
            </w:r>
          </w:p>
        </w:tc>
        <w:tc>
          <w:tcPr>
            <w:tcW w:w="620" w:type="dxa"/>
            <w:tcBorders>
              <w:top w:val="nil"/>
              <w:left w:val="nil"/>
              <w:bottom w:val="nil"/>
              <w:right w:val="nil"/>
            </w:tcBorders>
            <w:shd w:val="clear" w:color="000000" w:fill="FFFFFF"/>
            <w:noWrap/>
            <w:vAlign w:val="bottom"/>
            <w:hideMark/>
          </w:tcPr>
          <w:p w14:paraId="71DAAC48"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9</w:t>
            </w:r>
          </w:p>
        </w:tc>
        <w:tc>
          <w:tcPr>
            <w:tcW w:w="620" w:type="dxa"/>
            <w:tcBorders>
              <w:top w:val="nil"/>
              <w:left w:val="nil"/>
              <w:bottom w:val="nil"/>
              <w:right w:val="nil"/>
            </w:tcBorders>
            <w:shd w:val="clear" w:color="000000" w:fill="FFFFFF"/>
            <w:noWrap/>
            <w:vAlign w:val="bottom"/>
            <w:hideMark/>
          </w:tcPr>
          <w:p w14:paraId="6D103D11"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9</w:t>
            </w:r>
          </w:p>
        </w:tc>
        <w:tc>
          <w:tcPr>
            <w:tcW w:w="666" w:type="dxa"/>
            <w:tcBorders>
              <w:top w:val="nil"/>
              <w:left w:val="single" w:sz="4" w:space="0" w:color="auto"/>
              <w:bottom w:val="nil"/>
              <w:right w:val="nil"/>
            </w:tcBorders>
            <w:shd w:val="clear" w:color="000000" w:fill="FFFFFF"/>
            <w:noWrap/>
            <w:vAlign w:val="bottom"/>
            <w:hideMark/>
          </w:tcPr>
          <w:p w14:paraId="23039935"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3.0</w:t>
            </w:r>
          </w:p>
        </w:tc>
        <w:tc>
          <w:tcPr>
            <w:tcW w:w="666" w:type="dxa"/>
            <w:tcBorders>
              <w:top w:val="nil"/>
              <w:left w:val="nil"/>
              <w:bottom w:val="nil"/>
              <w:right w:val="nil"/>
            </w:tcBorders>
            <w:shd w:val="clear" w:color="000000" w:fill="FFFFFF"/>
            <w:noWrap/>
            <w:vAlign w:val="bottom"/>
            <w:hideMark/>
          </w:tcPr>
          <w:p w14:paraId="5C194C9C"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3.0</w:t>
            </w:r>
          </w:p>
        </w:tc>
        <w:tc>
          <w:tcPr>
            <w:tcW w:w="546" w:type="dxa"/>
            <w:tcBorders>
              <w:top w:val="nil"/>
              <w:left w:val="single" w:sz="4" w:space="0" w:color="auto"/>
              <w:bottom w:val="nil"/>
              <w:right w:val="nil"/>
            </w:tcBorders>
            <w:shd w:val="clear" w:color="000000" w:fill="FFFFFF"/>
            <w:noWrap/>
            <w:vAlign w:val="bottom"/>
            <w:hideMark/>
          </w:tcPr>
          <w:p w14:paraId="519CEC04"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56</w:t>
            </w:r>
          </w:p>
        </w:tc>
        <w:tc>
          <w:tcPr>
            <w:tcW w:w="546" w:type="dxa"/>
            <w:tcBorders>
              <w:top w:val="nil"/>
              <w:left w:val="nil"/>
              <w:bottom w:val="nil"/>
              <w:right w:val="nil"/>
            </w:tcBorders>
            <w:shd w:val="clear" w:color="000000" w:fill="FFFFFF"/>
            <w:noWrap/>
            <w:vAlign w:val="bottom"/>
            <w:hideMark/>
          </w:tcPr>
          <w:p w14:paraId="0C172C26"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50</w:t>
            </w:r>
          </w:p>
        </w:tc>
        <w:tc>
          <w:tcPr>
            <w:tcW w:w="546" w:type="dxa"/>
            <w:tcBorders>
              <w:top w:val="nil"/>
              <w:left w:val="nil"/>
              <w:bottom w:val="nil"/>
              <w:right w:val="nil"/>
            </w:tcBorders>
            <w:shd w:val="clear" w:color="000000" w:fill="FFFFFF"/>
            <w:noWrap/>
            <w:vAlign w:val="bottom"/>
            <w:hideMark/>
          </w:tcPr>
          <w:p w14:paraId="7005675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7</w:t>
            </w:r>
          </w:p>
        </w:tc>
        <w:tc>
          <w:tcPr>
            <w:tcW w:w="546" w:type="dxa"/>
            <w:tcBorders>
              <w:top w:val="nil"/>
              <w:left w:val="nil"/>
              <w:bottom w:val="nil"/>
              <w:right w:val="single" w:sz="4" w:space="0" w:color="auto"/>
            </w:tcBorders>
            <w:shd w:val="clear" w:color="000000" w:fill="FFFFFF"/>
            <w:noWrap/>
            <w:vAlign w:val="bottom"/>
            <w:hideMark/>
          </w:tcPr>
          <w:p w14:paraId="1A5AAE5B"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16</w:t>
            </w:r>
          </w:p>
        </w:tc>
        <w:tc>
          <w:tcPr>
            <w:tcW w:w="546" w:type="dxa"/>
            <w:tcBorders>
              <w:top w:val="nil"/>
              <w:left w:val="nil"/>
              <w:bottom w:val="nil"/>
              <w:right w:val="nil"/>
            </w:tcBorders>
            <w:shd w:val="clear" w:color="000000" w:fill="FFFFFF"/>
            <w:noWrap/>
            <w:vAlign w:val="bottom"/>
            <w:hideMark/>
          </w:tcPr>
          <w:p w14:paraId="23DF97A0"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21</w:t>
            </w:r>
          </w:p>
        </w:tc>
        <w:tc>
          <w:tcPr>
            <w:tcW w:w="546" w:type="dxa"/>
            <w:tcBorders>
              <w:top w:val="nil"/>
              <w:left w:val="nil"/>
              <w:bottom w:val="nil"/>
              <w:right w:val="single" w:sz="4" w:space="0" w:color="auto"/>
            </w:tcBorders>
            <w:shd w:val="clear" w:color="000000" w:fill="FFFFFF"/>
            <w:noWrap/>
            <w:vAlign w:val="bottom"/>
            <w:hideMark/>
          </w:tcPr>
          <w:p w14:paraId="53C8A24D"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20</w:t>
            </w:r>
          </w:p>
        </w:tc>
        <w:tc>
          <w:tcPr>
            <w:tcW w:w="620" w:type="dxa"/>
            <w:tcBorders>
              <w:top w:val="nil"/>
              <w:left w:val="nil"/>
              <w:bottom w:val="nil"/>
              <w:right w:val="nil"/>
            </w:tcBorders>
            <w:shd w:val="clear" w:color="000000" w:fill="FFFFFF"/>
            <w:noWrap/>
            <w:vAlign w:val="bottom"/>
            <w:hideMark/>
          </w:tcPr>
          <w:p w14:paraId="53074142"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9</w:t>
            </w:r>
          </w:p>
        </w:tc>
        <w:tc>
          <w:tcPr>
            <w:tcW w:w="620" w:type="dxa"/>
            <w:tcBorders>
              <w:top w:val="nil"/>
              <w:left w:val="nil"/>
              <w:bottom w:val="nil"/>
              <w:right w:val="nil"/>
            </w:tcBorders>
            <w:shd w:val="clear" w:color="000000" w:fill="FFFFFF"/>
            <w:noWrap/>
            <w:vAlign w:val="bottom"/>
            <w:hideMark/>
          </w:tcPr>
          <w:p w14:paraId="585F6049"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10</w:t>
            </w:r>
          </w:p>
        </w:tc>
        <w:tc>
          <w:tcPr>
            <w:tcW w:w="666" w:type="dxa"/>
            <w:tcBorders>
              <w:top w:val="nil"/>
              <w:left w:val="nil"/>
              <w:bottom w:val="nil"/>
              <w:right w:val="nil"/>
            </w:tcBorders>
            <w:shd w:val="clear" w:color="000000" w:fill="FFFFFF"/>
            <w:noWrap/>
            <w:vAlign w:val="bottom"/>
            <w:hideMark/>
          </w:tcPr>
          <w:p w14:paraId="5DFDAC28"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2.7</w:t>
            </w:r>
          </w:p>
        </w:tc>
        <w:tc>
          <w:tcPr>
            <w:tcW w:w="666" w:type="dxa"/>
            <w:tcBorders>
              <w:top w:val="nil"/>
              <w:left w:val="nil"/>
              <w:bottom w:val="nil"/>
              <w:right w:val="single" w:sz="4" w:space="0" w:color="auto"/>
            </w:tcBorders>
            <w:shd w:val="clear" w:color="000000" w:fill="FFFFFF"/>
            <w:noWrap/>
            <w:vAlign w:val="bottom"/>
            <w:hideMark/>
          </w:tcPr>
          <w:p w14:paraId="67C259FD"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1.3</w:t>
            </w:r>
          </w:p>
        </w:tc>
      </w:tr>
      <w:tr w:rsidR="000A4766" w:rsidRPr="000A4766" w14:paraId="10E4D43A"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6234F443"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Top Shop</w:t>
            </w:r>
          </w:p>
        </w:tc>
        <w:tc>
          <w:tcPr>
            <w:tcW w:w="880" w:type="dxa"/>
            <w:tcBorders>
              <w:top w:val="nil"/>
              <w:left w:val="nil"/>
              <w:bottom w:val="nil"/>
              <w:right w:val="single" w:sz="4" w:space="0" w:color="auto"/>
            </w:tcBorders>
            <w:shd w:val="clear" w:color="000000" w:fill="FFFFFF"/>
            <w:noWrap/>
            <w:vAlign w:val="bottom"/>
            <w:hideMark/>
          </w:tcPr>
          <w:p w14:paraId="248B98A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7</w:t>
            </w:r>
          </w:p>
        </w:tc>
        <w:tc>
          <w:tcPr>
            <w:tcW w:w="620" w:type="dxa"/>
            <w:tcBorders>
              <w:top w:val="nil"/>
              <w:left w:val="nil"/>
              <w:bottom w:val="nil"/>
              <w:right w:val="nil"/>
            </w:tcBorders>
            <w:shd w:val="clear" w:color="000000" w:fill="FFFFFF"/>
            <w:noWrap/>
            <w:vAlign w:val="bottom"/>
            <w:hideMark/>
          </w:tcPr>
          <w:p w14:paraId="1A6C81EF"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5</w:t>
            </w:r>
          </w:p>
        </w:tc>
        <w:tc>
          <w:tcPr>
            <w:tcW w:w="620" w:type="dxa"/>
            <w:tcBorders>
              <w:top w:val="nil"/>
              <w:left w:val="nil"/>
              <w:bottom w:val="nil"/>
              <w:right w:val="nil"/>
            </w:tcBorders>
            <w:shd w:val="clear" w:color="000000" w:fill="FFFFFF"/>
            <w:noWrap/>
            <w:vAlign w:val="bottom"/>
            <w:hideMark/>
          </w:tcPr>
          <w:p w14:paraId="4FC16EF0"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8</w:t>
            </w:r>
          </w:p>
        </w:tc>
        <w:tc>
          <w:tcPr>
            <w:tcW w:w="666" w:type="dxa"/>
            <w:tcBorders>
              <w:top w:val="nil"/>
              <w:left w:val="single" w:sz="4" w:space="0" w:color="auto"/>
              <w:bottom w:val="nil"/>
              <w:right w:val="nil"/>
            </w:tcBorders>
            <w:shd w:val="clear" w:color="000000" w:fill="FFFFFF"/>
            <w:noWrap/>
            <w:vAlign w:val="bottom"/>
            <w:hideMark/>
          </w:tcPr>
          <w:p w14:paraId="4AC9C11B"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4.1</w:t>
            </w:r>
          </w:p>
        </w:tc>
        <w:tc>
          <w:tcPr>
            <w:tcW w:w="666" w:type="dxa"/>
            <w:tcBorders>
              <w:top w:val="nil"/>
              <w:left w:val="nil"/>
              <w:bottom w:val="nil"/>
              <w:right w:val="nil"/>
            </w:tcBorders>
            <w:shd w:val="clear" w:color="000000" w:fill="FFFFFF"/>
            <w:noWrap/>
            <w:vAlign w:val="bottom"/>
            <w:hideMark/>
          </w:tcPr>
          <w:p w14:paraId="3902136F"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2.8</w:t>
            </w:r>
          </w:p>
        </w:tc>
        <w:tc>
          <w:tcPr>
            <w:tcW w:w="546" w:type="dxa"/>
            <w:tcBorders>
              <w:top w:val="nil"/>
              <w:left w:val="single" w:sz="4" w:space="0" w:color="auto"/>
              <w:bottom w:val="nil"/>
              <w:right w:val="nil"/>
            </w:tcBorders>
            <w:shd w:val="clear" w:color="000000" w:fill="FFFFFF"/>
            <w:noWrap/>
            <w:vAlign w:val="bottom"/>
            <w:hideMark/>
          </w:tcPr>
          <w:p w14:paraId="1FB04F03"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45</w:t>
            </w:r>
          </w:p>
        </w:tc>
        <w:tc>
          <w:tcPr>
            <w:tcW w:w="546" w:type="dxa"/>
            <w:tcBorders>
              <w:top w:val="nil"/>
              <w:left w:val="nil"/>
              <w:bottom w:val="nil"/>
              <w:right w:val="nil"/>
            </w:tcBorders>
            <w:shd w:val="clear" w:color="000000" w:fill="FFFFFF"/>
            <w:noWrap/>
            <w:vAlign w:val="bottom"/>
            <w:hideMark/>
          </w:tcPr>
          <w:p w14:paraId="49D3D6B8"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51</w:t>
            </w:r>
          </w:p>
        </w:tc>
        <w:tc>
          <w:tcPr>
            <w:tcW w:w="546" w:type="dxa"/>
            <w:tcBorders>
              <w:top w:val="nil"/>
              <w:left w:val="nil"/>
              <w:bottom w:val="nil"/>
              <w:right w:val="nil"/>
            </w:tcBorders>
            <w:shd w:val="clear" w:color="000000" w:fill="FFFFFF"/>
            <w:noWrap/>
            <w:vAlign w:val="bottom"/>
            <w:hideMark/>
          </w:tcPr>
          <w:p w14:paraId="5EE12643"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19</w:t>
            </w:r>
          </w:p>
        </w:tc>
        <w:tc>
          <w:tcPr>
            <w:tcW w:w="546" w:type="dxa"/>
            <w:tcBorders>
              <w:top w:val="nil"/>
              <w:left w:val="nil"/>
              <w:bottom w:val="nil"/>
              <w:right w:val="single" w:sz="4" w:space="0" w:color="auto"/>
            </w:tcBorders>
            <w:shd w:val="clear" w:color="000000" w:fill="FFFFFF"/>
            <w:noWrap/>
            <w:vAlign w:val="bottom"/>
            <w:hideMark/>
          </w:tcPr>
          <w:p w14:paraId="7E85B4DF"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15</w:t>
            </w:r>
          </w:p>
        </w:tc>
        <w:tc>
          <w:tcPr>
            <w:tcW w:w="546" w:type="dxa"/>
            <w:tcBorders>
              <w:top w:val="nil"/>
              <w:left w:val="nil"/>
              <w:bottom w:val="nil"/>
              <w:right w:val="nil"/>
            </w:tcBorders>
            <w:shd w:val="clear" w:color="000000" w:fill="FFFFFF"/>
            <w:noWrap/>
            <w:vAlign w:val="bottom"/>
            <w:hideMark/>
          </w:tcPr>
          <w:p w14:paraId="6A78DBB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22</w:t>
            </w:r>
          </w:p>
        </w:tc>
        <w:tc>
          <w:tcPr>
            <w:tcW w:w="546" w:type="dxa"/>
            <w:tcBorders>
              <w:top w:val="nil"/>
              <w:left w:val="nil"/>
              <w:bottom w:val="nil"/>
              <w:right w:val="single" w:sz="4" w:space="0" w:color="auto"/>
            </w:tcBorders>
            <w:shd w:val="clear" w:color="000000" w:fill="FFFFFF"/>
            <w:noWrap/>
            <w:vAlign w:val="bottom"/>
            <w:hideMark/>
          </w:tcPr>
          <w:p w14:paraId="39924D35"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19</w:t>
            </w:r>
          </w:p>
        </w:tc>
        <w:tc>
          <w:tcPr>
            <w:tcW w:w="620" w:type="dxa"/>
            <w:tcBorders>
              <w:top w:val="nil"/>
              <w:left w:val="nil"/>
              <w:bottom w:val="nil"/>
              <w:right w:val="nil"/>
            </w:tcBorders>
            <w:shd w:val="clear" w:color="000000" w:fill="FFFFFF"/>
            <w:noWrap/>
            <w:vAlign w:val="bottom"/>
            <w:hideMark/>
          </w:tcPr>
          <w:p w14:paraId="3CA8AD8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620" w:type="dxa"/>
            <w:tcBorders>
              <w:top w:val="nil"/>
              <w:left w:val="nil"/>
              <w:bottom w:val="nil"/>
              <w:right w:val="nil"/>
            </w:tcBorders>
            <w:shd w:val="clear" w:color="000000" w:fill="FFFFFF"/>
            <w:noWrap/>
            <w:vAlign w:val="bottom"/>
            <w:hideMark/>
          </w:tcPr>
          <w:p w14:paraId="2E166552"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9</w:t>
            </w:r>
          </w:p>
        </w:tc>
        <w:tc>
          <w:tcPr>
            <w:tcW w:w="666" w:type="dxa"/>
            <w:tcBorders>
              <w:top w:val="nil"/>
              <w:left w:val="nil"/>
              <w:bottom w:val="nil"/>
              <w:right w:val="nil"/>
            </w:tcBorders>
            <w:shd w:val="clear" w:color="000000" w:fill="FFFFFF"/>
            <w:noWrap/>
            <w:vAlign w:val="bottom"/>
            <w:hideMark/>
          </w:tcPr>
          <w:p w14:paraId="2C39BAA1"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1.8</w:t>
            </w:r>
          </w:p>
        </w:tc>
        <w:tc>
          <w:tcPr>
            <w:tcW w:w="666" w:type="dxa"/>
            <w:tcBorders>
              <w:top w:val="nil"/>
              <w:left w:val="nil"/>
              <w:bottom w:val="nil"/>
              <w:right w:val="single" w:sz="4" w:space="0" w:color="auto"/>
            </w:tcBorders>
            <w:shd w:val="clear" w:color="000000" w:fill="FFFFFF"/>
            <w:noWrap/>
            <w:vAlign w:val="bottom"/>
            <w:hideMark/>
          </w:tcPr>
          <w:p w14:paraId="3DB98309"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1.3</w:t>
            </w:r>
          </w:p>
        </w:tc>
      </w:tr>
      <w:tr w:rsidR="000A4766" w:rsidRPr="000A4766" w14:paraId="6F7407ED"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35AE7463"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River Island</w:t>
            </w:r>
          </w:p>
        </w:tc>
        <w:tc>
          <w:tcPr>
            <w:tcW w:w="880" w:type="dxa"/>
            <w:tcBorders>
              <w:top w:val="nil"/>
              <w:left w:val="nil"/>
              <w:bottom w:val="nil"/>
              <w:right w:val="single" w:sz="4" w:space="0" w:color="auto"/>
            </w:tcBorders>
            <w:shd w:val="clear" w:color="000000" w:fill="FFFFFF"/>
            <w:noWrap/>
            <w:vAlign w:val="bottom"/>
            <w:hideMark/>
          </w:tcPr>
          <w:p w14:paraId="00B3C01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620" w:type="dxa"/>
            <w:tcBorders>
              <w:top w:val="nil"/>
              <w:left w:val="nil"/>
              <w:bottom w:val="nil"/>
              <w:right w:val="nil"/>
            </w:tcBorders>
            <w:shd w:val="clear" w:color="000000" w:fill="FFFFFF"/>
            <w:noWrap/>
            <w:vAlign w:val="bottom"/>
            <w:hideMark/>
          </w:tcPr>
          <w:p w14:paraId="0ADD5986"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5</w:t>
            </w:r>
          </w:p>
        </w:tc>
        <w:tc>
          <w:tcPr>
            <w:tcW w:w="620" w:type="dxa"/>
            <w:tcBorders>
              <w:top w:val="nil"/>
              <w:left w:val="nil"/>
              <w:bottom w:val="nil"/>
              <w:right w:val="nil"/>
            </w:tcBorders>
            <w:shd w:val="clear" w:color="000000" w:fill="FFFFFF"/>
            <w:noWrap/>
            <w:vAlign w:val="bottom"/>
            <w:hideMark/>
          </w:tcPr>
          <w:p w14:paraId="68C0265F"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w:t>
            </w:r>
          </w:p>
        </w:tc>
        <w:tc>
          <w:tcPr>
            <w:tcW w:w="666" w:type="dxa"/>
            <w:tcBorders>
              <w:top w:val="nil"/>
              <w:left w:val="single" w:sz="4" w:space="0" w:color="auto"/>
              <w:bottom w:val="nil"/>
              <w:right w:val="nil"/>
            </w:tcBorders>
            <w:shd w:val="clear" w:color="000000" w:fill="FFFFFF"/>
            <w:noWrap/>
            <w:vAlign w:val="bottom"/>
            <w:hideMark/>
          </w:tcPr>
          <w:p w14:paraId="2E8CF4C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3.1</w:t>
            </w:r>
          </w:p>
        </w:tc>
        <w:tc>
          <w:tcPr>
            <w:tcW w:w="666" w:type="dxa"/>
            <w:tcBorders>
              <w:top w:val="nil"/>
              <w:left w:val="nil"/>
              <w:bottom w:val="nil"/>
              <w:right w:val="nil"/>
            </w:tcBorders>
            <w:shd w:val="clear" w:color="000000" w:fill="FFFFFF"/>
            <w:noWrap/>
            <w:vAlign w:val="bottom"/>
            <w:hideMark/>
          </w:tcPr>
          <w:p w14:paraId="70981604"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2.7</w:t>
            </w:r>
          </w:p>
        </w:tc>
        <w:tc>
          <w:tcPr>
            <w:tcW w:w="546" w:type="dxa"/>
            <w:tcBorders>
              <w:top w:val="nil"/>
              <w:left w:val="single" w:sz="4" w:space="0" w:color="auto"/>
              <w:bottom w:val="nil"/>
              <w:right w:val="nil"/>
            </w:tcBorders>
            <w:shd w:val="clear" w:color="000000" w:fill="FFFFFF"/>
            <w:noWrap/>
            <w:vAlign w:val="bottom"/>
            <w:hideMark/>
          </w:tcPr>
          <w:p w14:paraId="1591847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53</w:t>
            </w:r>
          </w:p>
        </w:tc>
        <w:tc>
          <w:tcPr>
            <w:tcW w:w="546" w:type="dxa"/>
            <w:tcBorders>
              <w:top w:val="nil"/>
              <w:left w:val="nil"/>
              <w:bottom w:val="nil"/>
              <w:right w:val="nil"/>
            </w:tcBorders>
            <w:shd w:val="clear" w:color="000000" w:fill="FFFFFF"/>
            <w:noWrap/>
            <w:vAlign w:val="bottom"/>
            <w:hideMark/>
          </w:tcPr>
          <w:p w14:paraId="0A93FAE4"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54</w:t>
            </w:r>
          </w:p>
        </w:tc>
        <w:tc>
          <w:tcPr>
            <w:tcW w:w="546" w:type="dxa"/>
            <w:tcBorders>
              <w:top w:val="nil"/>
              <w:left w:val="nil"/>
              <w:bottom w:val="nil"/>
              <w:right w:val="nil"/>
            </w:tcBorders>
            <w:shd w:val="clear" w:color="000000" w:fill="FFFFFF"/>
            <w:noWrap/>
            <w:vAlign w:val="bottom"/>
            <w:hideMark/>
          </w:tcPr>
          <w:p w14:paraId="6A0CA3A4"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9</w:t>
            </w:r>
          </w:p>
        </w:tc>
        <w:tc>
          <w:tcPr>
            <w:tcW w:w="546" w:type="dxa"/>
            <w:tcBorders>
              <w:top w:val="nil"/>
              <w:left w:val="nil"/>
              <w:bottom w:val="nil"/>
              <w:right w:val="single" w:sz="4" w:space="0" w:color="auto"/>
            </w:tcBorders>
            <w:shd w:val="clear" w:color="000000" w:fill="FFFFFF"/>
            <w:noWrap/>
            <w:vAlign w:val="bottom"/>
            <w:hideMark/>
          </w:tcPr>
          <w:p w14:paraId="01EEA7DE"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14</w:t>
            </w:r>
          </w:p>
        </w:tc>
        <w:tc>
          <w:tcPr>
            <w:tcW w:w="546" w:type="dxa"/>
            <w:tcBorders>
              <w:top w:val="nil"/>
              <w:left w:val="nil"/>
              <w:bottom w:val="nil"/>
              <w:right w:val="nil"/>
            </w:tcBorders>
            <w:shd w:val="clear" w:color="000000" w:fill="FFFFFF"/>
            <w:noWrap/>
            <w:vAlign w:val="bottom"/>
            <w:hideMark/>
          </w:tcPr>
          <w:p w14:paraId="3BAAA898"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16</w:t>
            </w:r>
          </w:p>
        </w:tc>
        <w:tc>
          <w:tcPr>
            <w:tcW w:w="546" w:type="dxa"/>
            <w:tcBorders>
              <w:top w:val="nil"/>
              <w:left w:val="nil"/>
              <w:bottom w:val="nil"/>
              <w:right w:val="single" w:sz="4" w:space="0" w:color="auto"/>
            </w:tcBorders>
            <w:shd w:val="clear" w:color="000000" w:fill="FFFFFF"/>
            <w:noWrap/>
            <w:vAlign w:val="bottom"/>
            <w:hideMark/>
          </w:tcPr>
          <w:p w14:paraId="1D12AADC"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17</w:t>
            </w:r>
          </w:p>
        </w:tc>
        <w:tc>
          <w:tcPr>
            <w:tcW w:w="620" w:type="dxa"/>
            <w:tcBorders>
              <w:top w:val="nil"/>
              <w:left w:val="nil"/>
              <w:bottom w:val="nil"/>
              <w:right w:val="nil"/>
            </w:tcBorders>
            <w:shd w:val="clear" w:color="000000" w:fill="FFFFFF"/>
            <w:noWrap/>
            <w:vAlign w:val="bottom"/>
            <w:hideMark/>
          </w:tcPr>
          <w:p w14:paraId="70318A05"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hideMark/>
          </w:tcPr>
          <w:p w14:paraId="3788C253"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9</w:t>
            </w:r>
          </w:p>
        </w:tc>
        <w:tc>
          <w:tcPr>
            <w:tcW w:w="666" w:type="dxa"/>
            <w:tcBorders>
              <w:top w:val="nil"/>
              <w:left w:val="nil"/>
              <w:bottom w:val="nil"/>
              <w:right w:val="nil"/>
            </w:tcBorders>
            <w:shd w:val="clear" w:color="000000" w:fill="FFFFFF"/>
            <w:noWrap/>
            <w:vAlign w:val="bottom"/>
            <w:hideMark/>
          </w:tcPr>
          <w:p w14:paraId="1493C232"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1.3</w:t>
            </w:r>
          </w:p>
        </w:tc>
        <w:tc>
          <w:tcPr>
            <w:tcW w:w="666" w:type="dxa"/>
            <w:tcBorders>
              <w:top w:val="nil"/>
              <w:left w:val="nil"/>
              <w:bottom w:val="nil"/>
              <w:right w:val="single" w:sz="4" w:space="0" w:color="auto"/>
            </w:tcBorders>
            <w:shd w:val="clear" w:color="000000" w:fill="FFFFFF"/>
            <w:noWrap/>
            <w:vAlign w:val="bottom"/>
            <w:hideMark/>
          </w:tcPr>
          <w:p w14:paraId="038DBC0E"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1.3</w:t>
            </w:r>
          </w:p>
        </w:tc>
      </w:tr>
      <w:tr w:rsidR="000A4766" w:rsidRPr="000A4766" w14:paraId="1E2CDF69"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5160FAB2"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Monsoon</w:t>
            </w:r>
          </w:p>
        </w:tc>
        <w:tc>
          <w:tcPr>
            <w:tcW w:w="880" w:type="dxa"/>
            <w:tcBorders>
              <w:top w:val="nil"/>
              <w:left w:val="nil"/>
              <w:bottom w:val="nil"/>
              <w:right w:val="single" w:sz="4" w:space="0" w:color="auto"/>
            </w:tcBorders>
            <w:shd w:val="clear" w:color="000000" w:fill="FFFFFF"/>
            <w:noWrap/>
            <w:vAlign w:val="bottom"/>
            <w:hideMark/>
          </w:tcPr>
          <w:p w14:paraId="107E5236"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hideMark/>
          </w:tcPr>
          <w:p w14:paraId="5924A966"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FF"/>
            <w:noWrap/>
            <w:vAlign w:val="bottom"/>
            <w:hideMark/>
          </w:tcPr>
          <w:p w14:paraId="6E838857"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w:t>
            </w:r>
          </w:p>
        </w:tc>
        <w:tc>
          <w:tcPr>
            <w:tcW w:w="666" w:type="dxa"/>
            <w:tcBorders>
              <w:top w:val="nil"/>
              <w:left w:val="single" w:sz="4" w:space="0" w:color="auto"/>
              <w:bottom w:val="nil"/>
              <w:right w:val="nil"/>
            </w:tcBorders>
            <w:shd w:val="clear" w:color="000000" w:fill="FFFFFF"/>
            <w:noWrap/>
            <w:vAlign w:val="bottom"/>
            <w:hideMark/>
          </w:tcPr>
          <w:p w14:paraId="47126D16"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2.0</w:t>
            </w:r>
          </w:p>
        </w:tc>
        <w:tc>
          <w:tcPr>
            <w:tcW w:w="666" w:type="dxa"/>
            <w:tcBorders>
              <w:top w:val="nil"/>
              <w:left w:val="nil"/>
              <w:bottom w:val="nil"/>
              <w:right w:val="nil"/>
            </w:tcBorders>
            <w:shd w:val="clear" w:color="000000" w:fill="FFFFFF"/>
            <w:noWrap/>
            <w:vAlign w:val="bottom"/>
            <w:hideMark/>
          </w:tcPr>
          <w:p w14:paraId="28EFCC05"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2.5</w:t>
            </w:r>
          </w:p>
        </w:tc>
        <w:tc>
          <w:tcPr>
            <w:tcW w:w="546" w:type="dxa"/>
            <w:tcBorders>
              <w:top w:val="nil"/>
              <w:left w:val="single" w:sz="4" w:space="0" w:color="auto"/>
              <w:bottom w:val="nil"/>
              <w:right w:val="nil"/>
            </w:tcBorders>
            <w:shd w:val="clear" w:color="000000" w:fill="FFFFFF"/>
            <w:noWrap/>
            <w:vAlign w:val="bottom"/>
            <w:hideMark/>
          </w:tcPr>
          <w:p w14:paraId="1272AC4B"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72</w:t>
            </w:r>
          </w:p>
        </w:tc>
        <w:tc>
          <w:tcPr>
            <w:tcW w:w="546" w:type="dxa"/>
            <w:tcBorders>
              <w:top w:val="nil"/>
              <w:left w:val="nil"/>
              <w:bottom w:val="nil"/>
              <w:right w:val="nil"/>
            </w:tcBorders>
            <w:shd w:val="clear" w:color="000000" w:fill="FFFFFF"/>
            <w:noWrap/>
            <w:vAlign w:val="bottom"/>
            <w:hideMark/>
          </w:tcPr>
          <w:p w14:paraId="54486FDE"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56</w:t>
            </w:r>
          </w:p>
        </w:tc>
        <w:tc>
          <w:tcPr>
            <w:tcW w:w="546" w:type="dxa"/>
            <w:tcBorders>
              <w:top w:val="nil"/>
              <w:left w:val="nil"/>
              <w:bottom w:val="nil"/>
              <w:right w:val="nil"/>
            </w:tcBorders>
            <w:shd w:val="clear" w:color="000000" w:fill="FFFFFF"/>
            <w:noWrap/>
            <w:vAlign w:val="bottom"/>
            <w:hideMark/>
          </w:tcPr>
          <w:p w14:paraId="79F88172"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w:t>
            </w:r>
          </w:p>
        </w:tc>
        <w:tc>
          <w:tcPr>
            <w:tcW w:w="546" w:type="dxa"/>
            <w:tcBorders>
              <w:top w:val="nil"/>
              <w:left w:val="nil"/>
              <w:bottom w:val="nil"/>
              <w:right w:val="single" w:sz="4" w:space="0" w:color="auto"/>
            </w:tcBorders>
            <w:shd w:val="clear" w:color="000000" w:fill="FFFFFF"/>
            <w:noWrap/>
            <w:vAlign w:val="bottom"/>
            <w:hideMark/>
          </w:tcPr>
          <w:p w14:paraId="4D8ADE89"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c>
          <w:tcPr>
            <w:tcW w:w="546" w:type="dxa"/>
            <w:tcBorders>
              <w:top w:val="nil"/>
              <w:left w:val="nil"/>
              <w:bottom w:val="nil"/>
              <w:right w:val="nil"/>
            </w:tcBorders>
            <w:shd w:val="clear" w:color="000000" w:fill="FFFFFF"/>
            <w:noWrap/>
            <w:vAlign w:val="bottom"/>
            <w:hideMark/>
          </w:tcPr>
          <w:p w14:paraId="63880BC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18</w:t>
            </w:r>
          </w:p>
        </w:tc>
        <w:tc>
          <w:tcPr>
            <w:tcW w:w="546" w:type="dxa"/>
            <w:tcBorders>
              <w:top w:val="nil"/>
              <w:left w:val="nil"/>
              <w:bottom w:val="nil"/>
              <w:right w:val="single" w:sz="4" w:space="0" w:color="auto"/>
            </w:tcBorders>
            <w:shd w:val="clear" w:color="000000" w:fill="FFFFFF"/>
            <w:noWrap/>
            <w:vAlign w:val="bottom"/>
            <w:hideMark/>
          </w:tcPr>
          <w:p w14:paraId="7539B619"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16</w:t>
            </w:r>
          </w:p>
        </w:tc>
        <w:tc>
          <w:tcPr>
            <w:tcW w:w="620" w:type="dxa"/>
            <w:tcBorders>
              <w:top w:val="nil"/>
              <w:left w:val="nil"/>
              <w:bottom w:val="nil"/>
              <w:right w:val="nil"/>
            </w:tcBorders>
            <w:shd w:val="clear" w:color="000000" w:fill="FFFFFF"/>
            <w:noWrap/>
            <w:vAlign w:val="bottom"/>
            <w:hideMark/>
          </w:tcPr>
          <w:p w14:paraId="420BDC3C"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10</w:t>
            </w:r>
          </w:p>
        </w:tc>
        <w:tc>
          <w:tcPr>
            <w:tcW w:w="620" w:type="dxa"/>
            <w:tcBorders>
              <w:top w:val="nil"/>
              <w:left w:val="nil"/>
              <w:bottom w:val="nil"/>
              <w:right w:val="nil"/>
            </w:tcBorders>
            <w:shd w:val="clear" w:color="000000" w:fill="FFFFFF"/>
            <w:noWrap/>
            <w:vAlign w:val="bottom"/>
            <w:hideMark/>
          </w:tcPr>
          <w:p w14:paraId="5C0CCD13"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8</w:t>
            </w:r>
          </w:p>
        </w:tc>
        <w:tc>
          <w:tcPr>
            <w:tcW w:w="666" w:type="dxa"/>
            <w:tcBorders>
              <w:top w:val="nil"/>
              <w:left w:val="nil"/>
              <w:bottom w:val="nil"/>
              <w:right w:val="nil"/>
            </w:tcBorders>
            <w:shd w:val="clear" w:color="000000" w:fill="FFFFFF"/>
            <w:noWrap/>
            <w:vAlign w:val="bottom"/>
            <w:hideMark/>
          </w:tcPr>
          <w:p w14:paraId="72244597"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1.9</w:t>
            </w:r>
          </w:p>
        </w:tc>
        <w:tc>
          <w:tcPr>
            <w:tcW w:w="666" w:type="dxa"/>
            <w:tcBorders>
              <w:top w:val="nil"/>
              <w:left w:val="nil"/>
              <w:bottom w:val="nil"/>
              <w:right w:val="single" w:sz="4" w:space="0" w:color="auto"/>
            </w:tcBorders>
            <w:shd w:val="clear" w:color="000000" w:fill="FFFFFF"/>
            <w:noWrap/>
            <w:vAlign w:val="bottom"/>
            <w:hideMark/>
          </w:tcPr>
          <w:p w14:paraId="748E9D13"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r>
      <w:tr w:rsidR="000A4766" w:rsidRPr="000A4766" w14:paraId="4ADB39E8"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3A837C36"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Miss Selfridge</w:t>
            </w:r>
          </w:p>
        </w:tc>
        <w:tc>
          <w:tcPr>
            <w:tcW w:w="880" w:type="dxa"/>
            <w:tcBorders>
              <w:top w:val="nil"/>
              <w:left w:val="nil"/>
              <w:bottom w:val="nil"/>
              <w:right w:val="single" w:sz="4" w:space="0" w:color="auto"/>
            </w:tcBorders>
            <w:shd w:val="clear" w:color="000000" w:fill="FFFFFF"/>
            <w:noWrap/>
            <w:vAlign w:val="bottom"/>
            <w:hideMark/>
          </w:tcPr>
          <w:p w14:paraId="6140FEE1"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hideMark/>
          </w:tcPr>
          <w:p w14:paraId="157EE0B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FF"/>
            <w:noWrap/>
            <w:vAlign w:val="bottom"/>
            <w:hideMark/>
          </w:tcPr>
          <w:p w14:paraId="3F7FCAA9"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w:t>
            </w:r>
          </w:p>
        </w:tc>
        <w:tc>
          <w:tcPr>
            <w:tcW w:w="666" w:type="dxa"/>
            <w:tcBorders>
              <w:top w:val="nil"/>
              <w:left w:val="single" w:sz="4" w:space="0" w:color="auto"/>
              <w:bottom w:val="nil"/>
              <w:right w:val="nil"/>
            </w:tcBorders>
            <w:shd w:val="clear" w:color="000000" w:fill="FFFFFF"/>
            <w:noWrap/>
            <w:vAlign w:val="bottom"/>
            <w:hideMark/>
          </w:tcPr>
          <w:p w14:paraId="248E8AB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2.3</w:t>
            </w:r>
          </w:p>
        </w:tc>
        <w:tc>
          <w:tcPr>
            <w:tcW w:w="666" w:type="dxa"/>
            <w:tcBorders>
              <w:top w:val="nil"/>
              <w:left w:val="nil"/>
              <w:bottom w:val="nil"/>
              <w:right w:val="nil"/>
            </w:tcBorders>
            <w:shd w:val="clear" w:color="000000" w:fill="FFFFFF"/>
            <w:noWrap/>
            <w:vAlign w:val="bottom"/>
            <w:hideMark/>
          </w:tcPr>
          <w:p w14:paraId="0B6D4A3B"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2.5</w:t>
            </w:r>
          </w:p>
        </w:tc>
        <w:tc>
          <w:tcPr>
            <w:tcW w:w="546" w:type="dxa"/>
            <w:tcBorders>
              <w:top w:val="nil"/>
              <w:left w:val="single" w:sz="4" w:space="0" w:color="auto"/>
              <w:bottom w:val="nil"/>
              <w:right w:val="nil"/>
            </w:tcBorders>
            <w:shd w:val="clear" w:color="000000" w:fill="FFFFFF"/>
            <w:noWrap/>
            <w:vAlign w:val="bottom"/>
            <w:hideMark/>
          </w:tcPr>
          <w:p w14:paraId="7AC57D8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58</w:t>
            </w:r>
          </w:p>
        </w:tc>
        <w:tc>
          <w:tcPr>
            <w:tcW w:w="546" w:type="dxa"/>
            <w:tcBorders>
              <w:top w:val="nil"/>
              <w:left w:val="nil"/>
              <w:bottom w:val="nil"/>
              <w:right w:val="nil"/>
            </w:tcBorders>
            <w:shd w:val="clear" w:color="000000" w:fill="FFFFFF"/>
            <w:noWrap/>
            <w:vAlign w:val="bottom"/>
            <w:hideMark/>
          </w:tcPr>
          <w:p w14:paraId="056E1B9C"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56</w:t>
            </w:r>
          </w:p>
        </w:tc>
        <w:tc>
          <w:tcPr>
            <w:tcW w:w="546" w:type="dxa"/>
            <w:tcBorders>
              <w:top w:val="nil"/>
              <w:left w:val="nil"/>
              <w:bottom w:val="nil"/>
              <w:right w:val="nil"/>
            </w:tcBorders>
            <w:shd w:val="clear" w:color="000000" w:fill="FFFFFF"/>
            <w:noWrap/>
            <w:vAlign w:val="bottom"/>
            <w:hideMark/>
          </w:tcPr>
          <w:p w14:paraId="6C25E88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546" w:type="dxa"/>
            <w:tcBorders>
              <w:top w:val="nil"/>
              <w:left w:val="nil"/>
              <w:bottom w:val="nil"/>
              <w:right w:val="single" w:sz="4" w:space="0" w:color="auto"/>
            </w:tcBorders>
            <w:shd w:val="clear" w:color="000000" w:fill="FFFFFF"/>
            <w:noWrap/>
            <w:vAlign w:val="bottom"/>
            <w:hideMark/>
          </w:tcPr>
          <w:p w14:paraId="0556F12B"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c>
          <w:tcPr>
            <w:tcW w:w="546" w:type="dxa"/>
            <w:tcBorders>
              <w:top w:val="nil"/>
              <w:left w:val="nil"/>
              <w:bottom w:val="nil"/>
              <w:right w:val="nil"/>
            </w:tcBorders>
            <w:shd w:val="clear" w:color="000000" w:fill="FFFFFF"/>
            <w:noWrap/>
            <w:vAlign w:val="bottom"/>
            <w:hideMark/>
          </w:tcPr>
          <w:p w14:paraId="736EBBFC"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10</w:t>
            </w:r>
          </w:p>
        </w:tc>
        <w:tc>
          <w:tcPr>
            <w:tcW w:w="546" w:type="dxa"/>
            <w:tcBorders>
              <w:top w:val="nil"/>
              <w:left w:val="nil"/>
              <w:bottom w:val="nil"/>
              <w:right w:val="single" w:sz="4" w:space="0" w:color="auto"/>
            </w:tcBorders>
            <w:shd w:val="clear" w:color="000000" w:fill="FFFFFF"/>
            <w:noWrap/>
            <w:vAlign w:val="bottom"/>
            <w:hideMark/>
          </w:tcPr>
          <w:p w14:paraId="7A2EA9AE"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16</w:t>
            </w:r>
          </w:p>
        </w:tc>
        <w:tc>
          <w:tcPr>
            <w:tcW w:w="620" w:type="dxa"/>
            <w:tcBorders>
              <w:top w:val="nil"/>
              <w:left w:val="nil"/>
              <w:bottom w:val="nil"/>
              <w:right w:val="nil"/>
            </w:tcBorders>
            <w:shd w:val="clear" w:color="000000" w:fill="FFFFFF"/>
            <w:noWrap/>
            <w:vAlign w:val="bottom"/>
            <w:hideMark/>
          </w:tcPr>
          <w:p w14:paraId="6B307138"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620" w:type="dxa"/>
            <w:tcBorders>
              <w:top w:val="nil"/>
              <w:left w:val="nil"/>
              <w:bottom w:val="nil"/>
              <w:right w:val="nil"/>
            </w:tcBorders>
            <w:shd w:val="clear" w:color="000000" w:fill="FFFFFF"/>
            <w:noWrap/>
            <w:vAlign w:val="bottom"/>
            <w:hideMark/>
          </w:tcPr>
          <w:p w14:paraId="3C7458AC"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8</w:t>
            </w:r>
          </w:p>
        </w:tc>
        <w:tc>
          <w:tcPr>
            <w:tcW w:w="666" w:type="dxa"/>
            <w:tcBorders>
              <w:top w:val="nil"/>
              <w:left w:val="nil"/>
              <w:bottom w:val="nil"/>
              <w:right w:val="nil"/>
            </w:tcBorders>
            <w:shd w:val="clear" w:color="000000" w:fill="FFFFFF"/>
            <w:noWrap/>
            <w:vAlign w:val="bottom"/>
            <w:hideMark/>
          </w:tcPr>
          <w:p w14:paraId="567A848B"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1.2</w:t>
            </w:r>
          </w:p>
        </w:tc>
        <w:tc>
          <w:tcPr>
            <w:tcW w:w="666" w:type="dxa"/>
            <w:tcBorders>
              <w:top w:val="nil"/>
              <w:left w:val="nil"/>
              <w:bottom w:val="nil"/>
              <w:right w:val="single" w:sz="4" w:space="0" w:color="auto"/>
            </w:tcBorders>
            <w:shd w:val="clear" w:color="000000" w:fill="FFFFFF"/>
            <w:noWrap/>
            <w:vAlign w:val="bottom"/>
            <w:hideMark/>
          </w:tcPr>
          <w:p w14:paraId="353B9BF8"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r>
      <w:tr w:rsidR="000A4766" w:rsidRPr="000A4766" w14:paraId="47314D2F"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574957B1"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Zara</w:t>
            </w:r>
          </w:p>
        </w:tc>
        <w:tc>
          <w:tcPr>
            <w:tcW w:w="880" w:type="dxa"/>
            <w:tcBorders>
              <w:top w:val="nil"/>
              <w:left w:val="nil"/>
              <w:bottom w:val="nil"/>
              <w:right w:val="single" w:sz="4" w:space="0" w:color="auto"/>
            </w:tcBorders>
            <w:shd w:val="clear" w:color="000000" w:fill="FFFFFF"/>
            <w:noWrap/>
            <w:vAlign w:val="bottom"/>
            <w:hideMark/>
          </w:tcPr>
          <w:p w14:paraId="33B5F60C"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hideMark/>
          </w:tcPr>
          <w:p w14:paraId="66ACEE8B"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FF"/>
            <w:noWrap/>
            <w:vAlign w:val="bottom"/>
            <w:hideMark/>
          </w:tcPr>
          <w:p w14:paraId="13482F94"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w:t>
            </w:r>
          </w:p>
        </w:tc>
        <w:tc>
          <w:tcPr>
            <w:tcW w:w="666" w:type="dxa"/>
            <w:tcBorders>
              <w:top w:val="nil"/>
              <w:left w:val="single" w:sz="4" w:space="0" w:color="auto"/>
              <w:bottom w:val="nil"/>
              <w:right w:val="nil"/>
            </w:tcBorders>
            <w:shd w:val="clear" w:color="000000" w:fill="FFFFFF"/>
            <w:noWrap/>
            <w:vAlign w:val="bottom"/>
            <w:hideMark/>
          </w:tcPr>
          <w:p w14:paraId="5355F584"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2.2</w:t>
            </w:r>
          </w:p>
        </w:tc>
        <w:tc>
          <w:tcPr>
            <w:tcW w:w="666" w:type="dxa"/>
            <w:tcBorders>
              <w:top w:val="nil"/>
              <w:left w:val="nil"/>
              <w:bottom w:val="nil"/>
              <w:right w:val="nil"/>
            </w:tcBorders>
            <w:shd w:val="clear" w:color="000000" w:fill="FFFFFF"/>
            <w:noWrap/>
            <w:vAlign w:val="bottom"/>
            <w:hideMark/>
          </w:tcPr>
          <w:p w14:paraId="23B89E00"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2.5</w:t>
            </w:r>
          </w:p>
        </w:tc>
        <w:tc>
          <w:tcPr>
            <w:tcW w:w="546" w:type="dxa"/>
            <w:tcBorders>
              <w:top w:val="nil"/>
              <w:left w:val="single" w:sz="4" w:space="0" w:color="auto"/>
              <w:bottom w:val="nil"/>
              <w:right w:val="nil"/>
            </w:tcBorders>
            <w:shd w:val="clear" w:color="000000" w:fill="FFFFFF"/>
            <w:noWrap/>
            <w:vAlign w:val="bottom"/>
            <w:hideMark/>
          </w:tcPr>
          <w:p w14:paraId="7C921FB1"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69</w:t>
            </w:r>
          </w:p>
        </w:tc>
        <w:tc>
          <w:tcPr>
            <w:tcW w:w="546" w:type="dxa"/>
            <w:tcBorders>
              <w:top w:val="nil"/>
              <w:left w:val="nil"/>
              <w:bottom w:val="nil"/>
              <w:right w:val="nil"/>
            </w:tcBorders>
            <w:shd w:val="clear" w:color="000000" w:fill="FFFFFF"/>
            <w:noWrap/>
            <w:vAlign w:val="bottom"/>
            <w:hideMark/>
          </w:tcPr>
          <w:p w14:paraId="0CD6C443"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56</w:t>
            </w:r>
          </w:p>
        </w:tc>
        <w:tc>
          <w:tcPr>
            <w:tcW w:w="546" w:type="dxa"/>
            <w:tcBorders>
              <w:top w:val="nil"/>
              <w:left w:val="nil"/>
              <w:bottom w:val="nil"/>
              <w:right w:val="nil"/>
            </w:tcBorders>
            <w:shd w:val="clear" w:color="000000" w:fill="FFFFFF"/>
            <w:noWrap/>
            <w:vAlign w:val="bottom"/>
            <w:hideMark/>
          </w:tcPr>
          <w:p w14:paraId="2633F4A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546" w:type="dxa"/>
            <w:tcBorders>
              <w:top w:val="nil"/>
              <w:left w:val="nil"/>
              <w:bottom w:val="nil"/>
              <w:right w:val="single" w:sz="4" w:space="0" w:color="auto"/>
            </w:tcBorders>
            <w:shd w:val="clear" w:color="000000" w:fill="FFFFFF"/>
            <w:noWrap/>
            <w:vAlign w:val="bottom"/>
            <w:hideMark/>
          </w:tcPr>
          <w:p w14:paraId="323DEBAF"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c>
          <w:tcPr>
            <w:tcW w:w="546" w:type="dxa"/>
            <w:tcBorders>
              <w:top w:val="nil"/>
              <w:left w:val="nil"/>
              <w:bottom w:val="nil"/>
              <w:right w:val="nil"/>
            </w:tcBorders>
            <w:shd w:val="clear" w:color="000000" w:fill="FFFFFF"/>
            <w:noWrap/>
            <w:vAlign w:val="bottom"/>
            <w:hideMark/>
          </w:tcPr>
          <w:p w14:paraId="0C876ED2"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12</w:t>
            </w:r>
          </w:p>
        </w:tc>
        <w:tc>
          <w:tcPr>
            <w:tcW w:w="546" w:type="dxa"/>
            <w:tcBorders>
              <w:top w:val="nil"/>
              <w:left w:val="nil"/>
              <w:bottom w:val="nil"/>
              <w:right w:val="single" w:sz="4" w:space="0" w:color="auto"/>
            </w:tcBorders>
            <w:shd w:val="clear" w:color="000000" w:fill="FFFFFF"/>
            <w:noWrap/>
            <w:vAlign w:val="bottom"/>
            <w:hideMark/>
          </w:tcPr>
          <w:p w14:paraId="42B32463"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16</w:t>
            </w:r>
          </w:p>
        </w:tc>
        <w:tc>
          <w:tcPr>
            <w:tcW w:w="620" w:type="dxa"/>
            <w:tcBorders>
              <w:top w:val="nil"/>
              <w:left w:val="nil"/>
              <w:bottom w:val="nil"/>
              <w:right w:val="nil"/>
            </w:tcBorders>
            <w:shd w:val="clear" w:color="000000" w:fill="FFFFFF"/>
            <w:noWrap/>
            <w:vAlign w:val="bottom"/>
            <w:hideMark/>
          </w:tcPr>
          <w:p w14:paraId="6D87C95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620" w:type="dxa"/>
            <w:tcBorders>
              <w:top w:val="nil"/>
              <w:left w:val="nil"/>
              <w:bottom w:val="nil"/>
              <w:right w:val="nil"/>
            </w:tcBorders>
            <w:shd w:val="clear" w:color="000000" w:fill="FFFFFF"/>
            <w:noWrap/>
            <w:vAlign w:val="bottom"/>
            <w:hideMark/>
          </w:tcPr>
          <w:p w14:paraId="0D443DF1"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8</w:t>
            </w:r>
          </w:p>
        </w:tc>
        <w:tc>
          <w:tcPr>
            <w:tcW w:w="666" w:type="dxa"/>
            <w:tcBorders>
              <w:top w:val="nil"/>
              <w:left w:val="nil"/>
              <w:bottom w:val="nil"/>
              <w:right w:val="nil"/>
            </w:tcBorders>
            <w:shd w:val="clear" w:color="000000" w:fill="FFFFFF"/>
            <w:noWrap/>
            <w:vAlign w:val="bottom"/>
            <w:hideMark/>
          </w:tcPr>
          <w:p w14:paraId="0E08FB87"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1.2</w:t>
            </w:r>
          </w:p>
        </w:tc>
        <w:tc>
          <w:tcPr>
            <w:tcW w:w="666" w:type="dxa"/>
            <w:tcBorders>
              <w:top w:val="nil"/>
              <w:left w:val="nil"/>
              <w:bottom w:val="nil"/>
              <w:right w:val="single" w:sz="4" w:space="0" w:color="auto"/>
            </w:tcBorders>
            <w:shd w:val="clear" w:color="000000" w:fill="FFFFFF"/>
            <w:noWrap/>
            <w:vAlign w:val="bottom"/>
            <w:hideMark/>
          </w:tcPr>
          <w:p w14:paraId="09A62DA2"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r>
      <w:tr w:rsidR="000A4766" w:rsidRPr="000A4766" w14:paraId="4D435F5C"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496AD9C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Wallis</w:t>
            </w:r>
          </w:p>
        </w:tc>
        <w:tc>
          <w:tcPr>
            <w:tcW w:w="880" w:type="dxa"/>
            <w:tcBorders>
              <w:top w:val="nil"/>
              <w:left w:val="nil"/>
              <w:bottom w:val="nil"/>
              <w:right w:val="single" w:sz="4" w:space="0" w:color="auto"/>
            </w:tcBorders>
            <w:shd w:val="clear" w:color="000000" w:fill="FFFFFF"/>
            <w:noWrap/>
            <w:vAlign w:val="bottom"/>
            <w:hideMark/>
          </w:tcPr>
          <w:p w14:paraId="233212CB"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w:t>
            </w:r>
          </w:p>
        </w:tc>
        <w:tc>
          <w:tcPr>
            <w:tcW w:w="620" w:type="dxa"/>
            <w:tcBorders>
              <w:top w:val="nil"/>
              <w:left w:val="nil"/>
              <w:bottom w:val="nil"/>
              <w:right w:val="nil"/>
            </w:tcBorders>
            <w:shd w:val="clear" w:color="000000" w:fill="FFFFFF"/>
            <w:noWrap/>
            <w:vAlign w:val="bottom"/>
            <w:hideMark/>
          </w:tcPr>
          <w:p w14:paraId="5307CB9D"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w:t>
            </w:r>
          </w:p>
        </w:tc>
        <w:tc>
          <w:tcPr>
            <w:tcW w:w="620" w:type="dxa"/>
            <w:tcBorders>
              <w:top w:val="nil"/>
              <w:left w:val="nil"/>
              <w:bottom w:val="nil"/>
              <w:right w:val="nil"/>
            </w:tcBorders>
            <w:shd w:val="clear" w:color="000000" w:fill="FFFFFF"/>
            <w:noWrap/>
            <w:vAlign w:val="bottom"/>
            <w:hideMark/>
          </w:tcPr>
          <w:p w14:paraId="6D1B2604"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w:t>
            </w:r>
          </w:p>
        </w:tc>
        <w:tc>
          <w:tcPr>
            <w:tcW w:w="666" w:type="dxa"/>
            <w:tcBorders>
              <w:top w:val="nil"/>
              <w:left w:val="single" w:sz="4" w:space="0" w:color="auto"/>
              <w:bottom w:val="nil"/>
              <w:right w:val="nil"/>
            </w:tcBorders>
            <w:shd w:val="clear" w:color="000000" w:fill="FFFFFF"/>
            <w:noWrap/>
            <w:vAlign w:val="bottom"/>
            <w:hideMark/>
          </w:tcPr>
          <w:p w14:paraId="458E5B71"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2.0</w:t>
            </w:r>
          </w:p>
        </w:tc>
        <w:tc>
          <w:tcPr>
            <w:tcW w:w="666" w:type="dxa"/>
            <w:tcBorders>
              <w:top w:val="nil"/>
              <w:left w:val="nil"/>
              <w:bottom w:val="nil"/>
              <w:right w:val="nil"/>
            </w:tcBorders>
            <w:shd w:val="clear" w:color="000000" w:fill="FFFFFF"/>
            <w:noWrap/>
            <w:vAlign w:val="bottom"/>
            <w:hideMark/>
          </w:tcPr>
          <w:p w14:paraId="0156DECA"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2.5</w:t>
            </w:r>
          </w:p>
        </w:tc>
        <w:tc>
          <w:tcPr>
            <w:tcW w:w="546" w:type="dxa"/>
            <w:tcBorders>
              <w:top w:val="nil"/>
              <w:left w:val="single" w:sz="4" w:space="0" w:color="auto"/>
              <w:bottom w:val="nil"/>
              <w:right w:val="nil"/>
            </w:tcBorders>
            <w:shd w:val="clear" w:color="000000" w:fill="FFFFFF"/>
            <w:noWrap/>
            <w:vAlign w:val="bottom"/>
            <w:hideMark/>
          </w:tcPr>
          <w:p w14:paraId="7CAD8B9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68</w:t>
            </w:r>
          </w:p>
        </w:tc>
        <w:tc>
          <w:tcPr>
            <w:tcW w:w="546" w:type="dxa"/>
            <w:tcBorders>
              <w:top w:val="nil"/>
              <w:left w:val="nil"/>
              <w:bottom w:val="nil"/>
              <w:right w:val="nil"/>
            </w:tcBorders>
            <w:shd w:val="clear" w:color="000000" w:fill="FFFFFF"/>
            <w:noWrap/>
            <w:vAlign w:val="bottom"/>
            <w:hideMark/>
          </w:tcPr>
          <w:p w14:paraId="28D170D5"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56</w:t>
            </w:r>
          </w:p>
        </w:tc>
        <w:tc>
          <w:tcPr>
            <w:tcW w:w="546" w:type="dxa"/>
            <w:tcBorders>
              <w:top w:val="nil"/>
              <w:left w:val="nil"/>
              <w:bottom w:val="nil"/>
              <w:right w:val="nil"/>
            </w:tcBorders>
            <w:shd w:val="clear" w:color="000000" w:fill="FFFFFF"/>
            <w:noWrap/>
            <w:vAlign w:val="bottom"/>
            <w:hideMark/>
          </w:tcPr>
          <w:p w14:paraId="05E27153"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546" w:type="dxa"/>
            <w:tcBorders>
              <w:top w:val="nil"/>
              <w:left w:val="nil"/>
              <w:bottom w:val="nil"/>
              <w:right w:val="single" w:sz="4" w:space="0" w:color="auto"/>
            </w:tcBorders>
            <w:shd w:val="clear" w:color="000000" w:fill="FFFFFF"/>
            <w:noWrap/>
            <w:vAlign w:val="bottom"/>
            <w:hideMark/>
          </w:tcPr>
          <w:p w14:paraId="5B223DBD"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c>
          <w:tcPr>
            <w:tcW w:w="546" w:type="dxa"/>
            <w:tcBorders>
              <w:top w:val="nil"/>
              <w:left w:val="nil"/>
              <w:bottom w:val="nil"/>
              <w:right w:val="nil"/>
            </w:tcBorders>
            <w:shd w:val="clear" w:color="000000" w:fill="FFFFFF"/>
            <w:noWrap/>
            <w:vAlign w:val="bottom"/>
            <w:hideMark/>
          </w:tcPr>
          <w:p w14:paraId="4BA76B87"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20</w:t>
            </w:r>
          </w:p>
        </w:tc>
        <w:tc>
          <w:tcPr>
            <w:tcW w:w="546" w:type="dxa"/>
            <w:tcBorders>
              <w:top w:val="nil"/>
              <w:left w:val="nil"/>
              <w:bottom w:val="nil"/>
              <w:right w:val="single" w:sz="4" w:space="0" w:color="auto"/>
            </w:tcBorders>
            <w:shd w:val="clear" w:color="000000" w:fill="FFFFFF"/>
            <w:noWrap/>
            <w:vAlign w:val="bottom"/>
            <w:hideMark/>
          </w:tcPr>
          <w:p w14:paraId="70D4FB26"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16</w:t>
            </w:r>
          </w:p>
        </w:tc>
        <w:tc>
          <w:tcPr>
            <w:tcW w:w="620" w:type="dxa"/>
            <w:tcBorders>
              <w:top w:val="nil"/>
              <w:left w:val="nil"/>
              <w:bottom w:val="nil"/>
              <w:right w:val="nil"/>
            </w:tcBorders>
            <w:shd w:val="clear" w:color="000000" w:fill="FFFFFF"/>
            <w:noWrap/>
            <w:vAlign w:val="bottom"/>
            <w:hideMark/>
          </w:tcPr>
          <w:p w14:paraId="35B3CA3B"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8</w:t>
            </w:r>
          </w:p>
        </w:tc>
        <w:tc>
          <w:tcPr>
            <w:tcW w:w="620" w:type="dxa"/>
            <w:tcBorders>
              <w:top w:val="nil"/>
              <w:left w:val="nil"/>
              <w:bottom w:val="nil"/>
              <w:right w:val="nil"/>
            </w:tcBorders>
            <w:shd w:val="clear" w:color="000000" w:fill="FFFFFF"/>
            <w:noWrap/>
            <w:vAlign w:val="bottom"/>
            <w:hideMark/>
          </w:tcPr>
          <w:p w14:paraId="4D6202CA"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8</w:t>
            </w:r>
          </w:p>
        </w:tc>
        <w:tc>
          <w:tcPr>
            <w:tcW w:w="666" w:type="dxa"/>
            <w:tcBorders>
              <w:top w:val="nil"/>
              <w:left w:val="nil"/>
              <w:bottom w:val="nil"/>
              <w:right w:val="nil"/>
            </w:tcBorders>
            <w:shd w:val="clear" w:color="000000" w:fill="FFFFFF"/>
            <w:noWrap/>
            <w:vAlign w:val="bottom"/>
            <w:hideMark/>
          </w:tcPr>
          <w:p w14:paraId="4411D28E"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2.0</w:t>
            </w:r>
          </w:p>
        </w:tc>
        <w:tc>
          <w:tcPr>
            <w:tcW w:w="666" w:type="dxa"/>
            <w:tcBorders>
              <w:top w:val="nil"/>
              <w:left w:val="nil"/>
              <w:bottom w:val="nil"/>
              <w:right w:val="single" w:sz="4" w:space="0" w:color="auto"/>
            </w:tcBorders>
            <w:shd w:val="clear" w:color="000000" w:fill="FFFFFF"/>
            <w:noWrap/>
            <w:vAlign w:val="bottom"/>
            <w:hideMark/>
          </w:tcPr>
          <w:p w14:paraId="7AC75CE3"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1.2</w:t>
            </w:r>
          </w:p>
        </w:tc>
      </w:tr>
      <w:tr w:rsidR="000A4766" w:rsidRPr="000A4766" w14:paraId="79EA29C4"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2CAE1FA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80" w:type="dxa"/>
            <w:tcBorders>
              <w:top w:val="nil"/>
              <w:left w:val="nil"/>
              <w:bottom w:val="nil"/>
              <w:right w:val="single" w:sz="4" w:space="0" w:color="auto"/>
            </w:tcBorders>
            <w:shd w:val="clear" w:color="000000" w:fill="FFFFFF"/>
            <w:noWrap/>
            <w:vAlign w:val="bottom"/>
            <w:hideMark/>
          </w:tcPr>
          <w:p w14:paraId="2F01B565"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6F98A819"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4E75C111"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66" w:type="dxa"/>
            <w:tcBorders>
              <w:top w:val="nil"/>
              <w:left w:val="single" w:sz="4" w:space="0" w:color="auto"/>
              <w:bottom w:val="nil"/>
              <w:right w:val="nil"/>
            </w:tcBorders>
            <w:shd w:val="clear" w:color="000000" w:fill="FFFFFF"/>
            <w:noWrap/>
            <w:vAlign w:val="bottom"/>
            <w:hideMark/>
          </w:tcPr>
          <w:p w14:paraId="167C77E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40119544"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single" w:sz="4" w:space="0" w:color="auto"/>
              <w:bottom w:val="nil"/>
              <w:right w:val="nil"/>
            </w:tcBorders>
            <w:shd w:val="clear" w:color="000000" w:fill="FFFFFF"/>
            <w:noWrap/>
            <w:vAlign w:val="bottom"/>
            <w:hideMark/>
          </w:tcPr>
          <w:p w14:paraId="7D982731"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51248CAB"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02355E5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single" w:sz="4" w:space="0" w:color="auto"/>
            </w:tcBorders>
            <w:shd w:val="clear" w:color="000000" w:fill="FFFFFF"/>
            <w:noWrap/>
            <w:vAlign w:val="bottom"/>
            <w:hideMark/>
          </w:tcPr>
          <w:p w14:paraId="5471818E"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546" w:type="dxa"/>
            <w:tcBorders>
              <w:top w:val="nil"/>
              <w:left w:val="nil"/>
              <w:bottom w:val="nil"/>
              <w:right w:val="nil"/>
            </w:tcBorders>
            <w:shd w:val="clear" w:color="000000" w:fill="FFFFFF"/>
            <w:noWrap/>
            <w:vAlign w:val="bottom"/>
            <w:hideMark/>
          </w:tcPr>
          <w:p w14:paraId="2183FCC8"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single" w:sz="4" w:space="0" w:color="auto"/>
            </w:tcBorders>
            <w:shd w:val="clear" w:color="000000" w:fill="FFFFFF"/>
            <w:noWrap/>
            <w:vAlign w:val="bottom"/>
            <w:hideMark/>
          </w:tcPr>
          <w:p w14:paraId="5F85471E"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20" w:type="dxa"/>
            <w:tcBorders>
              <w:top w:val="nil"/>
              <w:left w:val="nil"/>
              <w:bottom w:val="nil"/>
              <w:right w:val="nil"/>
            </w:tcBorders>
            <w:shd w:val="clear" w:color="000000" w:fill="FFFFFF"/>
            <w:noWrap/>
            <w:vAlign w:val="bottom"/>
            <w:hideMark/>
          </w:tcPr>
          <w:p w14:paraId="17062829"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623F73B3"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c>
          <w:tcPr>
            <w:tcW w:w="666" w:type="dxa"/>
            <w:tcBorders>
              <w:top w:val="nil"/>
              <w:left w:val="nil"/>
              <w:bottom w:val="nil"/>
              <w:right w:val="nil"/>
            </w:tcBorders>
            <w:shd w:val="clear" w:color="000000" w:fill="FFFFFF"/>
            <w:noWrap/>
            <w:vAlign w:val="bottom"/>
            <w:hideMark/>
          </w:tcPr>
          <w:p w14:paraId="37468CD1"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single" w:sz="4" w:space="0" w:color="auto"/>
            </w:tcBorders>
            <w:shd w:val="clear" w:color="000000" w:fill="FFFFFF"/>
            <w:noWrap/>
            <w:vAlign w:val="bottom"/>
            <w:hideMark/>
          </w:tcPr>
          <w:p w14:paraId="28951242" w14:textId="77777777" w:rsidR="000A4766" w:rsidRPr="000A4766" w:rsidRDefault="000A4766" w:rsidP="000A4766">
            <w:pPr>
              <w:spacing w:after="0"/>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 </w:t>
            </w:r>
          </w:p>
        </w:tc>
      </w:tr>
      <w:tr w:rsidR="000A4766" w:rsidRPr="000A4766" w14:paraId="186D242D"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27514276"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Average </w:t>
            </w:r>
          </w:p>
        </w:tc>
        <w:tc>
          <w:tcPr>
            <w:tcW w:w="880" w:type="dxa"/>
            <w:tcBorders>
              <w:top w:val="nil"/>
              <w:left w:val="nil"/>
              <w:bottom w:val="nil"/>
              <w:right w:val="single" w:sz="4" w:space="0" w:color="auto"/>
            </w:tcBorders>
            <w:shd w:val="clear" w:color="000000" w:fill="FFFFFF"/>
            <w:noWrap/>
            <w:vAlign w:val="bottom"/>
            <w:hideMark/>
          </w:tcPr>
          <w:p w14:paraId="736F5EE3"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8</w:t>
            </w:r>
          </w:p>
        </w:tc>
        <w:tc>
          <w:tcPr>
            <w:tcW w:w="620" w:type="dxa"/>
            <w:tcBorders>
              <w:top w:val="nil"/>
              <w:left w:val="nil"/>
              <w:bottom w:val="nil"/>
              <w:right w:val="nil"/>
            </w:tcBorders>
            <w:shd w:val="clear" w:color="000000" w:fill="FFFFFF"/>
            <w:noWrap/>
            <w:vAlign w:val="bottom"/>
            <w:hideMark/>
          </w:tcPr>
          <w:p w14:paraId="1298293F"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8</w:t>
            </w:r>
          </w:p>
        </w:tc>
        <w:tc>
          <w:tcPr>
            <w:tcW w:w="620" w:type="dxa"/>
            <w:tcBorders>
              <w:top w:val="nil"/>
              <w:left w:val="nil"/>
              <w:bottom w:val="nil"/>
              <w:right w:val="nil"/>
            </w:tcBorders>
            <w:shd w:val="clear" w:color="000000" w:fill="FFFFFF"/>
            <w:noWrap/>
            <w:vAlign w:val="bottom"/>
            <w:hideMark/>
          </w:tcPr>
          <w:p w14:paraId="7273163F"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8</w:t>
            </w:r>
          </w:p>
        </w:tc>
        <w:tc>
          <w:tcPr>
            <w:tcW w:w="666" w:type="dxa"/>
            <w:tcBorders>
              <w:top w:val="nil"/>
              <w:left w:val="single" w:sz="4" w:space="0" w:color="auto"/>
              <w:bottom w:val="nil"/>
              <w:right w:val="nil"/>
            </w:tcBorders>
            <w:shd w:val="clear" w:color="000000" w:fill="FFFFFF"/>
            <w:noWrap/>
            <w:vAlign w:val="bottom"/>
            <w:hideMark/>
          </w:tcPr>
          <w:p w14:paraId="44297037"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3.1</w:t>
            </w:r>
          </w:p>
        </w:tc>
        <w:tc>
          <w:tcPr>
            <w:tcW w:w="666" w:type="dxa"/>
            <w:tcBorders>
              <w:top w:val="nil"/>
              <w:left w:val="nil"/>
              <w:bottom w:val="nil"/>
              <w:right w:val="nil"/>
            </w:tcBorders>
            <w:shd w:val="clear" w:color="000000" w:fill="FFFFFF"/>
            <w:noWrap/>
            <w:vAlign w:val="bottom"/>
            <w:hideMark/>
          </w:tcPr>
          <w:p w14:paraId="04C2B53E"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2.9</w:t>
            </w:r>
          </w:p>
        </w:tc>
        <w:tc>
          <w:tcPr>
            <w:tcW w:w="546" w:type="dxa"/>
            <w:tcBorders>
              <w:top w:val="nil"/>
              <w:left w:val="single" w:sz="4" w:space="0" w:color="auto"/>
              <w:bottom w:val="nil"/>
              <w:right w:val="nil"/>
            </w:tcBorders>
            <w:shd w:val="clear" w:color="000000" w:fill="FFFFFF"/>
            <w:noWrap/>
            <w:vAlign w:val="bottom"/>
            <w:hideMark/>
          </w:tcPr>
          <w:p w14:paraId="3CAFB50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56</w:t>
            </w:r>
          </w:p>
        </w:tc>
        <w:tc>
          <w:tcPr>
            <w:tcW w:w="546" w:type="dxa"/>
            <w:tcBorders>
              <w:top w:val="nil"/>
              <w:left w:val="nil"/>
              <w:bottom w:val="nil"/>
              <w:right w:val="nil"/>
            </w:tcBorders>
            <w:shd w:val="clear" w:color="000000" w:fill="FFFFFF"/>
            <w:noWrap/>
            <w:vAlign w:val="bottom"/>
            <w:hideMark/>
          </w:tcPr>
          <w:p w14:paraId="3BC0E5DF"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51</w:t>
            </w:r>
          </w:p>
        </w:tc>
        <w:tc>
          <w:tcPr>
            <w:tcW w:w="546" w:type="dxa"/>
            <w:tcBorders>
              <w:top w:val="nil"/>
              <w:left w:val="nil"/>
              <w:bottom w:val="nil"/>
              <w:right w:val="nil"/>
            </w:tcBorders>
            <w:shd w:val="clear" w:color="000000" w:fill="FFFFFF"/>
            <w:noWrap/>
            <w:vAlign w:val="bottom"/>
            <w:hideMark/>
          </w:tcPr>
          <w:p w14:paraId="723F806A"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9</w:t>
            </w:r>
          </w:p>
        </w:tc>
        <w:tc>
          <w:tcPr>
            <w:tcW w:w="546" w:type="dxa"/>
            <w:tcBorders>
              <w:top w:val="nil"/>
              <w:left w:val="nil"/>
              <w:bottom w:val="nil"/>
              <w:right w:val="single" w:sz="4" w:space="0" w:color="auto"/>
            </w:tcBorders>
            <w:shd w:val="clear" w:color="000000" w:fill="FFFFFF"/>
            <w:noWrap/>
            <w:vAlign w:val="bottom"/>
            <w:hideMark/>
          </w:tcPr>
          <w:p w14:paraId="092E4BA3"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16</w:t>
            </w:r>
          </w:p>
        </w:tc>
        <w:tc>
          <w:tcPr>
            <w:tcW w:w="546" w:type="dxa"/>
            <w:tcBorders>
              <w:top w:val="nil"/>
              <w:left w:val="nil"/>
              <w:bottom w:val="nil"/>
              <w:right w:val="nil"/>
            </w:tcBorders>
            <w:shd w:val="clear" w:color="000000" w:fill="FFFFFF"/>
            <w:noWrap/>
            <w:vAlign w:val="bottom"/>
            <w:hideMark/>
          </w:tcPr>
          <w:p w14:paraId="501859B2"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22</w:t>
            </w:r>
          </w:p>
        </w:tc>
        <w:tc>
          <w:tcPr>
            <w:tcW w:w="546" w:type="dxa"/>
            <w:tcBorders>
              <w:top w:val="nil"/>
              <w:left w:val="nil"/>
              <w:bottom w:val="nil"/>
              <w:right w:val="single" w:sz="4" w:space="0" w:color="auto"/>
            </w:tcBorders>
            <w:shd w:val="clear" w:color="000000" w:fill="FFFFFF"/>
            <w:noWrap/>
            <w:vAlign w:val="bottom"/>
            <w:hideMark/>
          </w:tcPr>
          <w:p w14:paraId="5135E551"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20</w:t>
            </w:r>
          </w:p>
        </w:tc>
        <w:tc>
          <w:tcPr>
            <w:tcW w:w="620" w:type="dxa"/>
            <w:tcBorders>
              <w:top w:val="nil"/>
              <w:left w:val="nil"/>
              <w:bottom w:val="nil"/>
              <w:right w:val="nil"/>
            </w:tcBorders>
            <w:shd w:val="clear" w:color="000000" w:fill="FFFFFF"/>
            <w:noWrap/>
            <w:vAlign w:val="bottom"/>
            <w:hideMark/>
          </w:tcPr>
          <w:p w14:paraId="1BAB4499"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9</w:t>
            </w:r>
          </w:p>
        </w:tc>
        <w:tc>
          <w:tcPr>
            <w:tcW w:w="620" w:type="dxa"/>
            <w:tcBorders>
              <w:top w:val="nil"/>
              <w:left w:val="nil"/>
              <w:bottom w:val="nil"/>
              <w:right w:val="nil"/>
            </w:tcBorders>
            <w:shd w:val="clear" w:color="000000" w:fill="FFFFFF"/>
            <w:noWrap/>
            <w:vAlign w:val="bottom"/>
            <w:hideMark/>
          </w:tcPr>
          <w:p w14:paraId="147351D7"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10</w:t>
            </w:r>
          </w:p>
        </w:tc>
        <w:tc>
          <w:tcPr>
            <w:tcW w:w="666" w:type="dxa"/>
            <w:tcBorders>
              <w:top w:val="nil"/>
              <w:left w:val="nil"/>
              <w:bottom w:val="nil"/>
              <w:right w:val="nil"/>
            </w:tcBorders>
            <w:shd w:val="clear" w:color="000000" w:fill="FFFFFF"/>
            <w:noWrap/>
            <w:vAlign w:val="bottom"/>
            <w:hideMark/>
          </w:tcPr>
          <w:p w14:paraId="271757AF" w14:textId="77777777" w:rsidR="000A4766" w:rsidRPr="000A4766" w:rsidRDefault="000A4766" w:rsidP="000A4766">
            <w:pPr>
              <w:spacing w:after="0"/>
              <w:jc w:val="right"/>
              <w:rPr>
                <w:rFonts w:ascii="Arial" w:eastAsia="Times New Roman" w:hAnsi="Arial" w:cs="Arial"/>
                <w:sz w:val="20"/>
                <w:szCs w:val="20"/>
                <w:lang w:eastAsia="en-US"/>
              </w:rPr>
            </w:pPr>
            <w:r w:rsidRPr="000A4766">
              <w:rPr>
                <w:rFonts w:ascii="Arial" w:eastAsia="Times New Roman" w:hAnsi="Arial" w:cs="Arial"/>
                <w:sz w:val="20"/>
                <w:szCs w:val="20"/>
                <w:lang w:eastAsia="en-US"/>
              </w:rPr>
              <w:t>2.1</w:t>
            </w:r>
          </w:p>
        </w:tc>
        <w:tc>
          <w:tcPr>
            <w:tcW w:w="666" w:type="dxa"/>
            <w:tcBorders>
              <w:top w:val="nil"/>
              <w:left w:val="nil"/>
              <w:bottom w:val="nil"/>
              <w:right w:val="single" w:sz="4" w:space="0" w:color="auto"/>
            </w:tcBorders>
            <w:shd w:val="clear" w:color="000000" w:fill="FFFFFF"/>
            <w:noWrap/>
            <w:vAlign w:val="bottom"/>
            <w:hideMark/>
          </w:tcPr>
          <w:p w14:paraId="458B9F5A" w14:textId="77777777" w:rsidR="000A4766" w:rsidRPr="000A4766" w:rsidRDefault="000A4766" w:rsidP="000A4766">
            <w:pPr>
              <w:spacing w:after="0"/>
              <w:jc w:val="right"/>
              <w:rPr>
                <w:rFonts w:ascii="Arial" w:eastAsia="Times New Roman" w:hAnsi="Arial" w:cs="Arial"/>
                <w:b/>
                <w:bCs/>
                <w:sz w:val="20"/>
                <w:szCs w:val="20"/>
                <w:lang w:eastAsia="en-US"/>
              </w:rPr>
            </w:pPr>
            <w:r w:rsidRPr="000A4766">
              <w:rPr>
                <w:rFonts w:ascii="Arial" w:eastAsia="Times New Roman" w:hAnsi="Arial" w:cs="Arial"/>
                <w:b/>
                <w:bCs/>
                <w:sz w:val="20"/>
                <w:szCs w:val="20"/>
                <w:lang w:eastAsia="en-US"/>
              </w:rPr>
              <w:t>1.3</w:t>
            </w:r>
          </w:p>
        </w:tc>
      </w:tr>
      <w:tr w:rsidR="000A4766" w:rsidRPr="000A4766" w14:paraId="4ADE5CF2"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2E119C14"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MAD</w:t>
            </w:r>
          </w:p>
        </w:tc>
        <w:tc>
          <w:tcPr>
            <w:tcW w:w="880" w:type="dxa"/>
            <w:tcBorders>
              <w:top w:val="nil"/>
              <w:left w:val="nil"/>
              <w:bottom w:val="nil"/>
              <w:right w:val="single" w:sz="4" w:space="0" w:color="auto"/>
            </w:tcBorders>
            <w:shd w:val="clear" w:color="000000" w:fill="FFFFFF"/>
            <w:noWrap/>
            <w:vAlign w:val="bottom"/>
            <w:hideMark/>
          </w:tcPr>
          <w:p w14:paraId="749D7AE9"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1240" w:type="dxa"/>
            <w:gridSpan w:val="2"/>
            <w:tcBorders>
              <w:top w:val="nil"/>
              <w:left w:val="nil"/>
              <w:bottom w:val="nil"/>
              <w:right w:val="single" w:sz="4" w:space="0" w:color="000000"/>
            </w:tcBorders>
            <w:shd w:val="clear" w:color="000000" w:fill="FFFFFF"/>
            <w:noWrap/>
            <w:vAlign w:val="bottom"/>
            <w:hideMark/>
          </w:tcPr>
          <w:p w14:paraId="58814011"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1</w:t>
            </w:r>
          </w:p>
        </w:tc>
        <w:tc>
          <w:tcPr>
            <w:tcW w:w="1332" w:type="dxa"/>
            <w:gridSpan w:val="2"/>
            <w:tcBorders>
              <w:top w:val="nil"/>
              <w:left w:val="nil"/>
              <w:bottom w:val="nil"/>
              <w:right w:val="single" w:sz="4" w:space="0" w:color="000000"/>
            </w:tcBorders>
            <w:shd w:val="clear" w:color="000000" w:fill="FFFFFF"/>
            <w:noWrap/>
            <w:vAlign w:val="bottom"/>
            <w:hideMark/>
          </w:tcPr>
          <w:p w14:paraId="7183BD17"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0.5</w:t>
            </w:r>
          </w:p>
        </w:tc>
        <w:tc>
          <w:tcPr>
            <w:tcW w:w="1092" w:type="dxa"/>
            <w:gridSpan w:val="2"/>
            <w:tcBorders>
              <w:top w:val="nil"/>
              <w:left w:val="nil"/>
              <w:bottom w:val="nil"/>
              <w:right w:val="nil"/>
            </w:tcBorders>
            <w:shd w:val="clear" w:color="000000" w:fill="FFFFFF"/>
            <w:noWrap/>
            <w:vAlign w:val="bottom"/>
            <w:hideMark/>
          </w:tcPr>
          <w:p w14:paraId="65FA114A"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6</w:t>
            </w:r>
          </w:p>
        </w:tc>
        <w:tc>
          <w:tcPr>
            <w:tcW w:w="1092" w:type="dxa"/>
            <w:gridSpan w:val="2"/>
            <w:tcBorders>
              <w:top w:val="nil"/>
              <w:left w:val="nil"/>
              <w:bottom w:val="nil"/>
              <w:right w:val="single" w:sz="4" w:space="0" w:color="000000"/>
            </w:tcBorders>
            <w:shd w:val="clear" w:color="000000" w:fill="FFFFFF"/>
            <w:noWrap/>
            <w:vAlign w:val="bottom"/>
            <w:hideMark/>
          </w:tcPr>
          <w:p w14:paraId="4576407D"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8</w:t>
            </w:r>
          </w:p>
        </w:tc>
        <w:tc>
          <w:tcPr>
            <w:tcW w:w="1092" w:type="dxa"/>
            <w:gridSpan w:val="2"/>
            <w:tcBorders>
              <w:top w:val="nil"/>
              <w:left w:val="nil"/>
              <w:bottom w:val="nil"/>
              <w:right w:val="single" w:sz="4" w:space="0" w:color="000000"/>
            </w:tcBorders>
            <w:shd w:val="clear" w:color="000000" w:fill="FFFFFF"/>
            <w:noWrap/>
            <w:vAlign w:val="bottom"/>
            <w:hideMark/>
          </w:tcPr>
          <w:p w14:paraId="6494D7DF"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1240" w:type="dxa"/>
            <w:gridSpan w:val="2"/>
            <w:tcBorders>
              <w:top w:val="nil"/>
              <w:left w:val="nil"/>
              <w:bottom w:val="nil"/>
              <w:right w:val="nil"/>
            </w:tcBorders>
            <w:shd w:val="clear" w:color="000000" w:fill="FFFFFF"/>
            <w:noWrap/>
            <w:vAlign w:val="bottom"/>
            <w:hideMark/>
          </w:tcPr>
          <w:p w14:paraId="3D2A6565"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4</w:t>
            </w:r>
          </w:p>
        </w:tc>
        <w:tc>
          <w:tcPr>
            <w:tcW w:w="1332" w:type="dxa"/>
            <w:gridSpan w:val="2"/>
            <w:tcBorders>
              <w:top w:val="nil"/>
              <w:left w:val="nil"/>
              <w:bottom w:val="nil"/>
              <w:right w:val="single" w:sz="4" w:space="0" w:color="000000"/>
            </w:tcBorders>
            <w:shd w:val="clear" w:color="000000" w:fill="FFFFFF"/>
            <w:noWrap/>
            <w:vAlign w:val="bottom"/>
            <w:hideMark/>
          </w:tcPr>
          <w:p w14:paraId="1E80B64D"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0.8</w:t>
            </w:r>
          </w:p>
        </w:tc>
      </w:tr>
      <w:tr w:rsidR="000A4766" w:rsidRPr="000A4766" w14:paraId="373C3A55" w14:textId="77777777" w:rsidTr="000A4766">
        <w:trPr>
          <w:trHeight w:val="240"/>
        </w:trPr>
        <w:tc>
          <w:tcPr>
            <w:tcW w:w="2140" w:type="dxa"/>
            <w:tcBorders>
              <w:top w:val="nil"/>
              <w:left w:val="single" w:sz="4" w:space="0" w:color="auto"/>
              <w:bottom w:val="nil"/>
              <w:right w:val="single" w:sz="4" w:space="0" w:color="auto"/>
            </w:tcBorders>
            <w:shd w:val="clear" w:color="000000" w:fill="FFFFFF"/>
            <w:noWrap/>
            <w:vAlign w:val="bottom"/>
            <w:hideMark/>
          </w:tcPr>
          <w:p w14:paraId="4FA099DD"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xml:space="preserve"> Correlation</w:t>
            </w:r>
          </w:p>
        </w:tc>
        <w:tc>
          <w:tcPr>
            <w:tcW w:w="880" w:type="dxa"/>
            <w:tcBorders>
              <w:top w:val="nil"/>
              <w:left w:val="nil"/>
              <w:bottom w:val="nil"/>
              <w:right w:val="single" w:sz="4" w:space="0" w:color="auto"/>
            </w:tcBorders>
            <w:shd w:val="clear" w:color="000000" w:fill="FFFFFF"/>
            <w:noWrap/>
            <w:vAlign w:val="bottom"/>
            <w:hideMark/>
          </w:tcPr>
          <w:p w14:paraId="5F3B86FA"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1240" w:type="dxa"/>
            <w:gridSpan w:val="2"/>
            <w:tcBorders>
              <w:top w:val="nil"/>
              <w:left w:val="nil"/>
              <w:bottom w:val="nil"/>
              <w:right w:val="single" w:sz="4" w:space="0" w:color="000000"/>
            </w:tcBorders>
            <w:shd w:val="clear" w:color="000000" w:fill="FFFFFF"/>
            <w:noWrap/>
            <w:vAlign w:val="bottom"/>
            <w:hideMark/>
          </w:tcPr>
          <w:p w14:paraId="09B620E8"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0.97</w:t>
            </w:r>
          </w:p>
        </w:tc>
        <w:tc>
          <w:tcPr>
            <w:tcW w:w="1332" w:type="dxa"/>
            <w:gridSpan w:val="2"/>
            <w:tcBorders>
              <w:top w:val="nil"/>
              <w:left w:val="nil"/>
              <w:bottom w:val="nil"/>
              <w:right w:val="single" w:sz="4" w:space="0" w:color="000000"/>
            </w:tcBorders>
            <w:shd w:val="clear" w:color="000000" w:fill="FFFFFF"/>
            <w:noWrap/>
            <w:vAlign w:val="bottom"/>
            <w:hideMark/>
          </w:tcPr>
          <w:p w14:paraId="2B190FF7"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0.75</w:t>
            </w:r>
          </w:p>
        </w:tc>
        <w:tc>
          <w:tcPr>
            <w:tcW w:w="1092" w:type="dxa"/>
            <w:gridSpan w:val="2"/>
            <w:tcBorders>
              <w:top w:val="nil"/>
              <w:left w:val="nil"/>
              <w:bottom w:val="nil"/>
              <w:right w:val="nil"/>
            </w:tcBorders>
            <w:shd w:val="clear" w:color="000000" w:fill="FFFFFF"/>
            <w:noWrap/>
            <w:vAlign w:val="bottom"/>
            <w:hideMark/>
          </w:tcPr>
          <w:p w14:paraId="7B864C98"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0.78</w:t>
            </w:r>
          </w:p>
        </w:tc>
        <w:tc>
          <w:tcPr>
            <w:tcW w:w="1092" w:type="dxa"/>
            <w:gridSpan w:val="2"/>
            <w:tcBorders>
              <w:top w:val="nil"/>
              <w:left w:val="nil"/>
              <w:bottom w:val="nil"/>
              <w:right w:val="single" w:sz="4" w:space="0" w:color="000000"/>
            </w:tcBorders>
            <w:shd w:val="clear" w:color="000000" w:fill="FFFFFF"/>
            <w:noWrap/>
            <w:vAlign w:val="bottom"/>
            <w:hideMark/>
          </w:tcPr>
          <w:p w14:paraId="6A356990"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0.64</w:t>
            </w:r>
          </w:p>
        </w:tc>
        <w:tc>
          <w:tcPr>
            <w:tcW w:w="1092" w:type="dxa"/>
            <w:gridSpan w:val="2"/>
            <w:tcBorders>
              <w:top w:val="nil"/>
              <w:left w:val="nil"/>
              <w:bottom w:val="nil"/>
              <w:right w:val="single" w:sz="4" w:space="0" w:color="000000"/>
            </w:tcBorders>
            <w:shd w:val="clear" w:color="000000" w:fill="FFFFFF"/>
            <w:noWrap/>
            <w:vAlign w:val="bottom"/>
            <w:hideMark/>
          </w:tcPr>
          <w:p w14:paraId="1E1FAD61"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0.90</w:t>
            </w:r>
          </w:p>
        </w:tc>
        <w:tc>
          <w:tcPr>
            <w:tcW w:w="1240" w:type="dxa"/>
            <w:gridSpan w:val="2"/>
            <w:tcBorders>
              <w:top w:val="nil"/>
              <w:left w:val="nil"/>
              <w:bottom w:val="nil"/>
              <w:right w:val="nil"/>
            </w:tcBorders>
            <w:shd w:val="clear" w:color="000000" w:fill="FFFFFF"/>
            <w:noWrap/>
            <w:vAlign w:val="bottom"/>
            <w:hideMark/>
          </w:tcPr>
          <w:p w14:paraId="404B2393"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0.74</w:t>
            </w:r>
          </w:p>
        </w:tc>
        <w:tc>
          <w:tcPr>
            <w:tcW w:w="1332" w:type="dxa"/>
            <w:gridSpan w:val="2"/>
            <w:tcBorders>
              <w:top w:val="nil"/>
              <w:left w:val="nil"/>
              <w:bottom w:val="nil"/>
              <w:right w:val="single" w:sz="4" w:space="0" w:color="000000"/>
            </w:tcBorders>
            <w:shd w:val="clear" w:color="000000" w:fill="FFFFFF"/>
            <w:noWrap/>
            <w:vAlign w:val="bottom"/>
            <w:hideMark/>
          </w:tcPr>
          <w:p w14:paraId="1DA0A73B" w14:textId="77777777" w:rsidR="000A4766" w:rsidRPr="000A4766" w:rsidRDefault="000A4766" w:rsidP="000A4766">
            <w:pPr>
              <w:spacing w:after="0"/>
              <w:jc w:val="center"/>
              <w:rPr>
                <w:rFonts w:ascii="Arial" w:eastAsia="Times New Roman" w:hAnsi="Arial" w:cs="Arial"/>
                <w:sz w:val="20"/>
                <w:szCs w:val="20"/>
                <w:lang w:eastAsia="en-US"/>
              </w:rPr>
            </w:pPr>
            <w:r w:rsidRPr="000A4766">
              <w:rPr>
                <w:rFonts w:ascii="Arial" w:eastAsia="Times New Roman" w:hAnsi="Arial" w:cs="Arial"/>
                <w:sz w:val="20"/>
                <w:szCs w:val="20"/>
                <w:lang w:eastAsia="en-US"/>
              </w:rPr>
              <w:t>0.84</w:t>
            </w:r>
          </w:p>
        </w:tc>
      </w:tr>
      <w:tr w:rsidR="000A4766" w:rsidRPr="000A4766" w14:paraId="21DCF969" w14:textId="77777777" w:rsidTr="000A4766">
        <w:trPr>
          <w:trHeight w:val="240"/>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14:paraId="1C9695B0"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880" w:type="dxa"/>
            <w:tcBorders>
              <w:top w:val="nil"/>
              <w:left w:val="nil"/>
              <w:bottom w:val="single" w:sz="4" w:space="0" w:color="auto"/>
              <w:right w:val="single" w:sz="4" w:space="0" w:color="auto"/>
            </w:tcBorders>
            <w:shd w:val="clear" w:color="000000" w:fill="FFFFFF"/>
            <w:noWrap/>
            <w:vAlign w:val="bottom"/>
            <w:hideMark/>
          </w:tcPr>
          <w:p w14:paraId="57F94D5D"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single" w:sz="4" w:space="0" w:color="auto"/>
              <w:right w:val="nil"/>
            </w:tcBorders>
            <w:shd w:val="clear" w:color="000000" w:fill="FFFFFF"/>
            <w:noWrap/>
            <w:vAlign w:val="bottom"/>
            <w:hideMark/>
          </w:tcPr>
          <w:p w14:paraId="1219CD1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2DEB3B2"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single" w:sz="4" w:space="0" w:color="auto"/>
              <w:right w:val="nil"/>
            </w:tcBorders>
            <w:shd w:val="clear" w:color="000000" w:fill="FFFFFF"/>
            <w:noWrap/>
            <w:vAlign w:val="bottom"/>
            <w:hideMark/>
          </w:tcPr>
          <w:p w14:paraId="34A06531"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single" w:sz="4" w:space="0" w:color="auto"/>
              <w:right w:val="single" w:sz="4" w:space="0" w:color="auto"/>
            </w:tcBorders>
            <w:shd w:val="clear" w:color="000000" w:fill="FFFFFF"/>
            <w:noWrap/>
            <w:vAlign w:val="bottom"/>
            <w:hideMark/>
          </w:tcPr>
          <w:p w14:paraId="0856E51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single" w:sz="4" w:space="0" w:color="auto"/>
              <w:right w:val="nil"/>
            </w:tcBorders>
            <w:shd w:val="clear" w:color="000000" w:fill="FFFFFF"/>
            <w:noWrap/>
            <w:vAlign w:val="bottom"/>
            <w:hideMark/>
          </w:tcPr>
          <w:p w14:paraId="08A071FD"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single" w:sz="4" w:space="0" w:color="auto"/>
              <w:right w:val="nil"/>
            </w:tcBorders>
            <w:shd w:val="clear" w:color="000000" w:fill="FFFFFF"/>
            <w:noWrap/>
            <w:vAlign w:val="bottom"/>
            <w:hideMark/>
          </w:tcPr>
          <w:p w14:paraId="0E41B255"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single" w:sz="4" w:space="0" w:color="auto"/>
              <w:right w:val="nil"/>
            </w:tcBorders>
            <w:shd w:val="clear" w:color="000000" w:fill="FFFFFF"/>
            <w:noWrap/>
            <w:vAlign w:val="bottom"/>
            <w:hideMark/>
          </w:tcPr>
          <w:p w14:paraId="09631BEF"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single" w:sz="4" w:space="0" w:color="auto"/>
              <w:right w:val="single" w:sz="4" w:space="0" w:color="auto"/>
            </w:tcBorders>
            <w:shd w:val="clear" w:color="000000" w:fill="FFFFFF"/>
            <w:noWrap/>
            <w:vAlign w:val="bottom"/>
            <w:hideMark/>
          </w:tcPr>
          <w:p w14:paraId="3A334404"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single" w:sz="4" w:space="0" w:color="auto"/>
              <w:right w:val="nil"/>
            </w:tcBorders>
            <w:shd w:val="clear" w:color="000000" w:fill="FFFFFF"/>
            <w:noWrap/>
            <w:vAlign w:val="bottom"/>
            <w:hideMark/>
          </w:tcPr>
          <w:p w14:paraId="5BC51D07"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single" w:sz="4" w:space="0" w:color="auto"/>
              <w:right w:val="single" w:sz="4" w:space="0" w:color="auto"/>
            </w:tcBorders>
            <w:shd w:val="clear" w:color="000000" w:fill="FFFFFF"/>
            <w:noWrap/>
            <w:vAlign w:val="bottom"/>
            <w:hideMark/>
          </w:tcPr>
          <w:p w14:paraId="33F76BA3"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single" w:sz="4" w:space="0" w:color="auto"/>
              <w:right w:val="nil"/>
            </w:tcBorders>
            <w:shd w:val="clear" w:color="000000" w:fill="FFFFFF"/>
            <w:noWrap/>
            <w:vAlign w:val="bottom"/>
            <w:hideMark/>
          </w:tcPr>
          <w:p w14:paraId="35E91AB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single" w:sz="4" w:space="0" w:color="auto"/>
              <w:right w:val="nil"/>
            </w:tcBorders>
            <w:shd w:val="clear" w:color="000000" w:fill="FFFFFF"/>
            <w:noWrap/>
            <w:vAlign w:val="bottom"/>
            <w:hideMark/>
          </w:tcPr>
          <w:p w14:paraId="4AB3AC49"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single" w:sz="4" w:space="0" w:color="auto"/>
              <w:right w:val="nil"/>
            </w:tcBorders>
            <w:shd w:val="clear" w:color="000000" w:fill="FFFFFF"/>
            <w:noWrap/>
            <w:vAlign w:val="bottom"/>
            <w:hideMark/>
          </w:tcPr>
          <w:p w14:paraId="69E54E60"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single" w:sz="4" w:space="0" w:color="auto"/>
              <w:right w:val="single" w:sz="4" w:space="0" w:color="auto"/>
            </w:tcBorders>
            <w:shd w:val="clear" w:color="000000" w:fill="FFFFFF"/>
            <w:noWrap/>
            <w:vAlign w:val="bottom"/>
            <w:hideMark/>
          </w:tcPr>
          <w:p w14:paraId="1CFC9B42"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r>
      <w:tr w:rsidR="000A4766" w:rsidRPr="000A4766" w14:paraId="4D53E23D" w14:textId="77777777" w:rsidTr="000A4766">
        <w:trPr>
          <w:trHeight w:val="240"/>
        </w:trPr>
        <w:tc>
          <w:tcPr>
            <w:tcW w:w="2140" w:type="dxa"/>
            <w:tcBorders>
              <w:top w:val="nil"/>
              <w:left w:val="nil"/>
              <w:bottom w:val="nil"/>
              <w:right w:val="nil"/>
            </w:tcBorders>
            <w:shd w:val="clear" w:color="000000" w:fill="FFFFFF"/>
            <w:noWrap/>
            <w:vAlign w:val="bottom"/>
            <w:hideMark/>
          </w:tcPr>
          <w:p w14:paraId="35590118"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Source: TNS/Kantar</w:t>
            </w:r>
          </w:p>
        </w:tc>
        <w:tc>
          <w:tcPr>
            <w:tcW w:w="880" w:type="dxa"/>
            <w:tcBorders>
              <w:top w:val="nil"/>
              <w:left w:val="nil"/>
              <w:bottom w:val="nil"/>
              <w:right w:val="nil"/>
            </w:tcBorders>
            <w:shd w:val="clear" w:color="000000" w:fill="FFFFFF"/>
            <w:noWrap/>
            <w:vAlign w:val="bottom"/>
            <w:hideMark/>
          </w:tcPr>
          <w:p w14:paraId="328BC84A"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378F9F2B"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1BD9F7C2"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14029DBA"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4369B0A7"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48AAC677"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5A8CAE3A"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6204CF98"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6D9CE2F7"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36BC1B63"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546" w:type="dxa"/>
            <w:tcBorders>
              <w:top w:val="nil"/>
              <w:left w:val="nil"/>
              <w:bottom w:val="nil"/>
              <w:right w:val="nil"/>
            </w:tcBorders>
            <w:shd w:val="clear" w:color="000000" w:fill="FFFFFF"/>
            <w:noWrap/>
            <w:vAlign w:val="bottom"/>
            <w:hideMark/>
          </w:tcPr>
          <w:p w14:paraId="69736FF7"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0C9B501E"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20" w:type="dxa"/>
            <w:tcBorders>
              <w:top w:val="nil"/>
              <w:left w:val="nil"/>
              <w:bottom w:val="nil"/>
              <w:right w:val="nil"/>
            </w:tcBorders>
            <w:shd w:val="clear" w:color="000000" w:fill="FFFFFF"/>
            <w:noWrap/>
            <w:vAlign w:val="bottom"/>
            <w:hideMark/>
          </w:tcPr>
          <w:p w14:paraId="3D5D4C44"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3F439D7A"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c>
          <w:tcPr>
            <w:tcW w:w="666" w:type="dxa"/>
            <w:tcBorders>
              <w:top w:val="nil"/>
              <w:left w:val="nil"/>
              <w:bottom w:val="nil"/>
              <w:right w:val="nil"/>
            </w:tcBorders>
            <w:shd w:val="clear" w:color="000000" w:fill="FFFFFF"/>
            <w:noWrap/>
            <w:vAlign w:val="bottom"/>
            <w:hideMark/>
          </w:tcPr>
          <w:p w14:paraId="1FFD23D2" w14:textId="77777777" w:rsidR="000A4766" w:rsidRPr="000A4766" w:rsidRDefault="000A4766" w:rsidP="000A4766">
            <w:pPr>
              <w:spacing w:after="0"/>
              <w:rPr>
                <w:rFonts w:ascii="Arial" w:eastAsia="Times New Roman" w:hAnsi="Arial" w:cs="Arial"/>
                <w:sz w:val="20"/>
                <w:szCs w:val="20"/>
                <w:lang w:eastAsia="en-US"/>
              </w:rPr>
            </w:pPr>
            <w:r w:rsidRPr="000A4766">
              <w:rPr>
                <w:rFonts w:ascii="Arial" w:eastAsia="Times New Roman" w:hAnsi="Arial" w:cs="Arial"/>
                <w:sz w:val="20"/>
                <w:szCs w:val="20"/>
                <w:lang w:eastAsia="en-US"/>
              </w:rPr>
              <w:t> </w:t>
            </w:r>
          </w:p>
        </w:tc>
      </w:tr>
    </w:tbl>
    <w:p w14:paraId="261B2BC8" w14:textId="77777777" w:rsidR="008A7C97" w:rsidRPr="00D20D9B" w:rsidRDefault="008A7C97" w:rsidP="000607E8">
      <w:pPr>
        <w:widowControl w:val="0"/>
        <w:autoSpaceDE w:val="0"/>
        <w:autoSpaceDN w:val="0"/>
        <w:adjustRightInd w:val="0"/>
        <w:spacing w:after="240" w:line="360" w:lineRule="auto"/>
        <w:jc w:val="both"/>
        <w:rPr>
          <w:rFonts w:ascii="Arial" w:hAnsi="Arial" w:cs="Arial"/>
          <w:lang w:val="en-US"/>
        </w:rPr>
      </w:pPr>
    </w:p>
    <w:p w14:paraId="6E276934" w14:textId="3C43C9AF" w:rsidR="00112F85" w:rsidRPr="00D20D9B" w:rsidRDefault="00112F85"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The next step is to perform a duplication of purchase analysis. Again, the process is straightforward and graphically illustrates how brands in the category share their customers.</w:t>
      </w:r>
      <w:r>
        <w:rPr>
          <w:rFonts w:ascii="Times New Roman" w:hAnsi="Times New Roman" w:cs="Times"/>
          <w:lang w:val="en-US"/>
        </w:rPr>
        <w:t xml:space="preserve"> </w:t>
      </w:r>
      <w:r w:rsidRPr="00D20D9B">
        <w:rPr>
          <w:rFonts w:ascii="Arial" w:hAnsi="Arial" w:cs="Arial"/>
          <w:lang w:val="en-US"/>
        </w:rPr>
        <w:t>Table 3 is a duplication of purcha</w:t>
      </w:r>
      <w:r w:rsidR="00C70E09">
        <w:rPr>
          <w:rFonts w:ascii="Arial" w:hAnsi="Arial" w:cs="Arial"/>
          <w:lang w:val="en-US"/>
        </w:rPr>
        <w:t>se table for women’s outerwear.</w:t>
      </w:r>
      <w:r w:rsidR="00B1345A">
        <w:rPr>
          <w:rFonts w:ascii="Arial" w:hAnsi="Arial" w:cs="Arial"/>
          <w:lang w:val="en-US"/>
        </w:rPr>
        <w:t xml:space="preserve"> The table can be interpreted</w:t>
      </w:r>
      <w:r w:rsidRPr="00D20D9B">
        <w:rPr>
          <w:rFonts w:ascii="Arial" w:hAnsi="Arial" w:cs="Arial"/>
          <w:lang w:val="en-US"/>
        </w:rPr>
        <w:t xml:space="preserve"> </w:t>
      </w:r>
      <w:r w:rsidR="00B1345A">
        <w:rPr>
          <w:rFonts w:ascii="Arial" w:hAnsi="Arial" w:cs="Arial"/>
          <w:lang w:val="en-US"/>
        </w:rPr>
        <w:t>by</w:t>
      </w:r>
      <w:r w:rsidRPr="00D20D9B">
        <w:rPr>
          <w:rFonts w:ascii="Arial" w:hAnsi="Arial" w:cs="Arial"/>
          <w:lang w:val="en-US"/>
        </w:rPr>
        <w:t xml:space="preserve"> reading across </w:t>
      </w:r>
      <w:r w:rsidR="00B1345A">
        <w:rPr>
          <w:rFonts w:ascii="Arial" w:hAnsi="Arial" w:cs="Arial"/>
          <w:lang w:val="en-US"/>
        </w:rPr>
        <w:t xml:space="preserve">the rows which shows </w:t>
      </w:r>
      <w:r w:rsidRPr="00D20D9B">
        <w:rPr>
          <w:rFonts w:ascii="Arial" w:hAnsi="Arial" w:cs="Arial"/>
          <w:lang w:val="en-US"/>
        </w:rPr>
        <w:t>that customers of New Look also bought Other (52%), Next (4</w:t>
      </w:r>
      <w:r w:rsidR="00681E6A" w:rsidRPr="00D20D9B">
        <w:rPr>
          <w:rFonts w:ascii="Arial" w:hAnsi="Arial" w:cs="Arial"/>
          <w:lang w:val="en-US"/>
        </w:rPr>
        <w:t xml:space="preserve">0%) </w:t>
      </w:r>
      <w:proofErr w:type="gramStart"/>
      <w:r w:rsidR="00681E6A" w:rsidRPr="00D20D9B">
        <w:rPr>
          <w:rFonts w:ascii="Arial" w:hAnsi="Arial" w:cs="Arial"/>
          <w:lang w:val="en-US"/>
        </w:rPr>
        <w:t>H&amp;M/</w:t>
      </w:r>
      <w:proofErr w:type="spellStart"/>
      <w:r w:rsidR="00681E6A" w:rsidRPr="00D20D9B">
        <w:rPr>
          <w:rFonts w:ascii="Arial" w:hAnsi="Arial" w:cs="Arial"/>
          <w:lang w:val="en-US"/>
        </w:rPr>
        <w:t>Hennes</w:t>
      </w:r>
      <w:proofErr w:type="spellEnd"/>
      <w:r w:rsidR="00681E6A" w:rsidRPr="00D20D9B">
        <w:rPr>
          <w:rFonts w:ascii="Arial" w:hAnsi="Arial" w:cs="Arial"/>
          <w:lang w:val="en-US"/>
        </w:rPr>
        <w:t xml:space="preserve"> (37%) and so on.</w:t>
      </w:r>
      <w:proofErr w:type="gramEnd"/>
      <w:r w:rsidRPr="00D20D9B">
        <w:rPr>
          <w:rFonts w:ascii="Arial" w:hAnsi="Arial" w:cs="Arial"/>
          <w:lang w:val="en-US"/>
        </w:rPr>
        <w:t xml:space="preserve"> Notice that the percentage of New Look buyers who also bought the other brands declines steadily across the table, s</w:t>
      </w:r>
      <w:r w:rsidR="00681E6A" w:rsidRPr="00D20D9B">
        <w:rPr>
          <w:rFonts w:ascii="Arial" w:hAnsi="Arial" w:cs="Arial"/>
          <w:lang w:val="en-US"/>
        </w:rPr>
        <w:t xml:space="preserve">uch </w:t>
      </w:r>
      <w:r w:rsidRPr="00D20D9B">
        <w:rPr>
          <w:rFonts w:ascii="Arial" w:hAnsi="Arial" w:cs="Arial"/>
          <w:lang w:val="en-US"/>
        </w:rPr>
        <w:t xml:space="preserve">that the sharing of customers with other brands is predicated on </w:t>
      </w:r>
      <w:r w:rsidR="00B262BC" w:rsidRPr="00D20D9B">
        <w:rPr>
          <w:rFonts w:ascii="Arial" w:hAnsi="Arial" w:cs="Arial"/>
          <w:lang w:val="en-US"/>
        </w:rPr>
        <w:t>the size of those other brands.</w:t>
      </w:r>
      <w:r w:rsidRPr="00D20D9B">
        <w:rPr>
          <w:rFonts w:ascii="Arial" w:hAnsi="Arial" w:cs="Arial"/>
          <w:lang w:val="en-US"/>
        </w:rPr>
        <w:t xml:space="preserve"> Any brand will share its customers with other brands in line with t</w:t>
      </w:r>
      <w:r w:rsidR="00C86303" w:rsidRPr="00D20D9B">
        <w:rPr>
          <w:rFonts w:ascii="Arial" w:hAnsi="Arial" w:cs="Arial"/>
          <w:lang w:val="en-US"/>
        </w:rPr>
        <w:t>he size of the other brands. T</w:t>
      </w:r>
      <w:r w:rsidRPr="00D20D9B">
        <w:rPr>
          <w:rFonts w:ascii="Arial" w:hAnsi="Arial" w:cs="Arial"/>
          <w:lang w:val="en-US"/>
        </w:rPr>
        <w:t xml:space="preserve">he figures for Zara, for example show that 57% of Zara customers also bought New Look, 71% also bought </w:t>
      </w:r>
      <w:proofErr w:type="gramStart"/>
      <w:r w:rsidRPr="00D20D9B">
        <w:rPr>
          <w:rFonts w:ascii="Arial" w:hAnsi="Arial" w:cs="Arial"/>
          <w:lang w:val="en-US"/>
        </w:rPr>
        <w:t>Other</w:t>
      </w:r>
      <w:proofErr w:type="gramEnd"/>
      <w:r w:rsidRPr="00D20D9B">
        <w:rPr>
          <w:rFonts w:ascii="Arial" w:hAnsi="Arial" w:cs="Arial"/>
          <w:lang w:val="en-US"/>
        </w:rPr>
        <w:t>, and</w:t>
      </w:r>
      <w:r w:rsidR="00C70E09">
        <w:rPr>
          <w:rFonts w:ascii="Arial" w:hAnsi="Arial" w:cs="Arial"/>
          <w:lang w:val="en-US"/>
        </w:rPr>
        <w:t xml:space="preserve"> 46% also bought Next.</w:t>
      </w:r>
      <w:r w:rsidR="00CD6E43" w:rsidRPr="00D20D9B">
        <w:rPr>
          <w:rFonts w:ascii="Arial" w:hAnsi="Arial" w:cs="Arial"/>
          <w:lang w:val="en-US"/>
        </w:rPr>
        <w:t xml:space="preserve"> The main </w:t>
      </w:r>
      <w:r w:rsidR="00C86303" w:rsidRPr="00D20D9B">
        <w:rPr>
          <w:rFonts w:ascii="Arial" w:hAnsi="Arial" w:cs="Arial"/>
          <w:lang w:val="en-US"/>
        </w:rPr>
        <w:t>conclusion</w:t>
      </w:r>
      <w:r w:rsidR="00CD6E43" w:rsidRPr="00D20D9B">
        <w:rPr>
          <w:rFonts w:ascii="Arial" w:hAnsi="Arial" w:cs="Arial"/>
          <w:lang w:val="en-US"/>
        </w:rPr>
        <w:t xml:space="preserve"> from such a table is that women’s wear brands share their customers, and that sharing is in line with the size of the brands.</w:t>
      </w:r>
    </w:p>
    <w:p w14:paraId="78FBDFFB" w14:textId="77777777" w:rsidR="00CD6E43" w:rsidRPr="00D20D9B" w:rsidRDefault="00CD6E43" w:rsidP="00CD6E43">
      <w:pPr>
        <w:widowControl w:val="0"/>
        <w:autoSpaceDE w:val="0"/>
        <w:autoSpaceDN w:val="0"/>
        <w:adjustRightInd w:val="0"/>
        <w:spacing w:after="0" w:line="360" w:lineRule="auto"/>
        <w:jc w:val="both"/>
        <w:rPr>
          <w:rFonts w:ascii="Arial" w:hAnsi="Arial" w:cs="Arial"/>
          <w:lang w:val="en-US"/>
        </w:rPr>
      </w:pPr>
      <w:r w:rsidRPr="00D20D9B">
        <w:rPr>
          <w:rFonts w:ascii="Arial" w:hAnsi="Arial" w:cs="Arial"/>
          <w:lang w:val="en-US"/>
        </w:rPr>
        <w:t>Table 3, Sharing of women’s outerwear brand customers is in line with market share</w:t>
      </w:r>
    </w:p>
    <w:p w14:paraId="71CC9631" w14:textId="77777777" w:rsidR="00112F85" w:rsidRDefault="00D676B6" w:rsidP="000607E8">
      <w:pPr>
        <w:widowControl w:val="0"/>
        <w:autoSpaceDE w:val="0"/>
        <w:autoSpaceDN w:val="0"/>
        <w:adjustRightInd w:val="0"/>
        <w:spacing w:after="240" w:line="360" w:lineRule="auto"/>
        <w:jc w:val="both"/>
        <w:rPr>
          <w:rFonts w:ascii="Times New Roman" w:hAnsi="Times New Roman" w:cs="Times"/>
          <w:lang w:val="en-US"/>
        </w:rPr>
      </w:pPr>
      <w:r>
        <w:rPr>
          <w:noProof/>
          <w:lang w:val="en-US" w:eastAsia="en-US"/>
        </w:rPr>
        <w:drawing>
          <wp:inline distT="0" distB="0" distL="0" distR="0" wp14:anchorId="330A6846" wp14:editId="314F1C93">
            <wp:extent cx="589280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2800" cy="2651760"/>
                    </a:xfrm>
                    <a:prstGeom prst="rect">
                      <a:avLst/>
                    </a:prstGeom>
                    <a:noFill/>
                    <a:ln>
                      <a:noFill/>
                    </a:ln>
                  </pic:spPr>
                </pic:pic>
              </a:graphicData>
            </a:graphic>
          </wp:inline>
        </w:drawing>
      </w:r>
    </w:p>
    <w:p w14:paraId="50AAD94D" w14:textId="1A50DA14" w:rsidR="00D545C0" w:rsidRPr="00D20D9B" w:rsidRDefault="00CD6E43"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Table 3 can also be read </w:t>
      </w:r>
      <w:r w:rsidR="00B262BC" w:rsidRPr="00D20D9B">
        <w:rPr>
          <w:rFonts w:ascii="Arial" w:hAnsi="Arial" w:cs="Arial"/>
          <w:lang w:val="en-US"/>
        </w:rPr>
        <w:t xml:space="preserve">vertically </w:t>
      </w:r>
      <w:r w:rsidR="00C86303" w:rsidRPr="00D20D9B">
        <w:rPr>
          <w:rFonts w:ascii="Arial" w:hAnsi="Arial" w:cs="Arial"/>
          <w:lang w:val="en-US"/>
        </w:rPr>
        <w:t>and</w:t>
      </w:r>
      <w:r w:rsidRPr="00D20D9B">
        <w:rPr>
          <w:rFonts w:ascii="Arial" w:hAnsi="Arial" w:cs="Arial"/>
          <w:lang w:val="en-US"/>
        </w:rPr>
        <w:t xml:space="preserve"> the figures </w:t>
      </w:r>
      <w:r w:rsidR="00C86303" w:rsidRPr="00D20D9B">
        <w:rPr>
          <w:rFonts w:ascii="Arial" w:hAnsi="Arial" w:cs="Arial"/>
          <w:lang w:val="en-US"/>
        </w:rPr>
        <w:t>go</w:t>
      </w:r>
      <w:r w:rsidRPr="00D20D9B">
        <w:rPr>
          <w:rFonts w:ascii="Arial" w:hAnsi="Arial" w:cs="Arial"/>
          <w:lang w:val="en-US"/>
        </w:rPr>
        <w:t xml:space="preserve">ing down </w:t>
      </w:r>
      <w:r w:rsidR="00B262BC" w:rsidRPr="00D20D9B">
        <w:rPr>
          <w:rFonts w:ascii="Arial" w:hAnsi="Arial" w:cs="Arial"/>
          <w:lang w:val="en-US"/>
        </w:rPr>
        <w:t>the columns are roughly the same. On average</w:t>
      </w:r>
      <w:r w:rsidR="00B1345A">
        <w:rPr>
          <w:rFonts w:ascii="Arial" w:hAnsi="Arial" w:cs="Arial"/>
          <w:lang w:val="en-US"/>
        </w:rPr>
        <w:t xml:space="preserve">, </w:t>
      </w:r>
      <w:r w:rsidRPr="00D20D9B">
        <w:rPr>
          <w:rFonts w:ascii="Arial" w:hAnsi="Arial" w:cs="Arial"/>
          <w:lang w:val="en-US"/>
        </w:rPr>
        <w:t>most brands share about half (52%) of their customers with New Look, 61</w:t>
      </w:r>
      <w:r w:rsidR="00B262BC" w:rsidRPr="00D20D9B">
        <w:rPr>
          <w:rFonts w:ascii="Arial" w:hAnsi="Arial" w:cs="Arial"/>
          <w:lang w:val="en-US"/>
        </w:rPr>
        <w:t xml:space="preserve">% with </w:t>
      </w:r>
      <w:proofErr w:type="gramStart"/>
      <w:r w:rsidR="00B262BC" w:rsidRPr="00D20D9B">
        <w:rPr>
          <w:rFonts w:ascii="Arial" w:hAnsi="Arial" w:cs="Arial"/>
          <w:lang w:val="en-US"/>
        </w:rPr>
        <w:t>Other</w:t>
      </w:r>
      <w:proofErr w:type="gramEnd"/>
      <w:r w:rsidR="00B262BC" w:rsidRPr="00D20D9B">
        <w:rPr>
          <w:rFonts w:ascii="Arial" w:hAnsi="Arial" w:cs="Arial"/>
          <w:lang w:val="en-US"/>
        </w:rPr>
        <w:t xml:space="preserve"> and 41% with Next.</w:t>
      </w:r>
      <w:r w:rsidRPr="00D20D9B">
        <w:rPr>
          <w:rFonts w:ascii="Arial" w:hAnsi="Arial" w:cs="Arial"/>
          <w:lang w:val="en-US"/>
        </w:rPr>
        <w:t xml:space="preserve"> These average figures decline fairly steadily </w:t>
      </w:r>
      <w:r w:rsidR="00B262BC" w:rsidRPr="00D20D9B">
        <w:rPr>
          <w:rFonts w:ascii="Arial" w:hAnsi="Arial" w:cs="Arial"/>
          <w:lang w:val="en-US"/>
        </w:rPr>
        <w:t>in step with the size of the brands</w:t>
      </w:r>
      <w:r w:rsidRPr="00D20D9B">
        <w:rPr>
          <w:rFonts w:ascii="Arial" w:hAnsi="Arial" w:cs="Arial"/>
          <w:lang w:val="en-US"/>
        </w:rPr>
        <w:t xml:space="preserve"> (Other is a bit out of line because it is a composite of all the small brands in the market). The average duplication for each column in table 3 (the percentage who also bought in the population) shows a very high cor</w:t>
      </w:r>
      <w:r w:rsidR="00D545C0" w:rsidRPr="00D20D9B">
        <w:rPr>
          <w:rFonts w:ascii="Arial" w:hAnsi="Arial" w:cs="Arial"/>
          <w:lang w:val="en-US"/>
        </w:rPr>
        <w:t>relation</w:t>
      </w:r>
      <w:r w:rsidR="00B262BC" w:rsidRPr="00D20D9B">
        <w:rPr>
          <w:rFonts w:ascii="Arial" w:hAnsi="Arial" w:cs="Arial"/>
          <w:lang w:val="en-US"/>
        </w:rPr>
        <w:t xml:space="preserve"> with brand penetration</w:t>
      </w:r>
      <w:r w:rsidR="00D545C0" w:rsidRPr="00D20D9B">
        <w:rPr>
          <w:rFonts w:ascii="Arial" w:hAnsi="Arial" w:cs="Arial"/>
          <w:lang w:val="en-US"/>
        </w:rPr>
        <w:t>.</w:t>
      </w:r>
      <w:r w:rsidRPr="00D20D9B">
        <w:rPr>
          <w:rFonts w:ascii="Arial" w:hAnsi="Arial" w:cs="Arial"/>
          <w:lang w:val="en-US"/>
        </w:rPr>
        <w:t xml:space="preserve"> Where duplication is high, penetration is also high (for bigger brands on the left) and where it is low, duplication is also low (smaller brands on the right). The correlati</w:t>
      </w:r>
      <w:r w:rsidR="00D545C0" w:rsidRPr="00D20D9B">
        <w:rPr>
          <w:rFonts w:ascii="Arial" w:hAnsi="Arial" w:cs="Arial"/>
          <w:lang w:val="en-US"/>
        </w:rPr>
        <w:t xml:space="preserve">on </w:t>
      </w:r>
      <w:r w:rsidR="00C86303" w:rsidRPr="00D20D9B">
        <w:rPr>
          <w:rFonts w:ascii="Arial" w:hAnsi="Arial" w:cs="Arial"/>
          <w:lang w:val="en-US"/>
        </w:rPr>
        <w:t>coefficient</w:t>
      </w:r>
      <w:r w:rsidR="00D545C0" w:rsidRPr="00D20D9B">
        <w:rPr>
          <w:rFonts w:ascii="Arial" w:hAnsi="Arial" w:cs="Arial"/>
          <w:lang w:val="en-US"/>
        </w:rPr>
        <w:t xml:space="preserve"> is 0.96</w:t>
      </w:r>
      <w:r w:rsidR="00C86303" w:rsidRPr="00D20D9B">
        <w:rPr>
          <w:rFonts w:ascii="Arial" w:hAnsi="Arial" w:cs="Arial"/>
          <w:lang w:val="en-US"/>
        </w:rPr>
        <w:t>. Duplication</w:t>
      </w:r>
      <w:r w:rsidR="00D545C0" w:rsidRPr="00D20D9B">
        <w:rPr>
          <w:rFonts w:ascii="Arial" w:hAnsi="Arial" w:cs="Arial"/>
          <w:lang w:val="en-US"/>
        </w:rPr>
        <w:t xml:space="preserve"> is about 3.8 times the penetration of the brands. This relationship can be summarized by saying that the portion of brand X buyers who also buy brand Y is approximately equal to </w:t>
      </w:r>
      <w:r w:rsidR="00C70E09">
        <w:rPr>
          <w:rFonts w:ascii="Arial" w:hAnsi="Arial" w:cs="Arial"/>
          <w:lang w:val="en-US"/>
        </w:rPr>
        <w:t>a</w:t>
      </w:r>
      <w:r w:rsidR="00D545C0" w:rsidRPr="00D20D9B">
        <w:rPr>
          <w:rFonts w:ascii="Arial" w:hAnsi="Arial" w:cs="Arial"/>
          <w:lang w:val="en-US"/>
        </w:rPr>
        <w:t xml:space="preserve"> constant (D = 3.8 here) times the proportion of the population who have bought b</w:t>
      </w:r>
      <w:r w:rsidR="00C70E09">
        <w:rPr>
          <w:rFonts w:ascii="Arial" w:hAnsi="Arial" w:cs="Arial"/>
          <w:lang w:val="en-US"/>
        </w:rPr>
        <w:t>rand Y (brand Y’s penetration).</w:t>
      </w:r>
      <w:r w:rsidR="00D545C0" w:rsidRPr="00D20D9B">
        <w:rPr>
          <w:rFonts w:ascii="Arial" w:hAnsi="Arial" w:cs="Arial"/>
          <w:lang w:val="en-US"/>
        </w:rPr>
        <w:t xml:space="preserve"> This relatio</w:t>
      </w:r>
      <w:r w:rsidR="005D558A">
        <w:rPr>
          <w:rFonts w:ascii="Arial" w:hAnsi="Arial" w:cs="Arial"/>
          <w:lang w:val="en-US"/>
        </w:rPr>
        <w:t>nship is an example of the well-</w:t>
      </w:r>
      <w:r w:rsidR="00D545C0" w:rsidRPr="00D20D9B">
        <w:rPr>
          <w:rFonts w:ascii="Arial" w:hAnsi="Arial" w:cs="Arial"/>
          <w:lang w:val="en-US"/>
        </w:rPr>
        <w:t>known Duplication of Purchase Law (</w:t>
      </w:r>
      <w:proofErr w:type="spellStart"/>
      <w:r w:rsidR="00D545C0" w:rsidRPr="00D20D9B">
        <w:rPr>
          <w:rFonts w:ascii="Arial" w:hAnsi="Arial" w:cs="Arial"/>
          <w:lang w:val="en-US"/>
        </w:rPr>
        <w:t>DoP</w:t>
      </w:r>
      <w:proofErr w:type="spellEnd"/>
      <w:proofErr w:type="gramStart"/>
      <w:r w:rsidR="00D545C0" w:rsidRPr="00D20D9B">
        <w:rPr>
          <w:rFonts w:ascii="Arial" w:hAnsi="Arial" w:cs="Arial"/>
          <w:lang w:val="en-US"/>
        </w:rPr>
        <w:t>) which</w:t>
      </w:r>
      <w:proofErr w:type="gramEnd"/>
      <w:r w:rsidR="00D545C0" w:rsidRPr="00D20D9B">
        <w:rPr>
          <w:rFonts w:ascii="Arial" w:hAnsi="Arial" w:cs="Arial"/>
          <w:lang w:val="en-US"/>
        </w:rPr>
        <w:t xml:space="preserve"> has been found consistently in markets round the world. It is represented by th</w:t>
      </w:r>
      <w:r w:rsidR="00C70E09">
        <w:rPr>
          <w:rFonts w:ascii="Arial" w:hAnsi="Arial" w:cs="Arial"/>
          <w:lang w:val="en-US"/>
        </w:rPr>
        <w:t>e formula:</w:t>
      </w:r>
    </w:p>
    <w:p w14:paraId="455F306B" w14:textId="77777777" w:rsidR="00D545C0" w:rsidRPr="00D20D9B" w:rsidRDefault="00D545C0" w:rsidP="00D545C0">
      <w:pPr>
        <w:widowControl w:val="0"/>
        <w:autoSpaceDE w:val="0"/>
        <w:autoSpaceDN w:val="0"/>
        <w:adjustRightInd w:val="0"/>
        <w:spacing w:after="240" w:line="360" w:lineRule="auto"/>
        <w:ind w:firstLine="720"/>
        <w:jc w:val="both"/>
        <w:rPr>
          <w:rFonts w:ascii="Arial" w:hAnsi="Arial" w:cs="Arial"/>
          <w:vertAlign w:val="subscript"/>
          <w:lang w:val="en-US"/>
        </w:rPr>
      </w:pPr>
      <w:proofErr w:type="gramStart"/>
      <w:r w:rsidRPr="00D20D9B">
        <w:rPr>
          <w:rFonts w:ascii="Arial" w:hAnsi="Arial" w:cs="Arial"/>
          <w:lang w:val="en-US"/>
        </w:rPr>
        <w:t>b</w:t>
      </w:r>
      <w:r w:rsidRPr="00D20D9B">
        <w:rPr>
          <w:rFonts w:ascii="Arial" w:hAnsi="Arial" w:cs="Arial"/>
          <w:vertAlign w:val="subscript"/>
          <w:lang w:val="en-US"/>
        </w:rPr>
        <w:t>y</w:t>
      </w:r>
      <w:proofErr w:type="gramEnd"/>
      <w:r w:rsidRPr="00D20D9B">
        <w:rPr>
          <w:rFonts w:ascii="Arial" w:hAnsi="Arial" w:cs="Arial"/>
          <w:vertAlign w:val="subscript"/>
          <w:lang w:val="en-US"/>
        </w:rPr>
        <w:t xml:space="preserve">/x </w:t>
      </w:r>
      <w:r w:rsidRPr="00D20D9B">
        <w:rPr>
          <w:rFonts w:ascii="Arial" w:hAnsi="Arial" w:cs="Arial"/>
          <w:lang w:val="en-US"/>
        </w:rPr>
        <w:t xml:space="preserve"> = D x b</w:t>
      </w:r>
      <w:r w:rsidRPr="00D20D9B">
        <w:rPr>
          <w:rFonts w:ascii="Arial" w:hAnsi="Arial" w:cs="Arial"/>
          <w:vertAlign w:val="subscript"/>
          <w:lang w:val="en-US"/>
        </w:rPr>
        <w:t xml:space="preserve">y </w:t>
      </w:r>
    </w:p>
    <w:p w14:paraId="6FD163B7" w14:textId="57EE7556" w:rsidR="001A3D0E" w:rsidRPr="00D20D9B" w:rsidRDefault="00B06088" w:rsidP="00D545C0">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W</w:t>
      </w:r>
      <w:r w:rsidR="00D545C0" w:rsidRPr="00D20D9B">
        <w:rPr>
          <w:rFonts w:ascii="Arial" w:hAnsi="Arial" w:cs="Arial"/>
          <w:lang w:val="en-US"/>
        </w:rPr>
        <w:t>here b</w:t>
      </w:r>
      <w:r w:rsidR="00D545C0" w:rsidRPr="00D20D9B">
        <w:rPr>
          <w:rFonts w:ascii="Arial" w:hAnsi="Arial" w:cs="Arial"/>
          <w:vertAlign w:val="subscript"/>
          <w:lang w:val="en-US"/>
        </w:rPr>
        <w:t>y/</w:t>
      </w:r>
      <w:proofErr w:type="gramStart"/>
      <w:r w:rsidR="00D545C0" w:rsidRPr="00D20D9B">
        <w:rPr>
          <w:rFonts w:ascii="Arial" w:hAnsi="Arial" w:cs="Arial"/>
          <w:vertAlign w:val="subscript"/>
          <w:lang w:val="en-US"/>
        </w:rPr>
        <w:t xml:space="preserve">x </w:t>
      </w:r>
      <w:r w:rsidR="001A3D0E" w:rsidRPr="00D20D9B">
        <w:rPr>
          <w:rFonts w:ascii="Arial" w:hAnsi="Arial" w:cs="Arial"/>
          <w:lang w:val="en-US"/>
        </w:rPr>
        <w:t xml:space="preserve"> is</w:t>
      </w:r>
      <w:proofErr w:type="gramEnd"/>
      <w:r w:rsidR="001A3D0E" w:rsidRPr="00D20D9B">
        <w:rPr>
          <w:rFonts w:ascii="Arial" w:hAnsi="Arial" w:cs="Arial"/>
          <w:lang w:val="en-US"/>
        </w:rPr>
        <w:t xml:space="preserve"> the p</w:t>
      </w:r>
      <w:r w:rsidR="00D545C0" w:rsidRPr="00D20D9B">
        <w:rPr>
          <w:rFonts w:ascii="Arial" w:hAnsi="Arial" w:cs="Arial"/>
          <w:lang w:val="en-US"/>
        </w:rPr>
        <w:t>e</w:t>
      </w:r>
      <w:r w:rsidR="001A3D0E" w:rsidRPr="00D20D9B">
        <w:rPr>
          <w:rFonts w:ascii="Arial" w:hAnsi="Arial" w:cs="Arial"/>
          <w:lang w:val="en-US"/>
        </w:rPr>
        <w:t>r</w:t>
      </w:r>
      <w:r w:rsidR="00D545C0" w:rsidRPr="00D20D9B">
        <w:rPr>
          <w:rFonts w:ascii="Arial" w:hAnsi="Arial" w:cs="Arial"/>
          <w:lang w:val="en-US"/>
        </w:rPr>
        <w:t>cent</w:t>
      </w:r>
      <w:r w:rsidR="001A3D0E" w:rsidRPr="00D20D9B">
        <w:rPr>
          <w:rFonts w:ascii="Arial" w:hAnsi="Arial" w:cs="Arial"/>
          <w:lang w:val="en-US"/>
        </w:rPr>
        <w:t>age</w:t>
      </w:r>
      <w:r w:rsidR="00D545C0" w:rsidRPr="00D20D9B">
        <w:rPr>
          <w:rFonts w:ascii="Arial" w:hAnsi="Arial" w:cs="Arial"/>
          <w:lang w:val="en-US"/>
        </w:rPr>
        <w:t xml:space="preserve"> of buyers of X who have a</w:t>
      </w:r>
      <w:r w:rsidR="001A3D0E" w:rsidRPr="00D20D9B">
        <w:rPr>
          <w:rFonts w:ascii="Arial" w:hAnsi="Arial" w:cs="Arial"/>
          <w:lang w:val="en-US"/>
        </w:rPr>
        <w:t>ls</w:t>
      </w:r>
      <w:r w:rsidR="00D545C0" w:rsidRPr="00D20D9B">
        <w:rPr>
          <w:rFonts w:ascii="Arial" w:hAnsi="Arial" w:cs="Arial"/>
          <w:lang w:val="en-US"/>
        </w:rPr>
        <w:t>o bought Y; D is the constant known as the duplication coefficient; and b</w:t>
      </w:r>
      <w:r w:rsidR="00D545C0" w:rsidRPr="00D20D9B">
        <w:rPr>
          <w:rFonts w:ascii="Arial" w:hAnsi="Arial" w:cs="Arial"/>
          <w:vertAlign w:val="subscript"/>
          <w:lang w:val="en-US"/>
        </w:rPr>
        <w:t>y</w:t>
      </w:r>
      <w:r w:rsidR="001A3D0E" w:rsidRPr="00D20D9B">
        <w:rPr>
          <w:rFonts w:ascii="Arial" w:hAnsi="Arial" w:cs="Arial"/>
          <w:lang w:val="en-US"/>
        </w:rPr>
        <w:t xml:space="preserve"> is the per</w:t>
      </w:r>
      <w:r w:rsidR="00D545C0" w:rsidRPr="00D20D9B">
        <w:rPr>
          <w:rFonts w:ascii="Arial" w:hAnsi="Arial" w:cs="Arial"/>
          <w:lang w:val="en-US"/>
        </w:rPr>
        <w:t>cent of the population who have also bought brand Y.  There are several ways to calculate D</w:t>
      </w:r>
      <w:r w:rsidR="00B262BC" w:rsidRPr="00D20D9B">
        <w:rPr>
          <w:rFonts w:ascii="Arial" w:hAnsi="Arial" w:cs="Arial"/>
          <w:lang w:val="en-US"/>
        </w:rPr>
        <w:t>.</w:t>
      </w:r>
      <w:r w:rsidR="001A3D0E" w:rsidRPr="00D20D9B">
        <w:rPr>
          <w:rFonts w:ascii="Arial" w:hAnsi="Arial" w:cs="Arial"/>
          <w:lang w:val="en-US"/>
        </w:rPr>
        <w:t xml:space="preserve"> The simplest is to average the duplication percentages (the column averages) and divide that by the avera</w:t>
      </w:r>
      <w:r w:rsidR="00B1345A">
        <w:rPr>
          <w:rFonts w:ascii="Arial" w:hAnsi="Arial" w:cs="Arial"/>
          <w:lang w:val="en-US"/>
        </w:rPr>
        <w:t xml:space="preserve">ge of the penetrations to </w:t>
      </w:r>
      <w:r w:rsidR="001A3D0E" w:rsidRPr="00D20D9B">
        <w:rPr>
          <w:rFonts w:ascii="Arial" w:hAnsi="Arial" w:cs="Arial"/>
          <w:lang w:val="en-US"/>
        </w:rPr>
        <w:t xml:space="preserve">construct a duplication of </w:t>
      </w:r>
      <w:r w:rsidR="00B262BC" w:rsidRPr="00D20D9B">
        <w:rPr>
          <w:rFonts w:ascii="Arial" w:hAnsi="Arial" w:cs="Arial"/>
          <w:lang w:val="en-US"/>
        </w:rPr>
        <w:t>purchase table such as Table 4.</w:t>
      </w:r>
      <w:r w:rsidR="001A3D0E" w:rsidRPr="00D20D9B">
        <w:rPr>
          <w:rFonts w:ascii="Arial" w:hAnsi="Arial" w:cs="Arial"/>
          <w:lang w:val="en-US"/>
        </w:rPr>
        <w:t xml:space="preserve"> To</w:t>
      </w:r>
      <w:r w:rsidR="00B1345A">
        <w:rPr>
          <w:rFonts w:ascii="Arial" w:hAnsi="Arial" w:cs="Arial"/>
          <w:lang w:val="en-US"/>
        </w:rPr>
        <w:t xml:space="preserve"> interpret the results,</w:t>
      </w:r>
      <w:r w:rsidR="001A3D0E" w:rsidRPr="00D20D9B">
        <w:rPr>
          <w:rFonts w:ascii="Arial" w:hAnsi="Arial" w:cs="Arial"/>
          <w:lang w:val="en-US"/>
        </w:rPr>
        <w:t xml:space="preserve"> </w:t>
      </w:r>
      <w:r w:rsidR="00B262BC" w:rsidRPr="00D20D9B">
        <w:rPr>
          <w:rFonts w:ascii="Arial" w:hAnsi="Arial" w:cs="Arial"/>
          <w:lang w:val="en-US"/>
        </w:rPr>
        <w:t xml:space="preserve">recognize that when D = 1, </w:t>
      </w:r>
      <w:r w:rsidR="001A3D0E" w:rsidRPr="00D20D9B">
        <w:rPr>
          <w:rFonts w:ascii="Arial" w:hAnsi="Arial" w:cs="Arial"/>
          <w:lang w:val="en-US"/>
        </w:rPr>
        <w:t>buying one brand makes the purchaser no more or less likely to buy another brand than anyone else in the population—the purchase of one brand has no influence of t</w:t>
      </w:r>
      <w:r w:rsidR="00B262BC" w:rsidRPr="00D20D9B">
        <w:rPr>
          <w:rFonts w:ascii="Arial" w:hAnsi="Arial" w:cs="Arial"/>
          <w:lang w:val="en-US"/>
        </w:rPr>
        <w:t>he purchasing of another brand.</w:t>
      </w:r>
      <w:r w:rsidR="001A3D0E" w:rsidRPr="00D20D9B">
        <w:rPr>
          <w:rFonts w:ascii="Arial" w:hAnsi="Arial" w:cs="Arial"/>
          <w:lang w:val="en-US"/>
        </w:rPr>
        <w:t xml:space="preserve"> However, if the duplication is more than 1, then buying X makes a purchaser more likely to buy Y, and if less than 1, less likely.  </w:t>
      </w:r>
    </w:p>
    <w:p w14:paraId="4EEB646E" w14:textId="77777777" w:rsidR="001A3D0E" w:rsidRPr="00D20D9B" w:rsidRDefault="001A3D0E" w:rsidP="001A3D0E">
      <w:pPr>
        <w:widowControl w:val="0"/>
        <w:autoSpaceDE w:val="0"/>
        <w:autoSpaceDN w:val="0"/>
        <w:adjustRightInd w:val="0"/>
        <w:spacing w:after="0" w:line="360" w:lineRule="auto"/>
        <w:jc w:val="both"/>
        <w:rPr>
          <w:rFonts w:ascii="Arial" w:hAnsi="Arial" w:cs="Arial"/>
          <w:lang w:val="en-US"/>
        </w:rPr>
      </w:pPr>
      <w:r w:rsidRPr="00D20D9B">
        <w:rPr>
          <w:rFonts w:ascii="Arial" w:hAnsi="Arial" w:cs="Arial"/>
          <w:lang w:val="en-US"/>
        </w:rPr>
        <w:t>Table 4, Duplication coefficients for fashion brands</w:t>
      </w:r>
    </w:p>
    <w:p w14:paraId="3778C107" w14:textId="77777777" w:rsidR="001A3D0E" w:rsidRDefault="001A3D0E" w:rsidP="00D545C0">
      <w:pPr>
        <w:widowControl w:val="0"/>
        <w:autoSpaceDE w:val="0"/>
        <w:autoSpaceDN w:val="0"/>
        <w:adjustRightInd w:val="0"/>
        <w:spacing w:after="240" w:line="360" w:lineRule="auto"/>
        <w:jc w:val="both"/>
        <w:rPr>
          <w:rFonts w:ascii="Times New Roman" w:hAnsi="Times New Roman" w:cs="Times"/>
          <w:lang w:val="en-US"/>
        </w:rPr>
      </w:pPr>
      <w:r>
        <w:rPr>
          <w:noProof/>
          <w:lang w:val="en-US" w:eastAsia="en-US"/>
        </w:rPr>
        <w:drawing>
          <wp:inline distT="0" distB="0" distL="0" distR="0" wp14:anchorId="4307F065" wp14:editId="229E26FD">
            <wp:extent cx="5486400" cy="1800225"/>
            <wp:effectExtent l="0" t="0" r="0" b="317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800225"/>
                    </a:xfrm>
                    <a:prstGeom prst="rect">
                      <a:avLst/>
                    </a:prstGeom>
                  </pic:spPr>
                </pic:pic>
              </a:graphicData>
            </a:graphic>
          </wp:inline>
        </w:drawing>
      </w:r>
    </w:p>
    <w:p w14:paraId="2E92070E" w14:textId="329C5985" w:rsidR="001A3D0E" w:rsidRPr="00D20D9B" w:rsidRDefault="001A3D0E" w:rsidP="00D545C0">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Table 4 shows that for most brands, the duplication coefficients are near to 1.  However, there are some exceptions for mostly</w:t>
      </w:r>
      <w:r w:rsidR="00B262BC" w:rsidRPr="00D20D9B">
        <w:rPr>
          <w:rFonts w:ascii="Arial" w:hAnsi="Arial" w:cs="Arial"/>
          <w:lang w:val="en-US"/>
        </w:rPr>
        <w:t xml:space="preserve"> smaller brands</w:t>
      </w:r>
      <w:r w:rsidRPr="00D20D9B">
        <w:rPr>
          <w:rFonts w:ascii="Arial" w:hAnsi="Arial" w:cs="Arial"/>
          <w:lang w:val="en-US"/>
        </w:rPr>
        <w:t xml:space="preserve"> w</w:t>
      </w:r>
      <w:r w:rsidR="00B262BC" w:rsidRPr="00D20D9B">
        <w:rPr>
          <w:rFonts w:ascii="Arial" w:hAnsi="Arial" w:cs="Arial"/>
          <w:lang w:val="en-US"/>
        </w:rPr>
        <w:t>here D is substantially higher.</w:t>
      </w:r>
      <w:r w:rsidRPr="00D20D9B">
        <w:rPr>
          <w:rFonts w:ascii="Arial" w:hAnsi="Arial" w:cs="Arial"/>
          <w:lang w:val="en-US"/>
        </w:rPr>
        <w:t xml:space="preserve"> The duplication between Miss Selfridge and Top Shop, for example is 3.0, which can be interpreted as saying that the customers of Miss Selfridge are three times as likely to be customers of Top Shop as the ave</w:t>
      </w:r>
      <w:r w:rsidR="00C70E09">
        <w:rPr>
          <w:rFonts w:ascii="Arial" w:hAnsi="Arial" w:cs="Arial"/>
          <w:lang w:val="en-US"/>
        </w:rPr>
        <w:t>rage buyer of women</w:t>
      </w:r>
      <w:r w:rsidR="005D558A">
        <w:rPr>
          <w:rFonts w:ascii="Arial" w:hAnsi="Arial" w:cs="Arial"/>
          <w:lang w:val="en-US"/>
        </w:rPr>
        <w:t>’</w:t>
      </w:r>
      <w:r w:rsidR="00C70E09">
        <w:rPr>
          <w:rFonts w:ascii="Arial" w:hAnsi="Arial" w:cs="Arial"/>
          <w:lang w:val="en-US"/>
        </w:rPr>
        <w:t>s outerwear.</w:t>
      </w:r>
      <w:r w:rsidRPr="00D20D9B">
        <w:rPr>
          <w:rFonts w:ascii="Arial" w:hAnsi="Arial" w:cs="Arial"/>
          <w:lang w:val="en-US"/>
        </w:rPr>
        <w:t xml:space="preserve"> Moreover, there are some brands that are below 1 and we can see that the customers of Wallis are about half as likely as the population as a whole to also be customers o</w:t>
      </w:r>
      <w:r w:rsidR="00B262BC" w:rsidRPr="00D20D9B">
        <w:rPr>
          <w:rFonts w:ascii="Arial" w:hAnsi="Arial" w:cs="Arial"/>
          <w:lang w:val="en-US"/>
        </w:rPr>
        <w:t xml:space="preserve">f H&amp;M </w:t>
      </w:r>
      <w:proofErr w:type="spellStart"/>
      <w:r w:rsidR="00B262BC" w:rsidRPr="00D20D9B">
        <w:rPr>
          <w:rFonts w:ascii="Arial" w:hAnsi="Arial" w:cs="Arial"/>
          <w:lang w:val="en-US"/>
        </w:rPr>
        <w:t>Hennes</w:t>
      </w:r>
      <w:proofErr w:type="spellEnd"/>
      <w:r w:rsidR="00B262BC" w:rsidRPr="00D20D9B">
        <w:rPr>
          <w:rFonts w:ascii="Arial" w:hAnsi="Arial" w:cs="Arial"/>
          <w:lang w:val="en-US"/>
        </w:rPr>
        <w:t xml:space="preserve"> or Miss Selfridge. However</w:t>
      </w:r>
      <w:r w:rsidRPr="00D20D9B">
        <w:rPr>
          <w:rFonts w:ascii="Arial" w:hAnsi="Arial" w:cs="Arial"/>
          <w:lang w:val="en-US"/>
        </w:rPr>
        <w:t xml:space="preserve"> when interpreting these results it should be remembered that the penetrations of these brands is quite low—less than 10% of all fashion customers buy these brands during the year at all.  On the other hand, the larger brands on the left and the top of the table are also the high penetration brands, and their duplications are all much nearer to 1. </w:t>
      </w:r>
    </w:p>
    <w:p w14:paraId="26E90E00" w14:textId="17439953" w:rsidR="00C86303" w:rsidRPr="00D20D9B" w:rsidRDefault="00B1345A" w:rsidP="000607E8">
      <w:pPr>
        <w:widowControl w:val="0"/>
        <w:autoSpaceDE w:val="0"/>
        <w:autoSpaceDN w:val="0"/>
        <w:adjustRightInd w:val="0"/>
        <w:spacing w:after="240" w:line="360" w:lineRule="auto"/>
        <w:jc w:val="both"/>
        <w:rPr>
          <w:rFonts w:ascii="Arial" w:hAnsi="Arial" w:cs="Arial"/>
          <w:lang w:val="en-US"/>
        </w:rPr>
      </w:pPr>
      <w:r>
        <w:rPr>
          <w:rFonts w:ascii="Arial" w:hAnsi="Arial" w:cs="Arial"/>
          <w:lang w:val="en-US"/>
        </w:rPr>
        <w:t>The next step is</w:t>
      </w:r>
      <w:r w:rsidR="00B06088" w:rsidRPr="00D20D9B">
        <w:rPr>
          <w:rFonts w:ascii="Arial" w:hAnsi="Arial" w:cs="Arial"/>
          <w:lang w:val="en-US"/>
        </w:rPr>
        <w:t xml:space="preserve"> to analyze the buyers of fa</w:t>
      </w:r>
      <w:r w:rsidR="009E3E36" w:rsidRPr="00D20D9B">
        <w:rPr>
          <w:rFonts w:ascii="Arial" w:hAnsi="Arial" w:cs="Arial"/>
          <w:lang w:val="en-US"/>
        </w:rPr>
        <w:t>s</w:t>
      </w:r>
      <w:r w:rsidR="00B06088" w:rsidRPr="00D20D9B">
        <w:rPr>
          <w:rFonts w:ascii="Arial" w:hAnsi="Arial" w:cs="Arial"/>
          <w:lang w:val="en-US"/>
        </w:rPr>
        <w:t xml:space="preserve">hion brands. </w:t>
      </w:r>
    </w:p>
    <w:p w14:paraId="175DD0D5" w14:textId="77777777" w:rsidR="00B1345A" w:rsidRDefault="00B1345A" w:rsidP="000607E8">
      <w:pPr>
        <w:widowControl w:val="0"/>
        <w:autoSpaceDE w:val="0"/>
        <w:autoSpaceDN w:val="0"/>
        <w:adjustRightInd w:val="0"/>
        <w:spacing w:after="240" w:line="360" w:lineRule="auto"/>
        <w:jc w:val="both"/>
        <w:rPr>
          <w:rFonts w:ascii="Arial" w:hAnsi="Arial" w:cs="Arial"/>
          <w:b/>
          <w:i/>
          <w:lang w:val="en-US"/>
        </w:rPr>
      </w:pPr>
    </w:p>
    <w:p w14:paraId="76EEB8C9" w14:textId="2707B1C1" w:rsidR="00B47497" w:rsidRPr="00C70E09" w:rsidRDefault="00C86303" w:rsidP="000607E8">
      <w:pPr>
        <w:widowControl w:val="0"/>
        <w:autoSpaceDE w:val="0"/>
        <w:autoSpaceDN w:val="0"/>
        <w:adjustRightInd w:val="0"/>
        <w:spacing w:after="240" w:line="360" w:lineRule="auto"/>
        <w:jc w:val="both"/>
        <w:rPr>
          <w:rFonts w:ascii="Arial" w:hAnsi="Arial" w:cs="Arial"/>
          <w:b/>
          <w:i/>
          <w:lang w:val="en-US"/>
        </w:rPr>
      </w:pPr>
      <w:r w:rsidRPr="00C70E09">
        <w:rPr>
          <w:rFonts w:ascii="Arial" w:hAnsi="Arial" w:cs="Arial"/>
          <w:b/>
          <w:i/>
          <w:lang w:val="en-US"/>
        </w:rPr>
        <w:t xml:space="preserve">Brand </w:t>
      </w:r>
      <w:r w:rsidR="00B47497" w:rsidRPr="00C70E09">
        <w:rPr>
          <w:rFonts w:ascii="Arial" w:hAnsi="Arial" w:cs="Arial"/>
          <w:b/>
          <w:i/>
          <w:lang w:val="en-US"/>
        </w:rPr>
        <w:t>User Profiles</w:t>
      </w:r>
    </w:p>
    <w:p w14:paraId="3F33DD26" w14:textId="327BE69B" w:rsidR="00B47497" w:rsidRPr="00D20D9B" w:rsidRDefault="00B47497"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Of primary interest in this study was how the performance of each brand is spread </w:t>
      </w:r>
      <w:r w:rsidR="00B262BC" w:rsidRPr="00D20D9B">
        <w:rPr>
          <w:rFonts w:ascii="Arial" w:hAnsi="Arial" w:cs="Arial"/>
          <w:lang w:val="en-US"/>
        </w:rPr>
        <w:t>across the various user groups.</w:t>
      </w:r>
      <w:r w:rsidRPr="00D20D9B">
        <w:rPr>
          <w:rFonts w:ascii="Arial" w:hAnsi="Arial" w:cs="Arial"/>
          <w:lang w:val="en-US"/>
        </w:rPr>
        <w:t xml:space="preserve"> As mentioned, modern marketing strategies often place heavy emphasi</w:t>
      </w:r>
      <w:r w:rsidR="002210DE" w:rsidRPr="00D20D9B">
        <w:rPr>
          <w:rFonts w:ascii="Arial" w:hAnsi="Arial" w:cs="Arial"/>
          <w:lang w:val="en-US"/>
        </w:rPr>
        <w:t>s on segmentation</w:t>
      </w:r>
      <w:r w:rsidR="00B1345A">
        <w:rPr>
          <w:rFonts w:ascii="Arial" w:hAnsi="Arial" w:cs="Arial"/>
          <w:lang w:val="en-US"/>
        </w:rPr>
        <w:t xml:space="preserve"> and targeting. </w:t>
      </w:r>
      <w:proofErr w:type="gramStart"/>
      <w:r w:rsidR="00B1345A">
        <w:rPr>
          <w:rFonts w:ascii="Arial" w:hAnsi="Arial" w:cs="Arial"/>
          <w:lang w:val="en-US"/>
        </w:rPr>
        <w:t>T</w:t>
      </w:r>
      <w:r w:rsidR="002210DE" w:rsidRPr="00D20D9B">
        <w:rPr>
          <w:rFonts w:ascii="Arial" w:hAnsi="Arial" w:cs="Arial"/>
          <w:lang w:val="en-US"/>
        </w:rPr>
        <w:t>his as a practical issue</w:t>
      </w:r>
      <w:r w:rsidR="00B1345A">
        <w:rPr>
          <w:rFonts w:ascii="Arial" w:hAnsi="Arial" w:cs="Arial"/>
          <w:lang w:val="en-US"/>
        </w:rPr>
        <w:t>, here</w:t>
      </w:r>
      <w:r w:rsidRPr="00D20D9B">
        <w:rPr>
          <w:rFonts w:ascii="Arial" w:hAnsi="Arial" w:cs="Arial"/>
          <w:lang w:val="en-US"/>
        </w:rPr>
        <w:t xml:space="preserve"> because women</w:t>
      </w:r>
      <w:r w:rsidR="009E3E36" w:rsidRPr="00D20D9B">
        <w:rPr>
          <w:rFonts w:ascii="Arial" w:hAnsi="Arial" w:cs="Arial"/>
          <w:lang w:val="en-US"/>
        </w:rPr>
        <w:t>’</w:t>
      </w:r>
      <w:r w:rsidRPr="00D20D9B">
        <w:rPr>
          <w:rFonts w:ascii="Arial" w:hAnsi="Arial" w:cs="Arial"/>
          <w:lang w:val="en-US"/>
        </w:rPr>
        <w:t>s outerwea</w:t>
      </w:r>
      <w:r w:rsidR="00B262BC" w:rsidRPr="00D20D9B">
        <w:rPr>
          <w:rFonts w:ascii="Arial" w:hAnsi="Arial" w:cs="Arial"/>
          <w:lang w:val="en-US"/>
        </w:rPr>
        <w:t>r is bought primarily by women.</w:t>
      </w:r>
      <w:proofErr w:type="gramEnd"/>
      <w:r w:rsidRPr="00D20D9B">
        <w:rPr>
          <w:rFonts w:ascii="Arial" w:hAnsi="Arial" w:cs="Arial"/>
          <w:lang w:val="en-US"/>
        </w:rPr>
        <w:t xml:space="preserve"> </w:t>
      </w:r>
      <w:r w:rsidR="00F23B7E">
        <w:rPr>
          <w:rFonts w:ascii="Arial" w:hAnsi="Arial" w:cs="Arial"/>
          <w:lang w:val="en-US"/>
        </w:rPr>
        <w:t>T</w:t>
      </w:r>
      <w:r w:rsidR="00B1345A">
        <w:rPr>
          <w:rFonts w:ascii="Arial" w:hAnsi="Arial" w:cs="Arial"/>
          <w:lang w:val="en-US"/>
        </w:rPr>
        <w:t>he</w:t>
      </w:r>
      <w:r w:rsidR="00F23B7E">
        <w:rPr>
          <w:rFonts w:ascii="Arial" w:hAnsi="Arial" w:cs="Arial"/>
          <w:lang w:val="en-US"/>
        </w:rPr>
        <w:t xml:space="preserve"> data were therefore sorted so</w:t>
      </w:r>
      <w:r w:rsidR="002210DE" w:rsidRPr="00D20D9B">
        <w:rPr>
          <w:rFonts w:ascii="Arial" w:hAnsi="Arial" w:cs="Arial"/>
          <w:lang w:val="en-US"/>
        </w:rPr>
        <w:t xml:space="preserve"> that the purchase records being examined are those of women who are buying women’s outerwear for themselves. </w:t>
      </w:r>
      <w:r w:rsidRPr="00D20D9B">
        <w:rPr>
          <w:rFonts w:ascii="Arial" w:hAnsi="Arial" w:cs="Arial"/>
          <w:lang w:val="en-US"/>
        </w:rPr>
        <w:t xml:space="preserve">What </w:t>
      </w:r>
      <w:r w:rsidR="00F23B7E">
        <w:rPr>
          <w:rFonts w:ascii="Arial" w:hAnsi="Arial" w:cs="Arial"/>
          <w:lang w:val="en-US"/>
        </w:rPr>
        <w:t>is of most concern</w:t>
      </w:r>
      <w:r w:rsidRPr="00D20D9B">
        <w:rPr>
          <w:rFonts w:ascii="Arial" w:hAnsi="Arial" w:cs="Arial"/>
          <w:lang w:val="en-US"/>
        </w:rPr>
        <w:t xml:space="preserve"> in this analysis however is</w:t>
      </w:r>
      <w:r w:rsidR="006C0E3B" w:rsidRPr="00D20D9B">
        <w:rPr>
          <w:rFonts w:ascii="Arial" w:hAnsi="Arial" w:cs="Arial"/>
          <w:lang w:val="en-US"/>
        </w:rPr>
        <w:t xml:space="preserve"> the comparison between brands.</w:t>
      </w:r>
      <w:r w:rsidRPr="00D20D9B">
        <w:rPr>
          <w:rFonts w:ascii="Arial" w:hAnsi="Arial" w:cs="Arial"/>
          <w:lang w:val="en-US"/>
        </w:rPr>
        <w:t xml:space="preserve"> In one respect </w:t>
      </w:r>
      <w:r w:rsidR="00F23B7E">
        <w:rPr>
          <w:rFonts w:ascii="Arial" w:hAnsi="Arial" w:cs="Arial"/>
          <w:lang w:val="en-US"/>
        </w:rPr>
        <w:t>the</w:t>
      </w:r>
      <w:r w:rsidRPr="00D20D9B">
        <w:rPr>
          <w:rFonts w:ascii="Arial" w:hAnsi="Arial" w:cs="Arial"/>
          <w:lang w:val="en-US"/>
        </w:rPr>
        <w:t xml:space="preserve"> variation </w:t>
      </w:r>
      <w:r w:rsidR="00F23B7E">
        <w:rPr>
          <w:rFonts w:ascii="Arial" w:hAnsi="Arial" w:cs="Arial"/>
          <w:lang w:val="en-US"/>
        </w:rPr>
        <w:t xml:space="preserve">between brands is </w:t>
      </w:r>
      <w:r w:rsidRPr="00D20D9B">
        <w:rPr>
          <w:rFonts w:ascii="Arial" w:hAnsi="Arial" w:cs="Arial"/>
          <w:lang w:val="en-US"/>
        </w:rPr>
        <w:t xml:space="preserve">simple </w:t>
      </w:r>
      <w:r w:rsidR="00F23B7E">
        <w:rPr>
          <w:rFonts w:ascii="Arial" w:hAnsi="Arial" w:cs="Arial"/>
          <w:lang w:val="en-US"/>
        </w:rPr>
        <w:t>in</w:t>
      </w:r>
      <w:r w:rsidRPr="00D20D9B">
        <w:rPr>
          <w:rFonts w:ascii="Arial" w:hAnsi="Arial" w:cs="Arial"/>
          <w:lang w:val="en-US"/>
        </w:rPr>
        <w:t xml:space="preserve"> that some brands are a great deal larger than others—in other words th</w:t>
      </w:r>
      <w:r w:rsidR="006C0E3B" w:rsidRPr="00D20D9B">
        <w:rPr>
          <w:rFonts w:ascii="Arial" w:hAnsi="Arial" w:cs="Arial"/>
          <w:lang w:val="en-US"/>
        </w:rPr>
        <w:t>ey appeal to many more buyers. That is the main point of separation betwe</w:t>
      </w:r>
      <w:r w:rsidR="002210DE" w:rsidRPr="00D20D9B">
        <w:rPr>
          <w:rFonts w:ascii="Arial" w:hAnsi="Arial" w:cs="Arial"/>
          <w:lang w:val="en-US"/>
        </w:rPr>
        <w:t>en big brands and small brands. Within the customer base</w:t>
      </w:r>
      <w:r w:rsidR="006C0E3B" w:rsidRPr="00D20D9B">
        <w:rPr>
          <w:rFonts w:ascii="Arial" w:hAnsi="Arial" w:cs="Arial"/>
          <w:lang w:val="en-US"/>
        </w:rPr>
        <w:t xml:space="preserve"> of a brand however, </w:t>
      </w:r>
      <w:r w:rsidR="00F23B7E">
        <w:rPr>
          <w:rFonts w:ascii="Arial" w:hAnsi="Arial" w:cs="Arial"/>
          <w:lang w:val="en-US"/>
        </w:rPr>
        <w:t>it is also possible to</w:t>
      </w:r>
      <w:r w:rsidR="006C0E3B" w:rsidRPr="00D20D9B">
        <w:rPr>
          <w:rFonts w:ascii="Arial" w:hAnsi="Arial" w:cs="Arial"/>
          <w:lang w:val="en-US"/>
        </w:rPr>
        <w:t xml:space="preserve"> calculate what share of particular user groups is captured by particular brands, e.g. do certain brands gain </w:t>
      </w:r>
      <w:r w:rsidR="002210DE" w:rsidRPr="00D20D9B">
        <w:rPr>
          <w:rFonts w:ascii="Arial" w:hAnsi="Arial" w:cs="Arial"/>
          <w:lang w:val="en-US"/>
        </w:rPr>
        <w:t>more than the average</w:t>
      </w:r>
      <w:r w:rsidR="006C0E3B" w:rsidRPr="00D20D9B">
        <w:rPr>
          <w:rFonts w:ascii="Arial" w:hAnsi="Arial" w:cs="Arial"/>
          <w:lang w:val="en-US"/>
        </w:rPr>
        <w:t xml:space="preserve"> of younger buyers, or buyers from a particular class. </w:t>
      </w:r>
      <w:r w:rsidR="00E97397" w:rsidRPr="00D20D9B">
        <w:rPr>
          <w:rFonts w:ascii="Arial" w:hAnsi="Arial" w:cs="Arial"/>
          <w:lang w:val="en-US"/>
        </w:rPr>
        <w:t xml:space="preserve">The method for this type of </w:t>
      </w:r>
      <w:r w:rsidR="00174153">
        <w:rPr>
          <w:rFonts w:ascii="Arial" w:hAnsi="Arial" w:cs="Arial"/>
          <w:lang w:val="en-US"/>
        </w:rPr>
        <w:t>calculation is straightforward.</w:t>
      </w:r>
      <w:r w:rsidR="00E97397" w:rsidRPr="00D20D9B">
        <w:rPr>
          <w:rFonts w:ascii="Arial" w:hAnsi="Arial" w:cs="Arial"/>
          <w:lang w:val="en-US"/>
        </w:rPr>
        <w:t xml:space="preserve"> The first step is to calculate the average for all brands in the category for each</w:t>
      </w:r>
      <w:r w:rsidR="00B262BC" w:rsidRPr="00D20D9B">
        <w:rPr>
          <w:rFonts w:ascii="Arial" w:hAnsi="Arial" w:cs="Arial"/>
          <w:lang w:val="en-US"/>
        </w:rPr>
        <w:t xml:space="preserve"> variable or group under study.</w:t>
      </w:r>
      <w:r w:rsidR="00E97397" w:rsidRPr="00D20D9B">
        <w:rPr>
          <w:rFonts w:ascii="Arial" w:hAnsi="Arial" w:cs="Arial"/>
          <w:lang w:val="en-US"/>
        </w:rPr>
        <w:t xml:space="preserve"> </w:t>
      </w:r>
      <w:r w:rsidR="00F23B7E">
        <w:rPr>
          <w:rFonts w:ascii="Arial" w:hAnsi="Arial" w:cs="Arial"/>
          <w:lang w:val="en-US"/>
        </w:rPr>
        <w:t>Then each brand’s figures</w:t>
      </w:r>
      <w:r w:rsidR="00E97397" w:rsidRPr="00D20D9B">
        <w:rPr>
          <w:rFonts w:ascii="Arial" w:hAnsi="Arial" w:cs="Arial"/>
          <w:lang w:val="en-US"/>
        </w:rPr>
        <w:t xml:space="preserve"> can </w:t>
      </w:r>
      <w:r w:rsidR="00F23B7E">
        <w:rPr>
          <w:rFonts w:ascii="Arial" w:hAnsi="Arial" w:cs="Arial"/>
          <w:lang w:val="en-US"/>
        </w:rPr>
        <w:t>be</w:t>
      </w:r>
      <w:r w:rsidR="00E97397" w:rsidRPr="00D20D9B">
        <w:rPr>
          <w:rFonts w:ascii="Arial" w:hAnsi="Arial" w:cs="Arial"/>
          <w:lang w:val="en-US"/>
        </w:rPr>
        <w:t xml:space="preserve"> compare</w:t>
      </w:r>
      <w:r w:rsidR="00F23B7E">
        <w:rPr>
          <w:rFonts w:ascii="Arial" w:hAnsi="Arial" w:cs="Arial"/>
          <w:lang w:val="en-US"/>
        </w:rPr>
        <w:t>d</w:t>
      </w:r>
      <w:r w:rsidR="00E97397" w:rsidRPr="00D20D9B">
        <w:rPr>
          <w:rFonts w:ascii="Arial" w:hAnsi="Arial" w:cs="Arial"/>
          <w:lang w:val="en-US"/>
        </w:rPr>
        <w:t xml:space="preserve"> against the average </w:t>
      </w:r>
      <w:r w:rsidR="00F23B7E">
        <w:rPr>
          <w:rFonts w:ascii="Arial" w:hAnsi="Arial" w:cs="Arial"/>
          <w:lang w:val="en-US"/>
        </w:rPr>
        <w:t>to</w:t>
      </w:r>
      <w:r w:rsidR="00E97397" w:rsidRPr="00D20D9B">
        <w:rPr>
          <w:rFonts w:ascii="Arial" w:hAnsi="Arial" w:cs="Arial"/>
          <w:lang w:val="en-US"/>
        </w:rPr>
        <w:t xml:space="preserve"> calculate its difference, or deviation from the average.  </w:t>
      </w:r>
    </w:p>
    <w:p w14:paraId="43B7C476" w14:textId="65C631D4" w:rsidR="00A16245" w:rsidRPr="00D20D9B" w:rsidRDefault="00A16245"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This analysis ties together two important marketing concepts, segmentation and</w:t>
      </w:r>
      <w:r w:rsidR="002210DE" w:rsidRPr="00D20D9B">
        <w:rPr>
          <w:rFonts w:ascii="Arial" w:hAnsi="Arial" w:cs="Arial"/>
          <w:lang w:val="en-US"/>
        </w:rPr>
        <w:t xml:space="preserve"> brand performance measurement.</w:t>
      </w:r>
      <w:r w:rsidRPr="00D20D9B">
        <w:rPr>
          <w:rFonts w:ascii="Arial" w:hAnsi="Arial" w:cs="Arial"/>
          <w:lang w:val="en-US"/>
        </w:rPr>
        <w:t xml:space="preserve"> The link between the</w:t>
      </w:r>
      <w:r w:rsidR="00174153">
        <w:rPr>
          <w:rFonts w:ascii="Arial" w:hAnsi="Arial" w:cs="Arial"/>
          <w:lang w:val="en-US"/>
        </w:rPr>
        <w:t>m</w:t>
      </w:r>
      <w:r w:rsidRPr="00D20D9B">
        <w:rPr>
          <w:rFonts w:ascii="Arial" w:hAnsi="Arial" w:cs="Arial"/>
          <w:lang w:val="en-US"/>
        </w:rPr>
        <w:t xml:space="preserve"> is straightforward conceptually.  Consider a brand that targets a par</w:t>
      </w:r>
      <w:r w:rsidR="00126E73" w:rsidRPr="00D20D9B">
        <w:rPr>
          <w:rFonts w:ascii="Arial" w:hAnsi="Arial" w:cs="Arial"/>
          <w:lang w:val="en-US"/>
        </w:rPr>
        <w:t>ticular user group—younger</w:t>
      </w:r>
      <w:r w:rsidR="002210DE" w:rsidRPr="00D20D9B">
        <w:rPr>
          <w:rFonts w:ascii="Arial" w:hAnsi="Arial" w:cs="Arial"/>
          <w:lang w:val="en-US"/>
        </w:rPr>
        <w:t xml:space="preserve"> women for example.</w:t>
      </w:r>
      <w:r w:rsidRPr="00D20D9B">
        <w:rPr>
          <w:rFonts w:ascii="Arial" w:hAnsi="Arial" w:cs="Arial"/>
          <w:lang w:val="en-US"/>
        </w:rPr>
        <w:t xml:space="preserve"> If the strategy is successful, then a higher proportion of its</w:t>
      </w:r>
      <w:r w:rsidR="00126E73" w:rsidRPr="00D20D9B">
        <w:rPr>
          <w:rFonts w:ascii="Arial" w:hAnsi="Arial" w:cs="Arial"/>
          <w:lang w:val="en-US"/>
        </w:rPr>
        <w:t xml:space="preserve"> user base will be </w:t>
      </w:r>
      <w:proofErr w:type="gramStart"/>
      <w:r w:rsidR="00126E73" w:rsidRPr="00D20D9B">
        <w:rPr>
          <w:rFonts w:ascii="Arial" w:hAnsi="Arial" w:cs="Arial"/>
          <w:lang w:val="en-US"/>
        </w:rPr>
        <w:t>younger</w:t>
      </w:r>
      <w:r w:rsidRPr="00D20D9B">
        <w:rPr>
          <w:rFonts w:ascii="Arial" w:hAnsi="Arial" w:cs="Arial"/>
          <w:lang w:val="en-US"/>
        </w:rPr>
        <w:t xml:space="preserve"> wome</w:t>
      </w:r>
      <w:r w:rsidR="002210DE" w:rsidRPr="00D20D9B">
        <w:rPr>
          <w:rFonts w:ascii="Arial" w:hAnsi="Arial" w:cs="Arial"/>
          <w:lang w:val="en-US"/>
        </w:rPr>
        <w:t>n</w:t>
      </w:r>
      <w:proofErr w:type="gramEnd"/>
      <w:r w:rsidR="003A0B95" w:rsidRPr="00D20D9B">
        <w:rPr>
          <w:rFonts w:ascii="Arial" w:hAnsi="Arial" w:cs="Arial"/>
          <w:lang w:val="en-US"/>
        </w:rPr>
        <w:t>, compared to its c</w:t>
      </w:r>
      <w:r w:rsidR="005D558A">
        <w:rPr>
          <w:rFonts w:ascii="Arial" w:hAnsi="Arial" w:cs="Arial"/>
          <w:lang w:val="en-US"/>
        </w:rPr>
        <w:t>ompetitors.</w:t>
      </w:r>
      <w:r w:rsidRPr="00D20D9B">
        <w:rPr>
          <w:rFonts w:ascii="Arial" w:hAnsi="Arial" w:cs="Arial"/>
          <w:lang w:val="en-US"/>
        </w:rPr>
        <w:t xml:space="preserve"> This would be confirmati</w:t>
      </w:r>
      <w:r w:rsidR="00126E73" w:rsidRPr="00D20D9B">
        <w:rPr>
          <w:rFonts w:ascii="Arial" w:hAnsi="Arial" w:cs="Arial"/>
          <w:lang w:val="en-US"/>
        </w:rPr>
        <w:t>on of brand-level segmentation.</w:t>
      </w:r>
      <w:r w:rsidRPr="00D20D9B">
        <w:rPr>
          <w:rFonts w:ascii="Arial" w:hAnsi="Arial" w:cs="Arial"/>
          <w:lang w:val="en-US"/>
        </w:rPr>
        <w:t xml:space="preserve"> In the same manner, if a brand is successful in its appeal to that particular user group, then this should be reflected in a higher market share among that group than in </w:t>
      </w:r>
      <w:r w:rsidR="00126E73" w:rsidRPr="00D20D9B">
        <w:rPr>
          <w:rFonts w:ascii="Arial" w:hAnsi="Arial" w:cs="Arial"/>
          <w:lang w:val="en-US"/>
        </w:rPr>
        <w:t>the rest of the market.</w:t>
      </w:r>
      <w:r w:rsidRPr="00D20D9B">
        <w:rPr>
          <w:rFonts w:ascii="Arial" w:hAnsi="Arial" w:cs="Arial"/>
          <w:lang w:val="en-US"/>
        </w:rPr>
        <w:t xml:space="preserve"> Examination of a brand’s market share along these dimensions in the market generally, and amongst buyer subgroups (e.g. specific demographic groupings) simultaneously indicates any brand-level segmentation as well as broader measure</w:t>
      </w:r>
      <w:r w:rsidR="00126E73" w:rsidRPr="00D20D9B">
        <w:rPr>
          <w:rFonts w:ascii="Arial" w:hAnsi="Arial" w:cs="Arial"/>
          <w:lang w:val="en-US"/>
        </w:rPr>
        <w:t>s of overall brand performance.</w:t>
      </w:r>
    </w:p>
    <w:p w14:paraId="7BF8AB8B" w14:textId="75503640" w:rsidR="00126E73" w:rsidRPr="00D20D9B" w:rsidRDefault="00126E73"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In this case </w:t>
      </w:r>
      <w:r w:rsidR="00F23B7E">
        <w:rPr>
          <w:rFonts w:ascii="Arial" w:hAnsi="Arial" w:cs="Arial"/>
          <w:lang w:val="en-US"/>
        </w:rPr>
        <w:t>the main point of interest is the</w:t>
      </w:r>
      <w:r w:rsidRPr="00D20D9B">
        <w:rPr>
          <w:rFonts w:ascii="Arial" w:hAnsi="Arial" w:cs="Arial"/>
          <w:lang w:val="en-US"/>
        </w:rPr>
        <w:t xml:space="preserve"> market composition of category buyers. The analysis is straightforward: each brand’s market share </w:t>
      </w:r>
      <w:r w:rsidR="00F23B7E">
        <w:rPr>
          <w:rFonts w:ascii="Arial" w:hAnsi="Arial" w:cs="Arial"/>
          <w:lang w:val="en-US"/>
        </w:rPr>
        <w:t xml:space="preserve">is compared </w:t>
      </w:r>
      <w:r w:rsidRPr="00D20D9B">
        <w:rPr>
          <w:rFonts w:ascii="Arial" w:hAnsi="Arial" w:cs="Arial"/>
          <w:lang w:val="en-US"/>
        </w:rPr>
        <w:t xml:space="preserve">within each demographic group.  Table </w:t>
      </w:r>
      <w:r w:rsidR="00CE6E78" w:rsidRPr="00D20D9B">
        <w:rPr>
          <w:rFonts w:ascii="Arial" w:hAnsi="Arial" w:cs="Arial"/>
          <w:lang w:val="en-US"/>
        </w:rPr>
        <w:t>5</w:t>
      </w:r>
      <w:r w:rsidRPr="00D20D9B">
        <w:rPr>
          <w:rFonts w:ascii="Arial" w:hAnsi="Arial" w:cs="Arial"/>
          <w:lang w:val="en-US"/>
        </w:rPr>
        <w:t xml:space="preserve"> illustrates the process of data analysis used </w:t>
      </w:r>
      <w:r w:rsidRPr="00D20D9B">
        <w:rPr>
          <w:rFonts w:ascii="Arial" w:hAnsi="Arial" w:cs="Arial"/>
          <w:highlight w:val="yellow"/>
          <w:lang w:val="en-US"/>
        </w:rPr>
        <w:t>for age groups.</w:t>
      </w:r>
      <w:r w:rsidRPr="00D20D9B">
        <w:rPr>
          <w:rFonts w:ascii="Arial" w:hAnsi="Arial" w:cs="Arial"/>
          <w:lang w:val="en-US"/>
        </w:rPr>
        <w:t xml:space="preserve"> The Total row is the sum of all users across all eleven brands. Percentages are calculated from the raw data to </w:t>
      </w:r>
      <w:proofErr w:type="spellStart"/>
      <w:r w:rsidRPr="00D20D9B">
        <w:rPr>
          <w:rFonts w:ascii="Arial" w:hAnsi="Arial" w:cs="Arial"/>
          <w:lang w:val="en-US"/>
        </w:rPr>
        <w:t>standardise</w:t>
      </w:r>
      <w:proofErr w:type="spellEnd"/>
      <w:r w:rsidRPr="00D20D9B">
        <w:rPr>
          <w:rFonts w:ascii="Arial" w:hAnsi="Arial" w:cs="Arial"/>
          <w:lang w:val="en-US"/>
        </w:rPr>
        <w:t xml:space="preserve"> for different numbers of users. The average of each variable is calculated for each produc</w:t>
      </w:r>
      <w:r w:rsidR="002210DE" w:rsidRPr="00D20D9B">
        <w:rPr>
          <w:rFonts w:ascii="Arial" w:hAnsi="Arial" w:cs="Arial"/>
          <w:lang w:val="en-US"/>
        </w:rPr>
        <w:t>t category, as shown in the bottom row, labeled ‘average.’</w:t>
      </w:r>
    </w:p>
    <w:p w14:paraId="0DD9FB0B" w14:textId="77777777" w:rsidR="00126E73" w:rsidRPr="00D20D9B" w:rsidRDefault="00126E73" w:rsidP="00126E73">
      <w:pPr>
        <w:widowControl w:val="0"/>
        <w:autoSpaceDE w:val="0"/>
        <w:autoSpaceDN w:val="0"/>
        <w:adjustRightInd w:val="0"/>
        <w:spacing w:after="120" w:line="360" w:lineRule="auto"/>
        <w:jc w:val="both"/>
        <w:rPr>
          <w:rFonts w:ascii="Arial" w:hAnsi="Arial" w:cs="Arial"/>
          <w:lang w:val="en-US"/>
        </w:rPr>
      </w:pPr>
      <w:r w:rsidRPr="00D20D9B">
        <w:rPr>
          <w:rFonts w:ascii="Arial" w:hAnsi="Arial" w:cs="Arial"/>
          <w:lang w:val="en-US"/>
        </w:rPr>
        <w:t>Table</w:t>
      </w:r>
      <w:r w:rsidR="00CE6E78" w:rsidRPr="00D20D9B">
        <w:rPr>
          <w:rFonts w:ascii="Arial" w:hAnsi="Arial" w:cs="Arial"/>
          <w:lang w:val="en-US"/>
        </w:rPr>
        <w:t xml:space="preserve"> 5</w:t>
      </w:r>
      <w:r w:rsidRPr="00D20D9B">
        <w:rPr>
          <w:rFonts w:ascii="Arial" w:hAnsi="Arial" w:cs="Arial"/>
          <w:lang w:val="en-US"/>
        </w:rPr>
        <w:t>. Market share of age groups for competitive brands</w:t>
      </w:r>
    </w:p>
    <w:tbl>
      <w:tblPr>
        <w:tblW w:w="8460" w:type="dxa"/>
        <w:tblInd w:w="93" w:type="dxa"/>
        <w:tblLook w:val="04A0" w:firstRow="1" w:lastRow="0" w:firstColumn="1" w:lastColumn="0" w:noHBand="0" w:noVBand="1"/>
      </w:tblPr>
      <w:tblGrid>
        <w:gridCol w:w="1860"/>
        <w:gridCol w:w="1100"/>
        <w:gridCol w:w="1100"/>
        <w:gridCol w:w="1100"/>
        <w:gridCol w:w="1100"/>
        <w:gridCol w:w="1100"/>
        <w:gridCol w:w="1100"/>
      </w:tblGrid>
      <w:tr w:rsidR="00126E73" w:rsidRPr="00E97397" w14:paraId="0E96B51D" w14:textId="77777777" w:rsidTr="00126E73">
        <w:trPr>
          <w:trHeight w:val="240"/>
        </w:trPr>
        <w:tc>
          <w:tcPr>
            <w:tcW w:w="1860" w:type="dxa"/>
            <w:tcBorders>
              <w:top w:val="single" w:sz="4" w:space="0" w:color="auto"/>
              <w:left w:val="single" w:sz="4" w:space="0" w:color="auto"/>
              <w:bottom w:val="nil"/>
              <w:right w:val="nil"/>
            </w:tcBorders>
            <w:shd w:val="clear" w:color="auto" w:fill="auto"/>
            <w:noWrap/>
            <w:vAlign w:val="bottom"/>
            <w:hideMark/>
          </w:tcPr>
          <w:p w14:paraId="7E809F19"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single" w:sz="4" w:space="0" w:color="auto"/>
              <w:left w:val="nil"/>
              <w:bottom w:val="nil"/>
              <w:right w:val="nil"/>
            </w:tcBorders>
            <w:shd w:val="clear" w:color="auto" w:fill="auto"/>
            <w:noWrap/>
            <w:vAlign w:val="bottom"/>
            <w:hideMark/>
          </w:tcPr>
          <w:p w14:paraId="27647493"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single" w:sz="4" w:space="0" w:color="auto"/>
              <w:left w:val="nil"/>
              <w:bottom w:val="nil"/>
              <w:right w:val="nil"/>
            </w:tcBorders>
            <w:shd w:val="clear" w:color="auto" w:fill="auto"/>
            <w:noWrap/>
            <w:vAlign w:val="bottom"/>
            <w:hideMark/>
          </w:tcPr>
          <w:p w14:paraId="53D8F3DB" w14:textId="77777777" w:rsidR="00126E73" w:rsidRPr="00E97397" w:rsidRDefault="00126E73" w:rsidP="00126E73">
            <w:pPr>
              <w:spacing w:after="0"/>
              <w:rPr>
                <w:rFonts w:ascii="Arial" w:eastAsia="Times New Roman" w:hAnsi="Arial" w:cs="Arial"/>
                <w:sz w:val="20"/>
                <w:szCs w:val="20"/>
                <w:lang w:eastAsia="en-US"/>
              </w:rPr>
            </w:pPr>
            <w:proofErr w:type="gramStart"/>
            <w:r w:rsidRPr="00E97397">
              <w:rPr>
                <w:rFonts w:ascii="Arial" w:eastAsia="Times New Roman" w:hAnsi="Arial" w:cs="Arial"/>
                <w:sz w:val="20"/>
                <w:szCs w:val="20"/>
                <w:lang w:eastAsia="en-US"/>
              </w:rPr>
              <w:t>up</w:t>
            </w:r>
            <w:proofErr w:type="gramEnd"/>
            <w:r w:rsidRPr="00E97397">
              <w:rPr>
                <w:rFonts w:ascii="Arial" w:eastAsia="Times New Roman" w:hAnsi="Arial" w:cs="Arial"/>
                <w:sz w:val="20"/>
                <w:szCs w:val="20"/>
                <w:lang w:eastAsia="en-US"/>
              </w:rPr>
              <w:t xml:space="preserve"> to 24</w:t>
            </w:r>
          </w:p>
        </w:tc>
        <w:tc>
          <w:tcPr>
            <w:tcW w:w="1100" w:type="dxa"/>
            <w:tcBorders>
              <w:top w:val="single" w:sz="4" w:space="0" w:color="auto"/>
              <w:left w:val="nil"/>
              <w:bottom w:val="nil"/>
              <w:right w:val="nil"/>
            </w:tcBorders>
            <w:shd w:val="clear" w:color="auto" w:fill="auto"/>
            <w:noWrap/>
            <w:vAlign w:val="bottom"/>
            <w:hideMark/>
          </w:tcPr>
          <w:p w14:paraId="45100B33"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25-34</w:t>
            </w:r>
          </w:p>
        </w:tc>
        <w:tc>
          <w:tcPr>
            <w:tcW w:w="1100" w:type="dxa"/>
            <w:tcBorders>
              <w:top w:val="single" w:sz="4" w:space="0" w:color="auto"/>
              <w:left w:val="nil"/>
              <w:bottom w:val="nil"/>
              <w:right w:val="nil"/>
            </w:tcBorders>
            <w:shd w:val="clear" w:color="auto" w:fill="auto"/>
            <w:noWrap/>
            <w:vAlign w:val="bottom"/>
            <w:hideMark/>
          </w:tcPr>
          <w:p w14:paraId="138A79EC"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35-44</w:t>
            </w:r>
          </w:p>
        </w:tc>
        <w:tc>
          <w:tcPr>
            <w:tcW w:w="1100" w:type="dxa"/>
            <w:tcBorders>
              <w:top w:val="single" w:sz="4" w:space="0" w:color="auto"/>
              <w:left w:val="nil"/>
              <w:bottom w:val="nil"/>
              <w:right w:val="nil"/>
            </w:tcBorders>
            <w:shd w:val="clear" w:color="auto" w:fill="auto"/>
            <w:noWrap/>
            <w:vAlign w:val="bottom"/>
            <w:hideMark/>
          </w:tcPr>
          <w:p w14:paraId="427416C5"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45-54</w:t>
            </w:r>
          </w:p>
        </w:tc>
        <w:tc>
          <w:tcPr>
            <w:tcW w:w="1100" w:type="dxa"/>
            <w:tcBorders>
              <w:top w:val="single" w:sz="4" w:space="0" w:color="auto"/>
              <w:left w:val="nil"/>
              <w:bottom w:val="nil"/>
              <w:right w:val="single" w:sz="4" w:space="0" w:color="auto"/>
            </w:tcBorders>
            <w:shd w:val="clear" w:color="auto" w:fill="auto"/>
            <w:noWrap/>
            <w:vAlign w:val="bottom"/>
            <w:hideMark/>
          </w:tcPr>
          <w:p w14:paraId="7A9A5AB4"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55 plus</w:t>
            </w:r>
          </w:p>
        </w:tc>
      </w:tr>
      <w:tr w:rsidR="00126E73" w:rsidRPr="00E97397" w14:paraId="65E8B314" w14:textId="77777777" w:rsidTr="00126E73">
        <w:trPr>
          <w:trHeight w:val="240"/>
        </w:trPr>
        <w:tc>
          <w:tcPr>
            <w:tcW w:w="1860" w:type="dxa"/>
            <w:tcBorders>
              <w:top w:val="nil"/>
              <w:left w:val="single" w:sz="4" w:space="0" w:color="auto"/>
              <w:bottom w:val="nil"/>
              <w:right w:val="nil"/>
            </w:tcBorders>
            <w:shd w:val="clear" w:color="auto" w:fill="auto"/>
            <w:noWrap/>
            <w:vAlign w:val="bottom"/>
          </w:tcPr>
          <w:p w14:paraId="46AEC79E"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tcPr>
          <w:p w14:paraId="3A2CC713"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tcPr>
          <w:p w14:paraId="62DDF31A"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tcPr>
          <w:p w14:paraId="77C4060E"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tcPr>
          <w:p w14:paraId="36295095"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tcPr>
          <w:p w14:paraId="6A052397"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single" w:sz="4" w:space="0" w:color="auto"/>
            </w:tcBorders>
            <w:shd w:val="clear" w:color="auto" w:fill="auto"/>
            <w:noWrap/>
            <w:vAlign w:val="bottom"/>
          </w:tcPr>
          <w:p w14:paraId="62335249" w14:textId="77777777" w:rsidR="00126E73" w:rsidRPr="00E97397" w:rsidRDefault="00126E73" w:rsidP="00126E73">
            <w:pPr>
              <w:spacing w:after="0"/>
              <w:rPr>
                <w:rFonts w:ascii="Arial" w:eastAsia="Times New Roman" w:hAnsi="Arial" w:cs="Arial"/>
                <w:sz w:val="20"/>
                <w:szCs w:val="20"/>
                <w:lang w:eastAsia="en-US"/>
              </w:rPr>
            </w:pPr>
          </w:p>
        </w:tc>
      </w:tr>
      <w:tr w:rsidR="00126E73" w:rsidRPr="00E97397" w14:paraId="7F41BB64"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2B2AEA12"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New Look</w:t>
            </w:r>
          </w:p>
        </w:tc>
        <w:tc>
          <w:tcPr>
            <w:tcW w:w="1100" w:type="dxa"/>
            <w:tcBorders>
              <w:top w:val="nil"/>
              <w:left w:val="nil"/>
              <w:bottom w:val="nil"/>
              <w:right w:val="nil"/>
            </w:tcBorders>
            <w:shd w:val="clear" w:color="auto" w:fill="auto"/>
            <w:noWrap/>
            <w:vAlign w:val="bottom"/>
            <w:hideMark/>
          </w:tcPr>
          <w:p w14:paraId="28628C48"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hideMark/>
          </w:tcPr>
          <w:p w14:paraId="67AC7487"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.53</w:t>
            </w:r>
          </w:p>
        </w:tc>
        <w:tc>
          <w:tcPr>
            <w:tcW w:w="1100" w:type="dxa"/>
            <w:tcBorders>
              <w:top w:val="nil"/>
              <w:left w:val="nil"/>
              <w:bottom w:val="nil"/>
              <w:right w:val="nil"/>
            </w:tcBorders>
            <w:shd w:val="clear" w:color="auto" w:fill="auto"/>
            <w:noWrap/>
            <w:vAlign w:val="bottom"/>
            <w:hideMark/>
          </w:tcPr>
          <w:p w14:paraId="5DFF5F18"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.19</w:t>
            </w:r>
          </w:p>
        </w:tc>
        <w:tc>
          <w:tcPr>
            <w:tcW w:w="1100" w:type="dxa"/>
            <w:tcBorders>
              <w:top w:val="nil"/>
              <w:left w:val="nil"/>
              <w:bottom w:val="nil"/>
              <w:right w:val="nil"/>
            </w:tcBorders>
            <w:shd w:val="clear" w:color="auto" w:fill="auto"/>
            <w:noWrap/>
            <w:vAlign w:val="bottom"/>
            <w:hideMark/>
          </w:tcPr>
          <w:p w14:paraId="28F005D2"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.12</w:t>
            </w:r>
          </w:p>
        </w:tc>
        <w:tc>
          <w:tcPr>
            <w:tcW w:w="1100" w:type="dxa"/>
            <w:tcBorders>
              <w:top w:val="nil"/>
              <w:left w:val="nil"/>
              <w:bottom w:val="nil"/>
              <w:right w:val="nil"/>
            </w:tcBorders>
            <w:shd w:val="clear" w:color="auto" w:fill="auto"/>
            <w:noWrap/>
            <w:vAlign w:val="bottom"/>
            <w:hideMark/>
          </w:tcPr>
          <w:p w14:paraId="1B1C048F"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.10</w:t>
            </w:r>
          </w:p>
        </w:tc>
        <w:tc>
          <w:tcPr>
            <w:tcW w:w="1100" w:type="dxa"/>
            <w:tcBorders>
              <w:top w:val="nil"/>
              <w:left w:val="nil"/>
              <w:bottom w:val="nil"/>
              <w:right w:val="single" w:sz="4" w:space="0" w:color="auto"/>
            </w:tcBorders>
            <w:shd w:val="clear" w:color="auto" w:fill="auto"/>
            <w:noWrap/>
            <w:vAlign w:val="bottom"/>
            <w:hideMark/>
          </w:tcPr>
          <w:p w14:paraId="1CE7AF6D"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.07</w:t>
            </w:r>
          </w:p>
        </w:tc>
      </w:tr>
      <w:tr w:rsidR="00126E73" w:rsidRPr="00E97397" w14:paraId="2C947C12"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17BEE085"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Other</w:t>
            </w:r>
          </w:p>
        </w:tc>
        <w:tc>
          <w:tcPr>
            <w:tcW w:w="1100" w:type="dxa"/>
            <w:tcBorders>
              <w:top w:val="nil"/>
              <w:left w:val="nil"/>
              <w:bottom w:val="nil"/>
              <w:right w:val="nil"/>
            </w:tcBorders>
            <w:shd w:val="clear" w:color="auto" w:fill="auto"/>
            <w:noWrap/>
            <w:vAlign w:val="bottom"/>
            <w:hideMark/>
          </w:tcPr>
          <w:p w14:paraId="10B80518"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hideMark/>
          </w:tcPr>
          <w:p w14:paraId="7EA814B9"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.37</w:t>
            </w:r>
          </w:p>
        </w:tc>
        <w:tc>
          <w:tcPr>
            <w:tcW w:w="1100" w:type="dxa"/>
            <w:tcBorders>
              <w:top w:val="nil"/>
              <w:left w:val="nil"/>
              <w:bottom w:val="nil"/>
              <w:right w:val="nil"/>
            </w:tcBorders>
            <w:shd w:val="clear" w:color="auto" w:fill="auto"/>
            <w:noWrap/>
            <w:vAlign w:val="bottom"/>
            <w:hideMark/>
          </w:tcPr>
          <w:p w14:paraId="11300774"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.21</w:t>
            </w:r>
          </w:p>
        </w:tc>
        <w:tc>
          <w:tcPr>
            <w:tcW w:w="1100" w:type="dxa"/>
            <w:tcBorders>
              <w:top w:val="nil"/>
              <w:left w:val="nil"/>
              <w:bottom w:val="nil"/>
              <w:right w:val="nil"/>
            </w:tcBorders>
            <w:shd w:val="clear" w:color="auto" w:fill="auto"/>
            <w:noWrap/>
            <w:vAlign w:val="bottom"/>
            <w:hideMark/>
          </w:tcPr>
          <w:p w14:paraId="7A9AA58F"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.15</w:t>
            </w:r>
          </w:p>
        </w:tc>
        <w:tc>
          <w:tcPr>
            <w:tcW w:w="1100" w:type="dxa"/>
            <w:tcBorders>
              <w:top w:val="nil"/>
              <w:left w:val="nil"/>
              <w:bottom w:val="nil"/>
              <w:right w:val="nil"/>
            </w:tcBorders>
            <w:shd w:val="clear" w:color="auto" w:fill="auto"/>
            <w:noWrap/>
            <w:vAlign w:val="bottom"/>
            <w:hideMark/>
          </w:tcPr>
          <w:p w14:paraId="19CE568A"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.18</w:t>
            </w:r>
          </w:p>
        </w:tc>
        <w:tc>
          <w:tcPr>
            <w:tcW w:w="1100" w:type="dxa"/>
            <w:tcBorders>
              <w:top w:val="nil"/>
              <w:left w:val="nil"/>
              <w:bottom w:val="nil"/>
              <w:right w:val="single" w:sz="4" w:space="0" w:color="auto"/>
            </w:tcBorders>
            <w:shd w:val="clear" w:color="auto" w:fill="auto"/>
            <w:noWrap/>
            <w:vAlign w:val="bottom"/>
            <w:hideMark/>
          </w:tcPr>
          <w:p w14:paraId="1BDA9BB7"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.11</w:t>
            </w:r>
          </w:p>
        </w:tc>
      </w:tr>
      <w:tr w:rsidR="00126E73" w:rsidRPr="00E97397" w14:paraId="1AB15B21"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5768880B"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Next</w:t>
            </w:r>
          </w:p>
        </w:tc>
        <w:tc>
          <w:tcPr>
            <w:tcW w:w="1100" w:type="dxa"/>
            <w:tcBorders>
              <w:top w:val="nil"/>
              <w:left w:val="nil"/>
              <w:bottom w:val="nil"/>
              <w:right w:val="nil"/>
            </w:tcBorders>
            <w:shd w:val="clear" w:color="auto" w:fill="auto"/>
            <w:noWrap/>
            <w:vAlign w:val="bottom"/>
            <w:hideMark/>
          </w:tcPr>
          <w:p w14:paraId="6037EF1A"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hideMark/>
          </w:tcPr>
          <w:p w14:paraId="5CDCA1DE"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.13</w:t>
            </w:r>
          </w:p>
        </w:tc>
        <w:tc>
          <w:tcPr>
            <w:tcW w:w="1100" w:type="dxa"/>
            <w:tcBorders>
              <w:top w:val="nil"/>
              <w:left w:val="nil"/>
              <w:bottom w:val="nil"/>
              <w:right w:val="nil"/>
            </w:tcBorders>
            <w:shd w:val="clear" w:color="auto" w:fill="auto"/>
            <w:noWrap/>
            <w:vAlign w:val="bottom"/>
            <w:hideMark/>
          </w:tcPr>
          <w:p w14:paraId="173AB14B"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.21</w:t>
            </w:r>
          </w:p>
        </w:tc>
        <w:tc>
          <w:tcPr>
            <w:tcW w:w="1100" w:type="dxa"/>
            <w:tcBorders>
              <w:top w:val="nil"/>
              <w:left w:val="nil"/>
              <w:bottom w:val="nil"/>
              <w:right w:val="nil"/>
            </w:tcBorders>
            <w:shd w:val="clear" w:color="auto" w:fill="auto"/>
            <w:noWrap/>
            <w:vAlign w:val="bottom"/>
            <w:hideMark/>
          </w:tcPr>
          <w:p w14:paraId="41B05673"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.25</w:t>
            </w:r>
          </w:p>
        </w:tc>
        <w:tc>
          <w:tcPr>
            <w:tcW w:w="1100" w:type="dxa"/>
            <w:tcBorders>
              <w:top w:val="nil"/>
              <w:left w:val="nil"/>
              <w:bottom w:val="nil"/>
              <w:right w:val="nil"/>
            </w:tcBorders>
            <w:shd w:val="clear" w:color="auto" w:fill="auto"/>
            <w:noWrap/>
            <w:vAlign w:val="bottom"/>
            <w:hideMark/>
          </w:tcPr>
          <w:p w14:paraId="24F14934"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.24</w:t>
            </w:r>
          </w:p>
        </w:tc>
        <w:tc>
          <w:tcPr>
            <w:tcW w:w="1100" w:type="dxa"/>
            <w:tcBorders>
              <w:top w:val="nil"/>
              <w:left w:val="nil"/>
              <w:bottom w:val="nil"/>
              <w:right w:val="single" w:sz="4" w:space="0" w:color="auto"/>
            </w:tcBorders>
            <w:shd w:val="clear" w:color="auto" w:fill="auto"/>
            <w:noWrap/>
            <w:vAlign w:val="bottom"/>
            <w:hideMark/>
          </w:tcPr>
          <w:p w14:paraId="5792180C"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.18</w:t>
            </w:r>
          </w:p>
        </w:tc>
      </w:tr>
      <w:tr w:rsidR="00126E73" w:rsidRPr="00E97397" w14:paraId="6B84DD31"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2101C181" w14:textId="77777777" w:rsidR="00126E73" w:rsidRPr="00E97397" w:rsidRDefault="00126E73" w:rsidP="00126E73">
            <w:pPr>
              <w:spacing w:after="0"/>
              <w:rPr>
                <w:rFonts w:ascii="Arial" w:eastAsia="Times New Roman" w:hAnsi="Arial" w:cs="Arial"/>
                <w:sz w:val="20"/>
                <w:szCs w:val="20"/>
                <w:lang w:eastAsia="en-US"/>
              </w:rPr>
            </w:pPr>
            <w:proofErr w:type="spellStart"/>
            <w:r w:rsidRPr="00E97397">
              <w:rPr>
                <w:rFonts w:ascii="Arial" w:eastAsia="Times New Roman" w:hAnsi="Arial" w:cs="Arial"/>
                <w:sz w:val="20"/>
                <w:szCs w:val="20"/>
                <w:lang w:eastAsia="en-US"/>
              </w:rPr>
              <w:t>Hennes</w:t>
            </w:r>
            <w:proofErr w:type="spellEnd"/>
            <w:r w:rsidRPr="00E97397">
              <w:rPr>
                <w:rFonts w:ascii="Arial" w:eastAsia="Times New Roman" w:hAnsi="Arial" w:cs="Arial"/>
                <w:sz w:val="20"/>
                <w:szCs w:val="20"/>
                <w:lang w:eastAsia="en-US"/>
              </w:rPr>
              <w:t>/H&amp;M</w:t>
            </w:r>
          </w:p>
        </w:tc>
        <w:tc>
          <w:tcPr>
            <w:tcW w:w="1100" w:type="dxa"/>
            <w:tcBorders>
              <w:top w:val="nil"/>
              <w:left w:val="nil"/>
              <w:bottom w:val="nil"/>
              <w:right w:val="nil"/>
            </w:tcBorders>
            <w:shd w:val="clear" w:color="auto" w:fill="auto"/>
            <w:noWrap/>
            <w:vAlign w:val="bottom"/>
            <w:hideMark/>
          </w:tcPr>
          <w:p w14:paraId="5B693466"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hideMark/>
          </w:tcPr>
          <w:p w14:paraId="6E0C1248"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.50</w:t>
            </w:r>
          </w:p>
        </w:tc>
        <w:tc>
          <w:tcPr>
            <w:tcW w:w="1100" w:type="dxa"/>
            <w:tcBorders>
              <w:top w:val="nil"/>
              <w:left w:val="nil"/>
              <w:bottom w:val="nil"/>
              <w:right w:val="nil"/>
            </w:tcBorders>
            <w:shd w:val="clear" w:color="auto" w:fill="auto"/>
            <w:noWrap/>
            <w:vAlign w:val="bottom"/>
            <w:hideMark/>
          </w:tcPr>
          <w:p w14:paraId="60263D34"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.24</w:t>
            </w:r>
          </w:p>
        </w:tc>
        <w:tc>
          <w:tcPr>
            <w:tcW w:w="1100" w:type="dxa"/>
            <w:tcBorders>
              <w:top w:val="nil"/>
              <w:left w:val="nil"/>
              <w:bottom w:val="nil"/>
              <w:right w:val="nil"/>
            </w:tcBorders>
            <w:shd w:val="clear" w:color="auto" w:fill="auto"/>
            <w:noWrap/>
            <w:vAlign w:val="bottom"/>
            <w:hideMark/>
          </w:tcPr>
          <w:p w14:paraId="3606E735"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.10</w:t>
            </w:r>
          </w:p>
        </w:tc>
        <w:tc>
          <w:tcPr>
            <w:tcW w:w="1100" w:type="dxa"/>
            <w:tcBorders>
              <w:top w:val="nil"/>
              <w:left w:val="nil"/>
              <w:bottom w:val="nil"/>
              <w:right w:val="nil"/>
            </w:tcBorders>
            <w:shd w:val="clear" w:color="auto" w:fill="auto"/>
            <w:noWrap/>
            <w:vAlign w:val="bottom"/>
            <w:hideMark/>
          </w:tcPr>
          <w:p w14:paraId="41E0A4A3"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.08</w:t>
            </w:r>
          </w:p>
        </w:tc>
        <w:tc>
          <w:tcPr>
            <w:tcW w:w="1100" w:type="dxa"/>
            <w:tcBorders>
              <w:top w:val="nil"/>
              <w:left w:val="nil"/>
              <w:bottom w:val="nil"/>
              <w:right w:val="single" w:sz="4" w:space="0" w:color="auto"/>
            </w:tcBorders>
            <w:shd w:val="clear" w:color="auto" w:fill="auto"/>
            <w:noWrap/>
            <w:vAlign w:val="bottom"/>
            <w:hideMark/>
          </w:tcPr>
          <w:p w14:paraId="6218C686"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.08</w:t>
            </w:r>
          </w:p>
        </w:tc>
      </w:tr>
      <w:tr w:rsidR="00126E73" w:rsidRPr="00E97397" w14:paraId="423F8067"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63268AD3"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Dorothy Perkins</w:t>
            </w:r>
          </w:p>
        </w:tc>
        <w:tc>
          <w:tcPr>
            <w:tcW w:w="1100" w:type="dxa"/>
            <w:tcBorders>
              <w:top w:val="nil"/>
              <w:left w:val="nil"/>
              <w:bottom w:val="nil"/>
              <w:right w:val="nil"/>
            </w:tcBorders>
            <w:shd w:val="clear" w:color="auto" w:fill="auto"/>
            <w:noWrap/>
            <w:vAlign w:val="bottom"/>
            <w:hideMark/>
          </w:tcPr>
          <w:p w14:paraId="58A89B64"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hideMark/>
          </w:tcPr>
          <w:p w14:paraId="575E23E4"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.34</w:t>
            </w:r>
          </w:p>
        </w:tc>
        <w:tc>
          <w:tcPr>
            <w:tcW w:w="1100" w:type="dxa"/>
            <w:tcBorders>
              <w:top w:val="nil"/>
              <w:left w:val="nil"/>
              <w:bottom w:val="nil"/>
              <w:right w:val="nil"/>
            </w:tcBorders>
            <w:shd w:val="clear" w:color="auto" w:fill="auto"/>
            <w:noWrap/>
            <w:vAlign w:val="bottom"/>
            <w:hideMark/>
          </w:tcPr>
          <w:p w14:paraId="5193D67E"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.33</w:t>
            </w:r>
          </w:p>
        </w:tc>
        <w:tc>
          <w:tcPr>
            <w:tcW w:w="1100" w:type="dxa"/>
            <w:tcBorders>
              <w:top w:val="nil"/>
              <w:left w:val="nil"/>
              <w:bottom w:val="nil"/>
              <w:right w:val="nil"/>
            </w:tcBorders>
            <w:shd w:val="clear" w:color="auto" w:fill="auto"/>
            <w:noWrap/>
            <w:vAlign w:val="bottom"/>
            <w:hideMark/>
          </w:tcPr>
          <w:p w14:paraId="2F98727F"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.18</w:t>
            </w:r>
          </w:p>
        </w:tc>
        <w:tc>
          <w:tcPr>
            <w:tcW w:w="1100" w:type="dxa"/>
            <w:tcBorders>
              <w:top w:val="nil"/>
              <w:left w:val="nil"/>
              <w:bottom w:val="nil"/>
              <w:right w:val="nil"/>
            </w:tcBorders>
            <w:shd w:val="clear" w:color="auto" w:fill="auto"/>
            <w:noWrap/>
            <w:vAlign w:val="bottom"/>
            <w:hideMark/>
          </w:tcPr>
          <w:p w14:paraId="066D39FF"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.11</w:t>
            </w:r>
          </w:p>
        </w:tc>
        <w:tc>
          <w:tcPr>
            <w:tcW w:w="1100" w:type="dxa"/>
            <w:tcBorders>
              <w:top w:val="nil"/>
              <w:left w:val="nil"/>
              <w:bottom w:val="nil"/>
              <w:right w:val="single" w:sz="4" w:space="0" w:color="auto"/>
            </w:tcBorders>
            <w:shd w:val="clear" w:color="auto" w:fill="auto"/>
            <w:noWrap/>
            <w:vAlign w:val="bottom"/>
            <w:hideMark/>
          </w:tcPr>
          <w:p w14:paraId="2756A688"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.05</w:t>
            </w:r>
          </w:p>
        </w:tc>
      </w:tr>
      <w:tr w:rsidR="00126E73" w:rsidRPr="00E97397" w14:paraId="50E250E7"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192DD6D2"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Top Shop</w:t>
            </w:r>
          </w:p>
        </w:tc>
        <w:tc>
          <w:tcPr>
            <w:tcW w:w="1100" w:type="dxa"/>
            <w:tcBorders>
              <w:top w:val="nil"/>
              <w:left w:val="nil"/>
              <w:bottom w:val="nil"/>
              <w:right w:val="nil"/>
            </w:tcBorders>
            <w:shd w:val="clear" w:color="auto" w:fill="auto"/>
            <w:noWrap/>
            <w:vAlign w:val="bottom"/>
            <w:hideMark/>
          </w:tcPr>
          <w:p w14:paraId="0E97033E"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hideMark/>
          </w:tcPr>
          <w:p w14:paraId="526429E7" w14:textId="6DFDE227" w:rsidR="00126E73" w:rsidRPr="00E97397" w:rsidRDefault="0050192B" w:rsidP="00126E73">
            <w:pPr>
              <w:spacing w:after="0"/>
              <w:rPr>
                <w:rFonts w:ascii="Arial" w:eastAsia="Times New Roman" w:hAnsi="Arial" w:cs="Arial"/>
                <w:sz w:val="20"/>
                <w:szCs w:val="20"/>
                <w:lang w:eastAsia="en-US"/>
              </w:rPr>
            </w:pPr>
            <w:r>
              <w:rPr>
                <w:rFonts w:ascii="Arial" w:eastAsia="Times New Roman" w:hAnsi="Arial" w:cs="Arial"/>
                <w:sz w:val="20"/>
                <w:szCs w:val="20"/>
                <w:lang w:eastAsia="en-US"/>
              </w:rPr>
              <w:t>.6</w:t>
            </w:r>
            <w:r w:rsidR="00126E73" w:rsidRPr="00E97397">
              <w:rPr>
                <w:rFonts w:ascii="Arial" w:eastAsia="Times New Roman" w:hAnsi="Arial" w:cs="Arial"/>
                <w:sz w:val="20"/>
                <w:szCs w:val="20"/>
                <w:lang w:eastAsia="en-US"/>
              </w:rPr>
              <w:t>4</w:t>
            </w:r>
          </w:p>
        </w:tc>
        <w:tc>
          <w:tcPr>
            <w:tcW w:w="1100" w:type="dxa"/>
            <w:tcBorders>
              <w:top w:val="nil"/>
              <w:left w:val="nil"/>
              <w:bottom w:val="nil"/>
              <w:right w:val="nil"/>
            </w:tcBorders>
            <w:shd w:val="clear" w:color="auto" w:fill="auto"/>
            <w:noWrap/>
            <w:vAlign w:val="bottom"/>
            <w:hideMark/>
          </w:tcPr>
          <w:p w14:paraId="67A86E96"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.16</w:t>
            </w:r>
          </w:p>
        </w:tc>
        <w:tc>
          <w:tcPr>
            <w:tcW w:w="1100" w:type="dxa"/>
            <w:tcBorders>
              <w:top w:val="nil"/>
              <w:left w:val="nil"/>
              <w:bottom w:val="nil"/>
              <w:right w:val="nil"/>
            </w:tcBorders>
            <w:shd w:val="clear" w:color="auto" w:fill="auto"/>
            <w:noWrap/>
            <w:vAlign w:val="bottom"/>
            <w:hideMark/>
          </w:tcPr>
          <w:p w14:paraId="43A7715E"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.06</w:t>
            </w:r>
          </w:p>
        </w:tc>
        <w:tc>
          <w:tcPr>
            <w:tcW w:w="1100" w:type="dxa"/>
            <w:tcBorders>
              <w:top w:val="nil"/>
              <w:left w:val="nil"/>
              <w:bottom w:val="nil"/>
              <w:right w:val="nil"/>
            </w:tcBorders>
            <w:shd w:val="clear" w:color="auto" w:fill="auto"/>
            <w:noWrap/>
            <w:vAlign w:val="bottom"/>
            <w:hideMark/>
          </w:tcPr>
          <w:p w14:paraId="09B50D2D"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.03</w:t>
            </w:r>
          </w:p>
        </w:tc>
        <w:tc>
          <w:tcPr>
            <w:tcW w:w="1100" w:type="dxa"/>
            <w:tcBorders>
              <w:top w:val="nil"/>
              <w:left w:val="nil"/>
              <w:bottom w:val="nil"/>
              <w:right w:val="single" w:sz="4" w:space="0" w:color="auto"/>
            </w:tcBorders>
            <w:shd w:val="clear" w:color="auto" w:fill="auto"/>
            <w:noWrap/>
            <w:vAlign w:val="bottom"/>
            <w:hideMark/>
          </w:tcPr>
          <w:p w14:paraId="01C72BA7"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.01</w:t>
            </w:r>
          </w:p>
        </w:tc>
      </w:tr>
      <w:tr w:rsidR="00126E73" w:rsidRPr="00E97397" w14:paraId="6270BE59"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15468058"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River Island</w:t>
            </w:r>
          </w:p>
        </w:tc>
        <w:tc>
          <w:tcPr>
            <w:tcW w:w="1100" w:type="dxa"/>
            <w:tcBorders>
              <w:top w:val="nil"/>
              <w:left w:val="nil"/>
              <w:bottom w:val="nil"/>
              <w:right w:val="nil"/>
            </w:tcBorders>
            <w:shd w:val="clear" w:color="auto" w:fill="auto"/>
            <w:noWrap/>
            <w:vAlign w:val="bottom"/>
            <w:hideMark/>
          </w:tcPr>
          <w:p w14:paraId="4CB672F4" w14:textId="77777777" w:rsidR="00126E73" w:rsidRPr="00E97397" w:rsidRDefault="00126E73" w:rsidP="00126E73">
            <w:pPr>
              <w:spacing w:after="0"/>
              <w:rPr>
                <w:rFonts w:ascii="Arial" w:eastAsia="Times New Roman" w:hAnsi="Arial" w:cs="Arial"/>
                <w:sz w:val="20"/>
                <w:szCs w:val="20"/>
                <w:lang w:eastAsia="en-US"/>
              </w:rPr>
            </w:pPr>
          </w:p>
        </w:tc>
        <w:tc>
          <w:tcPr>
            <w:tcW w:w="1100" w:type="dxa"/>
            <w:tcBorders>
              <w:top w:val="nil"/>
              <w:left w:val="nil"/>
              <w:bottom w:val="nil"/>
              <w:right w:val="nil"/>
            </w:tcBorders>
            <w:shd w:val="clear" w:color="auto" w:fill="auto"/>
            <w:noWrap/>
            <w:vAlign w:val="bottom"/>
            <w:hideMark/>
          </w:tcPr>
          <w:p w14:paraId="0E64E352"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.53</w:t>
            </w:r>
          </w:p>
        </w:tc>
        <w:tc>
          <w:tcPr>
            <w:tcW w:w="1100" w:type="dxa"/>
            <w:tcBorders>
              <w:top w:val="nil"/>
              <w:left w:val="nil"/>
              <w:bottom w:val="nil"/>
              <w:right w:val="nil"/>
            </w:tcBorders>
            <w:shd w:val="clear" w:color="auto" w:fill="auto"/>
            <w:noWrap/>
            <w:vAlign w:val="bottom"/>
            <w:hideMark/>
          </w:tcPr>
          <w:p w14:paraId="4F716AC0"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.19</w:t>
            </w:r>
          </w:p>
        </w:tc>
        <w:tc>
          <w:tcPr>
            <w:tcW w:w="1100" w:type="dxa"/>
            <w:tcBorders>
              <w:top w:val="nil"/>
              <w:left w:val="nil"/>
              <w:bottom w:val="nil"/>
              <w:right w:val="nil"/>
            </w:tcBorders>
            <w:shd w:val="clear" w:color="auto" w:fill="auto"/>
            <w:noWrap/>
            <w:vAlign w:val="bottom"/>
            <w:hideMark/>
          </w:tcPr>
          <w:p w14:paraId="4D1916CD"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.14</w:t>
            </w:r>
          </w:p>
        </w:tc>
        <w:tc>
          <w:tcPr>
            <w:tcW w:w="1100" w:type="dxa"/>
            <w:tcBorders>
              <w:top w:val="nil"/>
              <w:left w:val="nil"/>
              <w:bottom w:val="nil"/>
              <w:right w:val="nil"/>
            </w:tcBorders>
            <w:shd w:val="clear" w:color="auto" w:fill="auto"/>
            <w:noWrap/>
            <w:vAlign w:val="bottom"/>
            <w:hideMark/>
          </w:tcPr>
          <w:p w14:paraId="568C8226"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.12</w:t>
            </w:r>
          </w:p>
        </w:tc>
        <w:tc>
          <w:tcPr>
            <w:tcW w:w="1100" w:type="dxa"/>
            <w:tcBorders>
              <w:top w:val="nil"/>
              <w:left w:val="nil"/>
              <w:bottom w:val="nil"/>
              <w:right w:val="single" w:sz="4" w:space="0" w:color="auto"/>
            </w:tcBorders>
            <w:shd w:val="clear" w:color="auto" w:fill="auto"/>
            <w:noWrap/>
            <w:vAlign w:val="bottom"/>
            <w:hideMark/>
          </w:tcPr>
          <w:p w14:paraId="6769D72D"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.02</w:t>
            </w:r>
          </w:p>
        </w:tc>
      </w:tr>
      <w:tr w:rsidR="00126E73" w:rsidRPr="00E97397" w14:paraId="37DDB57D"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1A4356D8"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Monsoon</w:t>
            </w:r>
          </w:p>
        </w:tc>
        <w:tc>
          <w:tcPr>
            <w:tcW w:w="1100" w:type="dxa"/>
            <w:tcBorders>
              <w:top w:val="nil"/>
              <w:left w:val="nil"/>
              <w:bottom w:val="nil"/>
              <w:right w:val="nil"/>
            </w:tcBorders>
            <w:shd w:val="clear" w:color="auto" w:fill="auto"/>
            <w:noWrap/>
            <w:vAlign w:val="bottom"/>
            <w:hideMark/>
          </w:tcPr>
          <w:p w14:paraId="24674F46"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2A58E9C0"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.11</w:t>
            </w:r>
          </w:p>
        </w:tc>
        <w:tc>
          <w:tcPr>
            <w:tcW w:w="1100" w:type="dxa"/>
            <w:tcBorders>
              <w:top w:val="nil"/>
              <w:left w:val="nil"/>
              <w:bottom w:val="nil"/>
              <w:right w:val="nil"/>
            </w:tcBorders>
            <w:shd w:val="clear" w:color="auto" w:fill="auto"/>
            <w:noWrap/>
            <w:vAlign w:val="bottom"/>
            <w:hideMark/>
          </w:tcPr>
          <w:p w14:paraId="300C42DE"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.17</w:t>
            </w:r>
          </w:p>
        </w:tc>
        <w:tc>
          <w:tcPr>
            <w:tcW w:w="1100" w:type="dxa"/>
            <w:tcBorders>
              <w:top w:val="nil"/>
              <w:left w:val="nil"/>
              <w:bottom w:val="nil"/>
              <w:right w:val="nil"/>
            </w:tcBorders>
            <w:shd w:val="clear" w:color="auto" w:fill="auto"/>
            <w:noWrap/>
            <w:vAlign w:val="bottom"/>
            <w:hideMark/>
          </w:tcPr>
          <w:p w14:paraId="616E0980"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.22</w:t>
            </w:r>
          </w:p>
        </w:tc>
        <w:tc>
          <w:tcPr>
            <w:tcW w:w="1100" w:type="dxa"/>
            <w:tcBorders>
              <w:top w:val="nil"/>
              <w:left w:val="nil"/>
              <w:bottom w:val="nil"/>
              <w:right w:val="nil"/>
            </w:tcBorders>
            <w:shd w:val="clear" w:color="auto" w:fill="auto"/>
            <w:noWrap/>
            <w:vAlign w:val="bottom"/>
            <w:hideMark/>
          </w:tcPr>
          <w:p w14:paraId="556F5EF2"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.22</w:t>
            </w:r>
          </w:p>
        </w:tc>
        <w:tc>
          <w:tcPr>
            <w:tcW w:w="1100" w:type="dxa"/>
            <w:tcBorders>
              <w:top w:val="nil"/>
              <w:left w:val="nil"/>
              <w:bottom w:val="nil"/>
              <w:right w:val="single" w:sz="4" w:space="0" w:color="auto"/>
            </w:tcBorders>
            <w:shd w:val="clear" w:color="auto" w:fill="auto"/>
            <w:noWrap/>
            <w:vAlign w:val="bottom"/>
            <w:hideMark/>
          </w:tcPr>
          <w:p w14:paraId="2C9A55E3"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.28</w:t>
            </w:r>
          </w:p>
        </w:tc>
      </w:tr>
      <w:tr w:rsidR="00126E73" w:rsidRPr="00E97397" w14:paraId="14C4B6DB"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4F8855F3"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Miss Selfridge</w:t>
            </w:r>
          </w:p>
        </w:tc>
        <w:tc>
          <w:tcPr>
            <w:tcW w:w="1100" w:type="dxa"/>
            <w:tcBorders>
              <w:top w:val="nil"/>
              <w:left w:val="nil"/>
              <w:bottom w:val="nil"/>
              <w:right w:val="nil"/>
            </w:tcBorders>
            <w:shd w:val="clear" w:color="auto" w:fill="auto"/>
            <w:noWrap/>
            <w:vAlign w:val="bottom"/>
            <w:hideMark/>
          </w:tcPr>
          <w:p w14:paraId="3C562771"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5033DD8F"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.70</w:t>
            </w:r>
          </w:p>
        </w:tc>
        <w:tc>
          <w:tcPr>
            <w:tcW w:w="1100" w:type="dxa"/>
            <w:tcBorders>
              <w:top w:val="nil"/>
              <w:left w:val="nil"/>
              <w:bottom w:val="nil"/>
              <w:right w:val="nil"/>
            </w:tcBorders>
            <w:shd w:val="clear" w:color="auto" w:fill="auto"/>
            <w:noWrap/>
            <w:vAlign w:val="bottom"/>
            <w:hideMark/>
          </w:tcPr>
          <w:p w14:paraId="70C7AA09"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.17</w:t>
            </w:r>
          </w:p>
        </w:tc>
        <w:tc>
          <w:tcPr>
            <w:tcW w:w="1100" w:type="dxa"/>
            <w:tcBorders>
              <w:top w:val="nil"/>
              <w:left w:val="nil"/>
              <w:bottom w:val="nil"/>
              <w:right w:val="nil"/>
            </w:tcBorders>
            <w:shd w:val="clear" w:color="auto" w:fill="auto"/>
            <w:noWrap/>
            <w:vAlign w:val="bottom"/>
            <w:hideMark/>
          </w:tcPr>
          <w:p w14:paraId="36D31B79"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.06</w:t>
            </w:r>
          </w:p>
        </w:tc>
        <w:tc>
          <w:tcPr>
            <w:tcW w:w="1100" w:type="dxa"/>
            <w:tcBorders>
              <w:top w:val="nil"/>
              <w:left w:val="nil"/>
              <w:bottom w:val="nil"/>
              <w:right w:val="nil"/>
            </w:tcBorders>
            <w:shd w:val="clear" w:color="auto" w:fill="auto"/>
            <w:noWrap/>
            <w:vAlign w:val="bottom"/>
            <w:hideMark/>
          </w:tcPr>
          <w:p w14:paraId="5BD1C2B4"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.06</w:t>
            </w:r>
          </w:p>
        </w:tc>
        <w:tc>
          <w:tcPr>
            <w:tcW w:w="1100" w:type="dxa"/>
            <w:tcBorders>
              <w:top w:val="nil"/>
              <w:left w:val="nil"/>
              <w:bottom w:val="nil"/>
              <w:right w:val="single" w:sz="4" w:space="0" w:color="auto"/>
            </w:tcBorders>
            <w:shd w:val="clear" w:color="auto" w:fill="auto"/>
            <w:noWrap/>
            <w:vAlign w:val="bottom"/>
            <w:hideMark/>
          </w:tcPr>
          <w:p w14:paraId="192753C0"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.02</w:t>
            </w:r>
          </w:p>
        </w:tc>
      </w:tr>
      <w:tr w:rsidR="00126E73" w:rsidRPr="00E97397" w14:paraId="5CA58FD8"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59A7BBAF"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Zara</w:t>
            </w:r>
          </w:p>
        </w:tc>
        <w:tc>
          <w:tcPr>
            <w:tcW w:w="1100" w:type="dxa"/>
            <w:tcBorders>
              <w:top w:val="nil"/>
              <w:left w:val="nil"/>
              <w:bottom w:val="nil"/>
              <w:right w:val="nil"/>
            </w:tcBorders>
            <w:shd w:val="clear" w:color="auto" w:fill="auto"/>
            <w:noWrap/>
            <w:vAlign w:val="bottom"/>
            <w:hideMark/>
          </w:tcPr>
          <w:p w14:paraId="12D81765"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070649F9"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.39</w:t>
            </w:r>
          </w:p>
        </w:tc>
        <w:tc>
          <w:tcPr>
            <w:tcW w:w="1100" w:type="dxa"/>
            <w:tcBorders>
              <w:top w:val="nil"/>
              <w:left w:val="nil"/>
              <w:bottom w:val="nil"/>
              <w:right w:val="nil"/>
            </w:tcBorders>
            <w:shd w:val="clear" w:color="auto" w:fill="auto"/>
            <w:noWrap/>
            <w:vAlign w:val="bottom"/>
            <w:hideMark/>
          </w:tcPr>
          <w:p w14:paraId="1750857D"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.22</w:t>
            </w:r>
          </w:p>
        </w:tc>
        <w:tc>
          <w:tcPr>
            <w:tcW w:w="1100" w:type="dxa"/>
            <w:tcBorders>
              <w:top w:val="nil"/>
              <w:left w:val="nil"/>
              <w:bottom w:val="nil"/>
              <w:right w:val="nil"/>
            </w:tcBorders>
            <w:shd w:val="clear" w:color="auto" w:fill="auto"/>
            <w:noWrap/>
            <w:vAlign w:val="bottom"/>
            <w:hideMark/>
          </w:tcPr>
          <w:p w14:paraId="071DD073"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.17</w:t>
            </w:r>
          </w:p>
        </w:tc>
        <w:tc>
          <w:tcPr>
            <w:tcW w:w="1100" w:type="dxa"/>
            <w:tcBorders>
              <w:top w:val="nil"/>
              <w:left w:val="nil"/>
              <w:bottom w:val="nil"/>
              <w:right w:val="nil"/>
            </w:tcBorders>
            <w:shd w:val="clear" w:color="auto" w:fill="auto"/>
            <w:noWrap/>
            <w:vAlign w:val="bottom"/>
            <w:hideMark/>
          </w:tcPr>
          <w:p w14:paraId="1DD27C8F"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.17</w:t>
            </w:r>
          </w:p>
        </w:tc>
        <w:tc>
          <w:tcPr>
            <w:tcW w:w="1100" w:type="dxa"/>
            <w:tcBorders>
              <w:top w:val="nil"/>
              <w:left w:val="nil"/>
              <w:bottom w:val="nil"/>
              <w:right w:val="single" w:sz="4" w:space="0" w:color="auto"/>
            </w:tcBorders>
            <w:shd w:val="clear" w:color="auto" w:fill="auto"/>
            <w:noWrap/>
            <w:vAlign w:val="bottom"/>
            <w:hideMark/>
          </w:tcPr>
          <w:p w14:paraId="2F0136F1"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.06</w:t>
            </w:r>
          </w:p>
        </w:tc>
      </w:tr>
      <w:tr w:rsidR="00126E73" w:rsidRPr="00E97397" w14:paraId="6923AB6C"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568C3892"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Wallis</w:t>
            </w:r>
          </w:p>
        </w:tc>
        <w:tc>
          <w:tcPr>
            <w:tcW w:w="1100" w:type="dxa"/>
            <w:tcBorders>
              <w:top w:val="nil"/>
              <w:left w:val="nil"/>
              <w:bottom w:val="nil"/>
              <w:right w:val="nil"/>
            </w:tcBorders>
            <w:shd w:val="clear" w:color="auto" w:fill="auto"/>
            <w:noWrap/>
            <w:vAlign w:val="bottom"/>
            <w:hideMark/>
          </w:tcPr>
          <w:p w14:paraId="5C63107B"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5F7C178C"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.13</w:t>
            </w:r>
          </w:p>
        </w:tc>
        <w:tc>
          <w:tcPr>
            <w:tcW w:w="1100" w:type="dxa"/>
            <w:tcBorders>
              <w:top w:val="nil"/>
              <w:left w:val="nil"/>
              <w:bottom w:val="nil"/>
              <w:right w:val="nil"/>
            </w:tcBorders>
            <w:shd w:val="clear" w:color="auto" w:fill="auto"/>
            <w:noWrap/>
            <w:vAlign w:val="bottom"/>
            <w:hideMark/>
          </w:tcPr>
          <w:p w14:paraId="36A04009"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.10</w:t>
            </w:r>
          </w:p>
        </w:tc>
        <w:tc>
          <w:tcPr>
            <w:tcW w:w="1100" w:type="dxa"/>
            <w:tcBorders>
              <w:top w:val="nil"/>
              <w:left w:val="nil"/>
              <w:bottom w:val="nil"/>
              <w:right w:val="nil"/>
            </w:tcBorders>
            <w:shd w:val="clear" w:color="auto" w:fill="auto"/>
            <w:noWrap/>
            <w:vAlign w:val="bottom"/>
            <w:hideMark/>
          </w:tcPr>
          <w:p w14:paraId="3CC55B82"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.19</w:t>
            </w:r>
          </w:p>
        </w:tc>
        <w:tc>
          <w:tcPr>
            <w:tcW w:w="1100" w:type="dxa"/>
            <w:tcBorders>
              <w:top w:val="nil"/>
              <w:left w:val="nil"/>
              <w:bottom w:val="nil"/>
              <w:right w:val="nil"/>
            </w:tcBorders>
            <w:shd w:val="clear" w:color="auto" w:fill="auto"/>
            <w:noWrap/>
            <w:vAlign w:val="bottom"/>
            <w:hideMark/>
          </w:tcPr>
          <w:p w14:paraId="7A545394"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.48</w:t>
            </w:r>
          </w:p>
        </w:tc>
        <w:tc>
          <w:tcPr>
            <w:tcW w:w="1100" w:type="dxa"/>
            <w:tcBorders>
              <w:top w:val="nil"/>
              <w:left w:val="nil"/>
              <w:bottom w:val="nil"/>
              <w:right w:val="single" w:sz="4" w:space="0" w:color="auto"/>
            </w:tcBorders>
            <w:shd w:val="clear" w:color="auto" w:fill="auto"/>
            <w:noWrap/>
            <w:vAlign w:val="bottom"/>
            <w:hideMark/>
          </w:tcPr>
          <w:p w14:paraId="10174E4D"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.10</w:t>
            </w:r>
          </w:p>
        </w:tc>
      </w:tr>
      <w:tr w:rsidR="00126E73" w:rsidRPr="00E97397" w14:paraId="127A9AFD" w14:textId="77777777" w:rsidTr="00126E73">
        <w:trPr>
          <w:trHeight w:val="240"/>
        </w:trPr>
        <w:tc>
          <w:tcPr>
            <w:tcW w:w="1860" w:type="dxa"/>
            <w:tcBorders>
              <w:top w:val="nil"/>
              <w:left w:val="single" w:sz="4" w:space="0" w:color="auto"/>
              <w:bottom w:val="nil"/>
              <w:right w:val="nil"/>
            </w:tcBorders>
            <w:shd w:val="clear" w:color="auto" w:fill="auto"/>
            <w:noWrap/>
            <w:vAlign w:val="bottom"/>
            <w:hideMark/>
          </w:tcPr>
          <w:p w14:paraId="18744B11"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4070962E"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3A3E35BB"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7FA02AA9"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3E918C88"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70C9100D"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nil"/>
              <w:right w:val="single" w:sz="4" w:space="0" w:color="auto"/>
            </w:tcBorders>
            <w:shd w:val="clear" w:color="auto" w:fill="auto"/>
            <w:noWrap/>
            <w:vAlign w:val="bottom"/>
            <w:hideMark/>
          </w:tcPr>
          <w:p w14:paraId="6C79A9F9" w14:textId="77777777" w:rsidR="00126E73" w:rsidRPr="00E97397" w:rsidRDefault="00126E73" w:rsidP="00126E73">
            <w:pPr>
              <w:spacing w:after="0"/>
              <w:rPr>
                <w:rFonts w:ascii="Arial" w:eastAsia="Times New Roman" w:hAnsi="Arial" w:cs="Arial"/>
                <w:sz w:val="20"/>
                <w:szCs w:val="20"/>
                <w:lang w:eastAsia="en-US"/>
              </w:rPr>
            </w:pPr>
          </w:p>
        </w:tc>
      </w:tr>
      <w:tr w:rsidR="00126E73" w:rsidRPr="00E97397" w14:paraId="25BF8FFA" w14:textId="77777777" w:rsidTr="00126E73">
        <w:trPr>
          <w:trHeight w:val="240"/>
        </w:trPr>
        <w:tc>
          <w:tcPr>
            <w:tcW w:w="1860" w:type="dxa"/>
            <w:tcBorders>
              <w:top w:val="nil"/>
              <w:left w:val="single" w:sz="4" w:space="0" w:color="auto"/>
              <w:bottom w:val="single" w:sz="4" w:space="0" w:color="auto"/>
              <w:right w:val="nil"/>
            </w:tcBorders>
            <w:shd w:val="clear" w:color="auto" w:fill="auto"/>
            <w:noWrap/>
            <w:vAlign w:val="bottom"/>
            <w:hideMark/>
          </w:tcPr>
          <w:p w14:paraId="0498942F" w14:textId="77777777" w:rsidR="00126E73" w:rsidRPr="00E97397" w:rsidRDefault="00126E73" w:rsidP="00126E73">
            <w:pPr>
              <w:spacing w:after="0"/>
              <w:rPr>
                <w:rFonts w:ascii="Arial" w:eastAsia="Times New Roman" w:hAnsi="Arial" w:cs="Arial"/>
                <w:sz w:val="20"/>
                <w:szCs w:val="20"/>
                <w:lang w:eastAsia="en-US"/>
              </w:rPr>
            </w:pPr>
            <w:proofErr w:type="gramStart"/>
            <w:r w:rsidRPr="00E97397">
              <w:rPr>
                <w:rFonts w:ascii="Arial" w:eastAsia="Times New Roman" w:hAnsi="Arial" w:cs="Arial"/>
                <w:sz w:val="20"/>
                <w:szCs w:val="20"/>
                <w:lang w:eastAsia="en-US"/>
              </w:rPr>
              <w:t>average</w:t>
            </w:r>
            <w:proofErr w:type="gramEnd"/>
          </w:p>
        </w:tc>
        <w:tc>
          <w:tcPr>
            <w:tcW w:w="1100" w:type="dxa"/>
            <w:tcBorders>
              <w:top w:val="nil"/>
              <w:left w:val="nil"/>
              <w:bottom w:val="single" w:sz="4" w:space="0" w:color="auto"/>
              <w:right w:val="nil"/>
            </w:tcBorders>
            <w:shd w:val="clear" w:color="auto" w:fill="auto"/>
            <w:noWrap/>
            <w:vAlign w:val="bottom"/>
            <w:hideMark/>
          </w:tcPr>
          <w:p w14:paraId="6C79925C"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tcBorders>
              <w:top w:val="nil"/>
              <w:left w:val="nil"/>
              <w:bottom w:val="single" w:sz="4" w:space="0" w:color="auto"/>
              <w:right w:val="nil"/>
            </w:tcBorders>
            <w:shd w:val="clear" w:color="auto" w:fill="auto"/>
            <w:noWrap/>
            <w:vAlign w:val="bottom"/>
            <w:hideMark/>
          </w:tcPr>
          <w:p w14:paraId="0EF0B19C" w14:textId="09313EDA"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.4</w:t>
            </w:r>
            <w:r w:rsidR="0050192B">
              <w:rPr>
                <w:rFonts w:ascii="Arial" w:eastAsia="Times New Roman" w:hAnsi="Arial" w:cs="Arial"/>
                <w:sz w:val="20"/>
                <w:szCs w:val="20"/>
                <w:lang w:eastAsia="en-US"/>
              </w:rPr>
              <w:t>0</w:t>
            </w:r>
          </w:p>
        </w:tc>
        <w:tc>
          <w:tcPr>
            <w:tcW w:w="1100" w:type="dxa"/>
            <w:tcBorders>
              <w:top w:val="nil"/>
              <w:left w:val="nil"/>
              <w:bottom w:val="single" w:sz="4" w:space="0" w:color="auto"/>
              <w:right w:val="nil"/>
            </w:tcBorders>
            <w:shd w:val="clear" w:color="auto" w:fill="auto"/>
            <w:noWrap/>
            <w:vAlign w:val="bottom"/>
            <w:hideMark/>
          </w:tcPr>
          <w:p w14:paraId="42DA6D96"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.20</w:t>
            </w:r>
          </w:p>
        </w:tc>
        <w:tc>
          <w:tcPr>
            <w:tcW w:w="1100" w:type="dxa"/>
            <w:tcBorders>
              <w:top w:val="nil"/>
              <w:left w:val="nil"/>
              <w:bottom w:val="single" w:sz="4" w:space="0" w:color="auto"/>
              <w:right w:val="nil"/>
            </w:tcBorders>
            <w:shd w:val="clear" w:color="auto" w:fill="auto"/>
            <w:noWrap/>
            <w:vAlign w:val="bottom"/>
            <w:hideMark/>
          </w:tcPr>
          <w:p w14:paraId="50AAEB02"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.15</w:t>
            </w:r>
          </w:p>
        </w:tc>
        <w:tc>
          <w:tcPr>
            <w:tcW w:w="1100" w:type="dxa"/>
            <w:tcBorders>
              <w:top w:val="nil"/>
              <w:left w:val="nil"/>
              <w:bottom w:val="single" w:sz="4" w:space="0" w:color="auto"/>
              <w:right w:val="nil"/>
            </w:tcBorders>
            <w:shd w:val="clear" w:color="auto" w:fill="auto"/>
            <w:noWrap/>
            <w:vAlign w:val="bottom"/>
            <w:hideMark/>
          </w:tcPr>
          <w:p w14:paraId="48068B8F"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.16</w:t>
            </w:r>
          </w:p>
        </w:tc>
        <w:tc>
          <w:tcPr>
            <w:tcW w:w="1100" w:type="dxa"/>
            <w:tcBorders>
              <w:top w:val="nil"/>
              <w:left w:val="nil"/>
              <w:bottom w:val="single" w:sz="4" w:space="0" w:color="auto"/>
              <w:right w:val="single" w:sz="4" w:space="0" w:color="auto"/>
            </w:tcBorders>
            <w:shd w:val="clear" w:color="auto" w:fill="auto"/>
            <w:noWrap/>
            <w:vAlign w:val="bottom"/>
            <w:hideMark/>
          </w:tcPr>
          <w:p w14:paraId="3E24D301" w14:textId="77777777" w:rsidR="00126E73" w:rsidRPr="00E97397" w:rsidRDefault="00126E73" w:rsidP="00126E73">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.09</w:t>
            </w:r>
          </w:p>
        </w:tc>
      </w:tr>
      <w:tr w:rsidR="00126E73" w:rsidRPr="00BA7C79" w14:paraId="4D3C86CD" w14:textId="77777777" w:rsidTr="00126E73">
        <w:trPr>
          <w:trHeight w:val="240"/>
        </w:trPr>
        <w:tc>
          <w:tcPr>
            <w:tcW w:w="1860" w:type="dxa"/>
            <w:tcBorders>
              <w:top w:val="single" w:sz="4" w:space="0" w:color="auto"/>
              <w:left w:val="nil"/>
              <w:bottom w:val="nil"/>
              <w:right w:val="nil"/>
            </w:tcBorders>
            <w:shd w:val="clear" w:color="auto" w:fill="auto"/>
            <w:noWrap/>
            <w:vAlign w:val="bottom"/>
            <w:hideMark/>
          </w:tcPr>
          <w:p w14:paraId="41032FA7" w14:textId="77777777" w:rsidR="00126E73" w:rsidRPr="00BA7C79" w:rsidRDefault="00126E73" w:rsidP="00126E73">
            <w:pPr>
              <w:spacing w:after="0"/>
              <w:rPr>
                <w:rFonts w:ascii="Arial" w:eastAsia="Times New Roman" w:hAnsi="Arial" w:cs="Arial"/>
                <w:sz w:val="20"/>
                <w:szCs w:val="20"/>
                <w:lang w:eastAsia="en-US"/>
              </w:rPr>
            </w:pPr>
          </w:p>
        </w:tc>
        <w:tc>
          <w:tcPr>
            <w:tcW w:w="1100" w:type="dxa"/>
            <w:tcBorders>
              <w:top w:val="single" w:sz="4" w:space="0" w:color="auto"/>
              <w:left w:val="nil"/>
              <w:bottom w:val="nil"/>
              <w:right w:val="nil"/>
            </w:tcBorders>
            <w:shd w:val="clear" w:color="auto" w:fill="auto"/>
            <w:noWrap/>
            <w:vAlign w:val="bottom"/>
            <w:hideMark/>
          </w:tcPr>
          <w:p w14:paraId="3247FE99" w14:textId="77777777" w:rsidR="00126E73" w:rsidRPr="00BA7C79" w:rsidRDefault="00126E73" w:rsidP="00126E73">
            <w:pPr>
              <w:spacing w:after="0"/>
              <w:rPr>
                <w:rFonts w:ascii="Arial" w:eastAsia="Times New Roman" w:hAnsi="Arial" w:cs="Arial"/>
                <w:sz w:val="20"/>
                <w:szCs w:val="20"/>
                <w:lang w:eastAsia="en-US"/>
              </w:rPr>
            </w:pPr>
          </w:p>
        </w:tc>
        <w:tc>
          <w:tcPr>
            <w:tcW w:w="1100" w:type="dxa"/>
            <w:tcBorders>
              <w:top w:val="single" w:sz="4" w:space="0" w:color="auto"/>
              <w:left w:val="nil"/>
              <w:bottom w:val="nil"/>
              <w:right w:val="nil"/>
            </w:tcBorders>
            <w:shd w:val="clear" w:color="auto" w:fill="auto"/>
            <w:noWrap/>
            <w:vAlign w:val="bottom"/>
            <w:hideMark/>
          </w:tcPr>
          <w:p w14:paraId="0EFF00C3" w14:textId="77777777" w:rsidR="00126E73" w:rsidRPr="00BA7C79" w:rsidRDefault="00126E73" w:rsidP="00126E73">
            <w:pPr>
              <w:spacing w:after="0"/>
              <w:rPr>
                <w:rFonts w:ascii="Arial" w:eastAsia="Times New Roman" w:hAnsi="Arial" w:cs="Arial"/>
                <w:sz w:val="20"/>
                <w:szCs w:val="20"/>
                <w:lang w:eastAsia="en-US"/>
              </w:rPr>
            </w:pPr>
          </w:p>
        </w:tc>
        <w:tc>
          <w:tcPr>
            <w:tcW w:w="1100" w:type="dxa"/>
            <w:tcBorders>
              <w:top w:val="single" w:sz="4" w:space="0" w:color="auto"/>
              <w:left w:val="nil"/>
              <w:bottom w:val="nil"/>
              <w:right w:val="nil"/>
            </w:tcBorders>
            <w:shd w:val="clear" w:color="auto" w:fill="auto"/>
            <w:noWrap/>
            <w:vAlign w:val="bottom"/>
            <w:hideMark/>
          </w:tcPr>
          <w:p w14:paraId="67CCEFC3" w14:textId="77777777" w:rsidR="00126E73" w:rsidRPr="00BA7C79" w:rsidRDefault="00126E73" w:rsidP="00126E73">
            <w:pPr>
              <w:spacing w:after="0"/>
              <w:rPr>
                <w:rFonts w:ascii="Arial" w:eastAsia="Times New Roman" w:hAnsi="Arial" w:cs="Arial"/>
                <w:sz w:val="20"/>
                <w:szCs w:val="20"/>
                <w:lang w:eastAsia="en-US"/>
              </w:rPr>
            </w:pPr>
          </w:p>
        </w:tc>
        <w:tc>
          <w:tcPr>
            <w:tcW w:w="1100" w:type="dxa"/>
            <w:tcBorders>
              <w:top w:val="single" w:sz="4" w:space="0" w:color="auto"/>
              <w:left w:val="nil"/>
              <w:bottom w:val="nil"/>
              <w:right w:val="nil"/>
            </w:tcBorders>
            <w:shd w:val="clear" w:color="auto" w:fill="auto"/>
            <w:noWrap/>
            <w:vAlign w:val="bottom"/>
            <w:hideMark/>
          </w:tcPr>
          <w:p w14:paraId="3C16EB26" w14:textId="77777777" w:rsidR="00126E73" w:rsidRPr="00BA7C79" w:rsidRDefault="00126E73" w:rsidP="00126E73">
            <w:pPr>
              <w:spacing w:after="0"/>
              <w:rPr>
                <w:rFonts w:ascii="Arial" w:eastAsia="Times New Roman" w:hAnsi="Arial" w:cs="Arial"/>
                <w:sz w:val="20"/>
                <w:szCs w:val="20"/>
                <w:lang w:eastAsia="en-US"/>
              </w:rPr>
            </w:pPr>
          </w:p>
        </w:tc>
        <w:tc>
          <w:tcPr>
            <w:tcW w:w="1100" w:type="dxa"/>
            <w:tcBorders>
              <w:top w:val="single" w:sz="4" w:space="0" w:color="auto"/>
              <w:left w:val="nil"/>
              <w:bottom w:val="nil"/>
              <w:right w:val="nil"/>
            </w:tcBorders>
            <w:shd w:val="clear" w:color="auto" w:fill="auto"/>
            <w:noWrap/>
            <w:vAlign w:val="bottom"/>
            <w:hideMark/>
          </w:tcPr>
          <w:p w14:paraId="5647EC71" w14:textId="77777777" w:rsidR="00126E73" w:rsidRPr="00BA7C79" w:rsidRDefault="00126E73" w:rsidP="00126E73">
            <w:pPr>
              <w:spacing w:after="0"/>
              <w:rPr>
                <w:rFonts w:ascii="Arial" w:eastAsia="Times New Roman" w:hAnsi="Arial" w:cs="Arial"/>
                <w:sz w:val="20"/>
                <w:szCs w:val="20"/>
                <w:lang w:eastAsia="en-US"/>
              </w:rPr>
            </w:pPr>
          </w:p>
        </w:tc>
        <w:tc>
          <w:tcPr>
            <w:tcW w:w="1100" w:type="dxa"/>
            <w:tcBorders>
              <w:top w:val="single" w:sz="4" w:space="0" w:color="auto"/>
              <w:left w:val="nil"/>
              <w:bottom w:val="nil"/>
              <w:right w:val="nil"/>
            </w:tcBorders>
            <w:shd w:val="clear" w:color="auto" w:fill="auto"/>
            <w:noWrap/>
            <w:vAlign w:val="bottom"/>
            <w:hideMark/>
          </w:tcPr>
          <w:p w14:paraId="20468A83" w14:textId="77777777" w:rsidR="00126E73" w:rsidRPr="00BA7C79" w:rsidRDefault="00126E73" w:rsidP="00126E73">
            <w:pPr>
              <w:spacing w:after="0"/>
              <w:rPr>
                <w:rFonts w:ascii="Arial" w:eastAsia="Times New Roman" w:hAnsi="Arial" w:cs="Arial"/>
                <w:sz w:val="20"/>
                <w:szCs w:val="20"/>
                <w:lang w:eastAsia="en-US"/>
              </w:rPr>
            </w:pPr>
          </w:p>
        </w:tc>
      </w:tr>
    </w:tbl>
    <w:p w14:paraId="55EE81A6" w14:textId="77777777" w:rsidR="003A0B95" w:rsidRPr="00D20D9B" w:rsidRDefault="003A0B95" w:rsidP="000607E8">
      <w:pPr>
        <w:widowControl w:val="0"/>
        <w:autoSpaceDE w:val="0"/>
        <w:autoSpaceDN w:val="0"/>
        <w:adjustRightInd w:val="0"/>
        <w:spacing w:after="240" w:line="360" w:lineRule="auto"/>
        <w:jc w:val="both"/>
        <w:rPr>
          <w:rFonts w:ascii="Arial" w:hAnsi="Arial" w:cs="Arial"/>
          <w:lang w:val="en-US"/>
        </w:rPr>
      </w:pPr>
    </w:p>
    <w:p w14:paraId="3EA77343" w14:textId="1875A390" w:rsidR="00B47497" w:rsidRPr="00D20D9B" w:rsidRDefault="00126E73"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Table </w:t>
      </w:r>
      <w:r w:rsidR="00CE6E78" w:rsidRPr="00D20D9B">
        <w:rPr>
          <w:rFonts w:ascii="Arial" w:hAnsi="Arial" w:cs="Arial"/>
          <w:lang w:val="en-US"/>
        </w:rPr>
        <w:t>5</w:t>
      </w:r>
      <w:r w:rsidR="00B47497" w:rsidRPr="00D20D9B">
        <w:rPr>
          <w:rFonts w:ascii="Arial" w:hAnsi="Arial" w:cs="Arial"/>
          <w:lang w:val="en-US"/>
        </w:rPr>
        <w:t xml:space="preserve"> shows how the attractiveness of each brand is spread across user groups</w:t>
      </w:r>
      <w:r w:rsidR="006C0E3B" w:rsidRPr="00D20D9B">
        <w:rPr>
          <w:rFonts w:ascii="Arial" w:hAnsi="Arial" w:cs="Arial"/>
          <w:lang w:val="en-US"/>
        </w:rPr>
        <w:t xml:space="preserve"> defined by age</w:t>
      </w:r>
      <w:r w:rsidR="00B47497" w:rsidRPr="00D20D9B">
        <w:rPr>
          <w:rFonts w:ascii="Arial" w:hAnsi="Arial" w:cs="Arial"/>
          <w:lang w:val="en-US"/>
        </w:rPr>
        <w:t>. The</w:t>
      </w:r>
      <w:r w:rsidR="009E3E36" w:rsidRPr="00D20D9B">
        <w:rPr>
          <w:rFonts w:ascii="Arial" w:hAnsi="Arial" w:cs="Arial"/>
          <w:lang w:val="en-US"/>
        </w:rPr>
        <w:t xml:space="preserve"> ordinary practice in marketing</w:t>
      </w:r>
      <w:r w:rsidR="00B47497" w:rsidRPr="00D20D9B">
        <w:rPr>
          <w:rFonts w:ascii="Arial" w:hAnsi="Arial" w:cs="Arial"/>
          <w:lang w:val="en-US"/>
        </w:rPr>
        <w:t xml:space="preserve"> is to develop a target audience (or target</w:t>
      </w:r>
      <w:r w:rsidR="00174153">
        <w:rPr>
          <w:rFonts w:ascii="Arial" w:hAnsi="Arial" w:cs="Arial"/>
          <w:lang w:val="en-US"/>
        </w:rPr>
        <w:t>s) for marketing communication.</w:t>
      </w:r>
      <w:r w:rsidR="00B47497" w:rsidRPr="00D20D9B">
        <w:rPr>
          <w:rFonts w:ascii="Arial" w:hAnsi="Arial" w:cs="Arial"/>
          <w:lang w:val="en-US"/>
        </w:rPr>
        <w:t xml:space="preserve"> And while there is much evidence that this is the norm, the data presented here do not captu</w:t>
      </w:r>
      <w:r w:rsidR="002210DE" w:rsidRPr="00D20D9B">
        <w:rPr>
          <w:rFonts w:ascii="Arial" w:hAnsi="Arial" w:cs="Arial"/>
          <w:lang w:val="en-US"/>
        </w:rPr>
        <w:t xml:space="preserve">re information about the </w:t>
      </w:r>
      <w:r w:rsidR="00B47497" w:rsidRPr="00D20D9B">
        <w:rPr>
          <w:rFonts w:ascii="Arial" w:hAnsi="Arial" w:cs="Arial"/>
          <w:lang w:val="en-US"/>
        </w:rPr>
        <w:t>groups</w:t>
      </w:r>
      <w:r w:rsidR="002210DE" w:rsidRPr="00D20D9B">
        <w:rPr>
          <w:rFonts w:ascii="Arial" w:hAnsi="Arial" w:cs="Arial"/>
          <w:lang w:val="en-US"/>
        </w:rPr>
        <w:t xml:space="preserve"> targeted by</w:t>
      </w:r>
      <w:r w:rsidR="00B47497" w:rsidRPr="00D20D9B">
        <w:rPr>
          <w:rFonts w:ascii="Arial" w:hAnsi="Arial" w:cs="Arial"/>
          <w:lang w:val="en-US"/>
        </w:rPr>
        <w:t xml:space="preserve"> these individual brands (though it could conc</w:t>
      </w:r>
      <w:r w:rsidRPr="00D20D9B">
        <w:rPr>
          <w:rFonts w:ascii="Arial" w:hAnsi="Arial" w:cs="Arial"/>
          <w:lang w:val="en-US"/>
        </w:rPr>
        <w:t>eivably be added extraneously).</w:t>
      </w:r>
      <w:r w:rsidR="00B47497" w:rsidRPr="00D20D9B">
        <w:rPr>
          <w:rFonts w:ascii="Arial" w:hAnsi="Arial" w:cs="Arial"/>
          <w:lang w:val="en-US"/>
        </w:rPr>
        <w:t xml:space="preserve"> Rather, the data show the spread of each brand’s market share among</w:t>
      </w:r>
      <w:r w:rsidR="002210DE" w:rsidRPr="00D20D9B">
        <w:rPr>
          <w:rFonts w:ascii="Arial" w:hAnsi="Arial" w:cs="Arial"/>
          <w:lang w:val="en-US"/>
        </w:rPr>
        <w:t>st the age groups (or other classifica</w:t>
      </w:r>
      <w:r w:rsidR="003A0B95" w:rsidRPr="00D20D9B">
        <w:rPr>
          <w:rFonts w:ascii="Arial" w:hAnsi="Arial" w:cs="Arial"/>
          <w:lang w:val="en-US"/>
        </w:rPr>
        <w:t>t</w:t>
      </w:r>
      <w:r w:rsidR="002210DE" w:rsidRPr="00D20D9B">
        <w:rPr>
          <w:rFonts w:ascii="Arial" w:hAnsi="Arial" w:cs="Arial"/>
          <w:lang w:val="en-US"/>
        </w:rPr>
        <w:t>ions)</w:t>
      </w:r>
      <w:r w:rsidRPr="00D20D9B">
        <w:rPr>
          <w:rFonts w:ascii="Arial" w:hAnsi="Arial" w:cs="Arial"/>
          <w:lang w:val="en-US"/>
        </w:rPr>
        <w:t>.</w:t>
      </w:r>
      <w:r w:rsidR="00B47497" w:rsidRPr="00D20D9B">
        <w:rPr>
          <w:rFonts w:ascii="Arial" w:hAnsi="Arial" w:cs="Arial"/>
          <w:lang w:val="en-US"/>
        </w:rPr>
        <w:t xml:space="preserve"> From this </w:t>
      </w:r>
      <w:r w:rsidR="00F23B7E">
        <w:rPr>
          <w:rFonts w:ascii="Arial" w:hAnsi="Arial" w:cs="Arial"/>
          <w:lang w:val="en-US"/>
        </w:rPr>
        <w:t>it is possible to</w:t>
      </w:r>
      <w:r w:rsidRPr="00D20D9B">
        <w:rPr>
          <w:rFonts w:ascii="Arial" w:hAnsi="Arial" w:cs="Arial"/>
          <w:lang w:val="en-US"/>
        </w:rPr>
        <w:t xml:space="preserve"> make some inferences about</w:t>
      </w:r>
      <w:r w:rsidR="00B47497" w:rsidRPr="00D20D9B">
        <w:rPr>
          <w:rFonts w:ascii="Arial" w:hAnsi="Arial" w:cs="Arial"/>
          <w:lang w:val="en-US"/>
        </w:rPr>
        <w:t xml:space="preserve"> marketing or targeting strategies.</w:t>
      </w:r>
      <w:r w:rsidR="00F23B7E">
        <w:rPr>
          <w:rFonts w:ascii="Arial" w:hAnsi="Arial" w:cs="Arial"/>
          <w:lang w:val="en-US"/>
        </w:rPr>
        <w:t xml:space="preserve"> In the table,</w:t>
      </w:r>
      <w:r w:rsidR="00E97397" w:rsidRPr="00D20D9B">
        <w:rPr>
          <w:rFonts w:ascii="Arial" w:hAnsi="Arial" w:cs="Arial"/>
          <w:lang w:val="en-US"/>
        </w:rPr>
        <w:t xml:space="preserve"> the brands </w:t>
      </w:r>
      <w:r w:rsidR="00F23B7E">
        <w:rPr>
          <w:rFonts w:ascii="Arial" w:hAnsi="Arial" w:cs="Arial"/>
          <w:lang w:val="en-US"/>
        </w:rPr>
        <w:t xml:space="preserve">are </w:t>
      </w:r>
      <w:r w:rsidR="00E97397" w:rsidRPr="00D20D9B">
        <w:rPr>
          <w:rFonts w:ascii="Arial" w:hAnsi="Arial" w:cs="Arial"/>
          <w:lang w:val="en-US"/>
        </w:rPr>
        <w:t>organized as before by size from largest to smallest, and across the table the age br</w:t>
      </w:r>
      <w:r w:rsidRPr="00D20D9B">
        <w:rPr>
          <w:rFonts w:ascii="Arial" w:hAnsi="Arial" w:cs="Arial"/>
          <w:lang w:val="en-US"/>
        </w:rPr>
        <w:t>eakdowns available in the data.</w:t>
      </w:r>
      <w:r w:rsidR="00E97397" w:rsidRPr="00D20D9B">
        <w:rPr>
          <w:rFonts w:ascii="Arial" w:hAnsi="Arial" w:cs="Arial"/>
          <w:lang w:val="en-US"/>
        </w:rPr>
        <w:t xml:space="preserve"> The average figures at the bottom show that for women’s outerwear, about 41% of the customers are up to 24 years old, 20% are between 25 and 34, 15% a</w:t>
      </w:r>
      <w:r w:rsidR="00F362CA" w:rsidRPr="00D20D9B">
        <w:rPr>
          <w:rFonts w:ascii="Arial" w:hAnsi="Arial" w:cs="Arial"/>
          <w:lang w:val="en-US"/>
        </w:rPr>
        <w:t>re between 35 and 44 and so on.</w:t>
      </w:r>
      <w:r w:rsidR="00E97397" w:rsidRPr="00D20D9B">
        <w:rPr>
          <w:rFonts w:ascii="Arial" w:hAnsi="Arial" w:cs="Arial"/>
          <w:lang w:val="en-US"/>
        </w:rPr>
        <w:t xml:space="preserve"> By comparing each brand against the average,</w:t>
      </w:r>
      <w:r w:rsidR="00F23B7E">
        <w:rPr>
          <w:rFonts w:ascii="Arial" w:hAnsi="Arial" w:cs="Arial"/>
          <w:lang w:val="en-US"/>
        </w:rPr>
        <w:t xml:space="preserve"> it is</w:t>
      </w:r>
      <w:r w:rsidR="00E97397" w:rsidRPr="00D20D9B">
        <w:rPr>
          <w:rFonts w:ascii="Arial" w:hAnsi="Arial" w:cs="Arial"/>
          <w:lang w:val="en-US"/>
        </w:rPr>
        <w:t xml:space="preserve"> immediately </w:t>
      </w:r>
      <w:r w:rsidR="00F23B7E">
        <w:rPr>
          <w:rFonts w:ascii="Arial" w:hAnsi="Arial" w:cs="Arial"/>
          <w:lang w:val="en-US"/>
        </w:rPr>
        <w:t>clear</w:t>
      </w:r>
      <w:r w:rsidR="00E97397" w:rsidRPr="00D20D9B">
        <w:rPr>
          <w:rFonts w:ascii="Arial" w:hAnsi="Arial" w:cs="Arial"/>
          <w:lang w:val="en-US"/>
        </w:rPr>
        <w:t xml:space="preserve"> that </w:t>
      </w:r>
      <w:r w:rsidR="00963DDF" w:rsidRPr="00D20D9B">
        <w:rPr>
          <w:rFonts w:ascii="Arial" w:hAnsi="Arial" w:cs="Arial"/>
          <w:lang w:val="en-US"/>
        </w:rPr>
        <w:t xml:space="preserve">all brands have customers from every age group, but </w:t>
      </w:r>
      <w:r w:rsidR="00E97397" w:rsidRPr="00D20D9B">
        <w:rPr>
          <w:rFonts w:ascii="Arial" w:hAnsi="Arial" w:cs="Arial"/>
          <w:lang w:val="en-US"/>
        </w:rPr>
        <w:t xml:space="preserve">some brands </w:t>
      </w:r>
      <w:r w:rsidR="00963DDF" w:rsidRPr="00D20D9B">
        <w:rPr>
          <w:rFonts w:ascii="Arial" w:hAnsi="Arial" w:cs="Arial"/>
          <w:lang w:val="en-US"/>
        </w:rPr>
        <w:t>(New Look,</w:t>
      </w:r>
      <w:r w:rsidR="00E97397" w:rsidRPr="00D20D9B">
        <w:rPr>
          <w:rFonts w:ascii="Arial" w:hAnsi="Arial" w:cs="Arial"/>
          <w:lang w:val="en-US"/>
        </w:rPr>
        <w:t xml:space="preserve"> Miss Selfridge</w:t>
      </w:r>
      <w:r w:rsidR="00963DDF" w:rsidRPr="00D20D9B">
        <w:rPr>
          <w:rFonts w:ascii="Arial" w:hAnsi="Arial" w:cs="Arial"/>
          <w:lang w:val="en-US"/>
        </w:rPr>
        <w:t>)</w:t>
      </w:r>
      <w:r w:rsidR="00E97397" w:rsidRPr="00D20D9B">
        <w:rPr>
          <w:rFonts w:ascii="Arial" w:hAnsi="Arial" w:cs="Arial"/>
          <w:lang w:val="en-US"/>
        </w:rPr>
        <w:t xml:space="preserve"> have higher than average shares of younger customers, </w:t>
      </w:r>
      <w:r w:rsidR="00963DDF" w:rsidRPr="00D20D9B">
        <w:rPr>
          <w:rFonts w:ascii="Arial" w:hAnsi="Arial" w:cs="Arial"/>
          <w:lang w:val="en-US"/>
        </w:rPr>
        <w:t>and others (Next, Monsoon,</w:t>
      </w:r>
      <w:r w:rsidR="00E97397" w:rsidRPr="00D20D9B">
        <w:rPr>
          <w:rFonts w:ascii="Arial" w:hAnsi="Arial" w:cs="Arial"/>
          <w:lang w:val="en-US"/>
        </w:rPr>
        <w:t xml:space="preserve"> Wallis</w:t>
      </w:r>
      <w:r w:rsidR="00963DDF" w:rsidRPr="00D20D9B">
        <w:rPr>
          <w:rFonts w:ascii="Arial" w:hAnsi="Arial" w:cs="Arial"/>
          <w:lang w:val="en-US"/>
        </w:rPr>
        <w:t>)</w:t>
      </w:r>
      <w:r w:rsidR="00E97397" w:rsidRPr="00D20D9B">
        <w:rPr>
          <w:rFonts w:ascii="Arial" w:hAnsi="Arial" w:cs="Arial"/>
          <w:lang w:val="en-US"/>
        </w:rPr>
        <w:t xml:space="preserve"> have below average </w:t>
      </w:r>
      <w:r w:rsidRPr="00D20D9B">
        <w:rPr>
          <w:rFonts w:ascii="Arial" w:hAnsi="Arial" w:cs="Arial"/>
          <w:lang w:val="en-US"/>
        </w:rPr>
        <w:t>shares.</w:t>
      </w:r>
      <w:r w:rsidR="00E97397" w:rsidRPr="00D20D9B">
        <w:rPr>
          <w:rFonts w:ascii="Arial" w:hAnsi="Arial" w:cs="Arial"/>
          <w:lang w:val="en-US"/>
        </w:rPr>
        <w:t xml:space="preserve"> </w:t>
      </w:r>
      <w:r w:rsidR="00963DDF" w:rsidRPr="00D20D9B">
        <w:rPr>
          <w:rFonts w:ascii="Arial" w:hAnsi="Arial" w:cs="Arial"/>
          <w:lang w:val="en-US"/>
        </w:rPr>
        <w:t>Looking at the other age gro</w:t>
      </w:r>
      <w:r w:rsidRPr="00D20D9B">
        <w:rPr>
          <w:rFonts w:ascii="Arial" w:hAnsi="Arial" w:cs="Arial"/>
          <w:lang w:val="en-US"/>
        </w:rPr>
        <w:t>ups shows that these same</w:t>
      </w:r>
      <w:r w:rsidR="00E97397" w:rsidRPr="00D20D9B">
        <w:rPr>
          <w:rFonts w:ascii="Arial" w:hAnsi="Arial" w:cs="Arial"/>
          <w:lang w:val="en-US"/>
        </w:rPr>
        <w:t xml:space="preserve"> brands capture a higher than average share of older age groups.  </w:t>
      </w:r>
    </w:p>
    <w:tbl>
      <w:tblPr>
        <w:tblW w:w="8460" w:type="dxa"/>
        <w:tblInd w:w="93" w:type="dxa"/>
        <w:tblLook w:val="04A0" w:firstRow="1" w:lastRow="0" w:firstColumn="1" w:lastColumn="0" w:noHBand="0" w:noVBand="1"/>
      </w:tblPr>
      <w:tblGrid>
        <w:gridCol w:w="1860"/>
        <w:gridCol w:w="1100"/>
        <w:gridCol w:w="1100"/>
        <w:gridCol w:w="1100"/>
        <w:gridCol w:w="1100"/>
        <w:gridCol w:w="1100"/>
        <w:gridCol w:w="1100"/>
      </w:tblGrid>
      <w:tr w:rsidR="008A7C97" w:rsidRPr="00D20D9B" w14:paraId="70AC4719" w14:textId="77777777" w:rsidTr="008A7C97">
        <w:trPr>
          <w:trHeight w:val="240"/>
        </w:trPr>
        <w:tc>
          <w:tcPr>
            <w:tcW w:w="1860" w:type="dxa"/>
            <w:tcBorders>
              <w:top w:val="nil"/>
              <w:left w:val="nil"/>
              <w:bottom w:val="nil"/>
              <w:right w:val="nil"/>
            </w:tcBorders>
            <w:shd w:val="clear" w:color="000000" w:fill="FFFFFF"/>
            <w:noWrap/>
            <w:vAlign w:val="bottom"/>
            <w:hideMark/>
          </w:tcPr>
          <w:p w14:paraId="38FDA184" w14:textId="77777777" w:rsidR="008A7C97" w:rsidRPr="00D20D9B" w:rsidRDefault="008A7C97" w:rsidP="008A7C97">
            <w:pPr>
              <w:spacing w:after="0"/>
              <w:rPr>
                <w:rFonts w:ascii="Arial" w:eastAsia="Times New Roman" w:hAnsi="Arial" w:cs="Arial"/>
                <w:sz w:val="20"/>
                <w:szCs w:val="20"/>
                <w:lang w:eastAsia="en-US"/>
              </w:rPr>
            </w:pPr>
            <w:r w:rsidRPr="00D20D9B">
              <w:rPr>
                <w:rFonts w:ascii="Arial" w:eastAsia="Times New Roman" w:hAnsi="Arial" w:cs="Arial"/>
                <w:sz w:val="20"/>
                <w:szCs w:val="20"/>
                <w:lang w:eastAsia="en-US"/>
              </w:rPr>
              <w:t> </w:t>
            </w:r>
          </w:p>
        </w:tc>
        <w:tc>
          <w:tcPr>
            <w:tcW w:w="1100" w:type="dxa"/>
            <w:tcBorders>
              <w:top w:val="nil"/>
              <w:left w:val="nil"/>
              <w:bottom w:val="nil"/>
              <w:right w:val="nil"/>
            </w:tcBorders>
            <w:shd w:val="clear" w:color="000000" w:fill="FFFFFF"/>
            <w:noWrap/>
            <w:vAlign w:val="bottom"/>
            <w:hideMark/>
          </w:tcPr>
          <w:p w14:paraId="752A0610" w14:textId="77777777" w:rsidR="008A7C97" w:rsidRPr="00D20D9B" w:rsidRDefault="008A7C97" w:rsidP="008A7C97">
            <w:pPr>
              <w:spacing w:after="0"/>
              <w:rPr>
                <w:rFonts w:ascii="Arial" w:eastAsia="Times New Roman" w:hAnsi="Arial" w:cs="Arial"/>
                <w:sz w:val="20"/>
                <w:szCs w:val="20"/>
                <w:lang w:eastAsia="en-US"/>
              </w:rPr>
            </w:pPr>
            <w:r w:rsidRPr="00D20D9B">
              <w:rPr>
                <w:rFonts w:ascii="Arial" w:eastAsia="Times New Roman" w:hAnsi="Arial" w:cs="Arial"/>
                <w:sz w:val="20"/>
                <w:szCs w:val="20"/>
                <w:lang w:eastAsia="en-US"/>
              </w:rPr>
              <w:t> </w:t>
            </w:r>
          </w:p>
        </w:tc>
        <w:tc>
          <w:tcPr>
            <w:tcW w:w="1100" w:type="dxa"/>
            <w:tcBorders>
              <w:top w:val="nil"/>
              <w:left w:val="nil"/>
              <w:bottom w:val="nil"/>
              <w:right w:val="nil"/>
            </w:tcBorders>
            <w:shd w:val="clear" w:color="000000" w:fill="FFFFFF"/>
            <w:noWrap/>
            <w:vAlign w:val="bottom"/>
            <w:hideMark/>
          </w:tcPr>
          <w:p w14:paraId="68378E18" w14:textId="77777777" w:rsidR="008A7C97" w:rsidRPr="00D20D9B" w:rsidRDefault="008A7C97" w:rsidP="008A7C97">
            <w:pPr>
              <w:spacing w:after="0"/>
              <w:rPr>
                <w:rFonts w:ascii="Arial" w:eastAsia="Times New Roman" w:hAnsi="Arial" w:cs="Arial"/>
                <w:sz w:val="20"/>
                <w:szCs w:val="20"/>
                <w:lang w:eastAsia="en-US"/>
              </w:rPr>
            </w:pPr>
            <w:r w:rsidRPr="00D20D9B">
              <w:rPr>
                <w:rFonts w:ascii="Arial" w:eastAsia="Times New Roman" w:hAnsi="Arial" w:cs="Arial"/>
                <w:sz w:val="20"/>
                <w:szCs w:val="20"/>
                <w:lang w:eastAsia="en-US"/>
              </w:rPr>
              <w:t> </w:t>
            </w:r>
          </w:p>
        </w:tc>
        <w:tc>
          <w:tcPr>
            <w:tcW w:w="1100" w:type="dxa"/>
            <w:tcBorders>
              <w:top w:val="nil"/>
              <w:left w:val="nil"/>
              <w:bottom w:val="nil"/>
              <w:right w:val="nil"/>
            </w:tcBorders>
            <w:shd w:val="clear" w:color="000000" w:fill="FFFFFF"/>
            <w:noWrap/>
            <w:vAlign w:val="bottom"/>
            <w:hideMark/>
          </w:tcPr>
          <w:p w14:paraId="36531958" w14:textId="77777777" w:rsidR="008A7C97" w:rsidRPr="00D20D9B" w:rsidRDefault="008A7C97" w:rsidP="008A7C97">
            <w:pPr>
              <w:spacing w:after="0"/>
              <w:rPr>
                <w:rFonts w:ascii="Arial" w:eastAsia="Times New Roman" w:hAnsi="Arial" w:cs="Arial"/>
                <w:sz w:val="20"/>
                <w:szCs w:val="20"/>
                <w:lang w:eastAsia="en-US"/>
              </w:rPr>
            </w:pPr>
            <w:r w:rsidRPr="00D20D9B">
              <w:rPr>
                <w:rFonts w:ascii="Arial" w:eastAsia="Times New Roman" w:hAnsi="Arial" w:cs="Arial"/>
                <w:sz w:val="20"/>
                <w:szCs w:val="20"/>
                <w:lang w:eastAsia="en-US"/>
              </w:rPr>
              <w:t> </w:t>
            </w:r>
          </w:p>
        </w:tc>
        <w:tc>
          <w:tcPr>
            <w:tcW w:w="1100" w:type="dxa"/>
            <w:tcBorders>
              <w:top w:val="nil"/>
              <w:left w:val="nil"/>
              <w:bottom w:val="nil"/>
              <w:right w:val="nil"/>
            </w:tcBorders>
            <w:shd w:val="clear" w:color="000000" w:fill="FFFFFF"/>
            <w:noWrap/>
            <w:vAlign w:val="bottom"/>
            <w:hideMark/>
          </w:tcPr>
          <w:p w14:paraId="2D000AA7" w14:textId="77777777" w:rsidR="008A7C97" w:rsidRPr="00D20D9B" w:rsidRDefault="008A7C97" w:rsidP="008A7C97">
            <w:pPr>
              <w:spacing w:after="0"/>
              <w:rPr>
                <w:rFonts w:ascii="Arial" w:eastAsia="Times New Roman" w:hAnsi="Arial" w:cs="Arial"/>
                <w:sz w:val="20"/>
                <w:szCs w:val="20"/>
                <w:lang w:eastAsia="en-US"/>
              </w:rPr>
            </w:pPr>
            <w:r w:rsidRPr="00D20D9B">
              <w:rPr>
                <w:rFonts w:ascii="Arial" w:eastAsia="Times New Roman" w:hAnsi="Arial" w:cs="Arial"/>
                <w:sz w:val="20"/>
                <w:szCs w:val="20"/>
                <w:lang w:eastAsia="en-US"/>
              </w:rPr>
              <w:t> </w:t>
            </w:r>
          </w:p>
        </w:tc>
        <w:tc>
          <w:tcPr>
            <w:tcW w:w="1100" w:type="dxa"/>
            <w:tcBorders>
              <w:top w:val="nil"/>
              <w:left w:val="nil"/>
              <w:bottom w:val="nil"/>
              <w:right w:val="nil"/>
            </w:tcBorders>
            <w:shd w:val="clear" w:color="000000" w:fill="FFFFFF"/>
            <w:noWrap/>
            <w:vAlign w:val="bottom"/>
            <w:hideMark/>
          </w:tcPr>
          <w:p w14:paraId="75A57FA8" w14:textId="77777777" w:rsidR="008A7C97" w:rsidRPr="00D20D9B" w:rsidRDefault="008A7C97" w:rsidP="008A7C97">
            <w:pPr>
              <w:spacing w:after="0"/>
              <w:rPr>
                <w:rFonts w:ascii="Arial" w:eastAsia="Times New Roman" w:hAnsi="Arial" w:cs="Arial"/>
                <w:sz w:val="20"/>
                <w:szCs w:val="20"/>
                <w:lang w:eastAsia="en-US"/>
              </w:rPr>
            </w:pPr>
            <w:r w:rsidRPr="00D20D9B">
              <w:rPr>
                <w:rFonts w:ascii="Arial" w:eastAsia="Times New Roman" w:hAnsi="Arial" w:cs="Arial"/>
                <w:sz w:val="20"/>
                <w:szCs w:val="20"/>
                <w:lang w:eastAsia="en-US"/>
              </w:rPr>
              <w:t> </w:t>
            </w:r>
          </w:p>
        </w:tc>
        <w:tc>
          <w:tcPr>
            <w:tcW w:w="1100" w:type="dxa"/>
            <w:tcBorders>
              <w:top w:val="nil"/>
              <w:left w:val="nil"/>
              <w:bottom w:val="nil"/>
              <w:right w:val="nil"/>
            </w:tcBorders>
            <w:shd w:val="clear" w:color="auto" w:fill="auto"/>
            <w:noWrap/>
            <w:vAlign w:val="bottom"/>
            <w:hideMark/>
          </w:tcPr>
          <w:p w14:paraId="691F4BD0" w14:textId="77777777" w:rsidR="008A7C97" w:rsidRPr="00D20D9B" w:rsidRDefault="008A7C97" w:rsidP="008A7C97">
            <w:pPr>
              <w:spacing w:after="0"/>
              <w:rPr>
                <w:rFonts w:ascii="Arial" w:eastAsia="Times New Roman" w:hAnsi="Arial" w:cs="Arial"/>
                <w:sz w:val="20"/>
                <w:szCs w:val="20"/>
                <w:lang w:eastAsia="en-US"/>
              </w:rPr>
            </w:pPr>
          </w:p>
        </w:tc>
      </w:tr>
    </w:tbl>
    <w:p w14:paraId="1C307070" w14:textId="77777777" w:rsidR="00F362CA" w:rsidRPr="00D20D9B" w:rsidRDefault="00F362CA" w:rsidP="00F362CA">
      <w:pPr>
        <w:widowControl w:val="0"/>
        <w:autoSpaceDE w:val="0"/>
        <w:autoSpaceDN w:val="0"/>
        <w:adjustRightInd w:val="0"/>
        <w:spacing w:after="120" w:line="360" w:lineRule="auto"/>
        <w:jc w:val="both"/>
        <w:rPr>
          <w:rFonts w:ascii="Arial" w:hAnsi="Arial" w:cs="Arial"/>
          <w:lang w:val="en-US"/>
        </w:rPr>
      </w:pPr>
      <w:r w:rsidRPr="00D20D9B">
        <w:rPr>
          <w:rFonts w:ascii="Arial" w:hAnsi="Arial" w:cs="Arial"/>
          <w:lang w:val="en-US"/>
        </w:rPr>
        <w:t xml:space="preserve">Table </w:t>
      </w:r>
      <w:r w:rsidR="00CE6E78" w:rsidRPr="00D20D9B">
        <w:rPr>
          <w:rFonts w:ascii="Arial" w:hAnsi="Arial" w:cs="Arial"/>
          <w:lang w:val="en-US"/>
        </w:rPr>
        <w:t>6</w:t>
      </w:r>
      <w:r w:rsidRPr="00D20D9B">
        <w:rPr>
          <w:rFonts w:ascii="Arial" w:hAnsi="Arial" w:cs="Arial"/>
          <w:lang w:val="en-US"/>
        </w:rPr>
        <w:t>. Mean Absolute deviations for age groups</w:t>
      </w:r>
    </w:p>
    <w:tbl>
      <w:tblPr>
        <w:tblW w:w="846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0"/>
        <w:gridCol w:w="1100"/>
        <w:gridCol w:w="1100"/>
        <w:gridCol w:w="1100"/>
        <w:gridCol w:w="1100"/>
        <w:gridCol w:w="1100"/>
        <w:gridCol w:w="1100"/>
      </w:tblGrid>
      <w:tr w:rsidR="00F362CA" w:rsidRPr="00963DDF" w14:paraId="488DFDEE" w14:textId="77777777" w:rsidTr="00F362CA">
        <w:trPr>
          <w:trHeight w:val="240"/>
        </w:trPr>
        <w:tc>
          <w:tcPr>
            <w:tcW w:w="1860" w:type="dxa"/>
            <w:shd w:val="clear" w:color="000000" w:fill="FFFFFF"/>
            <w:noWrap/>
            <w:vAlign w:val="bottom"/>
          </w:tcPr>
          <w:p w14:paraId="095630F6" w14:textId="77777777" w:rsidR="00F362CA" w:rsidRPr="00E97397" w:rsidRDefault="00F362CA" w:rsidP="00F362CA">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shd w:val="clear" w:color="auto" w:fill="auto"/>
            <w:noWrap/>
            <w:vAlign w:val="bottom"/>
          </w:tcPr>
          <w:p w14:paraId="4AA110A7" w14:textId="77777777" w:rsidR="00F362CA" w:rsidRPr="00E97397" w:rsidRDefault="00F362CA" w:rsidP="00F362CA">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 </w:t>
            </w:r>
          </w:p>
        </w:tc>
        <w:tc>
          <w:tcPr>
            <w:tcW w:w="1100" w:type="dxa"/>
            <w:shd w:val="clear" w:color="auto" w:fill="auto"/>
            <w:noWrap/>
            <w:vAlign w:val="bottom"/>
          </w:tcPr>
          <w:p w14:paraId="2008B4DB" w14:textId="77777777" w:rsidR="00F362CA" w:rsidRPr="00E97397" w:rsidRDefault="00F362CA" w:rsidP="00F362CA">
            <w:pPr>
              <w:spacing w:after="0"/>
              <w:rPr>
                <w:rFonts w:ascii="Arial" w:eastAsia="Times New Roman" w:hAnsi="Arial" w:cs="Arial"/>
                <w:sz w:val="20"/>
                <w:szCs w:val="20"/>
                <w:lang w:eastAsia="en-US"/>
              </w:rPr>
            </w:pPr>
            <w:proofErr w:type="gramStart"/>
            <w:r w:rsidRPr="00E97397">
              <w:rPr>
                <w:rFonts w:ascii="Arial" w:eastAsia="Times New Roman" w:hAnsi="Arial" w:cs="Arial"/>
                <w:sz w:val="20"/>
                <w:szCs w:val="20"/>
                <w:lang w:eastAsia="en-US"/>
              </w:rPr>
              <w:t>up</w:t>
            </w:r>
            <w:proofErr w:type="gramEnd"/>
            <w:r w:rsidRPr="00E97397">
              <w:rPr>
                <w:rFonts w:ascii="Arial" w:eastAsia="Times New Roman" w:hAnsi="Arial" w:cs="Arial"/>
                <w:sz w:val="20"/>
                <w:szCs w:val="20"/>
                <w:lang w:eastAsia="en-US"/>
              </w:rPr>
              <w:t xml:space="preserve"> to 24</w:t>
            </w:r>
          </w:p>
        </w:tc>
        <w:tc>
          <w:tcPr>
            <w:tcW w:w="1100" w:type="dxa"/>
            <w:shd w:val="clear" w:color="auto" w:fill="auto"/>
            <w:noWrap/>
            <w:vAlign w:val="bottom"/>
          </w:tcPr>
          <w:p w14:paraId="090EF567" w14:textId="77777777" w:rsidR="00F362CA" w:rsidRPr="00E97397" w:rsidRDefault="00F362CA" w:rsidP="00F362CA">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25-34</w:t>
            </w:r>
          </w:p>
        </w:tc>
        <w:tc>
          <w:tcPr>
            <w:tcW w:w="1100" w:type="dxa"/>
            <w:shd w:val="clear" w:color="auto" w:fill="auto"/>
            <w:noWrap/>
            <w:vAlign w:val="bottom"/>
          </w:tcPr>
          <w:p w14:paraId="1DE91A9B" w14:textId="77777777" w:rsidR="00F362CA" w:rsidRPr="00E97397" w:rsidRDefault="00F362CA" w:rsidP="00F362CA">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35-44</w:t>
            </w:r>
          </w:p>
        </w:tc>
        <w:tc>
          <w:tcPr>
            <w:tcW w:w="1100" w:type="dxa"/>
            <w:shd w:val="clear" w:color="auto" w:fill="auto"/>
            <w:noWrap/>
            <w:vAlign w:val="bottom"/>
          </w:tcPr>
          <w:p w14:paraId="12AE69E7" w14:textId="77777777" w:rsidR="00F362CA" w:rsidRPr="00E97397" w:rsidRDefault="00F362CA" w:rsidP="00F362CA">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45-54</w:t>
            </w:r>
          </w:p>
        </w:tc>
        <w:tc>
          <w:tcPr>
            <w:tcW w:w="1100" w:type="dxa"/>
            <w:shd w:val="clear" w:color="auto" w:fill="auto"/>
            <w:noWrap/>
            <w:vAlign w:val="bottom"/>
          </w:tcPr>
          <w:p w14:paraId="4821823B" w14:textId="77777777" w:rsidR="00F362CA" w:rsidRPr="00E97397" w:rsidRDefault="00F362CA" w:rsidP="00F362CA">
            <w:pPr>
              <w:spacing w:after="0"/>
              <w:rPr>
                <w:rFonts w:ascii="Arial" w:eastAsia="Times New Roman" w:hAnsi="Arial" w:cs="Arial"/>
                <w:sz w:val="20"/>
                <w:szCs w:val="20"/>
                <w:lang w:eastAsia="en-US"/>
              </w:rPr>
            </w:pPr>
            <w:r w:rsidRPr="00E97397">
              <w:rPr>
                <w:rFonts w:ascii="Arial" w:eastAsia="Times New Roman" w:hAnsi="Arial" w:cs="Arial"/>
                <w:sz w:val="20"/>
                <w:szCs w:val="20"/>
                <w:lang w:eastAsia="en-US"/>
              </w:rPr>
              <w:t>55 plus</w:t>
            </w:r>
          </w:p>
        </w:tc>
      </w:tr>
      <w:tr w:rsidR="00F362CA" w:rsidRPr="00963DDF" w14:paraId="45804F1B" w14:textId="77777777" w:rsidTr="00F362CA">
        <w:trPr>
          <w:trHeight w:val="240"/>
        </w:trPr>
        <w:tc>
          <w:tcPr>
            <w:tcW w:w="1860" w:type="dxa"/>
            <w:shd w:val="clear" w:color="000000" w:fill="FFFFFF"/>
            <w:noWrap/>
            <w:vAlign w:val="bottom"/>
          </w:tcPr>
          <w:p w14:paraId="0A536DE7" w14:textId="77777777" w:rsidR="00F362CA" w:rsidRPr="00E97397" w:rsidRDefault="00F362CA" w:rsidP="00F362CA">
            <w:pPr>
              <w:spacing w:after="0"/>
              <w:rPr>
                <w:rFonts w:ascii="Arial" w:eastAsia="Times New Roman" w:hAnsi="Arial" w:cs="Arial"/>
                <w:sz w:val="20"/>
                <w:szCs w:val="20"/>
                <w:lang w:eastAsia="en-US"/>
              </w:rPr>
            </w:pPr>
          </w:p>
        </w:tc>
        <w:tc>
          <w:tcPr>
            <w:tcW w:w="1100" w:type="dxa"/>
            <w:shd w:val="clear" w:color="auto" w:fill="auto"/>
            <w:noWrap/>
            <w:vAlign w:val="bottom"/>
          </w:tcPr>
          <w:p w14:paraId="3DABF39C" w14:textId="77777777" w:rsidR="00F362CA" w:rsidRPr="00E97397" w:rsidRDefault="00F362CA" w:rsidP="00F362CA">
            <w:pPr>
              <w:spacing w:after="0"/>
              <w:rPr>
                <w:rFonts w:ascii="Arial" w:eastAsia="Times New Roman" w:hAnsi="Arial" w:cs="Arial"/>
                <w:sz w:val="20"/>
                <w:szCs w:val="20"/>
                <w:lang w:eastAsia="en-US"/>
              </w:rPr>
            </w:pPr>
          </w:p>
        </w:tc>
        <w:tc>
          <w:tcPr>
            <w:tcW w:w="1100" w:type="dxa"/>
            <w:shd w:val="clear" w:color="auto" w:fill="auto"/>
            <w:noWrap/>
            <w:vAlign w:val="bottom"/>
          </w:tcPr>
          <w:p w14:paraId="08AD8676" w14:textId="77777777" w:rsidR="00F362CA" w:rsidRPr="00E97397" w:rsidRDefault="00F362CA" w:rsidP="00F362CA">
            <w:pPr>
              <w:spacing w:after="0"/>
              <w:rPr>
                <w:rFonts w:ascii="Arial" w:eastAsia="Times New Roman" w:hAnsi="Arial" w:cs="Arial"/>
                <w:sz w:val="20"/>
                <w:szCs w:val="20"/>
                <w:lang w:eastAsia="en-US"/>
              </w:rPr>
            </w:pPr>
          </w:p>
        </w:tc>
        <w:tc>
          <w:tcPr>
            <w:tcW w:w="1100" w:type="dxa"/>
            <w:shd w:val="clear" w:color="auto" w:fill="auto"/>
            <w:noWrap/>
            <w:vAlign w:val="bottom"/>
          </w:tcPr>
          <w:p w14:paraId="040C07BB" w14:textId="77777777" w:rsidR="00F362CA" w:rsidRPr="00E97397" w:rsidRDefault="00F362CA" w:rsidP="00F362CA">
            <w:pPr>
              <w:spacing w:after="0"/>
              <w:rPr>
                <w:rFonts w:ascii="Arial" w:eastAsia="Times New Roman" w:hAnsi="Arial" w:cs="Arial"/>
                <w:sz w:val="20"/>
                <w:szCs w:val="20"/>
                <w:lang w:eastAsia="en-US"/>
              </w:rPr>
            </w:pPr>
          </w:p>
        </w:tc>
        <w:tc>
          <w:tcPr>
            <w:tcW w:w="1100" w:type="dxa"/>
            <w:shd w:val="clear" w:color="auto" w:fill="auto"/>
            <w:noWrap/>
            <w:vAlign w:val="bottom"/>
          </w:tcPr>
          <w:p w14:paraId="5C914083" w14:textId="77777777" w:rsidR="00F362CA" w:rsidRPr="00E97397" w:rsidRDefault="00F362CA" w:rsidP="00F362CA">
            <w:pPr>
              <w:spacing w:after="0"/>
              <w:rPr>
                <w:rFonts w:ascii="Arial" w:eastAsia="Times New Roman" w:hAnsi="Arial" w:cs="Arial"/>
                <w:sz w:val="20"/>
                <w:szCs w:val="20"/>
                <w:lang w:eastAsia="en-US"/>
              </w:rPr>
            </w:pPr>
          </w:p>
        </w:tc>
        <w:tc>
          <w:tcPr>
            <w:tcW w:w="1100" w:type="dxa"/>
            <w:shd w:val="clear" w:color="auto" w:fill="auto"/>
            <w:noWrap/>
            <w:vAlign w:val="bottom"/>
          </w:tcPr>
          <w:p w14:paraId="4B64C88A" w14:textId="77777777" w:rsidR="00F362CA" w:rsidRPr="00E97397" w:rsidRDefault="00F362CA" w:rsidP="00F362CA">
            <w:pPr>
              <w:spacing w:after="0"/>
              <w:rPr>
                <w:rFonts w:ascii="Arial" w:eastAsia="Times New Roman" w:hAnsi="Arial" w:cs="Arial"/>
                <w:sz w:val="20"/>
                <w:szCs w:val="20"/>
                <w:lang w:eastAsia="en-US"/>
              </w:rPr>
            </w:pPr>
          </w:p>
        </w:tc>
        <w:tc>
          <w:tcPr>
            <w:tcW w:w="1100" w:type="dxa"/>
            <w:shd w:val="clear" w:color="auto" w:fill="auto"/>
            <w:noWrap/>
            <w:vAlign w:val="bottom"/>
          </w:tcPr>
          <w:p w14:paraId="746E45FF" w14:textId="77777777" w:rsidR="00F362CA" w:rsidRPr="00E97397" w:rsidRDefault="00F362CA" w:rsidP="00F362CA">
            <w:pPr>
              <w:spacing w:after="0"/>
              <w:rPr>
                <w:rFonts w:ascii="Arial" w:eastAsia="Times New Roman" w:hAnsi="Arial" w:cs="Arial"/>
                <w:sz w:val="20"/>
                <w:szCs w:val="20"/>
                <w:lang w:eastAsia="en-US"/>
              </w:rPr>
            </w:pPr>
          </w:p>
        </w:tc>
      </w:tr>
      <w:tr w:rsidR="00963DDF" w:rsidRPr="00963DDF" w14:paraId="1E476D1B" w14:textId="77777777" w:rsidTr="00F362CA">
        <w:trPr>
          <w:trHeight w:val="240"/>
        </w:trPr>
        <w:tc>
          <w:tcPr>
            <w:tcW w:w="1860" w:type="dxa"/>
            <w:shd w:val="clear" w:color="000000" w:fill="FFFFFF"/>
            <w:noWrap/>
            <w:vAlign w:val="bottom"/>
            <w:hideMark/>
          </w:tcPr>
          <w:p w14:paraId="6667A83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New Look</w:t>
            </w:r>
          </w:p>
        </w:tc>
        <w:tc>
          <w:tcPr>
            <w:tcW w:w="1100" w:type="dxa"/>
            <w:shd w:val="clear" w:color="auto" w:fill="auto"/>
            <w:noWrap/>
            <w:vAlign w:val="bottom"/>
            <w:hideMark/>
          </w:tcPr>
          <w:p w14:paraId="31ADCF14"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73EDFE77"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.12</w:t>
            </w:r>
          </w:p>
        </w:tc>
        <w:tc>
          <w:tcPr>
            <w:tcW w:w="1100" w:type="dxa"/>
            <w:shd w:val="clear" w:color="auto" w:fill="auto"/>
            <w:noWrap/>
            <w:vAlign w:val="bottom"/>
            <w:hideMark/>
          </w:tcPr>
          <w:p w14:paraId="0C481105"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.01</w:t>
            </w:r>
          </w:p>
        </w:tc>
        <w:tc>
          <w:tcPr>
            <w:tcW w:w="1100" w:type="dxa"/>
            <w:shd w:val="clear" w:color="auto" w:fill="auto"/>
            <w:noWrap/>
            <w:vAlign w:val="bottom"/>
            <w:hideMark/>
          </w:tcPr>
          <w:p w14:paraId="43C1B4F9"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.03</w:t>
            </w:r>
          </w:p>
        </w:tc>
        <w:tc>
          <w:tcPr>
            <w:tcW w:w="1100" w:type="dxa"/>
            <w:shd w:val="clear" w:color="auto" w:fill="auto"/>
            <w:noWrap/>
            <w:vAlign w:val="bottom"/>
            <w:hideMark/>
          </w:tcPr>
          <w:p w14:paraId="79488B39"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.07</w:t>
            </w:r>
          </w:p>
        </w:tc>
        <w:tc>
          <w:tcPr>
            <w:tcW w:w="1100" w:type="dxa"/>
            <w:shd w:val="clear" w:color="auto" w:fill="auto"/>
            <w:noWrap/>
            <w:vAlign w:val="bottom"/>
            <w:hideMark/>
          </w:tcPr>
          <w:p w14:paraId="6F11F095"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.02</w:t>
            </w:r>
          </w:p>
        </w:tc>
      </w:tr>
      <w:tr w:rsidR="00963DDF" w:rsidRPr="00963DDF" w14:paraId="67CB1D8D" w14:textId="77777777" w:rsidTr="00F362CA">
        <w:trPr>
          <w:trHeight w:val="240"/>
        </w:trPr>
        <w:tc>
          <w:tcPr>
            <w:tcW w:w="1860" w:type="dxa"/>
            <w:shd w:val="clear" w:color="auto" w:fill="auto"/>
            <w:noWrap/>
            <w:vAlign w:val="bottom"/>
            <w:hideMark/>
          </w:tcPr>
          <w:p w14:paraId="35316AB8"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Other</w:t>
            </w:r>
          </w:p>
        </w:tc>
        <w:tc>
          <w:tcPr>
            <w:tcW w:w="1100" w:type="dxa"/>
            <w:shd w:val="clear" w:color="auto" w:fill="auto"/>
            <w:noWrap/>
            <w:vAlign w:val="bottom"/>
            <w:hideMark/>
          </w:tcPr>
          <w:p w14:paraId="43D7DA61"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4AE1844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.04</w:t>
            </w:r>
          </w:p>
        </w:tc>
        <w:tc>
          <w:tcPr>
            <w:tcW w:w="1100" w:type="dxa"/>
            <w:shd w:val="clear" w:color="auto" w:fill="auto"/>
            <w:noWrap/>
            <w:vAlign w:val="bottom"/>
            <w:hideMark/>
          </w:tcPr>
          <w:p w14:paraId="489D0EE8"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.01</w:t>
            </w:r>
          </w:p>
        </w:tc>
        <w:tc>
          <w:tcPr>
            <w:tcW w:w="1100" w:type="dxa"/>
            <w:shd w:val="clear" w:color="auto" w:fill="auto"/>
            <w:noWrap/>
            <w:vAlign w:val="bottom"/>
            <w:hideMark/>
          </w:tcPr>
          <w:p w14:paraId="4C51B611"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.00</w:t>
            </w:r>
          </w:p>
        </w:tc>
        <w:tc>
          <w:tcPr>
            <w:tcW w:w="1100" w:type="dxa"/>
            <w:shd w:val="clear" w:color="auto" w:fill="auto"/>
            <w:noWrap/>
            <w:vAlign w:val="bottom"/>
            <w:hideMark/>
          </w:tcPr>
          <w:p w14:paraId="75C29791"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.01</w:t>
            </w:r>
          </w:p>
        </w:tc>
        <w:tc>
          <w:tcPr>
            <w:tcW w:w="1100" w:type="dxa"/>
            <w:shd w:val="clear" w:color="auto" w:fill="auto"/>
            <w:noWrap/>
            <w:vAlign w:val="bottom"/>
            <w:hideMark/>
          </w:tcPr>
          <w:p w14:paraId="453D9D5F"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.02</w:t>
            </w:r>
          </w:p>
        </w:tc>
      </w:tr>
      <w:tr w:rsidR="00963DDF" w:rsidRPr="00963DDF" w14:paraId="51816D8C" w14:textId="77777777" w:rsidTr="00F362CA">
        <w:trPr>
          <w:trHeight w:val="240"/>
        </w:trPr>
        <w:tc>
          <w:tcPr>
            <w:tcW w:w="1860" w:type="dxa"/>
            <w:shd w:val="clear" w:color="000000" w:fill="FFFFFF"/>
            <w:noWrap/>
            <w:vAlign w:val="bottom"/>
            <w:hideMark/>
          </w:tcPr>
          <w:p w14:paraId="76399478"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Next</w:t>
            </w:r>
          </w:p>
        </w:tc>
        <w:tc>
          <w:tcPr>
            <w:tcW w:w="1100" w:type="dxa"/>
            <w:shd w:val="clear" w:color="auto" w:fill="auto"/>
            <w:noWrap/>
            <w:vAlign w:val="bottom"/>
            <w:hideMark/>
          </w:tcPr>
          <w:p w14:paraId="1A01AF2A"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4DA9A391" w14:textId="2293AD3C" w:rsidR="00963DDF" w:rsidRPr="00963DDF" w:rsidRDefault="00963DDF" w:rsidP="003F0A9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w:t>
            </w:r>
            <w:r w:rsidR="0050192B">
              <w:rPr>
                <w:rFonts w:ascii="Arial" w:eastAsia="Times New Roman" w:hAnsi="Arial" w:cs="Arial"/>
                <w:sz w:val="20"/>
                <w:szCs w:val="20"/>
                <w:lang w:eastAsia="en-US"/>
              </w:rPr>
              <w:t>24</w:t>
            </w:r>
          </w:p>
        </w:tc>
        <w:tc>
          <w:tcPr>
            <w:tcW w:w="1100" w:type="dxa"/>
            <w:shd w:val="clear" w:color="auto" w:fill="auto"/>
            <w:noWrap/>
            <w:vAlign w:val="bottom"/>
            <w:hideMark/>
          </w:tcPr>
          <w:p w14:paraId="7FF4CC30"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.01</w:t>
            </w:r>
          </w:p>
        </w:tc>
        <w:tc>
          <w:tcPr>
            <w:tcW w:w="1100" w:type="dxa"/>
            <w:shd w:val="clear" w:color="auto" w:fill="auto"/>
            <w:noWrap/>
            <w:vAlign w:val="bottom"/>
            <w:hideMark/>
          </w:tcPr>
          <w:p w14:paraId="6D4A3775"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.10</w:t>
            </w:r>
          </w:p>
        </w:tc>
        <w:tc>
          <w:tcPr>
            <w:tcW w:w="1100" w:type="dxa"/>
            <w:shd w:val="clear" w:color="auto" w:fill="auto"/>
            <w:noWrap/>
            <w:vAlign w:val="bottom"/>
            <w:hideMark/>
          </w:tcPr>
          <w:p w14:paraId="533E849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.07</w:t>
            </w:r>
          </w:p>
        </w:tc>
        <w:tc>
          <w:tcPr>
            <w:tcW w:w="1100" w:type="dxa"/>
            <w:shd w:val="clear" w:color="auto" w:fill="auto"/>
            <w:noWrap/>
            <w:vAlign w:val="bottom"/>
            <w:hideMark/>
          </w:tcPr>
          <w:p w14:paraId="207206F3"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.09</w:t>
            </w:r>
          </w:p>
        </w:tc>
      </w:tr>
      <w:tr w:rsidR="00963DDF" w:rsidRPr="00963DDF" w14:paraId="6908179F" w14:textId="77777777" w:rsidTr="00F362CA">
        <w:trPr>
          <w:trHeight w:val="240"/>
        </w:trPr>
        <w:tc>
          <w:tcPr>
            <w:tcW w:w="1860" w:type="dxa"/>
            <w:shd w:val="clear" w:color="000000" w:fill="FFFFFF"/>
            <w:noWrap/>
            <w:vAlign w:val="bottom"/>
            <w:hideMark/>
          </w:tcPr>
          <w:p w14:paraId="6D546275" w14:textId="77777777" w:rsidR="00963DDF" w:rsidRPr="00963DDF" w:rsidRDefault="00963DDF" w:rsidP="00963DDF">
            <w:pPr>
              <w:spacing w:after="0"/>
              <w:rPr>
                <w:rFonts w:ascii="Arial" w:eastAsia="Times New Roman" w:hAnsi="Arial" w:cs="Arial"/>
                <w:sz w:val="20"/>
                <w:szCs w:val="20"/>
                <w:lang w:eastAsia="en-US"/>
              </w:rPr>
            </w:pPr>
            <w:proofErr w:type="spellStart"/>
            <w:r w:rsidRPr="00963DDF">
              <w:rPr>
                <w:rFonts w:ascii="Arial" w:eastAsia="Times New Roman" w:hAnsi="Arial" w:cs="Arial"/>
                <w:sz w:val="20"/>
                <w:szCs w:val="20"/>
                <w:lang w:eastAsia="en-US"/>
              </w:rPr>
              <w:t>Hennes</w:t>
            </w:r>
            <w:proofErr w:type="spellEnd"/>
            <w:r w:rsidRPr="00963DDF">
              <w:rPr>
                <w:rFonts w:ascii="Arial" w:eastAsia="Times New Roman" w:hAnsi="Arial" w:cs="Arial"/>
                <w:sz w:val="20"/>
                <w:szCs w:val="20"/>
                <w:lang w:eastAsia="en-US"/>
              </w:rPr>
              <w:t>/H&amp;M</w:t>
            </w:r>
          </w:p>
        </w:tc>
        <w:tc>
          <w:tcPr>
            <w:tcW w:w="1100" w:type="dxa"/>
            <w:shd w:val="clear" w:color="auto" w:fill="auto"/>
            <w:noWrap/>
            <w:vAlign w:val="bottom"/>
            <w:hideMark/>
          </w:tcPr>
          <w:p w14:paraId="59521119"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3C66C9D1" w14:textId="5E720937" w:rsidR="00963DDF" w:rsidRPr="00963DDF" w:rsidRDefault="0050192B" w:rsidP="00963DDF">
            <w:pPr>
              <w:spacing w:after="0"/>
              <w:rPr>
                <w:rFonts w:ascii="Arial" w:eastAsia="Times New Roman" w:hAnsi="Arial" w:cs="Arial"/>
                <w:sz w:val="20"/>
                <w:szCs w:val="20"/>
                <w:lang w:eastAsia="en-US"/>
              </w:rPr>
            </w:pPr>
            <w:r>
              <w:rPr>
                <w:rFonts w:ascii="Arial" w:eastAsia="Times New Roman" w:hAnsi="Arial" w:cs="Arial"/>
                <w:sz w:val="20"/>
                <w:szCs w:val="20"/>
                <w:lang w:eastAsia="en-US"/>
              </w:rPr>
              <w:t>.10</w:t>
            </w:r>
          </w:p>
        </w:tc>
        <w:tc>
          <w:tcPr>
            <w:tcW w:w="1100" w:type="dxa"/>
            <w:shd w:val="clear" w:color="auto" w:fill="auto"/>
            <w:noWrap/>
            <w:vAlign w:val="bottom"/>
            <w:hideMark/>
          </w:tcPr>
          <w:p w14:paraId="4E5939AE"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.04</w:t>
            </w:r>
          </w:p>
        </w:tc>
        <w:tc>
          <w:tcPr>
            <w:tcW w:w="1100" w:type="dxa"/>
            <w:shd w:val="clear" w:color="auto" w:fill="auto"/>
            <w:noWrap/>
            <w:vAlign w:val="bottom"/>
            <w:hideMark/>
          </w:tcPr>
          <w:p w14:paraId="5006B17C"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.05</w:t>
            </w:r>
          </w:p>
        </w:tc>
        <w:tc>
          <w:tcPr>
            <w:tcW w:w="1100" w:type="dxa"/>
            <w:shd w:val="clear" w:color="auto" w:fill="auto"/>
            <w:noWrap/>
            <w:vAlign w:val="bottom"/>
            <w:hideMark/>
          </w:tcPr>
          <w:p w14:paraId="2BD3C3C1"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.09</w:t>
            </w:r>
          </w:p>
        </w:tc>
        <w:tc>
          <w:tcPr>
            <w:tcW w:w="1100" w:type="dxa"/>
            <w:shd w:val="clear" w:color="auto" w:fill="auto"/>
            <w:noWrap/>
            <w:vAlign w:val="bottom"/>
            <w:hideMark/>
          </w:tcPr>
          <w:p w14:paraId="7609978E"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.01</w:t>
            </w:r>
          </w:p>
        </w:tc>
      </w:tr>
      <w:tr w:rsidR="00963DDF" w:rsidRPr="00963DDF" w14:paraId="4EDD9F23" w14:textId="77777777" w:rsidTr="00F362CA">
        <w:trPr>
          <w:trHeight w:val="240"/>
        </w:trPr>
        <w:tc>
          <w:tcPr>
            <w:tcW w:w="1860" w:type="dxa"/>
            <w:shd w:val="clear" w:color="000000" w:fill="FFFFFF"/>
            <w:noWrap/>
            <w:vAlign w:val="bottom"/>
            <w:hideMark/>
          </w:tcPr>
          <w:p w14:paraId="767F2479"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Dorothy Perkins</w:t>
            </w:r>
          </w:p>
        </w:tc>
        <w:tc>
          <w:tcPr>
            <w:tcW w:w="1100" w:type="dxa"/>
            <w:shd w:val="clear" w:color="auto" w:fill="auto"/>
            <w:noWrap/>
            <w:vAlign w:val="bottom"/>
            <w:hideMark/>
          </w:tcPr>
          <w:p w14:paraId="06A71D83"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5423DF43"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.06</w:t>
            </w:r>
          </w:p>
        </w:tc>
        <w:tc>
          <w:tcPr>
            <w:tcW w:w="1100" w:type="dxa"/>
            <w:shd w:val="clear" w:color="auto" w:fill="auto"/>
            <w:noWrap/>
            <w:vAlign w:val="bottom"/>
            <w:hideMark/>
          </w:tcPr>
          <w:p w14:paraId="7F3901C6"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.13</w:t>
            </w:r>
          </w:p>
        </w:tc>
        <w:tc>
          <w:tcPr>
            <w:tcW w:w="1100" w:type="dxa"/>
            <w:shd w:val="clear" w:color="auto" w:fill="auto"/>
            <w:noWrap/>
            <w:vAlign w:val="bottom"/>
            <w:hideMark/>
          </w:tcPr>
          <w:p w14:paraId="49061379"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.03</w:t>
            </w:r>
          </w:p>
        </w:tc>
        <w:tc>
          <w:tcPr>
            <w:tcW w:w="1100" w:type="dxa"/>
            <w:shd w:val="clear" w:color="auto" w:fill="auto"/>
            <w:noWrap/>
            <w:vAlign w:val="bottom"/>
            <w:hideMark/>
          </w:tcPr>
          <w:p w14:paraId="0925DD41"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.06</w:t>
            </w:r>
          </w:p>
        </w:tc>
        <w:tc>
          <w:tcPr>
            <w:tcW w:w="1100" w:type="dxa"/>
            <w:shd w:val="clear" w:color="auto" w:fill="auto"/>
            <w:noWrap/>
            <w:vAlign w:val="bottom"/>
            <w:hideMark/>
          </w:tcPr>
          <w:p w14:paraId="0CA5C75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.04</w:t>
            </w:r>
          </w:p>
        </w:tc>
      </w:tr>
      <w:tr w:rsidR="00963DDF" w:rsidRPr="00963DDF" w14:paraId="3BBD3A0E" w14:textId="77777777" w:rsidTr="00F362CA">
        <w:trPr>
          <w:trHeight w:val="240"/>
        </w:trPr>
        <w:tc>
          <w:tcPr>
            <w:tcW w:w="1860" w:type="dxa"/>
            <w:shd w:val="clear" w:color="000000" w:fill="FFFFFF"/>
            <w:noWrap/>
            <w:vAlign w:val="bottom"/>
            <w:hideMark/>
          </w:tcPr>
          <w:p w14:paraId="272EDA95"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Top Shop</w:t>
            </w:r>
          </w:p>
        </w:tc>
        <w:tc>
          <w:tcPr>
            <w:tcW w:w="1100" w:type="dxa"/>
            <w:shd w:val="clear" w:color="auto" w:fill="auto"/>
            <w:noWrap/>
            <w:vAlign w:val="bottom"/>
            <w:hideMark/>
          </w:tcPr>
          <w:p w14:paraId="4B8449F0"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2D1564CA" w14:textId="272B5893" w:rsidR="00963DDF" w:rsidRPr="00963DDF" w:rsidRDefault="00963DDF" w:rsidP="0050192B">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w:t>
            </w:r>
            <w:r w:rsidR="0050192B">
              <w:rPr>
                <w:rFonts w:ascii="Arial" w:eastAsia="Times New Roman" w:hAnsi="Arial" w:cs="Arial"/>
                <w:sz w:val="20"/>
                <w:szCs w:val="20"/>
                <w:lang w:eastAsia="en-US"/>
              </w:rPr>
              <w:t>2</w:t>
            </w:r>
            <w:r w:rsidRPr="00963DDF">
              <w:rPr>
                <w:rFonts w:ascii="Arial" w:eastAsia="Times New Roman" w:hAnsi="Arial" w:cs="Arial"/>
                <w:sz w:val="20"/>
                <w:szCs w:val="20"/>
                <w:lang w:eastAsia="en-US"/>
              </w:rPr>
              <w:t>3</w:t>
            </w:r>
          </w:p>
        </w:tc>
        <w:tc>
          <w:tcPr>
            <w:tcW w:w="1100" w:type="dxa"/>
            <w:shd w:val="clear" w:color="auto" w:fill="auto"/>
            <w:noWrap/>
            <w:vAlign w:val="bottom"/>
            <w:hideMark/>
          </w:tcPr>
          <w:p w14:paraId="28C862BD"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.04</w:t>
            </w:r>
          </w:p>
        </w:tc>
        <w:tc>
          <w:tcPr>
            <w:tcW w:w="1100" w:type="dxa"/>
            <w:shd w:val="clear" w:color="auto" w:fill="auto"/>
            <w:noWrap/>
            <w:vAlign w:val="bottom"/>
            <w:hideMark/>
          </w:tcPr>
          <w:p w14:paraId="2A80BFD5"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.09</w:t>
            </w:r>
          </w:p>
        </w:tc>
        <w:tc>
          <w:tcPr>
            <w:tcW w:w="1100" w:type="dxa"/>
            <w:shd w:val="clear" w:color="auto" w:fill="auto"/>
            <w:noWrap/>
            <w:vAlign w:val="bottom"/>
            <w:hideMark/>
          </w:tcPr>
          <w:p w14:paraId="284C19AF"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.13</w:t>
            </w:r>
          </w:p>
        </w:tc>
        <w:tc>
          <w:tcPr>
            <w:tcW w:w="1100" w:type="dxa"/>
            <w:shd w:val="clear" w:color="auto" w:fill="auto"/>
            <w:noWrap/>
            <w:vAlign w:val="bottom"/>
            <w:hideMark/>
          </w:tcPr>
          <w:p w14:paraId="0A82171C"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.07</w:t>
            </w:r>
          </w:p>
        </w:tc>
      </w:tr>
      <w:tr w:rsidR="00963DDF" w:rsidRPr="00963DDF" w14:paraId="62637E9D" w14:textId="77777777" w:rsidTr="00F362CA">
        <w:trPr>
          <w:trHeight w:val="240"/>
        </w:trPr>
        <w:tc>
          <w:tcPr>
            <w:tcW w:w="1860" w:type="dxa"/>
            <w:shd w:val="clear" w:color="000000" w:fill="FFFFFF"/>
            <w:noWrap/>
            <w:vAlign w:val="bottom"/>
            <w:hideMark/>
          </w:tcPr>
          <w:p w14:paraId="6568FD5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River Island</w:t>
            </w:r>
          </w:p>
        </w:tc>
        <w:tc>
          <w:tcPr>
            <w:tcW w:w="1100" w:type="dxa"/>
            <w:shd w:val="clear" w:color="auto" w:fill="auto"/>
            <w:noWrap/>
            <w:vAlign w:val="bottom"/>
            <w:hideMark/>
          </w:tcPr>
          <w:p w14:paraId="07CC76D6"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49F79D00"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.13</w:t>
            </w:r>
          </w:p>
        </w:tc>
        <w:tc>
          <w:tcPr>
            <w:tcW w:w="1100" w:type="dxa"/>
            <w:shd w:val="clear" w:color="auto" w:fill="auto"/>
            <w:noWrap/>
            <w:vAlign w:val="bottom"/>
            <w:hideMark/>
          </w:tcPr>
          <w:p w14:paraId="3B4ED7C0"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.01</w:t>
            </w:r>
          </w:p>
        </w:tc>
        <w:tc>
          <w:tcPr>
            <w:tcW w:w="1100" w:type="dxa"/>
            <w:shd w:val="clear" w:color="auto" w:fill="auto"/>
            <w:noWrap/>
            <w:vAlign w:val="bottom"/>
            <w:hideMark/>
          </w:tcPr>
          <w:p w14:paraId="5AB7B6E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.01</w:t>
            </w:r>
          </w:p>
        </w:tc>
        <w:tc>
          <w:tcPr>
            <w:tcW w:w="1100" w:type="dxa"/>
            <w:shd w:val="clear" w:color="auto" w:fill="auto"/>
            <w:noWrap/>
            <w:vAlign w:val="bottom"/>
            <w:hideMark/>
          </w:tcPr>
          <w:p w14:paraId="54F12ADD"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.05</w:t>
            </w:r>
          </w:p>
        </w:tc>
        <w:tc>
          <w:tcPr>
            <w:tcW w:w="1100" w:type="dxa"/>
            <w:shd w:val="clear" w:color="auto" w:fill="auto"/>
            <w:noWrap/>
            <w:vAlign w:val="bottom"/>
            <w:hideMark/>
          </w:tcPr>
          <w:p w14:paraId="430643CA"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.07</w:t>
            </w:r>
          </w:p>
        </w:tc>
      </w:tr>
      <w:tr w:rsidR="00963DDF" w:rsidRPr="00963DDF" w14:paraId="63D09F7F" w14:textId="77777777" w:rsidTr="00F362CA">
        <w:trPr>
          <w:trHeight w:val="240"/>
        </w:trPr>
        <w:tc>
          <w:tcPr>
            <w:tcW w:w="1860" w:type="dxa"/>
            <w:shd w:val="clear" w:color="000000" w:fill="FFFFFF"/>
            <w:noWrap/>
            <w:vAlign w:val="bottom"/>
            <w:hideMark/>
          </w:tcPr>
          <w:p w14:paraId="1DFD2BE6"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Monsoon</w:t>
            </w:r>
          </w:p>
        </w:tc>
        <w:tc>
          <w:tcPr>
            <w:tcW w:w="1100" w:type="dxa"/>
            <w:shd w:val="clear" w:color="auto" w:fill="auto"/>
            <w:noWrap/>
            <w:vAlign w:val="bottom"/>
            <w:hideMark/>
          </w:tcPr>
          <w:p w14:paraId="1489C863"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04D9296D"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.28</w:t>
            </w:r>
          </w:p>
        </w:tc>
        <w:tc>
          <w:tcPr>
            <w:tcW w:w="1100" w:type="dxa"/>
            <w:shd w:val="clear" w:color="auto" w:fill="auto"/>
            <w:noWrap/>
            <w:vAlign w:val="bottom"/>
            <w:hideMark/>
          </w:tcPr>
          <w:p w14:paraId="1A16FB90"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.03</w:t>
            </w:r>
          </w:p>
        </w:tc>
        <w:tc>
          <w:tcPr>
            <w:tcW w:w="1100" w:type="dxa"/>
            <w:shd w:val="clear" w:color="auto" w:fill="auto"/>
            <w:noWrap/>
            <w:vAlign w:val="bottom"/>
            <w:hideMark/>
          </w:tcPr>
          <w:p w14:paraId="7EBD894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.07</w:t>
            </w:r>
          </w:p>
        </w:tc>
        <w:tc>
          <w:tcPr>
            <w:tcW w:w="1100" w:type="dxa"/>
            <w:shd w:val="clear" w:color="auto" w:fill="auto"/>
            <w:noWrap/>
            <w:vAlign w:val="bottom"/>
            <w:hideMark/>
          </w:tcPr>
          <w:p w14:paraId="4848F51C"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.05</w:t>
            </w:r>
          </w:p>
        </w:tc>
        <w:tc>
          <w:tcPr>
            <w:tcW w:w="1100" w:type="dxa"/>
            <w:shd w:val="clear" w:color="auto" w:fill="auto"/>
            <w:noWrap/>
            <w:vAlign w:val="bottom"/>
            <w:hideMark/>
          </w:tcPr>
          <w:p w14:paraId="31F01E8C"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.19</w:t>
            </w:r>
          </w:p>
        </w:tc>
      </w:tr>
      <w:tr w:rsidR="00963DDF" w:rsidRPr="00963DDF" w14:paraId="5B585E63" w14:textId="77777777" w:rsidTr="00F362CA">
        <w:trPr>
          <w:trHeight w:val="240"/>
        </w:trPr>
        <w:tc>
          <w:tcPr>
            <w:tcW w:w="1860" w:type="dxa"/>
            <w:shd w:val="clear" w:color="000000" w:fill="FFFFFF"/>
            <w:noWrap/>
            <w:vAlign w:val="bottom"/>
            <w:hideMark/>
          </w:tcPr>
          <w:p w14:paraId="5583C5A5"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Miss Selfridge</w:t>
            </w:r>
          </w:p>
        </w:tc>
        <w:tc>
          <w:tcPr>
            <w:tcW w:w="1100" w:type="dxa"/>
            <w:shd w:val="clear" w:color="auto" w:fill="auto"/>
            <w:noWrap/>
            <w:vAlign w:val="bottom"/>
            <w:hideMark/>
          </w:tcPr>
          <w:p w14:paraId="3B42241B"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736FFF7D"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.30</w:t>
            </w:r>
          </w:p>
        </w:tc>
        <w:tc>
          <w:tcPr>
            <w:tcW w:w="1100" w:type="dxa"/>
            <w:shd w:val="clear" w:color="auto" w:fill="auto"/>
            <w:noWrap/>
            <w:vAlign w:val="bottom"/>
            <w:hideMark/>
          </w:tcPr>
          <w:p w14:paraId="2AA95CE4"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.03</w:t>
            </w:r>
          </w:p>
        </w:tc>
        <w:tc>
          <w:tcPr>
            <w:tcW w:w="1100" w:type="dxa"/>
            <w:shd w:val="clear" w:color="auto" w:fill="auto"/>
            <w:noWrap/>
            <w:vAlign w:val="bottom"/>
            <w:hideMark/>
          </w:tcPr>
          <w:p w14:paraId="3E5D61AF"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.09</w:t>
            </w:r>
          </w:p>
        </w:tc>
        <w:tc>
          <w:tcPr>
            <w:tcW w:w="1100" w:type="dxa"/>
            <w:shd w:val="clear" w:color="auto" w:fill="auto"/>
            <w:noWrap/>
            <w:vAlign w:val="bottom"/>
            <w:hideMark/>
          </w:tcPr>
          <w:p w14:paraId="1F793BA9"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.11</w:t>
            </w:r>
          </w:p>
        </w:tc>
        <w:tc>
          <w:tcPr>
            <w:tcW w:w="1100" w:type="dxa"/>
            <w:shd w:val="clear" w:color="auto" w:fill="auto"/>
            <w:noWrap/>
            <w:vAlign w:val="bottom"/>
            <w:hideMark/>
          </w:tcPr>
          <w:p w14:paraId="08F28802"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.07</w:t>
            </w:r>
          </w:p>
        </w:tc>
      </w:tr>
      <w:tr w:rsidR="00963DDF" w:rsidRPr="00963DDF" w14:paraId="071A959E" w14:textId="77777777" w:rsidTr="00F362CA">
        <w:trPr>
          <w:trHeight w:val="240"/>
        </w:trPr>
        <w:tc>
          <w:tcPr>
            <w:tcW w:w="1860" w:type="dxa"/>
            <w:shd w:val="clear" w:color="000000" w:fill="FFFFFF"/>
            <w:noWrap/>
            <w:vAlign w:val="bottom"/>
            <w:hideMark/>
          </w:tcPr>
          <w:p w14:paraId="6829D581"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Zara</w:t>
            </w:r>
          </w:p>
        </w:tc>
        <w:tc>
          <w:tcPr>
            <w:tcW w:w="1100" w:type="dxa"/>
            <w:shd w:val="clear" w:color="auto" w:fill="auto"/>
            <w:noWrap/>
            <w:vAlign w:val="bottom"/>
            <w:hideMark/>
          </w:tcPr>
          <w:p w14:paraId="27F09207"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531EDA0D"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.01</w:t>
            </w:r>
          </w:p>
        </w:tc>
        <w:tc>
          <w:tcPr>
            <w:tcW w:w="1100" w:type="dxa"/>
            <w:shd w:val="clear" w:color="auto" w:fill="auto"/>
            <w:noWrap/>
            <w:vAlign w:val="bottom"/>
            <w:hideMark/>
          </w:tcPr>
          <w:p w14:paraId="61A017D0"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.02</w:t>
            </w:r>
          </w:p>
        </w:tc>
        <w:tc>
          <w:tcPr>
            <w:tcW w:w="1100" w:type="dxa"/>
            <w:shd w:val="clear" w:color="auto" w:fill="auto"/>
            <w:noWrap/>
            <w:vAlign w:val="bottom"/>
            <w:hideMark/>
          </w:tcPr>
          <w:p w14:paraId="55BE6067"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.02</w:t>
            </w:r>
          </w:p>
        </w:tc>
        <w:tc>
          <w:tcPr>
            <w:tcW w:w="1100" w:type="dxa"/>
            <w:shd w:val="clear" w:color="auto" w:fill="auto"/>
            <w:noWrap/>
            <w:vAlign w:val="bottom"/>
            <w:hideMark/>
          </w:tcPr>
          <w:p w14:paraId="03852118"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.00</w:t>
            </w:r>
          </w:p>
        </w:tc>
        <w:tc>
          <w:tcPr>
            <w:tcW w:w="1100" w:type="dxa"/>
            <w:shd w:val="clear" w:color="auto" w:fill="auto"/>
            <w:noWrap/>
            <w:vAlign w:val="bottom"/>
            <w:hideMark/>
          </w:tcPr>
          <w:p w14:paraId="255348BF"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.03</w:t>
            </w:r>
          </w:p>
        </w:tc>
      </w:tr>
      <w:tr w:rsidR="00963DDF" w:rsidRPr="00963DDF" w14:paraId="30C3B70E" w14:textId="77777777" w:rsidTr="00F362CA">
        <w:trPr>
          <w:trHeight w:val="240"/>
        </w:trPr>
        <w:tc>
          <w:tcPr>
            <w:tcW w:w="1860" w:type="dxa"/>
            <w:shd w:val="clear" w:color="000000" w:fill="FFFFFF"/>
            <w:noWrap/>
            <w:vAlign w:val="bottom"/>
            <w:hideMark/>
          </w:tcPr>
          <w:p w14:paraId="21EA73CA"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Wallis</w:t>
            </w:r>
          </w:p>
        </w:tc>
        <w:tc>
          <w:tcPr>
            <w:tcW w:w="1100" w:type="dxa"/>
            <w:shd w:val="clear" w:color="auto" w:fill="auto"/>
            <w:noWrap/>
            <w:vAlign w:val="bottom"/>
            <w:hideMark/>
          </w:tcPr>
          <w:p w14:paraId="3A68D85C"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6341224D"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.27</w:t>
            </w:r>
          </w:p>
        </w:tc>
        <w:tc>
          <w:tcPr>
            <w:tcW w:w="1100" w:type="dxa"/>
            <w:shd w:val="clear" w:color="auto" w:fill="auto"/>
            <w:noWrap/>
            <w:vAlign w:val="bottom"/>
            <w:hideMark/>
          </w:tcPr>
          <w:p w14:paraId="54CDDED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.09</w:t>
            </w:r>
          </w:p>
        </w:tc>
        <w:tc>
          <w:tcPr>
            <w:tcW w:w="1100" w:type="dxa"/>
            <w:shd w:val="clear" w:color="auto" w:fill="auto"/>
            <w:noWrap/>
            <w:vAlign w:val="bottom"/>
            <w:hideMark/>
          </w:tcPr>
          <w:p w14:paraId="78EB4D33"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.07</w:t>
            </w:r>
          </w:p>
        </w:tc>
        <w:tc>
          <w:tcPr>
            <w:tcW w:w="1100" w:type="dxa"/>
            <w:shd w:val="clear" w:color="auto" w:fill="auto"/>
            <w:noWrap/>
            <w:vAlign w:val="bottom"/>
            <w:hideMark/>
          </w:tcPr>
          <w:p w14:paraId="75FD8EF7"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.32</w:t>
            </w:r>
          </w:p>
        </w:tc>
        <w:tc>
          <w:tcPr>
            <w:tcW w:w="1100" w:type="dxa"/>
            <w:shd w:val="clear" w:color="auto" w:fill="auto"/>
            <w:noWrap/>
            <w:vAlign w:val="bottom"/>
            <w:hideMark/>
          </w:tcPr>
          <w:p w14:paraId="1B629A3C"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.02</w:t>
            </w:r>
          </w:p>
        </w:tc>
      </w:tr>
      <w:tr w:rsidR="00963DDF" w:rsidRPr="00963DDF" w14:paraId="07FA7E14" w14:textId="77777777" w:rsidTr="00F362CA">
        <w:trPr>
          <w:trHeight w:val="240"/>
        </w:trPr>
        <w:tc>
          <w:tcPr>
            <w:tcW w:w="1860" w:type="dxa"/>
            <w:shd w:val="clear" w:color="auto" w:fill="auto"/>
            <w:noWrap/>
            <w:vAlign w:val="bottom"/>
            <w:hideMark/>
          </w:tcPr>
          <w:p w14:paraId="5F5263F5"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76D19FF8"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62F2D17F"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185BDE44"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176A841D"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6C5B02DB"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auto" w:fill="auto"/>
            <w:noWrap/>
            <w:vAlign w:val="bottom"/>
            <w:hideMark/>
          </w:tcPr>
          <w:p w14:paraId="7A897FD8" w14:textId="77777777" w:rsidR="00963DDF" w:rsidRPr="00963DDF" w:rsidRDefault="00963DDF" w:rsidP="00963DDF">
            <w:pPr>
              <w:spacing w:after="0"/>
              <w:rPr>
                <w:rFonts w:ascii="Arial" w:eastAsia="Times New Roman" w:hAnsi="Arial" w:cs="Arial"/>
                <w:sz w:val="20"/>
                <w:szCs w:val="20"/>
                <w:lang w:eastAsia="en-US"/>
              </w:rPr>
            </w:pPr>
          </w:p>
        </w:tc>
      </w:tr>
      <w:tr w:rsidR="00963DDF" w:rsidRPr="00963DDF" w14:paraId="7C5D2FCB" w14:textId="77777777" w:rsidTr="00F362CA">
        <w:trPr>
          <w:trHeight w:val="240"/>
        </w:trPr>
        <w:tc>
          <w:tcPr>
            <w:tcW w:w="1860" w:type="dxa"/>
            <w:shd w:val="clear" w:color="000000" w:fill="FFFFFF"/>
            <w:noWrap/>
            <w:vAlign w:val="bottom"/>
            <w:hideMark/>
          </w:tcPr>
          <w:p w14:paraId="2FC37B71"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MAD</w:t>
            </w:r>
            <w:r>
              <w:rPr>
                <w:rFonts w:ascii="Arial" w:eastAsia="Times New Roman" w:hAnsi="Arial" w:cs="Arial"/>
                <w:sz w:val="20"/>
                <w:szCs w:val="20"/>
                <w:lang w:eastAsia="en-US"/>
              </w:rPr>
              <w:t xml:space="preserve"> (overall average = .08)</w:t>
            </w:r>
          </w:p>
        </w:tc>
        <w:tc>
          <w:tcPr>
            <w:tcW w:w="1100" w:type="dxa"/>
            <w:shd w:val="clear" w:color="auto" w:fill="auto"/>
            <w:noWrap/>
            <w:vAlign w:val="bottom"/>
            <w:hideMark/>
          </w:tcPr>
          <w:p w14:paraId="79635E09" w14:textId="77777777" w:rsidR="00963DDF" w:rsidRPr="00963DDF" w:rsidRDefault="00963DDF" w:rsidP="00963DDF">
            <w:pPr>
              <w:spacing w:after="0"/>
              <w:rPr>
                <w:rFonts w:ascii="Arial" w:eastAsia="Times New Roman" w:hAnsi="Arial" w:cs="Arial"/>
                <w:sz w:val="20"/>
                <w:szCs w:val="20"/>
                <w:lang w:eastAsia="en-US"/>
              </w:rPr>
            </w:pPr>
          </w:p>
        </w:tc>
        <w:tc>
          <w:tcPr>
            <w:tcW w:w="1100" w:type="dxa"/>
            <w:shd w:val="clear" w:color="000000" w:fill="FFFFFF"/>
            <w:noWrap/>
            <w:vAlign w:val="bottom"/>
            <w:hideMark/>
          </w:tcPr>
          <w:p w14:paraId="741B841D" w14:textId="7C79CF07" w:rsidR="00963DDF" w:rsidRPr="00963DDF" w:rsidRDefault="009C1D9A" w:rsidP="00963DDF">
            <w:pPr>
              <w:spacing w:after="0"/>
              <w:rPr>
                <w:rFonts w:ascii="Arial" w:eastAsia="Times New Roman" w:hAnsi="Arial" w:cs="Arial"/>
                <w:sz w:val="20"/>
                <w:szCs w:val="20"/>
                <w:lang w:eastAsia="en-US"/>
              </w:rPr>
            </w:pPr>
            <w:r>
              <w:rPr>
                <w:rFonts w:ascii="Arial" w:eastAsia="Times New Roman" w:hAnsi="Arial" w:cs="Arial"/>
                <w:sz w:val="20"/>
                <w:szCs w:val="20"/>
                <w:lang w:eastAsia="en-US"/>
              </w:rPr>
              <w:t>.14</w:t>
            </w:r>
          </w:p>
        </w:tc>
        <w:tc>
          <w:tcPr>
            <w:tcW w:w="1100" w:type="dxa"/>
            <w:shd w:val="clear" w:color="000000" w:fill="FFFFFF"/>
            <w:noWrap/>
            <w:vAlign w:val="bottom"/>
            <w:hideMark/>
          </w:tcPr>
          <w:p w14:paraId="5EA84EAF"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.04</w:t>
            </w:r>
          </w:p>
        </w:tc>
        <w:tc>
          <w:tcPr>
            <w:tcW w:w="1100" w:type="dxa"/>
            <w:shd w:val="clear" w:color="000000" w:fill="FFFFFF"/>
            <w:noWrap/>
            <w:vAlign w:val="bottom"/>
            <w:hideMark/>
          </w:tcPr>
          <w:p w14:paraId="79DF7D0B"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.05</w:t>
            </w:r>
          </w:p>
        </w:tc>
        <w:tc>
          <w:tcPr>
            <w:tcW w:w="1100" w:type="dxa"/>
            <w:shd w:val="clear" w:color="000000" w:fill="FFFFFF"/>
            <w:noWrap/>
            <w:vAlign w:val="bottom"/>
            <w:hideMark/>
          </w:tcPr>
          <w:p w14:paraId="0DCCF74D"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.09</w:t>
            </w:r>
          </w:p>
        </w:tc>
        <w:tc>
          <w:tcPr>
            <w:tcW w:w="1100" w:type="dxa"/>
            <w:shd w:val="clear" w:color="000000" w:fill="FFFFFF"/>
            <w:noWrap/>
            <w:vAlign w:val="bottom"/>
            <w:hideMark/>
          </w:tcPr>
          <w:p w14:paraId="0B37F275" w14:textId="77777777" w:rsidR="00963DDF" w:rsidRPr="00963DDF" w:rsidRDefault="00963DDF" w:rsidP="00963DDF">
            <w:pPr>
              <w:spacing w:after="0"/>
              <w:rPr>
                <w:rFonts w:ascii="Arial" w:eastAsia="Times New Roman" w:hAnsi="Arial" w:cs="Arial"/>
                <w:sz w:val="20"/>
                <w:szCs w:val="20"/>
                <w:lang w:eastAsia="en-US"/>
              </w:rPr>
            </w:pPr>
            <w:r w:rsidRPr="00963DDF">
              <w:rPr>
                <w:rFonts w:ascii="Arial" w:eastAsia="Times New Roman" w:hAnsi="Arial" w:cs="Arial"/>
                <w:sz w:val="20"/>
                <w:szCs w:val="20"/>
                <w:lang w:eastAsia="en-US"/>
              </w:rPr>
              <w:t>.06</w:t>
            </w:r>
          </w:p>
        </w:tc>
      </w:tr>
    </w:tbl>
    <w:p w14:paraId="1DFF6EEB" w14:textId="77777777" w:rsidR="00126E73" w:rsidRPr="00D20D9B" w:rsidRDefault="00126E73" w:rsidP="000607E8">
      <w:pPr>
        <w:widowControl w:val="0"/>
        <w:autoSpaceDE w:val="0"/>
        <w:autoSpaceDN w:val="0"/>
        <w:adjustRightInd w:val="0"/>
        <w:spacing w:after="240" w:line="360" w:lineRule="auto"/>
        <w:jc w:val="both"/>
        <w:rPr>
          <w:rFonts w:ascii="Arial" w:hAnsi="Arial" w:cs="Arial"/>
          <w:lang w:val="en-US"/>
        </w:rPr>
      </w:pPr>
    </w:p>
    <w:p w14:paraId="6B4EDDB3" w14:textId="6899E8F0" w:rsidR="00B272CD" w:rsidRPr="00D20D9B" w:rsidRDefault="00B272CD"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The Average is used to calculate deviation</w:t>
      </w:r>
      <w:r w:rsidR="003A0B95" w:rsidRPr="00D20D9B">
        <w:rPr>
          <w:rFonts w:ascii="Arial" w:hAnsi="Arial" w:cs="Arial"/>
          <w:lang w:val="en-US"/>
        </w:rPr>
        <w:t>s</w:t>
      </w:r>
      <w:r w:rsidRPr="00D20D9B">
        <w:rPr>
          <w:rFonts w:ascii="Arial" w:hAnsi="Arial" w:cs="Arial"/>
          <w:lang w:val="en-US"/>
        </w:rPr>
        <w:t xml:space="preserve"> for each brand. Deviations can be positive when the brand has more users than the average for the product category, or negative when they have fewer users in that category. To enable a comparison on the magnitude of deviations across the category the Mean Absolute Deviations (MADs) are calculated. This averages the absolute variation (wh</w:t>
      </w:r>
      <w:r w:rsidR="005D558A">
        <w:rPr>
          <w:rFonts w:ascii="Arial" w:hAnsi="Arial" w:cs="Arial"/>
          <w:lang w:val="en-US"/>
        </w:rPr>
        <w:t>ether negative or positive</w:t>
      </w:r>
      <w:r w:rsidRPr="00D20D9B">
        <w:rPr>
          <w:rFonts w:ascii="Arial" w:hAnsi="Arial" w:cs="Arial"/>
          <w:lang w:val="en-US"/>
        </w:rPr>
        <w:t>). To calculate the MAD, absolute values for each brand are used so that negative and positive deviations do not cancel each other out. Then the absolute deviations are averaged across all brands refle</w:t>
      </w:r>
      <w:r w:rsidR="005F0D25" w:rsidRPr="00D20D9B">
        <w:rPr>
          <w:rFonts w:ascii="Arial" w:hAnsi="Arial" w:cs="Arial"/>
          <w:lang w:val="en-US"/>
        </w:rPr>
        <w:t>cted in the MAD in the last row</w:t>
      </w:r>
      <w:r w:rsidRPr="00D20D9B">
        <w:rPr>
          <w:rFonts w:ascii="Arial" w:hAnsi="Arial" w:cs="Arial"/>
          <w:lang w:val="en-US"/>
        </w:rPr>
        <w:t>.</w:t>
      </w:r>
    </w:p>
    <w:p w14:paraId="5FAEC768" w14:textId="58E43598" w:rsidR="003A0B95" w:rsidRPr="00D20D9B" w:rsidRDefault="003A0B95"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 xml:space="preserve">The MADs for shares of different social classes of buyers and for self-described fashion-orientation are shown in Table 7. Compared to age groups, brands deviate from the category average much less on social class and fashion orientation. In other words, most brands attract close to the average share of their customers from the various social classes and fashion orientations, deviating </w:t>
      </w:r>
      <w:r w:rsidR="00174153">
        <w:rPr>
          <w:rFonts w:ascii="Arial" w:hAnsi="Arial" w:cs="Arial"/>
          <w:lang w:val="en-US"/>
        </w:rPr>
        <w:t>on average only</w:t>
      </w:r>
      <w:r w:rsidRPr="00D20D9B">
        <w:rPr>
          <w:rFonts w:ascii="Arial" w:hAnsi="Arial" w:cs="Arial"/>
          <w:lang w:val="en-US"/>
        </w:rPr>
        <w:t xml:space="preserve"> </w:t>
      </w:r>
      <w:r w:rsidR="00174153">
        <w:rPr>
          <w:rFonts w:ascii="Arial" w:hAnsi="Arial" w:cs="Arial"/>
          <w:lang w:val="en-US"/>
        </w:rPr>
        <w:t>6</w:t>
      </w:r>
      <w:r w:rsidRPr="00D20D9B">
        <w:rPr>
          <w:rFonts w:ascii="Arial" w:hAnsi="Arial" w:cs="Arial"/>
          <w:lang w:val="en-US"/>
        </w:rPr>
        <w:t xml:space="preserve"> points. As with age groups, all brands draw their customers from all social classes and fashion orientations.</w:t>
      </w:r>
    </w:p>
    <w:p w14:paraId="3A1CECD8" w14:textId="77777777" w:rsidR="00F362CA" w:rsidRPr="00D20D9B" w:rsidRDefault="00BA2192" w:rsidP="00BA2192">
      <w:pPr>
        <w:widowControl w:val="0"/>
        <w:autoSpaceDE w:val="0"/>
        <w:autoSpaceDN w:val="0"/>
        <w:adjustRightInd w:val="0"/>
        <w:spacing w:after="120" w:line="360" w:lineRule="auto"/>
        <w:jc w:val="both"/>
        <w:rPr>
          <w:rFonts w:ascii="Arial" w:hAnsi="Arial" w:cs="Arial"/>
          <w:lang w:val="en-US"/>
        </w:rPr>
      </w:pPr>
      <w:r w:rsidRPr="00D20D9B">
        <w:rPr>
          <w:rFonts w:ascii="Arial" w:hAnsi="Arial" w:cs="Arial"/>
          <w:lang w:val="en-US"/>
        </w:rPr>
        <w:t xml:space="preserve">Table </w:t>
      </w:r>
      <w:r w:rsidR="00CE6E78" w:rsidRPr="00D20D9B">
        <w:rPr>
          <w:rFonts w:ascii="Arial" w:hAnsi="Arial" w:cs="Arial"/>
          <w:lang w:val="en-US"/>
        </w:rPr>
        <w:t>7.</w:t>
      </w:r>
      <w:r w:rsidRPr="00D20D9B">
        <w:rPr>
          <w:rFonts w:ascii="Arial" w:hAnsi="Arial" w:cs="Arial"/>
          <w:lang w:val="en-US"/>
        </w:rPr>
        <w:t xml:space="preserve"> Mean absolute deviations for Social class, and fashion lifestyle</w:t>
      </w:r>
    </w:p>
    <w:tbl>
      <w:tblPr>
        <w:tblW w:w="9371"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189"/>
        <w:gridCol w:w="425"/>
        <w:gridCol w:w="426"/>
        <w:gridCol w:w="1408"/>
        <w:gridCol w:w="1533"/>
        <w:gridCol w:w="1395"/>
        <w:gridCol w:w="763"/>
        <w:gridCol w:w="284"/>
        <w:gridCol w:w="712"/>
      </w:tblGrid>
      <w:tr w:rsidR="00BA2192" w:rsidRPr="00F362CA" w14:paraId="31C4F789" w14:textId="77777777" w:rsidTr="000401D7">
        <w:trPr>
          <w:trHeight w:val="240"/>
        </w:trPr>
        <w:tc>
          <w:tcPr>
            <w:tcW w:w="236" w:type="dxa"/>
            <w:shd w:val="clear" w:color="000000" w:fill="FFFFFF"/>
          </w:tcPr>
          <w:p w14:paraId="02B6FF54" w14:textId="77777777" w:rsidR="00BA2192" w:rsidRPr="00F362CA" w:rsidRDefault="00BA2192" w:rsidP="00F362CA">
            <w:pPr>
              <w:spacing w:after="0"/>
              <w:rPr>
                <w:rFonts w:ascii="Arial" w:eastAsia="Times New Roman" w:hAnsi="Arial" w:cs="Arial"/>
                <w:sz w:val="20"/>
                <w:szCs w:val="20"/>
                <w:lang w:eastAsia="en-US"/>
              </w:rPr>
            </w:pPr>
          </w:p>
        </w:tc>
        <w:tc>
          <w:tcPr>
            <w:tcW w:w="2189" w:type="dxa"/>
            <w:shd w:val="clear" w:color="000000" w:fill="FFFFFF"/>
          </w:tcPr>
          <w:p w14:paraId="416DD95C" w14:textId="77777777" w:rsidR="00BA2192" w:rsidRDefault="00BA2192" w:rsidP="00F362CA">
            <w:pPr>
              <w:spacing w:after="0"/>
              <w:rPr>
                <w:rFonts w:ascii="Arial" w:eastAsia="Times New Roman" w:hAnsi="Arial" w:cs="Arial"/>
                <w:sz w:val="20"/>
                <w:szCs w:val="20"/>
                <w:lang w:eastAsia="en-US"/>
              </w:rPr>
            </w:pPr>
          </w:p>
        </w:tc>
        <w:tc>
          <w:tcPr>
            <w:tcW w:w="425" w:type="dxa"/>
            <w:shd w:val="clear" w:color="000000" w:fill="FFFFFF"/>
          </w:tcPr>
          <w:p w14:paraId="2E387FD5"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426" w:type="dxa"/>
            <w:shd w:val="clear" w:color="000000" w:fill="FFFFFF"/>
          </w:tcPr>
          <w:p w14:paraId="488CDDF4"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1408" w:type="dxa"/>
            <w:shd w:val="clear" w:color="000000" w:fill="FFFFFF"/>
            <w:noWrap/>
            <w:vAlign w:val="bottom"/>
          </w:tcPr>
          <w:p w14:paraId="5F2BAFBB" w14:textId="77777777" w:rsidR="00BA2192" w:rsidRPr="00F362CA" w:rsidRDefault="00BA2192" w:rsidP="00BA2192">
            <w:pPr>
              <w:spacing w:after="0"/>
              <w:rPr>
                <w:rFonts w:ascii="Arial" w:eastAsia="Times New Roman" w:hAnsi="Arial" w:cs="Arial"/>
                <w:sz w:val="20"/>
                <w:szCs w:val="20"/>
                <w:lang w:eastAsia="en-US"/>
              </w:rPr>
            </w:pPr>
          </w:p>
        </w:tc>
        <w:tc>
          <w:tcPr>
            <w:tcW w:w="1533" w:type="dxa"/>
            <w:shd w:val="clear" w:color="000000" w:fill="FFFFFF"/>
            <w:noWrap/>
            <w:vAlign w:val="bottom"/>
          </w:tcPr>
          <w:p w14:paraId="2A018DD3" w14:textId="77777777" w:rsidR="00BA2192" w:rsidRPr="00F362CA" w:rsidRDefault="00BA2192" w:rsidP="00BA2192">
            <w:pPr>
              <w:spacing w:after="0"/>
              <w:rPr>
                <w:rFonts w:ascii="Arial" w:eastAsia="Times New Roman" w:hAnsi="Arial" w:cs="Arial"/>
                <w:sz w:val="20"/>
                <w:szCs w:val="20"/>
                <w:lang w:eastAsia="en-US"/>
              </w:rPr>
            </w:pPr>
          </w:p>
        </w:tc>
        <w:tc>
          <w:tcPr>
            <w:tcW w:w="1395" w:type="dxa"/>
            <w:shd w:val="clear" w:color="000000" w:fill="FFFFFF"/>
            <w:noWrap/>
            <w:vAlign w:val="bottom"/>
          </w:tcPr>
          <w:p w14:paraId="18AA98EB" w14:textId="77777777" w:rsidR="00BA2192" w:rsidRPr="00F362CA" w:rsidRDefault="00BA2192" w:rsidP="00BA2192">
            <w:pPr>
              <w:spacing w:after="0"/>
              <w:rPr>
                <w:rFonts w:ascii="Arial" w:eastAsia="Times New Roman" w:hAnsi="Arial" w:cs="Arial"/>
                <w:sz w:val="20"/>
                <w:szCs w:val="20"/>
                <w:lang w:eastAsia="en-US"/>
              </w:rPr>
            </w:pPr>
          </w:p>
        </w:tc>
        <w:tc>
          <w:tcPr>
            <w:tcW w:w="763" w:type="dxa"/>
            <w:shd w:val="clear" w:color="000000" w:fill="FFFFFF"/>
            <w:noWrap/>
            <w:vAlign w:val="bottom"/>
          </w:tcPr>
          <w:p w14:paraId="63B92ADD" w14:textId="77777777" w:rsidR="00BA2192" w:rsidRPr="00F362CA" w:rsidRDefault="00BA2192" w:rsidP="00BA2192">
            <w:pPr>
              <w:spacing w:after="0"/>
              <w:rPr>
                <w:rFonts w:ascii="Arial" w:eastAsia="Times New Roman" w:hAnsi="Arial" w:cs="Arial"/>
                <w:sz w:val="20"/>
                <w:szCs w:val="20"/>
                <w:lang w:eastAsia="en-US"/>
              </w:rPr>
            </w:pPr>
          </w:p>
        </w:tc>
        <w:tc>
          <w:tcPr>
            <w:tcW w:w="284" w:type="dxa"/>
            <w:shd w:val="clear" w:color="auto" w:fill="auto"/>
            <w:noWrap/>
            <w:vAlign w:val="bottom"/>
          </w:tcPr>
          <w:p w14:paraId="51AE42AA" w14:textId="77777777" w:rsidR="00BA2192" w:rsidRPr="00F362CA" w:rsidRDefault="00BA2192" w:rsidP="00F362CA">
            <w:pPr>
              <w:spacing w:after="0"/>
              <w:rPr>
                <w:rFonts w:ascii="Arial" w:eastAsia="Times New Roman" w:hAnsi="Arial" w:cs="Arial"/>
                <w:sz w:val="20"/>
                <w:szCs w:val="20"/>
                <w:lang w:eastAsia="en-US"/>
              </w:rPr>
            </w:pPr>
          </w:p>
        </w:tc>
        <w:tc>
          <w:tcPr>
            <w:tcW w:w="712" w:type="dxa"/>
            <w:shd w:val="clear" w:color="auto" w:fill="auto"/>
            <w:noWrap/>
            <w:vAlign w:val="bottom"/>
          </w:tcPr>
          <w:p w14:paraId="2540608E" w14:textId="77777777" w:rsidR="00BA2192" w:rsidRDefault="00BA2192" w:rsidP="00F362CA">
            <w:pPr>
              <w:spacing w:after="0"/>
              <w:rPr>
                <w:rFonts w:ascii="Arial" w:eastAsia="Times New Roman" w:hAnsi="Arial" w:cs="Arial"/>
                <w:sz w:val="20"/>
                <w:szCs w:val="20"/>
                <w:lang w:eastAsia="en-US"/>
              </w:rPr>
            </w:pPr>
          </w:p>
        </w:tc>
      </w:tr>
      <w:tr w:rsidR="00BA2192" w:rsidRPr="00F362CA" w14:paraId="34118699" w14:textId="77777777" w:rsidTr="000401D7">
        <w:trPr>
          <w:trHeight w:val="240"/>
        </w:trPr>
        <w:tc>
          <w:tcPr>
            <w:tcW w:w="236" w:type="dxa"/>
            <w:shd w:val="clear" w:color="000000" w:fill="FFFFFF"/>
          </w:tcPr>
          <w:p w14:paraId="6C591557" w14:textId="77777777" w:rsidR="00BA2192" w:rsidRPr="00F362CA" w:rsidRDefault="00BA2192" w:rsidP="00F362CA">
            <w:pPr>
              <w:spacing w:after="0"/>
              <w:rPr>
                <w:rFonts w:ascii="Arial" w:eastAsia="Times New Roman" w:hAnsi="Arial" w:cs="Arial"/>
                <w:sz w:val="20"/>
                <w:szCs w:val="20"/>
                <w:lang w:eastAsia="en-US"/>
              </w:rPr>
            </w:pPr>
          </w:p>
        </w:tc>
        <w:tc>
          <w:tcPr>
            <w:tcW w:w="2189" w:type="dxa"/>
            <w:shd w:val="clear" w:color="000000" w:fill="FFFFFF"/>
          </w:tcPr>
          <w:p w14:paraId="30948AE4" w14:textId="77777777" w:rsidR="00BA2192" w:rsidRPr="00D45B82" w:rsidRDefault="00BA2192" w:rsidP="00F362CA">
            <w:pPr>
              <w:spacing w:after="0"/>
              <w:rPr>
                <w:rFonts w:ascii="Arial" w:eastAsia="Times New Roman" w:hAnsi="Arial" w:cs="Arial"/>
                <w:b/>
                <w:sz w:val="20"/>
                <w:szCs w:val="20"/>
                <w:lang w:eastAsia="en-US"/>
              </w:rPr>
            </w:pPr>
            <w:r w:rsidRPr="00D45B82">
              <w:rPr>
                <w:rFonts w:ascii="Arial" w:eastAsia="Times New Roman" w:hAnsi="Arial" w:cs="Arial"/>
                <w:b/>
                <w:sz w:val="20"/>
                <w:szCs w:val="20"/>
                <w:lang w:eastAsia="en-US"/>
              </w:rPr>
              <w:t>Social class</w:t>
            </w:r>
          </w:p>
        </w:tc>
        <w:tc>
          <w:tcPr>
            <w:tcW w:w="425" w:type="dxa"/>
            <w:shd w:val="clear" w:color="000000" w:fill="FFFFFF"/>
          </w:tcPr>
          <w:p w14:paraId="4DA1100A"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426" w:type="dxa"/>
            <w:shd w:val="clear" w:color="000000" w:fill="FFFFFF"/>
          </w:tcPr>
          <w:p w14:paraId="36F126DA"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1408" w:type="dxa"/>
            <w:shd w:val="clear" w:color="000000" w:fill="FFFFFF"/>
            <w:noWrap/>
            <w:vAlign w:val="bottom"/>
            <w:hideMark/>
          </w:tcPr>
          <w:p w14:paraId="5C6C3D27"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 xml:space="preserve">AB </w:t>
            </w:r>
          </w:p>
        </w:tc>
        <w:tc>
          <w:tcPr>
            <w:tcW w:w="1533" w:type="dxa"/>
            <w:shd w:val="clear" w:color="000000" w:fill="FFFFFF"/>
            <w:noWrap/>
            <w:vAlign w:val="bottom"/>
            <w:hideMark/>
          </w:tcPr>
          <w:p w14:paraId="3F72F7B4"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 xml:space="preserve">C1 </w:t>
            </w:r>
            <w:r>
              <w:rPr>
                <w:rFonts w:ascii="Arial" w:eastAsia="Times New Roman" w:hAnsi="Arial" w:cs="Arial"/>
                <w:sz w:val="20"/>
                <w:szCs w:val="20"/>
                <w:lang w:eastAsia="en-US"/>
              </w:rPr>
              <w:t xml:space="preserve"> </w:t>
            </w:r>
          </w:p>
        </w:tc>
        <w:tc>
          <w:tcPr>
            <w:tcW w:w="1395" w:type="dxa"/>
            <w:shd w:val="clear" w:color="000000" w:fill="FFFFFF"/>
            <w:noWrap/>
            <w:vAlign w:val="bottom"/>
            <w:hideMark/>
          </w:tcPr>
          <w:p w14:paraId="38959BDE"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 xml:space="preserve">C2 </w:t>
            </w:r>
            <w:r>
              <w:rPr>
                <w:rFonts w:ascii="Arial" w:eastAsia="Times New Roman" w:hAnsi="Arial" w:cs="Arial"/>
                <w:sz w:val="20"/>
                <w:szCs w:val="20"/>
                <w:lang w:eastAsia="en-US"/>
              </w:rPr>
              <w:t xml:space="preserve"> </w:t>
            </w:r>
          </w:p>
        </w:tc>
        <w:tc>
          <w:tcPr>
            <w:tcW w:w="763" w:type="dxa"/>
            <w:shd w:val="clear" w:color="000000" w:fill="FFFFFF"/>
            <w:noWrap/>
            <w:vAlign w:val="bottom"/>
            <w:hideMark/>
          </w:tcPr>
          <w:p w14:paraId="5E896791"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 xml:space="preserve">DE </w:t>
            </w:r>
            <w:r>
              <w:rPr>
                <w:rFonts w:ascii="Arial" w:eastAsia="Times New Roman" w:hAnsi="Arial" w:cs="Arial"/>
                <w:sz w:val="20"/>
                <w:szCs w:val="20"/>
                <w:lang w:eastAsia="en-US"/>
              </w:rPr>
              <w:t xml:space="preserve"> </w:t>
            </w:r>
          </w:p>
        </w:tc>
        <w:tc>
          <w:tcPr>
            <w:tcW w:w="284" w:type="dxa"/>
            <w:shd w:val="clear" w:color="auto" w:fill="auto"/>
            <w:noWrap/>
            <w:vAlign w:val="bottom"/>
            <w:hideMark/>
          </w:tcPr>
          <w:p w14:paraId="5857104C" w14:textId="77777777" w:rsidR="00BA2192" w:rsidRPr="00F362CA" w:rsidRDefault="00BA2192" w:rsidP="00F362CA">
            <w:pPr>
              <w:spacing w:after="0"/>
              <w:rPr>
                <w:rFonts w:ascii="Arial" w:eastAsia="Times New Roman" w:hAnsi="Arial" w:cs="Arial"/>
                <w:sz w:val="20"/>
                <w:szCs w:val="20"/>
                <w:lang w:eastAsia="en-US"/>
              </w:rPr>
            </w:pPr>
          </w:p>
        </w:tc>
        <w:tc>
          <w:tcPr>
            <w:tcW w:w="712" w:type="dxa"/>
            <w:shd w:val="clear" w:color="auto" w:fill="auto"/>
            <w:noWrap/>
            <w:vAlign w:val="bottom"/>
            <w:hideMark/>
          </w:tcPr>
          <w:p w14:paraId="1F191FA9" w14:textId="77777777" w:rsidR="00BA2192" w:rsidRDefault="00A16245" w:rsidP="00BA2192">
            <w:pPr>
              <w:spacing w:after="0"/>
              <w:ind w:left="-395" w:firstLine="395"/>
              <w:rPr>
                <w:rFonts w:ascii="Arial" w:eastAsia="Times New Roman" w:hAnsi="Arial" w:cs="Arial"/>
                <w:sz w:val="20"/>
                <w:szCs w:val="20"/>
                <w:lang w:eastAsia="en-US"/>
              </w:rPr>
            </w:pPr>
            <w:r>
              <w:rPr>
                <w:rFonts w:ascii="Arial" w:eastAsia="Times New Roman" w:hAnsi="Arial" w:cs="Arial"/>
                <w:sz w:val="20"/>
                <w:szCs w:val="20"/>
                <w:lang w:eastAsia="en-US"/>
              </w:rPr>
              <w:t xml:space="preserve"> </w:t>
            </w:r>
          </w:p>
          <w:p w14:paraId="21E04706" w14:textId="77777777" w:rsidR="00BA2192" w:rsidRPr="00F362CA" w:rsidRDefault="00BA2192" w:rsidP="00BA2192">
            <w:pPr>
              <w:spacing w:after="0"/>
              <w:ind w:left="-395" w:firstLine="395"/>
              <w:rPr>
                <w:rFonts w:ascii="Arial" w:eastAsia="Times New Roman" w:hAnsi="Arial" w:cs="Arial"/>
                <w:sz w:val="20"/>
                <w:szCs w:val="20"/>
                <w:lang w:eastAsia="en-US"/>
              </w:rPr>
            </w:pPr>
            <w:r>
              <w:rPr>
                <w:rFonts w:ascii="Arial" w:eastAsia="Times New Roman" w:hAnsi="Arial" w:cs="Arial"/>
                <w:sz w:val="20"/>
                <w:szCs w:val="20"/>
                <w:lang w:eastAsia="en-US"/>
              </w:rPr>
              <w:t>MAD</w:t>
            </w:r>
          </w:p>
        </w:tc>
      </w:tr>
      <w:tr w:rsidR="00BA2192" w:rsidRPr="00F362CA" w14:paraId="7B0E7C5A" w14:textId="77777777" w:rsidTr="000401D7">
        <w:trPr>
          <w:trHeight w:val="296"/>
        </w:trPr>
        <w:tc>
          <w:tcPr>
            <w:tcW w:w="236" w:type="dxa"/>
          </w:tcPr>
          <w:p w14:paraId="1F65781F" w14:textId="77777777" w:rsidR="00BA2192" w:rsidRPr="00F362CA" w:rsidRDefault="00BA2192" w:rsidP="00F362CA">
            <w:pPr>
              <w:spacing w:after="0"/>
              <w:rPr>
                <w:rFonts w:ascii="Arial" w:eastAsia="Times New Roman" w:hAnsi="Arial" w:cs="Arial"/>
                <w:sz w:val="20"/>
                <w:szCs w:val="20"/>
                <w:lang w:eastAsia="en-US"/>
              </w:rPr>
            </w:pPr>
          </w:p>
        </w:tc>
        <w:tc>
          <w:tcPr>
            <w:tcW w:w="2189" w:type="dxa"/>
          </w:tcPr>
          <w:p w14:paraId="12BDFD41"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Share%</w:t>
            </w:r>
          </w:p>
        </w:tc>
        <w:tc>
          <w:tcPr>
            <w:tcW w:w="425" w:type="dxa"/>
          </w:tcPr>
          <w:p w14:paraId="1DA95EBD"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426" w:type="dxa"/>
          </w:tcPr>
          <w:p w14:paraId="05A42E03"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1408" w:type="dxa"/>
            <w:shd w:val="clear" w:color="auto" w:fill="auto"/>
            <w:noWrap/>
            <w:vAlign w:val="bottom"/>
            <w:hideMark/>
          </w:tcPr>
          <w:p w14:paraId="0685E928"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22</w:t>
            </w:r>
          </w:p>
        </w:tc>
        <w:tc>
          <w:tcPr>
            <w:tcW w:w="1533" w:type="dxa"/>
            <w:shd w:val="clear" w:color="auto" w:fill="auto"/>
            <w:noWrap/>
            <w:vAlign w:val="bottom"/>
            <w:hideMark/>
          </w:tcPr>
          <w:p w14:paraId="5A4E629F"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35</w:t>
            </w:r>
          </w:p>
        </w:tc>
        <w:tc>
          <w:tcPr>
            <w:tcW w:w="1395" w:type="dxa"/>
            <w:shd w:val="clear" w:color="auto" w:fill="auto"/>
            <w:noWrap/>
            <w:vAlign w:val="bottom"/>
            <w:hideMark/>
          </w:tcPr>
          <w:p w14:paraId="0C2A455B"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27</w:t>
            </w:r>
          </w:p>
        </w:tc>
        <w:tc>
          <w:tcPr>
            <w:tcW w:w="763" w:type="dxa"/>
            <w:shd w:val="clear" w:color="auto" w:fill="auto"/>
            <w:noWrap/>
            <w:vAlign w:val="bottom"/>
            <w:hideMark/>
          </w:tcPr>
          <w:p w14:paraId="4CB3747F"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17</w:t>
            </w:r>
          </w:p>
        </w:tc>
        <w:tc>
          <w:tcPr>
            <w:tcW w:w="284" w:type="dxa"/>
            <w:shd w:val="clear" w:color="auto" w:fill="auto"/>
            <w:noWrap/>
            <w:vAlign w:val="bottom"/>
            <w:hideMark/>
          </w:tcPr>
          <w:p w14:paraId="1B890E12" w14:textId="77777777" w:rsidR="00BA2192" w:rsidRPr="00F362CA" w:rsidRDefault="00BA2192" w:rsidP="00F362CA">
            <w:pPr>
              <w:spacing w:after="0"/>
              <w:rPr>
                <w:rFonts w:ascii="Arial" w:eastAsia="Times New Roman" w:hAnsi="Arial" w:cs="Arial"/>
                <w:sz w:val="20"/>
                <w:szCs w:val="20"/>
                <w:lang w:eastAsia="en-US"/>
              </w:rPr>
            </w:pPr>
          </w:p>
        </w:tc>
        <w:tc>
          <w:tcPr>
            <w:tcW w:w="712" w:type="dxa"/>
            <w:shd w:val="clear" w:color="auto" w:fill="auto"/>
            <w:noWrap/>
            <w:vAlign w:val="bottom"/>
            <w:hideMark/>
          </w:tcPr>
          <w:p w14:paraId="73ED8B86" w14:textId="77777777" w:rsidR="00BA2192" w:rsidRPr="00F362CA" w:rsidRDefault="00BA2192" w:rsidP="00F362CA">
            <w:pPr>
              <w:spacing w:after="0"/>
              <w:rPr>
                <w:rFonts w:ascii="Arial" w:eastAsia="Times New Roman" w:hAnsi="Arial" w:cs="Arial"/>
                <w:sz w:val="20"/>
                <w:szCs w:val="20"/>
                <w:lang w:eastAsia="en-US"/>
              </w:rPr>
            </w:pPr>
          </w:p>
        </w:tc>
      </w:tr>
      <w:tr w:rsidR="00BA2192" w:rsidRPr="00F362CA" w14:paraId="4F1DA6AC" w14:textId="77777777" w:rsidTr="000401D7">
        <w:trPr>
          <w:trHeight w:val="240"/>
        </w:trPr>
        <w:tc>
          <w:tcPr>
            <w:tcW w:w="236" w:type="dxa"/>
            <w:shd w:val="clear" w:color="000000" w:fill="FFFFFF"/>
          </w:tcPr>
          <w:p w14:paraId="75C57F74" w14:textId="77777777" w:rsidR="00BA2192" w:rsidRPr="00F362CA" w:rsidRDefault="00BA2192" w:rsidP="00BA2192">
            <w:pPr>
              <w:spacing w:after="0"/>
              <w:jc w:val="center"/>
              <w:rPr>
                <w:rFonts w:ascii="Arial" w:eastAsia="Times New Roman" w:hAnsi="Arial" w:cs="Arial"/>
                <w:sz w:val="20"/>
                <w:szCs w:val="20"/>
                <w:lang w:eastAsia="en-US"/>
              </w:rPr>
            </w:pPr>
          </w:p>
        </w:tc>
        <w:tc>
          <w:tcPr>
            <w:tcW w:w="2189" w:type="dxa"/>
            <w:shd w:val="clear" w:color="000000" w:fill="FFFFFF"/>
          </w:tcPr>
          <w:p w14:paraId="34B78199" w14:textId="77777777" w:rsidR="00BA2192" w:rsidRPr="00F362CA" w:rsidRDefault="00BA2192" w:rsidP="00BA2192">
            <w:pPr>
              <w:spacing w:after="0"/>
              <w:jc w:val="center"/>
              <w:rPr>
                <w:rFonts w:ascii="Arial" w:eastAsia="Times New Roman" w:hAnsi="Arial" w:cs="Arial"/>
                <w:sz w:val="20"/>
                <w:szCs w:val="20"/>
                <w:lang w:eastAsia="en-US"/>
              </w:rPr>
            </w:pPr>
          </w:p>
        </w:tc>
        <w:tc>
          <w:tcPr>
            <w:tcW w:w="425" w:type="dxa"/>
            <w:shd w:val="clear" w:color="000000" w:fill="FFFFFF"/>
          </w:tcPr>
          <w:p w14:paraId="7EF3992E"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426" w:type="dxa"/>
            <w:shd w:val="clear" w:color="000000" w:fill="FFFFFF"/>
          </w:tcPr>
          <w:p w14:paraId="6248684E"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1408" w:type="dxa"/>
            <w:shd w:val="clear" w:color="000000" w:fill="FFFFFF"/>
            <w:noWrap/>
            <w:vAlign w:val="bottom"/>
          </w:tcPr>
          <w:p w14:paraId="0ED65613" w14:textId="77777777" w:rsidR="00BA2192" w:rsidRPr="00F362CA" w:rsidRDefault="00BA2192" w:rsidP="00BA2192">
            <w:pPr>
              <w:spacing w:after="0"/>
              <w:rPr>
                <w:rFonts w:ascii="Arial" w:eastAsia="Times New Roman" w:hAnsi="Arial" w:cs="Arial"/>
                <w:sz w:val="20"/>
                <w:szCs w:val="20"/>
                <w:lang w:eastAsia="en-US"/>
              </w:rPr>
            </w:pPr>
          </w:p>
        </w:tc>
        <w:tc>
          <w:tcPr>
            <w:tcW w:w="1533" w:type="dxa"/>
            <w:shd w:val="clear" w:color="000000" w:fill="FFFFFF"/>
            <w:noWrap/>
            <w:vAlign w:val="bottom"/>
          </w:tcPr>
          <w:p w14:paraId="4FB0D34B" w14:textId="77777777" w:rsidR="00BA2192" w:rsidRPr="00F362CA" w:rsidRDefault="00BA2192" w:rsidP="00BA2192">
            <w:pPr>
              <w:spacing w:after="0"/>
              <w:rPr>
                <w:rFonts w:ascii="Arial" w:eastAsia="Times New Roman" w:hAnsi="Arial" w:cs="Arial"/>
                <w:sz w:val="20"/>
                <w:szCs w:val="20"/>
                <w:lang w:eastAsia="en-US"/>
              </w:rPr>
            </w:pPr>
          </w:p>
        </w:tc>
        <w:tc>
          <w:tcPr>
            <w:tcW w:w="1395" w:type="dxa"/>
            <w:shd w:val="clear" w:color="000000" w:fill="FFFFFF"/>
            <w:noWrap/>
            <w:vAlign w:val="bottom"/>
          </w:tcPr>
          <w:p w14:paraId="4DA6CD85" w14:textId="77777777" w:rsidR="00BA2192" w:rsidRPr="00F362CA" w:rsidRDefault="00BA2192" w:rsidP="00BA2192">
            <w:pPr>
              <w:spacing w:after="0"/>
              <w:rPr>
                <w:rFonts w:ascii="Arial" w:eastAsia="Times New Roman" w:hAnsi="Arial" w:cs="Arial"/>
                <w:sz w:val="20"/>
                <w:szCs w:val="20"/>
                <w:lang w:eastAsia="en-US"/>
              </w:rPr>
            </w:pPr>
          </w:p>
        </w:tc>
        <w:tc>
          <w:tcPr>
            <w:tcW w:w="763" w:type="dxa"/>
            <w:shd w:val="clear" w:color="000000" w:fill="FFFFFF"/>
            <w:noWrap/>
            <w:vAlign w:val="bottom"/>
          </w:tcPr>
          <w:p w14:paraId="13274907" w14:textId="77777777" w:rsidR="00BA2192" w:rsidRPr="00F362CA" w:rsidRDefault="00BA2192" w:rsidP="00BA2192">
            <w:pPr>
              <w:spacing w:after="0"/>
              <w:rPr>
                <w:rFonts w:ascii="Arial" w:eastAsia="Times New Roman" w:hAnsi="Arial" w:cs="Arial"/>
                <w:sz w:val="20"/>
                <w:szCs w:val="20"/>
                <w:lang w:eastAsia="en-US"/>
              </w:rPr>
            </w:pPr>
          </w:p>
        </w:tc>
        <w:tc>
          <w:tcPr>
            <w:tcW w:w="284" w:type="dxa"/>
            <w:shd w:val="clear" w:color="auto" w:fill="auto"/>
            <w:noWrap/>
            <w:vAlign w:val="bottom"/>
          </w:tcPr>
          <w:p w14:paraId="65293F9F" w14:textId="77777777" w:rsidR="00BA2192" w:rsidRPr="00F362CA" w:rsidRDefault="00BA2192" w:rsidP="00BA2192">
            <w:pPr>
              <w:spacing w:after="0"/>
              <w:rPr>
                <w:rFonts w:ascii="Arial" w:eastAsia="Times New Roman" w:hAnsi="Arial" w:cs="Arial"/>
                <w:sz w:val="20"/>
                <w:szCs w:val="20"/>
                <w:lang w:eastAsia="en-US"/>
              </w:rPr>
            </w:pPr>
          </w:p>
        </w:tc>
        <w:tc>
          <w:tcPr>
            <w:tcW w:w="712" w:type="dxa"/>
            <w:shd w:val="clear" w:color="auto" w:fill="auto"/>
            <w:noWrap/>
            <w:vAlign w:val="bottom"/>
          </w:tcPr>
          <w:p w14:paraId="7A7AABCC" w14:textId="77777777" w:rsidR="00BA2192" w:rsidRPr="00F362CA" w:rsidRDefault="00BA2192" w:rsidP="00BA2192">
            <w:pPr>
              <w:spacing w:after="0"/>
              <w:rPr>
                <w:rFonts w:ascii="Arial" w:eastAsia="Times New Roman" w:hAnsi="Arial" w:cs="Arial"/>
                <w:sz w:val="20"/>
                <w:szCs w:val="20"/>
                <w:lang w:eastAsia="en-US"/>
              </w:rPr>
            </w:pPr>
          </w:p>
        </w:tc>
      </w:tr>
      <w:tr w:rsidR="00BA2192" w:rsidRPr="00F362CA" w14:paraId="15C621DF" w14:textId="77777777" w:rsidTr="000401D7">
        <w:trPr>
          <w:trHeight w:val="240"/>
        </w:trPr>
        <w:tc>
          <w:tcPr>
            <w:tcW w:w="236" w:type="dxa"/>
            <w:shd w:val="clear" w:color="000000" w:fill="FFFFFF"/>
          </w:tcPr>
          <w:p w14:paraId="3F8FEE2D" w14:textId="77777777" w:rsidR="00BA2192" w:rsidRPr="00F362CA" w:rsidRDefault="00BA2192" w:rsidP="00BA2192">
            <w:pPr>
              <w:spacing w:after="0"/>
              <w:jc w:val="center"/>
              <w:rPr>
                <w:rFonts w:ascii="Arial" w:eastAsia="Times New Roman" w:hAnsi="Arial" w:cs="Arial"/>
                <w:sz w:val="20"/>
                <w:szCs w:val="20"/>
                <w:lang w:eastAsia="en-US"/>
              </w:rPr>
            </w:pPr>
          </w:p>
        </w:tc>
        <w:tc>
          <w:tcPr>
            <w:tcW w:w="2189" w:type="dxa"/>
            <w:shd w:val="clear" w:color="000000" w:fill="FFFFFF"/>
          </w:tcPr>
          <w:p w14:paraId="0FB0F816" w14:textId="77777777" w:rsidR="00BA2192" w:rsidRPr="00F362CA" w:rsidRDefault="00A16245" w:rsidP="00BA2192">
            <w:pPr>
              <w:spacing w:after="0"/>
              <w:rPr>
                <w:rFonts w:ascii="Arial" w:eastAsia="Times New Roman" w:hAnsi="Arial" w:cs="Arial"/>
                <w:sz w:val="20"/>
                <w:szCs w:val="20"/>
                <w:lang w:eastAsia="en-US"/>
              </w:rPr>
            </w:pPr>
            <w:r>
              <w:rPr>
                <w:rFonts w:ascii="Arial" w:eastAsia="Times New Roman" w:hAnsi="Arial" w:cs="Arial"/>
                <w:sz w:val="20"/>
                <w:szCs w:val="20"/>
                <w:lang w:eastAsia="en-US"/>
              </w:rPr>
              <w:t>Average deviation</w:t>
            </w:r>
          </w:p>
        </w:tc>
        <w:tc>
          <w:tcPr>
            <w:tcW w:w="425" w:type="dxa"/>
            <w:shd w:val="clear" w:color="000000" w:fill="FFFFFF"/>
          </w:tcPr>
          <w:p w14:paraId="132A1F43"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426" w:type="dxa"/>
            <w:shd w:val="clear" w:color="000000" w:fill="FFFFFF"/>
          </w:tcPr>
          <w:p w14:paraId="51FE1AD1"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1408" w:type="dxa"/>
            <w:shd w:val="clear" w:color="000000" w:fill="FFFFFF"/>
            <w:noWrap/>
            <w:vAlign w:val="bottom"/>
            <w:hideMark/>
          </w:tcPr>
          <w:p w14:paraId="1C5796B9"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0.02</w:t>
            </w:r>
          </w:p>
        </w:tc>
        <w:tc>
          <w:tcPr>
            <w:tcW w:w="1533" w:type="dxa"/>
            <w:shd w:val="clear" w:color="000000" w:fill="FFFFFF"/>
            <w:noWrap/>
            <w:vAlign w:val="bottom"/>
            <w:hideMark/>
          </w:tcPr>
          <w:p w14:paraId="673E0608"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0.05</w:t>
            </w:r>
          </w:p>
        </w:tc>
        <w:tc>
          <w:tcPr>
            <w:tcW w:w="1395" w:type="dxa"/>
            <w:shd w:val="clear" w:color="000000" w:fill="FFFFFF"/>
            <w:noWrap/>
            <w:vAlign w:val="bottom"/>
            <w:hideMark/>
          </w:tcPr>
          <w:p w14:paraId="517A3E0B"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0.05</w:t>
            </w:r>
          </w:p>
        </w:tc>
        <w:tc>
          <w:tcPr>
            <w:tcW w:w="763" w:type="dxa"/>
            <w:shd w:val="clear" w:color="000000" w:fill="FFFFFF"/>
            <w:noWrap/>
            <w:vAlign w:val="bottom"/>
            <w:hideMark/>
          </w:tcPr>
          <w:p w14:paraId="59AAFD5E"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0.06</w:t>
            </w:r>
          </w:p>
        </w:tc>
        <w:tc>
          <w:tcPr>
            <w:tcW w:w="284" w:type="dxa"/>
            <w:shd w:val="clear" w:color="auto" w:fill="auto"/>
            <w:noWrap/>
            <w:vAlign w:val="bottom"/>
            <w:hideMark/>
          </w:tcPr>
          <w:p w14:paraId="0FC6E308" w14:textId="77777777" w:rsidR="00BA2192" w:rsidRPr="00F362CA" w:rsidRDefault="00BA2192" w:rsidP="00BA2192">
            <w:pPr>
              <w:spacing w:after="0"/>
              <w:rPr>
                <w:rFonts w:ascii="Arial" w:eastAsia="Times New Roman" w:hAnsi="Arial" w:cs="Arial"/>
                <w:sz w:val="20"/>
                <w:szCs w:val="20"/>
                <w:lang w:eastAsia="en-US"/>
              </w:rPr>
            </w:pPr>
          </w:p>
        </w:tc>
        <w:tc>
          <w:tcPr>
            <w:tcW w:w="712" w:type="dxa"/>
            <w:shd w:val="clear" w:color="auto" w:fill="auto"/>
            <w:noWrap/>
            <w:vAlign w:val="bottom"/>
            <w:hideMark/>
          </w:tcPr>
          <w:p w14:paraId="5C006240"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.05</w:t>
            </w:r>
          </w:p>
        </w:tc>
      </w:tr>
      <w:tr w:rsidR="00BA2192" w:rsidRPr="00F362CA" w14:paraId="39FF7920" w14:textId="77777777" w:rsidTr="000401D7">
        <w:trPr>
          <w:trHeight w:val="240"/>
        </w:trPr>
        <w:tc>
          <w:tcPr>
            <w:tcW w:w="236" w:type="dxa"/>
          </w:tcPr>
          <w:p w14:paraId="6D0E1BB6" w14:textId="77777777" w:rsidR="00BA2192" w:rsidRPr="00F362CA" w:rsidRDefault="00BA2192" w:rsidP="00F362CA">
            <w:pPr>
              <w:spacing w:after="0"/>
              <w:rPr>
                <w:rFonts w:ascii="Arial" w:eastAsia="Times New Roman" w:hAnsi="Arial" w:cs="Arial"/>
                <w:sz w:val="20"/>
                <w:szCs w:val="20"/>
                <w:lang w:eastAsia="en-US"/>
              </w:rPr>
            </w:pPr>
          </w:p>
        </w:tc>
        <w:tc>
          <w:tcPr>
            <w:tcW w:w="2189" w:type="dxa"/>
          </w:tcPr>
          <w:p w14:paraId="5149FBB1" w14:textId="77777777" w:rsidR="00BA2192" w:rsidRPr="00F362CA" w:rsidRDefault="00BA2192" w:rsidP="00F362CA">
            <w:pPr>
              <w:spacing w:after="0"/>
              <w:rPr>
                <w:rFonts w:ascii="Arial" w:eastAsia="Times New Roman" w:hAnsi="Arial" w:cs="Arial"/>
                <w:sz w:val="20"/>
                <w:szCs w:val="20"/>
                <w:lang w:eastAsia="en-US"/>
              </w:rPr>
            </w:pPr>
          </w:p>
        </w:tc>
        <w:tc>
          <w:tcPr>
            <w:tcW w:w="425" w:type="dxa"/>
          </w:tcPr>
          <w:p w14:paraId="1E49A8C5"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426" w:type="dxa"/>
          </w:tcPr>
          <w:p w14:paraId="0ADC3D86"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1408" w:type="dxa"/>
            <w:shd w:val="clear" w:color="auto" w:fill="auto"/>
            <w:noWrap/>
            <w:vAlign w:val="bottom"/>
            <w:hideMark/>
          </w:tcPr>
          <w:p w14:paraId="3E30FABF" w14:textId="77777777" w:rsidR="00BA2192" w:rsidRPr="00F362CA" w:rsidRDefault="00BA2192" w:rsidP="00F362CA">
            <w:pPr>
              <w:spacing w:after="0"/>
              <w:rPr>
                <w:rFonts w:ascii="Arial" w:eastAsia="Times New Roman" w:hAnsi="Arial" w:cs="Arial"/>
                <w:sz w:val="20"/>
                <w:szCs w:val="20"/>
                <w:lang w:eastAsia="en-US"/>
              </w:rPr>
            </w:pPr>
          </w:p>
        </w:tc>
        <w:tc>
          <w:tcPr>
            <w:tcW w:w="1533" w:type="dxa"/>
            <w:shd w:val="clear" w:color="auto" w:fill="auto"/>
            <w:noWrap/>
            <w:vAlign w:val="bottom"/>
            <w:hideMark/>
          </w:tcPr>
          <w:p w14:paraId="78104CA5" w14:textId="77777777" w:rsidR="00BA2192" w:rsidRPr="00F362CA" w:rsidRDefault="00BA2192" w:rsidP="00F362CA">
            <w:pPr>
              <w:spacing w:after="0"/>
              <w:rPr>
                <w:rFonts w:ascii="Arial" w:eastAsia="Times New Roman" w:hAnsi="Arial" w:cs="Arial"/>
                <w:sz w:val="20"/>
                <w:szCs w:val="20"/>
                <w:lang w:eastAsia="en-US"/>
              </w:rPr>
            </w:pPr>
          </w:p>
        </w:tc>
        <w:tc>
          <w:tcPr>
            <w:tcW w:w="1395" w:type="dxa"/>
            <w:shd w:val="clear" w:color="auto" w:fill="auto"/>
            <w:noWrap/>
            <w:vAlign w:val="bottom"/>
            <w:hideMark/>
          </w:tcPr>
          <w:p w14:paraId="24595F49" w14:textId="77777777" w:rsidR="00BA2192" w:rsidRPr="00F362CA" w:rsidRDefault="00BA2192" w:rsidP="00F362CA">
            <w:pPr>
              <w:spacing w:after="0"/>
              <w:rPr>
                <w:rFonts w:ascii="Arial" w:eastAsia="Times New Roman" w:hAnsi="Arial" w:cs="Arial"/>
                <w:sz w:val="20"/>
                <w:szCs w:val="20"/>
                <w:lang w:eastAsia="en-US"/>
              </w:rPr>
            </w:pPr>
          </w:p>
        </w:tc>
        <w:tc>
          <w:tcPr>
            <w:tcW w:w="763" w:type="dxa"/>
            <w:shd w:val="clear" w:color="auto" w:fill="auto"/>
            <w:noWrap/>
            <w:vAlign w:val="bottom"/>
            <w:hideMark/>
          </w:tcPr>
          <w:p w14:paraId="13A94B6A" w14:textId="77777777" w:rsidR="00BA2192" w:rsidRPr="00F362CA" w:rsidRDefault="00BA2192" w:rsidP="00F362CA">
            <w:pPr>
              <w:spacing w:after="0"/>
              <w:rPr>
                <w:rFonts w:ascii="Arial" w:eastAsia="Times New Roman" w:hAnsi="Arial" w:cs="Arial"/>
                <w:sz w:val="20"/>
                <w:szCs w:val="20"/>
                <w:lang w:eastAsia="en-US"/>
              </w:rPr>
            </w:pPr>
          </w:p>
        </w:tc>
        <w:tc>
          <w:tcPr>
            <w:tcW w:w="284" w:type="dxa"/>
            <w:shd w:val="clear" w:color="auto" w:fill="auto"/>
            <w:noWrap/>
            <w:vAlign w:val="bottom"/>
            <w:hideMark/>
          </w:tcPr>
          <w:p w14:paraId="60BED774" w14:textId="77777777" w:rsidR="00BA2192" w:rsidRPr="00F362CA" w:rsidRDefault="00BA2192" w:rsidP="00F362CA">
            <w:pPr>
              <w:spacing w:after="0"/>
              <w:rPr>
                <w:rFonts w:ascii="Arial" w:eastAsia="Times New Roman" w:hAnsi="Arial" w:cs="Arial"/>
                <w:sz w:val="20"/>
                <w:szCs w:val="20"/>
                <w:lang w:eastAsia="en-US"/>
              </w:rPr>
            </w:pPr>
          </w:p>
        </w:tc>
        <w:tc>
          <w:tcPr>
            <w:tcW w:w="712" w:type="dxa"/>
            <w:shd w:val="clear" w:color="auto" w:fill="auto"/>
            <w:noWrap/>
            <w:vAlign w:val="bottom"/>
            <w:hideMark/>
          </w:tcPr>
          <w:p w14:paraId="145C74F4" w14:textId="77777777" w:rsidR="00BA2192" w:rsidRPr="00F362CA" w:rsidRDefault="00BA2192" w:rsidP="00BA2192">
            <w:pPr>
              <w:spacing w:after="0"/>
              <w:jc w:val="center"/>
              <w:rPr>
                <w:rFonts w:ascii="Arial" w:eastAsia="Times New Roman" w:hAnsi="Arial" w:cs="Arial"/>
                <w:sz w:val="20"/>
                <w:szCs w:val="20"/>
                <w:lang w:eastAsia="en-US"/>
              </w:rPr>
            </w:pPr>
          </w:p>
        </w:tc>
      </w:tr>
      <w:tr w:rsidR="00BA2192" w:rsidRPr="00F362CA" w14:paraId="54A2487A" w14:textId="77777777" w:rsidTr="000401D7">
        <w:trPr>
          <w:trHeight w:val="240"/>
        </w:trPr>
        <w:tc>
          <w:tcPr>
            <w:tcW w:w="236" w:type="dxa"/>
          </w:tcPr>
          <w:p w14:paraId="18D69B37" w14:textId="77777777" w:rsidR="00BA2192" w:rsidRPr="00F362CA" w:rsidRDefault="00BA2192" w:rsidP="00F362CA">
            <w:pPr>
              <w:spacing w:after="0"/>
              <w:rPr>
                <w:rFonts w:ascii="Arial" w:eastAsia="Times New Roman" w:hAnsi="Arial" w:cs="Arial"/>
                <w:sz w:val="20"/>
                <w:szCs w:val="20"/>
                <w:lang w:eastAsia="en-US"/>
              </w:rPr>
            </w:pPr>
          </w:p>
        </w:tc>
        <w:tc>
          <w:tcPr>
            <w:tcW w:w="2189" w:type="dxa"/>
          </w:tcPr>
          <w:p w14:paraId="7C0D579B" w14:textId="40635E9D" w:rsidR="00BA2192" w:rsidRPr="00D45B82" w:rsidRDefault="00BA2192" w:rsidP="00F362CA">
            <w:pPr>
              <w:spacing w:after="0"/>
              <w:rPr>
                <w:rFonts w:ascii="Arial" w:eastAsia="Times New Roman" w:hAnsi="Arial" w:cs="Arial"/>
                <w:b/>
                <w:sz w:val="20"/>
                <w:szCs w:val="20"/>
                <w:lang w:eastAsia="en-US"/>
              </w:rPr>
            </w:pPr>
            <w:r w:rsidRPr="00D45B82">
              <w:rPr>
                <w:rFonts w:ascii="Arial" w:eastAsia="Times New Roman" w:hAnsi="Arial" w:cs="Arial"/>
                <w:b/>
                <w:sz w:val="20"/>
                <w:szCs w:val="20"/>
                <w:lang w:eastAsia="en-US"/>
              </w:rPr>
              <w:t>Fashion</w:t>
            </w:r>
            <w:r w:rsidR="00D45B82" w:rsidRPr="00D45B82">
              <w:rPr>
                <w:rFonts w:ascii="Arial" w:eastAsia="Times New Roman" w:hAnsi="Arial" w:cs="Arial"/>
                <w:b/>
                <w:sz w:val="20"/>
                <w:szCs w:val="20"/>
                <w:lang w:eastAsia="en-US"/>
              </w:rPr>
              <w:t xml:space="preserve"> Orientation</w:t>
            </w:r>
          </w:p>
        </w:tc>
        <w:tc>
          <w:tcPr>
            <w:tcW w:w="425" w:type="dxa"/>
          </w:tcPr>
          <w:p w14:paraId="26E6D237"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426" w:type="dxa"/>
          </w:tcPr>
          <w:p w14:paraId="001B5A08"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1408" w:type="dxa"/>
            <w:shd w:val="clear" w:color="auto" w:fill="auto"/>
            <w:noWrap/>
            <w:vAlign w:val="bottom"/>
            <w:hideMark/>
          </w:tcPr>
          <w:p w14:paraId="34599469" w14:textId="77777777" w:rsidR="00BA2192" w:rsidRPr="00F362CA" w:rsidRDefault="00BA2192" w:rsidP="00F362CA">
            <w:pPr>
              <w:spacing w:after="0"/>
              <w:rPr>
                <w:rFonts w:ascii="Arial" w:eastAsia="Times New Roman" w:hAnsi="Arial" w:cs="Arial"/>
                <w:sz w:val="20"/>
                <w:szCs w:val="20"/>
                <w:lang w:eastAsia="en-US"/>
              </w:rPr>
            </w:pPr>
          </w:p>
        </w:tc>
        <w:tc>
          <w:tcPr>
            <w:tcW w:w="1533" w:type="dxa"/>
            <w:shd w:val="clear" w:color="auto" w:fill="auto"/>
            <w:noWrap/>
            <w:vAlign w:val="bottom"/>
            <w:hideMark/>
          </w:tcPr>
          <w:p w14:paraId="6B9F6020" w14:textId="77777777" w:rsidR="00BA2192" w:rsidRPr="00F362CA" w:rsidRDefault="00BA2192" w:rsidP="00F362CA">
            <w:pPr>
              <w:spacing w:after="0"/>
              <w:rPr>
                <w:rFonts w:ascii="Arial" w:eastAsia="Times New Roman" w:hAnsi="Arial" w:cs="Arial"/>
                <w:sz w:val="20"/>
                <w:szCs w:val="20"/>
                <w:lang w:eastAsia="en-US"/>
              </w:rPr>
            </w:pPr>
          </w:p>
        </w:tc>
        <w:tc>
          <w:tcPr>
            <w:tcW w:w="1395" w:type="dxa"/>
            <w:shd w:val="clear" w:color="auto" w:fill="auto"/>
            <w:noWrap/>
            <w:vAlign w:val="bottom"/>
            <w:hideMark/>
          </w:tcPr>
          <w:p w14:paraId="5C37AE00" w14:textId="77777777" w:rsidR="00BA2192" w:rsidRPr="00F362CA" w:rsidRDefault="00BA2192" w:rsidP="00F362CA">
            <w:pPr>
              <w:spacing w:after="0"/>
              <w:rPr>
                <w:rFonts w:ascii="Arial" w:eastAsia="Times New Roman" w:hAnsi="Arial" w:cs="Arial"/>
                <w:sz w:val="20"/>
                <w:szCs w:val="20"/>
                <w:lang w:eastAsia="en-US"/>
              </w:rPr>
            </w:pPr>
          </w:p>
        </w:tc>
        <w:tc>
          <w:tcPr>
            <w:tcW w:w="763" w:type="dxa"/>
            <w:shd w:val="clear" w:color="auto" w:fill="auto"/>
            <w:noWrap/>
            <w:vAlign w:val="bottom"/>
            <w:hideMark/>
          </w:tcPr>
          <w:p w14:paraId="5F1B11EF" w14:textId="77777777" w:rsidR="00BA2192" w:rsidRPr="00F362CA" w:rsidRDefault="00BA2192" w:rsidP="00F362CA">
            <w:pPr>
              <w:spacing w:after="0"/>
              <w:rPr>
                <w:rFonts w:ascii="Arial" w:eastAsia="Times New Roman" w:hAnsi="Arial" w:cs="Arial"/>
                <w:sz w:val="20"/>
                <w:szCs w:val="20"/>
                <w:lang w:eastAsia="en-US"/>
              </w:rPr>
            </w:pPr>
          </w:p>
        </w:tc>
        <w:tc>
          <w:tcPr>
            <w:tcW w:w="284" w:type="dxa"/>
            <w:shd w:val="clear" w:color="auto" w:fill="auto"/>
            <w:noWrap/>
            <w:vAlign w:val="bottom"/>
            <w:hideMark/>
          </w:tcPr>
          <w:p w14:paraId="2C8BF928" w14:textId="77777777" w:rsidR="00BA2192" w:rsidRPr="00F362CA" w:rsidRDefault="00BA2192" w:rsidP="00F362CA">
            <w:pPr>
              <w:spacing w:after="0"/>
              <w:rPr>
                <w:rFonts w:ascii="Arial" w:eastAsia="Times New Roman" w:hAnsi="Arial" w:cs="Arial"/>
                <w:sz w:val="20"/>
                <w:szCs w:val="20"/>
                <w:lang w:eastAsia="en-US"/>
              </w:rPr>
            </w:pPr>
          </w:p>
        </w:tc>
        <w:tc>
          <w:tcPr>
            <w:tcW w:w="712" w:type="dxa"/>
            <w:shd w:val="clear" w:color="auto" w:fill="auto"/>
            <w:noWrap/>
            <w:vAlign w:val="bottom"/>
            <w:hideMark/>
          </w:tcPr>
          <w:p w14:paraId="10E24CA0" w14:textId="77777777" w:rsidR="00BA2192" w:rsidRPr="00F362CA" w:rsidRDefault="00BA2192" w:rsidP="00BA2192">
            <w:pPr>
              <w:spacing w:after="0"/>
              <w:jc w:val="center"/>
              <w:rPr>
                <w:rFonts w:ascii="Arial" w:eastAsia="Times New Roman" w:hAnsi="Arial" w:cs="Arial"/>
                <w:sz w:val="20"/>
                <w:szCs w:val="20"/>
                <w:lang w:eastAsia="en-US"/>
              </w:rPr>
            </w:pPr>
          </w:p>
        </w:tc>
      </w:tr>
      <w:tr w:rsidR="00BA2192" w:rsidRPr="00F362CA" w14:paraId="60CAECB3" w14:textId="77777777" w:rsidTr="000401D7">
        <w:trPr>
          <w:trHeight w:val="240"/>
        </w:trPr>
        <w:tc>
          <w:tcPr>
            <w:tcW w:w="236" w:type="dxa"/>
            <w:shd w:val="clear" w:color="000000" w:fill="FFFFFF"/>
          </w:tcPr>
          <w:p w14:paraId="70C34C8E" w14:textId="77777777" w:rsidR="00BA2192" w:rsidRPr="00F362CA" w:rsidRDefault="00BA2192" w:rsidP="00F362CA">
            <w:pPr>
              <w:spacing w:after="0"/>
              <w:rPr>
                <w:rFonts w:ascii="Arial" w:eastAsia="Times New Roman" w:hAnsi="Arial" w:cs="Arial"/>
                <w:sz w:val="20"/>
                <w:szCs w:val="20"/>
                <w:lang w:eastAsia="en-US"/>
              </w:rPr>
            </w:pPr>
          </w:p>
        </w:tc>
        <w:tc>
          <w:tcPr>
            <w:tcW w:w="2189" w:type="dxa"/>
            <w:shd w:val="clear" w:color="000000" w:fill="FFFFFF"/>
          </w:tcPr>
          <w:p w14:paraId="0F5CD46E" w14:textId="6AF326D4" w:rsidR="00BA2192" w:rsidRPr="00F362CA" w:rsidRDefault="00BA2192" w:rsidP="00F362CA">
            <w:pPr>
              <w:spacing w:after="0"/>
              <w:rPr>
                <w:rFonts w:ascii="Arial" w:eastAsia="Times New Roman" w:hAnsi="Arial" w:cs="Arial"/>
                <w:sz w:val="20"/>
                <w:szCs w:val="20"/>
                <w:lang w:eastAsia="en-US"/>
              </w:rPr>
            </w:pPr>
          </w:p>
        </w:tc>
        <w:tc>
          <w:tcPr>
            <w:tcW w:w="425" w:type="dxa"/>
            <w:shd w:val="clear" w:color="000000" w:fill="FFFFFF"/>
          </w:tcPr>
          <w:p w14:paraId="774E48B7"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426" w:type="dxa"/>
            <w:shd w:val="clear" w:color="000000" w:fill="FFFFFF"/>
          </w:tcPr>
          <w:p w14:paraId="11487CA2"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1408" w:type="dxa"/>
            <w:shd w:val="clear" w:color="000000" w:fill="FFFFFF"/>
            <w:noWrap/>
            <w:vAlign w:val="bottom"/>
            <w:hideMark/>
          </w:tcPr>
          <w:p w14:paraId="24E218E9"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 xml:space="preserve">Stylish </w:t>
            </w:r>
          </w:p>
        </w:tc>
        <w:tc>
          <w:tcPr>
            <w:tcW w:w="1533" w:type="dxa"/>
            <w:shd w:val="clear" w:color="000000" w:fill="FFFFFF"/>
            <w:noWrap/>
            <w:vAlign w:val="bottom"/>
            <w:hideMark/>
          </w:tcPr>
          <w:p w14:paraId="10E2761E"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Budget</w:t>
            </w:r>
          </w:p>
        </w:tc>
        <w:tc>
          <w:tcPr>
            <w:tcW w:w="1395" w:type="dxa"/>
            <w:shd w:val="clear" w:color="000000" w:fill="FFFFFF"/>
            <w:noWrap/>
            <w:vAlign w:val="bottom"/>
            <w:hideMark/>
          </w:tcPr>
          <w:p w14:paraId="5ADA1DB6"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U</w:t>
            </w:r>
            <w:r w:rsidRPr="00F362CA">
              <w:rPr>
                <w:rFonts w:ascii="Arial" w:eastAsia="Times New Roman" w:hAnsi="Arial" w:cs="Arial"/>
                <w:sz w:val="20"/>
                <w:szCs w:val="20"/>
                <w:lang w:eastAsia="en-US"/>
              </w:rPr>
              <w:t xml:space="preserve">pmarket </w:t>
            </w:r>
          </w:p>
        </w:tc>
        <w:tc>
          <w:tcPr>
            <w:tcW w:w="763" w:type="dxa"/>
            <w:shd w:val="clear" w:color="000000" w:fill="FFFFFF"/>
            <w:noWrap/>
            <w:vAlign w:val="bottom"/>
            <w:hideMark/>
          </w:tcPr>
          <w:p w14:paraId="7CB2AD86" w14:textId="28056E5C" w:rsidR="00BA2192" w:rsidRPr="00F362CA" w:rsidRDefault="00D45B8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O</w:t>
            </w:r>
            <w:r w:rsidR="00BA2192">
              <w:rPr>
                <w:rFonts w:ascii="Arial" w:eastAsia="Times New Roman" w:hAnsi="Arial" w:cs="Arial"/>
                <w:sz w:val="20"/>
                <w:szCs w:val="20"/>
                <w:lang w:eastAsia="en-US"/>
              </w:rPr>
              <w:t xml:space="preserve">ther </w:t>
            </w:r>
          </w:p>
        </w:tc>
        <w:tc>
          <w:tcPr>
            <w:tcW w:w="284" w:type="dxa"/>
            <w:shd w:val="clear" w:color="auto" w:fill="auto"/>
            <w:noWrap/>
            <w:vAlign w:val="bottom"/>
            <w:hideMark/>
          </w:tcPr>
          <w:p w14:paraId="6DB7E8C9" w14:textId="77777777" w:rsidR="00BA2192" w:rsidRPr="00F362CA" w:rsidRDefault="00BA2192" w:rsidP="00F362CA">
            <w:pPr>
              <w:spacing w:after="0"/>
              <w:rPr>
                <w:rFonts w:ascii="Arial" w:eastAsia="Times New Roman" w:hAnsi="Arial" w:cs="Arial"/>
                <w:sz w:val="20"/>
                <w:szCs w:val="20"/>
                <w:lang w:eastAsia="en-US"/>
              </w:rPr>
            </w:pPr>
          </w:p>
        </w:tc>
        <w:tc>
          <w:tcPr>
            <w:tcW w:w="712" w:type="dxa"/>
            <w:shd w:val="clear" w:color="auto" w:fill="auto"/>
            <w:noWrap/>
            <w:vAlign w:val="bottom"/>
            <w:hideMark/>
          </w:tcPr>
          <w:p w14:paraId="436A51A5" w14:textId="77777777" w:rsidR="00BA2192" w:rsidRPr="00F362CA" w:rsidRDefault="00BA2192" w:rsidP="00BA2192">
            <w:pPr>
              <w:spacing w:after="0"/>
              <w:jc w:val="center"/>
              <w:rPr>
                <w:rFonts w:ascii="Arial" w:eastAsia="Times New Roman" w:hAnsi="Arial" w:cs="Arial"/>
                <w:sz w:val="20"/>
                <w:szCs w:val="20"/>
                <w:lang w:eastAsia="en-US"/>
              </w:rPr>
            </w:pPr>
          </w:p>
        </w:tc>
      </w:tr>
      <w:tr w:rsidR="00BA2192" w:rsidRPr="00F362CA" w14:paraId="60F0273A" w14:textId="77777777" w:rsidTr="000401D7">
        <w:trPr>
          <w:trHeight w:val="240"/>
        </w:trPr>
        <w:tc>
          <w:tcPr>
            <w:tcW w:w="236" w:type="dxa"/>
          </w:tcPr>
          <w:p w14:paraId="63E76CFC" w14:textId="77777777" w:rsidR="00BA2192" w:rsidRPr="00F362CA" w:rsidRDefault="00BA2192" w:rsidP="00F362CA">
            <w:pPr>
              <w:spacing w:after="0"/>
              <w:rPr>
                <w:rFonts w:ascii="Arial" w:eastAsia="Times New Roman" w:hAnsi="Arial" w:cs="Arial"/>
                <w:sz w:val="20"/>
                <w:szCs w:val="20"/>
                <w:lang w:eastAsia="en-US"/>
              </w:rPr>
            </w:pPr>
          </w:p>
        </w:tc>
        <w:tc>
          <w:tcPr>
            <w:tcW w:w="2189" w:type="dxa"/>
          </w:tcPr>
          <w:p w14:paraId="404CF735"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Share %</w:t>
            </w:r>
          </w:p>
        </w:tc>
        <w:tc>
          <w:tcPr>
            <w:tcW w:w="425" w:type="dxa"/>
          </w:tcPr>
          <w:p w14:paraId="63B4892A"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426" w:type="dxa"/>
          </w:tcPr>
          <w:p w14:paraId="1FFEF317" w14:textId="77777777" w:rsidR="00BA2192" w:rsidRPr="00F362CA" w:rsidRDefault="00BA2192" w:rsidP="00D45B82">
            <w:pPr>
              <w:spacing w:after="0"/>
              <w:ind w:left="33" w:hanging="33"/>
              <w:rPr>
                <w:rFonts w:ascii="Arial" w:eastAsia="Times New Roman" w:hAnsi="Arial" w:cs="Arial"/>
                <w:sz w:val="20"/>
                <w:szCs w:val="20"/>
                <w:lang w:eastAsia="en-US"/>
              </w:rPr>
            </w:pPr>
          </w:p>
        </w:tc>
        <w:tc>
          <w:tcPr>
            <w:tcW w:w="1408" w:type="dxa"/>
            <w:shd w:val="clear" w:color="auto" w:fill="auto"/>
            <w:noWrap/>
            <w:vAlign w:val="bottom"/>
            <w:hideMark/>
          </w:tcPr>
          <w:p w14:paraId="12C0833D"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56</w:t>
            </w:r>
          </w:p>
        </w:tc>
        <w:tc>
          <w:tcPr>
            <w:tcW w:w="1533" w:type="dxa"/>
            <w:shd w:val="clear" w:color="auto" w:fill="auto"/>
            <w:noWrap/>
            <w:vAlign w:val="bottom"/>
            <w:hideMark/>
          </w:tcPr>
          <w:p w14:paraId="7E777261"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17</w:t>
            </w:r>
          </w:p>
        </w:tc>
        <w:tc>
          <w:tcPr>
            <w:tcW w:w="1395" w:type="dxa"/>
            <w:shd w:val="clear" w:color="auto" w:fill="auto"/>
            <w:noWrap/>
            <w:vAlign w:val="bottom"/>
            <w:hideMark/>
          </w:tcPr>
          <w:p w14:paraId="476BEE6C"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15</w:t>
            </w:r>
          </w:p>
        </w:tc>
        <w:tc>
          <w:tcPr>
            <w:tcW w:w="763" w:type="dxa"/>
            <w:shd w:val="clear" w:color="auto" w:fill="auto"/>
            <w:noWrap/>
            <w:vAlign w:val="bottom"/>
            <w:hideMark/>
          </w:tcPr>
          <w:p w14:paraId="12A67064" w14:textId="77777777" w:rsidR="00BA2192" w:rsidRPr="00F362CA" w:rsidRDefault="00BA2192" w:rsidP="00F362CA">
            <w:pPr>
              <w:spacing w:after="0"/>
              <w:rPr>
                <w:rFonts w:ascii="Arial" w:eastAsia="Times New Roman" w:hAnsi="Arial" w:cs="Arial"/>
                <w:sz w:val="20"/>
                <w:szCs w:val="20"/>
                <w:lang w:eastAsia="en-US"/>
              </w:rPr>
            </w:pPr>
            <w:r>
              <w:rPr>
                <w:rFonts w:ascii="Arial" w:eastAsia="Times New Roman" w:hAnsi="Arial" w:cs="Arial"/>
                <w:sz w:val="20"/>
                <w:szCs w:val="20"/>
                <w:lang w:eastAsia="en-US"/>
              </w:rPr>
              <w:t>13</w:t>
            </w:r>
          </w:p>
        </w:tc>
        <w:tc>
          <w:tcPr>
            <w:tcW w:w="284" w:type="dxa"/>
            <w:shd w:val="clear" w:color="auto" w:fill="auto"/>
            <w:noWrap/>
            <w:vAlign w:val="bottom"/>
            <w:hideMark/>
          </w:tcPr>
          <w:p w14:paraId="163266ED" w14:textId="77777777" w:rsidR="00BA2192" w:rsidRPr="00F362CA" w:rsidRDefault="00BA2192" w:rsidP="00F362CA">
            <w:pPr>
              <w:spacing w:after="0"/>
              <w:rPr>
                <w:rFonts w:ascii="Arial" w:eastAsia="Times New Roman" w:hAnsi="Arial" w:cs="Arial"/>
                <w:sz w:val="20"/>
                <w:szCs w:val="20"/>
                <w:lang w:eastAsia="en-US"/>
              </w:rPr>
            </w:pPr>
          </w:p>
        </w:tc>
        <w:tc>
          <w:tcPr>
            <w:tcW w:w="712" w:type="dxa"/>
            <w:shd w:val="clear" w:color="auto" w:fill="auto"/>
            <w:noWrap/>
            <w:vAlign w:val="bottom"/>
            <w:hideMark/>
          </w:tcPr>
          <w:p w14:paraId="26A34739" w14:textId="77777777" w:rsidR="00BA2192" w:rsidRPr="00F362CA" w:rsidRDefault="00BA2192" w:rsidP="00BA2192">
            <w:pPr>
              <w:spacing w:after="0"/>
              <w:jc w:val="center"/>
              <w:rPr>
                <w:rFonts w:ascii="Arial" w:eastAsia="Times New Roman" w:hAnsi="Arial" w:cs="Arial"/>
                <w:sz w:val="20"/>
                <w:szCs w:val="20"/>
                <w:lang w:eastAsia="en-US"/>
              </w:rPr>
            </w:pPr>
          </w:p>
        </w:tc>
      </w:tr>
      <w:tr w:rsidR="00BA2192" w:rsidRPr="00F362CA" w14:paraId="16C01FF7" w14:textId="77777777" w:rsidTr="000401D7">
        <w:trPr>
          <w:trHeight w:val="240"/>
        </w:trPr>
        <w:tc>
          <w:tcPr>
            <w:tcW w:w="236" w:type="dxa"/>
            <w:shd w:val="clear" w:color="000000" w:fill="FFFFFF"/>
          </w:tcPr>
          <w:p w14:paraId="781DCDE2" w14:textId="77777777" w:rsidR="00BA2192" w:rsidRPr="00F362CA" w:rsidRDefault="00BA2192" w:rsidP="00BA2192">
            <w:pPr>
              <w:spacing w:after="0"/>
              <w:jc w:val="center"/>
              <w:rPr>
                <w:rFonts w:ascii="Arial" w:eastAsia="Times New Roman" w:hAnsi="Arial" w:cs="Arial"/>
                <w:sz w:val="20"/>
                <w:szCs w:val="20"/>
                <w:lang w:eastAsia="en-US"/>
              </w:rPr>
            </w:pPr>
          </w:p>
        </w:tc>
        <w:tc>
          <w:tcPr>
            <w:tcW w:w="2189" w:type="dxa"/>
            <w:shd w:val="clear" w:color="000000" w:fill="FFFFFF"/>
          </w:tcPr>
          <w:p w14:paraId="2A7053EF" w14:textId="77777777" w:rsidR="00BA2192" w:rsidRDefault="00BA2192" w:rsidP="00BA2192">
            <w:pPr>
              <w:spacing w:after="0"/>
              <w:rPr>
                <w:rFonts w:ascii="Arial" w:eastAsia="Times New Roman" w:hAnsi="Arial" w:cs="Arial"/>
                <w:sz w:val="20"/>
                <w:szCs w:val="20"/>
                <w:lang w:eastAsia="en-US"/>
              </w:rPr>
            </w:pPr>
          </w:p>
        </w:tc>
        <w:tc>
          <w:tcPr>
            <w:tcW w:w="425" w:type="dxa"/>
            <w:shd w:val="clear" w:color="000000" w:fill="FFFFFF"/>
          </w:tcPr>
          <w:p w14:paraId="3250C2FA"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426" w:type="dxa"/>
            <w:shd w:val="clear" w:color="000000" w:fill="FFFFFF"/>
          </w:tcPr>
          <w:p w14:paraId="5F54D1C7"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1408" w:type="dxa"/>
            <w:shd w:val="clear" w:color="000000" w:fill="FFFFFF"/>
            <w:noWrap/>
            <w:vAlign w:val="bottom"/>
          </w:tcPr>
          <w:p w14:paraId="54009AC8" w14:textId="77777777" w:rsidR="00BA2192" w:rsidRPr="00F362CA" w:rsidRDefault="00BA2192" w:rsidP="00BA2192">
            <w:pPr>
              <w:spacing w:after="0"/>
              <w:rPr>
                <w:rFonts w:ascii="Arial" w:eastAsia="Times New Roman" w:hAnsi="Arial" w:cs="Arial"/>
                <w:sz w:val="20"/>
                <w:szCs w:val="20"/>
                <w:lang w:eastAsia="en-US"/>
              </w:rPr>
            </w:pPr>
          </w:p>
        </w:tc>
        <w:tc>
          <w:tcPr>
            <w:tcW w:w="1533" w:type="dxa"/>
            <w:shd w:val="clear" w:color="000000" w:fill="FFFFFF"/>
            <w:noWrap/>
            <w:vAlign w:val="bottom"/>
          </w:tcPr>
          <w:p w14:paraId="363EBC2E" w14:textId="77777777" w:rsidR="00BA2192" w:rsidRPr="00F362CA" w:rsidRDefault="00BA2192" w:rsidP="00BA2192">
            <w:pPr>
              <w:spacing w:after="0"/>
              <w:rPr>
                <w:rFonts w:ascii="Arial" w:eastAsia="Times New Roman" w:hAnsi="Arial" w:cs="Arial"/>
                <w:sz w:val="20"/>
                <w:szCs w:val="20"/>
                <w:lang w:eastAsia="en-US"/>
              </w:rPr>
            </w:pPr>
          </w:p>
        </w:tc>
        <w:tc>
          <w:tcPr>
            <w:tcW w:w="1395" w:type="dxa"/>
            <w:shd w:val="clear" w:color="000000" w:fill="FFFFFF"/>
            <w:noWrap/>
            <w:vAlign w:val="bottom"/>
          </w:tcPr>
          <w:p w14:paraId="1FC5FC2B" w14:textId="77777777" w:rsidR="00BA2192" w:rsidRPr="00F362CA" w:rsidRDefault="00BA2192" w:rsidP="00BA2192">
            <w:pPr>
              <w:spacing w:after="0"/>
              <w:rPr>
                <w:rFonts w:ascii="Arial" w:eastAsia="Times New Roman" w:hAnsi="Arial" w:cs="Arial"/>
                <w:sz w:val="20"/>
                <w:szCs w:val="20"/>
                <w:lang w:eastAsia="en-US"/>
              </w:rPr>
            </w:pPr>
          </w:p>
        </w:tc>
        <w:tc>
          <w:tcPr>
            <w:tcW w:w="763" w:type="dxa"/>
            <w:shd w:val="clear" w:color="000000" w:fill="FFFFFF"/>
            <w:noWrap/>
            <w:vAlign w:val="bottom"/>
          </w:tcPr>
          <w:p w14:paraId="0967ADBB" w14:textId="77777777" w:rsidR="00BA2192" w:rsidRPr="00F362CA" w:rsidRDefault="00BA2192" w:rsidP="00BA2192">
            <w:pPr>
              <w:spacing w:after="0"/>
              <w:rPr>
                <w:rFonts w:ascii="Arial" w:eastAsia="Times New Roman" w:hAnsi="Arial" w:cs="Arial"/>
                <w:sz w:val="20"/>
                <w:szCs w:val="20"/>
                <w:lang w:eastAsia="en-US"/>
              </w:rPr>
            </w:pPr>
          </w:p>
        </w:tc>
        <w:tc>
          <w:tcPr>
            <w:tcW w:w="284" w:type="dxa"/>
            <w:shd w:val="clear" w:color="000000" w:fill="FFFFFF"/>
            <w:noWrap/>
            <w:vAlign w:val="bottom"/>
          </w:tcPr>
          <w:p w14:paraId="69808392" w14:textId="77777777" w:rsidR="00BA2192" w:rsidRPr="00F362CA" w:rsidRDefault="00BA2192" w:rsidP="00BA2192">
            <w:pPr>
              <w:spacing w:after="0"/>
              <w:rPr>
                <w:rFonts w:ascii="Arial" w:eastAsia="Times New Roman" w:hAnsi="Arial" w:cs="Arial"/>
                <w:sz w:val="20"/>
                <w:szCs w:val="20"/>
                <w:lang w:eastAsia="en-US"/>
              </w:rPr>
            </w:pPr>
          </w:p>
        </w:tc>
        <w:tc>
          <w:tcPr>
            <w:tcW w:w="712" w:type="dxa"/>
            <w:shd w:val="clear" w:color="auto" w:fill="auto"/>
            <w:noWrap/>
            <w:vAlign w:val="bottom"/>
          </w:tcPr>
          <w:p w14:paraId="0244716D" w14:textId="77777777" w:rsidR="00BA2192" w:rsidRPr="00F362CA" w:rsidRDefault="00BA2192" w:rsidP="00BA2192">
            <w:pPr>
              <w:spacing w:after="0"/>
              <w:rPr>
                <w:rFonts w:ascii="Arial" w:eastAsia="Times New Roman" w:hAnsi="Arial" w:cs="Arial"/>
                <w:sz w:val="20"/>
                <w:szCs w:val="20"/>
                <w:lang w:eastAsia="en-US"/>
              </w:rPr>
            </w:pPr>
          </w:p>
        </w:tc>
      </w:tr>
      <w:tr w:rsidR="00BA2192" w:rsidRPr="00F362CA" w14:paraId="5ADD70DF" w14:textId="77777777" w:rsidTr="000401D7">
        <w:trPr>
          <w:trHeight w:val="240"/>
        </w:trPr>
        <w:tc>
          <w:tcPr>
            <w:tcW w:w="236" w:type="dxa"/>
            <w:shd w:val="clear" w:color="000000" w:fill="FFFFFF"/>
          </w:tcPr>
          <w:p w14:paraId="63971781" w14:textId="77777777" w:rsidR="00BA2192" w:rsidRPr="00F362CA" w:rsidRDefault="00BA2192" w:rsidP="00BA2192">
            <w:pPr>
              <w:spacing w:after="0"/>
              <w:jc w:val="center"/>
              <w:rPr>
                <w:rFonts w:ascii="Arial" w:eastAsia="Times New Roman" w:hAnsi="Arial" w:cs="Arial"/>
                <w:sz w:val="20"/>
                <w:szCs w:val="20"/>
                <w:lang w:eastAsia="en-US"/>
              </w:rPr>
            </w:pPr>
          </w:p>
        </w:tc>
        <w:tc>
          <w:tcPr>
            <w:tcW w:w="2189" w:type="dxa"/>
            <w:shd w:val="clear" w:color="000000" w:fill="FFFFFF"/>
          </w:tcPr>
          <w:p w14:paraId="366D995D" w14:textId="77777777" w:rsidR="00BA2192" w:rsidRPr="00F362CA" w:rsidRDefault="00A16245" w:rsidP="00BA2192">
            <w:pPr>
              <w:spacing w:after="0"/>
              <w:rPr>
                <w:rFonts w:ascii="Arial" w:eastAsia="Times New Roman" w:hAnsi="Arial" w:cs="Arial"/>
                <w:sz w:val="20"/>
                <w:szCs w:val="20"/>
                <w:lang w:eastAsia="en-US"/>
              </w:rPr>
            </w:pPr>
            <w:r>
              <w:rPr>
                <w:rFonts w:ascii="Arial" w:eastAsia="Times New Roman" w:hAnsi="Arial" w:cs="Arial"/>
                <w:sz w:val="20"/>
                <w:szCs w:val="20"/>
                <w:lang w:eastAsia="en-US"/>
              </w:rPr>
              <w:t>Average deviation</w:t>
            </w:r>
          </w:p>
        </w:tc>
        <w:tc>
          <w:tcPr>
            <w:tcW w:w="425" w:type="dxa"/>
            <w:shd w:val="clear" w:color="000000" w:fill="FFFFFF"/>
          </w:tcPr>
          <w:p w14:paraId="25A15509"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426" w:type="dxa"/>
            <w:shd w:val="clear" w:color="000000" w:fill="FFFFFF"/>
          </w:tcPr>
          <w:p w14:paraId="3948025A"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1408" w:type="dxa"/>
            <w:shd w:val="clear" w:color="000000" w:fill="FFFFFF"/>
            <w:noWrap/>
            <w:vAlign w:val="bottom"/>
            <w:hideMark/>
          </w:tcPr>
          <w:p w14:paraId="1A8F067F"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0.09</w:t>
            </w:r>
          </w:p>
        </w:tc>
        <w:tc>
          <w:tcPr>
            <w:tcW w:w="1533" w:type="dxa"/>
            <w:shd w:val="clear" w:color="000000" w:fill="FFFFFF"/>
            <w:noWrap/>
            <w:vAlign w:val="bottom"/>
            <w:hideMark/>
          </w:tcPr>
          <w:p w14:paraId="7BF8FAC5"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0.03</w:t>
            </w:r>
          </w:p>
        </w:tc>
        <w:tc>
          <w:tcPr>
            <w:tcW w:w="1395" w:type="dxa"/>
            <w:shd w:val="clear" w:color="000000" w:fill="FFFFFF"/>
            <w:noWrap/>
            <w:vAlign w:val="bottom"/>
            <w:hideMark/>
          </w:tcPr>
          <w:p w14:paraId="19B94018"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0.04</w:t>
            </w:r>
          </w:p>
        </w:tc>
        <w:tc>
          <w:tcPr>
            <w:tcW w:w="763" w:type="dxa"/>
            <w:shd w:val="clear" w:color="000000" w:fill="FFFFFF"/>
            <w:noWrap/>
            <w:vAlign w:val="bottom"/>
            <w:hideMark/>
          </w:tcPr>
          <w:p w14:paraId="72DC9B2D"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0.04</w:t>
            </w:r>
          </w:p>
        </w:tc>
        <w:tc>
          <w:tcPr>
            <w:tcW w:w="284" w:type="dxa"/>
            <w:shd w:val="clear" w:color="000000" w:fill="FFFFFF"/>
            <w:noWrap/>
            <w:vAlign w:val="bottom"/>
            <w:hideMark/>
          </w:tcPr>
          <w:p w14:paraId="143A11F9"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 </w:t>
            </w:r>
          </w:p>
        </w:tc>
        <w:tc>
          <w:tcPr>
            <w:tcW w:w="712" w:type="dxa"/>
            <w:shd w:val="clear" w:color="auto" w:fill="auto"/>
            <w:noWrap/>
            <w:vAlign w:val="bottom"/>
            <w:hideMark/>
          </w:tcPr>
          <w:p w14:paraId="12D0446B" w14:textId="77777777" w:rsidR="00BA2192" w:rsidRPr="00F362CA" w:rsidRDefault="00BA2192" w:rsidP="00BA2192">
            <w:pPr>
              <w:spacing w:after="0"/>
              <w:rPr>
                <w:rFonts w:ascii="Arial" w:eastAsia="Times New Roman" w:hAnsi="Arial" w:cs="Arial"/>
                <w:sz w:val="20"/>
                <w:szCs w:val="20"/>
                <w:lang w:eastAsia="en-US"/>
              </w:rPr>
            </w:pPr>
            <w:r w:rsidRPr="00F362CA">
              <w:rPr>
                <w:rFonts w:ascii="Arial" w:eastAsia="Times New Roman" w:hAnsi="Arial" w:cs="Arial"/>
                <w:sz w:val="20"/>
                <w:szCs w:val="20"/>
                <w:lang w:eastAsia="en-US"/>
              </w:rPr>
              <w:t>.05</w:t>
            </w:r>
          </w:p>
        </w:tc>
      </w:tr>
      <w:tr w:rsidR="00BA2192" w:rsidRPr="00F362CA" w14:paraId="4DEA74B0" w14:textId="77777777" w:rsidTr="000401D7">
        <w:trPr>
          <w:trHeight w:val="240"/>
        </w:trPr>
        <w:tc>
          <w:tcPr>
            <w:tcW w:w="236" w:type="dxa"/>
            <w:shd w:val="clear" w:color="000000" w:fill="FFFFFF"/>
          </w:tcPr>
          <w:p w14:paraId="7C3FF718" w14:textId="77777777" w:rsidR="00BA2192" w:rsidRPr="00F362CA" w:rsidRDefault="00BA2192" w:rsidP="00BA2192">
            <w:pPr>
              <w:spacing w:after="0"/>
              <w:jc w:val="center"/>
              <w:rPr>
                <w:rFonts w:ascii="Arial" w:eastAsia="Times New Roman" w:hAnsi="Arial" w:cs="Arial"/>
                <w:sz w:val="20"/>
                <w:szCs w:val="20"/>
                <w:lang w:eastAsia="en-US"/>
              </w:rPr>
            </w:pPr>
          </w:p>
        </w:tc>
        <w:tc>
          <w:tcPr>
            <w:tcW w:w="2189" w:type="dxa"/>
            <w:shd w:val="clear" w:color="000000" w:fill="FFFFFF"/>
          </w:tcPr>
          <w:p w14:paraId="3CF75CFD" w14:textId="77777777" w:rsidR="00BA2192" w:rsidRDefault="00BA2192" w:rsidP="00BA2192">
            <w:pPr>
              <w:spacing w:after="0"/>
              <w:rPr>
                <w:rFonts w:ascii="Arial" w:eastAsia="Times New Roman" w:hAnsi="Arial" w:cs="Arial"/>
                <w:sz w:val="20"/>
                <w:szCs w:val="20"/>
                <w:lang w:eastAsia="en-US"/>
              </w:rPr>
            </w:pPr>
          </w:p>
        </w:tc>
        <w:tc>
          <w:tcPr>
            <w:tcW w:w="425" w:type="dxa"/>
            <w:shd w:val="clear" w:color="000000" w:fill="FFFFFF"/>
          </w:tcPr>
          <w:p w14:paraId="78B726C1"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426" w:type="dxa"/>
            <w:shd w:val="clear" w:color="000000" w:fill="FFFFFF"/>
          </w:tcPr>
          <w:p w14:paraId="2556B9F1" w14:textId="77777777" w:rsidR="00BA2192" w:rsidRPr="00F362CA" w:rsidRDefault="00BA2192" w:rsidP="00D45B82">
            <w:pPr>
              <w:spacing w:after="0"/>
              <w:ind w:left="33" w:hanging="33"/>
              <w:jc w:val="center"/>
              <w:rPr>
                <w:rFonts w:ascii="Arial" w:eastAsia="Times New Roman" w:hAnsi="Arial" w:cs="Arial"/>
                <w:sz w:val="20"/>
                <w:szCs w:val="20"/>
                <w:lang w:eastAsia="en-US"/>
              </w:rPr>
            </w:pPr>
          </w:p>
        </w:tc>
        <w:tc>
          <w:tcPr>
            <w:tcW w:w="1408" w:type="dxa"/>
            <w:shd w:val="clear" w:color="000000" w:fill="FFFFFF"/>
            <w:noWrap/>
            <w:vAlign w:val="bottom"/>
          </w:tcPr>
          <w:p w14:paraId="0B2827E6" w14:textId="77777777" w:rsidR="00BA2192" w:rsidRPr="00F362CA" w:rsidRDefault="00BA2192" w:rsidP="00BA2192">
            <w:pPr>
              <w:spacing w:after="0"/>
              <w:rPr>
                <w:rFonts w:ascii="Arial" w:eastAsia="Times New Roman" w:hAnsi="Arial" w:cs="Arial"/>
                <w:sz w:val="20"/>
                <w:szCs w:val="20"/>
                <w:lang w:eastAsia="en-US"/>
              </w:rPr>
            </w:pPr>
          </w:p>
        </w:tc>
        <w:tc>
          <w:tcPr>
            <w:tcW w:w="1533" w:type="dxa"/>
            <w:shd w:val="clear" w:color="000000" w:fill="FFFFFF"/>
            <w:noWrap/>
            <w:vAlign w:val="bottom"/>
          </w:tcPr>
          <w:p w14:paraId="1E8F51C3" w14:textId="77777777" w:rsidR="00BA2192" w:rsidRPr="00F362CA" w:rsidRDefault="00BA2192" w:rsidP="00BA2192">
            <w:pPr>
              <w:spacing w:after="0"/>
              <w:rPr>
                <w:rFonts w:ascii="Arial" w:eastAsia="Times New Roman" w:hAnsi="Arial" w:cs="Arial"/>
                <w:sz w:val="20"/>
                <w:szCs w:val="20"/>
                <w:lang w:eastAsia="en-US"/>
              </w:rPr>
            </w:pPr>
          </w:p>
        </w:tc>
        <w:tc>
          <w:tcPr>
            <w:tcW w:w="1395" w:type="dxa"/>
            <w:shd w:val="clear" w:color="000000" w:fill="FFFFFF"/>
            <w:noWrap/>
            <w:vAlign w:val="bottom"/>
          </w:tcPr>
          <w:p w14:paraId="7B4069F2" w14:textId="77777777" w:rsidR="00BA2192" w:rsidRPr="00F362CA" w:rsidRDefault="00BA2192" w:rsidP="00BA2192">
            <w:pPr>
              <w:spacing w:after="0"/>
              <w:rPr>
                <w:rFonts w:ascii="Arial" w:eastAsia="Times New Roman" w:hAnsi="Arial" w:cs="Arial"/>
                <w:sz w:val="20"/>
                <w:szCs w:val="20"/>
                <w:lang w:eastAsia="en-US"/>
              </w:rPr>
            </w:pPr>
          </w:p>
        </w:tc>
        <w:tc>
          <w:tcPr>
            <w:tcW w:w="763" w:type="dxa"/>
            <w:shd w:val="clear" w:color="000000" w:fill="FFFFFF"/>
            <w:noWrap/>
            <w:vAlign w:val="bottom"/>
          </w:tcPr>
          <w:p w14:paraId="712D6D62" w14:textId="77777777" w:rsidR="00BA2192" w:rsidRPr="00F362CA" w:rsidRDefault="00BA2192" w:rsidP="00BA2192">
            <w:pPr>
              <w:spacing w:after="0"/>
              <w:rPr>
                <w:rFonts w:ascii="Arial" w:eastAsia="Times New Roman" w:hAnsi="Arial" w:cs="Arial"/>
                <w:sz w:val="20"/>
                <w:szCs w:val="20"/>
                <w:lang w:eastAsia="en-US"/>
              </w:rPr>
            </w:pPr>
          </w:p>
        </w:tc>
        <w:tc>
          <w:tcPr>
            <w:tcW w:w="284" w:type="dxa"/>
            <w:shd w:val="clear" w:color="000000" w:fill="FFFFFF"/>
            <w:noWrap/>
            <w:vAlign w:val="bottom"/>
          </w:tcPr>
          <w:p w14:paraId="76CA4E32" w14:textId="77777777" w:rsidR="00BA2192" w:rsidRPr="00F362CA" w:rsidRDefault="00BA2192" w:rsidP="00BA2192">
            <w:pPr>
              <w:spacing w:after="0"/>
              <w:rPr>
                <w:rFonts w:ascii="Arial" w:eastAsia="Times New Roman" w:hAnsi="Arial" w:cs="Arial"/>
                <w:sz w:val="20"/>
                <w:szCs w:val="20"/>
                <w:lang w:eastAsia="en-US"/>
              </w:rPr>
            </w:pPr>
          </w:p>
        </w:tc>
        <w:tc>
          <w:tcPr>
            <w:tcW w:w="712" w:type="dxa"/>
            <w:shd w:val="clear" w:color="auto" w:fill="auto"/>
            <w:noWrap/>
            <w:vAlign w:val="bottom"/>
          </w:tcPr>
          <w:p w14:paraId="4A26CF45" w14:textId="77777777" w:rsidR="00BA2192" w:rsidRPr="00F362CA" w:rsidRDefault="00BA2192" w:rsidP="00BA2192">
            <w:pPr>
              <w:spacing w:after="0"/>
              <w:rPr>
                <w:rFonts w:ascii="Arial" w:eastAsia="Times New Roman" w:hAnsi="Arial" w:cs="Arial"/>
                <w:sz w:val="20"/>
                <w:szCs w:val="20"/>
                <w:lang w:eastAsia="en-US"/>
              </w:rPr>
            </w:pPr>
          </w:p>
        </w:tc>
      </w:tr>
    </w:tbl>
    <w:p w14:paraId="56E2E8E8" w14:textId="77777777" w:rsidR="0019091D" w:rsidRPr="00472594" w:rsidRDefault="0019091D" w:rsidP="000607E8">
      <w:pPr>
        <w:widowControl w:val="0"/>
        <w:autoSpaceDE w:val="0"/>
        <w:autoSpaceDN w:val="0"/>
        <w:adjustRightInd w:val="0"/>
        <w:spacing w:after="240" w:line="360" w:lineRule="auto"/>
        <w:jc w:val="both"/>
        <w:rPr>
          <w:rFonts w:ascii="Times New Roman" w:hAnsi="Times New Roman" w:cs="Times"/>
          <w:lang w:val="en-US"/>
        </w:rPr>
      </w:pPr>
    </w:p>
    <w:p w14:paraId="49E35DD4" w14:textId="46CB4DEA" w:rsidR="00B47497" w:rsidRPr="00D20D9B" w:rsidRDefault="003A0B95" w:rsidP="000607E8">
      <w:pPr>
        <w:widowControl w:val="0"/>
        <w:autoSpaceDE w:val="0"/>
        <w:autoSpaceDN w:val="0"/>
        <w:adjustRightInd w:val="0"/>
        <w:spacing w:after="240" w:line="360" w:lineRule="auto"/>
        <w:jc w:val="both"/>
        <w:rPr>
          <w:rFonts w:ascii="Arial" w:hAnsi="Arial" w:cs="Arial"/>
          <w:lang w:val="en-US"/>
        </w:rPr>
      </w:pPr>
      <w:r w:rsidRPr="00D20D9B">
        <w:rPr>
          <w:rFonts w:ascii="Arial" w:hAnsi="Arial" w:cs="Arial"/>
          <w:lang w:val="en-US"/>
        </w:rPr>
        <w:t>To address the research question of whether</w:t>
      </w:r>
      <w:r w:rsidR="00B47497" w:rsidRPr="00D20D9B">
        <w:rPr>
          <w:rFonts w:ascii="Arial" w:hAnsi="Arial" w:cs="Arial"/>
          <w:lang w:val="en-US"/>
        </w:rPr>
        <w:t xml:space="preserve"> there are differences in consumer profiles between brands </w:t>
      </w:r>
      <w:r w:rsidR="00F23B7E">
        <w:rPr>
          <w:rFonts w:ascii="Arial" w:hAnsi="Arial" w:cs="Arial"/>
          <w:lang w:val="en-US"/>
        </w:rPr>
        <w:t>in the same product category,</w:t>
      </w:r>
      <w:r w:rsidR="00B47497" w:rsidRPr="00D20D9B">
        <w:rPr>
          <w:rFonts w:ascii="Arial" w:hAnsi="Arial" w:cs="Arial"/>
          <w:lang w:val="en-US"/>
        </w:rPr>
        <w:t xml:space="preserve"> the distribution of absolute deviations across all socio</w:t>
      </w:r>
      <w:r w:rsidR="00F23B7E">
        <w:rPr>
          <w:rFonts w:ascii="Arial" w:hAnsi="Arial" w:cs="Arial"/>
          <w:lang w:val="en-US"/>
        </w:rPr>
        <w:t>-</w:t>
      </w:r>
      <w:r w:rsidR="00B47497" w:rsidRPr="00D20D9B">
        <w:rPr>
          <w:rFonts w:ascii="Arial" w:hAnsi="Arial" w:cs="Arial"/>
          <w:lang w:val="en-US"/>
        </w:rPr>
        <w:t>demographic characteristics and all brands</w:t>
      </w:r>
      <w:r w:rsidR="00F23B7E" w:rsidRPr="00F23B7E">
        <w:rPr>
          <w:rFonts w:ascii="Arial" w:hAnsi="Arial" w:cs="Arial"/>
          <w:lang w:val="en-US"/>
        </w:rPr>
        <w:t xml:space="preserve"> </w:t>
      </w:r>
      <w:r w:rsidR="00F23B7E">
        <w:rPr>
          <w:rFonts w:ascii="Arial" w:hAnsi="Arial" w:cs="Arial"/>
          <w:lang w:val="en-US"/>
        </w:rPr>
        <w:t xml:space="preserve">was </w:t>
      </w:r>
      <w:r w:rsidR="00F23B7E" w:rsidRPr="00D20D9B">
        <w:rPr>
          <w:rFonts w:ascii="Arial" w:hAnsi="Arial" w:cs="Arial"/>
          <w:lang w:val="en-US"/>
        </w:rPr>
        <w:t>anal</w:t>
      </w:r>
      <w:r w:rsidR="00F23B7E">
        <w:rPr>
          <w:rFonts w:ascii="Arial" w:hAnsi="Arial" w:cs="Arial"/>
          <w:lang w:val="en-US"/>
        </w:rPr>
        <w:t>yz</w:t>
      </w:r>
      <w:r w:rsidR="00F23B7E" w:rsidRPr="00D20D9B">
        <w:rPr>
          <w:rFonts w:ascii="Arial" w:hAnsi="Arial" w:cs="Arial"/>
          <w:lang w:val="en-US"/>
        </w:rPr>
        <w:t>ed</w:t>
      </w:r>
      <w:r w:rsidR="00B47497" w:rsidRPr="00D20D9B">
        <w:rPr>
          <w:rFonts w:ascii="Arial" w:hAnsi="Arial" w:cs="Arial"/>
          <w:lang w:val="en-US"/>
        </w:rPr>
        <w:t xml:space="preserve">. Results in Table </w:t>
      </w:r>
      <w:r w:rsidR="00666663" w:rsidRPr="00D20D9B">
        <w:rPr>
          <w:rFonts w:ascii="Arial" w:hAnsi="Arial" w:cs="Arial"/>
          <w:lang w:val="en-US"/>
        </w:rPr>
        <w:t>8</w:t>
      </w:r>
      <w:r w:rsidR="00B47497" w:rsidRPr="00D20D9B">
        <w:rPr>
          <w:rFonts w:ascii="Arial" w:hAnsi="Arial" w:cs="Arial"/>
          <w:lang w:val="en-US"/>
        </w:rPr>
        <w:t xml:space="preserve"> suggest an L-shaped distribution with a large number of small deviations (</w:t>
      </w:r>
      <w:r w:rsidR="00666663" w:rsidRPr="00D20D9B">
        <w:rPr>
          <w:rFonts w:ascii="Arial" w:hAnsi="Arial" w:cs="Arial"/>
          <w:lang w:val="en-US"/>
        </w:rPr>
        <w:t>42</w:t>
      </w:r>
      <w:r w:rsidR="00B47497" w:rsidRPr="00D20D9B">
        <w:rPr>
          <w:rFonts w:ascii="Arial" w:hAnsi="Arial" w:cs="Arial"/>
          <w:lang w:val="en-US"/>
        </w:rPr>
        <w:t xml:space="preserve">% below 2pp) and a long tail of few large deviations. Only </w:t>
      </w:r>
      <w:r w:rsidR="00666663" w:rsidRPr="00D20D9B">
        <w:rPr>
          <w:rFonts w:ascii="Arial" w:hAnsi="Arial" w:cs="Arial"/>
          <w:lang w:val="en-US"/>
        </w:rPr>
        <w:t>11</w:t>
      </w:r>
      <w:r w:rsidR="00B47497" w:rsidRPr="00D20D9B">
        <w:rPr>
          <w:rFonts w:ascii="Arial" w:hAnsi="Arial" w:cs="Arial"/>
          <w:lang w:val="en-US"/>
        </w:rPr>
        <w:t xml:space="preserve">% of the brand deviations were larger than </w:t>
      </w:r>
      <w:r w:rsidR="00666663" w:rsidRPr="00D20D9B">
        <w:rPr>
          <w:rFonts w:ascii="Arial" w:hAnsi="Arial" w:cs="Arial"/>
          <w:lang w:val="en-US"/>
        </w:rPr>
        <w:t>10pp.</w:t>
      </w:r>
    </w:p>
    <w:p w14:paraId="32936C80" w14:textId="58ACBF8C" w:rsidR="00B47497" w:rsidRPr="00D20D9B" w:rsidRDefault="00174153" w:rsidP="00174153">
      <w:pPr>
        <w:widowControl w:val="0"/>
        <w:autoSpaceDE w:val="0"/>
        <w:autoSpaceDN w:val="0"/>
        <w:adjustRightInd w:val="0"/>
        <w:spacing w:after="120" w:line="360" w:lineRule="auto"/>
        <w:jc w:val="both"/>
        <w:rPr>
          <w:rFonts w:ascii="Arial" w:hAnsi="Arial" w:cs="Arial"/>
          <w:lang w:val="en-US"/>
        </w:rPr>
      </w:pPr>
      <w:r>
        <w:rPr>
          <w:rFonts w:ascii="Arial" w:hAnsi="Arial" w:cs="Arial"/>
          <w:lang w:val="en-US"/>
        </w:rPr>
        <w:t>Table 8</w:t>
      </w:r>
      <w:r w:rsidR="00B47497" w:rsidRPr="00D20D9B">
        <w:rPr>
          <w:rFonts w:ascii="Arial" w:hAnsi="Arial" w:cs="Arial"/>
          <w:lang w:val="en-US"/>
        </w:rPr>
        <w:t xml:space="preserve">. Summary Mean Absolute Deviations </w:t>
      </w:r>
    </w:p>
    <w:p w14:paraId="5A0DF913" w14:textId="49167CF9" w:rsidR="0019091D" w:rsidRPr="00472594" w:rsidRDefault="00666663" w:rsidP="000607E8">
      <w:pPr>
        <w:widowControl w:val="0"/>
        <w:autoSpaceDE w:val="0"/>
        <w:autoSpaceDN w:val="0"/>
        <w:adjustRightInd w:val="0"/>
        <w:spacing w:after="240" w:line="360" w:lineRule="auto"/>
        <w:jc w:val="both"/>
        <w:rPr>
          <w:rFonts w:ascii="Times New Roman" w:hAnsi="Times New Roman" w:cs="Times"/>
          <w:lang w:val="en-US"/>
        </w:rPr>
      </w:pPr>
      <w:r>
        <w:rPr>
          <w:noProof/>
          <w:lang w:val="en-US" w:eastAsia="en-US"/>
        </w:rPr>
        <w:drawing>
          <wp:inline distT="0" distB="0" distL="0" distR="0" wp14:anchorId="7EC53039" wp14:editId="22E92C5C">
            <wp:extent cx="5143500" cy="1717040"/>
            <wp:effectExtent l="0" t="0" r="1270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B622F4" w14:textId="39BB42A4" w:rsidR="00B272CD" w:rsidRDefault="00F23B7E" w:rsidP="000607E8">
      <w:pPr>
        <w:widowControl w:val="0"/>
        <w:autoSpaceDE w:val="0"/>
        <w:autoSpaceDN w:val="0"/>
        <w:adjustRightInd w:val="0"/>
        <w:spacing w:after="240" w:line="360" w:lineRule="auto"/>
        <w:jc w:val="both"/>
        <w:rPr>
          <w:rFonts w:ascii="Times New Roman" w:hAnsi="Times New Roman" w:cs="Times"/>
          <w:lang w:val="en-US"/>
        </w:rPr>
      </w:pPr>
      <w:r>
        <w:rPr>
          <w:rFonts w:ascii="Arial" w:hAnsi="Arial" w:cs="Arial"/>
          <w:lang w:val="en-US"/>
        </w:rPr>
        <w:t>In summary, the</w:t>
      </w:r>
      <w:r w:rsidR="00174153">
        <w:rPr>
          <w:rFonts w:ascii="Arial" w:hAnsi="Arial" w:cs="Arial"/>
          <w:lang w:val="en-US"/>
        </w:rPr>
        <w:t xml:space="preserve"> analysis demonstrated that the brands in the </w:t>
      </w:r>
      <w:proofErr w:type="spellStart"/>
      <w:r w:rsidR="00174153">
        <w:rPr>
          <w:rFonts w:ascii="Arial" w:hAnsi="Arial" w:cs="Arial"/>
          <w:lang w:val="en-US"/>
        </w:rPr>
        <w:t>womens</w:t>
      </w:r>
      <w:proofErr w:type="spellEnd"/>
      <w:r w:rsidR="00174153">
        <w:rPr>
          <w:rFonts w:ascii="Arial" w:hAnsi="Arial" w:cs="Arial"/>
          <w:lang w:val="en-US"/>
        </w:rPr>
        <w:t xml:space="preserve"> outerwear market are very similar to brands in other categories in terms of their brand performance metrics.  More detailed analysis of demographic variables to explore whether the brands attract different types of customers revealed </w:t>
      </w:r>
      <w:r w:rsidR="001C7986">
        <w:rPr>
          <w:rFonts w:ascii="Arial" w:hAnsi="Arial" w:cs="Arial"/>
          <w:lang w:val="en-US"/>
        </w:rPr>
        <w:t xml:space="preserve">mostly very small variations between brands in their customer bases.  The only exception to this was that some brands were able to attract a higher portion of the very youngest age group (up to 24 years old).  Most other age groups did not have high deviations. </w:t>
      </w:r>
    </w:p>
    <w:p w14:paraId="73B360EB" w14:textId="77777777" w:rsidR="001C7986" w:rsidRPr="00472594" w:rsidRDefault="001C7986" w:rsidP="000607E8">
      <w:pPr>
        <w:widowControl w:val="0"/>
        <w:autoSpaceDE w:val="0"/>
        <w:autoSpaceDN w:val="0"/>
        <w:adjustRightInd w:val="0"/>
        <w:spacing w:after="240" w:line="360" w:lineRule="auto"/>
        <w:jc w:val="both"/>
        <w:rPr>
          <w:rFonts w:ascii="Times New Roman" w:hAnsi="Times New Roman" w:cs="Times"/>
          <w:lang w:val="en-US"/>
        </w:rPr>
      </w:pPr>
    </w:p>
    <w:p w14:paraId="2867A636" w14:textId="77777777" w:rsidR="00B47497" w:rsidRPr="00D20D9B" w:rsidRDefault="00B47497" w:rsidP="000607E8">
      <w:pPr>
        <w:widowControl w:val="0"/>
        <w:autoSpaceDE w:val="0"/>
        <w:autoSpaceDN w:val="0"/>
        <w:adjustRightInd w:val="0"/>
        <w:spacing w:after="240" w:line="360" w:lineRule="auto"/>
        <w:jc w:val="both"/>
        <w:rPr>
          <w:rFonts w:ascii="Arial" w:hAnsi="Arial" w:cs="Arial"/>
          <w:b/>
          <w:lang w:val="en-US"/>
        </w:rPr>
      </w:pPr>
      <w:r w:rsidRPr="00D20D9B">
        <w:rPr>
          <w:rFonts w:ascii="Arial" w:hAnsi="Arial" w:cs="Arial"/>
          <w:b/>
          <w:lang w:val="en-US"/>
        </w:rPr>
        <w:t>5.  Discussion and Implications</w:t>
      </w:r>
    </w:p>
    <w:p w14:paraId="436CB3BF" w14:textId="7B5B8B99" w:rsidR="00FD2E80" w:rsidRDefault="001C7986" w:rsidP="000607E8">
      <w:pPr>
        <w:widowControl w:val="0"/>
        <w:autoSpaceDE w:val="0"/>
        <w:autoSpaceDN w:val="0"/>
        <w:adjustRightInd w:val="0"/>
        <w:spacing w:after="240" w:line="360" w:lineRule="auto"/>
        <w:jc w:val="both"/>
        <w:rPr>
          <w:rFonts w:ascii="Arial" w:hAnsi="Arial" w:cs="Arial"/>
          <w:lang w:val="en-US"/>
        </w:rPr>
      </w:pPr>
      <w:r>
        <w:rPr>
          <w:rFonts w:ascii="Arial" w:hAnsi="Arial" w:cs="Arial"/>
          <w:lang w:val="en-US"/>
        </w:rPr>
        <w:t xml:space="preserve">This study examined </w:t>
      </w:r>
      <w:r w:rsidR="002B0CFE">
        <w:rPr>
          <w:rFonts w:ascii="Arial" w:hAnsi="Arial" w:cs="Arial"/>
          <w:lang w:val="en-US"/>
        </w:rPr>
        <w:t xml:space="preserve">key brand performance metrics in a product category that </w:t>
      </w:r>
      <w:r w:rsidR="00017FDC">
        <w:rPr>
          <w:rFonts w:ascii="Arial" w:hAnsi="Arial" w:cs="Arial"/>
          <w:lang w:val="en-US"/>
        </w:rPr>
        <w:t>get</w:t>
      </w:r>
      <w:r w:rsidR="002B0CFE">
        <w:rPr>
          <w:rFonts w:ascii="Arial" w:hAnsi="Arial" w:cs="Arial"/>
          <w:lang w:val="en-US"/>
        </w:rPr>
        <w:t xml:space="preserve">s </w:t>
      </w:r>
      <w:r w:rsidR="00017FDC">
        <w:rPr>
          <w:rFonts w:ascii="Arial" w:hAnsi="Arial" w:cs="Arial"/>
          <w:lang w:val="en-US"/>
        </w:rPr>
        <w:t>much</w:t>
      </w:r>
      <w:r w:rsidR="002B0CFE">
        <w:rPr>
          <w:rFonts w:ascii="Arial" w:hAnsi="Arial" w:cs="Arial"/>
          <w:lang w:val="en-US"/>
        </w:rPr>
        <w:t xml:space="preserve"> attention in the press, but </w:t>
      </w:r>
      <w:r w:rsidR="00017FDC">
        <w:rPr>
          <w:rFonts w:ascii="Arial" w:hAnsi="Arial" w:cs="Arial"/>
          <w:lang w:val="en-US"/>
        </w:rPr>
        <w:t>less research</w:t>
      </w:r>
      <w:r>
        <w:rPr>
          <w:rFonts w:ascii="Arial" w:hAnsi="Arial" w:cs="Arial"/>
          <w:lang w:val="en-US"/>
        </w:rPr>
        <w:t>.</w:t>
      </w:r>
      <w:r w:rsidR="002B0CFE">
        <w:rPr>
          <w:rFonts w:ascii="Arial" w:hAnsi="Arial" w:cs="Arial"/>
          <w:lang w:val="en-US"/>
        </w:rPr>
        <w:t xml:space="preserve"> Based on the positioning of the brands, and </w:t>
      </w:r>
      <w:r w:rsidR="00F23B7E">
        <w:rPr>
          <w:rFonts w:ascii="Arial" w:hAnsi="Arial" w:cs="Arial"/>
          <w:lang w:val="en-US"/>
        </w:rPr>
        <w:t>commentary from other authors it</w:t>
      </w:r>
      <w:r w:rsidR="002B0CFE">
        <w:rPr>
          <w:rFonts w:ascii="Arial" w:hAnsi="Arial" w:cs="Arial"/>
          <w:lang w:val="en-US"/>
        </w:rPr>
        <w:t xml:space="preserve"> might have </w:t>
      </w:r>
      <w:r w:rsidR="00F23B7E">
        <w:rPr>
          <w:rFonts w:ascii="Arial" w:hAnsi="Arial" w:cs="Arial"/>
          <w:lang w:val="en-US"/>
        </w:rPr>
        <w:t xml:space="preserve">been </w:t>
      </w:r>
      <w:r w:rsidR="00017FDC">
        <w:rPr>
          <w:rFonts w:ascii="Arial" w:hAnsi="Arial" w:cs="Arial"/>
          <w:lang w:val="en-US"/>
        </w:rPr>
        <w:t>expected to see that some</w:t>
      </w:r>
      <w:r w:rsidR="002B0CFE">
        <w:rPr>
          <w:rFonts w:ascii="Arial" w:hAnsi="Arial" w:cs="Arial"/>
          <w:lang w:val="en-US"/>
        </w:rPr>
        <w:t xml:space="preserve"> brands in this category would exhibit exceptional patterns in their performance metrics than has been published i</w:t>
      </w:r>
      <w:r w:rsidR="00F23B7E">
        <w:rPr>
          <w:rFonts w:ascii="Arial" w:hAnsi="Arial" w:cs="Arial"/>
          <w:lang w:val="en-US"/>
        </w:rPr>
        <w:t>n previous research. However, this research showed</w:t>
      </w:r>
      <w:r w:rsidR="002B0CFE">
        <w:rPr>
          <w:rFonts w:ascii="Arial" w:hAnsi="Arial" w:cs="Arial"/>
          <w:lang w:val="en-US"/>
        </w:rPr>
        <w:t xml:space="preserve"> the opposite</w:t>
      </w:r>
      <w:r>
        <w:rPr>
          <w:rFonts w:ascii="Arial" w:hAnsi="Arial" w:cs="Arial"/>
          <w:lang w:val="en-US"/>
        </w:rPr>
        <w:t>.</w:t>
      </w:r>
      <w:r w:rsidR="002B0CFE">
        <w:rPr>
          <w:rFonts w:ascii="Arial" w:hAnsi="Arial" w:cs="Arial"/>
          <w:lang w:val="en-US"/>
        </w:rPr>
        <w:t xml:space="preserve"> Brands in the ladies outerwear category, including some of the most famous and successful brands, exhibit</w:t>
      </w:r>
      <w:r w:rsidR="00017FDC">
        <w:rPr>
          <w:rFonts w:ascii="Arial" w:hAnsi="Arial" w:cs="Arial"/>
          <w:lang w:val="en-US"/>
        </w:rPr>
        <w:t>;</w:t>
      </w:r>
      <w:r w:rsidR="002B0CFE">
        <w:rPr>
          <w:rFonts w:ascii="Arial" w:hAnsi="Arial" w:cs="Arial"/>
          <w:lang w:val="en-US"/>
        </w:rPr>
        <w:t xml:space="preserve"> a) </w:t>
      </w:r>
      <w:r w:rsidR="00FD2E80">
        <w:rPr>
          <w:rFonts w:ascii="Arial" w:hAnsi="Arial" w:cs="Arial"/>
          <w:lang w:val="en-US"/>
        </w:rPr>
        <w:t>polygamous loyalty with buyers allocating a share of their purchase requirements across brands over time, including the doub</w:t>
      </w:r>
      <w:r w:rsidR="00017FDC">
        <w:rPr>
          <w:rFonts w:ascii="Arial" w:hAnsi="Arial" w:cs="Arial"/>
          <w:lang w:val="en-US"/>
        </w:rPr>
        <w:t>le jeopardy effect; b) spread</w:t>
      </w:r>
      <w:r w:rsidR="00FD2E80">
        <w:rPr>
          <w:rFonts w:ascii="Arial" w:hAnsi="Arial" w:cs="Arial"/>
          <w:lang w:val="en-US"/>
        </w:rPr>
        <w:t xml:space="preserve"> their purchases across a number of </w:t>
      </w:r>
      <w:r w:rsidR="002B0CFE">
        <w:rPr>
          <w:rFonts w:ascii="Arial" w:hAnsi="Arial" w:cs="Arial"/>
          <w:lang w:val="en-US"/>
        </w:rPr>
        <w:t>shops</w:t>
      </w:r>
      <w:r w:rsidR="00FD2E80">
        <w:rPr>
          <w:rFonts w:ascii="Arial" w:hAnsi="Arial" w:cs="Arial"/>
          <w:lang w:val="en-US"/>
        </w:rPr>
        <w:t xml:space="preserve"> approximately in line with the market share of the other shops, as per the duplication of purchase l</w:t>
      </w:r>
      <w:r w:rsidR="00017FDC">
        <w:rPr>
          <w:rFonts w:ascii="Arial" w:hAnsi="Arial" w:cs="Arial"/>
          <w:lang w:val="en-US"/>
        </w:rPr>
        <w:t>aw and</w:t>
      </w:r>
      <w:r w:rsidR="00FD2E80">
        <w:rPr>
          <w:rFonts w:ascii="Arial" w:hAnsi="Arial" w:cs="Arial"/>
          <w:lang w:val="en-US"/>
        </w:rPr>
        <w:t xml:space="preserve"> c) approximately equal performance amongst the demographic subgroups, in other words the appeal of all brands was approximately equal across demographic subgr</w:t>
      </w:r>
      <w:r w:rsidR="00017FDC">
        <w:rPr>
          <w:rFonts w:ascii="Arial" w:hAnsi="Arial" w:cs="Arial"/>
          <w:lang w:val="en-US"/>
        </w:rPr>
        <w:t xml:space="preserve">oups, with a small exception </w:t>
      </w:r>
      <w:r w:rsidR="00FD2E80">
        <w:rPr>
          <w:rFonts w:ascii="Arial" w:hAnsi="Arial" w:cs="Arial"/>
          <w:lang w:val="en-US"/>
        </w:rPr>
        <w:t>that some brands were more or less appe</w:t>
      </w:r>
      <w:r w:rsidR="00174153">
        <w:rPr>
          <w:rFonts w:ascii="Arial" w:hAnsi="Arial" w:cs="Arial"/>
          <w:lang w:val="en-US"/>
        </w:rPr>
        <w:t xml:space="preserve">aling to </w:t>
      </w:r>
      <w:r w:rsidR="0089163E">
        <w:rPr>
          <w:rFonts w:ascii="Arial" w:hAnsi="Arial" w:cs="Arial"/>
          <w:lang w:val="en-US"/>
        </w:rPr>
        <w:t>younger</w:t>
      </w:r>
      <w:r w:rsidR="00174153">
        <w:rPr>
          <w:rFonts w:ascii="Arial" w:hAnsi="Arial" w:cs="Arial"/>
          <w:lang w:val="en-US"/>
        </w:rPr>
        <w:t xml:space="preserve"> </w:t>
      </w:r>
      <w:r w:rsidR="0089163E">
        <w:rPr>
          <w:rFonts w:ascii="Arial" w:hAnsi="Arial" w:cs="Arial"/>
          <w:lang w:val="en-US"/>
        </w:rPr>
        <w:t>buyers</w:t>
      </w:r>
      <w:r w:rsidR="00174153">
        <w:rPr>
          <w:rFonts w:ascii="Arial" w:hAnsi="Arial" w:cs="Arial"/>
          <w:lang w:val="en-US"/>
        </w:rPr>
        <w:t>.</w:t>
      </w:r>
      <w:r w:rsidR="00FD2E80">
        <w:rPr>
          <w:rFonts w:ascii="Arial" w:hAnsi="Arial" w:cs="Arial"/>
          <w:lang w:val="en-US"/>
        </w:rPr>
        <w:t xml:space="preserve"> </w:t>
      </w:r>
      <w:r w:rsidR="00B47497" w:rsidRPr="00D20D9B">
        <w:rPr>
          <w:rFonts w:ascii="Arial" w:hAnsi="Arial" w:cs="Arial"/>
          <w:lang w:val="en-US"/>
        </w:rPr>
        <w:t xml:space="preserve">Overall, </w:t>
      </w:r>
      <w:bookmarkStart w:id="0" w:name="_GoBack"/>
      <w:bookmarkEnd w:id="0"/>
      <w:r w:rsidR="00B47497" w:rsidRPr="00D20D9B">
        <w:rPr>
          <w:rFonts w:ascii="Arial" w:hAnsi="Arial" w:cs="Arial"/>
          <w:lang w:val="en-US"/>
        </w:rPr>
        <w:t xml:space="preserve">an average deviation of </w:t>
      </w:r>
      <w:r w:rsidR="00174153">
        <w:rPr>
          <w:rFonts w:ascii="Arial" w:hAnsi="Arial" w:cs="Arial"/>
          <w:lang w:val="en-US"/>
        </w:rPr>
        <w:t>5</w:t>
      </w:r>
      <w:r w:rsidR="00B47497" w:rsidRPr="00D20D9B">
        <w:rPr>
          <w:rFonts w:ascii="Arial" w:hAnsi="Arial" w:cs="Arial"/>
          <w:lang w:val="en-US"/>
        </w:rPr>
        <w:t xml:space="preserve"> percentage points in the </w:t>
      </w:r>
      <w:proofErr w:type="spellStart"/>
      <w:r w:rsidR="00B47497" w:rsidRPr="00D20D9B">
        <w:rPr>
          <w:rFonts w:ascii="Arial" w:hAnsi="Arial" w:cs="Arial"/>
          <w:lang w:val="en-US"/>
        </w:rPr>
        <w:t>sociodemographic</w:t>
      </w:r>
      <w:proofErr w:type="spellEnd"/>
      <w:r w:rsidR="00B47497" w:rsidRPr="00D20D9B">
        <w:rPr>
          <w:rFonts w:ascii="Arial" w:hAnsi="Arial" w:cs="Arial"/>
          <w:lang w:val="en-US"/>
        </w:rPr>
        <w:t xml:space="preserve"> pro</w:t>
      </w:r>
      <w:r w:rsidR="00017FDC">
        <w:rPr>
          <w:rFonts w:ascii="Arial" w:hAnsi="Arial" w:cs="Arial"/>
          <w:lang w:val="en-US"/>
        </w:rPr>
        <w:t>files between brand buyers of women’s outerwear</w:t>
      </w:r>
      <w:r w:rsidR="00B47497" w:rsidRPr="00D20D9B">
        <w:rPr>
          <w:rFonts w:ascii="Arial" w:hAnsi="Arial" w:cs="Arial"/>
          <w:lang w:val="en-US"/>
        </w:rPr>
        <w:t xml:space="preserve">. This average deviation is in line with similar findings for </w:t>
      </w:r>
      <w:r w:rsidR="003F0A9F">
        <w:rPr>
          <w:rFonts w:ascii="Arial" w:hAnsi="Arial" w:cs="Arial"/>
          <w:lang w:val="en-US"/>
        </w:rPr>
        <w:t>other</w:t>
      </w:r>
      <w:r w:rsidR="00B47497" w:rsidRPr="00D20D9B">
        <w:rPr>
          <w:rFonts w:ascii="Arial" w:hAnsi="Arial" w:cs="Arial"/>
          <w:lang w:val="en-US"/>
        </w:rPr>
        <w:t xml:space="preserve"> markets (Kennedy &amp; Ehrenberg, 2001b; M. Uncles, et al., 2012). </w:t>
      </w:r>
    </w:p>
    <w:p w14:paraId="6F2D237F" w14:textId="77777777" w:rsidR="009E71EC" w:rsidRDefault="009E71EC" w:rsidP="000607E8">
      <w:pPr>
        <w:widowControl w:val="0"/>
        <w:autoSpaceDE w:val="0"/>
        <w:autoSpaceDN w:val="0"/>
        <w:adjustRightInd w:val="0"/>
        <w:spacing w:after="240" w:line="360" w:lineRule="auto"/>
        <w:jc w:val="both"/>
        <w:rPr>
          <w:rFonts w:ascii="Arial" w:hAnsi="Arial" w:cs="Arial"/>
          <w:lang w:val="en-US"/>
        </w:rPr>
      </w:pPr>
    </w:p>
    <w:p w14:paraId="532E5F91" w14:textId="77777777" w:rsidR="005F0D25" w:rsidRPr="009E71EC" w:rsidRDefault="00B47497" w:rsidP="000607E8">
      <w:pPr>
        <w:widowControl w:val="0"/>
        <w:autoSpaceDE w:val="0"/>
        <w:autoSpaceDN w:val="0"/>
        <w:adjustRightInd w:val="0"/>
        <w:spacing w:after="240" w:line="360" w:lineRule="auto"/>
        <w:jc w:val="both"/>
        <w:rPr>
          <w:rFonts w:ascii="Arial" w:hAnsi="Arial" w:cs="Arial"/>
          <w:b/>
          <w:i/>
          <w:lang w:val="en-US"/>
        </w:rPr>
      </w:pPr>
      <w:proofErr w:type="gramStart"/>
      <w:r w:rsidRPr="009E71EC">
        <w:rPr>
          <w:rFonts w:ascii="Arial" w:hAnsi="Arial" w:cs="Arial"/>
          <w:b/>
          <w:i/>
          <w:lang w:val="en-US"/>
        </w:rPr>
        <w:t>The implications of this research.</w:t>
      </w:r>
      <w:proofErr w:type="gramEnd"/>
      <w:r w:rsidRPr="009E71EC">
        <w:rPr>
          <w:rFonts w:ascii="Arial" w:hAnsi="Arial" w:cs="Arial"/>
          <w:b/>
          <w:i/>
          <w:lang w:val="en-US"/>
        </w:rPr>
        <w:t xml:space="preserve">          </w:t>
      </w:r>
    </w:p>
    <w:p w14:paraId="2302849F" w14:textId="42CAD381" w:rsidR="00B47497" w:rsidRPr="00D20D9B" w:rsidRDefault="00FD2E80" w:rsidP="000607E8">
      <w:pPr>
        <w:widowControl w:val="0"/>
        <w:autoSpaceDE w:val="0"/>
        <w:autoSpaceDN w:val="0"/>
        <w:adjustRightInd w:val="0"/>
        <w:spacing w:after="240" w:line="360" w:lineRule="auto"/>
        <w:jc w:val="both"/>
        <w:rPr>
          <w:rFonts w:ascii="Arial" w:hAnsi="Arial" w:cs="Arial"/>
          <w:lang w:val="en-US"/>
        </w:rPr>
      </w:pPr>
      <w:r>
        <w:rPr>
          <w:rFonts w:ascii="Arial" w:hAnsi="Arial" w:cs="Arial"/>
          <w:lang w:val="en-US"/>
        </w:rPr>
        <w:t>The</w:t>
      </w:r>
      <w:r w:rsidRPr="00D20D9B">
        <w:rPr>
          <w:rFonts w:ascii="Arial" w:hAnsi="Arial" w:cs="Arial"/>
          <w:lang w:val="en-US"/>
        </w:rPr>
        <w:t xml:space="preserve"> finding</w:t>
      </w:r>
      <w:r>
        <w:rPr>
          <w:rFonts w:ascii="Arial" w:hAnsi="Arial" w:cs="Arial"/>
          <w:lang w:val="en-US"/>
        </w:rPr>
        <w:t>s suggest</w:t>
      </w:r>
      <w:r w:rsidRPr="00D20D9B">
        <w:rPr>
          <w:rFonts w:ascii="Arial" w:hAnsi="Arial" w:cs="Arial"/>
          <w:lang w:val="en-US"/>
        </w:rPr>
        <w:t xml:space="preserve"> that</w:t>
      </w:r>
      <w:r w:rsidR="0089163E">
        <w:rPr>
          <w:rFonts w:ascii="Arial" w:hAnsi="Arial" w:cs="Arial"/>
          <w:lang w:val="en-US"/>
        </w:rPr>
        <w:t>,</w:t>
      </w:r>
      <w:r w:rsidRPr="00D20D9B">
        <w:rPr>
          <w:rFonts w:ascii="Arial" w:hAnsi="Arial" w:cs="Arial"/>
          <w:lang w:val="en-US"/>
        </w:rPr>
        <w:t xml:space="preserve"> </w:t>
      </w:r>
      <w:r w:rsidR="0089163E">
        <w:rPr>
          <w:rFonts w:ascii="Arial" w:hAnsi="Arial" w:cs="Arial"/>
          <w:lang w:val="en-US"/>
        </w:rPr>
        <w:t>as in</w:t>
      </w:r>
      <w:r w:rsidRPr="00D20D9B">
        <w:rPr>
          <w:rFonts w:ascii="Arial" w:hAnsi="Arial" w:cs="Arial"/>
          <w:lang w:val="en-US"/>
        </w:rPr>
        <w:t xml:space="preserve"> other cate</w:t>
      </w:r>
      <w:r w:rsidR="0089163E">
        <w:rPr>
          <w:rFonts w:ascii="Arial" w:hAnsi="Arial" w:cs="Arial"/>
          <w:lang w:val="en-US"/>
        </w:rPr>
        <w:t>gories and markets, fashion brand</w:t>
      </w:r>
      <w:r w:rsidRPr="00D20D9B">
        <w:rPr>
          <w:rFonts w:ascii="Arial" w:hAnsi="Arial" w:cs="Arial"/>
          <w:lang w:val="en-US"/>
        </w:rPr>
        <w:t xml:space="preserve">s user profiles </w:t>
      </w:r>
      <w:r w:rsidR="0089163E">
        <w:rPr>
          <w:rFonts w:ascii="Arial" w:hAnsi="Arial" w:cs="Arial"/>
          <w:lang w:val="en-US"/>
        </w:rPr>
        <w:t>rarely differ.</w:t>
      </w:r>
      <w:r w:rsidRPr="00D20D9B">
        <w:rPr>
          <w:rFonts w:ascii="Arial" w:hAnsi="Arial" w:cs="Arial"/>
          <w:lang w:val="en-US"/>
        </w:rPr>
        <w:t xml:space="preserve"> </w:t>
      </w:r>
      <w:r w:rsidR="00B47497" w:rsidRPr="00D20D9B">
        <w:rPr>
          <w:rFonts w:ascii="Arial" w:hAnsi="Arial" w:cs="Arial"/>
          <w:lang w:val="en-US"/>
        </w:rPr>
        <w:t xml:space="preserve">This suggests that competition to retain users and the potential for new users is not restricted to </w:t>
      </w:r>
      <w:proofErr w:type="spellStart"/>
      <w:r w:rsidR="00B47497" w:rsidRPr="00D20D9B">
        <w:rPr>
          <w:rFonts w:ascii="Arial" w:hAnsi="Arial" w:cs="Arial"/>
          <w:lang w:val="en-US"/>
        </w:rPr>
        <w:t>sociodemographic</w:t>
      </w:r>
      <w:proofErr w:type="spellEnd"/>
      <w:r w:rsidR="00B47497" w:rsidRPr="00D20D9B">
        <w:rPr>
          <w:rFonts w:ascii="Arial" w:hAnsi="Arial" w:cs="Arial"/>
          <w:lang w:val="en-US"/>
        </w:rPr>
        <w:t xml:space="preserve"> segments. Marketers should aim to capture the entire market. This does not mean that </w:t>
      </w:r>
      <w:r>
        <w:rPr>
          <w:rFonts w:ascii="Arial" w:hAnsi="Arial" w:cs="Arial"/>
          <w:lang w:val="en-US"/>
        </w:rPr>
        <w:t xml:space="preserve">positioning or product </w:t>
      </w:r>
      <w:proofErr w:type="gramStart"/>
      <w:r>
        <w:rPr>
          <w:rFonts w:ascii="Arial" w:hAnsi="Arial" w:cs="Arial"/>
          <w:lang w:val="en-US"/>
        </w:rPr>
        <w:t>variation are</w:t>
      </w:r>
      <w:proofErr w:type="gramEnd"/>
      <w:r w:rsidR="00B47497" w:rsidRPr="00D20D9B">
        <w:rPr>
          <w:rFonts w:ascii="Arial" w:hAnsi="Arial" w:cs="Arial"/>
          <w:lang w:val="en-US"/>
        </w:rPr>
        <w:t xml:space="preserve"> not important to </w:t>
      </w:r>
      <w:r>
        <w:rPr>
          <w:rFonts w:ascii="Arial" w:hAnsi="Arial" w:cs="Arial"/>
          <w:lang w:val="en-US"/>
        </w:rPr>
        <w:t>appeal to</w:t>
      </w:r>
      <w:r w:rsidR="00B47497" w:rsidRPr="00D20D9B">
        <w:rPr>
          <w:rFonts w:ascii="Arial" w:hAnsi="Arial" w:cs="Arial"/>
          <w:lang w:val="en-US"/>
        </w:rPr>
        <w:t xml:space="preserve"> different needs or tastes. Specific requirements</w:t>
      </w:r>
      <w:r w:rsidR="00AA276E">
        <w:rPr>
          <w:rFonts w:ascii="Arial" w:hAnsi="Arial" w:cs="Arial"/>
          <w:lang w:val="en-US"/>
        </w:rPr>
        <w:t xml:space="preserve"> can be provided within a brand</w:t>
      </w:r>
      <w:r w:rsidR="00B47497" w:rsidRPr="00D20D9B">
        <w:rPr>
          <w:rFonts w:ascii="Arial" w:hAnsi="Arial" w:cs="Arial"/>
          <w:lang w:val="en-US"/>
        </w:rPr>
        <w:t>.</w:t>
      </w:r>
      <w:r w:rsidR="001C7986">
        <w:rPr>
          <w:rFonts w:ascii="Arial" w:hAnsi="Arial" w:cs="Arial"/>
          <w:lang w:val="en-US"/>
        </w:rPr>
        <w:t xml:space="preserve"> It should also be mentioned that while some brands did manage to appeal more to the youngest age group—in other words, they focus</w:t>
      </w:r>
      <w:r w:rsidR="0089163E">
        <w:rPr>
          <w:rFonts w:ascii="Arial" w:hAnsi="Arial" w:cs="Arial"/>
          <w:lang w:val="en-US"/>
        </w:rPr>
        <w:t>ed</w:t>
      </w:r>
      <w:r w:rsidR="001C7986">
        <w:rPr>
          <w:rFonts w:ascii="Arial" w:hAnsi="Arial" w:cs="Arial"/>
          <w:lang w:val="en-US"/>
        </w:rPr>
        <w:t xml:space="preserve"> on teenagers—yet even these brands also attracted customers from all other age groups. </w:t>
      </w:r>
    </w:p>
    <w:p w14:paraId="6840B5B9" w14:textId="32497B07" w:rsidR="00FD2E80" w:rsidRPr="00FD2E80" w:rsidRDefault="00FD2E80" w:rsidP="001C7986">
      <w:pPr>
        <w:widowControl w:val="0"/>
        <w:autoSpaceDE w:val="0"/>
        <w:autoSpaceDN w:val="0"/>
        <w:adjustRightInd w:val="0"/>
        <w:spacing w:after="240" w:line="360" w:lineRule="auto"/>
        <w:jc w:val="both"/>
        <w:rPr>
          <w:rFonts w:ascii="Arial" w:hAnsi="Arial" w:cs="Arial"/>
          <w:lang w:val="en-US" w:eastAsia="en-US"/>
        </w:rPr>
      </w:pPr>
      <w:proofErr w:type="gramStart"/>
      <w:r w:rsidRPr="00FD2E80">
        <w:rPr>
          <w:rFonts w:ascii="Arial" w:hAnsi="Arial" w:cs="Arial"/>
          <w:lang w:val="en-US" w:eastAsia="en-US"/>
        </w:rPr>
        <w:t xml:space="preserve">For researchers, this study highlights that brand performance needs to be </w:t>
      </w:r>
      <w:proofErr w:type="spellStart"/>
      <w:r w:rsidRPr="00FD2E80">
        <w:rPr>
          <w:rFonts w:ascii="Arial" w:hAnsi="Arial" w:cs="Arial"/>
          <w:lang w:val="en-US" w:eastAsia="en-US"/>
        </w:rPr>
        <w:t>analysed</w:t>
      </w:r>
      <w:proofErr w:type="spellEnd"/>
      <w:r w:rsidRPr="00FD2E80">
        <w:rPr>
          <w:rFonts w:ascii="Arial" w:hAnsi="Arial" w:cs="Arial"/>
          <w:lang w:val="en-US" w:eastAsia="en-US"/>
        </w:rPr>
        <w:t xml:space="preserve"> in context.</w:t>
      </w:r>
      <w:proofErr w:type="gramEnd"/>
      <w:r w:rsidRPr="00FD2E80">
        <w:rPr>
          <w:rFonts w:ascii="Arial" w:hAnsi="Arial" w:cs="Arial"/>
          <w:lang w:val="en-US" w:eastAsia="en-US"/>
        </w:rPr>
        <w:t xml:space="preserve"> One cannot interpret brand performance metrics such as loyalty or switching without recourse to the established patterns found over decades of academic research on the topic (listed in the introduction). The discussion of results also highlights a potential danger in focusing too much on differences in brand performance among buyer groups. A brand might well show higher or lower performance in a particular buyer group, but if that buyer group accounts for only a small proportion of total sales, it pre</w:t>
      </w:r>
      <w:r w:rsidR="001C7986">
        <w:rPr>
          <w:rFonts w:ascii="Arial" w:hAnsi="Arial" w:cs="Arial"/>
          <w:lang w:val="en-US" w:eastAsia="en-US"/>
        </w:rPr>
        <w:t>sents limited scope for action.</w:t>
      </w:r>
    </w:p>
    <w:p w14:paraId="6E156F8D" w14:textId="5C2E00EE" w:rsidR="00FD2E80" w:rsidRPr="00FD2E80" w:rsidRDefault="001C7986" w:rsidP="001C7986">
      <w:pPr>
        <w:widowControl w:val="0"/>
        <w:autoSpaceDE w:val="0"/>
        <w:autoSpaceDN w:val="0"/>
        <w:adjustRightInd w:val="0"/>
        <w:spacing w:after="240" w:line="360" w:lineRule="auto"/>
        <w:jc w:val="both"/>
        <w:rPr>
          <w:rFonts w:ascii="Arial" w:hAnsi="Arial" w:cs="Arial"/>
          <w:lang w:val="en-US" w:eastAsia="en-US"/>
        </w:rPr>
      </w:pPr>
      <w:r>
        <w:rPr>
          <w:rFonts w:ascii="Arial" w:hAnsi="Arial" w:cs="Arial"/>
          <w:lang w:val="en-US" w:eastAsia="en-US"/>
        </w:rPr>
        <w:t xml:space="preserve">There are also </w:t>
      </w:r>
      <w:r w:rsidR="00AA276E">
        <w:rPr>
          <w:rFonts w:ascii="Arial" w:hAnsi="Arial" w:cs="Arial"/>
          <w:lang w:val="en-US" w:eastAsia="en-US"/>
        </w:rPr>
        <w:t>important</w:t>
      </w:r>
      <w:r w:rsidR="00FD2E80" w:rsidRPr="00FD2E80">
        <w:rPr>
          <w:rFonts w:ascii="Arial" w:hAnsi="Arial" w:cs="Arial"/>
          <w:lang w:val="en-US" w:eastAsia="en-US"/>
        </w:rPr>
        <w:t xml:space="preserve"> implications for brand managers</w:t>
      </w:r>
      <w:r w:rsidR="00AA276E">
        <w:rPr>
          <w:rFonts w:ascii="Arial" w:hAnsi="Arial" w:cs="Arial"/>
          <w:lang w:val="en-US" w:eastAsia="en-US"/>
        </w:rPr>
        <w:t xml:space="preserve">. First, </w:t>
      </w:r>
      <w:r w:rsidR="00FD2E80" w:rsidRPr="00FD2E80">
        <w:rPr>
          <w:rFonts w:ascii="Arial" w:hAnsi="Arial" w:cs="Arial"/>
          <w:lang w:val="en-US" w:eastAsia="en-US"/>
        </w:rPr>
        <w:t>in order for a brand to grow, it will probably need to grow its market share ‘across the board’ – that is, increase its sales to a broad range of demographic groups. Focusing on one</w:t>
      </w:r>
      <w:r w:rsidR="00AA276E">
        <w:rPr>
          <w:rFonts w:ascii="Arial" w:hAnsi="Arial" w:cs="Arial"/>
          <w:lang w:val="en-US" w:eastAsia="en-US"/>
        </w:rPr>
        <w:t xml:space="preserve"> narrow</w:t>
      </w:r>
      <w:r w:rsidR="00FD2E80" w:rsidRPr="00FD2E80">
        <w:rPr>
          <w:rFonts w:ascii="Arial" w:hAnsi="Arial" w:cs="Arial"/>
          <w:lang w:val="en-US" w:eastAsia="en-US"/>
        </w:rPr>
        <w:t xml:space="preserve"> target group may be counterproductive, </w:t>
      </w:r>
      <w:r w:rsidR="00AA276E">
        <w:rPr>
          <w:rFonts w:ascii="Arial" w:hAnsi="Arial" w:cs="Arial"/>
          <w:lang w:val="en-US" w:eastAsia="en-US"/>
        </w:rPr>
        <w:t xml:space="preserve">because it will </w:t>
      </w:r>
      <w:r w:rsidR="00FD2E80" w:rsidRPr="00FD2E80">
        <w:rPr>
          <w:rFonts w:ascii="Arial" w:hAnsi="Arial" w:cs="Arial"/>
          <w:lang w:val="en-US" w:eastAsia="en-US"/>
        </w:rPr>
        <w:t xml:space="preserve">limit the ability of the brand to grow. Managers should appreciate the brands in their category will probably exhibit </w:t>
      </w:r>
      <w:r w:rsidR="00AA276E">
        <w:rPr>
          <w:rFonts w:ascii="Arial" w:hAnsi="Arial" w:cs="Arial"/>
          <w:lang w:val="en-US" w:eastAsia="en-US"/>
        </w:rPr>
        <w:t>some</w:t>
      </w:r>
      <w:r w:rsidR="00FD2E80" w:rsidRPr="00FD2E80">
        <w:rPr>
          <w:rFonts w:ascii="Arial" w:hAnsi="Arial" w:cs="Arial"/>
          <w:lang w:val="en-US" w:eastAsia="en-US"/>
        </w:rPr>
        <w:t xml:space="preserve"> differential appeal across various buyer groups, but</w:t>
      </w:r>
      <w:r w:rsidR="00AA276E">
        <w:rPr>
          <w:rFonts w:ascii="Arial" w:hAnsi="Arial" w:cs="Arial"/>
          <w:lang w:val="en-US" w:eastAsia="en-US"/>
        </w:rPr>
        <w:t xml:space="preserve"> such differentials are likely to be small, and even if a brand is more popular with one subgroup, that does not mean it is unpopular with others</w:t>
      </w:r>
      <w:r w:rsidR="00FD2E80" w:rsidRPr="00FD2E80">
        <w:rPr>
          <w:rFonts w:ascii="Arial" w:hAnsi="Arial" w:cs="Arial"/>
          <w:lang w:val="en-US" w:eastAsia="en-US"/>
        </w:rPr>
        <w:t xml:space="preserve">. Managers also need to appreciate that their </w:t>
      </w:r>
      <w:r w:rsidR="00AA276E">
        <w:rPr>
          <w:rFonts w:ascii="Arial" w:hAnsi="Arial" w:cs="Arial"/>
          <w:lang w:val="en-US" w:eastAsia="en-US"/>
        </w:rPr>
        <w:t xml:space="preserve">brand competes against all others in their category, </w:t>
      </w:r>
      <w:r w:rsidR="00FD2E80" w:rsidRPr="00FD2E80">
        <w:rPr>
          <w:rFonts w:ascii="Arial" w:hAnsi="Arial" w:cs="Arial"/>
          <w:lang w:val="en-US" w:eastAsia="en-US"/>
        </w:rPr>
        <w:t xml:space="preserve">and it is the other largest brands that they share their customers with the most. </w:t>
      </w:r>
      <w:r w:rsidR="00017FDC">
        <w:rPr>
          <w:rFonts w:ascii="Arial" w:hAnsi="Arial" w:cs="Arial"/>
          <w:lang w:val="en-US" w:eastAsia="en-US"/>
        </w:rPr>
        <w:t xml:space="preserve">Nor should managers </w:t>
      </w:r>
      <w:r w:rsidR="00FD2E80" w:rsidRPr="00FD2E80">
        <w:rPr>
          <w:rFonts w:ascii="Arial" w:hAnsi="Arial" w:cs="Arial"/>
          <w:lang w:val="en-US" w:eastAsia="en-US"/>
        </w:rPr>
        <w:t xml:space="preserve">be perturbed that their customers only allocate a </w:t>
      </w:r>
      <w:r w:rsidR="00017FDC">
        <w:rPr>
          <w:rFonts w:ascii="Arial" w:hAnsi="Arial" w:cs="Arial"/>
          <w:lang w:val="en-US" w:eastAsia="en-US"/>
        </w:rPr>
        <w:t>small</w:t>
      </w:r>
      <w:r w:rsidR="00FD2E80" w:rsidRPr="00FD2E80">
        <w:rPr>
          <w:rFonts w:ascii="Arial" w:hAnsi="Arial" w:cs="Arial"/>
          <w:lang w:val="en-US" w:eastAsia="en-US"/>
        </w:rPr>
        <w:t xml:space="preserve"> share of their category requirements to their br</w:t>
      </w:r>
      <w:r w:rsidR="00AA276E">
        <w:rPr>
          <w:rFonts w:ascii="Arial" w:hAnsi="Arial" w:cs="Arial"/>
          <w:lang w:val="en-US" w:eastAsia="en-US"/>
        </w:rPr>
        <w:t xml:space="preserve">and. Even </w:t>
      </w:r>
      <w:r w:rsidR="00017FDC">
        <w:rPr>
          <w:rFonts w:ascii="Arial" w:hAnsi="Arial" w:cs="Arial"/>
          <w:lang w:val="en-US" w:eastAsia="en-US"/>
        </w:rPr>
        <w:t xml:space="preserve">the </w:t>
      </w:r>
      <w:r w:rsidR="00AA276E">
        <w:rPr>
          <w:rFonts w:ascii="Arial" w:hAnsi="Arial" w:cs="Arial"/>
          <w:lang w:val="en-US" w:eastAsia="en-US"/>
        </w:rPr>
        <w:t xml:space="preserve">buyers of the biggest, most dominant brands </w:t>
      </w:r>
      <w:r w:rsidR="00FD2E80" w:rsidRPr="00FD2E80">
        <w:rPr>
          <w:rFonts w:ascii="Arial" w:hAnsi="Arial" w:cs="Arial"/>
          <w:lang w:val="en-US" w:eastAsia="en-US"/>
        </w:rPr>
        <w:t xml:space="preserve">give them (only) a </w:t>
      </w:r>
      <w:r w:rsidR="00FD2E80" w:rsidRPr="00FD2E80">
        <w:rPr>
          <w:rFonts w:ascii="Arial" w:hAnsi="Arial" w:cs="Arial"/>
          <w:i/>
          <w:iCs/>
          <w:lang w:val="en-US" w:eastAsia="en-US"/>
        </w:rPr>
        <w:t xml:space="preserve">share </w:t>
      </w:r>
      <w:r w:rsidR="00FD2E80" w:rsidRPr="00FD2E80">
        <w:rPr>
          <w:rFonts w:ascii="Arial" w:hAnsi="Arial" w:cs="Arial"/>
          <w:lang w:val="en-US" w:eastAsia="en-US"/>
        </w:rPr>
        <w:t xml:space="preserve">of their purchases over time. Finally, the ‘double jeopardy’ effect gives some context to the loyalty exhibited towards a brand. A manager of a small brand should not be perturbed that loyalty to their brand is </w:t>
      </w:r>
      <w:r w:rsidR="00AA276E">
        <w:rPr>
          <w:rFonts w:ascii="Arial" w:hAnsi="Arial" w:cs="Arial"/>
          <w:lang w:val="en-US" w:eastAsia="en-US"/>
        </w:rPr>
        <w:t>a bi</w:t>
      </w:r>
      <w:r w:rsidR="00FD2E80" w:rsidRPr="00FD2E80">
        <w:rPr>
          <w:rFonts w:ascii="Arial" w:hAnsi="Arial" w:cs="Arial"/>
          <w:lang w:val="en-US" w:eastAsia="en-US"/>
        </w:rPr>
        <w:t>t lower</w:t>
      </w:r>
      <w:r w:rsidR="00AA276E">
        <w:rPr>
          <w:rFonts w:ascii="Arial" w:hAnsi="Arial" w:cs="Arial"/>
          <w:lang w:val="en-US" w:eastAsia="en-US"/>
        </w:rPr>
        <w:t xml:space="preserve"> than</w:t>
      </w:r>
      <w:r w:rsidR="00FD2E80" w:rsidRPr="00FD2E80">
        <w:rPr>
          <w:rFonts w:ascii="Arial" w:hAnsi="Arial" w:cs="Arial"/>
          <w:lang w:val="en-US" w:eastAsia="en-US"/>
        </w:rPr>
        <w:t xml:space="preserve"> for larger brands in the category. </w:t>
      </w:r>
      <w:r w:rsidR="00AA276E">
        <w:rPr>
          <w:rFonts w:ascii="Arial" w:hAnsi="Arial" w:cs="Arial"/>
          <w:lang w:val="en-US" w:eastAsia="en-US"/>
        </w:rPr>
        <w:t>In the same vein, a manager of a big</w:t>
      </w:r>
      <w:r w:rsidR="00017FDC">
        <w:rPr>
          <w:rFonts w:ascii="Arial" w:hAnsi="Arial" w:cs="Arial"/>
          <w:lang w:val="en-US" w:eastAsia="en-US"/>
        </w:rPr>
        <w:t xml:space="preserve"> brand should not be complacent </w:t>
      </w:r>
      <w:r w:rsidR="00FD2E80" w:rsidRPr="00FD2E80">
        <w:rPr>
          <w:rFonts w:ascii="Arial" w:hAnsi="Arial" w:cs="Arial"/>
          <w:lang w:val="en-US" w:eastAsia="en-US"/>
        </w:rPr>
        <w:t xml:space="preserve">that their brand </w:t>
      </w:r>
      <w:r w:rsidR="00AA276E">
        <w:rPr>
          <w:rFonts w:ascii="Arial" w:hAnsi="Arial" w:cs="Arial"/>
          <w:lang w:val="en-US" w:eastAsia="en-US"/>
        </w:rPr>
        <w:t>get</w:t>
      </w:r>
      <w:r w:rsidR="00FD2E80" w:rsidRPr="00FD2E80">
        <w:rPr>
          <w:rFonts w:ascii="Arial" w:hAnsi="Arial" w:cs="Arial"/>
          <w:lang w:val="en-US" w:eastAsia="en-US"/>
        </w:rPr>
        <w:t xml:space="preserve">s somewhat greater loyalty compared to its smaller competitors – this is to be expected and appears to be a natural outcome of having high market share. </w:t>
      </w:r>
    </w:p>
    <w:p w14:paraId="1AD19172" w14:textId="69CF6369" w:rsidR="0039175F" w:rsidRPr="00017FDC" w:rsidRDefault="0039175F" w:rsidP="000D2A64">
      <w:pPr>
        <w:spacing w:after="240"/>
        <w:jc w:val="both"/>
        <w:rPr>
          <w:rFonts w:ascii="Arial" w:hAnsi="Arial" w:cs="Arial"/>
          <w:b/>
        </w:rPr>
      </w:pPr>
      <w:r w:rsidRPr="00017FDC">
        <w:rPr>
          <w:rFonts w:ascii="Arial" w:hAnsi="Arial" w:cs="Arial"/>
          <w:b/>
        </w:rPr>
        <w:t>References</w:t>
      </w:r>
    </w:p>
    <w:p w14:paraId="587D7EA2" w14:textId="1E47F696" w:rsidR="00017FDC" w:rsidRPr="00D30F38" w:rsidRDefault="00506CCD" w:rsidP="00017FDC">
      <w:pPr>
        <w:widowControl w:val="0"/>
        <w:ind w:right="-6"/>
        <w:jc w:val="both"/>
        <w:rPr>
          <w:rFonts w:ascii="Arial" w:hAnsi="Arial" w:cs="Arial"/>
          <w:color w:val="000000"/>
        </w:rPr>
      </w:pPr>
      <w:proofErr w:type="spellStart"/>
      <w:proofErr w:type="gramStart"/>
      <w:r w:rsidRPr="00017FDC">
        <w:rPr>
          <w:rFonts w:ascii="Arial" w:hAnsi="Arial" w:cs="Arial"/>
        </w:rPr>
        <w:t>Aspers</w:t>
      </w:r>
      <w:proofErr w:type="spellEnd"/>
      <w:r w:rsidRPr="00017FDC">
        <w:rPr>
          <w:rFonts w:ascii="Arial" w:hAnsi="Arial" w:cs="Arial"/>
        </w:rPr>
        <w:t xml:space="preserve">, P., </w:t>
      </w:r>
      <w:proofErr w:type="spellStart"/>
      <w:r w:rsidRPr="00017FDC">
        <w:rPr>
          <w:rFonts w:ascii="Arial" w:hAnsi="Arial" w:cs="Arial"/>
        </w:rPr>
        <w:t>Skov</w:t>
      </w:r>
      <w:proofErr w:type="spellEnd"/>
      <w:r w:rsidRPr="00017FDC">
        <w:rPr>
          <w:rFonts w:ascii="Arial" w:hAnsi="Arial" w:cs="Arial"/>
        </w:rPr>
        <w:t>, L., (2006).</w:t>
      </w:r>
      <w:proofErr w:type="gramEnd"/>
      <w:r w:rsidRPr="00017FDC">
        <w:rPr>
          <w:rFonts w:ascii="Arial" w:hAnsi="Arial" w:cs="Arial"/>
        </w:rPr>
        <w:t xml:space="preserve"> </w:t>
      </w:r>
      <w:proofErr w:type="gramStart"/>
      <w:r w:rsidRPr="00017FDC">
        <w:rPr>
          <w:rFonts w:ascii="Arial" w:hAnsi="Arial" w:cs="Arial"/>
        </w:rPr>
        <w:t>Encounters in the global fashion business.</w:t>
      </w:r>
      <w:proofErr w:type="gramEnd"/>
      <w:r w:rsidRPr="00017FDC">
        <w:rPr>
          <w:rFonts w:ascii="Arial" w:hAnsi="Arial" w:cs="Arial"/>
        </w:rPr>
        <w:t xml:space="preserve"> </w:t>
      </w:r>
      <w:proofErr w:type="gramStart"/>
      <w:r w:rsidRPr="00017FDC">
        <w:rPr>
          <w:rFonts w:ascii="Arial" w:hAnsi="Arial" w:cs="Arial"/>
          <w:i/>
        </w:rPr>
        <w:t>Current Sociology,</w:t>
      </w:r>
      <w:r w:rsidRPr="00017FDC">
        <w:rPr>
          <w:rFonts w:ascii="Arial" w:hAnsi="Arial" w:cs="Arial"/>
        </w:rPr>
        <w:t xml:space="preserve"> 54(5): 745–763.</w:t>
      </w:r>
      <w:proofErr w:type="gramEnd"/>
      <w:r w:rsidRPr="00017FDC">
        <w:rPr>
          <w:rFonts w:ascii="Arial" w:hAnsi="Arial" w:cs="Arial"/>
        </w:rPr>
        <w:cr/>
      </w:r>
      <w:r w:rsidR="0039175F" w:rsidRPr="00017FDC">
        <w:rPr>
          <w:rFonts w:ascii="Arial" w:hAnsi="Arial" w:cs="Arial"/>
        </w:rPr>
        <w:t xml:space="preserve"> </w:t>
      </w:r>
      <w:r w:rsidRPr="00017FDC">
        <w:rPr>
          <w:rFonts w:ascii="Arial" w:hAnsi="Arial" w:cs="Arial"/>
        </w:rPr>
        <w:cr/>
        <w:t xml:space="preserve">Barnes, L., Lea-Greenwood, G., (2010). </w:t>
      </w:r>
      <w:proofErr w:type="gramStart"/>
      <w:r w:rsidRPr="00017FDC">
        <w:rPr>
          <w:rFonts w:ascii="Arial" w:hAnsi="Arial" w:cs="Arial"/>
        </w:rPr>
        <w:t>Fast fashion in the retail store environment.</w:t>
      </w:r>
      <w:proofErr w:type="gramEnd"/>
      <w:r w:rsidRPr="00017FDC">
        <w:rPr>
          <w:rFonts w:ascii="Arial" w:hAnsi="Arial" w:cs="Arial"/>
        </w:rPr>
        <w:t xml:space="preserve"> </w:t>
      </w:r>
      <w:proofErr w:type="gramStart"/>
      <w:r w:rsidRPr="00017FDC">
        <w:rPr>
          <w:rFonts w:ascii="Arial" w:hAnsi="Arial" w:cs="Arial"/>
          <w:i/>
        </w:rPr>
        <w:t>International Journal of Retailing &amp; Distribution Management,</w:t>
      </w:r>
      <w:r w:rsidRPr="00017FDC">
        <w:rPr>
          <w:rFonts w:ascii="Arial" w:hAnsi="Arial" w:cs="Arial"/>
        </w:rPr>
        <w:t xml:space="preserve"> 38(10): 760–772.</w:t>
      </w:r>
      <w:proofErr w:type="gramEnd"/>
      <w:r w:rsidRPr="00017FDC">
        <w:rPr>
          <w:rFonts w:ascii="Arial" w:hAnsi="Arial" w:cs="Arial"/>
        </w:rPr>
        <w:cr/>
      </w:r>
      <w:r w:rsidRPr="00017FDC">
        <w:rPr>
          <w:rFonts w:ascii="Arial" w:hAnsi="Arial" w:cs="Arial"/>
        </w:rPr>
        <w:cr/>
      </w:r>
      <w:proofErr w:type="spellStart"/>
      <w:proofErr w:type="gramStart"/>
      <w:r w:rsidRPr="00017FDC">
        <w:rPr>
          <w:rFonts w:ascii="Arial" w:hAnsi="Arial" w:cs="Arial"/>
        </w:rPr>
        <w:t>Barwise</w:t>
      </w:r>
      <w:proofErr w:type="spellEnd"/>
      <w:r w:rsidRPr="00017FDC">
        <w:rPr>
          <w:rFonts w:ascii="Arial" w:hAnsi="Arial" w:cs="Arial"/>
        </w:rPr>
        <w:t>, P., (1995).</w:t>
      </w:r>
      <w:proofErr w:type="gramEnd"/>
      <w:r w:rsidRPr="00017FDC">
        <w:rPr>
          <w:rFonts w:ascii="Arial" w:hAnsi="Arial" w:cs="Arial"/>
        </w:rPr>
        <w:t xml:space="preserve"> Good Empirical Generalizations. </w:t>
      </w:r>
      <w:r w:rsidRPr="00017FDC">
        <w:rPr>
          <w:rFonts w:ascii="Arial" w:hAnsi="Arial" w:cs="Arial"/>
          <w:i/>
        </w:rPr>
        <w:t>Marketing Science,</w:t>
      </w:r>
      <w:r w:rsidRPr="00017FDC">
        <w:rPr>
          <w:rFonts w:ascii="Arial" w:hAnsi="Arial" w:cs="Arial"/>
        </w:rPr>
        <w:t xml:space="preserve"> 14(No. 3, Part 2 of 2), G29-G35.</w:t>
      </w:r>
      <w:r w:rsidRPr="00017FDC">
        <w:rPr>
          <w:rFonts w:ascii="Arial" w:hAnsi="Arial" w:cs="Arial"/>
        </w:rPr>
        <w:cr/>
      </w:r>
      <w:r w:rsidRPr="00017FDC">
        <w:rPr>
          <w:rFonts w:ascii="Arial" w:hAnsi="Arial" w:cs="Arial"/>
          <w:color w:val="FF0000"/>
          <w:highlight w:val="yellow"/>
        </w:rPr>
        <w:cr/>
      </w:r>
      <w:r w:rsidR="00017FDC" w:rsidRPr="00D30F38">
        <w:rPr>
          <w:rFonts w:ascii="Arial" w:hAnsi="Arial" w:cs="Arial"/>
          <w:color w:val="000000"/>
        </w:rPr>
        <w:t xml:space="preserve">Bass F.M. (1995) Empirical Generalizations and Marketing Science: a Personal View, </w:t>
      </w:r>
      <w:r w:rsidR="00017FDC" w:rsidRPr="00D30F38">
        <w:rPr>
          <w:rFonts w:ascii="Arial" w:hAnsi="Arial" w:cs="Arial"/>
          <w:i/>
          <w:color w:val="000000"/>
        </w:rPr>
        <w:t>Marketing Science</w:t>
      </w:r>
      <w:r w:rsidR="00017FDC" w:rsidRPr="00D30F38">
        <w:rPr>
          <w:rFonts w:ascii="Arial" w:hAnsi="Arial" w:cs="Arial"/>
          <w:color w:val="000000"/>
        </w:rPr>
        <w:t>, 14(3) G6-G19</w:t>
      </w:r>
    </w:p>
    <w:p w14:paraId="63478B86" w14:textId="5F9F1A4D" w:rsidR="00D30F38" w:rsidRDefault="00506CCD" w:rsidP="000D2A64">
      <w:pPr>
        <w:spacing w:after="240"/>
        <w:jc w:val="both"/>
        <w:rPr>
          <w:rFonts w:ascii="Arial" w:hAnsi="Arial" w:cs="Arial"/>
        </w:rPr>
      </w:pPr>
      <w:proofErr w:type="spellStart"/>
      <w:proofErr w:type="gramStart"/>
      <w:r w:rsidRPr="00017FDC">
        <w:rPr>
          <w:rFonts w:ascii="Arial" w:hAnsi="Arial" w:cs="Arial"/>
        </w:rPr>
        <w:t>Breward</w:t>
      </w:r>
      <w:proofErr w:type="spellEnd"/>
      <w:r w:rsidRPr="00017FDC">
        <w:rPr>
          <w:rFonts w:ascii="Arial" w:hAnsi="Arial" w:cs="Arial"/>
        </w:rPr>
        <w:t>, C., (2003).</w:t>
      </w:r>
      <w:proofErr w:type="gramEnd"/>
      <w:r w:rsidRPr="00017FDC">
        <w:rPr>
          <w:rFonts w:ascii="Arial" w:hAnsi="Arial" w:cs="Arial"/>
        </w:rPr>
        <w:t xml:space="preserve"> </w:t>
      </w:r>
      <w:r w:rsidRPr="00017FDC">
        <w:rPr>
          <w:rFonts w:ascii="Arial" w:hAnsi="Arial" w:cs="Arial"/>
          <w:i/>
        </w:rPr>
        <w:t>Fashion.</w:t>
      </w:r>
      <w:r w:rsidRPr="00017FDC">
        <w:rPr>
          <w:rFonts w:ascii="Arial" w:hAnsi="Arial" w:cs="Arial"/>
        </w:rPr>
        <w:t xml:space="preserve">  Oxford University Press, p. 9.</w:t>
      </w:r>
      <w:r w:rsidRPr="00017FDC">
        <w:rPr>
          <w:rFonts w:ascii="Arial" w:hAnsi="Arial" w:cs="Arial"/>
        </w:rPr>
        <w:cr/>
      </w:r>
      <w:r w:rsidRPr="00017FDC">
        <w:rPr>
          <w:rFonts w:ascii="Arial" w:hAnsi="Arial" w:cs="Arial"/>
        </w:rPr>
        <w:cr/>
      </w:r>
      <w:proofErr w:type="gramStart"/>
      <w:r w:rsidRPr="00017FDC">
        <w:rPr>
          <w:rFonts w:ascii="Arial" w:hAnsi="Arial" w:cs="Arial"/>
        </w:rPr>
        <w:t>Charles-Roux, E., (2004).</w:t>
      </w:r>
      <w:proofErr w:type="gramEnd"/>
      <w:r w:rsidRPr="00017FDC">
        <w:rPr>
          <w:rFonts w:ascii="Arial" w:hAnsi="Arial" w:cs="Arial"/>
        </w:rPr>
        <w:t xml:space="preserve"> </w:t>
      </w:r>
      <w:proofErr w:type="gramStart"/>
      <w:r w:rsidRPr="00017FDC">
        <w:rPr>
          <w:rFonts w:ascii="Arial" w:hAnsi="Arial" w:cs="Arial"/>
          <w:i/>
        </w:rPr>
        <w:t>The World of Coco Chanel, Friends Fashion Fame</w:t>
      </w:r>
      <w:r w:rsidRPr="00017FDC">
        <w:rPr>
          <w:rFonts w:ascii="Arial" w:hAnsi="Arial" w:cs="Arial"/>
        </w:rPr>
        <w:t>.</w:t>
      </w:r>
      <w:proofErr w:type="gramEnd"/>
      <w:r w:rsidRPr="00017FDC">
        <w:rPr>
          <w:rFonts w:ascii="Arial" w:hAnsi="Arial" w:cs="Arial"/>
        </w:rPr>
        <w:t xml:space="preserve"> London</w:t>
      </w:r>
      <w:r w:rsidR="00D30F38">
        <w:rPr>
          <w:rFonts w:ascii="Arial" w:hAnsi="Arial" w:cs="Arial"/>
        </w:rPr>
        <w:t>: Thames and Hudson, p. 11.</w:t>
      </w:r>
    </w:p>
    <w:p w14:paraId="584C7E67" w14:textId="3FC2327B" w:rsidR="00D30F38" w:rsidRDefault="00D30F38" w:rsidP="000D2A64">
      <w:pPr>
        <w:spacing w:after="240"/>
        <w:jc w:val="both"/>
        <w:rPr>
          <w:rFonts w:ascii="Arial" w:hAnsi="Arial" w:cs="Arial"/>
        </w:rPr>
      </w:pPr>
      <w:r>
        <w:rPr>
          <w:rFonts w:ascii="Arial" w:hAnsi="Arial" w:cs="Arial"/>
        </w:rPr>
        <w:t xml:space="preserve">Ehrenberg, A.S.C, (1990), A Hope for the Future of Statistics:  MSOD.  </w:t>
      </w:r>
      <w:r w:rsidRPr="00D30F38">
        <w:rPr>
          <w:rFonts w:ascii="Arial" w:hAnsi="Arial" w:cs="Arial"/>
          <w:i/>
        </w:rPr>
        <w:t>The American Statistician</w:t>
      </w:r>
      <w:r>
        <w:rPr>
          <w:rFonts w:ascii="Arial" w:hAnsi="Arial" w:cs="Arial"/>
        </w:rPr>
        <w:t>, 44(3): 195-196</w:t>
      </w:r>
    </w:p>
    <w:p w14:paraId="73BA0165" w14:textId="77777777" w:rsidR="00017FDC" w:rsidRPr="00D30F38" w:rsidRDefault="00017FDC" w:rsidP="00017FDC">
      <w:pPr>
        <w:widowControl w:val="0"/>
        <w:jc w:val="both"/>
        <w:rPr>
          <w:rFonts w:ascii="Arial" w:hAnsi="Arial" w:cs="Arial"/>
        </w:rPr>
      </w:pPr>
      <w:r w:rsidRPr="00D30F38">
        <w:rPr>
          <w:rFonts w:ascii="Arial" w:hAnsi="Arial" w:cs="Arial"/>
        </w:rPr>
        <w:t xml:space="preserve">Ehrenberg A.S.C. (1988) </w:t>
      </w:r>
      <w:r w:rsidRPr="00D30F38">
        <w:rPr>
          <w:rFonts w:ascii="Arial" w:hAnsi="Arial" w:cs="Arial"/>
          <w:i/>
        </w:rPr>
        <w:t>Repeat Buying</w:t>
      </w:r>
      <w:r w:rsidRPr="00D30F38">
        <w:rPr>
          <w:rFonts w:ascii="Arial" w:hAnsi="Arial" w:cs="Arial"/>
        </w:rPr>
        <w:t>, 2nd Edition Charles Griffin &amp; Co. Ltd London</w:t>
      </w:r>
    </w:p>
    <w:p w14:paraId="0D630690" w14:textId="13A05F10" w:rsidR="00506CCD" w:rsidRPr="00017FDC" w:rsidRDefault="00506CCD" w:rsidP="000D2A64">
      <w:pPr>
        <w:spacing w:after="240"/>
        <w:jc w:val="both"/>
        <w:rPr>
          <w:rFonts w:ascii="Arial" w:hAnsi="Arial" w:cs="Arial"/>
          <w:highlight w:val="yellow"/>
        </w:rPr>
      </w:pPr>
      <w:r w:rsidRPr="00017FDC">
        <w:rPr>
          <w:rFonts w:ascii="Arial" w:hAnsi="Arial" w:cs="Arial"/>
        </w:rPr>
        <w:t xml:space="preserve">Ehrenberg, A. S. C. (2000). Repeat Buying - Facts, Theory and Applications. </w:t>
      </w:r>
      <w:proofErr w:type="gramStart"/>
      <w:r w:rsidRPr="00017FDC">
        <w:rPr>
          <w:rFonts w:ascii="Arial" w:hAnsi="Arial" w:cs="Arial"/>
          <w:i/>
        </w:rPr>
        <w:t>Journal of Empirical Generalisations in Marketing Science</w:t>
      </w:r>
      <w:r w:rsidRPr="00017FDC">
        <w:rPr>
          <w:rFonts w:ascii="Arial" w:hAnsi="Arial" w:cs="Arial"/>
        </w:rPr>
        <w:t>, 5, 392-770.</w:t>
      </w:r>
      <w:proofErr w:type="gramEnd"/>
      <w:r w:rsidRPr="00017FDC">
        <w:rPr>
          <w:rFonts w:ascii="Arial" w:hAnsi="Arial" w:cs="Arial"/>
        </w:rPr>
        <w:t xml:space="preserve"> </w:t>
      </w:r>
    </w:p>
    <w:p w14:paraId="2AFF7C02" w14:textId="43A382EC" w:rsidR="00506CCD" w:rsidRPr="00017FDC" w:rsidRDefault="00506CCD" w:rsidP="000D2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rPr>
      </w:pPr>
      <w:proofErr w:type="gramStart"/>
      <w:r w:rsidRPr="00017FDC">
        <w:rPr>
          <w:rFonts w:ascii="Arial" w:hAnsi="Arial" w:cs="Arial"/>
        </w:rPr>
        <w:t xml:space="preserve">Ehrenberg, A. S. C., Uncles, M. D., and </w:t>
      </w:r>
      <w:proofErr w:type="spellStart"/>
      <w:r w:rsidRPr="00017FDC">
        <w:rPr>
          <w:rFonts w:ascii="Arial" w:hAnsi="Arial" w:cs="Arial"/>
        </w:rPr>
        <w:t>Goodhardt</w:t>
      </w:r>
      <w:proofErr w:type="spellEnd"/>
      <w:r w:rsidRPr="00017FDC">
        <w:rPr>
          <w:rFonts w:ascii="Arial" w:hAnsi="Arial" w:cs="Arial"/>
        </w:rPr>
        <w:t>, G. G., (2004).</w:t>
      </w:r>
      <w:proofErr w:type="gramEnd"/>
      <w:r w:rsidRPr="00017FDC">
        <w:rPr>
          <w:rFonts w:ascii="Arial" w:hAnsi="Arial" w:cs="Arial"/>
        </w:rPr>
        <w:t xml:space="preserve"> Understanding Brand Performance Measures: Using </w:t>
      </w:r>
      <w:proofErr w:type="spellStart"/>
      <w:r w:rsidRPr="00017FDC">
        <w:rPr>
          <w:rFonts w:ascii="Arial" w:hAnsi="Arial" w:cs="Arial"/>
        </w:rPr>
        <w:t>Dirichlet</w:t>
      </w:r>
      <w:proofErr w:type="spellEnd"/>
      <w:r w:rsidRPr="00017FDC">
        <w:rPr>
          <w:rFonts w:ascii="Arial" w:hAnsi="Arial" w:cs="Arial"/>
        </w:rPr>
        <w:t xml:space="preserve"> Benchmarks. </w:t>
      </w:r>
      <w:proofErr w:type="gramStart"/>
      <w:r w:rsidRPr="00017FDC">
        <w:rPr>
          <w:rFonts w:ascii="Arial" w:hAnsi="Arial" w:cs="Arial"/>
          <w:i/>
        </w:rPr>
        <w:t>Journal of Business Research</w:t>
      </w:r>
      <w:r w:rsidR="0039175F" w:rsidRPr="00017FDC">
        <w:rPr>
          <w:rFonts w:ascii="Arial" w:hAnsi="Arial" w:cs="Arial"/>
        </w:rPr>
        <w:t>, 57, 1307-1325.</w:t>
      </w:r>
      <w:proofErr w:type="gramEnd"/>
      <w:r w:rsidR="0039175F" w:rsidRPr="00017FDC">
        <w:rPr>
          <w:rFonts w:ascii="Arial" w:hAnsi="Arial" w:cs="Arial"/>
        </w:rPr>
        <w:t xml:space="preserve"> </w:t>
      </w:r>
    </w:p>
    <w:p w14:paraId="26452D53" w14:textId="0835AE64" w:rsidR="00506CCD" w:rsidRPr="00017FDC" w:rsidRDefault="00506CCD" w:rsidP="000D2A64">
      <w:pPr>
        <w:spacing w:after="240"/>
        <w:jc w:val="both"/>
        <w:rPr>
          <w:rFonts w:ascii="Arial" w:hAnsi="Arial" w:cs="Arial"/>
        </w:rPr>
      </w:pPr>
      <w:r w:rsidRPr="00017FDC">
        <w:rPr>
          <w:rFonts w:ascii="Arial" w:hAnsi="Arial" w:cs="Arial"/>
        </w:rPr>
        <w:t xml:space="preserve">Fennell, G., Allenby, G.M., Yang, S., and Edwards, Y., (2003). </w:t>
      </w:r>
      <w:proofErr w:type="gramStart"/>
      <w:r w:rsidRPr="00017FDC">
        <w:rPr>
          <w:rFonts w:ascii="Arial" w:hAnsi="Arial" w:cs="Arial"/>
        </w:rPr>
        <w:t>The effectiveness of demographic and psychographic variables for explaining brand and category use.</w:t>
      </w:r>
      <w:proofErr w:type="gramEnd"/>
      <w:r w:rsidRPr="00017FDC">
        <w:rPr>
          <w:rFonts w:ascii="Arial" w:hAnsi="Arial" w:cs="Arial"/>
        </w:rPr>
        <w:t xml:space="preserve"> </w:t>
      </w:r>
      <w:r w:rsidRPr="00017FDC">
        <w:rPr>
          <w:rFonts w:ascii="Arial" w:hAnsi="Arial" w:cs="Arial"/>
          <w:i/>
        </w:rPr>
        <w:t>Quantitative Marketing and Economics,</w:t>
      </w:r>
      <w:r w:rsidRPr="00017FDC">
        <w:rPr>
          <w:rFonts w:ascii="Arial" w:hAnsi="Arial" w:cs="Arial"/>
        </w:rPr>
        <w:t xml:space="preserve"> 1: 223-244.</w:t>
      </w:r>
      <w:r w:rsidRPr="00017FDC">
        <w:rPr>
          <w:rFonts w:ascii="Arial" w:hAnsi="Arial" w:cs="Arial"/>
        </w:rPr>
        <w:cr/>
      </w:r>
      <w:r w:rsidRPr="00017FDC">
        <w:rPr>
          <w:rFonts w:ascii="Arial" w:hAnsi="Arial" w:cs="Arial"/>
        </w:rPr>
        <w:cr/>
      </w:r>
      <w:proofErr w:type="spellStart"/>
      <w:r w:rsidRPr="00017FDC">
        <w:rPr>
          <w:rFonts w:ascii="Arial" w:hAnsi="Arial" w:cs="Arial"/>
        </w:rPr>
        <w:t>Foedemayr</w:t>
      </w:r>
      <w:proofErr w:type="spellEnd"/>
      <w:r w:rsidRPr="00017FDC">
        <w:rPr>
          <w:rFonts w:ascii="Arial" w:hAnsi="Arial" w:cs="Arial"/>
        </w:rPr>
        <w:t xml:space="preserve">, E. K., </w:t>
      </w:r>
      <w:proofErr w:type="spellStart"/>
      <w:r w:rsidRPr="00017FDC">
        <w:rPr>
          <w:rFonts w:ascii="Arial" w:hAnsi="Arial" w:cs="Arial"/>
        </w:rPr>
        <w:t>Diamnatopoulos</w:t>
      </w:r>
      <w:proofErr w:type="spellEnd"/>
      <w:r w:rsidRPr="00017FDC">
        <w:rPr>
          <w:rFonts w:ascii="Arial" w:hAnsi="Arial" w:cs="Arial"/>
        </w:rPr>
        <w:t xml:space="preserve">, A., (2008). Market Segmentation in Practice: Review of Empirical Studies, Methodological Assessment and Agenda for Future Research. </w:t>
      </w:r>
      <w:r w:rsidRPr="00017FDC">
        <w:rPr>
          <w:rFonts w:ascii="Arial" w:hAnsi="Arial" w:cs="Arial"/>
          <w:i/>
        </w:rPr>
        <w:t>Journal of Strategic Marketing</w:t>
      </w:r>
      <w:r w:rsidRPr="00017FDC">
        <w:rPr>
          <w:rFonts w:ascii="Arial" w:hAnsi="Arial" w:cs="Arial"/>
        </w:rPr>
        <w:t>, Vol. 16, Issue 3: 223-265.</w:t>
      </w:r>
    </w:p>
    <w:p w14:paraId="46E87F66" w14:textId="77777777" w:rsidR="00506CCD" w:rsidRPr="00017FDC" w:rsidRDefault="00506CCD" w:rsidP="000D2A64">
      <w:pPr>
        <w:spacing w:after="240"/>
        <w:jc w:val="both"/>
        <w:rPr>
          <w:rFonts w:ascii="Arial" w:hAnsi="Arial" w:cs="Arial"/>
          <w:color w:val="000000"/>
        </w:rPr>
      </w:pPr>
      <w:proofErr w:type="gramStart"/>
      <w:r w:rsidRPr="00017FDC">
        <w:rPr>
          <w:rFonts w:ascii="Arial" w:hAnsi="Arial" w:cs="Arial"/>
          <w:color w:val="000000"/>
        </w:rPr>
        <w:t>Generalisations in Marketing Science, 5, 392-770.</w:t>
      </w:r>
      <w:proofErr w:type="gramEnd"/>
      <w:r w:rsidRPr="00017FDC">
        <w:rPr>
          <w:rFonts w:ascii="Arial" w:hAnsi="Arial" w:cs="Arial"/>
          <w:color w:val="000000"/>
        </w:rPr>
        <w:t xml:space="preserve"> </w:t>
      </w:r>
      <w:proofErr w:type="spellStart"/>
      <w:r w:rsidRPr="00017FDC">
        <w:rPr>
          <w:rFonts w:ascii="Arial" w:hAnsi="Arial" w:cs="Arial"/>
          <w:color w:val="000000"/>
        </w:rPr>
        <w:t>Euromonitor</w:t>
      </w:r>
      <w:proofErr w:type="spellEnd"/>
      <w:r w:rsidRPr="00017FDC">
        <w:rPr>
          <w:rFonts w:ascii="Arial" w:hAnsi="Arial" w:cs="Arial"/>
          <w:color w:val="000000"/>
        </w:rPr>
        <w:t xml:space="preserve"> International. </w:t>
      </w:r>
      <w:proofErr w:type="gramStart"/>
      <w:r w:rsidRPr="00017FDC">
        <w:rPr>
          <w:rFonts w:ascii="Arial" w:hAnsi="Arial" w:cs="Arial"/>
          <w:color w:val="000000"/>
        </w:rPr>
        <w:t>( 2012</w:t>
      </w:r>
      <w:proofErr w:type="gramEnd"/>
      <w:r w:rsidRPr="00017FDC">
        <w:rPr>
          <w:rFonts w:ascii="Arial" w:hAnsi="Arial" w:cs="Arial"/>
          <w:color w:val="000000"/>
        </w:rPr>
        <w:t xml:space="preserve">). Special Report: The </w:t>
      </w:r>
      <w:proofErr w:type="spellStart"/>
      <w:r w:rsidRPr="00017FDC">
        <w:rPr>
          <w:rFonts w:ascii="Arial" w:hAnsi="Arial" w:cs="Arial"/>
          <w:color w:val="000000"/>
        </w:rPr>
        <w:t>World‟s</w:t>
      </w:r>
      <w:proofErr w:type="spellEnd"/>
      <w:r w:rsidRPr="00017FDC">
        <w:rPr>
          <w:rFonts w:ascii="Arial" w:hAnsi="Arial" w:cs="Arial"/>
          <w:color w:val="000000"/>
        </w:rPr>
        <w:t xml:space="preserve"> Youngest Populations (Vol. 2012).</w:t>
      </w:r>
    </w:p>
    <w:p w14:paraId="79756991" w14:textId="3C9E08CB" w:rsidR="00FC1312" w:rsidRPr="00017FDC" w:rsidRDefault="00506CCD" w:rsidP="000D2A64">
      <w:pPr>
        <w:spacing w:after="240"/>
        <w:jc w:val="both"/>
        <w:rPr>
          <w:rFonts w:ascii="Arial" w:hAnsi="Arial" w:cs="Arial"/>
        </w:rPr>
      </w:pPr>
      <w:proofErr w:type="spellStart"/>
      <w:proofErr w:type="gramStart"/>
      <w:r w:rsidRPr="00017FDC">
        <w:rPr>
          <w:rFonts w:ascii="Arial" w:hAnsi="Arial" w:cs="Arial"/>
        </w:rPr>
        <w:t>Goodhardt</w:t>
      </w:r>
      <w:proofErr w:type="spellEnd"/>
      <w:r w:rsidRPr="00017FDC">
        <w:rPr>
          <w:rFonts w:ascii="Arial" w:hAnsi="Arial" w:cs="Arial"/>
        </w:rPr>
        <w:t>, G. J., Ehrenberg, A. S. C., and Chatfield, C. (1984).</w:t>
      </w:r>
      <w:proofErr w:type="gramEnd"/>
      <w:r w:rsidRPr="00017FDC">
        <w:rPr>
          <w:rFonts w:ascii="Arial" w:hAnsi="Arial" w:cs="Arial"/>
        </w:rPr>
        <w:t xml:space="preserve"> The </w:t>
      </w:r>
      <w:proofErr w:type="spellStart"/>
      <w:r w:rsidRPr="00017FDC">
        <w:rPr>
          <w:rFonts w:ascii="Arial" w:hAnsi="Arial" w:cs="Arial"/>
        </w:rPr>
        <w:t>Dirichlet</w:t>
      </w:r>
      <w:proofErr w:type="spellEnd"/>
      <w:r w:rsidRPr="00017FDC">
        <w:rPr>
          <w:rFonts w:ascii="Arial" w:hAnsi="Arial" w:cs="Arial"/>
        </w:rPr>
        <w:t xml:space="preserve">: A Comprehensive Model of Buying Behaviour. </w:t>
      </w:r>
      <w:r w:rsidRPr="00017FDC">
        <w:rPr>
          <w:rFonts w:ascii="Arial" w:hAnsi="Arial" w:cs="Arial"/>
          <w:i/>
        </w:rPr>
        <w:t>Journal of the Royal Statistical Society</w:t>
      </w:r>
      <w:r w:rsidRPr="00017FDC">
        <w:rPr>
          <w:rFonts w:ascii="Arial" w:hAnsi="Arial" w:cs="Arial"/>
        </w:rPr>
        <w:t xml:space="preserve">, 147(part 5), 621-655. </w:t>
      </w:r>
      <w:r w:rsidRPr="00017FDC">
        <w:rPr>
          <w:rFonts w:ascii="Arial" w:hAnsi="Arial" w:cs="Arial"/>
        </w:rPr>
        <w:cr/>
      </w:r>
      <w:r w:rsidRPr="00017FDC">
        <w:rPr>
          <w:rFonts w:ascii="Arial" w:hAnsi="Arial" w:cs="Arial"/>
          <w:color w:val="FF0000"/>
        </w:rPr>
        <w:cr/>
      </w:r>
      <w:proofErr w:type="gramStart"/>
      <w:r w:rsidRPr="00017FDC">
        <w:rPr>
          <w:rFonts w:ascii="Arial" w:hAnsi="Arial" w:cs="Arial"/>
        </w:rPr>
        <w:t xml:space="preserve">Hammond, K., Ehrenberg, A. S. C., &amp; </w:t>
      </w:r>
      <w:proofErr w:type="spellStart"/>
      <w:r w:rsidRPr="00017FDC">
        <w:rPr>
          <w:rFonts w:ascii="Arial" w:hAnsi="Arial" w:cs="Arial"/>
        </w:rPr>
        <w:t>Goodhardt</w:t>
      </w:r>
      <w:proofErr w:type="spellEnd"/>
      <w:r w:rsidRPr="00017FDC">
        <w:rPr>
          <w:rFonts w:ascii="Arial" w:hAnsi="Arial" w:cs="Arial"/>
        </w:rPr>
        <w:t>, G. J., (1996).</w:t>
      </w:r>
      <w:proofErr w:type="gramEnd"/>
      <w:r w:rsidRPr="00017FDC">
        <w:rPr>
          <w:rFonts w:ascii="Arial" w:hAnsi="Arial" w:cs="Arial"/>
        </w:rPr>
        <w:t xml:space="preserve"> </w:t>
      </w:r>
      <w:proofErr w:type="gramStart"/>
      <w:r w:rsidRPr="00017FDC">
        <w:rPr>
          <w:rFonts w:ascii="Arial" w:hAnsi="Arial" w:cs="Arial"/>
        </w:rPr>
        <w:t>Market segmentation for competitive brands.</w:t>
      </w:r>
      <w:proofErr w:type="gramEnd"/>
      <w:r w:rsidRPr="00017FDC">
        <w:rPr>
          <w:rFonts w:ascii="Arial" w:hAnsi="Arial" w:cs="Arial"/>
        </w:rPr>
        <w:t xml:space="preserve"> </w:t>
      </w:r>
      <w:proofErr w:type="gramStart"/>
      <w:r w:rsidRPr="00017FDC">
        <w:rPr>
          <w:rFonts w:ascii="Arial" w:hAnsi="Arial" w:cs="Arial"/>
          <w:i/>
        </w:rPr>
        <w:t>European Journal of Marketing</w:t>
      </w:r>
      <w:r w:rsidRPr="00017FDC">
        <w:rPr>
          <w:rFonts w:ascii="Arial" w:hAnsi="Arial" w:cs="Arial"/>
        </w:rPr>
        <w:t>, 30(12):  39-49.</w:t>
      </w:r>
      <w:proofErr w:type="gramEnd"/>
      <w:r w:rsidRPr="00017FDC">
        <w:rPr>
          <w:rFonts w:ascii="Arial" w:hAnsi="Arial" w:cs="Arial"/>
        </w:rPr>
        <w:cr/>
      </w:r>
      <w:r w:rsidR="0039175F" w:rsidRPr="00017FDC">
        <w:rPr>
          <w:rFonts w:ascii="Arial" w:hAnsi="Arial" w:cs="Arial"/>
        </w:rPr>
        <w:t xml:space="preserve"> </w:t>
      </w:r>
      <w:r w:rsidRPr="00017FDC">
        <w:rPr>
          <w:rFonts w:ascii="Arial" w:hAnsi="Arial" w:cs="Arial"/>
        </w:rPr>
        <w:cr/>
      </w:r>
      <w:proofErr w:type="gramStart"/>
      <w:r w:rsidRPr="00017FDC">
        <w:rPr>
          <w:rFonts w:ascii="Arial" w:hAnsi="Arial" w:cs="Arial"/>
        </w:rPr>
        <w:t>Hines, T. and Bruce, M., (2001).</w:t>
      </w:r>
      <w:proofErr w:type="gramEnd"/>
      <w:r w:rsidRPr="00017FDC">
        <w:rPr>
          <w:rFonts w:ascii="Arial" w:hAnsi="Arial" w:cs="Arial"/>
        </w:rPr>
        <w:t xml:space="preserve"> </w:t>
      </w:r>
      <w:proofErr w:type="gramStart"/>
      <w:r w:rsidRPr="00017FDC">
        <w:rPr>
          <w:rFonts w:ascii="Arial" w:hAnsi="Arial" w:cs="Arial"/>
          <w:i/>
        </w:rPr>
        <w:t>Fashion Marketing – Contemporary Issues</w:t>
      </w:r>
      <w:r w:rsidRPr="00017FDC">
        <w:rPr>
          <w:rFonts w:ascii="Arial" w:hAnsi="Arial" w:cs="Arial"/>
        </w:rPr>
        <w:t>.</w:t>
      </w:r>
      <w:proofErr w:type="gramEnd"/>
      <w:r w:rsidRPr="00017FDC">
        <w:rPr>
          <w:rFonts w:ascii="Arial" w:hAnsi="Arial" w:cs="Arial"/>
        </w:rPr>
        <w:t xml:space="preserve"> Oxford: Butterwort</w:t>
      </w:r>
      <w:r w:rsidR="00FC1312" w:rsidRPr="00017FDC">
        <w:rPr>
          <w:rFonts w:ascii="Arial" w:hAnsi="Arial" w:cs="Arial"/>
        </w:rPr>
        <w:t>h-Heinemann. Heinemann, London.</w:t>
      </w:r>
    </w:p>
    <w:p w14:paraId="25ED4DD7" w14:textId="45A06F8C" w:rsidR="00FC1312" w:rsidRPr="00D30F38" w:rsidRDefault="00FC1312" w:rsidP="000D2A64">
      <w:pPr>
        <w:spacing w:after="240"/>
        <w:jc w:val="both"/>
        <w:rPr>
          <w:rFonts w:ascii="Arial" w:hAnsi="Arial" w:cs="Arial"/>
          <w:lang w:val="en-US"/>
        </w:rPr>
      </w:pPr>
      <w:r w:rsidRPr="00D30F38">
        <w:rPr>
          <w:rFonts w:ascii="Arial" w:hAnsi="Arial" w:cs="Arial"/>
          <w:lang w:val="en-US"/>
        </w:rPr>
        <w:t xml:space="preserve">IBIS, Retailing Market Research Report 2015, </w:t>
      </w:r>
      <w:hyperlink r:id="rId16" w:history="1">
        <w:r w:rsidRPr="00D30F38">
          <w:rPr>
            <w:rStyle w:val="Hyperlink"/>
            <w:rFonts w:ascii="Arial" w:hAnsi="Arial" w:cs="Arial"/>
            <w:color w:val="auto"/>
            <w:lang w:val="en-US"/>
          </w:rPr>
          <w:t>http://www.ibisworld.co.uk/market-research/clothing-retailing.html</w:t>
        </w:r>
      </w:hyperlink>
    </w:p>
    <w:p w14:paraId="606C5960" w14:textId="032474C2" w:rsidR="00506CCD" w:rsidRPr="00017FDC" w:rsidRDefault="00506CCD" w:rsidP="000D2A64">
      <w:pPr>
        <w:spacing w:after="240"/>
        <w:jc w:val="both"/>
        <w:rPr>
          <w:rFonts w:ascii="Arial" w:hAnsi="Arial" w:cs="Arial"/>
        </w:rPr>
      </w:pPr>
      <w:proofErr w:type="gramStart"/>
      <w:r w:rsidRPr="00017FDC">
        <w:rPr>
          <w:rFonts w:ascii="Arial" w:hAnsi="Arial" w:cs="Arial"/>
        </w:rPr>
        <w:t>Jones, R., (2002).</w:t>
      </w:r>
      <w:proofErr w:type="gramEnd"/>
      <w:r w:rsidRPr="00017FDC">
        <w:rPr>
          <w:rFonts w:ascii="Arial" w:hAnsi="Arial" w:cs="Arial"/>
        </w:rPr>
        <w:t xml:space="preserve"> </w:t>
      </w:r>
      <w:proofErr w:type="gramStart"/>
      <w:r w:rsidRPr="00017FDC">
        <w:rPr>
          <w:rFonts w:ascii="Arial" w:hAnsi="Arial" w:cs="Arial"/>
          <w:i/>
        </w:rPr>
        <w:t>The Apparel Industry</w:t>
      </w:r>
      <w:r w:rsidRPr="00017FDC">
        <w:rPr>
          <w:rFonts w:ascii="Arial" w:hAnsi="Arial" w:cs="Arial"/>
        </w:rPr>
        <w:t>, Blackwell, Oxford.</w:t>
      </w:r>
      <w:proofErr w:type="gramEnd"/>
      <w:r w:rsidRPr="00017FDC">
        <w:rPr>
          <w:rFonts w:ascii="Arial" w:hAnsi="Arial" w:cs="Arial"/>
        </w:rPr>
        <w:t xml:space="preserve"> </w:t>
      </w:r>
      <w:r w:rsidRPr="00017FDC">
        <w:rPr>
          <w:rFonts w:ascii="Arial" w:hAnsi="Arial" w:cs="Arial"/>
        </w:rPr>
        <w:cr/>
      </w:r>
      <w:r w:rsidRPr="00017FDC">
        <w:rPr>
          <w:rFonts w:ascii="Arial" w:hAnsi="Arial" w:cs="Arial"/>
        </w:rPr>
        <w:cr/>
      </w:r>
      <w:proofErr w:type="spellStart"/>
      <w:proofErr w:type="gramStart"/>
      <w:r w:rsidRPr="00017FDC">
        <w:rPr>
          <w:rFonts w:ascii="Arial" w:hAnsi="Arial" w:cs="Arial"/>
        </w:rPr>
        <w:t>Juggessur</w:t>
      </w:r>
      <w:proofErr w:type="spellEnd"/>
      <w:r w:rsidRPr="00017FDC">
        <w:rPr>
          <w:rFonts w:ascii="Arial" w:hAnsi="Arial" w:cs="Arial"/>
        </w:rPr>
        <w:t>, J.; Cohen, G., (2009).</w:t>
      </w:r>
      <w:proofErr w:type="gramEnd"/>
      <w:r w:rsidRPr="00017FDC">
        <w:rPr>
          <w:rFonts w:ascii="Arial" w:hAnsi="Arial" w:cs="Arial"/>
        </w:rPr>
        <w:t xml:space="preserve"> Is fashion promoting counterfeit brands</w:t>
      </w:r>
      <w:proofErr w:type="gramStart"/>
      <w:r w:rsidRPr="00017FDC">
        <w:rPr>
          <w:rFonts w:ascii="Arial" w:hAnsi="Arial" w:cs="Arial"/>
        </w:rPr>
        <w:t>?.</w:t>
      </w:r>
      <w:proofErr w:type="gramEnd"/>
      <w:r w:rsidRPr="00017FDC">
        <w:rPr>
          <w:rFonts w:ascii="Arial" w:hAnsi="Arial" w:cs="Arial"/>
        </w:rPr>
        <w:t xml:space="preserve"> </w:t>
      </w:r>
      <w:proofErr w:type="gramStart"/>
      <w:r w:rsidRPr="00017FDC">
        <w:rPr>
          <w:rFonts w:ascii="Arial" w:hAnsi="Arial" w:cs="Arial"/>
          <w:i/>
        </w:rPr>
        <w:t xml:space="preserve">Journal of Brand Management, </w:t>
      </w:r>
      <w:proofErr w:type="spellStart"/>
      <w:r w:rsidRPr="00017FDC">
        <w:rPr>
          <w:rFonts w:ascii="Arial" w:hAnsi="Arial" w:cs="Arial"/>
          <w:i/>
        </w:rPr>
        <w:t>supl</w:t>
      </w:r>
      <w:proofErr w:type="spellEnd"/>
      <w:r w:rsidRPr="00017FDC">
        <w:rPr>
          <w:rFonts w:ascii="Arial" w:hAnsi="Arial" w:cs="Arial"/>
          <w:i/>
        </w:rPr>
        <w:t>.</w:t>
      </w:r>
      <w:proofErr w:type="gramEnd"/>
      <w:r w:rsidRPr="00017FDC">
        <w:rPr>
          <w:rFonts w:ascii="Arial" w:hAnsi="Arial" w:cs="Arial"/>
          <w:i/>
        </w:rPr>
        <w:t xml:space="preserve"> Special Issue: Luxury Brands, Vol. 16(5-6):</w:t>
      </w:r>
      <w:r w:rsidR="00D30F38">
        <w:rPr>
          <w:rFonts w:ascii="Arial" w:hAnsi="Arial" w:cs="Arial"/>
        </w:rPr>
        <w:t xml:space="preserve"> 383-394. </w:t>
      </w:r>
    </w:p>
    <w:p w14:paraId="560A7490" w14:textId="6096043D" w:rsidR="00D30F38" w:rsidRPr="00D30F38" w:rsidRDefault="00D30F38" w:rsidP="00D30F38">
      <w:pPr>
        <w:widowControl w:val="0"/>
        <w:numPr>
          <w:ilvl w:val="0"/>
          <w:numId w:val="1"/>
        </w:numPr>
        <w:tabs>
          <w:tab w:val="left" w:pos="220"/>
          <w:tab w:val="left" w:pos="720"/>
        </w:tabs>
        <w:autoSpaceDE w:val="0"/>
        <w:autoSpaceDN w:val="0"/>
        <w:adjustRightInd w:val="0"/>
        <w:spacing w:after="0"/>
        <w:ind w:hanging="720"/>
        <w:rPr>
          <w:rFonts w:ascii="Arial" w:hAnsi="Arial" w:cs="Arial"/>
          <w:lang w:val="en-US" w:eastAsia="en-US"/>
        </w:rPr>
      </w:pPr>
      <w:r w:rsidRPr="00D30F38">
        <w:rPr>
          <w:rFonts w:ascii="Arial" w:hAnsi="Arial" w:cs="Arial"/>
        </w:rPr>
        <w:t xml:space="preserve">Kantar </w:t>
      </w:r>
      <w:proofErr w:type="spellStart"/>
      <w:r w:rsidRPr="00D30F38">
        <w:rPr>
          <w:rFonts w:ascii="Arial" w:hAnsi="Arial" w:cs="Arial"/>
        </w:rPr>
        <w:t>Worldpanel</w:t>
      </w:r>
      <w:proofErr w:type="spellEnd"/>
      <w:r w:rsidRPr="00D30F38">
        <w:rPr>
          <w:rFonts w:ascii="Arial" w:hAnsi="Arial" w:cs="Arial"/>
        </w:rPr>
        <w:t>, market panels bought o</w:t>
      </w:r>
      <w:r>
        <w:rPr>
          <w:rFonts w:ascii="Arial" w:hAnsi="Arial" w:cs="Arial"/>
        </w:rPr>
        <w:t>n ad hoc or subscription basis,</w:t>
      </w:r>
    </w:p>
    <w:p w14:paraId="5A71543D" w14:textId="123848A3" w:rsidR="0039175F" w:rsidRPr="00D30F38" w:rsidRDefault="00D30F38" w:rsidP="00D30F38">
      <w:pPr>
        <w:widowControl w:val="0"/>
        <w:numPr>
          <w:ilvl w:val="0"/>
          <w:numId w:val="1"/>
        </w:numPr>
        <w:tabs>
          <w:tab w:val="left" w:pos="0"/>
          <w:tab w:val="left" w:pos="220"/>
        </w:tabs>
        <w:autoSpaceDE w:val="0"/>
        <w:autoSpaceDN w:val="0"/>
        <w:adjustRightInd w:val="0"/>
        <w:spacing w:after="0"/>
        <w:ind w:left="0" w:firstLine="0"/>
        <w:rPr>
          <w:rFonts w:ascii="Arial" w:hAnsi="Arial" w:cs="Arial"/>
          <w:lang w:val="en-US" w:eastAsia="en-US"/>
        </w:rPr>
      </w:pPr>
      <w:r>
        <w:rPr>
          <w:rFonts w:ascii="Arial" w:hAnsi="Arial" w:cs="Arial"/>
          <w:lang w:val="en-US" w:eastAsia="en-US"/>
        </w:rPr>
        <w:t xml:space="preserve">Units 18 and 19 LBV, </w:t>
      </w:r>
      <w:r w:rsidRPr="00D30F38">
        <w:rPr>
          <w:rFonts w:ascii="Arial" w:hAnsi="Arial" w:cs="Arial"/>
          <w:lang w:val="en-US" w:eastAsia="en-US"/>
        </w:rPr>
        <w:t>Staffordshire University Campus</w:t>
      </w:r>
      <w:r>
        <w:rPr>
          <w:rFonts w:ascii="Arial" w:hAnsi="Arial" w:cs="Arial"/>
          <w:lang w:val="en-US" w:eastAsia="en-US"/>
        </w:rPr>
        <w:t xml:space="preserve">, </w:t>
      </w:r>
      <w:r w:rsidRPr="00D30F38">
        <w:rPr>
          <w:rFonts w:ascii="Arial" w:hAnsi="Arial" w:cs="Arial"/>
          <w:lang w:val="en-US" w:eastAsia="en-US"/>
        </w:rPr>
        <w:t>The Friary</w:t>
      </w:r>
      <w:r>
        <w:rPr>
          <w:rFonts w:ascii="Arial" w:hAnsi="Arial" w:cs="Arial"/>
          <w:lang w:val="en-US" w:eastAsia="en-US"/>
        </w:rPr>
        <w:t xml:space="preserve">, </w:t>
      </w:r>
      <w:proofErr w:type="spellStart"/>
      <w:r w:rsidRPr="00D30F38">
        <w:rPr>
          <w:rFonts w:ascii="Arial" w:hAnsi="Arial" w:cs="Arial"/>
          <w:lang w:val="en-US" w:eastAsia="en-US"/>
        </w:rPr>
        <w:t>Lichfield</w:t>
      </w:r>
      <w:proofErr w:type="spellEnd"/>
      <w:r>
        <w:rPr>
          <w:rFonts w:ascii="Arial" w:hAnsi="Arial" w:cs="Arial"/>
          <w:lang w:val="en-US" w:eastAsia="en-US"/>
        </w:rPr>
        <w:t xml:space="preserve">, </w:t>
      </w:r>
      <w:r w:rsidRPr="00D30F38">
        <w:rPr>
          <w:rFonts w:ascii="Arial" w:hAnsi="Arial" w:cs="Arial"/>
          <w:lang w:val="en-US" w:eastAsia="en-US"/>
        </w:rPr>
        <w:t>Staffordshire</w:t>
      </w:r>
      <w:r>
        <w:rPr>
          <w:rFonts w:ascii="Arial" w:hAnsi="Arial" w:cs="Arial"/>
          <w:lang w:val="en-US" w:eastAsia="en-US"/>
        </w:rPr>
        <w:t xml:space="preserve">, </w:t>
      </w:r>
      <w:r w:rsidRPr="00D30F38">
        <w:rPr>
          <w:rFonts w:ascii="Arial" w:hAnsi="Arial" w:cs="Arial"/>
          <w:lang w:val="en-US" w:eastAsia="en-US"/>
        </w:rPr>
        <w:t>WS13 6QG</w:t>
      </w:r>
    </w:p>
    <w:p w14:paraId="5350A878" w14:textId="75C0DCC7" w:rsidR="00FE7949" w:rsidRPr="00D30F38" w:rsidRDefault="00506CCD" w:rsidP="0039175F">
      <w:pPr>
        <w:spacing w:after="240"/>
        <w:rPr>
          <w:rFonts w:ascii="Arial" w:hAnsi="Arial" w:cs="Arial"/>
        </w:rPr>
      </w:pPr>
      <w:r w:rsidRPr="00017FDC">
        <w:rPr>
          <w:rFonts w:ascii="Arial" w:hAnsi="Arial" w:cs="Arial"/>
        </w:rPr>
        <w:cr/>
        <w:t xml:space="preserve">Kennedy, R., &amp; Ehrenberg, A., (2001a). Competing Retailers Generally Have the Same Sorts of Shoppers. </w:t>
      </w:r>
      <w:proofErr w:type="gramStart"/>
      <w:r w:rsidRPr="00017FDC">
        <w:rPr>
          <w:rFonts w:ascii="Arial" w:hAnsi="Arial" w:cs="Arial"/>
          <w:i/>
        </w:rPr>
        <w:t>Journal of Marketing Communications</w:t>
      </w:r>
      <w:r w:rsidRPr="00017FDC">
        <w:rPr>
          <w:rFonts w:ascii="Arial" w:hAnsi="Arial" w:cs="Arial"/>
        </w:rPr>
        <w:t>, 7(1): 19-26.</w:t>
      </w:r>
      <w:proofErr w:type="gramEnd"/>
      <w:r w:rsidRPr="00017FDC">
        <w:rPr>
          <w:rFonts w:ascii="Arial" w:hAnsi="Arial" w:cs="Arial"/>
        </w:rPr>
        <w:cr/>
      </w:r>
      <w:r w:rsidRPr="00017FDC">
        <w:rPr>
          <w:rFonts w:ascii="Arial" w:hAnsi="Arial" w:cs="Arial"/>
        </w:rPr>
        <w:cr/>
        <w:t xml:space="preserve">Kennedy, R., &amp; Ehrenberg, A. (2001b). There is No Brand Segmentation. </w:t>
      </w:r>
      <w:r w:rsidRPr="00017FDC">
        <w:rPr>
          <w:rFonts w:ascii="Arial" w:hAnsi="Arial" w:cs="Arial"/>
          <w:i/>
        </w:rPr>
        <w:t>Marketing Insights, Marketing Research</w:t>
      </w:r>
      <w:r w:rsidRPr="00017FDC">
        <w:rPr>
          <w:rFonts w:ascii="Arial" w:hAnsi="Arial" w:cs="Arial"/>
        </w:rPr>
        <w:t>, 13(1), 4-7.</w:t>
      </w:r>
      <w:r w:rsidRPr="00017FDC">
        <w:rPr>
          <w:rFonts w:ascii="Arial" w:hAnsi="Arial" w:cs="Arial"/>
        </w:rPr>
        <w:cr/>
      </w:r>
      <w:r w:rsidRPr="00017FDC">
        <w:rPr>
          <w:rFonts w:ascii="Arial" w:hAnsi="Arial" w:cs="Arial"/>
        </w:rPr>
        <w:cr/>
        <w:t xml:space="preserve">Kennedy, R., Ehrenberg, A., &amp; Long, S., (2000). Competitive Brands' User-Profiles Hardly Differ. </w:t>
      </w:r>
      <w:r w:rsidRPr="00017FDC">
        <w:rPr>
          <w:rFonts w:ascii="Arial" w:hAnsi="Arial" w:cs="Arial"/>
          <w:i/>
        </w:rPr>
        <w:t>Paper presented at the Market Research Society Conference</w:t>
      </w:r>
      <w:r w:rsidRPr="00017FDC">
        <w:rPr>
          <w:rFonts w:ascii="Arial" w:hAnsi="Arial" w:cs="Arial"/>
        </w:rPr>
        <w:t xml:space="preserve"> (UK), Brighton, England.</w:t>
      </w:r>
      <w:r w:rsidRPr="00017FDC">
        <w:rPr>
          <w:rFonts w:ascii="Arial" w:hAnsi="Arial" w:cs="Arial"/>
        </w:rPr>
        <w:cr/>
      </w:r>
      <w:r w:rsidRPr="00017FDC">
        <w:rPr>
          <w:rFonts w:ascii="Arial" w:hAnsi="Arial" w:cs="Arial"/>
        </w:rPr>
        <w:cr/>
      </w:r>
      <w:proofErr w:type="gramStart"/>
      <w:r w:rsidRPr="00017FDC">
        <w:rPr>
          <w:rFonts w:ascii="Arial" w:hAnsi="Arial" w:cs="Arial"/>
        </w:rPr>
        <w:t>Key Note, 2010.</w:t>
      </w:r>
      <w:proofErr w:type="gramEnd"/>
      <w:r w:rsidRPr="00017FDC">
        <w:rPr>
          <w:rFonts w:ascii="Arial" w:hAnsi="Arial" w:cs="Arial"/>
        </w:rPr>
        <w:t xml:space="preserve"> </w:t>
      </w:r>
      <w:r w:rsidRPr="00017FDC">
        <w:rPr>
          <w:rFonts w:ascii="Arial" w:hAnsi="Arial" w:cs="Arial"/>
          <w:i/>
        </w:rPr>
        <w:t>Clothing and Footwear Industry</w:t>
      </w:r>
      <w:r w:rsidRPr="00017FDC">
        <w:rPr>
          <w:rFonts w:ascii="Arial" w:hAnsi="Arial" w:cs="Arial"/>
        </w:rPr>
        <w:t>, Key Note, London.</w:t>
      </w:r>
      <w:r w:rsidRPr="00017FDC">
        <w:rPr>
          <w:rFonts w:ascii="Arial" w:hAnsi="Arial" w:cs="Arial"/>
        </w:rPr>
        <w:cr/>
      </w:r>
      <w:r w:rsidRPr="00017FDC">
        <w:rPr>
          <w:rFonts w:ascii="Arial" w:hAnsi="Arial" w:cs="Arial"/>
        </w:rPr>
        <w:cr/>
      </w:r>
      <w:proofErr w:type="spellStart"/>
      <w:proofErr w:type="gramStart"/>
      <w:r w:rsidRPr="00017FDC">
        <w:rPr>
          <w:rFonts w:ascii="Arial" w:hAnsi="Arial" w:cs="Arial"/>
        </w:rPr>
        <w:t>Kotler</w:t>
      </w:r>
      <w:proofErr w:type="spellEnd"/>
      <w:r w:rsidRPr="00017FDC">
        <w:rPr>
          <w:rFonts w:ascii="Arial" w:hAnsi="Arial" w:cs="Arial"/>
        </w:rPr>
        <w:t>, P., Brown, L., Burton, S., Deans, K., &amp; Armstrong, G., (2010).</w:t>
      </w:r>
      <w:proofErr w:type="gramEnd"/>
      <w:r w:rsidRPr="00017FDC">
        <w:rPr>
          <w:rFonts w:ascii="Arial" w:hAnsi="Arial" w:cs="Arial"/>
        </w:rPr>
        <w:t xml:space="preserve"> </w:t>
      </w:r>
      <w:r w:rsidRPr="00017FDC">
        <w:rPr>
          <w:rFonts w:ascii="Arial" w:hAnsi="Arial" w:cs="Arial"/>
          <w:i/>
        </w:rPr>
        <w:t xml:space="preserve">Marketing </w:t>
      </w:r>
      <w:r w:rsidRPr="00017FDC">
        <w:rPr>
          <w:rFonts w:ascii="Arial" w:hAnsi="Arial" w:cs="Arial"/>
        </w:rPr>
        <w:t>(8th ed.). Pearson Australia.</w:t>
      </w:r>
      <w:r w:rsidRPr="00017FDC">
        <w:rPr>
          <w:rFonts w:ascii="Arial" w:hAnsi="Arial" w:cs="Arial"/>
        </w:rPr>
        <w:cr/>
      </w:r>
      <w:r w:rsidR="0039175F" w:rsidRPr="00017FDC">
        <w:rPr>
          <w:rFonts w:ascii="Arial" w:hAnsi="Arial" w:cs="Arial"/>
        </w:rPr>
        <w:t xml:space="preserve"> </w:t>
      </w:r>
      <w:r w:rsidRPr="00017FDC">
        <w:rPr>
          <w:rFonts w:ascii="Arial" w:hAnsi="Arial" w:cs="Arial"/>
        </w:rPr>
        <w:cr/>
      </w:r>
      <w:proofErr w:type="spellStart"/>
      <w:r w:rsidRPr="00017FDC">
        <w:rPr>
          <w:rFonts w:ascii="Arial" w:hAnsi="Arial" w:cs="Arial"/>
        </w:rPr>
        <w:t>McCraken</w:t>
      </w:r>
      <w:proofErr w:type="spellEnd"/>
      <w:r w:rsidRPr="00017FDC">
        <w:rPr>
          <w:rFonts w:ascii="Arial" w:hAnsi="Arial" w:cs="Arial"/>
        </w:rPr>
        <w:t xml:space="preserve"> G., and Roth V., (1989). Does clothing have a code? </w:t>
      </w:r>
      <w:proofErr w:type="gramStart"/>
      <w:r w:rsidRPr="00017FDC">
        <w:rPr>
          <w:rFonts w:ascii="Arial" w:hAnsi="Arial" w:cs="Arial"/>
        </w:rPr>
        <w:t>Empirical ﬁndings and theoretical implications in the study of clothing as a means of communication.</w:t>
      </w:r>
      <w:proofErr w:type="gramEnd"/>
      <w:r w:rsidRPr="00017FDC">
        <w:rPr>
          <w:rFonts w:ascii="Arial" w:hAnsi="Arial" w:cs="Arial"/>
        </w:rPr>
        <w:t xml:space="preserve"> </w:t>
      </w:r>
      <w:proofErr w:type="gramStart"/>
      <w:r w:rsidRPr="00017FDC">
        <w:rPr>
          <w:rFonts w:ascii="Arial" w:hAnsi="Arial" w:cs="Arial"/>
          <w:i/>
        </w:rPr>
        <w:t>International Journal of Research in Marketing</w:t>
      </w:r>
      <w:r w:rsidR="00D30F38">
        <w:rPr>
          <w:rFonts w:ascii="Arial" w:hAnsi="Arial" w:cs="Arial"/>
          <w:i/>
        </w:rPr>
        <w:t xml:space="preserve"> </w:t>
      </w:r>
      <w:r w:rsidRPr="00017FDC">
        <w:rPr>
          <w:rFonts w:ascii="Arial" w:hAnsi="Arial" w:cs="Arial"/>
        </w:rPr>
        <w:t>6: 13-33.</w:t>
      </w:r>
      <w:proofErr w:type="gramEnd"/>
      <w:r w:rsidRPr="00017FDC">
        <w:rPr>
          <w:rFonts w:ascii="Arial" w:hAnsi="Arial" w:cs="Arial"/>
        </w:rPr>
        <w:cr/>
      </w:r>
      <w:r w:rsidRPr="00017FDC">
        <w:rPr>
          <w:rFonts w:ascii="Arial" w:hAnsi="Arial" w:cs="Arial"/>
        </w:rPr>
        <w:cr/>
      </w:r>
      <w:r w:rsidR="00FE7949" w:rsidRPr="00D30F38">
        <w:rPr>
          <w:rFonts w:ascii="Arial" w:hAnsi="Arial" w:cs="Arial"/>
          <w:lang w:val="en-US" w:eastAsia="en-US"/>
        </w:rPr>
        <w:t>Mintel, Global Market Navigato</w:t>
      </w:r>
      <w:r w:rsidR="00FE7949" w:rsidRPr="00D30F38">
        <w:rPr>
          <w:rFonts w:ascii="Arial" w:hAnsi="Arial" w:cs="Arial"/>
          <w:lang w:val="en-US"/>
        </w:rPr>
        <w:t>r, 2014</w:t>
      </w:r>
      <w:r w:rsidR="00D30F38" w:rsidRPr="00D30F38">
        <w:rPr>
          <w:rFonts w:ascii="Arial" w:hAnsi="Arial" w:cs="Arial"/>
          <w:lang w:val="en-US"/>
        </w:rPr>
        <w:t xml:space="preserve">, </w:t>
      </w:r>
      <w:r w:rsidRPr="00D30F38">
        <w:rPr>
          <w:rFonts w:ascii="Arial" w:hAnsi="Arial" w:cs="Arial"/>
        </w:rPr>
        <w:t>http://www.mintel.com/press-centre/mintel-corporate/mintel-r</w:t>
      </w:r>
      <w:r w:rsidR="00FE7949" w:rsidRPr="00D30F38">
        <w:rPr>
          <w:rFonts w:ascii="Arial" w:hAnsi="Arial" w:cs="Arial"/>
        </w:rPr>
        <w:t>eveals-consumer-trends-for-204</w:t>
      </w:r>
    </w:p>
    <w:p w14:paraId="752BBD5D" w14:textId="42E5AF65" w:rsidR="00D30F38" w:rsidRDefault="00506CCD" w:rsidP="0039175F">
      <w:pPr>
        <w:spacing w:after="240"/>
        <w:rPr>
          <w:rFonts w:ascii="Arial" w:hAnsi="Arial" w:cs="Arial"/>
        </w:rPr>
      </w:pPr>
      <w:proofErr w:type="gramStart"/>
      <w:r w:rsidRPr="00017FDC">
        <w:rPr>
          <w:rFonts w:ascii="Arial" w:hAnsi="Arial" w:cs="Arial"/>
        </w:rPr>
        <w:t>Moore, C., (1995).</w:t>
      </w:r>
      <w:proofErr w:type="gramEnd"/>
      <w:r w:rsidRPr="00017FDC">
        <w:rPr>
          <w:rFonts w:ascii="Arial" w:hAnsi="Arial" w:cs="Arial"/>
        </w:rPr>
        <w:t xml:space="preserve"> From rags to riches - creating and benefiting from the fashion own-brand. </w:t>
      </w:r>
      <w:proofErr w:type="gramStart"/>
      <w:r w:rsidRPr="00017FDC">
        <w:rPr>
          <w:rFonts w:ascii="Arial" w:hAnsi="Arial" w:cs="Arial"/>
          <w:i/>
        </w:rPr>
        <w:t>International Journal of Retail and Distribution Management</w:t>
      </w:r>
      <w:r w:rsidRPr="00017FDC">
        <w:rPr>
          <w:rFonts w:ascii="Arial" w:hAnsi="Arial" w:cs="Arial"/>
        </w:rPr>
        <w:t>, 23(9): 19-27.</w:t>
      </w:r>
      <w:proofErr w:type="gramEnd"/>
      <w:r w:rsidRPr="00017FDC">
        <w:rPr>
          <w:rFonts w:ascii="Arial" w:hAnsi="Arial" w:cs="Arial"/>
        </w:rPr>
        <w:t xml:space="preserve"> </w:t>
      </w:r>
      <w:r w:rsidRPr="00017FDC">
        <w:rPr>
          <w:rFonts w:ascii="Arial" w:hAnsi="Arial" w:cs="Arial"/>
        </w:rPr>
        <w:cr/>
      </w:r>
      <w:r w:rsidRPr="00017FDC">
        <w:rPr>
          <w:rFonts w:ascii="Arial" w:hAnsi="Arial" w:cs="Arial"/>
        </w:rPr>
        <w:cr/>
      </w:r>
      <w:proofErr w:type="spellStart"/>
      <w:r w:rsidRPr="00017FDC">
        <w:rPr>
          <w:rFonts w:ascii="Arial" w:hAnsi="Arial" w:cs="Arial"/>
        </w:rPr>
        <w:t>O’Regan</w:t>
      </w:r>
      <w:proofErr w:type="spellEnd"/>
      <w:r w:rsidRPr="00017FDC">
        <w:rPr>
          <w:rFonts w:ascii="Arial" w:hAnsi="Arial" w:cs="Arial"/>
        </w:rPr>
        <w:t xml:space="preserve">, M., Ashok, K., </w:t>
      </w:r>
      <w:proofErr w:type="spellStart"/>
      <w:r w:rsidRPr="00017FDC">
        <w:rPr>
          <w:rFonts w:ascii="Arial" w:hAnsi="Arial" w:cs="Arial"/>
        </w:rPr>
        <w:t>Maksimova</w:t>
      </w:r>
      <w:proofErr w:type="spellEnd"/>
      <w:r w:rsidRPr="00017FDC">
        <w:rPr>
          <w:rFonts w:ascii="Arial" w:hAnsi="Arial" w:cs="Arial"/>
        </w:rPr>
        <w:t xml:space="preserve">, O. and </w:t>
      </w:r>
      <w:proofErr w:type="spellStart"/>
      <w:r w:rsidRPr="00017FDC">
        <w:rPr>
          <w:rFonts w:ascii="Arial" w:hAnsi="Arial" w:cs="Arial"/>
        </w:rPr>
        <w:t>Reshetin</w:t>
      </w:r>
      <w:proofErr w:type="spellEnd"/>
      <w:r w:rsidRPr="00017FDC">
        <w:rPr>
          <w:rFonts w:ascii="Arial" w:hAnsi="Arial" w:cs="Arial"/>
        </w:rPr>
        <w:t xml:space="preserve">, O. (2011) Optimizing market segmentation for a global mobile phone provider for both targeting and insight. </w:t>
      </w:r>
      <w:proofErr w:type="gramStart"/>
      <w:r w:rsidRPr="00017FDC">
        <w:rPr>
          <w:rFonts w:ascii="Arial" w:hAnsi="Arial" w:cs="Arial"/>
          <w:i/>
        </w:rPr>
        <w:t>Journal of Advertising Research</w:t>
      </w:r>
      <w:r w:rsidRPr="00017FDC">
        <w:rPr>
          <w:rFonts w:ascii="Arial" w:hAnsi="Arial" w:cs="Arial"/>
        </w:rPr>
        <w:t>, 51(4): 571–577.</w:t>
      </w:r>
      <w:proofErr w:type="gramEnd"/>
      <w:r w:rsidRPr="00017FDC">
        <w:rPr>
          <w:rFonts w:ascii="Arial" w:hAnsi="Arial" w:cs="Arial"/>
        </w:rPr>
        <w:cr/>
      </w:r>
      <w:r w:rsidR="0039175F" w:rsidRPr="00017FDC">
        <w:rPr>
          <w:rFonts w:ascii="Arial" w:hAnsi="Arial" w:cs="Arial"/>
        </w:rPr>
        <w:t xml:space="preserve"> </w:t>
      </w:r>
      <w:r w:rsidRPr="00017FDC">
        <w:rPr>
          <w:rFonts w:ascii="Arial" w:hAnsi="Arial" w:cs="Arial"/>
        </w:rPr>
        <w:cr/>
      </w:r>
      <w:proofErr w:type="spellStart"/>
      <w:proofErr w:type="gramStart"/>
      <w:r w:rsidRPr="00017FDC">
        <w:rPr>
          <w:rFonts w:ascii="Arial" w:hAnsi="Arial" w:cs="Arial"/>
        </w:rPr>
        <w:t>Perna</w:t>
      </w:r>
      <w:proofErr w:type="spellEnd"/>
      <w:r w:rsidRPr="00017FDC">
        <w:rPr>
          <w:rFonts w:ascii="Arial" w:hAnsi="Arial" w:cs="Arial"/>
        </w:rPr>
        <w:t>, R., (1987).</w:t>
      </w:r>
      <w:proofErr w:type="gramEnd"/>
      <w:r w:rsidRPr="00017FDC">
        <w:rPr>
          <w:rFonts w:ascii="Arial" w:hAnsi="Arial" w:cs="Arial"/>
        </w:rPr>
        <w:t xml:space="preserve"> </w:t>
      </w:r>
      <w:r w:rsidRPr="00017FDC">
        <w:rPr>
          <w:rFonts w:ascii="Arial" w:hAnsi="Arial" w:cs="Arial"/>
          <w:i/>
        </w:rPr>
        <w:t>Fashion Forecasting.</w:t>
      </w:r>
      <w:r w:rsidRPr="00017FDC">
        <w:rPr>
          <w:rFonts w:ascii="Arial" w:hAnsi="Arial" w:cs="Arial"/>
        </w:rPr>
        <w:t xml:space="preserve"> London: Fairchild Publications.</w:t>
      </w:r>
      <w:r w:rsidRPr="00017FDC">
        <w:rPr>
          <w:rFonts w:ascii="Arial" w:hAnsi="Arial" w:cs="Arial"/>
        </w:rPr>
        <w:cr/>
      </w:r>
      <w:r w:rsidRPr="00017FDC">
        <w:rPr>
          <w:rFonts w:ascii="Arial" w:hAnsi="Arial" w:cs="Arial"/>
        </w:rPr>
        <w:cr/>
      </w:r>
      <w:proofErr w:type="spellStart"/>
      <w:proofErr w:type="gramStart"/>
      <w:r w:rsidRPr="00017FDC">
        <w:rPr>
          <w:rFonts w:ascii="Arial" w:hAnsi="Arial" w:cs="Arial"/>
        </w:rPr>
        <w:t>Polhemus</w:t>
      </w:r>
      <w:proofErr w:type="spellEnd"/>
      <w:r w:rsidRPr="00017FDC">
        <w:rPr>
          <w:rFonts w:ascii="Arial" w:hAnsi="Arial" w:cs="Arial"/>
        </w:rPr>
        <w:t>, T., Procter, L., (1978).</w:t>
      </w:r>
      <w:proofErr w:type="gramEnd"/>
      <w:r w:rsidRPr="00017FDC">
        <w:rPr>
          <w:rFonts w:ascii="Arial" w:hAnsi="Arial" w:cs="Arial"/>
        </w:rPr>
        <w:t xml:space="preserve"> </w:t>
      </w:r>
      <w:proofErr w:type="gramStart"/>
      <w:r w:rsidRPr="00017FDC">
        <w:rPr>
          <w:rFonts w:ascii="Arial" w:hAnsi="Arial" w:cs="Arial"/>
          <w:i/>
        </w:rPr>
        <w:t>Fashion and Anti-fashion and Anthropology of Clothing and Adornment</w:t>
      </w:r>
      <w:r w:rsidRPr="00017FDC">
        <w:rPr>
          <w:rFonts w:ascii="Arial" w:hAnsi="Arial" w:cs="Arial"/>
        </w:rPr>
        <w:t>.</w:t>
      </w:r>
      <w:proofErr w:type="gramEnd"/>
      <w:r w:rsidRPr="00017FDC">
        <w:rPr>
          <w:rFonts w:ascii="Arial" w:hAnsi="Arial" w:cs="Arial"/>
        </w:rPr>
        <w:t xml:space="preserve"> London: Thames &amp; Hudson.</w:t>
      </w:r>
      <w:r w:rsidRPr="00017FDC">
        <w:rPr>
          <w:rFonts w:ascii="Arial" w:hAnsi="Arial" w:cs="Arial"/>
        </w:rPr>
        <w:cr/>
      </w:r>
      <w:r w:rsidRPr="00017FDC">
        <w:rPr>
          <w:rFonts w:ascii="Arial" w:hAnsi="Arial" w:cs="Arial"/>
        </w:rPr>
        <w:cr/>
      </w:r>
      <w:proofErr w:type="spellStart"/>
      <w:proofErr w:type="gramStart"/>
      <w:r w:rsidRPr="00017FDC">
        <w:rPr>
          <w:rFonts w:ascii="Arial" w:hAnsi="Arial" w:cs="Arial"/>
        </w:rPr>
        <w:t>Pookulangara</w:t>
      </w:r>
      <w:proofErr w:type="spellEnd"/>
      <w:r w:rsidRPr="00017FDC">
        <w:rPr>
          <w:rFonts w:ascii="Arial" w:hAnsi="Arial" w:cs="Arial"/>
        </w:rPr>
        <w:t xml:space="preserve">, S., </w:t>
      </w:r>
      <w:proofErr w:type="spellStart"/>
      <w:r w:rsidRPr="00017FDC">
        <w:rPr>
          <w:rFonts w:ascii="Arial" w:hAnsi="Arial" w:cs="Arial"/>
        </w:rPr>
        <w:t>Shephard</w:t>
      </w:r>
      <w:proofErr w:type="spellEnd"/>
      <w:r w:rsidRPr="00017FDC">
        <w:rPr>
          <w:rFonts w:ascii="Arial" w:hAnsi="Arial" w:cs="Arial"/>
        </w:rPr>
        <w:t xml:space="preserve">, A., </w:t>
      </w:r>
      <w:proofErr w:type="spellStart"/>
      <w:r w:rsidRPr="00017FDC">
        <w:rPr>
          <w:rFonts w:ascii="Arial" w:hAnsi="Arial" w:cs="Arial"/>
        </w:rPr>
        <w:t>Mestres</w:t>
      </w:r>
      <w:proofErr w:type="spellEnd"/>
      <w:r w:rsidRPr="00017FDC">
        <w:rPr>
          <w:rFonts w:ascii="Arial" w:hAnsi="Arial" w:cs="Arial"/>
        </w:rPr>
        <w:t>, J. (2011).</w:t>
      </w:r>
      <w:proofErr w:type="gramEnd"/>
      <w:r w:rsidRPr="00017FDC">
        <w:rPr>
          <w:rFonts w:ascii="Arial" w:hAnsi="Arial" w:cs="Arial"/>
        </w:rPr>
        <w:t xml:space="preserve"> University community’s perception of sweatshops: a mixed method data collection. </w:t>
      </w:r>
      <w:r w:rsidRPr="00017FDC">
        <w:rPr>
          <w:rFonts w:ascii="Arial" w:hAnsi="Arial" w:cs="Arial"/>
          <w:i/>
        </w:rPr>
        <w:t>International Journal of Consumer Studies,</w:t>
      </w:r>
      <w:r w:rsidR="00D30F38">
        <w:rPr>
          <w:rFonts w:ascii="Arial" w:hAnsi="Arial" w:cs="Arial"/>
        </w:rPr>
        <w:t xml:space="preserve"> 35(4): 476–483, </w:t>
      </w:r>
    </w:p>
    <w:p w14:paraId="3E592A9F" w14:textId="77777777" w:rsidR="00D30F38" w:rsidRPr="00017FDC" w:rsidRDefault="00D30F38" w:rsidP="00D30F38">
      <w:pPr>
        <w:autoSpaceDE w:val="0"/>
        <w:autoSpaceDN w:val="0"/>
        <w:adjustRightInd w:val="0"/>
        <w:spacing w:after="0"/>
        <w:jc w:val="both"/>
        <w:rPr>
          <w:rFonts w:ascii="Arial" w:hAnsi="Arial" w:cs="Arial"/>
          <w:lang w:val="en-US"/>
        </w:rPr>
      </w:pPr>
      <w:proofErr w:type="spellStart"/>
      <w:r w:rsidRPr="00017FDC">
        <w:rPr>
          <w:rFonts w:ascii="Arial" w:hAnsi="Arial" w:cs="Arial"/>
          <w:lang w:val="en-US"/>
        </w:rPr>
        <w:t>Reportlinker</w:t>
      </w:r>
      <w:proofErr w:type="spellEnd"/>
      <w:r w:rsidRPr="00017FDC">
        <w:rPr>
          <w:rFonts w:ascii="Arial" w:hAnsi="Arial" w:cs="Arial"/>
          <w:lang w:val="en-US"/>
        </w:rPr>
        <w:t>, Fashion Industry, 2015</w:t>
      </w:r>
      <w:r>
        <w:rPr>
          <w:rFonts w:ascii="Arial" w:hAnsi="Arial" w:cs="Arial"/>
          <w:lang w:val="en-US"/>
        </w:rPr>
        <w:t xml:space="preserve">, </w:t>
      </w:r>
      <w:r w:rsidRPr="00D30F38">
        <w:rPr>
          <w:rFonts w:ascii="Arial" w:hAnsi="Arial" w:cs="Arial"/>
          <w:lang w:val="en-US"/>
        </w:rPr>
        <w:t>http://www.reportlinker.com</w:t>
      </w:r>
    </w:p>
    <w:p w14:paraId="7DC4FD9C" w14:textId="77777777" w:rsidR="00D30F38" w:rsidRPr="00017FDC" w:rsidRDefault="00D30F38" w:rsidP="00D30F38">
      <w:pPr>
        <w:autoSpaceDE w:val="0"/>
        <w:autoSpaceDN w:val="0"/>
        <w:adjustRightInd w:val="0"/>
        <w:spacing w:after="0"/>
        <w:jc w:val="both"/>
        <w:rPr>
          <w:rFonts w:ascii="Arial" w:hAnsi="Arial" w:cs="Arial"/>
          <w:lang w:val="en-US"/>
        </w:rPr>
      </w:pPr>
    </w:p>
    <w:p w14:paraId="09424070" w14:textId="77777777" w:rsidR="00D30F38" w:rsidRPr="00017FDC" w:rsidRDefault="00D30F38" w:rsidP="00D30F38">
      <w:pPr>
        <w:autoSpaceDE w:val="0"/>
        <w:autoSpaceDN w:val="0"/>
        <w:adjustRightInd w:val="0"/>
        <w:spacing w:after="0"/>
        <w:jc w:val="both"/>
        <w:rPr>
          <w:rFonts w:ascii="Arial" w:hAnsi="Arial" w:cs="Arial"/>
          <w:lang w:val="en-US"/>
        </w:rPr>
      </w:pPr>
      <w:r w:rsidRPr="00017FDC">
        <w:rPr>
          <w:rFonts w:ascii="Arial" w:hAnsi="Arial" w:cs="Arial"/>
          <w:lang w:val="en-US"/>
        </w:rPr>
        <w:t xml:space="preserve">Retail Intelligence (2001), Cross-border Retailing. </w:t>
      </w:r>
      <w:proofErr w:type="gramStart"/>
      <w:r w:rsidRPr="00017FDC">
        <w:rPr>
          <w:rFonts w:ascii="Arial" w:hAnsi="Arial" w:cs="Arial"/>
          <w:i/>
          <w:lang w:val="en-US"/>
        </w:rPr>
        <w:t>Retail Intelligence</w:t>
      </w:r>
      <w:r w:rsidRPr="00017FDC">
        <w:rPr>
          <w:rFonts w:ascii="Arial" w:hAnsi="Arial" w:cs="Arial"/>
          <w:lang w:val="en-US"/>
        </w:rPr>
        <w:t>, London.</w:t>
      </w:r>
      <w:proofErr w:type="gramEnd"/>
      <w:r w:rsidRPr="00017FDC">
        <w:rPr>
          <w:rFonts w:ascii="Arial" w:hAnsi="Arial" w:cs="Arial"/>
          <w:lang w:val="en-US"/>
        </w:rPr>
        <w:t xml:space="preserve"> </w:t>
      </w:r>
    </w:p>
    <w:p w14:paraId="0D23D761" w14:textId="1886C28A" w:rsidR="00B47497" w:rsidRPr="00017FDC" w:rsidRDefault="0039175F" w:rsidP="00D30F38">
      <w:pPr>
        <w:spacing w:after="240"/>
        <w:rPr>
          <w:rFonts w:ascii="Arial" w:hAnsi="Arial" w:cs="Arial"/>
          <w:lang w:val="en-US"/>
        </w:rPr>
      </w:pPr>
      <w:r w:rsidRPr="00017FDC">
        <w:rPr>
          <w:rFonts w:ascii="Arial" w:hAnsi="Arial" w:cs="Arial"/>
        </w:rPr>
        <w:t xml:space="preserve"> </w:t>
      </w:r>
      <w:r w:rsidR="00506CCD" w:rsidRPr="00017FDC">
        <w:rPr>
          <w:rFonts w:ascii="Arial" w:hAnsi="Arial" w:cs="Arial"/>
        </w:rPr>
        <w:cr/>
      </w:r>
      <w:proofErr w:type="spellStart"/>
      <w:r w:rsidR="00506CCD" w:rsidRPr="00017FDC">
        <w:rPr>
          <w:rFonts w:ascii="Arial" w:hAnsi="Arial" w:cs="Arial"/>
        </w:rPr>
        <w:t>Sull</w:t>
      </w:r>
      <w:proofErr w:type="spellEnd"/>
      <w:r w:rsidR="00506CCD" w:rsidRPr="00017FDC">
        <w:rPr>
          <w:rFonts w:ascii="Arial" w:hAnsi="Arial" w:cs="Arial"/>
        </w:rPr>
        <w:t xml:space="preserve">, D., </w:t>
      </w:r>
      <w:proofErr w:type="spellStart"/>
      <w:r w:rsidR="00506CCD" w:rsidRPr="00017FDC">
        <w:rPr>
          <w:rFonts w:ascii="Arial" w:hAnsi="Arial" w:cs="Arial"/>
        </w:rPr>
        <w:t>Turconi</w:t>
      </w:r>
      <w:proofErr w:type="spellEnd"/>
      <w:r w:rsidR="00506CCD" w:rsidRPr="00017FDC">
        <w:rPr>
          <w:rFonts w:ascii="Arial" w:hAnsi="Arial" w:cs="Arial"/>
        </w:rPr>
        <w:t xml:space="preserve">, S., (2008). Fast fashion lessons. </w:t>
      </w:r>
      <w:r w:rsidR="00506CCD" w:rsidRPr="00017FDC">
        <w:rPr>
          <w:rFonts w:ascii="Arial" w:hAnsi="Arial" w:cs="Arial"/>
          <w:i/>
        </w:rPr>
        <w:t>Business Strategy Review</w:t>
      </w:r>
      <w:r w:rsidR="00506CCD" w:rsidRPr="00017FDC">
        <w:rPr>
          <w:rFonts w:ascii="Arial" w:hAnsi="Arial" w:cs="Arial"/>
        </w:rPr>
        <w:t xml:space="preserve"> 19 (2), 4–11. </w:t>
      </w:r>
      <w:r w:rsidR="00506CCD" w:rsidRPr="00017FDC">
        <w:rPr>
          <w:rFonts w:ascii="Arial" w:hAnsi="Arial" w:cs="Arial"/>
        </w:rPr>
        <w:cr/>
      </w:r>
      <w:r w:rsidR="00506CCD" w:rsidRPr="00017FDC">
        <w:rPr>
          <w:rFonts w:ascii="Arial" w:hAnsi="Arial" w:cs="Arial"/>
        </w:rPr>
        <w:cr/>
      </w:r>
      <w:proofErr w:type="gramStart"/>
      <w:r w:rsidR="00506CCD" w:rsidRPr="00017FDC">
        <w:rPr>
          <w:rFonts w:ascii="Arial" w:hAnsi="Arial" w:cs="Arial"/>
        </w:rPr>
        <w:t>Uncles, M. D., &amp; Wright, M., (2004).</w:t>
      </w:r>
      <w:proofErr w:type="gramEnd"/>
      <w:r w:rsidR="00506CCD" w:rsidRPr="00017FDC">
        <w:rPr>
          <w:rFonts w:ascii="Arial" w:hAnsi="Arial" w:cs="Arial"/>
        </w:rPr>
        <w:t xml:space="preserve"> Editorial: empirical generalisation in marketing. [Editorial]. </w:t>
      </w:r>
      <w:proofErr w:type="gramStart"/>
      <w:r w:rsidR="00506CCD" w:rsidRPr="00017FDC">
        <w:rPr>
          <w:rFonts w:ascii="Arial" w:hAnsi="Arial" w:cs="Arial"/>
          <w:i/>
        </w:rPr>
        <w:t>Australasian Marketing Journal</w:t>
      </w:r>
      <w:r w:rsidR="00506CCD" w:rsidRPr="00017FDC">
        <w:rPr>
          <w:rFonts w:ascii="Arial" w:hAnsi="Arial" w:cs="Arial"/>
        </w:rPr>
        <w:t>, 12(3), 5-12.</w:t>
      </w:r>
      <w:proofErr w:type="gramEnd"/>
      <w:r w:rsidR="00506CCD" w:rsidRPr="00017FDC">
        <w:rPr>
          <w:rFonts w:ascii="Arial" w:hAnsi="Arial" w:cs="Arial"/>
        </w:rPr>
        <w:cr/>
      </w:r>
      <w:r w:rsidR="00506CCD" w:rsidRPr="00017FDC">
        <w:rPr>
          <w:rFonts w:ascii="Arial" w:hAnsi="Arial" w:cs="Arial"/>
        </w:rPr>
        <w:cr/>
      </w:r>
      <w:r w:rsidR="00506CCD" w:rsidRPr="00017FDC">
        <w:rPr>
          <w:rFonts w:ascii="Arial" w:hAnsi="Arial" w:cs="Arial"/>
          <w:color w:val="000000"/>
        </w:rPr>
        <w:t xml:space="preserve">Uncles, M., Kennedy, R., </w:t>
      </w:r>
      <w:proofErr w:type="spellStart"/>
      <w:r w:rsidR="00506CCD" w:rsidRPr="00017FDC">
        <w:rPr>
          <w:rFonts w:ascii="Arial" w:hAnsi="Arial" w:cs="Arial"/>
          <w:color w:val="000000"/>
        </w:rPr>
        <w:t>Nenycz-Thiel</w:t>
      </w:r>
      <w:proofErr w:type="spellEnd"/>
      <w:r w:rsidR="00506CCD" w:rsidRPr="00017FDC">
        <w:rPr>
          <w:rFonts w:ascii="Arial" w:hAnsi="Arial" w:cs="Arial"/>
          <w:color w:val="000000"/>
        </w:rPr>
        <w:t xml:space="preserve">, M., Singh, J., &amp; Kwok, S., (2012). User Profiles for Directly Competing Brands Seldom Differ: </w:t>
      </w:r>
      <w:proofErr w:type="spellStart"/>
      <w:r w:rsidR="00506CCD" w:rsidRPr="00017FDC">
        <w:rPr>
          <w:rFonts w:ascii="Arial" w:hAnsi="Arial" w:cs="Arial"/>
          <w:color w:val="000000"/>
        </w:rPr>
        <w:t>Reexamining</w:t>
      </w:r>
      <w:proofErr w:type="spellEnd"/>
      <w:r w:rsidR="00506CCD" w:rsidRPr="00017FDC">
        <w:rPr>
          <w:rFonts w:ascii="Arial" w:hAnsi="Arial" w:cs="Arial"/>
          <w:color w:val="000000"/>
        </w:rPr>
        <w:t xml:space="preserve"> the Evidence. </w:t>
      </w:r>
      <w:r w:rsidR="00506CCD" w:rsidRPr="00017FDC">
        <w:rPr>
          <w:rFonts w:ascii="Arial" w:hAnsi="Arial" w:cs="Arial"/>
          <w:i/>
          <w:color w:val="000000"/>
        </w:rPr>
        <w:t>Journal of Advertising Research</w:t>
      </w:r>
      <w:r w:rsidR="00506CCD" w:rsidRPr="00017FDC">
        <w:rPr>
          <w:rFonts w:ascii="Arial" w:hAnsi="Arial" w:cs="Arial"/>
          <w:color w:val="000000"/>
        </w:rPr>
        <w:t>, 52(2)</w:t>
      </w:r>
      <w:proofErr w:type="gramStart"/>
      <w:r w:rsidR="00506CCD" w:rsidRPr="00017FDC">
        <w:rPr>
          <w:rFonts w:ascii="Arial" w:hAnsi="Arial" w:cs="Arial"/>
          <w:color w:val="000000"/>
        </w:rPr>
        <w:t>:252</w:t>
      </w:r>
      <w:proofErr w:type="gramEnd"/>
      <w:r w:rsidR="00506CCD" w:rsidRPr="00017FDC">
        <w:rPr>
          <w:rFonts w:ascii="Arial" w:hAnsi="Arial" w:cs="Arial"/>
          <w:color w:val="000000"/>
        </w:rPr>
        <w:t>-261.</w:t>
      </w:r>
      <w:r w:rsidR="00506CCD" w:rsidRPr="00017FDC">
        <w:rPr>
          <w:rFonts w:ascii="Arial" w:hAnsi="Arial" w:cs="Arial"/>
          <w:color w:val="000000"/>
        </w:rPr>
        <w:cr/>
      </w:r>
    </w:p>
    <w:sectPr w:rsidR="00B47497" w:rsidRPr="00017FDC" w:rsidSect="00ED53DB">
      <w:pgSz w:w="12240" w:h="15840"/>
      <w:pgMar w:top="1418" w:right="1418"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1C6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E71D1"/>
    <w:multiLevelType w:val="multilevel"/>
    <w:tmpl w:val="34145D86"/>
    <w:lvl w:ilvl="0">
      <w:start w:val="1"/>
      <w:numFmt w:val="bullet"/>
      <w:lvlText w:val=""/>
      <w:lvlJc w:val="left"/>
      <w:pPr>
        <w:tabs>
          <w:tab w:val="num" w:pos="300"/>
        </w:tabs>
        <w:ind w:left="300" w:hanging="360"/>
      </w:pPr>
      <w:rPr>
        <w:rFonts w:ascii="Symbol" w:hAnsi="Symbol"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02ED68CB"/>
    <w:multiLevelType w:val="multilevel"/>
    <w:tmpl w:val="9460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F015A2"/>
    <w:multiLevelType w:val="hybridMultilevel"/>
    <w:tmpl w:val="A82C25CA"/>
    <w:lvl w:ilvl="0" w:tplc="6C88F940">
      <w:numFmt w:val="bullet"/>
      <w:lvlText w:val="-"/>
      <w:lvlJc w:val="left"/>
      <w:pPr>
        <w:ind w:left="720" w:hanging="360"/>
      </w:pPr>
      <w:rPr>
        <w:rFonts w:ascii="Calibri" w:eastAsia="Calibri" w:hAnsi="Calibri" w:cs="Times New Roman" w:hint="default"/>
        <w:sz w:val="27"/>
      </w:rPr>
    </w:lvl>
    <w:lvl w:ilvl="1" w:tplc="0C0A0003">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696080"/>
    <w:multiLevelType w:val="hybridMultilevel"/>
    <w:tmpl w:val="A7FC1294"/>
    <w:lvl w:ilvl="0" w:tplc="BFCA1F5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FAF2220"/>
    <w:multiLevelType w:val="hybridMultilevel"/>
    <w:tmpl w:val="4700602E"/>
    <w:lvl w:ilvl="0" w:tplc="E3C218EA">
      <w:start w:val="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687A28"/>
    <w:multiLevelType w:val="hybridMultilevel"/>
    <w:tmpl w:val="43A0AAA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94"/>
    <w:rsid w:val="00017FDC"/>
    <w:rsid w:val="000401D7"/>
    <w:rsid w:val="000607E8"/>
    <w:rsid w:val="000A4766"/>
    <w:rsid w:val="000B4395"/>
    <w:rsid w:val="000D2A64"/>
    <w:rsid w:val="000E56C4"/>
    <w:rsid w:val="00112F85"/>
    <w:rsid w:val="00126E73"/>
    <w:rsid w:val="00134A54"/>
    <w:rsid w:val="001573FF"/>
    <w:rsid w:val="00174153"/>
    <w:rsid w:val="0019091D"/>
    <w:rsid w:val="001A3D0E"/>
    <w:rsid w:val="001C7986"/>
    <w:rsid w:val="001D636A"/>
    <w:rsid w:val="001E7B72"/>
    <w:rsid w:val="00211954"/>
    <w:rsid w:val="002210DE"/>
    <w:rsid w:val="00233D82"/>
    <w:rsid w:val="002B0CFE"/>
    <w:rsid w:val="002B2957"/>
    <w:rsid w:val="002E5298"/>
    <w:rsid w:val="00311DE8"/>
    <w:rsid w:val="003152F2"/>
    <w:rsid w:val="0034551A"/>
    <w:rsid w:val="00362B42"/>
    <w:rsid w:val="003820E9"/>
    <w:rsid w:val="0039175F"/>
    <w:rsid w:val="003A0B95"/>
    <w:rsid w:val="003F0A9F"/>
    <w:rsid w:val="00407A8D"/>
    <w:rsid w:val="00433624"/>
    <w:rsid w:val="004559B3"/>
    <w:rsid w:val="00472594"/>
    <w:rsid w:val="004902AC"/>
    <w:rsid w:val="004A0D91"/>
    <w:rsid w:val="004A6D43"/>
    <w:rsid w:val="004E5777"/>
    <w:rsid w:val="004E58AE"/>
    <w:rsid w:val="004E71E0"/>
    <w:rsid w:val="0050192B"/>
    <w:rsid w:val="00506CCD"/>
    <w:rsid w:val="00550571"/>
    <w:rsid w:val="005B6EC2"/>
    <w:rsid w:val="005D558A"/>
    <w:rsid w:val="005E082C"/>
    <w:rsid w:val="005E3DFD"/>
    <w:rsid w:val="005F0D25"/>
    <w:rsid w:val="00637BA1"/>
    <w:rsid w:val="00666663"/>
    <w:rsid w:val="00681E6A"/>
    <w:rsid w:val="006C0E3B"/>
    <w:rsid w:val="006F3036"/>
    <w:rsid w:val="006F7A89"/>
    <w:rsid w:val="0072236C"/>
    <w:rsid w:val="0075155E"/>
    <w:rsid w:val="00756100"/>
    <w:rsid w:val="00785CD4"/>
    <w:rsid w:val="007C61FA"/>
    <w:rsid w:val="007D2244"/>
    <w:rsid w:val="007F31C4"/>
    <w:rsid w:val="008026BD"/>
    <w:rsid w:val="0089163E"/>
    <w:rsid w:val="008A7C97"/>
    <w:rsid w:val="008E391A"/>
    <w:rsid w:val="009349AA"/>
    <w:rsid w:val="00935713"/>
    <w:rsid w:val="00950DB4"/>
    <w:rsid w:val="00962B45"/>
    <w:rsid w:val="00963DDF"/>
    <w:rsid w:val="00975484"/>
    <w:rsid w:val="00993A1A"/>
    <w:rsid w:val="009C1D9A"/>
    <w:rsid w:val="009D28D9"/>
    <w:rsid w:val="009E3E36"/>
    <w:rsid w:val="009E71EC"/>
    <w:rsid w:val="009F7F46"/>
    <w:rsid w:val="00A1245C"/>
    <w:rsid w:val="00A16245"/>
    <w:rsid w:val="00A20FF8"/>
    <w:rsid w:val="00A46EA7"/>
    <w:rsid w:val="00AA276E"/>
    <w:rsid w:val="00AB1C81"/>
    <w:rsid w:val="00AC6036"/>
    <w:rsid w:val="00B06088"/>
    <w:rsid w:val="00B13090"/>
    <w:rsid w:val="00B1345A"/>
    <w:rsid w:val="00B262BC"/>
    <w:rsid w:val="00B272CD"/>
    <w:rsid w:val="00B47497"/>
    <w:rsid w:val="00B80F72"/>
    <w:rsid w:val="00B84648"/>
    <w:rsid w:val="00BA2192"/>
    <w:rsid w:val="00BA4DBA"/>
    <w:rsid w:val="00BA7C79"/>
    <w:rsid w:val="00BC6646"/>
    <w:rsid w:val="00BD48F0"/>
    <w:rsid w:val="00C54164"/>
    <w:rsid w:val="00C70E09"/>
    <w:rsid w:val="00C86303"/>
    <w:rsid w:val="00C96767"/>
    <w:rsid w:val="00CB1B12"/>
    <w:rsid w:val="00CD6E43"/>
    <w:rsid w:val="00CE3C1A"/>
    <w:rsid w:val="00CE6E78"/>
    <w:rsid w:val="00D00BD1"/>
    <w:rsid w:val="00D1571B"/>
    <w:rsid w:val="00D20D9B"/>
    <w:rsid w:val="00D30F38"/>
    <w:rsid w:val="00D444A5"/>
    <w:rsid w:val="00D45B82"/>
    <w:rsid w:val="00D51390"/>
    <w:rsid w:val="00D545C0"/>
    <w:rsid w:val="00D676B6"/>
    <w:rsid w:val="00D72EAC"/>
    <w:rsid w:val="00D76A31"/>
    <w:rsid w:val="00DA78A9"/>
    <w:rsid w:val="00DB61A4"/>
    <w:rsid w:val="00DD4982"/>
    <w:rsid w:val="00DD777A"/>
    <w:rsid w:val="00DE02F7"/>
    <w:rsid w:val="00E62EEF"/>
    <w:rsid w:val="00E66675"/>
    <w:rsid w:val="00E97397"/>
    <w:rsid w:val="00EC22B7"/>
    <w:rsid w:val="00ED1037"/>
    <w:rsid w:val="00ED53DB"/>
    <w:rsid w:val="00F20FC4"/>
    <w:rsid w:val="00F22C0F"/>
    <w:rsid w:val="00F23B7E"/>
    <w:rsid w:val="00F362CA"/>
    <w:rsid w:val="00F61BB6"/>
    <w:rsid w:val="00F62C3D"/>
    <w:rsid w:val="00F649D3"/>
    <w:rsid w:val="00FB57A0"/>
    <w:rsid w:val="00FC1312"/>
    <w:rsid w:val="00FD2E80"/>
    <w:rsid w:val="00FE7949"/>
    <w:rsid w:val="00FF2F53"/>
    <w:rsid w:val="00FF73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1C5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F5"/>
    <w:pPr>
      <w:spacing w:after="200"/>
    </w:pPr>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94"/>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472594"/>
    <w:rPr>
      <w:rFonts w:ascii="Lucida Grande" w:hAnsi="Lucida Grande" w:cs="Lucida Grande"/>
      <w:sz w:val="18"/>
      <w:szCs w:val="18"/>
    </w:rPr>
  </w:style>
  <w:style w:type="paragraph" w:styleId="NormalWeb">
    <w:name w:val="Normal (Web)"/>
    <w:basedOn w:val="Normal"/>
    <w:uiPriority w:val="99"/>
    <w:unhideWhenUsed/>
    <w:rsid w:val="00755E2F"/>
    <w:pPr>
      <w:spacing w:before="100" w:beforeAutospacing="1" w:after="100" w:afterAutospacing="1"/>
    </w:pPr>
    <w:rPr>
      <w:rFonts w:ascii="Times New Roman" w:eastAsia="Times New Roman" w:hAnsi="Times New Roman"/>
      <w:lang w:val="es-ES" w:eastAsia="es-ES"/>
    </w:rPr>
  </w:style>
  <w:style w:type="character" w:styleId="Hyperlink">
    <w:name w:val="Hyperlink"/>
    <w:unhideWhenUsed/>
    <w:rsid w:val="00755E2F"/>
    <w:rPr>
      <w:color w:val="0000FF"/>
      <w:u w:val="single"/>
    </w:rPr>
  </w:style>
  <w:style w:type="paragraph" w:styleId="BodyText">
    <w:name w:val="Body Text"/>
    <w:basedOn w:val="Normal"/>
    <w:link w:val="BodyTextChar"/>
    <w:rsid w:val="007B6FAB"/>
    <w:pPr>
      <w:spacing w:after="0" w:line="360" w:lineRule="auto"/>
    </w:pPr>
    <w:rPr>
      <w:rFonts w:ascii="Times New Roman" w:eastAsia="Times New Roman" w:hAnsi="Times New Roman"/>
      <w:szCs w:val="20"/>
      <w:lang w:val="en-US" w:eastAsia="en-US"/>
    </w:rPr>
  </w:style>
  <w:style w:type="character" w:customStyle="1" w:styleId="BodyTextChar">
    <w:name w:val="Body Text Char"/>
    <w:link w:val="BodyText"/>
    <w:rsid w:val="007B6FAB"/>
    <w:rPr>
      <w:rFonts w:ascii="Times New Roman" w:eastAsia="Times New Roman" w:hAnsi="Times New Roman" w:cs="Times New Roman"/>
      <w:szCs w:val="20"/>
      <w:lang w:val="en-US" w:eastAsia="en-US"/>
    </w:rPr>
  </w:style>
  <w:style w:type="paragraph" w:styleId="BodyText2">
    <w:name w:val="Body Text 2"/>
    <w:basedOn w:val="Normal"/>
    <w:link w:val="BodyText2Char"/>
    <w:rsid w:val="007B6FAB"/>
    <w:pPr>
      <w:widowControl w:val="0"/>
      <w:spacing w:after="0" w:line="360" w:lineRule="auto"/>
      <w:jc w:val="both"/>
    </w:pPr>
    <w:rPr>
      <w:rFonts w:ascii="Times New Roman" w:eastAsia="Times New Roman" w:hAnsi="Times New Roman"/>
      <w:szCs w:val="20"/>
      <w:lang w:val="en-US" w:eastAsia="en-US"/>
    </w:rPr>
  </w:style>
  <w:style w:type="character" w:customStyle="1" w:styleId="BodyText2Char">
    <w:name w:val="Body Text 2 Char"/>
    <w:link w:val="BodyText2"/>
    <w:rsid w:val="007B6FAB"/>
    <w:rPr>
      <w:rFonts w:ascii="Times New Roman" w:eastAsia="Times New Roman" w:hAnsi="Times New Roman" w:cs="Times New Roman"/>
      <w:szCs w:val="20"/>
      <w:lang w:val="en-US" w:eastAsia="en-US"/>
    </w:rPr>
  </w:style>
  <w:style w:type="character" w:styleId="FollowedHyperlink">
    <w:name w:val="FollowedHyperlink"/>
    <w:uiPriority w:val="99"/>
    <w:semiHidden/>
    <w:unhideWhenUsed/>
    <w:rsid w:val="00702400"/>
    <w:rPr>
      <w:color w:val="800080"/>
      <w:u w:val="single"/>
    </w:rPr>
  </w:style>
  <w:style w:type="paragraph" w:styleId="ListParagraph">
    <w:name w:val="List Paragraph"/>
    <w:basedOn w:val="Normal"/>
    <w:uiPriority w:val="34"/>
    <w:qFormat/>
    <w:rsid w:val="00FF2A7D"/>
    <w:pPr>
      <w:spacing w:line="276" w:lineRule="auto"/>
      <w:ind w:left="720"/>
      <w:contextualSpacing/>
    </w:pPr>
    <w:rPr>
      <w:rFonts w:ascii="Calibri" w:eastAsia="Calibri" w:hAnsi="Calibri"/>
      <w:sz w:val="22"/>
      <w:szCs w:val="22"/>
      <w:lang w:val="es-ES" w:eastAsia="en-US"/>
    </w:rPr>
  </w:style>
  <w:style w:type="character" w:styleId="Strong">
    <w:name w:val="Strong"/>
    <w:uiPriority w:val="22"/>
    <w:qFormat/>
    <w:rsid w:val="00FF2F53"/>
    <w:rPr>
      <w:b/>
      <w:bCs/>
    </w:rPr>
  </w:style>
  <w:style w:type="character" w:customStyle="1" w:styleId="journal7">
    <w:name w:val="journal7"/>
    <w:rsid w:val="00F62C3D"/>
    <w:rPr>
      <w:i/>
      <w:iCs/>
    </w:rPr>
  </w:style>
  <w:style w:type="character" w:customStyle="1" w:styleId="jnumber1">
    <w:name w:val="jnumber1"/>
    <w:rsid w:val="00F62C3D"/>
    <w:rPr>
      <w:b/>
      <w:bCs/>
    </w:rPr>
  </w:style>
  <w:style w:type="table" w:styleId="TableGrid">
    <w:name w:val="Table Grid"/>
    <w:basedOn w:val="TableNormal"/>
    <w:uiPriority w:val="59"/>
    <w:rsid w:val="00934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F5"/>
    <w:pPr>
      <w:spacing w:after="200"/>
    </w:pPr>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94"/>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472594"/>
    <w:rPr>
      <w:rFonts w:ascii="Lucida Grande" w:hAnsi="Lucida Grande" w:cs="Lucida Grande"/>
      <w:sz w:val="18"/>
      <w:szCs w:val="18"/>
    </w:rPr>
  </w:style>
  <w:style w:type="paragraph" w:styleId="NormalWeb">
    <w:name w:val="Normal (Web)"/>
    <w:basedOn w:val="Normal"/>
    <w:uiPriority w:val="99"/>
    <w:unhideWhenUsed/>
    <w:rsid w:val="00755E2F"/>
    <w:pPr>
      <w:spacing w:before="100" w:beforeAutospacing="1" w:after="100" w:afterAutospacing="1"/>
    </w:pPr>
    <w:rPr>
      <w:rFonts w:ascii="Times New Roman" w:eastAsia="Times New Roman" w:hAnsi="Times New Roman"/>
      <w:lang w:val="es-ES" w:eastAsia="es-ES"/>
    </w:rPr>
  </w:style>
  <w:style w:type="character" w:styleId="Hyperlink">
    <w:name w:val="Hyperlink"/>
    <w:unhideWhenUsed/>
    <w:rsid w:val="00755E2F"/>
    <w:rPr>
      <w:color w:val="0000FF"/>
      <w:u w:val="single"/>
    </w:rPr>
  </w:style>
  <w:style w:type="paragraph" w:styleId="BodyText">
    <w:name w:val="Body Text"/>
    <w:basedOn w:val="Normal"/>
    <w:link w:val="BodyTextChar"/>
    <w:rsid w:val="007B6FAB"/>
    <w:pPr>
      <w:spacing w:after="0" w:line="360" w:lineRule="auto"/>
    </w:pPr>
    <w:rPr>
      <w:rFonts w:ascii="Times New Roman" w:eastAsia="Times New Roman" w:hAnsi="Times New Roman"/>
      <w:szCs w:val="20"/>
      <w:lang w:val="en-US" w:eastAsia="en-US"/>
    </w:rPr>
  </w:style>
  <w:style w:type="character" w:customStyle="1" w:styleId="BodyTextChar">
    <w:name w:val="Body Text Char"/>
    <w:link w:val="BodyText"/>
    <w:rsid w:val="007B6FAB"/>
    <w:rPr>
      <w:rFonts w:ascii="Times New Roman" w:eastAsia="Times New Roman" w:hAnsi="Times New Roman" w:cs="Times New Roman"/>
      <w:szCs w:val="20"/>
      <w:lang w:val="en-US" w:eastAsia="en-US"/>
    </w:rPr>
  </w:style>
  <w:style w:type="paragraph" w:styleId="BodyText2">
    <w:name w:val="Body Text 2"/>
    <w:basedOn w:val="Normal"/>
    <w:link w:val="BodyText2Char"/>
    <w:rsid w:val="007B6FAB"/>
    <w:pPr>
      <w:widowControl w:val="0"/>
      <w:spacing w:after="0" w:line="360" w:lineRule="auto"/>
      <w:jc w:val="both"/>
    </w:pPr>
    <w:rPr>
      <w:rFonts w:ascii="Times New Roman" w:eastAsia="Times New Roman" w:hAnsi="Times New Roman"/>
      <w:szCs w:val="20"/>
      <w:lang w:val="en-US" w:eastAsia="en-US"/>
    </w:rPr>
  </w:style>
  <w:style w:type="character" w:customStyle="1" w:styleId="BodyText2Char">
    <w:name w:val="Body Text 2 Char"/>
    <w:link w:val="BodyText2"/>
    <w:rsid w:val="007B6FAB"/>
    <w:rPr>
      <w:rFonts w:ascii="Times New Roman" w:eastAsia="Times New Roman" w:hAnsi="Times New Roman" w:cs="Times New Roman"/>
      <w:szCs w:val="20"/>
      <w:lang w:val="en-US" w:eastAsia="en-US"/>
    </w:rPr>
  </w:style>
  <w:style w:type="character" w:styleId="FollowedHyperlink">
    <w:name w:val="FollowedHyperlink"/>
    <w:uiPriority w:val="99"/>
    <w:semiHidden/>
    <w:unhideWhenUsed/>
    <w:rsid w:val="00702400"/>
    <w:rPr>
      <w:color w:val="800080"/>
      <w:u w:val="single"/>
    </w:rPr>
  </w:style>
  <w:style w:type="paragraph" w:styleId="ListParagraph">
    <w:name w:val="List Paragraph"/>
    <w:basedOn w:val="Normal"/>
    <w:uiPriority w:val="34"/>
    <w:qFormat/>
    <w:rsid w:val="00FF2A7D"/>
    <w:pPr>
      <w:spacing w:line="276" w:lineRule="auto"/>
      <w:ind w:left="720"/>
      <w:contextualSpacing/>
    </w:pPr>
    <w:rPr>
      <w:rFonts w:ascii="Calibri" w:eastAsia="Calibri" w:hAnsi="Calibri"/>
      <w:sz w:val="22"/>
      <w:szCs w:val="22"/>
      <w:lang w:val="es-ES" w:eastAsia="en-US"/>
    </w:rPr>
  </w:style>
  <w:style w:type="character" w:styleId="Strong">
    <w:name w:val="Strong"/>
    <w:uiPriority w:val="22"/>
    <w:qFormat/>
    <w:rsid w:val="00FF2F53"/>
    <w:rPr>
      <w:b/>
      <w:bCs/>
    </w:rPr>
  </w:style>
  <w:style w:type="character" w:customStyle="1" w:styleId="journal7">
    <w:name w:val="journal7"/>
    <w:rsid w:val="00F62C3D"/>
    <w:rPr>
      <w:i/>
      <w:iCs/>
    </w:rPr>
  </w:style>
  <w:style w:type="character" w:customStyle="1" w:styleId="jnumber1">
    <w:name w:val="jnumber1"/>
    <w:rsid w:val="00F62C3D"/>
    <w:rPr>
      <w:b/>
      <w:bCs/>
    </w:rPr>
  </w:style>
  <w:style w:type="table" w:styleId="TableGrid">
    <w:name w:val="Table Grid"/>
    <w:basedOn w:val="TableNormal"/>
    <w:uiPriority w:val="59"/>
    <w:rsid w:val="00934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982">
      <w:bodyDiv w:val="1"/>
      <w:marLeft w:val="0"/>
      <w:marRight w:val="0"/>
      <w:marTop w:val="0"/>
      <w:marBottom w:val="0"/>
      <w:divBdr>
        <w:top w:val="none" w:sz="0" w:space="0" w:color="auto"/>
        <w:left w:val="none" w:sz="0" w:space="0" w:color="auto"/>
        <w:bottom w:val="none" w:sz="0" w:space="0" w:color="auto"/>
        <w:right w:val="none" w:sz="0" w:space="0" w:color="auto"/>
      </w:divBdr>
    </w:div>
    <w:div w:id="103547947">
      <w:bodyDiv w:val="1"/>
      <w:marLeft w:val="0"/>
      <w:marRight w:val="0"/>
      <w:marTop w:val="0"/>
      <w:marBottom w:val="0"/>
      <w:divBdr>
        <w:top w:val="none" w:sz="0" w:space="0" w:color="auto"/>
        <w:left w:val="none" w:sz="0" w:space="0" w:color="auto"/>
        <w:bottom w:val="none" w:sz="0" w:space="0" w:color="auto"/>
        <w:right w:val="none" w:sz="0" w:space="0" w:color="auto"/>
      </w:divBdr>
    </w:div>
    <w:div w:id="157962674">
      <w:bodyDiv w:val="1"/>
      <w:marLeft w:val="0"/>
      <w:marRight w:val="0"/>
      <w:marTop w:val="0"/>
      <w:marBottom w:val="0"/>
      <w:divBdr>
        <w:top w:val="none" w:sz="0" w:space="0" w:color="auto"/>
        <w:left w:val="none" w:sz="0" w:space="0" w:color="auto"/>
        <w:bottom w:val="none" w:sz="0" w:space="0" w:color="auto"/>
        <w:right w:val="none" w:sz="0" w:space="0" w:color="auto"/>
      </w:divBdr>
    </w:div>
    <w:div w:id="171116127">
      <w:bodyDiv w:val="1"/>
      <w:marLeft w:val="0"/>
      <w:marRight w:val="0"/>
      <w:marTop w:val="0"/>
      <w:marBottom w:val="0"/>
      <w:divBdr>
        <w:top w:val="none" w:sz="0" w:space="0" w:color="auto"/>
        <w:left w:val="none" w:sz="0" w:space="0" w:color="auto"/>
        <w:bottom w:val="none" w:sz="0" w:space="0" w:color="auto"/>
        <w:right w:val="none" w:sz="0" w:space="0" w:color="auto"/>
      </w:divBdr>
    </w:div>
    <w:div w:id="564881261">
      <w:bodyDiv w:val="1"/>
      <w:marLeft w:val="0"/>
      <w:marRight w:val="0"/>
      <w:marTop w:val="0"/>
      <w:marBottom w:val="0"/>
      <w:divBdr>
        <w:top w:val="none" w:sz="0" w:space="0" w:color="auto"/>
        <w:left w:val="none" w:sz="0" w:space="0" w:color="auto"/>
        <w:bottom w:val="none" w:sz="0" w:space="0" w:color="auto"/>
        <w:right w:val="none" w:sz="0" w:space="0" w:color="auto"/>
      </w:divBdr>
    </w:div>
    <w:div w:id="877670333">
      <w:bodyDiv w:val="1"/>
      <w:marLeft w:val="0"/>
      <w:marRight w:val="0"/>
      <w:marTop w:val="0"/>
      <w:marBottom w:val="0"/>
      <w:divBdr>
        <w:top w:val="none" w:sz="0" w:space="0" w:color="auto"/>
        <w:left w:val="none" w:sz="0" w:space="0" w:color="auto"/>
        <w:bottom w:val="none" w:sz="0" w:space="0" w:color="auto"/>
        <w:right w:val="none" w:sz="0" w:space="0" w:color="auto"/>
      </w:divBdr>
    </w:div>
    <w:div w:id="936133114">
      <w:bodyDiv w:val="1"/>
      <w:marLeft w:val="0"/>
      <w:marRight w:val="0"/>
      <w:marTop w:val="0"/>
      <w:marBottom w:val="0"/>
      <w:divBdr>
        <w:top w:val="none" w:sz="0" w:space="0" w:color="auto"/>
        <w:left w:val="none" w:sz="0" w:space="0" w:color="auto"/>
        <w:bottom w:val="none" w:sz="0" w:space="0" w:color="auto"/>
        <w:right w:val="none" w:sz="0" w:space="0" w:color="auto"/>
      </w:divBdr>
    </w:div>
    <w:div w:id="964695407">
      <w:bodyDiv w:val="1"/>
      <w:marLeft w:val="0"/>
      <w:marRight w:val="0"/>
      <w:marTop w:val="0"/>
      <w:marBottom w:val="0"/>
      <w:divBdr>
        <w:top w:val="none" w:sz="0" w:space="0" w:color="auto"/>
        <w:left w:val="none" w:sz="0" w:space="0" w:color="auto"/>
        <w:bottom w:val="none" w:sz="0" w:space="0" w:color="auto"/>
        <w:right w:val="none" w:sz="0" w:space="0" w:color="auto"/>
      </w:divBdr>
    </w:div>
    <w:div w:id="1013917218">
      <w:bodyDiv w:val="1"/>
      <w:marLeft w:val="0"/>
      <w:marRight w:val="0"/>
      <w:marTop w:val="0"/>
      <w:marBottom w:val="0"/>
      <w:divBdr>
        <w:top w:val="none" w:sz="0" w:space="0" w:color="auto"/>
        <w:left w:val="none" w:sz="0" w:space="0" w:color="auto"/>
        <w:bottom w:val="none" w:sz="0" w:space="0" w:color="auto"/>
        <w:right w:val="none" w:sz="0" w:space="0" w:color="auto"/>
      </w:divBdr>
    </w:div>
    <w:div w:id="1266839335">
      <w:bodyDiv w:val="1"/>
      <w:marLeft w:val="0"/>
      <w:marRight w:val="0"/>
      <w:marTop w:val="0"/>
      <w:marBottom w:val="0"/>
      <w:divBdr>
        <w:top w:val="none" w:sz="0" w:space="0" w:color="auto"/>
        <w:left w:val="none" w:sz="0" w:space="0" w:color="auto"/>
        <w:bottom w:val="none" w:sz="0" w:space="0" w:color="auto"/>
        <w:right w:val="none" w:sz="0" w:space="0" w:color="auto"/>
      </w:divBdr>
    </w:div>
    <w:div w:id="1312906252">
      <w:bodyDiv w:val="1"/>
      <w:marLeft w:val="0"/>
      <w:marRight w:val="0"/>
      <w:marTop w:val="0"/>
      <w:marBottom w:val="0"/>
      <w:divBdr>
        <w:top w:val="none" w:sz="0" w:space="0" w:color="auto"/>
        <w:left w:val="none" w:sz="0" w:space="0" w:color="auto"/>
        <w:bottom w:val="none" w:sz="0" w:space="0" w:color="auto"/>
        <w:right w:val="none" w:sz="0" w:space="0" w:color="auto"/>
      </w:divBdr>
    </w:div>
    <w:div w:id="1320886292">
      <w:bodyDiv w:val="1"/>
      <w:marLeft w:val="0"/>
      <w:marRight w:val="0"/>
      <w:marTop w:val="0"/>
      <w:marBottom w:val="0"/>
      <w:divBdr>
        <w:top w:val="none" w:sz="0" w:space="0" w:color="auto"/>
        <w:left w:val="none" w:sz="0" w:space="0" w:color="auto"/>
        <w:bottom w:val="none" w:sz="0" w:space="0" w:color="auto"/>
        <w:right w:val="none" w:sz="0" w:space="0" w:color="auto"/>
      </w:divBdr>
    </w:div>
    <w:div w:id="1395543054">
      <w:bodyDiv w:val="1"/>
      <w:marLeft w:val="0"/>
      <w:marRight w:val="0"/>
      <w:marTop w:val="0"/>
      <w:marBottom w:val="0"/>
      <w:divBdr>
        <w:top w:val="none" w:sz="0" w:space="0" w:color="auto"/>
        <w:left w:val="none" w:sz="0" w:space="0" w:color="auto"/>
        <w:bottom w:val="none" w:sz="0" w:space="0" w:color="auto"/>
        <w:right w:val="none" w:sz="0" w:space="0" w:color="auto"/>
      </w:divBdr>
    </w:div>
    <w:div w:id="1559514442">
      <w:bodyDiv w:val="1"/>
      <w:marLeft w:val="0"/>
      <w:marRight w:val="0"/>
      <w:marTop w:val="0"/>
      <w:marBottom w:val="0"/>
      <w:divBdr>
        <w:top w:val="none" w:sz="0" w:space="0" w:color="auto"/>
        <w:left w:val="none" w:sz="0" w:space="0" w:color="auto"/>
        <w:bottom w:val="none" w:sz="0" w:space="0" w:color="auto"/>
        <w:right w:val="none" w:sz="0" w:space="0" w:color="auto"/>
      </w:divBdr>
    </w:div>
    <w:div w:id="1645617303">
      <w:bodyDiv w:val="1"/>
      <w:marLeft w:val="0"/>
      <w:marRight w:val="0"/>
      <w:marTop w:val="0"/>
      <w:marBottom w:val="0"/>
      <w:divBdr>
        <w:top w:val="none" w:sz="0" w:space="0" w:color="auto"/>
        <w:left w:val="none" w:sz="0" w:space="0" w:color="auto"/>
        <w:bottom w:val="none" w:sz="0" w:space="0" w:color="auto"/>
        <w:right w:val="none" w:sz="0" w:space="0" w:color="auto"/>
      </w:divBdr>
    </w:div>
    <w:div w:id="1690638287">
      <w:bodyDiv w:val="1"/>
      <w:marLeft w:val="0"/>
      <w:marRight w:val="0"/>
      <w:marTop w:val="0"/>
      <w:marBottom w:val="0"/>
      <w:divBdr>
        <w:top w:val="none" w:sz="0" w:space="0" w:color="auto"/>
        <w:left w:val="none" w:sz="0" w:space="0" w:color="auto"/>
        <w:bottom w:val="none" w:sz="0" w:space="0" w:color="auto"/>
        <w:right w:val="none" w:sz="0" w:space="0" w:color="auto"/>
      </w:divBdr>
    </w:div>
    <w:div w:id="1969117375">
      <w:bodyDiv w:val="1"/>
      <w:marLeft w:val="0"/>
      <w:marRight w:val="0"/>
      <w:marTop w:val="0"/>
      <w:marBottom w:val="0"/>
      <w:divBdr>
        <w:top w:val="none" w:sz="0" w:space="0" w:color="auto"/>
        <w:left w:val="none" w:sz="0" w:space="0" w:color="auto"/>
        <w:bottom w:val="none" w:sz="0" w:space="0" w:color="auto"/>
        <w:right w:val="none" w:sz="0" w:space="0" w:color="auto"/>
      </w:divBdr>
      <w:divsChild>
        <w:div w:id="129445150">
          <w:marLeft w:val="0"/>
          <w:marRight w:val="0"/>
          <w:marTop w:val="168"/>
          <w:marBottom w:val="0"/>
          <w:divBdr>
            <w:top w:val="none" w:sz="0" w:space="0" w:color="auto"/>
            <w:left w:val="none" w:sz="0" w:space="0" w:color="auto"/>
            <w:bottom w:val="none" w:sz="0" w:space="0" w:color="auto"/>
            <w:right w:val="none" w:sz="0" w:space="0" w:color="auto"/>
          </w:divBdr>
          <w:divsChild>
            <w:div w:id="1706562962">
              <w:marLeft w:val="0"/>
              <w:marRight w:val="0"/>
              <w:marTop w:val="0"/>
              <w:marBottom w:val="0"/>
              <w:divBdr>
                <w:top w:val="none" w:sz="0" w:space="0" w:color="auto"/>
                <w:left w:val="none" w:sz="0" w:space="0" w:color="auto"/>
                <w:bottom w:val="none" w:sz="0" w:space="0" w:color="auto"/>
                <w:right w:val="none" w:sz="0" w:space="0" w:color="auto"/>
              </w:divBdr>
              <w:divsChild>
                <w:div w:id="368186986">
                  <w:marLeft w:val="1"/>
                  <w:marRight w:val="0"/>
                  <w:marTop w:val="0"/>
                  <w:marBottom w:val="0"/>
                  <w:divBdr>
                    <w:top w:val="single" w:sz="4" w:space="0" w:color="FFFFFF"/>
                    <w:left w:val="none" w:sz="0" w:space="0" w:color="auto"/>
                    <w:bottom w:val="none" w:sz="0" w:space="0" w:color="auto"/>
                    <w:right w:val="none" w:sz="0" w:space="0" w:color="auto"/>
                  </w:divBdr>
                  <w:divsChild>
                    <w:div w:id="664624462">
                      <w:marLeft w:val="0"/>
                      <w:marRight w:val="0"/>
                      <w:marTop w:val="0"/>
                      <w:marBottom w:val="0"/>
                      <w:divBdr>
                        <w:top w:val="none" w:sz="0" w:space="0" w:color="auto"/>
                        <w:left w:val="none" w:sz="0" w:space="0" w:color="auto"/>
                        <w:bottom w:val="none" w:sz="0" w:space="0" w:color="auto"/>
                        <w:right w:val="none" w:sz="0" w:space="0" w:color="auto"/>
                      </w:divBdr>
                      <w:divsChild>
                        <w:div w:id="1920553527">
                          <w:marLeft w:val="0"/>
                          <w:marRight w:val="0"/>
                          <w:marTop w:val="0"/>
                          <w:marBottom w:val="0"/>
                          <w:divBdr>
                            <w:top w:val="none" w:sz="0" w:space="0" w:color="auto"/>
                            <w:left w:val="none" w:sz="0" w:space="0" w:color="auto"/>
                            <w:bottom w:val="none" w:sz="0" w:space="0" w:color="auto"/>
                            <w:right w:val="none" w:sz="0" w:space="0" w:color="auto"/>
                          </w:divBdr>
                          <w:divsChild>
                            <w:div w:id="4319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56939">
      <w:bodyDiv w:val="1"/>
      <w:marLeft w:val="0"/>
      <w:marRight w:val="0"/>
      <w:marTop w:val="0"/>
      <w:marBottom w:val="0"/>
      <w:divBdr>
        <w:top w:val="none" w:sz="0" w:space="0" w:color="auto"/>
        <w:left w:val="none" w:sz="0" w:space="0" w:color="auto"/>
        <w:bottom w:val="none" w:sz="0" w:space="0" w:color="auto"/>
        <w:right w:val="none" w:sz="0" w:space="0" w:color="auto"/>
      </w:divBdr>
    </w:div>
    <w:div w:id="2000234582">
      <w:bodyDiv w:val="1"/>
      <w:marLeft w:val="0"/>
      <w:marRight w:val="0"/>
      <w:marTop w:val="0"/>
      <w:marBottom w:val="0"/>
      <w:divBdr>
        <w:top w:val="none" w:sz="0" w:space="0" w:color="auto"/>
        <w:left w:val="none" w:sz="0" w:space="0" w:color="auto"/>
        <w:bottom w:val="none" w:sz="0" w:space="0" w:color="auto"/>
        <w:right w:val="none" w:sz="0" w:space="0" w:color="auto"/>
      </w:divBdr>
    </w:div>
    <w:div w:id="2002930671">
      <w:bodyDiv w:val="1"/>
      <w:marLeft w:val="0"/>
      <w:marRight w:val="0"/>
      <w:marTop w:val="0"/>
      <w:marBottom w:val="0"/>
      <w:divBdr>
        <w:top w:val="none" w:sz="0" w:space="0" w:color="auto"/>
        <w:left w:val="none" w:sz="0" w:space="0" w:color="auto"/>
        <w:bottom w:val="none" w:sz="0" w:space="0" w:color="auto"/>
        <w:right w:val="none" w:sz="0" w:space="0" w:color="auto"/>
      </w:divBdr>
    </w:div>
    <w:div w:id="2102948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article/pii/S0969698912001506" TargetMode="External"/><Relationship Id="rId12" Type="http://schemas.openxmlformats.org/officeDocument/2006/relationships/hyperlink" Target="http://www.sciencedirect.com/science/article/pii/S0969698912001506"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chart" Target="charts/chart1.xml"/><Relationship Id="rId16" Type="http://schemas.openxmlformats.org/officeDocument/2006/relationships/hyperlink" Target="http://www.ibisworld.co.uk/market-research/clothing-retailing.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ennetd@lsbu.ac.uk" TargetMode="External"/><Relationship Id="rId8" Type="http://schemas.openxmlformats.org/officeDocument/2006/relationships/hyperlink" Target="mailto:mariaclemente2001@gmail.com" TargetMode="External"/><Relationship Id="rId9" Type="http://schemas.openxmlformats.org/officeDocument/2006/relationships/hyperlink" Target="http://search.proquest.com/indexinglinkhandler/sng/au/Juggessur,+Joshie/$N?accountid=14730" TargetMode="External"/><Relationship Id="rId10" Type="http://schemas.openxmlformats.org/officeDocument/2006/relationships/hyperlink" Target="http://search.proquest.com/indexinglinkhandler/sng/au/Cohen,+Geraldine/$N?accountid=1473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g:Desktop:IP&amp;P:marks%20etc.:predicted%20mar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'Sheet1 (2)'!$B$3:$L$3</c:f>
              <c:strCache>
                <c:ptCount val="11"/>
                <c:pt idx="0">
                  <c:v>0-.01</c:v>
                </c:pt>
                <c:pt idx="1">
                  <c:v>.02-.03</c:v>
                </c:pt>
                <c:pt idx="2">
                  <c:v>.04-.05</c:v>
                </c:pt>
                <c:pt idx="3">
                  <c:v>.06-.07</c:v>
                </c:pt>
                <c:pt idx="4">
                  <c:v>.08-.09</c:v>
                </c:pt>
                <c:pt idx="5">
                  <c:v>.10-.11</c:v>
                </c:pt>
                <c:pt idx="6">
                  <c:v>.12-.13</c:v>
                </c:pt>
                <c:pt idx="7">
                  <c:v>.14-.15</c:v>
                </c:pt>
                <c:pt idx="8">
                  <c:v>.16-.17</c:v>
                </c:pt>
                <c:pt idx="9">
                  <c:v>.18-.19</c:v>
                </c:pt>
                <c:pt idx="10">
                  <c:v>.2+</c:v>
                </c:pt>
              </c:strCache>
            </c:strRef>
          </c:cat>
          <c:val>
            <c:numRef>
              <c:f>'Sheet1 (2)'!$B$4:$L$4</c:f>
              <c:numCache>
                <c:formatCode>General</c:formatCode>
                <c:ptCount val="11"/>
                <c:pt idx="0" formatCode="0">
                  <c:v>31.0</c:v>
                </c:pt>
                <c:pt idx="1">
                  <c:v>29.0</c:v>
                </c:pt>
                <c:pt idx="2">
                  <c:v>20.0</c:v>
                </c:pt>
                <c:pt idx="3">
                  <c:v>20.0</c:v>
                </c:pt>
                <c:pt idx="4">
                  <c:v>11.0</c:v>
                </c:pt>
                <c:pt idx="5">
                  <c:v>5.0</c:v>
                </c:pt>
                <c:pt idx="6">
                  <c:v>3.0</c:v>
                </c:pt>
                <c:pt idx="7">
                  <c:v>2.0</c:v>
                </c:pt>
                <c:pt idx="8">
                  <c:v>1.0</c:v>
                </c:pt>
                <c:pt idx="9">
                  <c:v>1.0</c:v>
                </c:pt>
                <c:pt idx="10">
                  <c:v>5.0</c:v>
                </c:pt>
              </c:numCache>
            </c:numRef>
          </c:val>
        </c:ser>
        <c:dLbls>
          <c:showLegendKey val="0"/>
          <c:showVal val="0"/>
          <c:showCatName val="0"/>
          <c:showSerName val="0"/>
          <c:showPercent val="0"/>
          <c:showBubbleSize val="0"/>
        </c:dLbls>
        <c:gapWidth val="150"/>
        <c:axId val="-2044820280"/>
        <c:axId val="-2045115672"/>
      </c:barChart>
      <c:catAx>
        <c:axId val="-2044820280"/>
        <c:scaling>
          <c:orientation val="minMax"/>
        </c:scaling>
        <c:delete val="0"/>
        <c:axPos val="b"/>
        <c:majorTickMark val="out"/>
        <c:minorTickMark val="none"/>
        <c:tickLblPos val="nextTo"/>
        <c:crossAx val="-2045115672"/>
        <c:crosses val="autoZero"/>
        <c:auto val="1"/>
        <c:lblAlgn val="ctr"/>
        <c:lblOffset val="100"/>
        <c:noMultiLvlLbl val="0"/>
      </c:catAx>
      <c:valAx>
        <c:axId val="-2045115672"/>
        <c:scaling>
          <c:orientation val="minMax"/>
        </c:scaling>
        <c:delete val="0"/>
        <c:axPos val="l"/>
        <c:majorGridlines/>
        <c:numFmt formatCode="0" sourceLinked="1"/>
        <c:majorTickMark val="out"/>
        <c:minorTickMark val="none"/>
        <c:tickLblPos val="nextTo"/>
        <c:crossAx val="-2044820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51AB6-2B13-6849-9858-3E895FFA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23</Pages>
  <Words>6638</Words>
  <Characters>37839</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Manager/>
  <Company>LSBU</Company>
  <LinksUpToDate>false</LinksUpToDate>
  <CharactersWithSpaces>44389</CharactersWithSpaces>
  <SharedDoc>false</SharedDoc>
  <HyperlinkBase/>
  <HLinks>
    <vt:vector size="276" baseType="variant">
      <vt:variant>
        <vt:i4>1900549</vt:i4>
      </vt:variant>
      <vt:variant>
        <vt:i4>135</vt:i4>
      </vt:variant>
      <vt:variant>
        <vt:i4>0</vt:i4>
      </vt:variant>
      <vt:variant>
        <vt:i4>5</vt:i4>
      </vt:variant>
      <vt:variant>
        <vt:lpwstr>http://www.marketresearchworld.net/content/view/2778/48/</vt:lpwstr>
      </vt:variant>
      <vt:variant>
        <vt:lpwstr/>
      </vt:variant>
      <vt:variant>
        <vt:i4>6619149</vt:i4>
      </vt:variant>
      <vt:variant>
        <vt:i4>132</vt:i4>
      </vt:variant>
      <vt:variant>
        <vt:i4>0</vt:i4>
      </vt:variant>
      <vt:variant>
        <vt:i4>5</vt:i4>
      </vt:variant>
      <vt:variant>
        <vt:lpwstr>http://oxygen.mintel.com/display/445318/?highlight=true</vt:lpwstr>
      </vt:variant>
      <vt:variant>
        <vt:lpwstr/>
      </vt:variant>
      <vt:variant>
        <vt:i4>6226003</vt:i4>
      </vt:variant>
      <vt:variant>
        <vt:i4>129</vt:i4>
      </vt:variant>
      <vt:variant>
        <vt:i4>0</vt:i4>
      </vt:variant>
      <vt:variant>
        <vt:i4>5</vt:i4>
      </vt:variant>
      <vt:variant>
        <vt:lpwstr>http://www.mintel.com/press-centre/fashion/online-fashion-clicks-with-brits-as-market-increases-152-over-past-five-years</vt:lpwstr>
      </vt:variant>
      <vt:variant>
        <vt:lpwstr/>
      </vt:variant>
      <vt:variant>
        <vt:i4>4653143</vt:i4>
      </vt:variant>
      <vt:variant>
        <vt:i4>126</vt:i4>
      </vt:variant>
      <vt:variant>
        <vt:i4>0</vt:i4>
      </vt:variant>
      <vt:variant>
        <vt:i4>5</vt:i4>
      </vt:variant>
      <vt:variant>
        <vt:lpwstr>http://dx.doi.org/10.1093/jeg/lbm035</vt:lpwstr>
      </vt:variant>
      <vt:variant>
        <vt:lpwstr/>
      </vt:variant>
      <vt:variant>
        <vt:i4>2752555</vt:i4>
      </vt:variant>
      <vt:variant>
        <vt:i4>123</vt:i4>
      </vt:variant>
      <vt:variant>
        <vt:i4>0</vt:i4>
      </vt:variant>
      <vt:variant>
        <vt:i4>5</vt:i4>
      </vt:variant>
      <vt:variant>
        <vt:lpwstr>http://dx.doi.org/10.1111/j.1467-8616.2008.00527.x</vt:lpwstr>
      </vt:variant>
      <vt:variant>
        <vt:lpwstr/>
      </vt:variant>
      <vt:variant>
        <vt:i4>6881397</vt:i4>
      </vt:variant>
      <vt:variant>
        <vt:i4>120</vt:i4>
      </vt:variant>
      <vt:variant>
        <vt:i4>0</vt:i4>
      </vt:variant>
      <vt:variant>
        <vt:i4>5</vt:i4>
      </vt:variant>
      <vt:variant>
        <vt:lpwstr>http://www.rila.org/sustainability/sustreport/</vt:lpwstr>
      </vt:variant>
      <vt:variant>
        <vt:lpwstr/>
      </vt:variant>
      <vt:variant>
        <vt:i4>7929931</vt:i4>
      </vt:variant>
      <vt:variant>
        <vt:i4>117</vt:i4>
      </vt:variant>
      <vt:variant>
        <vt:i4>0</vt:i4>
      </vt:variant>
      <vt:variant>
        <vt:i4>5</vt:i4>
      </vt:variant>
      <vt:variant>
        <vt:lpwstr>http://www.sciencedirect.com/science/article/pii/S0969698912001506</vt:lpwstr>
      </vt:variant>
      <vt:variant>
        <vt:lpwstr>bib59</vt:lpwstr>
      </vt:variant>
      <vt:variant>
        <vt:i4>5374043</vt:i4>
      </vt:variant>
      <vt:variant>
        <vt:i4>114</vt:i4>
      </vt:variant>
      <vt:variant>
        <vt:i4>0</vt:i4>
      </vt:variant>
      <vt:variant>
        <vt:i4>5</vt:i4>
      </vt:variant>
      <vt:variant>
        <vt:lpwstr>http://search.proquest.com/indexingvolumeissuelinkhandler/3659/European+Journal+of+Marketing/02007Y05Y01$232007$3b++Vol.+41+$285$2f6$29/41/5$2f6?accountid=14730</vt:lpwstr>
      </vt:variant>
      <vt:variant>
        <vt:lpwstr/>
      </vt:variant>
      <vt:variant>
        <vt:i4>6881388</vt:i4>
      </vt:variant>
      <vt:variant>
        <vt:i4>111</vt:i4>
      </vt:variant>
      <vt:variant>
        <vt:i4>0</vt:i4>
      </vt:variant>
      <vt:variant>
        <vt:i4>5</vt:i4>
      </vt:variant>
      <vt:variant>
        <vt:lpwstr>http://search.proquest.com/pubidlinkhandler/sng/pubtitle/European+Journal+of+Marketing/$N/3659/DocView/237044410/fulltext/$B/1?accountid=14730</vt:lpwstr>
      </vt:variant>
      <vt:variant>
        <vt:lpwstr/>
      </vt:variant>
      <vt:variant>
        <vt:i4>1441799</vt:i4>
      </vt:variant>
      <vt:variant>
        <vt:i4>108</vt:i4>
      </vt:variant>
      <vt:variant>
        <vt:i4>0</vt:i4>
      </vt:variant>
      <vt:variant>
        <vt:i4>5</vt:i4>
      </vt:variant>
      <vt:variant>
        <vt:lpwstr>http://search.proquest.com/indexinglinkhandler/sng/au/Bennison,+David/$N?accountid=14730</vt:lpwstr>
      </vt:variant>
      <vt:variant>
        <vt:lpwstr/>
      </vt:variant>
      <vt:variant>
        <vt:i4>1638431</vt:i4>
      </vt:variant>
      <vt:variant>
        <vt:i4>105</vt:i4>
      </vt:variant>
      <vt:variant>
        <vt:i4>0</vt:i4>
      </vt:variant>
      <vt:variant>
        <vt:i4>5</vt:i4>
      </vt:variant>
      <vt:variant>
        <vt:lpwstr>http://search.proquest.com/indexinglinkhandler/sng/au/Hines,+Tony/$N?accountid=14730</vt:lpwstr>
      </vt:variant>
      <vt:variant>
        <vt:lpwstr/>
      </vt:variant>
      <vt:variant>
        <vt:i4>2555989</vt:i4>
      </vt:variant>
      <vt:variant>
        <vt:i4>102</vt:i4>
      </vt:variant>
      <vt:variant>
        <vt:i4>0</vt:i4>
      </vt:variant>
      <vt:variant>
        <vt:i4>5</vt:i4>
      </vt:variant>
      <vt:variant>
        <vt:lpwstr>http://search.proquest.com/indexinglinkhandler/sng/au/Quinn,+Lee/$N?accountid=14730</vt:lpwstr>
      </vt:variant>
      <vt:variant>
        <vt:lpwstr/>
      </vt:variant>
      <vt:variant>
        <vt:i4>6619178</vt:i4>
      </vt:variant>
      <vt:variant>
        <vt:i4>99</vt:i4>
      </vt:variant>
      <vt:variant>
        <vt:i4>0</vt:i4>
      </vt:variant>
      <vt:variant>
        <vt:i4>5</vt:i4>
      </vt:variant>
      <vt:variant>
        <vt:lpwstr>http://www.sciencedirect.com/science/journal/09696989/20/2</vt:lpwstr>
      </vt:variant>
      <vt:variant>
        <vt:lpwstr/>
      </vt:variant>
      <vt:variant>
        <vt:i4>4718647</vt:i4>
      </vt:variant>
      <vt:variant>
        <vt:i4>96</vt:i4>
      </vt:variant>
      <vt:variant>
        <vt:i4>0</vt:i4>
      </vt:variant>
      <vt:variant>
        <vt:i4>5</vt:i4>
      </vt:variant>
      <vt:variant>
        <vt:lpwstr>http://www.sciencedirect.com/science/journal/09696989</vt:lpwstr>
      </vt:variant>
      <vt:variant>
        <vt:lpwstr/>
      </vt:variant>
      <vt:variant>
        <vt:i4>2424946</vt:i4>
      </vt:variant>
      <vt:variant>
        <vt:i4>93</vt:i4>
      </vt:variant>
      <vt:variant>
        <vt:i4>0</vt:i4>
      </vt:variant>
      <vt:variant>
        <vt:i4>5</vt:i4>
      </vt:variant>
      <vt:variant>
        <vt:lpwstr>http://www.sciencedirect.com/science/article/pii/S0969698912001506</vt:lpwstr>
      </vt:variant>
      <vt:variant>
        <vt:lpwstr/>
      </vt:variant>
      <vt:variant>
        <vt:i4>2424946</vt:i4>
      </vt:variant>
      <vt:variant>
        <vt:i4>90</vt:i4>
      </vt:variant>
      <vt:variant>
        <vt:i4>0</vt:i4>
      </vt:variant>
      <vt:variant>
        <vt:i4>5</vt:i4>
      </vt:variant>
      <vt:variant>
        <vt:lpwstr>http://www.sciencedirect.com/science/article/pii/S0969698912001506</vt:lpwstr>
      </vt:variant>
      <vt:variant>
        <vt:lpwstr/>
      </vt:variant>
      <vt:variant>
        <vt:i4>7012416</vt:i4>
      </vt:variant>
      <vt:variant>
        <vt:i4>87</vt:i4>
      </vt:variant>
      <vt:variant>
        <vt:i4>0</vt:i4>
      </vt:variant>
      <vt:variant>
        <vt:i4>5</vt:i4>
      </vt:variant>
      <vt:variant>
        <vt:lpwstr>http://dx.doi.org/10.1111/j.1470- 6431.2010.00950.x</vt:lpwstr>
      </vt:variant>
      <vt:variant>
        <vt:lpwstr/>
      </vt:variant>
      <vt:variant>
        <vt:i4>5832802</vt:i4>
      </vt:variant>
      <vt:variant>
        <vt:i4>84</vt:i4>
      </vt:variant>
      <vt:variant>
        <vt:i4>0</vt:i4>
      </vt:variant>
      <vt:variant>
        <vt:i4>5</vt:i4>
      </vt:variant>
      <vt:variant>
        <vt:lpwstr>http://search.proquest.com/pubidlinkhandler/sng/pubtitle/International+Journal+of+Retail+$26+Distribution+Management/$N/38213/DocView/807493750/fulltext/$B/1?accountid=14730</vt:lpwstr>
      </vt:variant>
      <vt:variant>
        <vt:lpwstr/>
      </vt:variant>
      <vt:variant>
        <vt:i4>4653172</vt:i4>
      </vt:variant>
      <vt:variant>
        <vt:i4>81</vt:i4>
      </vt:variant>
      <vt:variant>
        <vt:i4>0</vt:i4>
      </vt:variant>
      <vt:variant>
        <vt:i4>5</vt:i4>
      </vt:variant>
      <vt:variant>
        <vt:lpwstr>http://search.proquest.com/indexinglinkhandler/sng/au/Doyle,+Stephen+A/$N?accountid=14730</vt:lpwstr>
      </vt:variant>
      <vt:variant>
        <vt:lpwstr/>
      </vt:variant>
      <vt:variant>
        <vt:i4>5374058</vt:i4>
      </vt:variant>
      <vt:variant>
        <vt:i4>78</vt:i4>
      </vt:variant>
      <vt:variant>
        <vt:i4>0</vt:i4>
      </vt:variant>
      <vt:variant>
        <vt:i4>5</vt:i4>
      </vt:variant>
      <vt:variant>
        <vt:lpwstr>http://search.proquest.com/indexinglinkhandler/sng/au/Moore,+Christopher+M/$N?accountid=14730</vt:lpwstr>
      </vt:variant>
      <vt:variant>
        <vt:lpwstr/>
      </vt:variant>
      <vt:variant>
        <vt:i4>6291543</vt:i4>
      </vt:variant>
      <vt:variant>
        <vt:i4>75</vt:i4>
      </vt:variant>
      <vt:variant>
        <vt:i4>0</vt:i4>
      </vt:variant>
      <vt:variant>
        <vt:i4>5</vt:i4>
      </vt:variant>
      <vt:variant>
        <vt:lpwstr>http://dx.doi.org/10.1108/00251740210426321</vt:lpwstr>
      </vt:variant>
      <vt:variant>
        <vt:lpwstr/>
      </vt:variant>
      <vt:variant>
        <vt:i4>3080219</vt:i4>
      </vt:variant>
      <vt:variant>
        <vt:i4>72</vt:i4>
      </vt:variant>
      <vt:variant>
        <vt:i4>0</vt:i4>
      </vt:variant>
      <vt:variant>
        <vt:i4>5</vt:i4>
      </vt:variant>
      <vt:variant>
        <vt:lpwstr>http://search.proquest.com/indexingvolumeissuelinkhandler/27139/Journal+of+Brand+Management/02009Y03Y01$23Mar-May+2009$3b++Vol.+16+$285-6$29,+Supp.+Special+Issue:+Luxury+Brands/16/5-6?accountid=14730</vt:lpwstr>
      </vt:variant>
      <vt:variant>
        <vt:lpwstr/>
      </vt:variant>
      <vt:variant>
        <vt:i4>4718691</vt:i4>
      </vt:variant>
      <vt:variant>
        <vt:i4>69</vt:i4>
      </vt:variant>
      <vt:variant>
        <vt:i4>0</vt:i4>
      </vt:variant>
      <vt:variant>
        <vt:i4>5</vt:i4>
      </vt:variant>
      <vt:variant>
        <vt:lpwstr>http://search.proquest.com/pubidlinkhandler/sng/pubtitle/Journal+of+Brand+Management/$N/27139/DocView/232487018/fulltext/$B/1?accountid=14730</vt:lpwstr>
      </vt:variant>
      <vt:variant>
        <vt:lpwstr/>
      </vt:variant>
      <vt:variant>
        <vt:i4>4849709</vt:i4>
      </vt:variant>
      <vt:variant>
        <vt:i4>66</vt:i4>
      </vt:variant>
      <vt:variant>
        <vt:i4>0</vt:i4>
      </vt:variant>
      <vt:variant>
        <vt:i4>5</vt:i4>
      </vt:variant>
      <vt:variant>
        <vt:lpwstr>http://search.proquest.com/indexinglinkhandler/sng/au/Cohen,+Geraldine/$N?accountid=14730</vt:lpwstr>
      </vt:variant>
      <vt:variant>
        <vt:lpwstr/>
      </vt:variant>
      <vt:variant>
        <vt:i4>7012471</vt:i4>
      </vt:variant>
      <vt:variant>
        <vt:i4>63</vt:i4>
      </vt:variant>
      <vt:variant>
        <vt:i4>0</vt:i4>
      </vt:variant>
      <vt:variant>
        <vt:i4>5</vt:i4>
      </vt:variant>
      <vt:variant>
        <vt:lpwstr>http://search.proquest.com/indexinglinkhandler/sng/au/Juggessur,+Joshie/$N?accountid=14730</vt:lpwstr>
      </vt:variant>
      <vt:variant>
        <vt:lpwstr/>
      </vt:variant>
      <vt:variant>
        <vt:i4>6291547</vt:i4>
      </vt:variant>
      <vt:variant>
        <vt:i4>60</vt:i4>
      </vt:variant>
      <vt:variant>
        <vt:i4>0</vt:i4>
      </vt:variant>
      <vt:variant>
        <vt:i4>5</vt:i4>
      </vt:variant>
      <vt:variant>
        <vt:lpwstr>http://dx.doi.org/10.1108/90556220910959954</vt:lpwstr>
      </vt:variant>
      <vt:variant>
        <vt:lpwstr/>
      </vt:variant>
      <vt:variant>
        <vt:i4>6488146</vt:i4>
      </vt:variant>
      <vt:variant>
        <vt:i4>57</vt:i4>
      </vt:variant>
      <vt:variant>
        <vt:i4>0</vt:i4>
      </vt:variant>
      <vt:variant>
        <vt:i4>5</vt:i4>
      </vt:variant>
      <vt:variant>
        <vt:lpwstr>http://dx.doi.org/10.1108/09590551011076533</vt:lpwstr>
      </vt:variant>
      <vt:variant>
        <vt:lpwstr/>
      </vt:variant>
      <vt:variant>
        <vt:i4>6422634</vt:i4>
      </vt:variant>
      <vt:variant>
        <vt:i4>54</vt:i4>
      </vt:variant>
      <vt:variant>
        <vt:i4>0</vt:i4>
      </vt:variant>
      <vt:variant>
        <vt:i4>5</vt:i4>
      </vt:variant>
      <vt:variant>
        <vt:lpwstr>http://dx.doi.org/10.1177/0011392106066817</vt:lpwstr>
      </vt:variant>
      <vt:variant>
        <vt:lpwstr/>
      </vt:variant>
      <vt:variant>
        <vt:i4>1900549</vt:i4>
      </vt:variant>
      <vt:variant>
        <vt:i4>51</vt:i4>
      </vt:variant>
      <vt:variant>
        <vt:i4>0</vt:i4>
      </vt:variant>
      <vt:variant>
        <vt:i4>5</vt:i4>
      </vt:variant>
      <vt:variant>
        <vt:lpwstr>http://www.marketresearchworld.net/content/view/2778/48/</vt:lpwstr>
      </vt:variant>
      <vt:variant>
        <vt:lpwstr/>
      </vt:variant>
      <vt:variant>
        <vt:i4>2424946</vt:i4>
      </vt:variant>
      <vt:variant>
        <vt:i4>48</vt:i4>
      </vt:variant>
      <vt:variant>
        <vt:i4>0</vt:i4>
      </vt:variant>
      <vt:variant>
        <vt:i4>5</vt:i4>
      </vt:variant>
      <vt:variant>
        <vt:lpwstr>http://www.sciencedirect.com/science/article/pii/S0969698912001506</vt:lpwstr>
      </vt:variant>
      <vt:variant>
        <vt:lpwstr/>
      </vt:variant>
      <vt:variant>
        <vt:i4>2424946</vt:i4>
      </vt:variant>
      <vt:variant>
        <vt:i4>45</vt:i4>
      </vt:variant>
      <vt:variant>
        <vt:i4>0</vt:i4>
      </vt:variant>
      <vt:variant>
        <vt:i4>5</vt:i4>
      </vt:variant>
      <vt:variant>
        <vt:lpwstr>http://www.sciencedirect.com/science/article/pii/S0969698912001506</vt:lpwstr>
      </vt:variant>
      <vt:variant>
        <vt:lpwstr/>
      </vt:variant>
      <vt:variant>
        <vt:i4>7929931</vt:i4>
      </vt:variant>
      <vt:variant>
        <vt:i4>42</vt:i4>
      </vt:variant>
      <vt:variant>
        <vt:i4>0</vt:i4>
      </vt:variant>
      <vt:variant>
        <vt:i4>5</vt:i4>
      </vt:variant>
      <vt:variant>
        <vt:lpwstr>http://www.sciencedirect.com/science/article/pii/S0969698912001506</vt:lpwstr>
      </vt:variant>
      <vt:variant>
        <vt:lpwstr>bib59</vt:lpwstr>
      </vt:variant>
      <vt:variant>
        <vt:i4>8060995</vt:i4>
      </vt:variant>
      <vt:variant>
        <vt:i4>39</vt:i4>
      </vt:variant>
      <vt:variant>
        <vt:i4>0</vt:i4>
      </vt:variant>
      <vt:variant>
        <vt:i4>5</vt:i4>
      </vt:variant>
      <vt:variant>
        <vt:lpwstr>http://www.sciencedirect.com/science/article/pii/S0969698912001506</vt:lpwstr>
      </vt:variant>
      <vt:variant>
        <vt:lpwstr>bib71</vt:lpwstr>
      </vt:variant>
      <vt:variant>
        <vt:i4>7929930</vt:i4>
      </vt:variant>
      <vt:variant>
        <vt:i4>36</vt:i4>
      </vt:variant>
      <vt:variant>
        <vt:i4>0</vt:i4>
      </vt:variant>
      <vt:variant>
        <vt:i4>5</vt:i4>
      </vt:variant>
      <vt:variant>
        <vt:lpwstr>http://www.sciencedirect.com/science/article/pii/S0969698912001506</vt:lpwstr>
      </vt:variant>
      <vt:variant>
        <vt:lpwstr>bib58</vt:lpwstr>
      </vt:variant>
      <vt:variant>
        <vt:i4>8257601</vt:i4>
      </vt:variant>
      <vt:variant>
        <vt:i4>33</vt:i4>
      </vt:variant>
      <vt:variant>
        <vt:i4>0</vt:i4>
      </vt:variant>
      <vt:variant>
        <vt:i4>5</vt:i4>
      </vt:variant>
      <vt:variant>
        <vt:lpwstr>http://www.sciencedirect.com/science/article/pii/S0969698912001506</vt:lpwstr>
      </vt:variant>
      <vt:variant>
        <vt:lpwstr>bib23</vt:lpwstr>
      </vt:variant>
      <vt:variant>
        <vt:i4>8192066</vt:i4>
      </vt:variant>
      <vt:variant>
        <vt:i4>30</vt:i4>
      </vt:variant>
      <vt:variant>
        <vt:i4>0</vt:i4>
      </vt:variant>
      <vt:variant>
        <vt:i4>5</vt:i4>
      </vt:variant>
      <vt:variant>
        <vt:lpwstr>http://www.sciencedirect.com/science/article/pii/S0969698912001506</vt:lpwstr>
      </vt:variant>
      <vt:variant>
        <vt:lpwstr>bib10</vt:lpwstr>
      </vt:variant>
      <vt:variant>
        <vt:i4>8257601</vt:i4>
      </vt:variant>
      <vt:variant>
        <vt:i4>27</vt:i4>
      </vt:variant>
      <vt:variant>
        <vt:i4>0</vt:i4>
      </vt:variant>
      <vt:variant>
        <vt:i4>5</vt:i4>
      </vt:variant>
      <vt:variant>
        <vt:lpwstr>http://www.sciencedirect.com/science/article/pii/S0969698912001506</vt:lpwstr>
      </vt:variant>
      <vt:variant>
        <vt:lpwstr>bib23</vt:lpwstr>
      </vt:variant>
      <vt:variant>
        <vt:i4>7929922</vt:i4>
      </vt:variant>
      <vt:variant>
        <vt:i4>24</vt:i4>
      </vt:variant>
      <vt:variant>
        <vt:i4>0</vt:i4>
      </vt:variant>
      <vt:variant>
        <vt:i4>5</vt:i4>
      </vt:variant>
      <vt:variant>
        <vt:lpwstr>http://www.sciencedirect.com/science/article/pii/S0969698912001506</vt:lpwstr>
      </vt:variant>
      <vt:variant>
        <vt:lpwstr>bib50</vt:lpwstr>
      </vt:variant>
      <vt:variant>
        <vt:i4>8192067</vt:i4>
      </vt:variant>
      <vt:variant>
        <vt:i4>21</vt:i4>
      </vt:variant>
      <vt:variant>
        <vt:i4>0</vt:i4>
      </vt:variant>
      <vt:variant>
        <vt:i4>5</vt:i4>
      </vt:variant>
      <vt:variant>
        <vt:lpwstr>http://www.sciencedirect.com/science/article/pii/S0969698912001506</vt:lpwstr>
      </vt:variant>
      <vt:variant>
        <vt:lpwstr>bib11</vt:lpwstr>
      </vt:variant>
      <vt:variant>
        <vt:i4>7995467</vt:i4>
      </vt:variant>
      <vt:variant>
        <vt:i4>18</vt:i4>
      </vt:variant>
      <vt:variant>
        <vt:i4>0</vt:i4>
      </vt:variant>
      <vt:variant>
        <vt:i4>5</vt:i4>
      </vt:variant>
      <vt:variant>
        <vt:lpwstr>http://www.sciencedirect.com/science/article/pii/S0969698912001506</vt:lpwstr>
      </vt:variant>
      <vt:variant>
        <vt:lpwstr>bib69</vt:lpwstr>
      </vt:variant>
      <vt:variant>
        <vt:i4>8192064</vt:i4>
      </vt:variant>
      <vt:variant>
        <vt:i4>15</vt:i4>
      </vt:variant>
      <vt:variant>
        <vt:i4>0</vt:i4>
      </vt:variant>
      <vt:variant>
        <vt:i4>5</vt:i4>
      </vt:variant>
      <vt:variant>
        <vt:lpwstr>http://www.sciencedirect.com/science/article/pii/S0969698912001506</vt:lpwstr>
      </vt:variant>
      <vt:variant>
        <vt:lpwstr>bib12</vt:lpwstr>
      </vt:variant>
      <vt:variant>
        <vt:i4>8192067</vt:i4>
      </vt:variant>
      <vt:variant>
        <vt:i4>12</vt:i4>
      </vt:variant>
      <vt:variant>
        <vt:i4>0</vt:i4>
      </vt:variant>
      <vt:variant>
        <vt:i4>5</vt:i4>
      </vt:variant>
      <vt:variant>
        <vt:lpwstr>http://www.sciencedirect.com/science/article/pii/S0969698912001506</vt:lpwstr>
      </vt:variant>
      <vt:variant>
        <vt:lpwstr>bib11</vt:lpwstr>
      </vt:variant>
      <vt:variant>
        <vt:i4>7864434</vt:i4>
      </vt:variant>
      <vt:variant>
        <vt:i4>9</vt:i4>
      </vt:variant>
      <vt:variant>
        <vt:i4>0</vt:i4>
      </vt:variant>
      <vt:variant>
        <vt:i4>5</vt:i4>
      </vt:variant>
      <vt:variant>
        <vt:lpwstr>http://www.sciencedirect.com/science/article/pii/S0969698912001506</vt:lpwstr>
      </vt:variant>
      <vt:variant>
        <vt:lpwstr>bib4</vt:lpwstr>
      </vt:variant>
      <vt:variant>
        <vt:i4>7929930</vt:i4>
      </vt:variant>
      <vt:variant>
        <vt:i4>6</vt:i4>
      </vt:variant>
      <vt:variant>
        <vt:i4>0</vt:i4>
      </vt:variant>
      <vt:variant>
        <vt:i4>5</vt:i4>
      </vt:variant>
      <vt:variant>
        <vt:lpwstr>http://www.sciencedirect.com/science/article/pii/S0969698912001506</vt:lpwstr>
      </vt:variant>
      <vt:variant>
        <vt:lpwstr>bib58</vt:lpwstr>
      </vt:variant>
      <vt:variant>
        <vt:i4>4849709</vt:i4>
      </vt:variant>
      <vt:variant>
        <vt:i4>3</vt:i4>
      </vt:variant>
      <vt:variant>
        <vt:i4>0</vt:i4>
      </vt:variant>
      <vt:variant>
        <vt:i4>5</vt:i4>
      </vt:variant>
      <vt:variant>
        <vt:lpwstr>http://search.proquest.com/indexinglinkhandler/sng/au/Cohen,+Geraldine/$N?accountid=14730</vt:lpwstr>
      </vt:variant>
      <vt:variant>
        <vt:lpwstr/>
      </vt:variant>
      <vt:variant>
        <vt:i4>7012471</vt:i4>
      </vt:variant>
      <vt:variant>
        <vt:i4>0</vt:i4>
      </vt:variant>
      <vt:variant>
        <vt:i4>0</vt:i4>
      </vt:variant>
      <vt:variant>
        <vt:i4>5</vt:i4>
      </vt:variant>
      <vt:variant>
        <vt:lpwstr>http://search.proquest.com/indexinglinkhandler/sng/au/Juggessur,+Joshie/$N?accountid=14730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dc:creator>
  <cp:keywords/>
  <dc:description/>
  <cp:lastModifiedBy>lsbu</cp:lastModifiedBy>
  <cp:revision>12</cp:revision>
  <cp:lastPrinted>2015-11-20T17:08:00Z</cp:lastPrinted>
  <dcterms:created xsi:type="dcterms:W3CDTF">2015-11-20T11:53:00Z</dcterms:created>
  <dcterms:modified xsi:type="dcterms:W3CDTF">2016-01-15T06:06:00Z</dcterms:modified>
  <cp:category/>
</cp:coreProperties>
</file>