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B330" w14:textId="2DA42616" w:rsidR="00D0790B" w:rsidRPr="00D0790B" w:rsidRDefault="007E710B" w:rsidP="00D0790B">
      <w:pPr>
        <w:pStyle w:val="Title"/>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31060EBE" wp14:editId="6ADC6BAE">
            <wp:simplePos x="0" y="0"/>
            <wp:positionH relativeFrom="margin">
              <wp:posOffset>4626610</wp:posOffset>
            </wp:positionH>
            <wp:positionV relativeFrom="page">
              <wp:posOffset>234950</wp:posOffset>
            </wp:positionV>
            <wp:extent cx="2019300" cy="962660"/>
            <wp:effectExtent l="0" t="0" r="0" b="889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BU-Crest_simple-white-text_Horizon_BlackOut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0" cy="962660"/>
                    </a:xfrm>
                    <a:prstGeom prst="rect">
                      <a:avLst/>
                    </a:prstGeom>
                  </pic:spPr>
                </pic:pic>
              </a:graphicData>
            </a:graphic>
          </wp:anchor>
        </w:drawing>
      </w:r>
      <w:r w:rsidR="00D0790B" w:rsidRPr="00D0790B">
        <w:rPr>
          <w:rFonts w:asciiTheme="minorHAnsi" w:hAnsiTheme="minorHAnsi" w:cstheme="minorHAnsi"/>
        </w:rPr>
        <w:t xml:space="preserve">Statement on Responsible Use of Research Metrics </w:t>
      </w:r>
    </w:p>
    <w:p w14:paraId="1CFB1F8F" w14:textId="77777777" w:rsidR="00C12B19" w:rsidRDefault="00C12B19" w:rsidP="00D0790B">
      <w:pPr>
        <w:pStyle w:val="Heading2"/>
      </w:pPr>
    </w:p>
    <w:p w14:paraId="0BF3A710" w14:textId="0F2F19BD" w:rsidR="00D0790B" w:rsidRDefault="00D0790B" w:rsidP="00D0790B">
      <w:pPr>
        <w:pStyle w:val="Heading2"/>
      </w:pPr>
      <w:r>
        <w:t>Note</w:t>
      </w:r>
    </w:p>
    <w:p w14:paraId="2FAB5C5B" w14:textId="33F4A3AB" w:rsidR="00DA2AA0" w:rsidRPr="00D0790B" w:rsidRDefault="00D0790B" w:rsidP="00DA2AA0">
      <w:pPr>
        <w:rPr>
          <w:rFonts w:cstheme="minorHAnsi"/>
        </w:rPr>
      </w:pPr>
      <w:r>
        <w:t>This Statement was adopted by the Research Committee on 22 May 2019</w:t>
      </w:r>
      <w:r w:rsidR="00DA2AA0">
        <w:t xml:space="preserve"> as </w:t>
      </w:r>
      <w:r w:rsidR="00DA2AA0" w:rsidRPr="00D0790B">
        <w:rPr>
          <w:rFonts w:cstheme="minorHAnsi"/>
        </w:rPr>
        <w:t>Annex XIII of LSBU’s REF 2021 Code of Practice</w:t>
      </w:r>
      <w:r w:rsidR="00C12B19">
        <w:rPr>
          <w:rFonts w:cstheme="minorHAnsi"/>
        </w:rPr>
        <w:t>. The Code of Practice was</w:t>
      </w:r>
      <w:r w:rsidR="00DA2AA0" w:rsidRPr="00D0790B">
        <w:rPr>
          <w:rFonts w:cstheme="minorHAnsi"/>
        </w:rPr>
        <w:t xml:space="preserve"> updated </w:t>
      </w:r>
      <w:r w:rsidR="00C12B19">
        <w:rPr>
          <w:rFonts w:cstheme="minorHAnsi"/>
        </w:rPr>
        <w:t xml:space="preserve">on </w:t>
      </w:r>
      <w:r w:rsidR="00DA2AA0" w:rsidRPr="00D0790B">
        <w:rPr>
          <w:rFonts w:cstheme="minorHAnsi"/>
        </w:rPr>
        <w:t>1 October 2019</w:t>
      </w:r>
      <w:r w:rsidR="00C12B19">
        <w:rPr>
          <w:rFonts w:cstheme="minorHAnsi"/>
        </w:rPr>
        <w:t>.</w:t>
      </w:r>
    </w:p>
    <w:p w14:paraId="2EEB228A" w14:textId="70EB2704" w:rsidR="00D0790B" w:rsidRPr="00D0790B" w:rsidRDefault="00D0790B" w:rsidP="00D0790B">
      <w:pPr>
        <w:pStyle w:val="Heading1"/>
        <w:rPr>
          <w:rFonts w:asciiTheme="minorHAnsi" w:hAnsiTheme="minorHAnsi" w:cstheme="minorHAnsi"/>
        </w:rPr>
      </w:pPr>
      <w:r w:rsidRPr="00D0790B">
        <w:rPr>
          <w:rFonts w:asciiTheme="minorHAnsi" w:hAnsiTheme="minorHAnsi" w:cstheme="minorHAnsi"/>
        </w:rPr>
        <w:t>Introduction</w:t>
      </w:r>
    </w:p>
    <w:p w14:paraId="197E9EED" w14:textId="77777777" w:rsidR="00675559" w:rsidRDefault="00675559" w:rsidP="00D0790B">
      <w:pPr>
        <w:pStyle w:val="Default"/>
        <w:rPr>
          <w:rFonts w:asciiTheme="minorHAnsi" w:hAnsiTheme="minorHAnsi" w:cstheme="minorHAnsi"/>
          <w:sz w:val="23"/>
          <w:szCs w:val="23"/>
        </w:rPr>
      </w:pPr>
    </w:p>
    <w:p w14:paraId="0D98C368" w14:textId="7318CD08" w:rsidR="00D0790B" w:rsidRPr="00D0790B" w:rsidRDefault="00D0790B" w:rsidP="00D0790B">
      <w:pPr>
        <w:pStyle w:val="Default"/>
        <w:rPr>
          <w:rFonts w:asciiTheme="minorHAnsi" w:hAnsiTheme="minorHAnsi" w:cstheme="minorHAnsi"/>
          <w:sz w:val="23"/>
          <w:szCs w:val="23"/>
        </w:rPr>
      </w:pPr>
      <w:r w:rsidRPr="00D0790B">
        <w:rPr>
          <w:rFonts w:asciiTheme="minorHAnsi" w:hAnsiTheme="minorHAnsi" w:cstheme="minorHAnsi"/>
          <w:sz w:val="23"/>
          <w:szCs w:val="23"/>
        </w:rPr>
        <w:t xml:space="preserve">London South Bank University makes use of quantitative metrics and indicators to gain insight into the performance of its research. </w:t>
      </w:r>
      <w:proofErr w:type="gramStart"/>
      <w:r w:rsidRPr="00D0790B">
        <w:rPr>
          <w:rFonts w:asciiTheme="minorHAnsi" w:hAnsiTheme="minorHAnsi" w:cstheme="minorHAnsi"/>
          <w:sz w:val="23"/>
          <w:szCs w:val="23"/>
        </w:rPr>
        <w:t>In particular, using</w:t>
      </w:r>
      <w:proofErr w:type="gramEnd"/>
      <w:r w:rsidRPr="00D0790B">
        <w:rPr>
          <w:rFonts w:asciiTheme="minorHAnsi" w:hAnsiTheme="minorHAnsi" w:cstheme="minorHAnsi"/>
          <w:sz w:val="23"/>
          <w:szCs w:val="23"/>
        </w:rPr>
        <w:t xml:space="preserve"> them can assist in the identification of excellent research output, benchmark against its peers, prepare for internal and external assessments, and inform the allocation of resources. </w:t>
      </w:r>
    </w:p>
    <w:p w14:paraId="03D86DFA" w14:textId="77777777" w:rsidR="00675559" w:rsidRDefault="00675559" w:rsidP="00D0790B">
      <w:pPr>
        <w:pStyle w:val="Default"/>
        <w:rPr>
          <w:rFonts w:asciiTheme="minorHAnsi" w:hAnsiTheme="minorHAnsi" w:cstheme="minorHAnsi"/>
          <w:sz w:val="23"/>
          <w:szCs w:val="23"/>
        </w:rPr>
      </w:pPr>
    </w:p>
    <w:p w14:paraId="388D13E5" w14:textId="7E859014" w:rsidR="00D0790B" w:rsidRPr="00D0790B" w:rsidRDefault="00D0790B" w:rsidP="00D0790B">
      <w:pPr>
        <w:pStyle w:val="Default"/>
        <w:rPr>
          <w:rFonts w:asciiTheme="minorHAnsi" w:hAnsiTheme="minorHAnsi" w:cstheme="minorHAnsi"/>
          <w:sz w:val="23"/>
          <w:szCs w:val="23"/>
        </w:rPr>
      </w:pPr>
      <w:r w:rsidRPr="00D0790B">
        <w:rPr>
          <w:rFonts w:asciiTheme="minorHAnsi" w:hAnsiTheme="minorHAnsi" w:cstheme="minorHAnsi"/>
          <w:sz w:val="23"/>
          <w:szCs w:val="23"/>
        </w:rPr>
        <w:t xml:space="preserve">Informed by the </w:t>
      </w:r>
      <w:r w:rsidRPr="00D0790B">
        <w:rPr>
          <w:rFonts w:asciiTheme="minorHAnsi" w:hAnsiTheme="minorHAnsi" w:cstheme="minorHAnsi"/>
          <w:i/>
          <w:iCs/>
          <w:sz w:val="23"/>
          <w:szCs w:val="23"/>
        </w:rPr>
        <w:t>Metric Tide</w:t>
      </w:r>
      <w:sdt>
        <w:sdtPr>
          <w:rPr>
            <w:rFonts w:asciiTheme="minorHAnsi" w:hAnsiTheme="minorHAnsi" w:cstheme="minorHAnsi"/>
            <w:i/>
            <w:iCs/>
            <w:sz w:val="23"/>
            <w:szCs w:val="23"/>
          </w:rPr>
          <w:id w:val="-1422253010"/>
          <w:citation/>
        </w:sdtPr>
        <w:sdtEndPr/>
        <w:sdtContent>
          <w:r w:rsidR="00361277">
            <w:rPr>
              <w:rFonts w:asciiTheme="minorHAnsi" w:hAnsiTheme="minorHAnsi" w:cstheme="minorHAnsi"/>
              <w:i/>
              <w:iCs/>
              <w:sz w:val="23"/>
              <w:szCs w:val="23"/>
            </w:rPr>
            <w:fldChar w:fldCharType="begin"/>
          </w:r>
          <w:r w:rsidR="00C217AC">
            <w:rPr>
              <w:rFonts w:asciiTheme="minorHAnsi" w:hAnsiTheme="minorHAnsi" w:cstheme="minorHAnsi"/>
              <w:i/>
              <w:iCs/>
              <w:sz w:val="23"/>
              <w:szCs w:val="23"/>
            </w:rPr>
            <w:instrText xml:space="preserve">CITATION Wil15 \l 2057 </w:instrText>
          </w:r>
          <w:r w:rsidR="00361277">
            <w:rPr>
              <w:rFonts w:asciiTheme="minorHAnsi" w:hAnsiTheme="minorHAnsi" w:cstheme="minorHAnsi"/>
              <w:i/>
              <w:iCs/>
              <w:sz w:val="23"/>
              <w:szCs w:val="23"/>
            </w:rPr>
            <w:fldChar w:fldCharType="separate"/>
          </w:r>
          <w:r w:rsidR="00910567">
            <w:rPr>
              <w:rFonts w:asciiTheme="minorHAnsi" w:hAnsiTheme="minorHAnsi" w:cstheme="minorHAnsi"/>
              <w:i/>
              <w:iCs/>
              <w:noProof/>
              <w:sz w:val="23"/>
              <w:szCs w:val="23"/>
            </w:rPr>
            <w:t xml:space="preserve"> </w:t>
          </w:r>
          <w:r w:rsidR="00910567" w:rsidRPr="00910567">
            <w:rPr>
              <w:rFonts w:asciiTheme="minorHAnsi" w:hAnsiTheme="minorHAnsi" w:cstheme="minorHAnsi"/>
              <w:noProof/>
              <w:sz w:val="23"/>
              <w:szCs w:val="23"/>
            </w:rPr>
            <w:t>(Wilsdon, 2015)</w:t>
          </w:r>
          <w:r w:rsidR="00361277">
            <w:rPr>
              <w:rFonts w:asciiTheme="minorHAnsi" w:hAnsiTheme="minorHAnsi" w:cstheme="minorHAnsi"/>
              <w:i/>
              <w:iCs/>
              <w:sz w:val="23"/>
              <w:szCs w:val="23"/>
            </w:rPr>
            <w:fldChar w:fldCharType="end"/>
          </w:r>
        </w:sdtContent>
      </w:sdt>
      <w:r w:rsidRPr="00D0790B">
        <w:rPr>
          <w:rFonts w:asciiTheme="minorHAnsi" w:hAnsiTheme="minorHAnsi" w:cstheme="minorHAnsi"/>
          <w:i/>
          <w:iCs/>
          <w:sz w:val="23"/>
          <w:szCs w:val="23"/>
        </w:rPr>
        <w:t xml:space="preserve"> </w:t>
      </w:r>
      <w:r w:rsidRPr="00D0790B">
        <w:rPr>
          <w:rFonts w:asciiTheme="minorHAnsi" w:hAnsiTheme="minorHAnsi" w:cstheme="minorHAnsi"/>
          <w:sz w:val="23"/>
          <w:szCs w:val="23"/>
        </w:rPr>
        <w:t>report of the Independent Review of the Role of Metrics in Research Assessment and Management, the Leiden Manifesto</w:t>
      </w:r>
      <w:sdt>
        <w:sdtPr>
          <w:rPr>
            <w:rFonts w:asciiTheme="minorHAnsi" w:hAnsiTheme="minorHAnsi" w:cstheme="minorHAnsi"/>
            <w:sz w:val="23"/>
            <w:szCs w:val="23"/>
          </w:rPr>
          <w:id w:val="301584204"/>
          <w:citation/>
        </w:sdtPr>
        <w:sdtEndPr/>
        <w:sdtContent>
          <w:r w:rsidR="00C41C20">
            <w:rPr>
              <w:rFonts w:asciiTheme="minorHAnsi" w:hAnsiTheme="minorHAnsi" w:cstheme="minorHAnsi"/>
              <w:sz w:val="23"/>
              <w:szCs w:val="23"/>
            </w:rPr>
            <w:fldChar w:fldCharType="begin"/>
          </w:r>
          <w:r w:rsidR="00C217AC">
            <w:rPr>
              <w:rFonts w:asciiTheme="minorHAnsi" w:hAnsiTheme="minorHAnsi" w:cstheme="minorHAnsi"/>
              <w:sz w:val="23"/>
              <w:szCs w:val="23"/>
            </w:rPr>
            <w:instrText xml:space="preserve">CITATION Hic15 \l 2057 </w:instrText>
          </w:r>
          <w:r w:rsidR="00C41C20">
            <w:rPr>
              <w:rFonts w:asciiTheme="minorHAnsi" w:hAnsiTheme="minorHAnsi" w:cstheme="minorHAnsi"/>
              <w:sz w:val="23"/>
              <w:szCs w:val="23"/>
            </w:rPr>
            <w:fldChar w:fldCharType="separate"/>
          </w:r>
          <w:r w:rsidR="00910567">
            <w:rPr>
              <w:rFonts w:asciiTheme="minorHAnsi" w:hAnsiTheme="minorHAnsi" w:cstheme="minorHAnsi"/>
              <w:noProof/>
              <w:sz w:val="23"/>
              <w:szCs w:val="23"/>
            </w:rPr>
            <w:t xml:space="preserve"> </w:t>
          </w:r>
          <w:r w:rsidR="00910567" w:rsidRPr="00910567">
            <w:rPr>
              <w:rFonts w:asciiTheme="minorHAnsi" w:hAnsiTheme="minorHAnsi" w:cstheme="minorHAnsi"/>
              <w:noProof/>
              <w:sz w:val="23"/>
              <w:szCs w:val="23"/>
            </w:rPr>
            <w:t>(Hicks, 2015)</w:t>
          </w:r>
          <w:r w:rsidR="00C41C20">
            <w:rPr>
              <w:rFonts w:asciiTheme="minorHAnsi" w:hAnsiTheme="minorHAnsi" w:cstheme="minorHAnsi"/>
              <w:sz w:val="23"/>
              <w:szCs w:val="23"/>
            </w:rPr>
            <w:fldChar w:fldCharType="end"/>
          </w:r>
        </w:sdtContent>
      </w:sdt>
      <w:r w:rsidRPr="00D0790B">
        <w:rPr>
          <w:rFonts w:asciiTheme="minorHAnsi" w:hAnsiTheme="minorHAnsi" w:cstheme="minorHAnsi"/>
          <w:sz w:val="23"/>
          <w:szCs w:val="23"/>
        </w:rPr>
        <w:t xml:space="preserve"> and San Francisco Declaration on Research Assessment</w:t>
      </w:r>
      <w:sdt>
        <w:sdtPr>
          <w:rPr>
            <w:rFonts w:asciiTheme="minorHAnsi" w:hAnsiTheme="minorHAnsi" w:cstheme="minorHAnsi"/>
            <w:sz w:val="23"/>
            <w:szCs w:val="23"/>
          </w:rPr>
          <w:id w:val="1077942518"/>
          <w:citation/>
        </w:sdtPr>
        <w:sdtEndPr/>
        <w:sdtContent>
          <w:r w:rsidR="001E6FDE">
            <w:rPr>
              <w:rFonts w:asciiTheme="minorHAnsi" w:hAnsiTheme="minorHAnsi" w:cstheme="minorHAnsi"/>
              <w:sz w:val="23"/>
              <w:szCs w:val="23"/>
            </w:rPr>
            <w:fldChar w:fldCharType="begin"/>
          </w:r>
          <w:r w:rsidR="001E6FDE">
            <w:rPr>
              <w:rFonts w:asciiTheme="minorHAnsi" w:hAnsiTheme="minorHAnsi" w:cstheme="minorHAnsi"/>
              <w:sz w:val="23"/>
              <w:szCs w:val="23"/>
            </w:rPr>
            <w:instrText xml:space="preserve"> CITATION San12 \l 2057 </w:instrText>
          </w:r>
          <w:r w:rsidR="001E6FDE">
            <w:rPr>
              <w:rFonts w:asciiTheme="minorHAnsi" w:hAnsiTheme="minorHAnsi" w:cstheme="minorHAnsi"/>
              <w:sz w:val="23"/>
              <w:szCs w:val="23"/>
            </w:rPr>
            <w:fldChar w:fldCharType="separate"/>
          </w:r>
          <w:r w:rsidR="00910567">
            <w:rPr>
              <w:rFonts w:asciiTheme="minorHAnsi" w:hAnsiTheme="minorHAnsi" w:cstheme="minorHAnsi"/>
              <w:noProof/>
              <w:sz w:val="23"/>
              <w:szCs w:val="23"/>
            </w:rPr>
            <w:t xml:space="preserve"> </w:t>
          </w:r>
          <w:r w:rsidR="00910567" w:rsidRPr="00910567">
            <w:rPr>
              <w:rFonts w:asciiTheme="minorHAnsi" w:hAnsiTheme="minorHAnsi" w:cstheme="minorHAnsi"/>
              <w:noProof/>
              <w:sz w:val="23"/>
              <w:szCs w:val="23"/>
            </w:rPr>
            <w:t>(San Francisco Declaration on Research Assessment, 2012)</w:t>
          </w:r>
          <w:r w:rsidR="001E6FDE">
            <w:rPr>
              <w:rFonts w:asciiTheme="minorHAnsi" w:hAnsiTheme="minorHAnsi" w:cstheme="minorHAnsi"/>
              <w:sz w:val="23"/>
              <w:szCs w:val="23"/>
            </w:rPr>
            <w:fldChar w:fldCharType="end"/>
          </w:r>
        </w:sdtContent>
      </w:sdt>
      <w:r w:rsidRPr="00D0790B">
        <w:rPr>
          <w:rFonts w:asciiTheme="minorHAnsi" w:hAnsiTheme="minorHAnsi" w:cstheme="minorHAnsi"/>
          <w:sz w:val="23"/>
          <w:szCs w:val="23"/>
        </w:rPr>
        <w:t xml:space="preserve">, as well as its own Behavioural Framework, the university commits to use metrics with integrity in a fair, transparent and responsible manner. </w:t>
      </w:r>
    </w:p>
    <w:p w14:paraId="17410AFD" w14:textId="77777777" w:rsidR="00D0790B" w:rsidRPr="00D0790B" w:rsidRDefault="00D0790B" w:rsidP="00D0790B">
      <w:pPr>
        <w:pStyle w:val="Heading1"/>
      </w:pPr>
      <w:r w:rsidRPr="00D0790B">
        <w:t xml:space="preserve">Statement </w:t>
      </w:r>
    </w:p>
    <w:p w14:paraId="0E3654D2" w14:textId="77777777" w:rsidR="00675559" w:rsidRDefault="00675559" w:rsidP="00D0790B">
      <w:pPr>
        <w:pStyle w:val="Default"/>
        <w:rPr>
          <w:rFonts w:asciiTheme="minorHAnsi" w:hAnsiTheme="minorHAnsi" w:cstheme="minorHAnsi"/>
          <w:sz w:val="23"/>
          <w:szCs w:val="23"/>
        </w:rPr>
      </w:pPr>
    </w:p>
    <w:p w14:paraId="354F5ABC" w14:textId="20FFBE5A" w:rsidR="00D0790B" w:rsidRPr="00D0790B" w:rsidRDefault="00D0790B" w:rsidP="00D0790B">
      <w:pPr>
        <w:pStyle w:val="Default"/>
        <w:rPr>
          <w:rFonts w:asciiTheme="minorHAnsi" w:hAnsiTheme="minorHAnsi" w:cstheme="minorHAnsi"/>
          <w:sz w:val="23"/>
          <w:szCs w:val="23"/>
        </w:rPr>
      </w:pPr>
      <w:r w:rsidRPr="00D0790B">
        <w:rPr>
          <w:rFonts w:asciiTheme="minorHAnsi" w:hAnsiTheme="minorHAnsi" w:cstheme="minorHAnsi"/>
          <w:sz w:val="23"/>
          <w:szCs w:val="23"/>
        </w:rPr>
        <w:t xml:space="preserve">All research assessment using metrics at London South Bank University should be informed by the following five dimensions articulated in the </w:t>
      </w:r>
      <w:r w:rsidRPr="00D0790B">
        <w:rPr>
          <w:rFonts w:asciiTheme="minorHAnsi" w:hAnsiTheme="minorHAnsi" w:cstheme="minorHAnsi"/>
          <w:i/>
          <w:iCs/>
          <w:sz w:val="23"/>
          <w:szCs w:val="23"/>
        </w:rPr>
        <w:t xml:space="preserve">Metric Tide </w:t>
      </w:r>
      <w:r w:rsidRPr="00D0790B">
        <w:rPr>
          <w:rFonts w:asciiTheme="minorHAnsi" w:hAnsiTheme="minorHAnsi" w:cstheme="minorHAnsi"/>
          <w:sz w:val="23"/>
          <w:szCs w:val="23"/>
        </w:rPr>
        <w:t xml:space="preserve">report: </w:t>
      </w:r>
    </w:p>
    <w:p w14:paraId="79B6BEB3" w14:textId="77777777" w:rsidR="00675559" w:rsidRDefault="00675559" w:rsidP="00D0790B">
      <w:pPr>
        <w:pStyle w:val="Default"/>
        <w:rPr>
          <w:rFonts w:asciiTheme="minorHAnsi" w:hAnsiTheme="minorHAnsi" w:cstheme="minorHAnsi"/>
          <w:b/>
          <w:bCs/>
          <w:sz w:val="23"/>
          <w:szCs w:val="23"/>
        </w:rPr>
      </w:pPr>
    </w:p>
    <w:p w14:paraId="4058BB6F" w14:textId="5560B2C3" w:rsidR="00D0790B" w:rsidRPr="00D0790B" w:rsidRDefault="00D0790B" w:rsidP="00D0790B">
      <w:pPr>
        <w:pStyle w:val="Default"/>
        <w:rPr>
          <w:rFonts w:asciiTheme="minorHAnsi" w:hAnsiTheme="minorHAnsi" w:cstheme="minorHAnsi"/>
          <w:sz w:val="23"/>
          <w:szCs w:val="23"/>
        </w:rPr>
      </w:pPr>
      <w:r w:rsidRPr="00D0790B">
        <w:rPr>
          <w:rFonts w:asciiTheme="minorHAnsi" w:hAnsiTheme="minorHAnsi" w:cstheme="minorHAnsi"/>
          <w:b/>
          <w:bCs/>
          <w:sz w:val="23"/>
          <w:szCs w:val="23"/>
        </w:rPr>
        <w:t xml:space="preserve">Robustness: </w:t>
      </w:r>
      <w:r w:rsidRPr="00D0790B">
        <w:rPr>
          <w:rFonts w:asciiTheme="minorHAnsi" w:hAnsiTheme="minorHAnsi" w:cstheme="minorHAnsi"/>
          <w:sz w:val="23"/>
          <w:szCs w:val="23"/>
        </w:rPr>
        <w:t xml:space="preserve">basing metrics on the best possible data in terms of accuracy and scope </w:t>
      </w:r>
    </w:p>
    <w:p w14:paraId="271B62B3" w14:textId="7753671F" w:rsidR="00D0790B" w:rsidRPr="00D0790B" w:rsidRDefault="00D0790B" w:rsidP="00D0790B">
      <w:pPr>
        <w:pStyle w:val="Default"/>
        <w:numPr>
          <w:ilvl w:val="0"/>
          <w:numId w:val="3"/>
        </w:numPr>
        <w:spacing w:after="37"/>
        <w:rPr>
          <w:rFonts w:asciiTheme="minorHAnsi" w:hAnsiTheme="minorHAnsi" w:cstheme="minorHAnsi"/>
          <w:sz w:val="23"/>
          <w:szCs w:val="23"/>
        </w:rPr>
      </w:pPr>
      <w:r w:rsidRPr="00D0790B">
        <w:rPr>
          <w:rFonts w:asciiTheme="minorHAnsi" w:hAnsiTheme="minorHAnsi" w:cstheme="minorHAnsi"/>
          <w:sz w:val="23"/>
          <w:szCs w:val="23"/>
        </w:rPr>
        <w:t xml:space="preserve">At LSBU, metrics will be selected and used which are accurate and comprehensive; where there are limitations in available metrics these will be noted as part of any formal use. </w:t>
      </w:r>
    </w:p>
    <w:p w14:paraId="60A62A8B" w14:textId="4EC2E106" w:rsidR="00D0790B" w:rsidRPr="00D0790B" w:rsidRDefault="00D0790B" w:rsidP="00D0790B">
      <w:pPr>
        <w:pStyle w:val="Default"/>
        <w:numPr>
          <w:ilvl w:val="0"/>
          <w:numId w:val="3"/>
        </w:numPr>
        <w:rPr>
          <w:rFonts w:asciiTheme="minorHAnsi" w:hAnsiTheme="minorHAnsi" w:cstheme="minorHAnsi"/>
          <w:sz w:val="23"/>
          <w:szCs w:val="23"/>
        </w:rPr>
      </w:pPr>
      <w:r w:rsidRPr="00D0790B">
        <w:rPr>
          <w:rFonts w:asciiTheme="minorHAnsi" w:hAnsiTheme="minorHAnsi" w:cstheme="minorHAnsi"/>
          <w:sz w:val="23"/>
          <w:szCs w:val="23"/>
        </w:rPr>
        <w:t xml:space="preserve">At LSBU, metrics will not be used inappropriately: an example is using a journal metric to infer the quality of an individual article. </w:t>
      </w:r>
    </w:p>
    <w:p w14:paraId="61BAF534" w14:textId="77777777" w:rsidR="00D0790B" w:rsidRPr="00D0790B" w:rsidRDefault="00D0790B" w:rsidP="00D0790B">
      <w:pPr>
        <w:pStyle w:val="Default"/>
        <w:rPr>
          <w:rFonts w:asciiTheme="minorHAnsi" w:hAnsiTheme="minorHAnsi" w:cstheme="minorHAnsi"/>
          <w:sz w:val="23"/>
          <w:szCs w:val="23"/>
        </w:rPr>
      </w:pPr>
    </w:p>
    <w:p w14:paraId="5C5DBC82" w14:textId="77777777" w:rsidR="00D0790B" w:rsidRPr="00D0790B" w:rsidRDefault="00D0790B" w:rsidP="00D0790B">
      <w:pPr>
        <w:pStyle w:val="Default"/>
        <w:rPr>
          <w:rFonts w:asciiTheme="minorHAnsi" w:hAnsiTheme="minorHAnsi" w:cstheme="minorHAnsi"/>
          <w:sz w:val="23"/>
          <w:szCs w:val="23"/>
        </w:rPr>
      </w:pPr>
      <w:r w:rsidRPr="00D0790B">
        <w:rPr>
          <w:rFonts w:asciiTheme="minorHAnsi" w:hAnsiTheme="minorHAnsi" w:cstheme="minorHAnsi"/>
          <w:b/>
          <w:bCs/>
          <w:sz w:val="23"/>
          <w:szCs w:val="23"/>
        </w:rPr>
        <w:t xml:space="preserve">Humility: </w:t>
      </w:r>
      <w:r w:rsidRPr="00D0790B">
        <w:rPr>
          <w:rFonts w:asciiTheme="minorHAnsi" w:hAnsiTheme="minorHAnsi" w:cstheme="minorHAnsi"/>
          <w:sz w:val="23"/>
          <w:szCs w:val="23"/>
        </w:rPr>
        <w:t xml:space="preserve">recognising that quantitative evaluation should support – but not supplant – qualitative, expert assessment </w:t>
      </w:r>
    </w:p>
    <w:p w14:paraId="1315A14B" w14:textId="4B6937C2" w:rsidR="00D0790B" w:rsidRPr="00D0790B" w:rsidRDefault="00D0790B" w:rsidP="00D0790B">
      <w:pPr>
        <w:pStyle w:val="Default"/>
        <w:numPr>
          <w:ilvl w:val="0"/>
          <w:numId w:val="4"/>
        </w:numPr>
        <w:spacing w:after="38"/>
        <w:rPr>
          <w:rFonts w:asciiTheme="minorHAnsi" w:hAnsiTheme="minorHAnsi" w:cstheme="minorHAnsi"/>
          <w:sz w:val="23"/>
          <w:szCs w:val="23"/>
        </w:rPr>
      </w:pPr>
      <w:r w:rsidRPr="00D0790B">
        <w:rPr>
          <w:rFonts w:asciiTheme="minorHAnsi" w:hAnsiTheme="minorHAnsi" w:cstheme="minorHAnsi"/>
          <w:sz w:val="23"/>
          <w:szCs w:val="23"/>
        </w:rPr>
        <w:t xml:space="preserve">At LSBU, metrics will not replace expert opinion or peer review but can support such assessment. </w:t>
      </w:r>
    </w:p>
    <w:p w14:paraId="3FD97A76" w14:textId="1E8CED03" w:rsidR="00D0790B" w:rsidRPr="00D0790B" w:rsidRDefault="00D0790B" w:rsidP="00D0790B">
      <w:pPr>
        <w:pStyle w:val="Default"/>
        <w:numPr>
          <w:ilvl w:val="0"/>
          <w:numId w:val="4"/>
        </w:numPr>
        <w:rPr>
          <w:rFonts w:asciiTheme="minorHAnsi" w:hAnsiTheme="minorHAnsi" w:cstheme="minorHAnsi"/>
          <w:sz w:val="23"/>
          <w:szCs w:val="23"/>
        </w:rPr>
      </w:pPr>
      <w:r w:rsidRPr="00D0790B">
        <w:rPr>
          <w:rFonts w:asciiTheme="minorHAnsi" w:hAnsiTheme="minorHAnsi" w:cstheme="minorHAnsi"/>
          <w:sz w:val="23"/>
          <w:szCs w:val="23"/>
        </w:rPr>
        <w:t xml:space="preserve">At LSBU, all decision-makers using research metrics will understand their proper uses, and any limitations or deficiencies. Support in the attainment of this commitment will be provided through briefings and training. </w:t>
      </w:r>
    </w:p>
    <w:p w14:paraId="153BCDE5" w14:textId="77777777" w:rsidR="00D0790B" w:rsidRPr="00D0790B" w:rsidRDefault="00D0790B" w:rsidP="00D0790B">
      <w:pPr>
        <w:pStyle w:val="Default"/>
        <w:rPr>
          <w:rFonts w:asciiTheme="minorHAnsi" w:hAnsiTheme="minorHAnsi" w:cstheme="minorHAnsi"/>
          <w:sz w:val="23"/>
          <w:szCs w:val="23"/>
        </w:rPr>
      </w:pPr>
    </w:p>
    <w:p w14:paraId="3256998B" w14:textId="77777777" w:rsidR="00D0790B" w:rsidRPr="00D0790B" w:rsidRDefault="00D0790B" w:rsidP="00D0790B">
      <w:pPr>
        <w:pStyle w:val="Default"/>
        <w:rPr>
          <w:rFonts w:asciiTheme="minorHAnsi" w:hAnsiTheme="minorHAnsi" w:cstheme="minorHAnsi"/>
          <w:sz w:val="23"/>
          <w:szCs w:val="23"/>
        </w:rPr>
      </w:pPr>
      <w:r w:rsidRPr="00D0790B">
        <w:rPr>
          <w:rFonts w:asciiTheme="minorHAnsi" w:hAnsiTheme="minorHAnsi" w:cstheme="minorHAnsi"/>
          <w:b/>
          <w:bCs/>
          <w:sz w:val="23"/>
          <w:szCs w:val="23"/>
        </w:rPr>
        <w:t xml:space="preserve">Transparency: </w:t>
      </w:r>
      <w:r w:rsidRPr="00D0790B">
        <w:rPr>
          <w:rFonts w:asciiTheme="minorHAnsi" w:hAnsiTheme="minorHAnsi" w:cstheme="minorHAnsi"/>
          <w:sz w:val="23"/>
          <w:szCs w:val="23"/>
        </w:rPr>
        <w:t xml:space="preserve">keeping data collection and analytical processes open and transparent, so that those being evaluated can test and verify the results </w:t>
      </w:r>
    </w:p>
    <w:p w14:paraId="3F4D2AAF" w14:textId="645FEABA" w:rsidR="00D0790B" w:rsidRDefault="00D0790B" w:rsidP="00D0790B">
      <w:pPr>
        <w:pStyle w:val="Default"/>
        <w:numPr>
          <w:ilvl w:val="0"/>
          <w:numId w:val="4"/>
        </w:numPr>
        <w:rPr>
          <w:rFonts w:asciiTheme="minorHAnsi" w:hAnsiTheme="minorHAnsi" w:cstheme="minorHAnsi"/>
          <w:sz w:val="23"/>
          <w:szCs w:val="23"/>
        </w:rPr>
      </w:pPr>
      <w:r w:rsidRPr="00D0790B">
        <w:rPr>
          <w:rFonts w:asciiTheme="minorHAnsi" w:hAnsiTheme="minorHAnsi" w:cstheme="minorHAnsi"/>
          <w:sz w:val="23"/>
          <w:szCs w:val="23"/>
        </w:rPr>
        <w:t xml:space="preserve">At LSBU, assessment criteria and any quantitative data used will be transparent and made available (on request) to those being assessed. Those conducting assessments must disclose the data sources used and ensure that researchers can access (on request) and correct data about their work. </w:t>
      </w:r>
    </w:p>
    <w:p w14:paraId="64CEAEDE" w14:textId="28D5B0E1" w:rsidR="00D0790B" w:rsidRDefault="00D0790B" w:rsidP="00D0790B">
      <w:pPr>
        <w:pStyle w:val="Default"/>
        <w:rPr>
          <w:rFonts w:asciiTheme="minorHAnsi" w:hAnsiTheme="minorHAnsi" w:cstheme="minorHAnsi"/>
          <w:sz w:val="23"/>
          <w:szCs w:val="23"/>
        </w:rPr>
      </w:pPr>
    </w:p>
    <w:p w14:paraId="378A9A0D" w14:textId="77777777" w:rsidR="009F626D" w:rsidRPr="00D0790B" w:rsidRDefault="009F626D" w:rsidP="009F626D">
      <w:pPr>
        <w:pStyle w:val="Default"/>
        <w:pageBreakBefore/>
        <w:rPr>
          <w:rFonts w:asciiTheme="minorHAnsi" w:hAnsiTheme="minorHAnsi" w:cstheme="minorHAnsi"/>
          <w:color w:val="auto"/>
          <w:sz w:val="23"/>
          <w:szCs w:val="23"/>
        </w:rPr>
      </w:pPr>
      <w:r w:rsidRPr="00D0790B">
        <w:rPr>
          <w:rFonts w:asciiTheme="minorHAnsi" w:hAnsiTheme="minorHAnsi" w:cstheme="minorHAnsi"/>
          <w:b/>
          <w:bCs/>
          <w:color w:val="auto"/>
          <w:sz w:val="23"/>
          <w:szCs w:val="23"/>
        </w:rPr>
        <w:lastRenderedPageBreak/>
        <w:t xml:space="preserve">Diversity: </w:t>
      </w:r>
      <w:r w:rsidRPr="00D0790B">
        <w:rPr>
          <w:rFonts w:asciiTheme="minorHAnsi" w:hAnsiTheme="minorHAnsi" w:cstheme="minorHAnsi"/>
          <w:color w:val="auto"/>
          <w:sz w:val="23"/>
          <w:szCs w:val="23"/>
        </w:rPr>
        <w:t xml:space="preserve">accounting for variation by field, and using a range of indicators to reflect and support a plurality of research and researcher career paths across the system </w:t>
      </w:r>
    </w:p>
    <w:p w14:paraId="5B44BDF6" w14:textId="77777777" w:rsidR="009F626D" w:rsidRPr="00D0790B" w:rsidRDefault="009F626D" w:rsidP="009F626D">
      <w:pPr>
        <w:pStyle w:val="Default"/>
        <w:numPr>
          <w:ilvl w:val="0"/>
          <w:numId w:val="4"/>
        </w:numPr>
        <w:spacing w:after="37"/>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At LSBU, disciplinary differences in research inputs, processes and outputs will be </w:t>
      </w:r>
      <w:proofErr w:type="gramStart"/>
      <w:r w:rsidRPr="00D0790B">
        <w:rPr>
          <w:rFonts w:asciiTheme="minorHAnsi" w:hAnsiTheme="minorHAnsi" w:cstheme="minorHAnsi"/>
          <w:color w:val="auto"/>
          <w:sz w:val="23"/>
          <w:szCs w:val="23"/>
        </w:rPr>
        <w:t>taken into account</w:t>
      </w:r>
      <w:proofErr w:type="gramEnd"/>
      <w:r w:rsidRPr="00D0790B">
        <w:rPr>
          <w:rFonts w:asciiTheme="minorHAnsi" w:hAnsiTheme="minorHAnsi" w:cstheme="minorHAnsi"/>
          <w:color w:val="auto"/>
          <w:sz w:val="23"/>
          <w:szCs w:val="23"/>
        </w:rPr>
        <w:t xml:space="preserve">. Any disciplinary biases in indicators used must be explicitly acknowledged and addressed. </w:t>
      </w:r>
    </w:p>
    <w:p w14:paraId="77386D04" w14:textId="77777777" w:rsidR="009F626D" w:rsidRPr="00D0790B" w:rsidRDefault="009F626D" w:rsidP="009F626D">
      <w:pPr>
        <w:pStyle w:val="Default"/>
        <w:numPr>
          <w:ilvl w:val="0"/>
          <w:numId w:val="4"/>
        </w:numPr>
        <w:spacing w:after="37"/>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At LSBU, we are mindful of our commitment to equality, diversity and inclusion, and we will address these in selecting and using metrics. We will not make use of the h-index, since it does not take account of factors such as career breaks. </w:t>
      </w:r>
    </w:p>
    <w:p w14:paraId="4ABB2CD0" w14:textId="77777777" w:rsidR="009F626D" w:rsidRPr="00D0790B" w:rsidRDefault="009F626D" w:rsidP="009F626D">
      <w:pPr>
        <w:pStyle w:val="Default"/>
        <w:numPr>
          <w:ilvl w:val="0"/>
          <w:numId w:val="4"/>
        </w:numPr>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At LSBU, research assessment and management activities will be tailored to the scale of the research activity being assessed. </w:t>
      </w:r>
      <w:proofErr w:type="gramStart"/>
      <w:r w:rsidRPr="00D0790B">
        <w:rPr>
          <w:rFonts w:asciiTheme="minorHAnsi" w:hAnsiTheme="minorHAnsi" w:cstheme="minorHAnsi"/>
          <w:color w:val="auto"/>
          <w:sz w:val="23"/>
          <w:szCs w:val="23"/>
        </w:rPr>
        <w:t>Particular caution</w:t>
      </w:r>
      <w:proofErr w:type="gramEnd"/>
      <w:r w:rsidRPr="00D0790B">
        <w:rPr>
          <w:rFonts w:asciiTheme="minorHAnsi" w:hAnsiTheme="minorHAnsi" w:cstheme="minorHAnsi"/>
          <w:color w:val="auto"/>
          <w:sz w:val="23"/>
          <w:szCs w:val="23"/>
        </w:rPr>
        <w:t xml:space="preserve"> is needed when interpreting quantitative indicators in small scale assessments such as the assessment of an individual researcher. However, we are also mindful that bibliometric data can be less prone to subjectivity (especially when field weighted) than reviews undertaken by peers so we will strive to use them in a manner that upholds objectivity and counters personal bias. </w:t>
      </w:r>
    </w:p>
    <w:p w14:paraId="71F55A19" w14:textId="77777777" w:rsidR="00D0790B" w:rsidRPr="00D0790B" w:rsidRDefault="00D0790B" w:rsidP="00D0790B">
      <w:pPr>
        <w:pStyle w:val="Default"/>
        <w:rPr>
          <w:rFonts w:asciiTheme="minorHAnsi" w:hAnsiTheme="minorHAnsi" w:cstheme="minorHAnsi"/>
          <w:color w:val="auto"/>
          <w:sz w:val="23"/>
          <w:szCs w:val="23"/>
        </w:rPr>
      </w:pPr>
    </w:p>
    <w:p w14:paraId="6C8E5D20" w14:textId="77777777" w:rsidR="00D0790B" w:rsidRPr="00D0790B" w:rsidRDefault="00D0790B" w:rsidP="00D0790B">
      <w:pPr>
        <w:pStyle w:val="Default"/>
        <w:rPr>
          <w:rFonts w:asciiTheme="minorHAnsi" w:hAnsiTheme="minorHAnsi" w:cstheme="minorHAnsi"/>
          <w:color w:val="auto"/>
          <w:sz w:val="23"/>
          <w:szCs w:val="23"/>
        </w:rPr>
      </w:pPr>
      <w:r w:rsidRPr="00D0790B">
        <w:rPr>
          <w:rFonts w:asciiTheme="minorHAnsi" w:hAnsiTheme="minorHAnsi" w:cstheme="minorHAnsi"/>
          <w:b/>
          <w:bCs/>
          <w:color w:val="auto"/>
          <w:sz w:val="23"/>
          <w:szCs w:val="23"/>
        </w:rPr>
        <w:t xml:space="preserve">Reflexivity: </w:t>
      </w:r>
      <w:r w:rsidRPr="00D0790B">
        <w:rPr>
          <w:rFonts w:asciiTheme="minorHAnsi" w:hAnsiTheme="minorHAnsi" w:cstheme="minorHAnsi"/>
          <w:color w:val="auto"/>
          <w:sz w:val="23"/>
          <w:szCs w:val="23"/>
        </w:rPr>
        <w:t xml:space="preserve">recognising and anticipating the systemic and potential effects of indicators, and updating them in response </w:t>
      </w:r>
    </w:p>
    <w:p w14:paraId="2C979222" w14:textId="36D7B9EB" w:rsidR="00D0790B" w:rsidRPr="00D0790B" w:rsidRDefault="00D0790B" w:rsidP="00D0790B">
      <w:pPr>
        <w:pStyle w:val="Default"/>
        <w:numPr>
          <w:ilvl w:val="0"/>
          <w:numId w:val="4"/>
        </w:numPr>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At LSBU, the potential or systemic effects of using metrics will be acknowledged: where such effects are identified, they will be addressed and updated. </w:t>
      </w:r>
    </w:p>
    <w:p w14:paraId="4DCDDF6B" w14:textId="77777777" w:rsidR="00D0790B" w:rsidRPr="00D0790B" w:rsidRDefault="00D0790B" w:rsidP="00D0790B">
      <w:pPr>
        <w:pStyle w:val="Default"/>
        <w:rPr>
          <w:rFonts w:asciiTheme="minorHAnsi" w:hAnsiTheme="minorHAnsi" w:cstheme="minorHAnsi"/>
          <w:color w:val="auto"/>
          <w:sz w:val="23"/>
          <w:szCs w:val="23"/>
        </w:rPr>
      </w:pPr>
    </w:p>
    <w:p w14:paraId="6E00E722" w14:textId="77777777" w:rsidR="00D0790B" w:rsidRPr="00D0790B" w:rsidRDefault="00D0790B" w:rsidP="00D0790B">
      <w:pPr>
        <w:pStyle w:val="Default"/>
        <w:rPr>
          <w:rFonts w:asciiTheme="minorHAnsi" w:hAnsiTheme="minorHAnsi" w:cstheme="minorHAnsi"/>
          <w:color w:val="auto"/>
          <w:sz w:val="23"/>
          <w:szCs w:val="23"/>
        </w:rPr>
      </w:pPr>
      <w:r w:rsidRPr="00D0790B">
        <w:rPr>
          <w:rFonts w:asciiTheme="minorHAnsi" w:hAnsiTheme="minorHAnsi" w:cstheme="minorHAnsi"/>
          <w:b/>
          <w:bCs/>
          <w:color w:val="auto"/>
          <w:sz w:val="23"/>
          <w:szCs w:val="23"/>
        </w:rPr>
        <w:t xml:space="preserve">Actions </w:t>
      </w:r>
    </w:p>
    <w:p w14:paraId="33AFE655" w14:textId="2E678FF5" w:rsidR="00D0790B" w:rsidRPr="00D0790B" w:rsidRDefault="00D0790B" w:rsidP="00D0790B">
      <w:pPr>
        <w:pStyle w:val="Default"/>
        <w:numPr>
          <w:ilvl w:val="0"/>
          <w:numId w:val="4"/>
        </w:numPr>
        <w:spacing w:after="37"/>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The Provost to sign DORA (the San Francisco Declaration on Research Assessment) as a public sign of LSBU’s commitment to responsible metrics. </w:t>
      </w:r>
    </w:p>
    <w:p w14:paraId="7E2422C4" w14:textId="560A7335" w:rsidR="00D0790B" w:rsidRPr="00D0790B" w:rsidRDefault="00D0790B" w:rsidP="00D0790B">
      <w:pPr>
        <w:pStyle w:val="Default"/>
        <w:numPr>
          <w:ilvl w:val="0"/>
          <w:numId w:val="4"/>
        </w:numPr>
        <w:spacing w:after="37"/>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The Provost to affirm LSBU’s agreement with the Leiden Manifesto alongside DORA. </w:t>
      </w:r>
    </w:p>
    <w:p w14:paraId="4B56BBE1" w14:textId="69F2A3D9" w:rsidR="00D0790B" w:rsidRPr="00D0790B" w:rsidRDefault="00D0790B" w:rsidP="00D0790B">
      <w:pPr>
        <w:pStyle w:val="Default"/>
        <w:numPr>
          <w:ilvl w:val="0"/>
          <w:numId w:val="4"/>
        </w:numPr>
        <w:spacing w:after="37"/>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The Scholarly Communications and Repository Manager to arrange regular (at least once per semester) training and briefing in the responsible use of metrics in concert with colleagues in Research, Enterprise &amp; Innovation and Planning, Performance &amp; Assurance. </w:t>
      </w:r>
    </w:p>
    <w:p w14:paraId="5972782F" w14:textId="1C84B5BE" w:rsidR="00D0790B" w:rsidRPr="00D0790B" w:rsidRDefault="00D0790B" w:rsidP="00D0790B">
      <w:pPr>
        <w:pStyle w:val="Default"/>
        <w:numPr>
          <w:ilvl w:val="0"/>
          <w:numId w:val="4"/>
        </w:numPr>
        <w:rPr>
          <w:rFonts w:asciiTheme="minorHAnsi" w:hAnsiTheme="minorHAnsi" w:cstheme="minorHAnsi"/>
          <w:color w:val="auto"/>
          <w:sz w:val="23"/>
          <w:szCs w:val="23"/>
        </w:rPr>
      </w:pPr>
      <w:r w:rsidRPr="00D0790B">
        <w:rPr>
          <w:rFonts w:asciiTheme="minorHAnsi" w:hAnsiTheme="minorHAnsi" w:cstheme="minorHAnsi"/>
          <w:color w:val="auto"/>
          <w:sz w:val="23"/>
          <w:szCs w:val="23"/>
        </w:rPr>
        <w:t xml:space="preserve">Anyone with concerns about the use or application of research metrics is invited to raise them with their Director of Research &amp; Enterprise and Dean, or the Provost. </w:t>
      </w:r>
    </w:p>
    <w:p w14:paraId="768AE7E6" w14:textId="3505254F" w:rsidR="004700FE" w:rsidRDefault="00910567">
      <w:pPr>
        <w:rPr>
          <w:rFonts w:cstheme="minorHAnsi"/>
        </w:rPr>
      </w:pPr>
    </w:p>
    <w:sdt>
      <w:sdtPr>
        <w:rPr>
          <w:rFonts w:asciiTheme="minorHAnsi" w:eastAsiaTheme="minorHAnsi" w:hAnsiTheme="minorHAnsi" w:cstheme="minorBidi"/>
          <w:color w:val="auto"/>
          <w:sz w:val="22"/>
          <w:szCs w:val="22"/>
        </w:rPr>
        <w:id w:val="897406636"/>
        <w:docPartObj>
          <w:docPartGallery w:val="Bibliographies"/>
          <w:docPartUnique/>
        </w:docPartObj>
      </w:sdtPr>
      <w:sdtEndPr/>
      <w:sdtContent>
        <w:p w14:paraId="667DE9EC" w14:textId="04BE7C9B" w:rsidR="00C217AC" w:rsidRDefault="00C217AC">
          <w:pPr>
            <w:pStyle w:val="Heading1"/>
          </w:pPr>
          <w:r>
            <w:t>References</w:t>
          </w:r>
        </w:p>
        <w:sdt>
          <w:sdtPr>
            <w:id w:val="-573587230"/>
            <w:bibliography/>
          </w:sdtPr>
          <w:sdtEndPr/>
          <w:sdtContent>
            <w:p w14:paraId="0041126B" w14:textId="77777777" w:rsidR="00910567" w:rsidRDefault="00C217AC" w:rsidP="00910567">
              <w:pPr>
                <w:pStyle w:val="Bibliography"/>
                <w:ind w:left="720" w:hanging="720"/>
                <w:rPr>
                  <w:noProof/>
                  <w:sz w:val="24"/>
                  <w:szCs w:val="24"/>
                </w:rPr>
              </w:pPr>
              <w:r>
                <w:fldChar w:fldCharType="begin"/>
              </w:r>
              <w:r>
                <w:instrText xml:space="preserve"> BIBLIOGRAPHY </w:instrText>
              </w:r>
              <w:r>
                <w:fldChar w:fldCharType="separate"/>
              </w:r>
              <w:r w:rsidR="00910567">
                <w:rPr>
                  <w:noProof/>
                </w:rPr>
                <w:t xml:space="preserve">Hicks, D. (2015). The Leiden Manifesto for research metrics. </w:t>
              </w:r>
              <w:r w:rsidR="00910567">
                <w:rPr>
                  <w:i/>
                  <w:iCs/>
                  <w:noProof/>
                </w:rPr>
                <w:t>Nature</w:t>
              </w:r>
              <w:r w:rsidR="00910567">
                <w:rPr>
                  <w:noProof/>
                </w:rPr>
                <w:t>, 429-431.</w:t>
              </w:r>
            </w:p>
            <w:p w14:paraId="5B6C3AA8" w14:textId="77777777" w:rsidR="00910567" w:rsidRDefault="00910567" w:rsidP="00910567">
              <w:pPr>
                <w:pStyle w:val="Bibliography"/>
                <w:ind w:left="720" w:hanging="720"/>
                <w:rPr>
                  <w:noProof/>
                </w:rPr>
              </w:pPr>
              <w:r>
                <w:rPr>
                  <w:i/>
                  <w:iCs/>
                  <w:noProof/>
                </w:rPr>
                <w:t>San Francisco Declaration on Research Assessment.</w:t>
              </w:r>
              <w:r>
                <w:rPr>
                  <w:noProof/>
                </w:rPr>
                <w:t xml:space="preserve"> (2012). Retrieved from DORA: https://sfdora.org/read/</w:t>
              </w:r>
            </w:p>
            <w:p w14:paraId="62132A2E" w14:textId="77777777" w:rsidR="00910567" w:rsidRDefault="00910567" w:rsidP="00910567">
              <w:pPr>
                <w:pStyle w:val="Bibliography"/>
                <w:ind w:left="720" w:hanging="720"/>
                <w:rPr>
                  <w:noProof/>
                </w:rPr>
              </w:pPr>
              <w:r>
                <w:rPr>
                  <w:noProof/>
                </w:rPr>
                <w:t xml:space="preserve">Wilsdon, J. (2015). </w:t>
              </w:r>
              <w:r>
                <w:rPr>
                  <w:i/>
                  <w:iCs/>
                  <w:noProof/>
                </w:rPr>
                <w:t>The Metric Tide: Report of the Independent Review of the Role of Metrics in Research Assessment and Management.</w:t>
              </w:r>
              <w:r>
                <w:rPr>
                  <w:noProof/>
                </w:rPr>
                <w:t xml:space="preserve"> HEFCE.</w:t>
              </w:r>
            </w:p>
            <w:p w14:paraId="0783F89A" w14:textId="304C935F" w:rsidR="00C217AC" w:rsidRDefault="00C217AC" w:rsidP="00910567">
              <w:r>
                <w:rPr>
                  <w:b/>
                  <w:bCs/>
                  <w:noProof/>
                </w:rPr>
                <w:fldChar w:fldCharType="end"/>
              </w:r>
            </w:p>
          </w:sdtContent>
        </w:sdt>
      </w:sdtContent>
    </w:sdt>
    <w:p w14:paraId="21751CD2" w14:textId="77777777" w:rsidR="008A41C7" w:rsidRPr="00D0790B" w:rsidRDefault="008A41C7">
      <w:pPr>
        <w:rPr>
          <w:rFonts w:cstheme="minorHAnsi"/>
        </w:rPr>
      </w:pPr>
    </w:p>
    <w:sectPr w:rsidR="008A41C7" w:rsidRPr="00D0790B" w:rsidSect="00CE4B61">
      <w:pgSz w:w="11920" w:h="17340"/>
      <w:pgMar w:top="1142" w:right="744" w:bottom="700" w:left="10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0AC7"/>
    <w:multiLevelType w:val="hybridMultilevel"/>
    <w:tmpl w:val="3E9C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E11D1"/>
    <w:multiLevelType w:val="hybridMultilevel"/>
    <w:tmpl w:val="1A08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873B8"/>
    <w:multiLevelType w:val="hybridMultilevel"/>
    <w:tmpl w:val="6CC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94EB9"/>
    <w:multiLevelType w:val="hybridMultilevel"/>
    <w:tmpl w:val="C6DE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72947"/>
    <w:multiLevelType w:val="hybridMultilevel"/>
    <w:tmpl w:val="44EC9206"/>
    <w:lvl w:ilvl="0" w:tplc="CFD6C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666C7"/>
    <w:multiLevelType w:val="hybridMultilevel"/>
    <w:tmpl w:val="5E9C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0B"/>
    <w:rsid w:val="001950EE"/>
    <w:rsid w:val="001E6FDE"/>
    <w:rsid w:val="00361277"/>
    <w:rsid w:val="003739A3"/>
    <w:rsid w:val="00675559"/>
    <w:rsid w:val="006B423F"/>
    <w:rsid w:val="007E710B"/>
    <w:rsid w:val="008A41C7"/>
    <w:rsid w:val="00910567"/>
    <w:rsid w:val="009F626D"/>
    <w:rsid w:val="00B61632"/>
    <w:rsid w:val="00BA1B79"/>
    <w:rsid w:val="00C12B19"/>
    <w:rsid w:val="00C217AC"/>
    <w:rsid w:val="00C41C20"/>
    <w:rsid w:val="00CB74E5"/>
    <w:rsid w:val="00CC6E41"/>
    <w:rsid w:val="00D0790B"/>
    <w:rsid w:val="00DA2AA0"/>
    <w:rsid w:val="00DB2E18"/>
    <w:rsid w:val="00E6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867F"/>
  <w15:chartTrackingRefBased/>
  <w15:docId w15:val="{07F0C7FB-94C8-4C6D-B70C-46367145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7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90B"/>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D079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9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79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790B"/>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C2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5172">
      <w:bodyDiv w:val="1"/>
      <w:marLeft w:val="0"/>
      <w:marRight w:val="0"/>
      <w:marTop w:val="0"/>
      <w:marBottom w:val="0"/>
      <w:divBdr>
        <w:top w:val="none" w:sz="0" w:space="0" w:color="auto"/>
        <w:left w:val="none" w:sz="0" w:space="0" w:color="auto"/>
        <w:bottom w:val="none" w:sz="0" w:space="0" w:color="auto"/>
        <w:right w:val="none" w:sz="0" w:space="0" w:color="auto"/>
      </w:divBdr>
    </w:div>
    <w:div w:id="311099990">
      <w:bodyDiv w:val="1"/>
      <w:marLeft w:val="0"/>
      <w:marRight w:val="0"/>
      <w:marTop w:val="0"/>
      <w:marBottom w:val="0"/>
      <w:divBdr>
        <w:top w:val="none" w:sz="0" w:space="0" w:color="auto"/>
        <w:left w:val="none" w:sz="0" w:space="0" w:color="auto"/>
        <w:bottom w:val="none" w:sz="0" w:space="0" w:color="auto"/>
        <w:right w:val="none" w:sz="0" w:space="0" w:color="auto"/>
      </w:divBdr>
    </w:div>
    <w:div w:id="582187128">
      <w:bodyDiv w:val="1"/>
      <w:marLeft w:val="0"/>
      <w:marRight w:val="0"/>
      <w:marTop w:val="0"/>
      <w:marBottom w:val="0"/>
      <w:divBdr>
        <w:top w:val="none" w:sz="0" w:space="0" w:color="auto"/>
        <w:left w:val="none" w:sz="0" w:space="0" w:color="auto"/>
        <w:bottom w:val="none" w:sz="0" w:space="0" w:color="auto"/>
        <w:right w:val="none" w:sz="0" w:space="0" w:color="auto"/>
      </w:divBdr>
    </w:div>
    <w:div w:id="904949091">
      <w:bodyDiv w:val="1"/>
      <w:marLeft w:val="0"/>
      <w:marRight w:val="0"/>
      <w:marTop w:val="0"/>
      <w:marBottom w:val="0"/>
      <w:divBdr>
        <w:top w:val="none" w:sz="0" w:space="0" w:color="auto"/>
        <w:left w:val="none" w:sz="0" w:space="0" w:color="auto"/>
        <w:bottom w:val="none" w:sz="0" w:space="0" w:color="auto"/>
        <w:right w:val="none" w:sz="0" w:space="0" w:color="auto"/>
      </w:divBdr>
    </w:div>
    <w:div w:id="998078874">
      <w:bodyDiv w:val="1"/>
      <w:marLeft w:val="0"/>
      <w:marRight w:val="0"/>
      <w:marTop w:val="0"/>
      <w:marBottom w:val="0"/>
      <w:divBdr>
        <w:top w:val="none" w:sz="0" w:space="0" w:color="auto"/>
        <w:left w:val="none" w:sz="0" w:space="0" w:color="auto"/>
        <w:bottom w:val="none" w:sz="0" w:space="0" w:color="auto"/>
        <w:right w:val="none" w:sz="0" w:space="0" w:color="auto"/>
      </w:divBdr>
    </w:div>
    <w:div w:id="1026296944">
      <w:bodyDiv w:val="1"/>
      <w:marLeft w:val="0"/>
      <w:marRight w:val="0"/>
      <w:marTop w:val="0"/>
      <w:marBottom w:val="0"/>
      <w:divBdr>
        <w:top w:val="none" w:sz="0" w:space="0" w:color="auto"/>
        <w:left w:val="none" w:sz="0" w:space="0" w:color="auto"/>
        <w:bottom w:val="none" w:sz="0" w:space="0" w:color="auto"/>
        <w:right w:val="none" w:sz="0" w:space="0" w:color="auto"/>
      </w:divBdr>
    </w:div>
    <w:div w:id="1148280145">
      <w:bodyDiv w:val="1"/>
      <w:marLeft w:val="0"/>
      <w:marRight w:val="0"/>
      <w:marTop w:val="0"/>
      <w:marBottom w:val="0"/>
      <w:divBdr>
        <w:top w:val="none" w:sz="0" w:space="0" w:color="auto"/>
        <w:left w:val="none" w:sz="0" w:space="0" w:color="auto"/>
        <w:bottom w:val="none" w:sz="0" w:space="0" w:color="auto"/>
        <w:right w:val="none" w:sz="0" w:space="0" w:color="auto"/>
      </w:divBdr>
    </w:div>
    <w:div w:id="1227761255">
      <w:bodyDiv w:val="1"/>
      <w:marLeft w:val="0"/>
      <w:marRight w:val="0"/>
      <w:marTop w:val="0"/>
      <w:marBottom w:val="0"/>
      <w:divBdr>
        <w:top w:val="none" w:sz="0" w:space="0" w:color="auto"/>
        <w:left w:val="none" w:sz="0" w:space="0" w:color="auto"/>
        <w:bottom w:val="none" w:sz="0" w:space="0" w:color="auto"/>
        <w:right w:val="none" w:sz="0" w:space="0" w:color="auto"/>
      </w:divBdr>
    </w:div>
    <w:div w:id="1316035620">
      <w:bodyDiv w:val="1"/>
      <w:marLeft w:val="0"/>
      <w:marRight w:val="0"/>
      <w:marTop w:val="0"/>
      <w:marBottom w:val="0"/>
      <w:divBdr>
        <w:top w:val="none" w:sz="0" w:space="0" w:color="auto"/>
        <w:left w:val="none" w:sz="0" w:space="0" w:color="auto"/>
        <w:bottom w:val="none" w:sz="0" w:space="0" w:color="auto"/>
        <w:right w:val="none" w:sz="0" w:space="0" w:color="auto"/>
      </w:divBdr>
    </w:div>
    <w:div w:id="1422288579">
      <w:bodyDiv w:val="1"/>
      <w:marLeft w:val="0"/>
      <w:marRight w:val="0"/>
      <w:marTop w:val="0"/>
      <w:marBottom w:val="0"/>
      <w:divBdr>
        <w:top w:val="none" w:sz="0" w:space="0" w:color="auto"/>
        <w:left w:val="none" w:sz="0" w:space="0" w:color="auto"/>
        <w:bottom w:val="none" w:sz="0" w:space="0" w:color="auto"/>
        <w:right w:val="none" w:sz="0" w:space="0" w:color="auto"/>
      </w:divBdr>
    </w:div>
    <w:div w:id="1729961938">
      <w:bodyDiv w:val="1"/>
      <w:marLeft w:val="0"/>
      <w:marRight w:val="0"/>
      <w:marTop w:val="0"/>
      <w:marBottom w:val="0"/>
      <w:divBdr>
        <w:top w:val="none" w:sz="0" w:space="0" w:color="auto"/>
        <w:left w:val="none" w:sz="0" w:space="0" w:color="auto"/>
        <w:bottom w:val="none" w:sz="0" w:space="0" w:color="auto"/>
        <w:right w:val="none" w:sz="0" w:space="0" w:color="auto"/>
      </w:divBdr>
    </w:div>
    <w:div w:id="1799492476">
      <w:bodyDiv w:val="1"/>
      <w:marLeft w:val="0"/>
      <w:marRight w:val="0"/>
      <w:marTop w:val="0"/>
      <w:marBottom w:val="0"/>
      <w:divBdr>
        <w:top w:val="none" w:sz="0" w:space="0" w:color="auto"/>
        <w:left w:val="none" w:sz="0" w:space="0" w:color="auto"/>
        <w:bottom w:val="none" w:sz="0" w:space="0" w:color="auto"/>
        <w:right w:val="none" w:sz="0" w:space="0" w:color="auto"/>
      </w:divBdr>
    </w:div>
    <w:div w:id="1826824641">
      <w:bodyDiv w:val="1"/>
      <w:marLeft w:val="0"/>
      <w:marRight w:val="0"/>
      <w:marTop w:val="0"/>
      <w:marBottom w:val="0"/>
      <w:divBdr>
        <w:top w:val="none" w:sz="0" w:space="0" w:color="auto"/>
        <w:left w:val="none" w:sz="0" w:space="0" w:color="auto"/>
        <w:bottom w:val="none" w:sz="0" w:space="0" w:color="auto"/>
        <w:right w:val="none" w:sz="0" w:space="0" w:color="auto"/>
      </w:divBdr>
    </w:div>
    <w:div w:id="19763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F68BF3018CE40BA29107B974D1C2C" ma:contentTypeVersion="12" ma:contentTypeDescription="Create a new document." ma:contentTypeScope="" ma:versionID="ae63250fa54d6ef6d0f252437eb1a668">
  <xsd:schema xmlns:xsd="http://www.w3.org/2001/XMLSchema" xmlns:xs="http://www.w3.org/2001/XMLSchema" xmlns:p="http://schemas.microsoft.com/office/2006/metadata/properties" xmlns:ns3="189e4247-f3d4-4b71-9ee9-02871768b676" xmlns:ns4="ae2075bf-64c2-4346-a93f-ea6c6cf80b90" targetNamespace="http://schemas.microsoft.com/office/2006/metadata/properties" ma:root="true" ma:fieldsID="a4c2c2984cc95f52d2140b519a7e3029" ns3:_="" ns4:_="">
    <xsd:import namespace="189e4247-f3d4-4b71-9ee9-02871768b676"/>
    <xsd:import namespace="ae2075bf-64c2-4346-a93f-ea6c6cf80b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e4247-f3d4-4b71-9ee9-02871768b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075bf-64c2-4346-a93f-ea6c6cf80b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San12</b:Tag>
    <b:SourceType>DocumentFromInternetSite</b:SourceType>
    <b:Guid>{22646D5C-ABF7-47ED-AB6F-660AF57C199E}</b:Guid>
    <b:Title>San Francisco Declaration on Research Assessment</b:Title>
    <b:Year>2012</b:Year>
    <b:InternetSiteTitle>DORA</b:InternetSiteTitle>
    <b:URL>https://sfdora.org/read/</b:URL>
    <b:RefOrder>3</b:RefOrder>
  </b:Source>
  <b:Source>
    <b:Tag>Hic15</b:Tag>
    <b:SourceType>JournalArticle</b:SourceType>
    <b:Guid>{95614E11-87C3-4571-9782-DF83C4FA4D66}</b:Guid>
    <b:Author>
      <b:Author>
        <b:NameList>
          <b:Person>
            <b:Last>Hicks</b:Last>
            <b:First>D.</b:First>
          </b:Person>
        </b:NameList>
      </b:Author>
    </b:Author>
    <b:Title>The Leiden Manifesto for research metrics</b:Title>
    <b:Year>2015</b:Year>
    <b:JournalName>Nature</b:JournalName>
    <b:Pages>429-431</b:Pages>
    <b:RefOrder>2</b:RefOrder>
  </b:Source>
  <b:Source>
    <b:Tag>Wil15</b:Tag>
    <b:SourceType>Book</b:SourceType>
    <b:Guid>{DA301BBE-BBDC-4D55-993C-8C51D6BFDC27}</b:Guid>
    <b:Author>
      <b:Author>
        <b:NameList>
          <b:Person>
            <b:Last>Wilsdon</b:Last>
            <b:First>J.</b:First>
          </b:Person>
        </b:NameList>
      </b:Author>
    </b:Author>
    <b:Title>The Metric Tide: Report of the Independent Review of the Role of Metrics in Research Assessment and Management.</b:Title>
    <b:Year>2015</b:Year>
    <b:Publisher>HEFCE</b:Publisher>
    <b:RefOrder>1</b:RefOrder>
  </b:Source>
</b:Sources>
</file>

<file path=customXml/itemProps1.xml><?xml version="1.0" encoding="utf-8"?>
<ds:datastoreItem xmlns:ds="http://schemas.openxmlformats.org/officeDocument/2006/customXml" ds:itemID="{30E4AD7E-29EB-4801-9B0B-0061E1E15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0CB88-C2E6-4998-BE97-EB0216423121}">
  <ds:schemaRefs>
    <ds:schemaRef ds:uri="http://schemas.microsoft.com/sharepoint/v3/contenttype/forms"/>
  </ds:schemaRefs>
</ds:datastoreItem>
</file>

<file path=customXml/itemProps3.xml><?xml version="1.0" encoding="utf-8"?>
<ds:datastoreItem xmlns:ds="http://schemas.openxmlformats.org/officeDocument/2006/customXml" ds:itemID="{56B2B39B-A004-4E8E-9052-C356BB3A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e4247-f3d4-4b71-9ee9-02871768b676"/>
    <ds:schemaRef ds:uri="ae2075bf-64c2-4346-a93f-ea6c6cf80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8257-ED99-4427-8A69-6ED713C2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grace</dc:creator>
  <cp:keywords/>
  <dc:description/>
  <cp:lastModifiedBy>Grace, Stephen 5</cp:lastModifiedBy>
  <cp:revision>17</cp:revision>
  <dcterms:created xsi:type="dcterms:W3CDTF">2020-06-08T17:01:00Z</dcterms:created>
  <dcterms:modified xsi:type="dcterms:W3CDTF">2021-08-16T16:45:00Z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0x010100E44F68BF3018CE40BA29107B974D1C2C</vt:lpwstr>
  </property>
</Properties>
</file>