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D4F2" w14:textId="598A13FC" w:rsidR="009733BB" w:rsidRDefault="00A64361">
      <w:pPr>
        <w:pStyle w:val="Title"/>
        <w:jc w:val="both"/>
        <w:rPr>
          <w:i/>
        </w:rPr>
      </w:pPr>
      <w:r>
        <w:rPr>
          <w:szCs w:val="32"/>
        </w:rPr>
        <w:t>THE EFFECT OF SOUND SOURCE DIRECTION ON SPEECH INTELLIGIBILITY IN ROOMS</w:t>
      </w:r>
      <w:r w:rsidR="00CD3941" w:rsidRPr="00CD3941">
        <w:rPr>
          <w:szCs w:val="32"/>
        </w:rPr>
        <w:t xml:space="preserve"> </w:t>
      </w:r>
    </w:p>
    <w:p w14:paraId="0BDD25CD" w14:textId="77777777" w:rsidR="009733BB" w:rsidRDefault="009733BB">
      <w:pPr>
        <w:pStyle w:val="Authors"/>
        <w:tabs>
          <w:tab w:val="left" w:pos="1418"/>
        </w:tabs>
      </w:pPr>
    </w:p>
    <w:p w14:paraId="3DFFF3CD" w14:textId="0C9F0092" w:rsidR="009733BB" w:rsidRDefault="00CD3941">
      <w:pPr>
        <w:pStyle w:val="Authors"/>
        <w:tabs>
          <w:tab w:val="left" w:pos="1418"/>
        </w:tabs>
      </w:pPr>
      <w:r>
        <w:t>S Dance</w:t>
      </w:r>
      <w:r w:rsidR="009733BB">
        <w:tab/>
      </w:r>
      <w:r>
        <w:t>Acoustic</w:t>
      </w:r>
      <w:r w:rsidR="00A64361">
        <w:t>s</w:t>
      </w:r>
      <w:r>
        <w:t xml:space="preserve"> Group, London South Bank University, UK</w:t>
      </w:r>
    </w:p>
    <w:p w14:paraId="4B7DAC6F" w14:textId="6E577FB4" w:rsidR="009733BB" w:rsidRDefault="00A64361" w:rsidP="00CD3941">
      <w:pPr>
        <w:pStyle w:val="Authors"/>
        <w:tabs>
          <w:tab w:val="left" w:pos="1418"/>
        </w:tabs>
      </w:pPr>
      <w:r>
        <w:t>S Toone</w:t>
      </w:r>
      <w:r w:rsidR="009733BB">
        <w:tab/>
      </w:r>
      <w:r>
        <w:t xml:space="preserve">Acoustics Group, </w:t>
      </w:r>
      <w:r w:rsidR="00CD3941">
        <w:t xml:space="preserve"> London</w:t>
      </w:r>
      <w:r>
        <w:t xml:space="preserve"> South Bank University</w:t>
      </w:r>
      <w:r w:rsidR="00CD3941">
        <w:t>, UK</w:t>
      </w:r>
    </w:p>
    <w:p w14:paraId="5F3AFCD5" w14:textId="77777777" w:rsidR="00A64361" w:rsidRDefault="00A64361" w:rsidP="00CD3941">
      <w:pPr>
        <w:pStyle w:val="Authors"/>
        <w:tabs>
          <w:tab w:val="left" w:pos="1418"/>
        </w:tabs>
      </w:pPr>
      <w:r>
        <w:t>J. Sheng Tham Acoustics Group, London South Bank University, UK</w:t>
      </w:r>
    </w:p>
    <w:p w14:paraId="1A821FAD" w14:textId="508A622B" w:rsidR="00A64361" w:rsidRDefault="00A64361" w:rsidP="00CD3941">
      <w:pPr>
        <w:pStyle w:val="Authors"/>
        <w:tabs>
          <w:tab w:val="left" w:pos="1418"/>
        </w:tabs>
      </w:pPr>
      <w:r>
        <w:t>P. Mapp</w:t>
      </w:r>
      <w:r>
        <w:tab/>
      </w:r>
      <w:r w:rsidR="0070338F">
        <w:t>Peter Mapp Associates, UK</w:t>
      </w:r>
    </w:p>
    <w:p w14:paraId="012442CB" w14:textId="6723268F" w:rsidR="00CD3941" w:rsidRDefault="00CD3941" w:rsidP="00CD3941">
      <w:pPr>
        <w:pStyle w:val="Authors"/>
        <w:tabs>
          <w:tab w:val="left" w:pos="1418"/>
        </w:tabs>
      </w:pPr>
    </w:p>
    <w:p w14:paraId="5406EA10" w14:textId="77777777" w:rsidR="00A64361" w:rsidRDefault="00A64361" w:rsidP="00CD3941">
      <w:pPr>
        <w:pStyle w:val="Authors"/>
        <w:tabs>
          <w:tab w:val="left" w:pos="1418"/>
        </w:tabs>
      </w:pPr>
    </w:p>
    <w:p w14:paraId="4A8B1A5C" w14:textId="557F1BA1" w:rsidR="00CD3941" w:rsidRDefault="00CD3941" w:rsidP="00CD3941">
      <w:pPr>
        <w:pStyle w:val="Authors"/>
        <w:tabs>
          <w:tab w:val="left" w:pos="1418"/>
        </w:tabs>
      </w:pPr>
    </w:p>
    <w:p w14:paraId="0853D206" w14:textId="12ACDE30" w:rsidR="00CD3941" w:rsidRDefault="00CD3941" w:rsidP="00CD3941">
      <w:pPr>
        <w:pStyle w:val="Authors"/>
        <w:tabs>
          <w:tab w:val="left" w:pos="1418"/>
        </w:tabs>
      </w:pPr>
    </w:p>
    <w:p w14:paraId="0CD49F26" w14:textId="53EA21C3" w:rsidR="00CD3941" w:rsidRDefault="00CD3941" w:rsidP="00CD3941">
      <w:pPr>
        <w:pStyle w:val="Authors"/>
        <w:tabs>
          <w:tab w:val="left" w:pos="1418"/>
        </w:tabs>
      </w:pPr>
    </w:p>
    <w:p w14:paraId="581E0F14" w14:textId="77777777" w:rsidR="00CD3941" w:rsidRDefault="00CD3941" w:rsidP="00CD3941">
      <w:pPr>
        <w:pStyle w:val="Authors"/>
        <w:tabs>
          <w:tab w:val="left" w:pos="1418"/>
        </w:tabs>
      </w:pPr>
    </w:p>
    <w:p w14:paraId="2F4CFB29" w14:textId="77777777" w:rsidR="009733BB" w:rsidRDefault="009733BB">
      <w:pPr>
        <w:jc w:val="both"/>
      </w:pPr>
    </w:p>
    <w:p w14:paraId="374C2FC2" w14:textId="719324DF" w:rsidR="009733BB" w:rsidRDefault="009733BB" w:rsidP="006E2CDB">
      <w:pPr>
        <w:pStyle w:val="Heading1"/>
        <w:tabs>
          <w:tab w:val="clear" w:pos="709"/>
          <w:tab w:val="num" w:pos="426"/>
        </w:tabs>
        <w:jc w:val="both"/>
      </w:pPr>
      <w:r>
        <w:t xml:space="preserve">INTRODUCTION </w:t>
      </w:r>
    </w:p>
    <w:p w14:paraId="1F28AD83" w14:textId="76FA0BAF" w:rsidR="000077AD" w:rsidRDefault="000077AD" w:rsidP="00A64361">
      <w:pPr>
        <w:shd w:val="clear" w:color="auto" w:fill="FFFFFF"/>
        <w:jc w:val="both"/>
        <w:rPr>
          <w:sz w:val="20"/>
          <w:szCs w:val="16"/>
        </w:rPr>
      </w:pPr>
      <w:r w:rsidRPr="000077AD">
        <w:rPr>
          <w:sz w:val="20"/>
          <w:szCs w:val="16"/>
        </w:rPr>
        <w:t xml:space="preserve">The topic of speech intelligibility is still being discussed and researched as evidenced by the latest iteration of the British Standard EN IEC 60268-16: Sound system equipment - Objective rating of speech intelligibility by speech transmission index [1]. Speech intelligibility is complex and multifaceted with EN ISO 9921:2003. Ergonomics – Assessment of speech communication’ serving as a guide to ensure adequate speech intelligibility in public spaces [2]. One area that has rarely </w:t>
      </w:r>
      <w:r>
        <w:rPr>
          <w:sz w:val="20"/>
          <w:szCs w:val="16"/>
        </w:rPr>
        <w:t xml:space="preserve">nee studied is </w:t>
      </w:r>
      <w:r w:rsidRPr="000077AD">
        <w:rPr>
          <w:sz w:val="20"/>
          <w:szCs w:val="16"/>
        </w:rPr>
        <w:t>human subject</w:t>
      </w:r>
      <w:r>
        <w:rPr>
          <w:sz w:val="20"/>
          <w:szCs w:val="16"/>
        </w:rPr>
        <w:t>-</w:t>
      </w:r>
      <w:r w:rsidRPr="000077AD">
        <w:rPr>
          <w:sz w:val="20"/>
          <w:szCs w:val="16"/>
        </w:rPr>
        <w:t>based experiments and corresponding objective electroacoustic measurements</w:t>
      </w:r>
      <w:r>
        <w:rPr>
          <w:sz w:val="20"/>
          <w:szCs w:val="16"/>
        </w:rPr>
        <w:t xml:space="preserve">. In particular, when the subject is not facing the sound source. For instance, when standing on an underground station, the loudspeaker is typically positioned behind the commuter. </w:t>
      </w:r>
      <w:r w:rsidRPr="000077AD">
        <w:rPr>
          <w:sz w:val="20"/>
          <w:szCs w:val="16"/>
        </w:rPr>
        <w:t xml:space="preserve"> </w:t>
      </w:r>
      <w:r>
        <w:rPr>
          <w:sz w:val="20"/>
          <w:szCs w:val="16"/>
        </w:rPr>
        <w:t>As such, experiment</w:t>
      </w:r>
      <w:r w:rsidR="00150070">
        <w:rPr>
          <w:sz w:val="20"/>
          <w:szCs w:val="16"/>
        </w:rPr>
        <w:t>s</w:t>
      </w:r>
      <w:r>
        <w:rPr>
          <w:sz w:val="20"/>
          <w:szCs w:val="16"/>
        </w:rPr>
        <w:t xml:space="preserve"> were</w:t>
      </w:r>
      <w:r w:rsidRPr="000077AD">
        <w:rPr>
          <w:sz w:val="20"/>
          <w:szCs w:val="16"/>
        </w:rPr>
        <w:t xml:space="preserve"> undertaken in the acoustic laboratory of London South Bank University </w:t>
      </w:r>
      <w:r>
        <w:rPr>
          <w:sz w:val="20"/>
          <w:szCs w:val="16"/>
        </w:rPr>
        <w:t xml:space="preserve">to </w:t>
      </w:r>
      <w:r w:rsidRPr="000077AD">
        <w:rPr>
          <w:sz w:val="20"/>
          <w:szCs w:val="16"/>
        </w:rPr>
        <w:t xml:space="preserve">understand this effect on both native and non-native English </w:t>
      </w:r>
      <w:proofErr w:type="gramStart"/>
      <w:r w:rsidRPr="000077AD">
        <w:rPr>
          <w:sz w:val="20"/>
          <w:szCs w:val="16"/>
        </w:rPr>
        <w:t>speakers</w:t>
      </w:r>
      <w:proofErr w:type="gramEnd"/>
    </w:p>
    <w:p w14:paraId="15F97BD7" w14:textId="77777777" w:rsidR="000077AD" w:rsidRDefault="000077AD" w:rsidP="00A64361">
      <w:pPr>
        <w:shd w:val="clear" w:color="auto" w:fill="FFFFFF"/>
        <w:jc w:val="both"/>
        <w:rPr>
          <w:sz w:val="20"/>
          <w:szCs w:val="16"/>
        </w:rPr>
      </w:pPr>
    </w:p>
    <w:p w14:paraId="0F98BE60" w14:textId="1F10950A" w:rsidR="006660CD" w:rsidRPr="006660CD" w:rsidRDefault="006660CD" w:rsidP="00A64361">
      <w:pPr>
        <w:shd w:val="clear" w:color="auto" w:fill="FFFFFF"/>
        <w:jc w:val="both"/>
        <w:rPr>
          <w:bCs/>
          <w:sz w:val="20"/>
        </w:rPr>
      </w:pPr>
    </w:p>
    <w:p w14:paraId="4928BE41" w14:textId="52F08BA5" w:rsidR="009733BB" w:rsidRDefault="000947D4" w:rsidP="006E2CDB">
      <w:pPr>
        <w:pStyle w:val="Heading1"/>
        <w:tabs>
          <w:tab w:val="clear" w:pos="709"/>
          <w:tab w:val="num" w:pos="426"/>
        </w:tabs>
        <w:jc w:val="both"/>
      </w:pPr>
      <w:r>
        <w:t>EXPERIMENTAL METHOdOLOgY</w:t>
      </w:r>
    </w:p>
    <w:p w14:paraId="54575D81" w14:textId="5880102C" w:rsidR="00417330" w:rsidRDefault="000947D4" w:rsidP="00417330">
      <w:pPr>
        <w:jc w:val="both"/>
        <w:rPr>
          <w:sz w:val="20"/>
          <w:szCs w:val="16"/>
        </w:rPr>
      </w:pPr>
      <w:r w:rsidRPr="000947D4">
        <w:rPr>
          <w:sz w:val="20"/>
          <w:szCs w:val="16"/>
        </w:rPr>
        <w:t>The experimental methodology was developed to explore electroacoustic vs subject</w:t>
      </w:r>
      <w:r w:rsidRPr="000947D4">
        <w:rPr>
          <w:strike/>
          <w:sz w:val="20"/>
          <w:szCs w:val="16"/>
        </w:rPr>
        <w:t xml:space="preserve"> </w:t>
      </w:r>
      <w:r w:rsidRPr="000947D4">
        <w:rPr>
          <w:sz w:val="20"/>
          <w:szCs w:val="16"/>
        </w:rPr>
        <w:t>based</w:t>
      </w:r>
      <w:r w:rsidRPr="000947D4">
        <w:rPr>
          <w:strike/>
          <w:sz w:val="20"/>
          <w:szCs w:val="16"/>
        </w:rPr>
        <w:t xml:space="preserve"> </w:t>
      </w:r>
      <w:r w:rsidRPr="000947D4">
        <w:rPr>
          <w:sz w:val="20"/>
          <w:szCs w:val="16"/>
        </w:rPr>
        <w:t xml:space="preserve">speech intelligibility assessment under a variety of conditions. The electroacoustic measurement </w:t>
      </w:r>
      <w:proofErr w:type="gramStart"/>
      <w:r w:rsidRPr="000947D4">
        <w:rPr>
          <w:sz w:val="20"/>
          <w:szCs w:val="16"/>
        </w:rPr>
        <w:t>experiment  used</w:t>
      </w:r>
      <w:proofErr w:type="gramEnd"/>
      <w:r w:rsidRPr="000947D4">
        <w:rPr>
          <w:sz w:val="20"/>
          <w:szCs w:val="16"/>
        </w:rPr>
        <w:t xml:space="preserve"> STIPA to assess the potential intelligibility using a calibrated class 1 Nor140 sound level meter (omni-directional microphone), with the test signal reproduced via Yamaha HS50 loudspeaker </w:t>
      </w:r>
      <w:r w:rsidR="003626C8">
        <w:rPr>
          <w:sz w:val="20"/>
          <w:szCs w:val="16"/>
        </w:rPr>
        <w:t>producing</w:t>
      </w:r>
      <w:r w:rsidRPr="000947D4">
        <w:rPr>
          <w:sz w:val="20"/>
          <w:szCs w:val="16"/>
        </w:rPr>
        <w:t xml:space="preserve"> 65 dBA</w:t>
      </w:r>
      <w:r w:rsidR="003626C8">
        <w:rPr>
          <w:sz w:val="20"/>
          <w:szCs w:val="16"/>
        </w:rPr>
        <w:t xml:space="preserve"> at the receiver position. A</w:t>
      </w:r>
      <w:r w:rsidRPr="000947D4">
        <w:rPr>
          <w:sz w:val="20"/>
          <w:szCs w:val="16"/>
        </w:rPr>
        <w:t xml:space="preserve"> pink noise interference signal was produced by </w:t>
      </w:r>
      <w:proofErr w:type="gramStart"/>
      <w:r w:rsidRPr="000947D4">
        <w:rPr>
          <w:sz w:val="20"/>
          <w:szCs w:val="16"/>
        </w:rPr>
        <w:t>a</w:t>
      </w:r>
      <w:proofErr w:type="gramEnd"/>
      <w:r w:rsidRPr="000947D4">
        <w:rPr>
          <w:sz w:val="20"/>
          <w:szCs w:val="16"/>
        </w:rPr>
        <w:t xml:space="preserve"> NTI </w:t>
      </w:r>
      <w:proofErr w:type="spellStart"/>
      <w:r w:rsidRPr="000947D4">
        <w:rPr>
          <w:sz w:val="20"/>
          <w:szCs w:val="16"/>
        </w:rPr>
        <w:t>Minirator</w:t>
      </w:r>
      <w:proofErr w:type="spellEnd"/>
      <w:r w:rsidRPr="000947D4">
        <w:rPr>
          <w:sz w:val="20"/>
          <w:szCs w:val="16"/>
        </w:rPr>
        <w:t xml:space="preserve"> Pro connected to another Yamaha HS50 loudspeaker (57 dBA</w:t>
      </w:r>
      <w:r w:rsidR="003626C8">
        <w:rPr>
          <w:sz w:val="20"/>
          <w:szCs w:val="16"/>
        </w:rPr>
        <w:t xml:space="preserve"> at the receiver</w:t>
      </w:r>
      <w:r w:rsidRPr="000947D4">
        <w:rPr>
          <w:sz w:val="20"/>
          <w:szCs w:val="16"/>
        </w:rPr>
        <w:t xml:space="preserve">). The sound levels were measured 3.3m from the sound source at a height of 1.2m, at the centre of the listening panel, see Figure 1. The PB wordlists were played via a </w:t>
      </w:r>
      <w:proofErr w:type="spellStart"/>
      <w:r w:rsidRPr="000947D4">
        <w:rPr>
          <w:sz w:val="20"/>
          <w:szCs w:val="16"/>
        </w:rPr>
        <w:t>Digigram</w:t>
      </w:r>
      <w:proofErr w:type="spellEnd"/>
      <w:r w:rsidRPr="000947D4">
        <w:rPr>
          <w:sz w:val="20"/>
          <w:szCs w:val="16"/>
        </w:rPr>
        <w:t xml:space="preserve"> VX pocket sound card connected to the Yamaha HS50 source loudspeaker and also set to produce an average (</w:t>
      </w:r>
      <w:proofErr w:type="spellStart"/>
      <w:r w:rsidRPr="000947D4">
        <w:rPr>
          <w:sz w:val="20"/>
          <w:szCs w:val="16"/>
        </w:rPr>
        <w:t>Leq</w:t>
      </w:r>
      <w:proofErr w:type="spellEnd"/>
      <w:r w:rsidRPr="000947D4">
        <w:rPr>
          <w:sz w:val="20"/>
          <w:szCs w:val="16"/>
        </w:rPr>
        <w:t>) level of 65 dBA</w:t>
      </w:r>
      <w:r w:rsidR="003626C8">
        <w:rPr>
          <w:sz w:val="20"/>
          <w:szCs w:val="16"/>
        </w:rPr>
        <w:t xml:space="preserve"> again at the receiver position</w:t>
      </w:r>
      <w:r w:rsidRPr="000947D4">
        <w:rPr>
          <w:sz w:val="20"/>
          <w:szCs w:val="16"/>
        </w:rPr>
        <w:t xml:space="preserve"> </w:t>
      </w:r>
      <w:proofErr w:type="gramStart"/>
      <w:r w:rsidRPr="000947D4">
        <w:rPr>
          <w:sz w:val="20"/>
          <w:szCs w:val="16"/>
        </w:rPr>
        <w:t>The</w:t>
      </w:r>
      <w:proofErr w:type="gramEnd"/>
      <w:r w:rsidRPr="000947D4">
        <w:rPr>
          <w:sz w:val="20"/>
          <w:szCs w:val="16"/>
        </w:rPr>
        <w:t xml:space="preserve"> speech, STIPA and ambient noise spectra </w:t>
      </w:r>
      <w:proofErr w:type="spellStart"/>
      <w:r w:rsidRPr="000947D4">
        <w:rPr>
          <w:sz w:val="20"/>
          <w:szCs w:val="16"/>
        </w:rPr>
        <w:t>L</w:t>
      </w:r>
      <w:r w:rsidRPr="000947D4">
        <w:rPr>
          <w:sz w:val="20"/>
          <w:szCs w:val="16"/>
          <w:vertAlign w:val="subscript"/>
        </w:rPr>
        <w:t>Zeq</w:t>
      </w:r>
      <w:proofErr w:type="spellEnd"/>
      <w:r w:rsidRPr="000947D4">
        <w:rPr>
          <w:sz w:val="20"/>
          <w:szCs w:val="16"/>
          <w:vertAlign w:val="subscript"/>
        </w:rPr>
        <w:t>, 20 seconds</w:t>
      </w:r>
      <w:r w:rsidRPr="000947D4">
        <w:rPr>
          <w:sz w:val="20"/>
          <w:szCs w:val="16"/>
        </w:rPr>
        <w:t xml:space="preserve"> </w:t>
      </w:r>
      <w:r w:rsidR="003626C8">
        <w:rPr>
          <w:sz w:val="20"/>
          <w:szCs w:val="16"/>
        </w:rPr>
        <w:t>is</w:t>
      </w:r>
      <w:r w:rsidRPr="000947D4">
        <w:rPr>
          <w:sz w:val="20"/>
          <w:szCs w:val="16"/>
        </w:rPr>
        <w:t xml:space="preserve"> given in Figure 2. The ambient noise was measured to be 36 dBA. Two STIPA measurements were taken each time to ascertain if the result was valid. The experiment was conducted using three room conditions in a reverberation chamber (200m</w:t>
      </w:r>
      <w:r w:rsidRPr="000947D4">
        <w:rPr>
          <w:sz w:val="20"/>
          <w:szCs w:val="16"/>
          <w:vertAlign w:val="superscript"/>
        </w:rPr>
        <w:t>3</w:t>
      </w:r>
      <w:r w:rsidRPr="000947D4">
        <w:rPr>
          <w:sz w:val="20"/>
          <w:szCs w:val="16"/>
        </w:rPr>
        <w:t>) with eight individuals present: (1) empty, (2) with additional 10m</w:t>
      </w:r>
      <w:r w:rsidRPr="000947D4">
        <w:rPr>
          <w:sz w:val="20"/>
          <w:szCs w:val="16"/>
          <w:vertAlign w:val="superscript"/>
        </w:rPr>
        <w:t>2</w:t>
      </w:r>
      <w:r w:rsidRPr="000947D4">
        <w:rPr>
          <w:sz w:val="20"/>
          <w:szCs w:val="16"/>
        </w:rPr>
        <w:t xml:space="preserve"> of Class A porous</w:t>
      </w:r>
      <w:r>
        <w:rPr>
          <w:sz w:val="20"/>
          <w:szCs w:val="16"/>
        </w:rPr>
        <w:t xml:space="preserve"> </w:t>
      </w:r>
      <w:r w:rsidRPr="000947D4">
        <w:rPr>
          <w:sz w:val="20"/>
          <w:szCs w:val="16"/>
        </w:rPr>
        <w:t>absorption and (3) with an additional 20m</w:t>
      </w:r>
      <w:r w:rsidRPr="000947D4">
        <w:rPr>
          <w:sz w:val="20"/>
          <w:szCs w:val="16"/>
          <w:vertAlign w:val="superscript"/>
        </w:rPr>
        <w:t xml:space="preserve">2 </w:t>
      </w:r>
      <w:r w:rsidRPr="000947D4">
        <w:rPr>
          <w:sz w:val="20"/>
          <w:szCs w:val="16"/>
        </w:rPr>
        <w:t>of Class A porous absorption. Reverberation time, T</w:t>
      </w:r>
      <w:r w:rsidRPr="000947D4">
        <w:rPr>
          <w:sz w:val="20"/>
          <w:szCs w:val="16"/>
          <w:vertAlign w:val="subscript"/>
        </w:rPr>
        <w:t>20</w:t>
      </w:r>
      <w:r w:rsidRPr="000947D4">
        <w:rPr>
          <w:sz w:val="20"/>
          <w:szCs w:val="16"/>
        </w:rPr>
        <w:t>, was measured using the impulsive method (Balloon) using the Nor140 sound level meter.</w:t>
      </w:r>
    </w:p>
    <w:p w14:paraId="75EBC4B8" w14:textId="77777777" w:rsidR="000947D4" w:rsidRDefault="000947D4" w:rsidP="00417330">
      <w:pPr>
        <w:jc w:val="both"/>
        <w:rPr>
          <w:sz w:val="20"/>
          <w:szCs w:val="16"/>
        </w:rPr>
      </w:pPr>
    </w:p>
    <w:p w14:paraId="6066496B" w14:textId="5160F902" w:rsidR="000947D4" w:rsidRPr="000947D4" w:rsidRDefault="000947D4" w:rsidP="00417330">
      <w:pPr>
        <w:jc w:val="both"/>
        <w:rPr>
          <w:rFonts w:cs="Arial"/>
          <w:sz w:val="16"/>
          <w:szCs w:val="16"/>
        </w:rPr>
      </w:pPr>
      <w:r w:rsidRPr="00394BED">
        <w:rPr>
          <w:noProof/>
          <w:lang w:eastAsia="en-GB"/>
        </w:rPr>
        <w:lastRenderedPageBreak/>
        <w:drawing>
          <wp:inline distT="0" distB="0" distL="0" distR="0" wp14:anchorId="103D9CD8" wp14:editId="26B6B927">
            <wp:extent cx="5391769" cy="2162151"/>
            <wp:effectExtent l="0" t="0" r="0" b="0"/>
            <wp:docPr id="3" name="Picture 3" descr="A picture containing graphical user interface&#10;&#10;Description automatically generated">
              <a:extLst xmlns:a="http://schemas.openxmlformats.org/drawingml/2006/main">
                <a:ext uri="{FF2B5EF4-FFF2-40B4-BE49-F238E27FC236}">
                  <a16:creationId xmlns:a16="http://schemas.microsoft.com/office/drawing/2014/main" id="{E07F364A-12F7-DD14-BDCA-365CA7943A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a:extLst>
                        <a:ext uri="{FF2B5EF4-FFF2-40B4-BE49-F238E27FC236}">
                          <a16:creationId xmlns:a16="http://schemas.microsoft.com/office/drawing/2014/main" id="{E07F364A-12F7-DD14-BDCA-365CA7943A32}"/>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5798" cy="2171787"/>
                    </a:xfrm>
                    <a:prstGeom prst="rect">
                      <a:avLst/>
                    </a:prstGeom>
                    <a:noFill/>
                    <a:ln>
                      <a:noFill/>
                    </a:ln>
                  </pic:spPr>
                </pic:pic>
              </a:graphicData>
            </a:graphic>
          </wp:inline>
        </w:drawing>
      </w:r>
    </w:p>
    <w:p w14:paraId="44B703BD" w14:textId="77777777" w:rsidR="000947D4" w:rsidRDefault="000947D4" w:rsidP="000947D4">
      <w:pPr>
        <w:rPr>
          <w:sz w:val="20"/>
        </w:rPr>
      </w:pPr>
    </w:p>
    <w:p w14:paraId="7E7CF614" w14:textId="43378A07" w:rsidR="000947D4" w:rsidRPr="00FF103A" w:rsidRDefault="000947D4" w:rsidP="000947D4">
      <w:pPr>
        <w:rPr>
          <w:sz w:val="20"/>
        </w:rPr>
      </w:pPr>
      <w:r w:rsidRPr="00FF103A">
        <w:rPr>
          <w:sz w:val="20"/>
        </w:rPr>
        <w:t>Figure 1. Three test conditions of the reverberation chamber and measurement setup</w:t>
      </w:r>
    </w:p>
    <w:p w14:paraId="142029CF" w14:textId="77777777" w:rsidR="009733BB" w:rsidRDefault="009733BB">
      <w:pPr>
        <w:jc w:val="both"/>
      </w:pPr>
    </w:p>
    <w:p w14:paraId="30F0ABC3" w14:textId="55B782EE" w:rsidR="009733BB" w:rsidRDefault="000947D4">
      <w:pPr>
        <w:jc w:val="both"/>
      </w:pPr>
      <w:r>
        <w:rPr>
          <w:noProof/>
          <w:lang w:eastAsia="en-GB"/>
        </w:rPr>
        <w:drawing>
          <wp:inline distT="0" distB="0" distL="0" distR="0" wp14:anchorId="7C26B515" wp14:editId="73FDD18C">
            <wp:extent cx="5388016" cy="3602060"/>
            <wp:effectExtent l="0" t="0" r="3175"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24" cy="3604539"/>
                    </a:xfrm>
                    <a:prstGeom prst="rect">
                      <a:avLst/>
                    </a:prstGeom>
                    <a:noFill/>
                    <a:ln>
                      <a:noFill/>
                    </a:ln>
                  </pic:spPr>
                </pic:pic>
              </a:graphicData>
            </a:graphic>
          </wp:inline>
        </w:drawing>
      </w:r>
    </w:p>
    <w:p w14:paraId="1F8B0702" w14:textId="77777777" w:rsidR="000947D4" w:rsidRDefault="000947D4">
      <w:pPr>
        <w:jc w:val="both"/>
      </w:pPr>
    </w:p>
    <w:p w14:paraId="05858AF3" w14:textId="77777777" w:rsidR="000947D4" w:rsidRPr="000947D4" w:rsidRDefault="000947D4" w:rsidP="000947D4">
      <w:pPr>
        <w:rPr>
          <w:sz w:val="20"/>
          <w:szCs w:val="16"/>
        </w:rPr>
      </w:pPr>
      <w:r w:rsidRPr="000947D4">
        <w:rPr>
          <w:sz w:val="20"/>
          <w:szCs w:val="16"/>
        </w:rPr>
        <w:t xml:space="preserve">Figure 2. The speech, STIPA and background noise condition, </w:t>
      </w:r>
      <w:proofErr w:type="spellStart"/>
      <w:r w:rsidRPr="000947D4">
        <w:rPr>
          <w:sz w:val="20"/>
          <w:szCs w:val="16"/>
        </w:rPr>
        <w:t>L</w:t>
      </w:r>
      <w:r w:rsidRPr="000947D4">
        <w:rPr>
          <w:sz w:val="20"/>
          <w:szCs w:val="16"/>
          <w:vertAlign w:val="subscript"/>
        </w:rPr>
        <w:t>Zeq</w:t>
      </w:r>
      <w:proofErr w:type="spellEnd"/>
      <w:r w:rsidRPr="000947D4">
        <w:rPr>
          <w:sz w:val="20"/>
          <w:szCs w:val="16"/>
          <w:vertAlign w:val="subscript"/>
        </w:rPr>
        <w:t xml:space="preserve">, 20 seconds </w:t>
      </w:r>
      <w:r w:rsidRPr="000947D4">
        <w:rPr>
          <w:sz w:val="20"/>
          <w:szCs w:val="16"/>
        </w:rPr>
        <w:t>(dB)</w:t>
      </w:r>
    </w:p>
    <w:p w14:paraId="02798984" w14:textId="77777777" w:rsidR="000947D4" w:rsidRDefault="000947D4">
      <w:pPr>
        <w:jc w:val="both"/>
      </w:pPr>
    </w:p>
    <w:p w14:paraId="1EA10C2D" w14:textId="49F9249D" w:rsidR="000947D4" w:rsidRPr="000947D4" w:rsidRDefault="000947D4" w:rsidP="000947D4">
      <w:pPr>
        <w:rPr>
          <w:sz w:val="20"/>
          <w:szCs w:val="16"/>
        </w:rPr>
      </w:pPr>
      <w:r w:rsidRPr="000947D4">
        <w:rPr>
          <w:sz w:val="20"/>
          <w:szCs w:val="16"/>
        </w:rPr>
        <w:t>The Subject based tests were undertaken by six seated students (all reported good hearing acuity): 3 native English speakers, and 3 non-native English speakers. Phonetically balanced (PB) words were used, reproducing the work of Morales [3-4]. In total</w:t>
      </w:r>
      <w:r w:rsidRPr="000947D4">
        <w:rPr>
          <w:color w:val="C00000"/>
          <w:sz w:val="20"/>
          <w:szCs w:val="16"/>
        </w:rPr>
        <w:t>,</w:t>
      </w:r>
      <w:r w:rsidRPr="000947D4">
        <w:rPr>
          <w:sz w:val="20"/>
          <w:szCs w:val="16"/>
        </w:rPr>
        <w:t xml:space="preserve"> four 50 words lists were used, using </w:t>
      </w:r>
      <w:proofErr w:type="spellStart"/>
      <w:r w:rsidRPr="000947D4">
        <w:rPr>
          <w:sz w:val="20"/>
          <w:szCs w:val="16"/>
        </w:rPr>
        <w:t>normalised</w:t>
      </w:r>
      <w:proofErr w:type="spellEnd"/>
      <w:r w:rsidRPr="000947D4">
        <w:rPr>
          <w:sz w:val="20"/>
          <w:szCs w:val="16"/>
        </w:rPr>
        <w:t xml:space="preserve"> speech levels, all male voices. The subject based tests were undertaken under two room conditions: empty and with an</w:t>
      </w:r>
      <w:r w:rsidRPr="000947D4">
        <w:rPr>
          <w:color w:val="C00000"/>
          <w:sz w:val="20"/>
          <w:szCs w:val="16"/>
        </w:rPr>
        <w:t xml:space="preserve"> </w:t>
      </w:r>
      <w:r w:rsidRPr="000947D4">
        <w:rPr>
          <w:sz w:val="20"/>
          <w:szCs w:val="16"/>
        </w:rPr>
        <w:t>additional 10m</w:t>
      </w:r>
      <w:r w:rsidRPr="000947D4">
        <w:rPr>
          <w:sz w:val="20"/>
          <w:szCs w:val="16"/>
          <w:vertAlign w:val="superscript"/>
        </w:rPr>
        <w:t>2</w:t>
      </w:r>
      <w:r w:rsidRPr="000947D4">
        <w:rPr>
          <w:sz w:val="20"/>
          <w:szCs w:val="16"/>
        </w:rPr>
        <w:t xml:space="preserve"> of sound absorption employing the two previous signal-to-noise ratios, &gt;15 dB and 8 </w:t>
      </w:r>
      <w:proofErr w:type="spellStart"/>
      <w:r w:rsidRPr="000947D4">
        <w:rPr>
          <w:sz w:val="20"/>
          <w:szCs w:val="16"/>
        </w:rPr>
        <w:t>dB.</w:t>
      </w:r>
      <w:proofErr w:type="spellEnd"/>
      <w:r w:rsidRPr="000947D4">
        <w:rPr>
          <w:sz w:val="20"/>
          <w:szCs w:val="16"/>
        </w:rPr>
        <w:t xml:space="preserve">  Finally, the test was retaken with the listening panel</w:t>
      </w:r>
      <w:r w:rsidRPr="000947D4">
        <w:rPr>
          <w:strike/>
          <w:sz w:val="20"/>
          <w:szCs w:val="16"/>
        </w:rPr>
        <w:t xml:space="preserve"> </w:t>
      </w:r>
      <w:r w:rsidRPr="000947D4">
        <w:rPr>
          <w:sz w:val="20"/>
          <w:szCs w:val="16"/>
        </w:rPr>
        <w:t xml:space="preserve">facing away from the loudspeakers, see figure 3. </w:t>
      </w:r>
      <w:r w:rsidR="003626C8">
        <w:rPr>
          <w:sz w:val="20"/>
          <w:szCs w:val="16"/>
        </w:rPr>
        <w:t>All</w:t>
      </w:r>
      <w:r w:rsidRPr="000947D4">
        <w:rPr>
          <w:sz w:val="20"/>
          <w:szCs w:val="16"/>
        </w:rPr>
        <w:t xml:space="preserve"> subject</w:t>
      </w:r>
      <w:r w:rsidR="003626C8">
        <w:rPr>
          <w:sz w:val="20"/>
          <w:szCs w:val="16"/>
        </w:rPr>
        <w:t>ive</w:t>
      </w:r>
      <w:r w:rsidRPr="000947D4">
        <w:rPr>
          <w:sz w:val="20"/>
          <w:szCs w:val="16"/>
        </w:rPr>
        <w:t xml:space="preserve"> and electroacoustic based tests are </w:t>
      </w:r>
      <w:proofErr w:type="spellStart"/>
      <w:r w:rsidRPr="000947D4">
        <w:rPr>
          <w:sz w:val="20"/>
          <w:szCs w:val="16"/>
        </w:rPr>
        <w:t>summarised</w:t>
      </w:r>
      <w:proofErr w:type="spellEnd"/>
      <w:r w:rsidRPr="000947D4">
        <w:rPr>
          <w:sz w:val="20"/>
          <w:szCs w:val="16"/>
        </w:rPr>
        <w:t xml:space="preserve"> in table 1.</w:t>
      </w:r>
    </w:p>
    <w:p w14:paraId="7465A720" w14:textId="77777777" w:rsidR="000947D4" w:rsidRDefault="000947D4">
      <w:pPr>
        <w:jc w:val="both"/>
      </w:pPr>
    </w:p>
    <w:p w14:paraId="7E32E183" w14:textId="7376168C" w:rsidR="007E0AE1" w:rsidRDefault="007E0AE1">
      <w:pPr>
        <w:jc w:val="both"/>
      </w:pPr>
      <w:r>
        <w:rPr>
          <w:noProof/>
          <w:lang w:eastAsia="en-GB"/>
        </w:rPr>
        <w:lastRenderedPageBreak/>
        <w:drawing>
          <wp:inline distT="0" distB="0" distL="0" distR="0" wp14:anchorId="48E365EB" wp14:editId="56C9C5E1">
            <wp:extent cx="2669628" cy="2002221"/>
            <wp:effectExtent l="0" t="0" r="0" b="0"/>
            <wp:docPr id="1" name="Picture 1"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chair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595" cy="2038196"/>
                    </a:xfrm>
                    <a:prstGeom prst="rect">
                      <a:avLst/>
                    </a:prstGeom>
                    <a:noFill/>
                    <a:ln>
                      <a:noFill/>
                    </a:ln>
                  </pic:spPr>
                </pic:pic>
              </a:graphicData>
            </a:graphic>
          </wp:inline>
        </w:drawing>
      </w:r>
      <w:r>
        <w:t xml:space="preserve"> </w:t>
      </w:r>
      <w:r>
        <w:rPr>
          <w:noProof/>
          <w:lang w:eastAsia="en-GB"/>
        </w:rPr>
        <w:drawing>
          <wp:inline distT="0" distB="0" distL="0" distR="0" wp14:anchorId="144BE116" wp14:editId="3E06D5F2">
            <wp:extent cx="2654002" cy="1990500"/>
            <wp:effectExtent l="0" t="0" r="0" b="0"/>
            <wp:docPr id="2" name="Picture 2"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in chairs&#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4312" cy="2013233"/>
                    </a:xfrm>
                    <a:prstGeom prst="rect">
                      <a:avLst/>
                    </a:prstGeom>
                    <a:noFill/>
                    <a:ln>
                      <a:noFill/>
                    </a:ln>
                  </pic:spPr>
                </pic:pic>
              </a:graphicData>
            </a:graphic>
          </wp:inline>
        </w:drawing>
      </w:r>
    </w:p>
    <w:p w14:paraId="539C5C40" w14:textId="77777777" w:rsidR="007E0AE1" w:rsidRDefault="007E0AE1">
      <w:pPr>
        <w:jc w:val="both"/>
      </w:pPr>
    </w:p>
    <w:p w14:paraId="650C4A35" w14:textId="308EF889" w:rsidR="007E0AE1" w:rsidRPr="007E0AE1" w:rsidRDefault="007E0AE1" w:rsidP="007E0AE1">
      <w:pPr>
        <w:rPr>
          <w:sz w:val="20"/>
          <w:szCs w:val="16"/>
        </w:rPr>
      </w:pPr>
      <w:r w:rsidRPr="007E0AE1">
        <w:rPr>
          <w:sz w:val="20"/>
          <w:szCs w:val="16"/>
        </w:rPr>
        <w:t>Figure 3. Subjective testing: facing and facing away from the sound source, absorptive test condition.</w:t>
      </w:r>
    </w:p>
    <w:p w14:paraId="340EA2F9" w14:textId="77777777" w:rsidR="007E0AE1" w:rsidRPr="007E0AE1" w:rsidRDefault="007E0AE1" w:rsidP="007E0AE1">
      <w:pPr>
        <w:rPr>
          <w:sz w:val="20"/>
          <w:szCs w:val="16"/>
        </w:rPr>
      </w:pPr>
    </w:p>
    <w:p w14:paraId="2387C2E6" w14:textId="77777777" w:rsidR="007E0AE1" w:rsidRPr="007E0AE1" w:rsidRDefault="007E0AE1" w:rsidP="007E0AE1">
      <w:pPr>
        <w:jc w:val="center"/>
        <w:rPr>
          <w:sz w:val="20"/>
          <w:szCs w:val="16"/>
        </w:rPr>
      </w:pPr>
      <w:r w:rsidRPr="007E0AE1">
        <w:rPr>
          <w:sz w:val="20"/>
          <w:szCs w:val="16"/>
        </w:rPr>
        <w:t>Table 1. Electroacoustic and human subject test configurations</w:t>
      </w:r>
    </w:p>
    <w:p w14:paraId="11425B5E" w14:textId="77777777" w:rsidR="007E0AE1" w:rsidRDefault="007E0AE1">
      <w:pPr>
        <w:jc w:val="both"/>
      </w:pPr>
    </w:p>
    <w:p w14:paraId="057587BB" w14:textId="08E4C59D" w:rsidR="007E0AE1" w:rsidRDefault="007E0AE1" w:rsidP="007E0AE1">
      <w:pPr>
        <w:jc w:val="center"/>
      </w:pPr>
      <w:r>
        <w:rPr>
          <w:noProof/>
          <w:lang w:eastAsia="en-GB"/>
        </w:rPr>
        <w:drawing>
          <wp:inline distT="0" distB="0" distL="0" distR="0" wp14:anchorId="4B7DBFBF" wp14:editId="3231E691">
            <wp:extent cx="5121798" cy="2281252"/>
            <wp:effectExtent l="0" t="0" r="3175" b="5080"/>
            <wp:docPr id="15" name="Picture 15"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tes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2838" cy="2290623"/>
                    </a:xfrm>
                    <a:prstGeom prst="rect">
                      <a:avLst/>
                    </a:prstGeom>
                    <a:noFill/>
                    <a:ln>
                      <a:noFill/>
                    </a:ln>
                  </pic:spPr>
                </pic:pic>
              </a:graphicData>
            </a:graphic>
          </wp:inline>
        </w:drawing>
      </w:r>
    </w:p>
    <w:p w14:paraId="55DA76E5" w14:textId="77777777" w:rsidR="007E0AE1" w:rsidRDefault="007E0AE1">
      <w:pPr>
        <w:jc w:val="both"/>
      </w:pPr>
    </w:p>
    <w:p w14:paraId="1BFA2F35" w14:textId="2356C64A" w:rsidR="009733BB" w:rsidRDefault="007E0AE1" w:rsidP="006E2CDB">
      <w:pPr>
        <w:pStyle w:val="Heading1"/>
        <w:tabs>
          <w:tab w:val="clear" w:pos="709"/>
          <w:tab w:val="num" w:pos="426"/>
        </w:tabs>
        <w:jc w:val="both"/>
      </w:pPr>
      <w:r>
        <w:t>RESULTS</w:t>
      </w:r>
    </w:p>
    <w:p w14:paraId="426EB5E7" w14:textId="712A6EE9" w:rsidR="00E82421" w:rsidRDefault="00E82421" w:rsidP="00E82421">
      <w:r w:rsidRPr="00E82421">
        <w:rPr>
          <w:sz w:val="20"/>
          <w:szCs w:val="16"/>
        </w:rPr>
        <w:t>Reverberation time, T</w:t>
      </w:r>
      <w:r w:rsidRPr="00E82421">
        <w:rPr>
          <w:sz w:val="18"/>
          <w:szCs w:val="14"/>
        </w:rPr>
        <w:t>20</w:t>
      </w:r>
      <w:r w:rsidRPr="00E82421">
        <w:rPr>
          <w:sz w:val="20"/>
          <w:szCs w:val="16"/>
        </w:rPr>
        <w:t>, was measured using an</w:t>
      </w:r>
      <w:r w:rsidRPr="00E82421">
        <w:rPr>
          <w:color w:val="C00000"/>
          <w:sz w:val="20"/>
          <w:szCs w:val="16"/>
        </w:rPr>
        <w:t xml:space="preserve"> </w:t>
      </w:r>
      <w:r w:rsidRPr="00E82421">
        <w:rPr>
          <w:sz w:val="20"/>
          <w:szCs w:val="16"/>
        </w:rPr>
        <w:t xml:space="preserve">impulsive method, for three conditions. The </w:t>
      </w:r>
      <w:proofErr w:type="spellStart"/>
      <w:r w:rsidRPr="00E82421">
        <w:rPr>
          <w:sz w:val="20"/>
          <w:szCs w:val="16"/>
        </w:rPr>
        <w:t>T</w:t>
      </w:r>
      <w:r w:rsidRPr="00E82421">
        <w:rPr>
          <w:sz w:val="16"/>
          <w:szCs w:val="12"/>
        </w:rPr>
        <w:t>mf</w:t>
      </w:r>
      <w:proofErr w:type="spellEnd"/>
      <w:r w:rsidRPr="00E82421">
        <w:rPr>
          <w:sz w:val="16"/>
          <w:szCs w:val="12"/>
        </w:rPr>
        <w:t xml:space="preserve"> </w:t>
      </w:r>
      <w:r w:rsidRPr="00E82421">
        <w:rPr>
          <w:sz w:val="20"/>
          <w:szCs w:val="16"/>
        </w:rPr>
        <w:t>(500, 1000, Hz average</w:t>
      </w:r>
      <w:r>
        <w:rPr>
          <w:sz w:val="20"/>
          <w:szCs w:val="16"/>
        </w:rPr>
        <w:t>d</w:t>
      </w:r>
      <w:r w:rsidRPr="00E82421">
        <w:rPr>
          <w:sz w:val="20"/>
          <w:szCs w:val="16"/>
        </w:rPr>
        <w:t>) values were as follows: empty 2.85 s, 10m</w:t>
      </w:r>
      <w:r w:rsidRPr="00E82421">
        <w:rPr>
          <w:sz w:val="20"/>
          <w:szCs w:val="16"/>
          <w:vertAlign w:val="superscript"/>
        </w:rPr>
        <w:t>2</w:t>
      </w:r>
      <w:r w:rsidRPr="00E82421">
        <w:rPr>
          <w:sz w:val="20"/>
          <w:szCs w:val="16"/>
        </w:rPr>
        <w:t xml:space="preserve"> 1.43 s and 20m</w:t>
      </w:r>
      <w:r w:rsidRPr="00E82421">
        <w:rPr>
          <w:sz w:val="20"/>
          <w:szCs w:val="16"/>
          <w:vertAlign w:val="superscript"/>
        </w:rPr>
        <w:t xml:space="preserve">2 </w:t>
      </w:r>
      <w:r w:rsidRPr="00E82421">
        <w:rPr>
          <w:sz w:val="20"/>
          <w:szCs w:val="16"/>
        </w:rPr>
        <w:t>0.85 s, see figure 4. All measurements were taken with eight individuals in the room and six chairs</w:t>
      </w:r>
      <w:r>
        <w:t>.</w:t>
      </w:r>
    </w:p>
    <w:p w14:paraId="619F7CE0" w14:textId="4EB9A5AB" w:rsidR="0073401F" w:rsidRDefault="0073401F" w:rsidP="0073401F">
      <w:pPr>
        <w:pStyle w:val="NoSpacing"/>
        <w:jc w:val="both"/>
        <w:rPr>
          <w:rFonts w:ascii="Arial" w:hAnsi="Arial" w:cs="Arial"/>
          <w:sz w:val="20"/>
          <w:szCs w:val="20"/>
        </w:rPr>
      </w:pPr>
      <w:r w:rsidRPr="0073401F">
        <w:rPr>
          <w:rFonts w:ascii="Arial" w:hAnsi="Arial" w:cs="Arial"/>
          <w:sz w:val="20"/>
          <w:szCs w:val="20"/>
        </w:rPr>
        <w:t xml:space="preserve"> </w:t>
      </w:r>
    </w:p>
    <w:p w14:paraId="27EEAE74" w14:textId="38116D08" w:rsidR="00E82421" w:rsidRDefault="00E82421" w:rsidP="0073401F">
      <w:pPr>
        <w:pStyle w:val="NoSpacing"/>
        <w:jc w:val="both"/>
        <w:rPr>
          <w:rFonts w:ascii="Arial" w:hAnsi="Arial" w:cs="Arial"/>
          <w:sz w:val="20"/>
          <w:szCs w:val="20"/>
        </w:rPr>
      </w:pPr>
      <w:r>
        <w:rPr>
          <w:noProof/>
        </w:rPr>
        <w:lastRenderedPageBreak/>
        <w:drawing>
          <wp:inline distT="0" distB="0" distL="0" distR="0" wp14:anchorId="0F90AA78" wp14:editId="3BE879E9">
            <wp:extent cx="5087074" cy="2753580"/>
            <wp:effectExtent l="0" t="0" r="0" b="889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8091" cy="2759543"/>
                    </a:xfrm>
                    <a:prstGeom prst="rect">
                      <a:avLst/>
                    </a:prstGeom>
                    <a:noFill/>
                    <a:ln>
                      <a:noFill/>
                    </a:ln>
                  </pic:spPr>
                </pic:pic>
              </a:graphicData>
            </a:graphic>
          </wp:inline>
        </w:drawing>
      </w:r>
    </w:p>
    <w:p w14:paraId="393F5F09" w14:textId="77777777" w:rsidR="00E82421" w:rsidRPr="00E82421" w:rsidRDefault="00E82421" w:rsidP="00E82421">
      <w:pPr>
        <w:rPr>
          <w:b/>
          <w:sz w:val="20"/>
          <w:szCs w:val="16"/>
        </w:rPr>
      </w:pPr>
      <w:r w:rsidRPr="00E82421">
        <w:rPr>
          <w:sz w:val="20"/>
          <w:szCs w:val="16"/>
        </w:rPr>
        <w:t>Figure 4. Reverberation time, T</w:t>
      </w:r>
      <w:r w:rsidRPr="00E82421">
        <w:rPr>
          <w:sz w:val="20"/>
          <w:szCs w:val="16"/>
          <w:vertAlign w:val="subscript"/>
        </w:rPr>
        <w:t>20</w:t>
      </w:r>
      <w:r w:rsidRPr="00E82421">
        <w:rPr>
          <w:sz w:val="20"/>
          <w:szCs w:val="16"/>
        </w:rPr>
        <w:t>, measured under three configurations.</w:t>
      </w:r>
    </w:p>
    <w:p w14:paraId="5F577564" w14:textId="77777777" w:rsidR="00E82421" w:rsidRDefault="00E82421" w:rsidP="0073401F">
      <w:pPr>
        <w:pStyle w:val="NoSpacing"/>
        <w:jc w:val="both"/>
        <w:rPr>
          <w:rFonts w:ascii="Arial" w:hAnsi="Arial" w:cs="Arial"/>
          <w:sz w:val="20"/>
          <w:szCs w:val="20"/>
        </w:rPr>
      </w:pPr>
    </w:p>
    <w:p w14:paraId="53CF254C" w14:textId="622CA56C" w:rsidR="00E82421" w:rsidRPr="00E82421" w:rsidRDefault="00E82421" w:rsidP="00E82421">
      <w:pPr>
        <w:rPr>
          <w:sz w:val="20"/>
          <w:szCs w:val="16"/>
        </w:rPr>
      </w:pPr>
      <w:r w:rsidRPr="00E82421">
        <w:rPr>
          <w:sz w:val="20"/>
          <w:szCs w:val="16"/>
        </w:rPr>
        <w:t xml:space="preserve">The STIPA </w:t>
      </w:r>
      <w:r>
        <w:rPr>
          <w:sz w:val="20"/>
          <w:szCs w:val="16"/>
        </w:rPr>
        <w:t>measurements</w:t>
      </w:r>
      <w:r w:rsidRPr="00E82421">
        <w:rPr>
          <w:sz w:val="20"/>
          <w:szCs w:val="16"/>
        </w:rPr>
        <w:t xml:space="preserve"> are presented in figure 5 </w:t>
      </w:r>
      <w:r>
        <w:rPr>
          <w:sz w:val="20"/>
          <w:szCs w:val="16"/>
        </w:rPr>
        <w:t>under</w:t>
      </w:r>
      <w:r w:rsidRPr="00E82421">
        <w:rPr>
          <w:sz w:val="20"/>
          <w:szCs w:val="16"/>
        </w:rPr>
        <w:t xml:space="preserve"> six conditions. </w:t>
      </w:r>
    </w:p>
    <w:p w14:paraId="6718F55C" w14:textId="77777777" w:rsidR="00E82421" w:rsidRDefault="00E82421" w:rsidP="0073401F">
      <w:pPr>
        <w:pStyle w:val="NoSpacing"/>
        <w:jc w:val="both"/>
        <w:rPr>
          <w:rFonts w:ascii="Arial" w:hAnsi="Arial" w:cs="Arial"/>
          <w:sz w:val="20"/>
          <w:szCs w:val="20"/>
        </w:rPr>
      </w:pPr>
    </w:p>
    <w:p w14:paraId="53E0C676" w14:textId="77777777" w:rsidR="00E82421" w:rsidRPr="0073401F" w:rsidRDefault="00E82421" w:rsidP="0073401F">
      <w:pPr>
        <w:pStyle w:val="NoSpacing"/>
        <w:jc w:val="both"/>
        <w:rPr>
          <w:rFonts w:ascii="Arial" w:hAnsi="Arial" w:cs="Arial"/>
          <w:sz w:val="20"/>
          <w:szCs w:val="20"/>
        </w:rPr>
      </w:pPr>
    </w:p>
    <w:p w14:paraId="3E86865A" w14:textId="0E91E3A7" w:rsidR="0073401F" w:rsidRDefault="00E82421" w:rsidP="0073401F">
      <w:pPr>
        <w:pStyle w:val="NoSpacing"/>
        <w:rPr>
          <w:rFonts w:ascii="Times New Roman" w:hAnsi="Times New Roman" w:cs="Times New Roman"/>
        </w:rPr>
      </w:pPr>
      <w:r w:rsidRPr="00B438BA">
        <w:rPr>
          <w:noProof/>
        </w:rPr>
        <w:drawing>
          <wp:inline distT="0" distB="0" distL="0" distR="0" wp14:anchorId="0DD739B0" wp14:editId="14CCDB60">
            <wp:extent cx="5127585" cy="2395086"/>
            <wp:effectExtent l="0" t="0" r="0" b="5715"/>
            <wp:docPr id="202486495" name="Picture 202486495" descr="Chart, bar chart&#10;&#10;Description automatically generated">
              <a:extLst xmlns:a="http://schemas.openxmlformats.org/drawingml/2006/main">
                <a:ext uri="{FF2B5EF4-FFF2-40B4-BE49-F238E27FC236}">
                  <a16:creationId xmlns:a16="http://schemas.microsoft.com/office/drawing/2014/main" id="{F22A6128-CE4B-EAB9-862C-BBE38368B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a:extLst>
                        <a:ext uri="{FF2B5EF4-FFF2-40B4-BE49-F238E27FC236}">
                          <a16:creationId xmlns:a16="http://schemas.microsoft.com/office/drawing/2014/main" id="{F22A6128-CE4B-EAB9-862C-BBE38368BEE1}"/>
                        </a:ext>
                      </a:extLst>
                    </pic:cNvPr>
                    <pic:cNvPicPr>
                      <a:picLocks noChangeAspect="1"/>
                    </pic:cNvPicPr>
                  </pic:nvPicPr>
                  <pic:blipFill>
                    <a:blip r:embed="rId17"/>
                    <a:stretch>
                      <a:fillRect/>
                    </a:stretch>
                  </pic:blipFill>
                  <pic:spPr>
                    <a:xfrm>
                      <a:off x="0" y="0"/>
                      <a:ext cx="5170148" cy="2414967"/>
                    </a:xfrm>
                    <a:prstGeom prst="rect">
                      <a:avLst/>
                    </a:prstGeom>
                  </pic:spPr>
                </pic:pic>
              </a:graphicData>
            </a:graphic>
          </wp:inline>
        </w:drawing>
      </w:r>
    </w:p>
    <w:p w14:paraId="4F974835" w14:textId="77777777" w:rsidR="00E82421" w:rsidRDefault="00E82421" w:rsidP="00E82421">
      <w:pPr>
        <w:rPr>
          <w:sz w:val="20"/>
          <w:szCs w:val="16"/>
        </w:rPr>
      </w:pPr>
      <w:r w:rsidRPr="00E82421">
        <w:rPr>
          <w:sz w:val="20"/>
          <w:szCs w:val="16"/>
        </w:rPr>
        <w:t xml:space="preserve">Figure 5 shows the STIPA results for the </w:t>
      </w:r>
      <w:proofErr w:type="gramStart"/>
      <w:r w:rsidRPr="00E82421">
        <w:rPr>
          <w:sz w:val="20"/>
          <w:szCs w:val="16"/>
        </w:rPr>
        <w:t>three room</w:t>
      </w:r>
      <w:proofErr w:type="gramEnd"/>
      <w:r w:rsidRPr="00E82421">
        <w:rPr>
          <w:sz w:val="20"/>
          <w:szCs w:val="16"/>
        </w:rPr>
        <w:t xml:space="preserve"> configurations under two noise conditions.</w:t>
      </w:r>
    </w:p>
    <w:p w14:paraId="1B4B293D" w14:textId="77777777" w:rsidR="00E82421" w:rsidRPr="00E82421" w:rsidRDefault="00E82421" w:rsidP="00E82421">
      <w:pPr>
        <w:rPr>
          <w:sz w:val="20"/>
          <w:szCs w:val="16"/>
        </w:rPr>
      </w:pPr>
    </w:p>
    <w:p w14:paraId="79B9F03E" w14:textId="2A233BA5" w:rsidR="00E82421" w:rsidRDefault="00E82421" w:rsidP="00E82421">
      <w:pPr>
        <w:rPr>
          <w:sz w:val="20"/>
          <w:szCs w:val="16"/>
        </w:rPr>
      </w:pPr>
      <w:r w:rsidRPr="00E82421">
        <w:rPr>
          <w:sz w:val="20"/>
          <w:szCs w:val="16"/>
        </w:rPr>
        <w:t xml:space="preserve">The electroacoustic STI speech intelligibility test, presented in Figure 5, showed that reducing the signal-to-noise ratio from &gt;15 dB to 8 dB resulted in a 0.15 drop in STIPA values under the </w:t>
      </w:r>
      <w:proofErr w:type="gramStart"/>
      <w:r w:rsidRPr="00E82421">
        <w:rPr>
          <w:sz w:val="20"/>
          <w:szCs w:val="16"/>
        </w:rPr>
        <w:t>three room</w:t>
      </w:r>
      <w:proofErr w:type="gramEnd"/>
      <w:r w:rsidRPr="00E82421">
        <w:rPr>
          <w:sz w:val="20"/>
          <w:szCs w:val="16"/>
        </w:rPr>
        <w:t xml:space="preserve"> configurations. Reducing the mid-frequency RT by half increased the STIPA value by 0.05 under the three configurations tested, agreeing with results presented by Mapp [5]. </w:t>
      </w:r>
    </w:p>
    <w:p w14:paraId="3304425A" w14:textId="77777777" w:rsidR="00E82421" w:rsidRPr="00E82421" w:rsidRDefault="00E82421" w:rsidP="00E82421">
      <w:pPr>
        <w:rPr>
          <w:color w:val="7030A0"/>
          <w:sz w:val="20"/>
          <w:szCs w:val="16"/>
        </w:rPr>
      </w:pPr>
    </w:p>
    <w:p w14:paraId="6D42764D" w14:textId="77777777" w:rsidR="00E82421" w:rsidRPr="00E82421" w:rsidRDefault="00E82421" w:rsidP="00E82421">
      <w:pPr>
        <w:rPr>
          <w:sz w:val="20"/>
          <w:szCs w:val="16"/>
        </w:rPr>
      </w:pPr>
      <w:r w:rsidRPr="00E82421">
        <w:rPr>
          <w:sz w:val="20"/>
          <w:szCs w:val="16"/>
        </w:rPr>
        <w:t>The subject based</w:t>
      </w:r>
      <w:r w:rsidRPr="00E82421">
        <w:rPr>
          <w:color w:val="C00000"/>
          <w:sz w:val="20"/>
          <w:szCs w:val="16"/>
        </w:rPr>
        <w:t xml:space="preserve"> </w:t>
      </w:r>
      <w:r w:rsidRPr="00E82421">
        <w:rPr>
          <w:sz w:val="20"/>
          <w:szCs w:val="16"/>
        </w:rPr>
        <w:t>PB words speech test results are shown in figure 6 for three pairs of conditions (noise, no noise) for configuration: empty, with 10m</w:t>
      </w:r>
      <w:r w:rsidRPr="00E82421">
        <w:rPr>
          <w:sz w:val="20"/>
          <w:szCs w:val="16"/>
          <w:vertAlign w:val="superscript"/>
        </w:rPr>
        <w:t>2</w:t>
      </w:r>
      <w:r w:rsidRPr="00E82421">
        <w:rPr>
          <w:sz w:val="20"/>
          <w:szCs w:val="16"/>
        </w:rPr>
        <w:t xml:space="preserve"> absorption and with 10m</w:t>
      </w:r>
      <w:r w:rsidRPr="00E82421">
        <w:rPr>
          <w:sz w:val="20"/>
          <w:szCs w:val="16"/>
          <w:vertAlign w:val="superscript"/>
        </w:rPr>
        <w:t>2</w:t>
      </w:r>
      <w:r w:rsidRPr="00E82421">
        <w:rPr>
          <w:sz w:val="20"/>
          <w:szCs w:val="16"/>
        </w:rPr>
        <w:t xml:space="preserve"> with the subjects (native and non-native English speakers) facing away from the signal source.</w:t>
      </w:r>
    </w:p>
    <w:p w14:paraId="52DE450A" w14:textId="77777777" w:rsidR="00E82421" w:rsidRPr="00E82421" w:rsidRDefault="00E82421" w:rsidP="0073401F">
      <w:pPr>
        <w:pStyle w:val="NoSpacing"/>
        <w:rPr>
          <w:rFonts w:ascii="Times New Roman" w:hAnsi="Times New Roman" w:cs="Times New Roman"/>
          <w:sz w:val="18"/>
          <w:szCs w:val="18"/>
        </w:rPr>
      </w:pPr>
    </w:p>
    <w:p w14:paraId="6C2F0149" w14:textId="7A04E0BD" w:rsidR="00E82421" w:rsidRDefault="00E82421" w:rsidP="0073401F">
      <w:pPr>
        <w:pStyle w:val="NoSpacing"/>
        <w:rPr>
          <w:rFonts w:ascii="Times New Roman" w:hAnsi="Times New Roman" w:cs="Times New Roman"/>
        </w:rPr>
      </w:pPr>
      <w:r>
        <w:rPr>
          <w:noProof/>
        </w:rPr>
        <w:lastRenderedPageBreak/>
        <w:drawing>
          <wp:inline distT="0" distB="0" distL="0" distR="0" wp14:anchorId="282E99EA" wp14:editId="1ED3652D">
            <wp:extent cx="5292090" cy="2926080"/>
            <wp:effectExtent l="0" t="0" r="3810" b="7620"/>
            <wp:docPr id="7" name="Picture 7" descr="A graph of different types of noi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of different types of nois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2090" cy="2926080"/>
                    </a:xfrm>
                    <a:prstGeom prst="rect">
                      <a:avLst/>
                    </a:prstGeom>
                    <a:noFill/>
                  </pic:spPr>
                </pic:pic>
              </a:graphicData>
            </a:graphic>
          </wp:inline>
        </w:drawing>
      </w:r>
    </w:p>
    <w:p w14:paraId="4CE679B7" w14:textId="77777777" w:rsidR="00E82421" w:rsidRPr="00E82421" w:rsidRDefault="00E82421" w:rsidP="0073401F">
      <w:pPr>
        <w:pStyle w:val="NoSpacing"/>
        <w:rPr>
          <w:rFonts w:ascii="Times New Roman" w:hAnsi="Times New Roman" w:cs="Times New Roman"/>
          <w:sz w:val="20"/>
          <w:szCs w:val="20"/>
        </w:rPr>
      </w:pPr>
    </w:p>
    <w:p w14:paraId="09724100" w14:textId="5562CC07" w:rsidR="00E82421" w:rsidRDefault="00E82421" w:rsidP="0073401F">
      <w:pPr>
        <w:pStyle w:val="NoSpacing"/>
        <w:rPr>
          <w:sz w:val="20"/>
          <w:szCs w:val="20"/>
        </w:rPr>
      </w:pPr>
      <w:r w:rsidRPr="00E82421">
        <w:rPr>
          <w:sz w:val="20"/>
          <w:szCs w:val="20"/>
        </w:rPr>
        <w:t>Figure 6 shows the averaged PB word scores for natives and non-natives under two room conditions.</w:t>
      </w:r>
    </w:p>
    <w:p w14:paraId="617110B0" w14:textId="77777777" w:rsidR="00E82421" w:rsidRDefault="00E82421" w:rsidP="0073401F">
      <w:pPr>
        <w:pStyle w:val="NoSpacing"/>
        <w:rPr>
          <w:sz w:val="20"/>
          <w:szCs w:val="20"/>
        </w:rPr>
      </w:pPr>
    </w:p>
    <w:p w14:paraId="06075A18" w14:textId="14D22543" w:rsidR="00E82421" w:rsidRDefault="00E82421" w:rsidP="00E82421">
      <w:pPr>
        <w:rPr>
          <w:sz w:val="20"/>
          <w:szCs w:val="16"/>
        </w:rPr>
      </w:pPr>
      <w:r w:rsidRPr="00E82421">
        <w:rPr>
          <w:sz w:val="20"/>
          <w:szCs w:val="16"/>
        </w:rPr>
        <w:t xml:space="preserve">From figure 6 it can be clearly seen that non-native listeners were not able to score as highly as natives in the speech intelligibility tests except in the absolute </w:t>
      </w:r>
      <w:proofErr w:type="gramStart"/>
      <w:r w:rsidRPr="00E82421">
        <w:rPr>
          <w:sz w:val="20"/>
          <w:szCs w:val="16"/>
        </w:rPr>
        <w:t>worst case</w:t>
      </w:r>
      <w:proofErr w:type="gramEnd"/>
      <w:r w:rsidRPr="00E82421">
        <w:rPr>
          <w:sz w:val="20"/>
          <w:szCs w:val="16"/>
        </w:rPr>
        <w:t xml:space="preserve"> condition when the score</w:t>
      </w:r>
      <w:r w:rsidRPr="00E82421">
        <w:rPr>
          <w:color w:val="000000" w:themeColor="text1"/>
          <w:sz w:val="20"/>
          <w:szCs w:val="16"/>
        </w:rPr>
        <w:t xml:space="preserve">s </w:t>
      </w:r>
      <w:r w:rsidRPr="00E82421">
        <w:rPr>
          <w:sz w:val="20"/>
          <w:szCs w:val="16"/>
        </w:rPr>
        <w:t>were identical, indicating guessing of the test word, the corresponding STIPA value was 0.27. In all other conditions the natives consistently scored 12-16% higher.  When considering native (no noise) vs non-native with noise there was a 20% increase in the PB word score, but this increased to 30% when the reversed listening condition was introduced. The reverse condition for the absorptive condition produced similar results +/- 1% for both natives and non-natives. However, adding pink noise to the absorptive condition created an overall reduction of 5% for natives and 7% for non-natives in the word score. This brought back the word score to the empty reverberant condition for native and non-natives. Thus, balancing out the 10m</w:t>
      </w:r>
      <w:r w:rsidRPr="00E82421">
        <w:rPr>
          <w:sz w:val="20"/>
          <w:szCs w:val="16"/>
          <w:vertAlign w:val="superscript"/>
        </w:rPr>
        <w:t>2</w:t>
      </w:r>
      <w:r w:rsidRPr="00E82421">
        <w:rPr>
          <w:sz w:val="20"/>
          <w:szCs w:val="16"/>
        </w:rPr>
        <w:t xml:space="preserve"> of Class A absorptive treatment and the</w:t>
      </w:r>
      <w:r>
        <w:rPr>
          <w:sz w:val="20"/>
          <w:szCs w:val="16"/>
        </w:rPr>
        <w:t>n</w:t>
      </w:r>
      <w:r w:rsidRPr="00E82421">
        <w:rPr>
          <w:sz w:val="20"/>
          <w:szCs w:val="16"/>
        </w:rPr>
        <w:t xml:space="preserve"> adding pink noise (SNR &gt;15 to SNR = 8 dB).  </w:t>
      </w:r>
    </w:p>
    <w:p w14:paraId="6AB64439" w14:textId="77777777" w:rsidR="00E82421" w:rsidRPr="00E82421" w:rsidRDefault="00E82421" w:rsidP="00E82421">
      <w:pPr>
        <w:rPr>
          <w:sz w:val="20"/>
          <w:szCs w:val="16"/>
        </w:rPr>
      </w:pPr>
    </w:p>
    <w:p w14:paraId="6317FB32" w14:textId="77777777" w:rsidR="00E82421" w:rsidRDefault="00E82421" w:rsidP="00E82421">
      <w:pPr>
        <w:rPr>
          <w:sz w:val="20"/>
          <w:szCs w:val="16"/>
        </w:rPr>
      </w:pPr>
      <w:r w:rsidRPr="00E82421">
        <w:rPr>
          <w:sz w:val="20"/>
          <w:szCs w:val="16"/>
        </w:rPr>
        <w:t xml:space="preserve">The results can be compared to those given in ISO  9921 [2] which provides a suitable adjustment for non-native speakers, see table 2. </w:t>
      </w:r>
    </w:p>
    <w:p w14:paraId="39AEA3BD" w14:textId="77777777" w:rsidR="00E82421" w:rsidRPr="00E82421" w:rsidRDefault="00E82421" w:rsidP="00E82421">
      <w:pPr>
        <w:rPr>
          <w:sz w:val="20"/>
          <w:szCs w:val="16"/>
        </w:rPr>
      </w:pPr>
    </w:p>
    <w:p w14:paraId="2A0C9B03" w14:textId="2BA6C3F5" w:rsidR="00E82421" w:rsidRPr="00E82421" w:rsidRDefault="00E82421" w:rsidP="00E82421">
      <w:pPr>
        <w:jc w:val="center"/>
        <w:rPr>
          <w:sz w:val="20"/>
          <w:szCs w:val="16"/>
        </w:rPr>
      </w:pPr>
      <w:r w:rsidRPr="00E82421">
        <w:rPr>
          <w:sz w:val="20"/>
          <w:szCs w:val="16"/>
        </w:rPr>
        <w:t>Table 2. ISO 9921 adjustments to the STI for different categories of non-native listeners</w:t>
      </w:r>
    </w:p>
    <w:p w14:paraId="38C302F2" w14:textId="77777777" w:rsidR="00E82421" w:rsidRPr="00E82421" w:rsidRDefault="00E82421" w:rsidP="0073401F">
      <w:pPr>
        <w:pStyle w:val="NoSpacing"/>
        <w:rPr>
          <w:rFonts w:ascii="Times New Roman" w:hAnsi="Times New Roman" w:cs="Times New Roman"/>
          <w:sz w:val="20"/>
          <w:szCs w:val="20"/>
        </w:rPr>
      </w:pPr>
    </w:p>
    <w:p w14:paraId="3D290EA7" w14:textId="7C742656" w:rsidR="00E82421" w:rsidRDefault="00E82421" w:rsidP="00E82421">
      <w:pPr>
        <w:pStyle w:val="NoSpacing"/>
        <w:jc w:val="center"/>
        <w:rPr>
          <w:rFonts w:ascii="Times New Roman" w:hAnsi="Times New Roman" w:cs="Times New Roman"/>
        </w:rPr>
      </w:pPr>
      <w:r>
        <w:rPr>
          <w:noProof/>
        </w:rPr>
        <w:drawing>
          <wp:inline distT="0" distB="0" distL="0" distR="0" wp14:anchorId="0EEFA53C" wp14:editId="1AA2A92B">
            <wp:extent cx="5330330" cy="2181828"/>
            <wp:effectExtent l="0" t="0" r="3810" b="9525"/>
            <wp:docPr id="240963953" name="Picture 240963953"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963953" name="Picture 240963953" descr="A table with numbers and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4342" cy="2187564"/>
                    </a:xfrm>
                    <a:prstGeom prst="rect">
                      <a:avLst/>
                    </a:prstGeom>
                    <a:noFill/>
                    <a:ln>
                      <a:noFill/>
                    </a:ln>
                  </pic:spPr>
                </pic:pic>
              </a:graphicData>
            </a:graphic>
          </wp:inline>
        </w:drawing>
      </w:r>
    </w:p>
    <w:p w14:paraId="0E502691" w14:textId="77777777" w:rsidR="00E82421" w:rsidRDefault="00E82421" w:rsidP="0073401F">
      <w:pPr>
        <w:pStyle w:val="NoSpacing"/>
        <w:rPr>
          <w:rFonts w:ascii="Times New Roman" w:hAnsi="Times New Roman" w:cs="Times New Roman"/>
        </w:rPr>
      </w:pPr>
    </w:p>
    <w:p w14:paraId="23DB20F8" w14:textId="77777777" w:rsidR="006C3C44" w:rsidRDefault="006C3C44" w:rsidP="006C3C44">
      <w:r w:rsidRPr="006C3C44">
        <w:rPr>
          <w:sz w:val="20"/>
          <w:szCs w:val="16"/>
        </w:rPr>
        <w:lastRenderedPageBreak/>
        <w:t>A comparison of the STIPA measurements with the PB word scores is presented in figure 7</w:t>
      </w:r>
      <w:r>
        <w:t>.</w:t>
      </w:r>
    </w:p>
    <w:p w14:paraId="630786D1" w14:textId="77777777" w:rsidR="006C3C44" w:rsidRDefault="006C3C44" w:rsidP="006C3C44"/>
    <w:p w14:paraId="56534D7D" w14:textId="66221701" w:rsidR="006C3C44" w:rsidRDefault="006C3C44" w:rsidP="006C3C44">
      <w:r w:rsidRPr="00567B0D">
        <w:rPr>
          <w:noProof/>
          <w:lang w:eastAsia="en-GB"/>
        </w:rPr>
        <w:drawing>
          <wp:inline distT="0" distB="0" distL="0" distR="0" wp14:anchorId="44D98191" wp14:editId="674C6958">
            <wp:extent cx="5379565" cy="3651813"/>
            <wp:effectExtent l="0" t="0" r="0" b="6350"/>
            <wp:docPr id="6" name="Picture 6" descr="Chart, line chart&#10;&#10;Description automatically generated">
              <a:extLst xmlns:a="http://schemas.openxmlformats.org/drawingml/2006/main">
                <a:ext uri="{FF2B5EF4-FFF2-40B4-BE49-F238E27FC236}">
                  <a16:creationId xmlns:a16="http://schemas.microsoft.com/office/drawing/2014/main" id="{ACB1CBE1-17DC-9854-2B37-FA41BA46D7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a:extLst>
                        <a:ext uri="{FF2B5EF4-FFF2-40B4-BE49-F238E27FC236}">
                          <a16:creationId xmlns:a16="http://schemas.microsoft.com/office/drawing/2014/main" id="{ACB1CBE1-17DC-9854-2B37-FA41BA46D7F4}"/>
                        </a:ext>
                      </a:extLst>
                    </pic:cNvPr>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9169" cy="3665121"/>
                    </a:xfrm>
                    <a:prstGeom prst="rect">
                      <a:avLst/>
                    </a:prstGeom>
                    <a:noFill/>
                    <a:ln>
                      <a:noFill/>
                    </a:ln>
                  </pic:spPr>
                </pic:pic>
              </a:graphicData>
            </a:graphic>
          </wp:inline>
        </w:drawing>
      </w:r>
    </w:p>
    <w:p w14:paraId="6698D610" w14:textId="77777777" w:rsidR="006C3C44" w:rsidRDefault="006C3C44" w:rsidP="006C3C44"/>
    <w:p w14:paraId="747DB822" w14:textId="1D578591" w:rsidR="006C3C44" w:rsidRPr="006C3C44" w:rsidRDefault="006C3C44" w:rsidP="006C3C44">
      <w:pPr>
        <w:rPr>
          <w:sz w:val="20"/>
          <w:szCs w:val="16"/>
        </w:rPr>
      </w:pPr>
      <w:r w:rsidRPr="006C3C44">
        <w:rPr>
          <w:sz w:val="20"/>
          <w:szCs w:val="16"/>
        </w:rPr>
        <w:t>Figure 7. The objective and subjective (native and non-native listeners) results.</w:t>
      </w:r>
    </w:p>
    <w:p w14:paraId="748C0FF1" w14:textId="77777777" w:rsidR="006C3C44" w:rsidRDefault="006C3C44" w:rsidP="006C3C44"/>
    <w:p w14:paraId="160DE83D" w14:textId="46B5E173" w:rsidR="006C3C44" w:rsidRPr="00244999" w:rsidRDefault="006C3C44" w:rsidP="006C3C44">
      <w:r w:rsidRPr="006C3C44">
        <w:rPr>
          <w:sz w:val="20"/>
          <w:szCs w:val="16"/>
        </w:rPr>
        <w:t>From table 2 and figure 7 it can be determined that the non-natives could be considered Category I – experience daily second language use [2]. From figure 7</w:t>
      </w:r>
      <w:r w:rsidRPr="006C3C44">
        <w:rPr>
          <w:color w:val="C00000"/>
          <w:sz w:val="20"/>
          <w:szCs w:val="16"/>
        </w:rPr>
        <w:t>,</w:t>
      </w:r>
      <w:r w:rsidRPr="006C3C44">
        <w:rPr>
          <w:sz w:val="20"/>
          <w:szCs w:val="16"/>
        </w:rPr>
        <w:t xml:space="preserve"> the normal chamber condition (no additional absorption) produced a STIPA value of 0.45 without pink noise, the non-natives PB word score was 58% and the natives 70%</w:t>
      </w:r>
      <w:r w:rsidR="005C4C10">
        <w:rPr>
          <w:sz w:val="20"/>
          <w:szCs w:val="16"/>
        </w:rPr>
        <w:t>, as would be expected</w:t>
      </w:r>
      <w:r w:rsidRPr="006C3C44">
        <w:rPr>
          <w:sz w:val="20"/>
          <w:szCs w:val="16"/>
        </w:rPr>
        <w:t>.  However, when noise was added STIPA dropped to 0.27 which produced a corresponding 46% PB score for both natives and non-natives, indicating that the subjects were guessing the test words</w:t>
      </w:r>
      <w:r w:rsidR="005C4C10">
        <w:rPr>
          <w:sz w:val="20"/>
          <w:szCs w:val="16"/>
        </w:rPr>
        <w:t>, typically a STI of 0.3 equals a 50% PB score</w:t>
      </w:r>
      <w:r w:rsidRPr="006C3C44">
        <w:rPr>
          <w:sz w:val="20"/>
          <w:szCs w:val="16"/>
        </w:rPr>
        <w:t>. When absorption was introduced, under the normal ambient condition STIPA increased to 0.58 resulting in an</w:t>
      </w:r>
      <w:r w:rsidRPr="006C3C44">
        <w:rPr>
          <w:color w:val="C00000"/>
          <w:sz w:val="20"/>
          <w:szCs w:val="16"/>
        </w:rPr>
        <w:t xml:space="preserve"> </w:t>
      </w:r>
      <w:r w:rsidRPr="006C3C44">
        <w:rPr>
          <w:sz w:val="20"/>
          <w:szCs w:val="16"/>
        </w:rPr>
        <w:t>81% PB score for native listeners and 65% for non-native</w:t>
      </w:r>
      <w:r>
        <w:t xml:space="preserve">. </w:t>
      </w:r>
    </w:p>
    <w:p w14:paraId="5A0AFF0E" w14:textId="77777777" w:rsidR="006C3C44" w:rsidRDefault="006C3C44" w:rsidP="006C3C44"/>
    <w:p w14:paraId="4A7C8DA7" w14:textId="5FDB3A84" w:rsidR="00534A47" w:rsidRDefault="00534A47" w:rsidP="00534A47">
      <w:pPr>
        <w:jc w:val="both"/>
        <w:rPr>
          <w:rFonts w:eastAsiaTheme="majorEastAsia"/>
          <w:bCs/>
          <w:sz w:val="20"/>
        </w:rPr>
      </w:pPr>
    </w:p>
    <w:p w14:paraId="3561D06E" w14:textId="33674828" w:rsidR="00534A47" w:rsidRPr="006E2CDB" w:rsidRDefault="00534A47" w:rsidP="006E2CDB">
      <w:pPr>
        <w:pStyle w:val="ListParagraph"/>
        <w:numPr>
          <w:ilvl w:val="0"/>
          <w:numId w:val="6"/>
        </w:numPr>
        <w:ind w:left="426" w:hanging="426"/>
        <w:rPr>
          <w:rFonts w:ascii="Arial" w:hAnsi="Arial" w:cs="Arial"/>
          <w:b/>
          <w:sz w:val="28"/>
          <w:szCs w:val="28"/>
        </w:rPr>
      </w:pPr>
      <w:bookmarkStart w:id="0" w:name="_Toc14284893"/>
      <w:r w:rsidRPr="006E2CDB">
        <w:rPr>
          <w:rFonts w:ascii="Arial" w:hAnsi="Arial" w:cs="Arial"/>
          <w:b/>
          <w:sz w:val="28"/>
          <w:szCs w:val="28"/>
        </w:rPr>
        <w:t>CONCLUSIONS</w:t>
      </w:r>
      <w:bookmarkEnd w:id="0"/>
    </w:p>
    <w:p w14:paraId="5EB8A86B" w14:textId="77777777" w:rsidR="00534A47" w:rsidRPr="00534A47" w:rsidRDefault="00534A47" w:rsidP="00534A47">
      <w:pPr>
        <w:pStyle w:val="ListParagraph"/>
        <w:spacing w:after="0" w:line="240" w:lineRule="auto"/>
        <w:ind w:left="567"/>
        <w:rPr>
          <w:rFonts w:ascii="Arial" w:hAnsi="Arial" w:cs="Arial"/>
          <w:b/>
          <w:sz w:val="28"/>
          <w:szCs w:val="28"/>
        </w:rPr>
      </w:pPr>
    </w:p>
    <w:p w14:paraId="40621BC2" w14:textId="197885E2" w:rsidR="006E2CDB" w:rsidRPr="006E2CDB" w:rsidRDefault="006E2CDB" w:rsidP="006E2CDB">
      <w:pPr>
        <w:rPr>
          <w:sz w:val="20"/>
          <w:szCs w:val="16"/>
        </w:rPr>
      </w:pPr>
      <w:r w:rsidRPr="006E2CDB">
        <w:rPr>
          <w:sz w:val="20"/>
          <w:szCs w:val="16"/>
        </w:rPr>
        <w:t xml:space="preserve">An experiment was undertaken to determine the effect of changing the direction of the primary sound signal, such as you find on London Underground when typically, the loudspeakers are often positioned behind the passengers. A small sample of listeners, native and non-native, undertook an experiment under different noise and reverberation conditions. The results showed that both native and non-native listeners (Category I) were less able to determine the message when the loudspeaker was positioned behind, a reduction of 5% and 7% respectively, under a Signal to Noise ratio of 8 </w:t>
      </w:r>
      <w:proofErr w:type="spellStart"/>
      <w:r w:rsidRPr="006E2CDB">
        <w:rPr>
          <w:sz w:val="20"/>
          <w:szCs w:val="16"/>
        </w:rPr>
        <w:t>dB.</w:t>
      </w:r>
      <w:proofErr w:type="spellEnd"/>
      <w:r w:rsidRPr="006E2CDB">
        <w:rPr>
          <w:sz w:val="20"/>
          <w:szCs w:val="16"/>
        </w:rPr>
        <w:t xml:space="preserve"> There was only a marginal difference under excellent Signal to Noise ratio conditions.</w:t>
      </w:r>
    </w:p>
    <w:p w14:paraId="0D2E85F4" w14:textId="77777777" w:rsidR="00534A47" w:rsidRDefault="00534A47" w:rsidP="00534A47">
      <w:pPr>
        <w:jc w:val="both"/>
      </w:pPr>
    </w:p>
    <w:p w14:paraId="1F0FF6C4" w14:textId="77777777" w:rsidR="00534A47" w:rsidRDefault="00534A47" w:rsidP="00534A47">
      <w:pPr>
        <w:tabs>
          <w:tab w:val="left" w:pos="2467"/>
        </w:tabs>
        <w:rPr>
          <w:sz w:val="22"/>
          <w:szCs w:val="22"/>
        </w:rPr>
      </w:pPr>
      <w:r w:rsidRPr="00E2084B">
        <w:rPr>
          <w:sz w:val="22"/>
          <w:szCs w:val="22"/>
        </w:rPr>
        <w:tab/>
      </w:r>
    </w:p>
    <w:p w14:paraId="236E740D" w14:textId="77777777" w:rsidR="006E2CDB" w:rsidRDefault="006E2CDB" w:rsidP="00534A47">
      <w:pPr>
        <w:tabs>
          <w:tab w:val="left" w:pos="2467"/>
        </w:tabs>
        <w:rPr>
          <w:sz w:val="22"/>
          <w:szCs w:val="22"/>
        </w:rPr>
      </w:pPr>
    </w:p>
    <w:p w14:paraId="09222D44" w14:textId="77777777" w:rsidR="006E2CDB" w:rsidRPr="00E2084B" w:rsidRDefault="006E2CDB" w:rsidP="00534A47">
      <w:pPr>
        <w:tabs>
          <w:tab w:val="left" w:pos="2467"/>
        </w:tabs>
        <w:rPr>
          <w:sz w:val="22"/>
          <w:szCs w:val="22"/>
        </w:rPr>
      </w:pPr>
    </w:p>
    <w:p w14:paraId="5529BCE7" w14:textId="22B4EFB9" w:rsidR="006E2CDB" w:rsidRDefault="00534A47" w:rsidP="006E2CDB">
      <w:pPr>
        <w:pStyle w:val="ListParagraph"/>
        <w:numPr>
          <w:ilvl w:val="0"/>
          <w:numId w:val="4"/>
        </w:numPr>
        <w:jc w:val="both"/>
        <w:rPr>
          <w:rFonts w:ascii="Arial" w:hAnsi="Arial" w:cs="Arial"/>
          <w:b/>
          <w:bCs/>
          <w:sz w:val="28"/>
          <w:szCs w:val="28"/>
        </w:rPr>
      </w:pPr>
      <w:r w:rsidRPr="006E2CDB">
        <w:rPr>
          <w:sz w:val="20"/>
        </w:rPr>
        <w:lastRenderedPageBreak/>
        <w:t> </w:t>
      </w:r>
      <w:r w:rsidR="006E2CDB">
        <w:rPr>
          <w:rFonts w:ascii="Arial" w:hAnsi="Arial" w:cs="Arial"/>
          <w:b/>
          <w:bCs/>
          <w:sz w:val="28"/>
          <w:szCs w:val="28"/>
        </w:rPr>
        <w:t>ACKNOWLEDGEMENTS</w:t>
      </w:r>
    </w:p>
    <w:p w14:paraId="542809EA" w14:textId="0F3F1AAD" w:rsidR="006E2CDB" w:rsidRPr="006E2CDB" w:rsidRDefault="006E2CDB" w:rsidP="006E2CDB">
      <w:pPr>
        <w:rPr>
          <w:sz w:val="20"/>
          <w:szCs w:val="16"/>
        </w:rPr>
      </w:pPr>
      <w:r w:rsidRPr="006E2CDB">
        <w:rPr>
          <w:sz w:val="20"/>
          <w:szCs w:val="16"/>
        </w:rPr>
        <w:t xml:space="preserve">This research was funded by London South Bank University and EPSRC UKAN+ (Grant number </w:t>
      </w:r>
      <w:r w:rsidRPr="006E2CDB">
        <w:rPr>
          <w:rFonts w:cstheme="minorHAnsi"/>
          <w:color w:val="000000"/>
          <w:sz w:val="20"/>
          <w:szCs w:val="16"/>
          <w:shd w:val="clear" w:color="auto" w:fill="F0FAFE"/>
        </w:rPr>
        <w:t>EP/V007866/1</w:t>
      </w:r>
      <w:r w:rsidRPr="006E2CDB">
        <w:rPr>
          <w:sz w:val="20"/>
          <w:szCs w:val="16"/>
        </w:rPr>
        <w:t xml:space="preserve"> ).</w:t>
      </w:r>
    </w:p>
    <w:p w14:paraId="1302F9F9" w14:textId="3D40DE82" w:rsidR="00534A47" w:rsidRPr="006E2CDB" w:rsidRDefault="00534A47" w:rsidP="006E2CDB">
      <w:pPr>
        <w:jc w:val="both"/>
        <w:rPr>
          <w:sz w:val="20"/>
        </w:rPr>
      </w:pPr>
    </w:p>
    <w:p w14:paraId="473D02B6" w14:textId="77777777" w:rsidR="00534A47" w:rsidRPr="00E50D1D" w:rsidRDefault="00534A47" w:rsidP="00534A47">
      <w:pPr>
        <w:rPr>
          <w:b/>
          <w:sz w:val="20"/>
        </w:rPr>
      </w:pPr>
    </w:p>
    <w:p w14:paraId="7860D1E9" w14:textId="77777777" w:rsidR="00534A47" w:rsidRPr="00534A47" w:rsidRDefault="00534A47" w:rsidP="00534A47">
      <w:pPr>
        <w:jc w:val="both"/>
        <w:rPr>
          <w:rFonts w:eastAsiaTheme="majorEastAsia"/>
          <w:bCs/>
          <w:sz w:val="20"/>
        </w:rPr>
      </w:pPr>
    </w:p>
    <w:p w14:paraId="3482CBED" w14:textId="4505670E" w:rsidR="001A6392" w:rsidRDefault="003D3C92" w:rsidP="003D3C92">
      <w:pPr>
        <w:pStyle w:val="ListParagraph"/>
        <w:numPr>
          <w:ilvl w:val="0"/>
          <w:numId w:val="4"/>
        </w:numPr>
        <w:jc w:val="both"/>
        <w:rPr>
          <w:rFonts w:ascii="Arial" w:hAnsi="Arial" w:cs="Arial"/>
          <w:b/>
          <w:bCs/>
          <w:sz w:val="28"/>
          <w:szCs w:val="28"/>
        </w:rPr>
      </w:pPr>
      <w:r w:rsidRPr="003D3C92">
        <w:rPr>
          <w:rFonts w:ascii="Arial" w:hAnsi="Arial" w:cs="Arial"/>
          <w:b/>
          <w:bCs/>
          <w:sz w:val="28"/>
          <w:szCs w:val="28"/>
        </w:rPr>
        <w:t>REFERENCES</w:t>
      </w:r>
    </w:p>
    <w:p w14:paraId="7B4F61D1" w14:textId="77777777" w:rsidR="003D3C92" w:rsidRDefault="003D3C92" w:rsidP="003D3C92">
      <w:pPr>
        <w:pStyle w:val="ListParagraph"/>
        <w:ind w:left="360"/>
        <w:jc w:val="both"/>
        <w:rPr>
          <w:rFonts w:ascii="Arial" w:hAnsi="Arial" w:cs="Arial"/>
          <w:b/>
          <w:bCs/>
          <w:sz w:val="28"/>
          <w:szCs w:val="28"/>
        </w:rPr>
      </w:pPr>
    </w:p>
    <w:p w14:paraId="5385A258" w14:textId="77777777" w:rsidR="006E2CDB" w:rsidRPr="006E2CDB" w:rsidRDefault="006E2CDB" w:rsidP="006E2CDB">
      <w:pPr>
        <w:pStyle w:val="ListParagraph"/>
        <w:numPr>
          <w:ilvl w:val="0"/>
          <w:numId w:val="7"/>
        </w:numPr>
        <w:spacing w:after="160" w:line="259" w:lineRule="auto"/>
        <w:ind w:left="284" w:hanging="284"/>
        <w:rPr>
          <w:rFonts w:ascii="Arial" w:hAnsi="Arial" w:cs="Arial"/>
          <w:sz w:val="20"/>
          <w:szCs w:val="20"/>
        </w:rPr>
      </w:pPr>
      <w:r w:rsidRPr="006E2CDB">
        <w:rPr>
          <w:rFonts w:ascii="Arial" w:hAnsi="Arial" w:cs="Arial"/>
          <w:sz w:val="20"/>
          <w:szCs w:val="20"/>
        </w:rPr>
        <w:t xml:space="preserve">BS EN IEC 60268-16:2020. Sound system equipment - Part 16: Objective rating of speech intelligibility by speech transmission index. </w:t>
      </w:r>
    </w:p>
    <w:p w14:paraId="48B1EF6C" w14:textId="77777777" w:rsidR="006E2CDB" w:rsidRPr="006E2CDB" w:rsidRDefault="006E2CDB" w:rsidP="006E2CDB">
      <w:pPr>
        <w:pStyle w:val="ListParagraph"/>
        <w:numPr>
          <w:ilvl w:val="0"/>
          <w:numId w:val="7"/>
        </w:numPr>
        <w:spacing w:after="160" w:line="259" w:lineRule="auto"/>
        <w:ind w:left="284" w:hanging="284"/>
        <w:rPr>
          <w:rFonts w:ascii="Arial" w:hAnsi="Arial" w:cs="Arial"/>
          <w:sz w:val="20"/>
          <w:szCs w:val="20"/>
        </w:rPr>
      </w:pPr>
      <w:r w:rsidRPr="006E2CDB">
        <w:rPr>
          <w:rFonts w:ascii="Arial" w:hAnsi="Arial" w:cs="Arial"/>
          <w:sz w:val="20"/>
          <w:szCs w:val="20"/>
        </w:rPr>
        <w:t xml:space="preserve">BS EN ISO 9921:2003. Ergonomics – Assessment of speech communication. </w:t>
      </w:r>
    </w:p>
    <w:p w14:paraId="6D3AD9D3" w14:textId="77777777" w:rsidR="006E2CDB" w:rsidRPr="006E2CDB" w:rsidRDefault="006E2CDB" w:rsidP="006E2CDB">
      <w:pPr>
        <w:pStyle w:val="ListParagraph"/>
        <w:numPr>
          <w:ilvl w:val="0"/>
          <w:numId w:val="7"/>
        </w:numPr>
        <w:spacing w:after="160" w:line="259" w:lineRule="auto"/>
        <w:ind w:left="284" w:hanging="284"/>
        <w:rPr>
          <w:rFonts w:ascii="Arial" w:hAnsi="Arial" w:cs="Arial"/>
          <w:sz w:val="20"/>
          <w:szCs w:val="20"/>
        </w:rPr>
      </w:pPr>
      <w:r w:rsidRPr="006E2CDB">
        <w:rPr>
          <w:rFonts w:ascii="Arial" w:hAnsi="Arial" w:cs="Arial"/>
          <w:sz w:val="20"/>
          <w:szCs w:val="20"/>
        </w:rPr>
        <w:t xml:space="preserve">L. Morales, </w:t>
      </w:r>
      <w:proofErr w:type="gramStart"/>
      <w:r w:rsidRPr="006E2CDB">
        <w:rPr>
          <w:rFonts w:ascii="Arial" w:hAnsi="Arial" w:cs="Arial"/>
          <w:sz w:val="20"/>
          <w:szCs w:val="20"/>
        </w:rPr>
        <w:t>Validation</w:t>
      </w:r>
      <w:proofErr w:type="gramEnd"/>
      <w:r w:rsidRPr="006E2CDB">
        <w:rPr>
          <w:rFonts w:ascii="Arial" w:hAnsi="Arial" w:cs="Arial"/>
          <w:sz w:val="20"/>
          <w:szCs w:val="20"/>
        </w:rPr>
        <w:t xml:space="preserve"> and improvement of Speech Transmission Index method as a predictor of speech intelligibility,</w:t>
      </w:r>
      <w:r w:rsidRPr="006E2CDB">
        <w:rPr>
          <w:rFonts w:ascii="Arial" w:hAnsi="Arial" w:cs="Arial"/>
        </w:rPr>
        <w:t xml:space="preserve">  </w:t>
      </w:r>
      <w:r w:rsidRPr="006E2CDB">
        <w:rPr>
          <w:rFonts w:ascii="Arial" w:hAnsi="Arial" w:cs="Arial"/>
          <w:sz w:val="20"/>
          <w:szCs w:val="20"/>
        </w:rPr>
        <w:t>PhD Thesis, London South Bank University 2014</w:t>
      </w:r>
    </w:p>
    <w:p w14:paraId="05C35A75" w14:textId="77777777" w:rsidR="006E2CDB" w:rsidRPr="006E2CDB" w:rsidRDefault="006E2CDB" w:rsidP="006E2CDB">
      <w:pPr>
        <w:pStyle w:val="ListParagraph"/>
        <w:numPr>
          <w:ilvl w:val="0"/>
          <w:numId w:val="7"/>
        </w:numPr>
        <w:spacing w:after="160" w:line="259" w:lineRule="auto"/>
        <w:ind w:left="284" w:hanging="284"/>
        <w:rPr>
          <w:rFonts w:ascii="Arial" w:hAnsi="Arial" w:cs="Arial"/>
          <w:sz w:val="20"/>
          <w:szCs w:val="20"/>
        </w:rPr>
      </w:pPr>
      <w:r w:rsidRPr="006E2CDB">
        <w:rPr>
          <w:rFonts w:ascii="Arial" w:hAnsi="Arial" w:cs="Arial"/>
          <w:sz w:val="20"/>
          <w:szCs w:val="20"/>
        </w:rPr>
        <w:t xml:space="preserve">L. Morales, G. Leembruggen, S Dance, B. Shield, A revised speech spectrum for STI calculations, Applied Acoustics, 132, p33-42, 2018 </w:t>
      </w:r>
      <w:hyperlink r:id="rId21" w:history="1">
        <w:r w:rsidRPr="006E2CDB">
          <w:rPr>
            <w:rStyle w:val="Hyperlink"/>
            <w:rFonts w:ascii="Arial" w:hAnsi="Arial" w:cs="Arial"/>
            <w:sz w:val="20"/>
            <w:szCs w:val="20"/>
          </w:rPr>
          <w:t>https://doi.org/10.1016/j.apacoust.2017.11.008</w:t>
        </w:r>
      </w:hyperlink>
    </w:p>
    <w:p w14:paraId="3271F613" w14:textId="77777777" w:rsidR="006E2CDB" w:rsidRPr="006E2CDB" w:rsidRDefault="006E2CDB" w:rsidP="006E2CDB">
      <w:pPr>
        <w:pStyle w:val="ListParagraph"/>
        <w:numPr>
          <w:ilvl w:val="0"/>
          <w:numId w:val="7"/>
        </w:numPr>
        <w:spacing w:after="160" w:line="259" w:lineRule="auto"/>
        <w:ind w:left="284" w:hanging="284"/>
        <w:rPr>
          <w:rFonts w:ascii="Arial" w:hAnsi="Arial" w:cs="Arial"/>
          <w:sz w:val="20"/>
          <w:szCs w:val="20"/>
        </w:rPr>
      </w:pPr>
      <w:r w:rsidRPr="006E2CDB">
        <w:rPr>
          <w:rFonts w:ascii="Arial" w:hAnsi="Arial" w:cs="Arial"/>
          <w:sz w:val="20"/>
          <w:szCs w:val="20"/>
        </w:rPr>
        <w:t>P. Mapp ‘Uncertainty in STI measurement and prediction’ in Uncertainty in Acoustics, Ed R Peters, CRC Press, 2021</w:t>
      </w:r>
    </w:p>
    <w:p w14:paraId="5036DD2C" w14:textId="77777777" w:rsidR="006E2CDB" w:rsidRPr="006E2CDB" w:rsidRDefault="006E2CDB" w:rsidP="006E2CDB">
      <w:pPr>
        <w:pStyle w:val="ListParagraph"/>
        <w:ind w:left="284" w:hanging="284"/>
        <w:jc w:val="both"/>
        <w:rPr>
          <w:rFonts w:ascii="Arial" w:hAnsi="Arial" w:cs="Arial"/>
          <w:b/>
          <w:bCs/>
          <w:sz w:val="24"/>
          <w:szCs w:val="24"/>
        </w:rPr>
      </w:pPr>
    </w:p>
    <w:sectPr w:rsidR="006E2CDB" w:rsidRPr="006E2CDB">
      <w:headerReference w:type="default" r:id="rId22"/>
      <w:footerReference w:type="default" r:id="rId23"/>
      <w:headerReference w:type="first" r:id="rId24"/>
      <w:footerReference w:type="first" r:id="rId25"/>
      <w:pgSz w:w="11907" w:h="16840" w:code="9"/>
      <w:pgMar w:top="2268" w:right="1531" w:bottom="1418" w:left="1531"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B763" w14:textId="77777777" w:rsidR="007345E3" w:rsidRDefault="007345E3">
      <w:r>
        <w:separator/>
      </w:r>
    </w:p>
  </w:endnote>
  <w:endnote w:type="continuationSeparator" w:id="0">
    <w:p w14:paraId="3FA90D77" w14:textId="77777777" w:rsidR="007345E3" w:rsidRDefault="0073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5579" w14:textId="7E72611D" w:rsidR="00B1306A" w:rsidRDefault="00B1306A" w:rsidP="00B1306A">
    <w:pPr>
      <w:pStyle w:val="Footer"/>
      <w:rPr>
        <w:b/>
        <w:sz w:val="20"/>
      </w:rPr>
    </w:pPr>
    <w:r>
      <w:rPr>
        <w:b/>
        <w:sz w:val="20"/>
      </w:rPr>
      <w:t>Vol. 4</w:t>
    </w:r>
    <w:r w:rsidR="000947D4">
      <w:rPr>
        <w:b/>
        <w:sz w:val="20"/>
      </w:rPr>
      <w:t>4</w:t>
    </w:r>
    <w:r>
      <w:rPr>
        <w:b/>
        <w:sz w:val="20"/>
      </w:rPr>
      <w:t>. Pt. 1. 202</w:t>
    </w:r>
    <w:r w:rsidR="000947D4">
      <w:rPr>
        <w:b/>
        <w:sz w:val="20"/>
      </w:rPr>
      <w:t>3</w:t>
    </w:r>
  </w:p>
  <w:p w14:paraId="5C346E16" w14:textId="77777777" w:rsidR="00DF78B6" w:rsidRDefault="00DF78B6" w:rsidP="00DF78B6">
    <w:pPr>
      <w:pStyle w:val="Footer"/>
      <w:rPr>
        <w:b/>
        <w:sz w:val="20"/>
      </w:rPr>
    </w:pPr>
  </w:p>
  <w:p w14:paraId="62702DAA" w14:textId="77777777" w:rsidR="00790736" w:rsidRDefault="00790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F46A" w14:textId="3165B0FC" w:rsidR="00790736" w:rsidRDefault="00790736">
    <w:pPr>
      <w:pStyle w:val="Footer"/>
      <w:rPr>
        <w:b/>
        <w:sz w:val="20"/>
      </w:rPr>
    </w:pPr>
    <w:r>
      <w:rPr>
        <w:b/>
        <w:sz w:val="20"/>
      </w:rPr>
      <w:t>V</w:t>
    </w:r>
    <w:r w:rsidR="00B1306A">
      <w:rPr>
        <w:b/>
        <w:sz w:val="20"/>
      </w:rPr>
      <w:t>ol. 4</w:t>
    </w:r>
    <w:r w:rsidR="000947D4">
      <w:rPr>
        <w:b/>
        <w:sz w:val="20"/>
      </w:rPr>
      <w:t>4</w:t>
    </w:r>
    <w:r w:rsidR="00B1306A">
      <w:rPr>
        <w:b/>
        <w:sz w:val="20"/>
      </w:rPr>
      <w:t>. Pt. 1. 202</w:t>
    </w:r>
    <w:r w:rsidR="000947D4">
      <w:rPr>
        <w:b/>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0C53" w14:textId="77777777" w:rsidR="007345E3" w:rsidRDefault="007345E3">
      <w:r>
        <w:separator/>
      </w:r>
    </w:p>
  </w:footnote>
  <w:footnote w:type="continuationSeparator" w:id="0">
    <w:p w14:paraId="6DE01E95" w14:textId="77777777" w:rsidR="007345E3" w:rsidRDefault="00734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5F58" w14:textId="77777777" w:rsidR="00790736" w:rsidRDefault="00790736">
    <w:pPr>
      <w:pStyle w:val="Header"/>
    </w:pPr>
    <w:r>
      <w:rPr>
        <w:b/>
      </w:rPr>
      <w:t xml:space="preserve">Proceedings of the </w:t>
    </w: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Acoustics</w:t>
        </w:r>
      </w:smartTag>
    </w:smartTag>
  </w:p>
  <w:p w14:paraId="7F0B939F" w14:textId="77777777" w:rsidR="00790736" w:rsidRDefault="00790736">
    <w:pPr>
      <w:pStyle w:val="Header"/>
    </w:pPr>
  </w:p>
  <w:p w14:paraId="7A2B4719" w14:textId="77777777" w:rsidR="00790736" w:rsidRDefault="00790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1A17" w14:textId="77777777" w:rsidR="00790736" w:rsidRDefault="00790736">
    <w:pPr>
      <w:pStyle w:val="Header"/>
      <w:rPr>
        <w:b/>
      </w:rPr>
    </w:pPr>
    <w:r>
      <w:rPr>
        <w:b/>
      </w:rPr>
      <w:t xml:space="preserve">Proceedings of the </w:t>
    </w: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Acoustics</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B0074B4"/>
    <w:lvl w:ilvl="0">
      <w:start w:val="1"/>
      <w:numFmt w:val="decimal"/>
      <w:pStyle w:val="ListNumber"/>
      <w:lvlText w:val="%1."/>
      <w:lvlJc w:val="left"/>
      <w:pPr>
        <w:tabs>
          <w:tab w:val="num" w:pos="360"/>
        </w:tabs>
        <w:ind w:left="360" w:hanging="360"/>
      </w:pPr>
    </w:lvl>
  </w:abstractNum>
  <w:abstractNum w:abstractNumId="1" w15:restartNumberingAfterBreak="0">
    <w:nsid w:val="0AD94DAC"/>
    <w:multiLevelType w:val="hybridMultilevel"/>
    <w:tmpl w:val="A5A4289A"/>
    <w:lvl w:ilvl="0" w:tplc="D9D43318">
      <w:start w:val="1"/>
      <w:numFmt w:val="decimal"/>
      <w:lvlText w:val="%1."/>
      <w:lvlJc w:val="left"/>
      <w:pPr>
        <w:ind w:left="720" w:hanging="360"/>
      </w:pPr>
      <w:rPr>
        <w:rFonts w:eastAsiaTheme="minorEastAsi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97FF5"/>
    <w:multiLevelType w:val="hybridMultilevel"/>
    <w:tmpl w:val="13C60E2C"/>
    <w:lvl w:ilvl="0" w:tplc="68A26F1C">
      <w:start w:val="5"/>
      <w:numFmt w:val="decimal"/>
      <w:lvlText w:val="%1."/>
      <w:lvlJc w:val="left"/>
      <w:pPr>
        <w:ind w:left="360"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3C45FE8"/>
    <w:multiLevelType w:val="hybridMultilevel"/>
    <w:tmpl w:val="4ADEA9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97561"/>
    <w:multiLevelType w:val="hybridMultilevel"/>
    <w:tmpl w:val="448CF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977CD"/>
    <w:multiLevelType w:val="multilevel"/>
    <w:tmpl w:val="35B82BFE"/>
    <w:lvl w:ilvl="0">
      <w:start w:val="2"/>
      <w:numFmt w:val="decimal"/>
      <w:lvlText w:val="%1."/>
      <w:lvlJc w:val="left"/>
      <w:pPr>
        <w:ind w:left="644"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668D6F2C"/>
    <w:multiLevelType w:val="multilevel"/>
    <w:tmpl w:val="46C0853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7000032">
    <w:abstractNumId w:val="0"/>
  </w:num>
  <w:num w:numId="2" w16cid:durableId="1478259015">
    <w:abstractNumId w:val="6"/>
  </w:num>
  <w:num w:numId="3" w16cid:durableId="1279220616">
    <w:abstractNumId w:val="5"/>
  </w:num>
  <w:num w:numId="4" w16cid:durableId="51970203">
    <w:abstractNumId w:val="2"/>
  </w:num>
  <w:num w:numId="5" w16cid:durableId="1761487035">
    <w:abstractNumId w:val="1"/>
  </w:num>
  <w:num w:numId="6" w16cid:durableId="1695154746">
    <w:abstractNumId w:val="3"/>
  </w:num>
  <w:num w:numId="7" w16cid:durableId="1122575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E3"/>
    <w:rsid w:val="00005EF0"/>
    <w:rsid w:val="000077AD"/>
    <w:rsid w:val="0003799F"/>
    <w:rsid w:val="00060856"/>
    <w:rsid w:val="000947D4"/>
    <w:rsid w:val="000A6D12"/>
    <w:rsid w:val="000C42CC"/>
    <w:rsid w:val="00124513"/>
    <w:rsid w:val="00150070"/>
    <w:rsid w:val="001923BD"/>
    <w:rsid w:val="001A6392"/>
    <w:rsid w:val="001C20A5"/>
    <w:rsid w:val="00247BCC"/>
    <w:rsid w:val="002631C2"/>
    <w:rsid w:val="002933A2"/>
    <w:rsid w:val="002F133E"/>
    <w:rsid w:val="00334E42"/>
    <w:rsid w:val="00356C31"/>
    <w:rsid w:val="003626C8"/>
    <w:rsid w:val="003D3C92"/>
    <w:rsid w:val="00417330"/>
    <w:rsid w:val="00522069"/>
    <w:rsid w:val="00534A47"/>
    <w:rsid w:val="0056470E"/>
    <w:rsid w:val="00594FC8"/>
    <w:rsid w:val="005C4C10"/>
    <w:rsid w:val="005C6FA3"/>
    <w:rsid w:val="00640774"/>
    <w:rsid w:val="00644277"/>
    <w:rsid w:val="006660CD"/>
    <w:rsid w:val="006C3C44"/>
    <w:rsid w:val="006E2CDB"/>
    <w:rsid w:val="0070338F"/>
    <w:rsid w:val="007131DA"/>
    <w:rsid w:val="0073401F"/>
    <w:rsid w:val="007345E3"/>
    <w:rsid w:val="007459A4"/>
    <w:rsid w:val="00752B87"/>
    <w:rsid w:val="00755979"/>
    <w:rsid w:val="007646A6"/>
    <w:rsid w:val="00790736"/>
    <w:rsid w:val="007E0AE1"/>
    <w:rsid w:val="007E7DC8"/>
    <w:rsid w:val="00864C2A"/>
    <w:rsid w:val="00901697"/>
    <w:rsid w:val="00920DB9"/>
    <w:rsid w:val="0095333E"/>
    <w:rsid w:val="009733BB"/>
    <w:rsid w:val="0098109B"/>
    <w:rsid w:val="00A329E6"/>
    <w:rsid w:val="00A64361"/>
    <w:rsid w:val="00AE4500"/>
    <w:rsid w:val="00B1306A"/>
    <w:rsid w:val="00B4040B"/>
    <w:rsid w:val="00B94DAB"/>
    <w:rsid w:val="00B95660"/>
    <w:rsid w:val="00BD2E96"/>
    <w:rsid w:val="00C17C9C"/>
    <w:rsid w:val="00C2218E"/>
    <w:rsid w:val="00C24733"/>
    <w:rsid w:val="00C6421F"/>
    <w:rsid w:val="00CD3941"/>
    <w:rsid w:val="00D05716"/>
    <w:rsid w:val="00D06750"/>
    <w:rsid w:val="00D64600"/>
    <w:rsid w:val="00D83279"/>
    <w:rsid w:val="00DA6CFF"/>
    <w:rsid w:val="00DE73AF"/>
    <w:rsid w:val="00DF78B6"/>
    <w:rsid w:val="00E04C75"/>
    <w:rsid w:val="00E168E3"/>
    <w:rsid w:val="00E337DE"/>
    <w:rsid w:val="00E50D1D"/>
    <w:rsid w:val="00E82421"/>
    <w:rsid w:val="00EA2B61"/>
    <w:rsid w:val="00F0252F"/>
    <w:rsid w:val="00F211FA"/>
    <w:rsid w:val="00FA3AAF"/>
    <w:rsid w:val="00FA3B5B"/>
    <w:rsid w:val="00FC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0C72A16B"/>
  <w15:chartTrackingRefBased/>
  <w15:docId w15:val="{ABEB9967-F636-46F1-BABE-50C8F202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numPr>
        <w:numId w:val="2"/>
      </w:numPr>
      <w:spacing w:after="200"/>
      <w:outlineLvl w:val="0"/>
    </w:pPr>
    <w:rPr>
      <w:b/>
      <w:caps/>
      <w:sz w:val="28"/>
      <w:lang w:val="en-GB"/>
    </w:rPr>
  </w:style>
  <w:style w:type="paragraph" w:styleId="Heading2">
    <w:name w:val="heading 2"/>
    <w:basedOn w:val="Normal"/>
    <w:next w:val="Normal"/>
    <w:qFormat/>
    <w:pPr>
      <w:keepNext/>
      <w:numPr>
        <w:ilvl w:val="1"/>
        <w:numId w:val="2"/>
      </w:numPr>
      <w:tabs>
        <w:tab w:val="clear" w:pos="576"/>
        <w:tab w:val="left" w:pos="709"/>
      </w:tabs>
      <w:spacing w:after="200"/>
      <w:ind w:left="0" w:firstLine="0"/>
      <w:jc w:val="both"/>
      <w:outlineLvl w:val="1"/>
    </w:pPr>
    <w:rPr>
      <w:b/>
      <w:lang w:val="en-GB"/>
    </w:rPr>
  </w:style>
  <w:style w:type="paragraph" w:styleId="Heading3">
    <w:name w:val="heading 3"/>
    <w:basedOn w:val="Normal"/>
    <w:next w:val="Normal"/>
    <w:qFormat/>
    <w:pPr>
      <w:keepNext/>
      <w:numPr>
        <w:ilvl w:val="2"/>
        <w:numId w:val="2"/>
      </w:numPr>
      <w:spacing w:after="200"/>
      <w:ind w:left="0" w:firstLine="0"/>
      <w:jc w:val="both"/>
      <w:outlineLvl w:val="2"/>
    </w:pPr>
    <w:rPr>
      <w:b/>
      <w:snapToGrid w:val="0"/>
      <w:lang w:val="en-GB"/>
    </w:rPr>
  </w:style>
  <w:style w:type="paragraph" w:styleId="Heading4">
    <w:name w:val="heading 4"/>
    <w:basedOn w:val="Normal"/>
    <w:next w:val="Normal"/>
    <w:qFormat/>
    <w:pPr>
      <w:keepNext/>
      <w:numPr>
        <w:ilvl w:val="3"/>
        <w:numId w:val="2"/>
      </w:numPr>
      <w:jc w:val="both"/>
      <w:outlineLvl w:val="3"/>
    </w:pPr>
    <w:rPr>
      <w:b/>
      <w:caps/>
      <w:lang w:val="en-GB"/>
    </w:rPr>
  </w:style>
  <w:style w:type="paragraph" w:styleId="Heading5">
    <w:name w:val="heading 5"/>
    <w:basedOn w:val="Normal"/>
    <w:next w:val="Normal"/>
    <w:qFormat/>
    <w:pPr>
      <w:numPr>
        <w:ilvl w:val="4"/>
        <w:numId w:val="2"/>
      </w:numPr>
      <w:jc w:val="both"/>
      <w:outlineLvl w:val="4"/>
    </w:pPr>
    <w:rPr>
      <w:b/>
      <w:caps/>
      <w:lang w:val="en-GB"/>
    </w:rPr>
  </w:style>
  <w:style w:type="paragraph" w:styleId="Heading6">
    <w:name w:val="heading 6"/>
    <w:basedOn w:val="Normal"/>
    <w:next w:val="Normal"/>
    <w:qFormat/>
    <w:pPr>
      <w:numPr>
        <w:ilvl w:val="5"/>
        <w:numId w:val="2"/>
      </w:numPr>
      <w:spacing w:before="240" w:after="60"/>
      <w:jc w:val="both"/>
      <w:outlineLvl w:val="5"/>
    </w:pPr>
    <w:rPr>
      <w:rFonts w:ascii="Times New Roman" w:hAnsi="Times New Roman"/>
      <w:b/>
      <w:sz w:val="22"/>
      <w:lang w:val="en-GB"/>
    </w:rPr>
  </w:style>
  <w:style w:type="paragraph" w:styleId="Heading7">
    <w:name w:val="heading 7"/>
    <w:basedOn w:val="Normal"/>
    <w:next w:val="Normal"/>
    <w:qFormat/>
    <w:pPr>
      <w:numPr>
        <w:ilvl w:val="6"/>
        <w:numId w:val="2"/>
      </w:numPr>
      <w:spacing w:before="240" w:after="60"/>
      <w:jc w:val="both"/>
      <w:outlineLvl w:val="6"/>
    </w:pPr>
    <w:rPr>
      <w:rFonts w:ascii="Times New Roman" w:hAnsi="Times New Roman"/>
      <w:lang w:val="en-GB"/>
    </w:rPr>
  </w:style>
  <w:style w:type="paragraph" w:styleId="Heading8">
    <w:name w:val="heading 8"/>
    <w:basedOn w:val="Normal"/>
    <w:next w:val="Normal"/>
    <w:qFormat/>
    <w:pPr>
      <w:numPr>
        <w:ilvl w:val="7"/>
        <w:numId w:val="2"/>
      </w:numPr>
      <w:spacing w:before="240" w:after="60"/>
      <w:jc w:val="both"/>
      <w:outlineLvl w:val="7"/>
    </w:pPr>
    <w:rPr>
      <w:rFonts w:ascii="Times New Roman" w:hAnsi="Times New Roman"/>
      <w:i/>
      <w:lang w:val="en-GB"/>
    </w:rPr>
  </w:style>
  <w:style w:type="paragraph" w:styleId="Heading9">
    <w:name w:val="heading 9"/>
    <w:basedOn w:val="Normal"/>
    <w:next w:val="Normal"/>
    <w:qFormat/>
    <w:pPr>
      <w:numPr>
        <w:ilvl w:val="8"/>
        <w:numId w:val="2"/>
      </w:numPr>
      <w:spacing w:before="240" w:after="60"/>
      <w:jc w:val="both"/>
      <w:outlineLvl w:val="8"/>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3"/>
        <w:tab w:val="right" w:pos="8505"/>
      </w:tabs>
    </w:pPr>
    <w:rPr>
      <w:sz w:val="20"/>
      <w:lang w:val="en-GB"/>
    </w:rPr>
  </w:style>
  <w:style w:type="paragraph" w:styleId="Title">
    <w:name w:val="Title"/>
    <w:basedOn w:val="Normal"/>
    <w:next w:val="Normal"/>
    <w:qFormat/>
    <w:pPr>
      <w:jc w:val="center"/>
    </w:pPr>
    <w:rPr>
      <w:b/>
      <w:caps/>
      <w:sz w:val="32"/>
      <w:lang w:val="en-GB"/>
    </w:rPr>
  </w:style>
  <w:style w:type="paragraph" w:customStyle="1" w:styleId="Authors">
    <w:name w:val="Authors"/>
    <w:basedOn w:val="Normal"/>
    <w:pPr>
      <w:jc w:val="both"/>
    </w:pPr>
    <w:rPr>
      <w:snapToGrid w:val="0"/>
      <w:sz w:val="20"/>
      <w:lang w:val="en-GB"/>
    </w:rPr>
  </w:style>
  <w:style w:type="paragraph" w:styleId="ListNumber">
    <w:name w:val="List Number"/>
    <w:basedOn w:val="Normal"/>
    <w:pPr>
      <w:numPr>
        <w:numId w:val="1"/>
      </w:numPr>
      <w:jc w:val="both"/>
    </w:pPr>
    <w:rPr>
      <w:sz w:val="20"/>
      <w:lang w:val="en-GB"/>
    </w:rPr>
  </w:style>
  <w:style w:type="paragraph" w:customStyle="1" w:styleId="Referencelist">
    <w:name w:val="Reference list"/>
    <w:basedOn w:val="ListNumber"/>
    <w:pPr>
      <w:tabs>
        <w:tab w:val="clear" w:pos="360"/>
        <w:tab w:val="left" w:pos="709"/>
      </w:tabs>
      <w:ind w:left="709" w:hanging="709"/>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2933A2"/>
    <w:rPr>
      <w:rFonts w:ascii="Segoe UI" w:hAnsi="Segoe UI" w:cs="Segoe UI"/>
      <w:sz w:val="18"/>
      <w:szCs w:val="18"/>
    </w:rPr>
  </w:style>
  <w:style w:type="character" w:customStyle="1" w:styleId="BalloonTextChar">
    <w:name w:val="Balloon Text Char"/>
    <w:link w:val="BalloonText"/>
    <w:rsid w:val="002933A2"/>
    <w:rPr>
      <w:rFonts w:ascii="Segoe UI" w:hAnsi="Segoe UI" w:cs="Segoe UI"/>
      <w:sz w:val="18"/>
      <w:szCs w:val="18"/>
      <w:lang w:val="en-US" w:eastAsia="en-US"/>
    </w:rPr>
  </w:style>
  <w:style w:type="paragraph" w:styleId="NoSpacing">
    <w:name w:val="No Spacing"/>
    <w:uiPriority w:val="1"/>
    <w:qFormat/>
    <w:rsid w:val="006660CD"/>
    <w:rPr>
      <w:rFonts w:asciiTheme="minorHAnsi" w:eastAsiaTheme="minorEastAsia" w:hAnsiTheme="minorHAnsi" w:cstheme="minorBidi"/>
      <w:sz w:val="22"/>
      <w:szCs w:val="22"/>
    </w:rPr>
  </w:style>
  <w:style w:type="table" w:styleId="TableGrid">
    <w:name w:val="Table Grid"/>
    <w:basedOn w:val="TableNormal"/>
    <w:uiPriority w:val="39"/>
    <w:rsid w:val="006660C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330"/>
    <w:pPr>
      <w:spacing w:after="200" w:line="276" w:lineRule="auto"/>
      <w:ind w:left="720"/>
      <w:contextualSpacing/>
    </w:pPr>
    <w:rPr>
      <w:rFonts w:asciiTheme="minorHAnsi" w:eastAsiaTheme="minorEastAsia" w:hAnsiTheme="minorHAnsi" w:cstheme="minorBidi"/>
      <w:sz w:val="22"/>
      <w:szCs w:val="22"/>
      <w:lang w:val="en-GB" w:eastAsia="en-GB"/>
    </w:rPr>
  </w:style>
  <w:style w:type="character" w:styleId="Hyperlink">
    <w:name w:val="Hyperlink"/>
    <w:basedOn w:val="DefaultParagraphFont"/>
    <w:rsid w:val="003D3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016/j.apacoust.2017.11.00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vents\Authors%20Instructions\Acoustics%202019%20pape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1594C3CAF97418643921FD54D99F8" ma:contentTypeVersion="0" ma:contentTypeDescription="Create a new document." ma:contentTypeScope="" ma:versionID="d4d5ce730d548657b8a99c622854f6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ADF7-538F-4175-B628-FF28C0636679}">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DEA2FAC-9EFA-47EA-9CD3-39AC62AB3201}">
  <ds:schemaRefs>
    <ds:schemaRef ds:uri="http://schemas.microsoft.com/sharepoint/v3/contenttype/forms"/>
  </ds:schemaRefs>
</ds:datastoreItem>
</file>

<file path=customXml/itemProps3.xml><?xml version="1.0" encoding="utf-8"?>
<ds:datastoreItem xmlns:ds="http://schemas.openxmlformats.org/officeDocument/2006/customXml" ds:itemID="{F2EE0638-1C05-4E16-A2A8-EB355004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FDEF7B-1976-4D20-AFC1-40EF2A21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Acoustics 2019 paper template</Template>
  <TotalTime>5</TotalTime>
  <Pages>7</Pages>
  <Words>1356</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SPEECH RESEARCH AT THE UNIVERSITY OF ATLANTIS ##[3 LINES FOR TITLE, SOME MAY BE EMPTY, TITLE STYLE, CENTRED 16 POINT ARIAL BOLD UPPERCASE]</vt:lpstr>
    </vt:vector>
  </TitlesOfParts>
  <Company>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RESEARCH AT THE UNIVERSITY OF ATLANTIS ##[3 LINES FOR TITLE, SOME MAY BE EMPTY, TITLE STYLE, CENTRED 16 POINT ARIAL BOLD UPPERCASE]</dc:title>
  <dc:subject/>
  <dc:creator>Linda Canty</dc:creator>
  <cp:keywords/>
  <cp:lastModifiedBy>stephen dance</cp:lastModifiedBy>
  <cp:revision>5</cp:revision>
  <cp:lastPrinted>2020-02-24T12:10:00Z</cp:lastPrinted>
  <dcterms:created xsi:type="dcterms:W3CDTF">2023-08-12T12:45:00Z</dcterms:created>
  <dcterms:modified xsi:type="dcterms:W3CDTF">2023-08-12T12:50:00Z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0x010100AE01594C3CAF97418643921FD54D99F8</vt:lpwstr>
  </property>
</Properties>
</file>