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26101" w14:textId="732CA28F" w:rsidR="00834D7B" w:rsidRDefault="00DE3028" w:rsidP="003A4D9B">
      <w:pPr>
        <w:pStyle w:val="Heading1"/>
      </w:pPr>
      <w:r>
        <w:rPr>
          <w:caps w:val="0"/>
        </w:rPr>
        <w:t>A</w:t>
      </w:r>
      <w:r w:rsidRPr="00394B92">
        <w:rPr>
          <w:caps w:val="0"/>
        </w:rPr>
        <w:t xml:space="preserve"> Patient-Initiated </w:t>
      </w:r>
      <w:r>
        <w:rPr>
          <w:caps w:val="0"/>
        </w:rPr>
        <w:t xml:space="preserve">DMARD Self-Monitoring </w:t>
      </w:r>
      <w:r w:rsidRPr="00394B92">
        <w:rPr>
          <w:caps w:val="0"/>
        </w:rPr>
        <w:t xml:space="preserve">Service </w:t>
      </w:r>
      <w:r>
        <w:rPr>
          <w:caps w:val="0"/>
        </w:rPr>
        <w:t>f</w:t>
      </w:r>
      <w:r w:rsidRPr="00394B92">
        <w:rPr>
          <w:caps w:val="0"/>
        </w:rPr>
        <w:t xml:space="preserve">or People </w:t>
      </w:r>
      <w:r w:rsidR="00816E71" w:rsidRPr="00394B92">
        <w:rPr>
          <w:caps w:val="0"/>
        </w:rPr>
        <w:t>with</w:t>
      </w:r>
      <w:r w:rsidRPr="00394B92">
        <w:rPr>
          <w:caps w:val="0"/>
        </w:rPr>
        <w:t xml:space="preserve"> Rheumatoid </w:t>
      </w:r>
      <w:r>
        <w:rPr>
          <w:caps w:val="0"/>
        </w:rPr>
        <w:t>o</w:t>
      </w:r>
      <w:r w:rsidRPr="00394B92">
        <w:rPr>
          <w:caps w:val="0"/>
        </w:rPr>
        <w:t>r Psoriatic Arthritis</w:t>
      </w:r>
      <w:r>
        <w:rPr>
          <w:caps w:val="0"/>
        </w:rPr>
        <w:t>: A Cost-Effectiveness Analysis</w:t>
      </w:r>
    </w:p>
    <w:p w14:paraId="0110D83F" w14:textId="2704933E" w:rsidR="00E347E9" w:rsidRPr="00B50E7A" w:rsidRDefault="00E347E9" w:rsidP="00723199">
      <w:pPr>
        <w:pStyle w:val="Caption"/>
        <w:rPr>
          <w:b w:val="0"/>
        </w:rPr>
      </w:pPr>
      <w:r w:rsidRPr="00B50E7A">
        <w:rPr>
          <w:b w:val="0"/>
        </w:rPr>
        <w:t>Hayley McBain</w:t>
      </w:r>
      <w:r w:rsidRPr="00B50E7A">
        <w:rPr>
          <w:b w:val="0"/>
          <w:vertAlign w:val="superscript"/>
        </w:rPr>
        <w:t>1</w:t>
      </w:r>
      <w:r w:rsidRPr="00B50E7A">
        <w:rPr>
          <w:b w:val="0"/>
        </w:rPr>
        <w:t xml:space="preserve">, </w:t>
      </w:r>
      <w:r w:rsidR="00C26B7F" w:rsidRPr="00B50E7A">
        <w:rPr>
          <w:b w:val="0"/>
        </w:rPr>
        <w:t>Chris Flood</w:t>
      </w:r>
      <w:r w:rsidR="009F2F4A">
        <w:rPr>
          <w:b w:val="0"/>
          <w:vertAlign w:val="superscript"/>
        </w:rPr>
        <w:t>2</w:t>
      </w:r>
      <w:r w:rsidR="00C26B7F" w:rsidRPr="00B50E7A">
        <w:rPr>
          <w:b w:val="0"/>
        </w:rPr>
        <w:t xml:space="preserve">, </w:t>
      </w:r>
      <w:r w:rsidRPr="00B50E7A">
        <w:rPr>
          <w:b w:val="0"/>
        </w:rPr>
        <w:t>Michael Shipley</w:t>
      </w:r>
      <w:r w:rsidR="009F2F4A">
        <w:rPr>
          <w:b w:val="0"/>
          <w:vertAlign w:val="superscript"/>
        </w:rPr>
        <w:t>3</w:t>
      </w:r>
      <w:r w:rsidRPr="00B50E7A">
        <w:rPr>
          <w:b w:val="0"/>
        </w:rPr>
        <w:t>, Abigail Olaleye</w:t>
      </w:r>
      <w:r w:rsidR="009F2F4A">
        <w:rPr>
          <w:b w:val="0"/>
          <w:vertAlign w:val="superscript"/>
        </w:rPr>
        <w:t>3</w:t>
      </w:r>
      <w:r w:rsidRPr="00B50E7A">
        <w:rPr>
          <w:b w:val="0"/>
        </w:rPr>
        <w:t>, Samantha Moore</w:t>
      </w:r>
      <w:r w:rsidR="009F2F4A">
        <w:rPr>
          <w:b w:val="0"/>
          <w:vertAlign w:val="superscript"/>
        </w:rPr>
        <w:t>3</w:t>
      </w:r>
      <w:r w:rsidRPr="00B50E7A">
        <w:rPr>
          <w:b w:val="0"/>
        </w:rPr>
        <w:t xml:space="preserve"> &amp; Stanton Newman</w:t>
      </w:r>
      <w:r w:rsidR="00C26B7F" w:rsidRPr="00B50E7A">
        <w:rPr>
          <w:b w:val="0"/>
          <w:vertAlign w:val="superscript"/>
        </w:rPr>
        <w:t>2</w:t>
      </w:r>
    </w:p>
    <w:p w14:paraId="7E449970" w14:textId="77777777" w:rsidR="00E347E9" w:rsidRPr="00B50E7A" w:rsidRDefault="00E347E9" w:rsidP="00723199">
      <w:pPr>
        <w:pStyle w:val="Caption"/>
        <w:rPr>
          <w:b w:val="0"/>
        </w:rPr>
      </w:pPr>
    </w:p>
    <w:p w14:paraId="28BF5281" w14:textId="65D16557" w:rsidR="00E347E9" w:rsidRDefault="00E347E9" w:rsidP="00723199">
      <w:pPr>
        <w:pStyle w:val="Caption"/>
        <w:rPr>
          <w:b w:val="0"/>
        </w:rPr>
      </w:pPr>
      <w:r w:rsidRPr="00B50E7A">
        <w:rPr>
          <w:b w:val="0"/>
          <w:vertAlign w:val="superscript"/>
        </w:rPr>
        <w:t>1</w:t>
      </w:r>
      <w:r w:rsidRPr="00B50E7A">
        <w:rPr>
          <w:b w:val="0"/>
        </w:rPr>
        <w:t xml:space="preserve"> School of Health Sciences, City</w:t>
      </w:r>
      <w:r w:rsidR="00C26B7F" w:rsidRPr="00B50E7A">
        <w:rPr>
          <w:b w:val="0"/>
        </w:rPr>
        <w:t xml:space="preserve">, </w:t>
      </w:r>
      <w:r w:rsidRPr="00B50E7A">
        <w:rPr>
          <w:b w:val="0"/>
        </w:rPr>
        <w:t xml:space="preserve">University </w:t>
      </w:r>
      <w:r w:rsidR="00C26B7F" w:rsidRPr="00B50E7A">
        <w:rPr>
          <w:b w:val="0"/>
        </w:rPr>
        <w:t xml:space="preserve">of </w:t>
      </w:r>
      <w:r w:rsidRPr="00B50E7A">
        <w:rPr>
          <w:b w:val="0"/>
        </w:rPr>
        <w:t xml:space="preserve">London, </w:t>
      </w:r>
      <w:r w:rsidR="00F97F99" w:rsidRPr="00B50E7A">
        <w:rPr>
          <w:b w:val="0"/>
        </w:rPr>
        <w:t xml:space="preserve">London, </w:t>
      </w:r>
      <w:r w:rsidRPr="00B50E7A">
        <w:rPr>
          <w:b w:val="0"/>
        </w:rPr>
        <w:t>UK</w:t>
      </w:r>
    </w:p>
    <w:p w14:paraId="08BB1BCA" w14:textId="77777777" w:rsidR="009F2F4A" w:rsidRPr="00DE7216" w:rsidRDefault="009F2F4A" w:rsidP="009F2F4A">
      <w:pPr>
        <w:spacing w:line="276" w:lineRule="auto"/>
        <w:rPr>
          <w:rFonts w:ascii="Arial" w:hAnsi="Arial"/>
        </w:rPr>
      </w:pPr>
      <w:r w:rsidRPr="009F2F4A">
        <w:rPr>
          <w:rFonts w:asciiTheme="minorHAnsi" w:hAnsiTheme="minorHAnsi" w:cstheme="minorHAnsi"/>
          <w:bCs/>
          <w:vertAlign w:val="superscript"/>
          <w:lang w:eastAsia="en-GB"/>
        </w:rPr>
        <w:t>2</w:t>
      </w:r>
      <w:r w:rsidRPr="009F2F4A">
        <w:rPr>
          <w:rFonts w:asciiTheme="minorHAnsi" w:hAnsiTheme="minorHAnsi" w:cstheme="minorHAnsi"/>
          <w:bCs/>
          <w:lang w:eastAsia="en-GB"/>
        </w:rPr>
        <w:t xml:space="preserve"> School of Health and Social Care, London South Bank University</w:t>
      </w:r>
    </w:p>
    <w:p w14:paraId="4ECCE4C5" w14:textId="2D29BACF" w:rsidR="00E347E9" w:rsidRDefault="00E03791" w:rsidP="00723199">
      <w:pPr>
        <w:pStyle w:val="Caption"/>
        <w:rPr>
          <w:b w:val="0"/>
        </w:rPr>
      </w:pPr>
      <w:r w:rsidRPr="00B50E7A">
        <w:rPr>
          <w:b w:val="0"/>
          <w:vertAlign w:val="superscript"/>
        </w:rPr>
        <w:t>3</w:t>
      </w:r>
      <w:r w:rsidR="00E347E9" w:rsidRPr="00B50E7A">
        <w:rPr>
          <w:b w:val="0"/>
        </w:rPr>
        <w:t xml:space="preserve"> </w:t>
      </w:r>
      <w:r w:rsidR="006259A1" w:rsidRPr="00B50E7A">
        <w:rPr>
          <w:b w:val="0"/>
        </w:rPr>
        <w:t xml:space="preserve">Department of </w:t>
      </w:r>
      <w:r w:rsidR="00E347E9" w:rsidRPr="00B50E7A">
        <w:rPr>
          <w:b w:val="0"/>
        </w:rPr>
        <w:t xml:space="preserve">Rheumatology, University College </w:t>
      </w:r>
      <w:r w:rsidR="00162C6B" w:rsidRPr="00B50E7A">
        <w:rPr>
          <w:b w:val="0"/>
        </w:rPr>
        <w:t>London Hospital</w:t>
      </w:r>
      <w:r w:rsidR="00E347E9" w:rsidRPr="00B50E7A">
        <w:rPr>
          <w:b w:val="0"/>
        </w:rPr>
        <w:t>,</w:t>
      </w:r>
      <w:r w:rsidR="00F97F99" w:rsidRPr="00B50E7A">
        <w:rPr>
          <w:b w:val="0"/>
        </w:rPr>
        <w:t xml:space="preserve"> London,</w:t>
      </w:r>
      <w:r w:rsidR="00E347E9" w:rsidRPr="00B50E7A">
        <w:rPr>
          <w:b w:val="0"/>
        </w:rPr>
        <w:t xml:space="preserve"> UK</w:t>
      </w:r>
    </w:p>
    <w:p w14:paraId="25714577" w14:textId="77777777" w:rsidR="00E347E9" w:rsidRDefault="00E347E9" w:rsidP="00723199">
      <w:pPr>
        <w:pStyle w:val="Caption"/>
      </w:pPr>
    </w:p>
    <w:p w14:paraId="0582AF4A" w14:textId="61217120" w:rsidR="00E347E9" w:rsidRPr="00723199" w:rsidRDefault="00E347E9" w:rsidP="00723199">
      <w:pPr>
        <w:pStyle w:val="Caption"/>
        <w:rPr>
          <w:b w:val="0"/>
        </w:rPr>
      </w:pPr>
      <w:r w:rsidRPr="00723199">
        <w:lastRenderedPageBreak/>
        <w:t>Corresponding author:</w:t>
      </w:r>
      <w:r w:rsidR="0049705D" w:rsidRPr="00723199">
        <w:t xml:space="preserve"> </w:t>
      </w:r>
      <w:r w:rsidR="002A4B3D" w:rsidRPr="00723199">
        <w:rPr>
          <w:b w:val="0"/>
        </w:rPr>
        <w:t>Dr Hayley McBain</w:t>
      </w:r>
      <w:r w:rsidR="0049705D" w:rsidRPr="00723199">
        <w:rPr>
          <w:b w:val="0"/>
        </w:rPr>
        <w:t xml:space="preserve">, </w:t>
      </w:r>
      <w:r w:rsidR="00C26B7F" w:rsidRPr="00723199">
        <w:rPr>
          <w:b w:val="0"/>
          <w:color w:val="333333"/>
          <w:lang w:val="en"/>
        </w:rPr>
        <w:t>City, University of London</w:t>
      </w:r>
      <w:r w:rsidR="00C26B7F" w:rsidRPr="00723199">
        <w:rPr>
          <w:b w:val="0"/>
          <w:color w:val="333333"/>
          <w:lang w:val="en"/>
        </w:rPr>
        <w:br/>
      </w:r>
      <w:r w:rsidR="00C26B7F" w:rsidRPr="00723199">
        <w:rPr>
          <w:rStyle w:val="street-address"/>
          <w:b w:val="0"/>
          <w:color w:val="333333"/>
          <w:lang w:val="en"/>
        </w:rPr>
        <w:t>Northampton Square</w:t>
      </w:r>
      <w:r w:rsidR="00C26B7F" w:rsidRPr="00723199">
        <w:rPr>
          <w:b w:val="0"/>
          <w:color w:val="333333"/>
          <w:lang w:val="en"/>
        </w:rPr>
        <w:t xml:space="preserve">, </w:t>
      </w:r>
      <w:r w:rsidR="00C26B7F" w:rsidRPr="00723199">
        <w:rPr>
          <w:rStyle w:val="locality"/>
          <w:b w:val="0"/>
          <w:color w:val="333333"/>
          <w:lang w:val="en"/>
        </w:rPr>
        <w:t xml:space="preserve">London, </w:t>
      </w:r>
      <w:r w:rsidR="00C26B7F" w:rsidRPr="00723199">
        <w:rPr>
          <w:rStyle w:val="postal-code"/>
          <w:b w:val="0"/>
          <w:color w:val="333333"/>
          <w:lang w:val="en"/>
        </w:rPr>
        <w:t>EC1V 0HB</w:t>
      </w:r>
      <w:r w:rsidR="00C26B7F" w:rsidRPr="00723199">
        <w:rPr>
          <w:b w:val="0"/>
          <w:color w:val="333333"/>
          <w:lang w:val="en"/>
        </w:rPr>
        <w:t xml:space="preserve">. </w:t>
      </w:r>
      <w:r w:rsidR="00C26B7F" w:rsidRPr="00723199">
        <w:rPr>
          <w:rStyle w:val="country-name"/>
          <w:b w:val="0"/>
          <w:color w:val="333333"/>
          <w:lang w:val="en"/>
        </w:rPr>
        <w:t>United Kingdom</w:t>
      </w:r>
      <w:r w:rsidR="0049705D" w:rsidRPr="00723199">
        <w:rPr>
          <w:b w:val="0"/>
        </w:rPr>
        <w:t xml:space="preserve"> </w:t>
      </w:r>
      <w:r w:rsidRPr="00723199">
        <w:rPr>
          <w:b w:val="0"/>
        </w:rPr>
        <w:t xml:space="preserve">Email: </w:t>
      </w:r>
      <w:hyperlink r:id="rId11" w:history="1">
        <w:r w:rsidR="002A4B3D" w:rsidRPr="00723199">
          <w:rPr>
            <w:rStyle w:val="Hyperlink"/>
            <w:b w:val="0"/>
          </w:rPr>
          <w:t>hayley.mcbain.1@city.ac.uk</w:t>
        </w:r>
      </w:hyperlink>
      <w:r w:rsidRPr="00723199">
        <w:rPr>
          <w:b w:val="0"/>
        </w:rPr>
        <w:t xml:space="preserve">, </w:t>
      </w:r>
      <w:proofErr w:type="spellStart"/>
      <w:r w:rsidR="00B517F9">
        <w:rPr>
          <w:b w:val="0"/>
        </w:rPr>
        <w:t>ORCiD</w:t>
      </w:r>
      <w:proofErr w:type="spellEnd"/>
      <w:r w:rsidR="00B517F9">
        <w:rPr>
          <w:b w:val="0"/>
        </w:rPr>
        <w:t xml:space="preserve"> </w:t>
      </w:r>
      <w:proofErr w:type="spellStart"/>
      <w:r w:rsidR="00B517F9">
        <w:rPr>
          <w:b w:val="0"/>
        </w:rPr>
        <w:t>iD</w:t>
      </w:r>
      <w:proofErr w:type="spellEnd"/>
      <w:r w:rsidR="00B517F9">
        <w:rPr>
          <w:b w:val="0"/>
        </w:rPr>
        <w:t xml:space="preserve">: </w:t>
      </w:r>
      <w:r w:rsidR="00961933" w:rsidRPr="00961933">
        <w:rPr>
          <w:b w:val="0"/>
        </w:rPr>
        <w:t>0000-0002-6742-1104</w:t>
      </w:r>
    </w:p>
    <w:p w14:paraId="018B612F" w14:textId="77777777" w:rsidR="00E347E9" w:rsidRDefault="00E347E9" w:rsidP="00723199">
      <w:pPr>
        <w:pStyle w:val="Caption"/>
      </w:pPr>
    </w:p>
    <w:p w14:paraId="29DDF434" w14:textId="19F83D7C" w:rsidR="00603480" w:rsidRDefault="00E347E9" w:rsidP="00723199">
      <w:pPr>
        <w:pStyle w:val="Caption"/>
        <w:sectPr w:rsidR="00603480">
          <w:footerReference w:type="default" r:id="rId12"/>
          <w:pgSz w:w="11906" w:h="16838"/>
          <w:pgMar w:top="1440" w:right="1440" w:bottom="1440" w:left="1440" w:header="709" w:footer="567" w:gutter="0"/>
          <w:cols w:space="708"/>
          <w:docGrid w:linePitch="360"/>
        </w:sectPr>
      </w:pPr>
      <w:r w:rsidRPr="0049705D">
        <w:t>Word count</w:t>
      </w:r>
      <w:r>
        <w:t>:</w:t>
      </w:r>
      <w:r w:rsidR="00FF606E">
        <w:t xml:space="preserve"> </w:t>
      </w:r>
      <w:r w:rsidR="00CE5677">
        <w:rPr>
          <w:b w:val="0"/>
        </w:rPr>
        <w:t>3414</w:t>
      </w:r>
    </w:p>
    <w:p w14:paraId="42EE3ED7" w14:textId="77777777" w:rsidR="00E347E9" w:rsidRPr="00A907DC" w:rsidRDefault="00EF3568" w:rsidP="003A4D9B">
      <w:pPr>
        <w:pStyle w:val="Heading1"/>
      </w:pPr>
      <w:r>
        <w:lastRenderedPageBreak/>
        <w:t>A</w:t>
      </w:r>
      <w:r w:rsidR="00E347E9" w:rsidRPr="00A907DC">
        <w:t>bstract</w:t>
      </w:r>
    </w:p>
    <w:p w14:paraId="48ED90AD" w14:textId="7EC08A75" w:rsidR="00A907DC" w:rsidRPr="00CA5695" w:rsidRDefault="00D434C5" w:rsidP="00D434C5">
      <w:pPr>
        <w:pStyle w:val="Heading2"/>
      </w:pPr>
      <w:r w:rsidRPr="00CA5695">
        <w:t xml:space="preserve">Objective </w:t>
      </w:r>
      <w:r w:rsidRPr="00CA5695">
        <w:rPr>
          <w:b w:val="0"/>
        </w:rPr>
        <w:t xml:space="preserve">To determine </w:t>
      </w:r>
      <w:r w:rsidR="00AF7169">
        <w:rPr>
          <w:b w:val="0"/>
        </w:rPr>
        <w:t xml:space="preserve">whether </w:t>
      </w:r>
      <w:r w:rsidRPr="00CA5695">
        <w:rPr>
          <w:b w:val="0"/>
        </w:rPr>
        <w:t xml:space="preserve">a patient-initiated </w:t>
      </w:r>
      <w:r w:rsidR="00D117ED">
        <w:rPr>
          <w:b w:val="0"/>
        </w:rPr>
        <w:t>disease modifying anti-rheumatic drug (</w:t>
      </w:r>
      <w:r w:rsidR="00B639B6">
        <w:rPr>
          <w:b w:val="0"/>
        </w:rPr>
        <w:t>DMARD</w:t>
      </w:r>
      <w:r w:rsidR="00D117ED">
        <w:rPr>
          <w:b w:val="0"/>
        </w:rPr>
        <w:t>)</w:t>
      </w:r>
      <w:r w:rsidR="00B639B6">
        <w:rPr>
          <w:b w:val="0"/>
        </w:rPr>
        <w:t xml:space="preserve"> </w:t>
      </w:r>
      <w:r w:rsidRPr="00CA5695">
        <w:rPr>
          <w:b w:val="0"/>
        </w:rPr>
        <w:t>self-monitoring service for people on methotrexate</w:t>
      </w:r>
      <w:r w:rsidR="00AF7169">
        <w:rPr>
          <w:b w:val="0"/>
        </w:rPr>
        <w:t xml:space="preserve"> is a cost-effective </w:t>
      </w:r>
      <w:r w:rsidR="00C7307F">
        <w:rPr>
          <w:b w:val="0"/>
        </w:rPr>
        <w:t>model of care</w:t>
      </w:r>
      <w:r w:rsidR="00AF7169">
        <w:rPr>
          <w:b w:val="0"/>
        </w:rPr>
        <w:t xml:space="preserve"> for patients</w:t>
      </w:r>
      <w:r w:rsidR="00AF7169" w:rsidRPr="00AF7169">
        <w:rPr>
          <w:b w:val="0"/>
        </w:rPr>
        <w:t xml:space="preserve"> </w:t>
      </w:r>
      <w:r w:rsidR="00AF7169" w:rsidRPr="00CA5695">
        <w:rPr>
          <w:b w:val="0"/>
        </w:rPr>
        <w:t>with rheumatoid (RA) or psoriatic arthritis (</w:t>
      </w:r>
      <w:proofErr w:type="spellStart"/>
      <w:r w:rsidR="00AF7169" w:rsidRPr="00CA5695">
        <w:rPr>
          <w:b w:val="0"/>
        </w:rPr>
        <w:t>PsA</w:t>
      </w:r>
      <w:proofErr w:type="spellEnd"/>
      <w:r w:rsidR="00AF7169" w:rsidRPr="00CA5695">
        <w:rPr>
          <w:b w:val="0"/>
        </w:rPr>
        <w:t>)</w:t>
      </w:r>
      <w:r w:rsidRPr="00CA5695">
        <w:rPr>
          <w:b w:val="0"/>
        </w:rPr>
        <w:t>.</w:t>
      </w:r>
    </w:p>
    <w:p w14:paraId="5CD41D21" w14:textId="777A8829" w:rsidR="00AF7169" w:rsidRDefault="00A907DC" w:rsidP="00D434C5">
      <w:pPr>
        <w:rPr>
          <w:rFonts w:asciiTheme="minorHAnsi" w:hAnsiTheme="minorHAnsi"/>
        </w:rPr>
      </w:pPr>
      <w:r w:rsidRPr="00CA5695">
        <w:rPr>
          <w:rStyle w:val="Heading2Char"/>
          <w:rFonts w:asciiTheme="minorHAnsi" w:hAnsiTheme="minorHAnsi"/>
        </w:rPr>
        <w:t>Methods</w:t>
      </w:r>
      <w:r w:rsidR="00D434C5" w:rsidRPr="00CA5695">
        <w:rPr>
          <w:rFonts w:asciiTheme="minorHAnsi" w:hAnsiTheme="minorHAnsi"/>
        </w:rPr>
        <w:t xml:space="preserve"> </w:t>
      </w:r>
      <w:r w:rsidR="00AF7169">
        <w:rPr>
          <w:rFonts w:asciiTheme="minorHAnsi" w:hAnsiTheme="minorHAnsi"/>
        </w:rPr>
        <w:t xml:space="preserve">An economic </w:t>
      </w:r>
      <w:r w:rsidR="00444E22">
        <w:rPr>
          <w:rFonts w:asciiTheme="minorHAnsi" w:hAnsiTheme="minorHAnsi"/>
        </w:rPr>
        <w:t>evaluation</w:t>
      </w:r>
      <w:r w:rsidR="00AF7169">
        <w:rPr>
          <w:rFonts w:asciiTheme="minorHAnsi" w:hAnsiTheme="minorHAnsi"/>
        </w:rPr>
        <w:t xml:space="preserve"> was undertaken alongside a randomised controlled trial involving 100 patients. </w:t>
      </w:r>
      <w:r w:rsidR="00AF7169" w:rsidRPr="00D117ED">
        <w:rPr>
          <w:rFonts w:asciiTheme="minorHAnsi" w:hAnsiTheme="minorHAnsi" w:cstheme="minorHAnsi"/>
        </w:rPr>
        <w:t xml:space="preserve">Outcome measures were quality of life and </w:t>
      </w:r>
      <w:r w:rsidR="00D117ED" w:rsidRPr="00D117ED">
        <w:rPr>
          <w:rFonts w:asciiTheme="minorHAnsi" w:hAnsiTheme="minorHAnsi" w:cstheme="minorHAnsi"/>
          <w:shd w:val="clear" w:color="auto" w:fill="FFFFFF"/>
        </w:rPr>
        <w:t>erythrocyte sedimentation rate</w:t>
      </w:r>
      <w:r w:rsidR="00D117ED" w:rsidRPr="00D117ED">
        <w:rPr>
          <w:rFonts w:asciiTheme="minorHAnsi" w:hAnsiTheme="minorHAnsi" w:cstheme="minorHAnsi"/>
        </w:rPr>
        <w:t xml:space="preserve"> (</w:t>
      </w:r>
      <w:r w:rsidR="00AF7169" w:rsidRPr="00D117ED">
        <w:rPr>
          <w:rFonts w:asciiTheme="minorHAnsi" w:hAnsiTheme="minorHAnsi" w:cstheme="minorHAnsi"/>
        </w:rPr>
        <w:t>ESR</w:t>
      </w:r>
      <w:r w:rsidR="00D117ED" w:rsidRPr="00D117ED">
        <w:rPr>
          <w:rFonts w:asciiTheme="minorHAnsi" w:hAnsiTheme="minorHAnsi" w:cstheme="minorHAnsi"/>
        </w:rPr>
        <w:t>)</w:t>
      </w:r>
      <w:r w:rsidR="00AF7169" w:rsidRPr="00D117ED">
        <w:rPr>
          <w:rFonts w:asciiTheme="minorHAnsi" w:hAnsiTheme="minorHAnsi" w:cstheme="minorHAnsi"/>
        </w:rPr>
        <w:t xml:space="preserve"> assessed at baseline </w:t>
      </w:r>
      <w:r w:rsidR="00F67BD1" w:rsidRPr="00D117ED">
        <w:rPr>
          <w:rFonts w:asciiTheme="minorHAnsi" w:hAnsiTheme="minorHAnsi" w:cstheme="minorHAnsi"/>
        </w:rPr>
        <w:t>and</w:t>
      </w:r>
      <w:r w:rsidR="00AF7169" w:rsidRPr="00D117ED">
        <w:rPr>
          <w:rFonts w:asciiTheme="minorHAnsi" w:hAnsiTheme="minorHAnsi"/>
        </w:rPr>
        <w:t xml:space="preserve"> </w:t>
      </w:r>
      <w:r w:rsidR="00AF7169">
        <w:rPr>
          <w:rFonts w:asciiTheme="minorHAnsi" w:hAnsiTheme="minorHAnsi"/>
        </w:rPr>
        <w:t>post</w:t>
      </w:r>
      <w:r w:rsidR="007B174D">
        <w:rPr>
          <w:rFonts w:asciiTheme="minorHAnsi" w:hAnsiTheme="minorHAnsi"/>
        </w:rPr>
        <w:t>-</w:t>
      </w:r>
      <w:r w:rsidR="00AF7169">
        <w:rPr>
          <w:rFonts w:asciiTheme="minorHAnsi" w:hAnsiTheme="minorHAnsi"/>
        </w:rPr>
        <w:t xml:space="preserve">intervention. </w:t>
      </w:r>
      <w:r w:rsidR="00444E22">
        <w:rPr>
          <w:rFonts w:asciiTheme="minorHAnsi" w:hAnsiTheme="minorHAnsi"/>
        </w:rPr>
        <w:t xml:space="preserve">Costs were calculated </w:t>
      </w:r>
      <w:r w:rsidR="00444E22">
        <w:rPr>
          <w:rFonts w:asciiTheme="minorHAnsi" w:hAnsiTheme="minorHAnsi"/>
        </w:rPr>
        <w:lastRenderedPageBreak/>
        <w:t xml:space="preserve">for healthcare usage using </w:t>
      </w:r>
      <w:r w:rsidR="007C7AF1">
        <w:t>a UK NHS economic perspective</w:t>
      </w:r>
      <w:r w:rsidR="00444E22">
        <w:rPr>
          <w:rFonts w:asciiTheme="minorHAnsi" w:hAnsiTheme="minorHAnsi"/>
        </w:rPr>
        <w:t xml:space="preserve">. Sensitivity analysis was performed to explore the impact of nurse-led telephone helplines. </w:t>
      </w:r>
      <w:r w:rsidR="00AF7169">
        <w:rPr>
          <w:rFonts w:asciiTheme="minorHAnsi" w:hAnsiTheme="minorHAnsi"/>
        </w:rPr>
        <w:t xml:space="preserve">Uncertainty around the cost-effectiveness ratios was estimated by bootstrapping and analysing the cost-effectiveness planes. </w:t>
      </w:r>
    </w:p>
    <w:p w14:paraId="506E647D" w14:textId="11101995" w:rsidR="00A907DC" w:rsidRDefault="007C7AF1" w:rsidP="00721D95">
      <w:r>
        <w:rPr>
          <w:rStyle w:val="Heading2Char"/>
          <w:rFonts w:asciiTheme="minorHAnsi" w:hAnsiTheme="minorHAnsi"/>
        </w:rPr>
        <w:t>Results</w:t>
      </w:r>
      <w:r w:rsidR="00983217" w:rsidRPr="00CA5695">
        <w:rPr>
          <w:rFonts w:asciiTheme="minorHAnsi" w:hAnsiTheme="minorHAnsi"/>
        </w:rPr>
        <w:t xml:space="preserve"> </w:t>
      </w:r>
      <w:r w:rsidR="00F67BD1">
        <w:rPr>
          <w:rFonts w:asciiTheme="minorHAnsi" w:hAnsiTheme="minorHAnsi"/>
        </w:rPr>
        <w:t>52</w:t>
      </w:r>
      <w:r w:rsidR="00444E22">
        <w:rPr>
          <w:rFonts w:asciiTheme="minorHAnsi" w:hAnsiTheme="minorHAnsi"/>
        </w:rPr>
        <w:t xml:space="preserve"> patients received the intervention and </w:t>
      </w:r>
      <w:r w:rsidR="00F67BD1">
        <w:rPr>
          <w:rFonts w:asciiTheme="minorHAnsi" w:hAnsiTheme="minorHAnsi"/>
        </w:rPr>
        <w:t>48</w:t>
      </w:r>
      <w:r w:rsidR="00444E22">
        <w:rPr>
          <w:rFonts w:asciiTheme="minorHAnsi" w:hAnsiTheme="minorHAnsi"/>
        </w:rPr>
        <w:t xml:space="preserve"> usual care. </w:t>
      </w:r>
      <w:r>
        <w:t>The difference in mean cost per case indicated that the interventi</w:t>
      </w:r>
      <w:r w:rsidR="007B174D">
        <w:t>on was £263 more expensive (</w:t>
      </w:r>
      <w:r w:rsidR="00DF0736">
        <w:rPr>
          <w:rFonts w:ascii="Arial" w:hAnsi="Arial"/>
          <w:color w:val="000000"/>
          <w:sz w:val="21"/>
          <w:szCs w:val="21"/>
          <w:shd w:val="clear" w:color="auto" w:fill="FFFFFF"/>
        </w:rPr>
        <w:t>P &lt; 0.001;</w:t>
      </w:r>
      <w:r w:rsidR="00DF0736">
        <w:t xml:space="preserve"> </w:t>
      </w:r>
      <w:r w:rsidR="007B174D">
        <w:t>95%</w:t>
      </w:r>
      <w:r>
        <w:t xml:space="preserve">CI </w:t>
      </w:r>
      <w:r w:rsidR="001344E9">
        <w:t>£</w:t>
      </w:r>
      <w:r w:rsidR="007B174D">
        <w:t>149.14-</w:t>
      </w:r>
      <w:r w:rsidR="001344E9">
        <w:t>£375.86</w:t>
      </w:r>
      <w:r>
        <w:t>) when the helpline costs were acc</w:t>
      </w:r>
      <w:r w:rsidR="007B174D">
        <w:t>ounted for and £94 cheaper (</w:t>
      </w:r>
      <w:r w:rsidR="00DF0736">
        <w:rPr>
          <w:rFonts w:ascii="Arial" w:hAnsi="Arial"/>
          <w:color w:val="000000"/>
          <w:sz w:val="21"/>
          <w:szCs w:val="21"/>
          <w:shd w:val="clear" w:color="auto" w:fill="FFFFFF"/>
        </w:rPr>
        <w:t>(P = 0.08;</w:t>
      </w:r>
      <w:r w:rsidR="00DF0736">
        <w:t xml:space="preserve"> </w:t>
      </w:r>
      <w:r w:rsidR="007B174D">
        <w:lastRenderedPageBreak/>
        <w:t>95%</w:t>
      </w:r>
      <w:r>
        <w:t>CI -£</w:t>
      </w:r>
      <w:r w:rsidR="001344E9">
        <w:t>199.26</w:t>
      </w:r>
      <w:r w:rsidR="007B174D">
        <w:t>-</w:t>
      </w:r>
      <w:r w:rsidR="001344E9">
        <w:t>£10.41</w:t>
      </w:r>
      <w:r>
        <w:t>) when these costs were absorbed by the usual service.</w:t>
      </w:r>
      <w:r w:rsidRPr="007C7AF1">
        <w:t xml:space="preserve"> </w:t>
      </w:r>
      <w:r w:rsidR="001344E9">
        <w:t>These differences were however not statistically significant. There were however, statistically significant savings for the patient (</w:t>
      </w:r>
      <w:r w:rsidR="001344E9" w:rsidRPr="001344E9">
        <w:rPr>
          <w:i/>
        </w:rPr>
        <w:t>p</w:t>
      </w:r>
      <w:r w:rsidR="007B174D">
        <w:t xml:space="preserve"> = 0.02; 95%CI -£28.98-</w:t>
      </w:r>
      <w:r w:rsidR="001344E9" w:rsidRPr="001344E9">
        <w:t>-£3.00</w:t>
      </w:r>
      <w:r w:rsidR="001344E9">
        <w:t xml:space="preserve">). </w:t>
      </w:r>
      <w:r>
        <w:t xml:space="preserve">When costs and </w:t>
      </w:r>
      <w:r w:rsidR="00D117ED">
        <w:t>effectiveness measures of ESR and quality of life measured, using the SF-12v1,</w:t>
      </w:r>
      <w:r>
        <w:t xml:space="preserve"> were combined this did not show the patient-initiated service to be cost-effective at a statistically significant level.</w:t>
      </w:r>
      <w:r w:rsidR="001344E9">
        <w:t xml:space="preserve"> </w:t>
      </w:r>
    </w:p>
    <w:p w14:paraId="418FEC91" w14:textId="77777777" w:rsidR="00B10B2A" w:rsidRDefault="00A907DC" w:rsidP="00B10B2A">
      <w:r w:rsidRPr="007C7AF1">
        <w:rPr>
          <w:b/>
        </w:rPr>
        <w:lastRenderedPageBreak/>
        <w:t>Conclusions</w:t>
      </w:r>
      <w:r w:rsidR="00983217" w:rsidRPr="00CA5695">
        <w:t xml:space="preserve"> </w:t>
      </w:r>
      <w:r w:rsidR="007C7AF1">
        <w:t>This</w:t>
      </w:r>
      <w:r w:rsidR="007C7AF1" w:rsidRPr="0051640A">
        <w:t xml:space="preserve"> patient-initiated service </w:t>
      </w:r>
      <w:r w:rsidR="007C7AF1">
        <w:t>led</w:t>
      </w:r>
      <w:r w:rsidR="009F2F4A">
        <w:t xml:space="preserve"> to</w:t>
      </w:r>
      <w:r w:rsidR="007C7AF1" w:rsidRPr="0051640A">
        <w:t xml:space="preserve"> reductions in primary and</w:t>
      </w:r>
      <w:r w:rsidR="008E6B6D">
        <w:t xml:space="preserve"> secondary healthcare services that </w:t>
      </w:r>
      <w:r w:rsidR="007C7AF1">
        <w:t>translated into red</w:t>
      </w:r>
      <w:r w:rsidR="008E6B6D">
        <w:t xml:space="preserve">uced costs, </w:t>
      </w:r>
      <w:r w:rsidR="007C7AF1">
        <w:t>in comparison to usual care</w:t>
      </w:r>
      <w:r w:rsidR="008E6B6D">
        <w:t>,</w:t>
      </w:r>
      <w:r w:rsidR="007C7AF1">
        <w:t xml:space="preserve"> but were not cost-effective. Further work is needed to establish how nurse-led telephone triage services are integrated into rheumatology services and the associated costs of setting up and delivering them. </w:t>
      </w:r>
    </w:p>
    <w:p w14:paraId="78DDF7E8" w14:textId="514AE715" w:rsidR="008F146E" w:rsidRPr="00B10B2A" w:rsidRDefault="008F146E" w:rsidP="00B10B2A">
      <w:pPr>
        <w:rPr>
          <w:b/>
        </w:rPr>
      </w:pPr>
      <w:r w:rsidRPr="00B10B2A">
        <w:rPr>
          <w:b/>
        </w:rPr>
        <w:t>Clinical trial registration number</w:t>
      </w:r>
      <w:r w:rsidR="00216151" w:rsidRPr="00B10B2A">
        <w:rPr>
          <w:b/>
        </w:rPr>
        <w:t xml:space="preserve"> </w:t>
      </w:r>
      <w:r w:rsidR="00BB34A7" w:rsidRPr="00B10B2A">
        <w:rPr>
          <w:rFonts w:asciiTheme="minorHAnsi" w:eastAsiaTheme="majorEastAsia" w:hAnsiTheme="minorHAnsi" w:cstheme="majorBidi"/>
          <w:bCs/>
          <w:szCs w:val="26"/>
        </w:rPr>
        <w:t>ISRCTN21613721</w:t>
      </w:r>
    </w:p>
    <w:p w14:paraId="61CA92CE" w14:textId="34C395B7" w:rsidR="00B24CDB" w:rsidRDefault="007718DA" w:rsidP="00FD60E8">
      <w:pPr>
        <w:pStyle w:val="Caption"/>
        <w:spacing w:line="480" w:lineRule="auto"/>
      </w:pPr>
      <w:r>
        <w:lastRenderedPageBreak/>
        <w:t>K</w:t>
      </w:r>
      <w:r w:rsidR="00F97F99" w:rsidRPr="0049705D">
        <w:t>eywords</w:t>
      </w:r>
      <w:r w:rsidR="00F97F99">
        <w:t xml:space="preserve"> </w:t>
      </w:r>
      <w:r w:rsidR="00F97F99" w:rsidRPr="00F97F99">
        <w:rPr>
          <w:rFonts w:eastAsiaTheme="majorEastAsia" w:cstheme="majorBidi"/>
          <w:b w:val="0"/>
          <w:bCs w:val="0"/>
          <w:szCs w:val="26"/>
          <w:lang w:eastAsia="zh-CN"/>
        </w:rPr>
        <w:t xml:space="preserve">rheumatoid arthritis, psoriatic arthritis, </w:t>
      </w:r>
      <w:r w:rsidR="00312DEB">
        <w:rPr>
          <w:rFonts w:eastAsiaTheme="majorEastAsia" w:cstheme="majorBidi"/>
          <w:b w:val="0"/>
          <w:bCs w:val="0"/>
          <w:szCs w:val="26"/>
          <w:lang w:eastAsia="zh-CN"/>
        </w:rPr>
        <w:t>economic evaluation, health-services research</w:t>
      </w:r>
      <w:r w:rsidR="00F97F99" w:rsidRPr="00F97F99">
        <w:rPr>
          <w:rFonts w:eastAsiaTheme="majorEastAsia" w:cstheme="majorBidi"/>
          <w:b w:val="0"/>
          <w:bCs w:val="0"/>
          <w:szCs w:val="26"/>
          <w:lang w:eastAsia="zh-CN"/>
        </w:rPr>
        <w:t xml:space="preserve"> </w:t>
      </w:r>
    </w:p>
    <w:p w14:paraId="0AEC6CA6" w14:textId="2B966D01" w:rsidR="00B24CDB" w:rsidRPr="00FD60E8" w:rsidRDefault="00B24CDB" w:rsidP="00B24CDB">
      <w:pPr>
        <w:rPr>
          <w:b/>
        </w:rPr>
      </w:pPr>
      <w:r w:rsidRPr="00FD60E8">
        <w:rPr>
          <w:b/>
        </w:rPr>
        <w:t>Key messages</w:t>
      </w:r>
      <w:r w:rsidR="00B10B2A" w:rsidRPr="00FD60E8">
        <w:rPr>
          <w:b/>
        </w:rPr>
        <w:t>:</w:t>
      </w:r>
    </w:p>
    <w:p w14:paraId="41CAB48B" w14:textId="2E87DB08" w:rsidR="00443A2A" w:rsidRDefault="00683BA0" w:rsidP="00FD60E8">
      <w:pPr>
        <w:pStyle w:val="ListParagraph"/>
        <w:numPr>
          <w:ilvl w:val="0"/>
          <w:numId w:val="21"/>
        </w:numPr>
        <w:ind w:left="357" w:hanging="357"/>
      </w:pPr>
      <w:r>
        <w:t>P</w:t>
      </w:r>
      <w:r w:rsidR="00505FC0">
        <w:t>atient-initiated services have the potential to be cost-saving</w:t>
      </w:r>
      <w:r>
        <w:t>, for the health service and patients</w:t>
      </w:r>
    </w:p>
    <w:p w14:paraId="22823D0B" w14:textId="71991BC5" w:rsidR="00B24CDB" w:rsidRDefault="00683BA0" w:rsidP="00FD60E8">
      <w:pPr>
        <w:pStyle w:val="ListParagraph"/>
        <w:numPr>
          <w:ilvl w:val="0"/>
          <w:numId w:val="21"/>
        </w:numPr>
        <w:ind w:left="357" w:hanging="357"/>
      </w:pPr>
      <w:r>
        <w:t xml:space="preserve">When combined with </w:t>
      </w:r>
      <w:r w:rsidR="002C3481">
        <w:t xml:space="preserve">quality of life and </w:t>
      </w:r>
      <w:r w:rsidR="001C76D5">
        <w:t>disease activity</w:t>
      </w:r>
      <w:r w:rsidR="00332408">
        <w:t xml:space="preserve"> data, patient-initiated services </w:t>
      </w:r>
      <w:r w:rsidR="001C76D5">
        <w:t>were</w:t>
      </w:r>
      <w:r w:rsidR="00560ADB">
        <w:t xml:space="preserve"> </w:t>
      </w:r>
      <w:r w:rsidR="00332408">
        <w:t xml:space="preserve">not </w:t>
      </w:r>
      <w:r w:rsidR="0097101F">
        <w:t>cost-effective</w:t>
      </w:r>
    </w:p>
    <w:p w14:paraId="27596D7B" w14:textId="3F3636A0" w:rsidR="00332408" w:rsidRDefault="00021517" w:rsidP="00FD60E8">
      <w:pPr>
        <w:pStyle w:val="ListParagraph"/>
        <w:numPr>
          <w:ilvl w:val="0"/>
          <w:numId w:val="21"/>
        </w:numPr>
        <w:ind w:left="357" w:hanging="357"/>
      </w:pPr>
      <w:r>
        <w:lastRenderedPageBreak/>
        <w:t>T</w:t>
      </w:r>
      <w:r w:rsidR="00433C9E" w:rsidRPr="00433C9E">
        <w:t xml:space="preserve">he integration and costs of delivering nurse-led telephone triage services </w:t>
      </w:r>
      <w:r>
        <w:t>need further investigation</w:t>
      </w:r>
      <w:r w:rsidR="00433C9E" w:rsidRPr="00433C9E">
        <w:t xml:space="preserve"> </w:t>
      </w:r>
    </w:p>
    <w:p w14:paraId="357E7882" w14:textId="77777777" w:rsidR="00332408" w:rsidRDefault="00332408" w:rsidP="00332408"/>
    <w:p w14:paraId="5470150F" w14:textId="39315B0B" w:rsidR="00332408" w:rsidRPr="00B24CDB" w:rsidRDefault="00332408" w:rsidP="00332408">
      <w:pPr>
        <w:sectPr w:rsidR="00332408" w:rsidRPr="00B24CDB" w:rsidSect="007669F0">
          <w:footerReference w:type="default" r:id="rId13"/>
          <w:pgSz w:w="11906" w:h="16838"/>
          <w:pgMar w:top="1440" w:right="1440" w:bottom="1440" w:left="1440" w:header="708" w:footer="708" w:gutter="0"/>
          <w:cols w:space="708"/>
          <w:docGrid w:linePitch="360"/>
        </w:sectPr>
      </w:pPr>
    </w:p>
    <w:p w14:paraId="66BE1E79" w14:textId="47243E1F" w:rsidR="0051640A" w:rsidRPr="0051640A" w:rsidRDefault="0051640A" w:rsidP="0051640A">
      <w:pPr>
        <w:pStyle w:val="Heading1"/>
      </w:pPr>
      <w:r w:rsidRPr="0051640A">
        <w:lastRenderedPageBreak/>
        <w:t>INTRODUCTION</w:t>
      </w:r>
    </w:p>
    <w:p w14:paraId="26A3FE1F" w14:textId="332642E0" w:rsidR="0051640A" w:rsidRPr="0051640A" w:rsidRDefault="00657EC9" w:rsidP="0051640A">
      <w:r>
        <w:t>The i</w:t>
      </w:r>
      <w:r w:rsidRPr="0051640A">
        <w:t>ncreasing</w:t>
      </w:r>
      <w:r w:rsidR="0051640A" w:rsidRPr="0051640A">
        <w:t xml:space="preserve"> complexity of drug treatments and more intensive monitoring regimes</w:t>
      </w:r>
      <w:r>
        <w:t xml:space="preserve"> have</w:t>
      </w:r>
      <w:r w:rsidR="008E6801">
        <w:t>,</w:t>
      </w:r>
      <w:r>
        <w:t xml:space="preserve"> in part</w:t>
      </w:r>
      <w:r w:rsidR="008E6801">
        <w:t>,</w:t>
      </w:r>
      <w:r>
        <w:t xml:space="preserve"> led to </w:t>
      </w:r>
      <w:r w:rsidR="008E6801">
        <w:t>a huge</w:t>
      </w:r>
      <w:r w:rsidRPr="0051640A">
        <w:t xml:space="preserve"> </w:t>
      </w:r>
      <w:r>
        <w:t>grow</w:t>
      </w:r>
      <w:r w:rsidR="008E6801">
        <w:t>th</w:t>
      </w:r>
      <w:r w:rsidRPr="0051640A">
        <w:t xml:space="preserve"> </w:t>
      </w:r>
      <w:r w:rsidR="008E6801">
        <w:t xml:space="preserve">in the </w:t>
      </w:r>
      <w:r w:rsidRPr="0051640A">
        <w:t>nu</w:t>
      </w:r>
      <w:r>
        <w:t>mbers of patients with arthritis</w:t>
      </w:r>
      <w:r w:rsidR="008E6801">
        <w:t xml:space="preserve"> in follow-up clinics</w:t>
      </w:r>
      <w:r w:rsidR="004A5F59">
        <w:t xml:space="preserve"> </w:t>
      </w:r>
      <w:r w:rsidR="00DC6FD1">
        <w:t>[1</w:t>
      </w:r>
      <w:r w:rsidR="0051640A" w:rsidRPr="002A4108">
        <w:t>]</w:t>
      </w:r>
      <w:r w:rsidR="004A5F59">
        <w:t>.</w:t>
      </w:r>
      <w:r w:rsidR="0051640A" w:rsidRPr="0051640A">
        <w:t xml:space="preserve"> The </w:t>
      </w:r>
      <w:r w:rsidR="008E6801">
        <w:t>birth of the rheumatology</w:t>
      </w:r>
      <w:r w:rsidR="0051640A" w:rsidRPr="0051640A">
        <w:t xml:space="preserve"> nurse</w:t>
      </w:r>
      <w:r w:rsidR="008E6801">
        <w:t xml:space="preserve"> specialist</w:t>
      </w:r>
      <w:r w:rsidR="0051640A" w:rsidRPr="0051640A">
        <w:t xml:space="preserve"> </w:t>
      </w:r>
      <w:r w:rsidR="008E6801">
        <w:t xml:space="preserve">and nurse-led </w:t>
      </w:r>
      <w:r w:rsidR="0051640A" w:rsidRPr="0051640A">
        <w:t xml:space="preserve">care reduced some of this demand and </w:t>
      </w:r>
      <w:r w:rsidR="008E6801">
        <w:t xml:space="preserve">is equally as effective and cost-effective </w:t>
      </w:r>
      <w:r w:rsidR="0051640A" w:rsidRPr="0051640A">
        <w:t>a</w:t>
      </w:r>
      <w:r w:rsidR="004C1C23">
        <w:t xml:space="preserve">s rheumatologist-led </w:t>
      </w:r>
      <w:r w:rsidR="008E6801">
        <w:t>care</w:t>
      </w:r>
      <w:r w:rsidR="004A5F59">
        <w:t xml:space="preserve"> </w:t>
      </w:r>
      <w:r w:rsidR="004C1C23">
        <w:t>[</w:t>
      </w:r>
      <w:r w:rsidR="00DC6FD1">
        <w:t>2-3</w:t>
      </w:r>
      <w:r w:rsidR="0051640A" w:rsidRPr="0051640A">
        <w:t>]</w:t>
      </w:r>
      <w:r w:rsidR="004A5F59">
        <w:t>.</w:t>
      </w:r>
      <w:r w:rsidR="0051640A" w:rsidRPr="0051640A">
        <w:t xml:space="preserve"> Despite this, the monitoring requirements remain burdensome for both the health system and patients, with increased waiting times for new referrals and lack of </w:t>
      </w:r>
      <w:r w:rsidR="0051640A" w:rsidRPr="0051640A">
        <w:lastRenderedPageBreak/>
        <w:t xml:space="preserve">availability of urgent appointments for established patients. </w:t>
      </w:r>
      <w:r w:rsidR="003E34D0">
        <w:t>In the UK</w:t>
      </w:r>
      <w:r w:rsidR="004A5F59">
        <w:t xml:space="preserve"> </w:t>
      </w:r>
      <w:r w:rsidR="00E46AD6" w:rsidRPr="00E37956">
        <w:t>[</w:t>
      </w:r>
      <w:r w:rsidR="000E1400" w:rsidRPr="00E37956">
        <w:t>4</w:t>
      </w:r>
      <w:r w:rsidR="00E46AD6" w:rsidRPr="00E37956">
        <w:t>]</w:t>
      </w:r>
      <w:r w:rsidR="0051640A" w:rsidRPr="00E37956">
        <w:t xml:space="preserve"> </w:t>
      </w:r>
      <w:r w:rsidR="008E6801" w:rsidRPr="00E37956">
        <w:t xml:space="preserve">two-thirds </w:t>
      </w:r>
      <w:r w:rsidR="0051640A" w:rsidRPr="00E37956">
        <w:t xml:space="preserve">of healthcare trusts were unable to offer </w:t>
      </w:r>
      <w:r w:rsidR="00FB5171" w:rsidRPr="00E37956">
        <w:t>rheumatoid arthritis</w:t>
      </w:r>
      <w:r w:rsidR="0051640A" w:rsidRPr="00E37956">
        <w:t xml:space="preserve"> patients a timely follow-up appointment. Even when these appointments do occur, 30% lead to no investigation or other actions, 35% are seen to be problem free by rheumatologists and 42% comp</w:t>
      </w:r>
      <w:r w:rsidR="004D41CF">
        <w:t>letely unnecessar</w:t>
      </w:r>
      <w:r w:rsidR="004A5F59">
        <w:t xml:space="preserve">y </w:t>
      </w:r>
      <w:r w:rsidR="0051640A" w:rsidRPr="00E37956">
        <w:t>[</w:t>
      </w:r>
      <w:r w:rsidR="000E1400" w:rsidRPr="00E37956">
        <w:t>5</w:t>
      </w:r>
      <w:r w:rsidR="0051640A" w:rsidRPr="00E37956">
        <w:t>]</w:t>
      </w:r>
      <w:r w:rsidR="004A5F59">
        <w:t>.</w:t>
      </w:r>
      <w:r w:rsidR="0051640A" w:rsidRPr="0051640A">
        <w:t xml:space="preserve"> As a result, the focus is now on reducing unnecessary outpatient and follow-up appointments altogether, rath</w:t>
      </w:r>
      <w:r w:rsidR="004D41CF">
        <w:t>er than simply redirecting care</w:t>
      </w:r>
      <w:r w:rsidR="004A5F59">
        <w:t xml:space="preserve"> </w:t>
      </w:r>
      <w:r w:rsidR="0051640A">
        <w:t>[</w:t>
      </w:r>
      <w:r w:rsidR="000E1400">
        <w:t>6</w:t>
      </w:r>
      <w:r w:rsidR="0051640A" w:rsidRPr="0051640A">
        <w:t>]</w:t>
      </w:r>
      <w:r w:rsidR="004A5F59">
        <w:t>.</w:t>
      </w:r>
    </w:p>
    <w:p w14:paraId="7C58AFE5" w14:textId="77777777" w:rsidR="0051640A" w:rsidRPr="0051640A" w:rsidRDefault="0051640A" w:rsidP="0051640A"/>
    <w:p w14:paraId="7160CCB7" w14:textId="1058AA87" w:rsidR="0051640A" w:rsidRPr="0051640A" w:rsidRDefault="0051640A" w:rsidP="0051640A">
      <w:r w:rsidRPr="0051640A">
        <w:lastRenderedPageBreak/>
        <w:t xml:space="preserve">One way in which this </w:t>
      </w:r>
      <w:r w:rsidR="00E37956">
        <w:t>could</w:t>
      </w:r>
      <w:r w:rsidRPr="0051640A">
        <w:t xml:space="preserve"> be achieved is through the use of patient-initiated services, in which patients are encouraged to take an active role in initiating their own care. This approach is supported by over</w:t>
      </w:r>
      <w:r w:rsidR="0092096B">
        <w:t xml:space="preserve"> 40% of patients with arthritis</w:t>
      </w:r>
      <w:r w:rsidRPr="0051640A">
        <w:t xml:space="preserve"> who feel they should be able to decide how frequently they need a check-up</w:t>
      </w:r>
      <w:r w:rsidR="00D22028">
        <w:t xml:space="preserve"> </w:t>
      </w:r>
      <w:r w:rsidR="00DC6FD1">
        <w:t>[</w:t>
      </w:r>
      <w:r w:rsidR="000E1400">
        <w:t>7</w:t>
      </w:r>
      <w:r w:rsidRPr="0051640A">
        <w:t>] and want to</w:t>
      </w:r>
      <w:r w:rsidR="00E37956">
        <w:t xml:space="preserve"> take responsibility for organis</w:t>
      </w:r>
      <w:r w:rsidRPr="0051640A">
        <w:t>ing their ow</w:t>
      </w:r>
      <w:r w:rsidR="004D41CF">
        <w:t xml:space="preserve">n </w:t>
      </w:r>
      <w:r w:rsidR="00D117ED" w:rsidRPr="00D117ED">
        <w:t>diseas</w:t>
      </w:r>
      <w:r w:rsidR="00D117ED">
        <w:t>e modifying anti-rheumatic drug</w:t>
      </w:r>
      <w:r w:rsidR="00D117ED" w:rsidRPr="00D117ED">
        <w:t xml:space="preserve"> </w:t>
      </w:r>
      <w:r w:rsidR="00D117ED">
        <w:t>(</w:t>
      </w:r>
      <w:r w:rsidR="004D41CF">
        <w:t>DMARD</w:t>
      </w:r>
      <w:r w:rsidR="00D117ED">
        <w:t>)</w:t>
      </w:r>
      <w:r w:rsidR="004D41CF">
        <w:t xml:space="preserve"> monitoring appointments</w:t>
      </w:r>
      <w:r w:rsidR="00D22028">
        <w:t xml:space="preserve"> </w:t>
      </w:r>
      <w:r w:rsidR="00DC6FD1">
        <w:t>[</w:t>
      </w:r>
      <w:r w:rsidR="000E1400">
        <w:t>8</w:t>
      </w:r>
      <w:r w:rsidRPr="0051640A">
        <w:t>]</w:t>
      </w:r>
      <w:r w:rsidR="00D22028">
        <w:t>.</w:t>
      </w:r>
      <w:r w:rsidRPr="0051640A">
        <w:t xml:space="preserve"> Whilst the traditional rheumatology system assumes that patients need to be </w:t>
      </w:r>
      <w:r w:rsidRPr="0051640A">
        <w:lastRenderedPageBreak/>
        <w:t>seen on a regular basis</w:t>
      </w:r>
      <w:r w:rsidR="00E46AD6">
        <w:t>,</w:t>
      </w:r>
      <w:r w:rsidRPr="0051640A">
        <w:t xml:space="preserve"> as decided by clinicians, patient-initiated services allow the patient to access rheumatology services much like they do in primary care. A recent systematic review</w:t>
      </w:r>
      <w:r w:rsidR="00D22028">
        <w:t xml:space="preserve"> </w:t>
      </w:r>
      <w:r w:rsidR="00DC6FD1">
        <w:t>[</w:t>
      </w:r>
      <w:r w:rsidR="000E1400">
        <w:t>9</w:t>
      </w:r>
      <w:r w:rsidRPr="0051640A">
        <w:t>] concluded that UK policy is eager for evidence-based patient-initiated services to be implemented and evaluated qualitatively and quantitatively so that the time of both patients and healthcare professionals is not wasted and costs can be minimised. The trials reported wi</w:t>
      </w:r>
      <w:r w:rsidR="004C1C23">
        <w:t xml:space="preserve">thin this </w:t>
      </w:r>
      <w:r w:rsidR="00EC4EC3">
        <w:t xml:space="preserve">systematic </w:t>
      </w:r>
      <w:r w:rsidR="004C1C23">
        <w:t>review</w:t>
      </w:r>
      <w:r w:rsidR="00D22028">
        <w:t xml:space="preserve"> </w:t>
      </w:r>
      <w:r w:rsidR="004C1C23">
        <w:t>[</w:t>
      </w:r>
      <w:r w:rsidR="000E1400">
        <w:t>10-13</w:t>
      </w:r>
      <w:r w:rsidRPr="0051640A">
        <w:t>]</w:t>
      </w:r>
      <w:r w:rsidR="003E34D0">
        <w:t xml:space="preserve"> and subsequent evaluations</w:t>
      </w:r>
      <w:r w:rsidR="00D22028">
        <w:t xml:space="preserve"> </w:t>
      </w:r>
      <w:r w:rsidR="004C1C23">
        <w:t>[</w:t>
      </w:r>
      <w:r w:rsidR="00430EAE">
        <w:t>14-21</w:t>
      </w:r>
      <w:r w:rsidR="003609A1">
        <w:t xml:space="preserve">] </w:t>
      </w:r>
      <w:r w:rsidRPr="0051640A">
        <w:t xml:space="preserve">have found that patients with arthritis are able to appropriately self-refer, and that </w:t>
      </w:r>
      <w:r w:rsidRPr="0051640A">
        <w:lastRenderedPageBreak/>
        <w:t>despite reducing hospit</w:t>
      </w:r>
      <w:r w:rsidR="00E46AD6">
        <w:t>al appointments, the clinical and</w:t>
      </w:r>
      <w:r w:rsidRPr="0051640A">
        <w:t xml:space="preserve"> psychological well-being of patients is not compromised. </w:t>
      </w:r>
    </w:p>
    <w:p w14:paraId="299A714F" w14:textId="77777777" w:rsidR="0051640A" w:rsidRPr="0051640A" w:rsidRDefault="0051640A" w:rsidP="0051640A"/>
    <w:p w14:paraId="24F99BAC" w14:textId="4AC15065" w:rsidR="0051640A" w:rsidRPr="0051640A" w:rsidRDefault="00FC4C54" w:rsidP="0051640A">
      <w:r>
        <w:t>The</w:t>
      </w:r>
      <w:r w:rsidR="00892EDD">
        <w:t xml:space="preserve"> </w:t>
      </w:r>
      <w:r>
        <w:t xml:space="preserve">findings in relation to the </w:t>
      </w:r>
      <w:r w:rsidR="00892EDD">
        <w:t>cost</w:t>
      </w:r>
      <w:r>
        <w:t xml:space="preserve">s </w:t>
      </w:r>
      <w:r w:rsidR="00892EDD">
        <w:t>of this</w:t>
      </w:r>
      <w:r w:rsidR="0051640A" w:rsidRPr="0051640A">
        <w:t xml:space="preserve"> model of care</w:t>
      </w:r>
      <w:r>
        <w:t xml:space="preserve"> are </w:t>
      </w:r>
      <w:r w:rsidR="006A589B">
        <w:t xml:space="preserve">however </w:t>
      </w:r>
      <w:r>
        <w:t>less clear, with costs in primary care potentially increasing</w:t>
      </w:r>
      <w:r w:rsidR="003E34D0">
        <w:t>,</w:t>
      </w:r>
      <w:r>
        <w:t xml:space="preserve"> but </w:t>
      </w:r>
      <w:r w:rsidR="00DC6FD1">
        <w:t>d</w:t>
      </w:r>
      <w:r w:rsidR="004D41CF">
        <w:t>ecreasing in secondary care</w:t>
      </w:r>
      <w:r w:rsidR="00D22028">
        <w:t xml:space="preserve"> </w:t>
      </w:r>
      <w:r w:rsidR="00DC6FD1">
        <w:t>[</w:t>
      </w:r>
      <w:r w:rsidR="000E1400">
        <w:t>9</w:t>
      </w:r>
      <w:r w:rsidR="004D41CF">
        <w:t>]</w:t>
      </w:r>
      <w:r w:rsidR="00D22028">
        <w:t>.</w:t>
      </w:r>
      <w:r>
        <w:t xml:space="preserve"> The only trial in rheumatology to e</w:t>
      </w:r>
      <w:r w:rsidRPr="00FC4C54">
        <w:t>stimate the costs of</w:t>
      </w:r>
      <w:r w:rsidR="003E34D0">
        <w:t xml:space="preserve"> a patient-initiated service</w:t>
      </w:r>
      <w:r w:rsidR="00D22028">
        <w:t xml:space="preserve"> </w:t>
      </w:r>
      <w:r w:rsidR="00DC6FD1">
        <w:t>[</w:t>
      </w:r>
      <w:r w:rsidR="000E1400">
        <w:t>10</w:t>
      </w:r>
      <w:r w:rsidRPr="00FC4C54">
        <w:t xml:space="preserve">] </w:t>
      </w:r>
      <w:r w:rsidRPr="00FC4C54">
        <w:rPr>
          <w:lang w:val="en"/>
        </w:rPr>
        <w:t xml:space="preserve">found </w:t>
      </w:r>
      <w:r w:rsidRPr="00FC4C54">
        <w:rPr>
          <w:lang w:val="en"/>
        </w:rPr>
        <w:lastRenderedPageBreak/>
        <w:t>that the intervention significantly reduced costs to the NHS over one year (£208 per patient per year) in comparison to usual follo</w:t>
      </w:r>
      <w:r>
        <w:rPr>
          <w:lang w:val="en"/>
        </w:rPr>
        <w:t>w up (£313 per patient per year</w:t>
      </w:r>
      <w:r w:rsidRPr="00FC4C54">
        <w:rPr>
          <w:lang w:val="en"/>
        </w:rPr>
        <w:t>).</w:t>
      </w:r>
      <w:r>
        <w:rPr>
          <w:lang w:val="en"/>
        </w:rPr>
        <w:t xml:space="preserve"> The study however, failed to</w:t>
      </w:r>
      <w:r w:rsidR="007A0F1F">
        <w:rPr>
          <w:lang w:val="en"/>
        </w:rPr>
        <w:t xml:space="preserve"> a</w:t>
      </w:r>
      <w:r>
        <w:rPr>
          <w:lang w:val="en"/>
        </w:rPr>
        <w:t xml:space="preserve">ccount </w:t>
      </w:r>
      <w:r w:rsidR="007A0F1F">
        <w:rPr>
          <w:lang w:val="en"/>
        </w:rPr>
        <w:t>for the cost</w:t>
      </w:r>
      <w:r w:rsidR="0092096B">
        <w:rPr>
          <w:lang w:val="en"/>
        </w:rPr>
        <w:t xml:space="preserve">s of running the nurse helpline, an integral part of any patient-initiated service, </w:t>
      </w:r>
      <w:r w:rsidR="007A0F1F">
        <w:rPr>
          <w:lang w:val="en"/>
        </w:rPr>
        <w:t xml:space="preserve">and compare these with the relative effects.  </w:t>
      </w:r>
    </w:p>
    <w:p w14:paraId="16D5E343" w14:textId="77777777" w:rsidR="0051640A" w:rsidRPr="0051640A" w:rsidRDefault="0051640A" w:rsidP="0051640A"/>
    <w:p w14:paraId="267C49A6" w14:textId="60819E8A" w:rsidR="0051640A" w:rsidRPr="0051640A" w:rsidRDefault="0051640A" w:rsidP="0051640A">
      <w:r w:rsidRPr="0051640A">
        <w:lastRenderedPageBreak/>
        <w:t xml:space="preserve">The aim of this study is therefore to determine </w:t>
      </w:r>
      <w:r w:rsidR="00C44180">
        <w:t>whether a</w:t>
      </w:r>
      <w:r w:rsidRPr="0051640A">
        <w:t xml:space="preserve"> patient-initiated </w:t>
      </w:r>
      <w:r w:rsidR="00B639B6">
        <w:t xml:space="preserve">DMARD </w:t>
      </w:r>
      <w:r w:rsidRPr="0051640A">
        <w:t>sel</w:t>
      </w:r>
      <w:r w:rsidR="007A0F1F">
        <w:t>f-monitoring follow-up service</w:t>
      </w:r>
      <w:r w:rsidR="00C566DF">
        <w:t xml:space="preserve"> </w:t>
      </w:r>
      <w:r w:rsidR="007A0F1F">
        <w:t xml:space="preserve">found to </w:t>
      </w:r>
      <w:r w:rsidR="00D117ED">
        <w:t xml:space="preserve">be </w:t>
      </w:r>
      <w:r w:rsidR="007A0F1F">
        <w:t>effective in reducing resources without compr</w:t>
      </w:r>
      <w:r w:rsidR="00C566DF">
        <w:t>om</w:t>
      </w:r>
      <w:r w:rsidR="007A0F1F">
        <w:t>ising clinical</w:t>
      </w:r>
      <w:r w:rsidR="004D41CF">
        <w:t xml:space="preserve"> or psychological well-being</w:t>
      </w:r>
      <w:r w:rsidR="00D22028">
        <w:t xml:space="preserve"> </w:t>
      </w:r>
      <w:r w:rsidR="00DC6FD1">
        <w:t>[</w:t>
      </w:r>
      <w:r w:rsidR="000E1400">
        <w:t>21</w:t>
      </w:r>
      <w:r w:rsidR="007A0F1F">
        <w:t>]</w:t>
      </w:r>
      <w:r w:rsidR="00D22028">
        <w:t>,</w:t>
      </w:r>
      <w:r w:rsidR="007A0F1F">
        <w:t xml:space="preserve"> </w:t>
      </w:r>
      <w:r w:rsidR="00FB5171">
        <w:t>is cost-effective</w:t>
      </w:r>
      <w:r w:rsidR="00C44180">
        <w:t xml:space="preserve"> </w:t>
      </w:r>
      <w:r w:rsidRPr="0051640A">
        <w:t>in comparison to treatment as usual.</w:t>
      </w:r>
    </w:p>
    <w:p w14:paraId="092223A6" w14:textId="77777777" w:rsidR="0051640A" w:rsidRPr="0051640A" w:rsidRDefault="0051640A" w:rsidP="00C41DC8">
      <w:pPr>
        <w:pStyle w:val="Heading1"/>
      </w:pPr>
      <w:r w:rsidRPr="0051640A">
        <w:lastRenderedPageBreak/>
        <w:t>METHODS</w:t>
      </w:r>
    </w:p>
    <w:p w14:paraId="7DBE4F93" w14:textId="77777777" w:rsidR="0051640A" w:rsidRPr="0051640A" w:rsidRDefault="00444E22" w:rsidP="0051640A">
      <w:pPr>
        <w:pStyle w:val="Heading2"/>
      </w:pPr>
      <w:r>
        <w:t xml:space="preserve">Study </w:t>
      </w:r>
      <w:r w:rsidR="0051640A" w:rsidRPr="0051640A">
        <w:t>design</w:t>
      </w:r>
    </w:p>
    <w:p w14:paraId="08FFA40E" w14:textId="18ACE5F7" w:rsidR="0051640A" w:rsidRPr="0051640A" w:rsidRDefault="00444E22" w:rsidP="0051640A">
      <w:r>
        <w:t xml:space="preserve">An economic evaluation was undertaken alongside a </w:t>
      </w:r>
      <w:r w:rsidR="0051640A" w:rsidRPr="0051640A">
        <w:t xml:space="preserve">two-arm, single centre, randomised controlled trial (RCT) </w:t>
      </w:r>
      <w:r>
        <w:t>comparing a patient-initiated DMARD self-monitoring service with usual care</w:t>
      </w:r>
      <w:r w:rsidR="0051640A" w:rsidRPr="0051640A">
        <w:t>.</w:t>
      </w:r>
      <w:r>
        <w:t xml:space="preserve"> </w:t>
      </w:r>
      <w:r w:rsidR="00FB5171">
        <w:t xml:space="preserve">The design of this trial has been described in detail </w:t>
      </w:r>
      <w:r w:rsidR="004D41CF">
        <w:t>elsewhere</w:t>
      </w:r>
      <w:r w:rsidR="00D14DED">
        <w:t xml:space="preserve"> </w:t>
      </w:r>
      <w:r w:rsidR="00DC6FD1">
        <w:t>[</w:t>
      </w:r>
      <w:r w:rsidR="000E1400">
        <w:t>21</w:t>
      </w:r>
      <w:r w:rsidR="00DC6FD1">
        <w:t>]</w:t>
      </w:r>
      <w:r w:rsidR="00054B02">
        <w:t xml:space="preserve">, but essentially </w:t>
      </w:r>
      <w:r w:rsidR="002D2AD1">
        <w:t xml:space="preserve">the intervention </w:t>
      </w:r>
      <w:r w:rsidR="00054B02">
        <w:t>involved patients receiving an educational session in order to un</w:t>
      </w:r>
      <w:r w:rsidR="00054B02">
        <w:lastRenderedPageBreak/>
        <w:t>derstand and interpret their blood test results in order to initiate their own DMARD monitoring appointments</w:t>
      </w:r>
      <w:r w:rsidR="00D14DED">
        <w:t>.</w:t>
      </w:r>
      <w:r w:rsidR="002D2AD1">
        <w:t xml:space="preserve"> Control group patients continued attending their regular outpatient appointments with the nurse to monitor their blood test results.  </w:t>
      </w:r>
      <w:r w:rsidR="00FB5171">
        <w:t xml:space="preserve"> </w:t>
      </w:r>
      <w:r>
        <w:t xml:space="preserve">The study was approved by </w:t>
      </w:r>
      <w:r w:rsidRPr="0051640A">
        <w:t xml:space="preserve">Camden and Islington Community Local Research Ethics Committee </w:t>
      </w:r>
      <w:r>
        <w:t>(</w:t>
      </w:r>
      <w:r w:rsidRPr="0051640A">
        <w:t>Ref. 09/H0722/91) and all participants provided written informed consent.</w:t>
      </w:r>
    </w:p>
    <w:p w14:paraId="5245650E" w14:textId="77777777" w:rsidR="0051640A" w:rsidRPr="0051640A" w:rsidRDefault="00444E22" w:rsidP="0051640A">
      <w:pPr>
        <w:pStyle w:val="Heading2"/>
      </w:pPr>
      <w:r>
        <w:lastRenderedPageBreak/>
        <w:t>Study population</w:t>
      </w:r>
    </w:p>
    <w:p w14:paraId="4B42BE39" w14:textId="499D3066" w:rsidR="0051640A" w:rsidRPr="0051640A" w:rsidRDefault="0051640A" w:rsidP="0051640A">
      <w:r w:rsidRPr="0051640A">
        <w:t>Participants were recruited from the Department of Rheumatology at University College Hospital</w:t>
      </w:r>
      <w:r w:rsidR="00CE6960">
        <w:t xml:space="preserve"> NHS Foundation Trust</w:t>
      </w:r>
      <w:r w:rsidRPr="0051640A">
        <w:t xml:space="preserve">, UK. Inclusion criteria were </w:t>
      </w:r>
      <w:r w:rsidR="00AF7169">
        <w:t xml:space="preserve">stable patients </w:t>
      </w:r>
      <w:r w:rsidRPr="0051640A">
        <w:t xml:space="preserve">diagnosed </w:t>
      </w:r>
      <w:r w:rsidR="00AF7169">
        <w:t xml:space="preserve">with either </w:t>
      </w:r>
      <w:r w:rsidRPr="0051640A">
        <w:t>RA</w:t>
      </w:r>
      <w:r w:rsidR="00D14DED">
        <w:t xml:space="preserve"> </w:t>
      </w:r>
      <w:r w:rsidR="00DC6FD1">
        <w:t>[</w:t>
      </w:r>
      <w:r w:rsidR="000E1400">
        <w:t>22</w:t>
      </w:r>
      <w:r w:rsidRPr="0051640A">
        <w:t xml:space="preserve">] or </w:t>
      </w:r>
      <w:proofErr w:type="spellStart"/>
      <w:r w:rsidRPr="0051640A">
        <w:t>PsA</w:t>
      </w:r>
      <w:proofErr w:type="spellEnd"/>
      <w:r w:rsidR="00D14DED">
        <w:t xml:space="preserve"> </w:t>
      </w:r>
      <w:r w:rsidR="00DC6FD1">
        <w:t>[</w:t>
      </w:r>
      <w:r w:rsidR="000E1400">
        <w:t>23</w:t>
      </w:r>
      <w:r w:rsidRPr="0051640A">
        <w:t xml:space="preserve">]. </w:t>
      </w:r>
      <w:r w:rsidR="00AF7169">
        <w:t>Stable</w:t>
      </w:r>
      <w:r w:rsidRPr="0051640A">
        <w:t xml:space="preserve"> treatment</w:t>
      </w:r>
      <w:r w:rsidR="00AF7169">
        <w:t xml:space="preserve"> was defined as</w:t>
      </w:r>
      <w:r w:rsidRPr="0051640A">
        <w:t xml:space="preserve"> methotrexate for at least 6 months, plus a further 3 months if the patient </w:t>
      </w:r>
      <w:r w:rsidR="00C566DF">
        <w:t>was also using</w:t>
      </w:r>
      <w:r w:rsidR="00AF7169">
        <w:t xml:space="preserve"> </w:t>
      </w:r>
      <w:r w:rsidRPr="0051640A">
        <w:t xml:space="preserve">adalimumab or etanercept. Exclusion criteria were patients </w:t>
      </w:r>
      <w:r w:rsidR="00AF7169">
        <w:t>whose</w:t>
      </w:r>
      <w:r w:rsidRPr="0051640A">
        <w:t xml:space="preserve"> predominant treatment was</w:t>
      </w:r>
      <w:r w:rsidR="00AF7169">
        <w:t xml:space="preserve"> for another illness</w:t>
      </w:r>
      <w:r w:rsidRPr="0051640A">
        <w:t xml:space="preserve">, </w:t>
      </w:r>
      <w:r w:rsidRPr="0051640A">
        <w:lastRenderedPageBreak/>
        <w:t xml:space="preserve">those for whom blood tests and monitoring was undertaken by their GP and patients prescribed infliximab. </w:t>
      </w:r>
    </w:p>
    <w:p w14:paraId="5A887F60" w14:textId="77777777" w:rsidR="0051640A" w:rsidRPr="0051640A" w:rsidRDefault="0051640A" w:rsidP="0051640A">
      <w:pPr>
        <w:pStyle w:val="Heading2"/>
      </w:pPr>
      <w:r w:rsidRPr="0051640A">
        <w:t>Intervention</w:t>
      </w:r>
    </w:p>
    <w:p w14:paraId="418B6A94" w14:textId="08F2E65A" w:rsidR="0051640A" w:rsidRPr="0051640A" w:rsidRDefault="00444E22" w:rsidP="0051640A">
      <w:r>
        <w:t>Participants randomised to the self-monitoring service took part in a</w:t>
      </w:r>
      <w:r w:rsidR="0051640A" w:rsidRPr="0051640A">
        <w:t xml:space="preserve"> group</w:t>
      </w:r>
      <w:r w:rsidR="00E63036">
        <w:t>-</w:t>
      </w:r>
      <w:r w:rsidR="0051640A" w:rsidRPr="0051640A">
        <w:t>based training session to provide them with the knowledge, skills and resources required to self-monitor and initiate care. This one-off 2</w:t>
      </w:r>
      <w:r w:rsidR="00F27A05">
        <w:t>-</w:t>
      </w:r>
      <w:r w:rsidR="0051640A" w:rsidRPr="0051640A">
        <w:t xml:space="preserve">hour training session was delivered by a rheumatologist and a </w:t>
      </w:r>
      <w:r w:rsidR="00AF7169" w:rsidRPr="0051640A">
        <w:t>health psychologist,</w:t>
      </w:r>
      <w:r w:rsidR="0051640A" w:rsidRPr="0051640A">
        <w:t xml:space="preserve"> </w:t>
      </w:r>
      <w:r w:rsidR="00617B67">
        <w:t xml:space="preserve">to </w:t>
      </w:r>
      <w:r w:rsidR="0051640A" w:rsidRPr="0051640A">
        <w:t>group</w:t>
      </w:r>
      <w:r w:rsidR="00AF7169">
        <w:t>s</w:t>
      </w:r>
      <w:r w:rsidR="0051640A" w:rsidRPr="0051640A">
        <w:t xml:space="preserve"> of </w:t>
      </w:r>
      <w:r w:rsidR="00AF7169">
        <w:t>2</w:t>
      </w:r>
      <w:r w:rsidR="0051640A" w:rsidRPr="0051640A">
        <w:t>-6</w:t>
      </w:r>
      <w:r w:rsidR="00617B67">
        <w:t xml:space="preserve"> p</w:t>
      </w:r>
      <w:r w:rsidR="0051640A" w:rsidRPr="0051640A">
        <w:t xml:space="preserve">articipants </w:t>
      </w:r>
      <w:r w:rsidR="00617B67">
        <w:t xml:space="preserve">who </w:t>
      </w:r>
      <w:r w:rsidR="0051640A" w:rsidRPr="0051640A">
        <w:t>were</w:t>
      </w:r>
      <w:r w:rsidR="00AF7169">
        <w:t xml:space="preserve"> taught</w:t>
      </w:r>
      <w:r w:rsidR="0051640A" w:rsidRPr="0051640A">
        <w:t xml:space="preserve"> how to </w:t>
      </w:r>
      <w:r w:rsidR="0051640A" w:rsidRPr="0051640A">
        <w:lastRenderedPageBreak/>
        <w:t xml:space="preserve">identify normal or “safe” ranges of blood levels, side effects and symptoms, decide if any action was necessary, and to initiate care from their </w:t>
      </w:r>
      <w:r w:rsidR="002F24E8">
        <w:t>rheumatology nurse specialist</w:t>
      </w:r>
      <w:r w:rsidR="0051640A" w:rsidRPr="0051640A">
        <w:t>. Participants were guided through example blood test scenarios and given practice materials to be completed during the session. The results of these tasks were then reviewed during group discuss</w:t>
      </w:r>
      <w:r>
        <w:t xml:space="preserve">ions led by the rheumatologist. </w:t>
      </w:r>
      <w:r w:rsidR="0051640A" w:rsidRPr="0051640A">
        <w:t xml:space="preserve">Participants continued to receive routine </w:t>
      </w:r>
      <w:r>
        <w:t xml:space="preserve">care from their rheumatologist, </w:t>
      </w:r>
      <w:r w:rsidR="0051640A" w:rsidRPr="0051640A">
        <w:t xml:space="preserve">had access to the emergency nurse helpline if necessary and continued with routine blood monitoring. </w:t>
      </w:r>
    </w:p>
    <w:p w14:paraId="1C848E67" w14:textId="77777777" w:rsidR="0051640A" w:rsidRPr="0051640A" w:rsidRDefault="0051640A" w:rsidP="0051640A"/>
    <w:p w14:paraId="2457C8B5" w14:textId="739411B3" w:rsidR="00022EA5" w:rsidRDefault="0051640A" w:rsidP="00022EA5">
      <w:r w:rsidRPr="0051640A">
        <w:t>Following each blood test, participants were sent a copy of their results either via email or post, depending on the patient’s preference. Criteria for a significant change or out-of-range blood test were developed and agreed by the clinical team and shared with the patient.</w:t>
      </w:r>
      <w:r w:rsidR="008958E3">
        <w:t xml:space="preserve"> </w:t>
      </w:r>
      <w:r w:rsidR="000E3A95">
        <w:t xml:space="preserve">Participants also recorded, using a 17-item checklist, the side effects and symptoms </w:t>
      </w:r>
      <w:r w:rsidR="000E3A95">
        <w:lastRenderedPageBreak/>
        <w:t>they had experienced since their las</w:t>
      </w:r>
      <w:r w:rsidR="00C566DF">
        <w:t>t blood test, indicating if there</w:t>
      </w:r>
      <w:r w:rsidR="000E3A95">
        <w:t xml:space="preserve"> were </w:t>
      </w:r>
      <w:r w:rsidR="00C566DF">
        <w:t xml:space="preserve">any </w:t>
      </w:r>
      <w:r w:rsidR="000E3A95">
        <w:t>new or continuing symptoms. For continuing symptoms participants indicate</w:t>
      </w:r>
      <w:r w:rsidR="008139B5">
        <w:t>d</w:t>
      </w:r>
      <w:r w:rsidR="000E3A95">
        <w:t xml:space="preserve"> if the symptom had become worse, better or remained the same</w:t>
      </w:r>
      <w:r w:rsidR="00022EA5">
        <w:t xml:space="preserve"> </w:t>
      </w:r>
      <w:r w:rsidR="000E3A95" w:rsidRPr="000E3A95">
        <w:t xml:space="preserve">since their last blood test. </w:t>
      </w:r>
    </w:p>
    <w:p w14:paraId="56BB7F93" w14:textId="77777777" w:rsidR="00295853" w:rsidRPr="00295853" w:rsidRDefault="00295853" w:rsidP="00D438BA">
      <w:pPr>
        <w:pStyle w:val="Heading2"/>
        <w:rPr>
          <w:rFonts w:eastAsia="SimSun"/>
        </w:rPr>
      </w:pPr>
      <w:bookmarkStart w:id="0" w:name="_Toc394573495"/>
      <w:r w:rsidRPr="00295853">
        <w:rPr>
          <w:rFonts w:eastAsia="SimSun"/>
        </w:rPr>
        <w:t>Control group</w:t>
      </w:r>
      <w:bookmarkEnd w:id="0"/>
    </w:p>
    <w:p w14:paraId="721A109A" w14:textId="77777777" w:rsidR="00295853" w:rsidRPr="00295853" w:rsidRDefault="00295853" w:rsidP="00D438BA">
      <w:r w:rsidRPr="00295853">
        <w:t>Participants in the control group received standard care</w:t>
      </w:r>
      <w:r w:rsidR="006820F4">
        <w:t>;</w:t>
      </w:r>
      <w:r w:rsidR="00444E22">
        <w:t xml:space="preserve"> this typically consisted of</w:t>
      </w:r>
      <w:r w:rsidRPr="00295853">
        <w:t xml:space="preserve"> blood test</w:t>
      </w:r>
      <w:r w:rsidR="00444E22">
        <w:t>s</w:t>
      </w:r>
      <w:r w:rsidRPr="00295853">
        <w:t xml:space="preserve"> every 4-6 weeks</w:t>
      </w:r>
      <w:r w:rsidR="006820F4">
        <w:t xml:space="preserve"> and </w:t>
      </w:r>
      <w:r w:rsidR="0066168C">
        <w:t xml:space="preserve">optimally </w:t>
      </w:r>
      <w:r w:rsidRPr="00295853">
        <w:t>o</w:t>
      </w:r>
      <w:r w:rsidR="00E84617">
        <w:t xml:space="preserve">utpatient appointments with their </w:t>
      </w:r>
      <w:r w:rsidR="008958E3">
        <w:t>nurse specialist</w:t>
      </w:r>
      <w:r w:rsidR="00E84617">
        <w:t xml:space="preserve"> </w:t>
      </w:r>
      <w:r w:rsidRPr="00295853">
        <w:t xml:space="preserve">every 3 months and rheumatologist every 6 months. </w:t>
      </w:r>
    </w:p>
    <w:p w14:paraId="6CFBDADB" w14:textId="559793AE" w:rsidR="00A907DC" w:rsidRDefault="003E34D0" w:rsidP="00D438BA">
      <w:pPr>
        <w:pStyle w:val="Heading2"/>
      </w:pPr>
      <w:r>
        <w:lastRenderedPageBreak/>
        <w:t>O</w:t>
      </w:r>
      <w:r w:rsidR="008958E3">
        <w:t>utcome measures</w:t>
      </w:r>
    </w:p>
    <w:p w14:paraId="1507E797" w14:textId="4B9EB160" w:rsidR="008958E3" w:rsidRDefault="00E86318" w:rsidP="008958E3">
      <w:r>
        <w:t>The current study analysed cost-effectiveness by calculating the incremental cost-effectiveness ratio</w:t>
      </w:r>
      <w:r w:rsidR="00D117ED">
        <w:t xml:space="preserve"> (ICER)</w:t>
      </w:r>
      <w:r>
        <w:t>, defined as the between</w:t>
      </w:r>
      <w:r w:rsidR="00671295">
        <w:t xml:space="preserve"> trial arm</w:t>
      </w:r>
      <w:r>
        <w:t xml:space="preserve"> difference</w:t>
      </w:r>
      <w:r w:rsidR="00671295">
        <w:t>s</w:t>
      </w:r>
      <w:r>
        <w:t xml:space="preserve"> in costs divided by the difference in </w:t>
      </w:r>
      <w:r w:rsidR="00671295">
        <w:t>effects</w:t>
      </w:r>
      <w:r>
        <w:t>.</w:t>
      </w:r>
      <w:r w:rsidR="008958E3" w:rsidRPr="008958E3">
        <w:t xml:space="preserve"> </w:t>
      </w:r>
      <w:r w:rsidR="008958E3">
        <w:t>Disease a</w:t>
      </w:r>
      <w:r w:rsidR="003E34D0">
        <w:t xml:space="preserve">ctivity was measured using </w:t>
      </w:r>
      <w:r w:rsidR="00D117ED" w:rsidRPr="00D117ED">
        <w:rPr>
          <w:rFonts w:asciiTheme="minorHAnsi" w:hAnsiTheme="minorHAnsi" w:cstheme="minorHAnsi"/>
          <w:shd w:val="clear" w:color="auto" w:fill="FFFFFF"/>
        </w:rPr>
        <w:t>erythrocyte sedimentation rate</w:t>
      </w:r>
      <w:r w:rsidR="00D117ED">
        <w:t xml:space="preserve"> (</w:t>
      </w:r>
      <w:r w:rsidR="003E34D0">
        <w:t>ESR</w:t>
      </w:r>
      <w:r w:rsidR="00D117ED">
        <w:t>)</w:t>
      </w:r>
      <w:r w:rsidR="003E34D0">
        <w:t xml:space="preserve"> and quality of life using the</w:t>
      </w:r>
      <w:r w:rsidR="008958E3">
        <w:t xml:space="preserve"> </w:t>
      </w:r>
      <w:bookmarkStart w:id="1" w:name="_Hlk514182619"/>
      <w:r w:rsidR="008958E3">
        <w:t xml:space="preserve">SF-12v1 [24] </w:t>
      </w:r>
      <w:bookmarkEnd w:id="1"/>
      <w:r w:rsidR="008958E3">
        <w:t xml:space="preserve">across two component summary scales - the Physical (SF-12v1® PCS) and Mental Component Summary (SF-12v1® MCS). Total </w:t>
      </w:r>
      <w:r w:rsidR="008958E3">
        <w:lastRenderedPageBreak/>
        <w:t>scores range from 0-100 with higher scores representing better quality of life. The scale is responsive to change and has good test retest reliability</w:t>
      </w:r>
      <w:r w:rsidR="00D14DED">
        <w:t xml:space="preserve"> </w:t>
      </w:r>
      <w:r w:rsidR="008958E3">
        <w:t>[</w:t>
      </w:r>
      <w:r w:rsidR="00430EAE">
        <w:t>24</w:t>
      </w:r>
      <w:r w:rsidR="008958E3">
        <w:t>]</w:t>
      </w:r>
      <w:r w:rsidR="00D14DED">
        <w:t>.</w:t>
      </w:r>
      <w:r w:rsidR="008958E3">
        <w:t xml:space="preserve"> </w:t>
      </w:r>
    </w:p>
    <w:p w14:paraId="6B4C5236" w14:textId="77777777" w:rsidR="00CC69FB" w:rsidRPr="00F97F99" w:rsidRDefault="00E86318" w:rsidP="00E86318">
      <w:pPr>
        <w:pStyle w:val="Heading3"/>
      </w:pPr>
      <w:r w:rsidRPr="00F97F99">
        <w:t>Perspectives and costs</w:t>
      </w:r>
    </w:p>
    <w:p w14:paraId="69FAD0F5" w14:textId="77777777" w:rsidR="00E86318" w:rsidRDefault="00AF7169" w:rsidP="008D329D">
      <w:r>
        <w:t xml:space="preserve">A UK </w:t>
      </w:r>
      <w:r w:rsidR="00E37956">
        <w:t>NHS</w:t>
      </w:r>
      <w:r w:rsidR="00E86318">
        <w:t xml:space="preserve"> economic </w:t>
      </w:r>
      <w:r>
        <w:t>perspective was adopted</w:t>
      </w:r>
      <w:r w:rsidR="00E86318">
        <w:t>, including costs to the individual</w:t>
      </w:r>
      <w:r>
        <w:t xml:space="preserve">. </w:t>
      </w:r>
      <w:r w:rsidR="00E86318">
        <w:t xml:space="preserve">Healthcare costs </w:t>
      </w:r>
      <w:r w:rsidR="006460FA">
        <w:t>were</w:t>
      </w:r>
      <w:r w:rsidR="00E86318">
        <w:t xml:space="preserve"> outpatient visits </w:t>
      </w:r>
      <w:r w:rsidR="00E37956">
        <w:t>in</w:t>
      </w:r>
      <w:r w:rsidR="00E86318">
        <w:t xml:space="preserve"> secondary care, </w:t>
      </w:r>
      <w:r w:rsidR="00E37956">
        <w:t xml:space="preserve">and visits to primary care services, </w:t>
      </w:r>
      <w:r w:rsidR="00E86318">
        <w:t>blood tests</w:t>
      </w:r>
      <w:r w:rsidR="009B74C0">
        <w:t>, medication</w:t>
      </w:r>
      <w:r w:rsidR="00E86318">
        <w:t xml:space="preserve"> and </w:t>
      </w:r>
      <w:r w:rsidR="00E37956">
        <w:t>the costs of running the nurse telephone help</w:t>
      </w:r>
      <w:r w:rsidR="00E86318">
        <w:t xml:space="preserve">line, plus </w:t>
      </w:r>
      <w:r w:rsidR="00E86318">
        <w:lastRenderedPageBreak/>
        <w:t xml:space="preserve">for the intervention arm the cost of delivering the education. Individual costs </w:t>
      </w:r>
      <w:r w:rsidR="00E37956">
        <w:t xml:space="preserve">to the patient </w:t>
      </w:r>
      <w:r w:rsidR="00E86318">
        <w:t xml:space="preserve">included travel to and from the hospital. </w:t>
      </w:r>
    </w:p>
    <w:p w14:paraId="562F4435" w14:textId="77777777" w:rsidR="001306F0" w:rsidRDefault="001306F0" w:rsidP="001306F0">
      <w:pPr>
        <w:pStyle w:val="Heading2"/>
      </w:pPr>
      <w:r>
        <w:t>Discounting</w:t>
      </w:r>
    </w:p>
    <w:p w14:paraId="6E589319" w14:textId="63B35CAD" w:rsidR="001306F0" w:rsidRPr="009C7EE5" w:rsidRDefault="001306F0" w:rsidP="00C7307F">
      <w:r>
        <w:rPr>
          <w:lang w:val="en"/>
        </w:rPr>
        <w:t xml:space="preserve">National pricing and </w:t>
      </w:r>
      <w:r w:rsidRPr="009C7EE5">
        <w:rPr>
          <w:lang w:val="en"/>
        </w:rPr>
        <w:t>reimbursement agencies generally recommend discounting of costs and effects at 3% annual</w:t>
      </w:r>
      <w:r w:rsidR="00C7307F" w:rsidRPr="009C7EE5">
        <w:rPr>
          <w:lang w:val="en"/>
        </w:rPr>
        <w:t>ly</w:t>
      </w:r>
      <w:r w:rsidR="004D4AA6" w:rsidRPr="009C7EE5">
        <w:rPr>
          <w:lang w:val="en"/>
        </w:rPr>
        <w:t xml:space="preserve"> </w:t>
      </w:r>
      <w:r w:rsidR="009C7EE5" w:rsidRPr="009C7EE5">
        <w:rPr>
          <w:lang w:val="en"/>
        </w:rPr>
        <w:t xml:space="preserve">[25] </w:t>
      </w:r>
      <w:r w:rsidR="00C7307F" w:rsidRPr="009C7EE5">
        <w:rPr>
          <w:lang w:val="en"/>
        </w:rPr>
        <w:t xml:space="preserve">Due to our short follow-up, </w:t>
      </w:r>
      <w:r w:rsidRPr="009C7EE5">
        <w:rPr>
          <w:lang w:val="en"/>
        </w:rPr>
        <w:t>data are presented undiscounted.</w:t>
      </w:r>
    </w:p>
    <w:p w14:paraId="57100ADC" w14:textId="77777777" w:rsidR="00A907DC" w:rsidRPr="009C7EE5" w:rsidRDefault="00A907DC" w:rsidP="00D438BA">
      <w:pPr>
        <w:pStyle w:val="Heading2"/>
      </w:pPr>
      <w:r w:rsidRPr="009C7EE5">
        <w:lastRenderedPageBreak/>
        <w:t>Statistical methods</w:t>
      </w:r>
    </w:p>
    <w:p w14:paraId="7D8BC5E5" w14:textId="1136389E" w:rsidR="00B36205" w:rsidRDefault="00700ACC" w:rsidP="00B36205">
      <w:pPr>
        <w:rPr>
          <w:lang w:eastAsia="en-US"/>
        </w:rPr>
      </w:pPr>
      <w:r w:rsidRPr="009C7EE5">
        <w:t xml:space="preserve">Unit costs were applied to individual service use data </w:t>
      </w:r>
      <w:r w:rsidRPr="009C7EE5">
        <w:rPr>
          <w:lang w:eastAsia="en-US"/>
        </w:rPr>
        <w:t xml:space="preserve">and </w:t>
      </w:r>
      <w:r w:rsidR="001306F0" w:rsidRPr="009C7EE5">
        <w:rPr>
          <w:lang w:eastAsia="en-US"/>
        </w:rPr>
        <w:t xml:space="preserve">costs per participant </w:t>
      </w:r>
      <w:r w:rsidRPr="009C7EE5">
        <w:rPr>
          <w:lang w:eastAsia="en-US"/>
        </w:rPr>
        <w:t>were identified and totalled</w:t>
      </w:r>
      <w:r w:rsidR="00E5194B" w:rsidRPr="009C7EE5">
        <w:rPr>
          <w:lang w:eastAsia="en-US"/>
        </w:rPr>
        <w:t xml:space="preserve"> </w:t>
      </w:r>
      <w:r w:rsidRPr="009C7EE5">
        <w:rPr>
          <w:lang w:eastAsia="en-US"/>
        </w:rPr>
        <w:t>for total costs between trial arms</w:t>
      </w:r>
      <w:r w:rsidR="001306F0" w:rsidRPr="009C7EE5">
        <w:rPr>
          <w:lang w:eastAsia="en-US"/>
        </w:rPr>
        <w:t xml:space="preserve">, using </w:t>
      </w:r>
      <w:r w:rsidR="000F1B01" w:rsidRPr="009C7EE5">
        <w:rPr>
          <w:lang w:eastAsia="en-US"/>
        </w:rPr>
        <w:t>SPSS</w:t>
      </w:r>
      <w:r w:rsidR="00197A13" w:rsidRPr="009C7EE5">
        <w:rPr>
          <w:lang w:eastAsia="en-US"/>
        </w:rPr>
        <w:t xml:space="preserve"> </w:t>
      </w:r>
      <w:r w:rsidR="009C7EE5" w:rsidRPr="009C7EE5">
        <w:rPr>
          <w:lang w:eastAsia="en-US"/>
        </w:rPr>
        <w:t xml:space="preserve">[26]. </w:t>
      </w:r>
      <w:r w:rsidR="0062369E" w:rsidRPr="009C7EE5">
        <w:t>Further</w:t>
      </w:r>
      <w:r w:rsidR="0090493B" w:rsidRPr="009C7EE5">
        <w:t xml:space="preserve"> cost</w:t>
      </w:r>
      <w:r w:rsidR="00B45C1F" w:rsidRPr="009C7EE5">
        <w:t>-</w:t>
      </w:r>
      <w:r w:rsidR="0090493B" w:rsidRPr="009C7EE5">
        <w:t xml:space="preserve">effectiveness </w:t>
      </w:r>
      <w:r w:rsidR="005459D6" w:rsidRPr="009C7EE5">
        <w:t xml:space="preserve">analyses were performed </w:t>
      </w:r>
      <w:r w:rsidR="000F1B01" w:rsidRPr="009C7EE5">
        <w:t xml:space="preserve">in </w:t>
      </w:r>
      <w:r w:rsidR="004D4AA6" w:rsidRPr="009C7EE5">
        <w:t>E</w:t>
      </w:r>
      <w:r w:rsidR="000F1B01" w:rsidRPr="009C7EE5">
        <w:t xml:space="preserve">xcel </w:t>
      </w:r>
      <w:r w:rsidR="009C7EE5" w:rsidRPr="009C7EE5">
        <w:t>[27]</w:t>
      </w:r>
      <w:r w:rsidR="00197A13" w:rsidRPr="009C7EE5">
        <w:t xml:space="preserve"> </w:t>
      </w:r>
      <w:r w:rsidR="005459D6" w:rsidRPr="009C7EE5">
        <w:t>to</w:t>
      </w:r>
      <w:r w:rsidR="005459D6">
        <w:t xml:space="preserve"> calculate</w:t>
      </w:r>
      <w:r w:rsidR="0090493B">
        <w:t xml:space="preserve"> </w:t>
      </w:r>
      <w:r w:rsidR="00D117ED">
        <w:t>ICERs</w:t>
      </w:r>
      <w:r w:rsidR="0090493B">
        <w:t>,</w:t>
      </w:r>
      <w:r w:rsidR="0090493B" w:rsidRPr="0090493B">
        <w:t xml:space="preserve"> </w:t>
      </w:r>
      <w:r w:rsidR="0090493B">
        <w:t>which measure the difference in average costs between the two trial arms divided by the difference in average effects</w:t>
      </w:r>
      <w:r w:rsidR="005459D6">
        <w:t xml:space="preserve"> to a create point </w:t>
      </w:r>
      <w:r w:rsidR="005459D6">
        <w:rPr>
          <w:lang w:eastAsia="en-US"/>
        </w:rPr>
        <w:t>estimate</w:t>
      </w:r>
      <w:r w:rsidR="00E32F7A">
        <w:rPr>
          <w:lang w:eastAsia="en-US"/>
        </w:rPr>
        <w:t xml:space="preserve">, </w:t>
      </w:r>
      <w:r w:rsidR="00E32F7A" w:rsidRPr="00E32F7A">
        <w:rPr>
          <w:lang w:eastAsia="en-US"/>
        </w:rPr>
        <w:t>essentially a single numeric quantity or point from the data which provides some initial statistical approximation</w:t>
      </w:r>
      <w:r w:rsidR="0090493B">
        <w:rPr>
          <w:lang w:eastAsia="en-US"/>
        </w:rPr>
        <w:t>.</w:t>
      </w:r>
      <w:r w:rsidR="0090493B" w:rsidRPr="0090493B">
        <w:t xml:space="preserve"> </w:t>
      </w:r>
      <w:r w:rsidR="0075454B">
        <w:rPr>
          <w:lang w:eastAsia="en-US"/>
        </w:rPr>
        <w:t xml:space="preserve">A new </w:t>
      </w:r>
      <w:r w:rsidR="00311D6E">
        <w:rPr>
          <w:lang w:eastAsia="en-US"/>
        </w:rPr>
        <w:t xml:space="preserve">model of care would be </w:t>
      </w:r>
      <w:r w:rsidR="00311D6E">
        <w:rPr>
          <w:lang w:eastAsia="en-US"/>
        </w:rPr>
        <w:lastRenderedPageBreak/>
        <w:t>‘dominated’</w:t>
      </w:r>
      <w:r w:rsidR="0075454B">
        <w:rPr>
          <w:lang w:eastAsia="en-US"/>
        </w:rPr>
        <w:t xml:space="preserve"> by existing </w:t>
      </w:r>
      <w:r w:rsidR="00311D6E">
        <w:rPr>
          <w:lang w:eastAsia="en-US"/>
        </w:rPr>
        <w:t>services</w:t>
      </w:r>
      <w:r w:rsidR="0075454B">
        <w:rPr>
          <w:lang w:eastAsia="en-US"/>
        </w:rPr>
        <w:t xml:space="preserve"> if it costs more</w:t>
      </w:r>
      <w:r w:rsidR="00311D6E">
        <w:rPr>
          <w:lang w:eastAsia="en-US"/>
        </w:rPr>
        <w:t>,</w:t>
      </w:r>
      <w:r w:rsidR="0075454B">
        <w:rPr>
          <w:lang w:eastAsia="en-US"/>
        </w:rPr>
        <w:t xml:space="preserve"> but provides less quality of life ‘gain’. W</w:t>
      </w:r>
      <w:r w:rsidR="000E2A12">
        <w:rPr>
          <w:lang w:eastAsia="en-US"/>
        </w:rPr>
        <w:t xml:space="preserve">hilst useful for establishing a point estimate and an initial sense of the data </w:t>
      </w:r>
      <w:r w:rsidR="0075454B">
        <w:rPr>
          <w:lang w:eastAsia="en-US"/>
        </w:rPr>
        <w:t xml:space="preserve">ICERs </w:t>
      </w:r>
      <w:r w:rsidR="000E2A12">
        <w:rPr>
          <w:lang w:eastAsia="en-US"/>
        </w:rPr>
        <w:t>can be easily misinterpreted. For example</w:t>
      </w:r>
      <w:r w:rsidR="00311D6E">
        <w:rPr>
          <w:lang w:eastAsia="en-US"/>
        </w:rPr>
        <w:t>,</w:t>
      </w:r>
      <w:r w:rsidR="000E2A12">
        <w:rPr>
          <w:lang w:eastAsia="en-US"/>
        </w:rPr>
        <w:t xml:space="preserve"> an intervention that is less expensive and more effective will generate a negative ICER, but so will an intervention that is more expensive and less effective. </w:t>
      </w:r>
      <w:r w:rsidR="00B36205">
        <w:rPr>
          <w:lang w:eastAsia="en-US"/>
        </w:rPr>
        <w:t>Whilst therefore the point estimates of the mean differences in trial arms between the effects a</w:t>
      </w:r>
      <w:r w:rsidR="00E32F7A">
        <w:rPr>
          <w:lang w:eastAsia="en-US"/>
        </w:rPr>
        <w:t xml:space="preserve">nd costs in the ICER provides an </w:t>
      </w:r>
      <w:r w:rsidR="00B36205">
        <w:rPr>
          <w:lang w:eastAsia="en-US"/>
        </w:rPr>
        <w:t xml:space="preserve">estimate, and </w:t>
      </w:r>
      <w:r w:rsidR="0075454B">
        <w:rPr>
          <w:lang w:eastAsia="en-US"/>
        </w:rPr>
        <w:t>it is</w:t>
      </w:r>
      <w:r w:rsidR="00B36205">
        <w:rPr>
          <w:lang w:eastAsia="en-US"/>
        </w:rPr>
        <w:t xml:space="preserve"> correct to </w:t>
      </w:r>
      <w:r w:rsidR="00B36205">
        <w:rPr>
          <w:lang w:eastAsia="en-US"/>
        </w:rPr>
        <w:lastRenderedPageBreak/>
        <w:t xml:space="preserve">refer to </w:t>
      </w:r>
      <w:r w:rsidR="0075454B">
        <w:rPr>
          <w:lang w:eastAsia="en-US"/>
        </w:rPr>
        <w:t>them i</w:t>
      </w:r>
      <w:r w:rsidR="00B36205">
        <w:rPr>
          <w:lang w:eastAsia="en-US"/>
        </w:rPr>
        <w:t>n the primary analysis, the interpretation of negative ICERs</w:t>
      </w:r>
      <w:r w:rsidR="0075454B">
        <w:rPr>
          <w:lang w:eastAsia="en-US"/>
        </w:rPr>
        <w:t xml:space="preserve"> are problematic d</w:t>
      </w:r>
      <w:r w:rsidR="00B36205">
        <w:rPr>
          <w:lang w:eastAsia="en-US"/>
        </w:rPr>
        <w:t>ue</w:t>
      </w:r>
      <w:r w:rsidR="0075454B">
        <w:rPr>
          <w:lang w:eastAsia="en-US"/>
        </w:rPr>
        <w:t xml:space="preserve"> to</w:t>
      </w:r>
      <w:r w:rsidR="00B36205">
        <w:rPr>
          <w:lang w:eastAsia="en-US"/>
        </w:rPr>
        <w:t xml:space="preserve"> the ratio</w:t>
      </w:r>
      <w:r w:rsidR="0075454B">
        <w:rPr>
          <w:lang w:eastAsia="en-US"/>
        </w:rPr>
        <w:t xml:space="preserve"> statistic nature of the ICER and t</w:t>
      </w:r>
      <w:r w:rsidR="00B36205">
        <w:rPr>
          <w:lang w:eastAsia="en-US"/>
        </w:rPr>
        <w:t>he production of confidence interval</w:t>
      </w:r>
      <w:r w:rsidR="00D14DED">
        <w:rPr>
          <w:lang w:eastAsia="en-US"/>
        </w:rPr>
        <w:t xml:space="preserve">s </w:t>
      </w:r>
      <w:r w:rsidR="00201489">
        <w:rPr>
          <w:lang w:eastAsia="en-US"/>
        </w:rPr>
        <w:t>[28</w:t>
      </w:r>
      <w:r w:rsidR="00430EAE">
        <w:rPr>
          <w:lang w:eastAsia="en-US"/>
        </w:rPr>
        <w:t>]</w:t>
      </w:r>
      <w:r w:rsidR="00D14DED">
        <w:rPr>
          <w:lang w:eastAsia="en-US"/>
        </w:rPr>
        <w:t>.</w:t>
      </w:r>
      <w:r w:rsidR="009412BF">
        <w:rPr>
          <w:lang w:eastAsia="en-US"/>
        </w:rPr>
        <w:t xml:space="preserve"> </w:t>
      </w:r>
      <w:r w:rsidR="00B36205">
        <w:rPr>
          <w:lang w:eastAsia="en-US"/>
        </w:rPr>
        <w:t xml:space="preserve">One of the proposed solutions to the problem of estimating </w:t>
      </w:r>
      <w:r w:rsidR="00BB6C3A">
        <w:rPr>
          <w:lang w:eastAsia="en-US"/>
        </w:rPr>
        <w:t xml:space="preserve">confidence limits for the ICER </w:t>
      </w:r>
      <w:r w:rsidR="00B36205">
        <w:rPr>
          <w:lang w:eastAsia="en-US"/>
        </w:rPr>
        <w:t>is therefore the use of the nonparametric approach of bootstrappin</w:t>
      </w:r>
      <w:r w:rsidR="004D41CF">
        <w:rPr>
          <w:lang w:eastAsia="en-US"/>
        </w:rPr>
        <w:t>g</w:t>
      </w:r>
      <w:r w:rsidR="00D14DED">
        <w:rPr>
          <w:lang w:eastAsia="en-US"/>
        </w:rPr>
        <w:t xml:space="preserve"> </w:t>
      </w:r>
      <w:r w:rsidR="00201489">
        <w:rPr>
          <w:lang w:eastAsia="en-US"/>
        </w:rPr>
        <w:t>[29</w:t>
      </w:r>
      <w:r w:rsidR="009412BF">
        <w:rPr>
          <w:lang w:eastAsia="en-US"/>
        </w:rPr>
        <w:t>]</w:t>
      </w:r>
      <w:r w:rsidR="00D14DED">
        <w:rPr>
          <w:lang w:eastAsia="en-US"/>
        </w:rPr>
        <w:t>,</w:t>
      </w:r>
      <w:r w:rsidR="00B36205">
        <w:rPr>
          <w:lang w:eastAsia="en-US"/>
        </w:rPr>
        <w:t xml:space="preserve"> a technique that helps to produce cost effectiveness accepta</w:t>
      </w:r>
      <w:r w:rsidR="009412BF">
        <w:rPr>
          <w:lang w:eastAsia="en-US"/>
        </w:rPr>
        <w:t xml:space="preserve">bility curves (CEAC), which </w:t>
      </w:r>
      <w:r w:rsidR="00B36205">
        <w:rPr>
          <w:lang w:eastAsia="en-US"/>
        </w:rPr>
        <w:t xml:space="preserve">provides a way of presenting results without having </w:t>
      </w:r>
      <w:r w:rsidR="004D41CF">
        <w:rPr>
          <w:lang w:eastAsia="en-US"/>
        </w:rPr>
        <w:t>to report negative ICER values</w:t>
      </w:r>
      <w:r w:rsidR="00D14DED">
        <w:rPr>
          <w:lang w:eastAsia="en-US"/>
        </w:rPr>
        <w:t xml:space="preserve"> </w:t>
      </w:r>
      <w:r w:rsidR="00201489">
        <w:rPr>
          <w:lang w:eastAsia="en-US"/>
        </w:rPr>
        <w:t>[30</w:t>
      </w:r>
      <w:r w:rsidR="004D41CF">
        <w:rPr>
          <w:lang w:eastAsia="en-US"/>
        </w:rPr>
        <w:t>]</w:t>
      </w:r>
      <w:r w:rsidR="00D14DED">
        <w:rPr>
          <w:lang w:eastAsia="en-US"/>
        </w:rPr>
        <w:t>.</w:t>
      </w:r>
    </w:p>
    <w:p w14:paraId="7633E2EA" w14:textId="77777777" w:rsidR="00B36205" w:rsidRDefault="00B36205" w:rsidP="00B36205">
      <w:pPr>
        <w:rPr>
          <w:lang w:eastAsia="en-US"/>
        </w:rPr>
      </w:pPr>
    </w:p>
    <w:p w14:paraId="3F952D9C" w14:textId="7BC4D7C1" w:rsidR="0090493B" w:rsidRDefault="00BB6C3A" w:rsidP="00700ACC">
      <w:r>
        <w:lastRenderedPageBreak/>
        <w:t>In this study, w</w:t>
      </w:r>
      <w:r w:rsidR="0090493B">
        <w:t>e used repeat re-sampling from the costs and effectiveness data using non-parametric bootstrapping to generate a distribution of mean costs and effects for t</w:t>
      </w:r>
      <w:r w:rsidR="0090493B" w:rsidRPr="00DC6FD1">
        <w:t xml:space="preserve">he two </w:t>
      </w:r>
      <w:r w:rsidR="005459D6" w:rsidRPr="00DC6FD1">
        <w:t>study arms</w:t>
      </w:r>
      <w:r w:rsidR="00B45C1F" w:rsidRPr="00DC6FD1">
        <w:t xml:space="preserve">. </w:t>
      </w:r>
      <w:r w:rsidR="001306F0" w:rsidRPr="00DC6FD1">
        <w:rPr>
          <w:lang w:eastAsia="en-US"/>
        </w:rPr>
        <w:t>Statistical sensitivity analysis was conducted by estimation</w:t>
      </w:r>
      <w:r w:rsidR="00E5194B" w:rsidRPr="00DC6FD1">
        <w:rPr>
          <w:lang w:eastAsia="en-US"/>
        </w:rPr>
        <w:t xml:space="preserve"> </w:t>
      </w:r>
      <w:r w:rsidR="001306F0" w:rsidRPr="00DC6FD1">
        <w:rPr>
          <w:lang w:eastAsia="en-US"/>
        </w:rPr>
        <w:t>of confidence intervals for mean difference in cost</w:t>
      </w:r>
      <w:r w:rsidR="005459D6" w:rsidRPr="00DC6FD1">
        <w:rPr>
          <w:lang w:eastAsia="en-US"/>
        </w:rPr>
        <w:t>s and effects</w:t>
      </w:r>
      <w:r w:rsidR="00E5194B" w:rsidRPr="00DC6FD1">
        <w:rPr>
          <w:lang w:eastAsia="en-US"/>
        </w:rPr>
        <w:t xml:space="preserve"> </w:t>
      </w:r>
      <w:r w:rsidR="001306F0" w:rsidRPr="00DC6FD1">
        <w:rPr>
          <w:lang w:eastAsia="en-US"/>
        </w:rPr>
        <w:t xml:space="preserve">per participant, and by plotting </w:t>
      </w:r>
      <w:r w:rsidR="00990959">
        <w:rPr>
          <w:lang w:eastAsia="en-US"/>
        </w:rPr>
        <w:t>CEACs</w:t>
      </w:r>
      <w:r w:rsidR="001306F0" w:rsidRPr="00DC6FD1">
        <w:rPr>
          <w:lang w:eastAsia="en-US"/>
        </w:rPr>
        <w:t>. Cost-effectiveness acceptability curves allow</w:t>
      </w:r>
      <w:r w:rsidR="00E5194B" w:rsidRPr="00DC6FD1">
        <w:rPr>
          <w:lang w:eastAsia="en-US"/>
        </w:rPr>
        <w:t xml:space="preserve"> </w:t>
      </w:r>
      <w:r w:rsidR="001306F0" w:rsidRPr="00DC6FD1">
        <w:rPr>
          <w:lang w:eastAsia="en-US"/>
        </w:rPr>
        <w:t xml:space="preserve">decision makers to assess the overall probability of </w:t>
      </w:r>
      <w:r w:rsidR="00E5194B" w:rsidRPr="00DC6FD1">
        <w:rPr>
          <w:lang w:eastAsia="en-US"/>
        </w:rPr>
        <w:t xml:space="preserve">cost-effectiveness </w:t>
      </w:r>
      <w:r w:rsidR="001306F0" w:rsidRPr="00DC6FD1">
        <w:rPr>
          <w:lang w:eastAsia="en-US"/>
        </w:rPr>
        <w:t xml:space="preserve">given particular thresholds. </w:t>
      </w:r>
      <w:r w:rsidR="005459D6" w:rsidRPr="00DC6FD1">
        <w:t>This h</w:t>
      </w:r>
      <w:r w:rsidR="005459D6">
        <w:t xml:space="preserve">as then the potential </w:t>
      </w:r>
      <w:r w:rsidR="005459D6">
        <w:lastRenderedPageBreak/>
        <w:t xml:space="preserve">to </w:t>
      </w:r>
      <w:r w:rsidR="0090493B">
        <w:t xml:space="preserve">show </w:t>
      </w:r>
      <w:r w:rsidR="005459D6">
        <w:t xml:space="preserve">whether </w:t>
      </w:r>
      <w:r w:rsidR="00B45C1F">
        <w:t xml:space="preserve">a patient initiated </w:t>
      </w:r>
      <w:r w:rsidR="005459D6" w:rsidRPr="005459D6">
        <w:t xml:space="preserve">self-monitoring </w:t>
      </w:r>
      <w:r w:rsidR="00B45C1F">
        <w:t>service</w:t>
      </w:r>
      <w:r w:rsidR="005459D6" w:rsidRPr="005459D6">
        <w:t xml:space="preserve"> can </w:t>
      </w:r>
      <w:r w:rsidR="005459D6">
        <w:t xml:space="preserve">be </w:t>
      </w:r>
      <w:r w:rsidR="00F6740F">
        <w:t>cost-</w:t>
      </w:r>
      <w:r w:rsidR="0090493B">
        <w:t>effe</w:t>
      </w:r>
      <w:r w:rsidR="00546C49">
        <w:t>ctive compared with standard</w:t>
      </w:r>
      <w:r w:rsidR="0090493B">
        <w:t xml:space="preserve"> </w:t>
      </w:r>
      <w:r w:rsidR="005459D6">
        <w:t xml:space="preserve">care </w:t>
      </w:r>
      <w:r w:rsidR="0090493B">
        <w:t xml:space="preserve">for a range of maximum monetary values (ceiling ratios, λ) that a decision maker might be willing to pay for </w:t>
      </w:r>
      <w:r w:rsidR="005459D6">
        <w:t xml:space="preserve">any gain in </w:t>
      </w:r>
      <w:r w:rsidR="00B45C1F">
        <w:t xml:space="preserve">quality of life or </w:t>
      </w:r>
      <w:r w:rsidR="00BE513D">
        <w:t>disease activity</w:t>
      </w:r>
      <w:r w:rsidR="005459D6">
        <w:t>.</w:t>
      </w:r>
      <w:r w:rsidR="000137F0">
        <w:t xml:space="preserve"> </w:t>
      </w:r>
      <w:r w:rsidR="005459D6">
        <w:t>A</w:t>
      </w:r>
      <w:r w:rsidR="0090493B">
        <w:t xml:space="preserve">cceptability curves </w:t>
      </w:r>
      <w:r w:rsidR="005459D6">
        <w:t xml:space="preserve">also </w:t>
      </w:r>
      <w:r w:rsidR="0090493B">
        <w:t xml:space="preserve">illustrate the uncertainty associated with the estimate of costs and effects as a result of sampling variation and were developed as a way of overcoming the </w:t>
      </w:r>
      <w:r>
        <w:t xml:space="preserve">previously described </w:t>
      </w:r>
      <w:r w:rsidR="0090493B">
        <w:t>statistical difficulties of calculating confidence intervals around incremental cost effectiveness ratios.</w:t>
      </w:r>
    </w:p>
    <w:p w14:paraId="59038439" w14:textId="77777777" w:rsidR="00220049" w:rsidRDefault="00220049" w:rsidP="00700ACC">
      <w:pPr>
        <w:rPr>
          <w:lang w:eastAsia="en-US"/>
        </w:rPr>
      </w:pPr>
    </w:p>
    <w:p w14:paraId="76F474A4" w14:textId="0AD5D460" w:rsidR="00700ACC" w:rsidRPr="00BE513D" w:rsidRDefault="001306F0" w:rsidP="00700ACC">
      <w:pPr>
        <w:rPr>
          <w:highlight w:val="yellow"/>
          <w:lang w:eastAsia="en-US"/>
        </w:rPr>
      </w:pPr>
      <w:r w:rsidRPr="00BE513D">
        <w:rPr>
          <w:lang w:eastAsia="en-US"/>
        </w:rPr>
        <w:t>This was</w:t>
      </w:r>
      <w:r w:rsidR="00E5194B" w:rsidRPr="00BE513D">
        <w:rPr>
          <w:lang w:eastAsia="en-US"/>
        </w:rPr>
        <w:t xml:space="preserve"> </w:t>
      </w:r>
      <w:r w:rsidRPr="00BE513D">
        <w:rPr>
          <w:lang w:eastAsia="en-US"/>
        </w:rPr>
        <w:t>repeated using three different measures of effectiveness:</w:t>
      </w:r>
      <w:r w:rsidR="00E5194B" w:rsidRPr="00BE513D">
        <w:rPr>
          <w:lang w:eastAsia="en-US"/>
        </w:rPr>
        <w:t xml:space="preserve"> </w:t>
      </w:r>
      <w:r w:rsidR="005459D6" w:rsidRPr="00BE513D">
        <w:rPr>
          <w:lang w:eastAsia="en-US"/>
        </w:rPr>
        <w:t>a change in</w:t>
      </w:r>
      <w:r w:rsidR="00BE513D" w:rsidRPr="00BE513D">
        <w:rPr>
          <w:lang w:eastAsia="en-US"/>
        </w:rPr>
        <w:t xml:space="preserve"> </w:t>
      </w:r>
      <w:r w:rsidR="005459D6" w:rsidRPr="00BE513D">
        <w:rPr>
          <w:lang w:eastAsia="en-US"/>
        </w:rPr>
        <w:t xml:space="preserve">quality of life </w:t>
      </w:r>
      <w:r w:rsidRPr="00BE513D">
        <w:rPr>
          <w:lang w:eastAsia="en-US"/>
        </w:rPr>
        <w:t>based on</w:t>
      </w:r>
      <w:r w:rsidR="00BE513D" w:rsidRPr="00BE513D">
        <w:rPr>
          <w:lang w:eastAsia="en-US"/>
        </w:rPr>
        <w:t xml:space="preserve"> </w:t>
      </w:r>
      <w:r w:rsidR="005459D6" w:rsidRPr="005459D6">
        <w:rPr>
          <w:lang w:eastAsia="en-US"/>
        </w:rPr>
        <w:t xml:space="preserve">the </w:t>
      </w:r>
      <w:r w:rsidR="00546C49">
        <w:rPr>
          <w:lang w:eastAsia="en-US"/>
        </w:rPr>
        <w:t>PCS</w:t>
      </w:r>
      <w:r w:rsidR="00BE513D">
        <w:rPr>
          <w:lang w:eastAsia="en-US"/>
        </w:rPr>
        <w:t xml:space="preserve"> and </w:t>
      </w:r>
      <w:r w:rsidR="00546C49">
        <w:rPr>
          <w:lang w:eastAsia="en-US"/>
        </w:rPr>
        <w:t>MSC</w:t>
      </w:r>
      <w:r w:rsidR="00BE513D">
        <w:rPr>
          <w:lang w:eastAsia="en-US"/>
        </w:rPr>
        <w:t xml:space="preserve"> of the </w:t>
      </w:r>
      <w:r w:rsidR="005459D6" w:rsidRPr="005459D6">
        <w:rPr>
          <w:lang w:eastAsia="en-US"/>
        </w:rPr>
        <w:t>SF-12v</w:t>
      </w:r>
      <w:r w:rsidR="005459D6">
        <w:rPr>
          <w:lang w:eastAsia="en-US"/>
        </w:rPr>
        <w:t>1®</w:t>
      </w:r>
      <w:r w:rsidR="00BE513D">
        <w:rPr>
          <w:lang w:eastAsia="en-US"/>
        </w:rPr>
        <w:t>,</w:t>
      </w:r>
      <w:r w:rsidR="005459D6">
        <w:rPr>
          <w:lang w:eastAsia="en-US"/>
        </w:rPr>
        <w:t xml:space="preserve"> as well as a change in ESR.</w:t>
      </w:r>
      <w:r w:rsidR="008D329D">
        <w:rPr>
          <w:lang w:eastAsia="en-US"/>
        </w:rPr>
        <w:t xml:space="preserve"> </w:t>
      </w:r>
      <w:r w:rsidR="008D329D">
        <w:t xml:space="preserve">To capture </w:t>
      </w:r>
      <w:r w:rsidR="00846E21">
        <w:t>any</w:t>
      </w:r>
      <w:r w:rsidR="008D329D">
        <w:t xml:space="preserve"> improvement in inflammation whereby a lower score is desirable we reversed scored the ESR </w:t>
      </w:r>
      <w:r w:rsidR="00546C49">
        <w:t>change</w:t>
      </w:r>
      <w:r w:rsidR="008D329D">
        <w:t xml:space="preserve"> scores (change from baseline to follow-up). For example, where a baseline score moved from 20 to 4 rather than depict this as -16, this was simply reversed to read as 16, denoting improvement.</w:t>
      </w:r>
      <w:r w:rsidR="00CB6AD2">
        <w:t xml:space="preserve"> There were no missing data in relation to healthcare usage </w:t>
      </w:r>
      <w:r w:rsidR="00CB6AD2">
        <w:lastRenderedPageBreak/>
        <w:t>or ESR. Missing data for SF-12v1 was dealt with by mean substitution</w:t>
      </w:r>
      <w:r w:rsidR="00FC29B5">
        <w:t>, as the results when using complete case analysis did not differ</w:t>
      </w:r>
      <w:r w:rsidR="00CB6AD2">
        <w:t xml:space="preserve">. </w:t>
      </w:r>
    </w:p>
    <w:p w14:paraId="1B2BB409" w14:textId="77777777" w:rsidR="00700ACC" w:rsidRDefault="00700ACC" w:rsidP="00700ACC"/>
    <w:p w14:paraId="76A68BDE" w14:textId="77777777" w:rsidR="008D329D" w:rsidRDefault="00700ACC" w:rsidP="008D329D">
      <w:r>
        <w:t>We performed several sensitivity analyses to ascertain thresholds for cost</w:t>
      </w:r>
      <w:r w:rsidR="006E1314">
        <w:t>-</w:t>
      </w:r>
      <w:r>
        <w:t xml:space="preserve">effectiveness and to explore the robustness of results </w:t>
      </w:r>
      <w:r w:rsidR="006E1314">
        <w:t xml:space="preserve">in relation </w:t>
      </w:r>
      <w:r>
        <w:t>to changes in the cost data</w:t>
      </w:r>
      <w:r w:rsidR="006E1314">
        <w:t xml:space="preserve">. </w:t>
      </w:r>
      <w:r w:rsidR="008D329D">
        <w:t>This included</w:t>
      </w:r>
      <w:r w:rsidR="008D329D" w:rsidRPr="006460FA">
        <w:t xml:space="preserve"> perform</w:t>
      </w:r>
      <w:r w:rsidR="008D329D">
        <w:t>ing</w:t>
      </w:r>
      <w:r w:rsidR="006E1314">
        <w:t xml:space="preserve"> analysis for </w:t>
      </w:r>
      <w:r w:rsidR="008D329D" w:rsidRPr="006460FA">
        <w:t>two different models of care:</w:t>
      </w:r>
    </w:p>
    <w:p w14:paraId="6E50B23D" w14:textId="77777777" w:rsidR="008D329D" w:rsidRDefault="008D329D" w:rsidP="008D329D"/>
    <w:p w14:paraId="28D2D243" w14:textId="77777777" w:rsidR="008D329D" w:rsidRPr="006460FA" w:rsidRDefault="008D329D" w:rsidP="008D329D">
      <w:pPr>
        <w:pStyle w:val="ListParagraph"/>
        <w:numPr>
          <w:ilvl w:val="0"/>
          <w:numId w:val="16"/>
        </w:numPr>
      </w:pPr>
      <w:r w:rsidRPr="006460FA">
        <w:rPr>
          <w:b/>
          <w:bCs/>
        </w:rPr>
        <w:lastRenderedPageBreak/>
        <w:t xml:space="preserve">Model One: </w:t>
      </w:r>
      <w:r>
        <w:t xml:space="preserve">The intervention and control group as implemented including </w:t>
      </w:r>
      <w:r w:rsidR="002A508B">
        <w:t xml:space="preserve">telephone calls to </w:t>
      </w:r>
      <w:r>
        <w:t xml:space="preserve">the </w:t>
      </w:r>
      <w:r w:rsidR="0016692D">
        <w:t>rheumatology nurse specialist</w:t>
      </w:r>
      <w:r>
        <w:t xml:space="preserve"> </w:t>
      </w:r>
      <w:r w:rsidR="002A508B">
        <w:t>helpline.</w:t>
      </w:r>
      <w:r w:rsidRPr="006460FA">
        <w:rPr>
          <w:rFonts w:eastAsiaTheme="minorHAnsi" w:cs="Calibri"/>
          <w:b/>
          <w:bCs/>
          <w:color w:val="000000"/>
          <w:lang w:eastAsia="en-US"/>
        </w:rPr>
        <w:t xml:space="preserve"> </w:t>
      </w:r>
    </w:p>
    <w:p w14:paraId="3AD910CF" w14:textId="6512C895" w:rsidR="008D329D" w:rsidRPr="00E86318" w:rsidRDefault="008D329D" w:rsidP="008D329D">
      <w:pPr>
        <w:pStyle w:val="ListParagraph"/>
        <w:numPr>
          <w:ilvl w:val="0"/>
          <w:numId w:val="16"/>
        </w:numPr>
      </w:pPr>
      <w:r w:rsidRPr="006460FA">
        <w:rPr>
          <w:b/>
          <w:bCs/>
        </w:rPr>
        <w:t xml:space="preserve">Model Two: </w:t>
      </w:r>
      <w:r w:rsidRPr="00E86318">
        <w:t xml:space="preserve">The intervention and control group as implemented not including the </w:t>
      </w:r>
      <w:r w:rsidR="00546C49">
        <w:t xml:space="preserve">costs </w:t>
      </w:r>
      <w:r w:rsidR="003E5EA1">
        <w:t xml:space="preserve">to hospital </w:t>
      </w:r>
      <w:r w:rsidR="00546C49">
        <w:t>associated with the nurse helpline</w:t>
      </w:r>
      <w:r w:rsidRPr="00E86318">
        <w:t xml:space="preserve"> - replicating the analysis performed </w:t>
      </w:r>
      <w:r w:rsidR="004D41CF">
        <w:t>elsewhere in the literature</w:t>
      </w:r>
      <w:r w:rsidR="00D14DED">
        <w:t xml:space="preserve"> </w:t>
      </w:r>
      <w:r w:rsidR="00DC6FD1">
        <w:t>[8]</w:t>
      </w:r>
      <w:r w:rsidR="00D14DED">
        <w:t>.</w:t>
      </w:r>
      <w:r w:rsidRPr="00E86318">
        <w:t xml:space="preserve"> This model assumes that the additional telephone contact generated by the intervention could be managed by the existing </w:t>
      </w:r>
      <w:r w:rsidR="0016692D">
        <w:t>rheumatology nurse specialists.</w:t>
      </w:r>
      <w:r w:rsidRPr="00E86318">
        <w:t xml:space="preserve"> </w:t>
      </w:r>
    </w:p>
    <w:p w14:paraId="34669F14" w14:textId="77777777" w:rsidR="008D329D" w:rsidRDefault="008D329D" w:rsidP="008D329D">
      <w:pPr>
        <w:rPr>
          <w:rFonts w:eastAsiaTheme="minorHAnsi" w:cs="Calibri"/>
          <w:color w:val="000000"/>
          <w:sz w:val="23"/>
          <w:szCs w:val="23"/>
          <w:lang w:eastAsia="en-US"/>
        </w:rPr>
      </w:pPr>
    </w:p>
    <w:p w14:paraId="5FF19FD9" w14:textId="3D3F3056" w:rsidR="008D329D" w:rsidRDefault="008D329D" w:rsidP="008D329D">
      <w:pPr>
        <w:rPr>
          <w:lang w:eastAsia="en-US"/>
        </w:rPr>
      </w:pPr>
      <w:r w:rsidRPr="00E86318">
        <w:rPr>
          <w:lang w:eastAsia="en-US"/>
        </w:rPr>
        <w:t>Each of these models was costed using the national average unit cost</w:t>
      </w:r>
      <w:r>
        <w:rPr>
          <w:lang w:eastAsia="en-US"/>
        </w:rPr>
        <w:t>,</w:t>
      </w:r>
      <w:r w:rsidRPr="00E86318">
        <w:rPr>
          <w:lang w:eastAsia="en-US"/>
        </w:rPr>
        <w:t xml:space="preserve"> as well as the upper and lower quartiles</w:t>
      </w:r>
      <w:r w:rsidR="00D14DED">
        <w:rPr>
          <w:lang w:eastAsia="en-US"/>
        </w:rPr>
        <w:t xml:space="preserve"> </w:t>
      </w:r>
      <w:r w:rsidR="00DC6FD1">
        <w:rPr>
          <w:lang w:eastAsia="en-US"/>
        </w:rPr>
        <w:t>[</w:t>
      </w:r>
      <w:r w:rsidR="00201489">
        <w:rPr>
          <w:lang w:eastAsia="en-US"/>
        </w:rPr>
        <w:t>31-33</w:t>
      </w:r>
      <w:r w:rsidR="00DC6FD1">
        <w:rPr>
          <w:lang w:eastAsia="en-US"/>
        </w:rPr>
        <w:t>]</w:t>
      </w:r>
      <w:r w:rsidR="00D14DED">
        <w:rPr>
          <w:lang w:eastAsia="en-US"/>
        </w:rPr>
        <w:t>.</w:t>
      </w:r>
      <w:r>
        <w:rPr>
          <w:lang w:eastAsia="en-US"/>
        </w:rPr>
        <w:t xml:space="preserve"> As part of the </w:t>
      </w:r>
      <w:r w:rsidRPr="00E86318">
        <w:rPr>
          <w:lang w:eastAsia="en-US"/>
        </w:rPr>
        <w:t>sensitivity analysis,</w:t>
      </w:r>
      <w:r w:rsidRPr="00C7307F">
        <w:rPr>
          <w:lang w:eastAsia="en-US"/>
        </w:rPr>
        <w:t xml:space="preserve"> </w:t>
      </w:r>
      <w:r w:rsidRPr="00E86318">
        <w:rPr>
          <w:lang w:eastAsia="en-US"/>
        </w:rPr>
        <w:t>the analysis of cost effectiveness was conducted with all three estimates (</w:t>
      </w:r>
      <w:r>
        <w:rPr>
          <w:lang w:eastAsia="en-US"/>
        </w:rPr>
        <w:t xml:space="preserve">involving </w:t>
      </w:r>
      <w:r w:rsidR="00DC6FD1">
        <w:rPr>
          <w:lang w:eastAsia="en-US"/>
        </w:rPr>
        <w:t>an</w:t>
      </w:r>
      <w:r>
        <w:rPr>
          <w:lang w:eastAsia="en-US"/>
        </w:rPr>
        <w:t xml:space="preserve"> </w:t>
      </w:r>
      <w:r w:rsidRPr="00E86318">
        <w:rPr>
          <w:lang w:eastAsia="en-US"/>
        </w:rPr>
        <w:t>upper, average and lower</w:t>
      </w:r>
      <w:r>
        <w:rPr>
          <w:lang w:eastAsia="en-US"/>
        </w:rPr>
        <w:t xml:space="preserve"> cost to assess whether cost effectiveness was sensitive to these</w:t>
      </w:r>
      <w:r w:rsidRPr="00E86318">
        <w:rPr>
          <w:lang w:eastAsia="en-US"/>
        </w:rPr>
        <w:t>).</w:t>
      </w:r>
      <w:r w:rsidR="00546C49">
        <w:rPr>
          <w:lang w:eastAsia="en-US"/>
        </w:rPr>
        <w:t xml:space="preserve"> No differences were found between these three levels and hence the results reported are for the average costs. </w:t>
      </w:r>
    </w:p>
    <w:p w14:paraId="538E4303" w14:textId="77777777" w:rsidR="000E2A12" w:rsidRDefault="000E2A12" w:rsidP="008D329D">
      <w:pPr>
        <w:rPr>
          <w:lang w:eastAsia="en-US"/>
        </w:rPr>
      </w:pPr>
    </w:p>
    <w:p w14:paraId="13ADBB9C" w14:textId="77777777" w:rsidR="00A907DC" w:rsidRDefault="00A907DC" w:rsidP="001306F0">
      <w:pPr>
        <w:pStyle w:val="Heading1"/>
      </w:pPr>
      <w:r>
        <w:t>Results</w:t>
      </w:r>
    </w:p>
    <w:p w14:paraId="266E6ADA" w14:textId="77777777" w:rsidR="00CB6AD2" w:rsidRDefault="000F50D2" w:rsidP="000F50D2">
      <w:r w:rsidRPr="000F50D2">
        <w:t xml:space="preserve">Full details on the </w:t>
      </w:r>
      <w:r>
        <w:t xml:space="preserve">participant characteristics and </w:t>
      </w:r>
      <w:r w:rsidRPr="000F50D2">
        <w:t xml:space="preserve">clinical outcomes are </w:t>
      </w:r>
      <w:r w:rsidR="008958E3">
        <w:t>presented elsewhere</w:t>
      </w:r>
      <w:r w:rsidR="00D14DED">
        <w:t xml:space="preserve"> </w:t>
      </w:r>
      <w:r w:rsidR="005B5D55">
        <w:t>[</w:t>
      </w:r>
      <w:r w:rsidR="000E1400">
        <w:t>21</w:t>
      </w:r>
      <w:r w:rsidR="005B5D55">
        <w:t>]</w:t>
      </w:r>
      <w:r w:rsidR="00D14DED">
        <w:t>.</w:t>
      </w:r>
      <w:r w:rsidR="00054B02">
        <w:t xml:space="preserve"> A consort flowchart for the study can be found in Appendix A.</w:t>
      </w:r>
      <w:r w:rsidRPr="000F50D2">
        <w:t xml:space="preserve"> </w:t>
      </w:r>
      <w:r w:rsidR="004A338B" w:rsidRPr="000F50D2">
        <w:t xml:space="preserve">The mean </w:t>
      </w:r>
      <w:r w:rsidRPr="000F50D2">
        <w:t>quality of life and ESR</w:t>
      </w:r>
      <w:r w:rsidR="004A338B" w:rsidRPr="000F50D2">
        <w:t xml:space="preserve"> gains post intervention, and for </w:t>
      </w:r>
      <w:r w:rsidR="007735B8" w:rsidRPr="000F50D2">
        <w:t>the control group</w:t>
      </w:r>
      <w:r w:rsidR="008958E3">
        <w:t xml:space="preserve"> can be found in Table 1</w:t>
      </w:r>
      <w:r w:rsidR="00CE14F7">
        <w:t xml:space="preserve"> and indicate no statistically significan</w:t>
      </w:r>
      <w:r w:rsidR="00546C49">
        <w:t xml:space="preserve">t changes </w:t>
      </w:r>
      <w:r w:rsidR="00CE14F7">
        <w:t>within or between trial arms</w:t>
      </w:r>
      <w:r w:rsidRPr="000F50D2">
        <w:t xml:space="preserve">. </w:t>
      </w:r>
    </w:p>
    <w:p w14:paraId="57FD5AE1" w14:textId="77777777" w:rsidR="00CB6AD2" w:rsidRDefault="00CB6AD2" w:rsidP="000F50D2"/>
    <w:p w14:paraId="108FABE3" w14:textId="1A58B3FB" w:rsidR="00095C3E" w:rsidRDefault="00095C3E" w:rsidP="000F50D2">
      <w:r>
        <w:lastRenderedPageBreak/>
        <w:t xml:space="preserve">[insert Table </w:t>
      </w:r>
      <w:r w:rsidR="00054B02">
        <w:t>1</w:t>
      </w:r>
      <w:r>
        <w:t>]</w:t>
      </w:r>
    </w:p>
    <w:p w14:paraId="1212835D" w14:textId="77777777" w:rsidR="00054B02" w:rsidRDefault="00054B02" w:rsidP="000F50D2"/>
    <w:p w14:paraId="3A305266" w14:textId="77777777" w:rsidR="00E802C4" w:rsidRDefault="00E802C4" w:rsidP="00E802C4">
      <w:pPr>
        <w:pStyle w:val="Heading2"/>
      </w:pPr>
      <w:r>
        <w:t>Resources use and cost outcomes</w:t>
      </w:r>
    </w:p>
    <w:p w14:paraId="6AD5F549" w14:textId="0EEA8B99" w:rsidR="004A338B" w:rsidRDefault="00DF04AC" w:rsidP="00A37224">
      <w:r>
        <w:rPr>
          <w:lang w:eastAsia="en-US"/>
        </w:rPr>
        <w:t xml:space="preserve">The sensitivity analysis found no differences between </w:t>
      </w:r>
      <w:r w:rsidRPr="00E86318">
        <w:rPr>
          <w:lang w:eastAsia="en-US"/>
        </w:rPr>
        <w:t>upper, average and lower</w:t>
      </w:r>
      <w:r>
        <w:rPr>
          <w:lang w:eastAsia="en-US"/>
        </w:rPr>
        <w:t xml:space="preserve"> costs and hence the results reported are for the average costs</w:t>
      </w:r>
      <w:r w:rsidR="007D020D">
        <w:rPr>
          <w:lang w:eastAsia="en-US"/>
        </w:rPr>
        <w:t xml:space="preserve"> (Appendix B)</w:t>
      </w:r>
      <w:r>
        <w:rPr>
          <w:lang w:eastAsia="en-US"/>
        </w:rPr>
        <w:t xml:space="preserve">. </w:t>
      </w:r>
      <w:r w:rsidR="00592ED5">
        <w:t xml:space="preserve">The cost data </w:t>
      </w:r>
      <w:r w:rsidR="00286A36">
        <w:t>and results of the t-test comparing the intervention and control arm are</w:t>
      </w:r>
      <w:r w:rsidR="00592ED5">
        <w:t xml:space="preserve"> presented in</w:t>
      </w:r>
      <w:r w:rsidR="00CD6046">
        <w:t xml:space="preserve"> </w:t>
      </w:r>
      <w:r w:rsidR="00CD6046">
        <w:fldChar w:fldCharType="begin"/>
      </w:r>
      <w:r w:rsidR="00CD6046">
        <w:instrText xml:space="preserve"> REF _Ref491352538 \h </w:instrText>
      </w:r>
      <w:r w:rsidR="00CD6046">
        <w:fldChar w:fldCharType="separate"/>
      </w:r>
      <w:r w:rsidR="00CD6046">
        <w:t xml:space="preserve">Table </w:t>
      </w:r>
      <w:r w:rsidR="00CD6046">
        <w:rPr>
          <w:noProof/>
        </w:rPr>
        <w:t>2</w:t>
      </w:r>
      <w:r w:rsidR="00CD6046">
        <w:fldChar w:fldCharType="end"/>
      </w:r>
      <w:r w:rsidR="00592ED5">
        <w:t xml:space="preserve">. It shows the costs per participant divided into </w:t>
      </w:r>
      <w:r w:rsidR="004A338B">
        <w:t>public</w:t>
      </w:r>
      <w:r w:rsidR="00592ED5">
        <w:t xml:space="preserve"> sector costs and those borne by the </w:t>
      </w:r>
      <w:r w:rsidR="00592ED5">
        <w:lastRenderedPageBreak/>
        <w:t xml:space="preserve">participant. Public sector costs are further subdivided by providing authority. Mean total costs of </w:t>
      </w:r>
      <w:r w:rsidR="003A4CC2">
        <w:t>care</w:t>
      </w:r>
      <w:r w:rsidR="00592ED5">
        <w:t xml:space="preserve"> per </w:t>
      </w:r>
      <w:r w:rsidR="003A4CC2">
        <w:t xml:space="preserve">intervention </w:t>
      </w:r>
      <w:r w:rsidR="00592ED5">
        <w:t>participant over the trial period were £</w:t>
      </w:r>
      <w:r w:rsidR="00BE50D8">
        <w:t>1029</w:t>
      </w:r>
      <w:r w:rsidR="003A4CC2">
        <w:t xml:space="preserve"> including the </w:t>
      </w:r>
      <w:r w:rsidR="00760617">
        <w:t xml:space="preserve">nurse-led </w:t>
      </w:r>
      <w:r w:rsidR="003A4CC2">
        <w:t xml:space="preserve">telephone helpline </w:t>
      </w:r>
      <w:r w:rsidR="00314CF9">
        <w:t xml:space="preserve">(model 1) </w:t>
      </w:r>
      <w:r w:rsidR="003A4CC2">
        <w:t>and £</w:t>
      </w:r>
      <w:r w:rsidR="00DB1E19">
        <w:t>6</w:t>
      </w:r>
      <w:r w:rsidR="007A7430">
        <w:t>7</w:t>
      </w:r>
      <w:r w:rsidR="00BE50D8">
        <w:t>2</w:t>
      </w:r>
      <w:r w:rsidR="003A4CC2">
        <w:t xml:space="preserve"> excluding the helpline</w:t>
      </w:r>
      <w:r w:rsidR="00314CF9">
        <w:t xml:space="preserve"> (model 2)</w:t>
      </w:r>
      <w:r w:rsidR="003A4CC2">
        <w:t>. Mean total costs of care per control participant over the trial period were £</w:t>
      </w:r>
      <w:r w:rsidR="0069493C">
        <w:t>766</w:t>
      </w:r>
      <w:r w:rsidR="003A4CC2">
        <w:t>. The differe</w:t>
      </w:r>
      <w:r w:rsidR="00314CF9">
        <w:t xml:space="preserve">nce in mean cost per case </w:t>
      </w:r>
      <w:r w:rsidR="001C1F56">
        <w:t xml:space="preserve">indicated that the </w:t>
      </w:r>
      <w:r w:rsidR="00677111">
        <w:t xml:space="preserve">intervention </w:t>
      </w:r>
      <w:r w:rsidR="001C1F56">
        <w:t xml:space="preserve">was </w:t>
      </w:r>
      <w:r w:rsidR="0069493C">
        <w:t>£</w:t>
      </w:r>
      <w:r w:rsidR="00BE50D8">
        <w:t>263</w:t>
      </w:r>
      <w:r w:rsidR="001C1F56">
        <w:t xml:space="preserve"> more expensive</w:t>
      </w:r>
      <w:r w:rsidR="0069493C">
        <w:t xml:space="preserve"> (95% CI </w:t>
      </w:r>
      <w:r w:rsidR="00EB7B2C">
        <w:t>£149.14 to £</w:t>
      </w:r>
      <w:r w:rsidR="00EB7B2C" w:rsidRPr="00EB7B2C">
        <w:t>375.86</w:t>
      </w:r>
      <w:r w:rsidR="0069493C">
        <w:t xml:space="preserve">) </w:t>
      </w:r>
      <w:r w:rsidR="00217063">
        <w:t>when the helpline costs were accounted for</w:t>
      </w:r>
      <w:r w:rsidR="003A4CC2">
        <w:t xml:space="preserve"> and £</w:t>
      </w:r>
      <w:r w:rsidR="0069493C">
        <w:t>94</w:t>
      </w:r>
      <w:r w:rsidR="003A4CC2">
        <w:t xml:space="preserve"> </w:t>
      </w:r>
      <w:r w:rsidR="00217063">
        <w:t xml:space="preserve">cheaper </w:t>
      </w:r>
      <w:r w:rsidR="003A4CC2">
        <w:t xml:space="preserve">(95% </w:t>
      </w:r>
      <w:r w:rsidR="003A4CC2">
        <w:lastRenderedPageBreak/>
        <w:t xml:space="preserve">CI </w:t>
      </w:r>
      <w:r w:rsidR="00EB7B2C" w:rsidRPr="00EB7B2C">
        <w:t>-</w:t>
      </w:r>
      <w:r w:rsidR="00EB7B2C">
        <w:t xml:space="preserve">£199.26 to </w:t>
      </w:r>
      <w:r w:rsidR="00EB7B2C" w:rsidRPr="00EB7B2C">
        <w:t>10.41</w:t>
      </w:r>
      <w:r w:rsidR="003A4CC2">
        <w:t xml:space="preserve">) </w:t>
      </w:r>
      <w:r w:rsidR="00217063">
        <w:t xml:space="preserve">when </w:t>
      </w:r>
      <w:r w:rsidR="008958E3">
        <w:t>these costs were absorbed by the usual service</w:t>
      </w:r>
      <w:r w:rsidR="003A4CC2">
        <w:t xml:space="preserve">. The wide confidence intervals reflect high variability in costs between trial participants. </w:t>
      </w:r>
    </w:p>
    <w:p w14:paraId="602F30D7" w14:textId="0D718AF0" w:rsidR="00095C3E" w:rsidRDefault="00095C3E" w:rsidP="00A37224"/>
    <w:p w14:paraId="57EBE311" w14:textId="02C40EED" w:rsidR="00095C3E" w:rsidRDefault="00095C3E" w:rsidP="00A37224">
      <w:r>
        <w:t>[insert Table 2]</w:t>
      </w:r>
    </w:p>
    <w:p w14:paraId="2D2FD061" w14:textId="77777777" w:rsidR="00E802C4" w:rsidRDefault="00E802C4" w:rsidP="00A37224"/>
    <w:p w14:paraId="75B07187" w14:textId="77777777" w:rsidR="00095C3E" w:rsidRDefault="004A338B" w:rsidP="00095C3E">
      <w:r>
        <w:t>Although not statistically significant the cost of primary care was high</w:t>
      </w:r>
      <w:r w:rsidR="003F35C8">
        <w:t>er</w:t>
      </w:r>
      <w:r>
        <w:t xml:space="preserve"> in the control compared to intervention arm by £</w:t>
      </w:r>
      <w:r w:rsidR="00BE50D8">
        <w:t>17</w:t>
      </w:r>
      <w:r>
        <w:t xml:space="preserve"> (95% CI -£</w:t>
      </w:r>
      <w:r w:rsidR="00EB7B2C">
        <w:t>34.78</w:t>
      </w:r>
      <w:r>
        <w:t xml:space="preserve"> to £</w:t>
      </w:r>
      <w:r w:rsidR="00EB7B2C">
        <w:t>1.49</w:t>
      </w:r>
      <w:r>
        <w:t>).</w:t>
      </w:r>
      <w:r w:rsidR="00314CF9">
        <w:t xml:space="preserve"> </w:t>
      </w:r>
      <w:r w:rsidR="003A4CC2">
        <w:t xml:space="preserve">Secondary care costs </w:t>
      </w:r>
      <w:r w:rsidR="003A4CC2">
        <w:lastRenderedPageBreak/>
        <w:t>represented the majority of the overall costs in both arms and across both models.</w:t>
      </w:r>
      <w:r w:rsidR="00CD6046">
        <w:t xml:space="preserve"> </w:t>
      </w:r>
      <w:r w:rsidR="00735861">
        <w:t xml:space="preserve">The overall costs of delivering secondary care services was higher in the </w:t>
      </w:r>
      <w:r w:rsidR="00BE50D8">
        <w:t xml:space="preserve">intervention </w:t>
      </w:r>
      <w:r>
        <w:t xml:space="preserve">compared to </w:t>
      </w:r>
      <w:r w:rsidR="00BE50D8">
        <w:t>control</w:t>
      </w:r>
      <w:r w:rsidR="00874743">
        <w:t xml:space="preserve"> group</w:t>
      </w:r>
      <w:r>
        <w:t xml:space="preserve"> by £</w:t>
      </w:r>
      <w:r w:rsidR="00BE50D8">
        <w:t>295</w:t>
      </w:r>
      <w:r w:rsidR="00EB7B2C">
        <w:t xml:space="preserve"> (95% CI £198.21</w:t>
      </w:r>
      <w:r>
        <w:t xml:space="preserve"> to £</w:t>
      </w:r>
      <w:r w:rsidR="00EB7B2C">
        <w:t>392.06</w:t>
      </w:r>
      <w:r w:rsidR="00BE50D8">
        <w:t xml:space="preserve">) </w:t>
      </w:r>
      <w:r w:rsidR="00B02A06">
        <w:t>when the helpline costs were included</w:t>
      </w:r>
      <w:r>
        <w:t xml:space="preserve"> and £</w:t>
      </w:r>
      <w:r w:rsidR="00874743">
        <w:t>62</w:t>
      </w:r>
      <w:r>
        <w:t xml:space="preserve"> </w:t>
      </w:r>
      <w:r w:rsidR="00B02A06">
        <w:t xml:space="preserve">cheaper </w:t>
      </w:r>
      <w:r>
        <w:t>(95% CI -£</w:t>
      </w:r>
      <w:r w:rsidR="00EB7B2C">
        <w:t>147.16</w:t>
      </w:r>
      <w:r>
        <w:t xml:space="preserve"> to £</w:t>
      </w:r>
      <w:r w:rsidR="00EB7B2C">
        <w:t>23.58</w:t>
      </w:r>
      <w:r>
        <w:t xml:space="preserve">) </w:t>
      </w:r>
      <w:r w:rsidR="00B02A06">
        <w:t>when they were not</w:t>
      </w:r>
      <w:r>
        <w:t xml:space="preserve">. </w:t>
      </w:r>
      <w:r w:rsidR="003A4CC2">
        <w:t xml:space="preserve">The cost of </w:t>
      </w:r>
      <w:r w:rsidR="00990959">
        <w:t>face-to-</w:t>
      </w:r>
      <w:r w:rsidR="00EE73DE">
        <w:t xml:space="preserve">face </w:t>
      </w:r>
      <w:r w:rsidR="003A4CC2">
        <w:t xml:space="preserve">appointments with the clinical nurse specialist were significantly </w:t>
      </w:r>
      <w:r>
        <w:t xml:space="preserve">(p &lt; 0.001) </w:t>
      </w:r>
      <w:r w:rsidR="003A4CC2">
        <w:t>hig</w:t>
      </w:r>
      <w:r w:rsidR="00874743">
        <w:t>her in the control arm by £71</w:t>
      </w:r>
      <w:r w:rsidR="003A4CC2">
        <w:t xml:space="preserve"> (95% CI </w:t>
      </w:r>
      <w:r w:rsidR="00EB7B2C">
        <w:t>-</w:t>
      </w:r>
      <w:r w:rsidR="003A4CC2">
        <w:t>£</w:t>
      </w:r>
      <w:r w:rsidR="00EB7B2C">
        <w:t>102.96</w:t>
      </w:r>
      <w:r w:rsidR="003A4CC2">
        <w:t xml:space="preserve"> to </w:t>
      </w:r>
      <w:r w:rsidR="00EB7B2C">
        <w:t>-</w:t>
      </w:r>
      <w:r w:rsidR="003A4CC2">
        <w:t>£</w:t>
      </w:r>
      <w:r w:rsidR="00EB7B2C">
        <w:t>39.10</w:t>
      </w:r>
      <w:r w:rsidR="00874743">
        <w:t xml:space="preserve">). For advice given via the nurse telephone helpline there were no costs for the control arm, mean costs for the </w:t>
      </w:r>
      <w:r w:rsidR="00874743">
        <w:lastRenderedPageBreak/>
        <w:t>intervention arm were £357</w:t>
      </w:r>
      <w:r w:rsidR="003A4CC2">
        <w:t xml:space="preserve">. </w:t>
      </w:r>
      <w:r w:rsidR="00403CB3">
        <w:t>The</w:t>
      </w:r>
      <w:r w:rsidR="00EB7B2C">
        <w:t xml:space="preserve">re was a statistically significant difference in the </w:t>
      </w:r>
      <w:r>
        <w:t xml:space="preserve">mean </w:t>
      </w:r>
      <w:r w:rsidR="001344E9">
        <w:t>costs</w:t>
      </w:r>
      <w:r w:rsidR="003A52A1">
        <w:t xml:space="preserve"> to the individual</w:t>
      </w:r>
      <w:r w:rsidR="00EB7B2C">
        <w:t xml:space="preserve">, costing the control arm </w:t>
      </w:r>
      <w:r w:rsidR="00403CB3">
        <w:t>£16</w:t>
      </w:r>
      <w:r w:rsidR="00EB7B2C">
        <w:t xml:space="preserve"> more on average than those in the intervention</w:t>
      </w:r>
      <w:r>
        <w:t xml:space="preserve"> (</w:t>
      </w:r>
      <w:r w:rsidR="00EB7B2C" w:rsidRPr="00EB7B2C">
        <w:rPr>
          <w:i/>
        </w:rPr>
        <w:t>p</w:t>
      </w:r>
      <w:r w:rsidR="00EB7B2C">
        <w:t xml:space="preserve"> = 0.02; </w:t>
      </w:r>
      <w:r>
        <w:t>95% CI -£</w:t>
      </w:r>
      <w:r w:rsidR="00EB7B2C">
        <w:t>28.98</w:t>
      </w:r>
      <w:r>
        <w:t xml:space="preserve"> to </w:t>
      </w:r>
      <w:r w:rsidR="00EB7B2C">
        <w:t>-</w:t>
      </w:r>
      <w:r>
        <w:t>£</w:t>
      </w:r>
      <w:r w:rsidR="00EB7B2C">
        <w:t>3.00</w:t>
      </w:r>
      <w:r>
        <w:t>)</w:t>
      </w:r>
      <w:r w:rsidR="00F6740F">
        <w:t xml:space="preserve"> as a consequence of having to travel to the </w:t>
      </w:r>
      <w:r w:rsidR="00EB7B2C">
        <w:t xml:space="preserve">outpatient </w:t>
      </w:r>
      <w:r w:rsidR="00F6740F">
        <w:t>clinic</w:t>
      </w:r>
      <w:r>
        <w:t>.</w:t>
      </w:r>
    </w:p>
    <w:p w14:paraId="5FC38BE1" w14:textId="77777777" w:rsidR="00095C3E" w:rsidRDefault="00095C3E" w:rsidP="00095C3E"/>
    <w:p w14:paraId="4A5E2AF8" w14:textId="0D004E2B" w:rsidR="003C47B4" w:rsidRDefault="003C47B4" w:rsidP="00095C3E">
      <w:pPr>
        <w:pStyle w:val="Heading2"/>
      </w:pPr>
      <w:r>
        <w:lastRenderedPageBreak/>
        <w:t xml:space="preserve">Cost </w:t>
      </w:r>
      <w:r w:rsidR="008D329D">
        <w:t xml:space="preserve">effectiveness </w:t>
      </w:r>
      <w:r>
        <w:t xml:space="preserve">analysis </w:t>
      </w:r>
    </w:p>
    <w:p w14:paraId="19A33B72" w14:textId="77777777" w:rsidR="003C47B4" w:rsidRDefault="003C47B4" w:rsidP="003C47B4">
      <w:pPr>
        <w:pStyle w:val="Heading3"/>
      </w:pPr>
      <w:r>
        <w:t>ESR</w:t>
      </w:r>
    </w:p>
    <w:p w14:paraId="6F4174E1" w14:textId="57DE1C77" w:rsidR="004216D7" w:rsidRDefault="004216D7" w:rsidP="004216D7">
      <w:r>
        <w:t xml:space="preserve">The </w:t>
      </w:r>
      <w:r w:rsidR="004D41CF">
        <w:t>ICER</w:t>
      </w:r>
      <w:r>
        <w:t xml:space="preserve"> for utility based on an improvement change in </w:t>
      </w:r>
      <w:r w:rsidR="001A4E71">
        <w:t>ESR</w:t>
      </w:r>
      <w:r>
        <w:t xml:space="preserve"> was £161 </w:t>
      </w:r>
      <w:r w:rsidR="00863A85">
        <w:t>when the helpline costs were included</w:t>
      </w:r>
      <w:r>
        <w:t xml:space="preserve"> and </w:t>
      </w:r>
      <w:r w:rsidR="00022831">
        <w:t>-£58</w:t>
      </w:r>
      <w:r>
        <w:t xml:space="preserve"> </w:t>
      </w:r>
      <w:r w:rsidR="00863A85">
        <w:t>when they were not</w:t>
      </w:r>
      <w:r>
        <w:t xml:space="preserve">. </w:t>
      </w:r>
      <w:r w:rsidR="00861F83">
        <w:t>The cost-</w:t>
      </w:r>
      <w:r w:rsidR="00B14272">
        <w:t>effectiveness plane</w:t>
      </w:r>
      <w:r>
        <w:t xml:space="preserve"> in </w:t>
      </w:r>
      <w:r>
        <w:fldChar w:fldCharType="begin"/>
      </w:r>
      <w:r>
        <w:instrText xml:space="preserve"> REF _Ref491870511 \h </w:instrText>
      </w:r>
      <w:r>
        <w:fldChar w:fldCharType="separate"/>
      </w:r>
      <w:r>
        <w:t xml:space="preserve">Figure </w:t>
      </w:r>
      <w:r>
        <w:fldChar w:fldCharType="end"/>
      </w:r>
      <w:r w:rsidR="006E1314">
        <w:t>1</w:t>
      </w:r>
      <w:r w:rsidR="00B14272">
        <w:t xml:space="preserve"> </w:t>
      </w:r>
      <w:r>
        <w:t xml:space="preserve">shows a distribution of 1000 replicates of cost and effects for the new service and care as usual using a change in </w:t>
      </w:r>
      <w:r w:rsidR="00B14272">
        <w:t>ESR</w:t>
      </w:r>
      <w:r>
        <w:t xml:space="preserve"> to determine utility scores. For both models the replicates </w:t>
      </w:r>
      <w:r>
        <w:lastRenderedPageBreak/>
        <w:t>were distributed across all four quadrants. In model 2</w:t>
      </w:r>
      <w:r w:rsidR="007356D4">
        <w:t>, when helpline cost</w:t>
      </w:r>
      <w:r w:rsidR="00E62521">
        <w:t>s are not accounted for</w:t>
      </w:r>
      <w:r>
        <w:t xml:space="preserve"> the replic</w:t>
      </w:r>
      <w:r w:rsidR="00861F83">
        <w:t>ates</w:t>
      </w:r>
      <w:r>
        <w:t xml:space="preserve"> appeared m</w:t>
      </w:r>
      <w:r w:rsidR="00B14272">
        <w:t xml:space="preserve">ore in the southern quadrants. </w:t>
      </w:r>
    </w:p>
    <w:p w14:paraId="2E2ACD16" w14:textId="77777777" w:rsidR="00B80CDF" w:rsidRDefault="00B80CDF" w:rsidP="004216D7"/>
    <w:p w14:paraId="5ADF71DC" w14:textId="491FE428" w:rsidR="0049438E" w:rsidRDefault="0049438E" w:rsidP="004216D7">
      <w:r>
        <w:t>[insert figure 1]</w:t>
      </w:r>
    </w:p>
    <w:p w14:paraId="42510C3D" w14:textId="77777777" w:rsidR="0090383A" w:rsidRDefault="0090383A" w:rsidP="004216D7"/>
    <w:p w14:paraId="3A4F6730" w14:textId="0EA5E0AB" w:rsidR="004216D7" w:rsidRDefault="004216D7" w:rsidP="004216D7">
      <w:pPr>
        <w:rPr>
          <w:lang w:eastAsia="en-US"/>
        </w:rPr>
      </w:pPr>
      <w:r w:rsidRPr="004761D7">
        <w:t>Cost-effectiveness acceptabi</w:t>
      </w:r>
      <w:r w:rsidR="001A5061">
        <w:t xml:space="preserve">lity curves for </w:t>
      </w:r>
      <w:r w:rsidR="00611D65">
        <w:t xml:space="preserve">both </w:t>
      </w:r>
      <w:r w:rsidR="001A5061">
        <w:t xml:space="preserve">models are </w:t>
      </w:r>
      <w:r w:rsidR="00B6028F">
        <w:t xml:space="preserve">also </w:t>
      </w:r>
      <w:r w:rsidR="001A5061">
        <w:t>shown in Figure</w:t>
      </w:r>
      <w:r w:rsidRPr="004761D7">
        <w:t xml:space="preserve"> </w:t>
      </w:r>
      <w:r w:rsidR="00B6028F">
        <w:t>1</w:t>
      </w:r>
      <w:r w:rsidR="006E1314">
        <w:t xml:space="preserve">. </w:t>
      </w:r>
      <w:r w:rsidRPr="004761D7">
        <w:rPr>
          <w:lang w:eastAsia="en-US"/>
        </w:rPr>
        <w:t xml:space="preserve">The analysis based on a cost per unit of change in </w:t>
      </w:r>
      <w:r w:rsidR="00B14272">
        <w:rPr>
          <w:lang w:eastAsia="en-US"/>
        </w:rPr>
        <w:t>ESR</w:t>
      </w:r>
      <w:r w:rsidRPr="004761D7">
        <w:rPr>
          <w:lang w:eastAsia="en-US"/>
        </w:rPr>
        <w:t xml:space="preserve"> </w:t>
      </w:r>
      <w:r w:rsidR="00861F83">
        <w:rPr>
          <w:lang w:eastAsia="en-US"/>
        </w:rPr>
        <w:t>indicates that</w:t>
      </w:r>
      <w:r w:rsidRPr="004761D7">
        <w:rPr>
          <w:lang w:eastAsia="en-US"/>
        </w:rPr>
        <w:t xml:space="preserve"> the probability o</w:t>
      </w:r>
      <w:r>
        <w:rPr>
          <w:lang w:eastAsia="en-US"/>
        </w:rPr>
        <w:t>f a cost-</w:t>
      </w:r>
      <w:r>
        <w:rPr>
          <w:lang w:eastAsia="en-US"/>
        </w:rPr>
        <w:lastRenderedPageBreak/>
        <w:t>effectiveness</w:t>
      </w:r>
      <w:r w:rsidRPr="004761D7">
        <w:rPr>
          <w:lang w:eastAsia="en-US"/>
        </w:rPr>
        <w:t xml:space="preserve"> </w:t>
      </w:r>
      <w:r w:rsidR="00022831">
        <w:rPr>
          <w:lang w:eastAsia="en-US"/>
        </w:rPr>
        <w:t xml:space="preserve">was no more than </w:t>
      </w:r>
      <w:r w:rsidR="00861F83">
        <w:rPr>
          <w:lang w:eastAsia="en-US"/>
        </w:rPr>
        <w:t>57</w:t>
      </w:r>
      <w:r w:rsidRPr="004761D7">
        <w:rPr>
          <w:lang w:eastAsia="en-US"/>
        </w:rPr>
        <w:t>%</w:t>
      </w:r>
      <w:r>
        <w:rPr>
          <w:lang w:eastAsia="en-US"/>
        </w:rPr>
        <w:t xml:space="preserve"> </w:t>
      </w:r>
      <w:r w:rsidR="00611D65">
        <w:rPr>
          <w:lang w:eastAsia="en-US"/>
        </w:rPr>
        <w:t>when helpline costs are accounted for</w:t>
      </w:r>
      <w:r w:rsidR="00546C49">
        <w:rPr>
          <w:lang w:eastAsia="en-US"/>
        </w:rPr>
        <w:t xml:space="preserve"> (model 1)</w:t>
      </w:r>
      <w:r w:rsidR="00861F83">
        <w:rPr>
          <w:lang w:eastAsia="en-US"/>
        </w:rPr>
        <w:t xml:space="preserve"> and 58% </w:t>
      </w:r>
      <w:r w:rsidR="00611D65">
        <w:rPr>
          <w:lang w:eastAsia="en-US"/>
        </w:rPr>
        <w:t>when they are not</w:t>
      </w:r>
      <w:r w:rsidR="00546C49">
        <w:rPr>
          <w:lang w:eastAsia="en-US"/>
        </w:rPr>
        <w:t xml:space="preserve"> (model 2)</w:t>
      </w:r>
      <w:r w:rsidR="00611D65">
        <w:rPr>
          <w:lang w:eastAsia="en-US"/>
        </w:rPr>
        <w:t xml:space="preserve">, </w:t>
      </w:r>
      <w:r w:rsidR="00861F83">
        <w:rPr>
          <w:lang w:eastAsia="en-US"/>
        </w:rPr>
        <w:t>at different</w:t>
      </w:r>
      <w:r>
        <w:rPr>
          <w:lang w:eastAsia="en-US"/>
        </w:rPr>
        <w:t xml:space="preserve"> thresholds of expenditure from £1000 up to £50,000. </w:t>
      </w:r>
    </w:p>
    <w:p w14:paraId="13366CEA" w14:textId="3BE4748A" w:rsidR="001A5061" w:rsidRDefault="001A5061" w:rsidP="001A5061">
      <w:pPr>
        <w:spacing w:line="240" w:lineRule="auto"/>
        <w:rPr>
          <w:lang w:eastAsia="en-US"/>
        </w:rPr>
      </w:pPr>
    </w:p>
    <w:p w14:paraId="76E6D9A3" w14:textId="77777777" w:rsidR="003C47B4" w:rsidRDefault="003C47B4" w:rsidP="003C47B4">
      <w:pPr>
        <w:pStyle w:val="Heading3"/>
      </w:pPr>
      <w:r>
        <w:t>Mental health quality of life</w:t>
      </w:r>
    </w:p>
    <w:p w14:paraId="1138468B" w14:textId="78889CC4" w:rsidR="003C47B4" w:rsidRDefault="003C47B4" w:rsidP="003C47B4">
      <w:r>
        <w:t xml:space="preserve">The </w:t>
      </w:r>
      <w:r w:rsidR="001A5061">
        <w:t>ICER</w:t>
      </w:r>
      <w:r>
        <w:t xml:space="preserve"> for utility based on an improvement change in mental health quali</w:t>
      </w:r>
      <w:r w:rsidR="00FF6BA2">
        <w:t>ty of life was £161</w:t>
      </w:r>
      <w:r w:rsidR="002246A6">
        <w:t xml:space="preserve"> for model 1 and -£58 for model 2</w:t>
      </w:r>
      <w:r>
        <w:t xml:space="preserve">. </w:t>
      </w:r>
      <w:r w:rsidR="001A5061">
        <w:t>The cost effectiveness plane</w:t>
      </w:r>
      <w:r>
        <w:t xml:space="preserve"> in </w:t>
      </w:r>
      <w:r w:rsidR="00B6028F">
        <w:t>Figure 2</w:t>
      </w:r>
      <w:r>
        <w:t xml:space="preserve"> shows </w:t>
      </w:r>
      <w:r w:rsidR="001A5061">
        <w:lastRenderedPageBreak/>
        <w:t>that for</w:t>
      </w:r>
      <w:r w:rsidR="00C14286">
        <w:t xml:space="preserve"> both models the replicates were distributed across all four quadrants. In model 2 the replic</w:t>
      </w:r>
      <w:r w:rsidR="008E4821">
        <w:t>ate</w:t>
      </w:r>
      <w:r w:rsidR="00C14286">
        <w:t xml:space="preserve">s appeared </w:t>
      </w:r>
      <w:r w:rsidR="001A5061">
        <w:t>more in the southern quadrants.</w:t>
      </w:r>
      <w:r w:rsidR="00C14286">
        <w:t xml:space="preserve"> </w:t>
      </w:r>
    </w:p>
    <w:p w14:paraId="0F1477AC" w14:textId="77777777" w:rsidR="00B6028F" w:rsidRDefault="00B6028F" w:rsidP="003C47B4"/>
    <w:p w14:paraId="56047C02" w14:textId="6A924D16" w:rsidR="0049438E" w:rsidRDefault="0049438E" w:rsidP="003C47B4">
      <w:r>
        <w:t xml:space="preserve">[insert figure </w:t>
      </w:r>
      <w:r w:rsidR="00B6028F">
        <w:t>2</w:t>
      </w:r>
      <w:r>
        <w:t>]</w:t>
      </w:r>
    </w:p>
    <w:p w14:paraId="3A05319D" w14:textId="79BC9397" w:rsidR="003C47B4" w:rsidRDefault="003C47B4" w:rsidP="003C47B4">
      <w:pPr>
        <w:keepNext/>
        <w:spacing w:line="240" w:lineRule="auto"/>
      </w:pPr>
    </w:p>
    <w:p w14:paraId="0A2C14A9" w14:textId="0541E850" w:rsidR="00AC6D4E" w:rsidRDefault="00AC6D4E" w:rsidP="00AC6D4E">
      <w:pPr>
        <w:rPr>
          <w:lang w:eastAsia="en-US"/>
        </w:rPr>
      </w:pPr>
      <w:r w:rsidRPr="004761D7">
        <w:t>Cost-effectiveness acceptabi</w:t>
      </w:r>
      <w:r w:rsidR="00F07DF3">
        <w:t xml:space="preserve">lity curves are </w:t>
      </w:r>
      <w:r w:rsidR="00B6028F">
        <w:t xml:space="preserve">also </w:t>
      </w:r>
      <w:r w:rsidR="00F07DF3">
        <w:t xml:space="preserve">shown in Figure </w:t>
      </w:r>
      <w:r w:rsidR="00B6028F">
        <w:t>2</w:t>
      </w:r>
      <w:r w:rsidR="00F07DF3">
        <w:t>.</w:t>
      </w:r>
      <w:r w:rsidRPr="004761D7">
        <w:t xml:space="preserve"> </w:t>
      </w:r>
      <w:r w:rsidRPr="004761D7">
        <w:rPr>
          <w:lang w:eastAsia="en-US"/>
        </w:rPr>
        <w:t>The analys</w:t>
      </w:r>
      <w:r w:rsidR="00FF4EB5" w:rsidRPr="004761D7">
        <w:rPr>
          <w:lang w:eastAsia="en-US"/>
        </w:rPr>
        <w:t>is based on a cost per unit of change in mental health</w:t>
      </w:r>
      <w:r w:rsidR="00861F83">
        <w:rPr>
          <w:lang w:eastAsia="en-US"/>
        </w:rPr>
        <w:t>-related</w:t>
      </w:r>
      <w:r w:rsidR="00FF4EB5" w:rsidRPr="004761D7">
        <w:rPr>
          <w:lang w:eastAsia="en-US"/>
        </w:rPr>
        <w:t xml:space="preserve"> quality of life </w:t>
      </w:r>
      <w:r w:rsidR="00861F83">
        <w:rPr>
          <w:lang w:eastAsia="en-US"/>
        </w:rPr>
        <w:t>suggests that the</w:t>
      </w:r>
      <w:r w:rsidRPr="004761D7">
        <w:rPr>
          <w:lang w:eastAsia="en-US"/>
        </w:rPr>
        <w:t xml:space="preserve"> probability o</w:t>
      </w:r>
      <w:r w:rsidR="00861F83">
        <w:rPr>
          <w:lang w:eastAsia="en-US"/>
        </w:rPr>
        <w:t xml:space="preserve">f </w:t>
      </w:r>
      <w:r w:rsidR="002246A6">
        <w:rPr>
          <w:lang w:eastAsia="en-US"/>
        </w:rPr>
        <w:t>cost-effectiveness</w:t>
      </w:r>
      <w:r w:rsidRPr="004761D7">
        <w:rPr>
          <w:lang w:eastAsia="en-US"/>
        </w:rPr>
        <w:t xml:space="preserve"> </w:t>
      </w:r>
      <w:r w:rsidR="002246A6">
        <w:rPr>
          <w:lang w:eastAsia="en-US"/>
        </w:rPr>
        <w:t xml:space="preserve">was no more than </w:t>
      </w:r>
      <w:r w:rsidR="00861F83">
        <w:rPr>
          <w:lang w:eastAsia="en-US"/>
        </w:rPr>
        <w:t>53</w:t>
      </w:r>
      <w:r w:rsidRPr="004761D7">
        <w:rPr>
          <w:lang w:eastAsia="en-US"/>
        </w:rPr>
        <w:t>%</w:t>
      </w:r>
      <w:r w:rsidR="00861F83">
        <w:rPr>
          <w:lang w:eastAsia="en-US"/>
        </w:rPr>
        <w:t xml:space="preserve"> for model 1 and 55%</w:t>
      </w:r>
      <w:r w:rsidR="00611D65">
        <w:rPr>
          <w:lang w:eastAsia="en-US"/>
        </w:rPr>
        <w:t xml:space="preserve"> for model 2</w:t>
      </w:r>
      <w:r w:rsidR="002246A6">
        <w:rPr>
          <w:lang w:eastAsia="en-US"/>
        </w:rPr>
        <w:t xml:space="preserve">. </w:t>
      </w:r>
    </w:p>
    <w:p w14:paraId="58214300" w14:textId="6EC0E921" w:rsidR="001A5061" w:rsidRDefault="001A5061" w:rsidP="00C849D8">
      <w:pPr>
        <w:spacing w:line="240" w:lineRule="auto"/>
        <w:rPr>
          <w:lang w:eastAsia="en-US"/>
        </w:rPr>
      </w:pPr>
    </w:p>
    <w:p w14:paraId="60D204AA" w14:textId="77777777" w:rsidR="00D20580" w:rsidRDefault="001A5061" w:rsidP="00BE53A6">
      <w:pPr>
        <w:pStyle w:val="Heading3"/>
        <w:rPr>
          <w:lang w:eastAsia="en-US"/>
        </w:rPr>
      </w:pPr>
      <w:r>
        <w:rPr>
          <w:lang w:eastAsia="en-US"/>
        </w:rPr>
        <w:t>Physical health quality of life</w:t>
      </w:r>
    </w:p>
    <w:p w14:paraId="7409D202" w14:textId="207EC8F6" w:rsidR="00C849D8" w:rsidRDefault="00C849D8" w:rsidP="00C849D8">
      <w:r>
        <w:t xml:space="preserve">The ICER for utility based on an improvement change in </w:t>
      </w:r>
      <w:r w:rsidR="008958E3">
        <w:t xml:space="preserve">physical </w:t>
      </w:r>
      <w:r w:rsidR="00087FA9">
        <w:t>health</w:t>
      </w:r>
      <w:r w:rsidR="00861F83">
        <w:t>-related</w:t>
      </w:r>
      <w:r w:rsidR="00087FA9">
        <w:t xml:space="preserve"> quality of life was -</w:t>
      </w:r>
      <w:r>
        <w:t>£104 for model 1 and £37 for model 2</w:t>
      </w:r>
      <w:r w:rsidR="009412BF">
        <w:t xml:space="preserve">. </w:t>
      </w:r>
      <w:r>
        <w:t xml:space="preserve">The cost effectiveness plane in </w:t>
      </w:r>
      <w:r w:rsidR="006A6631" w:rsidRPr="00060596">
        <w:t xml:space="preserve">Figure </w:t>
      </w:r>
      <w:r w:rsidR="00B6028F">
        <w:t>3</w:t>
      </w:r>
      <w:r w:rsidRPr="00060596">
        <w:t xml:space="preserve"> shows that for both models the replicates were distributed across</w:t>
      </w:r>
      <w:r w:rsidR="008958E3">
        <w:t xml:space="preserve"> all four quadrants. In model 2, when the costs of the helpline are not included </w:t>
      </w:r>
      <w:r w:rsidRPr="00060596">
        <w:t xml:space="preserve">the </w:t>
      </w:r>
      <w:r w:rsidR="00060596" w:rsidRPr="00060596">
        <w:t>replicates</w:t>
      </w:r>
      <w:r w:rsidRPr="00060596">
        <w:t xml:space="preserve"> appeared more in the southern quadrants.</w:t>
      </w:r>
      <w:r>
        <w:t xml:space="preserve"> </w:t>
      </w:r>
    </w:p>
    <w:p w14:paraId="2B1B4A2E" w14:textId="77777777" w:rsidR="00B80CDF" w:rsidRDefault="00B80CDF" w:rsidP="00C849D8"/>
    <w:p w14:paraId="683442DD" w14:textId="2C73EBA2" w:rsidR="0049438E" w:rsidRDefault="0049438E" w:rsidP="00C849D8">
      <w:r>
        <w:lastRenderedPageBreak/>
        <w:t xml:space="preserve">[insert figure </w:t>
      </w:r>
      <w:r w:rsidR="00B6028F">
        <w:t>3</w:t>
      </w:r>
      <w:r>
        <w:t>]</w:t>
      </w:r>
    </w:p>
    <w:p w14:paraId="37CA9847" w14:textId="2F6FCAB9" w:rsidR="001A5061" w:rsidRDefault="001A5061" w:rsidP="00060596">
      <w:pPr>
        <w:spacing w:line="240" w:lineRule="auto"/>
        <w:rPr>
          <w:lang w:eastAsia="en-US"/>
        </w:rPr>
      </w:pPr>
    </w:p>
    <w:p w14:paraId="4ECEBDD9" w14:textId="0F015F19" w:rsidR="006A6631" w:rsidRDefault="006A6631" w:rsidP="006A6631">
      <w:pPr>
        <w:rPr>
          <w:lang w:eastAsia="en-US"/>
        </w:rPr>
      </w:pPr>
      <w:r w:rsidRPr="00861F83">
        <w:t>Cost-effectiveness acceptabil</w:t>
      </w:r>
      <w:r w:rsidR="00861F83">
        <w:t xml:space="preserve">ity curves are </w:t>
      </w:r>
      <w:r w:rsidR="00B6028F">
        <w:t xml:space="preserve">also </w:t>
      </w:r>
      <w:r w:rsidR="00861F83">
        <w:t xml:space="preserve">shown in Figure </w:t>
      </w:r>
      <w:r w:rsidR="00B6028F">
        <w:t>3</w:t>
      </w:r>
      <w:r w:rsidRPr="00861F83">
        <w:t xml:space="preserve">. </w:t>
      </w:r>
      <w:r w:rsidRPr="00861F83">
        <w:rPr>
          <w:lang w:eastAsia="en-US"/>
        </w:rPr>
        <w:t xml:space="preserve">The analysis based on a cost per unit of change in </w:t>
      </w:r>
      <w:r w:rsidR="00060596" w:rsidRPr="00861F83">
        <w:rPr>
          <w:lang w:eastAsia="en-US"/>
        </w:rPr>
        <w:t xml:space="preserve">physical </w:t>
      </w:r>
      <w:r w:rsidRPr="00861F83">
        <w:rPr>
          <w:lang w:eastAsia="en-US"/>
        </w:rPr>
        <w:t>health</w:t>
      </w:r>
      <w:r w:rsidR="00861F83">
        <w:rPr>
          <w:lang w:eastAsia="en-US"/>
        </w:rPr>
        <w:t>-related</w:t>
      </w:r>
      <w:r w:rsidRPr="00861F83">
        <w:rPr>
          <w:lang w:eastAsia="en-US"/>
        </w:rPr>
        <w:t xml:space="preserve"> quality of life </w:t>
      </w:r>
      <w:r w:rsidR="00060596" w:rsidRPr="00861F83">
        <w:rPr>
          <w:lang w:eastAsia="en-US"/>
        </w:rPr>
        <w:t xml:space="preserve">show that the probability of </w:t>
      </w:r>
      <w:r w:rsidRPr="00861F83">
        <w:rPr>
          <w:lang w:eastAsia="en-US"/>
        </w:rPr>
        <w:t xml:space="preserve">cost-effectiveness was no more than </w:t>
      </w:r>
      <w:r w:rsidR="00060596" w:rsidRPr="00861F83">
        <w:rPr>
          <w:lang w:eastAsia="en-US"/>
        </w:rPr>
        <w:t>4</w:t>
      </w:r>
      <w:r w:rsidR="00861F83">
        <w:rPr>
          <w:lang w:eastAsia="en-US"/>
        </w:rPr>
        <w:t>5</w:t>
      </w:r>
      <w:r w:rsidRPr="00861F83">
        <w:rPr>
          <w:lang w:eastAsia="en-US"/>
        </w:rPr>
        <w:t>%</w:t>
      </w:r>
      <w:r w:rsidR="00060596" w:rsidRPr="00861F83">
        <w:rPr>
          <w:lang w:eastAsia="en-US"/>
        </w:rPr>
        <w:t xml:space="preserve"> for model 1 and</w:t>
      </w:r>
      <w:r w:rsidR="00861F83">
        <w:rPr>
          <w:lang w:eastAsia="en-US"/>
        </w:rPr>
        <w:t xml:space="preserve"> 60%</w:t>
      </w:r>
      <w:r w:rsidR="00060596" w:rsidRPr="00861F83">
        <w:rPr>
          <w:lang w:eastAsia="en-US"/>
        </w:rPr>
        <w:t xml:space="preserve"> for model 2</w:t>
      </w:r>
      <w:r w:rsidRPr="00861F83">
        <w:rPr>
          <w:lang w:eastAsia="en-US"/>
        </w:rPr>
        <w:t>.</w:t>
      </w:r>
      <w:r>
        <w:rPr>
          <w:lang w:eastAsia="en-US"/>
        </w:rPr>
        <w:t xml:space="preserve"> </w:t>
      </w:r>
    </w:p>
    <w:p w14:paraId="50F98906" w14:textId="77777777" w:rsidR="00B80CDF" w:rsidRDefault="00B80CDF" w:rsidP="006A6631">
      <w:pPr>
        <w:rPr>
          <w:lang w:eastAsia="en-US"/>
        </w:rPr>
      </w:pPr>
    </w:p>
    <w:p w14:paraId="6A011FC2" w14:textId="77777777" w:rsidR="0051640A" w:rsidRDefault="0051640A" w:rsidP="0051640A">
      <w:pPr>
        <w:pStyle w:val="Heading1"/>
      </w:pPr>
      <w:r w:rsidRPr="0051640A">
        <w:lastRenderedPageBreak/>
        <w:t>DISCUSSION</w:t>
      </w:r>
    </w:p>
    <w:p w14:paraId="482C5142" w14:textId="0B0D71D6" w:rsidR="00827389" w:rsidRDefault="00E32F7A" w:rsidP="00BD6301">
      <w:r>
        <w:t>T</w:t>
      </w:r>
      <w:r w:rsidR="001C7C16">
        <w:t xml:space="preserve">his is the first </w:t>
      </w:r>
      <w:r w:rsidR="00C63032">
        <w:t>cost-effectiveness analysis</w:t>
      </w:r>
      <w:r w:rsidR="00C63032" w:rsidRPr="00C63032">
        <w:t xml:space="preserve"> </w:t>
      </w:r>
      <w:r w:rsidR="008B40F7">
        <w:t xml:space="preserve">of a patient-initiated service </w:t>
      </w:r>
      <w:r w:rsidR="00C63032">
        <w:t xml:space="preserve">that </w:t>
      </w:r>
      <w:r w:rsidR="008B40F7">
        <w:t>uses</w:t>
      </w:r>
      <w:r w:rsidR="00C63032">
        <w:t xml:space="preserve"> </w:t>
      </w:r>
      <w:r w:rsidR="0046273B">
        <w:t>CEACs for assessing uncertainty around the distribution of costs and variability of costs, as recommended</w:t>
      </w:r>
      <w:r w:rsidR="00990959">
        <w:t xml:space="preserve"> in the literature</w:t>
      </w:r>
      <w:r w:rsidR="00562988">
        <w:t xml:space="preserve"> </w:t>
      </w:r>
      <w:r w:rsidR="00846E21" w:rsidRPr="006F635D">
        <w:t>[</w:t>
      </w:r>
      <w:r w:rsidR="00201489">
        <w:t>34</w:t>
      </w:r>
      <w:r w:rsidR="00846E21" w:rsidRPr="006F635D">
        <w:t>]</w:t>
      </w:r>
      <w:r w:rsidR="00562988">
        <w:t>.</w:t>
      </w:r>
      <w:r w:rsidR="00846E21">
        <w:t xml:space="preserve"> </w:t>
      </w:r>
    </w:p>
    <w:p w14:paraId="67362D83" w14:textId="77777777" w:rsidR="00827389" w:rsidRDefault="00827389" w:rsidP="00BD6301"/>
    <w:p w14:paraId="386A9D7A" w14:textId="0154B0A8" w:rsidR="00F6740F" w:rsidRDefault="004E766D" w:rsidP="00BD6301">
      <w:r>
        <w:t xml:space="preserve">The </w:t>
      </w:r>
      <w:r w:rsidR="00AA74F2">
        <w:t>analysis indicate</w:t>
      </w:r>
      <w:r w:rsidR="00827389">
        <w:t>s</w:t>
      </w:r>
      <w:r w:rsidR="00AA74F2">
        <w:t xml:space="preserve"> that t</w:t>
      </w:r>
      <w:r w:rsidR="00D51CE1">
        <w:t xml:space="preserve">here were no significant differences between </w:t>
      </w:r>
      <w:r w:rsidR="00592139">
        <w:t>standard care and the patient-initiated service</w:t>
      </w:r>
      <w:r w:rsidR="00D51CE1">
        <w:t xml:space="preserve"> in the cost</w:t>
      </w:r>
      <w:r w:rsidR="00592139">
        <w:t>s</w:t>
      </w:r>
      <w:r w:rsidR="00D51CE1">
        <w:t xml:space="preserve"> related to specialist consultations with the </w:t>
      </w:r>
      <w:r w:rsidR="00D51CE1">
        <w:lastRenderedPageBreak/>
        <w:t>rheumatologist</w:t>
      </w:r>
      <w:r w:rsidR="00A82176">
        <w:t xml:space="preserve"> or GP visits. </w:t>
      </w:r>
      <w:r w:rsidR="00A6649E">
        <w:t>T</w:t>
      </w:r>
      <w:r w:rsidR="00902ED1">
        <w:t xml:space="preserve">he </w:t>
      </w:r>
      <w:r w:rsidR="00A6649E">
        <w:t>cost</w:t>
      </w:r>
      <w:r w:rsidR="00902ED1">
        <w:t xml:space="preserve"> of </w:t>
      </w:r>
      <w:r w:rsidR="00AA74F2">
        <w:t xml:space="preserve">outpatient visits to the nurse specialist </w:t>
      </w:r>
      <w:r w:rsidR="002D6287">
        <w:t xml:space="preserve">were </w:t>
      </w:r>
      <w:r w:rsidR="00A6649E">
        <w:t>however, s</w:t>
      </w:r>
      <w:r w:rsidR="002D6287">
        <w:t xml:space="preserve">ignificantly </w:t>
      </w:r>
      <w:r w:rsidR="00487F52">
        <w:t>lower</w:t>
      </w:r>
      <w:r w:rsidR="002D6287">
        <w:t xml:space="preserve"> in the patient-initiated service compared to standard care</w:t>
      </w:r>
      <w:r w:rsidR="001C4BEA">
        <w:t xml:space="preserve">. </w:t>
      </w:r>
      <w:r w:rsidR="003A2258">
        <w:t xml:space="preserve">This meant that costs </w:t>
      </w:r>
      <w:r w:rsidR="00A6649E">
        <w:t>bo</w:t>
      </w:r>
      <w:r w:rsidR="008958E3">
        <w:t>rn</w:t>
      </w:r>
      <w:r w:rsidR="00A6649E">
        <w:t>e by</w:t>
      </w:r>
      <w:r w:rsidR="003A2258">
        <w:t xml:space="preserve"> primary and secondary care </w:t>
      </w:r>
      <w:r w:rsidR="00A6649E">
        <w:t xml:space="preserve">service </w:t>
      </w:r>
      <w:r w:rsidR="003A2258">
        <w:t>were lower for the intervention arm compared to control conditions, although not significant</w:t>
      </w:r>
      <w:r w:rsidR="000737B9">
        <w:t>ly different</w:t>
      </w:r>
      <w:r w:rsidR="003A2258">
        <w:t xml:space="preserve">. </w:t>
      </w:r>
      <w:r w:rsidR="000737B9">
        <w:t>This is i</w:t>
      </w:r>
      <w:r w:rsidR="003A2258">
        <w:t>n line with a systematic review of pat</w:t>
      </w:r>
      <w:r w:rsidR="000737B9">
        <w:t xml:space="preserve">ient-initiated services across </w:t>
      </w:r>
      <w:r w:rsidR="00374DC4">
        <w:t xml:space="preserve">a range of </w:t>
      </w:r>
      <w:r w:rsidR="000737B9">
        <w:t>chronic or recurrent</w:t>
      </w:r>
      <w:r w:rsidR="003A2258">
        <w:t xml:space="preserve"> conditions</w:t>
      </w:r>
      <w:r w:rsidR="00E857A8">
        <w:t xml:space="preserve"> managed in secondary care</w:t>
      </w:r>
      <w:r w:rsidR="00562988">
        <w:t xml:space="preserve"> </w:t>
      </w:r>
      <w:r w:rsidR="005B5D55">
        <w:t>[</w:t>
      </w:r>
      <w:r w:rsidR="000E1400">
        <w:t>9</w:t>
      </w:r>
      <w:r w:rsidR="005B5D55">
        <w:t>]</w:t>
      </w:r>
      <w:r w:rsidR="00562988">
        <w:t>,</w:t>
      </w:r>
      <w:r w:rsidR="00A6649E">
        <w:t xml:space="preserve"> </w:t>
      </w:r>
      <w:r w:rsidR="00A6649E" w:rsidRPr="00F70E98">
        <w:t>in which</w:t>
      </w:r>
      <w:r w:rsidR="007D72AB" w:rsidRPr="00F70E98">
        <w:t xml:space="preserve"> the interv</w:t>
      </w:r>
      <w:r w:rsidR="007D72AB">
        <w:t xml:space="preserve">ention was not harmful to patients </w:t>
      </w:r>
      <w:r w:rsidR="00374DC4">
        <w:t>but was</w:t>
      </w:r>
      <w:r w:rsidR="007D72AB">
        <w:t xml:space="preserve"> associated with savings in health service resources and costs.</w:t>
      </w:r>
      <w:r w:rsidR="003A2258">
        <w:t xml:space="preserve"> </w:t>
      </w:r>
      <w:r w:rsidR="001344E9">
        <w:lastRenderedPageBreak/>
        <w:t xml:space="preserve">In fact, the costs borne by the patient were significantly less for those using the patient-initiated service compared to usual care as a consequence of not having to travel into the outpatient’s clinic. Although not measured in this study, the saving in time and money could also suggest that a saving in days or hours taken from employment for these purposes. </w:t>
      </w:r>
    </w:p>
    <w:p w14:paraId="38A23A5A" w14:textId="77777777" w:rsidR="00F6740F" w:rsidRDefault="00F6740F" w:rsidP="00BD6301"/>
    <w:p w14:paraId="247CE0F2" w14:textId="3B303719" w:rsidR="00A6649E" w:rsidRDefault="001C4BEA" w:rsidP="00BD6301">
      <w:r>
        <w:lastRenderedPageBreak/>
        <w:t>When the overall costs to the patient and</w:t>
      </w:r>
      <w:r w:rsidR="00E857A8">
        <w:t xml:space="preserve"> primary and secondary care</w:t>
      </w:r>
      <w:r>
        <w:t xml:space="preserve"> </w:t>
      </w:r>
      <w:r w:rsidR="00A6649E">
        <w:t>were</w:t>
      </w:r>
      <w:r>
        <w:t xml:space="preserve"> combined</w:t>
      </w:r>
      <w:r w:rsidR="00C566DF">
        <w:t>,</w:t>
      </w:r>
      <w:r>
        <w:t xml:space="preserve"> the patient-initiated service was £94.42 cheaper to run per patient than control conditions</w:t>
      </w:r>
      <w:r w:rsidR="00D265ED">
        <w:t xml:space="preserve">. Although </w:t>
      </w:r>
      <w:r w:rsidR="00A6649E">
        <w:t>this was not statistically significant</w:t>
      </w:r>
      <w:r w:rsidR="00D265ED">
        <w:t xml:space="preserve"> this equates to a saving of £42,489 across the 450 eligible patients at UCLH if rolled out across the service</w:t>
      </w:r>
      <w:r>
        <w:t xml:space="preserve">. This model however, assumes that </w:t>
      </w:r>
      <w:r w:rsidR="003A2258">
        <w:t xml:space="preserve">the </w:t>
      </w:r>
      <w:r>
        <w:t xml:space="preserve">activity generated on the telephone triage service </w:t>
      </w:r>
      <w:r w:rsidR="00990959">
        <w:t>could</w:t>
      </w:r>
      <w:r>
        <w:t xml:space="preserve"> be absorbed </w:t>
      </w:r>
      <w:r w:rsidR="00374DC4">
        <w:t>into</w:t>
      </w:r>
      <w:r>
        <w:t xml:space="preserve"> the current service. </w:t>
      </w:r>
      <w:r w:rsidR="00A6649E">
        <w:t>A</w:t>
      </w:r>
      <w:r>
        <w:t>kin to a</w:t>
      </w:r>
      <w:r w:rsidR="00D20BDA">
        <w:t xml:space="preserve"> </w:t>
      </w:r>
      <w:r>
        <w:t>previous trial evaluating pat</w:t>
      </w:r>
      <w:r w:rsidR="004D41CF">
        <w:t>ient-initiated fol</w:t>
      </w:r>
      <w:r w:rsidR="004D41CF">
        <w:lastRenderedPageBreak/>
        <w:t>low-ups in RA</w:t>
      </w:r>
      <w:r w:rsidR="00562988">
        <w:t xml:space="preserve"> </w:t>
      </w:r>
      <w:r w:rsidR="005B5D55">
        <w:t>[</w:t>
      </w:r>
      <w:r w:rsidR="000E1400">
        <w:t>10</w:t>
      </w:r>
      <w:r w:rsidR="005B5D55">
        <w:t>]</w:t>
      </w:r>
      <w:r w:rsidR="00562988">
        <w:t>,</w:t>
      </w:r>
      <w:r>
        <w:t xml:space="preserve"> which concluded that fewer resources were associated with the </w:t>
      </w:r>
      <w:r w:rsidR="007A4654">
        <w:t>intervention</w:t>
      </w:r>
      <w:r>
        <w:t>. This model ho</w:t>
      </w:r>
      <w:r w:rsidR="00F6740F">
        <w:t xml:space="preserve">wever fails to account for the </w:t>
      </w:r>
      <w:r>
        <w:t>costs associated with a telephone triage service. When these costs are taken into account</w:t>
      </w:r>
      <w:r w:rsidR="00F6740F">
        <w:t xml:space="preserve">, </w:t>
      </w:r>
      <w:r w:rsidR="003A2258">
        <w:t>the cost per participant in the intervention arm</w:t>
      </w:r>
      <w:r w:rsidR="001E732A">
        <w:t xml:space="preserve"> of this trial </w:t>
      </w:r>
      <w:r w:rsidR="007A4654">
        <w:t>increased significantly</w:t>
      </w:r>
      <w:r w:rsidR="003A2258">
        <w:t xml:space="preserve"> to £1028.78, £262.50 more expensive than usual care</w:t>
      </w:r>
      <w:r w:rsidR="00A6649E">
        <w:t xml:space="preserve"> which made the </w:t>
      </w:r>
      <w:r w:rsidR="00374DC4">
        <w:t xml:space="preserve">patient-initiated </w:t>
      </w:r>
      <w:r w:rsidR="00A6649E">
        <w:t>service significantly more expensive</w:t>
      </w:r>
      <w:r w:rsidR="00D265ED">
        <w:t xml:space="preserve"> at £118,125 if rolled out across the service</w:t>
      </w:r>
      <w:r w:rsidR="003A2258">
        <w:t xml:space="preserve">. </w:t>
      </w:r>
      <w:r w:rsidR="008F1028">
        <w:t xml:space="preserve">It is however important to note that a number of the telephone calls made by intervention participants to the triage service were not </w:t>
      </w:r>
      <w:r w:rsidR="008F1028">
        <w:lastRenderedPageBreak/>
        <w:t>deemed necessary as blood test results were within range, had not changed significantly or the patient had no new or worsening symptoms.</w:t>
      </w:r>
      <w:r w:rsidR="00F6740F">
        <w:t xml:space="preserve"> With additional training and time these unnecessary telephone calls could be reduced significantly. </w:t>
      </w:r>
    </w:p>
    <w:p w14:paraId="65CE5C09" w14:textId="77777777" w:rsidR="00A6649E" w:rsidRDefault="00A6649E" w:rsidP="00BD6301"/>
    <w:p w14:paraId="38ADA0FC" w14:textId="18344491" w:rsidR="00A36C0A" w:rsidRPr="009412BF" w:rsidRDefault="006E371E" w:rsidP="00BD6301">
      <w:pPr>
        <w:rPr>
          <w:rFonts w:eastAsiaTheme="minorHAnsi" w:cs="Calibri"/>
          <w:color w:val="000000"/>
          <w:lang w:eastAsia="en-US"/>
        </w:rPr>
      </w:pPr>
      <w:r w:rsidRPr="009412BF">
        <w:t xml:space="preserve">Telephone triage services </w:t>
      </w:r>
      <w:r w:rsidR="00F6740F">
        <w:t>are</w:t>
      </w:r>
      <w:r w:rsidR="004C5E80" w:rsidRPr="009412BF">
        <w:t xml:space="preserve"> </w:t>
      </w:r>
      <w:r w:rsidRPr="009412BF">
        <w:t>a key component of most patient-initiated services</w:t>
      </w:r>
      <w:r w:rsidR="004D41CF">
        <w:t>.</w:t>
      </w:r>
      <w:r w:rsidR="005B5D55" w:rsidRPr="009412BF">
        <w:t>[</w:t>
      </w:r>
      <w:r w:rsidR="000E1400" w:rsidRPr="009412BF">
        <w:t>9</w:t>
      </w:r>
      <w:r w:rsidR="005B5D55" w:rsidRPr="009412BF">
        <w:t>]</w:t>
      </w:r>
      <w:r w:rsidRPr="009412BF">
        <w:t xml:space="preserve"> The costs of delivering this service in the year the trial was initiated</w:t>
      </w:r>
      <w:r w:rsidR="00562988">
        <w:t xml:space="preserve"> </w:t>
      </w:r>
      <w:r w:rsidR="005B5D55" w:rsidRPr="009412BF">
        <w:rPr>
          <w:rFonts w:eastAsiaTheme="minorHAnsi" w:cs="Calibri"/>
          <w:color w:val="000000"/>
          <w:lang w:eastAsia="en-US"/>
        </w:rPr>
        <w:t>[</w:t>
      </w:r>
      <w:r w:rsidR="00201489">
        <w:rPr>
          <w:rFonts w:eastAsiaTheme="minorHAnsi" w:cs="Calibri"/>
          <w:color w:val="000000"/>
          <w:lang w:eastAsia="en-US"/>
        </w:rPr>
        <w:t>31-33</w:t>
      </w:r>
      <w:r w:rsidR="005B5D55" w:rsidRPr="009412BF">
        <w:rPr>
          <w:rFonts w:eastAsiaTheme="minorHAnsi" w:cs="Calibri"/>
          <w:color w:val="000000"/>
          <w:lang w:eastAsia="en-US"/>
        </w:rPr>
        <w:t>]</w:t>
      </w:r>
      <w:r w:rsidR="00990959">
        <w:rPr>
          <w:rFonts w:eastAsiaTheme="minorHAnsi" w:cs="Calibri"/>
          <w:color w:val="000000"/>
          <w:lang w:eastAsia="en-US"/>
        </w:rPr>
        <w:t xml:space="preserve"> have since re</w:t>
      </w:r>
      <w:r w:rsidR="00990959">
        <w:rPr>
          <w:rFonts w:eastAsiaTheme="minorHAnsi" w:cs="Calibri"/>
          <w:color w:val="000000"/>
          <w:lang w:eastAsia="en-US"/>
        </w:rPr>
        <w:lastRenderedPageBreak/>
        <w:t>duced</w:t>
      </w:r>
      <w:r w:rsidR="00562988">
        <w:rPr>
          <w:rFonts w:eastAsiaTheme="minorHAnsi" w:cs="Calibri"/>
          <w:color w:val="000000"/>
          <w:lang w:eastAsia="en-US"/>
        </w:rPr>
        <w:t xml:space="preserve"> </w:t>
      </w:r>
      <w:r w:rsidR="006F635D">
        <w:rPr>
          <w:rFonts w:eastAsiaTheme="minorHAnsi" w:cs="Calibri"/>
          <w:color w:val="000000"/>
          <w:lang w:eastAsia="en-US"/>
        </w:rPr>
        <w:t>[3</w:t>
      </w:r>
      <w:r w:rsidR="00201489">
        <w:rPr>
          <w:rFonts w:eastAsiaTheme="minorHAnsi" w:cs="Calibri"/>
          <w:color w:val="000000"/>
          <w:lang w:eastAsia="en-US"/>
        </w:rPr>
        <w:t>5</w:t>
      </w:r>
      <w:r w:rsidR="000E1400" w:rsidRPr="009412BF">
        <w:rPr>
          <w:rFonts w:eastAsiaTheme="minorHAnsi" w:cs="Calibri"/>
          <w:color w:val="000000"/>
          <w:lang w:eastAsia="en-US"/>
        </w:rPr>
        <w:t>]</w:t>
      </w:r>
      <w:r w:rsidR="00E857A8" w:rsidRPr="009412BF">
        <w:rPr>
          <w:rFonts w:eastAsiaTheme="minorHAnsi" w:cs="Calibri"/>
          <w:color w:val="000000"/>
          <w:lang w:eastAsia="en-US"/>
        </w:rPr>
        <w:t xml:space="preserve"> </w:t>
      </w:r>
      <w:r w:rsidRPr="009412BF">
        <w:rPr>
          <w:rFonts w:eastAsiaTheme="minorHAnsi" w:cs="Calibri"/>
          <w:color w:val="000000"/>
          <w:lang w:eastAsia="en-US"/>
        </w:rPr>
        <w:t xml:space="preserve">narrowing the potential </w:t>
      </w:r>
      <w:r w:rsidR="00E857A8" w:rsidRPr="009412BF">
        <w:rPr>
          <w:rFonts w:eastAsiaTheme="minorHAnsi" w:cs="Calibri"/>
          <w:color w:val="000000"/>
          <w:lang w:eastAsia="en-US"/>
        </w:rPr>
        <w:t xml:space="preserve">difference </w:t>
      </w:r>
      <w:r w:rsidR="00990959">
        <w:rPr>
          <w:rFonts w:eastAsiaTheme="minorHAnsi" w:cs="Calibri"/>
          <w:color w:val="000000"/>
          <w:lang w:eastAsia="en-US"/>
        </w:rPr>
        <w:t xml:space="preserve">in </w:t>
      </w:r>
      <w:r w:rsidRPr="009412BF">
        <w:rPr>
          <w:rFonts w:eastAsiaTheme="minorHAnsi" w:cs="Calibri"/>
          <w:color w:val="000000"/>
          <w:lang w:eastAsia="en-US"/>
        </w:rPr>
        <w:t>costs associated with delivering the intervention</w:t>
      </w:r>
      <w:r w:rsidR="00E857A8" w:rsidRPr="009412BF">
        <w:rPr>
          <w:rFonts w:eastAsiaTheme="minorHAnsi" w:cs="Calibri"/>
          <w:color w:val="000000"/>
          <w:lang w:eastAsia="en-US"/>
        </w:rPr>
        <w:t xml:space="preserve"> compared to usual care</w:t>
      </w:r>
      <w:r w:rsidR="005D3F92">
        <w:rPr>
          <w:rFonts w:eastAsiaTheme="minorHAnsi" w:cs="Calibri"/>
          <w:color w:val="000000"/>
          <w:lang w:eastAsia="en-US"/>
        </w:rPr>
        <w:t>,</w:t>
      </w:r>
      <w:r w:rsidR="00A6649E" w:rsidRPr="009412BF">
        <w:rPr>
          <w:rFonts w:eastAsiaTheme="minorHAnsi" w:cs="Calibri"/>
          <w:color w:val="000000"/>
          <w:lang w:eastAsia="en-US"/>
        </w:rPr>
        <w:t xml:space="preserve"> but are still substantial</w:t>
      </w:r>
      <w:r w:rsidRPr="009412BF">
        <w:rPr>
          <w:rFonts w:eastAsiaTheme="minorHAnsi" w:cs="Calibri"/>
          <w:color w:val="000000"/>
          <w:lang w:eastAsia="en-US"/>
        </w:rPr>
        <w:t xml:space="preserve">. </w:t>
      </w:r>
      <w:r w:rsidR="00A03F7D" w:rsidRPr="009412BF">
        <w:rPr>
          <w:rFonts w:eastAsiaTheme="minorHAnsi" w:cs="Calibri"/>
          <w:color w:val="000000"/>
          <w:lang w:eastAsia="en-US"/>
        </w:rPr>
        <w:t>Despite The Royal College of Nursing recommending that telephone advice lines should be assessed for cost-effectiveness</w:t>
      </w:r>
      <w:r w:rsidR="00562988">
        <w:rPr>
          <w:rFonts w:eastAsiaTheme="minorHAnsi" w:cs="Calibri"/>
          <w:color w:val="000000"/>
          <w:lang w:eastAsia="en-US"/>
        </w:rPr>
        <w:t xml:space="preserve"> </w:t>
      </w:r>
      <w:r w:rsidR="00201489">
        <w:rPr>
          <w:rFonts w:eastAsiaTheme="minorHAnsi" w:cs="Calibri"/>
          <w:color w:val="000000"/>
          <w:lang w:eastAsia="en-US"/>
        </w:rPr>
        <w:t>[36</w:t>
      </w:r>
      <w:r w:rsidR="000E1400" w:rsidRPr="009412BF">
        <w:rPr>
          <w:rFonts w:eastAsiaTheme="minorHAnsi" w:cs="Calibri"/>
          <w:color w:val="000000"/>
          <w:lang w:eastAsia="en-US"/>
        </w:rPr>
        <w:t xml:space="preserve">] </w:t>
      </w:r>
      <w:r w:rsidR="006A610D" w:rsidRPr="009412BF">
        <w:rPr>
          <w:rFonts w:eastAsiaTheme="minorHAnsi" w:cs="Calibri"/>
          <w:color w:val="000000"/>
          <w:lang w:eastAsia="en-US"/>
        </w:rPr>
        <w:t xml:space="preserve">very few studies have explored this. </w:t>
      </w:r>
      <w:r w:rsidR="00990959">
        <w:rPr>
          <w:rFonts w:eastAsiaTheme="minorHAnsi" w:cs="Calibri"/>
          <w:color w:val="000000"/>
          <w:lang w:eastAsia="en-US"/>
        </w:rPr>
        <w:t>When e</w:t>
      </w:r>
      <w:r w:rsidR="00A36C0A" w:rsidRPr="009412BF">
        <w:rPr>
          <w:rFonts w:eastAsiaTheme="minorHAnsi" w:cs="Calibri"/>
          <w:color w:val="000000"/>
          <w:lang w:eastAsia="en-US"/>
        </w:rPr>
        <w:t xml:space="preserve">stimating the savings made in primary </w:t>
      </w:r>
      <w:r w:rsidR="00240258" w:rsidRPr="009412BF">
        <w:rPr>
          <w:rFonts w:eastAsiaTheme="minorHAnsi" w:cs="Calibri"/>
          <w:color w:val="000000"/>
          <w:lang w:eastAsia="en-US"/>
        </w:rPr>
        <w:t>care by</w:t>
      </w:r>
      <w:r w:rsidR="00A36C0A" w:rsidRPr="009412BF">
        <w:rPr>
          <w:rFonts w:eastAsiaTheme="minorHAnsi" w:cs="Calibri"/>
          <w:color w:val="000000"/>
          <w:lang w:eastAsia="en-US"/>
        </w:rPr>
        <w:t xml:space="preserve"> introduc</w:t>
      </w:r>
      <w:r w:rsidR="00240258" w:rsidRPr="009412BF">
        <w:rPr>
          <w:rFonts w:eastAsiaTheme="minorHAnsi" w:cs="Calibri"/>
          <w:color w:val="000000"/>
          <w:lang w:eastAsia="en-US"/>
        </w:rPr>
        <w:t>ing</w:t>
      </w:r>
      <w:r w:rsidR="00A36C0A" w:rsidRPr="009412BF">
        <w:rPr>
          <w:rFonts w:eastAsiaTheme="minorHAnsi" w:cs="Calibri"/>
          <w:color w:val="000000"/>
          <w:lang w:eastAsia="en-US"/>
        </w:rPr>
        <w:t xml:space="preserve"> a </w:t>
      </w:r>
      <w:r w:rsidR="00240258" w:rsidRPr="009412BF">
        <w:rPr>
          <w:rFonts w:eastAsiaTheme="minorHAnsi" w:cs="Calibri"/>
          <w:color w:val="000000"/>
          <w:lang w:eastAsia="en-US"/>
        </w:rPr>
        <w:t xml:space="preserve">rheumatology </w:t>
      </w:r>
      <w:r w:rsidR="00990959">
        <w:rPr>
          <w:rFonts w:eastAsiaTheme="minorHAnsi" w:cs="Calibri"/>
          <w:color w:val="000000"/>
          <w:lang w:eastAsia="en-US"/>
        </w:rPr>
        <w:t xml:space="preserve">nurse helpline, </w:t>
      </w:r>
      <w:r w:rsidR="007A4654" w:rsidRPr="009412BF">
        <w:rPr>
          <w:rFonts w:eastAsiaTheme="minorHAnsi" w:cs="Calibri"/>
          <w:color w:val="000000"/>
          <w:lang w:eastAsia="en-US"/>
        </w:rPr>
        <w:t xml:space="preserve">60% of patients </w:t>
      </w:r>
      <w:r w:rsidR="00990959">
        <w:rPr>
          <w:rFonts w:eastAsiaTheme="minorHAnsi" w:cs="Calibri"/>
          <w:color w:val="000000"/>
          <w:lang w:eastAsia="en-US"/>
        </w:rPr>
        <w:t xml:space="preserve">have </w:t>
      </w:r>
      <w:r w:rsidR="007A4654" w:rsidRPr="009412BF">
        <w:rPr>
          <w:rFonts w:eastAsiaTheme="minorHAnsi" w:cs="Calibri"/>
          <w:color w:val="000000"/>
          <w:lang w:eastAsia="en-US"/>
        </w:rPr>
        <w:t xml:space="preserve">stated that they would have consulted their GP had the helpline not been available, which </w:t>
      </w:r>
      <w:r w:rsidR="00990959">
        <w:rPr>
          <w:rFonts w:eastAsiaTheme="minorHAnsi" w:cs="Calibri"/>
          <w:color w:val="000000"/>
          <w:lang w:eastAsia="en-US"/>
        </w:rPr>
        <w:t>has been</w:t>
      </w:r>
      <w:r w:rsidR="007A4654" w:rsidRPr="009412BF">
        <w:rPr>
          <w:rFonts w:eastAsiaTheme="minorHAnsi" w:cs="Calibri"/>
          <w:color w:val="000000"/>
          <w:lang w:eastAsia="en-US"/>
        </w:rPr>
        <w:t xml:space="preserve"> translated into a </w:t>
      </w:r>
      <w:r w:rsidR="00240258" w:rsidRPr="009412BF">
        <w:rPr>
          <w:rFonts w:eastAsiaTheme="minorHAnsi" w:cs="Calibri"/>
          <w:color w:val="000000"/>
          <w:lang w:eastAsia="en-US"/>
        </w:rPr>
        <w:t xml:space="preserve">potential </w:t>
      </w:r>
      <w:r w:rsidR="007A4654" w:rsidRPr="009412BF">
        <w:rPr>
          <w:rFonts w:eastAsiaTheme="minorHAnsi" w:cs="Calibri"/>
          <w:color w:val="000000"/>
          <w:lang w:eastAsia="en-US"/>
        </w:rPr>
        <w:t>cost saving of</w:t>
      </w:r>
      <w:r w:rsidR="00240258" w:rsidRPr="009412BF">
        <w:rPr>
          <w:rFonts w:eastAsiaTheme="minorHAnsi" w:cs="Calibri"/>
          <w:color w:val="000000"/>
          <w:lang w:eastAsia="en-US"/>
        </w:rPr>
        <w:t xml:space="preserve"> £4303 a year</w:t>
      </w:r>
      <w:r w:rsidR="00562988">
        <w:rPr>
          <w:rFonts w:eastAsiaTheme="minorHAnsi" w:cs="Calibri"/>
          <w:color w:val="000000"/>
          <w:lang w:eastAsia="en-US"/>
        </w:rPr>
        <w:t xml:space="preserve"> </w:t>
      </w:r>
      <w:r w:rsidR="00201489">
        <w:rPr>
          <w:rFonts w:eastAsiaTheme="minorHAnsi" w:cs="Calibri"/>
          <w:color w:val="000000"/>
          <w:lang w:eastAsia="en-US"/>
        </w:rPr>
        <w:t>[37</w:t>
      </w:r>
      <w:r w:rsidR="00990959">
        <w:rPr>
          <w:rFonts w:eastAsiaTheme="minorHAnsi" w:cs="Calibri"/>
          <w:color w:val="000000"/>
          <w:lang w:eastAsia="en-US"/>
        </w:rPr>
        <w:t>]</w:t>
      </w:r>
      <w:r w:rsidR="00562988">
        <w:rPr>
          <w:rFonts w:eastAsiaTheme="minorHAnsi" w:cs="Calibri"/>
          <w:color w:val="000000"/>
          <w:lang w:eastAsia="en-US"/>
        </w:rPr>
        <w:t>.</w:t>
      </w:r>
      <w:r w:rsidR="00240258" w:rsidRPr="009412BF">
        <w:rPr>
          <w:rFonts w:eastAsiaTheme="minorHAnsi" w:cs="Calibri"/>
          <w:color w:val="000000"/>
          <w:lang w:eastAsia="en-US"/>
        </w:rPr>
        <w:t xml:space="preserve"> </w:t>
      </w:r>
      <w:r w:rsidR="007A4654" w:rsidRPr="009412BF">
        <w:rPr>
          <w:rFonts w:eastAsiaTheme="minorHAnsi" w:cs="Calibri"/>
          <w:color w:val="000000"/>
          <w:lang w:eastAsia="en-US"/>
        </w:rPr>
        <w:t xml:space="preserve">Although visits to the GP </w:t>
      </w:r>
      <w:r w:rsidR="007A4654" w:rsidRPr="009412BF">
        <w:rPr>
          <w:rFonts w:eastAsiaTheme="minorHAnsi" w:cs="Calibri"/>
          <w:color w:val="000000"/>
          <w:lang w:eastAsia="en-US"/>
        </w:rPr>
        <w:lastRenderedPageBreak/>
        <w:t xml:space="preserve">were lower in the intervention arm </w:t>
      </w:r>
      <w:r w:rsidR="00374DC4" w:rsidRPr="009412BF">
        <w:rPr>
          <w:rFonts w:eastAsiaTheme="minorHAnsi" w:cs="Calibri"/>
          <w:color w:val="000000"/>
          <w:lang w:eastAsia="en-US"/>
        </w:rPr>
        <w:t>in the current tri</w:t>
      </w:r>
      <w:r w:rsidR="00990959">
        <w:rPr>
          <w:rFonts w:eastAsiaTheme="minorHAnsi" w:cs="Calibri"/>
          <w:color w:val="000000"/>
          <w:lang w:eastAsia="en-US"/>
        </w:rPr>
        <w:t>al</w:t>
      </w:r>
      <w:r w:rsidR="00562988">
        <w:rPr>
          <w:rFonts w:eastAsiaTheme="minorHAnsi" w:cs="Calibri"/>
          <w:color w:val="000000"/>
          <w:lang w:eastAsia="en-US"/>
        </w:rPr>
        <w:t xml:space="preserve"> </w:t>
      </w:r>
      <w:r w:rsidR="00113F05" w:rsidRPr="009412BF">
        <w:rPr>
          <w:rFonts w:eastAsiaTheme="minorHAnsi" w:cs="Calibri"/>
          <w:color w:val="000000"/>
          <w:lang w:eastAsia="en-US"/>
        </w:rPr>
        <w:t>[21]</w:t>
      </w:r>
      <w:r w:rsidR="00A6649E" w:rsidRPr="009412BF">
        <w:rPr>
          <w:rFonts w:eastAsiaTheme="minorHAnsi" w:cs="Calibri"/>
          <w:color w:val="000000"/>
          <w:lang w:eastAsia="en-US"/>
        </w:rPr>
        <w:t xml:space="preserve"> </w:t>
      </w:r>
      <w:r w:rsidR="007A4654" w:rsidRPr="009412BF">
        <w:rPr>
          <w:rFonts w:eastAsiaTheme="minorHAnsi" w:cs="Calibri"/>
          <w:color w:val="000000"/>
          <w:lang w:eastAsia="en-US"/>
        </w:rPr>
        <w:t xml:space="preserve">this did not outweigh the costs of delivering the nurse helpline. </w:t>
      </w:r>
      <w:r w:rsidR="0090383A" w:rsidRPr="009412BF">
        <w:rPr>
          <w:rFonts w:eastAsiaTheme="minorHAnsi" w:cs="Calibri"/>
          <w:color w:val="000000"/>
          <w:lang w:eastAsia="en-US"/>
        </w:rPr>
        <w:t xml:space="preserve">Nurse-led helplines have also been criticized </w:t>
      </w:r>
      <w:r w:rsidR="0005560D">
        <w:rPr>
          <w:rFonts w:eastAsiaTheme="minorHAnsi" w:cs="Calibri"/>
          <w:color w:val="000000"/>
          <w:lang w:eastAsia="en-US"/>
        </w:rPr>
        <w:t>for being overly time</w:t>
      </w:r>
      <w:r w:rsidR="000F1606">
        <w:rPr>
          <w:rFonts w:eastAsiaTheme="minorHAnsi" w:cs="Calibri"/>
          <w:color w:val="000000"/>
          <w:lang w:eastAsia="en-US"/>
        </w:rPr>
        <w:t xml:space="preserve"> consuming</w:t>
      </w:r>
      <w:r w:rsidR="00562988">
        <w:rPr>
          <w:rFonts w:eastAsiaTheme="minorHAnsi" w:cs="Calibri"/>
          <w:color w:val="000000"/>
          <w:lang w:eastAsia="en-US"/>
        </w:rPr>
        <w:t xml:space="preserve"> </w:t>
      </w:r>
      <w:r w:rsidR="000F1606">
        <w:rPr>
          <w:rFonts w:eastAsiaTheme="minorHAnsi" w:cs="Calibri"/>
          <w:color w:val="000000"/>
          <w:lang w:eastAsia="en-US"/>
        </w:rPr>
        <w:t>[</w:t>
      </w:r>
      <w:r w:rsidR="006F635D">
        <w:rPr>
          <w:rFonts w:eastAsiaTheme="minorHAnsi" w:cs="Calibri"/>
          <w:color w:val="000000"/>
          <w:lang w:eastAsia="en-US"/>
        </w:rPr>
        <w:t>3</w:t>
      </w:r>
      <w:r w:rsidR="00201489">
        <w:rPr>
          <w:rFonts w:eastAsiaTheme="minorHAnsi" w:cs="Calibri"/>
          <w:color w:val="000000"/>
          <w:lang w:eastAsia="en-US"/>
        </w:rPr>
        <w:t>8</w:t>
      </w:r>
      <w:r w:rsidR="00113F05" w:rsidRPr="009412BF">
        <w:rPr>
          <w:rFonts w:eastAsiaTheme="minorHAnsi" w:cs="Calibri"/>
          <w:color w:val="000000"/>
          <w:lang w:eastAsia="en-US"/>
        </w:rPr>
        <w:t>]</w:t>
      </w:r>
      <w:r w:rsidR="0090383A" w:rsidRPr="009412BF">
        <w:rPr>
          <w:rFonts w:eastAsiaTheme="minorHAnsi" w:cs="Calibri"/>
          <w:color w:val="000000"/>
          <w:lang w:eastAsia="en-US"/>
        </w:rPr>
        <w:t xml:space="preserve"> particularly in situations where it is offered as an additional clinical service and not treated as a core activity. </w:t>
      </w:r>
      <w:r w:rsidR="00374DC4" w:rsidRPr="009412BF">
        <w:rPr>
          <w:rFonts w:eastAsiaTheme="minorHAnsi" w:cs="Calibri"/>
          <w:color w:val="000000"/>
          <w:lang w:eastAsia="en-US"/>
        </w:rPr>
        <w:t>Further research needs to be conducted to establish how these services are resourced, the costs of setting up and delivering them and their cost-effectiveness</w:t>
      </w:r>
      <w:r w:rsidR="00312DC8">
        <w:rPr>
          <w:rFonts w:eastAsiaTheme="minorHAnsi" w:cs="Calibri"/>
          <w:color w:val="000000"/>
          <w:lang w:eastAsia="en-US"/>
        </w:rPr>
        <w:t xml:space="preserve"> especially if they were incorporated into core services where economies of scale might pertain</w:t>
      </w:r>
      <w:r w:rsidR="00374DC4" w:rsidRPr="009412BF">
        <w:rPr>
          <w:rFonts w:eastAsiaTheme="minorHAnsi" w:cs="Calibri"/>
          <w:color w:val="000000"/>
          <w:lang w:eastAsia="en-US"/>
        </w:rPr>
        <w:t xml:space="preserve">. </w:t>
      </w:r>
    </w:p>
    <w:p w14:paraId="7805A39C" w14:textId="77777777" w:rsidR="00A36C0A" w:rsidRDefault="00A36C0A" w:rsidP="00BD6301">
      <w:pPr>
        <w:rPr>
          <w:rFonts w:eastAsiaTheme="minorHAnsi" w:cs="Calibri"/>
          <w:color w:val="000000"/>
          <w:sz w:val="23"/>
          <w:szCs w:val="23"/>
          <w:lang w:eastAsia="en-US"/>
        </w:rPr>
      </w:pPr>
    </w:p>
    <w:p w14:paraId="67F68B86" w14:textId="38159E4B" w:rsidR="00312DC8" w:rsidRDefault="0090383A" w:rsidP="0051640A">
      <w:r>
        <w:t>The probability of the service</w:t>
      </w:r>
      <w:r w:rsidR="00FC5C00">
        <w:t>s measured in this study</w:t>
      </w:r>
      <w:r>
        <w:t xml:space="preserve"> being cost-effective ranged from 45 to 60%</w:t>
      </w:r>
      <w:r w:rsidR="00D50E3C">
        <w:t xml:space="preserve">, with in most cases </w:t>
      </w:r>
      <w:r w:rsidR="00374DC4">
        <w:t>it being more likely to be cost effective</w:t>
      </w:r>
      <w:r>
        <w:t xml:space="preserve"> </w:t>
      </w:r>
      <w:r w:rsidR="00374DC4">
        <w:t>when the helpline costs wer</w:t>
      </w:r>
      <w:r w:rsidR="00D50E3C">
        <w:t>e absorbed within the current service.</w:t>
      </w:r>
      <w:r w:rsidR="00312DC8">
        <w:t xml:space="preserve"> </w:t>
      </w:r>
      <w:r w:rsidR="00FC5C00">
        <w:t>L</w:t>
      </w:r>
      <w:r w:rsidR="00A6649E">
        <w:t xml:space="preserve">imitations of this trial meant that </w:t>
      </w:r>
      <w:r w:rsidR="00D8785F" w:rsidRPr="006A09AA">
        <w:t xml:space="preserve">data were not </w:t>
      </w:r>
      <w:r w:rsidR="003D2737" w:rsidRPr="006A09AA">
        <w:t>available</w:t>
      </w:r>
      <w:r w:rsidR="00D8785F" w:rsidRPr="006A09AA">
        <w:t xml:space="preserve"> on the number of telephone calls made by the control group to the nurse helpline</w:t>
      </w:r>
      <w:r w:rsidR="004A10A7" w:rsidRPr="006A09AA">
        <w:t xml:space="preserve">. Nor was data collected in either groups on use of other services such as </w:t>
      </w:r>
      <w:r w:rsidR="004A10A7" w:rsidRPr="006A09AA">
        <w:lastRenderedPageBreak/>
        <w:t>physiotherapy, occupational therapy or podiatry.</w:t>
      </w:r>
      <w:r w:rsidR="00C64C0C">
        <w:t xml:space="preserve"> </w:t>
      </w:r>
      <w:r w:rsidR="004E0302">
        <w:t xml:space="preserve">Together this data has the potential to increase the cost of usual care. </w:t>
      </w:r>
    </w:p>
    <w:p w14:paraId="34A00D5A" w14:textId="77777777" w:rsidR="00312DC8" w:rsidRDefault="00312DC8" w:rsidP="0051640A"/>
    <w:p w14:paraId="78524085" w14:textId="1B424C41" w:rsidR="0051640A" w:rsidRDefault="00DB70AB" w:rsidP="0051640A">
      <w:r>
        <w:t xml:space="preserve">Methodologically, </w:t>
      </w:r>
      <w:r w:rsidR="00A6649E">
        <w:t>due to the l</w:t>
      </w:r>
      <w:r w:rsidR="0051640A" w:rsidRPr="0051640A">
        <w:t xml:space="preserve">ack of allocation concealment and blinding </w:t>
      </w:r>
      <w:r w:rsidR="004C1C23">
        <w:t>the effects of the service</w:t>
      </w:r>
      <w:r w:rsidR="00A6649E">
        <w:t xml:space="preserve"> may have been biased</w:t>
      </w:r>
      <w:r w:rsidR="00562988">
        <w:t xml:space="preserve"> </w:t>
      </w:r>
      <w:r w:rsidR="004C1C23">
        <w:t>[</w:t>
      </w:r>
      <w:r w:rsidR="00201489">
        <w:t>39-40</w:t>
      </w:r>
      <w:r w:rsidR="0051640A" w:rsidRPr="0051640A">
        <w:t>]</w:t>
      </w:r>
      <w:r w:rsidR="00562988">
        <w:t>.</w:t>
      </w:r>
      <w:r w:rsidR="0051640A" w:rsidRPr="0051640A">
        <w:t xml:space="preserve"> Finally, the single centre status of the trial has reduced the external validity of the findings</w:t>
      </w:r>
      <w:r w:rsidR="00562988">
        <w:t xml:space="preserve"> </w:t>
      </w:r>
      <w:r w:rsidR="0051640A" w:rsidRPr="0051640A">
        <w:t>[</w:t>
      </w:r>
      <w:r w:rsidR="00201489">
        <w:t>41</w:t>
      </w:r>
      <w:r w:rsidR="0051640A" w:rsidRPr="0051640A">
        <w:t>]</w:t>
      </w:r>
      <w:r w:rsidR="00562988">
        <w:t>,</w:t>
      </w:r>
      <w:r w:rsidR="0051640A" w:rsidRPr="0051640A">
        <w:t xml:space="preserve"> and may have led to larger intervention </w:t>
      </w:r>
      <w:r w:rsidR="0051640A" w:rsidRPr="0051640A">
        <w:lastRenderedPageBreak/>
        <w:t>e</w:t>
      </w:r>
      <w:r w:rsidR="00A37224">
        <w:t>ffects on both the continuous</w:t>
      </w:r>
      <w:r w:rsidR="004D41CF">
        <w:t xml:space="preserve"> </w:t>
      </w:r>
      <w:r w:rsidR="00A37224">
        <w:t>[</w:t>
      </w:r>
      <w:r w:rsidR="00201489">
        <w:t>42</w:t>
      </w:r>
      <w:r w:rsidR="00A37224">
        <w:t>] and binary outcomes</w:t>
      </w:r>
      <w:r w:rsidR="00562988">
        <w:t xml:space="preserve"> </w:t>
      </w:r>
      <w:r w:rsidR="00A37224">
        <w:t>[</w:t>
      </w:r>
      <w:r w:rsidR="00201489">
        <w:t>43</w:t>
      </w:r>
      <w:r w:rsidR="0051640A" w:rsidRPr="0051640A">
        <w:t>]</w:t>
      </w:r>
      <w:r w:rsidR="00562988">
        <w:t>.</w:t>
      </w:r>
      <w:r w:rsidR="0051640A" w:rsidRPr="0051640A">
        <w:t xml:space="preserve"> A larger multi-centre RCT would therefore be required.</w:t>
      </w:r>
    </w:p>
    <w:p w14:paraId="06822E5F" w14:textId="77777777" w:rsidR="00374DC4" w:rsidRDefault="00374DC4" w:rsidP="0051640A"/>
    <w:p w14:paraId="00145065" w14:textId="42C3A84A" w:rsidR="006B435D" w:rsidRDefault="0005560D" w:rsidP="0051640A">
      <w:r>
        <w:t>T</w:t>
      </w:r>
      <w:r w:rsidR="00374DC4">
        <w:t>his</w:t>
      </w:r>
      <w:r w:rsidR="0051640A" w:rsidRPr="0051640A">
        <w:t xml:space="preserve"> patient-initiated service </w:t>
      </w:r>
      <w:r>
        <w:t>led</w:t>
      </w:r>
      <w:r w:rsidR="0051640A" w:rsidRPr="0051640A">
        <w:t xml:space="preserve"> to clear reductions in primary and secondary healthcare services, </w:t>
      </w:r>
      <w:r>
        <w:t xml:space="preserve">which translated into reduced costs in comparison to usual care. When these figures were combined with disease activity and quality of life changes however, the </w:t>
      </w:r>
      <w:r w:rsidR="00374DC4">
        <w:t xml:space="preserve">cost-effectiveness </w:t>
      </w:r>
      <w:r>
        <w:t xml:space="preserve">analyses were not statistically significant. </w:t>
      </w:r>
    </w:p>
    <w:p w14:paraId="265CD5AF" w14:textId="42DA9F60" w:rsidR="004C1C23" w:rsidRDefault="004C1C23" w:rsidP="0051640A"/>
    <w:p w14:paraId="06EA6B0B" w14:textId="23B44CF8" w:rsidR="00AA702C" w:rsidRDefault="00AA702C" w:rsidP="00AA702C">
      <w:r>
        <w:rPr>
          <w:b/>
        </w:rPr>
        <w:t>FUNDING</w:t>
      </w:r>
      <w:r>
        <w:t xml:space="preserve"> </w:t>
      </w:r>
      <w:r w:rsidRPr="00D578EC">
        <w:t xml:space="preserve">The </w:t>
      </w:r>
      <w:r w:rsidR="00E83E44">
        <w:t>work was supported</w:t>
      </w:r>
      <w:r w:rsidRPr="00D578EC">
        <w:t xml:space="preserve"> by UCLH Charity, specifically the Otto Beit Fund and the Shipley-Rudge Fund. UCLH Charity had no role in study design or conduct, the preparation of this paper or decision to submit for publication.</w:t>
      </w:r>
    </w:p>
    <w:p w14:paraId="58210C87" w14:textId="77777777" w:rsidR="00AA702C" w:rsidRDefault="00AA702C" w:rsidP="0051640A"/>
    <w:p w14:paraId="527E6DBF" w14:textId="6F76D9A1" w:rsidR="00A907DC" w:rsidRDefault="003A4D9B" w:rsidP="006862B0">
      <w:r>
        <w:rPr>
          <w:b/>
        </w:rPr>
        <w:lastRenderedPageBreak/>
        <w:t>ACKNOWLEDGEMENTS</w:t>
      </w:r>
      <w:r w:rsidR="00AE2F86">
        <w:t xml:space="preserve"> </w:t>
      </w:r>
      <w:r w:rsidR="00AE2F86" w:rsidRPr="00D578EC">
        <w:t xml:space="preserve">The authors thank the trial participants, University College </w:t>
      </w:r>
      <w:r w:rsidR="00545C81" w:rsidRPr="00D578EC">
        <w:t xml:space="preserve">London </w:t>
      </w:r>
      <w:r w:rsidR="00AE2F86" w:rsidRPr="00D578EC">
        <w:t>Hospital Charity who funded the study, and the reviewers for their advice and comments.</w:t>
      </w:r>
    </w:p>
    <w:p w14:paraId="697DB7B9" w14:textId="77777777" w:rsidR="00AE2F86" w:rsidRPr="00AE2F86" w:rsidRDefault="00AE2F86" w:rsidP="006862B0"/>
    <w:p w14:paraId="16FE244D" w14:textId="23801FB5" w:rsidR="00A907DC" w:rsidRDefault="00396480" w:rsidP="006862B0">
      <w:r>
        <w:rPr>
          <w:b/>
        </w:rPr>
        <w:t>CONFLICTS OF INTEREST</w:t>
      </w:r>
      <w:r w:rsidR="00AE2F86">
        <w:t xml:space="preserve"> The study was part funded by the Shipley</w:t>
      </w:r>
      <w:r w:rsidR="00872630">
        <w:t>-</w:t>
      </w:r>
      <w:r w:rsidR="00AE2F86">
        <w:t xml:space="preserve">Rudge Fund via UCLH charities for which MS is </w:t>
      </w:r>
      <w:r w:rsidR="009C7688">
        <w:t>a principal donor</w:t>
      </w:r>
      <w:r w:rsidR="00AE2F86">
        <w:t>.</w:t>
      </w:r>
    </w:p>
    <w:p w14:paraId="7512117B" w14:textId="77777777" w:rsidR="006F635D" w:rsidRDefault="006F635D" w:rsidP="006F635D">
      <w:pPr>
        <w:rPr>
          <w:b/>
        </w:rPr>
      </w:pPr>
    </w:p>
    <w:p w14:paraId="468FF398" w14:textId="77777777" w:rsidR="006F635D" w:rsidRPr="006F635D" w:rsidRDefault="006F635D" w:rsidP="006F635D">
      <w:pPr>
        <w:rPr>
          <w:b/>
        </w:rPr>
      </w:pPr>
      <w:r w:rsidRPr="006F635D">
        <w:rPr>
          <w:b/>
        </w:rPr>
        <w:lastRenderedPageBreak/>
        <w:t xml:space="preserve">REFERENCES </w:t>
      </w:r>
    </w:p>
    <w:p w14:paraId="1B80DCE5" w14:textId="77777777" w:rsidR="006F635D" w:rsidRPr="006F635D" w:rsidRDefault="006F635D" w:rsidP="006F635D">
      <w:pPr>
        <w:numPr>
          <w:ilvl w:val="0"/>
          <w:numId w:val="18"/>
        </w:numPr>
        <w:contextualSpacing/>
      </w:pPr>
      <w:proofErr w:type="spellStart"/>
      <w:r w:rsidRPr="00DF0736">
        <w:rPr>
          <w:lang w:val="nl-NL"/>
        </w:rPr>
        <w:t>Kvalvik</w:t>
      </w:r>
      <w:proofErr w:type="spellEnd"/>
      <w:r w:rsidRPr="00DF0736">
        <w:rPr>
          <w:lang w:val="nl-NL"/>
        </w:rPr>
        <w:t xml:space="preserve"> AG, Larsen S, </w:t>
      </w:r>
      <w:proofErr w:type="spellStart"/>
      <w:r w:rsidRPr="00DF0736">
        <w:rPr>
          <w:lang w:val="nl-NL"/>
        </w:rPr>
        <w:t>Aadland</w:t>
      </w:r>
      <w:proofErr w:type="spellEnd"/>
      <w:r w:rsidRPr="00DF0736">
        <w:rPr>
          <w:lang w:val="nl-NL"/>
        </w:rPr>
        <w:t xml:space="preserve"> HA et al. </w:t>
      </w:r>
      <w:r w:rsidRPr="006F635D">
        <w:t xml:space="preserve">Changing structure and resources in a rheumatology combined unit during 1977-1999. </w:t>
      </w:r>
      <w:proofErr w:type="spellStart"/>
      <w:r w:rsidRPr="006F635D">
        <w:rPr>
          <w:i/>
        </w:rPr>
        <w:t>Scand</w:t>
      </w:r>
      <w:proofErr w:type="spellEnd"/>
      <w:r w:rsidRPr="006F635D">
        <w:rPr>
          <w:i/>
        </w:rPr>
        <w:t xml:space="preserve"> J </w:t>
      </w:r>
      <w:proofErr w:type="spellStart"/>
      <w:r w:rsidRPr="006F635D">
        <w:rPr>
          <w:i/>
        </w:rPr>
        <w:t>Rheumatol</w:t>
      </w:r>
      <w:proofErr w:type="spellEnd"/>
      <w:r w:rsidRPr="006F635D">
        <w:rPr>
          <w:i/>
        </w:rPr>
        <w:t xml:space="preserve"> </w:t>
      </w:r>
      <w:r w:rsidRPr="006F635D">
        <w:t xml:space="preserve">2007;36,125-35. </w:t>
      </w:r>
    </w:p>
    <w:p w14:paraId="39A70C64" w14:textId="77777777" w:rsidR="006F635D" w:rsidRPr="006F635D" w:rsidRDefault="006F635D" w:rsidP="006F635D">
      <w:pPr>
        <w:numPr>
          <w:ilvl w:val="0"/>
          <w:numId w:val="18"/>
        </w:numPr>
        <w:contextualSpacing/>
      </w:pPr>
      <w:proofErr w:type="spellStart"/>
      <w:r w:rsidRPr="00DF0736">
        <w:rPr>
          <w:lang w:val="fr-FR"/>
        </w:rPr>
        <w:t>Ndosi</w:t>
      </w:r>
      <w:proofErr w:type="spellEnd"/>
      <w:r w:rsidRPr="00DF0736">
        <w:rPr>
          <w:lang w:val="fr-FR"/>
        </w:rPr>
        <w:t xml:space="preserve"> M, Lewis M, Hale C et al. </w:t>
      </w:r>
      <w:r w:rsidRPr="006F635D">
        <w:t xml:space="preserve">The outcome and cost-effectiveness of nurse-led care in people with rheumatoid arthritis: a multicentre randomised controlled trial. </w:t>
      </w:r>
      <w:r w:rsidRPr="006F635D">
        <w:rPr>
          <w:i/>
        </w:rPr>
        <w:t>Ann Rheum Dis</w:t>
      </w:r>
      <w:r w:rsidRPr="006F635D">
        <w:t xml:space="preserve"> 2013;73:1975-82.</w:t>
      </w:r>
    </w:p>
    <w:p w14:paraId="589331F1" w14:textId="77777777" w:rsidR="006F635D" w:rsidRPr="006F635D" w:rsidRDefault="006F635D" w:rsidP="006F635D">
      <w:pPr>
        <w:numPr>
          <w:ilvl w:val="0"/>
          <w:numId w:val="18"/>
        </w:numPr>
        <w:contextualSpacing/>
      </w:pPr>
      <w:proofErr w:type="spellStart"/>
      <w:r w:rsidRPr="00DF0736">
        <w:rPr>
          <w:lang w:val="it-IT"/>
        </w:rPr>
        <w:lastRenderedPageBreak/>
        <w:t>Ndosi</w:t>
      </w:r>
      <w:proofErr w:type="spellEnd"/>
      <w:r w:rsidRPr="00DF0736">
        <w:rPr>
          <w:lang w:val="it-IT"/>
        </w:rPr>
        <w:t xml:space="preserve"> M, </w:t>
      </w:r>
      <w:proofErr w:type="spellStart"/>
      <w:r w:rsidRPr="00DF0736">
        <w:rPr>
          <w:lang w:val="it-IT"/>
        </w:rPr>
        <w:t>Vinall</w:t>
      </w:r>
      <w:proofErr w:type="spellEnd"/>
      <w:r w:rsidRPr="00DF0736">
        <w:rPr>
          <w:lang w:val="it-IT"/>
        </w:rPr>
        <w:t xml:space="preserve"> K, </w:t>
      </w:r>
      <w:proofErr w:type="spellStart"/>
      <w:r w:rsidRPr="00DF0736">
        <w:rPr>
          <w:lang w:val="it-IT"/>
        </w:rPr>
        <w:t>Hale</w:t>
      </w:r>
      <w:proofErr w:type="spellEnd"/>
      <w:r w:rsidRPr="00DF0736">
        <w:rPr>
          <w:lang w:val="it-IT"/>
        </w:rPr>
        <w:t xml:space="preserve"> C et al. </w:t>
      </w:r>
      <w:r w:rsidRPr="006F635D">
        <w:t xml:space="preserve">The effectiveness of nurse-led care in people with rheumatoid arthritis: A systematic review. </w:t>
      </w:r>
      <w:r w:rsidRPr="006F635D">
        <w:rPr>
          <w:i/>
        </w:rPr>
        <w:t xml:space="preserve">Int J </w:t>
      </w:r>
      <w:proofErr w:type="spellStart"/>
      <w:r w:rsidRPr="006F635D">
        <w:rPr>
          <w:i/>
        </w:rPr>
        <w:t>Nurs</w:t>
      </w:r>
      <w:proofErr w:type="spellEnd"/>
      <w:r w:rsidRPr="006F635D">
        <w:rPr>
          <w:i/>
        </w:rPr>
        <w:t xml:space="preserve"> Stud</w:t>
      </w:r>
      <w:r w:rsidRPr="006F635D">
        <w:t xml:space="preserve"> 2011;48:642-54.</w:t>
      </w:r>
    </w:p>
    <w:p w14:paraId="21EFCDAF" w14:textId="77777777" w:rsidR="006F635D" w:rsidRPr="006F635D" w:rsidRDefault="006F635D" w:rsidP="006F635D">
      <w:pPr>
        <w:numPr>
          <w:ilvl w:val="0"/>
          <w:numId w:val="18"/>
        </w:numPr>
        <w:contextualSpacing/>
      </w:pPr>
      <w:r w:rsidRPr="006F635D">
        <w:t xml:space="preserve">National Audit Office. Services for people with rheumatoid </w:t>
      </w:r>
      <w:proofErr w:type="spellStart"/>
      <w:r w:rsidRPr="006F635D">
        <w:t>arthirtis</w:t>
      </w:r>
      <w:proofErr w:type="spellEnd"/>
      <w:r w:rsidRPr="006F635D">
        <w:t xml:space="preserve">: census findings. London: The </w:t>
      </w:r>
      <w:proofErr w:type="spellStart"/>
      <w:r w:rsidRPr="006F635D">
        <w:t>Stationart</w:t>
      </w:r>
      <w:proofErr w:type="spellEnd"/>
      <w:r w:rsidRPr="006F635D">
        <w:t xml:space="preserve"> 2009.</w:t>
      </w:r>
    </w:p>
    <w:p w14:paraId="07B271F8" w14:textId="7D19B341" w:rsidR="006F635D" w:rsidRPr="006F635D" w:rsidRDefault="006F635D" w:rsidP="006F635D">
      <w:pPr>
        <w:numPr>
          <w:ilvl w:val="0"/>
          <w:numId w:val="18"/>
        </w:numPr>
        <w:contextualSpacing/>
      </w:pPr>
      <w:r w:rsidRPr="006F635D">
        <w:t xml:space="preserve">Hehir M, Mitchell K, Hewlett S et al. What happens in rheumatoid arthritis out-patient clinics? </w:t>
      </w:r>
      <w:r w:rsidRPr="006F635D">
        <w:rPr>
          <w:i/>
        </w:rPr>
        <w:t>Rheumatology</w:t>
      </w:r>
      <w:r w:rsidR="00211E88">
        <w:rPr>
          <w:i/>
        </w:rPr>
        <w:t xml:space="preserve"> (Oxford)</w:t>
      </w:r>
      <w:r w:rsidRPr="006F635D">
        <w:t xml:space="preserve"> 2001;40:146.</w:t>
      </w:r>
    </w:p>
    <w:p w14:paraId="63CADDD4" w14:textId="20C674D8" w:rsidR="006F635D" w:rsidRPr="006F635D" w:rsidRDefault="005D3F92" w:rsidP="006F635D">
      <w:pPr>
        <w:numPr>
          <w:ilvl w:val="0"/>
          <w:numId w:val="18"/>
        </w:numPr>
        <w:contextualSpacing/>
      </w:pPr>
      <w:r>
        <w:t>NHS</w:t>
      </w:r>
      <w:r w:rsidR="006F635D" w:rsidRPr="006F635D">
        <w:t xml:space="preserve">. </w:t>
      </w:r>
      <w:r>
        <w:t>The NHS Long Term Plan version 1.1</w:t>
      </w:r>
      <w:r w:rsidR="006F635D" w:rsidRPr="006F635D">
        <w:t xml:space="preserve">. </w:t>
      </w:r>
      <w:r w:rsidRPr="005D3F92">
        <w:t>https://www.longtermplan.nhs.uk/</w:t>
      </w:r>
      <w:r w:rsidR="006F635D" w:rsidRPr="006F635D">
        <w:t xml:space="preserve">. </w:t>
      </w:r>
    </w:p>
    <w:p w14:paraId="78AD0AB1" w14:textId="3DBB6128" w:rsidR="006F635D" w:rsidRPr="006F635D" w:rsidRDefault="00211E88" w:rsidP="006F635D">
      <w:pPr>
        <w:numPr>
          <w:ilvl w:val="0"/>
          <w:numId w:val="18"/>
        </w:numPr>
        <w:contextualSpacing/>
      </w:pPr>
      <w:proofErr w:type="spellStart"/>
      <w:r>
        <w:lastRenderedPageBreak/>
        <w:t>Neame</w:t>
      </w:r>
      <w:proofErr w:type="spellEnd"/>
      <w:r>
        <w:t xml:space="preserve"> R, Hammond A and </w:t>
      </w:r>
      <w:r w:rsidR="006F635D" w:rsidRPr="006F635D">
        <w:t xml:space="preserve">Deighton C. Need for information and for involvement in decision making among patients with rheumatoid arthritis: a questionnaire survey. </w:t>
      </w:r>
      <w:r w:rsidR="006F635D" w:rsidRPr="006F635D">
        <w:rPr>
          <w:i/>
        </w:rPr>
        <w:t>Arthritis Rheum</w:t>
      </w:r>
      <w:r w:rsidR="006F635D" w:rsidRPr="006F635D">
        <w:t xml:space="preserve"> 2005;53:249-55.</w:t>
      </w:r>
    </w:p>
    <w:p w14:paraId="21803219" w14:textId="0F51A839" w:rsidR="006F635D" w:rsidRPr="006F635D" w:rsidRDefault="006F635D" w:rsidP="006F635D">
      <w:pPr>
        <w:numPr>
          <w:ilvl w:val="0"/>
          <w:numId w:val="18"/>
        </w:numPr>
        <w:contextualSpacing/>
      </w:pPr>
      <w:r w:rsidRPr="006F635D">
        <w:t xml:space="preserve">Kay LJ and </w:t>
      </w:r>
      <w:proofErr w:type="spellStart"/>
      <w:r w:rsidRPr="006F635D">
        <w:t>Lapworth</w:t>
      </w:r>
      <w:proofErr w:type="spellEnd"/>
      <w:r w:rsidRPr="006F635D">
        <w:t xml:space="preserve"> K. Safety monitoring for disease-modifying anti-rheumatic drugs in primary and secondary care: Adherence to local and national guidelines and patient's views. </w:t>
      </w:r>
      <w:r w:rsidRPr="006F635D">
        <w:rPr>
          <w:i/>
        </w:rPr>
        <w:t>Rheumatology</w:t>
      </w:r>
      <w:r w:rsidR="00211E88" w:rsidRPr="00211E88">
        <w:rPr>
          <w:i/>
        </w:rPr>
        <w:t xml:space="preserve"> (Oxford)</w:t>
      </w:r>
      <w:r w:rsidRPr="006F635D">
        <w:t xml:space="preserve"> 2004;43:105.</w:t>
      </w:r>
    </w:p>
    <w:p w14:paraId="4E0E9E0E" w14:textId="77777777" w:rsidR="006F635D" w:rsidRPr="006F635D" w:rsidRDefault="006F635D" w:rsidP="006F635D">
      <w:pPr>
        <w:numPr>
          <w:ilvl w:val="0"/>
          <w:numId w:val="18"/>
        </w:numPr>
        <w:contextualSpacing/>
      </w:pPr>
      <w:proofErr w:type="spellStart"/>
      <w:r w:rsidRPr="006F635D">
        <w:lastRenderedPageBreak/>
        <w:t>Whear</w:t>
      </w:r>
      <w:proofErr w:type="spellEnd"/>
      <w:r w:rsidRPr="006F635D">
        <w:t xml:space="preserve"> R, Abdul-Rahman AK, Boddy K et al. The Clinical Effectiveness of Patient Initiated Clinics for Patients with Chronic or Recurrent Conditions Managed in Secondary Care: A Systematic Review. </w:t>
      </w:r>
      <w:proofErr w:type="spellStart"/>
      <w:r w:rsidRPr="006F635D">
        <w:rPr>
          <w:i/>
        </w:rPr>
        <w:t>PloS</w:t>
      </w:r>
      <w:proofErr w:type="spellEnd"/>
      <w:r w:rsidRPr="006F635D">
        <w:rPr>
          <w:i/>
        </w:rPr>
        <w:t xml:space="preserve"> one</w:t>
      </w:r>
      <w:r w:rsidRPr="006F635D">
        <w:t xml:space="preserve"> 2013;8:e74774.</w:t>
      </w:r>
    </w:p>
    <w:p w14:paraId="21D26909" w14:textId="4AAF576A" w:rsidR="006F635D" w:rsidRPr="006F635D" w:rsidRDefault="006F635D" w:rsidP="006F635D">
      <w:pPr>
        <w:numPr>
          <w:ilvl w:val="0"/>
          <w:numId w:val="18"/>
        </w:numPr>
        <w:contextualSpacing/>
      </w:pPr>
      <w:r w:rsidRPr="006F635D">
        <w:t xml:space="preserve">Hewlett S, Mitchell K, Haynes J et al. Patient-initiated hospital follow-up for rheumatoid arthritis. </w:t>
      </w:r>
      <w:r w:rsidRPr="006F635D">
        <w:rPr>
          <w:i/>
        </w:rPr>
        <w:t>Rheumatology</w:t>
      </w:r>
      <w:r w:rsidR="00211E88">
        <w:t xml:space="preserve"> </w:t>
      </w:r>
      <w:r w:rsidR="00211E88" w:rsidRPr="00211E88">
        <w:rPr>
          <w:i/>
        </w:rPr>
        <w:t>(Oxford)</w:t>
      </w:r>
      <w:r w:rsidRPr="006F635D">
        <w:t xml:space="preserve"> 2000;39:990-7.</w:t>
      </w:r>
    </w:p>
    <w:p w14:paraId="201451F7" w14:textId="77777777" w:rsidR="006F635D" w:rsidRPr="006F635D" w:rsidRDefault="006F635D" w:rsidP="006F635D">
      <w:pPr>
        <w:numPr>
          <w:ilvl w:val="0"/>
          <w:numId w:val="18"/>
        </w:numPr>
        <w:contextualSpacing/>
      </w:pPr>
      <w:r w:rsidRPr="006F635D">
        <w:t xml:space="preserve">Hewlett S, Kirwan J, Pollock J et al. Patient initiated outpatient follow up in rheumatoid arthritis: six year randomised controlled trial. </w:t>
      </w:r>
      <w:r w:rsidRPr="006F635D">
        <w:rPr>
          <w:i/>
        </w:rPr>
        <w:t>BMJ</w:t>
      </w:r>
      <w:r w:rsidRPr="006F635D">
        <w:t xml:space="preserve"> 2005;330:171.</w:t>
      </w:r>
    </w:p>
    <w:p w14:paraId="46994673" w14:textId="43B96D00" w:rsidR="006F635D" w:rsidRPr="006F635D" w:rsidRDefault="006F635D" w:rsidP="006F635D">
      <w:pPr>
        <w:numPr>
          <w:ilvl w:val="0"/>
          <w:numId w:val="18"/>
        </w:numPr>
        <w:contextualSpacing/>
      </w:pPr>
      <w:r w:rsidRPr="006F635D">
        <w:lastRenderedPageBreak/>
        <w:t xml:space="preserve">Kirwan JR, Mitchell K, Hewlett S et al. Clinical and psychological outcome from a randomized controlled trial of patient-initiated direct-access hospital follow-up for rheumatoid arthritis extended to 4 years. </w:t>
      </w:r>
      <w:r w:rsidRPr="006F635D">
        <w:rPr>
          <w:i/>
        </w:rPr>
        <w:t>Rheumatology</w:t>
      </w:r>
      <w:r w:rsidR="00211E88" w:rsidRPr="00211E88">
        <w:rPr>
          <w:i/>
        </w:rPr>
        <w:t xml:space="preserve"> (Oxford)</w:t>
      </w:r>
      <w:r w:rsidRPr="006F635D">
        <w:t xml:space="preserve"> 2003;42:422-6.</w:t>
      </w:r>
    </w:p>
    <w:p w14:paraId="01307BD4" w14:textId="77777777" w:rsidR="006F635D" w:rsidRPr="006F635D" w:rsidRDefault="006F635D" w:rsidP="006F635D">
      <w:pPr>
        <w:numPr>
          <w:ilvl w:val="0"/>
          <w:numId w:val="18"/>
        </w:numPr>
        <w:contextualSpacing/>
      </w:pPr>
      <w:r w:rsidRPr="006F635D">
        <w:t>Chattopadhyay C and Hickey P. Are Routine Appointments Cost-Effective in Modern Rheumatology Practice? A Comparative Outcome Audit of Routine Follow-ups and Patient Initiated Consultations. American College of Rheumatology 2008 Annual Scientific Meeting 2008;1957.</w:t>
      </w:r>
    </w:p>
    <w:p w14:paraId="3C0B2385" w14:textId="77777777" w:rsidR="006F635D" w:rsidRPr="006F635D" w:rsidRDefault="006F635D" w:rsidP="006F635D">
      <w:pPr>
        <w:numPr>
          <w:ilvl w:val="0"/>
          <w:numId w:val="18"/>
        </w:numPr>
        <w:contextualSpacing/>
      </w:pPr>
      <w:proofErr w:type="spellStart"/>
      <w:r w:rsidRPr="00DF0736">
        <w:rPr>
          <w:lang w:val="nl-NL"/>
        </w:rPr>
        <w:lastRenderedPageBreak/>
        <w:t>Primdahl</w:t>
      </w:r>
      <w:proofErr w:type="spellEnd"/>
      <w:r w:rsidRPr="00DF0736">
        <w:rPr>
          <w:lang w:val="nl-NL"/>
        </w:rPr>
        <w:t xml:space="preserve"> J, </w:t>
      </w:r>
      <w:proofErr w:type="spellStart"/>
      <w:r w:rsidRPr="00DF0736">
        <w:rPr>
          <w:lang w:val="nl-NL"/>
        </w:rPr>
        <w:t>Sørensen</w:t>
      </w:r>
      <w:proofErr w:type="spellEnd"/>
      <w:r w:rsidRPr="00DF0736">
        <w:rPr>
          <w:lang w:val="nl-NL"/>
        </w:rPr>
        <w:t xml:space="preserve"> J, Horn HC et al. </w:t>
      </w:r>
      <w:r w:rsidRPr="006F635D">
        <w:t xml:space="preserve">Shared care or nursing consultations as an alternative to rheumatologist follow-up for rheumatoid arthritis outpatients with low disease activity - patient outcomes from a 2-year, randomised controlled trial. </w:t>
      </w:r>
      <w:r w:rsidRPr="006F635D">
        <w:rPr>
          <w:i/>
        </w:rPr>
        <w:t>Ann Rheum Dis</w:t>
      </w:r>
      <w:r w:rsidRPr="006F635D">
        <w:t xml:space="preserve"> 2014;73:357-64.</w:t>
      </w:r>
    </w:p>
    <w:p w14:paraId="125E854E" w14:textId="77777777" w:rsidR="006F635D" w:rsidRPr="006F635D" w:rsidRDefault="006F635D" w:rsidP="006F635D">
      <w:pPr>
        <w:numPr>
          <w:ilvl w:val="0"/>
          <w:numId w:val="18"/>
        </w:numPr>
        <w:contextualSpacing/>
      </w:pPr>
      <w:proofErr w:type="spellStart"/>
      <w:r w:rsidRPr="00DF0736">
        <w:rPr>
          <w:lang w:val="fr-FR"/>
        </w:rPr>
        <w:t>Primdahl</w:t>
      </w:r>
      <w:proofErr w:type="spellEnd"/>
      <w:r w:rsidRPr="00DF0736">
        <w:rPr>
          <w:lang w:val="fr-FR"/>
        </w:rPr>
        <w:t xml:space="preserve"> J, Wagner L, Holst R et al. </w:t>
      </w:r>
      <w:r w:rsidRPr="006F635D">
        <w:t xml:space="preserve">The impact on self-efficacy of different types of follow-up care and disease status in patients with rheumatoid arthritis - A randomized trial. </w:t>
      </w:r>
      <w:r w:rsidRPr="006F635D">
        <w:rPr>
          <w:i/>
        </w:rPr>
        <w:t xml:space="preserve">Patient </w:t>
      </w:r>
      <w:proofErr w:type="spellStart"/>
      <w:r w:rsidRPr="006F635D">
        <w:rPr>
          <w:i/>
        </w:rPr>
        <w:t>Educ</w:t>
      </w:r>
      <w:proofErr w:type="spellEnd"/>
      <w:r w:rsidRPr="006F635D">
        <w:rPr>
          <w:i/>
        </w:rPr>
        <w:t xml:space="preserve"> </w:t>
      </w:r>
      <w:proofErr w:type="spellStart"/>
      <w:r w:rsidRPr="006F635D">
        <w:rPr>
          <w:i/>
        </w:rPr>
        <w:t>Couns</w:t>
      </w:r>
      <w:proofErr w:type="spellEnd"/>
      <w:r w:rsidRPr="006F635D">
        <w:t xml:space="preserve"> 2012;88:121-8.</w:t>
      </w:r>
    </w:p>
    <w:p w14:paraId="4F2CB410" w14:textId="588B02F0" w:rsidR="006F635D" w:rsidRPr="006F635D" w:rsidRDefault="006F635D" w:rsidP="006F635D">
      <w:pPr>
        <w:numPr>
          <w:ilvl w:val="0"/>
          <w:numId w:val="18"/>
        </w:numPr>
        <w:contextualSpacing/>
      </w:pPr>
      <w:r w:rsidRPr="006F635D">
        <w:lastRenderedPageBreak/>
        <w:t xml:space="preserve">Sands A and Adams N. A comparison of patient-initiated versus conventional follow-up for rheumatoid arthritis. </w:t>
      </w:r>
      <w:r w:rsidRPr="006F635D">
        <w:rPr>
          <w:i/>
        </w:rPr>
        <w:t>Rheumatology</w:t>
      </w:r>
      <w:r w:rsidR="00211E88" w:rsidRPr="00211E88">
        <w:rPr>
          <w:i/>
        </w:rPr>
        <w:t xml:space="preserve"> (Oxford)</w:t>
      </w:r>
      <w:r w:rsidRPr="006F635D">
        <w:t xml:space="preserve"> 2009;48:i157-8.</w:t>
      </w:r>
    </w:p>
    <w:p w14:paraId="0104A288" w14:textId="77777777" w:rsidR="006F635D" w:rsidRPr="006F635D" w:rsidRDefault="006F635D" w:rsidP="006F635D">
      <w:pPr>
        <w:numPr>
          <w:ilvl w:val="0"/>
          <w:numId w:val="18"/>
        </w:numPr>
        <w:contextualSpacing/>
      </w:pPr>
      <w:r w:rsidRPr="006F635D">
        <w:t xml:space="preserve">Adams N and Sands A. Patient versus practitioner-initiated follow-up for rheumatoid arthritis. </w:t>
      </w:r>
      <w:r w:rsidRPr="006F635D">
        <w:rPr>
          <w:i/>
        </w:rPr>
        <w:t>Eur J Pain</w:t>
      </w:r>
      <w:r w:rsidRPr="006F635D">
        <w:t xml:space="preserve"> 2009;13:S132.</w:t>
      </w:r>
    </w:p>
    <w:p w14:paraId="29DBF148" w14:textId="77777777" w:rsidR="006F635D" w:rsidRPr="006F635D" w:rsidRDefault="006F635D" w:rsidP="006F635D">
      <w:pPr>
        <w:numPr>
          <w:ilvl w:val="0"/>
          <w:numId w:val="18"/>
        </w:numPr>
        <w:contextualSpacing/>
      </w:pPr>
      <w:proofErr w:type="spellStart"/>
      <w:r w:rsidRPr="00DF0736">
        <w:rPr>
          <w:lang w:val="fr-FR"/>
        </w:rPr>
        <w:t>Symmons</w:t>
      </w:r>
      <w:proofErr w:type="spellEnd"/>
      <w:r w:rsidRPr="00DF0736">
        <w:rPr>
          <w:lang w:val="fr-FR"/>
        </w:rPr>
        <w:t xml:space="preserve"> D, </w:t>
      </w:r>
      <w:proofErr w:type="spellStart"/>
      <w:r w:rsidRPr="00DF0736">
        <w:rPr>
          <w:lang w:val="fr-FR"/>
        </w:rPr>
        <w:t>Tricker</w:t>
      </w:r>
      <w:proofErr w:type="spellEnd"/>
      <w:r w:rsidRPr="00DF0736">
        <w:rPr>
          <w:lang w:val="fr-FR"/>
        </w:rPr>
        <w:t xml:space="preserve"> K, Roberts C et al. </w:t>
      </w:r>
      <w:r w:rsidRPr="006F635D">
        <w:t>The British Rheumatoid Outcome Study Group (BROSG) randomised controlled trial to compare the effectiveness and cost-</w:t>
      </w:r>
      <w:r w:rsidRPr="006F635D">
        <w:lastRenderedPageBreak/>
        <w:t xml:space="preserve">effectiveness of aggressive versus symptomatic therapy in established rheumatoid arthritis. </w:t>
      </w:r>
      <w:r w:rsidRPr="006F635D">
        <w:rPr>
          <w:i/>
        </w:rPr>
        <w:t xml:space="preserve">Health </w:t>
      </w:r>
      <w:proofErr w:type="spellStart"/>
      <w:r w:rsidRPr="006F635D">
        <w:rPr>
          <w:i/>
        </w:rPr>
        <w:t>Technol</w:t>
      </w:r>
      <w:proofErr w:type="spellEnd"/>
      <w:r w:rsidRPr="006F635D">
        <w:rPr>
          <w:i/>
        </w:rPr>
        <w:t xml:space="preserve"> Assess</w:t>
      </w:r>
      <w:r w:rsidRPr="006F635D">
        <w:t xml:space="preserve"> 2005;9:iii-iiv.</w:t>
      </w:r>
    </w:p>
    <w:p w14:paraId="75C421A2" w14:textId="67FC8EFF" w:rsidR="006F635D" w:rsidRPr="006F635D" w:rsidRDefault="006F635D" w:rsidP="006F635D">
      <w:pPr>
        <w:numPr>
          <w:ilvl w:val="0"/>
          <w:numId w:val="18"/>
        </w:numPr>
        <w:contextualSpacing/>
      </w:pPr>
      <w:proofErr w:type="spellStart"/>
      <w:r w:rsidRPr="006F635D">
        <w:t>Symmons</w:t>
      </w:r>
      <w:proofErr w:type="spellEnd"/>
      <w:r w:rsidRPr="006F635D">
        <w:t xml:space="preserve"> D, Tricker K, Harrison M et al. Patients with stable long-standing rheumatoid arthritis continue to deteriorate despite intensified treatment with traditional disease modifying anti-rheumatic drugs - results of the British Rheumatoid Outcome Study Group randomized controlled clinical trial. </w:t>
      </w:r>
      <w:r w:rsidRPr="006F635D">
        <w:rPr>
          <w:i/>
        </w:rPr>
        <w:t>Rheumatology</w:t>
      </w:r>
      <w:r w:rsidR="00211E88" w:rsidRPr="00211E88">
        <w:rPr>
          <w:i/>
        </w:rPr>
        <w:t xml:space="preserve"> (Oxford)</w:t>
      </w:r>
      <w:r w:rsidRPr="006F635D">
        <w:t xml:space="preserve"> 2006;45:558-65.</w:t>
      </w:r>
    </w:p>
    <w:p w14:paraId="004B3E53" w14:textId="77777777" w:rsidR="006F635D" w:rsidRPr="006F635D" w:rsidRDefault="006F635D" w:rsidP="006F635D">
      <w:pPr>
        <w:numPr>
          <w:ilvl w:val="0"/>
          <w:numId w:val="18"/>
        </w:numPr>
        <w:contextualSpacing/>
      </w:pPr>
      <w:r w:rsidRPr="006F635D">
        <w:lastRenderedPageBreak/>
        <w:t xml:space="preserve">Goh L, </w:t>
      </w:r>
      <w:proofErr w:type="spellStart"/>
      <w:r w:rsidRPr="006F635D">
        <w:t>Samanta</w:t>
      </w:r>
      <w:proofErr w:type="spellEnd"/>
      <w:r w:rsidRPr="006F635D">
        <w:t xml:space="preserve"> J, and </w:t>
      </w:r>
      <w:proofErr w:type="spellStart"/>
      <w:r w:rsidRPr="006F635D">
        <w:t>Samanta</w:t>
      </w:r>
      <w:proofErr w:type="spellEnd"/>
      <w:r w:rsidRPr="006F635D">
        <w:t xml:space="preserve"> A. Rheumatology nurse practitioners' perceptions of their role. </w:t>
      </w:r>
      <w:r w:rsidRPr="006F635D">
        <w:rPr>
          <w:i/>
        </w:rPr>
        <w:t>Musculoskeletal Care</w:t>
      </w:r>
      <w:r w:rsidRPr="006F635D">
        <w:t xml:space="preserve"> 2006;4:88-100.</w:t>
      </w:r>
    </w:p>
    <w:p w14:paraId="61A2B8C3" w14:textId="14A741F2" w:rsidR="006F635D" w:rsidRPr="006F635D" w:rsidRDefault="00211E88" w:rsidP="006F635D">
      <w:pPr>
        <w:numPr>
          <w:ilvl w:val="0"/>
          <w:numId w:val="18"/>
        </w:numPr>
        <w:contextualSpacing/>
      </w:pPr>
      <w:r>
        <w:t xml:space="preserve">McBain H, Shipley M, </w:t>
      </w:r>
      <w:proofErr w:type="spellStart"/>
      <w:r>
        <w:t>Olaleye</w:t>
      </w:r>
      <w:proofErr w:type="spellEnd"/>
      <w:r>
        <w:t xml:space="preserve"> A et al</w:t>
      </w:r>
      <w:r w:rsidR="006F635D" w:rsidRPr="006F635D">
        <w:t xml:space="preserve">. A patient-initiated DMARD self-monitoring service for people with rheumatoid or psoriatic arthritis on methotrexate: a randomised controlled trial. </w:t>
      </w:r>
      <w:r w:rsidRPr="006F635D">
        <w:rPr>
          <w:i/>
        </w:rPr>
        <w:t>Ann Rheum Dis</w:t>
      </w:r>
      <w:r w:rsidRPr="006F635D">
        <w:t xml:space="preserve"> </w:t>
      </w:r>
      <w:r w:rsidR="006F635D" w:rsidRPr="006F635D">
        <w:t>2016;75:1343-9.</w:t>
      </w:r>
    </w:p>
    <w:p w14:paraId="3A96FD0A" w14:textId="77777777" w:rsidR="006F635D" w:rsidRPr="006F635D" w:rsidRDefault="006F635D" w:rsidP="006F635D">
      <w:pPr>
        <w:numPr>
          <w:ilvl w:val="0"/>
          <w:numId w:val="18"/>
        </w:numPr>
        <w:contextualSpacing/>
      </w:pPr>
      <w:proofErr w:type="spellStart"/>
      <w:r w:rsidRPr="006F635D">
        <w:lastRenderedPageBreak/>
        <w:t>Aletaha</w:t>
      </w:r>
      <w:proofErr w:type="spellEnd"/>
      <w:r w:rsidRPr="006F635D">
        <w:t xml:space="preserve"> D, </w:t>
      </w:r>
      <w:proofErr w:type="spellStart"/>
      <w:r w:rsidRPr="006F635D">
        <w:t>Neogi</w:t>
      </w:r>
      <w:proofErr w:type="spellEnd"/>
      <w:r w:rsidRPr="006F635D">
        <w:t xml:space="preserve"> T, </w:t>
      </w:r>
      <w:proofErr w:type="spellStart"/>
      <w:r w:rsidRPr="006F635D">
        <w:t>Silman</w:t>
      </w:r>
      <w:proofErr w:type="spellEnd"/>
      <w:r w:rsidRPr="006F635D">
        <w:t xml:space="preserve"> AJ et al. 2010 Rheumatoid arthritis classification criteria: An American College of Rheumatology/European League Against Rheumatism collaborative initiative. </w:t>
      </w:r>
      <w:r w:rsidRPr="006F635D">
        <w:rPr>
          <w:i/>
        </w:rPr>
        <w:t>Ann Rheum Dis</w:t>
      </w:r>
      <w:r w:rsidRPr="006F635D">
        <w:t xml:space="preserve"> 2010;69:1580-88. .</w:t>
      </w:r>
    </w:p>
    <w:p w14:paraId="4D763595" w14:textId="77777777" w:rsidR="006F635D" w:rsidRPr="006F635D" w:rsidRDefault="006F635D" w:rsidP="006F635D">
      <w:pPr>
        <w:numPr>
          <w:ilvl w:val="0"/>
          <w:numId w:val="18"/>
        </w:numPr>
        <w:contextualSpacing/>
      </w:pPr>
      <w:r w:rsidRPr="006F635D">
        <w:t xml:space="preserve">Taylor W, Gladman D, Helliwell P et al. Classification criteria for psoriatic arthritis: Development of new criteria from a large international study. </w:t>
      </w:r>
      <w:r w:rsidRPr="006F635D">
        <w:rPr>
          <w:i/>
        </w:rPr>
        <w:t>Arthritis Rheum</w:t>
      </w:r>
      <w:r w:rsidRPr="006F635D">
        <w:t xml:space="preserve"> 2006;54:2665-73.</w:t>
      </w:r>
    </w:p>
    <w:p w14:paraId="4AF283DF" w14:textId="17929CFB" w:rsidR="006F635D" w:rsidRDefault="006F635D" w:rsidP="006F635D">
      <w:pPr>
        <w:numPr>
          <w:ilvl w:val="0"/>
          <w:numId w:val="18"/>
        </w:numPr>
        <w:contextualSpacing/>
      </w:pPr>
      <w:r w:rsidRPr="00DF0736">
        <w:rPr>
          <w:lang w:val="de-DE"/>
        </w:rPr>
        <w:lastRenderedPageBreak/>
        <w:t xml:space="preserve">Ware </w:t>
      </w:r>
      <w:proofErr w:type="spellStart"/>
      <w:r w:rsidRPr="00DF0736">
        <w:rPr>
          <w:lang w:val="de-DE"/>
        </w:rPr>
        <w:t>Jr</w:t>
      </w:r>
      <w:proofErr w:type="spellEnd"/>
      <w:r w:rsidRPr="00DF0736">
        <w:rPr>
          <w:lang w:val="de-DE"/>
        </w:rPr>
        <w:t xml:space="preserve"> JE, Kosinski M, and Keller SD. </w:t>
      </w:r>
      <w:r w:rsidRPr="006F635D">
        <w:t xml:space="preserve">A 12-Item Short-Form Health Survey: construction of scales and preliminary tests of reliability and validity. </w:t>
      </w:r>
      <w:r w:rsidRPr="006F635D">
        <w:rPr>
          <w:i/>
        </w:rPr>
        <w:t>Med Care</w:t>
      </w:r>
      <w:r w:rsidRPr="006F635D">
        <w:t xml:space="preserve"> 1996;34:220-33.</w:t>
      </w:r>
    </w:p>
    <w:p w14:paraId="6E9D0580" w14:textId="73CA1D85" w:rsidR="009C7EE5" w:rsidRDefault="009C7EE5" w:rsidP="009C7EE5">
      <w:pPr>
        <w:numPr>
          <w:ilvl w:val="0"/>
          <w:numId w:val="18"/>
        </w:numPr>
        <w:contextualSpacing/>
      </w:pPr>
      <w:proofErr w:type="spellStart"/>
      <w:r w:rsidRPr="009C7EE5">
        <w:t>Haacker</w:t>
      </w:r>
      <w:proofErr w:type="spellEnd"/>
      <w:r>
        <w:t xml:space="preserve"> M</w:t>
      </w:r>
      <w:r w:rsidRPr="009C7EE5">
        <w:t>,</w:t>
      </w:r>
      <w:r>
        <w:t xml:space="preserve"> Hallett TB, </w:t>
      </w:r>
      <w:proofErr w:type="spellStart"/>
      <w:r>
        <w:t>Atun</w:t>
      </w:r>
      <w:proofErr w:type="spellEnd"/>
      <w:r>
        <w:t xml:space="preserve"> R. </w:t>
      </w:r>
      <w:r w:rsidRPr="009C7EE5">
        <w:t xml:space="preserve">On discount rates for economic evaluations in global health, </w:t>
      </w:r>
      <w:r w:rsidRPr="009C7EE5">
        <w:rPr>
          <w:i/>
        </w:rPr>
        <w:t>Health Policy and Planning</w:t>
      </w:r>
      <w:r>
        <w:t xml:space="preserve"> 2019: </w:t>
      </w:r>
      <w:r w:rsidRPr="009C7EE5">
        <w:t xml:space="preserve">czz127, </w:t>
      </w:r>
      <w:hyperlink r:id="rId14" w:history="1">
        <w:r w:rsidRPr="00B40BB0">
          <w:rPr>
            <w:rStyle w:val="Hyperlink"/>
          </w:rPr>
          <w:t>https://doi.org/10.1093/heapol/czz127</w:t>
        </w:r>
      </w:hyperlink>
      <w:r>
        <w:t>.</w:t>
      </w:r>
    </w:p>
    <w:p w14:paraId="6715D817" w14:textId="5350E55A" w:rsidR="009C7EE5" w:rsidRDefault="009C7EE5" w:rsidP="009C7EE5">
      <w:pPr>
        <w:numPr>
          <w:ilvl w:val="0"/>
          <w:numId w:val="18"/>
        </w:numPr>
        <w:contextualSpacing/>
      </w:pPr>
      <w:r w:rsidRPr="009C7EE5">
        <w:lastRenderedPageBreak/>
        <w:t xml:space="preserve">IBM Corp. </w:t>
      </w:r>
      <w:r w:rsidRPr="009C7EE5">
        <w:rPr>
          <w:i/>
        </w:rPr>
        <w:t>IBM SPSS Statistics for Windows, Version 25.0</w:t>
      </w:r>
      <w:r w:rsidRPr="009C7EE5">
        <w:t>. Armonk, NY: IBM Corp</w:t>
      </w:r>
      <w:r w:rsidR="00201489">
        <w:t xml:space="preserve">; </w:t>
      </w:r>
      <w:r w:rsidR="00201489" w:rsidRPr="009C7EE5">
        <w:t>Released 2017</w:t>
      </w:r>
      <w:r w:rsidRPr="009C7EE5">
        <w:t>.</w:t>
      </w:r>
    </w:p>
    <w:p w14:paraId="42643402" w14:textId="28FF07EA" w:rsidR="009C7EE5" w:rsidRDefault="009C7EE5" w:rsidP="009C7EE5">
      <w:pPr>
        <w:numPr>
          <w:ilvl w:val="0"/>
          <w:numId w:val="18"/>
        </w:numPr>
        <w:contextualSpacing/>
      </w:pPr>
      <w:r>
        <w:t xml:space="preserve">Microsoft. </w:t>
      </w:r>
      <w:r w:rsidRPr="00201489">
        <w:rPr>
          <w:i/>
        </w:rPr>
        <w:t>E</w:t>
      </w:r>
      <w:r w:rsidR="00201489" w:rsidRPr="00201489">
        <w:rPr>
          <w:i/>
        </w:rPr>
        <w:t>xcel</w:t>
      </w:r>
      <w:r w:rsidR="00201489">
        <w:t>. Washington: Microsoft; 2016.</w:t>
      </w:r>
    </w:p>
    <w:p w14:paraId="54B9EDAF" w14:textId="77777777" w:rsidR="006F635D" w:rsidRPr="006F635D" w:rsidRDefault="006F635D" w:rsidP="006F635D">
      <w:pPr>
        <w:numPr>
          <w:ilvl w:val="0"/>
          <w:numId w:val="18"/>
        </w:numPr>
        <w:contextualSpacing/>
        <w:rPr>
          <w:lang w:eastAsia="en-US"/>
        </w:rPr>
      </w:pPr>
      <w:r w:rsidRPr="006F635D">
        <w:rPr>
          <w:lang w:eastAsia="en-US"/>
        </w:rPr>
        <w:t xml:space="preserve">Briggs AH, O'Brien BJ, and </w:t>
      </w:r>
      <w:proofErr w:type="spellStart"/>
      <w:r w:rsidRPr="006F635D">
        <w:rPr>
          <w:lang w:eastAsia="en-US"/>
        </w:rPr>
        <w:t>Blackhouse</w:t>
      </w:r>
      <w:proofErr w:type="spellEnd"/>
      <w:r w:rsidRPr="006F635D">
        <w:rPr>
          <w:lang w:eastAsia="en-US"/>
        </w:rPr>
        <w:t xml:space="preserve"> G. Thinking Outside the Box: Recent Advances in the Analysis and Presentation of Uncertainty in Cost-Effectiveness Studies. </w:t>
      </w:r>
      <w:r w:rsidRPr="006F635D">
        <w:rPr>
          <w:i/>
          <w:lang w:eastAsia="en-US"/>
        </w:rPr>
        <w:t>Annual Review of Public Health</w:t>
      </w:r>
      <w:r w:rsidRPr="006F635D">
        <w:rPr>
          <w:lang w:eastAsia="en-US"/>
        </w:rPr>
        <w:t xml:space="preserve"> 2002;23:377-401. </w:t>
      </w:r>
    </w:p>
    <w:p w14:paraId="7BE02D16" w14:textId="77777777" w:rsidR="006F635D" w:rsidRPr="006F635D" w:rsidRDefault="006F635D" w:rsidP="006F635D">
      <w:pPr>
        <w:numPr>
          <w:ilvl w:val="0"/>
          <w:numId w:val="18"/>
        </w:numPr>
        <w:contextualSpacing/>
      </w:pPr>
      <w:proofErr w:type="spellStart"/>
      <w:r w:rsidRPr="006F635D">
        <w:rPr>
          <w:lang w:eastAsia="en-US"/>
        </w:rPr>
        <w:lastRenderedPageBreak/>
        <w:t>Efron</w:t>
      </w:r>
      <w:proofErr w:type="spellEnd"/>
      <w:r w:rsidRPr="006F635D">
        <w:rPr>
          <w:lang w:eastAsia="en-US"/>
        </w:rPr>
        <w:t xml:space="preserve"> B, </w:t>
      </w:r>
      <w:proofErr w:type="spellStart"/>
      <w:r w:rsidRPr="006F635D">
        <w:rPr>
          <w:lang w:eastAsia="en-US"/>
        </w:rPr>
        <w:t>Tibshirani</w:t>
      </w:r>
      <w:proofErr w:type="spellEnd"/>
      <w:r w:rsidRPr="006F635D">
        <w:rPr>
          <w:lang w:eastAsia="en-US"/>
        </w:rPr>
        <w:t xml:space="preserve"> R. An Introduction to the Bootstrap. 1993. New York: Chapman &amp; Hall. </w:t>
      </w:r>
    </w:p>
    <w:p w14:paraId="622E8F04" w14:textId="7A9AFBE3" w:rsidR="006F635D" w:rsidRPr="006F635D" w:rsidRDefault="006F635D" w:rsidP="006F635D">
      <w:pPr>
        <w:numPr>
          <w:ilvl w:val="0"/>
          <w:numId w:val="18"/>
        </w:numPr>
        <w:contextualSpacing/>
        <w:rPr>
          <w:b/>
        </w:rPr>
      </w:pPr>
      <w:r w:rsidRPr="00DF0736">
        <w:rPr>
          <w:lang w:val="de-DE" w:eastAsia="en-US"/>
        </w:rPr>
        <w:t xml:space="preserve">Tan MC, </w:t>
      </w:r>
      <w:proofErr w:type="spellStart"/>
      <w:r w:rsidRPr="00DF0736">
        <w:rPr>
          <w:lang w:val="de-DE" w:eastAsia="en-US"/>
        </w:rPr>
        <w:t>Regier</w:t>
      </w:r>
      <w:proofErr w:type="spellEnd"/>
      <w:r w:rsidRPr="00DF0736">
        <w:rPr>
          <w:lang w:val="de-DE" w:eastAsia="en-US"/>
        </w:rPr>
        <w:t xml:space="preserve"> DA, </w:t>
      </w:r>
      <w:proofErr w:type="spellStart"/>
      <w:r w:rsidRPr="00DF0736">
        <w:rPr>
          <w:lang w:val="de-DE" w:eastAsia="en-US"/>
        </w:rPr>
        <w:t>Esdaile</w:t>
      </w:r>
      <w:proofErr w:type="spellEnd"/>
      <w:r w:rsidRPr="00DF0736">
        <w:rPr>
          <w:lang w:val="de-DE" w:eastAsia="en-US"/>
        </w:rPr>
        <w:t xml:space="preserve"> </w:t>
      </w:r>
      <w:r w:rsidR="00211E88" w:rsidRPr="00DF0736">
        <w:rPr>
          <w:lang w:val="de-DE" w:eastAsia="en-US"/>
        </w:rPr>
        <w:t>JM et al</w:t>
      </w:r>
      <w:r w:rsidRPr="00DF0736">
        <w:rPr>
          <w:lang w:val="de-DE" w:eastAsia="en-US"/>
        </w:rPr>
        <w:t xml:space="preserve">. </w:t>
      </w:r>
      <w:r w:rsidRPr="006F635D">
        <w:rPr>
          <w:lang w:eastAsia="en-US"/>
        </w:rPr>
        <w:t xml:space="preserve">Health economic evaluation: A primer for the practicing rheumatologist. </w:t>
      </w:r>
      <w:r w:rsidRPr="006F635D">
        <w:rPr>
          <w:i/>
          <w:lang w:eastAsia="en-US"/>
        </w:rPr>
        <w:t>Arthritis Rheum</w:t>
      </w:r>
      <w:r w:rsidRPr="006F635D">
        <w:rPr>
          <w:lang w:eastAsia="en-US"/>
        </w:rPr>
        <w:t xml:space="preserve"> 2006;55;648-56.</w:t>
      </w:r>
    </w:p>
    <w:p w14:paraId="2F316731" w14:textId="4AC04BF5" w:rsidR="006F635D" w:rsidRPr="006F635D" w:rsidRDefault="006F635D" w:rsidP="006F635D">
      <w:pPr>
        <w:numPr>
          <w:ilvl w:val="0"/>
          <w:numId w:val="18"/>
        </w:numPr>
        <w:contextualSpacing/>
        <w:rPr>
          <w:rFonts w:eastAsia="Calibri" w:cs="Times New Roman"/>
          <w:szCs w:val="22"/>
          <w:lang w:eastAsia="en-US"/>
        </w:rPr>
      </w:pPr>
      <w:r w:rsidRPr="006F635D">
        <w:rPr>
          <w:rFonts w:eastAsia="Calibri" w:cs="Times New Roman"/>
          <w:szCs w:val="22"/>
          <w:lang w:eastAsia="en-US"/>
        </w:rPr>
        <w:t xml:space="preserve">Department of Health. (2011). 2010-11 reference costs publication. Retrieved from Department of Health </w:t>
      </w:r>
      <w:hyperlink r:id="rId15" w:history="1">
        <w:r w:rsidRPr="006F635D">
          <w:rPr>
            <w:rFonts w:eastAsia="Calibri" w:cs="Times New Roman"/>
            <w:szCs w:val="22"/>
            <w:lang w:eastAsia="en-US"/>
          </w:rPr>
          <w:t>https://www.gov.uk/government/publications/2010-11-reference-costs-publication</w:t>
        </w:r>
      </w:hyperlink>
      <w:r w:rsidR="004E232A">
        <w:rPr>
          <w:rFonts w:eastAsia="Calibri" w:cs="Times New Roman"/>
          <w:szCs w:val="22"/>
          <w:lang w:eastAsia="en-US"/>
        </w:rPr>
        <w:t>.</w:t>
      </w:r>
      <w:r w:rsidR="00554417">
        <w:rPr>
          <w:rFonts w:eastAsia="Calibri" w:cs="Times New Roman"/>
          <w:szCs w:val="22"/>
          <w:lang w:eastAsia="en-US"/>
        </w:rPr>
        <w:t xml:space="preserve"> Accessed 04.04.18.</w:t>
      </w:r>
    </w:p>
    <w:p w14:paraId="15509B5E" w14:textId="0A005571" w:rsidR="006F635D" w:rsidRPr="006F635D" w:rsidRDefault="006F635D" w:rsidP="006F635D">
      <w:pPr>
        <w:numPr>
          <w:ilvl w:val="0"/>
          <w:numId w:val="18"/>
        </w:numPr>
        <w:contextualSpacing/>
        <w:rPr>
          <w:rFonts w:eastAsia="Calibri" w:cs="Times New Roman"/>
          <w:szCs w:val="22"/>
          <w:lang w:eastAsia="en-US"/>
        </w:rPr>
      </w:pPr>
      <w:r w:rsidRPr="006F635D">
        <w:rPr>
          <w:rFonts w:eastAsia="Calibri" w:cs="Times New Roman"/>
          <w:szCs w:val="22"/>
          <w:lang w:eastAsia="en-US"/>
        </w:rPr>
        <w:lastRenderedPageBreak/>
        <w:t xml:space="preserve">Department of Health. (2013). Department of Health Reference costs for 2012-13. Retrieved from </w:t>
      </w:r>
      <w:hyperlink r:id="rId16" w:history="1">
        <w:r w:rsidRPr="006F635D">
          <w:rPr>
            <w:rFonts w:eastAsia="Calibri" w:cs="Times New Roman"/>
            <w:szCs w:val="22"/>
            <w:lang w:eastAsia="en-US"/>
          </w:rPr>
          <w:t>https://www.gov.uk/government/publications/nhs-reference-costs-2012-to-2013</w:t>
        </w:r>
      </w:hyperlink>
      <w:r w:rsidR="00554417">
        <w:rPr>
          <w:rFonts w:eastAsia="Calibri" w:cs="Times New Roman"/>
          <w:szCs w:val="22"/>
          <w:lang w:eastAsia="en-US"/>
        </w:rPr>
        <w:t>. Accessed 04.04.18.</w:t>
      </w:r>
    </w:p>
    <w:p w14:paraId="50653373" w14:textId="77777777" w:rsidR="006F635D" w:rsidRPr="006F635D" w:rsidRDefault="006F635D" w:rsidP="006F635D">
      <w:pPr>
        <w:numPr>
          <w:ilvl w:val="0"/>
          <w:numId w:val="18"/>
        </w:numPr>
        <w:contextualSpacing/>
        <w:rPr>
          <w:rFonts w:eastAsia="Calibri" w:cs="Times New Roman"/>
          <w:szCs w:val="22"/>
          <w:lang w:eastAsia="en-US"/>
        </w:rPr>
      </w:pPr>
      <w:r w:rsidRPr="006F635D">
        <w:rPr>
          <w:rFonts w:eastAsia="Calibri" w:cs="Times New Roman"/>
          <w:szCs w:val="22"/>
          <w:lang w:eastAsia="en-US"/>
        </w:rPr>
        <w:t>Curtis, L. (2012). Unit costs of Health and Social Care 2012. Canterbury: Personal Social Services Research Unit.</w:t>
      </w:r>
    </w:p>
    <w:p w14:paraId="5573957F" w14:textId="77777777" w:rsidR="006F635D" w:rsidRPr="006F635D" w:rsidRDefault="006F635D" w:rsidP="006F635D">
      <w:pPr>
        <w:numPr>
          <w:ilvl w:val="0"/>
          <w:numId w:val="18"/>
        </w:numPr>
        <w:contextualSpacing/>
        <w:rPr>
          <w:rFonts w:eastAsia="Calibri" w:cs="Times New Roman"/>
          <w:szCs w:val="22"/>
          <w:lang w:eastAsia="en-US"/>
        </w:rPr>
      </w:pPr>
      <w:r w:rsidRPr="006F635D">
        <w:rPr>
          <w:rFonts w:eastAsia="Calibri" w:cs="Times New Roman"/>
          <w:szCs w:val="22"/>
          <w:lang w:eastAsia="en-US"/>
        </w:rPr>
        <w:lastRenderedPageBreak/>
        <w:t xml:space="preserve">Ramsey S, Willke R, Briggs A, Brown R, Buxton M, Chawla A, Cook J, Glick H, </w:t>
      </w:r>
      <w:proofErr w:type="spellStart"/>
      <w:r w:rsidRPr="006F635D">
        <w:rPr>
          <w:rFonts w:eastAsia="Calibri" w:cs="Times New Roman"/>
          <w:szCs w:val="22"/>
          <w:lang w:eastAsia="en-US"/>
        </w:rPr>
        <w:t>Liljas</w:t>
      </w:r>
      <w:proofErr w:type="spellEnd"/>
      <w:r w:rsidRPr="006F635D">
        <w:rPr>
          <w:rFonts w:eastAsia="Calibri" w:cs="Times New Roman"/>
          <w:szCs w:val="22"/>
          <w:lang w:eastAsia="en-US"/>
        </w:rPr>
        <w:t xml:space="preserve"> B, </w:t>
      </w:r>
      <w:proofErr w:type="spellStart"/>
      <w:r w:rsidRPr="006F635D">
        <w:rPr>
          <w:rFonts w:eastAsia="Calibri" w:cs="Times New Roman"/>
          <w:szCs w:val="22"/>
          <w:lang w:eastAsia="en-US"/>
        </w:rPr>
        <w:t>Petitti</w:t>
      </w:r>
      <w:proofErr w:type="spellEnd"/>
      <w:r w:rsidRPr="006F635D">
        <w:rPr>
          <w:rFonts w:eastAsia="Calibri" w:cs="Times New Roman"/>
          <w:szCs w:val="22"/>
          <w:lang w:eastAsia="en-US"/>
        </w:rPr>
        <w:t xml:space="preserve"> D, Reed S. Good research practices for cost‐effectiveness analysis alongside clinical trials: the ISPOR RCT‐CEA task force report. </w:t>
      </w:r>
      <w:r w:rsidRPr="006F635D">
        <w:rPr>
          <w:rFonts w:eastAsia="Calibri" w:cs="Times New Roman"/>
          <w:i/>
          <w:szCs w:val="22"/>
          <w:lang w:eastAsia="en-US"/>
        </w:rPr>
        <w:t>Value in health</w:t>
      </w:r>
      <w:r w:rsidRPr="006F635D">
        <w:rPr>
          <w:rFonts w:eastAsia="Calibri" w:cs="Times New Roman"/>
          <w:szCs w:val="22"/>
          <w:lang w:eastAsia="en-US"/>
        </w:rPr>
        <w:t xml:space="preserve"> 2005;8:521-33.</w:t>
      </w:r>
    </w:p>
    <w:p w14:paraId="4E3B175B" w14:textId="5F33E0DE" w:rsidR="006F635D" w:rsidRPr="006F635D" w:rsidRDefault="006F635D" w:rsidP="006F635D">
      <w:pPr>
        <w:numPr>
          <w:ilvl w:val="0"/>
          <w:numId w:val="18"/>
        </w:numPr>
        <w:contextualSpacing/>
        <w:rPr>
          <w:rFonts w:eastAsia="Calibri" w:cs="Times New Roman"/>
          <w:szCs w:val="22"/>
          <w:lang w:eastAsia="en-US"/>
        </w:rPr>
      </w:pPr>
      <w:r w:rsidRPr="006F635D">
        <w:rPr>
          <w:rFonts w:eastAsia="Calibri" w:cs="Times New Roman"/>
          <w:szCs w:val="22"/>
          <w:lang w:eastAsia="en-US"/>
        </w:rPr>
        <w:t xml:space="preserve">Department of Health. (2016). Department of Health Reference costs for 2016-17. Retrieved from </w:t>
      </w:r>
      <w:hyperlink r:id="rId17" w:history="1">
        <w:r w:rsidRPr="006F635D">
          <w:rPr>
            <w:rFonts w:eastAsia="Calibri" w:cs="Times New Roman"/>
            <w:szCs w:val="22"/>
            <w:lang w:eastAsia="en-US"/>
          </w:rPr>
          <w:t>https://improvement.nhs.uk/documents/1973/2_-_National_schedule_of_reference_costs_-_the_main_schedule.xlsx</w:t>
        </w:r>
      </w:hyperlink>
      <w:r w:rsidR="00554417">
        <w:rPr>
          <w:rFonts w:eastAsia="Calibri" w:cs="Times New Roman"/>
          <w:szCs w:val="22"/>
          <w:lang w:eastAsia="en-US"/>
        </w:rPr>
        <w:t>. Accessed 04.04.18.</w:t>
      </w:r>
    </w:p>
    <w:p w14:paraId="4BFBDF51" w14:textId="77777777" w:rsidR="006F635D" w:rsidRPr="006F635D" w:rsidRDefault="006F635D" w:rsidP="006F635D">
      <w:pPr>
        <w:numPr>
          <w:ilvl w:val="0"/>
          <w:numId w:val="18"/>
        </w:numPr>
        <w:contextualSpacing/>
        <w:rPr>
          <w:rFonts w:eastAsia="Calibri" w:cs="Times New Roman"/>
          <w:szCs w:val="22"/>
          <w:lang w:eastAsia="en-US"/>
        </w:rPr>
      </w:pPr>
      <w:r w:rsidRPr="006F635D">
        <w:rPr>
          <w:rFonts w:eastAsia="Calibri" w:cs="Times New Roman"/>
          <w:szCs w:val="22"/>
          <w:lang w:eastAsia="en-US"/>
        </w:rPr>
        <w:lastRenderedPageBreak/>
        <w:t xml:space="preserve">The Royal College of Nursing. (2012). Using telephone advice for patients with long-term conditions: an RCN guide to using technology to complement nursing practice. London, Royal College of Nursing. </w:t>
      </w:r>
    </w:p>
    <w:p w14:paraId="18B2F76D" w14:textId="15CAC53E" w:rsidR="006F635D" w:rsidRPr="006F635D" w:rsidRDefault="00554417" w:rsidP="006F635D">
      <w:pPr>
        <w:numPr>
          <w:ilvl w:val="0"/>
          <w:numId w:val="18"/>
        </w:numPr>
        <w:contextualSpacing/>
      </w:pPr>
      <w:r>
        <w:t xml:space="preserve">Hughes RA, </w:t>
      </w:r>
      <w:proofErr w:type="spellStart"/>
      <w:r>
        <w:t>Carr</w:t>
      </w:r>
      <w:proofErr w:type="spellEnd"/>
      <w:r>
        <w:t xml:space="preserve"> ME, Huggett A. </w:t>
      </w:r>
      <w:r w:rsidR="006F635D" w:rsidRPr="006F635D">
        <w:t xml:space="preserve">Review of the function of a telephone helpline in the treatment of outpatients with rheumatoid arthritis. </w:t>
      </w:r>
      <w:r w:rsidRPr="006F635D">
        <w:rPr>
          <w:i/>
        </w:rPr>
        <w:t>Ann Rheum Dis</w:t>
      </w:r>
      <w:r>
        <w:rPr>
          <w:i/>
        </w:rPr>
        <w:t xml:space="preserve"> </w:t>
      </w:r>
      <w:r w:rsidRPr="00554417">
        <w:t>2002;</w:t>
      </w:r>
      <w:r>
        <w:t>61:</w:t>
      </w:r>
      <w:r w:rsidR="006F635D" w:rsidRPr="006F635D">
        <w:t>341-345.</w:t>
      </w:r>
    </w:p>
    <w:p w14:paraId="24CAD1A3" w14:textId="77777777" w:rsidR="006F635D" w:rsidRPr="006F635D" w:rsidRDefault="006F635D" w:rsidP="006F635D">
      <w:pPr>
        <w:numPr>
          <w:ilvl w:val="0"/>
          <w:numId w:val="18"/>
        </w:numPr>
        <w:contextualSpacing/>
      </w:pPr>
      <w:r w:rsidRPr="006F635D">
        <w:t xml:space="preserve">Dale J, Crouch R. It’s good to talk. </w:t>
      </w:r>
      <w:r w:rsidRPr="006F635D">
        <w:rPr>
          <w:i/>
        </w:rPr>
        <w:t xml:space="preserve">Health </w:t>
      </w:r>
      <w:proofErr w:type="spellStart"/>
      <w:r w:rsidRPr="006F635D">
        <w:rPr>
          <w:i/>
        </w:rPr>
        <w:t>Serv</w:t>
      </w:r>
      <w:proofErr w:type="spellEnd"/>
      <w:r w:rsidRPr="006F635D">
        <w:rPr>
          <w:i/>
        </w:rPr>
        <w:t xml:space="preserve"> J</w:t>
      </w:r>
      <w:r w:rsidRPr="006F635D">
        <w:t xml:space="preserve"> 1997;16:24–6.</w:t>
      </w:r>
    </w:p>
    <w:p w14:paraId="13D9272B" w14:textId="77777777" w:rsidR="006F635D" w:rsidRPr="006F635D" w:rsidRDefault="006F635D" w:rsidP="006F635D">
      <w:pPr>
        <w:numPr>
          <w:ilvl w:val="0"/>
          <w:numId w:val="18"/>
        </w:numPr>
        <w:contextualSpacing/>
      </w:pPr>
      <w:proofErr w:type="spellStart"/>
      <w:r w:rsidRPr="00DF0736">
        <w:rPr>
          <w:lang w:val="fr-FR"/>
        </w:rPr>
        <w:lastRenderedPageBreak/>
        <w:t>Moher</w:t>
      </w:r>
      <w:proofErr w:type="spellEnd"/>
      <w:r w:rsidRPr="00DF0736">
        <w:rPr>
          <w:lang w:val="fr-FR"/>
        </w:rPr>
        <w:t xml:space="preserve"> D, Pham B, Jones A et al. </w:t>
      </w:r>
      <w:r w:rsidRPr="006F635D">
        <w:t xml:space="preserve">Does quality of reports of randomised trials affect estimates of intervention efficacy reported in meta-analyses? </w:t>
      </w:r>
      <w:r w:rsidRPr="006F635D">
        <w:rPr>
          <w:i/>
        </w:rPr>
        <w:t>Lancet</w:t>
      </w:r>
      <w:r w:rsidRPr="006F635D">
        <w:t xml:space="preserve"> 1998;352:609-13.</w:t>
      </w:r>
    </w:p>
    <w:p w14:paraId="0CC06501" w14:textId="77777777" w:rsidR="006F635D" w:rsidRPr="006F635D" w:rsidRDefault="006F635D" w:rsidP="006F635D">
      <w:pPr>
        <w:numPr>
          <w:ilvl w:val="0"/>
          <w:numId w:val="18"/>
        </w:numPr>
        <w:contextualSpacing/>
      </w:pPr>
      <w:proofErr w:type="spellStart"/>
      <w:r w:rsidRPr="006F635D">
        <w:t>Pildal</w:t>
      </w:r>
      <w:proofErr w:type="spellEnd"/>
      <w:r w:rsidRPr="006F635D">
        <w:t xml:space="preserve"> J, </w:t>
      </w:r>
      <w:proofErr w:type="spellStart"/>
      <w:r w:rsidRPr="006F635D">
        <w:t>Hrobjartsson</w:t>
      </w:r>
      <w:proofErr w:type="spellEnd"/>
      <w:r w:rsidRPr="006F635D">
        <w:t xml:space="preserve"> A, </w:t>
      </w:r>
      <w:proofErr w:type="spellStart"/>
      <w:r w:rsidRPr="006F635D">
        <w:t>Jörgensen</w:t>
      </w:r>
      <w:proofErr w:type="spellEnd"/>
      <w:r w:rsidRPr="006F635D">
        <w:t xml:space="preserve"> KJ et al. Impact of allocation concealment on conclusions drawn from meta-analyses of randomized trials. </w:t>
      </w:r>
      <w:r w:rsidRPr="006F635D">
        <w:rPr>
          <w:i/>
        </w:rPr>
        <w:t xml:space="preserve">Int J </w:t>
      </w:r>
      <w:proofErr w:type="spellStart"/>
      <w:r w:rsidRPr="006F635D">
        <w:rPr>
          <w:i/>
        </w:rPr>
        <w:t>Epidemiol</w:t>
      </w:r>
      <w:proofErr w:type="spellEnd"/>
      <w:r w:rsidRPr="006F635D">
        <w:t xml:space="preserve"> 2007;36:847-57.</w:t>
      </w:r>
    </w:p>
    <w:p w14:paraId="4BEF9CAC" w14:textId="77777777" w:rsidR="006F635D" w:rsidRPr="006F635D" w:rsidRDefault="006F635D" w:rsidP="006F635D">
      <w:pPr>
        <w:numPr>
          <w:ilvl w:val="0"/>
          <w:numId w:val="18"/>
        </w:numPr>
        <w:contextualSpacing/>
      </w:pPr>
      <w:proofErr w:type="spellStart"/>
      <w:r w:rsidRPr="006F635D">
        <w:lastRenderedPageBreak/>
        <w:t>Bellomo</w:t>
      </w:r>
      <w:proofErr w:type="spellEnd"/>
      <w:r w:rsidRPr="006F635D">
        <w:t xml:space="preserve"> R, </w:t>
      </w:r>
      <w:proofErr w:type="spellStart"/>
      <w:r w:rsidRPr="006F635D">
        <w:t>Warrillow</w:t>
      </w:r>
      <w:proofErr w:type="spellEnd"/>
      <w:r w:rsidRPr="006F635D">
        <w:t xml:space="preserve"> SJ, and Reade MC. Why we should be wary of single-</w:t>
      </w:r>
      <w:proofErr w:type="spellStart"/>
      <w:r w:rsidRPr="006F635D">
        <w:t>center</w:t>
      </w:r>
      <w:proofErr w:type="spellEnd"/>
      <w:r w:rsidRPr="006F635D">
        <w:t xml:space="preserve"> trials. </w:t>
      </w:r>
      <w:r w:rsidRPr="006F635D">
        <w:rPr>
          <w:i/>
        </w:rPr>
        <w:t>Crit Care Med</w:t>
      </w:r>
      <w:r w:rsidRPr="006F635D">
        <w:t xml:space="preserve"> 2009;37:3114-9.</w:t>
      </w:r>
    </w:p>
    <w:p w14:paraId="425A4CFF" w14:textId="77777777" w:rsidR="006F635D" w:rsidRPr="006F635D" w:rsidRDefault="006F635D" w:rsidP="006F635D">
      <w:pPr>
        <w:numPr>
          <w:ilvl w:val="0"/>
          <w:numId w:val="18"/>
        </w:numPr>
        <w:contextualSpacing/>
      </w:pPr>
      <w:proofErr w:type="spellStart"/>
      <w:r w:rsidRPr="00DF0736">
        <w:rPr>
          <w:lang w:val="fr-FR"/>
        </w:rPr>
        <w:t>Bafeta</w:t>
      </w:r>
      <w:proofErr w:type="spellEnd"/>
      <w:r w:rsidRPr="00DF0736">
        <w:rPr>
          <w:lang w:val="fr-FR"/>
        </w:rPr>
        <w:t xml:space="preserve"> A, </w:t>
      </w:r>
      <w:proofErr w:type="spellStart"/>
      <w:r w:rsidRPr="00DF0736">
        <w:rPr>
          <w:lang w:val="fr-FR"/>
        </w:rPr>
        <w:t>Dechartres</w:t>
      </w:r>
      <w:proofErr w:type="spellEnd"/>
      <w:r w:rsidRPr="00DF0736">
        <w:rPr>
          <w:lang w:val="fr-FR"/>
        </w:rPr>
        <w:t xml:space="preserve"> A, Trinquart L et al. </w:t>
      </w:r>
      <w:r w:rsidRPr="006F635D">
        <w:t xml:space="preserve">Impact of single centre status on estimates of intervention effects in trials with continuous outcomes: meta-epidemiological study. </w:t>
      </w:r>
      <w:r w:rsidRPr="006F635D">
        <w:rPr>
          <w:i/>
        </w:rPr>
        <w:t>BMJ</w:t>
      </w:r>
      <w:r w:rsidRPr="006F635D">
        <w:t xml:space="preserve"> 2012;344:e813.</w:t>
      </w:r>
    </w:p>
    <w:p w14:paraId="7D2AC324" w14:textId="4A59E0CE" w:rsidR="002B499A" w:rsidRDefault="006F635D" w:rsidP="006F635D">
      <w:pPr>
        <w:numPr>
          <w:ilvl w:val="0"/>
          <w:numId w:val="18"/>
        </w:numPr>
        <w:contextualSpacing/>
      </w:pPr>
      <w:proofErr w:type="spellStart"/>
      <w:r w:rsidRPr="00DF0736">
        <w:rPr>
          <w:lang w:val="fr-FR"/>
        </w:rPr>
        <w:lastRenderedPageBreak/>
        <w:t>Dechartres</w:t>
      </w:r>
      <w:proofErr w:type="spellEnd"/>
      <w:r w:rsidRPr="00DF0736">
        <w:rPr>
          <w:lang w:val="fr-FR"/>
        </w:rPr>
        <w:t xml:space="preserve"> A, </w:t>
      </w:r>
      <w:proofErr w:type="spellStart"/>
      <w:r w:rsidRPr="00DF0736">
        <w:rPr>
          <w:lang w:val="fr-FR"/>
        </w:rPr>
        <w:t>Boutron</w:t>
      </w:r>
      <w:proofErr w:type="spellEnd"/>
      <w:r w:rsidRPr="00DF0736">
        <w:rPr>
          <w:lang w:val="fr-FR"/>
        </w:rPr>
        <w:t xml:space="preserve"> I, Trinquart L et al. </w:t>
      </w:r>
      <w:r w:rsidRPr="006F635D">
        <w:t>Single-</w:t>
      </w:r>
      <w:proofErr w:type="spellStart"/>
      <w:r w:rsidRPr="006F635D">
        <w:t>center</w:t>
      </w:r>
      <w:proofErr w:type="spellEnd"/>
      <w:r w:rsidRPr="006F635D">
        <w:t xml:space="preserve"> trials show larger treatment effects than </w:t>
      </w:r>
      <w:proofErr w:type="spellStart"/>
      <w:r w:rsidRPr="006F635D">
        <w:t>multicenter</w:t>
      </w:r>
      <w:proofErr w:type="spellEnd"/>
      <w:r w:rsidRPr="006F635D">
        <w:t xml:space="preserve"> trials: evidence from a meta-epidemiologic study. Ann </w:t>
      </w:r>
      <w:r w:rsidRPr="006F635D">
        <w:rPr>
          <w:i/>
        </w:rPr>
        <w:t>Intern Med</w:t>
      </w:r>
      <w:r w:rsidRPr="006F635D">
        <w:t xml:space="preserve"> 2011;155:39-51.</w:t>
      </w:r>
    </w:p>
    <w:p w14:paraId="6B5A1A60" w14:textId="77777777" w:rsidR="00F97F99" w:rsidRDefault="00F97F99" w:rsidP="00F97F99">
      <w:pPr>
        <w:contextualSpacing/>
      </w:pPr>
    </w:p>
    <w:p w14:paraId="59EB7015" w14:textId="46E5E0E8" w:rsidR="00F97F99" w:rsidRDefault="00794B3E" w:rsidP="00F97F99">
      <w:pPr>
        <w:contextualSpacing/>
      </w:pPr>
      <w:r>
        <w:rPr>
          <w:b/>
        </w:rPr>
        <w:t>T</w:t>
      </w:r>
      <w:r w:rsidR="00095C3E" w:rsidRPr="0047584C">
        <w:rPr>
          <w:b/>
        </w:rPr>
        <w:t>able 1</w:t>
      </w:r>
      <w:r w:rsidR="00095C3E">
        <w:t xml:space="preserve"> </w:t>
      </w:r>
      <w:r w:rsidR="00095C3E" w:rsidRPr="00990959">
        <w:t>Mean change in effect</w:t>
      </w:r>
    </w:p>
    <w:p w14:paraId="434538D0" w14:textId="2ACEDE6B" w:rsidR="00095C3E" w:rsidRDefault="00095C3E" w:rsidP="00095C3E">
      <w:pPr>
        <w:spacing w:line="240" w:lineRule="auto"/>
        <w:contextualSpacing/>
      </w:pPr>
      <w:bookmarkStart w:id="2" w:name="_Ref491352538"/>
      <w:r w:rsidRPr="00890B1A">
        <w:rPr>
          <w:b/>
        </w:rPr>
        <w:t xml:space="preserve">Table </w:t>
      </w:r>
      <w:r w:rsidRPr="00890B1A">
        <w:rPr>
          <w:b/>
          <w:noProof/>
        </w:rPr>
        <w:fldChar w:fldCharType="begin"/>
      </w:r>
      <w:r w:rsidRPr="00890B1A">
        <w:rPr>
          <w:b/>
          <w:noProof/>
        </w:rPr>
        <w:instrText xml:space="preserve"> SEQ Table \* ARABIC </w:instrText>
      </w:r>
      <w:r w:rsidRPr="00890B1A">
        <w:rPr>
          <w:b/>
          <w:noProof/>
        </w:rPr>
        <w:fldChar w:fldCharType="separate"/>
      </w:r>
      <w:r w:rsidRPr="00890B1A">
        <w:rPr>
          <w:b/>
          <w:noProof/>
        </w:rPr>
        <w:t>2</w:t>
      </w:r>
      <w:r w:rsidRPr="00890B1A">
        <w:rPr>
          <w:b/>
          <w:noProof/>
        </w:rPr>
        <w:fldChar w:fldCharType="end"/>
      </w:r>
      <w:bookmarkEnd w:id="2"/>
      <w:r w:rsidRPr="00A40158">
        <w:t xml:space="preserve"> </w:t>
      </w:r>
      <w:r w:rsidR="00BC33BF">
        <w:t>Mean c</w:t>
      </w:r>
      <w:r w:rsidRPr="00A40158">
        <w:t>osts of services to participants in the trial (</w:t>
      </w:r>
      <w:r w:rsidR="00BC33BF">
        <w:t xml:space="preserve">mean </w:t>
      </w:r>
      <w:r w:rsidRPr="00A40158">
        <w:t>cost per patient by treatment arm in £ Sterling)</w:t>
      </w:r>
    </w:p>
    <w:p w14:paraId="60377D13" w14:textId="77777777" w:rsidR="00095C3E" w:rsidRDefault="00095C3E" w:rsidP="00095C3E">
      <w:pPr>
        <w:spacing w:line="240" w:lineRule="auto"/>
        <w:contextualSpacing/>
      </w:pPr>
    </w:p>
    <w:p w14:paraId="671A1899" w14:textId="5648BB49" w:rsidR="00F97F99" w:rsidRDefault="00F97F99" w:rsidP="00F97F99">
      <w:pPr>
        <w:pStyle w:val="Caption"/>
        <w:rPr>
          <w:b w:val="0"/>
        </w:rPr>
      </w:pPr>
      <w:r>
        <w:lastRenderedPageBreak/>
        <w:t xml:space="preserve">Figure 1. </w:t>
      </w:r>
      <w:r w:rsidRPr="006F635D">
        <w:rPr>
          <w:b w:val="0"/>
        </w:rPr>
        <w:t xml:space="preserve">Cost effectiveness plane </w:t>
      </w:r>
      <w:r w:rsidR="009E5F8B">
        <w:rPr>
          <w:b w:val="0"/>
        </w:rPr>
        <w:t>and CEA curve</w:t>
      </w:r>
      <w:r w:rsidRPr="006F635D">
        <w:rPr>
          <w:b w:val="0"/>
        </w:rPr>
        <w:t xml:space="preserve"> for the new service and care as usual using a change in ESR for model 1 (helpline costs included) and model 2 (helpline costs not included)</w:t>
      </w:r>
    </w:p>
    <w:p w14:paraId="7674650F" w14:textId="77777777" w:rsidR="00BE2CFD" w:rsidRDefault="00BE2CFD" w:rsidP="00F97F99">
      <w:pPr>
        <w:pStyle w:val="Caption"/>
      </w:pPr>
    </w:p>
    <w:p w14:paraId="41B511EB" w14:textId="22F56441" w:rsidR="00F97F99" w:rsidRDefault="00F97F99" w:rsidP="00F97F99">
      <w:pPr>
        <w:pStyle w:val="Caption"/>
        <w:rPr>
          <w:b w:val="0"/>
        </w:rPr>
      </w:pPr>
      <w:r w:rsidRPr="006E1314">
        <w:t xml:space="preserve">Figure </w:t>
      </w:r>
      <w:r w:rsidR="009E5F8B">
        <w:rPr>
          <w:noProof/>
        </w:rPr>
        <w:t>2</w:t>
      </w:r>
      <w:r w:rsidRPr="006E1314">
        <w:t xml:space="preserve">. </w:t>
      </w:r>
      <w:r w:rsidRPr="006F635D">
        <w:rPr>
          <w:b w:val="0"/>
        </w:rPr>
        <w:t xml:space="preserve">Cost effectiveness </w:t>
      </w:r>
      <w:r w:rsidR="009E5F8B">
        <w:rPr>
          <w:b w:val="0"/>
        </w:rPr>
        <w:t>and CEA curve</w:t>
      </w:r>
      <w:r w:rsidRPr="006F635D">
        <w:rPr>
          <w:b w:val="0"/>
        </w:rPr>
        <w:t xml:space="preserve"> for the new service and care as usual using a change in mental health quality of life for model 1 (helpline costs included) and model 2 (helpline costs not included)</w:t>
      </w:r>
    </w:p>
    <w:p w14:paraId="7BD6213E" w14:textId="77777777" w:rsidR="00BE2CFD" w:rsidRDefault="00BE2CFD" w:rsidP="00F97F99">
      <w:pPr>
        <w:pStyle w:val="Caption"/>
      </w:pPr>
    </w:p>
    <w:p w14:paraId="2E96FE2F" w14:textId="76F86424" w:rsidR="00F97F99" w:rsidRDefault="00F97F99" w:rsidP="00BD5527">
      <w:pPr>
        <w:pStyle w:val="Caption"/>
        <w:rPr>
          <w:b w:val="0"/>
        </w:rPr>
      </w:pPr>
      <w:r>
        <w:t xml:space="preserve">Figure </w:t>
      </w:r>
      <w:r w:rsidR="00BD5527">
        <w:t>3</w:t>
      </w:r>
      <w:r>
        <w:t xml:space="preserve">. </w:t>
      </w:r>
      <w:r w:rsidRPr="006F635D">
        <w:rPr>
          <w:b w:val="0"/>
        </w:rPr>
        <w:t xml:space="preserve">Cost effectiveness plane </w:t>
      </w:r>
      <w:r w:rsidR="00BD5527">
        <w:rPr>
          <w:b w:val="0"/>
        </w:rPr>
        <w:t>and CEA curve</w:t>
      </w:r>
      <w:r w:rsidRPr="006F635D">
        <w:rPr>
          <w:b w:val="0"/>
        </w:rPr>
        <w:t xml:space="preserve"> for the new service and care as usual using a change in physical health quality of life for model 1 (helpline costs included) and model 2 (helpline costs not included)</w:t>
      </w:r>
    </w:p>
    <w:p w14:paraId="7C1809F7" w14:textId="77777777" w:rsidR="006354B3" w:rsidRPr="006354B3" w:rsidRDefault="006354B3" w:rsidP="006354B3">
      <w:pPr>
        <w:pStyle w:val="Caption"/>
        <w:rPr>
          <w:b w:val="0"/>
        </w:rPr>
      </w:pPr>
    </w:p>
    <w:p w14:paraId="4BE6F1EE" w14:textId="174A7041" w:rsidR="006354B3" w:rsidRDefault="006354B3" w:rsidP="006354B3">
      <w:pPr>
        <w:pStyle w:val="Caption"/>
        <w:rPr>
          <w:b w:val="0"/>
        </w:rPr>
      </w:pPr>
      <w:r w:rsidRPr="006354B3">
        <w:t>Appendix A.</w:t>
      </w:r>
      <w:r w:rsidRPr="006354B3">
        <w:rPr>
          <w:b w:val="0"/>
        </w:rPr>
        <w:t xml:space="preserve"> Consort diagram</w:t>
      </w:r>
    </w:p>
    <w:p w14:paraId="1C505366" w14:textId="77777777" w:rsidR="006354B3" w:rsidRPr="006354B3" w:rsidRDefault="006354B3" w:rsidP="006354B3">
      <w:pPr>
        <w:pStyle w:val="Caption"/>
        <w:rPr>
          <w:b w:val="0"/>
        </w:rPr>
      </w:pPr>
    </w:p>
    <w:p w14:paraId="7D1A1BDB" w14:textId="32ECC1C7" w:rsidR="006354B3" w:rsidRPr="006354B3" w:rsidRDefault="006354B3" w:rsidP="006354B3">
      <w:pPr>
        <w:pStyle w:val="Caption"/>
        <w:rPr>
          <w:b w:val="0"/>
        </w:rPr>
      </w:pPr>
      <w:r w:rsidRPr="006354B3">
        <w:lastRenderedPageBreak/>
        <w:t xml:space="preserve">Appendix B. </w:t>
      </w:r>
      <w:r>
        <w:rPr>
          <w:b w:val="0"/>
        </w:rPr>
        <w:t>Upper and lower cost data</w:t>
      </w:r>
    </w:p>
    <w:p w14:paraId="327EB366" w14:textId="77777777" w:rsidR="00F97F99" w:rsidRPr="006354B3" w:rsidRDefault="00F97F99" w:rsidP="006354B3">
      <w:pPr>
        <w:pStyle w:val="Caption"/>
        <w:rPr>
          <w:b w:val="0"/>
        </w:rPr>
      </w:pPr>
    </w:p>
    <w:p w14:paraId="5A7D313F" w14:textId="77777777" w:rsidR="00F97F99" w:rsidRPr="00F97F99" w:rsidRDefault="00F97F99" w:rsidP="00F97F99">
      <w:pPr>
        <w:rPr>
          <w:lang w:eastAsia="en-GB"/>
        </w:rPr>
      </w:pPr>
    </w:p>
    <w:p w14:paraId="0D4E895B" w14:textId="77777777" w:rsidR="00F97F99" w:rsidRPr="00F97F99" w:rsidRDefault="00F97F99" w:rsidP="00F97F99">
      <w:pPr>
        <w:rPr>
          <w:lang w:eastAsia="en-GB"/>
        </w:rPr>
      </w:pPr>
    </w:p>
    <w:p w14:paraId="7190B6CC" w14:textId="4203CC24" w:rsidR="00F97F99" w:rsidRPr="00CF3E77" w:rsidRDefault="00F97F99" w:rsidP="00F97F99">
      <w:pPr>
        <w:contextualSpacing/>
      </w:pPr>
    </w:p>
    <w:sectPr w:rsidR="00F97F99" w:rsidRPr="00CF3E77" w:rsidSect="007669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663C" w14:textId="77777777" w:rsidR="00CE5845" w:rsidRDefault="00CE5845" w:rsidP="00D438BA">
      <w:r>
        <w:separator/>
      </w:r>
    </w:p>
  </w:endnote>
  <w:endnote w:type="continuationSeparator" w:id="0">
    <w:p w14:paraId="398F294F" w14:textId="77777777" w:rsidR="00CE5845" w:rsidRDefault="00CE5845" w:rsidP="00D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822325"/>
      <w:docPartObj>
        <w:docPartGallery w:val="Page Numbers (Bottom of Page)"/>
        <w:docPartUnique/>
      </w:docPartObj>
    </w:sdtPr>
    <w:sdtEndPr>
      <w:rPr>
        <w:noProof/>
      </w:rPr>
    </w:sdtEndPr>
    <w:sdtContent>
      <w:p w14:paraId="216E9E75" w14:textId="4710E6B6" w:rsidR="00312DEB" w:rsidRPr="009E0FAD" w:rsidRDefault="00312DEB" w:rsidP="0070784A">
        <w:pPr>
          <w:pStyle w:val="Footer"/>
          <w:jc w:val="center"/>
        </w:pPr>
        <w:r>
          <w:fldChar w:fldCharType="begin"/>
        </w:r>
        <w:r>
          <w:instrText xml:space="preserve"> PAGE   \* MERGEFORMAT </w:instrText>
        </w:r>
        <w:r>
          <w:fldChar w:fldCharType="separate"/>
        </w:r>
        <w:r w:rsidR="00CE5677">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689928"/>
      <w:docPartObj>
        <w:docPartGallery w:val="Page Numbers (Bottom of Page)"/>
        <w:docPartUnique/>
      </w:docPartObj>
    </w:sdtPr>
    <w:sdtEndPr>
      <w:rPr>
        <w:noProof/>
      </w:rPr>
    </w:sdtEndPr>
    <w:sdtContent>
      <w:p w14:paraId="42807D0A" w14:textId="24896B1A" w:rsidR="00312DEB" w:rsidRDefault="00312DEB" w:rsidP="00E94C98">
        <w:pPr>
          <w:pStyle w:val="Footer"/>
          <w:jc w:val="center"/>
        </w:pPr>
        <w:r>
          <w:fldChar w:fldCharType="begin"/>
        </w:r>
        <w:r>
          <w:instrText xml:space="preserve"> PAGE   \* MERGEFORMAT </w:instrText>
        </w:r>
        <w:r>
          <w:fldChar w:fldCharType="separate"/>
        </w:r>
        <w:r w:rsidR="00CE567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ACA7" w14:textId="77777777" w:rsidR="00CE5845" w:rsidRDefault="00CE5845" w:rsidP="00D438BA">
      <w:r>
        <w:separator/>
      </w:r>
    </w:p>
  </w:footnote>
  <w:footnote w:type="continuationSeparator" w:id="0">
    <w:p w14:paraId="5ECEDA01" w14:textId="77777777" w:rsidR="00CE5845" w:rsidRDefault="00CE5845" w:rsidP="00D4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31E8A"/>
    <w:multiLevelType w:val="hybridMultilevel"/>
    <w:tmpl w:val="723025EC"/>
    <w:lvl w:ilvl="0" w:tplc="AEF2FD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F65048"/>
    <w:multiLevelType w:val="hybridMultilevel"/>
    <w:tmpl w:val="4D7ACC7C"/>
    <w:lvl w:ilvl="0" w:tplc="2AE03F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E165F"/>
    <w:multiLevelType w:val="hybridMultilevel"/>
    <w:tmpl w:val="4A983BBC"/>
    <w:lvl w:ilvl="0" w:tplc="6EE481E2">
      <w:start w:val="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E26F1"/>
    <w:multiLevelType w:val="multilevel"/>
    <w:tmpl w:val="FE0EF006"/>
    <w:lvl w:ilvl="0">
      <w:start w:val="1"/>
      <w:numFmt w:val="decimal"/>
      <w:lvlText w:val="%1."/>
      <w:lvlJc w:val="left"/>
      <w:pPr>
        <w:ind w:left="574" w:hanging="432"/>
      </w:pPr>
      <w:rPr>
        <w:rFonts w:hint="default"/>
        <w:color w:val="FFFFF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66F3B92"/>
    <w:multiLevelType w:val="hybridMultilevel"/>
    <w:tmpl w:val="04E6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46E37"/>
    <w:multiLevelType w:val="hybridMultilevel"/>
    <w:tmpl w:val="1CE8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E43A5"/>
    <w:multiLevelType w:val="hybridMultilevel"/>
    <w:tmpl w:val="D0109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E7355"/>
    <w:multiLevelType w:val="hybridMultilevel"/>
    <w:tmpl w:val="89A6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B0097"/>
    <w:multiLevelType w:val="hybridMultilevel"/>
    <w:tmpl w:val="7B18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41B90"/>
    <w:multiLevelType w:val="hybridMultilevel"/>
    <w:tmpl w:val="2DE2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E4813"/>
    <w:multiLevelType w:val="multilevel"/>
    <w:tmpl w:val="AB661C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50031"/>
    <w:multiLevelType w:val="hybridMultilevel"/>
    <w:tmpl w:val="ECF2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A5A0E"/>
    <w:multiLevelType w:val="hybridMultilevel"/>
    <w:tmpl w:val="14D0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834BF"/>
    <w:multiLevelType w:val="hybridMultilevel"/>
    <w:tmpl w:val="A68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F080C"/>
    <w:multiLevelType w:val="hybridMultilevel"/>
    <w:tmpl w:val="6E74C14A"/>
    <w:lvl w:ilvl="0" w:tplc="AEF2FD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879F2"/>
    <w:multiLevelType w:val="hybridMultilevel"/>
    <w:tmpl w:val="0B98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A43DF"/>
    <w:multiLevelType w:val="hybridMultilevel"/>
    <w:tmpl w:val="FCAC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12BEA"/>
    <w:multiLevelType w:val="hybridMultilevel"/>
    <w:tmpl w:val="ECB0A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8D5FCE"/>
    <w:multiLevelType w:val="hybridMultilevel"/>
    <w:tmpl w:val="03063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14BC7"/>
    <w:multiLevelType w:val="hybridMultilevel"/>
    <w:tmpl w:val="919C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374DE"/>
    <w:multiLevelType w:val="hybridMultilevel"/>
    <w:tmpl w:val="578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3"/>
  </w:num>
  <w:num w:numId="5">
    <w:abstractNumId w:val="5"/>
  </w:num>
  <w:num w:numId="6">
    <w:abstractNumId w:val="4"/>
  </w:num>
  <w:num w:numId="7">
    <w:abstractNumId w:val="19"/>
  </w:num>
  <w:num w:numId="8">
    <w:abstractNumId w:val="8"/>
  </w:num>
  <w:num w:numId="9">
    <w:abstractNumId w:val="12"/>
  </w:num>
  <w:num w:numId="10">
    <w:abstractNumId w:val="14"/>
  </w:num>
  <w:num w:numId="11">
    <w:abstractNumId w:val="0"/>
  </w:num>
  <w:num w:numId="12">
    <w:abstractNumId w:val="17"/>
  </w:num>
  <w:num w:numId="13">
    <w:abstractNumId w:val="11"/>
  </w:num>
  <w:num w:numId="14">
    <w:abstractNumId w:val="6"/>
  </w:num>
  <w:num w:numId="15">
    <w:abstractNumId w:val="15"/>
  </w:num>
  <w:num w:numId="16">
    <w:abstractNumId w:val="9"/>
  </w:num>
  <w:num w:numId="17">
    <w:abstractNumId w:val="18"/>
  </w:num>
  <w:num w:numId="18">
    <w:abstractNumId w:val="1"/>
  </w:num>
  <w:num w:numId="19">
    <w:abstractNumId w:val="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nnals of Behavioural Medicine&lt;/Style&gt;&lt;LeftDelim&gt;{&lt;/LeftDelim&gt;&lt;RightDelim&gt;}&lt;/RightDelim&gt;&lt;FontName&gt;Calibri&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ew reference folder&lt;/item&gt;&lt;/Libraries&gt;&lt;/ENLibraries&gt;"/>
  </w:docVars>
  <w:rsids>
    <w:rsidRoot w:val="00E347E9"/>
    <w:rsid w:val="0000127F"/>
    <w:rsid w:val="000065D5"/>
    <w:rsid w:val="00006967"/>
    <w:rsid w:val="00007A66"/>
    <w:rsid w:val="00012FE9"/>
    <w:rsid w:val="000137F0"/>
    <w:rsid w:val="00017B62"/>
    <w:rsid w:val="00021517"/>
    <w:rsid w:val="000224E8"/>
    <w:rsid w:val="00022831"/>
    <w:rsid w:val="00022EA5"/>
    <w:rsid w:val="0002310C"/>
    <w:rsid w:val="00024AF6"/>
    <w:rsid w:val="0002627A"/>
    <w:rsid w:val="000267BD"/>
    <w:rsid w:val="000370A2"/>
    <w:rsid w:val="000423A6"/>
    <w:rsid w:val="0004552F"/>
    <w:rsid w:val="00053AAF"/>
    <w:rsid w:val="00054B02"/>
    <w:rsid w:val="0005560D"/>
    <w:rsid w:val="00056741"/>
    <w:rsid w:val="000574B5"/>
    <w:rsid w:val="00060596"/>
    <w:rsid w:val="000619D8"/>
    <w:rsid w:val="00065009"/>
    <w:rsid w:val="00066B37"/>
    <w:rsid w:val="00071E63"/>
    <w:rsid w:val="000737B9"/>
    <w:rsid w:val="00075353"/>
    <w:rsid w:val="00077C4D"/>
    <w:rsid w:val="00087219"/>
    <w:rsid w:val="00087FA9"/>
    <w:rsid w:val="00095C3E"/>
    <w:rsid w:val="000B2C49"/>
    <w:rsid w:val="000B2FF2"/>
    <w:rsid w:val="000B3666"/>
    <w:rsid w:val="000D0CA6"/>
    <w:rsid w:val="000D5C01"/>
    <w:rsid w:val="000E060C"/>
    <w:rsid w:val="000E1400"/>
    <w:rsid w:val="000E2A12"/>
    <w:rsid w:val="000E2FF7"/>
    <w:rsid w:val="000E3A95"/>
    <w:rsid w:val="000F0B19"/>
    <w:rsid w:val="000F1606"/>
    <w:rsid w:val="000F1B01"/>
    <w:rsid w:val="000F50D2"/>
    <w:rsid w:val="00102FA4"/>
    <w:rsid w:val="00106057"/>
    <w:rsid w:val="0011263A"/>
    <w:rsid w:val="00113F05"/>
    <w:rsid w:val="00114274"/>
    <w:rsid w:val="00120701"/>
    <w:rsid w:val="001226AC"/>
    <w:rsid w:val="0012413B"/>
    <w:rsid w:val="001306F0"/>
    <w:rsid w:val="001321A7"/>
    <w:rsid w:val="001344E9"/>
    <w:rsid w:val="0014099D"/>
    <w:rsid w:val="00151B1F"/>
    <w:rsid w:val="00162C6B"/>
    <w:rsid w:val="0016692D"/>
    <w:rsid w:val="00170827"/>
    <w:rsid w:val="00171262"/>
    <w:rsid w:val="001732BA"/>
    <w:rsid w:val="001748E7"/>
    <w:rsid w:val="00177EB0"/>
    <w:rsid w:val="00182278"/>
    <w:rsid w:val="00186F5B"/>
    <w:rsid w:val="00190D69"/>
    <w:rsid w:val="00197A13"/>
    <w:rsid w:val="001A4E71"/>
    <w:rsid w:val="001A5061"/>
    <w:rsid w:val="001A70AB"/>
    <w:rsid w:val="001B0A5C"/>
    <w:rsid w:val="001B1737"/>
    <w:rsid w:val="001C1F56"/>
    <w:rsid w:val="001C4118"/>
    <w:rsid w:val="001C4BEA"/>
    <w:rsid w:val="001C76D5"/>
    <w:rsid w:val="001C7C16"/>
    <w:rsid w:val="001D31B0"/>
    <w:rsid w:val="001D4DB9"/>
    <w:rsid w:val="001E1D2A"/>
    <w:rsid w:val="001E732A"/>
    <w:rsid w:val="00201489"/>
    <w:rsid w:val="00206323"/>
    <w:rsid w:val="00206EC8"/>
    <w:rsid w:val="00211E88"/>
    <w:rsid w:val="00216151"/>
    <w:rsid w:val="00217063"/>
    <w:rsid w:val="00220049"/>
    <w:rsid w:val="002246A6"/>
    <w:rsid w:val="00240258"/>
    <w:rsid w:val="00245BC2"/>
    <w:rsid w:val="002559DF"/>
    <w:rsid w:val="00275CF5"/>
    <w:rsid w:val="00286A36"/>
    <w:rsid w:val="00292B41"/>
    <w:rsid w:val="00295853"/>
    <w:rsid w:val="002A0B48"/>
    <w:rsid w:val="002A4108"/>
    <w:rsid w:val="002A4B3D"/>
    <w:rsid w:val="002A508B"/>
    <w:rsid w:val="002A5091"/>
    <w:rsid w:val="002B499A"/>
    <w:rsid w:val="002C0BD3"/>
    <w:rsid w:val="002C23FD"/>
    <w:rsid w:val="002C3481"/>
    <w:rsid w:val="002C3D4E"/>
    <w:rsid w:val="002C4EDD"/>
    <w:rsid w:val="002D1C15"/>
    <w:rsid w:val="002D2AD1"/>
    <w:rsid w:val="002D6287"/>
    <w:rsid w:val="002D6312"/>
    <w:rsid w:val="002D6597"/>
    <w:rsid w:val="002D6BE7"/>
    <w:rsid w:val="002E386A"/>
    <w:rsid w:val="002E7C0A"/>
    <w:rsid w:val="002F24E8"/>
    <w:rsid w:val="002F4BAE"/>
    <w:rsid w:val="002F5F32"/>
    <w:rsid w:val="00300A70"/>
    <w:rsid w:val="003113E7"/>
    <w:rsid w:val="00311D6E"/>
    <w:rsid w:val="00312DC8"/>
    <w:rsid w:val="00312DEB"/>
    <w:rsid w:val="00314B7F"/>
    <w:rsid w:val="00314CF9"/>
    <w:rsid w:val="003152E8"/>
    <w:rsid w:val="00315A6E"/>
    <w:rsid w:val="00316106"/>
    <w:rsid w:val="00322592"/>
    <w:rsid w:val="00332408"/>
    <w:rsid w:val="00333C3C"/>
    <w:rsid w:val="00336297"/>
    <w:rsid w:val="00345384"/>
    <w:rsid w:val="0036013B"/>
    <w:rsid w:val="003609A1"/>
    <w:rsid w:val="00374DC4"/>
    <w:rsid w:val="00382908"/>
    <w:rsid w:val="00391C01"/>
    <w:rsid w:val="00396035"/>
    <w:rsid w:val="00396480"/>
    <w:rsid w:val="003A2258"/>
    <w:rsid w:val="003A4CC2"/>
    <w:rsid w:val="003A4D9B"/>
    <w:rsid w:val="003A52A1"/>
    <w:rsid w:val="003B2BA7"/>
    <w:rsid w:val="003C00CF"/>
    <w:rsid w:val="003C47B4"/>
    <w:rsid w:val="003C5711"/>
    <w:rsid w:val="003C62DC"/>
    <w:rsid w:val="003D2737"/>
    <w:rsid w:val="003D2F1D"/>
    <w:rsid w:val="003E34D0"/>
    <w:rsid w:val="003E44F2"/>
    <w:rsid w:val="003E5873"/>
    <w:rsid w:val="003E5EA1"/>
    <w:rsid w:val="003F05C9"/>
    <w:rsid w:val="003F35C8"/>
    <w:rsid w:val="003F3AD5"/>
    <w:rsid w:val="003F73F9"/>
    <w:rsid w:val="00403CB3"/>
    <w:rsid w:val="0040470D"/>
    <w:rsid w:val="00412232"/>
    <w:rsid w:val="004216D7"/>
    <w:rsid w:val="00430365"/>
    <w:rsid w:val="00430EAE"/>
    <w:rsid w:val="004319C1"/>
    <w:rsid w:val="00433C9E"/>
    <w:rsid w:val="00443A2A"/>
    <w:rsid w:val="0044463A"/>
    <w:rsid w:val="00444E22"/>
    <w:rsid w:val="0045176B"/>
    <w:rsid w:val="004617D4"/>
    <w:rsid w:val="0046273B"/>
    <w:rsid w:val="0047584C"/>
    <w:rsid w:val="00475AF2"/>
    <w:rsid w:val="004761D7"/>
    <w:rsid w:val="00486966"/>
    <w:rsid w:val="00487F52"/>
    <w:rsid w:val="0049006A"/>
    <w:rsid w:val="0049438E"/>
    <w:rsid w:val="00494E23"/>
    <w:rsid w:val="0049705D"/>
    <w:rsid w:val="004A10A7"/>
    <w:rsid w:val="004A2445"/>
    <w:rsid w:val="004A338B"/>
    <w:rsid w:val="004A5F59"/>
    <w:rsid w:val="004B022E"/>
    <w:rsid w:val="004B55B0"/>
    <w:rsid w:val="004B796F"/>
    <w:rsid w:val="004C051E"/>
    <w:rsid w:val="004C1C23"/>
    <w:rsid w:val="004C5E80"/>
    <w:rsid w:val="004D07B1"/>
    <w:rsid w:val="004D41CF"/>
    <w:rsid w:val="004D4AA6"/>
    <w:rsid w:val="004D609D"/>
    <w:rsid w:val="004E0302"/>
    <w:rsid w:val="004E0A98"/>
    <w:rsid w:val="004E22E3"/>
    <w:rsid w:val="004E232A"/>
    <w:rsid w:val="004E45E5"/>
    <w:rsid w:val="004E766D"/>
    <w:rsid w:val="004E7F8B"/>
    <w:rsid w:val="005046AD"/>
    <w:rsid w:val="00505FC0"/>
    <w:rsid w:val="00514A1E"/>
    <w:rsid w:val="00515BD6"/>
    <w:rsid w:val="0051640A"/>
    <w:rsid w:val="005172CA"/>
    <w:rsid w:val="005210BC"/>
    <w:rsid w:val="005251F5"/>
    <w:rsid w:val="0052733F"/>
    <w:rsid w:val="005305EE"/>
    <w:rsid w:val="00544F18"/>
    <w:rsid w:val="005459D6"/>
    <w:rsid w:val="00545C81"/>
    <w:rsid w:val="00546C49"/>
    <w:rsid w:val="00547912"/>
    <w:rsid w:val="00550F85"/>
    <w:rsid w:val="00551D29"/>
    <w:rsid w:val="005529E1"/>
    <w:rsid w:val="00554417"/>
    <w:rsid w:val="00560ADB"/>
    <w:rsid w:val="00562988"/>
    <w:rsid w:val="00576972"/>
    <w:rsid w:val="00583D28"/>
    <w:rsid w:val="00592139"/>
    <w:rsid w:val="00592ED5"/>
    <w:rsid w:val="005A0ED3"/>
    <w:rsid w:val="005A1BAE"/>
    <w:rsid w:val="005B5D55"/>
    <w:rsid w:val="005C0B7E"/>
    <w:rsid w:val="005C4107"/>
    <w:rsid w:val="005D3F92"/>
    <w:rsid w:val="005D7881"/>
    <w:rsid w:val="005E0B9D"/>
    <w:rsid w:val="005E2B9A"/>
    <w:rsid w:val="005E625F"/>
    <w:rsid w:val="006003BC"/>
    <w:rsid w:val="006003E7"/>
    <w:rsid w:val="00603480"/>
    <w:rsid w:val="00604EEB"/>
    <w:rsid w:val="00606CFB"/>
    <w:rsid w:val="00611716"/>
    <w:rsid w:val="00611D65"/>
    <w:rsid w:val="00614D70"/>
    <w:rsid w:val="00617B67"/>
    <w:rsid w:val="0062369E"/>
    <w:rsid w:val="006259A1"/>
    <w:rsid w:val="006354B3"/>
    <w:rsid w:val="00636738"/>
    <w:rsid w:val="00643758"/>
    <w:rsid w:val="00645B17"/>
    <w:rsid w:val="006460FA"/>
    <w:rsid w:val="00654197"/>
    <w:rsid w:val="006570AD"/>
    <w:rsid w:val="00657EC9"/>
    <w:rsid w:val="0066168C"/>
    <w:rsid w:val="00671295"/>
    <w:rsid w:val="0067325A"/>
    <w:rsid w:val="00677111"/>
    <w:rsid w:val="006820F4"/>
    <w:rsid w:val="00683BA0"/>
    <w:rsid w:val="006859EF"/>
    <w:rsid w:val="006862B0"/>
    <w:rsid w:val="00691331"/>
    <w:rsid w:val="006928CF"/>
    <w:rsid w:val="00692BEB"/>
    <w:rsid w:val="0069493C"/>
    <w:rsid w:val="006A00DA"/>
    <w:rsid w:val="006A09AA"/>
    <w:rsid w:val="006A2275"/>
    <w:rsid w:val="006A589B"/>
    <w:rsid w:val="006A610D"/>
    <w:rsid w:val="006A6631"/>
    <w:rsid w:val="006A7D92"/>
    <w:rsid w:val="006B01BF"/>
    <w:rsid w:val="006B435D"/>
    <w:rsid w:val="006C5837"/>
    <w:rsid w:val="006E111B"/>
    <w:rsid w:val="006E1314"/>
    <w:rsid w:val="006E371E"/>
    <w:rsid w:val="006E4A9D"/>
    <w:rsid w:val="006E5994"/>
    <w:rsid w:val="006E7315"/>
    <w:rsid w:val="006F503D"/>
    <w:rsid w:val="006F635D"/>
    <w:rsid w:val="006F6B3B"/>
    <w:rsid w:val="006F7957"/>
    <w:rsid w:val="00700ACC"/>
    <w:rsid w:val="0070784A"/>
    <w:rsid w:val="00713A06"/>
    <w:rsid w:val="00713B37"/>
    <w:rsid w:val="00721D95"/>
    <w:rsid w:val="00723199"/>
    <w:rsid w:val="007239DE"/>
    <w:rsid w:val="007304F4"/>
    <w:rsid w:val="00730F55"/>
    <w:rsid w:val="00733282"/>
    <w:rsid w:val="007356D4"/>
    <w:rsid w:val="00735861"/>
    <w:rsid w:val="007366A1"/>
    <w:rsid w:val="0074496C"/>
    <w:rsid w:val="00747E95"/>
    <w:rsid w:val="00750071"/>
    <w:rsid w:val="0075454B"/>
    <w:rsid w:val="007565F4"/>
    <w:rsid w:val="00760617"/>
    <w:rsid w:val="007669F0"/>
    <w:rsid w:val="007718DA"/>
    <w:rsid w:val="0077337C"/>
    <w:rsid w:val="007735B8"/>
    <w:rsid w:val="00777EDC"/>
    <w:rsid w:val="00781E27"/>
    <w:rsid w:val="00794B3E"/>
    <w:rsid w:val="00795EF1"/>
    <w:rsid w:val="00797C36"/>
    <w:rsid w:val="007A0F1F"/>
    <w:rsid w:val="007A4654"/>
    <w:rsid w:val="007A5F26"/>
    <w:rsid w:val="007A7430"/>
    <w:rsid w:val="007B174D"/>
    <w:rsid w:val="007B2F85"/>
    <w:rsid w:val="007B30D2"/>
    <w:rsid w:val="007C080E"/>
    <w:rsid w:val="007C4C1B"/>
    <w:rsid w:val="007C7AF1"/>
    <w:rsid w:val="007D020D"/>
    <w:rsid w:val="007D24FC"/>
    <w:rsid w:val="007D4DA7"/>
    <w:rsid w:val="007D5A17"/>
    <w:rsid w:val="007D71DF"/>
    <w:rsid w:val="007D72AB"/>
    <w:rsid w:val="007E6181"/>
    <w:rsid w:val="007F14C0"/>
    <w:rsid w:val="007F1BE9"/>
    <w:rsid w:val="007F1CE6"/>
    <w:rsid w:val="00800128"/>
    <w:rsid w:val="008010F1"/>
    <w:rsid w:val="008102EF"/>
    <w:rsid w:val="008139B5"/>
    <w:rsid w:val="00815FB7"/>
    <w:rsid w:val="00816E71"/>
    <w:rsid w:val="00827389"/>
    <w:rsid w:val="008329ED"/>
    <w:rsid w:val="00834D7B"/>
    <w:rsid w:val="00840711"/>
    <w:rsid w:val="00841645"/>
    <w:rsid w:val="00843EFB"/>
    <w:rsid w:val="008457CC"/>
    <w:rsid w:val="00846E21"/>
    <w:rsid w:val="00851FA6"/>
    <w:rsid w:val="00857CD9"/>
    <w:rsid w:val="00860E35"/>
    <w:rsid w:val="00861F83"/>
    <w:rsid w:val="00862F1C"/>
    <w:rsid w:val="00863A85"/>
    <w:rsid w:val="00867A02"/>
    <w:rsid w:val="00867ADD"/>
    <w:rsid w:val="00867E25"/>
    <w:rsid w:val="0087140A"/>
    <w:rsid w:val="00872630"/>
    <w:rsid w:val="00874743"/>
    <w:rsid w:val="0087760D"/>
    <w:rsid w:val="0088534F"/>
    <w:rsid w:val="00885ABD"/>
    <w:rsid w:val="0088673D"/>
    <w:rsid w:val="00890B1A"/>
    <w:rsid w:val="00892EDD"/>
    <w:rsid w:val="008958E3"/>
    <w:rsid w:val="008959C3"/>
    <w:rsid w:val="00895D03"/>
    <w:rsid w:val="008A1ECF"/>
    <w:rsid w:val="008A2D20"/>
    <w:rsid w:val="008B40F7"/>
    <w:rsid w:val="008B45BF"/>
    <w:rsid w:val="008B6850"/>
    <w:rsid w:val="008D329D"/>
    <w:rsid w:val="008E4821"/>
    <w:rsid w:val="008E6801"/>
    <w:rsid w:val="008E6B6D"/>
    <w:rsid w:val="008F1028"/>
    <w:rsid w:val="008F146E"/>
    <w:rsid w:val="00902ED1"/>
    <w:rsid w:val="0090383A"/>
    <w:rsid w:val="0090493B"/>
    <w:rsid w:val="00904EB2"/>
    <w:rsid w:val="0090702B"/>
    <w:rsid w:val="0092096B"/>
    <w:rsid w:val="00924DA6"/>
    <w:rsid w:val="00925C46"/>
    <w:rsid w:val="00926C76"/>
    <w:rsid w:val="0094010A"/>
    <w:rsid w:val="009412BF"/>
    <w:rsid w:val="0094678E"/>
    <w:rsid w:val="00951031"/>
    <w:rsid w:val="00961933"/>
    <w:rsid w:val="00962DE6"/>
    <w:rsid w:val="0096312E"/>
    <w:rsid w:val="0097101F"/>
    <w:rsid w:val="00975CE6"/>
    <w:rsid w:val="00983217"/>
    <w:rsid w:val="00986CE9"/>
    <w:rsid w:val="00990959"/>
    <w:rsid w:val="00992B4F"/>
    <w:rsid w:val="0099705E"/>
    <w:rsid w:val="009B153C"/>
    <w:rsid w:val="009B3D6F"/>
    <w:rsid w:val="009B4109"/>
    <w:rsid w:val="009B74C0"/>
    <w:rsid w:val="009C7688"/>
    <w:rsid w:val="009C7EE5"/>
    <w:rsid w:val="009D1605"/>
    <w:rsid w:val="009E5F8B"/>
    <w:rsid w:val="009E6C8E"/>
    <w:rsid w:val="009F2F4A"/>
    <w:rsid w:val="009F4EA0"/>
    <w:rsid w:val="00A03F7D"/>
    <w:rsid w:val="00A127DD"/>
    <w:rsid w:val="00A13735"/>
    <w:rsid w:val="00A219C8"/>
    <w:rsid w:val="00A24789"/>
    <w:rsid w:val="00A24E16"/>
    <w:rsid w:val="00A2736B"/>
    <w:rsid w:val="00A3653C"/>
    <w:rsid w:val="00A36C0A"/>
    <w:rsid w:val="00A37224"/>
    <w:rsid w:val="00A3787B"/>
    <w:rsid w:val="00A40158"/>
    <w:rsid w:val="00A41575"/>
    <w:rsid w:val="00A421F2"/>
    <w:rsid w:val="00A43542"/>
    <w:rsid w:val="00A5652D"/>
    <w:rsid w:val="00A57D1C"/>
    <w:rsid w:val="00A60A22"/>
    <w:rsid w:val="00A63619"/>
    <w:rsid w:val="00A6649E"/>
    <w:rsid w:val="00A678F8"/>
    <w:rsid w:val="00A71BD7"/>
    <w:rsid w:val="00A74ECB"/>
    <w:rsid w:val="00A80A28"/>
    <w:rsid w:val="00A82176"/>
    <w:rsid w:val="00A87944"/>
    <w:rsid w:val="00A907DC"/>
    <w:rsid w:val="00A90B4C"/>
    <w:rsid w:val="00A9128E"/>
    <w:rsid w:val="00AA4478"/>
    <w:rsid w:val="00AA702C"/>
    <w:rsid w:val="00AA74F2"/>
    <w:rsid w:val="00AB4A6A"/>
    <w:rsid w:val="00AB62FB"/>
    <w:rsid w:val="00AC25EF"/>
    <w:rsid w:val="00AC3FB2"/>
    <w:rsid w:val="00AC4364"/>
    <w:rsid w:val="00AC6D4E"/>
    <w:rsid w:val="00AE21CB"/>
    <w:rsid w:val="00AE2F86"/>
    <w:rsid w:val="00AF7169"/>
    <w:rsid w:val="00B02A06"/>
    <w:rsid w:val="00B02FC3"/>
    <w:rsid w:val="00B10B2A"/>
    <w:rsid w:val="00B14272"/>
    <w:rsid w:val="00B24CDB"/>
    <w:rsid w:val="00B25EFF"/>
    <w:rsid w:val="00B335CF"/>
    <w:rsid w:val="00B36205"/>
    <w:rsid w:val="00B45C1F"/>
    <w:rsid w:val="00B50013"/>
    <w:rsid w:val="00B50E7A"/>
    <w:rsid w:val="00B517F9"/>
    <w:rsid w:val="00B5553A"/>
    <w:rsid w:val="00B56736"/>
    <w:rsid w:val="00B575AE"/>
    <w:rsid w:val="00B6028F"/>
    <w:rsid w:val="00B639B6"/>
    <w:rsid w:val="00B650DD"/>
    <w:rsid w:val="00B73ABA"/>
    <w:rsid w:val="00B745B6"/>
    <w:rsid w:val="00B74664"/>
    <w:rsid w:val="00B74805"/>
    <w:rsid w:val="00B80CDF"/>
    <w:rsid w:val="00B82D89"/>
    <w:rsid w:val="00B86E7C"/>
    <w:rsid w:val="00B93FA7"/>
    <w:rsid w:val="00B9404E"/>
    <w:rsid w:val="00B965CB"/>
    <w:rsid w:val="00BA433E"/>
    <w:rsid w:val="00BB34A7"/>
    <w:rsid w:val="00BB4E2D"/>
    <w:rsid w:val="00BB6C3A"/>
    <w:rsid w:val="00BC11BE"/>
    <w:rsid w:val="00BC33BF"/>
    <w:rsid w:val="00BC5046"/>
    <w:rsid w:val="00BC6B76"/>
    <w:rsid w:val="00BD0815"/>
    <w:rsid w:val="00BD23DE"/>
    <w:rsid w:val="00BD5527"/>
    <w:rsid w:val="00BD6301"/>
    <w:rsid w:val="00BE2521"/>
    <w:rsid w:val="00BE2CFD"/>
    <w:rsid w:val="00BE4CB8"/>
    <w:rsid w:val="00BE50D8"/>
    <w:rsid w:val="00BE513D"/>
    <w:rsid w:val="00BE53A6"/>
    <w:rsid w:val="00BF30A1"/>
    <w:rsid w:val="00C005B5"/>
    <w:rsid w:val="00C0085C"/>
    <w:rsid w:val="00C14286"/>
    <w:rsid w:val="00C223ED"/>
    <w:rsid w:val="00C25BB8"/>
    <w:rsid w:val="00C26B7F"/>
    <w:rsid w:val="00C323BA"/>
    <w:rsid w:val="00C347F9"/>
    <w:rsid w:val="00C41DC8"/>
    <w:rsid w:val="00C44180"/>
    <w:rsid w:val="00C44348"/>
    <w:rsid w:val="00C45F72"/>
    <w:rsid w:val="00C566DF"/>
    <w:rsid w:val="00C61207"/>
    <w:rsid w:val="00C63032"/>
    <w:rsid w:val="00C64C0C"/>
    <w:rsid w:val="00C6798D"/>
    <w:rsid w:val="00C67B6E"/>
    <w:rsid w:val="00C7307F"/>
    <w:rsid w:val="00C74426"/>
    <w:rsid w:val="00C83501"/>
    <w:rsid w:val="00C8462B"/>
    <w:rsid w:val="00C849D8"/>
    <w:rsid w:val="00C91D48"/>
    <w:rsid w:val="00C92471"/>
    <w:rsid w:val="00CA2B26"/>
    <w:rsid w:val="00CA5695"/>
    <w:rsid w:val="00CB49CF"/>
    <w:rsid w:val="00CB6AD2"/>
    <w:rsid w:val="00CC69FB"/>
    <w:rsid w:val="00CD6046"/>
    <w:rsid w:val="00CE14F7"/>
    <w:rsid w:val="00CE1F17"/>
    <w:rsid w:val="00CE2343"/>
    <w:rsid w:val="00CE352E"/>
    <w:rsid w:val="00CE5677"/>
    <w:rsid w:val="00CE5845"/>
    <w:rsid w:val="00CE6960"/>
    <w:rsid w:val="00CF3E77"/>
    <w:rsid w:val="00D016D4"/>
    <w:rsid w:val="00D044BF"/>
    <w:rsid w:val="00D05277"/>
    <w:rsid w:val="00D060C4"/>
    <w:rsid w:val="00D077F2"/>
    <w:rsid w:val="00D117ED"/>
    <w:rsid w:val="00D14DED"/>
    <w:rsid w:val="00D20580"/>
    <w:rsid w:val="00D20BDA"/>
    <w:rsid w:val="00D21FED"/>
    <w:rsid w:val="00D22028"/>
    <w:rsid w:val="00D22ED2"/>
    <w:rsid w:val="00D23F97"/>
    <w:rsid w:val="00D265ED"/>
    <w:rsid w:val="00D30728"/>
    <w:rsid w:val="00D330E3"/>
    <w:rsid w:val="00D3359A"/>
    <w:rsid w:val="00D434C5"/>
    <w:rsid w:val="00D438BA"/>
    <w:rsid w:val="00D45E69"/>
    <w:rsid w:val="00D50E3C"/>
    <w:rsid w:val="00D51CE1"/>
    <w:rsid w:val="00D578EC"/>
    <w:rsid w:val="00D6361F"/>
    <w:rsid w:val="00D701C0"/>
    <w:rsid w:val="00D72BB7"/>
    <w:rsid w:val="00D75708"/>
    <w:rsid w:val="00D75EAF"/>
    <w:rsid w:val="00D76D49"/>
    <w:rsid w:val="00D81E9A"/>
    <w:rsid w:val="00D8785F"/>
    <w:rsid w:val="00D92181"/>
    <w:rsid w:val="00D9591A"/>
    <w:rsid w:val="00DA3A3F"/>
    <w:rsid w:val="00DB190D"/>
    <w:rsid w:val="00DB1E19"/>
    <w:rsid w:val="00DB2A58"/>
    <w:rsid w:val="00DB3B00"/>
    <w:rsid w:val="00DB6070"/>
    <w:rsid w:val="00DB70AB"/>
    <w:rsid w:val="00DC5D77"/>
    <w:rsid w:val="00DC6FD1"/>
    <w:rsid w:val="00DD2C28"/>
    <w:rsid w:val="00DD3A6F"/>
    <w:rsid w:val="00DE191D"/>
    <w:rsid w:val="00DE3028"/>
    <w:rsid w:val="00DE7A2D"/>
    <w:rsid w:val="00DF04AC"/>
    <w:rsid w:val="00DF0736"/>
    <w:rsid w:val="00E03791"/>
    <w:rsid w:val="00E107CD"/>
    <w:rsid w:val="00E16D2C"/>
    <w:rsid w:val="00E16DD0"/>
    <w:rsid w:val="00E279C7"/>
    <w:rsid w:val="00E27A7D"/>
    <w:rsid w:val="00E3069C"/>
    <w:rsid w:val="00E30F55"/>
    <w:rsid w:val="00E32F7A"/>
    <w:rsid w:val="00E347E9"/>
    <w:rsid w:val="00E3565F"/>
    <w:rsid w:val="00E37956"/>
    <w:rsid w:val="00E400D5"/>
    <w:rsid w:val="00E4264B"/>
    <w:rsid w:val="00E46099"/>
    <w:rsid w:val="00E46AD6"/>
    <w:rsid w:val="00E5194B"/>
    <w:rsid w:val="00E53374"/>
    <w:rsid w:val="00E60857"/>
    <w:rsid w:val="00E62521"/>
    <w:rsid w:val="00E63036"/>
    <w:rsid w:val="00E6771C"/>
    <w:rsid w:val="00E73D36"/>
    <w:rsid w:val="00E802C4"/>
    <w:rsid w:val="00E8287A"/>
    <w:rsid w:val="00E83E44"/>
    <w:rsid w:val="00E84617"/>
    <w:rsid w:val="00E857A8"/>
    <w:rsid w:val="00E86318"/>
    <w:rsid w:val="00E8755C"/>
    <w:rsid w:val="00E94C98"/>
    <w:rsid w:val="00E94D0D"/>
    <w:rsid w:val="00E9500D"/>
    <w:rsid w:val="00EA3A52"/>
    <w:rsid w:val="00EB0BC7"/>
    <w:rsid w:val="00EB3B6F"/>
    <w:rsid w:val="00EB7B2C"/>
    <w:rsid w:val="00EC0AF0"/>
    <w:rsid w:val="00EC4EC3"/>
    <w:rsid w:val="00ED0E03"/>
    <w:rsid w:val="00ED4486"/>
    <w:rsid w:val="00ED7744"/>
    <w:rsid w:val="00EE73DE"/>
    <w:rsid w:val="00EF00B7"/>
    <w:rsid w:val="00EF1CAD"/>
    <w:rsid w:val="00EF3568"/>
    <w:rsid w:val="00F00EB7"/>
    <w:rsid w:val="00F02E15"/>
    <w:rsid w:val="00F07DF3"/>
    <w:rsid w:val="00F14891"/>
    <w:rsid w:val="00F16D3B"/>
    <w:rsid w:val="00F2350E"/>
    <w:rsid w:val="00F27A05"/>
    <w:rsid w:val="00F53AAF"/>
    <w:rsid w:val="00F57F63"/>
    <w:rsid w:val="00F64CE5"/>
    <w:rsid w:val="00F6740F"/>
    <w:rsid w:val="00F67BD1"/>
    <w:rsid w:val="00F67FB3"/>
    <w:rsid w:val="00F70E98"/>
    <w:rsid w:val="00F73EA9"/>
    <w:rsid w:val="00F77257"/>
    <w:rsid w:val="00F82664"/>
    <w:rsid w:val="00F933BA"/>
    <w:rsid w:val="00F96A19"/>
    <w:rsid w:val="00F97716"/>
    <w:rsid w:val="00F97F99"/>
    <w:rsid w:val="00FB5171"/>
    <w:rsid w:val="00FC0136"/>
    <w:rsid w:val="00FC29B5"/>
    <w:rsid w:val="00FC4C54"/>
    <w:rsid w:val="00FC5C00"/>
    <w:rsid w:val="00FC625C"/>
    <w:rsid w:val="00FD3575"/>
    <w:rsid w:val="00FD60E8"/>
    <w:rsid w:val="00FE335A"/>
    <w:rsid w:val="00FE5F4E"/>
    <w:rsid w:val="00FE7255"/>
    <w:rsid w:val="00FE7328"/>
    <w:rsid w:val="00FF4EB5"/>
    <w:rsid w:val="00FF606E"/>
    <w:rsid w:val="00FF6BA2"/>
    <w:rsid w:val="00FF706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2EA15"/>
  <w15:docId w15:val="{9C49FBAD-8EBB-4787-B38E-8C3C3582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6F"/>
    <w:pPr>
      <w:spacing w:after="0" w:line="480" w:lineRule="auto"/>
    </w:pPr>
    <w:rPr>
      <w:rFonts w:ascii="Calibri" w:eastAsia="SimSun" w:hAnsi="Calibri" w:cs="Arial"/>
      <w:sz w:val="24"/>
      <w:szCs w:val="24"/>
      <w:lang w:eastAsia="zh-CN"/>
    </w:rPr>
  </w:style>
  <w:style w:type="paragraph" w:styleId="Heading1">
    <w:name w:val="heading 1"/>
    <w:basedOn w:val="Normal"/>
    <w:next w:val="Normal"/>
    <w:link w:val="Heading1Char"/>
    <w:uiPriority w:val="9"/>
    <w:qFormat/>
    <w:rsid w:val="003A4D9B"/>
    <w:pPr>
      <w:keepNext/>
      <w:keepLines/>
      <w:spacing w:before="240"/>
      <w:outlineLvl w:val="0"/>
    </w:pPr>
    <w:rPr>
      <w:rFonts w:asciiTheme="minorHAnsi" w:eastAsiaTheme="majorEastAsia" w:hAnsiTheme="minorHAnsi" w:cstheme="majorBidi"/>
      <w:b/>
      <w:caps/>
      <w:szCs w:val="32"/>
    </w:rPr>
  </w:style>
  <w:style w:type="paragraph" w:styleId="Heading2">
    <w:name w:val="heading 2"/>
    <w:basedOn w:val="Normal"/>
    <w:next w:val="Normal"/>
    <w:link w:val="Heading2Char"/>
    <w:uiPriority w:val="9"/>
    <w:unhideWhenUsed/>
    <w:qFormat/>
    <w:rsid w:val="00B965CB"/>
    <w:pPr>
      <w:keepNext/>
      <w:keepLines/>
      <w:spacing w:before="4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867A02"/>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2958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D9B"/>
    <w:rPr>
      <w:rFonts w:eastAsiaTheme="majorEastAsia" w:cstheme="majorBidi"/>
      <w:b/>
      <w:caps/>
      <w:sz w:val="24"/>
      <w:szCs w:val="32"/>
      <w:lang w:eastAsia="zh-CN"/>
    </w:rPr>
  </w:style>
  <w:style w:type="paragraph" w:styleId="Title">
    <w:name w:val="Title"/>
    <w:basedOn w:val="Normal"/>
    <w:next w:val="Normal"/>
    <w:link w:val="TitleChar"/>
    <w:uiPriority w:val="10"/>
    <w:qFormat/>
    <w:rsid w:val="00E347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7E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347E9"/>
    <w:rPr>
      <w:color w:val="0563C1" w:themeColor="hyperlink"/>
      <w:u w:val="single"/>
    </w:rPr>
  </w:style>
  <w:style w:type="paragraph" w:styleId="Header">
    <w:name w:val="header"/>
    <w:basedOn w:val="Normal"/>
    <w:link w:val="HeaderChar"/>
    <w:uiPriority w:val="99"/>
    <w:unhideWhenUsed/>
    <w:rsid w:val="00E347E9"/>
    <w:pPr>
      <w:tabs>
        <w:tab w:val="center" w:pos="4513"/>
        <w:tab w:val="right" w:pos="9026"/>
      </w:tabs>
    </w:pPr>
  </w:style>
  <w:style w:type="character" w:customStyle="1" w:styleId="HeaderChar">
    <w:name w:val="Header Char"/>
    <w:basedOn w:val="DefaultParagraphFont"/>
    <w:link w:val="Header"/>
    <w:uiPriority w:val="99"/>
    <w:rsid w:val="00E347E9"/>
    <w:rPr>
      <w:sz w:val="24"/>
    </w:rPr>
  </w:style>
  <w:style w:type="paragraph" w:styleId="Footer">
    <w:name w:val="footer"/>
    <w:basedOn w:val="Normal"/>
    <w:link w:val="FooterChar"/>
    <w:uiPriority w:val="99"/>
    <w:unhideWhenUsed/>
    <w:rsid w:val="00E347E9"/>
    <w:pPr>
      <w:tabs>
        <w:tab w:val="center" w:pos="4513"/>
        <w:tab w:val="right" w:pos="9026"/>
      </w:tabs>
    </w:pPr>
  </w:style>
  <w:style w:type="character" w:customStyle="1" w:styleId="FooterChar">
    <w:name w:val="Footer Char"/>
    <w:basedOn w:val="DefaultParagraphFont"/>
    <w:link w:val="Footer"/>
    <w:uiPriority w:val="99"/>
    <w:rsid w:val="00E347E9"/>
    <w:rPr>
      <w:sz w:val="24"/>
    </w:rPr>
  </w:style>
  <w:style w:type="character" w:customStyle="1" w:styleId="Heading2Char">
    <w:name w:val="Heading 2 Char"/>
    <w:basedOn w:val="DefaultParagraphFont"/>
    <w:link w:val="Heading2"/>
    <w:uiPriority w:val="9"/>
    <w:rsid w:val="00B965CB"/>
    <w:rPr>
      <w:rFonts w:eastAsiaTheme="majorEastAsia" w:cstheme="majorBidi"/>
      <w:b/>
      <w:sz w:val="24"/>
      <w:szCs w:val="26"/>
      <w:lang w:eastAsia="zh-CN"/>
    </w:rPr>
  </w:style>
  <w:style w:type="character" w:customStyle="1" w:styleId="Heading4Char">
    <w:name w:val="Heading 4 Char"/>
    <w:basedOn w:val="DefaultParagraphFont"/>
    <w:link w:val="Heading4"/>
    <w:uiPriority w:val="9"/>
    <w:semiHidden/>
    <w:rsid w:val="00295853"/>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rsid w:val="00867A02"/>
    <w:rPr>
      <w:rFonts w:eastAsiaTheme="majorEastAsia" w:cstheme="majorBidi"/>
      <w:sz w:val="24"/>
      <w:szCs w:val="24"/>
    </w:rPr>
  </w:style>
  <w:style w:type="paragraph" w:styleId="Caption">
    <w:name w:val="caption"/>
    <w:basedOn w:val="Normal"/>
    <w:next w:val="Normal"/>
    <w:autoRedefine/>
    <w:qFormat/>
    <w:rsid w:val="00723199"/>
    <w:pPr>
      <w:spacing w:line="240" w:lineRule="auto"/>
    </w:pPr>
    <w:rPr>
      <w:rFonts w:asciiTheme="minorHAnsi" w:hAnsiTheme="minorHAnsi" w:cstheme="minorHAnsi"/>
      <w:b/>
      <w:bCs/>
      <w:lang w:eastAsia="en-GB"/>
    </w:rPr>
  </w:style>
  <w:style w:type="paragraph" w:customStyle="1" w:styleId="Default">
    <w:name w:val="Default"/>
    <w:rsid w:val="0004552F"/>
    <w:pPr>
      <w:autoSpaceDE w:val="0"/>
      <w:autoSpaceDN w:val="0"/>
      <w:adjustRightInd w:val="0"/>
      <w:spacing w:after="0" w:line="240" w:lineRule="auto"/>
    </w:pPr>
    <w:rPr>
      <w:rFonts w:ascii="Calibri" w:hAnsi="Calibri" w:cs="Calibri"/>
      <w:color w:val="000000"/>
      <w:sz w:val="24"/>
      <w:szCs w:val="24"/>
    </w:rPr>
  </w:style>
  <w:style w:type="paragraph" w:customStyle="1" w:styleId="Table">
    <w:name w:val="Table"/>
    <w:basedOn w:val="Normal"/>
    <w:link w:val="TableChar"/>
    <w:qFormat/>
    <w:rsid w:val="00CC69FB"/>
    <w:pPr>
      <w:spacing w:line="240" w:lineRule="auto"/>
    </w:pPr>
    <w:rPr>
      <w:lang w:eastAsia="en-GB"/>
    </w:rPr>
  </w:style>
  <w:style w:type="character" w:customStyle="1" w:styleId="TableChar">
    <w:name w:val="Table Char"/>
    <w:basedOn w:val="DefaultParagraphFont"/>
    <w:link w:val="Table"/>
    <w:rsid w:val="00CC69FB"/>
    <w:rPr>
      <w:rFonts w:ascii="Calibri" w:eastAsia="SimSun" w:hAnsi="Calibri" w:cs="Arial"/>
      <w:sz w:val="24"/>
      <w:szCs w:val="24"/>
      <w:lang w:eastAsia="en-GB"/>
    </w:rPr>
  </w:style>
  <w:style w:type="character" w:styleId="Strong">
    <w:name w:val="Strong"/>
    <w:qFormat/>
    <w:rsid w:val="001A70AB"/>
    <w:rPr>
      <w:b/>
      <w:bCs/>
    </w:rPr>
  </w:style>
  <w:style w:type="paragraph" w:customStyle="1" w:styleId="Lowercaption">
    <w:name w:val="Lower caption"/>
    <w:basedOn w:val="Caption"/>
    <w:qFormat/>
    <w:rsid w:val="0045176B"/>
    <w:rPr>
      <w:sz w:val="20"/>
    </w:rPr>
  </w:style>
  <w:style w:type="paragraph" w:styleId="BalloonText">
    <w:name w:val="Balloon Text"/>
    <w:basedOn w:val="Normal"/>
    <w:link w:val="BalloonTextChar"/>
    <w:uiPriority w:val="99"/>
    <w:semiHidden/>
    <w:unhideWhenUsed/>
    <w:rsid w:val="00012F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FE9"/>
    <w:rPr>
      <w:rFonts w:ascii="Lucida Grande" w:eastAsia="SimSun" w:hAnsi="Lucida Grande" w:cs="Arial"/>
      <w:sz w:val="18"/>
      <w:szCs w:val="18"/>
      <w:lang w:eastAsia="zh-CN"/>
    </w:rPr>
  </w:style>
  <w:style w:type="character" w:styleId="CommentReference">
    <w:name w:val="annotation reference"/>
    <w:basedOn w:val="DefaultParagraphFont"/>
    <w:uiPriority w:val="99"/>
    <w:semiHidden/>
    <w:unhideWhenUsed/>
    <w:rsid w:val="00012FE9"/>
    <w:rPr>
      <w:sz w:val="18"/>
      <w:szCs w:val="18"/>
    </w:rPr>
  </w:style>
  <w:style w:type="paragraph" w:styleId="CommentText">
    <w:name w:val="annotation text"/>
    <w:basedOn w:val="Normal"/>
    <w:link w:val="CommentTextChar"/>
    <w:uiPriority w:val="99"/>
    <w:semiHidden/>
    <w:unhideWhenUsed/>
    <w:rsid w:val="00012FE9"/>
    <w:pPr>
      <w:spacing w:line="240" w:lineRule="auto"/>
    </w:pPr>
  </w:style>
  <w:style w:type="character" w:customStyle="1" w:styleId="CommentTextChar">
    <w:name w:val="Comment Text Char"/>
    <w:basedOn w:val="DefaultParagraphFont"/>
    <w:link w:val="CommentText"/>
    <w:uiPriority w:val="99"/>
    <w:semiHidden/>
    <w:rsid w:val="00012FE9"/>
    <w:rPr>
      <w:rFonts w:ascii="Calibri" w:eastAsia="SimSun" w:hAnsi="Calibri" w:cs="Arial"/>
      <w:sz w:val="24"/>
      <w:szCs w:val="24"/>
      <w:lang w:eastAsia="zh-CN"/>
    </w:rPr>
  </w:style>
  <w:style w:type="paragraph" w:styleId="CommentSubject">
    <w:name w:val="annotation subject"/>
    <w:basedOn w:val="CommentText"/>
    <w:next w:val="CommentText"/>
    <w:link w:val="CommentSubjectChar"/>
    <w:uiPriority w:val="99"/>
    <w:semiHidden/>
    <w:unhideWhenUsed/>
    <w:rsid w:val="00012FE9"/>
    <w:rPr>
      <w:b/>
      <w:bCs/>
      <w:sz w:val="20"/>
      <w:szCs w:val="20"/>
    </w:rPr>
  </w:style>
  <w:style w:type="character" w:customStyle="1" w:styleId="CommentSubjectChar">
    <w:name w:val="Comment Subject Char"/>
    <w:basedOn w:val="CommentTextChar"/>
    <w:link w:val="CommentSubject"/>
    <w:uiPriority w:val="99"/>
    <w:semiHidden/>
    <w:rsid w:val="00012FE9"/>
    <w:rPr>
      <w:rFonts w:ascii="Calibri" w:eastAsia="SimSun" w:hAnsi="Calibri" w:cs="Arial"/>
      <w:b/>
      <w:bCs/>
      <w:sz w:val="20"/>
      <w:szCs w:val="20"/>
      <w:lang w:eastAsia="zh-CN"/>
    </w:rPr>
  </w:style>
  <w:style w:type="paragraph" w:styleId="ListParagraph">
    <w:name w:val="List Paragraph"/>
    <w:basedOn w:val="Normal"/>
    <w:uiPriority w:val="34"/>
    <w:qFormat/>
    <w:rsid w:val="00022EA5"/>
    <w:pPr>
      <w:ind w:left="720"/>
      <w:contextualSpacing/>
    </w:pPr>
  </w:style>
  <w:style w:type="table" w:styleId="TableGrid">
    <w:name w:val="Table Grid"/>
    <w:basedOn w:val="TableNormal"/>
    <w:uiPriority w:val="39"/>
    <w:rsid w:val="0002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source">
    <w:name w:val="citationsource"/>
    <w:basedOn w:val="DefaultParagraphFont"/>
    <w:rsid w:val="004A10A7"/>
    <w:rPr>
      <w:rFonts w:ascii="Arial" w:hAnsi="Arial" w:cs="Arial" w:hint="default"/>
      <w:i/>
      <w:iCs/>
    </w:rPr>
  </w:style>
  <w:style w:type="character" w:customStyle="1" w:styleId="citationissn">
    <w:name w:val="citationissn"/>
    <w:basedOn w:val="DefaultParagraphFont"/>
    <w:rsid w:val="004A10A7"/>
    <w:rPr>
      <w:rFonts w:ascii="Arial" w:hAnsi="Arial" w:cs="Arial" w:hint="default"/>
      <w:i/>
      <w:iCs/>
    </w:rPr>
  </w:style>
  <w:style w:type="character" w:customStyle="1" w:styleId="citationauthor">
    <w:name w:val="citationauthor"/>
    <w:basedOn w:val="DefaultParagraphFont"/>
    <w:rsid w:val="004A10A7"/>
    <w:rPr>
      <w:rFonts w:ascii="Arial" w:hAnsi="Arial" w:cs="Arial" w:hint="default"/>
    </w:rPr>
  </w:style>
  <w:style w:type="character" w:customStyle="1" w:styleId="citationdate">
    <w:name w:val="citationdate"/>
    <w:basedOn w:val="DefaultParagraphFont"/>
    <w:rsid w:val="004A10A7"/>
    <w:rPr>
      <w:rFonts w:ascii="Arial" w:hAnsi="Arial" w:cs="Arial" w:hint="default"/>
    </w:rPr>
  </w:style>
  <w:style w:type="character" w:customStyle="1" w:styleId="citationarticleorsectiontitle">
    <w:name w:val="citationarticleorsectiontitle"/>
    <w:basedOn w:val="DefaultParagraphFont"/>
    <w:rsid w:val="004A10A7"/>
    <w:rPr>
      <w:rFonts w:ascii="Arial" w:hAnsi="Arial" w:cs="Arial" w:hint="default"/>
    </w:rPr>
  </w:style>
  <w:style w:type="character" w:customStyle="1" w:styleId="citationvolume">
    <w:name w:val="citationvolume"/>
    <w:basedOn w:val="DefaultParagraphFont"/>
    <w:rsid w:val="004A10A7"/>
    <w:rPr>
      <w:rFonts w:ascii="Arial" w:hAnsi="Arial" w:cs="Arial" w:hint="default"/>
    </w:rPr>
  </w:style>
  <w:style w:type="character" w:customStyle="1" w:styleId="citationissue">
    <w:name w:val="citationissue"/>
    <w:basedOn w:val="DefaultParagraphFont"/>
    <w:rsid w:val="004A10A7"/>
    <w:rPr>
      <w:rFonts w:ascii="Arial" w:hAnsi="Arial" w:cs="Arial" w:hint="default"/>
    </w:rPr>
  </w:style>
  <w:style w:type="character" w:customStyle="1" w:styleId="citationspagelabel">
    <w:name w:val="citationspagelabel"/>
    <w:basedOn w:val="DefaultParagraphFont"/>
    <w:rsid w:val="004A10A7"/>
    <w:rPr>
      <w:rFonts w:ascii="Arial" w:hAnsi="Arial" w:cs="Arial" w:hint="default"/>
    </w:rPr>
  </w:style>
  <w:style w:type="character" w:customStyle="1" w:styleId="citationspagevalue">
    <w:name w:val="citationspagevalue"/>
    <w:basedOn w:val="DefaultParagraphFont"/>
    <w:rsid w:val="004A10A7"/>
    <w:rPr>
      <w:rFonts w:ascii="Arial" w:hAnsi="Arial" w:cs="Arial" w:hint="default"/>
    </w:rPr>
  </w:style>
  <w:style w:type="character" w:customStyle="1" w:styleId="street-address">
    <w:name w:val="street-address"/>
    <w:basedOn w:val="DefaultParagraphFont"/>
    <w:rsid w:val="00C26B7F"/>
  </w:style>
  <w:style w:type="character" w:customStyle="1" w:styleId="locality">
    <w:name w:val="locality"/>
    <w:basedOn w:val="DefaultParagraphFont"/>
    <w:rsid w:val="00C26B7F"/>
  </w:style>
  <w:style w:type="character" w:customStyle="1" w:styleId="postal-code">
    <w:name w:val="postal-code"/>
    <w:basedOn w:val="DefaultParagraphFont"/>
    <w:rsid w:val="00C26B7F"/>
  </w:style>
  <w:style w:type="character" w:customStyle="1" w:styleId="country-name">
    <w:name w:val="country-name"/>
    <w:basedOn w:val="DefaultParagraphFont"/>
    <w:rsid w:val="00C26B7F"/>
  </w:style>
  <w:style w:type="paragraph" w:styleId="FootnoteText">
    <w:name w:val="footnote text"/>
    <w:basedOn w:val="Normal"/>
    <w:link w:val="FootnoteTextChar"/>
    <w:uiPriority w:val="99"/>
    <w:semiHidden/>
    <w:unhideWhenUsed/>
    <w:rsid w:val="009B3D6F"/>
    <w:pPr>
      <w:spacing w:line="240" w:lineRule="auto"/>
    </w:pPr>
    <w:rPr>
      <w:sz w:val="20"/>
      <w:szCs w:val="20"/>
    </w:rPr>
  </w:style>
  <w:style w:type="character" w:customStyle="1" w:styleId="FootnoteTextChar">
    <w:name w:val="Footnote Text Char"/>
    <w:basedOn w:val="DefaultParagraphFont"/>
    <w:link w:val="FootnoteText"/>
    <w:uiPriority w:val="99"/>
    <w:semiHidden/>
    <w:rsid w:val="009B3D6F"/>
    <w:rPr>
      <w:rFonts w:ascii="Calibri" w:eastAsia="SimSun" w:hAnsi="Calibri" w:cs="Arial"/>
      <w:sz w:val="20"/>
      <w:szCs w:val="20"/>
      <w:lang w:eastAsia="zh-CN"/>
    </w:rPr>
  </w:style>
  <w:style w:type="character" w:styleId="FootnoteReference">
    <w:name w:val="footnote reference"/>
    <w:basedOn w:val="DefaultParagraphFont"/>
    <w:uiPriority w:val="99"/>
    <w:semiHidden/>
    <w:unhideWhenUsed/>
    <w:rsid w:val="009B3D6F"/>
    <w:rPr>
      <w:vertAlign w:val="superscript"/>
    </w:rPr>
  </w:style>
  <w:style w:type="character" w:customStyle="1" w:styleId="UnresolvedMention1">
    <w:name w:val="Unresolved Mention1"/>
    <w:basedOn w:val="DefaultParagraphFont"/>
    <w:uiPriority w:val="99"/>
    <w:semiHidden/>
    <w:unhideWhenUsed/>
    <w:rsid w:val="002A4B3D"/>
    <w:rPr>
      <w:color w:val="808080"/>
      <w:shd w:val="clear" w:color="auto" w:fill="E6E6E6"/>
    </w:rPr>
  </w:style>
  <w:style w:type="table" w:styleId="PlainTable2">
    <w:name w:val="Plain Table 2"/>
    <w:basedOn w:val="TableNormal"/>
    <w:uiPriority w:val="99"/>
    <w:rsid w:val="009909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2">
    <w:name w:val="List Table 1 Light Accent 2"/>
    <w:basedOn w:val="TableNormal"/>
    <w:uiPriority w:val="46"/>
    <w:rsid w:val="0099095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99095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
    <w:name w:val="List Table 1 Light"/>
    <w:basedOn w:val="TableNormal"/>
    <w:uiPriority w:val="46"/>
    <w:rsid w:val="0099095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9095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661880609">
          <w:marLeft w:val="0"/>
          <w:marRight w:val="1"/>
          <w:marTop w:val="0"/>
          <w:marBottom w:val="0"/>
          <w:divBdr>
            <w:top w:val="none" w:sz="0" w:space="0" w:color="auto"/>
            <w:left w:val="none" w:sz="0" w:space="0" w:color="auto"/>
            <w:bottom w:val="none" w:sz="0" w:space="0" w:color="auto"/>
            <w:right w:val="none" w:sz="0" w:space="0" w:color="auto"/>
          </w:divBdr>
          <w:divsChild>
            <w:div w:id="2136024459">
              <w:marLeft w:val="0"/>
              <w:marRight w:val="0"/>
              <w:marTop w:val="0"/>
              <w:marBottom w:val="0"/>
              <w:divBdr>
                <w:top w:val="none" w:sz="0" w:space="0" w:color="auto"/>
                <w:left w:val="none" w:sz="0" w:space="0" w:color="auto"/>
                <w:bottom w:val="none" w:sz="0" w:space="0" w:color="auto"/>
                <w:right w:val="none" w:sz="0" w:space="0" w:color="auto"/>
              </w:divBdr>
              <w:divsChild>
                <w:div w:id="443038497">
                  <w:marLeft w:val="0"/>
                  <w:marRight w:val="1"/>
                  <w:marTop w:val="0"/>
                  <w:marBottom w:val="0"/>
                  <w:divBdr>
                    <w:top w:val="none" w:sz="0" w:space="0" w:color="auto"/>
                    <w:left w:val="none" w:sz="0" w:space="0" w:color="auto"/>
                    <w:bottom w:val="none" w:sz="0" w:space="0" w:color="auto"/>
                    <w:right w:val="none" w:sz="0" w:space="0" w:color="auto"/>
                  </w:divBdr>
                  <w:divsChild>
                    <w:div w:id="1731730364">
                      <w:marLeft w:val="0"/>
                      <w:marRight w:val="0"/>
                      <w:marTop w:val="0"/>
                      <w:marBottom w:val="0"/>
                      <w:divBdr>
                        <w:top w:val="none" w:sz="0" w:space="0" w:color="auto"/>
                        <w:left w:val="none" w:sz="0" w:space="0" w:color="auto"/>
                        <w:bottom w:val="none" w:sz="0" w:space="0" w:color="auto"/>
                        <w:right w:val="none" w:sz="0" w:space="0" w:color="auto"/>
                      </w:divBdr>
                      <w:divsChild>
                        <w:div w:id="744885448">
                          <w:marLeft w:val="0"/>
                          <w:marRight w:val="0"/>
                          <w:marTop w:val="0"/>
                          <w:marBottom w:val="0"/>
                          <w:divBdr>
                            <w:top w:val="none" w:sz="0" w:space="0" w:color="auto"/>
                            <w:left w:val="none" w:sz="0" w:space="0" w:color="auto"/>
                            <w:bottom w:val="none" w:sz="0" w:space="0" w:color="auto"/>
                            <w:right w:val="none" w:sz="0" w:space="0" w:color="auto"/>
                          </w:divBdr>
                          <w:divsChild>
                            <w:div w:id="1251507363">
                              <w:marLeft w:val="0"/>
                              <w:marRight w:val="0"/>
                              <w:marTop w:val="120"/>
                              <w:marBottom w:val="360"/>
                              <w:divBdr>
                                <w:top w:val="none" w:sz="0" w:space="0" w:color="auto"/>
                                <w:left w:val="none" w:sz="0" w:space="0" w:color="auto"/>
                                <w:bottom w:val="none" w:sz="0" w:space="0" w:color="auto"/>
                                <w:right w:val="none" w:sz="0" w:space="0" w:color="auto"/>
                              </w:divBdr>
                              <w:divsChild>
                                <w:div w:id="1213468618">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9997">
      <w:bodyDiv w:val="1"/>
      <w:marLeft w:val="0"/>
      <w:marRight w:val="0"/>
      <w:marTop w:val="0"/>
      <w:marBottom w:val="0"/>
      <w:divBdr>
        <w:top w:val="none" w:sz="0" w:space="0" w:color="auto"/>
        <w:left w:val="none" w:sz="0" w:space="0" w:color="auto"/>
        <w:bottom w:val="none" w:sz="0" w:space="0" w:color="auto"/>
        <w:right w:val="none" w:sz="0" w:space="0" w:color="auto"/>
      </w:divBdr>
      <w:divsChild>
        <w:div w:id="593322445">
          <w:marLeft w:val="0"/>
          <w:marRight w:val="0"/>
          <w:marTop w:val="225"/>
          <w:marBottom w:val="225"/>
          <w:divBdr>
            <w:top w:val="none" w:sz="0" w:space="0" w:color="auto"/>
            <w:left w:val="none" w:sz="0" w:space="0" w:color="auto"/>
            <w:bottom w:val="none" w:sz="0" w:space="0" w:color="auto"/>
            <w:right w:val="none" w:sz="0" w:space="0" w:color="auto"/>
          </w:divBdr>
          <w:divsChild>
            <w:div w:id="11906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5757">
      <w:bodyDiv w:val="1"/>
      <w:marLeft w:val="0"/>
      <w:marRight w:val="0"/>
      <w:marTop w:val="0"/>
      <w:marBottom w:val="0"/>
      <w:divBdr>
        <w:top w:val="none" w:sz="0" w:space="0" w:color="auto"/>
        <w:left w:val="none" w:sz="0" w:space="0" w:color="auto"/>
        <w:bottom w:val="none" w:sz="0" w:space="0" w:color="auto"/>
        <w:right w:val="none" w:sz="0" w:space="0" w:color="auto"/>
      </w:divBdr>
    </w:div>
    <w:div w:id="1214540853">
      <w:bodyDiv w:val="1"/>
      <w:marLeft w:val="0"/>
      <w:marRight w:val="0"/>
      <w:marTop w:val="0"/>
      <w:marBottom w:val="0"/>
      <w:divBdr>
        <w:top w:val="none" w:sz="0" w:space="0" w:color="auto"/>
        <w:left w:val="none" w:sz="0" w:space="0" w:color="auto"/>
        <w:bottom w:val="none" w:sz="0" w:space="0" w:color="auto"/>
        <w:right w:val="none" w:sz="0" w:space="0" w:color="auto"/>
      </w:divBdr>
      <w:divsChild>
        <w:div w:id="1376277291">
          <w:marLeft w:val="0"/>
          <w:marRight w:val="0"/>
          <w:marTop w:val="0"/>
          <w:marBottom w:val="0"/>
          <w:divBdr>
            <w:top w:val="none" w:sz="0" w:space="0" w:color="auto"/>
            <w:left w:val="none" w:sz="0" w:space="0" w:color="auto"/>
            <w:bottom w:val="none" w:sz="0" w:space="0" w:color="auto"/>
            <w:right w:val="none" w:sz="0" w:space="0" w:color="auto"/>
          </w:divBdr>
          <w:divsChild>
            <w:div w:id="1588684172">
              <w:marLeft w:val="0"/>
              <w:marRight w:val="0"/>
              <w:marTop w:val="0"/>
              <w:marBottom w:val="0"/>
              <w:divBdr>
                <w:top w:val="none" w:sz="0" w:space="0" w:color="auto"/>
                <w:left w:val="single" w:sz="6" w:space="0" w:color="D0D8DE"/>
                <w:bottom w:val="single" w:sz="6" w:space="0" w:color="D0D8DE"/>
                <w:right w:val="single" w:sz="6" w:space="0" w:color="D0D8DE"/>
              </w:divBdr>
              <w:divsChild>
                <w:div w:id="1696805717">
                  <w:marLeft w:val="0"/>
                  <w:marRight w:val="0"/>
                  <w:marTop w:val="150"/>
                  <w:marBottom w:val="300"/>
                  <w:divBdr>
                    <w:top w:val="none" w:sz="0" w:space="0" w:color="auto"/>
                    <w:left w:val="none" w:sz="0" w:space="0" w:color="auto"/>
                    <w:bottom w:val="none" w:sz="0" w:space="0" w:color="auto"/>
                    <w:right w:val="none" w:sz="0" w:space="0" w:color="auto"/>
                  </w:divBdr>
                  <w:divsChild>
                    <w:div w:id="1042245198">
                      <w:marLeft w:val="150"/>
                      <w:marRight w:val="150"/>
                      <w:marTop w:val="0"/>
                      <w:marBottom w:val="0"/>
                      <w:divBdr>
                        <w:top w:val="none" w:sz="0" w:space="0" w:color="auto"/>
                        <w:left w:val="none" w:sz="0" w:space="0" w:color="auto"/>
                        <w:bottom w:val="none" w:sz="0" w:space="0" w:color="auto"/>
                        <w:right w:val="none" w:sz="0" w:space="0" w:color="auto"/>
                      </w:divBdr>
                      <w:divsChild>
                        <w:div w:id="57939968">
                          <w:marLeft w:val="150"/>
                          <w:marRight w:val="0"/>
                          <w:marTop w:val="0"/>
                          <w:marBottom w:val="150"/>
                          <w:divBdr>
                            <w:top w:val="none" w:sz="0" w:space="0" w:color="auto"/>
                            <w:left w:val="none" w:sz="0" w:space="0" w:color="auto"/>
                            <w:bottom w:val="none" w:sz="0" w:space="0" w:color="auto"/>
                            <w:right w:val="none" w:sz="0" w:space="0" w:color="auto"/>
                          </w:divBdr>
                          <w:divsChild>
                            <w:div w:id="1001003120">
                              <w:marLeft w:val="0"/>
                              <w:marRight w:val="0"/>
                              <w:marTop w:val="0"/>
                              <w:marBottom w:val="0"/>
                              <w:divBdr>
                                <w:top w:val="none" w:sz="0" w:space="0" w:color="auto"/>
                                <w:left w:val="none" w:sz="0" w:space="0" w:color="auto"/>
                                <w:bottom w:val="none" w:sz="0" w:space="0" w:color="auto"/>
                                <w:right w:val="none" w:sz="0" w:space="0" w:color="auto"/>
                              </w:divBdr>
                              <w:divsChild>
                                <w:div w:id="222763238">
                                  <w:marLeft w:val="0"/>
                                  <w:marRight w:val="150"/>
                                  <w:marTop w:val="0"/>
                                  <w:marBottom w:val="0"/>
                                  <w:divBdr>
                                    <w:top w:val="none" w:sz="0" w:space="0" w:color="auto"/>
                                    <w:left w:val="none" w:sz="0" w:space="0" w:color="auto"/>
                                    <w:bottom w:val="none" w:sz="0" w:space="0" w:color="auto"/>
                                    <w:right w:val="none" w:sz="0" w:space="0" w:color="auto"/>
                                  </w:divBdr>
                                  <w:divsChild>
                                    <w:div w:id="1316840946">
                                      <w:marLeft w:val="0"/>
                                      <w:marRight w:val="0"/>
                                      <w:marTop w:val="300"/>
                                      <w:marBottom w:val="0"/>
                                      <w:divBdr>
                                        <w:top w:val="none" w:sz="0" w:space="0" w:color="auto"/>
                                        <w:left w:val="none" w:sz="0" w:space="0" w:color="auto"/>
                                        <w:bottom w:val="none" w:sz="0" w:space="0" w:color="auto"/>
                                        <w:right w:val="none" w:sz="0" w:space="0" w:color="auto"/>
                                      </w:divBdr>
                                      <w:divsChild>
                                        <w:div w:id="422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3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mprovement.nhs.uk/documents/1973/2_-_National_schedule_of_reference_costs_-_the_main_schedule.xlsx" TargetMode="External"/><Relationship Id="rId2" Type="http://schemas.openxmlformats.org/officeDocument/2006/relationships/customXml" Target="../customXml/item2.xml"/><Relationship Id="rId16" Type="http://schemas.openxmlformats.org/officeDocument/2006/relationships/hyperlink" Target="https://www.gov.uk/government/publications/nhs-reference-costs-2012-to-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yley.mcbain.1@city.ac.uk" TargetMode="External"/><Relationship Id="rId5" Type="http://schemas.openxmlformats.org/officeDocument/2006/relationships/numbering" Target="numbering.xml"/><Relationship Id="rId15" Type="http://schemas.openxmlformats.org/officeDocument/2006/relationships/hyperlink" Target="https://www.gov.uk/government/publications/2010-11-reference-costs-publi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93/heapol/czz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B641556AA8542A5A4F91D9F16733D" ma:contentTypeVersion="11" ma:contentTypeDescription="Create a new document." ma:contentTypeScope="" ma:versionID="c6c745a31b4be6f900cf1298f14596be">
  <xsd:schema xmlns:xsd="http://www.w3.org/2001/XMLSchema" xmlns:xs="http://www.w3.org/2001/XMLSchema" xmlns:p="http://schemas.microsoft.com/office/2006/metadata/properties" xmlns:ns3="302c97a9-64da-463f-bf0a-400bdefbae0c" xmlns:ns4="847d6b0e-d918-414d-87dc-7efa2cf87afc" targetNamespace="http://schemas.microsoft.com/office/2006/metadata/properties" ma:root="true" ma:fieldsID="84ffee1331c9556b853dc8e1b4ec4a3e" ns3:_="" ns4:_="">
    <xsd:import namespace="302c97a9-64da-463f-bf0a-400bdefbae0c"/>
    <xsd:import namespace="847d6b0e-d918-414d-87dc-7efa2cf87af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c97a9-64da-463f-bf0a-400bdefbae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d6b0e-d918-414d-87dc-7efa2cf87a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23918-5494-431B-8528-02A78458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c97a9-64da-463f-bf0a-400bdefbae0c"/>
    <ds:schemaRef ds:uri="847d6b0e-d918-414d-87dc-7efa2cf8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ABA85-408F-FB45-B227-2C5F845211F8}">
  <ds:schemaRefs>
    <ds:schemaRef ds:uri="http://schemas.openxmlformats.org/officeDocument/2006/bibliography"/>
  </ds:schemaRefs>
</ds:datastoreItem>
</file>

<file path=customXml/itemProps3.xml><?xml version="1.0" encoding="utf-8"?>
<ds:datastoreItem xmlns:ds="http://schemas.openxmlformats.org/officeDocument/2006/customXml" ds:itemID="{ED77C591-B393-418C-A13C-766AD817CE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24C917-1821-4C9F-98CE-31A73B168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5210</Words>
  <Characters>29703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McBain, Hayley</dc:creator>
  <cp:keywords/>
  <dc:description/>
  <cp:lastModifiedBy>Flood, Chris</cp:lastModifiedBy>
  <cp:revision>2</cp:revision>
  <cp:lastPrinted>2018-05-29T12:30:00Z</cp:lastPrinted>
  <dcterms:created xsi:type="dcterms:W3CDTF">2021-03-02T11:32:00Z</dcterms:created>
  <dcterms:modified xsi:type="dcterms:W3CDTF">2021-03-02T11:32:00Z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0x010100AECB641556AA8542A5A4F91D9F16733D</vt:lpwstr>
  </property>
</Properties>
</file>