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02" w:rsidRPr="00105F73" w:rsidRDefault="002275BE" w:rsidP="00F241C3">
      <w:pPr>
        <w:pStyle w:val="Title"/>
        <w:spacing w:before="0"/>
        <w:ind w:left="0" w:right="0"/>
        <w:rPr>
          <w:lang w:val="en-GB"/>
        </w:rPr>
      </w:pPr>
      <w:r w:rsidRPr="00704417">
        <w:rPr>
          <w:sz w:val="32"/>
        </w:rPr>
        <w:t xml:space="preserve">Impact that Acoustic Design </w:t>
      </w:r>
      <w:r>
        <w:rPr>
          <w:sz w:val="32"/>
        </w:rPr>
        <w:t>h</w:t>
      </w:r>
      <w:r w:rsidRPr="00704417">
        <w:rPr>
          <w:sz w:val="32"/>
        </w:rPr>
        <w:t>as on Higher Educ</w:t>
      </w:r>
      <w:r w:rsidRPr="00704417">
        <w:rPr>
          <w:sz w:val="32"/>
        </w:rPr>
        <w:t>a</w:t>
      </w:r>
      <w:r w:rsidRPr="00704417">
        <w:rPr>
          <w:sz w:val="32"/>
        </w:rPr>
        <w:t>tion for Non-English Speaking Students</w:t>
      </w:r>
    </w:p>
    <w:p w:rsidR="004F2950" w:rsidRPr="00105F73" w:rsidRDefault="002275BE" w:rsidP="004F2950">
      <w:pPr>
        <w:pStyle w:val="Author"/>
        <w:ind w:left="0" w:right="0"/>
      </w:pPr>
      <w:r>
        <w:t>Rodrigo Sanchez-Pizani</w:t>
      </w:r>
    </w:p>
    <w:p w:rsidR="004F2950" w:rsidRPr="00021E04" w:rsidRDefault="002275BE" w:rsidP="004F2950">
      <w:pPr>
        <w:pStyle w:val="Affiliation"/>
        <w:ind w:left="0" w:right="0"/>
        <w:rPr>
          <w:sz w:val="22"/>
        </w:rPr>
      </w:pPr>
      <w:r>
        <w:rPr>
          <w:sz w:val="22"/>
        </w:rPr>
        <w:t>London South Bank University</w:t>
      </w:r>
      <w:r w:rsidR="004F2950">
        <w:rPr>
          <w:sz w:val="22"/>
        </w:rPr>
        <w:t xml:space="preserve">, </w:t>
      </w:r>
      <w:r>
        <w:rPr>
          <w:sz w:val="22"/>
        </w:rPr>
        <w:t>School of the Built Environment</w:t>
      </w:r>
      <w:r w:rsidR="004F2950">
        <w:rPr>
          <w:sz w:val="22"/>
        </w:rPr>
        <w:t>,</w:t>
      </w:r>
      <w:r>
        <w:rPr>
          <w:sz w:val="22"/>
        </w:rPr>
        <w:t xml:space="preserve"> London, UK</w:t>
      </w:r>
      <w:r w:rsidR="004F2950" w:rsidRPr="00021E04">
        <w:rPr>
          <w:sz w:val="22"/>
        </w:rPr>
        <w:br/>
        <w:t>email</w:t>
      </w:r>
      <w:r w:rsidR="004F2950">
        <w:rPr>
          <w:sz w:val="22"/>
        </w:rPr>
        <w:t xml:space="preserve">: </w:t>
      </w:r>
      <w:r>
        <w:rPr>
          <w:sz w:val="22"/>
        </w:rPr>
        <w:t>rgosp@yahoo.co.uk</w:t>
      </w:r>
    </w:p>
    <w:p w:rsidR="004F2950" w:rsidRPr="00105F73" w:rsidRDefault="002275BE" w:rsidP="004F2950">
      <w:pPr>
        <w:pStyle w:val="Author"/>
        <w:ind w:left="0" w:right="0"/>
      </w:pPr>
      <w:r>
        <w:t>Stephen Dance</w:t>
      </w:r>
    </w:p>
    <w:p w:rsidR="004F2950" w:rsidRPr="00021E04" w:rsidRDefault="002275BE" w:rsidP="004F2950">
      <w:pPr>
        <w:pStyle w:val="Affiliation"/>
        <w:ind w:left="0" w:right="-1"/>
        <w:rPr>
          <w:sz w:val="22"/>
        </w:rPr>
      </w:pPr>
      <w:r>
        <w:rPr>
          <w:sz w:val="22"/>
        </w:rPr>
        <w:t>London South Bank University, School of the Built Environment, London, UK</w:t>
      </w:r>
      <w:r w:rsidR="004F2950">
        <w:rPr>
          <w:sz w:val="22"/>
        </w:rPr>
        <w:t>,</w:t>
      </w:r>
    </w:p>
    <w:p w:rsidR="004F2950" w:rsidRPr="004E69DF" w:rsidRDefault="002275BE" w:rsidP="004F2950">
      <w:r w:rsidRPr="002275BE">
        <w:rPr>
          <w:sz w:val="22"/>
        </w:rPr>
        <w:t xml:space="preserve">Speech is one of the </w:t>
      </w:r>
      <w:r>
        <w:rPr>
          <w:sz w:val="22"/>
        </w:rPr>
        <w:t xml:space="preserve">main </w:t>
      </w:r>
      <w:r w:rsidRPr="002275BE">
        <w:rPr>
          <w:sz w:val="22"/>
        </w:rPr>
        <w:t>forms of communication, and in teaching environments is fundamental to transmit the message effectively. Significant amounts of the research that has been undertaken concentrating on measuring and studying the impact of intelligibility on native populations, particularly children. There is also evidence that the acoustic design of a room has impact on the overall student experience. This investig</w:t>
      </w:r>
      <w:r w:rsidRPr="002275BE">
        <w:rPr>
          <w:sz w:val="22"/>
        </w:rPr>
        <w:t>a</w:t>
      </w:r>
      <w:r w:rsidRPr="002275BE">
        <w:rPr>
          <w:sz w:val="22"/>
        </w:rPr>
        <w:t xml:space="preserve">tion therefore focuses in the analysis of the possible effects that acoustic design </w:t>
      </w:r>
      <w:r w:rsidR="00147EFF">
        <w:rPr>
          <w:sz w:val="22"/>
        </w:rPr>
        <w:t>and characteristics of her</w:t>
      </w:r>
      <w:r w:rsidR="00147EFF">
        <w:rPr>
          <w:sz w:val="22"/>
        </w:rPr>
        <w:t>i</w:t>
      </w:r>
      <w:r w:rsidR="00147EFF">
        <w:rPr>
          <w:sz w:val="22"/>
        </w:rPr>
        <w:t xml:space="preserve">tage buildings </w:t>
      </w:r>
      <w:r w:rsidRPr="002275BE">
        <w:rPr>
          <w:sz w:val="22"/>
        </w:rPr>
        <w:t>has in higher educatio</w:t>
      </w:r>
      <w:r w:rsidR="00147EFF">
        <w:rPr>
          <w:sz w:val="22"/>
        </w:rPr>
        <w:t xml:space="preserve">n environments; </w:t>
      </w:r>
      <w:r w:rsidRPr="002275BE">
        <w:rPr>
          <w:sz w:val="22"/>
        </w:rPr>
        <w:t>with a particular interest in those students whose En</w:t>
      </w:r>
      <w:r w:rsidRPr="002275BE">
        <w:rPr>
          <w:sz w:val="22"/>
        </w:rPr>
        <w:t>g</w:t>
      </w:r>
      <w:r w:rsidRPr="002275BE">
        <w:rPr>
          <w:sz w:val="22"/>
        </w:rPr>
        <w:t>lish is not their first language. Rooms and people with similar characteristics from King's College London; were used as sample for the environmental and subjective evaluation respectively. The speech transmission index was assessed in accordance to BS IEC 60268-16:2011, while reverberation time was calculated in a</w:t>
      </w:r>
      <w:r w:rsidRPr="002275BE">
        <w:rPr>
          <w:sz w:val="22"/>
        </w:rPr>
        <w:t>c</w:t>
      </w:r>
      <w:r w:rsidRPr="002275BE">
        <w:rPr>
          <w:sz w:val="22"/>
        </w:rPr>
        <w:t xml:space="preserve">cordance with the recommendations for precision measurements in accordance to ISO 3382-2:2008 and ISO 18233:2006. The study compares the student experience subjective acoustic evaluation, their test marks with the measured Speech Transmission Index, as well as the result of a phonetically balanced word test.  Results will be presented together with analysis as to </w:t>
      </w:r>
      <w:r w:rsidR="00C2084F">
        <w:rPr>
          <w:sz w:val="22"/>
        </w:rPr>
        <w:t xml:space="preserve">if </w:t>
      </w:r>
      <w:r w:rsidRPr="002275BE">
        <w:rPr>
          <w:sz w:val="22"/>
        </w:rPr>
        <w:t>intelligibility correlate</w:t>
      </w:r>
      <w:r w:rsidR="00C2084F">
        <w:rPr>
          <w:sz w:val="22"/>
        </w:rPr>
        <w:t>s</w:t>
      </w:r>
      <w:r w:rsidRPr="002275BE">
        <w:rPr>
          <w:sz w:val="22"/>
        </w:rPr>
        <w:t xml:space="preserve"> to student experience</w:t>
      </w:r>
      <w:r w:rsidR="00C2084F">
        <w:rPr>
          <w:sz w:val="22"/>
        </w:rPr>
        <w:t>.</w:t>
      </w:r>
    </w:p>
    <w:p w:rsidR="00A43EC3" w:rsidRPr="00105F73" w:rsidRDefault="00A43EC3" w:rsidP="00F56494">
      <w:pPr>
        <w:pStyle w:val="Abstract"/>
        <w:pBdr>
          <w:top w:val="single" w:sz="8" w:space="1" w:color="auto"/>
          <w:bottom w:val="none" w:sz="0" w:space="0" w:color="auto"/>
        </w:pBdr>
        <w:spacing w:before="360" w:after="0"/>
        <w:ind w:left="567" w:right="566"/>
        <w:rPr>
          <w:lang w:val="en-GB"/>
        </w:rPr>
      </w:pPr>
    </w:p>
    <w:p w:rsidR="00147302" w:rsidRPr="00105F73" w:rsidRDefault="00147302" w:rsidP="00F241C3">
      <w:pPr>
        <w:pStyle w:val="Heading1"/>
      </w:pPr>
      <w:r w:rsidRPr="00105F73">
        <w:t>Introduction</w:t>
      </w:r>
    </w:p>
    <w:p w:rsidR="00CE3F6A" w:rsidRPr="004E4FB0" w:rsidRDefault="00CE3F6A" w:rsidP="00CE3F6A">
      <w:r w:rsidRPr="004E4FB0">
        <w:t>One of th</w:t>
      </w:r>
      <w:r>
        <w:t>e central aims of the thesis is</w:t>
      </w:r>
      <w:r w:rsidRPr="004E4FB0">
        <w:t xml:space="preserve"> to provide an internal acoustic assessment </w:t>
      </w:r>
      <w:r>
        <w:t xml:space="preserve">for </w:t>
      </w:r>
      <w:r w:rsidRPr="004E4FB0">
        <w:t>teaching f</w:t>
      </w:r>
      <w:r w:rsidRPr="004E4FB0">
        <w:t>a</w:t>
      </w:r>
      <w:r w:rsidRPr="004E4FB0">
        <w:t xml:space="preserve">cilities in a higher education institution, </w:t>
      </w:r>
      <w:r>
        <w:t>and to compare</w:t>
      </w:r>
      <w:r w:rsidRPr="004E4FB0">
        <w:t xml:space="preserve"> these measurements with </w:t>
      </w:r>
      <w:r>
        <w:t>current standards and guidance.</w:t>
      </w:r>
    </w:p>
    <w:p w:rsidR="00CE3F6A" w:rsidRDefault="00CE3F6A" w:rsidP="00CE3F6A">
      <w:bookmarkStart w:id="0" w:name="_Toc439544892"/>
      <w:bookmarkStart w:id="1" w:name="_Toc439597644"/>
      <w:r>
        <w:t>The study of the relationship between acoustic parameters and student satisfaction then becomes the main focus</w:t>
      </w:r>
      <w:bookmarkEnd w:id="0"/>
      <w:bookmarkEnd w:id="1"/>
      <w:r>
        <w:t>, concentrating efforts in those individuals whose English is not their first language; and it is around these people and their results that the acoustic parameters for reverberation, noise and intelligibility are compared and analysed both objectively and subjectively.</w:t>
      </w:r>
    </w:p>
    <w:p w:rsidR="003036D9" w:rsidRDefault="003036D9" w:rsidP="00CE3F6A">
      <w:r>
        <w:t xml:space="preserve">Techniques and theory is mainly dictated by the BS EN </w:t>
      </w:r>
      <w:r w:rsidRPr="00894D87">
        <w:t>60268-16:2011</w:t>
      </w:r>
      <w:r>
        <w:t xml:space="preserve">, </w:t>
      </w:r>
      <w:r w:rsidRPr="00894D87">
        <w:t>BS 7445-1:2003</w:t>
      </w:r>
      <w:r>
        <w:t xml:space="preserve">, </w:t>
      </w:r>
      <w:r w:rsidRPr="00894D87">
        <w:t>BS EN ISO 3382-2:2008</w:t>
      </w:r>
      <w:r>
        <w:t xml:space="preserve">, </w:t>
      </w:r>
      <w:r w:rsidR="00C2084F">
        <w:t xml:space="preserve">and </w:t>
      </w:r>
      <w:r w:rsidRPr="00894D87">
        <w:t>BS EN ISO 18233:2006</w:t>
      </w:r>
    </w:p>
    <w:p w:rsidR="00147302" w:rsidRPr="00105F73" w:rsidRDefault="00147EFF" w:rsidP="00CE3F6A">
      <w:pPr>
        <w:pStyle w:val="Heading2"/>
      </w:pPr>
      <w:r>
        <w:t>Background</w:t>
      </w:r>
    </w:p>
    <w:p w:rsidR="00DC25E9" w:rsidRDefault="00147EFF" w:rsidP="00147EFF">
      <w:r w:rsidRPr="00147EFF">
        <w:t xml:space="preserve">Anecdotal observations seem to indicate that there is dissatisfaction from students and the </w:t>
      </w:r>
      <w:proofErr w:type="gramStart"/>
      <w:r w:rsidRPr="00147EFF">
        <w:t>ge</w:t>
      </w:r>
      <w:r w:rsidRPr="00147EFF">
        <w:t>n</w:t>
      </w:r>
      <w:r w:rsidRPr="00147EFF">
        <w:t>eral public</w:t>
      </w:r>
      <w:proofErr w:type="gramEnd"/>
      <w:r w:rsidRPr="00147EFF">
        <w:t xml:space="preserve"> with the overall acoustics of the </w:t>
      </w:r>
      <w:r w:rsidR="00F8430B">
        <w:t xml:space="preserve">college </w:t>
      </w:r>
      <w:r w:rsidRPr="00147EFF">
        <w:t>rooms, particularly those in</w:t>
      </w:r>
      <w:r w:rsidR="00EC3679">
        <w:t xml:space="preserve"> heritage buildings a</w:t>
      </w:r>
      <w:r w:rsidR="00F8430B">
        <w:t>t</w:t>
      </w:r>
      <w:r w:rsidRPr="00147EFF">
        <w:t xml:space="preserve"> King’s </w:t>
      </w:r>
      <w:r w:rsidR="00F8430B">
        <w:t xml:space="preserve">College on </w:t>
      </w:r>
      <w:r w:rsidRPr="00147EFF">
        <w:t>the Strand campus</w:t>
      </w:r>
      <w:r w:rsidR="00F8430B">
        <w:t>.T</w:t>
      </w:r>
      <w:r>
        <w:t>herefore</w:t>
      </w:r>
      <w:r w:rsidR="00F8430B">
        <w:t>,</w:t>
      </w:r>
      <w:r>
        <w:t xml:space="preserve"> these rooms </w:t>
      </w:r>
      <w:r w:rsidR="00F8430B">
        <w:t>were</w:t>
      </w:r>
      <w:r>
        <w:t xml:space="preserve"> a good place to start to invest</w:t>
      </w:r>
      <w:r>
        <w:t>i</w:t>
      </w:r>
      <w:r>
        <w:t xml:space="preserve">gate the extent and impact of acoustics </w:t>
      </w:r>
      <w:r w:rsidR="00F8430B">
        <w:t>o</w:t>
      </w:r>
      <w:r>
        <w:t>n student satisfaction.</w:t>
      </w:r>
    </w:p>
    <w:p w:rsidR="00DC25E9" w:rsidRDefault="00F8430B" w:rsidP="00DC25E9">
      <w:r>
        <w:t>Previous research has shown</w:t>
      </w:r>
      <w:r w:rsidR="00DC25E9">
        <w:t xml:space="preserve"> advantages and disadvantages </w:t>
      </w:r>
      <w:r>
        <w:t>to</w:t>
      </w:r>
      <w:r w:rsidR="00DC25E9">
        <w:t xml:space="preserve"> acoustic treatments in university classrooms </w:t>
      </w:r>
      <w:sdt>
        <w:sdtPr>
          <w:id w:val="247779849"/>
          <w:citation/>
        </w:sdtPr>
        <w:sdtContent>
          <w:r w:rsidR="00D76498">
            <w:fldChar w:fldCharType="begin"/>
          </w:r>
          <w:r w:rsidR="00DC25E9">
            <w:instrText xml:space="preserve"> CITATION Hod03 \l 2057 </w:instrText>
          </w:r>
          <w:r w:rsidR="00D76498">
            <w:fldChar w:fldCharType="separate"/>
          </w:r>
          <w:r w:rsidR="00846A19">
            <w:rPr>
              <w:noProof/>
            </w:rPr>
            <w:t>(1)</w:t>
          </w:r>
          <w:r w:rsidR="00D76498">
            <w:fldChar w:fldCharType="end"/>
          </w:r>
        </w:sdtContent>
      </w:sdt>
      <w:r>
        <w:t>.I</w:t>
      </w:r>
      <w:r w:rsidR="00DC25E9">
        <w:t>n particular</w:t>
      </w:r>
      <w:r>
        <w:t>,</w:t>
      </w:r>
      <w:r w:rsidR="00DC25E9">
        <w:t xml:space="preserve"> the fact that excessive absorption can have an impact on the sound-to-noise ratio</w:t>
      </w:r>
      <w:r>
        <w:t>,</w:t>
      </w:r>
      <w:r w:rsidR="00DC25E9">
        <w:t xml:space="preserve"> and </w:t>
      </w:r>
      <w:r>
        <w:t>hence</w:t>
      </w:r>
      <w:r w:rsidR="00DC25E9">
        <w:t>impactunaided speech.</w:t>
      </w:r>
      <w:r>
        <w:t xml:space="preserve"> In addition, studies have shown</w:t>
      </w:r>
      <w:r w:rsidR="00DC25E9">
        <w:t xml:space="preserve"> that students found it easier to concentrate in spaces with acoustic treatment </w:t>
      </w:r>
      <w:sdt>
        <w:sdtPr>
          <w:id w:val="1351690883"/>
          <w:citation/>
        </w:sdtPr>
        <w:sdtContent>
          <w:r w:rsidR="00D76498">
            <w:fldChar w:fldCharType="begin"/>
          </w:r>
          <w:r w:rsidR="00DC25E9">
            <w:instrText xml:space="preserve"> CITATION Pen14 \l 2057 </w:instrText>
          </w:r>
          <w:r w:rsidR="00D76498">
            <w:fldChar w:fldCharType="separate"/>
          </w:r>
          <w:r w:rsidR="00846A19">
            <w:rPr>
              <w:noProof/>
            </w:rPr>
            <w:t>(2)</w:t>
          </w:r>
          <w:r w:rsidR="00D76498">
            <w:fldChar w:fldCharType="end"/>
          </w:r>
        </w:sdtContent>
      </w:sdt>
      <w:r w:rsidR="00DC25E9">
        <w:t xml:space="preserve">; another study concludes that ‘during listening tasks a substandard classroom built environment can have a measurable negative effect on </w:t>
      </w:r>
      <w:r w:rsidR="00DC25E9">
        <w:lastRenderedPageBreak/>
        <w:t xml:space="preserve">adult student learning and performance’ </w:t>
      </w:r>
      <w:sdt>
        <w:sdtPr>
          <w:id w:val="-233785015"/>
          <w:citation/>
        </w:sdtPr>
        <w:sdtContent>
          <w:r w:rsidR="00D76498">
            <w:fldChar w:fldCharType="begin"/>
          </w:r>
          <w:r w:rsidR="00DC25E9">
            <w:instrText xml:space="preserve"> CITATION Mar14 \l 2057 </w:instrText>
          </w:r>
          <w:r w:rsidR="00D76498">
            <w:fldChar w:fldCharType="separate"/>
          </w:r>
          <w:r w:rsidR="00846A19">
            <w:rPr>
              <w:noProof/>
            </w:rPr>
            <w:t>(3)</w:t>
          </w:r>
          <w:r w:rsidR="00D76498">
            <w:fldChar w:fldCharType="end"/>
          </w:r>
        </w:sdtContent>
      </w:sdt>
      <w:r w:rsidR="00DC25E9">
        <w:t>. It is therefore easy to theorise that acoustic design of teaching rooms will have an impact on students’ results and experience, and that these results are valid for higher education environments.</w:t>
      </w:r>
    </w:p>
    <w:p w:rsidR="00DC25E9" w:rsidRDefault="00DC25E9" w:rsidP="00DC25E9">
      <w:r>
        <w:t xml:space="preserve">For this investigation there is particular interest in students whose first language is not English and are at tertiary level. </w:t>
      </w:r>
    </w:p>
    <w:p w:rsidR="00DC25E9" w:rsidRDefault="00DC25E9" w:rsidP="00DC25E9">
      <w:r>
        <w:t>In the research</w:t>
      </w:r>
      <w:r w:rsidR="00F8430B">
        <w:t xml:space="preserve"> of</w:t>
      </w:r>
      <w:r>
        <w:t xml:space="preserve"> Escobar and </w:t>
      </w:r>
      <w:proofErr w:type="spellStart"/>
      <w:r>
        <w:t>Morillas</w:t>
      </w:r>
      <w:proofErr w:type="spellEnd"/>
      <w:r>
        <w:t xml:space="preserve"> indicate</w:t>
      </w:r>
      <w:r w:rsidR="00F8430B">
        <w:t>d</w:t>
      </w:r>
      <w:r>
        <w:t xml:space="preserve"> a relationship between the STI and the actual intelligibility results for university classrooms in results tested for Spanish language </w:t>
      </w:r>
      <w:sdt>
        <w:sdtPr>
          <w:id w:val="-663152957"/>
          <w:citation/>
        </w:sdtPr>
        <w:sdtContent>
          <w:r w:rsidR="00D76498">
            <w:fldChar w:fldCharType="begin"/>
          </w:r>
          <w:r>
            <w:instrText xml:space="preserve"> CITATION VGó15 \l 2057 </w:instrText>
          </w:r>
          <w:r w:rsidR="00D76498">
            <w:fldChar w:fldCharType="separate"/>
          </w:r>
          <w:r w:rsidR="00846A19">
            <w:rPr>
              <w:noProof/>
            </w:rPr>
            <w:t>(4)</w:t>
          </w:r>
          <w:r w:rsidR="00D76498">
            <w:fldChar w:fldCharType="end"/>
          </w:r>
        </w:sdtContent>
      </w:sdt>
      <w:r>
        <w:t xml:space="preserve"> ; therefore, it seems the initial hypothesis for the project is reasonable.  </w:t>
      </w:r>
    </w:p>
    <w:p w:rsidR="00CE3F6A" w:rsidRDefault="00CE3F6A" w:rsidP="00CE3F6A">
      <w:pPr>
        <w:pStyle w:val="Heading2"/>
      </w:pPr>
      <w:r>
        <w:t>Overview</w:t>
      </w:r>
    </w:p>
    <w:p w:rsidR="00DC25E9" w:rsidRDefault="00DC25E9" w:rsidP="00DC25E9">
      <w:r w:rsidRPr="00EC3679">
        <w:t>Four rooms</w:t>
      </w:r>
      <w:r>
        <w:t xml:space="preserve">, all with flat </w:t>
      </w:r>
      <w:r w:rsidR="00F8430B">
        <w:t>floors</w:t>
      </w:r>
      <w:r>
        <w:t xml:space="preserve"> and mostly </w:t>
      </w:r>
      <w:r w:rsidR="00F8430B">
        <w:t xml:space="preserve">of a </w:t>
      </w:r>
      <w:r>
        <w:t>shoebox type were measured.T</w:t>
      </w:r>
      <w:r w:rsidRPr="00EC3679">
        <w:t>he main constru</w:t>
      </w:r>
      <w:r w:rsidRPr="00EC3679">
        <w:t>c</w:t>
      </w:r>
      <w:r w:rsidRPr="00EC3679">
        <w:t>tion comprising of concrete walls, tiled carpet, high ceilings</w:t>
      </w:r>
      <w:r>
        <w:t xml:space="preserve"> and medium upholstery seating</w:t>
      </w:r>
    </w:p>
    <w:p w:rsidR="00DC25E9" w:rsidRPr="00305D0D" w:rsidRDefault="00DC25E9" w:rsidP="00DC25E9"/>
    <w:p w:rsidR="00422AA7" w:rsidRPr="00422AA7" w:rsidRDefault="00422AA7" w:rsidP="00422AA7">
      <w:pPr>
        <w:pStyle w:val="Caption"/>
        <w:keepNext/>
        <w:rPr>
          <w:b w:val="0"/>
        </w:rPr>
      </w:pPr>
      <w:bookmarkStart w:id="2" w:name="_Ref472265521"/>
      <w:r w:rsidRPr="00422AA7">
        <w:rPr>
          <w:b w:val="0"/>
        </w:rPr>
        <w:t xml:space="preserve">Table </w:t>
      </w:r>
      <w:r w:rsidR="00D76498">
        <w:rPr>
          <w:b w:val="0"/>
        </w:rPr>
        <w:fldChar w:fldCharType="begin"/>
      </w:r>
      <w:r w:rsidR="00300C65">
        <w:rPr>
          <w:b w:val="0"/>
        </w:rPr>
        <w:instrText xml:space="preserve"> SEQ Table \* ARABIC </w:instrText>
      </w:r>
      <w:r w:rsidR="00D76498">
        <w:rPr>
          <w:b w:val="0"/>
        </w:rPr>
        <w:fldChar w:fldCharType="separate"/>
      </w:r>
      <w:r w:rsidR="00A81CE0">
        <w:rPr>
          <w:b w:val="0"/>
          <w:noProof/>
        </w:rPr>
        <w:t>1</w:t>
      </w:r>
      <w:r w:rsidR="00D76498">
        <w:rPr>
          <w:b w:val="0"/>
        </w:rPr>
        <w:fldChar w:fldCharType="end"/>
      </w:r>
      <w:bookmarkEnd w:id="2"/>
      <w:r>
        <w:rPr>
          <w:b w:val="0"/>
        </w:rPr>
        <w:t xml:space="preserve">: </w:t>
      </w:r>
      <w:r w:rsidRPr="00422AA7">
        <w:rPr>
          <w:b w:val="0"/>
          <w:noProof/>
        </w:rPr>
        <w:t>Room Characteristics</w:t>
      </w:r>
    </w:p>
    <w:tbl>
      <w:tblPr>
        <w:tblStyle w:val="APAReport"/>
        <w:tblW w:w="9238" w:type="dxa"/>
        <w:jc w:val="center"/>
        <w:tblLook w:val="04A0"/>
      </w:tblPr>
      <w:tblGrid>
        <w:gridCol w:w="1620"/>
        <w:gridCol w:w="1511"/>
        <w:gridCol w:w="1096"/>
        <w:gridCol w:w="1260"/>
        <w:gridCol w:w="1667"/>
        <w:gridCol w:w="2084"/>
      </w:tblGrid>
      <w:tr w:rsidR="00DC25E9" w:rsidTr="00B9194D">
        <w:trPr>
          <w:cnfStyle w:val="100000000000"/>
          <w:trHeight w:val="20"/>
          <w:jc w:val="center"/>
        </w:trPr>
        <w:tc>
          <w:tcPr>
            <w:tcW w:w="1620" w:type="dxa"/>
          </w:tcPr>
          <w:p w:rsidR="00DC25E9" w:rsidRPr="00DC25E9" w:rsidRDefault="00DC25E9" w:rsidP="00B9194D">
            <w:pPr>
              <w:rPr>
                <w:rFonts w:ascii="Arial" w:hAnsi="Arial" w:cs="Arial"/>
                <w:b/>
                <w:sz w:val="18"/>
                <w:szCs w:val="18"/>
              </w:rPr>
            </w:pPr>
            <w:r w:rsidRPr="00DC25E9">
              <w:rPr>
                <w:rFonts w:ascii="Arial" w:hAnsi="Arial" w:cs="Arial"/>
                <w:b/>
                <w:sz w:val="18"/>
                <w:szCs w:val="18"/>
              </w:rPr>
              <w:t>Floor</w:t>
            </w:r>
          </w:p>
        </w:tc>
        <w:tc>
          <w:tcPr>
            <w:tcW w:w="1511" w:type="dxa"/>
          </w:tcPr>
          <w:p w:rsidR="00DC25E9" w:rsidRPr="00DC25E9" w:rsidRDefault="00DC25E9" w:rsidP="00B9194D">
            <w:pPr>
              <w:rPr>
                <w:rFonts w:ascii="Arial" w:hAnsi="Arial" w:cs="Arial"/>
                <w:b/>
                <w:sz w:val="18"/>
                <w:szCs w:val="18"/>
              </w:rPr>
            </w:pPr>
            <w:r w:rsidRPr="00DC25E9">
              <w:rPr>
                <w:rFonts w:ascii="Arial" w:hAnsi="Arial" w:cs="Arial"/>
                <w:b/>
                <w:sz w:val="18"/>
                <w:szCs w:val="18"/>
              </w:rPr>
              <w:t>Room</w:t>
            </w:r>
          </w:p>
        </w:tc>
        <w:tc>
          <w:tcPr>
            <w:tcW w:w="1096" w:type="dxa"/>
          </w:tcPr>
          <w:p w:rsidR="00DC25E9" w:rsidRPr="00DC25E9" w:rsidRDefault="00DC25E9" w:rsidP="00B9194D">
            <w:pPr>
              <w:ind w:firstLine="0"/>
              <w:rPr>
                <w:rFonts w:ascii="Arial" w:hAnsi="Arial" w:cs="Arial"/>
                <w:b/>
                <w:sz w:val="18"/>
                <w:szCs w:val="18"/>
              </w:rPr>
            </w:pPr>
            <w:r w:rsidRPr="00DC25E9">
              <w:rPr>
                <w:rFonts w:ascii="Arial" w:hAnsi="Arial" w:cs="Arial"/>
                <w:b/>
                <w:sz w:val="18"/>
                <w:szCs w:val="18"/>
              </w:rPr>
              <w:t>Capacity</w:t>
            </w:r>
          </w:p>
        </w:tc>
        <w:tc>
          <w:tcPr>
            <w:tcW w:w="1260" w:type="dxa"/>
          </w:tcPr>
          <w:p w:rsidR="00DC25E9" w:rsidRPr="00DC25E9" w:rsidRDefault="00DC25E9" w:rsidP="00B9194D">
            <w:pPr>
              <w:rPr>
                <w:rFonts w:ascii="Arial" w:hAnsi="Arial" w:cs="Arial"/>
                <w:b/>
                <w:sz w:val="18"/>
                <w:szCs w:val="18"/>
              </w:rPr>
            </w:pPr>
            <w:r w:rsidRPr="00DC25E9">
              <w:rPr>
                <w:rFonts w:ascii="Arial" w:hAnsi="Arial" w:cs="Arial"/>
                <w:b/>
                <w:sz w:val="18"/>
                <w:szCs w:val="18"/>
              </w:rPr>
              <w:t xml:space="preserve">Volume </w:t>
            </w:r>
          </w:p>
          <w:p w:rsidR="00DC25E9" w:rsidRPr="00DC25E9" w:rsidRDefault="00DC25E9" w:rsidP="00B9194D">
            <w:pPr>
              <w:jc w:val="center"/>
              <w:rPr>
                <w:rFonts w:ascii="Arial" w:hAnsi="Arial" w:cs="Arial"/>
                <w:i/>
                <w:sz w:val="18"/>
                <w:szCs w:val="18"/>
              </w:rPr>
            </w:pPr>
            <w:r w:rsidRPr="00DC25E9">
              <w:rPr>
                <w:rFonts w:ascii="Arial" w:hAnsi="Arial" w:cs="Arial"/>
                <w:i/>
                <w:sz w:val="18"/>
                <w:szCs w:val="18"/>
              </w:rPr>
              <w:t>(m</w:t>
            </w:r>
            <w:r w:rsidRPr="00DC25E9">
              <w:rPr>
                <w:rFonts w:ascii="Arial" w:hAnsi="Arial" w:cs="Arial"/>
                <w:i/>
                <w:sz w:val="18"/>
                <w:szCs w:val="18"/>
                <w:vertAlign w:val="superscript"/>
              </w:rPr>
              <w:t>3</w:t>
            </w:r>
            <w:r w:rsidRPr="00DC25E9">
              <w:rPr>
                <w:rFonts w:ascii="Arial" w:hAnsi="Arial" w:cs="Arial"/>
                <w:i/>
                <w:sz w:val="18"/>
                <w:szCs w:val="18"/>
              </w:rPr>
              <w:t>)</w:t>
            </w:r>
          </w:p>
        </w:tc>
        <w:tc>
          <w:tcPr>
            <w:tcW w:w="1667" w:type="dxa"/>
          </w:tcPr>
          <w:p w:rsidR="00DC25E9" w:rsidRPr="00DC25E9" w:rsidRDefault="00DC25E9" w:rsidP="00B9194D">
            <w:pPr>
              <w:rPr>
                <w:rFonts w:ascii="Arial" w:hAnsi="Arial" w:cs="Arial"/>
                <w:b/>
                <w:sz w:val="18"/>
                <w:szCs w:val="18"/>
              </w:rPr>
            </w:pPr>
            <w:r w:rsidRPr="00DC25E9">
              <w:rPr>
                <w:rFonts w:ascii="Arial" w:hAnsi="Arial" w:cs="Arial"/>
                <w:b/>
                <w:sz w:val="18"/>
                <w:szCs w:val="18"/>
              </w:rPr>
              <w:t>Objective</w:t>
            </w:r>
          </w:p>
          <w:p w:rsidR="00DC25E9" w:rsidRPr="00DC25E9" w:rsidRDefault="00DC25E9" w:rsidP="00B9194D">
            <w:pPr>
              <w:rPr>
                <w:rFonts w:ascii="Arial" w:hAnsi="Arial" w:cs="Arial"/>
                <w:b/>
                <w:sz w:val="18"/>
                <w:szCs w:val="18"/>
              </w:rPr>
            </w:pPr>
            <w:r w:rsidRPr="00DC25E9">
              <w:rPr>
                <w:rFonts w:ascii="Arial" w:hAnsi="Arial" w:cs="Arial"/>
                <w:b/>
                <w:sz w:val="18"/>
                <w:szCs w:val="18"/>
              </w:rPr>
              <w:t>Test</w:t>
            </w:r>
          </w:p>
        </w:tc>
        <w:tc>
          <w:tcPr>
            <w:tcW w:w="2084" w:type="dxa"/>
          </w:tcPr>
          <w:p w:rsidR="00DC25E9" w:rsidRPr="00DC25E9" w:rsidRDefault="00DC25E9" w:rsidP="00B9194D">
            <w:pPr>
              <w:rPr>
                <w:rFonts w:ascii="Arial" w:hAnsi="Arial" w:cs="Arial"/>
                <w:b/>
                <w:sz w:val="18"/>
                <w:szCs w:val="18"/>
              </w:rPr>
            </w:pPr>
            <w:r w:rsidRPr="00DC25E9">
              <w:rPr>
                <w:rFonts w:ascii="Arial" w:hAnsi="Arial" w:cs="Arial"/>
                <w:b/>
                <w:sz w:val="18"/>
                <w:szCs w:val="18"/>
              </w:rPr>
              <w:t>Subjective</w:t>
            </w:r>
          </w:p>
        </w:tc>
      </w:tr>
      <w:tr w:rsidR="00DC25E9" w:rsidTr="00B9194D">
        <w:trPr>
          <w:trHeight w:val="20"/>
          <w:jc w:val="center"/>
        </w:trPr>
        <w:tc>
          <w:tcPr>
            <w:tcW w:w="162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Ground Floor</w:t>
            </w:r>
          </w:p>
        </w:tc>
        <w:tc>
          <w:tcPr>
            <w:tcW w:w="1511"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STD/K0.16</w:t>
            </w:r>
          </w:p>
        </w:tc>
        <w:tc>
          <w:tcPr>
            <w:tcW w:w="1096" w:type="dxa"/>
          </w:tcPr>
          <w:p w:rsidR="00DC25E9" w:rsidRPr="00DC25E9" w:rsidRDefault="00DC25E9" w:rsidP="00B9194D">
            <w:pPr>
              <w:contextualSpacing/>
              <w:jc w:val="center"/>
              <w:rPr>
                <w:rFonts w:ascii="Arial" w:hAnsi="Arial" w:cs="Arial"/>
                <w:sz w:val="18"/>
                <w:szCs w:val="18"/>
              </w:rPr>
            </w:pPr>
            <w:r w:rsidRPr="00DC25E9">
              <w:rPr>
                <w:rFonts w:ascii="Arial" w:hAnsi="Arial" w:cs="Arial"/>
                <w:sz w:val="18"/>
                <w:szCs w:val="18"/>
              </w:rPr>
              <w:t>49</w:t>
            </w:r>
          </w:p>
        </w:tc>
        <w:tc>
          <w:tcPr>
            <w:tcW w:w="126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526.8</w:t>
            </w:r>
          </w:p>
        </w:tc>
        <w:tc>
          <w:tcPr>
            <w:tcW w:w="1667"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STIPA/RT</w:t>
            </w:r>
          </w:p>
        </w:tc>
        <w:tc>
          <w:tcPr>
            <w:tcW w:w="2084"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Survey</w:t>
            </w:r>
          </w:p>
        </w:tc>
      </w:tr>
      <w:tr w:rsidR="00DC25E9" w:rsidTr="00B9194D">
        <w:trPr>
          <w:trHeight w:val="20"/>
          <w:jc w:val="center"/>
        </w:trPr>
        <w:tc>
          <w:tcPr>
            <w:tcW w:w="162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Ground Floor</w:t>
            </w:r>
          </w:p>
        </w:tc>
        <w:tc>
          <w:tcPr>
            <w:tcW w:w="1511"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STD/K0.18</w:t>
            </w:r>
          </w:p>
        </w:tc>
        <w:tc>
          <w:tcPr>
            <w:tcW w:w="1096" w:type="dxa"/>
          </w:tcPr>
          <w:p w:rsidR="00DC25E9" w:rsidRPr="00DC25E9" w:rsidRDefault="00DC25E9" w:rsidP="00B9194D">
            <w:pPr>
              <w:contextualSpacing/>
              <w:jc w:val="center"/>
              <w:rPr>
                <w:rFonts w:ascii="Arial" w:hAnsi="Arial" w:cs="Arial"/>
                <w:sz w:val="18"/>
                <w:szCs w:val="18"/>
              </w:rPr>
            </w:pPr>
            <w:r w:rsidRPr="00DC25E9">
              <w:rPr>
                <w:rFonts w:ascii="Arial" w:hAnsi="Arial" w:cs="Arial"/>
                <w:sz w:val="18"/>
                <w:szCs w:val="18"/>
              </w:rPr>
              <w:t>43</w:t>
            </w:r>
          </w:p>
        </w:tc>
        <w:tc>
          <w:tcPr>
            <w:tcW w:w="126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537.0</w:t>
            </w:r>
          </w:p>
        </w:tc>
        <w:tc>
          <w:tcPr>
            <w:tcW w:w="1667"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STIPA/RT/PB</w:t>
            </w:r>
          </w:p>
        </w:tc>
        <w:tc>
          <w:tcPr>
            <w:tcW w:w="2084"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Survey/Exam</w:t>
            </w:r>
          </w:p>
        </w:tc>
      </w:tr>
      <w:tr w:rsidR="00DC25E9" w:rsidTr="00B9194D">
        <w:trPr>
          <w:trHeight w:val="20"/>
          <w:jc w:val="center"/>
        </w:trPr>
        <w:tc>
          <w:tcPr>
            <w:tcW w:w="162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Ground Floor</w:t>
            </w:r>
          </w:p>
        </w:tc>
        <w:tc>
          <w:tcPr>
            <w:tcW w:w="1511"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STD/K0.20</w:t>
            </w:r>
          </w:p>
        </w:tc>
        <w:tc>
          <w:tcPr>
            <w:tcW w:w="1096" w:type="dxa"/>
          </w:tcPr>
          <w:p w:rsidR="00DC25E9" w:rsidRPr="00DC25E9" w:rsidRDefault="00DC25E9" w:rsidP="00B9194D">
            <w:pPr>
              <w:contextualSpacing/>
              <w:jc w:val="center"/>
              <w:rPr>
                <w:rFonts w:ascii="Arial" w:hAnsi="Arial" w:cs="Arial"/>
                <w:sz w:val="18"/>
                <w:szCs w:val="18"/>
              </w:rPr>
            </w:pPr>
            <w:r w:rsidRPr="00DC25E9">
              <w:rPr>
                <w:rFonts w:ascii="Arial" w:hAnsi="Arial" w:cs="Arial"/>
                <w:sz w:val="18"/>
                <w:szCs w:val="18"/>
              </w:rPr>
              <w:t>48</w:t>
            </w:r>
          </w:p>
        </w:tc>
        <w:tc>
          <w:tcPr>
            <w:tcW w:w="126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575.7</w:t>
            </w:r>
          </w:p>
        </w:tc>
        <w:tc>
          <w:tcPr>
            <w:tcW w:w="1667"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STIPA/RT</w:t>
            </w:r>
            <w:r w:rsidRPr="00DC25E9">
              <w:rPr>
                <w:rStyle w:val="FootnoteReference"/>
                <w:rFonts w:ascii="Arial" w:hAnsi="Arial" w:cs="Arial"/>
                <w:sz w:val="18"/>
                <w:szCs w:val="18"/>
              </w:rPr>
              <w:footnoteReference w:id="2"/>
            </w:r>
            <w:r w:rsidRPr="00DC25E9">
              <w:rPr>
                <w:rFonts w:ascii="Arial" w:hAnsi="Arial" w:cs="Arial"/>
                <w:sz w:val="18"/>
                <w:szCs w:val="18"/>
              </w:rPr>
              <w:t>/PB</w:t>
            </w:r>
          </w:p>
        </w:tc>
        <w:tc>
          <w:tcPr>
            <w:tcW w:w="2084"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Survey/Exam</w:t>
            </w:r>
          </w:p>
        </w:tc>
      </w:tr>
      <w:tr w:rsidR="00DC25E9" w:rsidTr="00B9194D">
        <w:trPr>
          <w:trHeight w:val="20"/>
          <w:jc w:val="center"/>
        </w:trPr>
        <w:tc>
          <w:tcPr>
            <w:tcW w:w="162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4th</w:t>
            </w:r>
          </w:p>
        </w:tc>
        <w:tc>
          <w:tcPr>
            <w:tcW w:w="1511"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STD/K4U.12</w:t>
            </w:r>
          </w:p>
        </w:tc>
        <w:tc>
          <w:tcPr>
            <w:tcW w:w="1096" w:type="dxa"/>
          </w:tcPr>
          <w:p w:rsidR="00DC25E9" w:rsidRPr="00DC25E9" w:rsidRDefault="00DC25E9" w:rsidP="00B9194D">
            <w:pPr>
              <w:contextualSpacing/>
              <w:jc w:val="center"/>
              <w:rPr>
                <w:rFonts w:ascii="Arial" w:hAnsi="Arial" w:cs="Arial"/>
                <w:sz w:val="18"/>
                <w:szCs w:val="18"/>
              </w:rPr>
            </w:pPr>
            <w:r w:rsidRPr="00DC25E9">
              <w:rPr>
                <w:rFonts w:ascii="Arial" w:hAnsi="Arial" w:cs="Arial"/>
                <w:sz w:val="18"/>
                <w:szCs w:val="18"/>
              </w:rPr>
              <w:t>150</w:t>
            </w:r>
          </w:p>
        </w:tc>
        <w:tc>
          <w:tcPr>
            <w:tcW w:w="1260"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774.2</w:t>
            </w:r>
          </w:p>
        </w:tc>
        <w:tc>
          <w:tcPr>
            <w:tcW w:w="1667" w:type="dxa"/>
          </w:tcPr>
          <w:p w:rsidR="00DC25E9" w:rsidRPr="00DC25E9" w:rsidRDefault="00DC25E9" w:rsidP="00B9194D">
            <w:pPr>
              <w:contextualSpacing/>
              <w:rPr>
                <w:rFonts w:ascii="Arial" w:hAnsi="Arial" w:cs="Arial"/>
                <w:sz w:val="18"/>
                <w:szCs w:val="18"/>
              </w:rPr>
            </w:pPr>
            <w:r w:rsidRPr="00DC25E9">
              <w:rPr>
                <w:rFonts w:ascii="Arial" w:hAnsi="Arial" w:cs="Arial"/>
                <w:sz w:val="18"/>
                <w:szCs w:val="18"/>
              </w:rPr>
              <w:t>STIPA/RT</w:t>
            </w:r>
            <w:r w:rsidRPr="00DC25E9">
              <w:rPr>
                <w:rStyle w:val="FootnoteReference"/>
                <w:rFonts w:ascii="Arial" w:hAnsi="Arial" w:cs="Arial"/>
                <w:sz w:val="18"/>
                <w:szCs w:val="18"/>
              </w:rPr>
              <w:footnoteReference w:id="3"/>
            </w:r>
            <w:r w:rsidRPr="00DC25E9">
              <w:rPr>
                <w:rFonts w:ascii="Arial" w:hAnsi="Arial" w:cs="Arial"/>
                <w:sz w:val="18"/>
                <w:szCs w:val="18"/>
              </w:rPr>
              <w:t>/PB</w:t>
            </w:r>
          </w:p>
        </w:tc>
        <w:tc>
          <w:tcPr>
            <w:tcW w:w="2084" w:type="dxa"/>
          </w:tcPr>
          <w:p w:rsidR="00DC25E9" w:rsidRPr="00DC25E9" w:rsidRDefault="00DC25E9" w:rsidP="00422AA7">
            <w:pPr>
              <w:keepNext/>
              <w:contextualSpacing/>
              <w:rPr>
                <w:rFonts w:ascii="Arial" w:hAnsi="Arial" w:cs="Arial"/>
                <w:sz w:val="18"/>
                <w:szCs w:val="18"/>
              </w:rPr>
            </w:pPr>
            <w:r w:rsidRPr="00DC25E9">
              <w:rPr>
                <w:rFonts w:ascii="Arial" w:hAnsi="Arial" w:cs="Arial"/>
                <w:sz w:val="18"/>
                <w:szCs w:val="18"/>
              </w:rPr>
              <w:t>Survey/Exam</w:t>
            </w:r>
          </w:p>
        </w:tc>
      </w:tr>
    </w:tbl>
    <w:p w:rsidR="0068751C" w:rsidRDefault="00147EFF" w:rsidP="00147EFF">
      <w:r>
        <w:tab/>
      </w:r>
    </w:p>
    <w:p w:rsidR="00147EFF" w:rsidRDefault="00147EFF" w:rsidP="00147EFF">
      <w:r>
        <w:t>From experience and first-hand conversations with several lecturers, three main forms of teac</w:t>
      </w:r>
      <w:r>
        <w:t>h</w:t>
      </w:r>
      <w:r>
        <w:t>ing have been identified:</w:t>
      </w:r>
    </w:p>
    <w:p w:rsidR="00147EFF" w:rsidRDefault="00147EFF" w:rsidP="00147EFF">
      <w:r>
        <w:t xml:space="preserve">1. </w:t>
      </w:r>
      <w:r w:rsidRPr="00742ECD">
        <w:rPr>
          <w:b/>
        </w:rPr>
        <w:t>Classic lecture</w:t>
      </w:r>
      <w:r>
        <w:t>: the teacher speaks without any electroacoustic amplification or support (e.g. microphones, amplifiers, speakers, etc.) from the front of the room.</w:t>
      </w:r>
    </w:p>
    <w:p w:rsidR="00147EFF" w:rsidRDefault="00147EFF" w:rsidP="00147EFF">
      <w:r>
        <w:t xml:space="preserve">2. </w:t>
      </w:r>
      <w:r w:rsidRPr="00742ECD">
        <w:rPr>
          <w:b/>
        </w:rPr>
        <w:t>Classic assisted lecture</w:t>
      </w:r>
      <w:r>
        <w:t>: the teacher speaks using electroacoustic aids normally, from a fixed position, usually a lectern.</w:t>
      </w:r>
    </w:p>
    <w:p w:rsidR="00DC25E9" w:rsidRDefault="00147EFF" w:rsidP="00EC3679">
      <w:r>
        <w:t xml:space="preserve">3. </w:t>
      </w:r>
      <w:r w:rsidRPr="00742ECD">
        <w:rPr>
          <w:b/>
        </w:rPr>
        <w:t>Play back</w:t>
      </w:r>
      <w:r>
        <w:t xml:space="preserve">: this is a method in which the student listens to some pre-recorded material through the </w:t>
      </w:r>
      <w:r w:rsidR="00474260">
        <w:t>installed PA system.</w:t>
      </w:r>
    </w:p>
    <w:p w:rsidR="00DC25E9" w:rsidRDefault="00DC25E9" w:rsidP="00DC25E9">
      <w:r>
        <w:t xml:space="preserve">As the present study focuses on listed buildings and given that noise control will, in most cases, require modification to the fabric of the building (changing windows, or adding mass to walls or replacing doors, etc.), this type of work is </w:t>
      </w:r>
      <w:r w:rsidR="00CE3F6A">
        <w:t>less</w:t>
      </w:r>
      <w:r>
        <w:t xml:space="preserve"> likely to be approved by Historic England and ther</w:t>
      </w:r>
      <w:r>
        <w:t>e</w:t>
      </w:r>
      <w:r>
        <w:t xml:space="preserve">fore it will be excluded from the scope of this study. </w:t>
      </w:r>
    </w:p>
    <w:p w:rsidR="00DC25E9" w:rsidRDefault="00DC25E9" w:rsidP="00EC3679">
      <w:r>
        <w:t xml:space="preserve">Currently there is no regulation or British Standard for the acoustic design of teaching rooms in higher education institutions in </w:t>
      </w:r>
      <w:r w:rsidR="00CE3F6A">
        <w:t>England</w:t>
      </w:r>
      <w:r>
        <w:t>; however, BB93 can be used as an initial recommendation</w:t>
      </w:r>
      <w:sdt>
        <w:sdtPr>
          <w:id w:val="1217935233"/>
          <w:citation/>
        </w:sdtPr>
        <w:sdtContent>
          <w:r w:rsidR="00D76498">
            <w:fldChar w:fldCharType="begin"/>
          </w:r>
          <w:r>
            <w:instrText xml:space="preserve"> CITATION DfE93 \l 2057 </w:instrText>
          </w:r>
          <w:r w:rsidR="00D76498">
            <w:fldChar w:fldCharType="separate"/>
          </w:r>
          <w:r w:rsidR="00846A19">
            <w:rPr>
              <w:noProof/>
            </w:rPr>
            <w:t xml:space="preserve"> (5)</w:t>
          </w:r>
          <w:r w:rsidR="00D76498">
            <w:fldChar w:fldCharType="end"/>
          </w:r>
        </w:sdtContent>
      </w:sdt>
      <w:r w:rsidR="007700A4">
        <w:t xml:space="preserve">; therefore, this is to be used as the benchmark to measure the acoustic of the heritage rooms in the report. i.e. </w:t>
      </w:r>
      <w:r w:rsidR="00331A13">
        <w:t>To ensure repeatability accepted and approve British Standards are used for mea</w:t>
      </w:r>
      <w:r w:rsidR="00331A13">
        <w:t>s</w:t>
      </w:r>
      <w:r w:rsidR="00331A13">
        <w:t>urement of values for reverberation and STI</w:t>
      </w:r>
      <w:r w:rsidR="006F0B41">
        <w:t xml:space="preserve">. </w:t>
      </w:r>
    </w:p>
    <w:p w:rsidR="00422AA7" w:rsidRPr="00422AA7" w:rsidRDefault="00422AA7" w:rsidP="00422AA7">
      <w:pPr>
        <w:pStyle w:val="Caption"/>
        <w:keepNext/>
        <w:rPr>
          <w:b w:val="0"/>
        </w:rPr>
      </w:pPr>
      <w:r w:rsidRPr="00422AA7">
        <w:rPr>
          <w:b w:val="0"/>
        </w:rPr>
        <w:t xml:space="preserve">Table </w:t>
      </w:r>
      <w:r w:rsidR="00D76498">
        <w:rPr>
          <w:b w:val="0"/>
        </w:rPr>
        <w:fldChar w:fldCharType="begin"/>
      </w:r>
      <w:r w:rsidR="00300C65">
        <w:rPr>
          <w:b w:val="0"/>
        </w:rPr>
        <w:instrText xml:space="preserve"> SEQ Table \* ARABIC </w:instrText>
      </w:r>
      <w:r w:rsidR="00D76498">
        <w:rPr>
          <w:b w:val="0"/>
        </w:rPr>
        <w:fldChar w:fldCharType="separate"/>
      </w:r>
      <w:r w:rsidR="00A81CE0">
        <w:rPr>
          <w:b w:val="0"/>
          <w:noProof/>
        </w:rPr>
        <w:t>2</w:t>
      </w:r>
      <w:r w:rsidR="00D76498">
        <w:rPr>
          <w:b w:val="0"/>
        </w:rPr>
        <w:fldChar w:fldCharType="end"/>
      </w:r>
      <w:r w:rsidRPr="00422AA7">
        <w:rPr>
          <w:b w:val="0"/>
        </w:rPr>
        <w:t xml:space="preserve">: </w:t>
      </w:r>
      <w:r>
        <w:rPr>
          <w:b w:val="0"/>
          <w:noProof/>
        </w:rPr>
        <w:t>Standard used for</w:t>
      </w:r>
      <w:r w:rsidRPr="00422AA7">
        <w:rPr>
          <w:b w:val="0"/>
          <w:noProof/>
        </w:rPr>
        <w:t xml:space="preserve"> Measurement</w:t>
      </w:r>
    </w:p>
    <w:tbl>
      <w:tblPr>
        <w:tblStyle w:val="APAReport"/>
        <w:tblW w:w="0" w:type="auto"/>
        <w:jc w:val="center"/>
        <w:tblInd w:w="-1796" w:type="dxa"/>
        <w:tblLook w:val="04A0"/>
      </w:tblPr>
      <w:tblGrid>
        <w:gridCol w:w="2416"/>
        <w:gridCol w:w="207"/>
        <w:gridCol w:w="2345"/>
        <w:gridCol w:w="57"/>
        <w:gridCol w:w="1708"/>
        <w:gridCol w:w="1546"/>
        <w:gridCol w:w="236"/>
      </w:tblGrid>
      <w:tr w:rsidR="00331A13" w:rsidTr="00F8430B">
        <w:trPr>
          <w:cnfStyle w:val="100000000000"/>
          <w:jc w:val="center"/>
        </w:trPr>
        <w:tc>
          <w:tcPr>
            <w:tcW w:w="2416" w:type="dxa"/>
          </w:tcPr>
          <w:p w:rsidR="00331A13" w:rsidRPr="005111C4" w:rsidRDefault="00331A13" w:rsidP="00331A13">
            <w:pPr>
              <w:rPr>
                <w:rFonts w:ascii="Arial" w:hAnsi="Arial" w:cs="Arial"/>
                <w:b/>
                <w:sz w:val="18"/>
                <w:szCs w:val="18"/>
              </w:rPr>
            </w:pPr>
            <w:r w:rsidRPr="005111C4">
              <w:rPr>
                <w:rFonts w:ascii="Arial" w:hAnsi="Arial" w:cs="Arial"/>
                <w:b/>
                <w:sz w:val="18"/>
                <w:szCs w:val="18"/>
              </w:rPr>
              <w:t>Method/Measurement</w:t>
            </w:r>
          </w:p>
        </w:tc>
        <w:tc>
          <w:tcPr>
            <w:tcW w:w="2552" w:type="dxa"/>
            <w:gridSpan w:val="2"/>
          </w:tcPr>
          <w:p w:rsidR="00331A13" w:rsidRPr="005111C4" w:rsidRDefault="00331A13" w:rsidP="00331A13">
            <w:pPr>
              <w:rPr>
                <w:rFonts w:ascii="Arial" w:hAnsi="Arial" w:cs="Arial"/>
                <w:b/>
                <w:sz w:val="18"/>
                <w:szCs w:val="18"/>
              </w:rPr>
            </w:pPr>
            <w:r w:rsidRPr="005111C4">
              <w:rPr>
                <w:rFonts w:ascii="Arial" w:hAnsi="Arial" w:cs="Arial"/>
                <w:b/>
                <w:sz w:val="18"/>
                <w:szCs w:val="18"/>
              </w:rPr>
              <w:t>Standard used</w:t>
            </w:r>
          </w:p>
        </w:tc>
        <w:tc>
          <w:tcPr>
            <w:tcW w:w="1765" w:type="dxa"/>
            <w:gridSpan w:val="2"/>
          </w:tcPr>
          <w:p w:rsidR="00331A13" w:rsidRPr="005111C4" w:rsidRDefault="00331A13" w:rsidP="00F8430B">
            <w:pPr>
              <w:rPr>
                <w:rFonts w:ascii="Arial" w:hAnsi="Arial" w:cs="Arial"/>
                <w:b/>
                <w:sz w:val="18"/>
                <w:szCs w:val="18"/>
              </w:rPr>
            </w:pPr>
            <w:r w:rsidRPr="005111C4">
              <w:rPr>
                <w:rFonts w:ascii="Arial" w:hAnsi="Arial" w:cs="Arial"/>
                <w:b/>
                <w:sz w:val="18"/>
                <w:szCs w:val="18"/>
              </w:rPr>
              <w:t xml:space="preserve">Benchmark </w:t>
            </w:r>
          </w:p>
        </w:tc>
        <w:tc>
          <w:tcPr>
            <w:tcW w:w="1546" w:type="dxa"/>
          </w:tcPr>
          <w:p w:rsidR="00331A13" w:rsidRPr="005111C4" w:rsidRDefault="005111C4" w:rsidP="00331A13">
            <w:pPr>
              <w:rPr>
                <w:rFonts w:ascii="Arial" w:hAnsi="Arial" w:cs="Arial"/>
                <w:b/>
                <w:sz w:val="18"/>
                <w:szCs w:val="18"/>
              </w:rPr>
            </w:pPr>
            <w:r>
              <w:rPr>
                <w:rFonts w:ascii="Arial" w:hAnsi="Arial" w:cs="Arial"/>
                <w:b/>
                <w:sz w:val="18"/>
                <w:szCs w:val="18"/>
              </w:rPr>
              <w:t>Descriptor</w:t>
            </w:r>
          </w:p>
        </w:tc>
        <w:tc>
          <w:tcPr>
            <w:tcW w:w="236" w:type="dxa"/>
          </w:tcPr>
          <w:p w:rsidR="00331A13" w:rsidRPr="005111C4" w:rsidRDefault="00331A13" w:rsidP="00331A13">
            <w:pPr>
              <w:rPr>
                <w:rFonts w:ascii="Arial" w:hAnsi="Arial" w:cs="Arial"/>
                <w:b/>
                <w:sz w:val="18"/>
                <w:szCs w:val="18"/>
              </w:rPr>
            </w:pPr>
          </w:p>
        </w:tc>
      </w:tr>
      <w:tr w:rsidR="005111C4" w:rsidTr="00F8430B">
        <w:trPr>
          <w:jc w:val="center"/>
        </w:trPr>
        <w:tc>
          <w:tcPr>
            <w:tcW w:w="2623" w:type="dxa"/>
            <w:gridSpan w:val="2"/>
          </w:tcPr>
          <w:p w:rsidR="005111C4" w:rsidRPr="005111C4" w:rsidRDefault="005111C4" w:rsidP="005111C4">
            <w:pPr>
              <w:rPr>
                <w:rFonts w:ascii="Arial" w:hAnsi="Arial" w:cs="Arial"/>
                <w:sz w:val="18"/>
                <w:szCs w:val="18"/>
              </w:rPr>
            </w:pPr>
            <w:r w:rsidRPr="005111C4">
              <w:rPr>
                <w:rFonts w:ascii="Arial" w:hAnsi="Arial" w:cs="Arial"/>
                <w:sz w:val="18"/>
                <w:szCs w:val="18"/>
              </w:rPr>
              <w:t>STIPA</w:t>
            </w:r>
          </w:p>
        </w:tc>
        <w:tc>
          <w:tcPr>
            <w:tcW w:w="2402" w:type="dxa"/>
            <w:gridSpan w:val="2"/>
          </w:tcPr>
          <w:p w:rsidR="005111C4" w:rsidRPr="005111C4" w:rsidRDefault="005111C4" w:rsidP="005111C4">
            <w:pPr>
              <w:rPr>
                <w:rFonts w:ascii="Arial" w:hAnsi="Arial" w:cs="Arial"/>
                <w:sz w:val="18"/>
                <w:szCs w:val="18"/>
              </w:rPr>
            </w:pPr>
            <w:r w:rsidRPr="005111C4">
              <w:rPr>
                <w:rFonts w:ascii="Arial" w:hAnsi="Arial" w:cs="Arial"/>
                <w:sz w:val="18"/>
                <w:szCs w:val="18"/>
              </w:rPr>
              <w:t>BS EN 60268-16:2011</w:t>
            </w:r>
          </w:p>
        </w:tc>
        <w:tc>
          <w:tcPr>
            <w:tcW w:w="1708" w:type="dxa"/>
          </w:tcPr>
          <w:p w:rsidR="005111C4" w:rsidRPr="005111C4" w:rsidRDefault="00F8430B" w:rsidP="005111C4">
            <w:pPr>
              <w:rPr>
                <w:rFonts w:ascii="Arial" w:hAnsi="Arial" w:cs="Arial"/>
                <w:sz w:val="18"/>
                <w:szCs w:val="18"/>
              </w:rPr>
            </w:pPr>
            <w:r>
              <w:rPr>
                <w:rFonts w:ascii="Arial" w:hAnsi="Arial" w:cs="Arial"/>
                <w:sz w:val="18"/>
                <w:szCs w:val="18"/>
              </w:rPr>
              <w:t>0.8-1 s</w:t>
            </w:r>
          </w:p>
        </w:tc>
        <w:tc>
          <w:tcPr>
            <w:tcW w:w="1546" w:type="dxa"/>
          </w:tcPr>
          <w:p w:rsidR="005111C4" w:rsidRPr="005111C4" w:rsidRDefault="005111C4" w:rsidP="005111C4">
            <w:pPr>
              <w:rPr>
                <w:rFonts w:ascii="Arial" w:hAnsi="Arial" w:cs="Arial"/>
                <w:sz w:val="18"/>
                <w:szCs w:val="18"/>
              </w:rPr>
            </w:pPr>
            <w:proofErr w:type="spellStart"/>
            <w:r w:rsidRPr="005111C4">
              <w:rPr>
                <w:rFonts w:ascii="Arial" w:hAnsi="Arial" w:cs="Arial"/>
                <w:sz w:val="18"/>
                <w:szCs w:val="18"/>
              </w:rPr>
              <w:t>T</w:t>
            </w:r>
            <w:r w:rsidRPr="005111C4">
              <w:rPr>
                <w:rFonts w:ascii="Arial" w:hAnsi="Arial" w:cs="Arial"/>
                <w:sz w:val="18"/>
                <w:szCs w:val="18"/>
                <w:vertAlign w:val="subscript"/>
              </w:rPr>
              <w:t>mf</w:t>
            </w:r>
            <w:proofErr w:type="spellEnd"/>
          </w:p>
        </w:tc>
        <w:tc>
          <w:tcPr>
            <w:tcW w:w="236" w:type="dxa"/>
          </w:tcPr>
          <w:p w:rsidR="005111C4" w:rsidRDefault="005111C4" w:rsidP="005111C4">
            <w:pPr>
              <w:rPr>
                <w:sz w:val="16"/>
                <w:szCs w:val="16"/>
              </w:rPr>
            </w:pPr>
          </w:p>
        </w:tc>
      </w:tr>
      <w:tr w:rsidR="005111C4" w:rsidTr="00F8430B">
        <w:trPr>
          <w:jc w:val="center"/>
        </w:trPr>
        <w:tc>
          <w:tcPr>
            <w:tcW w:w="2623" w:type="dxa"/>
            <w:gridSpan w:val="2"/>
          </w:tcPr>
          <w:p w:rsidR="005111C4" w:rsidRPr="005111C4" w:rsidRDefault="005111C4" w:rsidP="005111C4">
            <w:pPr>
              <w:rPr>
                <w:rFonts w:ascii="Arial" w:hAnsi="Arial" w:cs="Arial"/>
                <w:sz w:val="18"/>
                <w:szCs w:val="18"/>
              </w:rPr>
            </w:pPr>
            <w:r w:rsidRPr="005111C4">
              <w:rPr>
                <w:rFonts w:ascii="Arial" w:hAnsi="Arial" w:cs="Arial"/>
                <w:sz w:val="18"/>
                <w:szCs w:val="18"/>
              </w:rPr>
              <w:t>RT (Using Sweep)</w:t>
            </w:r>
          </w:p>
        </w:tc>
        <w:tc>
          <w:tcPr>
            <w:tcW w:w="2402" w:type="dxa"/>
            <w:gridSpan w:val="2"/>
          </w:tcPr>
          <w:p w:rsidR="005111C4" w:rsidRPr="005111C4" w:rsidRDefault="005111C4" w:rsidP="005111C4">
            <w:pPr>
              <w:rPr>
                <w:rFonts w:ascii="Arial" w:hAnsi="Arial" w:cs="Arial"/>
                <w:sz w:val="18"/>
                <w:szCs w:val="18"/>
              </w:rPr>
            </w:pPr>
            <w:r w:rsidRPr="005111C4">
              <w:rPr>
                <w:rFonts w:ascii="Arial" w:hAnsi="Arial" w:cs="Arial"/>
                <w:sz w:val="18"/>
                <w:szCs w:val="18"/>
              </w:rPr>
              <w:t>BS EN 18233:2006</w:t>
            </w:r>
          </w:p>
        </w:tc>
        <w:tc>
          <w:tcPr>
            <w:tcW w:w="1708" w:type="dxa"/>
          </w:tcPr>
          <w:p w:rsidR="005111C4" w:rsidRPr="005111C4" w:rsidRDefault="005111C4" w:rsidP="005111C4">
            <w:pPr>
              <w:rPr>
                <w:rFonts w:ascii="Arial" w:hAnsi="Arial" w:cs="Arial"/>
                <w:sz w:val="18"/>
                <w:szCs w:val="18"/>
              </w:rPr>
            </w:pPr>
            <w:r w:rsidRPr="005111C4">
              <w:rPr>
                <w:rFonts w:ascii="Arial" w:hAnsi="Arial" w:cs="Arial"/>
                <w:sz w:val="18"/>
                <w:szCs w:val="18"/>
              </w:rPr>
              <w:t>0.6</w:t>
            </w:r>
          </w:p>
        </w:tc>
        <w:tc>
          <w:tcPr>
            <w:tcW w:w="1546" w:type="dxa"/>
          </w:tcPr>
          <w:p w:rsidR="005111C4" w:rsidRPr="005111C4" w:rsidRDefault="005111C4" w:rsidP="005111C4">
            <w:pPr>
              <w:rPr>
                <w:rFonts w:ascii="Arial" w:hAnsi="Arial" w:cs="Arial"/>
                <w:sz w:val="18"/>
                <w:szCs w:val="18"/>
              </w:rPr>
            </w:pPr>
            <w:r w:rsidRPr="005111C4">
              <w:rPr>
                <w:rFonts w:ascii="Arial" w:hAnsi="Arial" w:cs="Arial"/>
                <w:sz w:val="18"/>
                <w:szCs w:val="18"/>
              </w:rPr>
              <w:t>STI</w:t>
            </w:r>
          </w:p>
        </w:tc>
        <w:tc>
          <w:tcPr>
            <w:tcW w:w="236" w:type="dxa"/>
          </w:tcPr>
          <w:p w:rsidR="005111C4" w:rsidRDefault="005111C4" w:rsidP="00422AA7">
            <w:pPr>
              <w:keepNext/>
              <w:rPr>
                <w:sz w:val="16"/>
                <w:szCs w:val="16"/>
              </w:rPr>
            </w:pPr>
          </w:p>
        </w:tc>
      </w:tr>
    </w:tbl>
    <w:p w:rsidR="00422AA7" w:rsidRDefault="00422AA7" w:rsidP="005111C4"/>
    <w:p w:rsidR="00331A13" w:rsidRDefault="005111C4" w:rsidP="005111C4">
      <w:r>
        <w:t xml:space="preserve">Additionally, it is expected that as described by </w:t>
      </w:r>
      <w:r w:rsidRPr="007F4245">
        <w:t xml:space="preserve">Yang, </w:t>
      </w:r>
      <w:proofErr w:type="spellStart"/>
      <w:r w:rsidRPr="007F4245">
        <w:t>Becerik</w:t>
      </w:r>
      <w:proofErr w:type="spellEnd"/>
      <w:r w:rsidRPr="007F4245">
        <w:t xml:space="preserve">-Gerber and </w:t>
      </w:r>
      <w:proofErr w:type="spellStart"/>
      <w:r w:rsidRPr="007F4245">
        <w:t>Mino</w:t>
      </w:r>
      <w:r>
        <w:t>,poor</w:t>
      </w:r>
      <w:proofErr w:type="spellEnd"/>
      <w:r>
        <w:t xml:space="preserve"> </w:t>
      </w:r>
      <w:r w:rsidR="006F0B41">
        <w:t>acoustics to</w:t>
      </w:r>
      <w:r w:rsidR="00422AA7">
        <w:t xml:space="preserve"> be </w:t>
      </w:r>
      <w:r>
        <w:t xml:space="preserve">one of the main contributors to student dissatisfaction </w:t>
      </w:r>
      <w:sdt>
        <w:sdtPr>
          <w:id w:val="-224452685"/>
          <w:citation/>
        </w:sdtPr>
        <w:sdtContent>
          <w:r w:rsidR="00D76498">
            <w:fldChar w:fldCharType="begin"/>
          </w:r>
          <w:r>
            <w:instrText xml:space="preserve"> CITATION Zhe13 \l 2057 </w:instrText>
          </w:r>
          <w:r w:rsidR="00D76498">
            <w:fldChar w:fldCharType="separate"/>
          </w:r>
          <w:r w:rsidR="00846A19">
            <w:rPr>
              <w:noProof/>
            </w:rPr>
            <w:t>(6)</w:t>
          </w:r>
          <w:r w:rsidR="00D76498">
            <w:fldChar w:fldCharType="end"/>
          </w:r>
        </w:sdtContent>
      </w:sdt>
      <w:r>
        <w:t>. Their study, however, only exa</w:t>
      </w:r>
      <w:r>
        <w:t>m</w:t>
      </w:r>
      <w:r>
        <w:t>ines the general influence of the acoustic environment and not the individual elements. It is ther</w:t>
      </w:r>
      <w:r>
        <w:t>e</w:t>
      </w:r>
      <w:r>
        <w:t>fore the intention of this research to investigate the possible impact of some of the individual fa</w:t>
      </w:r>
      <w:r>
        <w:t>c</w:t>
      </w:r>
      <w:r>
        <w:t>tors, i.e. reverberation time, STI.</w:t>
      </w:r>
    </w:p>
    <w:p w:rsidR="005111C4" w:rsidRDefault="00F8430B" w:rsidP="005111C4">
      <w:r>
        <w:lastRenderedPageBreak/>
        <w:t xml:space="preserve">To this </w:t>
      </w:r>
      <w:r w:rsidR="005111C4">
        <w:t xml:space="preserve">purpose the results from a survey, a phonetically balanced test and a language test results </w:t>
      </w:r>
      <w:proofErr w:type="gramStart"/>
      <w:r w:rsidR="005111C4">
        <w:t>are compared</w:t>
      </w:r>
      <w:proofErr w:type="gramEnd"/>
      <w:r w:rsidR="005111C4">
        <w:t xml:space="preserve"> with </w:t>
      </w:r>
      <w:r w:rsidR="00422AA7">
        <w:t xml:space="preserve">those of individual rooms </w:t>
      </w:r>
      <w:r>
        <w:t xml:space="preserve">given </w:t>
      </w:r>
      <w:r w:rsidR="00422AA7">
        <w:t xml:space="preserve">in </w:t>
      </w:r>
      <w:fldSimple w:instr=" REF _Ref472265521 \h  \* MERGEFORMAT ">
        <w:r w:rsidR="00422AA7" w:rsidRPr="00422AA7">
          <w:t>Table 1</w:t>
        </w:r>
      </w:fldSimple>
    </w:p>
    <w:p w:rsidR="00147302" w:rsidRDefault="006F0B41">
      <w:pPr>
        <w:pStyle w:val="Heading1"/>
      </w:pPr>
      <w:r>
        <w:t xml:space="preserve">Room Measurement </w:t>
      </w:r>
    </w:p>
    <w:p w:rsidR="00185E0A" w:rsidRDefault="006F0B41">
      <w:r>
        <w:t xml:space="preserve">At least 12 source-microphone combinations </w:t>
      </w:r>
      <w:r w:rsidR="0002737A">
        <w:t>with</w:t>
      </w:r>
      <w:r>
        <w:t xml:space="preserve"> a minimum of </w:t>
      </w:r>
      <w:proofErr w:type="gramStart"/>
      <w:r>
        <w:t>6</w:t>
      </w:r>
      <w:proofErr w:type="gramEnd"/>
      <w:r>
        <w:t xml:space="preserve"> different receiver locations and 2 sources position</w:t>
      </w:r>
      <w:r w:rsidR="0002737A">
        <w:t>s</w:t>
      </w:r>
      <w:r>
        <w:t xml:space="preserve"> used </w:t>
      </w:r>
      <w:r w:rsidR="00B90566">
        <w:t>to</w:t>
      </w:r>
      <w:r>
        <w:t xml:space="preserve"> measur</w:t>
      </w:r>
      <w:r w:rsidR="00B90566">
        <w:t>e</w:t>
      </w:r>
      <w:r>
        <w:t xml:space="preserve"> reverberation</w:t>
      </w:r>
      <w:r w:rsidR="0002737A">
        <w:t xml:space="preserve"> time. </w:t>
      </w:r>
      <w:r>
        <w:t xml:space="preserve"> STI </w:t>
      </w:r>
      <w:r w:rsidR="0002737A">
        <w:t xml:space="preserve">was measured using </w:t>
      </w:r>
      <w:r>
        <w:t xml:space="preserve">a mouth </w:t>
      </w:r>
      <w:proofErr w:type="gramStart"/>
      <w:r>
        <w:t>simulator</w:t>
      </w:r>
      <w:r w:rsidR="00185E0A">
        <w:t>,</w:t>
      </w:r>
      <w:proofErr w:type="gramEnd"/>
      <w:r w:rsidR="00185E0A">
        <w:t xml:space="preserve"> this was to comply with recommendations from current standards</w:t>
      </w:r>
      <w:r>
        <w:t xml:space="preserve">. </w:t>
      </w:r>
    </w:p>
    <w:p w:rsidR="006F0B41" w:rsidRDefault="006F0B41">
      <w:r>
        <w:t xml:space="preserve">Three different scenarios </w:t>
      </w:r>
      <w:r w:rsidR="00A80153">
        <w:t xml:space="preserve">were </w:t>
      </w:r>
      <w:r>
        <w:t xml:space="preserve">studied in each room </w:t>
      </w:r>
    </w:p>
    <w:p w:rsidR="006F0B41" w:rsidRDefault="006F0B41" w:rsidP="00A80153">
      <w:pPr>
        <w:pStyle w:val="ListParagraph"/>
        <w:numPr>
          <w:ilvl w:val="0"/>
          <w:numId w:val="17"/>
        </w:numPr>
      </w:pPr>
      <w:r w:rsidRPr="00A80153">
        <w:rPr>
          <w:b/>
        </w:rPr>
        <w:t>Natural acoustics</w:t>
      </w:r>
      <w:proofErr w:type="gramStart"/>
      <w:r w:rsidRPr="00A80153">
        <w:rPr>
          <w:b/>
        </w:rPr>
        <w:t>:</w:t>
      </w:r>
      <w:r w:rsidRPr="00AA1DC6">
        <w:t>a</w:t>
      </w:r>
      <w:proofErr w:type="gramEnd"/>
      <w:r w:rsidRPr="00AA1DC6">
        <w:t xml:space="preserve"> </w:t>
      </w:r>
      <w:r w:rsidR="00FF487C">
        <w:t xml:space="preserve">Yamaha </w:t>
      </w:r>
      <w:r w:rsidR="00FF487C" w:rsidRPr="0013409B">
        <w:rPr>
          <w:rFonts w:cstheme="minorHAnsi"/>
        </w:rPr>
        <w:t>MS101 II Studio Monitor Speaker</w:t>
      </w:r>
      <w:r w:rsidRPr="00AA1DC6">
        <w:t xml:space="preserve">was used to reproduce a STIPA signal </w:t>
      </w:r>
      <w:r w:rsidR="00FF487C">
        <w:t>from a CD player</w:t>
      </w:r>
      <w:r w:rsidRPr="00AA1DC6">
        <w:t>without any other audio aid</w:t>
      </w:r>
      <w:r w:rsidR="0002737A">
        <w:t xml:space="preserve">. </w:t>
      </w:r>
      <w:proofErr w:type="spellStart"/>
      <w:r w:rsidR="0002737A">
        <w:t>NorsonicNor</w:t>
      </w:r>
      <w:proofErr w:type="spellEnd"/>
      <w:r w:rsidR="0002737A">
        <w:t xml:space="preserve"> 140 used. </w:t>
      </w:r>
    </w:p>
    <w:p w:rsidR="006F0B41" w:rsidRDefault="006F0B41" w:rsidP="00A80153">
      <w:pPr>
        <w:pStyle w:val="ListParagraph"/>
        <w:numPr>
          <w:ilvl w:val="0"/>
          <w:numId w:val="17"/>
        </w:numPr>
      </w:pPr>
      <w:r w:rsidRPr="00A80153">
        <w:rPr>
          <w:b/>
        </w:rPr>
        <w:t>Program Audio or PA acoustics</w:t>
      </w:r>
      <w:proofErr w:type="gramStart"/>
      <w:r w:rsidRPr="00A80153">
        <w:rPr>
          <w:b/>
        </w:rPr>
        <w:t>:</w:t>
      </w:r>
      <w:r>
        <w:t>t</w:t>
      </w:r>
      <w:r w:rsidRPr="00AA1DC6">
        <w:t>he</w:t>
      </w:r>
      <w:proofErr w:type="gramEnd"/>
      <w:r w:rsidRPr="00AA1DC6">
        <w:t xml:space="preserve"> STIPA signal was fed to the sound system directly and used the main front program audio speaker system</w:t>
      </w:r>
      <w:r w:rsidR="0002737A">
        <w:t xml:space="preserve">. </w:t>
      </w:r>
      <w:proofErr w:type="spellStart"/>
      <w:r w:rsidR="0002737A">
        <w:t>Norsonic</w:t>
      </w:r>
      <w:proofErr w:type="spellEnd"/>
      <w:r w:rsidRPr="00AA1DC6">
        <w:t xml:space="preserve"> Nor140</w:t>
      </w:r>
      <w:r w:rsidR="0002737A">
        <w:t xml:space="preserve"> used.</w:t>
      </w:r>
    </w:p>
    <w:p w:rsidR="00A80153" w:rsidRDefault="0002737A" w:rsidP="00A80153">
      <w:pPr>
        <w:pStyle w:val="ListParagraph"/>
        <w:numPr>
          <w:ilvl w:val="1"/>
          <w:numId w:val="17"/>
        </w:numPr>
      </w:pPr>
      <w:proofErr w:type="gramStart"/>
      <w:r>
        <w:t>three</w:t>
      </w:r>
      <w:proofErr w:type="gramEnd"/>
      <w:r w:rsidR="00A80153" w:rsidRPr="00AA1DC6">
        <w:t xml:space="preserve"> of the rooms also </w:t>
      </w:r>
      <w:r w:rsidR="00A80153">
        <w:t xml:space="preserve">included a distributed sound system </w:t>
      </w:r>
      <w:r w:rsidR="00A80153" w:rsidRPr="00AA1DC6">
        <w:t xml:space="preserve">and in these cases STIPA was measured using a tie mic </w:t>
      </w:r>
      <w:r w:rsidR="00A80153">
        <w:t xml:space="preserve">(only for K0.20) </w:t>
      </w:r>
      <w:r w:rsidR="00A80153" w:rsidRPr="00AA1DC6">
        <w:t>and/or the lectern micr</w:t>
      </w:r>
      <w:r w:rsidR="00A80153" w:rsidRPr="00AA1DC6">
        <w:t>o</w:t>
      </w:r>
      <w:r w:rsidR="00A80153" w:rsidRPr="00AA1DC6">
        <w:t>phone</w:t>
      </w:r>
      <w:r w:rsidR="00A80153">
        <w:t xml:space="preserve"> (for all rooms)</w:t>
      </w:r>
      <w:r w:rsidR="00A80153" w:rsidRPr="00AA1DC6">
        <w:t xml:space="preserve"> us</w:t>
      </w:r>
      <w:r w:rsidR="00A80153">
        <w:t>ing</w:t>
      </w:r>
      <w:r w:rsidR="00A80153" w:rsidRPr="00AA1DC6">
        <w:t xml:space="preserve"> the distributed sound system</w:t>
      </w:r>
      <w:r w:rsidR="00A80153">
        <w:t>. This type of measur</w:t>
      </w:r>
      <w:r w:rsidR="00A80153">
        <w:t>e</w:t>
      </w:r>
      <w:r w:rsidR="00A80153">
        <w:t xml:space="preserve">ment is referred during the report as </w:t>
      </w:r>
      <w:r w:rsidR="00A80153" w:rsidRPr="00A80153">
        <w:rPr>
          <w:b/>
        </w:rPr>
        <w:t>100V System</w:t>
      </w:r>
      <w:r w:rsidR="00A80153" w:rsidRPr="00E162D5">
        <w:t>;</w:t>
      </w:r>
      <w:r w:rsidR="00A80153" w:rsidRPr="00AA1DC6">
        <w:t xml:space="preserve"> the intention was to see if the STI changed when different system configurations were used.</w:t>
      </w:r>
    </w:p>
    <w:p w:rsidR="0002737A" w:rsidRDefault="006F0B41" w:rsidP="00A80153">
      <w:pPr>
        <w:pStyle w:val="ListParagraph"/>
        <w:numPr>
          <w:ilvl w:val="0"/>
          <w:numId w:val="17"/>
        </w:numPr>
      </w:pPr>
      <w:r w:rsidRPr="00A80153">
        <w:rPr>
          <w:b/>
        </w:rPr>
        <w:t xml:space="preserve">Reverberation </w:t>
      </w:r>
      <w:proofErr w:type="spellStart"/>
      <w:r w:rsidRPr="00A80153">
        <w:rPr>
          <w:b/>
        </w:rPr>
        <w:t>Time:</w:t>
      </w:r>
      <w:r w:rsidR="0002737A">
        <w:t>WinMLS</w:t>
      </w:r>
      <w:proofErr w:type="spellEnd"/>
      <w:r w:rsidR="0002737A">
        <w:t xml:space="preserve"> using</w:t>
      </w:r>
      <w:r w:rsidR="00A80153">
        <w:t xml:space="preserve"> sweep technique </w:t>
      </w:r>
      <w:r w:rsidR="0002737A">
        <w:t>through a he</w:t>
      </w:r>
      <w:r>
        <w:t>mi-</w:t>
      </w:r>
      <w:proofErr w:type="spellStart"/>
      <w:r w:rsidRPr="00AA1DC6">
        <w:t>dodec</w:t>
      </w:r>
      <w:r w:rsidR="0002737A">
        <w:t>was</w:t>
      </w:r>
      <w:proofErr w:type="spellEnd"/>
      <w:r w:rsidR="0002737A">
        <w:t xml:space="preserve"> used</w:t>
      </w:r>
    </w:p>
    <w:p w:rsidR="006F0B41" w:rsidRDefault="006F0B41" w:rsidP="0002737A">
      <w:pPr>
        <w:pStyle w:val="ListParagraph"/>
        <w:ind w:left="1004" w:firstLine="0"/>
      </w:pPr>
      <w:r>
        <w:t>.</w:t>
      </w:r>
    </w:p>
    <w:p w:rsidR="00B515C0" w:rsidRDefault="0002737A" w:rsidP="00B515C0">
      <w:r>
        <w:t xml:space="preserve">As a </w:t>
      </w:r>
      <w:proofErr w:type="gramStart"/>
      <w:r>
        <w:t>comparison</w:t>
      </w:r>
      <w:proofErr w:type="gramEnd"/>
      <w:r w:rsidR="00982FE3">
        <w:t xml:space="preserve"> two </w:t>
      </w:r>
      <w:r>
        <w:t xml:space="preserve">solution </w:t>
      </w:r>
      <w:r w:rsidR="00982FE3">
        <w:t xml:space="preserve">scenarios were also tested. </w:t>
      </w:r>
      <w:r>
        <w:t xml:space="preserve">In </w:t>
      </w:r>
      <w:r w:rsidR="00982FE3">
        <w:t xml:space="preserve">K0.20 </w:t>
      </w:r>
      <w:r>
        <w:t>was tested</w:t>
      </w:r>
      <w:r w:rsidR="00982FE3">
        <w:t xml:space="preserve">before and after acoustic treatment </w:t>
      </w:r>
      <w:proofErr w:type="gramStart"/>
      <w:r w:rsidR="00982FE3">
        <w:t>was introduced</w:t>
      </w:r>
      <w:proofErr w:type="gramEnd"/>
      <w:r w:rsidR="00982FE3">
        <w:t xml:space="preserve"> in the form of 18 panels</w:t>
      </w:r>
      <w:r>
        <w:t>, see Figure 1.</w:t>
      </w:r>
    </w:p>
    <w:p w:rsidR="00982FE3" w:rsidRDefault="00982FE3" w:rsidP="00B515C0"/>
    <w:p w:rsidR="00185E0A" w:rsidRDefault="00982FE3" w:rsidP="00185E0A">
      <w:pPr>
        <w:keepNext/>
        <w:jc w:val="center"/>
      </w:pPr>
      <w:r>
        <w:rPr>
          <w:noProof/>
          <w:lang w:eastAsia="en-GB"/>
        </w:rPr>
        <w:drawing>
          <wp:inline distT="0" distB="0" distL="0" distR="0">
            <wp:extent cx="2331720" cy="1979263"/>
            <wp:effectExtent l="0" t="0" r="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56830" cy="2000577"/>
                    </a:xfrm>
                    <a:prstGeom prst="rect">
                      <a:avLst/>
                    </a:prstGeom>
                  </pic:spPr>
                </pic:pic>
              </a:graphicData>
            </a:graphic>
          </wp:inline>
        </w:drawing>
      </w:r>
    </w:p>
    <w:p w:rsidR="00982FE3" w:rsidRPr="00185E0A" w:rsidRDefault="00185E0A" w:rsidP="00185E0A">
      <w:pPr>
        <w:pStyle w:val="Caption"/>
        <w:rPr>
          <w:b w:val="0"/>
        </w:rPr>
      </w:pPr>
      <w:bookmarkStart w:id="3" w:name="_Ref472448937"/>
      <w:r w:rsidRPr="00185E0A">
        <w:rPr>
          <w:b w:val="0"/>
        </w:rPr>
        <w:t xml:space="preserve">Figure </w:t>
      </w:r>
      <w:r w:rsidR="00D76498" w:rsidRPr="00185E0A">
        <w:rPr>
          <w:b w:val="0"/>
        </w:rPr>
        <w:fldChar w:fldCharType="begin"/>
      </w:r>
      <w:r w:rsidRPr="00185E0A">
        <w:rPr>
          <w:b w:val="0"/>
        </w:rPr>
        <w:instrText xml:space="preserve"> SEQ Figure \* ARABIC </w:instrText>
      </w:r>
      <w:r w:rsidR="00D76498" w:rsidRPr="00185E0A">
        <w:rPr>
          <w:b w:val="0"/>
        </w:rPr>
        <w:fldChar w:fldCharType="separate"/>
      </w:r>
      <w:r w:rsidR="0068751C">
        <w:rPr>
          <w:b w:val="0"/>
          <w:noProof/>
        </w:rPr>
        <w:t>1</w:t>
      </w:r>
      <w:r w:rsidR="00D76498" w:rsidRPr="00185E0A">
        <w:rPr>
          <w:b w:val="0"/>
        </w:rPr>
        <w:fldChar w:fldCharType="end"/>
      </w:r>
      <w:bookmarkEnd w:id="3"/>
      <w:r w:rsidRPr="00185E0A">
        <w:rPr>
          <w:b w:val="0"/>
        </w:rPr>
        <w:t>:</w:t>
      </w:r>
      <w:r w:rsidRPr="00185E0A">
        <w:rPr>
          <w:b w:val="0"/>
          <w:noProof/>
        </w:rPr>
        <w:t>Installation of Acoustic Panels in Room K0.20, used with permission from King’s College London</w:t>
      </w:r>
    </w:p>
    <w:p w:rsidR="00B9194D" w:rsidRDefault="0002737A" w:rsidP="00675D0F">
      <w:r>
        <w:t>For</w:t>
      </w:r>
      <w:r w:rsidR="00675D0F">
        <w:t xml:space="preserve"> K4u</w:t>
      </w:r>
      <w:r>
        <w:t>.</w:t>
      </w:r>
      <w:r w:rsidR="00675D0F">
        <w:t>12 STI</w:t>
      </w:r>
      <w:r>
        <w:t>PA</w:t>
      </w:r>
      <w:r w:rsidR="00675D0F">
        <w:t xml:space="preserve"> measure</w:t>
      </w:r>
      <w:r>
        <w:t xml:space="preserve">ments </w:t>
      </w:r>
      <w:proofErr w:type="gramStart"/>
      <w:r>
        <w:t>were taken</w:t>
      </w:r>
      <w:proofErr w:type="gramEnd"/>
      <w:r w:rsidR="00675D0F">
        <w:t xml:space="preserve"> before and after </w:t>
      </w:r>
      <w:r>
        <w:t xml:space="preserve">the introduction of </w:t>
      </w:r>
      <w:r w:rsidR="00675D0F">
        <w:t>electronic a</w:t>
      </w:r>
      <w:r w:rsidR="00675D0F">
        <w:t>c</w:t>
      </w:r>
      <w:r w:rsidR="00675D0F">
        <w:t xml:space="preserve">tive equalisation.The </w:t>
      </w:r>
      <w:r w:rsidR="00B515C0">
        <w:t xml:space="preserve">results </w:t>
      </w:r>
      <w:r w:rsidR="00675D0F">
        <w:t xml:space="preserve">of the different measurements for all the rooms are shown in </w:t>
      </w:r>
      <w:r w:rsidR="00D76498">
        <w:fldChar w:fldCharType="begin"/>
      </w:r>
      <w:r w:rsidR="00675D0F">
        <w:instrText xml:space="preserve"> REF _Ref472361330 \h </w:instrText>
      </w:r>
      <w:r w:rsidR="00D76498">
        <w:fldChar w:fldCharType="separate"/>
      </w:r>
      <w:r w:rsidR="00D21DCF" w:rsidRPr="00B515C0">
        <w:rPr>
          <w:sz w:val="22"/>
          <w:szCs w:val="22"/>
        </w:rPr>
        <w:t xml:space="preserve">Table </w:t>
      </w:r>
      <w:r w:rsidR="00D21DCF">
        <w:rPr>
          <w:noProof/>
          <w:sz w:val="22"/>
          <w:szCs w:val="22"/>
        </w:rPr>
        <w:t>3</w:t>
      </w:r>
      <w:r w:rsidR="00D76498">
        <w:fldChar w:fldCharType="end"/>
      </w:r>
      <w:r w:rsidR="00675D0F">
        <w:t xml:space="preserve">. </w:t>
      </w:r>
      <w:r w:rsidR="00185E0A">
        <w:t>Showing a clear change between the values obtained before and after the installation of the pa</w:t>
      </w:r>
      <w:r w:rsidR="00185E0A">
        <w:t>n</w:t>
      </w:r>
      <w:r w:rsidR="00185E0A">
        <w:t>els.</w:t>
      </w:r>
      <w:r w:rsidR="00F55A72" w:rsidRPr="00185E0A">
        <w:t>As for K4u.12</w:t>
      </w:r>
      <w:r w:rsidR="00B9194D">
        <w:t xml:space="preserve">,STIPA </w:t>
      </w:r>
      <w:r w:rsidR="00F55A72" w:rsidRPr="00185E0A">
        <w:t xml:space="preserve">results </w:t>
      </w:r>
      <w:r w:rsidR="00D6299E">
        <w:t>b</w:t>
      </w:r>
      <w:r w:rsidR="00F55A72" w:rsidRPr="00185E0A">
        <w:t>efore and after equalisation a</w:t>
      </w:r>
      <w:r w:rsidR="00185E0A">
        <w:t>re</w:t>
      </w:r>
      <w:r w:rsidR="00F55A72" w:rsidRPr="00185E0A">
        <w:t xml:space="preserve"> shown </w:t>
      </w:r>
      <w:proofErr w:type="spellStart"/>
      <w:r w:rsidR="00F55A72" w:rsidRPr="00185E0A">
        <w:t>in</w:t>
      </w:r>
      <w:r w:rsidR="00D76498" w:rsidRPr="00185E0A">
        <w:fldChar w:fldCharType="begin"/>
      </w:r>
      <w:r w:rsidR="00185E0A" w:rsidRPr="00185E0A">
        <w:instrText xml:space="preserve"> REF _Ref472362904 \h  \* MERGEFORMAT </w:instrText>
      </w:r>
      <w:r w:rsidR="00D76498" w:rsidRPr="00185E0A">
        <w:fldChar w:fldCharType="separate"/>
      </w:r>
      <w:r w:rsidR="00185E0A" w:rsidRPr="00185E0A">
        <w:t>Figure</w:t>
      </w:r>
      <w:proofErr w:type="spellEnd"/>
      <w:r w:rsidR="00185E0A" w:rsidRPr="00185E0A">
        <w:t xml:space="preserve"> </w:t>
      </w:r>
      <w:r w:rsidR="00185E0A" w:rsidRPr="00185E0A">
        <w:rPr>
          <w:noProof/>
        </w:rPr>
        <w:t>2</w:t>
      </w:r>
      <w:r w:rsidR="00D76498" w:rsidRPr="00185E0A">
        <w:fldChar w:fldCharType="end"/>
      </w:r>
      <w:r w:rsidR="00B9194D">
        <w:t xml:space="preserve">with STIPA </w:t>
      </w:r>
      <w:r w:rsidR="00185E0A">
        <w:t>presented as a function of distance.</w:t>
      </w:r>
    </w:p>
    <w:p w:rsidR="00F55A72" w:rsidRPr="00185E0A" w:rsidRDefault="00A93BB3" w:rsidP="00675D0F">
      <w:r>
        <w:t>From Figure 2 it</w:t>
      </w:r>
      <w:r w:rsidR="00D21DCF">
        <w:t xml:space="preserve"> is evident that </w:t>
      </w:r>
      <w:r>
        <w:t>after</w:t>
      </w:r>
      <w:r w:rsidR="00D21DCF">
        <w:t xml:space="preserve"> equalisation </w:t>
      </w:r>
      <w:r>
        <w:t xml:space="preserve">the STIPA measurements </w:t>
      </w:r>
      <w:r w:rsidR="00D21DCF">
        <w:t xml:space="preserve">are </w:t>
      </w:r>
      <w:r>
        <w:t>improved, corr</w:t>
      </w:r>
      <w:r>
        <w:t>e</w:t>
      </w:r>
      <w:r>
        <w:t xml:space="preserve">lation of 0.82. However, </w:t>
      </w:r>
      <w:r w:rsidR="00D21DCF">
        <w:t xml:space="preserve">as shown by </w:t>
      </w:r>
      <w:r w:rsidR="00D76498">
        <w:fldChar w:fldCharType="begin"/>
      </w:r>
      <w:r w:rsidR="00D21DCF">
        <w:instrText xml:space="preserve"> REF _Ref472361330 \h </w:instrText>
      </w:r>
      <w:r w:rsidR="00D76498">
        <w:fldChar w:fldCharType="separate"/>
      </w:r>
      <w:r w:rsidR="00D21DCF" w:rsidRPr="00B515C0">
        <w:rPr>
          <w:sz w:val="22"/>
          <w:szCs w:val="22"/>
        </w:rPr>
        <w:t xml:space="preserve">Table </w:t>
      </w:r>
      <w:r w:rsidR="00D21DCF">
        <w:rPr>
          <w:noProof/>
          <w:sz w:val="22"/>
          <w:szCs w:val="22"/>
        </w:rPr>
        <w:t>3</w:t>
      </w:r>
      <w:r w:rsidR="00D76498">
        <w:fldChar w:fldCharType="end"/>
      </w:r>
      <w:r w:rsidR="00D21DCF">
        <w:t xml:space="preserve">, once </w:t>
      </w:r>
      <w:r>
        <w:t xml:space="preserve">one </w:t>
      </w:r>
      <w:r w:rsidR="00D21DCF">
        <w:t>standard deviation is deducted</w:t>
      </w:r>
      <w:r>
        <w:t xml:space="preserve">comparable results </w:t>
      </w:r>
      <w:proofErr w:type="gramStart"/>
      <w:r>
        <w:t>were found</w:t>
      </w:r>
      <w:proofErr w:type="gramEnd"/>
      <w:r>
        <w:t xml:space="preserve"> and hence the result is </w:t>
      </w:r>
      <w:r w:rsidR="00D21DCF">
        <w:t>inconclusive</w:t>
      </w:r>
      <w:r>
        <w:t xml:space="preserve"> particularly for measurement in the</w:t>
      </w:r>
      <w:r w:rsidR="00FB34A0">
        <w:t xml:space="preserve"> reve</w:t>
      </w:r>
      <w:r w:rsidR="00FB34A0">
        <w:t>r</w:t>
      </w:r>
      <w:r w:rsidR="00FB34A0">
        <w:t>berant field</w:t>
      </w:r>
      <w:r w:rsidR="00D21DCF">
        <w:t xml:space="preserve">. </w:t>
      </w:r>
    </w:p>
    <w:p w:rsidR="00F55A72" w:rsidRDefault="00F55A72" w:rsidP="00675D0F"/>
    <w:p w:rsidR="00F55A72" w:rsidRDefault="00F55A72" w:rsidP="00F55A72">
      <w:pPr>
        <w:keepNext/>
        <w:jc w:val="center"/>
      </w:pPr>
      <w:r>
        <w:rPr>
          <w:noProof/>
          <w:lang w:eastAsia="en-GB"/>
        </w:rPr>
        <w:lastRenderedPageBreak/>
        <w:drawing>
          <wp:inline distT="0" distB="0" distL="0" distR="0">
            <wp:extent cx="4183380" cy="1775460"/>
            <wp:effectExtent l="0" t="0" r="7620" b="1524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5A72" w:rsidRDefault="00F55A72" w:rsidP="00F55A72">
      <w:pPr>
        <w:pStyle w:val="Caption"/>
        <w:rPr>
          <w:b w:val="0"/>
          <w:noProof/>
        </w:rPr>
      </w:pPr>
      <w:bookmarkStart w:id="4" w:name="_Ref472362904"/>
      <w:bookmarkStart w:id="5" w:name="_Ref472362888"/>
      <w:r w:rsidRPr="00F55A72">
        <w:rPr>
          <w:b w:val="0"/>
        </w:rPr>
        <w:t xml:space="preserve">Figure </w:t>
      </w:r>
      <w:r w:rsidR="00D76498" w:rsidRPr="00F55A72">
        <w:rPr>
          <w:b w:val="0"/>
        </w:rPr>
        <w:fldChar w:fldCharType="begin"/>
      </w:r>
      <w:r w:rsidRPr="00F55A72">
        <w:rPr>
          <w:b w:val="0"/>
        </w:rPr>
        <w:instrText xml:space="preserve"> SEQ Figure \* ARABIC </w:instrText>
      </w:r>
      <w:r w:rsidR="00D76498" w:rsidRPr="00F55A72">
        <w:rPr>
          <w:b w:val="0"/>
        </w:rPr>
        <w:fldChar w:fldCharType="separate"/>
      </w:r>
      <w:r w:rsidR="0068751C">
        <w:rPr>
          <w:b w:val="0"/>
          <w:noProof/>
        </w:rPr>
        <w:t>2</w:t>
      </w:r>
      <w:r w:rsidR="00D76498" w:rsidRPr="00F55A72">
        <w:rPr>
          <w:b w:val="0"/>
        </w:rPr>
        <w:fldChar w:fldCharType="end"/>
      </w:r>
      <w:bookmarkEnd w:id="4"/>
      <w:r w:rsidRPr="00F55A72">
        <w:rPr>
          <w:b w:val="0"/>
        </w:rPr>
        <w:t xml:space="preserve">: </w:t>
      </w:r>
      <w:r w:rsidRPr="00F55A72">
        <w:rPr>
          <w:b w:val="0"/>
          <w:noProof/>
        </w:rPr>
        <w:t>STI</w:t>
      </w:r>
      <w:r w:rsidR="00D6299E">
        <w:rPr>
          <w:b w:val="0"/>
          <w:noProof/>
        </w:rPr>
        <w:t>PA</w:t>
      </w:r>
      <w:r w:rsidRPr="00F55A72">
        <w:rPr>
          <w:b w:val="0"/>
          <w:noProof/>
        </w:rPr>
        <w:t xml:space="preserve"> in K4u.12</w:t>
      </w:r>
      <w:r>
        <w:rPr>
          <w:b w:val="0"/>
          <w:noProof/>
        </w:rPr>
        <w:t>,</w:t>
      </w:r>
      <w:r w:rsidRPr="00F55A72">
        <w:rPr>
          <w:b w:val="0"/>
          <w:noProof/>
        </w:rPr>
        <w:t xml:space="preserve"> Eq</w:t>
      </w:r>
      <w:r w:rsidR="00D6299E">
        <w:rPr>
          <w:b w:val="0"/>
          <w:noProof/>
        </w:rPr>
        <w:t xml:space="preserve">ualised </w:t>
      </w:r>
      <w:r w:rsidRPr="00F55A72">
        <w:rPr>
          <w:b w:val="0"/>
          <w:noProof/>
        </w:rPr>
        <w:t>and not Eq</w:t>
      </w:r>
      <w:r w:rsidR="00D6299E">
        <w:rPr>
          <w:b w:val="0"/>
          <w:noProof/>
        </w:rPr>
        <w:t>ualised,</w:t>
      </w:r>
      <w:r>
        <w:rPr>
          <w:b w:val="0"/>
          <w:noProof/>
        </w:rPr>
        <w:t xml:space="preserve">as a Function of </w:t>
      </w:r>
      <w:r w:rsidRPr="00F55A72">
        <w:rPr>
          <w:b w:val="0"/>
          <w:noProof/>
        </w:rPr>
        <w:t xml:space="preserve"> Distance</w:t>
      </w:r>
      <w:bookmarkEnd w:id="5"/>
    </w:p>
    <w:p w:rsidR="00624DC8" w:rsidRDefault="00D76498" w:rsidP="00624DC8">
      <w:fldSimple w:instr=" REF _Ref472448948 \h  \* MERGEFORMAT ">
        <w:r w:rsidR="00624DC8" w:rsidRPr="00624DC8">
          <w:t xml:space="preserve">Figure </w:t>
        </w:r>
        <w:r w:rsidR="00624DC8" w:rsidRPr="00624DC8">
          <w:rPr>
            <w:noProof/>
          </w:rPr>
          <w:t>3</w:t>
        </w:r>
      </w:fldSimple>
      <w:r w:rsidR="00624DC8" w:rsidRPr="00FA4A24">
        <w:t xml:space="preserve">seem to be consistent with the findings by Hodgson about classroom design </w:t>
      </w:r>
      <w:r w:rsidR="00624DC8">
        <w:t>that these tend to favour control of reverberation having a detrimental impact on speech levels</w:t>
      </w:r>
      <w:sdt>
        <w:sdtPr>
          <w:id w:val="-1652817074"/>
          <w:citation/>
        </w:sdtPr>
        <w:sdtContent>
          <w:r>
            <w:fldChar w:fldCharType="begin"/>
          </w:r>
          <w:r w:rsidR="00624DC8">
            <w:instrText xml:space="preserve"> CITATION Hod03 \l 2057 </w:instrText>
          </w:r>
          <w:r>
            <w:fldChar w:fldCharType="separate"/>
          </w:r>
          <w:r w:rsidR="00846A19">
            <w:rPr>
              <w:noProof/>
            </w:rPr>
            <w:t xml:space="preserve"> (1)</w:t>
          </w:r>
          <w:r>
            <w:fldChar w:fldCharType="end"/>
          </w:r>
        </w:sdtContent>
      </w:sdt>
    </w:p>
    <w:p w:rsidR="00624DC8" w:rsidRPr="00FA4A24" w:rsidRDefault="00624DC8" w:rsidP="00624DC8">
      <w:r>
        <w:t xml:space="preserve">Hodgson’s conclusion seems to be perfectly consistent with this research, as shown the decay in level </w:t>
      </w:r>
      <w:r w:rsidR="00A93BB3">
        <w:t>of approximately</w:t>
      </w:r>
      <w:r>
        <w:t xml:space="preserve"> 3dB per position when comparing level of natural acoustic in a treated and untreated room for all positions.</w:t>
      </w:r>
    </w:p>
    <w:p w:rsidR="00D21DCF" w:rsidRDefault="00D21DCF" w:rsidP="00D21DCF"/>
    <w:p w:rsidR="00B9194D" w:rsidRDefault="00D21DCF" w:rsidP="00B9194D">
      <w:pPr>
        <w:keepNext/>
        <w:jc w:val="center"/>
      </w:pPr>
      <w:r>
        <w:rPr>
          <w:noProof/>
          <w:lang w:eastAsia="en-GB"/>
        </w:rPr>
        <w:drawing>
          <wp:inline distT="0" distB="0" distL="0" distR="0">
            <wp:extent cx="4450080" cy="1531620"/>
            <wp:effectExtent l="0" t="0" r="7620" b="1143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DCF" w:rsidRPr="00B9194D" w:rsidRDefault="00B9194D" w:rsidP="00B9194D">
      <w:pPr>
        <w:pStyle w:val="Caption"/>
        <w:rPr>
          <w:b w:val="0"/>
        </w:rPr>
      </w:pPr>
      <w:bookmarkStart w:id="6" w:name="_Ref472448948"/>
      <w:r w:rsidRPr="00B9194D">
        <w:rPr>
          <w:b w:val="0"/>
        </w:rPr>
        <w:t xml:space="preserve">Figure </w:t>
      </w:r>
      <w:r w:rsidR="00D76498" w:rsidRPr="00B9194D">
        <w:rPr>
          <w:b w:val="0"/>
        </w:rPr>
        <w:fldChar w:fldCharType="begin"/>
      </w:r>
      <w:r w:rsidRPr="00B9194D">
        <w:rPr>
          <w:b w:val="0"/>
        </w:rPr>
        <w:instrText xml:space="preserve"> SEQ Figure \* ARABIC </w:instrText>
      </w:r>
      <w:r w:rsidR="00D76498" w:rsidRPr="00B9194D">
        <w:rPr>
          <w:b w:val="0"/>
        </w:rPr>
        <w:fldChar w:fldCharType="separate"/>
      </w:r>
      <w:r w:rsidR="0068751C">
        <w:rPr>
          <w:b w:val="0"/>
          <w:noProof/>
        </w:rPr>
        <w:t>3</w:t>
      </w:r>
      <w:r w:rsidR="00D76498" w:rsidRPr="00B9194D">
        <w:rPr>
          <w:b w:val="0"/>
        </w:rPr>
        <w:fldChar w:fldCharType="end"/>
      </w:r>
      <w:bookmarkEnd w:id="6"/>
      <w:r w:rsidRPr="00B9194D">
        <w:rPr>
          <w:b w:val="0"/>
        </w:rPr>
        <w:t>: Comparison of Natural Acoustics Levels between an Untreated and Treated Room</w:t>
      </w:r>
    </w:p>
    <w:p w:rsidR="00045271" w:rsidRDefault="00FB34A0" w:rsidP="00045271">
      <w:r>
        <w:t>B</w:t>
      </w:r>
      <w:r w:rsidR="00045271" w:rsidRPr="00E927B5">
        <w:t xml:space="preserve">ackground </w:t>
      </w:r>
      <w:r>
        <w:t>noise and reverberation time were</w:t>
      </w:r>
      <w:r w:rsidR="00045271">
        <w:t xml:space="preserve"> higher than t</w:t>
      </w:r>
      <w:r>
        <w:t>he levels recommended by BB93</w:t>
      </w:r>
      <w:r w:rsidR="00045271">
        <w:t xml:space="preserve">, while STI showed values lower than 0.6. </w:t>
      </w:r>
      <w:proofErr w:type="gramStart"/>
      <w:r w:rsidR="00045271">
        <w:t>for</w:t>
      </w:r>
      <w:proofErr w:type="gramEnd"/>
      <w:r w:rsidR="00045271">
        <w:t xml:space="preserve"> all rooms, except for </w:t>
      </w:r>
      <w:r w:rsidR="003108D4">
        <w:t xml:space="preserve">the treated </w:t>
      </w:r>
      <w:r w:rsidR="00045271">
        <w:t xml:space="preserve">K0.20 </w:t>
      </w:r>
      <w:r w:rsidR="003108D4">
        <w:t>room</w:t>
      </w:r>
      <w:r w:rsidR="00045271">
        <w:t>.</w:t>
      </w:r>
    </w:p>
    <w:p w:rsidR="00F55A72" w:rsidRDefault="00F55A72" w:rsidP="00B515C0">
      <w:pPr>
        <w:rPr>
          <w:sz w:val="22"/>
          <w:szCs w:val="22"/>
        </w:rPr>
      </w:pPr>
    </w:p>
    <w:p w:rsidR="00B515C0" w:rsidRPr="00B515C0" w:rsidRDefault="00B515C0" w:rsidP="00B515C0">
      <w:pPr>
        <w:jc w:val="center"/>
        <w:rPr>
          <w:sz w:val="22"/>
          <w:szCs w:val="22"/>
        </w:rPr>
      </w:pPr>
      <w:bookmarkStart w:id="7" w:name="_Ref472361330"/>
      <w:r w:rsidRPr="00B515C0">
        <w:rPr>
          <w:sz w:val="22"/>
          <w:szCs w:val="22"/>
        </w:rPr>
        <w:t xml:space="preserve">Table </w:t>
      </w:r>
      <w:r w:rsidR="00D76498">
        <w:rPr>
          <w:sz w:val="22"/>
          <w:szCs w:val="22"/>
        </w:rPr>
        <w:fldChar w:fldCharType="begin"/>
      </w:r>
      <w:r w:rsidR="00300C65">
        <w:rPr>
          <w:sz w:val="22"/>
          <w:szCs w:val="22"/>
        </w:rPr>
        <w:instrText xml:space="preserve"> SEQ Table \* ARABIC </w:instrText>
      </w:r>
      <w:r w:rsidR="00D76498">
        <w:rPr>
          <w:sz w:val="22"/>
          <w:szCs w:val="22"/>
        </w:rPr>
        <w:fldChar w:fldCharType="separate"/>
      </w:r>
      <w:r w:rsidR="00A81CE0">
        <w:rPr>
          <w:noProof/>
          <w:sz w:val="22"/>
          <w:szCs w:val="22"/>
        </w:rPr>
        <w:t>3</w:t>
      </w:r>
      <w:r w:rsidR="00D76498">
        <w:rPr>
          <w:sz w:val="22"/>
          <w:szCs w:val="22"/>
        </w:rPr>
        <w:fldChar w:fldCharType="end"/>
      </w:r>
      <w:bookmarkEnd w:id="7"/>
      <w:r w:rsidRPr="00B515C0">
        <w:rPr>
          <w:sz w:val="22"/>
          <w:szCs w:val="22"/>
        </w:rPr>
        <w:t>:</w:t>
      </w:r>
      <w:r w:rsidRPr="00B515C0">
        <w:rPr>
          <w:noProof/>
          <w:sz w:val="22"/>
          <w:szCs w:val="22"/>
        </w:rPr>
        <w:t xml:space="preserve">Summary of Results of Measured Rooms (U) And (T) Indicate Treated and Untreated Conditions and Results for Program Audio in K4u.12 Are Shown </w:t>
      </w:r>
      <w:r w:rsidR="00721F04">
        <w:rPr>
          <w:noProof/>
          <w:sz w:val="22"/>
          <w:szCs w:val="22"/>
        </w:rPr>
        <w:t>with and W</w:t>
      </w:r>
      <w:r w:rsidRPr="00B515C0">
        <w:rPr>
          <w:noProof/>
          <w:sz w:val="22"/>
          <w:szCs w:val="22"/>
        </w:rPr>
        <w:t>ithout Equalisation</w:t>
      </w:r>
    </w:p>
    <w:tbl>
      <w:tblPr>
        <w:tblStyle w:val="LightShading1"/>
        <w:tblW w:w="9630" w:type="dxa"/>
        <w:tblLook w:val="06A0"/>
      </w:tblPr>
      <w:tblGrid>
        <w:gridCol w:w="2610"/>
        <w:gridCol w:w="1170"/>
        <w:gridCol w:w="1170"/>
        <w:gridCol w:w="1260"/>
        <w:gridCol w:w="1170"/>
        <w:gridCol w:w="1170"/>
        <w:gridCol w:w="1080"/>
      </w:tblGrid>
      <w:tr w:rsidR="00675D0F" w:rsidRPr="00B515C0" w:rsidTr="009E1935">
        <w:trPr>
          <w:cnfStyle w:val="100000000000"/>
          <w:trHeight w:val="300"/>
        </w:trPr>
        <w:tc>
          <w:tcPr>
            <w:cnfStyle w:val="001000000000"/>
            <w:tcW w:w="2610" w:type="dxa"/>
            <w:tcBorders>
              <w:right w:val="single" w:sz="4" w:space="0" w:color="auto"/>
            </w:tcBorders>
            <w:noWrap/>
            <w:hideMark/>
          </w:tcPr>
          <w:p w:rsidR="00675D0F" w:rsidRPr="00B515C0" w:rsidRDefault="00675D0F" w:rsidP="00B9194D">
            <w:pPr>
              <w:contextualSpacing/>
              <w:rPr>
                <w:rFonts w:ascii="Arial" w:eastAsia="Times New Roman" w:hAnsi="Arial" w:cs="Arial"/>
                <w:color w:val="000000"/>
                <w:sz w:val="18"/>
                <w:szCs w:val="18"/>
                <w:lang w:eastAsia="en-GB"/>
              </w:rPr>
            </w:pPr>
            <w:r w:rsidRPr="00B515C0">
              <w:rPr>
                <w:rFonts w:ascii="Arial" w:eastAsia="Times New Roman" w:hAnsi="Arial" w:cs="Arial"/>
                <w:color w:val="000000"/>
                <w:sz w:val="18"/>
                <w:szCs w:val="18"/>
                <w:lang w:eastAsia="en-GB"/>
              </w:rPr>
              <w:t>Parameter/Room</w:t>
            </w:r>
          </w:p>
        </w:tc>
        <w:tc>
          <w:tcPr>
            <w:tcW w:w="1170" w:type="dxa"/>
            <w:tcBorders>
              <w:left w:val="single" w:sz="4" w:space="0" w:color="auto"/>
            </w:tcBorders>
            <w:noWrap/>
            <w:hideMark/>
          </w:tcPr>
          <w:p w:rsidR="00675D0F" w:rsidRPr="00B515C0" w:rsidRDefault="00675D0F" w:rsidP="00B515C0">
            <w:pPr>
              <w:ind w:firstLine="0"/>
              <w:jc w:val="center"/>
              <w:cnfStyle w:val="1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K0.20 (U)</w:t>
            </w:r>
          </w:p>
        </w:tc>
        <w:tc>
          <w:tcPr>
            <w:tcW w:w="1170" w:type="dxa"/>
          </w:tcPr>
          <w:p w:rsidR="00675D0F" w:rsidRPr="00B515C0" w:rsidRDefault="00675D0F" w:rsidP="00B515C0">
            <w:pPr>
              <w:ind w:firstLine="0"/>
              <w:jc w:val="center"/>
              <w:cnfStyle w:val="1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K0.16</w:t>
            </w:r>
          </w:p>
        </w:tc>
        <w:tc>
          <w:tcPr>
            <w:tcW w:w="1260" w:type="dxa"/>
          </w:tcPr>
          <w:p w:rsidR="00675D0F" w:rsidRPr="00B515C0" w:rsidRDefault="00675D0F" w:rsidP="00B515C0">
            <w:pPr>
              <w:ind w:firstLine="0"/>
              <w:jc w:val="center"/>
              <w:cnfStyle w:val="1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K0.20 (T)</w:t>
            </w:r>
          </w:p>
        </w:tc>
        <w:tc>
          <w:tcPr>
            <w:tcW w:w="1170" w:type="dxa"/>
          </w:tcPr>
          <w:p w:rsidR="00675D0F" w:rsidRPr="00B515C0" w:rsidRDefault="00675D0F" w:rsidP="00B515C0">
            <w:pPr>
              <w:ind w:firstLine="0"/>
              <w:jc w:val="center"/>
              <w:cnfStyle w:val="1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K0.18</w:t>
            </w:r>
          </w:p>
        </w:tc>
        <w:tc>
          <w:tcPr>
            <w:tcW w:w="1170" w:type="dxa"/>
          </w:tcPr>
          <w:p w:rsidR="00675D0F" w:rsidRPr="00B515C0" w:rsidRDefault="00675D0F" w:rsidP="00B515C0">
            <w:pPr>
              <w:ind w:firstLine="0"/>
              <w:jc w:val="center"/>
              <w:cnfStyle w:val="1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K4u.12</w:t>
            </w:r>
          </w:p>
        </w:tc>
        <w:tc>
          <w:tcPr>
            <w:tcW w:w="1080" w:type="dxa"/>
          </w:tcPr>
          <w:p w:rsidR="00675D0F" w:rsidRPr="00B515C0" w:rsidRDefault="009E1935" w:rsidP="00B515C0">
            <w:pPr>
              <w:ind w:firstLine="0"/>
              <w:jc w:val="center"/>
              <w:cnfStyle w:val="1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K4u.12</w:t>
            </w:r>
            <w:r>
              <w:rPr>
                <w:rFonts w:ascii="Arial" w:eastAsia="Times New Roman" w:hAnsi="Arial" w:cs="Arial"/>
                <w:i/>
                <w:color w:val="000000"/>
                <w:sz w:val="18"/>
                <w:szCs w:val="18"/>
                <w:lang w:eastAsia="en-GB"/>
              </w:rPr>
              <w:t xml:space="preserve"> (</w:t>
            </w:r>
            <w:proofErr w:type="spellStart"/>
            <w:r>
              <w:rPr>
                <w:rFonts w:ascii="Arial" w:eastAsia="Times New Roman" w:hAnsi="Arial" w:cs="Arial"/>
                <w:i/>
                <w:color w:val="000000"/>
                <w:sz w:val="18"/>
                <w:szCs w:val="18"/>
                <w:lang w:eastAsia="en-GB"/>
              </w:rPr>
              <w:t>eq</w:t>
            </w:r>
            <w:proofErr w:type="spellEnd"/>
            <w:r>
              <w:rPr>
                <w:rFonts w:ascii="Arial" w:eastAsia="Times New Roman" w:hAnsi="Arial" w:cs="Arial"/>
                <w:i/>
                <w:color w:val="000000"/>
                <w:sz w:val="18"/>
                <w:szCs w:val="18"/>
                <w:lang w:eastAsia="en-GB"/>
              </w:rPr>
              <w:t>)</w:t>
            </w:r>
          </w:p>
        </w:tc>
      </w:tr>
      <w:tr w:rsidR="00675D0F" w:rsidRPr="00B515C0" w:rsidTr="009E1935">
        <w:trPr>
          <w:trHeight w:val="300"/>
        </w:trPr>
        <w:tc>
          <w:tcPr>
            <w:cnfStyle w:val="001000000000"/>
            <w:tcW w:w="2610" w:type="dxa"/>
            <w:tcBorders>
              <w:right w:val="single" w:sz="4" w:space="0" w:color="auto"/>
            </w:tcBorders>
            <w:noWrap/>
            <w:vAlign w:val="center"/>
            <w:hideMark/>
          </w:tcPr>
          <w:p w:rsidR="00675D0F" w:rsidRPr="00B515C0" w:rsidRDefault="00675D0F" w:rsidP="00B9194D">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STI Program Audio</w:t>
            </w:r>
          </w:p>
        </w:tc>
        <w:tc>
          <w:tcPr>
            <w:tcW w:w="1170" w:type="dxa"/>
            <w:tcBorders>
              <w:left w:val="single" w:sz="4" w:space="0" w:color="auto"/>
            </w:tcBorders>
            <w:noWrap/>
            <w:vAlign w:val="center"/>
            <w:hideMark/>
          </w:tcPr>
          <w:p w:rsidR="00675D0F" w:rsidRPr="00B515C0" w:rsidRDefault="00675D0F" w:rsidP="00B515C0">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0.51 ± 0.01</w:t>
            </w:r>
          </w:p>
        </w:tc>
        <w:tc>
          <w:tcPr>
            <w:tcW w:w="1170" w:type="dxa"/>
            <w:vAlign w:val="center"/>
          </w:tcPr>
          <w:p w:rsidR="00675D0F" w:rsidRPr="00B515C0" w:rsidRDefault="00675D0F" w:rsidP="00B515C0">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0.49 ± 0.01</w:t>
            </w:r>
          </w:p>
        </w:tc>
        <w:tc>
          <w:tcPr>
            <w:tcW w:w="1260" w:type="dxa"/>
            <w:vAlign w:val="center"/>
          </w:tcPr>
          <w:p w:rsidR="00675D0F" w:rsidRPr="00B515C0" w:rsidRDefault="00675D0F" w:rsidP="00B515C0">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0.60 ± 0.01</w:t>
            </w:r>
          </w:p>
        </w:tc>
        <w:tc>
          <w:tcPr>
            <w:tcW w:w="1170" w:type="dxa"/>
            <w:vAlign w:val="center"/>
          </w:tcPr>
          <w:p w:rsidR="00675D0F" w:rsidRPr="00B515C0" w:rsidRDefault="00675D0F" w:rsidP="00B515C0">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0.47 ± 0.01</w:t>
            </w:r>
          </w:p>
        </w:tc>
        <w:tc>
          <w:tcPr>
            <w:tcW w:w="1170" w:type="dxa"/>
            <w:vAlign w:val="center"/>
          </w:tcPr>
          <w:p w:rsidR="00675D0F" w:rsidRPr="00B515C0" w:rsidRDefault="00675D0F" w:rsidP="00797B2F">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0.56 ± 0.01</w:t>
            </w:r>
          </w:p>
        </w:tc>
        <w:tc>
          <w:tcPr>
            <w:tcW w:w="1080" w:type="dxa"/>
          </w:tcPr>
          <w:p w:rsidR="00675D0F" w:rsidRPr="00B515C0" w:rsidRDefault="009E1935" w:rsidP="00797B2F">
            <w:pPr>
              <w:ind w:firstLine="0"/>
              <w:jc w:val="center"/>
              <w:cnfStyle w:val="000000000000"/>
              <w:rPr>
                <w:rFonts w:ascii="Arial" w:eastAsia="Times New Roman" w:hAnsi="Arial" w:cs="Arial"/>
                <w:i/>
                <w:color w:val="000000"/>
                <w:sz w:val="18"/>
                <w:szCs w:val="18"/>
                <w:lang w:eastAsia="en-GB"/>
              </w:rPr>
            </w:pPr>
            <w:r>
              <w:rPr>
                <w:rFonts w:ascii="Arial" w:eastAsia="Times New Roman" w:hAnsi="Arial" w:cs="Arial"/>
                <w:i/>
                <w:color w:val="000000"/>
                <w:sz w:val="18"/>
                <w:szCs w:val="18"/>
                <w:lang w:eastAsia="en-GB"/>
              </w:rPr>
              <w:t>0.57</w:t>
            </w:r>
            <w:r w:rsidRPr="009E1935">
              <w:rPr>
                <w:rFonts w:ascii="Arial" w:eastAsia="Times New Roman" w:hAnsi="Arial" w:cs="Arial"/>
                <w:i/>
                <w:color w:val="000000"/>
                <w:sz w:val="18"/>
                <w:szCs w:val="18"/>
                <w:lang w:eastAsia="en-GB"/>
              </w:rPr>
              <w:t xml:space="preserve"> ±</w:t>
            </w:r>
            <w:r>
              <w:rPr>
                <w:rFonts w:ascii="Arial" w:eastAsia="Times New Roman" w:hAnsi="Arial" w:cs="Arial"/>
                <w:i/>
                <w:color w:val="000000"/>
                <w:sz w:val="18"/>
                <w:szCs w:val="18"/>
                <w:lang w:eastAsia="en-GB"/>
              </w:rPr>
              <w:t>0.01</w:t>
            </w:r>
          </w:p>
        </w:tc>
      </w:tr>
      <w:tr w:rsidR="009E1935" w:rsidRPr="00B515C0" w:rsidTr="00B9194D">
        <w:trPr>
          <w:trHeight w:val="300"/>
        </w:trPr>
        <w:tc>
          <w:tcPr>
            <w:cnfStyle w:val="001000000000"/>
            <w:tcW w:w="2610" w:type="dxa"/>
            <w:tcBorders>
              <w:right w:val="single" w:sz="4" w:space="0" w:color="auto"/>
            </w:tcBorders>
            <w:noWrap/>
            <w:vAlign w:val="center"/>
            <w:hideMark/>
          </w:tcPr>
          <w:p w:rsidR="009E1935" w:rsidRPr="00B515C0" w:rsidRDefault="009E1935" w:rsidP="009E1935">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STI Distributed Sound</w:t>
            </w:r>
          </w:p>
        </w:tc>
        <w:tc>
          <w:tcPr>
            <w:tcW w:w="1170" w:type="dxa"/>
            <w:tcBorders>
              <w:left w:val="single" w:sz="4" w:space="0" w:color="auto"/>
            </w:tcBorders>
            <w:noWrap/>
            <w:vAlign w:val="center"/>
            <w:hideMark/>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0.41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0.46 ± 0.01</w:t>
            </w:r>
          </w:p>
        </w:tc>
        <w:tc>
          <w:tcPr>
            <w:tcW w:w="126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0.48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0.45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n/a</w:t>
            </w:r>
          </w:p>
        </w:tc>
        <w:tc>
          <w:tcPr>
            <w:tcW w:w="108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n/a</w:t>
            </w:r>
          </w:p>
        </w:tc>
      </w:tr>
      <w:tr w:rsidR="009E1935" w:rsidRPr="00B515C0" w:rsidTr="00B9194D">
        <w:trPr>
          <w:trHeight w:val="300"/>
        </w:trPr>
        <w:tc>
          <w:tcPr>
            <w:cnfStyle w:val="001000000000"/>
            <w:tcW w:w="2610" w:type="dxa"/>
            <w:tcBorders>
              <w:right w:val="single" w:sz="4" w:space="0" w:color="auto"/>
            </w:tcBorders>
            <w:noWrap/>
            <w:vAlign w:val="center"/>
            <w:hideMark/>
          </w:tcPr>
          <w:p w:rsidR="009E1935" w:rsidRPr="00B515C0" w:rsidRDefault="009E1935" w:rsidP="009E1935">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STI Natural Acoustics</w:t>
            </w:r>
          </w:p>
        </w:tc>
        <w:tc>
          <w:tcPr>
            <w:tcW w:w="1170" w:type="dxa"/>
            <w:tcBorders>
              <w:left w:val="single" w:sz="4" w:space="0" w:color="auto"/>
            </w:tcBorders>
            <w:noWrap/>
            <w:vAlign w:val="center"/>
            <w:hideMark/>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0.47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0.47 ± 0.01</w:t>
            </w:r>
          </w:p>
        </w:tc>
        <w:tc>
          <w:tcPr>
            <w:tcW w:w="126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0.53 ± 0.02</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0.50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0.52 ± 0.01</w:t>
            </w:r>
          </w:p>
        </w:tc>
        <w:tc>
          <w:tcPr>
            <w:tcW w:w="108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Pr>
                <w:rFonts w:ascii="Arial" w:eastAsia="Times New Roman" w:hAnsi="Arial" w:cs="Arial"/>
                <w:i/>
                <w:color w:val="000000"/>
                <w:sz w:val="18"/>
                <w:szCs w:val="18"/>
                <w:lang w:eastAsia="en-GB"/>
              </w:rPr>
              <w:t>n/a</w:t>
            </w:r>
          </w:p>
        </w:tc>
      </w:tr>
      <w:tr w:rsidR="009E1935" w:rsidRPr="00B515C0" w:rsidTr="00B9194D">
        <w:trPr>
          <w:trHeight w:val="300"/>
        </w:trPr>
        <w:tc>
          <w:tcPr>
            <w:cnfStyle w:val="001000000000"/>
            <w:tcW w:w="2610" w:type="dxa"/>
            <w:tcBorders>
              <w:right w:val="single" w:sz="4" w:space="0" w:color="auto"/>
            </w:tcBorders>
            <w:noWrap/>
            <w:vAlign w:val="center"/>
            <w:hideMark/>
          </w:tcPr>
          <w:p w:rsidR="009E1935" w:rsidRPr="00B515C0" w:rsidRDefault="009E1935" w:rsidP="009E1935">
            <w:pPr>
              <w:contextualSpacing/>
              <w:rPr>
                <w:rFonts w:ascii="Arial" w:eastAsia="Times New Roman" w:hAnsi="Arial" w:cs="Arial"/>
                <w:b w:val="0"/>
                <w:color w:val="000000"/>
                <w:sz w:val="18"/>
                <w:szCs w:val="18"/>
                <w:lang w:eastAsia="en-GB"/>
              </w:rPr>
            </w:pPr>
            <w:proofErr w:type="spellStart"/>
            <w:r w:rsidRPr="00B515C0">
              <w:rPr>
                <w:rFonts w:ascii="Arial" w:eastAsia="Times New Roman" w:hAnsi="Arial" w:cs="Arial"/>
                <w:b w:val="0"/>
                <w:color w:val="000000"/>
                <w:sz w:val="18"/>
                <w:szCs w:val="18"/>
                <w:lang w:eastAsia="en-GB"/>
              </w:rPr>
              <w:t>RT</w:t>
            </w:r>
            <w:r w:rsidRPr="00B515C0">
              <w:rPr>
                <w:rFonts w:ascii="Arial" w:eastAsia="Times New Roman" w:hAnsi="Arial" w:cs="Arial"/>
                <w:b w:val="0"/>
                <w:color w:val="000000"/>
                <w:sz w:val="18"/>
                <w:szCs w:val="18"/>
                <w:vertAlign w:val="subscript"/>
                <w:lang w:eastAsia="en-GB"/>
              </w:rPr>
              <w:t>mf</w:t>
            </w:r>
            <w:proofErr w:type="spellEnd"/>
            <w:r w:rsidRPr="00B515C0">
              <w:rPr>
                <w:rFonts w:ascii="Arial" w:eastAsia="Times New Roman" w:hAnsi="Arial" w:cs="Arial"/>
                <w:b w:val="0"/>
                <w:color w:val="000000"/>
                <w:sz w:val="18"/>
                <w:szCs w:val="18"/>
                <w:lang w:eastAsia="en-GB"/>
              </w:rPr>
              <w:t xml:space="preserve"> (seconds)</w:t>
            </w:r>
          </w:p>
        </w:tc>
        <w:tc>
          <w:tcPr>
            <w:tcW w:w="1170" w:type="dxa"/>
            <w:tcBorders>
              <w:left w:val="single" w:sz="4" w:space="0" w:color="auto"/>
            </w:tcBorders>
            <w:noWrap/>
            <w:vAlign w:val="center"/>
            <w:hideMark/>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1.69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1.65 ±0.0</w:t>
            </w:r>
            <w:r>
              <w:rPr>
                <w:rFonts w:ascii="Arial" w:eastAsia="Times New Roman" w:hAnsi="Arial" w:cs="Arial"/>
                <w:i/>
                <w:color w:val="000000"/>
                <w:sz w:val="18"/>
                <w:szCs w:val="18"/>
                <w:lang w:eastAsia="en-GB"/>
              </w:rPr>
              <w:t>1</w:t>
            </w:r>
          </w:p>
        </w:tc>
        <w:tc>
          <w:tcPr>
            <w:tcW w:w="126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0.96 ± 0.0</w:t>
            </w:r>
            <w:r>
              <w:rPr>
                <w:rFonts w:ascii="Arial" w:eastAsia="Times New Roman" w:hAnsi="Arial" w:cs="Arial"/>
                <w:i/>
                <w:color w:val="000000"/>
                <w:sz w:val="18"/>
                <w:szCs w:val="18"/>
                <w:lang w:eastAsia="en-GB"/>
              </w:rPr>
              <w:t>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1.73 ± 0.01</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1.19 ± 0.0</w:t>
            </w:r>
            <w:r>
              <w:rPr>
                <w:rFonts w:ascii="Arial" w:eastAsia="Times New Roman" w:hAnsi="Arial" w:cs="Arial"/>
                <w:i/>
                <w:color w:val="000000"/>
                <w:sz w:val="18"/>
                <w:szCs w:val="18"/>
                <w:lang w:eastAsia="en-GB"/>
              </w:rPr>
              <w:t>1</w:t>
            </w:r>
          </w:p>
        </w:tc>
        <w:tc>
          <w:tcPr>
            <w:tcW w:w="108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Pr>
                <w:rFonts w:ascii="Arial" w:eastAsia="Times New Roman" w:hAnsi="Arial" w:cs="Arial"/>
                <w:i/>
                <w:color w:val="000000"/>
                <w:sz w:val="18"/>
                <w:szCs w:val="18"/>
                <w:lang w:eastAsia="en-GB"/>
              </w:rPr>
              <w:t>n/a</w:t>
            </w:r>
          </w:p>
        </w:tc>
      </w:tr>
      <w:tr w:rsidR="009E1935" w:rsidRPr="00B515C0" w:rsidTr="00B9194D">
        <w:trPr>
          <w:trHeight w:val="300"/>
        </w:trPr>
        <w:tc>
          <w:tcPr>
            <w:cnfStyle w:val="001000000000"/>
            <w:tcW w:w="2610" w:type="dxa"/>
            <w:tcBorders>
              <w:right w:val="single" w:sz="4" w:space="0" w:color="auto"/>
            </w:tcBorders>
            <w:noWrap/>
            <w:vAlign w:val="center"/>
            <w:hideMark/>
          </w:tcPr>
          <w:p w:rsidR="009E1935" w:rsidRPr="00B515C0" w:rsidRDefault="009E1935" w:rsidP="009E1935">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Noise Levels LAeq (dBA)</w:t>
            </w:r>
          </w:p>
        </w:tc>
        <w:tc>
          <w:tcPr>
            <w:tcW w:w="1170" w:type="dxa"/>
            <w:tcBorders>
              <w:left w:val="single" w:sz="4" w:space="0" w:color="auto"/>
            </w:tcBorders>
            <w:noWrap/>
            <w:vAlign w:val="center"/>
            <w:hideMark/>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39</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45</w:t>
            </w:r>
          </w:p>
        </w:tc>
        <w:tc>
          <w:tcPr>
            <w:tcW w:w="126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37</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39</w:t>
            </w:r>
          </w:p>
        </w:tc>
        <w:tc>
          <w:tcPr>
            <w:tcW w:w="117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43</w:t>
            </w:r>
          </w:p>
        </w:tc>
        <w:tc>
          <w:tcPr>
            <w:tcW w:w="1080" w:type="dxa"/>
            <w:vAlign w:val="center"/>
          </w:tcPr>
          <w:p w:rsidR="009E1935" w:rsidRPr="00B515C0" w:rsidRDefault="009E1935" w:rsidP="009E1935">
            <w:pPr>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43</w:t>
            </w:r>
          </w:p>
        </w:tc>
      </w:tr>
      <w:tr w:rsidR="009E1935" w:rsidRPr="00B515C0" w:rsidTr="00B9194D">
        <w:trPr>
          <w:trHeight w:val="300"/>
        </w:trPr>
        <w:tc>
          <w:tcPr>
            <w:cnfStyle w:val="001000000000"/>
            <w:tcW w:w="2610" w:type="dxa"/>
            <w:tcBorders>
              <w:right w:val="single" w:sz="4" w:space="0" w:color="auto"/>
            </w:tcBorders>
            <w:noWrap/>
            <w:vAlign w:val="center"/>
            <w:hideMark/>
          </w:tcPr>
          <w:p w:rsidR="009E1935" w:rsidRPr="00B515C0" w:rsidRDefault="009E1935" w:rsidP="009E1935">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STI value without signal</w:t>
            </w:r>
          </w:p>
        </w:tc>
        <w:tc>
          <w:tcPr>
            <w:tcW w:w="1170" w:type="dxa"/>
            <w:tcBorders>
              <w:left w:val="single" w:sz="4" w:space="0" w:color="auto"/>
            </w:tcBorders>
            <w:noWrap/>
            <w:vAlign w:val="center"/>
            <w:hideMark/>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&lt; 0.2</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&lt; 0.2</w:t>
            </w:r>
          </w:p>
        </w:tc>
        <w:tc>
          <w:tcPr>
            <w:tcW w:w="126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&lt; 0.2</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&lt; 0.2</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&lt; 0.2</w:t>
            </w:r>
          </w:p>
        </w:tc>
        <w:tc>
          <w:tcPr>
            <w:tcW w:w="108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&lt; 0.2</w:t>
            </w:r>
          </w:p>
        </w:tc>
      </w:tr>
      <w:tr w:rsidR="009E1935" w:rsidRPr="00B515C0" w:rsidTr="00B9194D">
        <w:trPr>
          <w:trHeight w:val="300"/>
        </w:trPr>
        <w:tc>
          <w:tcPr>
            <w:cnfStyle w:val="001000000000"/>
            <w:tcW w:w="2610" w:type="dxa"/>
            <w:tcBorders>
              <w:right w:val="single" w:sz="4" w:space="0" w:color="auto"/>
            </w:tcBorders>
            <w:noWrap/>
            <w:vAlign w:val="center"/>
          </w:tcPr>
          <w:p w:rsidR="009E1935" w:rsidRPr="00B515C0" w:rsidRDefault="009E1935" w:rsidP="009E1935">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Average Temperature (C)</w:t>
            </w:r>
          </w:p>
        </w:tc>
        <w:tc>
          <w:tcPr>
            <w:tcW w:w="1170" w:type="dxa"/>
            <w:tcBorders>
              <w:left w:val="single" w:sz="4" w:space="0" w:color="auto"/>
            </w:tcBorders>
            <w:noWrap/>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24</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27</w:t>
            </w:r>
          </w:p>
        </w:tc>
        <w:tc>
          <w:tcPr>
            <w:tcW w:w="126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24</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26</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27</w:t>
            </w:r>
          </w:p>
        </w:tc>
        <w:tc>
          <w:tcPr>
            <w:tcW w:w="108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27</w:t>
            </w:r>
          </w:p>
        </w:tc>
      </w:tr>
      <w:tr w:rsidR="009E1935" w:rsidRPr="00B515C0" w:rsidTr="00B9194D">
        <w:trPr>
          <w:trHeight w:val="300"/>
        </w:trPr>
        <w:tc>
          <w:tcPr>
            <w:cnfStyle w:val="001000000000"/>
            <w:tcW w:w="2610" w:type="dxa"/>
            <w:tcBorders>
              <w:bottom w:val="single" w:sz="8" w:space="0" w:color="000000" w:themeColor="text1"/>
              <w:right w:val="single" w:sz="4" w:space="0" w:color="auto"/>
            </w:tcBorders>
            <w:noWrap/>
            <w:vAlign w:val="center"/>
          </w:tcPr>
          <w:p w:rsidR="009E1935" w:rsidRPr="00B515C0" w:rsidRDefault="009E1935" w:rsidP="009E1935">
            <w:pPr>
              <w:contextualSpacing/>
              <w:rPr>
                <w:rFonts w:ascii="Arial" w:eastAsia="Times New Roman" w:hAnsi="Arial" w:cs="Arial"/>
                <w:b w:val="0"/>
                <w:color w:val="000000"/>
                <w:sz w:val="18"/>
                <w:szCs w:val="18"/>
                <w:lang w:eastAsia="en-GB"/>
              </w:rPr>
            </w:pPr>
            <w:r w:rsidRPr="00B515C0">
              <w:rPr>
                <w:rFonts w:ascii="Arial" w:eastAsia="Times New Roman" w:hAnsi="Arial" w:cs="Arial"/>
                <w:b w:val="0"/>
                <w:color w:val="000000"/>
                <w:sz w:val="18"/>
                <w:szCs w:val="18"/>
                <w:lang w:eastAsia="en-GB"/>
              </w:rPr>
              <w:t>Relative Humidity (%)</w:t>
            </w:r>
          </w:p>
        </w:tc>
        <w:tc>
          <w:tcPr>
            <w:tcW w:w="1170" w:type="dxa"/>
            <w:tcBorders>
              <w:left w:val="single" w:sz="4" w:space="0" w:color="auto"/>
            </w:tcBorders>
            <w:noWrap/>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39</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43</w:t>
            </w:r>
          </w:p>
        </w:tc>
        <w:tc>
          <w:tcPr>
            <w:tcW w:w="126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42</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56</w:t>
            </w:r>
          </w:p>
        </w:tc>
        <w:tc>
          <w:tcPr>
            <w:tcW w:w="117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52</w:t>
            </w:r>
          </w:p>
        </w:tc>
        <w:tc>
          <w:tcPr>
            <w:tcW w:w="1080" w:type="dxa"/>
            <w:vAlign w:val="center"/>
          </w:tcPr>
          <w:p w:rsidR="009E1935" w:rsidRPr="00B515C0" w:rsidRDefault="009E1935" w:rsidP="009E1935">
            <w:pPr>
              <w:keepNext/>
              <w:ind w:firstLine="0"/>
              <w:jc w:val="center"/>
              <w:cnfStyle w:val="000000000000"/>
              <w:rPr>
                <w:rFonts w:ascii="Arial" w:eastAsia="Times New Roman" w:hAnsi="Arial" w:cs="Arial"/>
                <w:i/>
                <w:color w:val="000000"/>
                <w:sz w:val="18"/>
                <w:szCs w:val="18"/>
                <w:lang w:eastAsia="en-GB"/>
              </w:rPr>
            </w:pPr>
            <w:r w:rsidRPr="00B515C0">
              <w:rPr>
                <w:rFonts w:ascii="Arial" w:eastAsia="Times New Roman" w:hAnsi="Arial" w:cs="Arial"/>
                <w:i/>
                <w:color w:val="000000"/>
                <w:sz w:val="18"/>
                <w:szCs w:val="18"/>
                <w:lang w:eastAsia="en-GB"/>
              </w:rPr>
              <w:t>52</w:t>
            </w:r>
          </w:p>
        </w:tc>
      </w:tr>
    </w:tbl>
    <w:p w:rsidR="00B515C0" w:rsidRDefault="00B515C0" w:rsidP="00B515C0"/>
    <w:p w:rsidR="0036258B" w:rsidRDefault="008829CE" w:rsidP="0036258B">
      <w:r>
        <w:t xml:space="preserve">As the STIPA results </w:t>
      </w:r>
      <w:proofErr w:type="gramStart"/>
      <w:r>
        <w:t>are directly related</w:t>
      </w:r>
      <w:proofErr w:type="gramEnd"/>
      <w:r>
        <w:t xml:space="preserve"> to different style of teaching </w:t>
      </w:r>
      <w:r w:rsidR="00685C4B">
        <w:t xml:space="preserve">it seems </w:t>
      </w:r>
      <w:r>
        <w:t>important to u</w:t>
      </w:r>
      <w:r>
        <w:t>n</w:t>
      </w:r>
      <w:r>
        <w:t>derstand if there is any evident correlation amongst them</w:t>
      </w:r>
      <w:r w:rsidR="003108D4">
        <w:t>, as shown in Table 4, in</w:t>
      </w:r>
      <w:r w:rsidR="0036258B">
        <w:t>terestingly</w:t>
      </w:r>
      <w:r w:rsidR="00685C4B">
        <w:t xml:space="preserve"> the correlation appears to improve when equalisation </w:t>
      </w:r>
      <w:r w:rsidR="003108D4">
        <w:t>was</w:t>
      </w:r>
      <w:r w:rsidR="00685C4B">
        <w:t xml:space="preserve"> added. </w:t>
      </w:r>
      <w:proofErr w:type="gramStart"/>
      <w:r w:rsidR="0036258B">
        <w:t>And</w:t>
      </w:r>
      <w:proofErr w:type="gramEnd"/>
      <w:r w:rsidR="0036258B">
        <w:t xml:space="preserve"> it becomes </w:t>
      </w:r>
      <w:r w:rsidR="003108D4">
        <w:t>close to</w:t>
      </w:r>
      <w:r w:rsidR="0036258B">
        <w:t xml:space="preserve"> perfect for natural acoustics and distributed sound after treatment was </w:t>
      </w:r>
      <w:r w:rsidR="003108D4">
        <w:t>applied</w:t>
      </w:r>
      <w:r w:rsidR="0036258B">
        <w:t xml:space="preserve">. </w:t>
      </w:r>
      <w:proofErr w:type="gramStart"/>
      <w:r w:rsidR="0036258B">
        <w:t>i.e</w:t>
      </w:r>
      <w:proofErr w:type="gramEnd"/>
      <w:r w:rsidR="0036258B">
        <w:t>. non-treated rooms have a weaker correlation between the natural acoustics of the room and scenarios where audio visual aids are used</w:t>
      </w:r>
      <w:r w:rsidR="003108D4">
        <w:t>.</w:t>
      </w:r>
    </w:p>
    <w:p w:rsidR="008829CE" w:rsidRPr="008829CE" w:rsidRDefault="008829CE" w:rsidP="008829CE">
      <w:pPr>
        <w:pStyle w:val="Caption"/>
        <w:keepNext/>
        <w:rPr>
          <w:b w:val="0"/>
        </w:rPr>
      </w:pPr>
      <w:bookmarkStart w:id="8" w:name="_Ref472843488"/>
      <w:r w:rsidRPr="008829CE">
        <w:rPr>
          <w:b w:val="0"/>
        </w:rPr>
        <w:lastRenderedPageBreak/>
        <w:t xml:space="preserve">Table </w:t>
      </w:r>
      <w:r w:rsidR="00D76498" w:rsidRPr="008829CE">
        <w:rPr>
          <w:b w:val="0"/>
        </w:rPr>
        <w:fldChar w:fldCharType="begin"/>
      </w:r>
      <w:r w:rsidRPr="008829CE">
        <w:rPr>
          <w:b w:val="0"/>
        </w:rPr>
        <w:instrText xml:space="preserve"> SEQ Table \* ARABIC </w:instrText>
      </w:r>
      <w:r w:rsidR="00D76498" w:rsidRPr="008829CE">
        <w:rPr>
          <w:b w:val="0"/>
        </w:rPr>
        <w:fldChar w:fldCharType="separate"/>
      </w:r>
      <w:r w:rsidR="00A81CE0">
        <w:rPr>
          <w:b w:val="0"/>
          <w:noProof/>
        </w:rPr>
        <w:t>4</w:t>
      </w:r>
      <w:r w:rsidR="00D76498" w:rsidRPr="008829CE">
        <w:rPr>
          <w:b w:val="0"/>
        </w:rPr>
        <w:fldChar w:fldCharType="end"/>
      </w:r>
      <w:bookmarkEnd w:id="8"/>
      <w:r w:rsidRPr="008829CE">
        <w:rPr>
          <w:b w:val="0"/>
        </w:rPr>
        <w:t>:</w:t>
      </w:r>
      <w:r w:rsidRPr="008829CE">
        <w:rPr>
          <w:b w:val="0"/>
          <w:noProof/>
        </w:rPr>
        <w:t>Room by Room Correlation of STIPA Measurements</w:t>
      </w:r>
    </w:p>
    <w:tbl>
      <w:tblPr>
        <w:tblW w:w="10069" w:type="dxa"/>
        <w:tblLayout w:type="fixed"/>
        <w:tblLook w:val="04A0"/>
      </w:tblPr>
      <w:tblGrid>
        <w:gridCol w:w="721"/>
        <w:gridCol w:w="852"/>
        <w:gridCol w:w="95"/>
        <w:gridCol w:w="850"/>
        <w:gridCol w:w="851"/>
        <w:gridCol w:w="992"/>
        <w:gridCol w:w="808"/>
        <w:gridCol w:w="184"/>
        <w:gridCol w:w="709"/>
        <w:gridCol w:w="506"/>
        <w:gridCol w:w="643"/>
        <w:gridCol w:w="506"/>
        <w:gridCol w:w="481"/>
        <w:gridCol w:w="506"/>
        <w:gridCol w:w="386"/>
        <w:gridCol w:w="209"/>
        <w:gridCol w:w="455"/>
        <w:gridCol w:w="315"/>
      </w:tblGrid>
      <w:tr w:rsidR="008829CE" w:rsidRPr="00331D61" w:rsidTr="00757503">
        <w:trPr>
          <w:trHeight w:val="20"/>
        </w:trPr>
        <w:tc>
          <w:tcPr>
            <w:tcW w:w="721" w:type="dxa"/>
            <w:tcBorders>
              <w:top w:val="nil"/>
              <w:left w:val="nil"/>
              <w:bottom w:val="nil"/>
              <w:right w:val="nil"/>
            </w:tcBorders>
            <w:shd w:val="clear" w:color="auto" w:fill="auto"/>
            <w:noWrap/>
            <w:vAlign w:val="bottom"/>
            <w:hideMark/>
          </w:tcPr>
          <w:p w:rsidR="00685C4B" w:rsidRPr="00331D61" w:rsidRDefault="00685C4B" w:rsidP="00685C4B">
            <w:pPr>
              <w:rPr>
                <w:rFonts w:ascii="Calibri" w:eastAsia="Times New Roman" w:hAnsi="Calibri"/>
                <w:b/>
                <w:color w:val="000000"/>
                <w:sz w:val="16"/>
                <w:szCs w:val="16"/>
                <w:lang w:eastAsia="en-GB"/>
              </w:rPr>
            </w:pPr>
          </w:p>
        </w:tc>
        <w:tc>
          <w:tcPr>
            <w:tcW w:w="852" w:type="dxa"/>
            <w:tcBorders>
              <w:top w:val="nil"/>
              <w:left w:val="nil"/>
              <w:bottom w:val="nil"/>
              <w:right w:val="nil"/>
            </w:tcBorders>
            <w:shd w:val="clear" w:color="auto" w:fill="auto"/>
            <w:noWrap/>
            <w:vAlign w:val="bottom"/>
            <w:hideMark/>
          </w:tcPr>
          <w:p w:rsidR="00685C4B" w:rsidRPr="008829CE" w:rsidRDefault="00685C4B" w:rsidP="00685C4B">
            <w:pPr>
              <w:ind w:firstLine="0"/>
              <w:rPr>
                <w:rFonts w:ascii="Calibri" w:eastAsia="Times New Roman" w:hAnsi="Calibri"/>
                <w:b/>
                <w:color w:val="000000"/>
                <w:sz w:val="18"/>
                <w:szCs w:val="18"/>
                <w:lang w:eastAsia="en-GB"/>
              </w:rPr>
            </w:pPr>
            <w:r w:rsidRPr="008829CE">
              <w:rPr>
                <w:rFonts w:ascii="Calibri" w:eastAsia="Times New Roman" w:hAnsi="Calibri"/>
                <w:b/>
                <w:color w:val="000000"/>
                <w:sz w:val="18"/>
                <w:szCs w:val="18"/>
                <w:lang w:eastAsia="en-GB"/>
              </w:rPr>
              <w:t>Totals</w:t>
            </w:r>
          </w:p>
        </w:tc>
        <w:tc>
          <w:tcPr>
            <w:tcW w:w="945" w:type="dxa"/>
            <w:gridSpan w:val="2"/>
            <w:tcBorders>
              <w:top w:val="nil"/>
              <w:left w:val="nil"/>
              <w:bottom w:val="nil"/>
              <w:right w:val="nil"/>
            </w:tcBorders>
            <w:shd w:val="clear" w:color="auto" w:fill="auto"/>
            <w:noWrap/>
            <w:vAlign w:val="bottom"/>
            <w:hideMark/>
          </w:tcPr>
          <w:p w:rsidR="00685C4B" w:rsidRPr="008829CE" w:rsidRDefault="00685C4B" w:rsidP="00685C4B">
            <w:pPr>
              <w:rPr>
                <w:rFonts w:eastAsia="Times New Roman"/>
                <w:b/>
                <w:sz w:val="18"/>
                <w:szCs w:val="18"/>
                <w:lang w:eastAsia="en-GB"/>
              </w:rPr>
            </w:pPr>
          </w:p>
        </w:tc>
        <w:tc>
          <w:tcPr>
            <w:tcW w:w="851" w:type="dxa"/>
            <w:tcBorders>
              <w:top w:val="nil"/>
              <w:left w:val="nil"/>
              <w:bottom w:val="nil"/>
              <w:right w:val="nil"/>
            </w:tcBorders>
            <w:shd w:val="clear" w:color="auto" w:fill="auto"/>
            <w:noWrap/>
            <w:vAlign w:val="bottom"/>
            <w:hideMark/>
          </w:tcPr>
          <w:p w:rsidR="00685C4B" w:rsidRPr="008829CE" w:rsidRDefault="00685C4B" w:rsidP="00685C4B">
            <w:pPr>
              <w:rPr>
                <w:rFonts w:eastAsia="Times New Roman"/>
                <w:b/>
                <w:sz w:val="18"/>
                <w:szCs w:val="18"/>
                <w:lang w:eastAsia="en-GB"/>
              </w:rPr>
            </w:pPr>
          </w:p>
        </w:tc>
        <w:tc>
          <w:tcPr>
            <w:tcW w:w="1800" w:type="dxa"/>
            <w:gridSpan w:val="2"/>
            <w:tcBorders>
              <w:top w:val="nil"/>
              <w:left w:val="nil"/>
              <w:bottom w:val="nil"/>
              <w:right w:val="nil"/>
            </w:tcBorders>
            <w:shd w:val="clear" w:color="auto" w:fill="auto"/>
            <w:noWrap/>
            <w:vAlign w:val="bottom"/>
            <w:hideMark/>
          </w:tcPr>
          <w:p w:rsidR="00685C4B" w:rsidRPr="008829CE" w:rsidRDefault="00685C4B" w:rsidP="00685C4B">
            <w:pPr>
              <w:rPr>
                <w:rFonts w:ascii="Calibri" w:eastAsia="Times New Roman" w:hAnsi="Calibri"/>
                <w:b/>
                <w:color w:val="000000"/>
                <w:sz w:val="18"/>
                <w:szCs w:val="18"/>
                <w:lang w:eastAsia="en-GB"/>
              </w:rPr>
            </w:pPr>
            <w:r w:rsidRPr="008829CE">
              <w:rPr>
                <w:rFonts w:ascii="Calibri" w:eastAsia="Times New Roman" w:hAnsi="Calibri"/>
                <w:b/>
                <w:color w:val="000000"/>
                <w:sz w:val="18"/>
                <w:szCs w:val="18"/>
                <w:lang w:eastAsia="en-GB"/>
              </w:rPr>
              <w:t>K0.18</w:t>
            </w:r>
          </w:p>
        </w:tc>
        <w:tc>
          <w:tcPr>
            <w:tcW w:w="893" w:type="dxa"/>
            <w:gridSpan w:val="2"/>
            <w:tcBorders>
              <w:top w:val="nil"/>
              <w:left w:val="nil"/>
              <w:bottom w:val="nil"/>
              <w:right w:val="nil"/>
            </w:tcBorders>
            <w:shd w:val="clear" w:color="auto" w:fill="auto"/>
            <w:noWrap/>
            <w:vAlign w:val="bottom"/>
            <w:hideMark/>
          </w:tcPr>
          <w:p w:rsidR="00685C4B" w:rsidRPr="008829CE" w:rsidRDefault="00685C4B" w:rsidP="00685C4B">
            <w:pPr>
              <w:rPr>
                <w:rFonts w:ascii="Calibri" w:eastAsia="Times New Roman" w:hAnsi="Calibri"/>
                <w:b/>
                <w:color w:val="000000"/>
                <w:sz w:val="18"/>
                <w:szCs w:val="18"/>
                <w:lang w:eastAsia="en-GB"/>
              </w:rPr>
            </w:pPr>
          </w:p>
        </w:tc>
        <w:tc>
          <w:tcPr>
            <w:tcW w:w="506" w:type="dxa"/>
            <w:tcBorders>
              <w:top w:val="nil"/>
              <w:left w:val="nil"/>
              <w:bottom w:val="single" w:sz="8" w:space="0" w:color="auto"/>
              <w:right w:val="nil"/>
            </w:tcBorders>
            <w:shd w:val="clear" w:color="auto" w:fill="auto"/>
            <w:noWrap/>
            <w:vAlign w:val="bottom"/>
            <w:hideMark/>
          </w:tcPr>
          <w:p w:rsidR="00685C4B" w:rsidRPr="008829CE" w:rsidRDefault="00685C4B" w:rsidP="00685C4B">
            <w:pPr>
              <w:rPr>
                <w:rFonts w:eastAsia="Times New Roman"/>
                <w:b/>
                <w:sz w:val="18"/>
                <w:szCs w:val="18"/>
                <w:lang w:eastAsia="en-GB"/>
              </w:rPr>
            </w:pPr>
          </w:p>
        </w:tc>
        <w:tc>
          <w:tcPr>
            <w:tcW w:w="1149" w:type="dxa"/>
            <w:gridSpan w:val="2"/>
            <w:tcBorders>
              <w:top w:val="nil"/>
              <w:left w:val="nil"/>
              <w:bottom w:val="nil"/>
              <w:right w:val="nil"/>
            </w:tcBorders>
            <w:shd w:val="clear" w:color="auto" w:fill="auto"/>
            <w:noWrap/>
            <w:vAlign w:val="bottom"/>
            <w:hideMark/>
          </w:tcPr>
          <w:p w:rsidR="00685C4B" w:rsidRPr="008829CE" w:rsidRDefault="00685C4B" w:rsidP="008829CE">
            <w:pPr>
              <w:ind w:firstLine="24"/>
              <w:rPr>
                <w:rFonts w:eastAsia="Times New Roman"/>
                <w:b/>
                <w:sz w:val="18"/>
                <w:szCs w:val="18"/>
                <w:lang w:eastAsia="en-GB"/>
              </w:rPr>
            </w:pPr>
            <w:r w:rsidRPr="008829CE">
              <w:rPr>
                <w:rFonts w:ascii="Calibri" w:eastAsia="Times New Roman" w:hAnsi="Calibri"/>
                <w:b/>
                <w:color w:val="000000"/>
                <w:sz w:val="18"/>
                <w:szCs w:val="18"/>
                <w:lang w:eastAsia="en-GB"/>
              </w:rPr>
              <w:t>K0.16</w:t>
            </w:r>
          </w:p>
        </w:tc>
        <w:tc>
          <w:tcPr>
            <w:tcW w:w="987" w:type="dxa"/>
            <w:gridSpan w:val="2"/>
            <w:tcBorders>
              <w:top w:val="nil"/>
              <w:left w:val="nil"/>
              <w:bottom w:val="nil"/>
              <w:right w:val="nil"/>
            </w:tcBorders>
            <w:shd w:val="clear" w:color="auto" w:fill="auto"/>
            <w:noWrap/>
            <w:vAlign w:val="bottom"/>
            <w:hideMark/>
          </w:tcPr>
          <w:p w:rsidR="00685C4B" w:rsidRPr="00331D61" w:rsidRDefault="00685C4B" w:rsidP="00685C4B">
            <w:pPr>
              <w:rPr>
                <w:rFonts w:ascii="Calibri" w:eastAsia="Times New Roman" w:hAnsi="Calibri"/>
                <w:b/>
                <w:color w:val="000000"/>
                <w:sz w:val="16"/>
                <w:szCs w:val="16"/>
                <w:lang w:eastAsia="en-GB"/>
              </w:rPr>
            </w:pPr>
          </w:p>
        </w:tc>
        <w:tc>
          <w:tcPr>
            <w:tcW w:w="595" w:type="dxa"/>
            <w:gridSpan w:val="2"/>
            <w:tcBorders>
              <w:top w:val="nil"/>
              <w:left w:val="nil"/>
              <w:bottom w:val="nil"/>
              <w:right w:val="nil"/>
            </w:tcBorders>
            <w:shd w:val="clear" w:color="auto" w:fill="auto"/>
            <w:noWrap/>
            <w:vAlign w:val="bottom"/>
            <w:hideMark/>
          </w:tcPr>
          <w:p w:rsidR="00685C4B" w:rsidRPr="00331D61" w:rsidRDefault="00685C4B" w:rsidP="00685C4B">
            <w:pPr>
              <w:rPr>
                <w:rFonts w:ascii="Calibri" w:eastAsia="Times New Roman" w:hAnsi="Calibri"/>
                <w:color w:val="000000"/>
                <w:sz w:val="16"/>
                <w:szCs w:val="16"/>
                <w:lang w:eastAsia="en-GB"/>
              </w:rPr>
            </w:pPr>
          </w:p>
        </w:tc>
        <w:tc>
          <w:tcPr>
            <w:tcW w:w="455" w:type="dxa"/>
            <w:tcBorders>
              <w:top w:val="nil"/>
              <w:left w:val="nil"/>
              <w:bottom w:val="nil"/>
              <w:right w:val="nil"/>
            </w:tcBorders>
            <w:shd w:val="clear" w:color="auto" w:fill="auto"/>
            <w:noWrap/>
            <w:vAlign w:val="bottom"/>
            <w:hideMark/>
          </w:tcPr>
          <w:p w:rsidR="00685C4B" w:rsidRPr="00331D61" w:rsidRDefault="00685C4B" w:rsidP="00685C4B">
            <w:pPr>
              <w:rPr>
                <w:rFonts w:eastAsia="Times New Roman"/>
                <w:sz w:val="16"/>
                <w:szCs w:val="16"/>
                <w:lang w:eastAsia="en-GB"/>
              </w:rPr>
            </w:pPr>
          </w:p>
        </w:tc>
        <w:tc>
          <w:tcPr>
            <w:tcW w:w="315" w:type="dxa"/>
            <w:tcBorders>
              <w:top w:val="nil"/>
              <w:left w:val="nil"/>
              <w:bottom w:val="nil"/>
              <w:right w:val="nil"/>
            </w:tcBorders>
            <w:shd w:val="clear" w:color="auto" w:fill="auto"/>
            <w:noWrap/>
            <w:vAlign w:val="bottom"/>
            <w:hideMark/>
          </w:tcPr>
          <w:p w:rsidR="00685C4B" w:rsidRPr="00331D61" w:rsidRDefault="00685C4B" w:rsidP="00685C4B">
            <w:pPr>
              <w:rPr>
                <w:rFonts w:eastAsia="Times New Roman"/>
                <w:sz w:val="16"/>
                <w:szCs w:val="16"/>
                <w:lang w:eastAsia="en-GB"/>
              </w:rPr>
            </w:pPr>
          </w:p>
        </w:tc>
      </w:tr>
      <w:tr w:rsidR="00757503" w:rsidRPr="00331D61" w:rsidTr="00757503">
        <w:trPr>
          <w:gridAfter w:val="3"/>
          <w:wAfter w:w="979" w:type="dxa"/>
          <w:trHeight w:val="20"/>
        </w:trPr>
        <w:tc>
          <w:tcPr>
            <w:tcW w:w="721" w:type="dxa"/>
            <w:tcBorders>
              <w:top w:val="single" w:sz="8" w:space="0" w:color="auto"/>
              <w:left w:val="nil"/>
              <w:bottom w:val="single" w:sz="4" w:space="0" w:color="auto"/>
              <w:right w:val="nil"/>
            </w:tcBorders>
            <w:shd w:val="clear" w:color="auto" w:fill="auto"/>
            <w:noWrap/>
            <w:vAlign w:val="bottom"/>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 </w:t>
            </w:r>
          </w:p>
        </w:tc>
        <w:tc>
          <w:tcPr>
            <w:tcW w:w="947" w:type="dxa"/>
            <w:gridSpan w:val="2"/>
            <w:tcBorders>
              <w:top w:val="single" w:sz="8" w:space="0" w:color="auto"/>
              <w:left w:val="nil"/>
              <w:bottom w:val="single" w:sz="4" w:space="0" w:color="auto"/>
              <w:right w:val="nil"/>
            </w:tcBorders>
            <w:shd w:val="clear" w:color="auto" w:fill="auto"/>
            <w:vAlign w:val="bottom"/>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(Natural)</w:t>
            </w:r>
          </w:p>
        </w:tc>
        <w:tc>
          <w:tcPr>
            <w:tcW w:w="850" w:type="dxa"/>
            <w:tcBorders>
              <w:top w:val="single" w:sz="8" w:space="0" w:color="auto"/>
              <w:left w:val="nil"/>
              <w:bottom w:val="single" w:sz="4" w:space="0" w:color="auto"/>
              <w:right w:val="nil"/>
            </w:tcBorders>
            <w:shd w:val="clear" w:color="auto" w:fill="auto"/>
            <w:vAlign w:val="bottom"/>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(PA)</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(100v)</w:t>
            </w:r>
          </w:p>
        </w:tc>
        <w:tc>
          <w:tcPr>
            <w:tcW w:w="992" w:type="dxa"/>
            <w:tcBorders>
              <w:top w:val="single" w:sz="8" w:space="0" w:color="auto"/>
              <w:left w:val="single" w:sz="4" w:space="0" w:color="auto"/>
              <w:bottom w:val="single" w:sz="4" w:space="0" w:color="auto"/>
              <w:right w:val="nil"/>
            </w:tcBorders>
            <w:shd w:val="clear" w:color="auto" w:fill="auto"/>
            <w:vAlign w:val="bottom"/>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(Natural)</w:t>
            </w:r>
          </w:p>
        </w:tc>
        <w:tc>
          <w:tcPr>
            <w:tcW w:w="992" w:type="dxa"/>
            <w:gridSpan w:val="2"/>
            <w:tcBorders>
              <w:top w:val="single" w:sz="8" w:space="0" w:color="auto"/>
              <w:left w:val="nil"/>
              <w:bottom w:val="single" w:sz="4" w:space="0" w:color="auto"/>
              <w:right w:val="nil"/>
            </w:tcBorders>
            <w:shd w:val="clear" w:color="auto" w:fill="auto"/>
            <w:vAlign w:val="bottom"/>
            <w:hideMark/>
          </w:tcPr>
          <w:p w:rsidR="00757503" w:rsidRPr="00331D61" w:rsidRDefault="00757503" w:rsidP="00685C4B">
            <w:pPr>
              <w:ind w:firstLine="0"/>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(PA)</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757503" w:rsidRPr="00331D61" w:rsidRDefault="00757503" w:rsidP="00685C4B">
            <w:pPr>
              <w:ind w:hanging="24"/>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(100v)</w:t>
            </w:r>
          </w:p>
        </w:tc>
        <w:tc>
          <w:tcPr>
            <w:tcW w:w="1149" w:type="dxa"/>
            <w:gridSpan w:val="2"/>
            <w:tcBorders>
              <w:top w:val="single" w:sz="8" w:space="0" w:color="auto"/>
              <w:left w:val="nil"/>
              <w:bottom w:val="single" w:sz="4" w:space="0" w:color="auto"/>
              <w:right w:val="nil"/>
            </w:tcBorders>
            <w:shd w:val="clear" w:color="auto" w:fill="auto"/>
            <w:vAlign w:val="bottom"/>
            <w:hideMark/>
          </w:tcPr>
          <w:p w:rsidR="00757503" w:rsidRPr="00331D61" w:rsidRDefault="00757503" w:rsidP="00685C4B">
            <w:pPr>
              <w:ind w:firstLine="0"/>
              <w:jc w:val="left"/>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(Natural)</w:t>
            </w:r>
          </w:p>
        </w:tc>
        <w:tc>
          <w:tcPr>
            <w:tcW w:w="987" w:type="dxa"/>
            <w:gridSpan w:val="2"/>
            <w:tcBorders>
              <w:top w:val="single" w:sz="8" w:space="0" w:color="auto"/>
              <w:left w:val="nil"/>
              <w:bottom w:val="single" w:sz="4" w:space="0" w:color="auto"/>
              <w:right w:val="nil"/>
            </w:tcBorders>
            <w:shd w:val="clear" w:color="auto" w:fill="auto"/>
            <w:vAlign w:val="bottom"/>
            <w:hideMark/>
          </w:tcPr>
          <w:p w:rsidR="00757503" w:rsidRPr="00331D61" w:rsidRDefault="00757503" w:rsidP="00685C4B">
            <w:pPr>
              <w:ind w:firstLine="0"/>
              <w:jc w:val="left"/>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(PA)</w:t>
            </w:r>
          </w:p>
        </w:tc>
        <w:tc>
          <w:tcPr>
            <w:tcW w:w="892" w:type="dxa"/>
            <w:gridSpan w:val="2"/>
            <w:tcBorders>
              <w:top w:val="single" w:sz="8" w:space="0" w:color="auto"/>
              <w:left w:val="nil"/>
              <w:bottom w:val="single" w:sz="4" w:space="0" w:color="auto"/>
              <w:right w:val="nil"/>
            </w:tcBorders>
            <w:shd w:val="clear" w:color="auto" w:fill="auto"/>
            <w:vAlign w:val="bottom"/>
            <w:hideMark/>
          </w:tcPr>
          <w:p w:rsidR="00757503" w:rsidRPr="00331D61" w:rsidRDefault="00757503" w:rsidP="00685C4B">
            <w:pPr>
              <w:ind w:firstLine="0"/>
              <w:jc w:val="left"/>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(100v)</w:t>
            </w:r>
          </w:p>
        </w:tc>
      </w:tr>
      <w:tr w:rsidR="00757503" w:rsidRPr="00331D61" w:rsidTr="00757503">
        <w:trPr>
          <w:gridAfter w:val="3"/>
          <w:wAfter w:w="979" w:type="dxa"/>
          <w:trHeight w:val="20"/>
        </w:trPr>
        <w:tc>
          <w:tcPr>
            <w:tcW w:w="721" w:type="dxa"/>
            <w:tcBorders>
              <w:top w:val="nil"/>
              <w:left w:val="nil"/>
              <w:bottom w:val="nil"/>
              <w:right w:val="nil"/>
            </w:tcBorders>
            <w:shd w:val="clear" w:color="auto" w:fill="EEECE1" w:themeFill="background2"/>
            <w:vAlign w:val="center"/>
            <w:hideMark/>
          </w:tcPr>
          <w:p w:rsidR="00757503"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STI</w:t>
            </w:r>
          </w:p>
          <w:p w:rsidR="00757503" w:rsidRPr="00331D61"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(Natural)</w:t>
            </w:r>
          </w:p>
        </w:tc>
        <w:tc>
          <w:tcPr>
            <w:tcW w:w="947"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50" w:type="dxa"/>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851" w:type="dxa"/>
            <w:tcBorders>
              <w:top w:val="nil"/>
              <w:left w:val="nil"/>
              <w:bottom w:val="nil"/>
              <w:right w:val="single" w:sz="4" w:space="0" w:color="auto"/>
            </w:tcBorders>
            <w:shd w:val="clear" w:color="auto" w:fill="EEECE1" w:themeFill="background2"/>
            <w:noWrap/>
            <w:vAlign w:val="center"/>
            <w:hideMark/>
          </w:tcPr>
          <w:p w:rsidR="00757503" w:rsidRPr="008829CE" w:rsidRDefault="00757503" w:rsidP="00685C4B">
            <w:pPr>
              <w:jc w:val="center"/>
              <w:rPr>
                <w:rFonts w:eastAsia="Times New Roman"/>
                <w:sz w:val="18"/>
                <w:szCs w:val="18"/>
                <w:lang w:eastAsia="en-GB"/>
              </w:rPr>
            </w:pPr>
          </w:p>
        </w:tc>
        <w:tc>
          <w:tcPr>
            <w:tcW w:w="992" w:type="dxa"/>
            <w:tcBorders>
              <w:top w:val="nil"/>
              <w:left w:val="single" w:sz="4" w:space="0" w:color="auto"/>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992"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709" w:type="dxa"/>
            <w:tcBorders>
              <w:top w:val="nil"/>
              <w:left w:val="nil"/>
              <w:bottom w:val="nil"/>
              <w:right w:val="single" w:sz="4" w:space="0" w:color="auto"/>
            </w:tcBorders>
            <w:shd w:val="clear" w:color="auto" w:fill="EEECE1" w:themeFill="background2"/>
            <w:noWrap/>
            <w:vAlign w:val="center"/>
            <w:hideMark/>
          </w:tcPr>
          <w:p w:rsidR="00757503" w:rsidRPr="008829CE" w:rsidRDefault="00757503" w:rsidP="00685C4B">
            <w:pPr>
              <w:jc w:val="center"/>
              <w:rPr>
                <w:rFonts w:eastAsia="Times New Roman"/>
                <w:sz w:val="18"/>
                <w:szCs w:val="18"/>
                <w:lang w:eastAsia="en-GB"/>
              </w:rPr>
            </w:pPr>
          </w:p>
        </w:tc>
        <w:tc>
          <w:tcPr>
            <w:tcW w:w="1149"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987"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892"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eastAsia="Times New Roman"/>
                <w:sz w:val="18"/>
                <w:szCs w:val="18"/>
                <w:lang w:eastAsia="en-GB"/>
              </w:rPr>
            </w:pPr>
          </w:p>
        </w:tc>
      </w:tr>
      <w:tr w:rsidR="00757503" w:rsidRPr="00331D61" w:rsidTr="00757503">
        <w:trPr>
          <w:gridAfter w:val="3"/>
          <w:wAfter w:w="979" w:type="dxa"/>
          <w:trHeight w:val="20"/>
        </w:trPr>
        <w:tc>
          <w:tcPr>
            <w:tcW w:w="721" w:type="dxa"/>
            <w:tcBorders>
              <w:top w:val="nil"/>
              <w:left w:val="nil"/>
              <w:bottom w:val="nil"/>
              <w:right w:val="nil"/>
            </w:tcBorders>
            <w:shd w:val="clear" w:color="auto" w:fill="auto"/>
            <w:vAlign w:val="center"/>
            <w:hideMark/>
          </w:tcPr>
          <w:p w:rsidR="00757503"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STI</w:t>
            </w:r>
          </w:p>
          <w:p w:rsidR="00757503" w:rsidRPr="00331D61"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(PA)</w:t>
            </w:r>
          </w:p>
        </w:tc>
        <w:tc>
          <w:tcPr>
            <w:tcW w:w="947"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0.35</w:t>
            </w:r>
          </w:p>
        </w:tc>
        <w:tc>
          <w:tcPr>
            <w:tcW w:w="850" w:type="dxa"/>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51" w:type="dxa"/>
            <w:tcBorders>
              <w:top w:val="nil"/>
              <w:left w:val="nil"/>
              <w:bottom w:val="nil"/>
              <w:right w:val="single" w:sz="4" w:space="0" w:color="auto"/>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992" w:type="dxa"/>
            <w:tcBorders>
              <w:top w:val="nil"/>
              <w:left w:val="single" w:sz="4" w:space="0" w:color="auto"/>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-0.11</w:t>
            </w:r>
          </w:p>
        </w:tc>
        <w:tc>
          <w:tcPr>
            <w:tcW w:w="992"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709" w:type="dxa"/>
            <w:tcBorders>
              <w:top w:val="nil"/>
              <w:left w:val="nil"/>
              <w:bottom w:val="nil"/>
              <w:right w:val="single" w:sz="4" w:space="0" w:color="auto"/>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1149"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0.64</w:t>
            </w:r>
          </w:p>
        </w:tc>
        <w:tc>
          <w:tcPr>
            <w:tcW w:w="987"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92"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r>
      <w:tr w:rsidR="00757503" w:rsidRPr="00331D61" w:rsidTr="00757503">
        <w:trPr>
          <w:gridAfter w:val="3"/>
          <w:wAfter w:w="979" w:type="dxa"/>
          <w:trHeight w:val="20"/>
        </w:trPr>
        <w:tc>
          <w:tcPr>
            <w:tcW w:w="721" w:type="dxa"/>
            <w:tcBorders>
              <w:top w:val="nil"/>
              <w:left w:val="nil"/>
              <w:bottom w:val="single" w:sz="8" w:space="0" w:color="auto"/>
              <w:right w:val="nil"/>
            </w:tcBorders>
            <w:shd w:val="clear" w:color="auto" w:fill="EEECE1" w:themeFill="background2"/>
            <w:vAlign w:val="center"/>
            <w:hideMark/>
          </w:tcPr>
          <w:p w:rsidR="00757503"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STI</w:t>
            </w:r>
          </w:p>
          <w:p w:rsidR="00757503" w:rsidRPr="00331D61"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(100v)</w:t>
            </w:r>
          </w:p>
        </w:tc>
        <w:tc>
          <w:tcPr>
            <w:tcW w:w="947"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0.84</w:t>
            </w:r>
          </w:p>
        </w:tc>
        <w:tc>
          <w:tcPr>
            <w:tcW w:w="850" w:type="dxa"/>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0.39</w:t>
            </w:r>
          </w:p>
        </w:tc>
        <w:tc>
          <w:tcPr>
            <w:tcW w:w="851" w:type="dxa"/>
            <w:tcBorders>
              <w:top w:val="nil"/>
              <w:left w:val="nil"/>
              <w:bottom w:val="single" w:sz="8" w:space="0" w:color="auto"/>
              <w:right w:val="single" w:sz="4" w:space="0" w:color="auto"/>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992" w:type="dxa"/>
            <w:tcBorders>
              <w:top w:val="nil"/>
              <w:left w:val="single" w:sz="4" w:space="0" w:color="auto"/>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0.59</w:t>
            </w:r>
          </w:p>
        </w:tc>
        <w:tc>
          <w:tcPr>
            <w:tcW w:w="992"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-0.23</w:t>
            </w:r>
          </w:p>
        </w:tc>
        <w:tc>
          <w:tcPr>
            <w:tcW w:w="709" w:type="dxa"/>
            <w:tcBorders>
              <w:top w:val="nil"/>
              <w:left w:val="nil"/>
              <w:bottom w:val="single" w:sz="8" w:space="0" w:color="auto"/>
              <w:right w:val="single" w:sz="4" w:space="0" w:color="auto"/>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1149"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0.71</w:t>
            </w:r>
          </w:p>
        </w:tc>
        <w:tc>
          <w:tcPr>
            <w:tcW w:w="987"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0.35</w:t>
            </w:r>
          </w:p>
        </w:tc>
        <w:tc>
          <w:tcPr>
            <w:tcW w:w="892"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r>
      <w:tr w:rsidR="00757503" w:rsidRPr="00331D61" w:rsidTr="00757503">
        <w:trPr>
          <w:gridAfter w:val="3"/>
          <w:wAfter w:w="979" w:type="dxa"/>
          <w:trHeight w:val="20"/>
        </w:trPr>
        <w:tc>
          <w:tcPr>
            <w:tcW w:w="721" w:type="dxa"/>
            <w:tcBorders>
              <w:top w:val="nil"/>
              <w:left w:val="nil"/>
              <w:bottom w:val="nil"/>
              <w:right w:val="nil"/>
            </w:tcBorders>
            <w:shd w:val="clear" w:color="auto" w:fill="auto"/>
            <w:noWrap/>
            <w:vAlign w:val="center"/>
            <w:hideMark/>
          </w:tcPr>
          <w:p w:rsidR="00757503" w:rsidRPr="00331D61" w:rsidRDefault="00757503" w:rsidP="008829CE">
            <w:pPr>
              <w:ind w:hanging="108"/>
              <w:jc w:val="left"/>
              <w:rPr>
                <w:rFonts w:ascii="Calibri" w:eastAsia="Times New Roman" w:hAnsi="Calibri"/>
                <w:b/>
                <w:color w:val="000000"/>
                <w:sz w:val="16"/>
                <w:szCs w:val="16"/>
                <w:lang w:eastAsia="en-GB"/>
              </w:rPr>
            </w:pPr>
          </w:p>
        </w:tc>
        <w:tc>
          <w:tcPr>
            <w:tcW w:w="947" w:type="dxa"/>
            <w:gridSpan w:val="2"/>
            <w:tcBorders>
              <w:top w:val="nil"/>
              <w:left w:val="nil"/>
              <w:bottom w:val="nil"/>
              <w:right w:val="nil"/>
            </w:tcBorders>
            <w:shd w:val="clear" w:color="auto" w:fill="auto"/>
            <w:noWrap/>
            <w:vAlign w:val="center"/>
            <w:hideMark/>
          </w:tcPr>
          <w:p w:rsidR="00757503" w:rsidRPr="008829CE" w:rsidRDefault="00757503" w:rsidP="00685C4B">
            <w:pPr>
              <w:ind w:firstLine="0"/>
              <w:jc w:val="center"/>
              <w:rPr>
                <w:rFonts w:ascii="Calibri" w:eastAsia="Times New Roman" w:hAnsi="Calibri"/>
                <w:b/>
                <w:color w:val="000000"/>
                <w:sz w:val="18"/>
                <w:szCs w:val="18"/>
                <w:lang w:eastAsia="en-GB"/>
              </w:rPr>
            </w:pPr>
            <w:r w:rsidRPr="008829CE">
              <w:rPr>
                <w:rFonts w:ascii="Calibri" w:eastAsia="Times New Roman" w:hAnsi="Calibri"/>
                <w:b/>
                <w:color w:val="000000"/>
                <w:sz w:val="18"/>
                <w:szCs w:val="18"/>
                <w:lang w:eastAsia="en-GB"/>
              </w:rPr>
              <w:t>K0.20 (T)</w:t>
            </w:r>
          </w:p>
        </w:tc>
        <w:tc>
          <w:tcPr>
            <w:tcW w:w="850" w:type="dxa"/>
            <w:tcBorders>
              <w:top w:val="nil"/>
              <w:left w:val="nil"/>
              <w:bottom w:val="nil"/>
              <w:right w:val="nil"/>
            </w:tcBorders>
            <w:shd w:val="clear" w:color="auto" w:fill="auto"/>
            <w:noWrap/>
            <w:vAlign w:val="center"/>
            <w:hideMark/>
          </w:tcPr>
          <w:p w:rsidR="00757503" w:rsidRPr="008829CE" w:rsidRDefault="00757503" w:rsidP="00685C4B">
            <w:pPr>
              <w:jc w:val="center"/>
              <w:rPr>
                <w:rFonts w:eastAsia="Times New Roman"/>
                <w:b/>
                <w:sz w:val="18"/>
                <w:szCs w:val="18"/>
                <w:lang w:eastAsia="en-GB"/>
              </w:rPr>
            </w:pPr>
          </w:p>
        </w:tc>
        <w:tc>
          <w:tcPr>
            <w:tcW w:w="851" w:type="dxa"/>
            <w:tcBorders>
              <w:top w:val="nil"/>
              <w:left w:val="nil"/>
              <w:bottom w:val="nil"/>
              <w:right w:val="single" w:sz="4" w:space="0" w:color="auto"/>
            </w:tcBorders>
            <w:shd w:val="clear" w:color="auto" w:fill="auto"/>
            <w:noWrap/>
            <w:vAlign w:val="center"/>
            <w:hideMark/>
          </w:tcPr>
          <w:p w:rsidR="00757503" w:rsidRPr="008829CE" w:rsidRDefault="00757503" w:rsidP="00685C4B">
            <w:pPr>
              <w:jc w:val="center"/>
              <w:rPr>
                <w:rFonts w:eastAsia="Times New Roman"/>
                <w:b/>
                <w:sz w:val="18"/>
                <w:szCs w:val="18"/>
                <w:lang w:eastAsia="en-GB"/>
              </w:rPr>
            </w:pPr>
          </w:p>
        </w:tc>
        <w:tc>
          <w:tcPr>
            <w:tcW w:w="992" w:type="dxa"/>
            <w:tcBorders>
              <w:top w:val="nil"/>
              <w:left w:val="single" w:sz="4" w:space="0" w:color="auto"/>
              <w:bottom w:val="nil"/>
              <w:right w:val="nil"/>
            </w:tcBorders>
            <w:shd w:val="clear" w:color="auto" w:fill="auto"/>
            <w:noWrap/>
            <w:vAlign w:val="center"/>
            <w:hideMark/>
          </w:tcPr>
          <w:p w:rsidR="00757503" w:rsidRDefault="00757503" w:rsidP="00685C4B">
            <w:pPr>
              <w:jc w:val="center"/>
              <w:rPr>
                <w:rFonts w:ascii="Calibri" w:eastAsia="Times New Roman" w:hAnsi="Calibri"/>
                <w:b/>
                <w:color w:val="000000"/>
                <w:sz w:val="18"/>
                <w:szCs w:val="18"/>
                <w:lang w:eastAsia="en-GB"/>
              </w:rPr>
            </w:pPr>
            <w:r w:rsidRPr="008829CE">
              <w:rPr>
                <w:rFonts w:ascii="Calibri" w:eastAsia="Times New Roman" w:hAnsi="Calibri"/>
                <w:b/>
                <w:color w:val="000000"/>
                <w:sz w:val="18"/>
                <w:szCs w:val="18"/>
                <w:lang w:eastAsia="en-GB"/>
              </w:rPr>
              <w:t xml:space="preserve">K0.20 </w:t>
            </w:r>
          </w:p>
          <w:p w:rsidR="00757503" w:rsidRPr="008829CE" w:rsidRDefault="00757503" w:rsidP="00685C4B">
            <w:pPr>
              <w:jc w:val="center"/>
              <w:rPr>
                <w:rFonts w:ascii="Calibri" w:eastAsia="Times New Roman" w:hAnsi="Calibri"/>
                <w:b/>
                <w:color w:val="000000"/>
                <w:sz w:val="18"/>
                <w:szCs w:val="18"/>
                <w:lang w:eastAsia="en-GB"/>
              </w:rPr>
            </w:pPr>
            <w:r w:rsidRPr="008829CE">
              <w:rPr>
                <w:rFonts w:ascii="Calibri" w:eastAsia="Times New Roman" w:hAnsi="Calibri"/>
                <w:b/>
                <w:color w:val="000000"/>
                <w:sz w:val="18"/>
                <w:szCs w:val="18"/>
                <w:lang w:eastAsia="en-GB"/>
              </w:rPr>
              <w:t>(U)</w:t>
            </w:r>
          </w:p>
        </w:tc>
        <w:tc>
          <w:tcPr>
            <w:tcW w:w="992"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eastAsia="Times New Roman"/>
                <w:b/>
                <w:sz w:val="18"/>
                <w:szCs w:val="18"/>
                <w:lang w:eastAsia="en-GB"/>
              </w:rPr>
            </w:pPr>
          </w:p>
        </w:tc>
        <w:tc>
          <w:tcPr>
            <w:tcW w:w="709" w:type="dxa"/>
            <w:tcBorders>
              <w:top w:val="nil"/>
              <w:left w:val="nil"/>
              <w:bottom w:val="nil"/>
              <w:right w:val="single" w:sz="4" w:space="0" w:color="auto"/>
            </w:tcBorders>
            <w:shd w:val="clear" w:color="auto" w:fill="auto"/>
            <w:noWrap/>
            <w:vAlign w:val="center"/>
            <w:hideMark/>
          </w:tcPr>
          <w:p w:rsidR="00757503" w:rsidRPr="008829CE" w:rsidRDefault="00757503" w:rsidP="00685C4B">
            <w:pPr>
              <w:jc w:val="center"/>
              <w:rPr>
                <w:rFonts w:eastAsia="Times New Roman"/>
                <w:b/>
                <w:sz w:val="18"/>
                <w:szCs w:val="18"/>
                <w:lang w:eastAsia="en-GB"/>
              </w:rPr>
            </w:pPr>
          </w:p>
        </w:tc>
        <w:tc>
          <w:tcPr>
            <w:tcW w:w="1149" w:type="dxa"/>
            <w:gridSpan w:val="2"/>
            <w:tcBorders>
              <w:top w:val="nil"/>
              <w:left w:val="nil"/>
              <w:bottom w:val="nil"/>
              <w:right w:val="nil"/>
            </w:tcBorders>
            <w:shd w:val="clear" w:color="auto" w:fill="auto"/>
            <w:noWrap/>
            <w:vAlign w:val="center"/>
            <w:hideMark/>
          </w:tcPr>
          <w:p w:rsidR="00757503" w:rsidRPr="008829CE" w:rsidRDefault="00757503" w:rsidP="00757503">
            <w:pPr>
              <w:ind w:firstLine="0"/>
              <w:jc w:val="center"/>
              <w:rPr>
                <w:rFonts w:ascii="Calibri" w:eastAsia="Times New Roman" w:hAnsi="Calibri"/>
                <w:color w:val="000000"/>
                <w:sz w:val="18"/>
                <w:szCs w:val="18"/>
                <w:lang w:eastAsia="en-GB"/>
              </w:rPr>
            </w:pPr>
            <w:r w:rsidRPr="008829CE">
              <w:rPr>
                <w:rFonts w:ascii="Calibri" w:eastAsia="Times New Roman" w:hAnsi="Calibri"/>
                <w:b/>
                <w:color w:val="000000"/>
                <w:sz w:val="18"/>
                <w:szCs w:val="18"/>
                <w:lang w:eastAsia="en-GB"/>
              </w:rPr>
              <w:t>K4U.12</w:t>
            </w:r>
          </w:p>
        </w:tc>
        <w:tc>
          <w:tcPr>
            <w:tcW w:w="987" w:type="dxa"/>
            <w:gridSpan w:val="2"/>
            <w:tcBorders>
              <w:top w:val="nil"/>
              <w:left w:val="nil"/>
              <w:bottom w:val="nil"/>
              <w:right w:val="nil"/>
            </w:tcBorders>
            <w:shd w:val="clear" w:color="auto" w:fill="auto"/>
            <w:noWrap/>
            <w:vAlign w:val="center"/>
            <w:hideMark/>
          </w:tcPr>
          <w:p w:rsidR="00757503" w:rsidRPr="00331D61" w:rsidRDefault="00757503" w:rsidP="00685C4B">
            <w:pPr>
              <w:jc w:val="center"/>
              <w:rPr>
                <w:rFonts w:eastAsia="Times New Roman"/>
                <w:sz w:val="16"/>
                <w:szCs w:val="16"/>
                <w:lang w:eastAsia="en-GB"/>
              </w:rPr>
            </w:pPr>
          </w:p>
        </w:tc>
        <w:tc>
          <w:tcPr>
            <w:tcW w:w="892" w:type="dxa"/>
            <w:gridSpan w:val="2"/>
            <w:tcBorders>
              <w:top w:val="nil"/>
              <w:left w:val="nil"/>
              <w:bottom w:val="nil"/>
              <w:right w:val="nil"/>
            </w:tcBorders>
            <w:shd w:val="clear" w:color="auto" w:fill="auto"/>
            <w:noWrap/>
            <w:vAlign w:val="center"/>
            <w:hideMark/>
          </w:tcPr>
          <w:p w:rsidR="00757503" w:rsidRPr="00331D61" w:rsidRDefault="00757503" w:rsidP="00685C4B">
            <w:pPr>
              <w:jc w:val="center"/>
              <w:rPr>
                <w:rFonts w:eastAsia="Times New Roman"/>
                <w:sz w:val="16"/>
                <w:szCs w:val="16"/>
                <w:lang w:eastAsia="en-GB"/>
              </w:rPr>
            </w:pPr>
          </w:p>
        </w:tc>
      </w:tr>
      <w:tr w:rsidR="00757503" w:rsidRPr="00331D61" w:rsidTr="00757503">
        <w:trPr>
          <w:gridAfter w:val="3"/>
          <w:wAfter w:w="979" w:type="dxa"/>
          <w:trHeight w:val="20"/>
        </w:trPr>
        <w:tc>
          <w:tcPr>
            <w:tcW w:w="721" w:type="dxa"/>
            <w:tcBorders>
              <w:top w:val="single" w:sz="8" w:space="0" w:color="auto"/>
              <w:left w:val="nil"/>
              <w:bottom w:val="single" w:sz="4" w:space="0" w:color="auto"/>
              <w:right w:val="nil"/>
            </w:tcBorders>
            <w:shd w:val="clear" w:color="auto" w:fill="auto"/>
            <w:noWrap/>
            <w:vAlign w:val="center"/>
            <w:hideMark/>
          </w:tcPr>
          <w:p w:rsidR="00757503" w:rsidRPr="00331D61" w:rsidRDefault="00757503" w:rsidP="008829CE">
            <w:pPr>
              <w:ind w:hanging="108"/>
              <w:jc w:val="left"/>
              <w:rPr>
                <w:rFonts w:ascii="Calibri" w:eastAsia="Times New Roman" w:hAnsi="Calibri"/>
                <w:i/>
                <w:iCs/>
                <w:color w:val="000000"/>
                <w:sz w:val="16"/>
                <w:szCs w:val="16"/>
                <w:lang w:eastAsia="en-GB"/>
              </w:rPr>
            </w:pPr>
          </w:p>
        </w:tc>
        <w:tc>
          <w:tcPr>
            <w:tcW w:w="947" w:type="dxa"/>
            <w:gridSpan w:val="2"/>
            <w:tcBorders>
              <w:top w:val="single" w:sz="8" w:space="0" w:color="auto"/>
              <w:left w:val="nil"/>
              <w:bottom w:val="single" w:sz="4" w:space="0" w:color="auto"/>
              <w:right w:val="nil"/>
            </w:tcBorders>
            <w:shd w:val="clear" w:color="auto" w:fill="auto"/>
            <w:vAlign w:val="center"/>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(Natural)</w:t>
            </w:r>
          </w:p>
        </w:tc>
        <w:tc>
          <w:tcPr>
            <w:tcW w:w="850" w:type="dxa"/>
            <w:tcBorders>
              <w:top w:val="single" w:sz="8" w:space="0" w:color="auto"/>
              <w:left w:val="nil"/>
              <w:bottom w:val="single" w:sz="4" w:space="0" w:color="auto"/>
              <w:right w:val="nil"/>
            </w:tcBorders>
            <w:shd w:val="clear" w:color="auto" w:fill="auto"/>
            <w:vAlign w:val="center"/>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(PA)</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(100v)</w:t>
            </w:r>
          </w:p>
        </w:tc>
        <w:tc>
          <w:tcPr>
            <w:tcW w:w="992" w:type="dxa"/>
            <w:tcBorders>
              <w:top w:val="single" w:sz="8" w:space="0" w:color="auto"/>
              <w:left w:val="single" w:sz="4" w:space="0" w:color="auto"/>
              <w:bottom w:val="single" w:sz="4" w:space="0" w:color="auto"/>
              <w:right w:val="nil"/>
            </w:tcBorders>
            <w:shd w:val="clear" w:color="auto" w:fill="auto"/>
            <w:vAlign w:val="center"/>
            <w:hideMark/>
          </w:tcPr>
          <w:p w:rsidR="00757503" w:rsidRPr="00331D61" w:rsidRDefault="00757503" w:rsidP="00685C4B">
            <w:pPr>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(Natural)</w:t>
            </w:r>
          </w:p>
        </w:tc>
        <w:tc>
          <w:tcPr>
            <w:tcW w:w="992" w:type="dxa"/>
            <w:gridSpan w:val="2"/>
            <w:tcBorders>
              <w:top w:val="single" w:sz="8" w:space="0" w:color="auto"/>
              <w:left w:val="nil"/>
              <w:bottom w:val="single" w:sz="4" w:space="0" w:color="auto"/>
              <w:right w:val="nil"/>
            </w:tcBorders>
            <w:shd w:val="clear" w:color="auto" w:fill="auto"/>
            <w:vAlign w:val="center"/>
            <w:hideMark/>
          </w:tcPr>
          <w:p w:rsidR="00757503" w:rsidRPr="00331D61" w:rsidRDefault="00757503" w:rsidP="00685C4B">
            <w:pPr>
              <w:ind w:firstLine="0"/>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(PA)</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57503" w:rsidRPr="00331D61" w:rsidRDefault="00757503" w:rsidP="00685C4B">
            <w:pPr>
              <w:ind w:firstLine="0"/>
              <w:jc w:val="center"/>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(100v)</w:t>
            </w:r>
          </w:p>
        </w:tc>
        <w:tc>
          <w:tcPr>
            <w:tcW w:w="1149" w:type="dxa"/>
            <w:gridSpan w:val="2"/>
            <w:tcBorders>
              <w:top w:val="single" w:sz="8" w:space="0" w:color="auto"/>
              <w:left w:val="nil"/>
              <w:bottom w:val="single" w:sz="4" w:space="0" w:color="auto"/>
              <w:right w:val="nil"/>
            </w:tcBorders>
            <w:shd w:val="clear" w:color="auto" w:fill="auto"/>
            <w:vAlign w:val="center"/>
            <w:hideMark/>
          </w:tcPr>
          <w:p w:rsidR="00757503" w:rsidRPr="00331D61" w:rsidRDefault="00757503" w:rsidP="00685C4B">
            <w:pPr>
              <w:ind w:firstLine="0"/>
              <w:jc w:val="left"/>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STI</w:t>
            </w:r>
            <w:r w:rsidRPr="00331D61">
              <w:rPr>
                <w:rFonts w:ascii="Calibri" w:eastAsia="Times New Roman" w:hAnsi="Calibri"/>
                <w:i/>
                <w:iCs/>
                <w:color w:val="000000"/>
                <w:sz w:val="16"/>
                <w:szCs w:val="16"/>
                <w:lang w:eastAsia="en-GB"/>
              </w:rPr>
              <w:br/>
              <w:t>(Natural)</w:t>
            </w:r>
          </w:p>
        </w:tc>
        <w:tc>
          <w:tcPr>
            <w:tcW w:w="987" w:type="dxa"/>
            <w:gridSpan w:val="2"/>
            <w:tcBorders>
              <w:top w:val="single" w:sz="8" w:space="0" w:color="auto"/>
              <w:left w:val="nil"/>
              <w:bottom w:val="single" w:sz="4" w:space="0" w:color="auto"/>
              <w:right w:val="nil"/>
            </w:tcBorders>
            <w:shd w:val="clear" w:color="auto" w:fill="auto"/>
            <w:vAlign w:val="center"/>
            <w:hideMark/>
          </w:tcPr>
          <w:p w:rsidR="00757503" w:rsidRPr="00331D61" w:rsidRDefault="00757503" w:rsidP="00685C4B">
            <w:pPr>
              <w:ind w:firstLine="0"/>
              <w:jc w:val="left"/>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 xml:space="preserve">PA </w:t>
            </w:r>
            <w:r w:rsidRPr="00331D61">
              <w:rPr>
                <w:rFonts w:ascii="Calibri" w:eastAsia="Times New Roman" w:hAnsi="Calibri"/>
                <w:i/>
                <w:iCs/>
                <w:color w:val="000000"/>
                <w:sz w:val="16"/>
                <w:szCs w:val="16"/>
                <w:lang w:eastAsia="en-GB"/>
              </w:rPr>
              <w:br/>
              <w:t xml:space="preserve">(No </w:t>
            </w:r>
            <w:proofErr w:type="spellStart"/>
            <w:r w:rsidRPr="00331D61">
              <w:rPr>
                <w:rFonts w:ascii="Calibri" w:eastAsia="Times New Roman" w:hAnsi="Calibri"/>
                <w:i/>
                <w:iCs/>
                <w:color w:val="000000"/>
                <w:sz w:val="16"/>
                <w:szCs w:val="16"/>
                <w:lang w:eastAsia="en-GB"/>
              </w:rPr>
              <w:t>Eq</w:t>
            </w:r>
            <w:proofErr w:type="spellEnd"/>
            <w:r w:rsidRPr="00331D61">
              <w:rPr>
                <w:rFonts w:ascii="Calibri" w:eastAsia="Times New Roman" w:hAnsi="Calibri"/>
                <w:i/>
                <w:iCs/>
                <w:color w:val="000000"/>
                <w:sz w:val="16"/>
                <w:szCs w:val="16"/>
                <w:lang w:eastAsia="en-GB"/>
              </w:rPr>
              <w:t>)</w:t>
            </w:r>
          </w:p>
        </w:tc>
        <w:tc>
          <w:tcPr>
            <w:tcW w:w="892" w:type="dxa"/>
            <w:gridSpan w:val="2"/>
            <w:tcBorders>
              <w:top w:val="single" w:sz="8" w:space="0" w:color="auto"/>
              <w:left w:val="nil"/>
              <w:bottom w:val="single" w:sz="4" w:space="0" w:color="auto"/>
              <w:right w:val="nil"/>
            </w:tcBorders>
            <w:shd w:val="clear" w:color="auto" w:fill="auto"/>
            <w:vAlign w:val="center"/>
            <w:hideMark/>
          </w:tcPr>
          <w:p w:rsidR="00757503" w:rsidRPr="00331D61" w:rsidRDefault="00757503" w:rsidP="00685C4B">
            <w:pPr>
              <w:ind w:firstLine="0"/>
              <w:jc w:val="left"/>
              <w:rPr>
                <w:rFonts w:ascii="Calibri" w:eastAsia="Times New Roman" w:hAnsi="Calibri"/>
                <w:i/>
                <w:iCs/>
                <w:color w:val="000000"/>
                <w:sz w:val="16"/>
                <w:szCs w:val="16"/>
                <w:lang w:eastAsia="en-GB"/>
              </w:rPr>
            </w:pPr>
            <w:r w:rsidRPr="00331D61">
              <w:rPr>
                <w:rFonts w:ascii="Calibri" w:eastAsia="Times New Roman" w:hAnsi="Calibri"/>
                <w:i/>
                <w:iCs/>
                <w:color w:val="000000"/>
                <w:sz w:val="16"/>
                <w:szCs w:val="16"/>
                <w:lang w:eastAsia="en-GB"/>
              </w:rPr>
              <w:t xml:space="preserve">PA </w:t>
            </w:r>
            <w:r w:rsidRPr="00331D61">
              <w:rPr>
                <w:rFonts w:ascii="Calibri" w:eastAsia="Times New Roman" w:hAnsi="Calibri"/>
                <w:i/>
                <w:iCs/>
                <w:color w:val="000000"/>
                <w:sz w:val="16"/>
                <w:szCs w:val="16"/>
                <w:lang w:eastAsia="en-GB"/>
              </w:rPr>
              <w:br/>
              <w:t>(</w:t>
            </w:r>
            <w:proofErr w:type="spellStart"/>
            <w:r w:rsidRPr="00331D61">
              <w:rPr>
                <w:rFonts w:ascii="Calibri" w:eastAsia="Times New Roman" w:hAnsi="Calibri"/>
                <w:i/>
                <w:iCs/>
                <w:color w:val="000000"/>
                <w:sz w:val="16"/>
                <w:szCs w:val="16"/>
                <w:lang w:eastAsia="en-GB"/>
              </w:rPr>
              <w:t>Eq</w:t>
            </w:r>
            <w:proofErr w:type="spellEnd"/>
            <w:r w:rsidRPr="00331D61">
              <w:rPr>
                <w:rFonts w:ascii="Calibri" w:eastAsia="Times New Roman" w:hAnsi="Calibri"/>
                <w:i/>
                <w:iCs/>
                <w:color w:val="000000"/>
                <w:sz w:val="16"/>
                <w:szCs w:val="16"/>
                <w:lang w:eastAsia="en-GB"/>
              </w:rPr>
              <w:t>)</w:t>
            </w:r>
          </w:p>
        </w:tc>
      </w:tr>
      <w:tr w:rsidR="00757503" w:rsidRPr="00331D61" w:rsidTr="00757503">
        <w:trPr>
          <w:gridAfter w:val="3"/>
          <w:wAfter w:w="979" w:type="dxa"/>
          <w:trHeight w:val="20"/>
        </w:trPr>
        <w:tc>
          <w:tcPr>
            <w:tcW w:w="721" w:type="dxa"/>
            <w:tcBorders>
              <w:top w:val="nil"/>
              <w:left w:val="nil"/>
              <w:bottom w:val="nil"/>
              <w:right w:val="nil"/>
            </w:tcBorders>
            <w:shd w:val="clear" w:color="auto" w:fill="EEECE1" w:themeFill="background2"/>
            <w:vAlign w:val="center"/>
            <w:hideMark/>
          </w:tcPr>
          <w:p w:rsidR="00757503"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STI</w:t>
            </w:r>
          </w:p>
          <w:p w:rsidR="00757503" w:rsidRPr="00331D61"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(Natural)</w:t>
            </w:r>
          </w:p>
        </w:tc>
        <w:tc>
          <w:tcPr>
            <w:tcW w:w="947" w:type="dxa"/>
            <w:gridSpan w:val="2"/>
            <w:tcBorders>
              <w:top w:val="nil"/>
              <w:left w:val="nil"/>
              <w:bottom w:val="nil"/>
              <w:right w:val="nil"/>
            </w:tcBorders>
            <w:shd w:val="clear" w:color="auto" w:fill="EEECE1" w:themeFill="background2"/>
            <w:noWrap/>
            <w:vAlign w:val="center"/>
            <w:hideMark/>
          </w:tcPr>
          <w:p w:rsidR="00757503" w:rsidRPr="008829CE" w:rsidRDefault="00757503" w:rsidP="008829CE">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50" w:type="dxa"/>
            <w:tcBorders>
              <w:top w:val="nil"/>
              <w:left w:val="nil"/>
              <w:bottom w:val="nil"/>
              <w:right w:val="nil"/>
            </w:tcBorders>
            <w:shd w:val="clear" w:color="auto" w:fill="EEECE1" w:themeFill="background2"/>
            <w:noWrap/>
            <w:vAlign w:val="center"/>
            <w:hideMark/>
          </w:tcPr>
          <w:p w:rsidR="00757503" w:rsidRPr="008829CE" w:rsidRDefault="00757503" w:rsidP="008829CE">
            <w:pPr>
              <w:jc w:val="center"/>
              <w:rPr>
                <w:rFonts w:ascii="Calibri" w:eastAsia="Times New Roman" w:hAnsi="Calibri"/>
                <w:color w:val="000000"/>
                <w:sz w:val="18"/>
                <w:szCs w:val="18"/>
                <w:lang w:eastAsia="en-GB"/>
              </w:rPr>
            </w:pPr>
          </w:p>
        </w:tc>
        <w:tc>
          <w:tcPr>
            <w:tcW w:w="851" w:type="dxa"/>
            <w:tcBorders>
              <w:top w:val="nil"/>
              <w:left w:val="nil"/>
              <w:bottom w:val="nil"/>
              <w:right w:val="single" w:sz="4" w:space="0" w:color="auto"/>
            </w:tcBorders>
            <w:shd w:val="clear" w:color="auto" w:fill="EEECE1" w:themeFill="background2"/>
            <w:noWrap/>
            <w:vAlign w:val="center"/>
            <w:hideMark/>
          </w:tcPr>
          <w:p w:rsidR="00757503" w:rsidRPr="008829CE" w:rsidRDefault="00757503" w:rsidP="008829CE">
            <w:pPr>
              <w:jc w:val="center"/>
              <w:rPr>
                <w:rFonts w:eastAsia="Times New Roman"/>
                <w:sz w:val="18"/>
                <w:szCs w:val="18"/>
                <w:lang w:eastAsia="en-GB"/>
              </w:rPr>
            </w:pPr>
          </w:p>
        </w:tc>
        <w:tc>
          <w:tcPr>
            <w:tcW w:w="992" w:type="dxa"/>
            <w:tcBorders>
              <w:top w:val="nil"/>
              <w:left w:val="single" w:sz="4" w:space="0" w:color="auto"/>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w:t>
            </w:r>
          </w:p>
        </w:tc>
        <w:tc>
          <w:tcPr>
            <w:tcW w:w="992"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709" w:type="dxa"/>
            <w:tcBorders>
              <w:top w:val="nil"/>
              <w:left w:val="nil"/>
              <w:bottom w:val="nil"/>
              <w:right w:val="single" w:sz="4" w:space="0" w:color="auto"/>
            </w:tcBorders>
            <w:shd w:val="clear" w:color="auto" w:fill="EEECE1" w:themeFill="background2"/>
            <w:noWrap/>
            <w:vAlign w:val="center"/>
            <w:hideMark/>
          </w:tcPr>
          <w:p w:rsidR="00757503" w:rsidRPr="008829CE" w:rsidRDefault="00757503" w:rsidP="00685C4B">
            <w:pPr>
              <w:jc w:val="center"/>
              <w:rPr>
                <w:rFonts w:eastAsia="Times New Roman"/>
                <w:sz w:val="18"/>
                <w:szCs w:val="18"/>
                <w:lang w:eastAsia="en-GB"/>
              </w:rPr>
            </w:pPr>
          </w:p>
        </w:tc>
        <w:tc>
          <w:tcPr>
            <w:tcW w:w="1149"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987"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892" w:type="dxa"/>
            <w:gridSpan w:val="2"/>
            <w:tcBorders>
              <w:top w:val="nil"/>
              <w:left w:val="nil"/>
              <w:bottom w:val="nil"/>
              <w:right w:val="nil"/>
            </w:tcBorders>
            <w:shd w:val="clear" w:color="auto" w:fill="EEECE1" w:themeFill="background2"/>
            <w:noWrap/>
            <w:vAlign w:val="center"/>
            <w:hideMark/>
          </w:tcPr>
          <w:p w:rsidR="00757503" w:rsidRPr="008829CE" w:rsidRDefault="00757503" w:rsidP="00685C4B">
            <w:pPr>
              <w:jc w:val="center"/>
              <w:rPr>
                <w:rFonts w:eastAsia="Times New Roman"/>
                <w:sz w:val="18"/>
                <w:szCs w:val="18"/>
                <w:lang w:eastAsia="en-GB"/>
              </w:rPr>
            </w:pPr>
          </w:p>
        </w:tc>
      </w:tr>
      <w:tr w:rsidR="00757503" w:rsidRPr="00331D61" w:rsidTr="00757503">
        <w:trPr>
          <w:gridAfter w:val="3"/>
          <w:wAfter w:w="979" w:type="dxa"/>
          <w:trHeight w:val="20"/>
        </w:trPr>
        <w:tc>
          <w:tcPr>
            <w:tcW w:w="721" w:type="dxa"/>
            <w:tcBorders>
              <w:top w:val="nil"/>
              <w:left w:val="nil"/>
              <w:bottom w:val="nil"/>
              <w:right w:val="nil"/>
            </w:tcBorders>
            <w:shd w:val="clear" w:color="auto" w:fill="auto"/>
            <w:vAlign w:val="center"/>
            <w:hideMark/>
          </w:tcPr>
          <w:p w:rsidR="00757503"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STI</w:t>
            </w:r>
          </w:p>
          <w:p w:rsidR="00757503" w:rsidRPr="00331D61"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(PA)</w:t>
            </w:r>
          </w:p>
        </w:tc>
        <w:tc>
          <w:tcPr>
            <w:tcW w:w="947" w:type="dxa"/>
            <w:gridSpan w:val="2"/>
            <w:tcBorders>
              <w:top w:val="nil"/>
              <w:left w:val="nil"/>
              <w:bottom w:val="nil"/>
              <w:right w:val="nil"/>
            </w:tcBorders>
            <w:shd w:val="clear" w:color="auto" w:fill="auto"/>
            <w:noWrap/>
            <w:vAlign w:val="center"/>
            <w:hideMark/>
          </w:tcPr>
          <w:p w:rsidR="00757503" w:rsidRPr="008829CE" w:rsidRDefault="00757503" w:rsidP="008829CE">
            <w:pPr>
              <w:ind w:firstLine="234"/>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-0.06</w:t>
            </w:r>
          </w:p>
        </w:tc>
        <w:tc>
          <w:tcPr>
            <w:tcW w:w="850" w:type="dxa"/>
            <w:tcBorders>
              <w:top w:val="nil"/>
              <w:left w:val="nil"/>
              <w:bottom w:val="nil"/>
              <w:right w:val="nil"/>
            </w:tcBorders>
            <w:shd w:val="clear" w:color="auto" w:fill="auto"/>
            <w:noWrap/>
            <w:vAlign w:val="center"/>
            <w:hideMark/>
          </w:tcPr>
          <w:p w:rsidR="00757503" w:rsidRPr="008829CE" w:rsidRDefault="00757503" w:rsidP="008829CE">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51" w:type="dxa"/>
            <w:tcBorders>
              <w:top w:val="nil"/>
              <w:left w:val="nil"/>
              <w:bottom w:val="nil"/>
              <w:right w:val="single" w:sz="4" w:space="0" w:color="auto"/>
            </w:tcBorders>
            <w:shd w:val="clear" w:color="auto" w:fill="auto"/>
            <w:noWrap/>
            <w:vAlign w:val="center"/>
            <w:hideMark/>
          </w:tcPr>
          <w:p w:rsidR="00757503" w:rsidRPr="008829CE" w:rsidRDefault="00757503" w:rsidP="008829CE">
            <w:pPr>
              <w:jc w:val="center"/>
              <w:rPr>
                <w:rFonts w:ascii="Calibri" w:eastAsia="Times New Roman" w:hAnsi="Calibri"/>
                <w:color w:val="000000"/>
                <w:sz w:val="18"/>
                <w:szCs w:val="18"/>
                <w:lang w:eastAsia="en-GB"/>
              </w:rPr>
            </w:pPr>
          </w:p>
        </w:tc>
        <w:tc>
          <w:tcPr>
            <w:tcW w:w="992" w:type="dxa"/>
            <w:tcBorders>
              <w:top w:val="nil"/>
              <w:left w:val="single" w:sz="4" w:space="0" w:color="auto"/>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0.27</w:t>
            </w:r>
          </w:p>
        </w:tc>
        <w:tc>
          <w:tcPr>
            <w:tcW w:w="992"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709" w:type="dxa"/>
            <w:tcBorders>
              <w:top w:val="nil"/>
              <w:left w:val="nil"/>
              <w:bottom w:val="nil"/>
              <w:right w:val="single" w:sz="4" w:space="0" w:color="auto"/>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c>
          <w:tcPr>
            <w:tcW w:w="1149"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0.27</w:t>
            </w:r>
          </w:p>
        </w:tc>
        <w:tc>
          <w:tcPr>
            <w:tcW w:w="987"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92" w:type="dxa"/>
            <w:gridSpan w:val="2"/>
            <w:tcBorders>
              <w:top w:val="nil"/>
              <w:left w:val="nil"/>
              <w:bottom w:val="nil"/>
              <w:right w:val="nil"/>
            </w:tcBorders>
            <w:shd w:val="clear" w:color="auto" w:fill="auto"/>
            <w:noWrap/>
            <w:vAlign w:val="center"/>
            <w:hideMark/>
          </w:tcPr>
          <w:p w:rsidR="00757503" w:rsidRPr="008829CE" w:rsidRDefault="00757503" w:rsidP="00685C4B">
            <w:pPr>
              <w:jc w:val="center"/>
              <w:rPr>
                <w:rFonts w:ascii="Calibri" w:eastAsia="Times New Roman" w:hAnsi="Calibri"/>
                <w:color w:val="000000"/>
                <w:sz w:val="18"/>
                <w:szCs w:val="18"/>
                <w:lang w:eastAsia="en-GB"/>
              </w:rPr>
            </w:pPr>
          </w:p>
        </w:tc>
      </w:tr>
      <w:tr w:rsidR="00757503" w:rsidRPr="00331D61" w:rsidTr="00757503">
        <w:trPr>
          <w:gridAfter w:val="3"/>
          <w:wAfter w:w="979" w:type="dxa"/>
          <w:trHeight w:val="20"/>
        </w:trPr>
        <w:tc>
          <w:tcPr>
            <w:tcW w:w="721" w:type="dxa"/>
            <w:tcBorders>
              <w:top w:val="nil"/>
              <w:left w:val="nil"/>
              <w:bottom w:val="single" w:sz="8" w:space="0" w:color="auto"/>
              <w:right w:val="nil"/>
            </w:tcBorders>
            <w:shd w:val="clear" w:color="auto" w:fill="EEECE1" w:themeFill="background2"/>
            <w:vAlign w:val="center"/>
            <w:hideMark/>
          </w:tcPr>
          <w:p w:rsidR="00757503"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STI</w:t>
            </w:r>
          </w:p>
          <w:p w:rsidR="00757503" w:rsidRPr="00331D61" w:rsidRDefault="00757503" w:rsidP="008829CE">
            <w:pPr>
              <w:ind w:hanging="108"/>
              <w:jc w:val="left"/>
              <w:rPr>
                <w:rFonts w:ascii="Calibri" w:eastAsia="Times New Roman" w:hAnsi="Calibri"/>
                <w:color w:val="000000"/>
                <w:sz w:val="16"/>
                <w:szCs w:val="16"/>
                <w:lang w:eastAsia="en-GB"/>
              </w:rPr>
            </w:pPr>
            <w:r w:rsidRPr="00331D61">
              <w:rPr>
                <w:rFonts w:ascii="Calibri" w:eastAsia="Times New Roman" w:hAnsi="Calibri"/>
                <w:color w:val="000000"/>
                <w:sz w:val="16"/>
                <w:szCs w:val="16"/>
                <w:lang w:eastAsia="en-GB"/>
              </w:rPr>
              <w:t>(100v)</w:t>
            </w:r>
          </w:p>
        </w:tc>
        <w:tc>
          <w:tcPr>
            <w:tcW w:w="947"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8829CE">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850" w:type="dxa"/>
            <w:tcBorders>
              <w:top w:val="nil"/>
              <w:left w:val="nil"/>
              <w:bottom w:val="single" w:sz="8" w:space="0" w:color="auto"/>
              <w:right w:val="nil"/>
            </w:tcBorders>
            <w:shd w:val="clear" w:color="auto" w:fill="EEECE1" w:themeFill="background2"/>
            <w:noWrap/>
            <w:vAlign w:val="center"/>
            <w:hideMark/>
          </w:tcPr>
          <w:p w:rsidR="00757503" w:rsidRPr="008829CE" w:rsidRDefault="00757503" w:rsidP="008829CE">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-0.06</w:t>
            </w:r>
          </w:p>
        </w:tc>
        <w:tc>
          <w:tcPr>
            <w:tcW w:w="851" w:type="dxa"/>
            <w:tcBorders>
              <w:top w:val="nil"/>
              <w:left w:val="nil"/>
              <w:bottom w:val="single" w:sz="8" w:space="0" w:color="auto"/>
              <w:right w:val="single" w:sz="4" w:space="0" w:color="auto"/>
            </w:tcBorders>
            <w:shd w:val="clear" w:color="auto" w:fill="EEECE1" w:themeFill="background2"/>
            <w:noWrap/>
            <w:vAlign w:val="center"/>
            <w:hideMark/>
          </w:tcPr>
          <w:p w:rsidR="00757503" w:rsidRPr="008829CE" w:rsidRDefault="00757503" w:rsidP="008829CE">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c>
          <w:tcPr>
            <w:tcW w:w="992" w:type="dxa"/>
            <w:tcBorders>
              <w:top w:val="nil"/>
              <w:left w:val="single" w:sz="4" w:space="0" w:color="auto"/>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0.18</w:t>
            </w:r>
          </w:p>
        </w:tc>
        <w:tc>
          <w:tcPr>
            <w:tcW w:w="992"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0.23</w:t>
            </w:r>
          </w:p>
        </w:tc>
        <w:tc>
          <w:tcPr>
            <w:tcW w:w="709" w:type="dxa"/>
            <w:tcBorders>
              <w:top w:val="nil"/>
              <w:left w:val="nil"/>
              <w:bottom w:val="single" w:sz="8" w:space="0" w:color="auto"/>
              <w:right w:val="single" w:sz="4" w:space="0" w:color="auto"/>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w:t>
            </w:r>
          </w:p>
        </w:tc>
        <w:tc>
          <w:tcPr>
            <w:tcW w:w="1149"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0.43</w:t>
            </w:r>
          </w:p>
        </w:tc>
        <w:tc>
          <w:tcPr>
            <w:tcW w:w="987"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0.82</w:t>
            </w:r>
          </w:p>
        </w:tc>
        <w:tc>
          <w:tcPr>
            <w:tcW w:w="892" w:type="dxa"/>
            <w:gridSpan w:val="2"/>
            <w:tcBorders>
              <w:top w:val="nil"/>
              <w:left w:val="nil"/>
              <w:bottom w:val="single" w:sz="8" w:space="0" w:color="auto"/>
              <w:right w:val="nil"/>
            </w:tcBorders>
            <w:shd w:val="clear" w:color="auto" w:fill="EEECE1" w:themeFill="background2"/>
            <w:noWrap/>
            <w:vAlign w:val="center"/>
            <w:hideMark/>
          </w:tcPr>
          <w:p w:rsidR="00757503" w:rsidRPr="008829CE" w:rsidRDefault="00757503" w:rsidP="00685C4B">
            <w:pPr>
              <w:keepNext/>
              <w:jc w:val="center"/>
              <w:rPr>
                <w:rFonts w:ascii="Calibri" w:eastAsia="Times New Roman" w:hAnsi="Calibri"/>
                <w:color w:val="000000"/>
                <w:sz w:val="18"/>
                <w:szCs w:val="18"/>
                <w:lang w:eastAsia="en-GB"/>
              </w:rPr>
            </w:pPr>
            <w:r w:rsidRPr="008829CE">
              <w:rPr>
                <w:rFonts w:ascii="Calibri" w:eastAsia="Times New Roman" w:hAnsi="Calibri"/>
                <w:color w:val="000000"/>
                <w:sz w:val="18"/>
                <w:szCs w:val="18"/>
                <w:lang w:eastAsia="en-GB"/>
              </w:rPr>
              <w:t>1.00</w:t>
            </w:r>
          </w:p>
        </w:tc>
      </w:tr>
    </w:tbl>
    <w:p w:rsidR="00147302" w:rsidRPr="00105F73" w:rsidRDefault="00045271">
      <w:pPr>
        <w:pStyle w:val="Heading2"/>
      </w:pPr>
      <w:r>
        <w:t>Parameters Comparison</w:t>
      </w:r>
    </w:p>
    <w:p w:rsidR="00435081" w:rsidRDefault="00435081" w:rsidP="00435081">
      <w:r>
        <w:t>As with Escobar’s research, it is noticeable that the background noise had an impact on the d</w:t>
      </w:r>
      <w:r>
        <w:t>e</w:t>
      </w:r>
      <w:r>
        <w:t>sign but it does not seem to be the main contributor</w:t>
      </w:r>
      <w:sdt>
        <w:sdtPr>
          <w:id w:val="-1106118342"/>
          <w:citation/>
        </w:sdtPr>
        <w:sdtContent>
          <w:r w:rsidR="00D76498">
            <w:fldChar w:fldCharType="begin"/>
          </w:r>
          <w:r>
            <w:instrText xml:space="preserve"> CITATION VGó15 \l 2057 </w:instrText>
          </w:r>
          <w:r w:rsidR="00D76498">
            <w:fldChar w:fldCharType="separate"/>
          </w:r>
          <w:r w:rsidR="00846A19">
            <w:rPr>
              <w:noProof/>
            </w:rPr>
            <w:t xml:space="preserve"> (4)</w:t>
          </w:r>
          <w:r w:rsidR="00D76498">
            <w:fldChar w:fldCharType="end"/>
          </w:r>
        </w:sdtContent>
      </w:sdt>
      <w:r>
        <w:t xml:space="preserve">. </w:t>
      </w:r>
      <w:r w:rsidR="00757503">
        <w:t xml:space="preserve">For example, in </w:t>
      </w:r>
      <w:r>
        <w:t xml:space="preserve">room K0.20, in the circled area in </w:t>
      </w:r>
      <w:fldSimple w:instr=" REF _Ref472450163 \h  \* MERGEFORMAT ">
        <w:r w:rsidRPr="00435081">
          <w:t>Figure 4</w:t>
        </w:r>
      </w:fldSimple>
      <w:r>
        <w:t xml:space="preserve"> where it is evident that after the treatment of the room there is a substantial i</w:t>
      </w:r>
      <w:r>
        <w:t>m</w:t>
      </w:r>
      <w:r>
        <w:t xml:space="preserve">provement </w:t>
      </w:r>
      <w:r w:rsidR="00757503">
        <w:t>i</w:t>
      </w:r>
      <w:r>
        <w:t>n the STI value despite the background noise level remaining relatively unchanged.</w:t>
      </w:r>
    </w:p>
    <w:p w:rsidR="00435081" w:rsidRDefault="00435081"/>
    <w:p w:rsidR="00435081" w:rsidRDefault="00D76498" w:rsidP="00435081">
      <w:pPr>
        <w:keepNext/>
      </w:pPr>
      <w:r>
        <w:rPr>
          <w:noProof/>
          <w:lang w:eastAsia="en-GB"/>
        </w:rPr>
        <w:pict>
          <v:oval id="Oval 77" o:spid="_x0000_s1026" style="position:absolute;left:0;text-align:left;margin-left:109.8pt;margin-top:7.8pt;width:44.3pt;height:109pt;rotation:-23530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" filled="f" strokecolor="red" strokeweight="2pt">
            <v:stroke dashstyle="1 1"/>
            <v:path arrowok="t"/>
          </v:oval>
        </w:pict>
      </w:r>
      <w:r w:rsidR="00435081" w:rsidRPr="000C44CA">
        <w:rPr>
          <w:noProof/>
          <w:lang w:eastAsia="en-GB"/>
        </w:rPr>
        <w:drawing>
          <wp:inline distT="0" distB="0" distL="0" distR="0">
            <wp:extent cx="5264150" cy="1644650"/>
            <wp:effectExtent l="0" t="0" r="12700" b="1270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5081" w:rsidRPr="00435081" w:rsidRDefault="00435081" w:rsidP="00435081">
      <w:pPr>
        <w:pStyle w:val="Caption"/>
        <w:rPr>
          <w:b w:val="0"/>
        </w:rPr>
      </w:pPr>
      <w:bookmarkStart w:id="9" w:name="_Ref472450163"/>
      <w:r w:rsidRPr="00435081">
        <w:rPr>
          <w:b w:val="0"/>
        </w:rPr>
        <w:t xml:space="preserve">Figure </w:t>
      </w:r>
      <w:r w:rsidR="00D76498" w:rsidRPr="00435081">
        <w:rPr>
          <w:b w:val="0"/>
        </w:rPr>
        <w:fldChar w:fldCharType="begin"/>
      </w:r>
      <w:r w:rsidRPr="00435081">
        <w:rPr>
          <w:b w:val="0"/>
        </w:rPr>
        <w:instrText xml:space="preserve"> SEQ Figure \* ARABIC </w:instrText>
      </w:r>
      <w:r w:rsidR="00D76498" w:rsidRPr="00435081">
        <w:rPr>
          <w:b w:val="0"/>
        </w:rPr>
        <w:fldChar w:fldCharType="separate"/>
      </w:r>
      <w:r w:rsidR="0068751C">
        <w:rPr>
          <w:b w:val="0"/>
          <w:noProof/>
        </w:rPr>
        <w:t>4</w:t>
      </w:r>
      <w:r w:rsidR="00D76498" w:rsidRPr="00435081">
        <w:rPr>
          <w:b w:val="0"/>
        </w:rPr>
        <w:fldChar w:fldCharType="end"/>
      </w:r>
      <w:bookmarkEnd w:id="9"/>
      <w:r w:rsidRPr="00435081">
        <w:rPr>
          <w:b w:val="0"/>
        </w:rPr>
        <w:t xml:space="preserve">: Comparison of Total Average STI Values per Room as a Function of Background Noise in </w:t>
      </w:r>
      <w:proofErr w:type="gramStart"/>
      <w:r w:rsidRPr="00435081">
        <w:rPr>
          <w:b w:val="0"/>
        </w:rPr>
        <w:t>dB(</w:t>
      </w:r>
      <w:proofErr w:type="gramEnd"/>
      <w:r w:rsidRPr="00435081">
        <w:rPr>
          <w:b w:val="0"/>
        </w:rPr>
        <w:t>A)</w:t>
      </w:r>
    </w:p>
    <w:p w:rsidR="00757503" w:rsidRPr="00757503" w:rsidRDefault="00757503">
      <w:pPr>
        <w:rPr>
          <w:sz w:val="8"/>
          <w:szCs w:val="8"/>
        </w:rPr>
      </w:pPr>
    </w:p>
    <w:p w:rsidR="00435081" w:rsidRDefault="00757503">
      <w:r>
        <w:t>T</w:t>
      </w:r>
      <w:r w:rsidR="00153062">
        <w:t>he relationship between reverberation and STIPA was investigated in the four rooms and the results showed a significant relationship in all cases</w:t>
      </w:r>
      <w:r>
        <w:t>.H</w:t>
      </w:r>
      <w:r w:rsidR="00300C65">
        <w:t>owever,</w:t>
      </w:r>
      <w:r w:rsidR="00153062">
        <w:t xml:space="preserve"> in two of the rooms the early decay time proved to have a better relationship than </w:t>
      </w:r>
      <w:r w:rsidR="00300C65">
        <w:t xml:space="preserve">T20 for </w:t>
      </w:r>
      <w:r>
        <w:t xml:space="preserve">the </w:t>
      </w:r>
      <w:r w:rsidR="00300C65">
        <w:t>mid frequency (average</w:t>
      </w:r>
      <w:r>
        <w:t xml:space="preserve">d500 Hz- </w:t>
      </w:r>
      <w:proofErr w:type="gramStart"/>
      <w:r>
        <w:t>2kHz</w:t>
      </w:r>
      <w:proofErr w:type="gramEnd"/>
      <w:r>
        <w:t>)</w:t>
      </w:r>
      <w:r w:rsidR="00C17949">
        <w:t>.</w:t>
      </w:r>
    </w:p>
    <w:p w:rsidR="00300C65" w:rsidRPr="00300C65" w:rsidRDefault="00300C65" w:rsidP="00300C65">
      <w:pPr>
        <w:pStyle w:val="Caption"/>
        <w:keepNext/>
        <w:rPr>
          <w:b w:val="0"/>
        </w:rPr>
      </w:pPr>
      <w:r w:rsidRPr="00300C65">
        <w:rPr>
          <w:b w:val="0"/>
        </w:rPr>
        <w:t xml:space="preserve">Table </w:t>
      </w:r>
      <w:r w:rsidR="00D76498" w:rsidRPr="00300C65">
        <w:rPr>
          <w:b w:val="0"/>
        </w:rPr>
        <w:fldChar w:fldCharType="begin"/>
      </w:r>
      <w:r w:rsidRPr="00300C65">
        <w:rPr>
          <w:b w:val="0"/>
        </w:rPr>
        <w:instrText xml:space="preserve"> SEQ Table \* ARABIC </w:instrText>
      </w:r>
      <w:r w:rsidR="00D76498" w:rsidRPr="00300C65">
        <w:rPr>
          <w:b w:val="0"/>
        </w:rPr>
        <w:fldChar w:fldCharType="separate"/>
      </w:r>
      <w:r w:rsidR="00A81CE0">
        <w:rPr>
          <w:b w:val="0"/>
          <w:noProof/>
        </w:rPr>
        <w:t>5</w:t>
      </w:r>
      <w:r w:rsidR="00D76498" w:rsidRPr="00300C65">
        <w:rPr>
          <w:b w:val="0"/>
        </w:rPr>
        <w:fldChar w:fldCharType="end"/>
      </w:r>
      <w:r>
        <w:rPr>
          <w:b w:val="0"/>
        </w:rPr>
        <w:t>: STI Compared as Function of T</w:t>
      </w:r>
      <w:r w:rsidRPr="00300C65">
        <w:rPr>
          <w:b w:val="0"/>
          <w:vertAlign w:val="subscript"/>
        </w:rPr>
        <w:t>20</w:t>
      </w:r>
      <w:proofErr w:type="gramStart"/>
      <w:r>
        <w:rPr>
          <w:b w:val="0"/>
          <w:vertAlign w:val="subscript"/>
        </w:rPr>
        <w:t>,mf</w:t>
      </w:r>
      <w:proofErr w:type="gramEnd"/>
      <w:r>
        <w:rPr>
          <w:b w:val="0"/>
        </w:rPr>
        <w:t xml:space="preserve"> and </w:t>
      </w:r>
      <w:proofErr w:type="spellStart"/>
      <w:r>
        <w:rPr>
          <w:b w:val="0"/>
        </w:rPr>
        <w:t>EDT</w:t>
      </w:r>
      <w:r w:rsidRPr="00300C65">
        <w:rPr>
          <w:b w:val="0"/>
          <w:vertAlign w:val="subscript"/>
        </w:rPr>
        <w:t>mf</w:t>
      </w:r>
      <w:proofErr w:type="spellEnd"/>
    </w:p>
    <w:tbl>
      <w:tblPr>
        <w:tblStyle w:val="APAReport"/>
        <w:tblW w:w="0" w:type="auto"/>
        <w:jc w:val="center"/>
        <w:tblInd w:w="-918" w:type="dxa"/>
        <w:tblLook w:val="04A0"/>
      </w:tblPr>
      <w:tblGrid>
        <w:gridCol w:w="1371"/>
        <w:gridCol w:w="1051"/>
        <w:gridCol w:w="951"/>
        <w:gridCol w:w="1256"/>
        <w:gridCol w:w="931"/>
        <w:gridCol w:w="1481"/>
      </w:tblGrid>
      <w:tr w:rsidR="00153062" w:rsidRPr="00153062" w:rsidTr="005D1462">
        <w:trPr>
          <w:cnfStyle w:val="100000000000"/>
          <w:trHeight w:val="300"/>
          <w:jc w:val="center"/>
        </w:trPr>
        <w:tc>
          <w:tcPr>
            <w:tcW w:w="1371" w:type="dxa"/>
            <w:noWrap/>
            <w:hideMark/>
          </w:tcPr>
          <w:p w:rsidR="00153062" w:rsidRPr="00474260" w:rsidRDefault="00153062" w:rsidP="00685C4B">
            <w:pPr>
              <w:rPr>
                <w:rFonts w:ascii="Arial" w:hAnsi="Arial" w:cs="Arial"/>
                <w:b/>
                <w:sz w:val="18"/>
                <w:szCs w:val="18"/>
                <w:lang w:eastAsia="en-GB"/>
              </w:rPr>
            </w:pPr>
            <w:r w:rsidRPr="00474260">
              <w:rPr>
                <w:rFonts w:ascii="Arial" w:hAnsi="Arial" w:cs="Arial"/>
                <w:b/>
                <w:sz w:val="18"/>
                <w:szCs w:val="18"/>
                <w:lang w:eastAsia="en-GB"/>
              </w:rPr>
              <w:t>Room</w:t>
            </w:r>
          </w:p>
        </w:tc>
        <w:tc>
          <w:tcPr>
            <w:tcW w:w="1051" w:type="dxa"/>
            <w:noWrap/>
            <w:hideMark/>
          </w:tcPr>
          <w:p w:rsidR="00153062" w:rsidRPr="00474260" w:rsidRDefault="00153062" w:rsidP="00685C4B">
            <w:pPr>
              <w:rPr>
                <w:rFonts w:ascii="Arial" w:hAnsi="Arial" w:cs="Arial"/>
                <w:b/>
                <w:sz w:val="18"/>
                <w:szCs w:val="18"/>
                <w:lang w:eastAsia="en-GB"/>
              </w:rPr>
            </w:pPr>
            <w:r w:rsidRPr="00474260">
              <w:rPr>
                <w:rFonts w:ascii="Arial" w:hAnsi="Arial" w:cs="Arial"/>
                <w:b/>
                <w:sz w:val="18"/>
                <w:szCs w:val="18"/>
                <w:lang w:eastAsia="en-GB"/>
              </w:rPr>
              <w:t>F</w:t>
            </w:r>
          </w:p>
        </w:tc>
        <w:tc>
          <w:tcPr>
            <w:tcW w:w="951" w:type="dxa"/>
            <w:noWrap/>
            <w:hideMark/>
          </w:tcPr>
          <w:p w:rsidR="00153062" w:rsidRPr="00474260" w:rsidRDefault="00153062" w:rsidP="00685C4B">
            <w:pPr>
              <w:rPr>
                <w:rFonts w:ascii="Arial" w:hAnsi="Arial" w:cs="Arial"/>
                <w:b/>
                <w:sz w:val="18"/>
                <w:szCs w:val="18"/>
                <w:lang w:eastAsia="en-GB"/>
              </w:rPr>
            </w:pPr>
            <w:r w:rsidRPr="00474260">
              <w:rPr>
                <w:rFonts w:ascii="Arial" w:hAnsi="Arial" w:cs="Arial"/>
                <w:b/>
                <w:sz w:val="18"/>
                <w:szCs w:val="18"/>
                <w:lang w:eastAsia="en-GB"/>
              </w:rPr>
              <w:t>R</w:t>
            </w:r>
            <w:r w:rsidRPr="00474260">
              <w:rPr>
                <w:rFonts w:ascii="Arial" w:hAnsi="Arial" w:cs="Arial"/>
                <w:b/>
                <w:sz w:val="18"/>
                <w:szCs w:val="18"/>
                <w:vertAlign w:val="superscript"/>
                <w:lang w:eastAsia="en-GB"/>
              </w:rPr>
              <w:t>2</w:t>
            </w:r>
          </w:p>
        </w:tc>
        <w:tc>
          <w:tcPr>
            <w:tcW w:w="1256" w:type="dxa"/>
            <w:noWrap/>
            <w:hideMark/>
          </w:tcPr>
          <w:p w:rsidR="00153062" w:rsidRPr="00474260" w:rsidRDefault="00153062" w:rsidP="00685C4B">
            <w:pPr>
              <w:rPr>
                <w:rFonts w:ascii="Arial" w:hAnsi="Arial" w:cs="Arial"/>
                <w:b/>
                <w:sz w:val="18"/>
                <w:szCs w:val="18"/>
                <w:lang w:eastAsia="en-GB"/>
              </w:rPr>
            </w:pPr>
            <w:r w:rsidRPr="00474260">
              <w:rPr>
                <w:rFonts w:ascii="Arial" w:hAnsi="Arial" w:cs="Arial"/>
                <w:b/>
                <w:sz w:val="18"/>
                <w:szCs w:val="18"/>
                <w:lang w:eastAsia="en-GB"/>
              </w:rPr>
              <w:t>p</w:t>
            </w:r>
          </w:p>
        </w:tc>
        <w:tc>
          <w:tcPr>
            <w:tcW w:w="931" w:type="dxa"/>
            <w:noWrap/>
            <w:hideMark/>
          </w:tcPr>
          <w:p w:rsidR="00153062" w:rsidRPr="00474260" w:rsidRDefault="00153062" w:rsidP="00685C4B">
            <w:pPr>
              <w:rPr>
                <w:rFonts w:ascii="Arial" w:hAnsi="Arial" w:cs="Arial"/>
                <w:b/>
                <w:sz w:val="18"/>
                <w:szCs w:val="18"/>
                <w:lang w:eastAsia="en-GB"/>
              </w:rPr>
            </w:pPr>
            <w:r w:rsidRPr="00474260">
              <w:rPr>
                <w:rFonts w:ascii="Arial" w:hAnsi="Arial" w:cs="Arial"/>
                <w:b/>
                <w:sz w:val="18"/>
                <w:szCs w:val="18"/>
                <w:lang w:eastAsia="en-GB"/>
              </w:rPr>
              <w:t>Sig.</w:t>
            </w:r>
          </w:p>
        </w:tc>
        <w:tc>
          <w:tcPr>
            <w:tcW w:w="1481" w:type="dxa"/>
            <w:noWrap/>
            <w:hideMark/>
          </w:tcPr>
          <w:p w:rsidR="00153062" w:rsidRPr="00474260" w:rsidRDefault="00153062" w:rsidP="00685C4B">
            <w:pPr>
              <w:rPr>
                <w:rFonts w:ascii="Arial" w:hAnsi="Arial" w:cs="Arial"/>
                <w:b/>
                <w:sz w:val="18"/>
                <w:szCs w:val="18"/>
                <w:lang w:eastAsia="en-GB"/>
              </w:rPr>
            </w:pPr>
            <w:r w:rsidRPr="00474260">
              <w:rPr>
                <w:rFonts w:ascii="Arial" w:hAnsi="Arial" w:cs="Arial"/>
                <w:b/>
                <w:sz w:val="18"/>
                <w:szCs w:val="18"/>
                <w:lang w:eastAsia="en-GB"/>
              </w:rPr>
              <w:t>Parameter</w:t>
            </w:r>
          </w:p>
        </w:tc>
      </w:tr>
      <w:tr w:rsidR="00153062" w:rsidRPr="00153062" w:rsidTr="005D1462">
        <w:trPr>
          <w:trHeight w:val="300"/>
          <w:jc w:val="center"/>
        </w:trPr>
        <w:tc>
          <w:tcPr>
            <w:tcW w:w="137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K0.20 (U)</w:t>
            </w:r>
          </w:p>
        </w:tc>
        <w:tc>
          <w:tcPr>
            <w:tcW w:w="10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13.97</w:t>
            </w:r>
          </w:p>
        </w:tc>
        <w:tc>
          <w:tcPr>
            <w:tcW w:w="9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0.66</w:t>
            </w:r>
          </w:p>
        </w:tc>
        <w:tc>
          <w:tcPr>
            <w:tcW w:w="1256" w:type="dxa"/>
            <w:noWrap/>
            <w:hideMark/>
          </w:tcPr>
          <w:p w:rsidR="00153062" w:rsidRPr="00474260" w:rsidRDefault="00864F93" w:rsidP="00685C4B">
            <w:pPr>
              <w:rPr>
                <w:rFonts w:ascii="Arial" w:hAnsi="Arial" w:cs="Arial"/>
                <w:sz w:val="18"/>
                <w:szCs w:val="18"/>
                <w:lang w:eastAsia="en-GB"/>
              </w:rPr>
            </w:pPr>
            <w:r w:rsidRPr="00474260">
              <w:rPr>
                <w:rFonts w:ascii="Arial" w:hAnsi="Arial" w:cs="Arial"/>
                <w:sz w:val="18"/>
                <w:szCs w:val="18"/>
                <w:lang w:eastAsia="en-GB"/>
              </w:rPr>
              <w:t>p</w:t>
            </w:r>
            <w:r w:rsidR="00153062" w:rsidRPr="00474260">
              <w:rPr>
                <w:rFonts w:ascii="Arial" w:hAnsi="Arial" w:cs="Arial"/>
                <w:sz w:val="18"/>
                <w:szCs w:val="18"/>
                <w:lang w:eastAsia="en-GB"/>
              </w:rPr>
              <w:t>&lt;0.001</w:t>
            </w:r>
          </w:p>
        </w:tc>
        <w:tc>
          <w:tcPr>
            <w:tcW w:w="93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T20</w:t>
            </w:r>
          </w:p>
        </w:tc>
      </w:tr>
      <w:tr w:rsidR="00864F93" w:rsidRPr="00153062" w:rsidTr="005D1462">
        <w:trPr>
          <w:trHeight w:val="300"/>
          <w:jc w:val="center"/>
        </w:trPr>
        <w:tc>
          <w:tcPr>
            <w:tcW w:w="1371" w:type="dxa"/>
            <w:noWrap/>
          </w:tcPr>
          <w:p w:rsidR="00864F93" w:rsidRPr="00474260" w:rsidRDefault="00864F93" w:rsidP="00685C4B">
            <w:pPr>
              <w:rPr>
                <w:rFonts w:ascii="Arial" w:hAnsi="Arial" w:cs="Arial"/>
                <w:sz w:val="18"/>
                <w:szCs w:val="18"/>
                <w:lang w:eastAsia="en-GB"/>
              </w:rPr>
            </w:pPr>
          </w:p>
        </w:tc>
        <w:tc>
          <w:tcPr>
            <w:tcW w:w="105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26.08</w:t>
            </w:r>
          </w:p>
        </w:tc>
        <w:tc>
          <w:tcPr>
            <w:tcW w:w="95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0.78</w:t>
            </w:r>
          </w:p>
        </w:tc>
        <w:tc>
          <w:tcPr>
            <w:tcW w:w="1256"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p&lt;0.001</w:t>
            </w:r>
          </w:p>
        </w:tc>
        <w:tc>
          <w:tcPr>
            <w:tcW w:w="93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EDT</w:t>
            </w:r>
          </w:p>
        </w:tc>
      </w:tr>
      <w:tr w:rsidR="00153062" w:rsidRPr="00153062" w:rsidTr="005D1462">
        <w:trPr>
          <w:trHeight w:val="300"/>
          <w:jc w:val="center"/>
        </w:trPr>
        <w:tc>
          <w:tcPr>
            <w:tcW w:w="137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K0.20 (T)</w:t>
            </w:r>
          </w:p>
        </w:tc>
        <w:tc>
          <w:tcPr>
            <w:tcW w:w="10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6.45</w:t>
            </w:r>
          </w:p>
        </w:tc>
        <w:tc>
          <w:tcPr>
            <w:tcW w:w="9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0.53</w:t>
            </w:r>
          </w:p>
        </w:tc>
        <w:tc>
          <w:tcPr>
            <w:tcW w:w="1256" w:type="dxa"/>
            <w:noWrap/>
            <w:hideMark/>
          </w:tcPr>
          <w:p w:rsidR="00153062" w:rsidRPr="00474260" w:rsidRDefault="00864F93" w:rsidP="00685C4B">
            <w:pPr>
              <w:rPr>
                <w:rFonts w:ascii="Arial" w:hAnsi="Arial" w:cs="Arial"/>
                <w:sz w:val="18"/>
                <w:szCs w:val="18"/>
                <w:lang w:eastAsia="en-GB"/>
              </w:rPr>
            </w:pPr>
            <w:r w:rsidRPr="00474260">
              <w:rPr>
                <w:rFonts w:ascii="Arial" w:hAnsi="Arial" w:cs="Arial"/>
                <w:sz w:val="18"/>
                <w:szCs w:val="18"/>
                <w:lang w:eastAsia="en-GB"/>
              </w:rPr>
              <w:t>p</w:t>
            </w:r>
            <w:r w:rsidR="00153062" w:rsidRPr="00474260">
              <w:rPr>
                <w:rFonts w:ascii="Arial" w:hAnsi="Arial" w:cs="Arial"/>
                <w:sz w:val="18"/>
                <w:szCs w:val="18"/>
                <w:lang w:eastAsia="en-GB"/>
              </w:rPr>
              <w:t>&lt;0.001</w:t>
            </w:r>
          </w:p>
        </w:tc>
        <w:tc>
          <w:tcPr>
            <w:tcW w:w="93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T20</w:t>
            </w:r>
          </w:p>
        </w:tc>
      </w:tr>
      <w:tr w:rsidR="00864F93" w:rsidRPr="00153062" w:rsidTr="005D1462">
        <w:trPr>
          <w:trHeight w:val="300"/>
          <w:jc w:val="center"/>
        </w:trPr>
        <w:tc>
          <w:tcPr>
            <w:tcW w:w="1371" w:type="dxa"/>
            <w:noWrap/>
          </w:tcPr>
          <w:p w:rsidR="00864F93" w:rsidRPr="00474260" w:rsidRDefault="00864F93" w:rsidP="00685C4B">
            <w:pPr>
              <w:rPr>
                <w:rFonts w:ascii="Arial" w:hAnsi="Arial" w:cs="Arial"/>
                <w:sz w:val="18"/>
                <w:szCs w:val="18"/>
                <w:lang w:eastAsia="en-GB"/>
              </w:rPr>
            </w:pPr>
          </w:p>
        </w:tc>
        <w:tc>
          <w:tcPr>
            <w:tcW w:w="105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4.31</w:t>
            </w:r>
          </w:p>
        </w:tc>
        <w:tc>
          <w:tcPr>
            <w:tcW w:w="95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0.43</w:t>
            </w:r>
          </w:p>
        </w:tc>
        <w:tc>
          <w:tcPr>
            <w:tcW w:w="1256"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p&lt;0.02</w:t>
            </w:r>
          </w:p>
        </w:tc>
        <w:tc>
          <w:tcPr>
            <w:tcW w:w="93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EDT</w:t>
            </w:r>
          </w:p>
        </w:tc>
      </w:tr>
      <w:tr w:rsidR="00153062" w:rsidRPr="00153062" w:rsidTr="005D1462">
        <w:trPr>
          <w:trHeight w:val="300"/>
          <w:jc w:val="center"/>
        </w:trPr>
        <w:tc>
          <w:tcPr>
            <w:tcW w:w="137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K4u.12</w:t>
            </w:r>
          </w:p>
        </w:tc>
        <w:tc>
          <w:tcPr>
            <w:tcW w:w="10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15.74</w:t>
            </w:r>
          </w:p>
        </w:tc>
        <w:tc>
          <w:tcPr>
            <w:tcW w:w="9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0.68</w:t>
            </w:r>
          </w:p>
        </w:tc>
        <w:tc>
          <w:tcPr>
            <w:tcW w:w="1256"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p&lt;0.001</w:t>
            </w:r>
          </w:p>
        </w:tc>
        <w:tc>
          <w:tcPr>
            <w:tcW w:w="93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T20</w:t>
            </w:r>
          </w:p>
        </w:tc>
      </w:tr>
      <w:tr w:rsidR="00864F93" w:rsidRPr="00153062" w:rsidTr="005D1462">
        <w:trPr>
          <w:trHeight w:val="300"/>
          <w:jc w:val="center"/>
        </w:trPr>
        <w:tc>
          <w:tcPr>
            <w:tcW w:w="1371" w:type="dxa"/>
            <w:noWrap/>
          </w:tcPr>
          <w:p w:rsidR="00864F93" w:rsidRPr="00474260" w:rsidRDefault="00864F93" w:rsidP="00685C4B">
            <w:pPr>
              <w:rPr>
                <w:rFonts w:ascii="Arial" w:hAnsi="Arial" w:cs="Arial"/>
                <w:sz w:val="18"/>
                <w:szCs w:val="18"/>
                <w:lang w:eastAsia="en-GB"/>
              </w:rPr>
            </w:pPr>
          </w:p>
        </w:tc>
        <w:tc>
          <w:tcPr>
            <w:tcW w:w="105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8.27</w:t>
            </w:r>
          </w:p>
        </w:tc>
        <w:tc>
          <w:tcPr>
            <w:tcW w:w="95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0.53</w:t>
            </w:r>
          </w:p>
        </w:tc>
        <w:tc>
          <w:tcPr>
            <w:tcW w:w="1256"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p</w:t>
            </w:r>
            <w:r w:rsidR="00864F93" w:rsidRPr="00474260">
              <w:rPr>
                <w:rFonts w:ascii="Arial" w:hAnsi="Arial" w:cs="Arial"/>
                <w:sz w:val="18"/>
                <w:szCs w:val="18"/>
                <w:lang w:eastAsia="en-GB"/>
              </w:rPr>
              <w:t>&lt;0.001</w:t>
            </w:r>
          </w:p>
        </w:tc>
        <w:tc>
          <w:tcPr>
            <w:tcW w:w="93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EDT</w:t>
            </w:r>
          </w:p>
        </w:tc>
      </w:tr>
      <w:tr w:rsidR="00864F93" w:rsidRPr="00153062" w:rsidTr="005D1462">
        <w:trPr>
          <w:trHeight w:val="300"/>
          <w:jc w:val="center"/>
        </w:trPr>
        <w:tc>
          <w:tcPr>
            <w:tcW w:w="1371" w:type="dxa"/>
            <w:noWrap/>
          </w:tcPr>
          <w:p w:rsidR="00864F93" w:rsidRPr="00474260" w:rsidRDefault="00864F93" w:rsidP="00685C4B">
            <w:pPr>
              <w:rPr>
                <w:rFonts w:ascii="Arial" w:hAnsi="Arial" w:cs="Arial"/>
                <w:sz w:val="18"/>
                <w:szCs w:val="18"/>
                <w:lang w:eastAsia="en-GB"/>
              </w:rPr>
            </w:pPr>
            <w:r w:rsidRPr="00474260">
              <w:rPr>
                <w:rFonts w:ascii="Arial" w:hAnsi="Arial" w:cs="Arial"/>
                <w:sz w:val="18"/>
                <w:szCs w:val="18"/>
                <w:lang w:eastAsia="en-GB"/>
              </w:rPr>
              <w:t>K0.16</w:t>
            </w:r>
          </w:p>
        </w:tc>
        <w:tc>
          <w:tcPr>
            <w:tcW w:w="105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0.08</w:t>
            </w:r>
          </w:p>
        </w:tc>
        <w:tc>
          <w:tcPr>
            <w:tcW w:w="95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0.01</w:t>
            </w:r>
          </w:p>
        </w:tc>
        <w:tc>
          <w:tcPr>
            <w:tcW w:w="1256"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p&lt;0.97</w:t>
            </w:r>
          </w:p>
        </w:tc>
        <w:tc>
          <w:tcPr>
            <w:tcW w:w="93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no</w:t>
            </w:r>
          </w:p>
        </w:tc>
        <w:tc>
          <w:tcPr>
            <w:tcW w:w="1481" w:type="dxa"/>
            <w:noWrap/>
          </w:tcPr>
          <w:p w:rsidR="00864F93" w:rsidRPr="00474260" w:rsidRDefault="00300C65" w:rsidP="00300C65">
            <w:pPr>
              <w:rPr>
                <w:rFonts w:ascii="Arial" w:hAnsi="Arial" w:cs="Arial"/>
                <w:sz w:val="18"/>
                <w:szCs w:val="18"/>
                <w:lang w:eastAsia="en-GB"/>
              </w:rPr>
            </w:pPr>
            <w:r w:rsidRPr="00474260">
              <w:rPr>
                <w:rFonts w:ascii="Arial" w:hAnsi="Arial" w:cs="Arial"/>
                <w:sz w:val="18"/>
                <w:szCs w:val="18"/>
                <w:lang w:eastAsia="en-GB"/>
              </w:rPr>
              <w:t>T20</w:t>
            </w:r>
          </w:p>
        </w:tc>
      </w:tr>
      <w:tr w:rsidR="00153062" w:rsidRPr="00153062" w:rsidTr="005D1462">
        <w:trPr>
          <w:trHeight w:val="300"/>
          <w:jc w:val="center"/>
        </w:trPr>
        <w:tc>
          <w:tcPr>
            <w:tcW w:w="1371" w:type="dxa"/>
            <w:noWrap/>
            <w:hideMark/>
          </w:tcPr>
          <w:p w:rsidR="00153062" w:rsidRPr="00474260" w:rsidRDefault="00153062" w:rsidP="00685C4B">
            <w:pPr>
              <w:rPr>
                <w:rFonts w:ascii="Arial" w:hAnsi="Arial" w:cs="Arial"/>
                <w:sz w:val="18"/>
                <w:szCs w:val="18"/>
                <w:lang w:eastAsia="en-GB"/>
              </w:rPr>
            </w:pPr>
          </w:p>
        </w:tc>
        <w:tc>
          <w:tcPr>
            <w:tcW w:w="10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3.21</w:t>
            </w:r>
          </w:p>
        </w:tc>
        <w:tc>
          <w:tcPr>
            <w:tcW w:w="9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0.29</w:t>
            </w:r>
          </w:p>
        </w:tc>
        <w:tc>
          <w:tcPr>
            <w:tcW w:w="1256" w:type="dxa"/>
            <w:noWrap/>
            <w:hideMark/>
          </w:tcPr>
          <w:p w:rsidR="00153062" w:rsidRPr="00474260" w:rsidRDefault="00864F93" w:rsidP="00685C4B">
            <w:pPr>
              <w:rPr>
                <w:rFonts w:ascii="Arial" w:hAnsi="Arial" w:cs="Arial"/>
                <w:sz w:val="18"/>
                <w:szCs w:val="18"/>
                <w:lang w:eastAsia="en-GB"/>
              </w:rPr>
            </w:pPr>
            <w:r w:rsidRPr="00474260">
              <w:rPr>
                <w:rFonts w:ascii="Arial" w:hAnsi="Arial" w:cs="Arial"/>
                <w:sz w:val="18"/>
                <w:szCs w:val="18"/>
                <w:lang w:eastAsia="en-GB"/>
              </w:rPr>
              <w:t>p</w:t>
            </w:r>
            <w:r w:rsidR="00300C65" w:rsidRPr="00474260">
              <w:rPr>
                <w:rFonts w:ascii="Arial" w:hAnsi="Arial" w:cs="Arial"/>
                <w:sz w:val="18"/>
                <w:szCs w:val="18"/>
                <w:lang w:eastAsia="en-GB"/>
              </w:rPr>
              <w:t>&lt;0.05</w:t>
            </w:r>
          </w:p>
        </w:tc>
        <w:tc>
          <w:tcPr>
            <w:tcW w:w="931" w:type="dxa"/>
            <w:noWrap/>
            <w:hideMark/>
          </w:tcPr>
          <w:p w:rsidR="00153062" w:rsidRPr="00474260" w:rsidRDefault="00300C65"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EDT</w:t>
            </w:r>
          </w:p>
        </w:tc>
      </w:tr>
      <w:tr w:rsidR="00864F93" w:rsidRPr="00153062" w:rsidTr="005D1462">
        <w:trPr>
          <w:trHeight w:val="300"/>
          <w:jc w:val="center"/>
        </w:trPr>
        <w:tc>
          <w:tcPr>
            <w:tcW w:w="137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K0.18</w:t>
            </w:r>
          </w:p>
        </w:tc>
        <w:tc>
          <w:tcPr>
            <w:tcW w:w="105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1.96</w:t>
            </w:r>
          </w:p>
        </w:tc>
        <w:tc>
          <w:tcPr>
            <w:tcW w:w="95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0.23</w:t>
            </w:r>
          </w:p>
        </w:tc>
        <w:tc>
          <w:tcPr>
            <w:tcW w:w="1256"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p&lt;0.2</w:t>
            </w:r>
          </w:p>
        </w:tc>
        <w:tc>
          <w:tcPr>
            <w:tcW w:w="931" w:type="dxa"/>
            <w:noWrap/>
          </w:tcPr>
          <w:p w:rsidR="00864F93" w:rsidRPr="00474260" w:rsidRDefault="00300C65" w:rsidP="00685C4B">
            <w:pPr>
              <w:rPr>
                <w:rFonts w:ascii="Arial" w:hAnsi="Arial" w:cs="Arial"/>
                <w:sz w:val="18"/>
                <w:szCs w:val="18"/>
                <w:lang w:eastAsia="en-GB"/>
              </w:rPr>
            </w:pPr>
            <w:r w:rsidRPr="00474260">
              <w:rPr>
                <w:rFonts w:ascii="Arial" w:hAnsi="Arial" w:cs="Arial"/>
                <w:sz w:val="18"/>
                <w:szCs w:val="18"/>
                <w:lang w:eastAsia="en-GB"/>
              </w:rPr>
              <w:t>no</w:t>
            </w:r>
          </w:p>
        </w:tc>
        <w:tc>
          <w:tcPr>
            <w:tcW w:w="1481" w:type="dxa"/>
            <w:noWrap/>
          </w:tcPr>
          <w:p w:rsidR="00864F93" w:rsidRPr="00474260" w:rsidRDefault="00300C65" w:rsidP="00685C4B">
            <w:pPr>
              <w:keepNext/>
              <w:rPr>
                <w:rFonts w:ascii="Arial" w:hAnsi="Arial" w:cs="Arial"/>
                <w:sz w:val="18"/>
                <w:szCs w:val="18"/>
                <w:lang w:eastAsia="en-GB"/>
              </w:rPr>
            </w:pPr>
            <w:r w:rsidRPr="00474260">
              <w:rPr>
                <w:rFonts w:ascii="Arial" w:hAnsi="Arial" w:cs="Arial"/>
                <w:sz w:val="18"/>
                <w:szCs w:val="18"/>
                <w:lang w:eastAsia="en-GB"/>
              </w:rPr>
              <w:t>T20</w:t>
            </w:r>
          </w:p>
        </w:tc>
      </w:tr>
      <w:tr w:rsidR="00153062" w:rsidRPr="00153062" w:rsidTr="005D1462">
        <w:trPr>
          <w:trHeight w:val="300"/>
          <w:jc w:val="center"/>
        </w:trPr>
        <w:tc>
          <w:tcPr>
            <w:tcW w:w="1371" w:type="dxa"/>
            <w:noWrap/>
            <w:hideMark/>
          </w:tcPr>
          <w:p w:rsidR="00153062" w:rsidRPr="00474260" w:rsidRDefault="00153062" w:rsidP="00685C4B">
            <w:pPr>
              <w:rPr>
                <w:rFonts w:ascii="Arial" w:hAnsi="Arial" w:cs="Arial"/>
                <w:sz w:val="18"/>
                <w:szCs w:val="18"/>
                <w:lang w:eastAsia="en-GB"/>
              </w:rPr>
            </w:pPr>
          </w:p>
        </w:tc>
        <w:tc>
          <w:tcPr>
            <w:tcW w:w="10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4.80</w:t>
            </w:r>
          </w:p>
        </w:tc>
        <w:tc>
          <w:tcPr>
            <w:tcW w:w="95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0.42</w:t>
            </w:r>
          </w:p>
        </w:tc>
        <w:tc>
          <w:tcPr>
            <w:tcW w:w="1256"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p&lt;0.011</w:t>
            </w:r>
          </w:p>
        </w:tc>
        <w:tc>
          <w:tcPr>
            <w:tcW w:w="931" w:type="dxa"/>
            <w:noWrap/>
            <w:hideMark/>
          </w:tcPr>
          <w:p w:rsidR="00153062" w:rsidRPr="00474260" w:rsidRDefault="00153062" w:rsidP="00685C4B">
            <w:pPr>
              <w:rPr>
                <w:rFonts w:ascii="Arial" w:hAnsi="Arial" w:cs="Arial"/>
                <w:sz w:val="18"/>
                <w:szCs w:val="18"/>
                <w:lang w:eastAsia="en-GB"/>
              </w:rPr>
            </w:pPr>
            <w:r w:rsidRPr="00474260">
              <w:rPr>
                <w:rFonts w:ascii="Arial" w:hAnsi="Arial" w:cs="Arial"/>
                <w:sz w:val="18"/>
                <w:szCs w:val="18"/>
                <w:lang w:eastAsia="en-GB"/>
              </w:rPr>
              <w:t>*</w:t>
            </w:r>
          </w:p>
        </w:tc>
        <w:tc>
          <w:tcPr>
            <w:tcW w:w="1481" w:type="dxa"/>
            <w:noWrap/>
            <w:hideMark/>
          </w:tcPr>
          <w:p w:rsidR="00153062" w:rsidRPr="00474260" w:rsidRDefault="00153062" w:rsidP="00685C4B">
            <w:pPr>
              <w:keepNext/>
              <w:rPr>
                <w:rFonts w:ascii="Arial" w:hAnsi="Arial" w:cs="Arial"/>
                <w:sz w:val="18"/>
                <w:szCs w:val="18"/>
                <w:lang w:eastAsia="en-GB"/>
              </w:rPr>
            </w:pPr>
            <w:r w:rsidRPr="00474260">
              <w:rPr>
                <w:rFonts w:ascii="Arial" w:hAnsi="Arial" w:cs="Arial"/>
                <w:sz w:val="18"/>
                <w:szCs w:val="18"/>
                <w:lang w:eastAsia="en-GB"/>
              </w:rPr>
              <w:t>EDT</w:t>
            </w:r>
          </w:p>
        </w:tc>
      </w:tr>
    </w:tbl>
    <w:p w:rsidR="008F2E5E" w:rsidRDefault="00846A19" w:rsidP="00CE3F6A">
      <w:pPr>
        <w:pStyle w:val="Heading2"/>
      </w:pPr>
      <w:r>
        <w:lastRenderedPageBreak/>
        <w:t>Intelligibility Results</w:t>
      </w:r>
    </w:p>
    <w:p w:rsidR="008F2E5E" w:rsidRPr="0068751C" w:rsidRDefault="008F2E5E" w:rsidP="00846A19">
      <w:pPr>
        <w:pStyle w:val="Caption"/>
        <w:rPr>
          <w:b w:val="0"/>
        </w:rPr>
      </w:pPr>
      <w:bookmarkStart w:id="10" w:name="_Ref472849721"/>
      <w:r w:rsidRPr="0068751C">
        <w:rPr>
          <w:b w:val="0"/>
        </w:rPr>
        <w:t xml:space="preserve">Table </w:t>
      </w:r>
      <w:r w:rsidR="00D76498" w:rsidRPr="0068751C">
        <w:rPr>
          <w:b w:val="0"/>
        </w:rPr>
        <w:fldChar w:fldCharType="begin"/>
      </w:r>
      <w:r w:rsidRPr="0068751C">
        <w:rPr>
          <w:b w:val="0"/>
        </w:rPr>
        <w:instrText xml:space="preserve"> SEQ Table \* ARABIC </w:instrText>
      </w:r>
      <w:r w:rsidR="00D76498" w:rsidRPr="0068751C">
        <w:rPr>
          <w:b w:val="0"/>
        </w:rPr>
        <w:fldChar w:fldCharType="separate"/>
      </w:r>
      <w:r w:rsidR="00A81CE0" w:rsidRPr="0068751C">
        <w:rPr>
          <w:b w:val="0"/>
        </w:rPr>
        <w:t>6</w:t>
      </w:r>
      <w:r w:rsidR="00D76498" w:rsidRPr="0068751C">
        <w:rPr>
          <w:b w:val="0"/>
        </w:rPr>
        <w:fldChar w:fldCharType="end"/>
      </w:r>
      <w:bookmarkEnd w:id="10"/>
      <w:r w:rsidR="00846A19" w:rsidRPr="0068751C">
        <w:rPr>
          <w:b w:val="0"/>
        </w:rPr>
        <w:t>: Proposed Unified STI Matrix for Native and Non-Native Speakers, Based on BS EN 60268-16:2011</w:t>
      </w:r>
    </w:p>
    <w:p w:rsidR="008F2E5E" w:rsidRPr="008F2E5E" w:rsidRDefault="008F2E5E" w:rsidP="008F2E5E">
      <w:pPr>
        <w:jc w:val="center"/>
      </w:pPr>
      <w:r>
        <w:rPr>
          <w:noProof/>
          <w:lang w:eastAsia="en-GB"/>
        </w:rPr>
        <w:drawing>
          <wp:inline distT="0" distB="0" distL="0" distR="0">
            <wp:extent cx="2502932" cy="2986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085" cy="3004485"/>
                    </a:xfrm>
                    <a:prstGeom prst="rect">
                      <a:avLst/>
                    </a:prstGeom>
                  </pic:spPr>
                </pic:pic>
              </a:graphicData>
            </a:graphic>
          </wp:inline>
        </w:drawing>
      </w:r>
    </w:p>
    <w:p w:rsidR="00D54C80" w:rsidRDefault="00D54C80" w:rsidP="00D54C80"/>
    <w:p w:rsidR="00D54C80" w:rsidRDefault="00D54C80" w:rsidP="00D54C80">
      <w:r>
        <w:t>As a way to measure the impact of the intelligibility on students results</w:t>
      </w:r>
      <w:r w:rsidR="006D5862">
        <w:t>;</w:t>
      </w:r>
      <w:r>
        <w:t xml:space="preserve"> an exam administered by the English Language Centre to </w:t>
      </w:r>
      <w:r w:rsidR="006A56D3">
        <w:t xml:space="preserve">a diverse population </w:t>
      </w:r>
      <w:r w:rsidR="006D5862">
        <w:t xml:space="preserve">of </w:t>
      </w:r>
      <w:r>
        <w:t xml:space="preserve">students </w:t>
      </w:r>
      <w:r w:rsidR="00B94B6D">
        <w:t xml:space="preserve">(28 different nationalities) </w:t>
      </w:r>
      <w:proofErr w:type="gramStart"/>
      <w:r>
        <w:t>whose</w:t>
      </w:r>
      <w:proofErr w:type="gramEnd"/>
      <w:r>
        <w:t xml:space="preserve"> English is not their first language was compared with the measured STI </w:t>
      </w:r>
      <w:r w:rsidR="0033209E">
        <w:t>at</w:t>
      </w:r>
      <w:r>
        <w:t xml:space="preserve"> each seat</w:t>
      </w:r>
      <w:r w:rsidR="0033209E">
        <w:t xml:space="preserve"> position</w:t>
      </w:r>
      <w:r>
        <w:t>.</w:t>
      </w:r>
    </w:p>
    <w:p w:rsidR="00D54C80" w:rsidRDefault="00D54C80" w:rsidP="00D54C80">
      <w:r>
        <w:t>It is important to highlight at this time that students who undertook the ELC exam did so in a</w:t>
      </w:r>
      <w:r>
        <w:t>c</w:t>
      </w:r>
      <w:r>
        <w:t>cordance with the regular procedures as set out by the exam board and timetable. As such</w:t>
      </w:r>
      <w:r w:rsidR="00B94B6D">
        <w:t xml:space="preserve">, </w:t>
      </w:r>
      <w:r>
        <w:t>at no point were the students, knowingly nor intentionally, were put in a disadvantageous position due to the research, and all conditions were made asfair as possible for the students</w:t>
      </w:r>
      <w:r w:rsidR="0033209E">
        <w:t xml:space="preserve"> – a real life </w:t>
      </w:r>
      <w:r>
        <w:t>scenario</w:t>
      </w:r>
      <w:r w:rsidR="0033209E">
        <w:t>.</w:t>
      </w:r>
    </w:p>
    <w:p w:rsidR="00D54C80" w:rsidRDefault="00D54C80" w:rsidP="00D54C80">
      <w:r>
        <w:t xml:space="preserve">All </w:t>
      </w:r>
      <w:r w:rsidR="006D5862">
        <w:t xml:space="preserve">AV equipment in </w:t>
      </w:r>
      <w:r w:rsidR="0033209E">
        <w:t xml:space="preserve">the </w:t>
      </w:r>
      <w:r>
        <w:t xml:space="preserve">rooms </w:t>
      </w:r>
      <w:r w:rsidR="0033209E">
        <w:t>had identical</w:t>
      </w:r>
      <w:r>
        <w:t xml:space="preserve"> exam files </w:t>
      </w:r>
      <w:r w:rsidR="0033209E">
        <w:t>with</w:t>
      </w:r>
      <w:r>
        <w:t xml:space="preserve"> computers with the same software bu</w:t>
      </w:r>
      <w:r w:rsidR="006D5862">
        <w:t>ild and similar characteristics</w:t>
      </w:r>
      <w:r w:rsidR="0033209E">
        <w:t>. The</w:t>
      </w:r>
      <w:r w:rsidR="006D5862">
        <w:t xml:space="preserve"> s</w:t>
      </w:r>
      <w:r>
        <w:t>ignal was adjusted to an average of 6</w:t>
      </w:r>
      <w:r w:rsidR="006D5862">
        <w:t xml:space="preserve">3±1 </w:t>
      </w:r>
      <w:proofErr w:type="gramStart"/>
      <w:r w:rsidR="0033209E">
        <w:t>dB</w:t>
      </w:r>
      <w:r>
        <w:t>(</w:t>
      </w:r>
      <w:proofErr w:type="gramEnd"/>
      <w:r>
        <w:t xml:space="preserve">A), as measured at </w:t>
      </w:r>
      <w:r w:rsidR="006D5862">
        <w:t xml:space="preserve">the same designated seating position </w:t>
      </w:r>
      <w:r>
        <w:t xml:space="preserve">in each room before and after the examination. </w:t>
      </w:r>
    </w:p>
    <w:p w:rsidR="00BC0EFE" w:rsidRDefault="006D5862" w:rsidP="00D54C80">
      <w:r>
        <w:t xml:space="preserve">This group of students </w:t>
      </w:r>
      <w:r w:rsidR="0033209E">
        <w:t>studied were at a similar level of English</w:t>
      </w:r>
      <w:r>
        <w:t xml:space="preserve"> i.e. </w:t>
      </w:r>
      <w:r w:rsidR="0033209E">
        <w:t>taken training and were at ca</w:t>
      </w:r>
      <w:r w:rsidR="008F2E5E">
        <w:t xml:space="preserve">tegory NNCII </w:t>
      </w:r>
      <w:r w:rsidR="0033209E">
        <w:t xml:space="preserve">as </w:t>
      </w:r>
      <w:r w:rsidR="008F2E5E">
        <w:t xml:space="preserve">described in </w:t>
      </w:r>
      <w:r w:rsidR="00D76498">
        <w:fldChar w:fldCharType="begin"/>
      </w:r>
      <w:r w:rsidR="008F2E5E">
        <w:instrText xml:space="preserve"> REF _Ref472849721 \h </w:instrText>
      </w:r>
      <w:r w:rsidR="00D76498">
        <w:fldChar w:fldCharType="separate"/>
      </w:r>
      <w:r w:rsidR="008F2E5E">
        <w:t xml:space="preserve">Table </w:t>
      </w:r>
      <w:r w:rsidR="008F2E5E">
        <w:rPr>
          <w:noProof/>
        </w:rPr>
        <w:t>6</w:t>
      </w:r>
      <w:r w:rsidR="00D76498">
        <w:fldChar w:fldCharType="end"/>
      </w:r>
      <w:r>
        <w:t>.</w:t>
      </w:r>
      <w:r w:rsidR="00BE59AD">
        <w:t xml:space="preserve"> A</w:t>
      </w:r>
      <w:r w:rsidR="0033209E">
        <w:t>s such, a</w:t>
      </w:r>
      <w:r w:rsidR="00BE59AD">
        <w:t xml:space="preserve"> random selection of the sample </w:t>
      </w:r>
      <w:r w:rsidR="0033209E">
        <w:t>ELC exam score can be analysed, see Figure 5.</w:t>
      </w:r>
    </w:p>
    <w:p w:rsidR="0033209E" w:rsidRDefault="0033209E" w:rsidP="00D54C80"/>
    <w:p w:rsidR="00BC0EFE" w:rsidRDefault="00BC0EFE" w:rsidP="00BC0EFE">
      <w:pPr>
        <w:keepNext/>
        <w:jc w:val="center"/>
      </w:pPr>
      <w:r>
        <w:rPr>
          <w:noProof/>
          <w:lang w:eastAsia="en-GB"/>
        </w:rPr>
        <w:drawing>
          <wp:inline distT="0" distB="0" distL="0" distR="0">
            <wp:extent cx="4705350" cy="1600200"/>
            <wp:effectExtent l="0" t="0" r="0" b="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0EFE" w:rsidRPr="00BC0EFE" w:rsidRDefault="00BC0EFE" w:rsidP="00BC0EFE">
      <w:pPr>
        <w:pStyle w:val="Caption"/>
        <w:rPr>
          <w:b w:val="0"/>
        </w:rPr>
      </w:pPr>
      <w:bookmarkStart w:id="11" w:name="_Ref472850197"/>
      <w:r w:rsidRPr="00BC0EFE">
        <w:rPr>
          <w:b w:val="0"/>
        </w:rPr>
        <w:t xml:space="preserve">Figure </w:t>
      </w:r>
      <w:r w:rsidR="00D76498" w:rsidRPr="00BC0EFE">
        <w:rPr>
          <w:b w:val="0"/>
        </w:rPr>
        <w:fldChar w:fldCharType="begin"/>
      </w:r>
      <w:r w:rsidRPr="00BC0EFE">
        <w:rPr>
          <w:b w:val="0"/>
        </w:rPr>
        <w:instrText xml:space="preserve"> SEQ Figure \* ARABIC </w:instrText>
      </w:r>
      <w:r w:rsidR="00D76498" w:rsidRPr="00BC0EFE">
        <w:rPr>
          <w:b w:val="0"/>
        </w:rPr>
        <w:fldChar w:fldCharType="separate"/>
      </w:r>
      <w:r w:rsidR="0068751C">
        <w:rPr>
          <w:b w:val="0"/>
          <w:noProof/>
        </w:rPr>
        <w:t>5</w:t>
      </w:r>
      <w:r w:rsidR="00D76498" w:rsidRPr="00BC0EFE">
        <w:rPr>
          <w:b w:val="0"/>
        </w:rPr>
        <w:fldChar w:fldCharType="end"/>
      </w:r>
      <w:bookmarkEnd w:id="11"/>
      <w:r>
        <w:rPr>
          <w:b w:val="0"/>
        </w:rPr>
        <w:t>: Exam Marks as</w:t>
      </w:r>
      <w:r w:rsidRPr="00BC0EFE">
        <w:rPr>
          <w:b w:val="0"/>
        </w:rPr>
        <w:t xml:space="preserve"> Function of STI </w:t>
      </w:r>
    </w:p>
    <w:p w:rsidR="00BC0EFE" w:rsidRDefault="00BC0EFE" w:rsidP="00D54C80"/>
    <w:p w:rsidR="00BC0EFE" w:rsidRPr="00F85EA9" w:rsidRDefault="00D76498" w:rsidP="0033209E">
      <w:r w:rsidRPr="00BC0EFE">
        <w:fldChar w:fldCharType="begin"/>
      </w:r>
      <w:r w:rsidR="00BC0EFE" w:rsidRPr="00BC0EFE">
        <w:instrText xml:space="preserve"> REF _Ref472850197 \h  \* MERGEFORMAT </w:instrText>
      </w:r>
      <w:r w:rsidRPr="00BC0EFE">
        <w:fldChar w:fldCharType="separate"/>
      </w:r>
      <w:r w:rsidR="00BC0EFE" w:rsidRPr="00BC0EFE">
        <w:t>Figure 5</w:t>
      </w:r>
      <w:r w:rsidRPr="00BC0EFE">
        <w:fldChar w:fldCharType="end"/>
      </w:r>
      <w:r w:rsidR="00BC0EFE">
        <w:t xml:space="preserve"> shows that i</w:t>
      </w:r>
      <w:r w:rsidR="00BC0EFE" w:rsidRPr="00BC0EFE">
        <w:t xml:space="preserve">f the </w:t>
      </w:r>
      <w:r w:rsidR="00BC0EFE">
        <w:t xml:space="preserve">exam results are compared </w:t>
      </w:r>
      <w:r w:rsidR="00BC0EFE" w:rsidRPr="00BC0EFE">
        <w:t xml:space="preserve">as a 1-1 relationship </w:t>
      </w:r>
      <w:r w:rsidR="00BC0EFE">
        <w:t>with the STI mea</w:t>
      </w:r>
      <w:r w:rsidR="00BC0EFE">
        <w:t>s</w:t>
      </w:r>
      <w:r w:rsidR="00BC0EFE">
        <w:t xml:space="preserve">urement </w:t>
      </w:r>
      <w:r w:rsidR="00BC0EFE" w:rsidRPr="00BC0EFE">
        <w:t xml:space="preserve">and centring the study in the middle values then </w:t>
      </w:r>
      <w:r w:rsidR="006952C5">
        <w:t>a</w:t>
      </w:r>
      <w:r w:rsidR="00BC0EFE" w:rsidRPr="00BC0EFE">
        <w:t xml:space="preserve"> relationship between the exam r</w:t>
      </w:r>
      <w:r w:rsidR="00BC0EFE" w:rsidRPr="00BC0EFE">
        <w:t>e</w:t>
      </w:r>
      <w:r w:rsidR="00BC0EFE" w:rsidRPr="00BC0EFE">
        <w:t xml:space="preserve">sults and the measured STIPA </w:t>
      </w:r>
      <w:r w:rsidR="00BC0EFE">
        <w:t>seem to exist</w:t>
      </w:r>
      <w:r w:rsidR="0033209E">
        <w:t>, R=0.68 based on a third polynomial fit.</w:t>
      </w:r>
      <w:r w:rsidR="0033209E">
        <w:rPr>
          <w:lang w:val="en-US"/>
        </w:rPr>
        <w:t>T</w:t>
      </w:r>
      <w:r w:rsidR="00BC0EFE">
        <w:rPr>
          <w:lang w:val="en-US"/>
        </w:rPr>
        <w:t>his</w:t>
      </w:r>
      <w:r w:rsidR="006952C5">
        <w:rPr>
          <w:lang w:val="en-US"/>
        </w:rPr>
        <w:t xml:space="preserve"> </w:t>
      </w:r>
      <w:r w:rsidR="00BC0EFE" w:rsidRPr="00F85EA9">
        <w:rPr>
          <w:lang w:val="en-US"/>
        </w:rPr>
        <w:t xml:space="preserve">accounts for </w:t>
      </w:r>
      <w:r w:rsidR="00BC0EFE" w:rsidRPr="00F85EA9">
        <w:rPr>
          <w:lang w:val="en-US"/>
        </w:rPr>
        <w:lastRenderedPageBreak/>
        <w:t>approximately 46% of th</w:t>
      </w:r>
      <w:r w:rsidR="00EB1992">
        <w:rPr>
          <w:lang w:val="en-US"/>
        </w:rPr>
        <w:t xml:space="preserve">e total variance of the results, i.e. </w:t>
      </w:r>
      <w:r w:rsidR="00BC0EFE" w:rsidRPr="00F85EA9">
        <w:rPr>
          <w:lang w:val="en-US"/>
        </w:rPr>
        <w:t xml:space="preserve">The overall regression model was </w:t>
      </w:r>
      <w:r w:rsidR="00BC0EFE">
        <w:rPr>
          <w:lang w:val="en-US"/>
        </w:rPr>
        <w:t>signi</w:t>
      </w:r>
      <w:r w:rsidR="00BC0EFE">
        <w:rPr>
          <w:lang w:val="en-US"/>
        </w:rPr>
        <w:t>f</w:t>
      </w:r>
      <w:r w:rsidR="00BC0EFE">
        <w:rPr>
          <w:lang w:val="en-US"/>
        </w:rPr>
        <w:t>icant, F (3,16) = 4.54. p&lt;</w:t>
      </w:r>
      <w:r w:rsidR="00BC0EFE" w:rsidRPr="00F85EA9">
        <w:rPr>
          <w:lang w:val="en-US"/>
        </w:rPr>
        <w:t>0.02, R</w:t>
      </w:r>
      <w:r w:rsidR="00BC0EFE" w:rsidRPr="00F85EA9">
        <w:rPr>
          <w:vertAlign w:val="superscript"/>
          <w:lang w:val="en-US"/>
        </w:rPr>
        <w:t>2</w:t>
      </w:r>
      <w:r w:rsidR="00BC0EFE" w:rsidRPr="00F85EA9">
        <w:rPr>
          <w:lang w:val="en-US"/>
        </w:rPr>
        <w:t>=0.46</w:t>
      </w:r>
      <w:r w:rsidR="0033209E">
        <w:rPr>
          <w:lang w:val="en-US"/>
        </w:rPr>
        <w:t>.</w:t>
      </w:r>
    </w:p>
    <w:p w:rsidR="00EA5B7E" w:rsidRDefault="0033209E" w:rsidP="00EA5B7E">
      <w:r>
        <w:t>Morales’</w:t>
      </w:r>
      <w:r w:rsidR="00EA5B7E">
        <w:t xml:space="preserve">s research </w:t>
      </w:r>
      <w:sdt>
        <w:sdtPr>
          <w:id w:val="-1445080232"/>
          <w:citation/>
        </w:sdtPr>
        <w:sdtContent>
          <w:r w:rsidR="00D76498">
            <w:fldChar w:fldCharType="begin"/>
          </w:r>
          <w:r w:rsidR="00EA5B7E">
            <w:instrText xml:space="preserve">CITATION Mor14 \p 58 \l 2057 </w:instrText>
          </w:r>
          <w:r w:rsidR="00D76498">
            <w:fldChar w:fldCharType="separate"/>
          </w:r>
          <w:r w:rsidR="00846A19">
            <w:rPr>
              <w:noProof/>
            </w:rPr>
            <w:t>(7 p. 58)</w:t>
          </w:r>
          <w:r w:rsidR="00D76498">
            <w:fldChar w:fldCharType="end"/>
          </w:r>
        </w:sdtContent>
      </w:sdt>
      <w:r w:rsidR="00EA5B7E">
        <w:t>,</w:t>
      </w:r>
      <w:r w:rsidR="00421D27">
        <w:t xml:space="preserve"> found a third degree polynomial </w:t>
      </w:r>
      <w:r w:rsidR="00EA5B7E">
        <w:t xml:space="preserve">relationship between PB and STI </w:t>
      </w:r>
      <w:r w:rsidR="00B43067">
        <w:t>for native English speaking population as result it was decided to study the relationship between STI and PB for non-native volunteers.</w:t>
      </w:r>
    </w:p>
    <w:p w:rsidR="00B43067" w:rsidRDefault="00B43067" w:rsidP="00EA5B7E"/>
    <w:p w:rsidR="0068751C" w:rsidRDefault="00B43067" w:rsidP="004F0EAB">
      <w:pPr>
        <w:keepNext/>
        <w:jc w:val="center"/>
      </w:pPr>
      <w:r>
        <w:rPr>
          <w:noProof/>
          <w:lang w:eastAsia="en-GB"/>
        </w:rPr>
        <w:drawing>
          <wp:inline distT="0" distB="0" distL="0" distR="0">
            <wp:extent cx="5530850" cy="1833880"/>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3067" w:rsidRPr="004F0EAB" w:rsidRDefault="0068751C" w:rsidP="004F0EAB">
      <w:pPr>
        <w:pStyle w:val="Caption"/>
        <w:rPr>
          <w:b w:val="0"/>
        </w:rPr>
      </w:pPr>
      <w:bookmarkStart w:id="12" w:name="_Ref473034084"/>
      <w:r w:rsidRPr="004F0EAB">
        <w:rPr>
          <w:b w:val="0"/>
        </w:rPr>
        <w:t xml:space="preserve">Figure </w:t>
      </w:r>
      <w:r w:rsidR="00D76498" w:rsidRPr="004F0EAB">
        <w:rPr>
          <w:b w:val="0"/>
        </w:rPr>
        <w:fldChar w:fldCharType="begin"/>
      </w:r>
      <w:r w:rsidRPr="004F0EAB">
        <w:rPr>
          <w:b w:val="0"/>
        </w:rPr>
        <w:instrText xml:space="preserve"> SEQ Figure \* ARABIC </w:instrText>
      </w:r>
      <w:r w:rsidR="00D76498" w:rsidRPr="004F0EAB">
        <w:rPr>
          <w:b w:val="0"/>
        </w:rPr>
        <w:fldChar w:fldCharType="separate"/>
      </w:r>
      <w:r w:rsidRPr="004F0EAB">
        <w:rPr>
          <w:b w:val="0"/>
        </w:rPr>
        <w:t>6</w:t>
      </w:r>
      <w:r w:rsidR="00D76498" w:rsidRPr="004F0EAB">
        <w:rPr>
          <w:b w:val="0"/>
        </w:rPr>
        <w:fldChar w:fldCharType="end"/>
      </w:r>
      <w:bookmarkEnd w:id="12"/>
      <w:r w:rsidR="004F0EAB" w:rsidRPr="004F0EAB">
        <w:rPr>
          <w:b w:val="0"/>
        </w:rPr>
        <w:t xml:space="preserve">: </w:t>
      </w:r>
      <w:r w:rsidR="0033209E">
        <w:rPr>
          <w:b w:val="0"/>
        </w:rPr>
        <w:t xml:space="preserve">Analysis </w:t>
      </w:r>
      <w:r w:rsidR="004F0EAB" w:rsidRPr="004F0EAB">
        <w:rPr>
          <w:b w:val="0"/>
        </w:rPr>
        <w:t>of the Correct Answers as Function of the STI (Program Audio) for Non-Native Speakers</w:t>
      </w:r>
    </w:p>
    <w:p w:rsidR="004F0EAB" w:rsidRDefault="004F0EAB" w:rsidP="004F0EAB">
      <w:r>
        <w:rPr>
          <w:lang w:val="en-US"/>
        </w:rPr>
        <w:t xml:space="preserve">The results seen in </w:t>
      </w:r>
      <w:fldSimple w:instr=" REF _Ref473034084 \h  \* MERGEFORMAT ">
        <w:r w:rsidRPr="004F0EAB">
          <w:t>Figure 6</w:t>
        </w:r>
      </w:fldSimple>
      <w:r>
        <w:rPr>
          <w:lang w:val="en-US"/>
        </w:rPr>
        <w:t>, indicate that if the model is taken as a p</w:t>
      </w:r>
      <w:r w:rsidR="0033209E">
        <w:rPr>
          <w:lang w:val="en-US"/>
        </w:rPr>
        <w:t>olynomial function the ST</w:t>
      </w:r>
      <w:r w:rsidR="0033209E">
        <w:rPr>
          <w:lang w:val="en-US"/>
        </w:rPr>
        <w:t>I</w:t>
      </w:r>
      <w:r w:rsidRPr="004F0EAB">
        <w:rPr>
          <w:lang w:val="en-US"/>
        </w:rPr>
        <w:t>PAaccounts for approximately 70% of the total variance of the results of the measured STI in the Room.The overall regression model was significant, F(3,32) = 24.41. p&lt;&lt;.001, R</w:t>
      </w:r>
      <w:r w:rsidRPr="004F0EAB">
        <w:rPr>
          <w:vertAlign w:val="superscript"/>
          <w:lang w:val="en-US"/>
        </w:rPr>
        <w:t>2</w:t>
      </w:r>
      <w:r w:rsidRPr="004F0EAB">
        <w:rPr>
          <w:lang w:val="en-US"/>
        </w:rPr>
        <w:t>=0.</w:t>
      </w:r>
      <w:r w:rsidRPr="004F0EAB">
        <w:t>70</w:t>
      </w:r>
      <w:r w:rsidR="0033209E">
        <w:t>.</w:t>
      </w:r>
    </w:p>
    <w:p w:rsidR="004F0EAB" w:rsidRPr="004F0EAB" w:rsidRDefault="004F0EAB" w:rsidP="004F0EAB">
      <w:pPr>
        <w:rPr>
          <w:lang w:val="en-US"/>
        </w:rPr>
      </w:pPr>
      <w:r w:rsidRPr="004F0EAB">
        <w:rPr>
          <w:lang w:val="en-US"/>
        </w:rPr>
        <w:t xml:space="preserve">Taken as a </w:t>
      </w:r>
      <w:r>
        <w:rPr>
          <w:lang w:val="en-US"/>
        </w:rPr>
        <w:t>linear</w:t>
      </w:r>
      <w:r w:rsidRPr="004F0EAB">
        <w:rPr>
          <w:lang w:val="en-US"/>
        </w:rPr>
        <w:t xml:space="preserve"> function the STIPAaccounts for approximately 68% of the total variance of the results of the measured STI in the Room.The overall regression model </w:t>
      </w:r>
      <w:r>
        <w:rPr>
          <w:lang w:val="en-US"/>
        </w:rPr>
        <w:t>is</w:t>
      </w:r>
      <w:r w:rsidRPr="004F0EAB">
        <w:rPr>
          <w:lang w:val="en-US"/>
        </w:rPr>
        <w:t xml:space="preserve"> significant, </w:t>
      </w:r>
      <w:proofErr w:type="gramStart"/>
      <w:r w:rsidRPr="004F0EAB">
        <w:rPr>
          <w:lang w:val="en-US"/>
        </w:rPr>
        <w:t>F(</w:t>
      </w:r>
      <w:proofErr w:type="gramEnd"/>
      <w:r w:rsidRPr="004F0EAB">
        <w:rPr>
          <w:lang w:val="en-US"/>
        </w:rPr>
        <w:t>1,34) = 73.12. p&lt;&lt;.001, R</w:t>
      </w:r>
      <w:r w:rsidRPr="004F0EAB">
        <w:rPr>
          <w:vertAlign w:val="superscript"/>
          <w:lang w:val="en-US"/>
        </w:rPr>
        <w:t>2</w:t>
      </w:r>
      <w:r w:rsidRPr="004F0EAB">
        <w:rPr>
          <w:lang w:val="en-US"/>
        </w:rPr>
        <w:t>=0.</w:t>
      </w:r>
      <w:r w:rsidRPr="004F0EAB">
        <w:t>68</w:t>
      </w:r>
      <w:r w:rsidR="0033209E">
        <w:t>.</w:t>
      </w:r>
    </w:p>
    <w:p w:rsidR="00147302" w:rsidRPr="00105F73" w:rsidRDefault="00B43067">
      <w:pPr>
        <w:pStyle w:val="Heading2"/>
      </w:pPr>
      <w:r>
        <w:t>Subjective results</w:t>
      </w:r>
    </w:p>
    <w:p w:rsidR="00B43067" w:rsidRDefault="00B43067" w:rsidP="00B43067">
      <w:r>
        <w:t xml:space="preserve">The final part of </w:t>
      </w:r>
      <w:r w:rsidR="00403D4E">
        <w:t>research</w:t>
      </w:r>
      <w:r>
        <w:t xml:space="preserve"> focusses on studying the subjective evaluation</w:t>
      </w:r>
      <w:r w:rsidR="00403D4E">
        <w:t xml:space="preserve"> of some acoustic p</w:t>
      </w:r>
      <w:r w:rsidR="00403D4E">
        <w:t>a</w:t>
      </w:r>
      <w:r w:rsidR="00403D4E">
        <w:t>rameters</w:t>
      </w:r>
      <w:r w:rsidR="00B94B6D">
        <w:t xml:space="preserve">.For this 77 students from the </w:t>
      </w:r>
      <w:r w:rsidR="00403D4E">
        <w:t>English Language Centre and Summer Schools where su</w:t>
      </w:r>
      <w:r w:rsidR="00403D4E">
        <w:t>r</w:t>
      </w:r>
      <w:r w:rsidR="00403D4E">
        <w:t>veyed in the previously analysed rooms and were asked if the quality of the sound and intelligibility was important for their learning. The</w:t>
      </w:r>
      <w:r>
        <w:t xml:space="preserve"> survey </w:t>
      </w:r>
      <w:proofErr w:type="gramStart"/>
      <w:r>
        <w:t>was given</w:t>
      </w:r>
      <w:proofErr w:type="gramEnd"/>
      <w:r>
        <w:t xml:space="preserve"> to the tutor of the students who encouraged them to fill in this at the end of the class</w:t>
      </w:r>
      <w:r w:rsidR="00403D4E">
        <w:t>.</w:t>
      </w:r>
    </w:p>
    <w:p w:rsidR="00403D4E" w:rsidRDefault="00403D4E" w:rsidP="00B43067"/>
    <w:p w:rsidR="00403D4E" w:rsidRPr="00403D4E" w:rsidRDefault="00403D4E" w:rsidP="00403D4E">
      <w:pPr>
        <w:pStyle w:val="Caption"/>
        <w:keepNext/>
        <w:rPr>
          <w:b w:val="0"/>
        </w:rPr>
      </w:pPr>
      <w:r w:rsidRPr="00403D4E">
        <w:rPr>
          <w:b w:val="0"/>
        </w:rPr>
        <w:t xml:space="preserve">Table </w:t>
      </w:r>
      <w:r w:rsidR="00D76498" w:rsidRPr="00403D4E">
        <w:rPr>
          <w:b w:val="0"/>
        </w:rPr>
        <w:fldChar w:fldCharType="begin"/>
      </w:r>
      <w:r w:rsidRPr="00403D4E">
        <w:rPr>
          <w:b w:val="0"/>
        </w:rPr>
        <w:instrText xml:space="preserve"> SEQ Table \* ARABIC </w:instrText>
      </w:r>
      <w:r w:rsidR="00D76498" w:rsidRPr="00403D4E">
        <w:rPr>
          <w:b w:val="0"/>
        </w:rPr>
        <w:fldChar w:fldCharType="separate"/>
      </w:r>
      <w:r w:rsidR="00A81CE0">
        <w:rPr>
          <w:b w:val="0"/>
          <w:noProof/>
        </w:rPr>
        <w:t>7</w:t>
      </w:r>
      <w:r w:rsidR="00D76498" w:rsidRPr="00403D4E">
        <w:rPr>
          <w:b w:val="0"/>
        </w:rPr>
        <w:fldChar w:fldCharType="end"/>
      </w:r>
      <w:r w:rsidRPr="00403D4E">
        <w:rPr>
          <w:b w:val="0"/>
        </w:rPr>
        <w:t>: Relative Importance of Intelligibility on Student Experience</w:t>
      </w:r>
    </w:p>
    <w:tbl>
      <w:tblPr>
        <w:tblStyle w:val="APAReport"/>
        <w:tblW w:w="3444" w:type="pct"/>
        <w:jc w:val="center"/>
        <w:tblLook w:val="04A0"/>
      </w:tblPr>
      <w:tblGrid>
        <w:gridCol w:w="2867"/>
        <w:gridCol w:w="1891"/>
        <w:gridCol w:w="2029"/>
      </w:tblGrid>
      <w:tr w:rsidR="00403D4E" w:rsidRPr="008F4AB7" w:rsidTr="00403D4E">
        <w:trPr>
          <w:cnfStyle w:val="100000000000"/>
          <w:trHeight w:val="288"/>
          <w:jc w:val="center"/>
        </w:trPr>
        <w:tc>
          <w:tcPr>
            <w:tcW w:w="2112" w:type="pct"/>
            <w:noWrap/>
            <w:hideMark/>
          </w:tcPr>
          <w:p w:rsidR="00403D4E" w:rsidRPr="008F4AB7" w:rsidRDefault="00403D4E" w:rsidP="00CE3F6A">
            <w:pPr>
              <w:rPr>
                <w:rFonts w:ascii="Calibri" w:hAnsi="Calibri"/>
                <w:sz w:val="20"/>
                <w:szCs w:val="20"/>
              </w:rPr>
            </w:pPr>
            <w:r w:rsidRPr="008F4AB7">
              <w:rPr>
                <w:rFonts w:ascii="Calibri" w:hAnsi="Calibri"/>
                <w:sz w:val="20"/>
                <w:szCs w:val="20"/>
              </w:rPr>
              <w:t>Importance</w:t>
            </w:r>
          </w:p>
        </w:tc>
        <w:tc>
          <w:tcPr>
            <w:tcW w:w="1393" w:type="pct"/>
            <w:noWrap/>
            <w:hideMark/>
          </w:tcPr>
          <w:p w:rsidR="00403D4E" w:rsidRPr="008F4AB7" w:rsidRDefault="00403D4E" w:rsidP="00CE3F6A">
            <w:pPr>
              <w:jc w:val="right"/>
              <w:rPr>
                <w:rFonts w:ascii="Calibri" w:hAnsi="Calibri"/>
                <w:sz w:val="20"/>
                <w:szCs w:val="20"/>
              </w:rPr>
            </w:pPr>
            <w:r w:rsidRPr="008F4AB7">
              <w:rPr>
                <w:rFonts w:ascii="Calibri" w:hAnsi="Calibri"/>
                <w:sz w:val="20"/>
                <w:szCs w:val="20"/>
              </w:rPr>
              <w:t>Total</w:t>
            </w:r>
          </w:p>
        </w:tc>
        <w:tc>
          <w:tcPr>
            <w:tcW w:w="1495" w:type="pct"/>
            <w:noWrap/>
            <w:hideMark/>
          </w:tcPr>
          <w:p w:rsidR="00403D4E" w:rsidRPr="008F4AB7" w:rsidRDefault="00403D4E" w:rsidP="00CE3F6A">
            <w:pPr>
              <w:jc w:val="right"/>
              <w:rPr>
                <w:rFonts w:ascii="Calibri" w:hAnsi="Calibri"/>
                <w:sz w:val="20"/>
                <w:szCs w:val="20"/>
              </w:rPr>
            </w:pPr>
            <w:r w:rsidRPr="008F4AB7">
              <w:rPr>
                <w:rFonts w:ascii="Calibri" w:hAnsi="Calibri"/>
                <w:sz w:val="20"/>
                <w:szCs w:val="20"/>
              </w:rPr>
              <w:t>%</w:t>
            </w:r>
          </w:p>
        </w:tc>
      </w:tr>
      <w:tr w:rsidR="00403D4E" w:rsidRPr="00A2138D" w:rsidTr="00403D4E">
        <w:trPr>
          <w:trHeight w:val="288"/>
          <w:jc w:val="center"/>
        </w:trPr>
        <w:tc>
          <w:tcPr>
            <w:tcW w:w="2112" w:type="pct"/>
            <w:noWrap/>
            <w:hideMark/>
          </w:tcPr>
          <w:p w:rsidR="00403D4E" w:rsidRPr="008F4AB7" w:rsidRDefault="00403D4E" w:rsidP="00CE3F6A">
            <w:pPr>
              <w:rPr>
                <w:rFonts w:ascii="Calibri" w:hAnsi="Calibri"/>
                <w:sz w:val="20"/>
                <w:szCs w:val="20"/>
              </w:rPr>
            </w:pPr>
            <w:r>
              <w:rPr>
                <w:rFonts w:ascii="Calibri" w:hAnsi="Calibri"/>
                <w:sz w:val="20"/>
                <w:szCs w:val="20"/>
              </w:rPr>
              <w:t>Not Important</w:t>
            </w:r>
            <w:r w:rsidRPr="008F4AB7">
              <w:rPr>
                <w:rFonts w:ascii="Calibri" w:hAnsi="Calibri"/>
                <w:sz w:val="20"/>
                <w:szCs w:val="20"/>
              </w:rPr>
              <w:t xml:space="preserve"> (5,8)</w:t>
            </w:r>
          </w:p>
        </w:tc>
        <w:tc>
          <w:tcPr>
            <w:tcW w:w="1393" w:type="pct"/>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7</w:t>
            </w:r>
          </w:p>
        </w:tc>
        <w:tc>
          <w:tcPr>
            <w:tcW w:w="1495" w:type="pct"/>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9.86%</w:t>
            </w:r>
          </w:p>
        </w:tc>
      </w:tr>
      <w:tr w:rsidR="00403D4E" w:rsidRPr="00A2138D" w:rsidTr="00403D4E">
        <w:trPr>
          <w:trHeight w:val="288"/>
          <w:jc w:val="center"/>
        </w:trPr>
        <w:tc>
          <w:tcPr>
            <w:tcW w:w="2112" w:type="pct"/>
            <w:noWrap/>
            <w:hideMark/>
          </w:tcPr>
          <w:p w:rsidR="00403D4E" w:rsidRPr="008F4AB7" w:rsidRDefault="00403D4E" w:rsidP="00CE3F6A">
            <w:pPr>
              <w:rPr>
                <w:rFonts w:ascii="Calibri" w:hAnsi="Calibri"/>
                <w:sz w:val="20"/>
                <w:szCs w:val="20"/>
              </w:rPr>
            </w:pPr>
            <w:r>
              <w:rPr>
                <w:rFonts w:ascii="Calibri" w:hAnsi="Calibri"/>
                <w:sz w:val="20"/>
                <w:szCs w:val="20"/>
              </w:rPr>
              <w:t>Somewhat Important</w:t>
            </w:r>
            <w:r w:rsidRPr="008F4AB7">
              <w:rPr>
                <w:rFonts w:ascii="Calibri" w:hAnsi="Calibri"/>
                <w:sz w:val="20"/>
                <w:szCs w:val="20"/>
              </w:rPr>
              <w:t xml:space="preserve"> (9, 11)</w:t>
            </w:r>
          </w:p>
        </w:tc>
        <w:tc>
          <w:tcPr>
            <w:tcW w:w="1393" w:type="pct"/>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12</w:t>
            </w:r>
          </w:p>
        </w:tc>
        <w:tc>
          <w:tcPr>
            <w:tcW w:w="1495" w:type="pct"/>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16.90%</w:t>
            </w:r>
          </w:p>
        </w:tc>
      </w:tr>
      <w:tr w:rsidR="00403D4E" w:rsidRPr="00A2138D" w:rsidTr="00403D4E">
        <w:trPr>
          <w:trHeight w:val="288"/>
          <w:jc w:val="center"/>
        </w:trPr>
        <w:tc>
          <w:tcPr>
            <w:tcW w:w="2112" w:type="pct"/>
            <w:noWrap/>
            <w:hideMark/>
          </w:tcPr>
          <w:p w:rsidR="00403D4E" w:rsidRPr="008F4AB7" w:rsidRDefault="00403D4E" w:rsidP="00CE3F6A">
            <w:pPr>
              <w:rPr>
                <w:rFonts w:ascii="Calibri" w:hAnsi="Calibri"/>
                <w:sz w:val="20"/>
                <w:szCs w:val="20"/>
              </w:rPr>
            </w:pPr>
            <w:r>
              <w:rPr>
                <w:rFonts w:ascii="Calibri" w:hAnsi="Calibri"/>
                <w:sz w:val="20"/>
                <w:szCs w:val="20"/>
              </w:rPr>
              <w:t>Very Important</w:t>
            </w:r>
            <w:r w:rsidRPr="008F4AB7">
              <w:rPr>
                <w:rFonts w:ascii="Calibri" w:hAnsi="Calibri"/>
                <w:sz w:val="20"/>
                <w:szCs w:val="20"/>
              </w:rPr>
              <w:t xml:space="preserve"> (12, 14)</w:t>
            </w:r>
          </w:p>
        </w:tc>
        <w:tc>
          <w:tcPr>
            <w:tcW w:w="1393" w:type="pct"/>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32</w:t>
            </w:r>
          </w:p>
        </w:tc>
        <w:tc>
          <w:tcPr>
            <w:tcW w:w="1495" w:type="pct"/>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45.07%</w:t>
            </w:r>
          </w:p>
        </w:tc>
      </w:tr>
      <w:tr w:rsidR="00403D4E" w:rsidRPr="00A2138D" w:rsidTr="00403D4E">
        <w:trPr>
          <w:trHeight w:val="288"/>
          <w:jc w:val="center"/>
        </w:trPr>
        <w:tc>
          <w:tcPr>
            <w:tcW w:w="2112" w:type="pct"/>
            <w:tcBorders>
              <w:bottom w:val="double" w:sz="4" w:space="0" w:color="auto"/>
            </w:tcBorders>
            <w:noWrap/>
            <w:hideMark/>
          </w:tcPr>
          <w:p w:rsidR="00403D4E" w:rsidRPr="008F4AB7" w:rsidRDefault="00403D4E" w:rsidP="00CE3F6A">
            <w:pPr>
              <w:rPr>
                <w:rFonts w:ascii="Calibri" w:hAnsi="Calibri"/>
                <w:sz w:val="20"/>
                <w:szCs w:val="20"/>
              </w:rPr>
            </w:pPr>
            <w:r w:rsidRPr="008F4AB7">
              <w:rPr>
                <w:rFonts w:ascii="Calibri" w:hAnsi="Calibri"/>
                <w:sz w:val="20"/>
                <w:szCs w:val="20"/>
              </w:rPr>
              <w:t>Extremely</w:t>
            </w:r>
            <w:r>
              <w:rPr>
                <w:rFonts w:ascii="Calibri" w:hAnsi="Calibri"/>
                <w:sz w:val="20"/>
                <w:szCs w:val="20"/>
              </w:rPr>
              <w:t xml:space="preserve"> Important</w:t>
            </w:r>
            <w:r w:rsidRPr="008F4AB7">
              <w:rPr>
                <w:rFonts w:ascii="Calibri" w:hAnsi="Calibri"/>
                <w:sz w:val="20"/>
                <w:szCs w:val="20"/>
              </w:rPr>
              <w:t xml:space="preserve"> (15)</w:t>
            </w:r>
          </w:p>
        </w:tc>
        <w:tc>
          <w:tcPr>
            <w:tcW w:w="1393" w:type="pct"/>
            <w:tcBorders>
              <w:bottom w:val="double" w:sz="4" w:space="0" w:color="auto"/>
            </w:tcBorders>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20</w:t>
            </w:r>
          </w:p>
        </w:tc>
        <w:tc>
          <w:tcPr>
            <w:tcW w:w="1495" w:type="pct"/>
            <w:tcBorders>
              <w:bottom w:val="double" w:sz="4" w:space="0" w:color="auto"/>
            </w:tcBorders>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28.17%</w:t>
            </w:r>
          </w:p>
        </w:tc>
      </w:tr>
      <w:tr w:rsidR="00403D4E" w:rsidRPr="008F4AB7" w:rsidTr="00403D4E">
        <w:trPr>
          <w:trHeight w:val="288"/>
          <w:jc w:val="center"/>
        </w:trPr>
        <w:tc>
          <w:tcPr>
            <w:tcW w:w="2112" w:type="pct"/>
            <w:tcBorders>
              <w:top w:val="double" w:sz="4" w:space="0" w:color="auto"/>
            </w:tcBorders>
            <w:noWrap/>
            <w:hideMark/>
          </w:tcPr>
          <w:p w:rsidR="00403D4E" w:rsidRPr="008F4AB7" w:rsidRDefault="00403D4E" w:rsidP="00CE3F6A">
            <w:pPr>
              <w:rPr>
                <w:rFonts w:ascii="Calibri" w:hAnsi="Calibri"/>
                <w:sz w:val="20"/>
                <w:szCs w:val="20"/>
              </w:rPr>
            </w:pPr>
            <w:r w:rsidRPr="008F4AB7">
              <w:rPr>
                <w:rFonts w:ascii="Calibri" w:hAnsi="Calibri"/>
                <w:sz w:val="20"/>
                <w:szCs w:val="20"/>
              </w:rPr>
              <w:t>Total</w:t>
            </w:r>
            <w:r>
              <w:rPr>
                <w:rFonts w:ascii="Calibri" w:hAnsi="Calibri"/>
                <w:sz w:val="20"/>
                <w:szCs w:val="20"/>
              </w:rPr>
              <w:t xml:space="preserve"> interviews</w:t>
            </w:r>
          </w:p>
        </w:tc>
        <w:tc>
          <w:tcPr>
            <w:tcW w:w="1393" w:type="pct"/>
            <w:tcBorders>
              <w:top w:val="double" w:sz="4" w:space="0" w:color="auto"/>
            </w:tcBorders>
            <w:noWrap/>
            <w:vAlign w:val="bottom"/>
            <w:hideMark/>
          </w:tcPr>
          <w:p w:rsidR="00403D4E" w:rsidRPr="00A2138D" w:rsidRDefault="00403D4E" w:rsidP="00CE3F6A">
            <w:pPr>
              <w:jc w:val="right"/>
              <w:rPr>
                <w:rFonts w:ascii="Calibri" w:hAnsi="Calibri"/>
                <w:sz w:val="20"/>
                <w:szCs w:val="20"/>
              </w:rPr>
            </w:pPr>
            <w:r w:rsidRPr="00A2138D">
              <w:rPr>
                <w:rFonts w:ascii="Calibri" w:hAnsi="Calibri"/>
                <w:sz w:val="20"/>
                <w:szCs w:val="20"/>
              </w:rPr>
              <w:t>71</w:t>
            </w:r>
          </w:p>
        </w:tc>
        <w:tc>
          <w:tcPr>
            <w:tcW w:w="1495" w:type="pct"/>
            <w:tcBorders>
              <w:top w:val="double" w:sz="4" w:space="0" w:color="auto"/>
            </w:tcBorders>
            <w:noWrap/>
            <w:hideMark/>
          </w:tcPr>
          <w:p w:rsidR="00403D4E" w:rsidRPr="008F4AB7" w:rsidRDefault="00403D4E" w:rsidP="00CE3F6A">
            <w:pPr>
              <w:keepNext/>
              <w:jc w:val="right"/>
              <w:rPr>
                <w:rFonts w:ascii="Calibri" w:hAnsi="Calibri"/>
                <w:sz w:val="20"/>
                <w:szCs w:val="20"/>
              </w:rPr>
            </w:pPr>
            <w:r w:rsidRPr="00A2138D">
              <w:rPr>
                <w:rFonts w:ascii="Calibri" w:hAnsi="Calibri"/>
                <w:sz w:val="20"/>
                <w:szCs w:val="20"/>
              </w:rPr>
              <w:t>100</w:t>
            </w:r>
            <w:r>
              <w:rPr>
                <w:rFonts w:ascii="Calibri" w:hAnsi="Calibri"/>
                <w:sz w:val="20"/>
                <w:szCs w:val="20"/>
              </w:rPr>
              <w:t>.00</w:t>
            </w:r>
            <w:r w:rsidRPr="00A2138D">
              <w:rPr>
                <w:rFonts w:ascii="Calibri" w:hAnsi="Calibri"/>
                <w:sz w:val="20"/>
                <w:szCs w:val="20"/>
              </w:rPr>
              <w:t>%</w:t>
            </w:r>
          </w:p>
        </w:tc>
      </w:tr>
    </w:tbl>
    <w:p w:rsidR="00403D4E" w:rsidRDefault="00403D4E" w:rsidP="00B43067"/>
    <w:p w:rsidR="00403D4E" w:rsidRDefault="00403D4E" w:rsidP="00403D4E">
      <w:r>
        <w:t xml:space="preserve">Students were also asked about their view on reverberation and noise in the room and in general, it can be observed that what seems to have a larger influence on the subjective evaluation of the student experience is the noise levels, followed by the reverberation. </w:t>
      </w:r>
    </w:p>
    <w:p w:rsidR="00403D4E" w:rsidRDefault="00403D4E" w:rsidP="00403D4E">
      <w:r>
        <w:t>For either o</w:t>
      </w:r>
      <w:r w:rsidR="00463A27">
        <w:t>r</w:t>
      </w:r>
      <w:r>
        <w:t xml:space="preserve"> both, the reverberation and noise, the higher their subjective value, the more diff</w:t>
      </w:r>
      <w:r>
        <w:t>i</w:t>
      </w:r>
      <w:r>
        <w:t>cult it was to understand the speech, therefore the lower student experience and this trend seemed to be independent of their mother tongue</w:t>
      </w:r>
      <w:r w:rsidR="00463A27">
        <w:t>.</w:t>
      </w:r>
    </w:p>
    <w:p w:rsidR="00A81CE0" w:rsidRDefault="00A81CE0" w:rsidP="00A81CE0">
      <w:r w:rsidRPr="00A81CE0">
        <w:t xml:space="preserve">The subjective results </w:t>
      </w:r>
      <w:proofErr w:type="gramStart"/>
      <w:r w:rsidRPr="00A81CE0">
        <w:t>can be compared</w:t>
      </w:r>
      <w:proofErr w:type="gramEnd"/>
      <w:r w:rsidRPr="00A81CE0">
        <w:t xml:space="preserve"> per room with their measured counterparts</w:t>
      </w:r>
      <w:r w:rsidR="00463A27">
        <w:t>, see Figure 7.</w:t>
      </w:r>
    </w:p>
    <w:p w:rsidR="0068751C" w:rsidRDefault="0068751C" w:rsidP="00A81CE0"/>
    <w:p w:rsidR="00A81CE0" w:rsidRDefault="00A81CE0" w:rsidP="00DC4833">
      <w:pPr>
        <w:pStyle w:val="ThesisBody"/>
        <w:keepNext/>
        <w:jc w:val="center"/>
      </w:pPr>
      <w:r>
        <w:rPr>
          <w:noProof/>
          <w:lang w:eastAsia="en-GB"/>
        </w:rPr>
        <w:lastRenderedPageBreak/>
        <w:drawing>
          <wp:inline distT="0" distB="0" distL="0" distR="0">
            <wp:extent cx="4914900" cy="1631950"/>
            <wp:effectExtent l="0" t="0" r="0" b="635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1CE0" w:rsidRDefault="00A81CE0" w:rsidP="006952C5">
      <w:pPr>
        <w:pStyle w:val="Caption"/>
        <w:jc w:val="both"/>
        <w:rPr>
          <w:b w:val="0"/>
        </w:rPr>
      </w:pPr>
      <w:bookmarkStart w:id="13" w:name="_Ref455938261"/>
      <w:bookmarkStart w:id="14" w:name="_Toc463283913"/>
      <w:r w:rsidRPr="00A81CE0">
        <w:rPr>
          <w:b w:val="0"/>
        </w:rPr>
        <w:t xml:space="preserve">Figure </w:t>
      </w:r>
      <w:r w:rsidR="00D76498" w:rsidRPr="00A81CE0">
        <w:rPr>
          <w:b w:val="0"/>
        </w:rPr>
        <w:fldChar w:fldCharType="begin"/>
      </w:r>
      <w:r w:rsidRPr="00A81CE0">
        <w:rPr>
          <w:b w:val="0"/>
        </w:rPr>
        <w:instrText xml:space="preserve"> SEQ Figure \* ARABIC </w:instrText>
      </w:r>
      <w:r w:rsidR="00D76498" w:rsidRPr="00A81CE0">
        <w:rPr>
          <w:b w:val="0"/>
        </w:rPr>
        <w:fldChar w:fldCharType="separate"/>
      </w:r>
      <w:r w:rsidR="0068751C">
        <w:rPr>
          <w:b w:val="0"/>
          <w:noProof/>
        </w:rPr>
        <w:t>7</w:t>
      </w:r>
      <w:r w:rsidR="00D76498" w:rsidRPr="00A81CE0">
        <w:rPr>
          <w:b w:val="0"/>
        </w:rPr>
        <w:fldChar w:fldCharType="end"/>
      </w:r>
      <w:bookmarkEnd w:id="13"/>
      <w:r w:rsidRPr="00A81CE0">
        <w:rPr>
          <w:b w:val="0"/>
        </w:rPr>
        <w:t xml:space="preserve"> Subjective and Measured Values Relationship per Room</w:t>
      </w:r>
      <w:r w:rsidR="006952C5">
        <w:rPr>
          <w:b w:val="0"/>
        </w:rPr>
        <w:t xml:space="preserve"> </w:t>
      </w:r>
      <w:r w:rsidR="00463A27">
        <w:rPr>
          <w:b w:val="0"/>
        </w:rPr>
        <w:t>for</w:t>
      </w:r>
      <w:r w:rsidRPr="00A81CE0">
        <w:rPr>
          <w:b w:val="0"/>
        </w:rPr>
        <w:t xml:space="preserve"> Noise, R</w:t>
      </w:r>
      <w:r w:rsidR="00463A27">
        <w:rPr>
          <w:b w:val="0"/>
        </w:rPr>
        <w:t>everberance</w:t>
      </w:r>
      <w:r w:rsidRPr="00A81CE0">
        <w:rPr>
          <w:b w:val="0"/>
        </w:rPr>
        <w:t xml:space="preserve"> and Speech</w:t>
      </w:r>
      <w:bookmarkEnd w:id="14"/>
    </w:p>
    <w:p w:rsidR="00A81CE0" w:rsidRDefault="00463A27" w:rsidP="00DC4833">
      <w:r>
        <w:t>From Figure 7</w:t>
      </w:r>
      <w:r w:rsidR="00A81CE0">
        <w:t>, it is possible to see some relationship between the actual or measured values (</w:t>
      </w:r>
      <w:proofErr w:type="gramStart"/>
      <w:r w:rsidR="00A81CE0">
        <w:t>Noise(</w:t>
      </w:r>
      <w:proofErr w:type="gramEnd"/>
      <w:r w:rsidR="00A81CE0">
        <w:t>dBA), RT(mf) and STI) and their relative subjective values (Noise, R</w:t>
      </w:r>
      <w:r>
        <w:t>everberance</w:t>
      </w:r>
      <w:r w:rsidR="00A81CE0">
        <w:t>, Speech)</w:t>
      </w:r>
      <w:r>
        <w:t>.</w:t>
      </w:r>
    </w:p>
    <w:p w:rsidR="006952C5" w:rsidRPr="006952C5" w:rsidRDefault="006952C5" w:rsidP="00DC4833">
      <w:pPr>
        <w:rPr>
          <w:sz w:val="8"/>
          <w:szCs w:val="8"/>
        </w:rPr>
      </w:pPr>
    </w:p>
    <w:p w:rsidR="00A81CE0" w:rsidRPr="00A81CE0" w:rsidRDefault="00A81CE0" w:rsidP="00A81CE0">
      <w:pPr>
        <w:pStyle w:val="Caption"/>
        <w:rPr>
          <w:b w:val="0"/>
        </w:rPr>
      </w:pPr>
      <w:bookmarkStart w:id="15" w:name="_Ref472868176"/>
      <w:proofErr w:type="gramStart"/>
      <w:r w:rsidRPr="00A81CE0">
        <w:rPr>
          <w:b w:val="0"/>
        </w:rPr>
        <w:t xml:space="preserve">Table </w:t>
      </w:r>
      <w:r w:rsidR="00D76498" w:rsidRPr="00A81CE0">
        <w:rPr>
          <w:b w:val="0"/>
        </w:rPr>
        <w:fldChar w:fldCharType="begin"/>
      </w:r>
      <w:r w:rsidRPr="00A81CE0">
        <w:rPr>
          <w:b w:val="0"/>
        </w:rPr>
        <w:instrText xml:space="preserve"> SEQ Table \* ARABIC </w:instrText>
      </w:r>
      <w:r w:rsidR="00D76498" w:rsidRPr="00A81CE0">
        <w:rPr>
          <w:b w:val="0"/>
        </w:rPr>
        <w:fldChar w:fldCharType="separate"/>
      </w:r>
      <w:r w:rsidRPr="00A81CE0">
        <w:rPr>
          <w:b w:val="0"/>
        </w:rPr>
        <w:t>8</w:t>
      </w:r>
      <w:r w:rsidR="00D76498" w:rsidRPr="00A81CE0">
        <w:rPr>
          <w:b w:val="0"/>
        </w:rPr>
        <w:fldChar w:fldCharType="end"/>
      </w:r>
      <w:bookmarkEnd w:id="15"/>
      <w:r w:rsidRPr="00A81CE0">
        <w:rPr>
          <w:b w:val="0"/>
        </w:rPr>
        <w:t>: Correlation of Measured Values and Subjective Results.</w:t>
      </w:r>
      <w:proofErr w:type="gramEnd"/>
      <w:r w:rsidRPr="00A81CE0">
        <w:rPr>
          <w:b w:val="0"/>
        </w:rPr>
        <w:t xml:space="preserve"> Subjective Headers in Bold</w:t>
      </w:r>
    </w:p>
    <w:tbl>
      <w:tblPr>
        <w:tblW w:w="8552" w:type="dxa"/>
        <w:jc w:val="center"/>
        <w:tblInd w:w="-473" w:type="dxa"/>
        <w:tblLook w:val="04A0"/>
      </w:tblPr>
      <w:tblGrid>
        <w:gridCol w:w="1713"/>
        <w:gridCol w:w="1100"/>
        <w:gridCol w:w="1100"/>
        <w:gridCol w:w="1100"/>
        <w:gridCol w:w="1100"/>
        <w:gridCol w:w="1040"/>
        <w:gridCol w:w="1399"/>
      </w:tblGrid>
      <w:tr w:rsidR="00A81CE0" w:rsidRPr="004F6D54" w:rsidTr="00463A27">
        <w:trPr>
          <w:trHeight w:val="288"/>
          <w:jc w:val="center"/>
        </w:trPr>
        <w:tc>
          <w:tcPr>
            <w:tcW w:w="1713" w:type="dxa"/>
            <w:tcBorders>
              <w:top w:val="single" w:sz="8" w:space="0" w:color="auto"/>
              <w:left w:val="nil"/>
              <w:bottom w:val="single" w:sz="4" w:space="0" w:color="auto"/>
              <w:right w:val="nil"/>
            </w:tcBorders>
            <w:shd w:val="clear" w:color="auto" w:fill="auto"/>
            <w:noWrap/>
            <w:vAlign w:val="bottom"/>
            <w:hideMark/>
          </w:tcPr>
          <w:p w:rsidR="00A81CE0" w:rsidRPr="00810A68" w:rsidRDefault="00A81CE0" w:rsidP="00CE3F6A">
            <w:pPr>
              <w:jc w:val="center"/>
              <w:rPr>
                <w:rFonts w:ascii="Calibri" w:eastAsia="Times New Roman" w:hAnsi="Calibri"/>
                <w:i/>
                <w:iCs/>
                <w:color w:val="000000"/>
                <w:sz w:val="18"/>
                <w:szCs w:val="18"/>
                <w:lang w:val="en-US"/>
              </w:rPr>
            </w:pPr>
            <w:r w:rsidRPr="00810A68">
              <w:rPr>
                <w:rFonts w:ascii="Calibri" w:eastAsia="Times New Roman" w:hAnsi="Calibri"/>
                <w:i/>
                <w:iCs/>
                <w:color w:val="000000"/>
                <w:sz w:val="18"/>
                <w:szCs w:val="18"/>
                <w:lang w:val="en-US"/>
              </w:rPr>
              <w:t> </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1CE0" w:rsidRPr="00810A68" w:rsidRDefault="00A81CE0" w:rsidP="00CE3F6A">
            <w:pPr>
              <w:jc w:val="center"/>
              <w:rPr>
                <w:rFonts w:ascii="Calibri" w:eastAsia="Times New Roman" w:hAnsi="Calibri"/>
                <w:b/>
                <w:i/>
                <w:iCs/>
                <w:color w:val="000000"/>
                <w:sz w:val="18"/>
                <w:szCs w:val="18"/>
                <w:lang w:val="en-US"/>
              </w:rPr>
            </w:pPr>
            <w:r w:rsidRPr="00810A68">
              <w:rPr>
                <w:rFonts w:ascii="Calibri" w:eastAsia="Times New Roman" w:hAnsi="Calibri"/>
                <w:b/>
                <w:i/>
                <w:iCs/>
                <w:color w:val="000000"/>
                <w:sz w:val="18"/>
                <w:szCs w:val="18"/>
                <w:lang w:val="en-US"/>
              </w:rPr>
              <w:t>Noise</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A81CE0" w:rsidRPr="00810A68" w:rsidRDefault="00A81CE0" w:rsidP="00CE3F6A">
            <w:pPr>
              <w:jc w:val="center"/>
              <w:rPr>
                <w:rFonts w:ascii="Calibri" w:eastAsia="Times New Roman" w:hAnsi="Calibri"/>
                <w:b/>
                <w:i/>
                <w:iCs/>
                <w:color w:val="000000"/>
                <w:sz w:val="18"/>
                <w:szCs w:val="18"/>
                <w:lang w:val="en-US"/>
              </w:rPr>
            </w:pPr>
            <w:r w:rsidRPr="00810A68">
              <w:rPr>
                <w:rFonts w:ascii="Calibri" w:eastAsia="Times New Roman" w:hAnsi="Calibri"/>
                <w:b/>
                <w:i/>
                <w:iCs/>
                <w:color w:val="000000"/>
                <w:sz w:val="18"/>
                <w:szCs w:val="18"/>
                <w:lang w:val="en-US"/>
              </w:rPr>
              <w:t>RT</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A81CE0" w:rsidRPr="00810A68" w:rsidRDefault="00A81CE0" w:rsidP="00CE3F6A">
            <w:pPr>
              <w:jc w:val="center"/>
              <w:rPr>
                <w:rFonts w:ascii="Calibri" w:eastAsia="Times New Roman" w:hAnsi="Calibri"/>
                <w:b/>
                <w:i/>
                <w:iCs/>
                <w:color w:val="000000"/>
                <w:sz w:val="18"/>
                <w:szCs w:val="18"/>
                <w:lang w:val="en-US"/>
              </w:rPr>
            </w:pPr>
            <w:r w:rsidRPr="00810A68">
              <w:rPr>
                <w:rFonts w:ascii="Calibri" w:eastAsia="Times New Roman" w:hAnsi="Calibri"/>
                <w:b/>
                <w:i/>
                <w:iCs/>
                <w:color w:val="000000"/>
                <w:sz w:val="18"/>
                <w:szCs w:val="18"/>
                <w:lang w:val="en-US"/>
              </w:rPr>
              <w:t>Speech</w:t>
            </w:r>
          </w:p>
        </w:tc>
        <w:tc>
          <w:tcPr>
            <w:tcW w:w="1100" w:type="dxa"/>
            <w:tcBorders>
              <w:top w:val="single" w:sz="8" w:space="0" w:color="auto"/>
              <w:left w:val="nil"/>
              <w:bottom w:val="single" w:sz="4" w:space="0" w:color="auto"/>
              <w:right w:val="nil"/>
            </w:tcBorders>
            <w:shd w:val="clear" w:color="auto" w:fill="auto"/>
            <w:noWrap/>
            <w:vAlign w:val="bottom"/>
            <w:hideMark/>
          </w:tcPr>
          <w:p w:rsidR="00A81CE0" w:rsidRPr="0005241A" w:rsidRDefault="00A81CE0" w:rsidP="00CE3F6A">
            <w:pPr>
              <w:jc w:val="center"/>
              <w:rPr>
                <w:rFonts w:ascii="Calibri" w:eastAsia="Times New Roman" w:hAnsi="Calibri"/>
                <w:i/>
                <w:iCs/>
                <w:color w:val="000000"/>
                <w:sz w:val="18"/>
                <w:szCs w:val="18"/>
                <w:lang w:val="en-US"/>
              </w:rPr>
            </w:pPr>
            <w:r w:rsidRPr="0005241A">
              <w:rPr>
                <w:rFonts w:ascii="Calibri" w:eastAsia="Times New Roman" w:hAnsi="Calibri"/>
                <w:i/>
                <w:iCs/>
                <w:color w:val="000000"/>
                <w:sz w:val="18"/>
                <w:szCs w:val="18"/>
                <w:lang w:val="en-US"/>
              </w:rPr>
              <w:t>STI</w:t>
            </w:r>
          </w:p>
        </w:tc>
        <w:tc>
          <w:tcPr>
            <w:tcW w:w="1040" w:type="dxa"/>
            <w:tcBorders>
              <w:top w:val="single" w:sz="8" w:space="0" w:color="auto"/>
              <w:left w:val="nil"/>
              <w:bottom w:val="single" w:sz="4" w:space="0" w:color="auto"/>
              <w:right w:val="nil"/>
            </w:tcBorders>
            <w:shd w:val="clear" w:color="auto" w:fill="auto"/>
            <w:noWrap/>
            <w:vAlign w:val="bottom"/>
            <w:hideMark/>
          </w:tcPr>
          <w:p w:rsidR="00A81CE0" w:rsidRPr="0005241A" w:rsidRDefault="00A81CE0" w:rsidP="00CE3F6A">
            <w:pPr>
              <w:jc w:val="center"/>
              <w:rPr>
                <w:rFonts w:ascii="Calibri" w:eastAsia="Times New Roman" w:hAnsi="Calibri"/>
                <w:i/>
                <w:iCs/>
                <w:color w:val="000000"/>
                <w:sz w:val="18"/>
                <w:szCs w:val="18"/>
                <w:lang w:val="en-US"/>
              </w:rPr>
            </w:pPr>
            <w:r w:rsidRPr="0005241A">
              <w:rPr>
                <w:rFonts w:ascii="Calibri" w:eastAsia="Times New Roman" w:hAnsi="Calibri"/>
                <w:i/>
                <w:iCs/>
                <w:color w:val="000000"/>
                <w:sz w:val="18"/>
                <w:szCs w:val="18"/>
                <w:lang w:val="en-US"/>
              </w:rPr>
              <w:t>RT(mf)</w:t>
            </w:r>
          </w:p>
        </w:tc>
        <w:tc>
          <w:tcPr>
            <w:tcW w:w="1399" w:type="dxa"/>
            <w:tcBorders>
              <w:top w:val="single" w:sz="8" w:space="0" w:color="auto"/>
              <w:left w:val="nil"/>
              <w:bottom w:val="single" w:sz="4" w:space="0" w:color="auto"/>
              <w:right w:val="nil"/>
            </w:tcBorders>
            <w:shd w:val="clear" w:color="auto" w:fill="auto"/>
            <w:noWrap/>
            <w:vAlign w:val="bottom"/>
            <w:hideMark/>
          </w:tcPr>
          <w:p w:rsidR="00A81CE0" w:rsidRPr="0005241A" w:rsidRDefault="00A81CE0" w:rsidP="00CE3F6A">
            <w:pPr>
              <w:jc w:val="center"/>
              <w:rPr>
                <w:rFonts w:ascii="Calibri" w:eastAsia="Times New Roman" w:hAnsi="Calibri"/>
                <w:i/>
                <w:iCs/>
                <w:color w:val="000000"/>
                <w:sz w:val="18"/>
                <w:szCs w:val="18"/>
                <w:lang w:val="en-US"/>
              </w:rPr>
            </w:pPr>
            <w:r w:rsidRPr="0005241A">
              <w:rPr>
                <w:rFonts w:ascii="Calibri" w:eastAsia="Times New Roman" w:hAnsi="Calibri"/>
                <w:i/>
                <w:iCs/>
                <w:color w:val="000000"/>
                <w:sz w:val="18"/>
                <w:szCs w:val="18"/>
                <w:lang w:val="en-US"/>
              </w:rPr>
              <w:t>Noise dB(A)</w:t>
            </w:r>
          </w:p>
        </w:tc>
      </w:tr>
      <w:tr w:rsidR="00A81CE0" w:rsidRPr="004F6D54" w:rsidTr="00463A27">
        <w:trPr>
          <w:trHeight w:val="288"/>
          <w:jc w:val="center"/>
        </w:trPr>
        <w:tc>
          <w:tcPr>
            <w:tcW w:w="1713" w:type="dxa"/>
            <w:tcBorders>
              <w:top w:val="nil"/>
              <w:left w:val="nil"/>
              <w:bottom w:val="nil"/>
              <w:right w:val="nil"/>
            </w:tcBorders>
            <w:shd w:val="clear" w:color="auto" w:fill="auto"/>
            <w:noWrap/>
            <w:vAlign w:val="bottom"/>
            <w:hideMark/>
          </w:tcPr>
          <w:p w:rsidR="00A81CE0" w:rsidRPr="00810A68" w:rsidRDefault="00A81CE0" w:rsidP="00CE3F6A">
            <w:pPr>
              <w:rPr>
                <w:rFonts w:ascii="Calibri" w:eastAsia="Times New Roman" w:hAnsi="Calibri"/>
                <w:b/>
                <w:color w:val="000000"/>
                <w:sz w:val="18"/>
                <w:szCs w:val="18"/>
                <w:lang w:val="en-US"/>
              </w:rPr>
            </w:pPr>
            <w:r w:rsidRPr="00810A68">
              <w:rPr>
                <w:rFonts w:ascii="Calibri" w:eastAsia="Times New Roman" w:hAnsi="Calibri"/>
                <w:b/>
                <w:color w:val="000000"/>
                <w:sz w:val="18"/>
                <w:szCs w:val="18"/>
                <w:lang w:val="en-US"/>
              </w:rPr>
              <w:t>Noise</w:t>
            </w:r>
          </w:p>
        </w:tc>
        <w:tc>
          <w:tcPr>
            <w:tcW w:w="1100" w:type="dxa"/>
            <w:tcBorders>
              <w:top w:val="nil"/>
              <w:left w:val="single" w:sz="8" w:space="0" w:color="auto"/>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r w:rsidRPr="0005241A">
              <w:rPr>
                <w:rFonts w:ascii="Calibri" w:eastAsia="Times New Roman" w:hAnsi="Calibri"/>
                <w:b/>
                <w:color w:val="000000"/>
                <w:sz w:val="18"/>
                <w:szCs w:val="18"/>
                <w:lang w:val="en-US"/>
              </w:rPr>
              <w:t>1.0</w:t>
            </w:r>
          </w:p>
        </w:tc>
        <w:tc>
          <w:tcPr>
            <w:tcW w:w="1100" w:type="dxa"/>
            <w:tcBorders>
              <w:top w:val="nil"/>
              <w:left w:val="nil"/>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p>
        </w:tc>
        <w:tc>
          <w:tcPr>
            <w:tcW w:w="1100" w:type="dxa"/>
            <w:tcBorders>
              <w:top w:val="nil"/>
              <w:left w:val="nil"/>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p>
        </w:tc>
        <w:tc>
          <w:tcPr>
            <w:tcW w:w="1100" w:type="dxa"/>
            <w:tcBorders>
              <w:top w:val="nil"/>
              <w:left w:val="nil"/>
              <w:bottom w:val="nil"/>
              <w:right w:val="nil"/>
            </w:tcBorders>
            <w:shd w:val="clear" w:color="auto" w:fill="auto"/>
            <w:noWrap/>
            <w:vAlign w:val="center"/>
            <w:hideMark/>
          </w:tcPr>
          <w:p w:rsidR="00A81CE0" w:rsidRPr="00810A68" w:rsidRDefault="00A81CE0" w:rsidP="00CE3F6A">
            <w:pPr>
              <w:jc w:val="center"/>
              <w:rPr>
                <w:rFonts w:ascii="Calibri" w:eastAsia="Times New Roman" w:hAnsi="Calibri"/>
                <w:color w:val="000000"/>
                <w:sz w:val="18"/>
                <w:szCs w:val="18"/>
                <w:lang w:val="en-US"/>
              </w:rPr>
            </w:pPr>
          </w:p>
        </w:tc>
        <w:tc>
          <w:tcPr>
            <w:tcW w:w="1040" w:type="dxa"/>
            <w:tcBorders>
              <w:top w:val="nil"/>
              <w:left w:val="nil"/>
              <w:bottom w:val="nil"/>
              <w:right w:val="nil"/>
            </w:tcBorders>
            <w:shd w:val="clear" w:color="auto" w:fill="auto"/>
            <w:noWrap/>
            <w:vAlign w:val="center"/>
            <w:hideMark/>
          </w:tcPr>
          <w:p w:rsidR="00A81CE0" w:rsidRPr="00810A68" w:rsidRDefault="00A81CE0" w:rsidP="00CE3F6A">
            <w:pPr>
              <w:jc w:val="center"/>
              <w:rPr>
                <w:rFonts w:eastAsia="Times New Roman"/>
                <w:sz w:val="18"/>
                <w:szCs w:val="18"/>
                <w:lang w:val="en-US"/>
              </w:rPr>
            </w:pPr>
          </w:p>
        </w:tc>
        <w:tc>
          <w:tcPr>
            <w:tcW w:w="1399" w:type="dxa"/>
            <w:tcBorders>
              <w:top w:val="nil"/>
              <w:left w:val="nil"/>
              <w:bottom w:val="nil"/>
              <w:right w:val="nil"/>
            </w:tcBorders>
            <w:shd w:val="clear" w:color="auto" w:fill="auto"/>
            <w:noWrap/>
            <w:vAlign w:val="center"/>
            <w:hideMark/>
          </w:tcPr>
          <w:p w:rsidR="00A81CE0" w:rsidRPr="00810A68" w:rsidRDefault="00A81CE0" w:rsidP="00CE3F6A">
            <w:pPr>
              <w:jc w:val="center"/>
              <w:rPr>
                <w:rFonts w:eastAsia="Times New Roman"/>
                <w:sz w:val="18"/>
                <w:szCs w:val="18"/>
                <w:lang w:val="en-US"/>
              </w:rPr>
            </w:pPr>
          </w:p>
        </w:tc>
      </w:tr>
      <w:tr w:rsidR="00A81CE0" w:rsidRPr="004F6D54" w:rsidTr="00463A27">
        <w:trPr>
          <w:trHeight w:val="288"/>
          <w:jc w:val="center"/>
        </w:trPr>
        <w:tc>
          <w:tcPr>
            <w:tcW w:w="1713" w:type="dxa"/>
            <w:tcBorders>
              <w:top w:val="nil"/>
              <w:left w:val="nil"/>
              <w:bottom w:val="nil"/>
              <w:right w:val="nil"/>
            </w:tcBorders>
            <w:shd w:val="clear" w:color="auto" w:fill="auto"/>
            <w:noWrap/>
            <w:vAlign w:val="bottom"/>
            <w:hideMark/>
          </w:tcPr>
          <w:p w:rsidR="00A81CE0" w:rsidRPr="00810A68" w:rsidRDefault="00A81CE0" w:rsidP="00CE3F6A">
            <w:pPr>
              <w:rPr>
                <w:rFonts w:ascii="Calibri" w:eastAsia="Times New Roman" w:hAnsi="Calibri"/>
                <w:b/>
                <w:color w:val="000000"/>
                <w:sz w:val="18"/>
                <w:szCs w:val="18"/>
                <w:lang w:val="en-US"/>
              </w:rPr>
            </w:pPr>
            <w:r w:rsidRPr="00810A68">
              <w:rPr>
                <w:rFonts w:ascii="Calibri" w:eastAsia="Times New Roman" w:hAnsi="Calibri"/>
                <w:b/>
                <w:color w:val="000000"/>
                <w:sz w:val="18"/>
                <w:szCs w:val="18"/>
                <w:lang w:val="en-US"/>
              </w:rPr>
              <w:t>RT</w:t>
            </w:r>
          </w:p>
        </w:tc>
        <w:tc>
          <w:tcPr>
            <w:tcW w:w="1100" w:type="dxa"/>
            <w:tcBorders>
              <w:top w:val="nil"/>
              <w:left w:val="single" w:sz="8" w:space="0" w:color="auto"/>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r w:rsidRPr="0005241A">
              <w:rPr>
                <w:rFonts w:ascii="Calibri" w:eastAsia="Times New Roman" w:hAnsi="Calibri"/>
                <w:b/>
                <w:color w:val="000000"/>
                <w:sz w:val="18"/>
                <w:szCs w:val="18"/>
                <w:lang w:val="en-US"/>
              </w:rPr>
              <w:t>-0.5</w:t>
            </w:r>
          </w:p>
        </w:tc>
        <w:tc>
          <w:tcPr>
            <w:tcW w:w="1100" w:type="dxa"/>
            <w:tcBorders>
              <w:top w:val="nil"/>
              <w:left w:val="nil"/>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r w:rsidRPr="0005241A">
              <w:rPr>
                <w:rFonts w:ascii="Calibri" w:eastAsia="Times New Roman" w:hAnsi="Calibri"/>
                <w:b/>
                <w:color w:val="000000"/>
                <w:sz w:val="18"/>
                <w:szCs w:val="18"/>
                <w:lang w:val="en-US"/>
              </w:rPr>
              <w:t>1.0</w:t>
            </w:r>
          </w:p>
        </w:tc>
        <w:tc>
          <w:tcPr>
            <w:tcW w:w="1100" w:type="dxa"/>
            <w:tcBorders>
              <w:top w:val="nil"/>
              <w:left w:val="nil"/>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p>
        </w:tc>
        <w:tc>
          <w:tcPr>
            <w:tcW w:w="1100" w:type="dxa"/>
            <w:tcBorders>
              <w:top w:val="nil"/>
              <w:left w:val="nil"/>
              <w:bottom w:val="nil"/>
              <w:right w:val="nil"/>
            </w:tcBorders>
            <w:shd w:val="clear" w:color="auto" w:fill="auto"/>
            <w:noWrap/>
            <w:vAlign w:val="center"/>
            <w:hideMark/>
          </w:tcPr>
          <w:p w:rsidR="00A81CE0" w:rsidRPr="00810A68" w:rsidRDefault="00A81CE0" w:rsidP="00CE3F6A">
            <w:pPr>
              <w:jc w:val="center"/>
              <w:rPr>
                <w:rFonts w:ascii="Calibri" w:eastAsia="Times New Roman" w:hAnsi="Calibri"/>
                <w:color w:val="000000"/>
                <w:sz w:val="18"/>
                <w:szCs w:val="18"/>
                <w:lang w:val="en-US"/>
              </w:rPr>
            </w:pPr>
          </w:p>
        </w:tc>
        <w:tc>
          <w:tcPr>
            <w:tcW w:w="1040" w:type="dxa"/>
            <w:tcBorders>
              <w:top w:val="nil"/>
              <w:left w:val="nil"/>
              <w:bottom w:val="nil"/>
              <w:right w:val="nil"/>
            </w:tcBorders>
            <w:shd w:val="clear" w:color="auto" w:fill="auto"/>
            <w:noWrap/>
            <w:vAlign w:val="center"/>
            <w:hideMark/>
          </w:tcPr>
          <w:p w:rsidR="00A81CE0" w:rsidRPr="00810A68" w:rsidRDefault="00A81CE0" w:rsidP="00CE3F6A">
            <w:pPr>
              <w:jc w:val="center"/>
              <w:rPr>
                <w:rFonts w:eastAsia="Times New Roman"/>
                <w:sz w:val="18"/>
                <w:szCs w:val="18"/>
                <w:lang w:val="en-US"/>
              </w:rPr>
            </w:pPr>
          </w:p>
        </w:tc>
        <w:tc>
          <w:tcPr>
            <w:tcW w:w="1399" w:type="dxa"/>
            <w:tcBorders>
              <w:top w:val="nil"/>
              <w:left w:val="nil"/>
              <w:bottom w:val="nil"/>
              <w:right w:val="nil"/>
            </w:tcBorders>
            <w:shd w:val="clear" w:color="auto" w:fill="auto"/>
            <w:noWrap/>
            <w:vAlign w:val="center"/>
            <w:hideMark/>
          </w:tcPr>
          <w:p w:rsidR="00A81CE0" w:rsidRPr="00810A68" w:rsidRDefault="00A81CE0" w:rsidP="00CE3F6A">
            <w:pPr>
              <w:jc w:val="center"/>
              <w:rPr>
                <w:rFonts w:eastAsia="Times New Roman"/>
                <w:sz w:val="18"/>
                <w:szCs w:val="18"/>
                <w:lang w:val="en-US"/>
              </w:rPr>
            </w:pPr>
          </w:p>
        </w:tc>
      </w:tr>
      <w:tr w:rsidR="00A81CE0" w:rsidRPr="004F6D54" w:rsidTr="00463A27">
        <w:trPr>
          <w:trHeight w:val="300"/>
          <w:jc w:val="center"/>
        </w:trPr>
        <w:tc>
          <w:tcPr>
            <w:tcW w:w="1713" w:type="dxa"/>
            <w:tcBorders>
              <w:top w:val="nil"/>
              <w:left w:val="nil"/>
              <w:bottom w:val="nil"/>
              <w:right w:val="nil"/>
            </w:tcBorders>
            <w:shd w:val="clear" w:color="auto" w:fill="auto"/>
            <w:noWrap/>
            <w:vAlign w:val="bottom"/>
            <w:hideMark/>
          </w:tcPr>
          <w:p w:rsidR="00A81CE0" w:rsidRPr="00810A68" w:rsidRDefault="00A81CE0" w:rsidP="00CE3F6A">
            <w:pPr>
              <w:rPr>
                <w:rFonts w:ascii="Calibri" w:eastAsia="Times New Roman" w:hAnsi="Calibri"/>
                <w:b/>
                <w:color w:val="000000"/>
                <w:sz w:val="18"/>
                <w:szCs w:val="18"/>
                <w:lang w:val="en-US"/>
              </w:rPr>
            </w:pPr>
            <w:r w:rsidRPr="00810A68">
              <w:rPr>
                <w:rFonts w:ascii="Calibri" w:eastAsia="Times New Roman" w:hAnsi="Calibri"/>
                <w:b/>
                <w:color w:val="000000"/>
                <w:sz w:val="18"/>
                <w:szCs w:val="18"/>
                <w:lang w:val="en-US"/>
              </w:rPr>
              <w:t>Speech</w:t>
            </w:r>
          </w:p>
        </w:tc>
        <w:tc>
          <w:tcPr>
            <w:tcW w:w="1100" w:type="dxa"/>
            <w:tcBorders>
              <w:top w:val="nil"/>
              <w:left w:val="single" w:sz="8" w:space="0" w:color="auto"/>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r w:rsidRPr="0005241A">
              <w:rPr>
                <w:rFonts w:ascii="Calibri" w:eastAsia="Times New Roman" w:hAnsi="Calibri"/>
                <w:b/>
                <w:color w:val="000000"/>
                <w:sz w:val="18"/>
                <w:szCs w:val="18"/>
                <w:lang w:val="en-US"/>
              </w:rPr>
              <w:t>0.8</w:t>
            </w:r>
          </w:p>
        </w:tc>
        <w:tc>
          <w:tcPr>
            <w:tcW w:w="1100" w:type="dxa"/>
            <w:tcBorders>
              <w:top w:val="nil"/>
              <w:left w:val="nil"/>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r w:rsidRPr="0005241A">
              <w:rPr>
                <w:rFonts w:ascii="Calibri" w:eastAsia="Times New Roman" w:hAnsi="Calibri"/>
                <w:b/>
                <w:color w:val="000000"/>
                <w:sz w:val="18"/>
                <w:szCs w:val="18"/>
                <w:lang w:val="en-US"/>
              </w:rPr>
              <w:t>-0.6</w:t>
            </w:r>
          </w:p>
        </w:tc>
        <w:tc>
          <w:tcPr>
            <w:tcW w:w="1100" w:type="dxa"/>
            <w:tcBorders>
              <w:top w:val="nil"/>
              <w:left w:val="nil"/>
              <w:bottom w:val="nil"/>
              <w:right w:val="single" w:sz="8" w:space="0" w:color="auto"/>
            </w:tcBorders>
            <w:shd w:val="clear" w:color="auto" w:fill="auto"/>
            <w:noWrap/>
            <w:vAlign w:val="center"/>
            <w:hideMark/>
          </w:tcPr>
          <w:p w:rsidR="00A81CE0" w:rsidRPr="0005241A" w:rsidRDefault="00A81CE0" w:rsidP="00CE3F6A">
            <w:pPr>
              <w:jc w:val="center"/>
              <w:rPr>
                <w:rFonts w:ascii="Calibri" w:eastAsia="Times New Roman" w:hAnsi="Calibri"/>
                <w:b/>
                <w:color w:val="000000"/>
                <w:sz w:val="18"/>
                <w:szCs w:val="18"/>
                <w:lang w:val="en-US"/>
              </w:rPr>
            </w:pPr>
            <w:r w:rsidRPr="0005241A">
              <w:rPr>
                <w:rFonts w:ascii="Calibri" w:eastAsia="Times New Roman" w:hAnsi="Calibri"/>
                <w:b/>
                <w:color w:val="000000"/>
                <w:sz w:val="18"/>
                <w:szCs w:val="18"/>
                <w:lang w:val="en-US"/>
              </w:rPr>
              <w:t>1.0</w:t>
            </w:r>
          </w:p>
        </w:tc>
        <w:tc>
          <w:tcPr>
            <w:tcW w:w="1100" w:type="dxa"/>
            <w:tcBorders>
              <w:top w:val="nil"/>
              <w:left w:val="nil"/>
              <w:bottom w:val="nil"/>
              <w:right w:val="nil"/>
            </w:tcBorders>
            <w:shd w:val="clear" w:color="auto" w:fill="auto"/>
            <w:noWrap/>
            <w:vAlign w:val="center"/>
            <w:hideMark/>
          </w:tcPr>
          <w:p w:rsidR="00A81CE0" w:rsidRPr="00810A68" w:rsidRDefault="00A81CE0" w:rsidP="00CE3F6A">
            <w:pPr>
              <w:jc w:val="center"/>
              <w:rPr>
                <w:rFonts w:ascii="Calibri" w:eastAsia="Times New Roman" w:hAnsi="Calibri"/>
                <w:color w:val="000000"/>
                <w:sz w:val="18"/>
                <w:szCs w:val="18"/>
                <w:lang w:val="en-US"/>
              </w:rPr>
            </w:pPr>
          </w:p>
        </w:tc>
        <w:tc>
          <w:tcPr>
            <w:tcW w:w="1040" w:type="dxa"/>
            <w:tcBorders>
              <w:top w:val="nil"/>
              <w:left w:val="nil"/>
              <w:bottom w:val="nil"/>
              <w:right w:val="nil"/>
            </w:tcBorders>
            <w:shd w:val="clear" w:color="auto" w:fill="auto"/>
            <w:noWrap/>
            <w:vAlign w:val="center"/>
            <w:hideMark/>
          </w:tcPr>
          <w:p w:rsidR="00A81CE0" w:rsidRPr="00810A68" w:rsidRDefault="00A81CE0" w:rsidP="00CE3F6A">
            <w:pPr>
              <w:jc w:val="center"/>
              <w:rPr>
                <w:rFonts w:eastAsia="Times New Roman"/>
                <w:sz w:val="18"/>
                <w:szCs w:val="18"/>
                <w:lang w:val="en-US"/>
              </w:rPr>
            </w:pPr>
          </w:p>
        </w:tc>
        <w:tc>
          <w:tcPr>
            <w:tcW w:w="1399" w:type="dxa"/>
            <w:tcBorders>
              <w:top w:val="nil"/>
              <w:left w:val="nil"/>
              <w:bottom w:val="nil"/>
              <w:right w:val="nil"/>
            </w:tcBorders>
            <w:shd w:val="clear" w:color="auto" w:fill="auto"/>
            <w:noWrap/>
            <w:vAlign w:val="center"/>
            <w:hideMark/>
          </w:tcPr>
          <w:p w:rsidR="00A81CE0" w:rsidRPr="00810A68" w:rsidRDefault="00A81CE0" w:rsidP="00CE3F6A">
            <w:pPr>
              <w:jc w:val="center"/>
              <w:rPr>
                <w:rFonts w:eastAsia="Times New Roman"/>
                <w:sz w:val="18"/>
                <w:szCs w:val="18"/>
                <w:lang w:val="en-US"/>
              </w:rPr>
            </w:pPr>
          </w:p>
        </w:tc>
      </w:tr>
      <w:tr w:rsidR="00A81CE0" w:rsidRPr="004F6D54" w:rsidTr="00463A27">
        <w:trPr>
          <w:trHeight w:val="300"/>
          <w:jc w:val="center"/>
        </w:trPr>
        <w:tc>
          <w:tcPr>
            <w:tcW w:w="1713" w:type="dxa"/>
            <w:tcBorders>
              <w:top w:val="single" w:sz="8" w:space="0" w:color="auto"/>
              <w:left w:val="nil"/>
              <w:bottom w:val="single" w:sz="8" w:space="0" w:color="auto"/>
              <w:right w:val="nil"/>
            </w:tcBorders>
            <w:shd w:val="clear" w:color="auto" w:fill="auto"/>
            <w:noWrap/>
            <w:vAlign w:val="bottom"/>
            <w:hideMark/>
          </w:tcPr>
          <w:p w:rsidR="00A81CE0" w:rsidRPr="0005241A" w:rsidRDefault="00A81CE0" w:rsidP="00CE3F6A">
            <w:pP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STI</w:t>
            </w:r>
          </w:p>
        </w:tc>
        <w:tc>
          <w:tcPr>
            <w:tcW w:w="110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-0.7</w:t>
            </w:r>
          </w:p>
        </w:tc>
        <w:tc>
          <w:tcPr>
            <w:tcW w:w="1100" w:type="dxa"/>
            <w:tcBorders>
              <w:top w:val="single" w:sz="8" w:space="0" w:color="auto"/>
              <w:left w:val="nil"/>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0.4</w:t>
            </w:r>
          </w:p>
        </w:tc>
        <w:tc>
          <w:tcPr>
            <w:tcW w:w="1100" w:type="dxa"/>
            <w:tcBorders>
              <w:top w:val="single" w:sz="8" w:space="0" w:color="auto"/>
              <w:left w:val="nil"/>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-1.0</w:t>
            </w:r>
          </w:p>
        </w:tc>
        <w:tc>
          <w:tcPr>
            <w:tcW w:w="1100" w:type="dxa"/>
            <w:tcBorders>
              <w:top w:val="single" w:sz="8" w:space="0" w:color="auto"/>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1.0</w:t>
            </w:r>
          </w:p>
        </w:tc>
        <w:tc>
          <w:tcPr>
            <w:tcW w:w="1040" w:type="dxa"/>
            <w:tcBorders>
              <w:top w:val="single" w:sz="8" w:space="0" w:color="auto"/>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p>
        </w:tc>
        <w:tc>
          <w:tcPr>
            <w:tcW w:w="1399" w:type="dxa"/>
            <w:tcBorders>
              <w:top w:val="single" w:sz="8" w:space="0" w:color="auto"/>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p>
        </w:tc>
      </w:tr>
      <w:tr w:rsidR="00A81CE0" w:rsidRPr="004F6D54" w:rsidTr="00463A27">
        <w:trPr>
          <w:trHeight w:val="300"/>
          <w:jc w:val="center"/>
        </w:trPr>
        <w:tc>
          <w:tcPr>
            <w:tcW w:w="1713" w:type="dxa"/>
            <w:tcBorders>
              <w:top w:val="nil"/>
              <w:left w:val="nil"/>
              <w:bottom w:val="single" w:sz="8" w:space="0" w:color="auto"/>
              <w:right w:val="nil"/>
            </w:tcBorders>
            <w:shd w:val="clear" w:color="auto" w:fill="auto"/>
            <w:noWrap/>
            <w:vAlign w:val="bottom"/>
            <w:hideMark/>
          </w:tcPr>
          <w:p w:rsidR="00A81CE0" w:rsidRPr="0005241A" w:rsidRDefault="00A81CE0" w:rsidP="00CE3F6A">
            <w:pP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RT(mf)</w:t>
            </w:r>
          </w:p>
        </w:tc>
        <w:tc>
          <w:tcPr>
            <w:tcW w:w="1100" w:type="dxa"/>
            <w:tcBorders>
              <w:top w:val="nil"/>
              <w:left w:val="single" w:sz="8" w:space="0" w:color="auto"/>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0.8</w:t>
            </w:r>
          </w:p>
        </w:tc>
        <w:tc>
          <w:tcPr>
            <w:tcW w:w="1100" w:type="dxa"/>
            <w:tcBorders>
              <w:top w:val="nil"/>
              <w:left w:val="nil"/>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-0.1</w:t>
            </w:r>
          </w:p>
        </w:tc>
        <w:tc>
          <w:tcPr>
            <w:tcW w:w="1100" w:type="dxa"/>
            <w:tcBorders>
              <w:top w:val="nil"/>
              <w:left w:val="nil"/>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0.8</w:t>
            </w:r>
          </w:p>
        </w:tc>
        <w:tc>
          <w:tcPr>
            <w:tcW w:w="1100" w:type="dxa"/>
            <w:tcBorders>
              <w:top w:val="nil"/>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-0.9</w:t>
            </w:r>
          </w:p>
        </w:tc>
        <w:tc>
          <w:tcPr>
            <w:tcW w:w="1040" w:type="dxa"/>
            <w:tcBorders>
              <w:top w:val="nil"/>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1.0</w:t>
            </w:r>
          </w:p>
        </w:tc>
        <w:tc>
          <w:tcPr>
            <w:tcW w:w="1399" w:type="dxa"/>
            <w:tcBorders>
              <w:top w:val="nil"/>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p>
        </w:tc>
      </w:tr>
      <w:tr w:rsidR="00A81CE0" w:rsidRPr="004F6D54" w:rsidTr="00463A27">
        <w:trPr>
          <w:trHeight w:val="300"/>
          <w:jc w:val="center"/>
        </w:trPr>
        <w:tc>
          <w:tcPr>
            <w:tcW w:w="1713" w:type="dxa"/>
            <w:tcBorders>
              <w:top w:val="nil"/>
              <w:left w:val="nil"/>
              <w:bottom w:val="single" w:sz="8" w:space="0" w:color="auto"/>
              <w:right w:val="nil"/>
            </w:tcBorders>
            <w:shd w:val="clear" w:color="auto" w:fill="auto"/>
            <w:noWrap/>
            <w:vAlign w:val="bottom"/>
            <w:hideMark/>
          </w:tcPr>
          <w:p w:rsidR="00A81CE0" w:rsidRPr="0005241A" w:rsidRDefault="00A81CE0" w:rsidP="00CE3F6A">
            <w:pP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Noise dB(A)</w:t>
            </w:r>
          </w:p>
        </w:tc>
        <w:tc>
          <w:tcPr>
            <w:tcW w:w="1100" w:type="dxa"/>
            <w:tcBorders>
              <w:top w:val="nil"/>
              <w:left w:val="single" w:sz="8" w:space="0" w:color="auto"/>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0.2</w:t>
            </w:r>
          </w:p>
        </w:tc>
        <w:tc>
          <w:tcPr>
            <w:tcW w:w="1100" w:type="dxa"/>
            <w:tcBorders>
              <w:top w:val="nil"/>
              <w:left w:val="nil"/>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0.5</w:t>
            </w:r>
          </w:p>
        </w:tc>
        <w:tc>
          <w:tcPr>
            <w:tcW w:w="1100" w:type="dxa"/>
            <w:tcBorders>
              <w:top w:val="nil"/>
              <w:left w:val="nil"/>
              <w:bottom w:val="single" w:sz="8" w:space="0" w:color="auto"/>
              <w:right w:val="single" w:sz="8" w:space="0" w:color="auto"/>
            </w:tcBorders>
            <w:shd w:val="clear" w:color="000000" w:fill="E7E6E6"/>
            <w:noWrap/>
            <w:vAlign w:val="center"/>
            <w:hideMark/>
          </w:tcPr>
          <w:p w:rsidR="00A81CE0" w:rsidRPr="0005241A" w:rsidRDefault="00A81CE0" w:rsidP="00CE3F6A">
            <w:pPr>
              <w:jc w:val="center"/>
              <w:rPr>
                <w:rFonts w:ascii="Calibri" w:eastAsia="Times New Roman" w:hAnsi="Calibri"/>
                <w:b/>
                <w:i/>
                <w:color w:val="000000"/>
                <w:sz w:val="18"/>
                <w:szCs w:val="18"/>
                <w:lang w:val="en-US"/>
              </w:rPr>
            </w:pPr>
            <w:r w:rsidRPr="0005241A">
              <w:rPr>
                <w:rFonts w:ascii="Calibri" w:eastAsia="Times New Roman" w:hAnsi="Calibri"/>
                <w:b/>
                <w:i/>
                <w:color w:val="000000"/>
                <w:sz w:val="18"/>
                <w:szCs w:val="18"/>
                <w:lang w:val="en-US"/>
              </w:rPr>
              <w:t>0.1</w:t>
            </w:r>
          </w:p>
        </w:tc>
        <w:tc>
          <w:tcPr>
            <w:tcW w:w="1100" w:type="dxa"/>
            <w:tcBorders>
              <w:top w:val="nil"/>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-0.2</w:t>
            </w:r>
          </w:p>
        </w:tc>
        <w:tc>
          <w:tcPr>
            <w:tcW w:w="1040" w:type="dxa"/>
            <w:tcBorders>
              <w:top w:val="nil"/>
              <w:left w:val="nil"/>
              <w:bottom w:val="single" w:sz="8" w:space="0" w:color="auto"/>
              <w:right w:val="nil"/>
            </w:tcBorders>
            <w:shd w:val="clear" w:color="auto" w:fill="auto"/>
            <w:noWrap/>
            <w:vAlign w:val="center"/>
            <w:hideMark/>
          </w:tcPr>
          <w:p w:rsidR="00A81CE0" w:rsidRPr="0005241A" w:rsidRDefault="00A81CE0" w:rsidP="00CE3F6A">
            <w:pPr>
              <w:jc w:val="cente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0.5</w:t>
            </w:r>
          </w:p>
        </w:tc>
        <w:tc>
          <w:tcPr>
            <w:tcW w:w="1399" w:type="dxa"/>
            <w:tcBorders>
              <w:top w:val="nil"/>
              <w:left w:val="nil"/>
              <w:bottom w:val="single" w:sz="8" w:space="0" w:color="auto"/>
              <w:right w:val="nil"/>
            </w:tcBorders>
            <w:shd w:val="clear" w:color="auto" w:fill="auto"/>
            <w:noWrap/>
            <w:vAlign w:val="center"/>
            <w:hideMark/>
          </w:tcPr>
          <w:p w:rsidR="00A81CE0" w:rsidRPr="0005241A" w:rsidRDefault="00A81CE0" w:rsidP="00CE3F6A">
            <w:pPr>
              <w:keepNext/>
              <w:jc w:val="center"/>
              <w:rPr>
                <w:rFonts w:ascii="Calibri" w:eastAsia="Times New Roman" w:hAnsi="Calibri"/>
                <w:i/>
                <w:color w:val="000000"/>
                <w:sz w:val="18"/>
                <w:szCs w:val="18"/>
                <w:lang w:val="en-US"/>
              </w:rPr>
            </w:pPr>
            <w:r w:rsidRPr="0005241A">
              <w:rPr>
                <w:rFonts w:ascii="Calibri" w:eastAsia="Times New Roman" w:hAnsi="Calibri"/>
                <w:i/>
                <w:color w:val="000000"/>
                <w:sz w:val="18"/>
                <w:szCs w:val="18"/>
                <w:lang w:val="en-US"/>
              </w:rPr>
              <w:t>1.0</w:t>
            </w:r>
          </w:p>
        </w:tc>
      </w:tr>
    </w:tbl>
    <w:p w:rsidR="00463A27" w:rsidRDefault="00463A27" w:rsidP="00A81CE0"/>
    <w:p w:rsidR="003036D9" w:rsidRDefault="00D76498" w:rsidP="00A81CE0">
      <w:fldSimple w:instr=" REF _Ref472868176 \h  \* MERGEFORMAT ">
        <w:r w:rsidR="00A81CE0" w:rsidRPr="00A81CE0">
          <w:t xml:space="preserve">Table </w:t>
        </w:r>
        <w:r w:rsidR="00A81CE0" w:rsidRPr="00A81CE0">
          <w:rPr>
            <w:noProof/>
          </w:rPr>
          <w:t>8</w:t>
        </w:r>
      </w:fldSimple>
      <w:r w:rsidR="00A81CE0" w:rsidRPr="00A81CE0">
        <w:t xml:space="preserve"> s</w:t>
      </w:r>
      <w:r w:rsidR="00A81CE0">
        <w:t>hows the correlation between subjective values (</w:t>
      </w:r>
      <w:r w:rsidR="00A81CE0" w:rsidRPr="0005241A">
        <w:rPr>
          <w:b/>
        </w:rPr>
        <w:t>bold</w:t>
      </w:r>
      <w:r w:rsidR="00A81CE0">
        <w:t>) and measured values (</w:t>
      </w:r>
      <w:r w:rsidR="00A81CE0" w:rsidRPr="0005241A">
        <w:rPr>
          <w:i/>
        </w:rPr>
        <w:t>italic</w:t>
      </w:r>
      <w:r w:rsidR="00A81CE0">
        <w:t>), with the shadowed area indicating the subjective-measured correlation of the acoustics factors.</w:t>
      </w:r>
    </w:p>
    <w:p w:rsidR="00A81CE0" w:rsidRDefault="00A81CE0" w:rsidP="00A81CE0">
      <w:r>
        <w:t xml:space="preserve">Interestingly, although the correlation between the measured noise and reverberation time with their subjective counterparts is not entirely obvious, in the case of Intelligibility, this is essentially perfect. </w:t>
      </w:r>
      <w:r w:rsidR="003036D9">
        <w:t>In</w:t>
      </w:r>
      <w:r>
        <w:t xml:space="preserve"> the survey the higher the value, the more difficult it was to understand or lower the inte</w:t>
      </w:r>
      <w:r>
        <w:t>l</w:t>
      </w:r>
      <w:r>
        <w:t>ligibility, so a correlation value of -1 seems shows exactly that.</w:t>
      </w:r>
    </w:p>
    <w:p w:rsidR="00147302" w:rsidRPr="00105F73" w:rsidRDefault="00A81CE0">
      <w:pPr>
        <w:pStyle w:val="Heading1"/>
      </w:pPr>
      <w:r>
        <w:t>Conclusions</w:t>
      </w:r>
      <w:r w:rsidR="00C52460">
        <w:t xml:space="preserve"> and recommendations</w:t>
      </w:r>
    </w:p>
    <w:p w:rsidR="00A81CE0" w:rsidRDefault="00A81CE0" w:rsidP="00A81CE0">
      <w:r>
        <w:t xml:space="preserve">In terms of intelligibility, non-native students, as expected, had a lower score </w:t>
      </w:r>
      <w:r w:rsidR="00043A6D">
        <w:t>than predicted by current standards and studies with native population and</w:t>
      </w:r>
      <w:r>
        <w:t xml:space="preserve"> therefore this shows the relevance of good acoustics design in rooms to be used by students whose English is not their first language. </w:t>
      </w:r>
    </w:p>
    <w:p w:rsidR="00A81CE0" w:rsidRDefault="00A81CE0" w:rsidP="00463A27">
      <w:r>
        <w:t>T</w:t>
      </w:r>
      <w:r w:rsidR="00463A27">
        <w:t>o summarise there is an</w:t>
      </w:r>
      <w:r>
        <w:t xml:space="preserve"> evident difference between native and non-native listeners</w:t>
      </w:r>
      <w:r w:rsidR="00463A27">
        <w:t xml:space="preserve"> we would e</w:t>
      </w:r>
      <w:r>
        <w:t>ncourage non-native students to sit at the front of the room or closer to the source.</w:t>
      </w:r>
      <w:r w:rsidR="00463A27">
        <w:t xml:space="preserve"> </w:t>
      </w:r>
    </w:p>
    <w:bookmarkStart w:id="16" w:name="_GoBack" w:displacedByCustomXml="next"/>
    <w:bookmarkEnd w:id="16" w:displacedByCustomXml="next"/>
    <w:sdt>
      <w:sdtPr>
        <w:rPr>
          <w:rFonts w:ascii="Times New Roman" w:hAnsi="Times New Roman" w:cs="Times New Roman"/>
          <w:b w:val="0"/>
          <w:bCs w:val="0"/>
          <w:sz w:val="24"/>
        </w:rPr>
        <w:id w:val="-1968046709"/>
        <w:docPartObj>
          <w:docPartGallery w:val="Bibliographies"/>
          <w:docPartUnique/>
        </w:docPartObj>
      </w:sdtPr>
      <w:sdtContent>
        <w:p w:rsidR="00DC4833" w:rsidRDefault="00DC4833" w:rsidP="00846A19">
          <w:pPr>
            <w:pStyle w:val="RefHeading"/>
          </w:pPr>
          <w:r>
            <w:t>References</w:t>
          </w:r>
        </w:p>
        <w:sdt>
          <w:sdtPr>
            <w:id w:val="-573587230"/>
            <w:bibliography/>
          </w:sdtPr>
          <w:sdtContent>
            <w:p w:rsidR="007A2E1B" w:rsidRPr="007A2E1B" w:rsidRDefault="00D76498" w:rsidP="006952C5">
              <w:pPr>
                <w:pStyle w:val="Bibliography"/>
                <w:ind w:left="284" w:hanging="284"/>
                <w:rPr>
                  <w:noProof/>
                  <w:sz w:val="18"/>
                  <w:szCs w:val="18"/>
                </w:rPr>
              </w:pPr>
              <w:r w:rsidRPr="00D76498">
                <w:rPr>
                  <w:sz w:val="18"/>
                  <w:szCs w:val="18"/>
                </w:rPr>
                <w:fldChar w:fldCharType="begin"/>
              </w:r>
              <w:r w:rsidR="00DC4833" w:rsidRPr="007A2E1B">
                <w:rPr>
                  <w:sz w:val="18"/>
                  <w:szCs w:val="18"/>
                </w:rPr>
                <w:instrText xml:space="preserve"> BIBLIOGRAPHY </w:instrText>
              </w:r>
              <w:r w:rsidRPr="00D76498">
                <w:rPr>
                  <w:sz w:val="18"/>
                  <w:szCs w:val="18"/>
                </w:rPr>
                <w:fldChar w:fldCharType="separate"/>
              </w:r>
              <w:r w:rsidR="007A2E1B" w:rsidRPr="007A2E1B">
                <w:rPr>
                  <w:noProof/>
                  <w:sz w:val="18"/>
                  <w:szCs w:val="18"/>
                </w:rPr>
                <w:t xml:space="preserve">1. </w:t>
              </w:r>
              <w:r w:rsidR="007A2E1B" w:rsidRPr="007A2E1B">
                <w:rPr>
                  <w:i/>
                  <w:iCs/>
                  <w:noProof/>
                  <w:sz w:val="18"/>
                  <w:szCs w:val="18"/>
                </w:rPr>
                <w:t xml:space="preserve">Case-study evaluations of the acoustical designs of renovated university classrooms. </w:t>
              </w:r>
              <w:r w:rsidR="007A2E1B" w:rsidRPr="007A2E1B">
                <w:rPr>
                  <w:bCs/>
                  <w:noProof/>
                  <w:sz w:val="18"/>
                  <w:szCs w:val="18"/>
                </w:rPr>
                <w:t>Hodgson, Murray.</w:t>
              </w:r>
              <w:r w:rsidR="007A2E1B" w:rsidRPr="007A2E1B">
                <w:rPr>
                  <w:noProof/>
                  <w:sz w:val="18"/>
                  <w:szCs w:val="18"/>
                </w:rPr>
                <w:t xml:space="preserve"> Vancouver : s.n., 25 July 2003, Applied Acoustics 65 (2004) 69–89, p. 89.</w:t>
              </w:r>
            </w:p>
            <w:p w:rsidR="007A2E1B" w:rsidRPr="007A2E1B" w:rsidRDefault="007A2E1B" w:rsidP="006952C5">
              <w:pPr>
                <w:pStyle w:val="Bibliography"/>
                <w:ind w:left="284" w:hanging="284"/>
                <w:rPr>
                  <w:noProof/>
                  <w:sz w:val="18"/>
                  <w:szCs w:val="18"/>
                </w:rPr>
              </w:pPr>
              <w:r w:rsidRPr="007A2E1B">
                <w:rPr>
                  <w:noProof/>
                  <w:sz w:val="18"/>
                  <w:szCs w:val="18"/>
                </w:rPr>
                <w:t xml:space="preserve">2. </w:t>
              </w:r>
              <w:r w:rsidRPr="007A2E1B">
                <w:rPr>
                  <w:i/>
                  <w:iCs/>
                  <w:noProof/>
                  <w:sz w:val="18"/>
                  <w:szCs w:val="18"/>
                </w:rPr>
                <w:t xml:space="preserve">An investigation of acoustic treatment for children in a classroom of an elementary school. </w:t>
              </w:r>
              <w:r w:rsidRPr="007A2E1B">
                <w:rPr>
                  <w:bCs/>
                  <w:noProof/>
                  <w:sz w:val="18"/>
                  <w:szCs w:val="18"/>
                </w:rPr>
                <w:t>Peng, Jianxin, et al.</w:t>
              </w:r>
              <w:r w:rsidRPr="007A2E1B">
                <w:rPr>
                  <w:noProof/>
                  <w:sz w:val="18"/>
                  <w:szCs w:val="18"/>
                </w:rPr>
                <w:t xml:space="preserve"> 89, 2014, Applied Acoustics, pp. 42-45.</w:t>
              </w:r>
            </w:p>
            <w:p w:rsidR="007A2E1B" w:rsidRPr="007A2E1B" w:rsidRDefault="007A2E1B" w:rsidP="006952C5">
              <w:pPr>
                <w:pStyle w:val="Bibliography"/>
                <w:ind w:left="284" w:hanging="284"/>
                <w:rPr>
                  <w:noProof/>
                  <w:sz w:val="18"/>
                  <w:szCs w:val="18"/>
                </w:rPr>
              </w:pPr>
              <w:r w:rsidRPr="007A2E1B">
                <w:rPr>
                  <w:noProof/>
                  <w:sz w:val="18"/>
                  <w:szCs w:val="18"/>
                </w:rPr>
                <w:t xml:space="preserve">3. </w:t>
              </w:r>
              <w:r w:rsidRPr="007A2E1B">
                <w:rPr>
                  <w:i/>
                  <w:iCs/>
                  <w:noProof/>
                  <w:sz w:val="18"/>
                  <w:szCs w:val="18"/>
                </w:rPr>
                <w:t xml:space="preserve">The impact of the classroom built environment on student perceptions and learning. </w:t>
              </w:r>
              <w:r w:rsidRPr="007A2E1B">
                <w:rPr>
                  <w:bCs/>
                  <w:noProof/>
                  <w:sz w:val="18"/>
                  <w:szCs w:val="18"/>
                </w:rPr>
                <w:t>Marchand, Gwen C., et al.</w:t>
              </w:r>
              <w:r w:rsidRPr="007A2E1B">
                <w:rPr>
                  <w:noProof/>
                  <w:sz w:val="18"/>
                  <w:szCs w:val="18"/>
                </w:rPr>
                <w:t xml:space="preserve"> 40, 2014, Journal of Environmental Psychology, pp. 187-197.</w:t>
              </w:r>
            </w:p>
            <w:p w:rsidR="007A2E1B" w:rsidRPr="007A2E1B" w:rsidRDefault="007A2E1B" w:rsidP="006952C5">
              <w:pPr>
                <w:pStyle w:val="Bibliography"/>
                <w:ind w:left="284" w:hanging="284"/>
                <w:rPr>
                  <w:noProof/>
                  <w:sz w:val="18"/>
                  <w:szCs w:val="18"/>
                </w:rPr>
              </w:pPr>
              <w:r w:rsidRPr="007A2E1B">
                <w:rPr>
                  <w:noProof/>
                  <w:sz w:val="18"/>
                  <w:szCs w:val="18"/>
                </w:rPr>
                <w:t xml:space="preserve">4. </w:t>
              </w:r>
              <w:r w:rsidRPr="007A2E1B">
                <w:rPr>
                  <w:i/>
                  <w:iCs/>
                  <w:noProof/>
                  <w:sz w:val="18"/>
                  <w:szCs w:val="18"/>
                </w:rPr>
                <w:t xml:space="preserve">Analysis of intelligibility and reverberation time recommendations in educational rooms. </w:t>
              </w:r>
              <w:r w:rsidRPr="007A2E1B">
                <w:rPr>
                  <w:bCs/>
                  <w:noProof/>
                  <w:sz w:val="18"/>
                  <w:szCs w:val="18"/>
                </w:rPr>
                <w:t>Escobar, V. Gómez and Morillas, J.M. Barrigón.</w:t>
              </w:r>
              <w:r w:rsidRPr="007A2E1B">
                <w:rPr>
                  <w:noProof/>
                  <w:sz w:val="18"/>
                  <w:szCs w:val="18"/>
                </w:rPr>
                <w:t xml:space="preserve"> 96, 2015, Applied Acoustics, pp. 1-10.</w:t>
              </w:r>
            </w:p>
            <w:p w:rsidR="007A2E1B" w:rsidRPr="007A2E1B" w:rsidRDefault="007A2E1B" w:rsidP="006952C5">
              <w:pPr>
                <w:pStyle w:val="Bibliography"/>
                <w:ind w:firstLine="0"/>
                <w:rPr>
                  <w:noProof/>
                  <w:sz w:val="18"/>
                  <w:szCs w:val="18"/>
                </w:rPr>
              </w:pPr>
              <w:r w:rsidRPr="007A2E1B">
                <w:rPr>
                  <w:noProof/>
                  <w:sz w:val="18"/>
                  <w:szCs w:val="18"/>
                </w:rPr>
                <w:t xml:space="preserve">5. </w:t>
              </w:r>
              <w:r w:rsidRPr="007A2E1B">
                <w:rPr>
                  <w:bCs/>
                  <w:noProof/>
                  <w:sz w:val="18"/>
                  <w:szCs w:val="18"/>
                </w:rPr>
                <w:t>DfES.</w:t>
              </w:r>
              <w:r w:rsidRPr="007A2E1B">
                <w:rPr>
                  <w:i/>
                  <w:iCs/>
                  <w:noProof/>
                  <w:sz w:val="18"/>
                  <w:szCs w:val="18"/>
                </w:rPr>
                <w:t xml:space="preserve">Building Bulletin 93 Acoustic Design of Schools. </w:t>
              </w:r>
              <w:r w:rsidRPr="007A2E1B">
                <w:rPr>
                  <w:noProof/>
                  <w:sz w:val="18"/>
                  <w:szCs w:val="18"/>
                </w:rPr>
                <w:t>London : DfES, 1993.</w:t>
              </w:r>
            </w:p>
            <w:p w:rsidR="007A2E1B" w:rsidRPr="007A2E1B" w:rsidRDefault="007A2E1B" w:rsidP="006952C5">
              <w:pPr>
                <w:pStyle w:val="Bibliography"/>
                <w:ind w:left="284" w:hanging="284"/>
                <w:rPr>
                  <w:noProof/>
                  <w:sz w:val="18"/>
                  <w:szCs w:val="18"/>
                </w:rPr>
              </w:pPr>
              <w:r w:rsidRPr="007A2E1B">
                <w:rPr>
                  <w:noProof/>
                  <w:sz w:val="18"/>
                  <w:szCs w:val="18"/>
                </w:rPr>
                <w:t xml:space="preserve">6. </w:t>
              </w:r>
              <w:r w:rsidRPr="007A2E1B">
                <w:rPr>
                  <w:i/>
                  <w:iCs/>
                  <w:noProof/>
                  <w:sz w:val="18"/>
                  <w:szCs w:val="18"/>
                </w:rPr>
                <w:t xml:space="preserve">A study on student perceptions of higher education classrooms: Impact of classroom attributes on student satisfaction and performance. </w:t>
              </w:r>
              <w:r w:rsidRPr="007A2E1B">
                <w:rPr>
                  <w:bCs/>
                  <w:noProof/>
                  <w:sz w:val="18"/>
                  <w:szCs w:val="18"/>
                </w:rPr>
                <w:t>Yang, Zheng, Becerik-Gerber, Burcin and Mino, Laura.</w:t>
              </w:r>
              <w:r w:rsidRPr="007A2E1B">
                <w:rPr>
                  <w:noProof/>
                  <w:sz w:val="18"/>
                  <w:szCs w:val="18"/>
                </w:rPr>
                <w:t xml:space="preserve"> 70, 2013, Building and Environment, pp. 171-188.</w:t>
              </w:r>
            </w:p>
            <w:p w:rsidR="007A2E1B" w:rsidRPr="007A2E1B" w:rsidRDefault="007A2E1B" w:rsidP="006952C5">
              <w:pPr>
                <w:pStyle w:val="Bibliography"/>
                <w:ind w:firstLine="0"/>
                <w:rPr>
                  <w:noProof/>
                  <w:sz w:val="18"/>
                  <w:szCs w:val="18"/>
                </w:rPr>
              </w:pPr>
              <w:r w:rsidRPr="007A2E1B">
                <w:rPr>
                  <w:noProof/>
                  <w:sz w:val="18"/>
                  <w:szCs w:val="18"/>
                </w:rPr>
                <w:t xml:space="preserve">7. </w:t>
              </w:r>
              <w:r w:rsidR="006952C5">
                <w:rPr>
                  <w:noProof/>
                  <w:sz w:val="18"/>
                  <w:szCs w:val="18"/>
                </w:rPr>
                <w:t xml:space="preserve">IEC 60268-16: 2011 </w:t>
              </w:r>
              <w:r w:rsidRPr="007A2E1B">
                <w:rPr>
                  <w:bCs/>
                  <w:noProof/>
                  <w:sz w:val="18"/>
                  <w:szCs w:val="18"/>
                </w:rPr>
                <w:t>.</w:t>
              </w:r>
              <w:r w:rsidRPr="007A2E1B">
                <w:rPr>
                  <w:i/>
                  <w:iCs/>
                  <w:noProof/>
                  <w:sz w:val="18"/>
                  <w:szCs w:val="18"/>
                </w:rPr>
                <w:t xml:space="preserve">Sound system equipment - Part 16: Objective rating of speech intelligibility by speech transmission index </w:t>
              </w:r>
            </w:p>
            <w:p w:rsidR="00DC4833" w:rsidRDefault="007A2E1B" w:rsidP="006952C5">
              <w:pPr>
                <w:pStyle w:val="Bibliography"/>
                <w:ind w:firstLine="0"/>
              </w:pPr>
              <w:r w:rsidRPr="007A2E1B">
                <w:rPr>
                  <w:noProof/>
                  <w:sz w:val="18"/>
                  <w:szCs w:val="18"/>
                </w:rPr>
                <w:t xml:space="preserve">8. </w:t>
              </w:r>
              <w:r w:rsidRPr="007A2E1B">
                <w:rPr>
                  <w:bCs/>
                  <w:noProof/>
                  <w:sz w:val="18"/>
                  <w:szCs w:val="18"/>
                </w:rPr>
                <w:t>Morales, Lorenzo.</w:t>
              </w:r>
              <w:r w:rsidRPr="007A2E1B">
                <w:rPr>
                  <w:i/>
                  <w:iCs/>
                  <w:noProof/>
                  <w:sz w:val="18"/>
                  <w:szCs w:val="18"/>
                </w:rPr>
                <w:t xml:space="preserve">Validation and optimization of the Speech Transmission Index for the English Language. </w:t>
              </w:r>
              <w:r w:rsidRPr="007A2E1B">
                <w:rPr>
                  <w:noProof/>
                  <w:sz w:val="18"/>
                  <w:szCs w:val="18"/>
                </w:rPr>
                <w:t>London : LSBU, 2014.</w:t>
              </w:r>
              <w:r w:rsidR="00D76498" w:rsidRPr="007A2E1B">
                <w:rPr>
                  <w:bCs/>
                  <w:noProof/>
                  <w:sz w:val="18"/>
                  <w:szCs w:val="18"/>
                </w:rPr>
                <w:fldChar w:fldCharType="end"/>
              </w:r>
            </w:p>
          </w:sdtContent>
        </w:sdt>
      </w:sdtContent>
    </w:sdt>
    <w:sectPr w:rsidR="00DC4833" w:rsidSect="001341E7">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993" w:left="1134" w:header="426" w:footer="5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84F" w:rsidRDefault="00C2084F">
      <w:r>
        <w:separator/>
      </w:r>
    </w:p>
  </w:endnote>
  <w:endnote w:type="continuationSeparator" w:id="1">
    <w:p w:rsidR="00C2084F" w:rsidRDefault="00C20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F" w:rsidRDefault="00C2084F" w:rsidP="00433B61">
    <w:pPr>
      <w:pStyle w:val="Footer"/>
      <w:tabs>
        <w:tab w:val="clear" w:pos="9072"/>
        <w:tab w:val="right" w:pos="9638"/>
      </w:tabs>
      <w:ind w:firstLine="0"/>
      <w:rPr>
        <w:rStyle w:val="PageNumber"/>
        <w:sz w:val="22"/>
      </w:rPr>
    </w:pPr>
  </w:p>
  <w:p w:rsidR="00C2084F" w:rsidRPr="00FD21CE" w:rsidRDefault="00D76498" w:rsidP="00E91537">
    <w:pPr>
      <w:pStyle w:val="Footer"/>
      <w:pBdr>
        <w:top w:val="single" w:sz="12" w:space="3" w:color="0000B4"/>
      </w:pBdr>
      <w:tabs>
        <w:tab w:val="clear" w:pos="9072"/>
        <w:tab w:val="right" w:pos="9638"/>
      </w:tabs>
      <w:ind w:firstLine="0"/>
      <w:rPr>
        <w:sz w:val="22"/>
        <w:lang w:val="en-US"/>
      </w:rPr>
    </w:pPr>
    <w:r w:rsidRPr="00FD21CE">
      <w:rPr>
        <w:rStyle w:val="PageNumber"/>
        <w:sz w:val="22"/>
      </w:rPr>
      <w:fldChar w:fldCharType="begin"/>
    </w:r>
    <w:r w:rsidR="00C2084F" w:rsidRPr="00FD21CE">
      <w:rPr>
        <w:rStyle w:val="PageNumber"/>
        <w:sz w:val="22"/>
        <w:lang w:val="en-US"/>
      </w:rPr>
      <w:instrText xml:space="preserve"> PAGE </w:instrText>
    </w:r>
    <w:r w:rsidRPr="00FD21CE">
      <w:rPr>
        <w:rStyle w:val="PageNumber"/>
        <w:sz w:val="22"/>
      </w:rPr>
      <w:fldChar w:fldCharType="separate"/>
    </w:r>
    <w:r w:rsidR="006952C5">
      <w:rPr>
        <w:rStyle w:val="PageNumber"/>
        <w:noProof/>
        <w:sz w:val="22"/>
        <w:lang w:val="en-US"/>
      </w:rPr>
      <w:t>6</w:t>
    </w:r>
    <w:r w:rsidRPr="00FD21CE">
      <w:rPr>
        <w:rStyle w:val="PageNumber"/>
        <w:sz w:val="22"/>
      </w:rPr>
      <w:fldChar w:fldCharType="end"/>
    </w:r>
    <w:r w:rsidR="00C2084F">
      <w:rPr>
        <w:rStyle w:val="PageNumber"/>
        <w:sz w:val="22"/>
      </w:rPr>
      <w:tab/>
    </w:r>
    <w:r w:rsidR="00C2084F">
      <w:rPr>
        <w:rStyle w:val="PageNumber"/>
        <w:sz w:val="22"/>
      </w:rPr>
      <w:tab/>
    </w:r>
    <w:r w:rsidR="00C2084F">
      <w:rPr>
        <w:sz w:val="22"/>
        <w:lang w:val="en-US"/>
      </w:rPr>
      <w:t>ICSV24</w:t>
    </w:r>
    <w:r w:rsidR="00C2084F" w:rsidRPr="00FD21CE">
      <w:rPr>
        <w:sz w:val="22"/>
        <w:lang w:val="en-US"/>
      </w:rPr>
      <w:t xml:space="preserve">, </w:t>
    </w:r>
    <w:r w:rsidR="00C2084F">
      <w:rPr>
        <w:sz w:val="22"/>
        <w:lang w:val="en-US"/>
      </w:rPr>
      <w:t>London</w:t>
    </w:r>
    <w:r w:rsidR="00C2084F" w:rsidRPr="00FD21CE">
      <w:rPr>
        <w:sz w:val="22"/>
        <w:lang w:val="en-US"/>
      </w:rPr>
      <w:t xml:space="preserve">, </w:t>
    </w:r>
    <w:r w:rsidR="00C2084F">
      <w:rPr>
        <w:sz w:val="22"/>
        <w:lang w:val="en-US"/>
      </w:rPr>
      <w:t>23</w:t>
    </w:r>
    <w:r w:rsidR="00C2084F" w:rsidRPr="00FD21CE">
      <w:rPr>
        <w:sz w:val="22"/>
        <w:lang w:val="en-US"/>
      </w:rPr>
      <w:t>-</w:t>
    </w:r>
    <w:r w:rsidR="00C2084F">
      <w:rPr>
        <w:sz w:val="22"/>
        <w:lang w:val="en-US"/>
      </w:rPr>
      <w:t>27July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F" w:rsidRPr="00E91537" w:rsidRDefault="00C2084F" w:rsidP="00915682">
    <w:pPr>
      <w:pStyle w:val="Footer"/>
      <w:rPr>
        <w:sz w:val="22"/>
        <w:lang w:val="pl-PL"/>
      </w:rPr>
    </w:pPr>
  </w:p>
  <w:p w:rsidR="00C2084F" w:rsidRPr="00FD21CE" w:rsidRDefault="00C2084F" w:rsidP="002A67E1">
    <w:pPr>
      <w:pStyle w:val="Footer"/>
      <w:pBdr>
        <w:top w:val="single" w:sz="12" w:space="3" w:color="0000B4"/>
      </w:pBdr>
      <w:tabs>
        <w:tab w:val="clear" w:pos="9072"/>
        <w:tab w:val="right" w:pos="9638"/>
      </w:tabs>
      <w:ind w:firstLine="0"/>
      <w:rPr>
        <w:sz w:val="22"/>
        <w:lang w:val="en-US"/>
      </w:rPr>
    </w:pP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rPr>
      <w:t>23</w:t>
    </w:r>
    <w:r w:rsidRPr="00FD21CE">
      <w:rPr>
        <w:sz w:val="22"/>
        <w:lang w:val="en-US"/>
      </w:rPr>
      <w:t>-</w:t>
    </w:r>
    <w:r>
      <w:rPr>
        <w:sz w:val="22"/>
        <w:lang w:val="en-US"/>
      </w:rPr>
      <w:t>27July 2017</w:t>
    </w:r>
    <w:r>
      <w:rPr>
        <w:sz w:val="22"/>
        <w:lang w:val="en-US"/>
      </w:rPr>
      <w:tab/>
    </w:r>
    <w:r>
      <w:rPr>
        <w:sz w:val="22"/>
        <w:lang w:val="en-US"/>
      </w:rPr>
      <w:tab/>
    </w:r>
    <w:r w:rsidR="00D76498">
      <w:rPr>
        <w:rStyle w:val="PageNumber"/>
        <w:sz w:val="22"/>
      </w:rPr>
      <w:fldChar w:fldCharType="begin"/>
    </w:r>
    <w:r>
      <w:rPr>
        <w:rStyle w:val="PageNumber"/>
        <w:sz w:val="22"/>
      </w:rPr>
      <w:instrText xml:space="preserve"> PAGE   \* MERGEFORMAT </w:instrText>
    </w:r>
    <w:r w:rsidR="00D76498">
      <w:rPr>
        <w:rStyle w:val="PageNumber"/>
        <w:sz w:val="22"/>
      </w:rPr>
      <w:fldChar w:fldCharType="separate"/>
    </w:r>
    <w:r w:rsidR="006952C5">
      <w:rPr>
        <w:rStyle w:val="PageNumber"/>
        <w:noProof/>
        <w:sz w:val="22"/>
      </w:rPr>
      <w:t>7</w:t>
    </w:r>
    <w:r w:rsidR="00D76498">
      <w:rPr>
        <w:rStyle w:val="PageNumbe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F" w:rsidRPr="00E91537" w:rsidRDefault="00C2084F">
    <w:pPr>
      <w:pStyle w:val="Footer"/>
      <w:ind w:firstLine="0"/>
      <w:rPr>
        <w:sz w:val="22"/>
        <w:lang w:val="en-US"/>
      </w:rPr>
    </w:pPr>
  </w:p>
  <w:p w:rsidR="00C2084F" w:rsidRPr="00FD21CE" w:rsidRDefault="00C2084F" w:rsidP="00E91537">
    <w:pPr>
      <w:pStyle w:val="Footer"/>
      <w:pBdr>
        <w:top w:val="single" w:sz="12" w:space="3" w:color="0000B4"/>
      </w:pBdr>
      <w:tabs>
        <w:tab w:val="clear" w:pos="9072"/>
        <w:tab w:val="right" w:pos="9638"/>
      </w:tabs>
      <w:ind w:firstLine="0"/>
      <w:rPr>
        <w:sz w:val="22"/>
        <w:lang w:val="en-US"/>
      </w:rPr>
    </w:pPr>
    <w:r w:rsidRPr="00FD21CE">
      <w:rPr>
        <w:sz w:val="22"/>
        <w:lang w:val="en-US"/>
      </w:rPr>
      <w:tab/>
    </w:r>
    <w:r w:rsidRPr="00FD21CE">
      <w:rPr>
        <w:sz w:val="22"/>
        <w:lang w:val="en-US"/>
      </w:rPr>
      <w:tab/>
    </w:r>
    <w:r w:rsidR="00D76498" w:rsidRPr="00FD21CE">
      <w:rPr>
        <w:rStyle w:val="PageNumber"/>
        <w:sz w:val="22"/>
      </w:rPr>
      <w:fldChar w:fldCharType="begin"/>
    </w:r>
    <w:r w:rsidRPr="00FD21CE">
      <w:rPr>
        <w:rStyle w:val="PageNumber"/>
        <w:sz w:val="22"/>
        <w:lang w:val="en-US"/>
      </w:rPr>
      <w:instrText xml:space="preserve"> PAGE </w:instrText>
    </w:r>
    <w:r w:rsidR="00D76498" w:rsidRPr="00FD21CE">
      <w:rPr>
        <w:rStyle w:val="PageNumber"/>
        <w:sz w:val="22"/>
      </w:rPr>
      <w:fldChar w:fldCharType="separate"/>
    </w:r>
    <w:r w:rsidR="006952C5">
      <w:rPr>
        <w:rStyle w:val="PageNumber"/>
        <w:noProof/>
        <w:sz w:val="22"/>
        <w:lang w:val="en-US"/>
      </w:rPr>
      <w:t>1</w:t>
    </w:r>
    <w:r w:rsidR="00D76498" w:rsidRPr="00FD21CE">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84F" w:rsidRDefault="00C2084F">
      <w:r>
        <w:separator/>
      </w:r>
    </w:p>
  </w:footnote>
  <w:footnote w:type="continuationSeparator" w:id="1">
    <w:p w:rsidR="00C2084F" w:rsidRDefault="00C2084F">
      <w:r>
        <w:continuationSeparator/>
      </w:r>
    </w:p>
  </w:footnote>
  <w:footnote w:id="2">
    <w:p w:rsidR="00C2084F" w:rsidRPr="00B00254" w:rsidRDefault="00C2084F" w:rsidP="00DC25E9">
      <w:pPr>
        <w:pStyle w:val="FootnoteText"/>
        <w:rPr>
          <w:color w:val="948A54" w:themeColor="background2" w:themeShade="80"/>
          <w:sz w:val="16"/>
          <w:szCs w:val="16"/>
        </w:rPr>
      </w:pPr>
      <w:r w:rsidRPr="00B00254">
        <w:rPr>
          <w:rStyle w:val="FootnoteReference"/>
          <w:color w:val="948A54" w:themeColor="background2" w:themeShade="80"/>
          <w:sz w:val="16"/>
          <w:szCs w:val="16"/>
        </w:rPr>
        <w:footnoteRef/>
      </w:r>
      <w:r w:rsidRPr="00B00254">
        <w:rPr>
          <w:color w:val="948A54" w:themeColor="background2" w:themeShade="80"/>
          <w:sz w:val="16"/>
          <w:szCs w:val="16"/>
        </w:rPr>
        <w:t xml:space="preserve"> Tests before and after acoustic treatment</w:t>
      </w:r>
    </w:p>
  </w:footnote>
  <w:footnote w:id="3">
    <w:p w:rsidR="00C2084F" w:rsidRPr="00B00254" w:rsidRDefault="00C2084F" w:rsidP="00DC25E9">
      <w:pPr>
        <w:pStyle w:val="FootnoteText"/>
        <w:rPr>
          <w:color w:val="948A54" w:themeColor="background2" w:themeShade="80"/>
          <w:sz w:val="12"/>
          <w:szCs w:val="12"/>
        </w:rPr>
      </w:pPr>
      <w:r w:rsidRPr="00B00254">
        <w:rPr>
          <w:rStyle w:val="FootnoteReference"/>
          <w:color w:val="948A54" w:themeColor="background2" w:themeShade="80"/>
          <w:sz w:val="16"/>
          <w:szCs w:val="16"/>
        </w:rPr>
        <w:footnoteRef/>
      </w:r>
      <w:r w:rsidRPr="00B00254">
        <w:rPr>
          <w:color w:val="948A54" w:themeColor="background2" w:themeShade="80"/>
          <w:sz w:val="16"/>
          <w:szCs w:val="16"/>
        </w:rPr>
        <w:t xml:space="preserve"> Tested with and without EQ</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F" w:rsidRDefault="00C2084F">
    <w:pPr>
      <w:pStyle w:val="Header"/>
      <w:ind w:firstLine="0"/>
      <w:rPr>
        <w:lang w:val="en-US"/>
      </w:rPr>
    </w:pP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rPr>
      <w:t>23</w:t>
    </w:r>
    <w:r w:rsidRPr="00FD21CE">
      <w:rPr>
        <w:sz w:val="22"/>
        <w:lang w:val="en-US"/>
      </w:rPr>
      <w:t>-</w:t>
    </w:r>
    <w:r>
      <w:rPr>
        <w:sz w:val="22"/>
        <w:lang w:val="en-US"/>
      </w:rPr>
      <w:t>27July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F" w:rsidRDefault="00C2084F" w:rsidP="004E5095">
    <w:pPr>
      <w:pStyle w:val="Header"/>
      <w:ind w:firstLine="0"/>
      <w:rPr>
        <w:lang w:val="en-US"/>
      </w:rPr>
    </w:pP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rPr>
      <w:t>23</w:t>
    </w:r>
    <w:r w:rsidRPr="00FD21CE">
      <w:rPr>
        <w:sz w:val="22"/>
        <w:lang w:val="en-US"/>
      </w:rPr>
      <w:t>-</w:t>
    </w:r>
    <w:r>
      <w:rPr>
        <w:sz w:val="22"/>
        <w:lang w:val="en-US"/>
      </w:rPr>
      <w:t>27July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F" w:rsidRPr="00021E04" w:rsidRDefault="00C2084F" w:rsidP="008670FB">
    <w:pPr>
      <w:pStyle w:val="Header"/>
      <w:ind w:firstLine="0"/>
      <w:rPr>
        <w:sz w:val="32"/>
        <w:szCs w:val="29"/>
        <w:lang w:val="en-US"/>
      </w:rPr>
    </w:pPr>
  </w:p>
  <w:p w:rsidR="00C2084F" w:rsidRPr="00021E04" w:rsidRDefault="00C2084F" w:rsidP="008670FB">
    <w:pPr>
      <w:pStyle w:val="Header"/>
      <w:ind w:firstLine="0"/>
      <w:rPr>
        <w:sz w:val="32"/>
        <w:szCs w:val="29"/>
        <w:lang w:val="en-US"/>
      </w:rPr>
    </w:pPr>
  </w:p>
  <w:p w:rsidR="00C2084F" w:rsidRDefault="00C2084F" w:rsidP="00FA6E8C">
    <w:pPr>
      <w:pStyle w:val="Header"/>
      <w:spacing w:after="60"/>
      <w:ind w:firstLine="0"/>
      <w:rPr>
        <w:lang w:val="en-US"/>
      </w:rPr>
    </w:pPr>
    <w:r>
      <w:rPr>
        <w:rFonts w:eastAsia="Times New Roman"/>
        <w:noProof/>
        <w:lang w:eastAsia="en-GB"/>
      </w:rPr>
      <w:drawing>
        <wp:inline distT="0" distB="0" distL="0" distR="0">
          <wp:extent cx="5848350" cy="857250"/>
          <wp:effectExtent l="0" t="0" r="0" b="0"/>
          <wp:docPr id="4" name="Picture 4" descr="cid:4B58620E-7747-4478-A385-1D0687787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efd91b-3b0c-4f55-8369-0bcdeaa51e8a" descr="cid:4B58620E-7747-4478-A385-1D0687787DC5"/>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8572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3">
    <w:nsid w:val="1A4329B4"/>
    <w:multiLevelType w:val="hybridMultilevel"/>
    <w:tmpl w:val="EF924C66"/>
    <w:lvl w:ilvl="0" w:tplc="6C047142">
      <w:start w:val="1"/>
      <w:numFmt w:val="decimal"/>
      <w:pStyle w:val="Equation"/>
      <w:lvlText w:val="(%1)"/>
      <w:lvlJc w:val="left"/>
      <w:pPr>
        <w:ind w:left="7448" w:hanging="360"/>
      </w:pPr>
      <w:rPr>
        <w:rFonts w:hint="default"/>
      </w:rPr>
    </w:lvl>
    <w:lvl w:ilvl="1" w:tplc="04100019">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4">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1D17F1A"/>
    <w:multiLevelType w:val="hybridMultilevel"/>
    <w:tmpl w:val="D7ECF56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7">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A30E65"/>
    <w:multiLevelType w:val="hybridMultilevel"/>
    <w:tmpl w:val="D8D88C4C"/>
    <w:lvl w:ilvl="0" w:tplc="E730C69A">
      <w:start w:val="1"/>
      <w:numFmt w:val="bullet"/>
      <w:pStyle w:val="ListBullet"/>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EF644F"/>
    <w:multiLevelType w:val="multilevel"/>
    <w:tmpl w:val="07827E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53323A"/>
    <w:multiLevelType w:val="multilevel"/>
    <w:tmpl w:val="A26A4846"/>
    <w:numStyleLink w:val="Stile1"/>
  </w:abstractNum>
  <w:num w:numId="1">
    <w:abstractNumId w:val="9"/>
  </w:num>
  <w:num w:numId="2">
    <w:abstractNumId w:val="0"/>
  </w:num>
  <w:num w:numId="3">
    <w:abstractNumId w:val="6"/>
  </w:num>
  <w:num w:numId="4">
    <w:abstractNumId w:val="11"/>
  </w:num>
  <w:num w:numId="5">
    <w:abstractNumId w:val="13"/>
  </w:num>
  <w:num w:numId="6">
    <w:abstractNumId w:val="1"/>
  </w:num>
  <w:num w:numId="7">
    <w:abstractNumId w:val="14"/>
  </w:num>
  <w:num w:numId="8">
    <w:abstractNumId w:val="15"/>
  </w:num>
  <w:num w:numId="9">
    <w:abstractNumId w:val="10"/>
  </w:num>
  <w:num w:numId="10">
    <w:abstractNumId w:val="4"/>
  </w:num>
  <w:num w:numId="11">
    <w:abstractNumId w:val="2"/>
  </w:num>
  <w:num w:numId="12">
    <w:abstractNumId w:val="7"/>
  </w:num>
  <w:num w:numId="13">
    <w:abstractNumId w:val="12"/>
  </w:num>
  <w:num w:numId="14">
    <w:abstractNumId w:val="16"/>
  </w:num>
  <w:num w:numId="15">
    <w:abstractNumId w:val="3"/>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activeWritingStyle w:appName="MSWord" w:lang="fr-BE" w:vendorID="64" w:dllVersion="131078" w:nlCheck="1" w:checkStyle="0"/>
  <w:proofState w:spelling="clean" w:grammar="clean"/>
  <w:stylePaneFormatFilter w:val="1028"/>
  <w:defaultTabStop w:val="567"/>
  <w:autoHyphenation/>
  <w:hyphenationZone w:val="425"/>
  <w:evenAndOddHeaders/>
  <w:noPunctuationKerning/>
  <w:characterSpacingControl w:val="doNotCompress"/>
  <w:hdrShapeDefaults>
    <o:shapedefaults v:ext="edit" spidmax="6145"/>
  </w:hdrShapeDefaults>
  <w:footnotePr>
    <w:footnote w:id="0"/>
    <w:footnote w:id="1"/>
  </w:footnotePr>
  <w:endnotePr>
    <w:endnote w:id="0"/>
    <w:endnote w:id="1"/>
  </w:endnotePr>
  <w:compat>
    <w:useFELayout/>
  </w:compat>
  <w:rsids>
    <w:rsidRoot w:val="00AC4195"/>
    <w:rsid w:val="00021E04"/>
    <w:rsid w:val="0002737A"/>
    <w:rsid w:val="00036746"/>
    <w:rsid w:val="00043A6D"/>
    <w:rsid w:val="00045271"/>
    <w:rsid w:val="00054C82"/>
    <w:rsid w:val="00061400"/>
    <w:rsid w:val="00070335"/>
    <w:rsid w:val="00087A27"/>
    <w:rsid w:val="000967E2"/>
    <w:rsid w:val="000D63C2"/>
    <w:rsid w:val="000E301F"/>
    <w:rsid w:val="000F00DE"/>
    <w:rsid w:val="00105F73"/>
    <w:rsid w:val="00107E3D"/>
    <w:rsid w:val="00134067"/>
    <w:rsid w:val="001341E7"/>
    <w:rsid w:val="00137E56"/>
    <w:rsid w:val="00147302"/>
    <w:rsid w:val="00147EFF"/>
    <w:rsid w:val="00153062"/>
    <w:rsid w:val="0018519E"/>
    <w:rsid w:val="00185E0A"/>
    <w:rsid w:val="00190A67"/>
    <w:rsid w:val="001F152E"/>
    <w:rsid w:val="002275BE"/>
    <w:rsid w:val="00254726"/>
    <w:rsid w:val="002656A4"/>
    <w:rsid w:val="002756E7"/>
    <w:rsid w:val="00280F73"/>
    <w:rsid w:val="00281C1A"/>
    <w:rsid w:val="002953D9"/>
    <w:rsid w:val="002A395D"/>
    <w:rsid w:val="002A437F"/>
    <w:rsid w:val="002A67E1"/>
    <w:rsid w:val="002C6956"/>
    <w:rsid w:val="002D7C39"/>
    <w:rsid w:val="002E5F59"/>
    <w:rsid w:val="00300C65"/>
    <w:rsid w:val="003036D9"/>
    <w:rsid w:val="003108D4"/>
    <w:rsid w:val="00331A13"/>
    <w:rsid w:val="0033209E"/>
    <w:rsid w:val="0036258B"/>
    <w:rsid w:val="00376A7E"/>
    <w:rsid w:val="00396DBA"/>
    <w:rsid w:val="003A6F2F"/>
    <w:rsid w:val="003B64E9"/>
    <w:rsid w:val="003E0954"/>
    <w:rsid w:val="00403D4E"/>
    <w:rsid w:val="00416DBA"/>
    <w:rsid w:val="0042140A"/>
    <w:rsid w:val="00421D27"/>
    <w:rsid w:val="00422AA7"/>
    <w:rsid w:val="00433B61"/>
    <w:rsid w:val="00435081"/>
    <w:rsid w:val="0043782E"/>
    <w:rsid w:val="00462694"/>
    <w:rsid w:val="00463A27"/>
    <w:rsid w:val="00464CF6"/>
    <w:rsid w:val="00474260"/>
    <w:rsid w:val="004E5095"/>
    <w:rsid w:val="004F0EAB"/>
    <w:rsid w:val="004F2950"/>
    <w:rsid w:val="004F426E"/>
    <w:rsid w:val="005111C4"/>
    <w:rsid w:val="005306CD"/>
    <w:rsid w:val="0054495D"/>
    <w:rsid w:val="0057768D"/>
    <w:rsid w:val="005A0BAF"/>
    <w:rsid w:val="005D0AA0"/>
    <w:rsid w:val="005D1462"/>
    <w:rsid w:val="00624DC8"/>
    <w:rsid w:val="00640ED6"/>
    <w:rsid w:val="00644C7D"/>
    <w:rsid w:val="0064591B"/>
    <w:rsid w:val="00675D0F"/>
    <w:rsid w:val="006821D7"/>
    <w:rsid w:val="00685C4B"/>
    <w:rsid w:val="0068751C"/>
    <w:rsid w:val="00694B02"/>
    <w:rsid w:val="006952C5"/>
    <w:rsid w:val="006A09DF"/>
    <w:rsid w:val="006A56D3"/>
    <w:rsid w:val="006C074A"/>
    <w:rsid w:val="006C1951"/>
    <w:rsid w:val="006D5862"/>
    <w:rsid w:val="006F0443"/>
    <w:rsid w:val="006F0B41"/>
    <w:rsid w:val="006F3C9F"/>
    <w:rsid w:val="00721F04"/>
    <w:rsid w:val="00731846"/>
    <w:rsid w:val="00752E8E"/>
    <w:rsid w:val="00756246"/>
    <w:rsid w:val="00757503"/>
    <w:rsid w:val="0076769F"/>
    <w:rsid w:val="007700A4"/>
    <w:rsid w:val="00797B2F"/>
    <w:rsid w:val="007A2E1B"/>
    <w:rsid w:val="007A7121"/>
    <w:rsid w:val="007E20C0"/>
    <w:rsid w:val="007E6FF9"/>
    <w:rsid w:val="00806F28"/>
    <w:rsid w:val="00813E91"/>
    <w:rsid w:val="0082126A"/>
    <w:rsid w:val="00846A19"/>
    <w:rsid w:val="00860EEC"/>
    <w:rsid w:val="00864F93"/>
    <w:rsid w:val="008670FB"/>
    <w:rsid w:val="008829CE"/>
    <w:rsid w:val="008F2E5E"/>
    <w:rsid w:val="00915682"/>
    <w:rsid w:val="0095797A"/>
    <w:rsid w:val="00982FE3"/>
    <w:rsid w:val="009B043B"/>
    <w:rsid w:val="009E1935"/>
    <w:rsid w:val="009E3A95"/>
    <w:rsid w:val="009E3D88"/>
    <w:rsid w:val="00A26391"/>
    <w:rsid w:val="00A43EC3"/>
    <w:rsid w:val="00A80153"/>
    <w:rsid w:val="00A81CE0"/>
    <w:rsid w:val="00A93BB3"/>
    <w:rsid w:val="00A94812"/>
    <w:rsid w:val="00AC4195"/>
    <w:rsid w:val="00AE40D0"/>
    <w:rsid w:val="00AF73E7"/>
    <w:rsid w:val="00B05C66"/>
    <w:rsid w:val="00B1551C"/>
    <w:rsid w:val="00B217C1"/>
    <w:rsid w:val="00B43067"/>
    <w:rsid w:val="00B45D27"/>
    <w:rsid w:val="00B508FC"/>
    <w:rsid w:val="00B515C0"/>
    <w:rsid w:val="00B54B91"/>
    <w:rsid w:val="00B837B2"/>
    <w:rsid w:val="00B90566"/>
    <w:rsid w:val="00B9194D"/>
    <w:rsid w:val="00B94B6D"/>
    <w:rsid w:val="00BA7276"/>
    <w:rsid w:val="00BC0EFE"/>
    <w:rsid w:val="00BE59AD"/>
    <w:rsid w:val="00BF1710"/>
    <w:rsid w:val="00C02CD3"/>
    <w:rsid w:val="00C14FB9"/>
    <w:rsid w:val="00C170FC"/>
    <w:rsid w:val="00C17949"/>
    <w:rsid w:val="00C2084F"/>
    <w:rsid w:val="00C52460"/>
    <w:rsid w:val="00C7537A"/>
    <w:rsid w:val="00CA0DBA"/>
    <w:rsid w:val="00CE3F6A"/>
    <w:rsid w:val="00D20564"/>
    <w:rsid w:val="00D21DCF"/>
    <w:rsid w:val="00D43FE1"/>
    <w:rsid w:val="00D47ECA"/>
    <w:rsid w:val="00D54C80"/>
    <w:rsid w:val="00D6299E"/>
    <w:rsid w:val="00D76303"/>
    <w:rsid w:val="00D76498"/>
    <w:rsid w:val="00D77328"/>
    <w:rsid w:val="00D91801"/>
    <w:rsid w:val="00D95BEF"/>
    <w:rsid w:val="00D9610B"/>
    <w:rsid w:val="00DC25E9"/>
    <w:rsid w:val="00DC4833"/>
    <w:rsid w:val="00DD5EB1"/>
    <w:rsid w:val="00DF2D3B"/>
    <w:rsid w:val="00DF7074"/>
    <w:rsid w:val="00E20665"/>
    <w:rsid w:val="00E30FCB"/>
    <w:rsid w:val="00E42FBC"/>
    <w:rsid w:val="00E45CC9"/>
    <w:rsid w:val="00E91537"/>
    <w:rsid w:val="00E93963"/>
    <w:rsid w:val="00EA5B7E"/>
    <w:rsid w:val="00EB1992"/>
    <w:rsid w:val="00EC3679"/>
    <w:rsid w:val="00F00574"/>
    <w:rsid w:val="00F241C3"/>
    <w:rsid w:val="00F26C2E"/>
    <w:rsid w:val="00F35385"/>
    <w:rsid w:val="00F44CA6"/>
    <w:rsid w:val="00F55A72"/>
    <w:rsid w:val="00F56494"/>
    <w:rsid w:val="00F801E0"/>
    <w:rsid w:val="00F80CC0"/>
    <w:rsid w:val="00F8430B"/>
    <w:rsid w:val="00F955F6"/>
    <w:rsid w:val="00F9634B"/>
    <w:rsid w:val="00FA05CF"/>
    <w:rsid w:val="00FA6E8C"/>
    <w:rsid w:val="00FB34A0"/>
    <w:rsid w:val="00FC0012"/>
    <w:rsid w:val="00FD21CE"/>
    <w:rsid w:val="00FE4874"/>
    <w:rsid w:val="00FF48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9"/>
    <w:pPr>
      <w:ind w:firstLine="284"/>
      <w:jc w:val="both"/>
    </w:pPr>
    <w:rPr>
      <w:sz w:val="24"/>
      <w:szCs w:val="24"/>
      <w:lang w:val="en-GB" w:eastAsia="pl-PL"/>
    </w:rPr>
  </w:style>
  <w:style w:type="paragraph" w:styleId="Heading1">
    <w:name w:val="heading 1"/>
    <w:basedOn w:val="Normal"/>
    <w:next w:val="Normal"/>
    <w:link w:val="Heading1Char"/>
    <w:uiPriority w:val="9"/>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Heading2">
    <w:name w:val="heading 2"/>
    <w:basedOn w:val="Heading1"/>
    <w:next w:val="Normal"/>
    <w:qFormat/>
    <w:rsid w:val="000E301F"/>
    <w:pPr>
      <w:numPr>
        <w:ilvl w:val="1"/>
      </w:numPr>
      <w:spacing w:after="60"/>
      <w:outlineLvl w:val="1"/>
    </w:pPr>
    <w:rPr>
      <w:bCs w:val="0"/>
      <w:iCs/>
      <w:sz w:val="24"/>
      <w:szCs w:val="28"/>
    </w:rPr>
  </w:style>
  <w:style w:type="paragraph" w:styleId="Heading3">
    <w:name w:val="heading 3"/>
    <w:basedOn w:val="Heading2"/>
    <w:next w:val="Normal"/>
    <w:qFormat/>
    <w:rsid w:val="00D76498"/>
    <w:pPr>
      <w:numPr>
        <w:ilvl w:val="2"/>
      </w:numPr>
      <w:spacing w:before="120"/>
      <w:outlineLvl w:val="2"/>
    </w:pPr>
    <w:rPr>
      <w:b w:val="0"/>
      <w:bCs/>
      <w:i/>
      <w:szCs w:val="26"/>
    </w:rPr>
  </w:style>
  <w:style w:type="paragraph" w:styleId="Heading4">
    <w:name w:val="heading 4"/>
    <w:basedOn w:val="Normal"/>
    <w:next w:val="Normal"/>
    <w:qFormat/>
    <w:rsid w:val="00D76498"/>
    <w:pPr>
      <w:keepNext/>
      <w:numPr>
        <w:ilvl w:val="3"/>
        <w:numId w:val="4"/>
      </w:numPr>
      <w:spacing w:before="240" w:after="60"/>
      <w:outlineLvl w:val="3"/>
    </w:pPr>
    <w:rPr>
      <w:b/>
      <w:bCs/>
      <w:sz w:val="28"/>
      <w:szCs w:val="28"/>
    </w:rPr>
  </w:style>
  <w:style w:type="paragraph" w:styleId="Heading5">
    <w:name w:val="heading 5"/>
    <w:basedOn w:val="Normal"/>
    <w:next w:val="Normal"/>
    <w:qFormat/>
    <w:rsid w:val="00D76498"/>
    <w:pPr>
      <w:numPr>
        <w:ilvl w:val="4"/>
        <w:numId w:val="4"/>
      </w:numPr>
      <w:spacing w:before="240" w:after="60"/>
      <w:outlineLvl w:val="4"/>
    </w:pPr>
    <w:rPr>
      <w:b/>
      <w:bCs/>
      <w:i/>
      <w:iCs/>
      <w:sz w:val="26"/>
      <w:szCs w:val="26"/>
    </w:rPr>
  </w:style>
  <w:style w:type="paragraph" w:styleId="Heading6">
    <w:name w:val="heading 6"/>
    <w:basedOn w:val="Normal"/>
    <w:next w:val="Normal"/>
    <w:qFormat/>
    <w:rsid w:val="00D76498"/>
    <w:pPr>
      <w:numPr>
        <w:ilvl w:val="5"/>
        <w:numId w:val="4"/>
      </w:numPr>
      <w:spacing w:before="240" w:after="60"/>
      <w:outlineLvl w:val="5"/>
    </w:pPr>
    <w:rPr>
      <w:b/>
      <w:bCs/>
      <w:sz w:val="22"/>
      <w:szCs w:val="22"/>
    </w:rPr>
  </w:style>
  <w:style w:type="paragraph" w:styleId="Heading7">
    <w:name w:val="heading 7"/>
    <w:basedOn w:val="Normal"/>
    <w:next w:val="Normal"/>
    <w:qFormat/>
    <w:rsid w:val="00D76498"/>
    <w:pPr>
      <w:numPr>
        <w:ilvl w:val="6"/>
        <w:numId w:val="4"/>
      </w:numPr>
      <w:spacing w:before="240" w:after="60"/>
      <w:outlineLvl w:val="6"/>
    </w:pPr>
  </w:style>
  <w:style w:type="paragraph" w:styleId="Heading8">
    <w:name w:val="heading 8"/>
    <w:basedOn w:val="Normal"/>
    <w:next w:val="Normal"/>
    <w:qFormat/>
    <w:rsid w:val="00D76498"/>
    <w:pPr>
      <w:numPr>
        <w:ilvl w:val="7"/>
        <w:numId w:val="4"/>
      </w:numPr>
      <w:spacing w:before="240" w:after="60"/>
      <w:outlineLvl w:val="7"/>
    </w:pPr>
    <w:rPr>
      <w:i/>
      <w:iCs/>
    </w:rPr>
  </w:style>
  <w:style w:type="paragraph" w:styleId="Heading9">
    <w:name w:val="heading 9"/>
    <w:basedOn w:val="Normal"/>
    <w:next w:val="Normal"/>
    <w:qFormat/>
    <w:rsid w:val="00D76498"/>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6498"/>
    <w:pPr>
      <w:tabs>
        <w:tab w:val="center" w:pos="4536"/>
        <w:tab w:val="right" w:pos="9072"/>
      </w:tabs>
    </w:pPr>
  </w:style>
  <w:style w:type="paragraph" w:styleId="Footer">
    <w:name w:val="footer"/>
    <w:basedOn w:val="Normal"/>
    <w:link w:val="FooterChar"/>
    <w:uiPriority w:val="99"/>
    <w:rsid w:val="00D76498"/>
    <w:pPr>
      <w:tabs>
        <w:tab w:val="center" w:pos="4536"/>
        <w:tab w:val="right" w:pos="9072"/>
      </w:tabs>
    </w:pPr>
  </w:style>
  <w:style w:type="character" w:styleId="Hyperlink">
    <w:name w:val="Hyperlink"/>
    <w:semiHidden/>
    <w:rsid w:val="00D76498"/>
    <w:rPr>
      <w:color w:val="0000FF"/>
      <w:u w:val="single"/>
    </w:rPr>
  </w:style>
  <w:style w:type="paragraph" w:styleId="Title">
    <w:name w:val="Title"/>
    <w:basedOn w:val="Normal"/>
    <w:next w:val="Author"/>
    <w:qFormat/>
    <w:rsid w:val="00D76498"/>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Normal"/>
    <w:next w:val="Abstract"/>
    <w:rsid w:val="00D76498"/>
    <w:pPr>
      <w:spacing w:after="160"/>
      <w:ind w:left="340" w:right="284" w:firstLine="0"/>
      <w:jc w:val="left"/>
    </w:pPr>
    <w:rPr>
      <w:i/>
    </w:rPr>
  </w:style>
  <w:style w:type="paragraph" w:customStyle="1" w:styleId="Author">
    <w:name w:val="Author"/>
    <w:basedOn w:val="Normal"/>
    <w:next w:val="Affiliation"/>
    <w:rsid w:val="00D76498"/>
    <w:pPr>
      <w:spacing w:after="80"/>
      <w:ind w:left="340" w:right="284" w:firstLine="0"/>
      <w:jc w:val="left"/>
    </w:pPr>
    <w:rPr>
      <w:sz w:val="28"/>
    </w:rPr>
  </w:style>
  <w:style w:type="paragraph" w:styleId="BodyTextIndent">
    <w:name w:val="Body Text Indent"/>
    <w:basedOn w:val="Normal"/>
    <w:link w:val="BodyTextIndentChar"/>
    <w:semiHidden/>
    <w:rsid w:val="00D76498"/>
  </w:style>
  <w:style w:type="paragraph" w:customStyle="1" w:styleId="Abstract">
    <w:name w:val="Abstract"/>
    <w:basedOn w:val="Normal"/>
    <w:next w:val="Normal"/>
    <w:rsid w:val="00A94812"/>
    <w:pPr>
      <w:pBdr>
        <w:bottom w:val="single" w:sz="8" w:space="6" w:color="auto"/>
      </w:pBdr>
      <w:spacing w:before="240" w:after="480"/>
      <w:ind w:left="340" w:right="284" w:firstLine="0"/>
    </w:pPr>
    <w:rPr>
      <w:lang w:val="en-US"/>
    </w:rPr>
  </w:style>
  <w:style w:type="character" w:styleId="PageNumber">
    <w:name w:val="page number"/>
    <w:basedOn w:val="DefaultParagraphFont"/>
    <w:semiHidden/>
    <w:rsid w:val="00D76498"/>
  </w:style>
  <w:style w:type="paragraph" w:styleId="ListBullet">
    <w:name w:val="List Bullet"/>
    <w:basedOn w:val="Normal"/>
    <w:autoRedefine/>
    <w:semiHidden/>
    <w:rsid w:val="00E45CC9"/>
    <w:pPr>
      <w:numPr>
        <w:numId w:val="9"/>
      </w:numPr>
      <w:spacing w:before="60" w:after="60"/>
    </w:pPr>
    <w:rPr>
      <w:lang w:val="en-US"/>
    </w:rPr>
  </w:style>
  <w:style w:type="paragraph" w:styleId="Caption">
    <w:name w:val="caption"/>
    <w:basedOn w:val="Normal"/>
    <w:next w:val="Normal"/>
    <w:qFormat/>
    <w:rsid w:val="00D76498"/>
    <w:pPr>
      <w:spacing w:before="120" w:after="120"/>
      <w:ind w:firstLine="0"/>
      <w:jc w:val="center"/>
    </w:pPr>
    <w:rPr>
      <w:b/>
      <w:bCs/>
      <w:sz w:val="22"/>
      <w:szCs w:val="20"/>
    </w:rPr>
  </w:style>
  <w:style w:type="paragraph" w:customStyle="1" w:styleId="Equation">
    <w:name w:val="Equation"/>
    <w:basedOn w:val="Normal"/>
    <w:next w:val="Normal"/>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Normal"/>
    <w:next w:val="Normal"/>
    <w:rsid w:val="00D76498"/>
    <w:pPr>
      <w:numPr>
        <w:numId w:val="5"/>
      </w:numPr>
      <w:tabs>
        <w:tab w:val="clear" w:pos="1004"/>
        <w:tab w:val="left" w:pos="284"/>
      </w:tabs>
      <w:ind w:left="568" w:hanging="284"/>
    </w:pPr>
  </w:style>
  <w:style w:type="paragraph" w:customStyle="1" w:styleId="RefHeading">
    <w:name w:val="RefHeading"/>
    <w:basedOn w:val="Heading1"/>
    <w:next w:val="Normal"/>
    <w:rsid w:val="00D76498"/>
    <w:pPr>
      <w:numPr>
        <w:numId w:val="0"/>
      </w:numPr>
    </w:pPr>
  </w:style>
  <w:style w:type="paragraph" w:customStyle="1" w:styleId="Textedebulles1">
    <w:name w:val="Texte de bulles1"/>
    <w:basedOn w:val="Normal"/>
    <w:semiHidden/>
    <w:unhideWhenUsed/>
    <w:rsid w:val="00D76498"/>
    <w:rPr>
      <w:rFonts w:ascii="Tahoma" w:hAnsi="Tahoma"/>
      <w:sz w:val="16"/>
      <w:szCs w:val="16"/>
    </w:rPr>
  </w:style>
  <w:style w:type="character" w:customStyle="1" w:styleId="BalloonTextChar">
    <w:name w:val="Balloon Text Char"/>
    <w:semiHidden/>
    <w:rsid w:val="00D76498"/>
    <w:rPr>
      <w:rFonts w:ascii="Tahoma" w:hAnsi="Tahoma" w:cs="Tahoma"/>
      <w:sz w:val="16"/>
      <w:szCs w:val="16"/>
      <w:lang w:val="en-GB" w:eastAsia="pl-PL"/>
    </w:rPr>
  </w:style>
  <w:style w:type="character" w:customStyle="1" w:styleId="HeaderChar">
    <w:name w:val="Header Char"/>
    <w:rsid w:val="00D76498"/>
    <w:rPr>
      <w:sz w:val="24"/>
      <w:szCs w:val="24"/>
      <w:lang w:val="en-GB" w:eastAsia="pl-PL"/>
    </w:rPr>
  </w:style>
  <w:style w:type="character" w:styleId="CommentReference">
    <w:name w:val="annotation reference"/>
    <w:semiHidden/>
    <w:unhideWhenUsed/>
    <w:rsid w:val="00D76498"/>
    <w:rPr>
      <w:sz w:val="16"/>
      <w:szCs w:val="16"/>
    </w:rPr>
  </w:style>
  <w:style w:type="paragraph" w:styleId="CommentText">
    <w:name w:val="annotation text"/>
    <w:basedOn w:val="Normal"/>
    <w:semiHidden/>
    <w:unhideWhenUsed/>
    <w:rsid w:val="00D76498"/>
    <w:rPr>
      <w:sz w:val="20"/>
      <w:szCs w:val="20"/>
    </w:rPr>
  </w:style>
  <w:style w:type="character" w:customStyle="1" w:styleId="CommentTextChar">
    <w:name w:val="Comment Text Char"/>
    <w:semiHidden/>
    <w:rsid w:val="00D76498"/>
    <w:rPr>
      <w:lang w:val="en-GB" w:eastAsia="pl-PL"/>
    </w:rPr>
  </w:style>
  <w:style w:type="paragraph" w:customStyle="1" w:styleId="CommentSubject1">
    <w:name w:val="Comment Subject1"/>
    <w:basedOn w:val="CommentText"/>
    <w:next w:val="CommentText"/>
    <w:semiHidden/>
    <w:unhideWhenUsed/>
    <w:rsid w:val="00D76498"/>
    <w:rPr>
      <w:b/>
      <w:bCs/>
    </w:rPr>
  </w:style>
  <w:style w:type="character" w:customStyle="1" w:styleId="CommentSubjectChar">
    <w:name w:val="Comment Subject Char"/>
    <w:semiHidden/>
    <w:rsid w:val="00D76498"/>
    <w:rPr>
      <w:b/>
      <w:bCs/>
      <w:lang w:val="en-GB" w:eastAsia="pl-PL"/>
    </w:rPr>
  </w:style>
  <w:style w:type="paragraph" w:styleId="BalloonText">
    <w:name w:val="Balloon Text"/>
    <w:basedOn w:val="Normal"/>
    <w:link w:val="BalloonTextChar1"/>
    <w:uiPriority w:val="99"/>
    <w:semiHidden/>
    <w:unhideWhenUsed/>
    <w:rsid w:val="005D0AA0"/>
    <w:rPr>
      <w:sz w:val="18"/>
      <w:szCs w:val="18"/>
    </w:rPr>
  </w:style>
  <w:style w:type="character" w:customStyle="1" w:styleId="BalloonTextChar1">
    <w:name w:val="Balloon Text Char1"/>
    <w:link w:val="BalloonText"/>
    <w:uiPriority w:val="99"/>
    <w:semiHidden/>
    <w:rsid w:val="005D0AA0"/>
    <w:rPr>
      <w:sz w:val="18"/>
      <w:szCs w:val="18"/>
      <w:lang w:val="en-GB" w:eastAsia="pl-PL"/>
    </w:rPr>
  </w:style>
  <w:style w:type="table" w:styleId="TableGrid">
    <w:name w:val="Table Grid"/>
    <w:basedOn w:val="TableNormal"/>
    <w:uiPriority w:val="59"/>
    <w:rsid w:val="004E5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BodyTextIndentChar">
    <w:name w:val="Body Text Indent Char"/>
    <w:basedOn w:val="DefaultParagraphFont"/>
    <w:link w:val="BodyTextIndent"/>
    <w:semiHidden/>
    <w:rsid w:val="001F152E"/>
    <w:rPr>
      <w:sz w:val="24"/>
      <w:szCs w:val="24"/>
      <w:lang w:val="en-GB" w:eastAsia="pl-PL"/>
    </w:rPr>
  </w:style>
  <w:style w:type="paragraph" w:customStyle="1" w:styleId="ThesisBody">
    <w:name w:val="Thesis Body"/>
    <w:basedOn w:val="Normal"/>
    <w:link w:val="ThesisBodyChar"/>
    <w:qFormat/>
    <w:rsid w:val="00147EFF"/>
    <w:pPr>
      <w:spacing w:after="160" w:line="360" w:lineRule="auto"/>
      <w:ind w:firstLine="0"/>
    </w:pPr>
    <w:rPr>
      <w:rFonts w:asciiTheme="minorHAnsi" w:eastAsiaTheme="minorHAnsi" w:hAnsiTheme="minorHAnsi" w:cstheme="minorBidi"/>
      <w:lang w:eastAsia="en-US"/>
    </w:rPr>
  </w:style>
  <w:style w:type="character" w:customStyle="1" w:styleId="ThesisBodyChar">
    <w:name w:val="Thesis Body Char"/>
    <w:basedOn w:val="DefaultParagraphFont"/>
    <w:link w:val="ThesisBody"/>
    <w:rsid w:val="00147EFF"/>
    <w:rPr>
      <w:rFonts w:asciiTheme="minorHAnsi" w:eastAsiaTheme="minorHAnsi" w:hAnsiTheme="minorHAnsi" w:cstheme="minorBidi"/>
      <w:sz w:val="24"/>
      <w:szCs w:val="24"/>
      <w:lang w:val="en-GB" w:eastAsia="en-US"/>
    </w:rPr>
  </w:style>
  <w:style w:type="paragraph" w:styleId="FootnoteText">
    <w:name w:val="footnote text"/>
    <w:basedOn w:val="Normal"/>
    <w:link w:val="FootnoteTextChar"/>
    <w:unhideWhenUsed/>
    <w:rsid w:val="00EC3679"/>
    <w:pPr>
      <w:ind w:firstLine="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EC3679"/>
    <w:rPr>
      <w:rFonts w:asciiTheme="minorHAnsi" w:eastAsiaTheme="minorHAnsi" w:hAnsiTheme="minorHAnsi" w:cstheme="minorBidi"/>
      <w:lang w:val="en-GB" w:eastAsia="en-US"/>
    </w:rPr>
  </w:style>
  <w:style w:type="character" w:styleId="FootnoteReference">
    <w:name w:val="footnote reference"/>
    <w:basedOn w:val="DefaultParagraphFont"/>
    <w:unhideWhenUsed/>
    <w:qFormat/>
    <w:rsid w:val="00EC3679"/>
    <w:rPr>
      <w:vertAlign w:val="superscript"/>
    </w:rPr>
  </w:style>
  <w:style w:type="table" w:customStyle="1" w:styleId="APAReport">
    <w:name w:val="APA Report"/>
    <w:basedOn w:val="TableNormal"/>
    <w:uiPriority w:val="99"/>
    <w:rsid w:val="00EC3679"/>
    <w:rPr>
      <w:rFonts w:eastAsia="Times New Roman"/>
      <w:color w:val="000000"/>
      <w:sz w:val="24"/>
      <w:szCs w:val="24"/>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cBorders>
        <w:vAlign w:val="top"/>
      </w:tcPr>
    </w:tblStylePr>
  </w:style>
  <w:style w:type="paragraph" w:customStyle="1" w:styleId="captions">
    <w:name w:val="captions"/>
    <w:basedOn w:val="ThesisBody"/>
    <w:link w:val="captionsChar"/>
    <w:qFormat/>
    <w:rsid w:val="006F0B41"/>
    <w:pPr>
      <w:jc w:val="center"/>
    </w:pPr>
    <w:rPr>
      <w:color w:val="948A54" w:themeColor="background2" w:themeShade="80"/>
      <w:sz w:val="16"/>
      <w:szCs w:val="16"/>
    </w:rPr>
  </w:style>
  <w:style w:type="character" w:customStyle="1" w:styleId="captionsChar">
    <w:name w:val="captions Char"/>
    <w:basedOn w:val="ThesisBodyChar"/>
    <w:link w:val="captions"/>
    <w:rsid w:val="006F0B41"/>
    <w:rPr>
      <w:rFonts w:asciiTheme="minorHAnsi" w:eastAsiaTheme="minorHAnsi" w:hAnsiTheme="minorHAnsi" w:cstheme="minorBidi"/>
      <w:color w:val="948A54" w:themeColor="background2" w:themeShade="80"/>
      <w:sz w:val="16"/>
      <w:szCs w:val="16"/>
      <w:lang w:val="en-GB" w:eastAsia="en-US"/>
    </w:rPr>
  </w:style>
  <w:style w:type="paragraph" w:styleId="ListParagraph">
    <w:name w:val="List Paragraph"/>
    <w:basedOn w:val="Normal"/>
    <w:uiPriority w:val="34"/>
    <w:qFormat/>
    <w:rsid w:val="00A80153"/>
    <w:pPr>
      <w:ind w:left="720"/>
      <w:contextualSpacing/>
    </w:pPr>
  </w:style>
  <w:style w:type="table" w:customStyle="1" w:styleId="LightShading1">
    <w:name w:val="Light Shading1"/>
    <w:basedOn w:val="TableNormal"/>
    <w:uiPriority w:val="60"/>
    <w:rsid w:val="00B515C0"/>
    <w:rPr>
      <w:rFonts w:asciiTheme="minorHAnsi" w:eastAsiaTheme="minorHAnsi" w:hAnsiTheme="minorHAnsi" w:cstheme="minorBidi"/>
      <w:color w:val="000000" w:themeColor="text1" w:themeShade="BF"/>
      <w:sz w:val="22"/>
      <w:szCs w:val="22"/>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0">
    <w:name w:val="equation"/>
    <w:basedOn w:val="Normal"/>
    <w:link w:val="equationChar"/>
    <w:qFormat/>
    <w:rsid w:val="00421D27"/>
    <w:pPr>
      <w:spacing w:after="200" w:line="276" w:lineRule="auto"/>
      <w:ind w:firstLine="0"/>
      <w:jc w:val="right"/>
    </w:pPr>
    <w:rPr>
      <w:rFonts w:ascii="Garamond" w:eastAsia="Calibri" w:hAnsi="Garamond"/>
      <w:i/>
      <w:sz w:val="16"/>
      <w:szCs w:val="16"/>
      <w:lang w:eastAsia="en-US"/>
    </w:rPr>
  </w:style>
  <w:style w:type="character" w:customStyle="1" w:styleId="equationChar">
    <w:name w:val="equation Char"/>
    <w:basedOn w:val="DefaultParagraphFont"/>
    <w:link w:val="equation0"/>
    <w:rsid w:val="00421D27"/>
    <w:rPr>
      <w:rFonts w:ascii="Garamond" w:eastAsia="Calibri" w:hAnsi="Garamond"/>
      <w:i/>
      <w:sz w:val="16"/>
      <w:szCs w:val="16"/>
      <w:lang w:val="en-GB" w:eastAsia="en-US"/>
    </w:rPr>
  </w:style>
  <w:style w:type="paragraph" w:customStyle="1" w:styleId="ThesisH2">
    <w:name w:val="Thesis H2"/>
    <w:basedOn w:val="Heading2"/>
    <w:link w:val="ThesisH2Char"/>
    <w:qFormat/>
    <w:rsid w:val="00A81CE0"/>
    <w:pPr>
      <w:keepLines/>
      <w:numPr>
        <w:ilvl w:val="0"/>
        <w:numId w:val="0"/>
      </w:numPr>
      <w:spacing w:before="40" w:after="0" w:line="480" w:lineRule="auto"/>
    </w:pPr>
    <w:rPr>
      <w:rFonts w:asciiTheme="majorHAnsi" w:eastAsiaTheme="majorEastAsia" w:hAnsiTheme="majorHAnsi" w:cstheme="majorBidi"/>
      <w:iCs w:val="0"/>
      <w:sz w:val="26"/>
      <w:szCs w:val="24"/>
      <w:lang w:eastAsia="en-US"/>
    </w:rPr>
  </w:style>
  <w:style w:type="character" w:customStyle="1" w:styleId="ThesisH2Char">
    <w:name w:val="Thesis H2 Char"/>
    <w:basedOn w:val="DefaultParagraphFont"/>
    <w:link w:val="ThesisH2"/>
    <w:rsid w:val="00A81CE0"/>
    <w:rPr>
      <w:rFonts w:asciiTheme="majorHAnsi" w:eastAsiaTheme="majorEastAsia" w:hAnsiTheme="majorHAnsi" w:cstheme="majorBidi"/>
      <w:b/>
      <w:sz w:val="26"/>
      <w:szCs w:val="24"/>
      <w:lang w:val="en-GB" w:eastAsia="en-US"/>
    </w:rPr>
  </w:style>
  <w:style w:type="character" w:customStyle="1" w:styleId="Heading1Char">
    <w:name w:val="Heading 1 Char"/>
    <w:basedOn w:val="DefaultParagraphFont"/>
    <w:link w:val="Heading1"/>
    <w:uiPriority w:val="9"/>
    <w:rsid w:val="00DC4833"/>
    <w:rPr>
      <w:rFonts w:ascii="Arial" w:hAnsi="Arial" w:cs="Arial"/>
      <w:b/>
      <w:bCs/>
      <w:sz w:val="28"/>
      <w:szCs w:val="24"/>
      <w:lang w:val="en-GB" w:eastAsia="pl-PL"/>
    </w:rPr>
  </w:style>
  <w:style w:type="paragraph" w:styleId="Bibliography">
    <w:name w:val="Bibliography"/>
    <w:basedOn w:val="Normal"/>
    <w:next w:val="Normal"/>
    <w:uiPriority w:val="37"/>
    <w:unhideWhenUsed/>
    <w:rsid w:val="00DC4833"/>
  </w:style>
  <w:style w:type="character" w:customStyle="1" w:styleId="FooterChar">
    <w:name w:val="Footer Char"/>
    <w:basedOn w:val="DefaultParagraphFont"/>
    <w:link w:val="Footer"/>
    <w:uiPriority w:val="99"/>
    <w:rsid w:val="00474260"/>
    <w:rPr>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9"/>
    <w:pPr>
      <w:ind w:firstLine="284"/>
      <w:jc w:val="both"/>
    </w:pPr>
    <w:rPr>
      <w:sz w:val="24"/>
      <w:szCs w:val="24"/>
      <w:lang w:val="en-GB" w:eastAsia="pl-PL"/>
    </w:rPr>
  </w:style>
  <w:style w:type="paragraph" w:styleId="Heading1">
    <w:name w:val="heading 1"/>
    <w:basedOn w:val="Normal"/>
    <w:next w:val="Normal"/>
    <w:link w:val="Heading1Char"/>
    <w:uiPriority w:val="9"/>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Heading2">
    <w:name w:val="heading 2"/>
    <w:basedOn w:val="Heading1"/>
    <w:next w:val="Normal"/>
    <w:qFormat/>
    <w:rsid w:val="000E301F"/>
    <w:pPr>
      <w:numPr>
        <w:ilvl w:val="1"/>
      </w:numPr>
      <w:spacing w:after="60"/>
      <w:outlineLvl w:val="1"/>
    </w:pPr>
    <w:rPr>
      <w:bCs w:val="0"/>
      <w:iCs/>
      <w:sz w:val="24"/>
      <w:szCs w:val="28"/>
    </w:rPr>
  </w:style>
  <w:style w:type="paragraph" w:styleId="Heading3">
    <w:name w:val="heading 3"/>
    <w:basedOn w:val="Heading2"/>
    <w:next w:val="Normal"/>
    <w:qFormat/>
    <w:pPr>
      <w:numPr>
        <w:ilvl w:val="2"/>
      </w:numPr>
      <w:spacing w:before="120"/>
      <w:outlineLvl w:val="2"/>
    </w:pPr>
    <w:rPr>
      <w:b w:val="0"/>
      <w:bCs/>
      <w:i/>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semiHidden/>
    <w:rPr>
      <w:color w:val="0000FF"/>
      <w:u w:val="single"/>
    </w:rPr>
  </w:style>
  <w:style w:type="paragraph" w:styleId="Title">
    <w:name w:val="Title"/>
    <w:basedOn w:val="Normal"/>
    <w:next w:val="Author"/>
    <w:qFormat/>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Normal"/>
    <w:next w:val="Abstract"/>
    <w:pPr>
      <w:spacing w:after="160"/>
      <w:ind w:left="340" w:right="284" w:firstLine="0"/>
      <w:jc w:val="left"/>
    </w:pPr>
    <w:rPr>
      <w:i/>
    </w:rPr>
  </w:style>
  <w:style w:type="paragraph" w:customStyle="1" w:styleId="Author">
    <w:name w:val="Author"/>
    <w:basedOn w:val="Normal"/>
    <w:next w:val="Affiliation"/>
    <w:pPr>
      <w:spacing w:after="80"/>
      <w:ind w:left="340" w:right="284" w:firstLine="0"/>
      <w:jc w:val="left"/>
    </w:pPr>
    <w:rPr>
      <w:sz w:val="28"/>
    </w:rPr>
  </w:style>
  <w:style w:type="paragraph" w:styleId="BodyTextIndent">
    <w:name w:val="Body Text Indent"/>
    <w:basedOn w:val="Normal"/>
    <w:link w:val="BodyTextIndentChar"/>
    <w:semiHidden/>
  </w:style>
  <w:style w:type="paragraph" w:customStyle="1" w:styleId="Abstract">
    <w:name w:val="Abstract"/>
    <w:basedOn w:val="Normal"/>
    <w:next w:val="Normal"/>
    <w:rsid w:val="00A94812"/>
    <w:pPr>
      <w:pBdr>
        <w:bottom w:val="single" w:sz="8" w:space="6" w:color="auto"/>
      </w:pBdr>
      <w:spacing w:before="240" w:after="480"/>
      <w:ind w:left="340" w:right="284" w:firstLine="0"/>
    </w:pPr>
    <w:rPr>
      <w:lang w:val="en-US"/>
    </w:rPr>
  </w:style>
  <w:style w:type="character" w:styleId="PageNumber">
    <w:name w:val="page number"/>
    <w:basedOn w:val="DefaultParagraphFont"/>
    <w:semiHidden/>
  </w:style>
  <w:style w:type="paragraph" w:styleId="ListBullet">
    <w:name w:val="List Bullet"/>
    <w:basedOn w:val="Normal"/>
    <w:autoRedefine/>
    <w:semiHidden/>
    <w:rsid w:val="00E45CC9"/>
    <w:pPr>
      <w:numPr>
        <w:numId w:val="9"/>
      </w:numPr>
      <w:spacing w:before="60" w:after="60"/>
    </w:pPr>
    <w:rPr>
      <w:lang w:val="en-US"/>
    </w:rPr>
  </w:style>
  <w:style w:type="paragraph" w:styleId="Caption">
    <w:name w:val="caption"/>
    <w:basedOn w:val="Normal"/>
    <w:next w:val="Normal"/>
    <w:qFormat/>
    <w:pPr>
      <w:spacing w:before="120" w:after="120"/>
      <w:ind w:firstLine="0"/>
      <w:jc w:val="center"/>
    </w:pPr>
    <w:rPr>
      <w:b/>
      <w:bCs/>
      <w:sz w:val="22"/>
      <w:szCs w:val="20"/>
    </w:rPr>
  </w:style>
  <w:style w:type="paragraph" w:customStyle="1" w:styleId="Equation">
    <w:name w:val="Equation"/>
    <w:basedOn w:val="Normal"/>
    <w:next w:val="Normal"/>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Normal"/>
    <w:next w:val="Normal"/>
    <w:pPr>
      <w:numPr>
        <w:numId w:val="5"/>
      </w:numPr>
      <w:tabs>
        <w:tab w:val="clear" w:pos="1004"/>
        <w:tab w:val="left" w:pos="284"/>
      </w:tabs>
      <w:ind w:left="568" w:hanging="284"/>
    </w:pPr>
  </w:style>
  <w:style w:type="paragraph" w:customStyle="1" w:styleId="RefHeading">
    <w:name w:val="RefHeading"/>
    <w:basedOn w:val="Heading1"/>
    <w:next w:val="Normal"/>
    <w:pPr>
      <w:numPr>
        <w:numId w:val="0"/>
      </w:numPr>
    </w:pPr>
  </w:style>
  <w:style w:type="paragraph" w:customStyle="1" w:styleId="Textedebulles1">
    <w:name w:val="Texte de bulles1"/>
    <w:basedOn w:val="Normal"/>
    <w:semiHidden/>
    <w:unhideWhenUsed/>
    <w:rPr>
      <w:rFonts w:ascii="Tahoma" w:hAnsi="Tahoma"/>
      <w:sz w:val="16"/>
      <w:szCs w:val="16"/>
    </w:rPr>
  </w:style>
  <w:style w:type="character" w:customStyle="1" w:styleId="BalloonTextChar">
    <w:name w:val="Balloon Text Char"/>
    <w:semiHidden/>
    <w:rPr>
      <w:rFonts w:ascii="Tahoma" w:hAnsi="Tahoma" w:cs="Tahoma"/>
      <w:sz w:val="16"/>
      <w:szCs w:val="16"/>
      <w:lang w:val="en-GB" w:eastAsia="pl-PL"/>
    </w:rPr>
  </w:style>
  <w:style w:type="character" w:customStyle="1" w:styleId="HeaderChar">
    <w:name w:val="Header Char"/>
    <w:rPr>
      <w:sz w:val="24"/>
      <w:szCs w:val="24"/>
      <w:lang w:val="en-GB" w:eastAsia="pl-PL"/>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GB" w:eastAsia="pl-PL"/>
    </w:rPr>
  </w:style>
  <w:style w:type="paragraph" w:customStyle="1" w:styleId="CommentSubject1">
    <w:name w:val="Comment Subject1"/>
    <w:basedOn w:val="CommentText"/>
    <w:next w:val="CommentText"/>
    <w:semiHidden/>
    <w:unhideWhenUsed/>
    <w:rPr>
      <w:b/>
      <w:bCs/>
    </w:rPr>
  </w:style>
  <w:style w:type="character" w:customStyle="1" w:styleId="CommentSubjectChar">
    <w:name w:val="Comment Subject Char"/>
    <w:semiHidden/>
    <w:rPr>
      <w:b/>
      <w:bCs/>
      <w:lang w:val="en-GB" w:eastAsia="pl-PL"/>
    </w:rPr>
  </w:style>
  <w:style w:type="paragraph" w:styleId="BalloonText">
    <w:name w:val="Balloon Text"/>
    <w:basedOn w:val="Normal"/>
    <w:link w:val="BalloonTextChar1"/>
    <w:uiPriority w:val="99"/>
    <w:semiHidden/>
    <w:unhideWhenUsed/>
    <w:rsid w:val="005D0AA0"/>
    <w:rPr>
      <w:sz w:val="18"/>
      <w:szCs w:val="18"/>
    </w:rPr>
  </w:style>
  <w:style w:type="character" w:customStyle="1" w:styleId="BalloonTextChar1">
    <w:name w:val="Balloon Text Char1"/>
    <w:link w:val="BalloonText"/>
    <w:uiPriority w:val="99"/>
    <w:semiHidden/>
    <w:rsid w:val="005D0AA0"/>
    <w:rPr>
      <w:sz w:val="18"/>
      <w:szCs w:val="18"/>
      <w:lang w:val="en-GB" w:eastAsia="pl-PL"/>
    </w:rPr>
  </w:style>
  <w:style w:type="table" w:styleId="TableGrid">
    <w:name w:val="Table Grid"/>
    <w:basedOn w:val="TableNormal"/>
    <w:uiPriority w:val="59"/>
    <w:rsid w:val="004E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BodyTextIndentChar">
    <w:name w:val="Body Text Indent Char"/>
    <w:basedOn w:val="DefaultParagraphFont"/>
    <w:link w:val="BodyTextIndent"/>
    <w:semiHidden/>
    <w:rsid w:val="001F152E"/>
    <w:rPr>
      <w:sz w:val="24"/>
      <w:szCs w:val="24"/>
      <w:lang w:val="en-GB" w:eastAsia="pl-PL"/>
    </w:rPr>
  </w:style>
  <w:style w:type="paragraph" w:customStyle="1" w:styleId="ThesisBody">
    <w:name w:val="Thesis Body"/>
    <w:basedOn w:val="Normal"/>
    <w:link w:val="ThesisBodyChar"/>
    <w:qFormat/>
    <w:rsid w:val="00147EFF"/>
    <w:pPr>
      <w:spacing w:after="160" w:line="360" w:lineRule="auto"/>
      <w:ind w:firstLine="0"/>
    </w:pPr>
    <w:rPr>
      <w:rFonts w:asciiTheme="minorHAnsi" w:eastAsiaTheme="minorHAnsi" w:hAnsiTheme="minorHAnsi" w:cstheme="minorBidi"/>
      <w:lang w:eastAsia="en-US"/>
    </w:rPr>
  </w:style>
  <w:style w:type="character" w:customStyle="1" w:styleId="ThesisBodyChar">
    <w:name w:val="Thesis Body Char"/>
    <w:basedOn w:val="DefaultParagraphFont"/>
    <w:link w:val="ThesisBody"/>
    <w:rsid w:val="00147EFF"/>
    <w:rPr>
      <w:rFonts w:asciiTheme="minorHAnsi" w:eastAsiaTheme="minorHAnsi" w:hAnsiTheme="minorHAnsi" w:cstheme="minorBidi"/>
      <w:sz w:val="24"/>
      <w:szCs w:val="24"/>
      <w:lang w:val="en-GB" w:eastAsia="en-US"/>
    </w:rPr>
  </w:style>
  <w:style w:type="paragraph" w:styleId="FootnoteText">
    <w:name w:val="footnote text"/>
    <w:basedOn w:val="Normal"/>
    <w:link w:val="FootnoteTextChar"/>
    <w:unhideWhenUsed/>
    <w:rsid w:val="00EC3679"/>
    <w:pPr>
      <w:ind w:firstLine="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EC3679"/>
    <w:rPr>
      <w:rFonts w:asciiTheme="minorHAnsi" w:eastAsiaTheme="minorHAnsi" w:hAnsiTheme="minorHAnsi" w:cstheme="minorBidi"/>
      <w:lang w:val="en-GB" w:eastAsia="en-US"/>
    </w:rPr>
  </w:style>
  <w:style w:type="character" w:styleId="FootnoteReference">
    <w:name w:val="footnote reference"/>
    <w:basedOn w:val="DefaultParagraphFont"/>
    <w:unhideWhenUsed/>
    <w:qFormat/>
    <w:rsid w:val="00EC3679"/>
    <w:rPr>
      <w:vertAlign w:val="superscript"/>
    </w:rPr>
  </w:style>
  <w:style w:type="table" w:customStyle="1" w:styleId="APAReport">
    <w:name w:val="APA Report"/>
    <w:basedOn w:val="TableNormal"/>
    <w:uiPriority w:val="99"/>
    <w:rsid w:val="00EC3679"/>
    <w:rPr>
      <w:rFonts w:eastAsia="Times New Roman"/>
      <w:color w:val="000000"/>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cBorders>
        <w:vAlign w:val="top"/>
      </w:tcPr>
    </w:tblStylePr>
  </w:style>
  <w:style w:type="paragraph" w:customStyle="1" w:styleId="captions">
    <w:name w:val="captions"/>
    <w:basedOn w:val="ThesisBody"/>
    <w:link w:val="captionsChar"/>
    <w:qFormat/>
    <w:rsid w:val="006F0B41"/>
    <w:pPr>
      <w:jc w:val="center"/>
    </w:pPr>
    <w:rPr>
      <w:color w:val="948A54" w:themeColor="background2" w:themeShade="80"/>
      <w:sz w:val="16"/>
      <w:szCs w:val="16"/>
    </w:rPr>
  </w:style>
  <w:style w:type="character" w:customStyle="1" w:styleId="captionsChar">
    <w:name w:val="captions Char"/>
    <w:basedOn w:val="ThesisBodyChar"/>
    <w:link w:val="captions"/>
    <w:rsid w:val="006F0B41"/>
    <w:rPr>
      <w:rFonts w:asciiTheme="minorHAnsi" w:eastAsiaTheme="minorHAnsi" w:hAnsiTheme="minorHAnsi" w:cstheme="minorBidi"/>
      <w:color w:val="948A54" w:themeColor="background2" w:themeShade="80"/>
      <w:sz w:val="16"/>
      <w:szCs w:val="16"/>
      <w:lang w:val="en-GB" w:eastAsia="en-US"/>
    </w:rPr>
  </w:style>
  <w:style w:type="paragraph" w:styleId="ListParagraph">
    <w:name w:val="List Paragraph"/>
    <w:basedOn w:val="Normal"/>
    <w:uiPriority w:val="34"/>
    <w:qFormat/>
    <w:rsid w:val="00A80153"/>
    <w:pPr>
      <w:ind w:left="720"/>
      <w:contextualSpacing/>
    </w:pPr>
  </w:style>
  <w:style w:type="table" w:customStyle="1" w:styleId="LightShading1">
    <w:name w:val="Light Shading1"/>
    <w:basedOn w:val="TableNormal"/>
    <w:uiPriority w:val="60"/>
    <w:rsid w:val="00B515C0"/>
    <w:rPr>
      <w:rFonts w:asciiTheme="minorHAnsi" w:eastAsiaTheme="minorHAnsi"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0">
    <w:name w:val="equation"/>
    <w:basedOn w:val="Normal"/>
    <w:link w:val="equationChar"/>
    <w:qFormat/>
    <w:rsid w:val="00421D27"/>
    <w:pPr>
      <w:spacing w:after="200" w:line="276" w:lineRule="auto"/>
      <w:ind w:firstLine="0"/>
      <w:jc w:val="right"/>
    </w:pPr>
    <w:rPr>
      <w:rFonts w:ascii="Garamond" w:eastAsia="Calibri" w:hAnsi="Garamond"/>
      <w:i/>
      <w:sz w:val="16"/>
      <w:szCs w:val="16"/>
      <w:lang w:eastAsia="en-US"/>
    </w:rPr>
  </w:style>
  <w:style w:type="character" w:customStyle="1" w:styleId="equationChar">
    <w:name w:val="equation Char"/>
    <w:basedOn w:val="DefaultParagraphFont"/>
    <w:link w:val="equation0"/>
    <w:rsid w:val="00421D27"/>
    <w:rPr>
      <w:rFonts w:ascii="Garamond" w:eastAsia="Calibri" w:hAnsi="Garamond"/>
      <w:i/>
      <w:sz w:val="16"/>
      <w:szCs w:val="16"/>
      <w:lang w:val="en-GB" w:eastAsia="en-US"/>
    </w:rPr>
  </w:style>
  <w:style w:type="paragraph" w:customStyle="1" w:styleId="ThesisH2">
    <w:name w:val="Thesis H2"/>
    <w:basedOn w:val="Heading2"/>
    <w:link w:val="ThesisH2Char"/>
    <w:qFormat/>
    <w:rsid w:val="00A81CE0"/>
    <w:pPr>
      <w:keepLines/>
      <w:numPr>
        <w:ilvl w:val="0"/>
        <w:numId w:val="0"/>
      </w:numPr>
      <w:spacing w:before="40" w:after="0" w:line="480" w:lineRule="auto"/>
    </w:pPr>
    <w:rPr>
      <w:rFonts w:asciiTheme="majorHAnsi" w:eastAsiaTheme="majorEastAsia" w:hAnsiTheme="majorHAnsi" w:cstheme="majorBidi"/>
      <w:iCs w:val="0"/>
      <w:sz w:val="26"/>
      <w:szCs w:val="24"/>
      <w:lang w:eastAsia="en-US"/>
    </w:rPr>
  </w:style>
  <w:style w:type="character" w:customStyle="1" w:styleId="ThesisH2Char">
    <w:name w:val="Thesis H2 Char"/>
    <w:basedOn w:val="DefaultParagraphFont"/>
    <w:link w:val="ThesisH2"/>
    <w:rsid w:val="00A81CE0"/>
    <w:rPr>
      <w:rFonts w:asciiTheme="majorHAnsi" w:eastAsiaTheme="majorEastAsia" w:hAnsiTheme="majorHAnsi" w:cstheme="majorBidi"/>
      <w:b/>
      <w:sz w:val="26"/>
      <w:szCs w:val="24"/>
      <w:lang w:val="en-GB" w:eastAsia="en-US"/>
    </w:rPr>
  </w:style>
  <w:style w:type="character" w:customStyle="1" w:styleId="Heading1Char">
    <w:name w:val="Heading 1 Char"/>
    <w:basedOn w:val="DefaultParagraphFont"/>
    <w:link w:val="Heading1"/>
    <w:uiPriority w:val="9"/>
    <w:rsid w:val="00DC4833"/>
    <w:rPr>
      <w:rFonts w:ascii="Arial" w:hAnsi="Arial" w:cs="Arial"/>
      <w:b/>
      <w:bCs/>
      <w:sz w:val="28"/>
      <w:szCs w:val="24"/>
      <w:lang w:val="en-GB" w:eastAsia="pl-PL"/>
    </w:rPr>
  </w:style>
  <w:style w:type="paragraph" w:styleId="Bibliography">
    <w:name w:val="Bibliography"/>
    <w:basedOn w:val="Normal"/>
    <w:next w:val="Normal"/>
    <w:uiPriority w:val="37"/>
    <w:unhideWhenUsed/>
    <w:rsid w:val="00DC4833"/>
  </w:style>
  <w:style w:type="character" w:customStyle="1" w:styleId="FooterChar">
    <w:name w:val="Footer Char"/>
    <w:basedOn w:val="DefaultParagraphFont"/>
    <w:link w:val="Footer"/>
    <w:uiPriority w:val="99"/>
    <w:rsid w:val="00474260"/>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14424490">
      <w:bodyDiv w:val="1"/>
      <w:marLeft w:val="0"/>
      <w:marRight w:val="0"/>
      <w:marTop w:val="0"/>
      <w:marBottom w:val="0"/>
      <w:divBdr>
        <w:top w:val="none" w:sz="0" w:space="0" w:color="auto"/>
        <w:left w:val="none" w:sz="0" w:space="0" w:color="auto"/>
        <w:bottom w:val="none" w:sz="0" w:space="0" w:color="auto"/>
        <w:right w:val="none" w:sz="0" w:space="0" w:color="auto"/>
      </w:divBdr>
    </w:div>
    <w:div w:id="28802732">
      <w:bodyDiv w:val="1"/>
      <w:marLeft w:val="0"/>
      <w:marRight w:val="0"/>
      <w:marTop w:val="0"/>
      <w:marBottom w:val="0"/>
      <w:divBdr>
        <w:top w:val="none" w:sz="0" w:space="0" w:color="auto"/>
        <w:left w:val="none" w:sz="0" w:space="0" w:color="auto"/>
        <w:bottom w:val="none" w:sz="0" w:space="0" w:color="auto"/>
        <w:right w:val="none" w:sz="0" w:space="0" w:color="auto"/>
      </w:divBdr>
    </w:div>
    <w:div w:id="39060365">
      <w:bodyDiv w:val="1"/>
      <w:marLeft w:val="0"/>
      <w:marRight w:val="0"/>
      <w:marTop w:val="0"/>
      <w:marBottom w:val="0"/>
      <w:divBdr>
        <w:top w:val="none" w:sz="0" w:space="0" w:color="auto"/>
        <w:left w:val="none" w:sz="0" w:space="0" w:color="auto"/>
        <w:bottom w:val="none" w:sz="0" w:space="0" w:color="auto"/>
        <w:right w:val="none" w:sz="0" w:space="0" w:color="auto"/>
      </w:divBdr>
    </w:div>
    <w:div w:id="54165198">
      <w:bodyDiv w:val="1"/>
      <w:marLeft w:val="0"/>
      <w:marRight w:val="0"/>
      <w:marTop w:val="0"/>
      <w:marBottom w:val="0"/>
      <w:divBdr>
        <w:top w:val="none" w:sz="0" w:space="0" w:color="auto"/>
        <w:left w:val="none" w:sz="0" w:space="0" w:color="auto"/>
        <w:bottom w:val="none" w:sz="0" w:space="0" w:color="auto"/>
        <w:right w:val="none" w:sz="0" w:space="0" w:color="auto"/>
      </w:divBdr>
    </w:div>
    <w:div w:id="105393202">
      <w:bodyDiv w:val="1"/>
      <w:marLeft w:val="0"/>
      <w:marRight w:val="0"/>
      <w:marTop w:val="0"/>
      <w:marBottom w:val="0"/>
      <w:divBdr>
        <w:top w:val="none" w:sz="0" w:space="0" w:color="auto"/>
        <w:left w:val="none" w:sz="0" w:space="0" w:color="auto"/>
        <w:bottom w:val="none" w:sz="0" w:space="0" w:color="auto"/>
        <w:right w:val="none" w:sz="0" w:space="0" w:color="auto"/>
      </w:divBdr>
    </w:div>
    <w:div w:id="113404451">
      <w:bodyDiv w:val="1"/>
      <w:marLeft w:val="0"/>
      <w:marRight w:val="0"/>
      <w:marTop w:val="0"/>
      <w:marBottom w:val="0"/>
      <w:divBdr>
        <w:top w:val="none" w:sz="0" w:space="0" w:color="auto"/>
        <w:left w:val="none" w:sz="0" w:space="0" w:color="auto"/>
        <w:bottom w:val="none" w:sz="0" w:space="0" w:color="auto"/>
        <w:right w:val="none" w:sz="0" w:space="0" w:color="auto"/>
      </w:divBdr>
    </w:div>
    <w:div w:id="134372464">
      <w:bodyDiv w:val="1"/>
      <w:marLeft w:val="0"/>
      <w:marRight w:val="0"/>
      <w:marTop w:val="0"/>
      <w:marBottom w:val="0"/>
      <w:divBdr>
        <w:top w:val="none" w:sz="0" w:space="0" w:color="auto"/>
        <w:left w:val="none" w:sz="0" w:space="0" w:color="auto"/>
        <w:bottom w:val="none" w:sz="0" w:space="0" w:color="auto"/>
        <w:right w:val="none" w:sz="0" w:space="0" w:color="auto"/>
      </w:divBdr>
    </w:div>
    <w:div w:id="150294472">
      <w:bodyDiv w:val="1"/>
      <w:marLeft w:val="0"/>
      <w:marRight w:val="0"/>
      <w:marTop w:val="0"/>
      <w:marBottom w:val="0"/>
      <w:divBdr>
        <w:top w:val="none" w:sz="0" w:space="0" w:color="auto"/>
        <w:left w:val="none" w:sz="0" w:space="0" w:color="auto"/>
        <w:bottom w:val="none" w:sz="0" w:space="0" w:color="auto"/>
        <w:right w:val="none" w:sz="0" w:space="0" w:color="auto"/>
      </w:divBdr>
    </w:div>
    <w:div w:id="195581042">
      <w:bodyDiv w:val="1"/>
      <w:marLeft w:val="0"/>
      <w:marRight w:val="0"/>
      <w:marTop w:val="0"/>
      <w:marBottom w:val="0"/>
      <w:divBdr>
        <w:top w:val="none" w:sz="0" w:space="0" w:color="auto"/>
        <w:left w:val="none" w:sz="0" w:space="0" w:color="auto"/>
        <w:bottom w:val="none" w:sz="0" w:space="0" w:color="auto"/>
        <w:right w:val="none" w:sz="0" w:space="0" w:color="auto"/>
      </w:divBdr>
    </w:div>
    <w:div w:id="223368541">
      <w:bodyDiv w:val="1"/>
      <w:marLeft w:val="0"/>
      <w:marRight w:val="0"/>
      <w:marTop w:val="0"/>
      <w:marBottom w:val="0"/>
      <w:divBdr>
        <w:top w:val="none" w:sz="0" w:space="0" w:color="auto"/>
        <w:left w:val="none" w:sz="0" w:space="0" w:color="auto"/>
        <w:bottom w:val="none" w:sz="0" w:space="0" w:color="auto"/>
        <w:right w:val="none" w:sz="0" w:space="0" w:color="auto"/>
      </w:divBdr>
    </w:div>
    <w:div w:id="306858763">
      <w:bodyDiv w:val="1"/>
      <w:marLeft w:val="0"/>
      <w:marRight w:val="0"/>
      <w:marTop w:val="0"/>
      <w:marBottom w:val="0"/>
      <w:divBdr>
        <w:top w:val="none" w:sz="0" w:space="0" w:color="auto"/>
        <w:left w:val="none" w:sz="0" w:space="0" w:color="auto"/>
        <w:bottom w:val="none" w:sz="0" w:space="0" w:color="auto"/>
        <w:right w:val="none" w:sz="0" w:space="0" w:color="auto"/>
      </w:divBdr>
    </w:div>
    <w:div w:id="334842650">
      <w:bodyDiv w:val="1"/>
      <w:marLeft w:val="0"/>
      <w:marRight w:val="0"/>
      <w:marTop w:val="0"/>
      <w:marBottom w:val="0"/>
      <w:divBdr>
        <w:top w:val="none" w:sz="0" w:space="0" w:color="auto"/>
        <w:left w:val="none" w:sz="0" w:space="0" w:color="auto"/>
        <w:bottom w:val="none" w:sz="0" w:space="0" w:color="auto"/>
        <w:right w:val="none" w:sz="0" w:space="0" w:color="auto"/>
      </w:divBdr>
    </w:div>
    <w:div w:id="398942947">
      <w:bodyDiv w:val="1"/>
      <w:marLeft w:val="0"/>
      <w:marRight w:val="0"/>
      <w:marTop w:val="0"/>
      <w:marBottom w:val="0"/>
      <w:divBdr>
        <w:top w:val="none" w:sz="0" w:space="0" w:color="auto"/>
        <w:left w:val="none" w:sz="0" w:space="0" w:color="auto"/>
        <w:bottom w:val="none" w:sz="0" w:space="0" w:color="auto"/>
        <w:right w:val="none" w:sz="0" w:space="0" w:color="auto"/>
      </w:divBdr>
    </w:div>
    <w:div w:id="429549112">
      <w:bodyDiv w:val="1"/>
      <w:marLeft w:val="0"/>
      <w:marRight w:val="0"/>
      <w:marTop w:val="0"/>
      <w:marBottom w:val="0"/>
      <w:divBdr>
        <w:top w:val="none" w:sz="0" w:space="0" w:color="auto"/>
        <w:left w:val="none" w:sz="0" w:space="0" w:color="auto"/>
        <w:bottom w:val="none" w:sz="0" w:space="0" w:color="auto"/>
        <w:right w:val="none" w:sz="0" w:space="0" w:color="auto"/>
      </w:divBdr>
    </w:div>
    <w:div w:id="443810735">
      <w:bodyDiv w:val="1"/>
      <w:marLeft w:val="0"/>
      <w:marRight w:val="0"/>
      <w:marTop w:val="0"/>
      <w:marBottom w:val="0"/>
      <w:divBdr>
        <w:top w:val="none" w:sz="0" w:space="0" w:color="auto"/>
        <w:left w:val="none" w:sz="0" w:space="0" w:color="auto"/>
        <w:bottom w:val="none" w:sz="0" w:space="0" w:color="auto"/>
        <w:right w:val="none" w:sz="0" w:space="0" w:color="auto"/>
      </w:divBdr>
    </w:div>
    <w:div w:id="450127945">
      <w:bodyDiv w:val="1"/>
      <w:marLeft w:val="0"/>
      <w:marRight w:val="0"/>
      <w:marTop w:val="0"/>
      <w:marBottom w:val="0"/>
      <w:divBdr>
        <w:top w:val="none" w:sz="0" w:space="0" w:color="auto"/>
        <w:left w:val="none" w:sz="0" w:space="0" w:color="auto"/>
        <w:bottom w:val="none" w:sz="0" w:space="0" w:color="auto"/>
        <w:right w:val="none" w:sz="0" w:space="0" w:color="auto"/>
      </w:divBdr>
    </w:div>
    <w:div w:id="489911516">
      <w:bodyDiv w:val="1"/>
      <w:marLeft w:val="0"/>
      <w:marRight w:val="0"/>
      <w:marTop w:val="0"/>
      <w:marBottom w:val="0"/>
      <w:divBdr>
        <w:top w:val="none" w:sz="0" w:space="0" w:color="auto"/>
        <w:left w:val="none" w:sz="0" w:space="0" w:color="auto"/>
        <w:bottom w:val="none" w:sz="0" w:space="0" w:color="auto"/>
        <w:right w:val="none" w:sz="0" w:space="0" w:color="auto"/>
      </w:divBdr>
    </w:div>
    <w:div w:id="491218175">
      <w:bodyDiv w:val="1"/>
      <w:marLeft w:val="0"/>
      <w:marRight w:val="0"/>
      <w:marTop w:val="0"/>
      <w:marBottom w:val="0"/>
      <w:divBdr>
        <w:top w:val="none" w:sz="0" w:space="0" w:color="auto"/>
        <w:left w:val="none" w:sz="0" w:space="0" w:color="auto"/>
        <w:bottom w:val="none" w:sz="0" w:space="0" w:color="auto"/>
        <w:right w:val="none" w:sz="0" w:space="0" w:color="auto"/>
      </w:divBdr>
    </w:div>
    <w:div w:id="513228206">
      <w:bodyDiv w:val="1"/>
      <w:marLeft w:val="0"/>
      <w:marRight w:val="0"/>
      <w:marTop w:val="0"/>
      <w:marBottom w:val="0"/>
      <w:divBdr>
        <w:top w:val="none" w:sz="0" w:space="0" w:color="auto"/>
        <w:left w:val="none" w:sz="0" w:space="0" w:color="auto"/>
        <w:bottom w:val="none" w:sz="0" w:space="0" w:color="auto"/>
        <w:right w:val="none" w:sz="0" w:space="0" w:color="auto"/>
      </w:divBdr>
    </w:div>
    <w:div w:id="557320028">
      <w:bodyDiv w:val="1"/>
      <w:marLeft w:val="0"/>
      <w:marRight w:val="0"/>
      <w:marTop w:val="0"/>
      <w:marBottom w:val="0"/>
      <w:divBdr>
        <w:top w:val="none" w:sz="0" w:space="0" w:color="auto"/>
        <w:left w:val="none" w:sz="0" w:space="0" w:color="auto"/>
        <w:bottom w:val="none" w:sz="0" w:space="0" w:color="auto"/>
        <w:right w:val="none" w:sz="0" w:space="0" w:color="auto"/>
      </w:divBdr>
    </w:div>
    <w:div w:id="576213130">
      <w:bodyDiv w:val="1"/>
      <w:marLeft w:val="0"/>
      <w:marRight w:val="0"/>
      <w:marTop w:val="0"/>
      <w:marBottom w:val="0"/>
      <w:divBdr>
        <w:top w:val="none" w:sz="0" w:space="0" w:color="auto"/>
        <w:left w:val="none" w:sz="0" w:space="0" w:color="auto"/>
        <w:bottom w:val="none" w:sz="0" w:space="0" w:color="auto"/>
        <w:right w:val="none" w:sz="0" w:space="0" w:color="auto"/>
      </w:divBdr>
    </w:div>
    <w:div w:id="590044943">
      <w:bodyDiv w:val="1"/>
      <w:marLeft w:val="0"/>
      <w:marRight w:val="0"/>
      <w:marTop w:val="0"/>
      <w:marBottom w:val="0"/>
      <w:divBdr>
        <w:top w:val="none" w:sz="0" w:space="0" w:color="auto"/>
        <w:left w:val="none" w:sz="0" w:space="0" w:color="auto"/>
        <w:bottom w:val="none" w:sz="0" w:space="0" w:color="auto"/>
        <w:right w:val="none" w:sz="0" w:space="0" w:color="auto"/>
      </w:divBdr>
    </w:div>
    <w:div w:id="621419999">
      <w:bodyDiv w:val="1"/>
      <w:marLeft w:val="0"/>
      <w:marRight w:val="0"/>
      <w:marTop w:val="0"/>
      <w:marBottom w:val="0"/>
      <w:divBdr>
        <w:top w:val="none" w:sz="0" w:space="0" w:color="auto"/>
        <w:left w:val="none" w:sz="0" w:space="0" w:color="auto"/>
        <w:bottom w:val="none" w:sz="0" w:space="0" w:color="auto"/>
        <w:right w:val="none" w:sz="0" w:space="0" w:color="auto"/>
      </w:divBdr>
    </w:div>
    <w:div w:id="629090532">
      <w:bodyDiv w:val="1"/>
      <w:marLeft w:val="0"/>
      <w:marRight w:val="0"/>
      <w:marTop w:val="0"/>
      <w:marBottom w:val="0"/>
      <w:divBdr>
        <w:top w:val="none" w:sz="0" w:space="0" w:color="auto"/>
        <w:left w:val="none" w:sz="0" w:space="0" w:color="auto"/>
        <w:bottom w:val="none" w:sz="0" w:space="0" w:color="auto"/>
        <w:right w:val="none" w:sz="0" w:space="0" w:color="auto"/>
      </w:divBdr>
    </w:div>
    <w:div w:id="642083300">
      <w:bodyDiv w:val="1"/>
      <w:marLeft w:val="0"/>
      <w:marRight w:val="0"/>
      <w:marTop w:val="0"/>
      <w:marBottom w:val="0"/>
      <w:divBdr>
        <w:top w:val="none" w:sz="0" w:space="0" w:color="auto"/>
        <w:left w:val="none" w:sz="0" w:space="0" w:color="auto"/>
        <w:bottom w:val="none" w:sz="0" w:space="0" w:color="auto"/>
        <w:right w:val="none" w:sz="0" w:space="0" w:color="auto"/>
      </w:divBdr>
    </w:div>
    <w:div w:id="644093390">
      <w:bodyDiv w:val="1"/>
      <w:marLeft w:val="0"/>
      <w:marRight w:val="0"/>
      <w:marTop w:val="0"/>
      <w:marBottom w:val="0"/>
      <w:divBdr>
        <w:top w:val="none" w:sz="0" w:space="0" w:color="auto"/>
        <w:left w:val="none" w:sz="0" w:space="0" w:color="auto"/>
        <w:bottom w:val="none" w:sz="0" w:space="0" w:color="auto"/>
        <w:right w:val="none" w:sz="0" w:space="0" w:color="auto"/>
      </w:divBdr>
    </w:div>
    <w:div w:id="649022281">
      <w:bodyDiv w:val="1"/>
      <w:marLeft w:val="0"/>
      <w:marRight w:val="0"/>
      <w:marTop w:val="0"/>
      <w:marBottom w:val="0"/>
      <w:divBdr>
        <w:top w:val="none" w:sz="0" w:space="0" w:color="auto"/>
        <w:left w:val="none" w:sz="0" w:space="0" w:color="auto"/>
        <w:bottom w:val="none" w:sz="0" w:space="0" w:color="auto"/>
        <w:right w:val="none" w:sz="0" w:space="0" w:color="auto"/>
      </w:divBdr>
    </w:div>
    <w:div w:id="658384317">
      <w:bodyDiv w:val="1"/>
      <w:marLeft w:val="0"/>
      <w:marRight w:val="0"/>
      <w:marTop w:val="0"/>
      <w:marBottom w:val="0"/>
      <w:divBdr>
        <w:top w:val="none" w:sz="0" w:space="0" w:color="auto"/>
        <w:left w:val="none" w:sz="0" w:space="0" w:color="auto"/>
        <w:bottom w:val="none" w:sz="0" w:space="0" w:color="auto"/>
        <w:right w:val="none" w:sz="0" w:space="0" w:color="auto"/>
      </w:divBdr>
    </w:div>
    <w:div w:id="671448505">
      <w:bodyDiv w:val="1"/>
      <w:marLeft w:val="0"/>
      <w:marRight w:val="0"/>
      <w:marTop w:val="0"/>
      <w:marBottom w:val="0"/>
      <w:divBdr>
        <w:top w:val="none" w:sz="0" w:space="0" w:color="auto"/>
        <w:left w:val="none" w:sz="0" w:space="0" w:color="auto"/>
        <w:bottom w:val="none" w:sz="0" w:space="0" w:color="auto"/>
        <w:right w:val="none" w:sz="0" w:space="0" w:color="auto"/>
      </w:divBdr>
    </w:div>
    <w:div w:id="702512080">
      <w:bodyDiv w:val="1"/>
      <w:marLeft w:val="0"/>
      <w:marRight w:val="0"/>
      <w:marTop w:val="0"/>
      <w:marBottom w:val="0"/>
      <w:divBdr>
        <w:top w:val="none" w:sz="0" w:space="0" w:color="auto"/>
        <w:left w:val="none" w:sz="0" w:space="0" w:color="auto"/>
        <w:bottom w:val="none" w:sz="0" w:space="0" w:color="auto"/>
        <w:right w:val="none" w:sz="0" w:space="0" w:color="auto"/>
      </w:divBdr>
    </w:div>
    <w:div w:id="714351407">
      <w:bodyDiv w:val="1"/>
      <w:marLeft w:val="0"/>
      <w:marRight w:val="0"/>
      <w:marTop w:val="0"/>
      <w:marBottom w:val="0"/>
      <w:divBdr>
        <w:top w:val="none" w:sz="0" w:space="0" w:color="auto"/>
        <w:left w:val="none" w:sz="0" w:space="0" w:color="auto"/>
        <w:bottom w:val="none" w:sz="0" w:space="0" w:color="auto"/>
        <w:right w:val="none" w:sz="0" w:space="0" w:color="auto"/>
      </w:divBdr>
    </w:div>
    <w:div w:id="716201026">
      <w:bodyDiv w:val="1"/>
      <w:marLeft w:val="0"/>
      <w:marRight w:val="0"/>
      <w:marTop w:val="0"/>
      <w:marBottom w:val="0"/>
      <w:divBdr>
        <w:top w:val="none" w:sz="0" w:space="0" w:color="auto"/>
        <w:left w:val="none" w:sz="0" w:space="0" w:color="auto"/>
        <w:bottom w:val="none" w:sz="0" w:space="0" w:color="auto"/>
        <w:right w:val="none" w:sz="0" w:space="0" w:color="auto"/>
      </w:divBdr>
    </w:div>
    <w:div w:id="716397579">
      <w:bodyDiv w:val="1"/>
      <w:marLeft w:val="0"/>
      <w:marRight w:val="0"/>
      <w:marTop w:val="0"/>
      <w:marBottom w:val="0"/>
      <w:divBdr>
        <w:top w:val="none" w:sz="0" w:space="0" w:color="auto"/>
        <w:left w:val="none" w:sz="0" w:space="0" w:color="auto"/>
        <w:bottom w:val="none" w:sz="0" w:space="0" w:color="auto"/>
        <w:right w:val="none" w:sz="0" w:space="0" w:color="auto"/>
      </w:divBdr>
    </w:div>
    <w:div w:id="726034793">
      <w:bodyDiv w:val="1"/>
      <w:marLeft w:val="0"/>
      <w:marRight w:val="0"/>
      <w:marTop w:val="0"/>
      <w:marBottom w:val="0"/>
      <w:divBdr>
        <w:top w:val="none" w:sz="0" w:space="0" w:color="auto"/>
        <w:left w:val="none" w:sz="0" w:space="0" w:color="auto"/>
        <w:bottom w:val="none" w:sz="0" w:space="0" w:color="auto"/>
        <w:right w:val="none" w:sz="0" w:space="0" w:color="auto"/>
      </w:divBdr>
    </w:div>
    <w:div w:id="743837734">
      <w:bodyDiv w:val="1"/>
      <w:marLeft w:val="0"/>
      <w:marRight w:val="0"/>
      <w:marTop w:val="0"/>
      <w:marBottom w:val="0"/>
      <w:divBdr>
        <w:top w:val="none" w:sz="0" w:space="0" w:color="auto"/>
        <w:left w:val="none" w:sz="0" w:space="0" w:color="auto"/>
        <w:bottom w:val="none" w:sz="0" w:space="0" w:color="auto"/>
        <w:right w:val="none" w:sz="0" w:space="0" w:color="auto"/>
      </w:divBdr>
    </w:div>
    <w:div w:id="766849841">
      <w:bodyDiv w:val="1"/>
      <w:marLeft w:val="0"/>
      <w:marRight w:val="0"/>
      <w:marTop w:val="0"/>
      <w:marBottom w:val="0"/>
      <w:divBdr>
        <w:top w:val="none" w:sz="0" w:space="0" w:color="auto"/>
        <w:left w:val="none" w:sz="0" w:space="0" w:color="auto"/>
        <w:bottom w:val="none" w:sz="0" w:space="0" w:color="auto"/>
        <w:right w:val="none" w:sz="0" w:space="0" w:color="auto"/>
      </w:divBdr>
    </w:div>
    <w:div w:id="837306624">
      <w:bodyDiv w:val="1"/>
      <w:marLeft w:val="0"/>
      <w:marRight w:val="0"/>
      <w:marTop w:val="0"/>
      <w:marBottom w:val="0"/>
      <w:divBdr>
        <w:top w:val="none" w:sz="0" w:space="0" w:color="auto"/>
        <w:left w:val="none" w:sz="0" w:space="0" w:color="auto"/>
        <w:bottom w:val="none" w:sz="0" w:space="0" w:color="auto"/>
        <w:right w:val="none" w:sz="0" w:space="0" w:color="auto"/>
      </w:divBdr>
    </w:div>
    <w:div w:id="861280900">
      <w:bodyDiv w:val="1"/>
      <w:marLeft w:val="0"/>
      <w:marRight w:val="0"/>
      <w:marTop w:val="0"/>
      <w:marBottom w:val="0"/>
      <w:divBdr>
        <w:top w:val="none" w:sz="0" w:space="0" w:color="auto"/>
        <w:left w:val="none" w:sz="0" w:space="0" w:color="auto"/>
        <w:bottom w:val="none" w:sz="0" w:space="0" w:color="auto"/>
        <w:right w:val="none" w:sz="0" w:space="0" w:color="auto"/>
      </w:divBdr>
    </w:div>
    <w:div w:id="901985569">
      <w:bodyDiv w:val="1"/>
      <w:marLeft w:val="0"/>
      <w:marRight w:val="0"/>
      <w:marTop w:val="0"/>
      <w:marBottom w:val="0"/>
      <w:divBdr>
        <w:top w:val="none" w:sz="0" w:space="0" w:color="auto"/>
        <w:left w:val="none" w:sz="0" w:space="0" w:color="auto"/>
        <w:bottom w:val="none" w:sz="0" w:space="0" w:color="auto"/>
        <w:right w:val="none" w:sz="0" w:space="0" w:color="auto"/>
      </w:divBdr>
    </w:div>
    <w:div w:id="989097305">
      <w:bodyDiv w:val="1"/>
      <w:marLeft w:val="0"/>
      <w:marRight w:val="0"/>
      <w:marTop w:val="0"/>
      <w:marBottom w:val="0"/>
      <w:divBdr>
        <w:top w:val="none" w:sz="0" w:space="0" w:color="auto"/>
        <w:left w:val="none" w:sz="0" w:space="0" w:color="auto"/>
        <w:bottom w:val="none" w:sz="0" w:space="0" w:color="auto"/>
        <w:right w:val="none" w:sz="0" w:space="0" w:color="auto"/>
      </w:divBdr>
    </w:div>
    <w:div w:id="1025670198">
      <w:bodyDiv w:val="1"/>
      <w:marLeft w:val="0"/>
      <w:marRight w:val="0"/>
      <w:marTop w:val="0"/>
      <w:marBottom w:val="0"/>
      <w:divBdr>
        <w:top w:val="none" w:sz="0" w:space="0" w:color="auto"/>
        <w:left w:val="none" w:sz="0" w:space="0" w:color="auto"/>
        <w:bottom w:val="none" w:sz="0" w:space="0" w:color="auto"/>
        <w:right w:val="none" w:sz="0" w:space="0" w:color="auto"/>
      </w:divBdr>
    </w:div>
    <w:div w:id="1051416021">
      <w:bodyDiv w:val="1"/>
      <w:marLeft w:val="0"/>
      <w:marRight w:val="0"/>
      <w:marTop w:val="0"/>
      <w:marBottom w:val="0"/>
      <w:divBdr>
        <w:top w:val="none" w:sz="0" w:space="0" w:color="auto"/>
        <w:left w:val="none" w:sz="0" w:space="0" w:color="auto"/>
        <w:bottom w:val="none" w:sz="0" w:space="0" w:color="auto"/>
        <w:right w:val="none" w:sz="0" w:space="0" w:color="auto"/>
      </w:divBdr>
    </w:div>
    <w:div w:id="1094937020">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157110461">
      <w:bodyDiv w:val="1"/>
      <w:marLeft w:val="0"/>
      <w:marRight w:val="0"/>
      <w:marTop w:val="0"/>
      <w:marBottom w:val="0"/>
      <w:divBdr>
        <w:top w:val="none" w:sz="0" w:space="0" w:color="auto"/>
        <w:left w:val="none" w:sz="0" w:space="0" w:color="auto"/>
        <w:bottom w:val="none" w:sz="0" w:space="0" w:color="auto"/>
        <w:right w:val="none" w:sz="0" w:space="0" w:color="auto"/>
      </w:divBdr>
    </w:div>
    <w:div w:id="1159813401">
      <w:bodyDiv w:val="1"/>
      <w:marLeft w:val="0"/>
      <w:marRight w:val="0"/>
      <w:marTop w:val="0"/>
      <w:marBottom w:val="0"/>
      <w:divBdr>
        <w:top w:val="none" w:sz="0" w:space="0" w:color="auto"/>
        <w:left w:val="none" w:sz="0" w:space="0" w:color="auto"/>
        <w:bottom w:val="none" w:sz="0" w:space="0" w:color="auto"/>
        <w:right w:val="none" w:sz="0" w:space="0" w:color="auto"/>
      </w:divBdr>
    </w:div>
    <w:div w:id="1164012904">
      <w:bodyDiv w:val="1"/>
      <w:marLeft w:val="0"/>
      <w:marRight w:val="0"/>
      <w:marTop w:val="0"/>
      <w:marBottom w:val="0"/>
      <w:divBdr>
        <w:top w:val="none" w:sz="0" w:space="0" w:color="auto"/>
        <w:left w:val="none" w:sz="0" w:space="0" w:color="auto"/>
        <w:bottom w:val="none" w:sz="0" w:space="0" w:color="auto"/>
        <w:right w:val="none" w:sz="0" w:space="0" w:color="auto"/>
      </w:divBdr>
    </w:div>
    <w:div w:id="1176070561">
      <w:bodyDiv w:val="1"/>
      <w:marLeft w:val="0"/>
      <w:marRight w:val="0"/>
      <w:marTop w:val="0"/>
      <w:marBottom w:val="0"/>
      <w:divBdr>
        <w:top w:val="none" w:sz="0" w:space="0" w:color="auto"/>
        <w:left w:val="none" w:sz="0" w:space="0" w:color="auto"/>
        <w:bottom w:val="none" w:sz="0" w:space="0" w:color="auto"/>
        <w:right w:val="none" w:sz="0" w:space="0" w:color="auto"/>
      </w:divBdr>
    </w:div>
    <w:div w:id="1179583128">
      <w:bodyDiv w:val="1"/>
      <w:marLeft w:val="0"/>
      <w:marRight w:val="0"/>
      <w:marTop w:val="0"/>
      <w:marBottom w:val="0"/>
      <w:divBdr>
        <w:top w:val="none" w:sz="0" w:space="0" w:color="auto"/>
        <w:left w:val="none" w:sz="0" w:space="0" w:color="auto"/>
        <w:bottom w:val="none" w:sz="0" w:space="0" w:color="auto"/>
        <w:right w:val="none" w:sz="0" w:space="0" w:color="auto"/>
      </w:divBdr>
    </w:div>
    <w:div w:id="1218518051">
      <w:bodyDiv w:val="1"/>
      <w:marLeft w:val="0"/>
      <w:marRight w:val="0"/>
      <w:marTop w:val="0"/>
      <w:marBottom w:val="0"/>
      <w:divBdr>
        <w:top w:val="none" w:sz="0" w:space="0" w:color="auto"/>
        <w:left w:val="none" w:sz="0" w:space="0" w:color="auto"/>
        <w:bottom w:val="none" w:sz="0" w:space="0" w:color="auto"/>
        <w:right w:val="none" w:sz="0" w:space="0" w:color="auto"/>
      </w:divBdr>
    </w:div>
    <w:div w:id="1231890332">
      <w:bodyDiv w:val="1"/>
      <w:marLeft w:val="0"/>
      <w:marRight w:val="0"/>
      <w:marTop w:val="0"/>
      <w:marBottom w:val="0"/>
      <w:divBdr>
        <w:top w:val="none" w:sz="0" w:space="0" w:color="auto"/>
        <w:left w:val="none" w:sz="0" w:space="0" w:color="auto"/>
        <w:bottom w:val="none" w:sz="0" w:space="0" w:color="auto"/>
        <w:right w:val="none" w:sz="0" w:space="0" w:color="auto"/>
      </w:divBdr>
    </w:div>
    <w:div w:id="1247613165">
      <w:bodyDiv w:val="1"/>
      <w:marLeft w:val="0"/>
      <w:marRight w:val="0"/>
      <w:marTop w:val="0"/>
      <w:marBottom w:val="0"/>
      <w:divBdr>
        <w:top w:val="none" w:sz="0" w:space="0" w:color="auto"/>
        <w:left w:val="none" w:sz="0" w:space="0" w:color="auto"/>
        <w:bottom w:val="none" w:sz="0" w:space="0" w:color="auto"/>
        <w:right w:val="none" w:sz="0" w:space="0" w:color="auto"/>
      </w:divBdr>
    </w:div>
    <w:div w:id="1252936339">
      <w:bodyDiv w:val="1"/>
      <w:marLeft w:val="0"/>
      <w:marRight w:val="0"/>
      <w:marTop w:val="0"/>
      <w:marBottom w:val="0"/>
      <w:divBdr>
        <w:top w:val="none" w:sz="0" w:space="0" w:color="auto"/>
        <w:left w:val="none" w:sz="0" w:space="0" w:color="auto"/>
        <w:bottom w:val="none" w:sz="0" w:space="0" w:color="auto"/>
        <w:right w:val="none" w:sz="0" w:space="0" w:color="auto"/>
      </w:divBdr>
    </w:div>
    <w:div w:id="1253471978">
      <w:bodyDiv w:val="1"/>
      <w:marLeft w:val="0"/>
      <w:marRight w:val="0"/>
      <w:marTop w:val="0"/>
      <w:marBottom w:val="0"/>
      <w:divBdr>
        <w:top w:val="none" w:sz="0" w:space="0" w:color="auto"/>
        <w:left w:val="none" w:sz="0" w:space="0" w:color="auto"/>
        <w:bottom w:val="none" w:sz="0" w:space="0" w:color="auto"/>
        <w:right w:val="none" w:sz="0" w:space="0" w:color="auto"/>
      </w:divBdr>
    </w:div>
    <w:div w:id="1286616355">
      <w:bodyDiv w:val="1"/>
      <w:marLeft w:val="0"/>
      <w:marRight w:val="0"/>
      <w:marTop w:val="0"/>
      <w:marBottom w:val="0"/>
      <w:divBdr>
        <w:top w:val="none" w:sz="0" w:space="0" w:color="auto"/>
        <w:left w:val="none" w:sz="0" w:space="0" w:color="auto"/>
        <w:bottom w:val="none" w:sz="0" w:space="0" w:color="auto"/>
        <w:right w:val="none" w:sz="0" w:space="0" w:color="auto"/>
      </w:divBdr>
    </w:div>
    <w:div w:id="1334644146">
      <w:bodyDiv w:val="1"/>
      <w:marLeft w:val="0"/>
      <w:marRight w:val="0"/>
      <w:marTop w:val="0"/>
      <w:marBottom w:val="0"/>
      <w:divBdr>
        <w:top w:val="none" w:sz="0" w:space="0" w:color="auto"/>
        <w:left w:val="none" w:sz="0" w:space="0" w:color="auto"/>
        <w:bottom w:val="none" w:sz="0" w:space="0" w:color="auto"/>
        <w:right w:val="none" w:sz="0" w:space="0" w:color="auto"/>
      </w:divBdr>
    </w:div>
    <w:div w:id="1342049355">
      <w:bodyDiv w:val="1"/>
      <w:marLeft w:val="0"/>
      <w:marRight w:val="0"/>
      <w:marTop w:val="0"/>
      <w:marBottom w:val="0"/>
      <w:divBdr>
        <w:top w:val="none" w:sz="0" w:space="0" w:color="auto"/>
        <w:left w:val="none" w:sz="0" w:space="0" w:color="auto"/>
        <w:bottom w:val="none" w:sz="0" w:space="0" w:color="auto"/>
        <w:right w:val="none" w:sz="0" w:space="0" w:color="auto"/>
      </w:divBdr>
    </w:div>
    <w:div w:id="1349021658">
      <w:bodyDiv w:val="1"/>
      <w:marLeft w:val="0"/>
      <w:marRight w:val="0"/>
      <w:marTop w:val="0"/>
      <w:marBottom w:val="0"/>
      <w:divBdr>
        <w:top w:val="none" w:sz="0" w:space="0" w:color="auto"/>
        <w:left w:val="none" w:sz="0" w:space="0" w:color="auto"/>
        <w:bottom w:val="none" w:sz="0" w:space="0" w:color="auto"/>
        <w:right w:val="none" w:sz="0" w:space="0" w:color="auto"/>
      </w:divBdr>
    </w:div>
    <w:div w:id="1407267498">
      <w:bodyDiv w:val="1"/>
      <w:marLeft w:val="0"/>
      <w:marRight w:val="0"/>
      <w:marTop w:val="0"/>
      <w:marBottom w:val="0"/>
      <w:divBdr>
        <w:top w:val="none" w:sz="0" w:space="0" w:color="auto"/>
        <w:left w:val="none" w:sz="0" w:space="0" w:color="auto"/>
        <w:bottom w:val="none" w:sz="0" w:space="0" w:color="auto"/>
        <w:right w:val="none" w:sz="0" w:space="0" w:color="auto"/>
      </w:divBdr>
    </w:div>
    <w:div w:id="1410349555">
      <w:bodyDiv w:val="1"/>
      <w:marLeft w:val="0"/>
      <w:marRight w:val="0"/>
      <w:marTop w:val="0"/>
      <w:marBottom w:val="0"/>
      <w:divBdr>
        <w:top w:val="none" w:sz="0" w:space="0" w:color="auto"/>
        <w:left w:val="none" w:sz="0" w:space="0" w:color="auto"/>
        <w:bottom w:val="none" w:sz="0" w:space="0" w:color="auto"/>
        <w:right w:val="none" w:sz="0" w:space="0" w:color="auto"/>
      </w:divBdr>
    </w:div>
    <w:div w:id="1431469544">
      <w:bodyDiv w:val="1"/>
      <w:marLeft w:val="0"/>
      <w:marRight w:val="0"/>
      <w:marTop w:val="0"/>
      <w:marBottom w:val="0"/>
      <w:divBdr>
        <w:top w:val="none" w:sz="0" w:space="0" w:color="auto"/>
        <w:left w:val="none" w:sz="0" w:space="0" w:color="auto"/>
        <w:bottom w:val="none" w:sz="0" w:space="0" w:color="auto"/>
        <w:right w:val="none" w:sz="0" w:space="0" w:color="auto"/>
      </w:divBdr>
    </w:div>
    <w:div w:id="1459646248">
      <w:bodyDiv w:val="1"/>
      <w:marLeft w:val="0"/>
      <w:marRight w:val="0"/>
      <w:marTop w:val="0"/>
      <w:marBottom w:val="0"/>
      <w:divBdr>
        <w:top w:val="none" w:sz="0" w:space="0" w:color="auto"/>
        <w:left w:val="none" w:sz="0" w:space="0" w:color="auto"/>
        <w:bottom w:val="none" w:sz="0" w:space="0" w:color="auto"/>
        <w:right w:val="none" w:sz="0" w:space="0" w:color="auto"/>
      </w:divBdr>
    </w:div>
    <w:div w:id="1507788404">
      <w:bodyDiv w:val="1"/>
      <w:marLeft w:val="0"/>
      <w:marRight w:val="0"/>
      <w:marTop w:val="0"/>
      <w:marBottom w:val="0"/>
      <w:divBdr>
        <w:top w:val="none" w:sz="0" w:space="0" w:color="auto"/>
        <w:left w:val="none" w:sz="0" w:space="0" w:color="auto"/>
        <w:bottom w:val="none" w:sz="0" w:space="0" w:color="auto"/>
        <w:right w:val="none" w:sz="0" w:space="0" w:color="auto"/>
      </w:divBdr>
    </w:div>
    <w:div w:id="1550918220">
      <w:bodyDiv w:val="1"/>
      <w:marLeft w:val="0"/>
      <w:marRight w:val="0"/>
      <w:marTop w:val="0"/>
      <w:marBottom w:val="0"/>
      <w:divBdr>
        <w:top w:val="none" w:sz="0" w:space="0" w:color="auto"/>
        <w:left w:val="none" w:sz="0" w:space="0" w:color="auto"/>
        <w:bottom w:val="none" w:sz="0" w:space="0" w:color="auto"/>
        <w:right w:val="none" w:sz="0" w:space="0" w:color="auto"/>
      </w:divBdr>
    </w:div>
    <w:div w:id="1589190794">
      <w:bodyDiv w:val="1"/>
      <w:marLeft w:val="0"/>
      <w:marRight w:val="0"/>
      <w:marTop w:val="0"/>
      <w:marBottom w:val="0"/>
      <w:divBdr>
        <w:top w:val="none" w:sz="0" w:space="0" w:color="auto"/>
        <w:left w:val="none" w:sz="0" w:space="0" w:color="auto"/>
        <w:bottom w:val="none" w:sz="0" w:space="0" w:color="auto"/>
        <w:right w:val="none" w:sz="0" w:space="0" w:color="auto"/>
      </w:divBdr>
    </w:div>
    <w:div w:id="1601331304">
      <w:bodyDiv w:val="1"/>
      <w:marLeft w:val="0"/>
      <w:marRight w:val="0"/>
      <w:marTop w:val="0"/>
      <w:marBottom w:val="0"/>
      <w:divBdr>
        <w:top w:val="none" w:sz="0" w:space="0" w:color="auto"/>
        <w:left w:val="none" w:sz="0" w:space="0" w:color="auto"/>
        <w:bottom w:val="none" w:sz="0" w:space="0" w:color="auto"/>
        <w:right w:val="none" w:sz="0" w:space="0" w:color="auto"/>
      </w:divBdr>
    </w:div>
    <w:div w:id="1611089850">
      <w:bodyDiv w:val="1"/>
      <w:marLeft w:val="0"/>
      <w:marRight w:val="0"/>
      <w:marTop w:val="0"/>
      <w:marBottom w:val="0"/>
      <w:divBdr>
        <w:top w:val="none" w:sz="0" w:space="0" w:color="auto"/>
        <w:left w:val="none" w:sz="0" w:space="0" w:color="auto"/>
        <w:bottom w:val="none" w:sz="0" w:space="0" w:color="auto"/>
        <w:right w:val="none" w:sz="0" w:space="0" w:color="auto"/>
      </w:divBdr>
    </w:div>
    <w:div w:id="1612786138">
      <w:bodyDiv w:val="1"/>
      <w:marLeft w:val="0"/>
      <w:marRight w:val="0"/>
      <w:marTop w:val="0"/>
      <w:marBottom w:val="0"/>
      <w:divBdr>
        <w:top w:val="none" w:sz="0" w:space="0" w:color="auto"/>
        <w:left w:val="none" w:sz="0" w:space="0" w:color="auto"/>
        <w:bottom w:val="none" w:sz="0" w:space="0" w:color="auto"/>
        <w:right w:val="none" w:sz="0" w:space="0" w:color="auto"/>
      </w:divBdr>
    </w:div>
    <w:div w:id="1648321214">
      <w:bodyDiv w:val="1"/>
      <w:marLeft w:val="0"/>
      <w:marRight w:val="0"/>
      <w:marTop w:val="0"/>
      <w:marBottom w:val="0"/>
      <w:divBdr>
        <w:top w:val="none" w:sz="0" w:space="0" w:color="auto"/>
        <w:left w:val="none" w:sz="0" w:space="0" w:color="auto"/>
        <w:bottom w:val="none" w:sz="0" w:space="0" w:color="auto"/>
        <w:right w:val="none" w:sz="0" w:space="0" w:color="auto"/>
      </w:divBdr>
    </w:div>
    <w:div w:id="1650204512">
      <w:bodyDiv w:val="1"/>
      <w:marLeft w:val="0"/>
      <w:marRight w:val="0"/>
      <w:marTop w:val="0"/>
      <w:marBottom w:val="0"/>
      <w:divBdr>
        <w:top w:val="none" w:sz="0" w:space="0" w:color="auto"/>
        <w:left w:val="none" w:sz="0" w:space="0" w:color="auto"/>
        <w:bottom w:val="none" w:sz="0" w:space="0" w:color="auto"/>
        <w:right w:val="none" w:sz="0" w:space="0" w:color="auto"/>
      </w:divBdr>
    </w:div>
    <w:div w:id="1650986303">
      <w:bodyDiv w:val="1"/>
      <w:marLeft w:val="0"/>
      <w:marRight w:val="0"/>
      <w:marTop w:val="0"/>
      <w:marBottom w:val="0"/>
      <w:divBdr>
        <w:top w:val="none" w:sz="0" w:space="0" w:color="auto"/>
        <w:left w:val="none" w:sz="0" w:space="0" w:color="auto"/>
        <w:bottom w:val="none" w:sz="0" w:space="0" w:color="auto"/>
        <w:right w:val="none" w:sz="0" w:space="0" w:color="auto"/>
      </w:divBdr>
    </w:div>
    <w:div w:id="1651985259">
      <w:bodyDiv w:val="1"/>
      <w:marLeft w:val="0"/>
      <w:marRight w:val="0"/>
      <w:marTop w:val="0"/>
      <w:marBottom w:val="0"/>
      <w:divBdr>
        <w:top w:val="none" w:sz="0" w:space="0" w:color="auto"/>
        <w:left w:val="none" w:sz="0" w:space="0" w:color="auto"/>
        <w:bottom w:val="none" w:sz="0" w:space="0" w:color="auto"/>
        <w:right w:val="none" w:sz="0" w:space="0" w:color="auto"/>
      </w:divBdr>
    </w:div>
    <w:div w:id="1655261595">
      <w:bodyDiv w:val="1"/>
      <w:marLeft w:val="0"/>
      <w:marRight w:val="0"/>
      <w:marTop w:val="0"/>
      <w:marBottom w:val="0"/>
      <w:divBdr>
        <w:top w:val="none" w:sz="0" w:space="0" w:color="auto"/>
        <w:left w:val="none" w:sz="0" w:space="0" w:color="auto"/>
        <w:bottom w:val="none" w:sz="0" w:space="0" w:color="auto"/>
        <w:right w:val="none" w:sz="0" w:space="0" w:color="auto"/>
      </w:divBdr>
    </w:div>
    <w:div w:id="1666545254">
      <w:bodyDiv w:val="1"/>
      <w:marLeft w:val="0"/>
      <w:marRight w:val="0"/>
      <w:marTop w:val="0"/>
      <w:marBottom w:val="0"/>
      <w:divBdr>
        <w:top w:val="none" w:sz="0" w:space="0" w:color="auto"/>
        <w:left w:val="none" w:sz="0" w:space="0" w:color="auto"/>
        <w:bottom w:val="none" w:sz="0" w:space="0" w:color="auto"/>
        <w:right w:val="none" w:sz="0" w:space="0" w:color="auto"/>
      </w:divBdr>
    </w:div>
    <w:div w:id="1684086770">
      <w:bodyDiv w:val="1"/>
      <w:marLeft w:val="0"/>
      <w:marRight w:val="0"/>
      <w:marTop w:val="0"/>
      <w:marBottom w:val="0"/>
      <w:divBdr>
        <w:top w:val="none" w:sz="0" w:space="0" w:color="auto"/>
        <w:left w:val="none" w:sz="0" w:space="0" w:color="auto"/>
        <w:bottom w:val="none" w:sz="0" w:space="0" w:color="auto"/>
        <w:right w:val="none" w:sz="0" w:space="0" w:color="auto"/>
      </w:divBdr>
    </w:div>
    <w:div w:id="1686833141">
      <w:bodyDiv w:val="1"/>
      <w:marLeft w:val="0"/>
      <w:marRight w:val="0"/>
      <w:marTop w:val="0"/>
      <w:marBottom w:val="0"/>
      <w:divBdr>
        <w:top w:val="none" w:sz="0" w:space="0" w:color="auto"/>
        <w:left w:val="none" w:sz="0" w:space="0" w:color="auto"/>
        <w:bottom w:val="none" w:sz="0" w:space="0" w:color="auto"/>
        <w:right w:val="none" w:sz="0" w:space="0" w:color="auto"/>
      </w:divBdr>
    </w:div>
    <w:div w:id="1694258183">
      <w:bodyDiv w:val="1"/>
      <w:marLeft w:val="0"/>
      <w:marRight w:val="0"/>
      <w:marTop w:val="0"/>
      <w:marBottom w:val="0"/>
      <w:divBdr>
        <w:top w:val="none" w:sz="0" w:space="0" w:color="auto"/>
        <w:left w:val="none" w:sz="0" w:space="0" w:color="auto"/>
        <w:bottom w:val="none" w:sz="0" w:space="0" w:color="auto"/>
        <w:right w:val="none" w:sz="0" w:space="0" w:color="auto"/>
      </w:divBdr>
    </w:div>
    <w:div w:id="1694763919">
      <w:bodyDiv w:val="1"/>
      <w:marLeft w:val="0"/>
      <w:marRight w:val="0"/>
      <w:marTop w:val="0"/>
      <w:marBottom w:val="0"/>
      <w:divBdr>
        <w:top w:val="none" w:sz="0" w:space="0" w:color="auto"/>
        <w:left w:val="none" w:sz="0" w:space="0" w:color="auto"/>
        <w:bottom w:val="none" w:sz="0" w:space="0" w:color="auto"/>
        <w:right w:val="none" w:sz="0" w:space="0" w:color="auto"/>
      </w:divBdr>
    </w:div>
    <w:div w:id="1701662094">
      <w:bodyDiv w:val="1"/>
      <w:marLeft w:val="0"/>
      <w:marRight w:val="0"/>
      <w:marTop w:val="0"/>
      <w:marBottom w:val="0"/>
      <w:divBdr>
        <w:top w:val="none" w:sz="0" w:space="0" w:color="auto"/>
        <w:left w:val="none" w:sz="0" w:space="0" w:color="auto"/>
        <w:bottom w:val="none" w:sz="0" w:space="0" w:color="auto"/>
        <w:right w:val="none" w:sz="0" w:space="0" w:color="auto"/>
      </w:divBdr>
    </w:div>
    <w:div w:id="1721174541">
      <w:bodyDiv w:val="1"/>
      <w:marLeft w:val="0"/>
      <w:marRight w:val="0"/>
      <w:marTop w:val="0"/>
      <w:marBottom w:val="0"/>
      <w:divBdr>
        <w:top w:val="none" w:sz="0" w:space="0" w:color="auto"/>
        <w:left w:val="none" w:sz="0" w:space="0" w:color="auto"/>
        <w:bottom w:val="none" w:sz="0" w:space="0" w:color="auto"/>
        <w:right w:val="none" w:sz="0" w:space="0" w:color="auto"/>
      </w:divBdr>
    </w:div>
    <w:div w:id="1733041692">
      <w:bodyDiv w:val="1"/>
      <w:marLeft w:val="0"/>
      <w:marRight w:val="0"/>
      <w:marTop w:val="0"/>
      <w:marBottom w:val="0"/>
      <w:divBdr>
        <w:top w:val="none" w:sz="0" w:space="0" w:color="auto"/>
        <w:left w:val="none" w:sz="0" w:space="0" w:color="auto"/>
        <w:bottom w:val="none" w:sz="0" w:space="0" w:color="auto"/>
        <w:right w:val="none" w:sz="0" w:space="0" w:color="auto"/>
      </w:divBdr>
    </w:div>
    <w:div w:id="1747845357">
      <w:bodyDiv w:val="1"/>
      <w:marLeft w:val="0"/>
      <w:marRight w:val="0"/>
      <w:marTop w:val="0"/>
      <w:marBottom w:val="0"/>
      <w:divBdr>
        <w:top w:val="none" w:sz="0" w:space="0" w:color="auto"/>
        <w:left w:val="none" w:sz="0" w:space="0" w:color="auto"/>
        <w:bottom w:val="none" w:sz="0" w:space="0" w:color="auto"/>
        <w:right w:val="none" w:sz="0" w:space="0" w:color="auto"/>
      </w:divBdr>
    </w:div>
    <w:div w:id="1750080925">
      <w:bodyDiv w:val="1"/>
      <w:marLeft w:val="0"/>
      <w:marRight w:val="0"/>
      <w:marTop w:val="0"/>
      <w:marBottom w:val="0"/>
      <w:divBdr>
        <w:top w:val="none" w:sz="0" w:space="0" w:color="auto"/>
        <w:left w:val="none" w:sz="0" w:space="0" w:color="auto"/>
        <w:bottom w:val="none" w:sz="0" w:space="0" w:color="auto"/>
        <w:right w:val="none" w:sz="0" w:space="0" w:color="auto"/>
      </w:divBdr>
    </w:div>
    <w:div w:id="1760716101">
      <w:bodyDiv w:val="1"/>
      <w:marLeft w:val="0"/>
      <w:marRight w:val="0"/>
      <w:marTop w:val="0"/>
      <w:marBottom w:val="0"/>
      <w:divBdr>
        <w:top w:val="none" w:sz="0" w:space="0" w:color="auto"/>
        <w:left w:val="none" w:sz="0" w:space="0" w:color="auto"/>
        <w:bottom w:val="none" w:sz="0" w:space="0" w:color="auto"/>
        <w:right w:val="none" w:sz="0" w:space="0" w:color="auto"/>
      </w:divBdr>
    </w:div>
    <w:div w:id="1781795790">
      <w:bodyDiv w:val="1"/>
      <w:marLeft w:val="0"/>
      <w:marRight w:val="0"/>
      <w:marTop w:val="0"/>
      <w:marBottom w:val="0"/>
      <w:divBdr>
        <w:top w:val="none" w:sz="0" w:space="0" w:color="auto"/>
        <w:left w:val="none" w:sz="0" w:space="0" w:color="auto"/>
        <w:bottom w:val="none" w:sz="0" w:space="0" w:color="auto"/>
        <w:right w:val="none" w:sz="0" w:space="0" w:color="auto"/>
      </w:divBdr>
    </w:div>
    <w:div w:id="1790389847">
      <w:bodyDiv w:val="1"/>
      <w:marLeft w:val="0"/>
      <w:marRight w:val="0"/>
      <w:marTop w:val="0"/>
      <w:marBottom w:val="0"/>
      <w:divBdr>
        <w:top w:val="none" w:sz="0" w:space="0" w:color="auto"/>
        <w:left w:val="none" w:sz="0" w:space="0" w:color="auto"/>
        <w:bottom w:val="none" w:sz="0" w:space="0" w:color="auto"/>
        <w:right w:val="none" w:sz="0" w:space="0" w:color="auto"/>
      </w:divBdr>
    </w:div>
    <w:div w:id="1828671537">
      <w:bodyDiv w:val="1"/>
      <w:marLeft w:val="0"/>
      <w:marRight w:val="0"/>
      <w:marTop w:val="0"/>
      <w:marBottom w:val="0"/>
      <w:divBdr>
        <w:top w:val="none" w:sz="0" w:space="0" w:color="auto"/>
        <w:left w:val="none" w:sz="0" w:space="0" w:color="auto"/>
        <w:bottom w:val="none" w:sz="0" w:space="0" w:color="auto"/>
        <w:right w:val="none" w:sz="0" w:space="0" w:color="auto"/>
      </w:divBdr>
    </w:div>
    <w:div w:id="1887595670">
      <w:bodyDiv w:val="1"/>
      <w:marLeft w:val="0"/>
      <w:marRight w:val="0"/>
      <w:marTop w:val="0"/>
      <w:marBottom w:val="0"/>
      <w:divBdr>
        <w:top w:val="none" w:sz="0" w:space="0" w:color="auto"/>
        <w:left w:val="none" w:sz="0" w:space="0" w:color="auto"/>
        <w:bottom w:val="none" w:sz="0" w:space="0" w:color="auto"/>
        <w:right w:val="none" w:sz="0" w:space="0" w:color="auto"/>
      </w:divBdr>
    </w:div>
    <w:div w:id="1915048774">
      <w:bodyDiv w:val="1"/>
      <w:marLeft w:val="0"/>
      <w:marRight w:val="0"/>
      <w:marTop w:val="0"/>
      <w:marBottom w:val="0"/>
      <w:divBdr>
        <w:top w:val="none" w:sz="0" w:space="0" w:color="auto"/>
        <w:left w:val="none" w:sz="0" w:space="0" w:color="auto"/>
        <w:bottom w:val="none" w:sz="0" w:space="0" w:color="auto"/>
        <w:right w:val="none" w:sz="0" w:space="0" w:color="auto"/>
      </w:divBdr>
    </w:div>
    <w:div w:id="1925145758">
      <w:bodyDiv w:val="1"/>
      <w:marLeft w:val="0"/>
      <w:marRight w:val="0"/>
      <w:marTop w:val="0"/>
      <w:marBottom w:val="0"/>
      <w:divBdr>
        <w:top w:val="none" w:sz="0" w:space="0" w:color="auto"/>
        <w:left w:val="none" w:sz="0" w:space="0" w:color="auto"/>
        <w:bottom w:val="none" w:sz="0" w:space="0" w:color="auto"/>
        <w:right w:val="none" w:sz="0" w:space="0" w:color="auto"/>
      </w:divBdr>
    </w:div>
    <w:div w:id="1949463869">
      <w:bodyDiv w:val="1"/>
      <w:marLeft w:val="0"/>
      <w:marRight w:val="0"/>
      <w:marTop w:val="0"/>
      <w:marBottom w:val="0"/>
      <w:divBdr>
        <w:top w:val="none" w:sz="0" w:space="0" w:color="auto"/>
        <w:left w:val="none" w:sz="0" w:space="0" w:color="auto"/>
        <w:bottom w:val="none" w:sz="0" w:space="0" w:color="auto"/>
        <w:right w:val="none" w:sz="0" w:space="0" w:color="auto"/>
      </w:divBdr>
    </w:div>
    <w:div w:id="1960449252">
      <w:bodyDiv w:val="1"/>
      <w:marLeft w:val="0"/>
      <w:marRight w:val="0"/>
      <w:marTop w:val="0"/>
      <w:marBottom w:val="0"/>
      <w:divBdr>
        <w:top w:val="none" w:sz="0" w:space="0" w:color="auto"/>
        <w:left w:val="none" w:sz="0" w:space="0" w:color="auto"/>
        <w:bottom w:val="none" w:sz="0" w:space="0" w:color="auto"/>
        <w:right w:val="none" w:sz="0" w:space="0" w:color="auto"/>
      </w:divBdr>
    </w:div>
    <w:div w:id="1974019861">
      <w:bodyDiv w:val="1"/>
      <w:marLeft w:val="0"/>
      <w:marRight w:val="0"/>
      <w:marTop w:val="0"/>
      <w:marBottom w:val="0"/>
      <w:divBdr>
        <w:top w:val="none" w:sz="0" w:space="0" w:color="auto"/>
        <w:left w:val="none" w:sz="0" w:space="0" w:color="auto"/>
        <w:bottom w:val="none" w:sz="0" w:space="0" w:color="auto"/>
        <w:right w:val="none" w:sz="0" w:space="0" w:color="auto"/>
      </w:divBdr>
    </w:div>
    <w:div w:id="2019230409">
      <w:bodyDiv w:val="1"/>
      <w:marLeft w:val="0"/>
      <w:marRight w:val="0"/>
      <w:marTop w:val="0"/>
      <w:marBottom w:val="0"/>
      <w:divBdr>
        <w:top w:val="none" w:sz="0" w:space="0" w:color="auto"/>
        <w:left w:val="none" w:sz="0" w:space="0" w:color="auto"/>
        <w:bottom w:val="none" w:sz="0" w:space="0" w:color="auto"/>
        <w:right w:val="none" w:sz="0" w:space="0" w:color="auto"/>
      </w:divBdr>
    </w:div>
    <w:div w:id="2053848973">
      <w:bodyDiv w:val="1"/>
      <w:marLeft w:val="0"/>
      <w:marRight w:val="0"/>
      <w:marTop w:val="0"/>
      <w:marBottom w:val="0"/>
      <w:divBdr>
        <w:top w:val="none" w:sz="0" w:space="0" w:color="auto"/>
        <w:left w:val="none" w:sz="0" w:space="0" w:color="auto"/>
        <w:bottom w:val="none" w:sz="0" w:space="0" w:color="auto"/>
        <w:right w:val="none" w:sz="0" w:space="0" w:color="auto"/>
      </w:divBdr>
    </w:div>
    <w:div w:id="2057467701">
      <w:bodyDiv w:val="1"/>
      <w:marLeft w:val="0"/>
      <w:marRight w:val="0"/>
      <w:marTop w:val="0"/>
      <w:marBottom w:val="0"/>
      <w:divBdr>
        <w:top w:val="none" w:sz="0" w:space="0" w:color="auto"/>
        <w:left w:val="none" w:sz="0" w:space="0" w:color="auto"/>
        <w:bottom w:val="none" w:sz="0" w:space="0" w:color="auto"/>
        <w:right w:val="none" w:sz="0" w:space="0" w:color="auto"/>
      </w:divBdr>
    </w:div>
    <w:div w:id="2065449882">
      <w:bodyDiv w:val="1"/>
      <w:marLeft w:val="0"/>
      <w:marRight w:val="0"/>
      <w:marTop w:val="0"/>
      <w:marBottom w:val="0"/>
      <w:divBdr>
        <w:top w:val="none" w:sz="0" w:space="0" w:color="auto"/>
        <w:left w:val="none" w:sz="0" w:space="0" w:color="auto"/>
        <w:bottom w:val="none" w:sz="0" w:space="0" w:color="auto"/>
        <w:right w:val="none" w:sz="0" w:space="0" w:color="auto"/>
      </w:divBdr>
    </w:div>
    <w:div w:id="2089424594">
      <w:bodyDiv w:val="1"/>
      <w:marLeft w:val="0"/>
      <w:marRight w:val="0"/>
      <w:marTop w:val="0"/>
      <w:marBottom w:val="0"/>
      <w:divBdr>
        <w:top w:val="none" w:sz="0" w:space="0" w:color="auto"/>
        <w:left w:val="none" w:sz="0" w:space="0" w:color="auto"/>
        <w:bottom w:val="none" w:sz="0" w:space="0" w:color="auto"/>
        <w:right w:val="none" w:sz="0" w:space="0" w:color="auto"/>
      </w:divBdr>
    </w:div>
    <w:div w:id="2103605208">
      <w:bodyDiv w:val="1"/>
      <w:marLeft w:val="0"/>
      <w:marRight w:val="0"/>
      <w:marTop w:val="0"/>
      <w:marBottom w:val="0"/>
      <w:divBdr>
        <w:top w:val="none" w:sz="0" w:space="0" w:color="auto"/>
        <w:left w:val="none" w:sz="0" w:space="0" w:color="auto"/>
        <w:bottom w:val="none" w:sz="0" w:space="0" w:color="auto"/>
        <w:right w:val="none" w:sz="0" w:space="0" w:color="auto"/>
      </w:divBdr>
    </w:div>
    <w:div w:id="2106219268">
      <w:bodyDiv w:val="1"/>
      <w:marLeft w:val="0"/>
      <w:marRight w:val="0"/>
      <w:marTop w:val="0"/>
      <w:marBottom w:val="0"/>
      <w:divBdr>
        <w:top w:val="none" w:sz="0" w:space="0" w:color="auto"/>
        <w:left w:val="none" w:sz="0" w:space="0" w:color="auto"/>
        <w:bottom w:val="none" w:sz="0" w:space="0" w:color="auto"/>
        <w:right w:val="none" w:sz="0" w:space="0" w:color="auto"/>
      </w:divBdr>
    </w:div>
    <w:div w:id="2136554407">
      <w:bodyDiv w:val="1"/>
      <w:marLeft w:val="0"/>
      <w:marRight w:val="0"/>
      <w:marTop w:val="0"/>
      <w:marBottom w:val="0"/>
      <w:divBdr>
        <w:top w:val="none" w:sz="0" w:space="0" w:color="auto"/>
        <w:left w:val="none" w:sz="0" w:space="0" w:color="auto"/>
        <w:bottom w:val="none" w:sz="0" w:space="0" w:color="auto"/>
        <w:right w:val="none" w:sz="0" w:space="0" w:color="auto"/>
      </w:divBdr>
    </w:div>
    <w:div w:id="21407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2.xml"/><Relationship Id="rId27" Type="http://schemas.microsoft.com/office/2007/relationships/stylesWithEffects" Target="stylesWithEffects.xml"/></Relationships>
</file>

<file path=word/_rels/header3.xml.rels><?xml version="1.0" encoding="UTF-8" standalone="yes"?>
<Relationships xmlns="http://schemas.openxmlformats.org/package/2006/relationships"><Relationship Id="rId2" Type="http://schemas.openxmlformats.org/officeDocument/2006/relationships/image" Target="cid:4B58620E-7747-4478-A385-1D0687787DC5"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92.168.1.105\rodrigo\Annexes%20Thesis\alldatawithnamesremo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osotros\Google%20Drive\MSc%20Folder%20Stuff\STI%20&amp;%20Disertation\Finaldocument\alldata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8.7056922906634832E-2"/>
          <c:y val="5.6071419166249699E-2"/>
          <c:w val="0.88843060703762988"/>
          <c:h val="0.72928930470407072"/>
        </c:manualLayout>
      </c:layout>
      <c:scatterChart>
        <c:scatterStyle val="lineMarker"/>
        <c:ser>
          <c:idx val="0"/>
          <c:order val="0"/>
          <c:tx>
            <c:strRef>
              <c:f>Sheet1!$E$8</c:f>
              <c:strCache>
                <c:ptCount val="1"/>
                <c:pt idx="0">
                  <c:v>STI (No eq)</c:v>
                </c:pt>
              </c:strCache>
            </c:strRef>
          </c:tx>
          <c:spPr>
            <a:ln w="25400" cap="rnd">
              <a:noFill/>
              <a:round/>
            </a:ln>
            <a:effectLst/>
          </c:spPr>
          <c:marker>
            <c:symbol val="square"/>
            <c:size val="5"/>
            <c:spPr>
              <a:solidFill>
                <a:schemeClr val="bg2"/>
              </a:solidFill>
              <a:ln w="9525">
                <a:solidFill>
                  <a:schemeClr val="tx1"/>
                </a:solidFill>
              </a:ln>
              <a:effectLst/>
            </c:spPr>
          </c:marker>
          <c:trendline>
            <c:spPr>
              <a:ln w="19050" cap="rnd">
                <a:solidFill>
                  <a:schemeClr val="bg2">
                    <a:lumMod val="50000"/>
                  </a:schemeClr>
                </a:solidFill>
                <a:prstDash val="dash"/>
              </a:ln>
              <a:effectLst/>
            </c:spPr>
            <c:trendlineType val="poly"/>
            <c:order val="3"/>
          </c:trendline>
          <c:errBars>
            <c:errDir val="x"/>
            <c:errBarType val="both"/>
            <c:errValType val="fixedVal"/>
            <c:val val="0.1"/>
          </c:errBars>
          <c:errBars>
            <c:errDir val="y"/>
            <c:errBarType val="both"/>
            <c:errValType val="stdErr"/>
          </c:errBars>
          <c:xVal>
            <c:numRef>
              <c:f>Sheet1!$D$9:$D$21</c:f>
              <c:numCache>
                <c:formatCode>0</c:formatCode>
                <c:ptCount val="13"/>
                <c:pt idx="0">
                  <c:v>16.050283486593003</c:v>
                </c:pt>
                <c:pt idx="1">
                  <c:v>16.308844226369914</c:v>
                </c:pt>
                <c:pt idx="2">
                  <c:v>6.3517241753715972</c:v>
                </c:pt>
                <c:pt idx="3">
                  <c:v>9.0707276444616074</c:v>
                </c:pt>
                <c:pt idx="4">
                  <c:v>9.2967521210366719</c:v>
                </c:pt>
                <c:pt idx="5">
                  <c:v>16.67687320812869</c:v>
                </c:pt>
                <c:pt idx="6">
                  <c:v>9.1886288422157865</c:v>
                </c:pt>
                <c:pt idx="7">
                  <c:v>10.77495243608992</c:v>
                </c:pt>
                <c:pt idx="8">
                  <c:v>6.4867249055282121</c:v>
                </c:pt>
                <c:pt idx="9">
                  <c:v>12.189130403765478</c:v>
                </c:pt>
                <c:pt idx="10">
                  <c:v>6.8929239078927855</c:v>
                </c:pt>
                <c:pt idx="11">
                  <c:v>4.7169905660282963</c:v>
                </c:pt>
                <c:pt idx="12">
                  <c:v>13.150346003052542</c:v>
                </c:pt>
              </c:numCache>
            </c:numRef>
          </c:xVal>
          <c:yVal>
            <c:numRef>
              <c:f>Sheet1!$E$9:$E$21</c:f>
              <c:numCache>
                <c:formatCode>0.00</c:formatCode>
                <c:ptCount val="13"/>
                <c:pt idx="0">
                  <c:v>0.53333333333333333</c:v>
                </c:pt>
                <c:pt idx="1">
                  <c:v>0.54666666666666652</c:v>
                </c:pt>
                <c:pt idx="2">
                  <c:v>0.56333333333333335</c:v>
                </c:pt>
                <c:pt idx="3">
                  <c:v>0.56333333333333335</c:v>
                </c:pt>
                <c:pt idx="4">
                  <c:v>0.57333333333333325</c:v>
                </c:pt>
                <c:pt idx="5">
                  <c:v>0.57333333333333369</c:v>
                </c:pt>
                <c:pt idx="6">
                  <c:v>0.57666666666666666</c:v>
                </c:pt>
                <c:pt idx="7">
                  <c:v>0.58333333333333337</c:v>
                </c:pt>
                <c:pt idx="8">
                  <c:v>0.58666666666666656</c:v>
                </c:pt>
                <c:pt idx="9">
                  <c:v>0.59</c:v>
                </c:pt>
                <c:pt idx="10">
                  <c:v>0.60000000000000053</c:v>
                </c:pt>
                <c:pt idx="11">
                  <c:v>0.60333333333333361</c:v>
                </c:pt>
                <c:pt idx="12">
                  <c:v>0.61000000000000054</c:v>
                </c:pt>
              </c:numCache>
            </c:numRef>
          </c:yVal>
          <c:extLst xmlns:c16r2="http://schemas.microsoft.com/office/drawing/2015/06/chart">
            <c:ext xmlns:c16="http://schemas.microsoft.com/office/drawing/2014/chart" uri="{C3380CC4-5D6E-409C-BE32-E72D297353CC}">
              <c16:uniqueId val="{00000000-6724-4BF2-A920-0CA55FBB5778}"/>
            </c:ext>
          </c:extLst>
        </c:ser>
        <c:ser>
          <c:idx val="1"/>
          <c:order val="1"/>
          <c:tx>
            <c:strRef>
              <c:f>Sheet1!$F$8</c:f>
              <c:strCache>
                <c:ptCount val="1"/>
                <c:pt idx="0">
                  <c:v>STI (With Eq)</c:v>
                </c:pt>
              </c:strCache>
            </c:strRef>
          </c:tx>
          <c:spPr>
            <a:ln w="25400" cap="rnd">
              <a:noFill/>
              <a:round/>
            </a:ln>
            <a:effectLst/>
          </c:spPr>
          <c:marker>
            <c:symbol val="circle"/>
            <c:size val="5"/>
            <c:spPr>
              <a:solidFill>
                <a:schemeClr val="bg2"/>
              </a:solidFill>
              <a:ln w="12700" cmpd="dbl">
                <a:solidFill>
                  <a:schemeClr val="tx1"/>
                </a:solidFill>
              </a:ln>
              <a:effectLst/>
            </c:spPr>
          </c:marker>
          <c:trendline>
            <c:spPr>
              <a:ln w="19050" cap="rnd">
                <a:solidFill>
                  <a:schemeClr val="tx1"/>
                </a:solidFill>
                <a:prstDash val="sysDot"/>
              </a:ln>
              <a:effectLst/>
            </c:spPr>
            <c:trendlineType val="poly"/>
            <c:order val="3"/>
          </c:trendline>
          <c:errBars>
            <c:errDir val="x"/>
            <c:errBarType val="both"/>
            <c:errValType val="fixedVal"/>
            <c:val val="0"/>
          </c:errBars>
          <c:errBars>
            <c:errDir val="y"/>
            <c:errBarType val="both"/>
            <c:errValType val="stdErr"/>
          </c:errBars>
          <c:xVal>
            <c:numRef>
              <c:f>Sheet1!$D$9:$D$21</c:f>
              <c:numCache>
                <c:formatCode>0</c:formatCode>
                <c:ptCount val="13"/>
                <c:pt idx="0">
                  <c:v>16.050283486593003</c:v>
                </c:pt>
                <c:pt idx="1">
                  <c:v>16.308844226369914</c:v>
                </c:pt>
                <c:pt idx="2">
                  <c:v>6.3517241753715972</c:v>
                </c:pt>
                <c:pt idx="3">
                  <c:v>9.0707276444616074</c:v>
                </c:pt>
                <c:pt idx="4">
                  <c:v>9.2967521210366719</c:v>
                </c:pt>
                <c:pt idx="5">
                  <c:v>16.67687320812869</c:v>
                </c:pt>
                <c:pt idx="6">
                  <c:v>9.1886288422157865</c:v>
                </c:pt>
                <c:pt idx="7">
                  <c:v>10.77495243608992</c:v>
                </c:pt>
                <c:pt idx="8">
                  <c:v>6.4867249055282121</c:v>
                </c:pt>
                <c:pt idx="9">
                  <c:v>12.189130403765478</c:v>
                </c:pt>
                <c:pt idx="10">
                  <c:v>6.8929239078927855</c:v>
                </c:pt>
                <c:pt idx="11">
                  <c:v>4.7169905660282963</c:v>
                </c:pt>
                <c:pt idx="12">
                  <c:v>13.150346003052542</c:v>
                </c:pt>
              </c:numCache>
            </c:numRef>
          </c:xVal>
          <c:yVal>
            <c:numRef>
              <c:f>Sheet1!$F$9:$F$21</c:f>
              <c:numCache>
                <c:formatCode>0.00</c:formatCode>
                <c:ptCount val="13"/>
                <c:pt idx="0">
                  <c:v>0.55000000000000004</c:v>
                </c:pt>
                <c:pt idx="1">
                  <c:v>0.56666666666666654</c:v>
                </c:pt>
                <c:pt idx="2">
                  <c:v>0.58666666666666656</c:v>
                </c:pt>
                <c:pt idx="3">
                  <c:v>0.59666666666666657</c:v>
                </c:pt>
                <c:pt idx="4">
                  <c:v>0.60333333333333361</c:v>
                </c:pt>
                <c:pt idx="5">
                  <c:v>0.57666666666666666</c:v>
                </c:pt>
                <c:pt idx="6">
                  <c:v>0.58666666666666656</c:v>
                </c:pt>
                <c:pt idx="7">
                  <c:v>0.60666666666666669</c:v>
                </c:pt>
                <c:pt idx="8">
                  <c:v>0.61333333333333362</c:v>
                </c:pt>
                <c:pt idx="9">
                  <c:v>0.58000000000000007</c:v>
                </c:pt>
                <c:pt idx="10">
                  <c:v>0.63666666666666671</c:v>
                </c:pt>
                <c:pt idx="11">
                  <c:v>0.6500000000000008</c:v>
                </c:pt>
                <c:pt idx="12">
                  <c:v>0.6166666666666667</c:v>
                </c:pt>
              </c:numCache>
            </c:numRef>
          </c:yVal>
          <c:extLst xmlns:c16r2="http://schemas.microsoft.com/office/drawing/2015/06/chart">
            <c:ext xmlns:c16="http://schemas.microsoft.com/office/drawing/2014/chart" uri="{C3380CC4-5D6E-409C-BE32-E72D297353CC}">
              <c16:uniqueId val="{00000001-6724-4BF2-A920-0CA55FBB5778}"/>
            </c:ext>
          </c:extLst>
        </c:ser>
        <c:dLbls/>
        <c:axId val="88340352"/>
        <c:axId val="88350720"/>
      </c:scatterChart>
      <c:valAx>
        <c:axId val="88340352"/>
        <c:scaling>
          <c:orientation val="minMax"/>
          <c:max val="18"/>
          <c:min val="4"/>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0" i="0" baseline="0">
                    <a:effectLst/>
                  </a:rPr>
                  <a:t>Source-receiver Distance(m)</a:t>
                </a:r>
                <a:endParaRPr lang="en-GB" sz="800">
                  <a:effectLst/>
                </a:endParaRPr>
              </a:p>
            </c:rich>
          </c:tx>
          <c:layout>
            <c:manualLayout>
              <c:xMode val="edge"/>
              <c:yMode val="edge"/>
              <c:x val="0.39127657888234668"/>
              <c:y val="0.86813885106466959"/>
            </c:manualLayout>
          </c:layout>
          <c:spPr>
            <a:noFill/>
            <a:ln>
              <a:noFill/>
            </a:ln>
            <a:effectLst/>
          </c:spPr>
        </c:title>
        <c:numFmt formatCode="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50720"/>
        <c:crosses val="autoZero"/>
        <c:crossBetween val="midCat"/>
      </c:valAx>
      <c:valAx>
        <c:axId val="88350720"/>
        <c:scaling>
          <c:orientation val="minMax"/>
          <c:min val="0.52"/>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STI</a:t>
                </a:r>
              </a:p>
            </c:rich>
          </c:tx>
          <c:layout>
            <c:manualLayout>
              <c:xMode val="edge"/>
              <c:yMode val="edge"/>
              <c:x val="6.2166962699822387E-2"/>
              <c:y val="0.4094690466323288"/>
            </c:manualLayout>
          </c:layout>
          <c:spPr>
            <a:noFill/>
            <a:ln>
              <a:noFill/>
            </a:ln>
            <a:effectLst/>
          </c:spPr>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40352"/>
        <c:crosses val="autoZero"/>
        <c:crossBetween val="midCat"/>
      </c:valAx>
      <c:spPr>
        <a:noFill/>
        <a:ln>
          <a:noFill/>
        </a:ln>
        <a:effectLst/>
      </c:spPr>
    </c:plotArea>
    <c:legend>
      <c:legendPos val="b"/>
      <c:layout>
        <c:manualLayout>
          <c:xMode val="edge"/>
          <c:yMode val="edge"/>
          <c:x val="0"/>
          <c:y val="0.93402668416447965"/>
          <c:w val="0.99894365334390134"/>
          <c:h val="6.597331583552057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lineChart>
        <c:grouping val="standard"/>
        <c:ser>
          <c:idx val="0"/>
          <c:order val="0"/>
          <c:spPr>
            <a:ln w="28575" cap="rnd">
              <a:solidFill>
                <a:schemeClr val="bg1">
                  <a:lumMod val="65000"/>
                </a:schemeClr>
              </a:solidFill>
              <a:round/>
            </a:ln>
            <a:effectLst/>
          </c:spPr>
          <c:marker>
            <c:symbol val="none"/>
          </c:marker>
          <c:trendline>
            <c:spPr>
              <a:ln>
                <a:prstDash val="lgDashDot"/>
              </a:ln>
            </c:spPr>
            <c:trendlineType val="linear"/>
            <c:dispEq val="1"/>
            <c:trendlineLbl>
              <c:layout>
                <c:manualLayout>
                  <c:x val="9.6881404379247135E-3"/>
                  <c:y val="-0.2547270210626657"/>
                </c:manualLayout>
              </c:layout>
              <c:numFmt formatCode="General" sourceLinked="0"/>
            </c:trendlineLbl>
          </c:trendline>
          <c:cat>
            <c:multiLvlStrRef>
              <c:f>Sheet2!$AD$22:$AE$45</c:f>
              <c:multiLvlStrCache>
                <c:ptCount val="24"/>
                <c:lvl>
                  <c:pt idx="0">
                    <c:v>UP1</c:v>
                  </c:pt>
                  <c:pt idx="1">
                    <c:v>UP2</c:v>
                  </c:pt>
                  <c:pt idx="2">
                    <c:v>UP3</c:v>
                  </c:pt>
                  <c:pt idx="3">
                    <c:v>UP4</c:v>
                  </c:pt>
                  <c:pt idx="4">
                    <c:v>UP5</c:v>
                  </c:pt>
                  <c:pt idx="5">
                    <c:v>UP6</c:v>
                  </c:pt>
                  <c:pt idx="6">
                    <c:v>UP7</c:v>
                  </c:pt>
                  <c:pt idx="7">
                    <c:v>UP8</c:v>
                  </c:pt>
                  <c:pt idx="8">
                    <c:v>UP9</c:v>
                  </c:pt>
                  <c:pt idx="9">
                    <c:v>UP10</c:v>
                  </c:pt>
                  <c:pt idx="10">
                    <c:v>UP11</c:v>
                  </c:pt>
                  <c:pt idx="11">
                    <c:v>UP12</c:v>
                  </c:pt>
                  <c:pt idx="12">
                    <c:v>TP1</c:v>
                  </c:pt>
                  <c:pt idx="13">
                    <c:v>TP2</c:v>
                  </c:pt>
                  <c:pt idx="14">
                    <c:v>TP3</c:v>
                  </c:pt>
                  <c:pt idx="15">
                    <c:v>TP4</c:v>
                  </c:pt>
                  <c:pt idx="16">
                    <c:v>TP5</c:v>
                  </c:pt>
                  <c:pt idx="17">
                    <c:v>TP6</c:v>
                  </c:pt>
                  <c:pt idx="18">
                    <c:v>TP7</c:v>
                  </c:pt>
                  <c:pt idx="19">
                    <c:v>TP8</c:v>
                  </c:pt>
                  <c:pt idx="20">
                    <c:v>TP9</c:v>
                  </c:pt>
                  <c:pt idx="21">
                    <c:v>TP10</c:v>
                  </c:pt>
                  <c:pt idx="22">
                    <c:v>TP11</c:v>
                  </c:pt>
                  <c:pt idx="23">
                    <c:v>TP12</c:v>
                  </c:pt>
                </c:lvl>
                <c:lvl>
                  <c:pt idx="0">
                    <c:v>Untreated</c:v>
                  </c:pt>
                  <c:pt idx="12">
                    <c:v>Treated</c:v>
                  </c:pt>
                </c:lvl>
              </c:multiLvlStrCache>
            </c:multiLvlStrRef>
          </c:cat>
          <c:val>
            <c:numRef>
              <c:f>Sheet2!$AF$22:$AF$45</c:f>
              <c:numCache>
                <c:formatCode>0</c:formatCode>
                <c:ptCount val="24"/>
                <c:pt idx="0">
                  <c:v>53.36769521305294</c:v>
                </c:pt>
                <c:pt idx="1">
                  <c:v>53.478735854431818</c:v>
                </c:pt>
                <c:pt idx="2">
                  <c:v>51.800767494455577</c:v>
                </c:pt>
                <c:pt idx="3">
                  <c:v>52.700767494455604</c:v>
                </c:pt>
                <c:pt idx="4">
                  <c:v>54.767695213052953</c:v>
                </c:pt>
                <c:pt idx="5">
                  <c:v>54.133589826880012</c:v>
                </c:pt>
                <c:pt idx="6">
                  <c:v>55.300767494455584</c:v>
                </c:pt>
                <c:pt idx="7">
                  <c:v>55.009866286723295</c:v>
                </c:pt>
                <c:pt idx="8">
                  <c:v>55.070014882574817</c:v>
                </c:pt>
                <c:pt idx="9">
                  <c:v>54.733589826880035</c:v>
                </c:pt>
                <c:pt idx="10">
                  <c:v>53.86692185116047</c:v>
                </c:pt>
                <c:pt idx="11">
                  <c:v>54.566921851160494</c:v>
                </c:pt>
                <c:pt idx="12">
                  <c:v>49.966921851160471</c:v>
                </c:pt>
                <c:pt idx="13">
                  <c:v>49.671508007869384</c:v>
                </c:pt>
                <c:pt idx="14">
                  <c:v>48.436635756671869</c:v>
                </c:pt>
                <c:pt idx="15">
                  <c:v>49.400000000000006</c:v>
                </c:pt>
                <c:pt idx="16">
                  <c:v>49.166921851160495</c:v>
                </c:pt>
                <c:pt idx="17">
                  <c:v>49.700767494455604</c:v>
                </c:pt>
                <c:pt idx="18">
                  <c:v>50.166921851160495</c:v>
                </c:pt>
                <c:pt idx="19">
                  <c:v>51.434351408685025</c:v>
                </c:pt>
                <c:pt idx="20">
                  <c:v>52.466921851160471</c:v>
                </c:pt>
                <c:pt idx="21">
                  <c:v>48.635130591779898</c:v>
                </c:pt>
                <c:pt idx="22">
                  <c:v>49.500767494455594</c:v>
                </c:pt>
                <c:pt idx="23">
                  <c:v>49.6</c:v>
                </c:pt>
              </c:numCache>
            </c:numRef>
          </c:val>
          <c:extLst xmlns:c16r2="http://schemas.microsoft.com/office/drawing/2015/06/chart">
            <c:ext xmlns:c16="http://schemas.microsoft.com/office/drawing/2014/chart" uri="{C3380CC4-5D6E-409C-BE32-E72D297353CC}">
              <c16:uniqueId val="{00000000-FDE9-49E1-9E76-CEF5119D210E}"/>
            </c:ext>
          </c:extLst>
        </c:ser>
        <c:dLbls/>
        <c:marker val="1"/>
        <c:axId val="88369024"/>
        <c:axId val="88370560"/>
      </c:lineChart>
      <c:catAx>
        <c:axId val="88369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70560"/>
        <c:crosses val="autoZero"/>
        <c:auto val="1"/>
        <c:lblAlgn val="ctr"/>
        <c:lblOffset val="100"/>
      </c:catAx>
      <c:valAx>
        <c:axId val="883705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dBA</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69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1655252984812363"/>
          <c:y val="8.4942084942084953E-2"/>
          <c:w val="0.8471266966176878"/>
          <c:h val="0.69461952391086257"/>
        </c:manualLayout>
      </c:layout>
      <c:scatterChart>
        <c:scatterStyle val="lineMarker"/>
        <c:ser>
          <c:idx val="1"/>
          <c:order val="0"/>
          <c:tx>
            <c:strRef>
              <c:f>'[STI&amp;Noise.xlsx]Noise'!$AP$1</c:f>
              <c:strCache>
                <c:ptCount val="1"/>
                <c:pt idx="0">
                  <c:v>STI Value</c:v>
                </c:pt>
              </c:strCache>
            </c:strRef>
          </c:tx>
          <c:spPr>
            <a:ln w="19050">
              <a:noFill/>
            </a:ln>
          </c:spPr>
          <c:dLbls>
            <c:dLbl>
              <c:idx val="0"/>
              <c:layout>
                <c:manualLayout>
                  <c:x val="2.7777777777777848E-3"/>
                  <c:y val="-5.5083773238466964E-2"/>
                </c:manualLayout>
              </c:layout>
              <c:tx>
                <c:rich>
                  <a:bodyPr/>
                  <a:lstStyle/>
                  <a:p>
                    <a:fld id="{C51711C5-BAAB-43DD-AE03-8725A113CF07}" type="CELLRANGE">
                      <a:rPr lang="en-US" baseline="0"/>
                      <a:pPr/>
                      <a:t>[CELLRANGE]</a:t>
                    </a:fld>
                    <a:r>
                      <a:rPr lang="en-US" baseline="0"/>
                      <a:t>, </a:t>
                    </a:r>
                    <a:fld id="{3DA8058D-A202-44EC-A731-342CB75E4128}" type="YVALUE">
                      <a:rPr lang="en-US" baseline="0"/>
                      <a:pPr/>
                      <a:t>[Y VALUE]</a:t>
                    </a:fld>
                    <a:endParaRPr lang="en-US" baseline="0"/>
                  </a:p>
                </c:rich>
              </c:tx>
              <c:showVal val="1"/>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50D5-449C-8567-7AE53F414157}"/>
                </c:ext>
              </c:extLst>
            </c:dLbl>
            <c:dLbl>
              <c:idx val="1"/>
              <c:layout>
                <c:manualLayout>
                  <c:x val="-5.00000000000001E-2"/>
                  <c:y val="6.4264402111544716E-2"/>
                </c:manualLayout>
              </c:layout>
              <c:tx>
                <c:rich>
                  <a:bodyPr/>
                  <a:lstStyle/>
                  <a:p>
                    <a:fld id="{765E5BB6-0A9F-4756-9566-D11DFD181B80}" type="CELLRANGE">
                      <a:rPr lang="en-US" baseline="0"/>
                      <a:pPr/>
                      <a:t>[CELLRANGE]</a:t>
                    </a:fld>
                    <a:r>
                      <a:rPr lang="en-US" baseline="0"/>
                      <a:t>, </a:t>
                    </a:r>
                    <a:fld id="{0916FE09-D04D-400C-9827-707E57EF0397}" type="YVALUE">
                      <a:rPr lang="en-US" baseline="0"/>
                      <a:pPr/>
                      <a:t>[Y VALUE]</a:t>
                    </a:fld>
                    <a:endParaRPr lang="en-US" baseline="0"/>
                  </a:p>
                </c:rich>
              </c:tx>
              <c:showVal val="1"/>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1-50D5-449C-8567-7AE53F414157}"/>
                </c:ext>
              </c:extLst>
            </c:dLbl>
            <c:dLbl>
              <c:idx val="2"/>
              <c:layout>
                <c:manualLayout>
                  <c:x val="5.5555555555555558E-3"/>
                  <c:y val="-6.8854716548083589E-2"/>
                </c:manualLayout>
              </c:layout>
              <c:tx>
                <c:rich>
                  <a:bodyPr/>
                  <a:lstStyle/>
                  <a:p>
                    <a:fld id="{E115A078-3960-4EB4-9EC2-B753CB3F8518}" type="CELLRANGE">
                      <a:rPr lang="en-US" baseline="0"/>
                      <a:pPr/>
                      <a:t>[CELLRANGE]</a:t>
                    </a:fld>
                    <a:r>
                      <a:rPr lang="en-US" baseline="0"/>
                      <a:t>, </a:t>
                    </a:r>
                    <a:fld id="{DFBA2845-E68A-4C24-9481-64E802A7E96F}" type="YVALUE">
                      <a:rPr lang="en-US" baseline="0"/>
                      <a:pPr/>
                      <a:t>[Y VALUE]</a:t>
                    </a:fld>
                    <a:endParaRPr lang="en-US" baseline="0"/>
                  </a:p>
                </c:rich>
              </c:tx>
              <c:showVal val="1"/>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2-50D5-449C-8567-7AE53F414157}"/>
                </c:ext>
              </c:extLst>
            </c:dLbl>
            <c:dLbl>
              <c:idx val="3"/>
              <c:layout>
                <c:manualLayout>
                  <c:x val="-5.5555555555556061E-3"/>
                  <c:y val="6.4264402111544716E-2"/>
                </c:manualLayout>
              </c:layout>
              <c:tx>
                <c:rich>
                  <a:bodyPr/>
                  <a:lstStyle/>
                  <a:p>
                    <a:fld id="{BABB1C56-29C4-4EAE-9E50-5566D709A57C}" type="CELLRANGE">
                      <a:rPr lang="en-US" baseline="0"/>
                      <a:pPr/>
                      <a:t>[CELLRANGE]</a:t>
                    </a:fld>
                    <a:r>
                      <a:rPr lang="en-US" baseline="0"/>
                      <a:t>, </a:t>
                    </a:r>
                    <a:fld id="{A1CD3AF3-36DA-4113-8E42-C28262D2B5A6}" type="YVALUE">
                      <a:rPr lang="en-US" baseline="0"/>
                      <a:pPr/>
                      <a:t>[Y VALUE]</a:t>
                    </a:fld>
                    <a:endParaRPr lang="en-US" baseline="0"/>
                  </a:p>
                </c:rich>
              </c:tx>
              <c:showVal val="1"/>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3-50D5-449C-8567-7AE53F414157}"/>
                </c:ext>
              </c:extLst>
            </c:dLbl>
            <c:dLbl>
              <c:idx val="4"/>
              <c:layout>
                <c:manualLayout>
                  <c:x val="0"/>
                  <c:y val="-6.4264402111544716E-2"/>
                </c:manualLayout>
              </c:layout>
              <c:tx>
                <c:rich>
                  <a:bodyPr/>
                  <a:lstStyle/>
                  <a:p>
                    <a:fld id="{FD9F3B3D-DD90-4486-B6C7-3790904E11E6}" type="CELLRANGE">
                      <a:rPr lang="en-US" baseline="0"/>
                      <a:pPr/>
                      <a:t>[CELLRANGE]</a:t>
                    </a:fld>
                    <a:r>
                      <a:rPr lang="en-US" baseline="0"/>
                      <a:t>, </a:t>
                    </a:r>
                    <a:fld id="{D4ABD58B-E7C5-4EDA-A8AE-0404CA9FA835}" type="YVALUE">
                      <a:rPr lang="en-US" baseline="0"/>
                      <a:pPr/>
                      <a:t>[Y VALUE]</a:t>
                    </a:fld>
                    <a:endParaRPr lang="en-US" baseline="0"/>
                  </a:p>
                </c:rich>
              </c:tx>
              <c:showVal val="1"/>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4-50D5-449C-8567-7AE53F414157}"/>
                </c:ext>
              </c:extLst>
            </c:dLbl>
            <c:spPr>
              <a:noFill/>
              <a:ln>
                <a:noFill/>
              </a:ln>
              <a:effectLst/>
            </c:spPr>
            <c:txPr>
              <a:bodyPr wrap="square" lIns="38100" tIns="19050" rIns="38100" bIns="19050" anchor="ctr">
                <a:spAutoFit/>
              </a:bodyPr>
              <a:lstStyle/>
              <a:p>
                <a:pPr>
                  <a:defRPr sz="800"/>
                </a:pPr>
                <a:endParaRPr lang="en-US"/>
              </a:p>
            </c:txPr>
            <c:showVal val="1"/>
            <c:extLst xmlns:c16r2="http://schemas.microsoft.com/office/drawing/2015/06/chart">
              <c:ext xmlns:c15="http://schemas.microsoft.com/office/drawing/2012/chart" uri="{CE6537A1-D6FC-4f65-9D91-7224C49458BB}">
                <c15:showDataLabelsRange val="1"/>
                <c15:showLeaderLines val="1"/>
              </c:ext>
            </c:extLst>
          </c:dLbls>
          <c:errBars>
            <c:errDir val="x"/>
            <c:errBarType val="both"/>
            <c:errValType val="fixedVal"/>
            <c:val val="0"/>
          </c:errBars>
          <c:errBars>
            <c:errDir val="y"/>
            <c:errBarType val="both"/>
            <c:errValType val="stdErr"/>
          </c:errBars>
          <c:xVal>
            <c:numRef>
              <c:f>'[STI&amp;Noise.xlsx]Noise'!$AO$5:$AO$9</c:f>
              <c:numCache>
                <c:formatCode>General</c:formatCode>
                <c:ptCount val="5"/>
                <c:pt idx="0">
                  <c:v>38.742894511385295</c:v>
                </c:pt>
                <c:pt idx="1">
                  <c:v>45.274666572303005</c:v>
                </c:pt>
                <c:pt idx="2">
                  <c:v>37.279522303241627</c:v>
                </c:pt>
                <c:pt idx="3">
                  <c:v>39.097353867373869</c:v>
                </c:pt>
                <c:pt idx="4">
                  <c:v>42.835663186476374</c:v>
                </c:pt>
              </c:numCache>
            </c:numRef>
          </c:xVal>
          <c:yVal>
            <c:numRef>
              <c:f>'[STI&amp;Noise.xlsx]Noise'!$AP$5:$AP$9</c:f>
              <c:numCache>
                <c:formatCode>General</c:formatCode>
                <c:ptCount val="5"/>
                <c:pt idx="0">
                  <c:v>0.47000000000000008</c:v>
                </c:pt>
                <c:pt idx="1">
                  <c:v>0.5</c:v>
                </c:pt>
                <c:pt idx="2">
                  <c:v>0.53</c:v>
                </c:pt>
                <c:pt idx="3">
                  <c:v>0.5</c:v>
                </c:pt>
                <c:pt idx="4">
                  <c:v>0.52</c:v>
                </c:pt>
              </c:numCache>
            </c:numRef>
          </c:yVal>
          <c:extLst xmlns:c16r2="http://schemas.microsoft.com/office/drawing/2015/06/chart">
            <c:ext xmlns:c15="http://schemas.microsoft.com/office/drawing/2012/chart" uri="{02D57815-91ED-43cb-92C2-25804820EDAC}">
              <c15:datalabelsRange>
                <c15:f>'[STI&amp;Noise.xlsx]Noise'!$A$5:$A$9</c15:f>
                <c15:dlblRangeCache>
                  <c:ptCount val="5"/>
                  <c:pt idx="0">
                    <c:v>K0.20 (U)</c:v>
                  </c:pt>
                  <c:pt idx="1">
                    <c:v>K0.16 (U)</c:v>
                  </c:pt>
                  <c:pt idx="2">
                    <c:v>K0.20(T)</c:v>
                  </c:pt>
                  <c:pt idx="3">
                    <c:v>K0.18 (U)</c:v>
                  </c:pt>
                  <c:pt idx="4">
                    <c:v>K4u.12 (U)</c:v>
                  </c:pt>
                </c15:dlblRangeCache>
              </c15:datalabelsRange>
            </c:ext>
            <c:ext xmlns:c16="http://schemas.microsoft.com/office/drawing/2014/chart" uri="{C3380CC4-5D6E-409C-BE32-E72D297353CC}">
              <c16:uniqueId val="{00000005-50D5-449C-8567-7AE53F414157}"/>
            </c:ext>
          </c:extLst>
        </c:ser>
        <c:dLbls/>
        <c:axId val="88552192"/>
        <c:axId val="88554112"/>
      </c:scatterChart>
      <c:valAx>
        <c:axId val="88552192"/>
        <c:scaling>
          <c:orientation val="minMax"/>
          <c:min val="36"/>
        </c:scaling>
        <c:axPos val="b"/>
        <c:majorGridlines>
          <c:spPr>
            <a:ln w="9525" cap="flat" cmpd="sng" algn="ctr">
              <a:solidFill>
                <a:schemeClr val="tx1">
                  <a:lumMod val="15000"/>
                  <a:lumOff val="85000"/>
                </a:schemeClr>
              </a:solidFill>
              <a:round/>
            </a:ln>
            <a:effectLst/>
          </c:spPr>
        </c:majorGridlines>
        <c:title>
          <c:tx>
            <c:rich>
              <a:bodyPr/>
              <a:lstStyle/>
              <a:p>
                <a:pPr>
                  <a:defRPr b="1"/>
                </a:pPr>
                <a:r>
                  <a:rPr lang="en-US" b="1"/>
                  <a:t>Background Noise dB(A)</a:t>
                </a:r>
              </a:p>
            </c:rich>
          </c:tx>
          <c:layout>
            <c:manualLayout>
              <c:xMode val="edge"/>
              <c:yMode val="edge"/>
              <c:x val="0.42045514521282673"/>
              <c:y val="0.86794091914981242"/>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554112"/>
        <c:crosses val="autoZero"/>
        <c:crossBetween val="midCat"/>
      </c:valAx>
      <c:valAx>
        <c:axId val="88554112"/>
        <c:scaling>
          <c:orientation val="minMax"/>
          <c:max val="0.55000000000000004"/>
          <c:min val="0.45"/>
        </c:scaling>
        <c:axPos val="l"/>
        <c:majorGridlines>
          <c:spPr>
            <a:ln w="9525" cap="flat" cmpd="sng" algn="ctr">
              <a:solidFill>
                <a:schemeClr val="tx1">
                  <a:lumMod val="15000"/>
                  <a:lumOff val="85000"/>
                </a:schemeClr>
              </a:solidFill>
              <a:round/>
            </a:ln>
            <a:effectLst/>
          </c:spPr>
        </c:majorGridlines>
        <c:title>
          <c:tx>
            <c:rich>
              <a:bodyPr/>
              <a:lstStyle/>
              <a:p>
                <a:pPr>
                  <a:defRPr/>
                </a:pPr>
                <a:r>
                  <a:rPr lang="en-US"/>
                  <a:t>STI</a:t>
                </a:r>
              </a:p>
            </c:rich>
          </c:tx>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552192"/>
        <c:crosses val="autoZero"/>
        <c:crossBetween val="midCat"/>
      </c:valAx>
    </c:plotArea>
    <c:plotVisOnly val="1"/>
    <c:dispBlanksAs val="gap"/>
  </c:chart>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9.945147544816009E-2"/>
          <c:y val="6.9708491761723751E-2"/>
          <c:w val="0.86065329890443854"/>
          <c:h val="0.75798678682274956"/>
        </c:manualLayout>
      </c:layout>
      <c:scatterChart>
        <c:scatterStyle val="lineMarker"/>
        <c:ser>
          <c:idx val="0"/>
          <c:order val="0"/>
          <c:tx>
            <c:v>Exam %</c:v>
          </c:tx>
          <c:spPr>
            <a:ln w="19050">
              <a:noFill/>
            </a:ln>
          </c:spPr>
          <c:marker>
            <c:symbol val="circle"/>
            <c:size val="8"/>
            <c:spPr>
              <a:solidFill>
                <a:schemeClr val="bg2">
                  <a:lumMod val="75000"/>
                </a:schemeClr>
              </a:solidFill>
              <a:ln>
                <a:solidFill>
                  <a:schemeClr val="accent1"/>
                </a:solidFill>
              </a:ln>
            </c:spPr>
          </c:marker>
          <c:trendline>
            <c:spPr>
              <a:ln>
                <a:solidFill>
                  <a:schemeClr val="accent3"/>
                </a:solidFill>
                <a:prstDash val="dash"/>
              </a:ln>
            </c:spPr>
            <c:trendlineType val="poly"/>
            <c:order val="3"/>
            <c:dispRSqr val="1"/>
            <c:dispEq val="1"/>
            <c:trendlineLbl>
              <c:layout>
                <c:manualLayout>
                  <c:x val="-0.17976477189018364"/>
                  <c:y val="0.37852659102022906"/>
                </c:manualLayout>
              </c:layout>
              <c:tx>
                <c:rich>
                  <a:bodyPr/>
                  <a:lstStyle/>
                  <a:p>
                    <a:pPr>
                      <a:defRPr sz="800"/>
                    </a:pPr>
                    <a:r>
                      <a:rPr lang="en-US" sz="800" baseline="0"/>
                      <a:t>EXAM% = 51507(STI)</a:t>
                    </a:r>
                    <a:r>
                      <a:rPr lang="en-US" sz="800" baseline="30000"/>
                      <a:t>3</a:t>
                    </a:r>
                    <a:r>
                      <a:rPr lang="en-US" sz="800" baseline="0"/>
                      <a:t> - 88625</a:t>
                    </a:r>
                    <a:r>
                      <a:rPr lang="en-US" sz="800" b="0" i="0" u="none" strike="noStrike" baseline="0">
                        <a:effectLst/>
                      </a:rPr>
                      <a:t>(STI)</a:t>
                    </a:r>
                    <a:r>
                      <a:rPr lang="en-US" sz="800" baseline="30000"/>
                      <a:t>2</a:t>
                    </a:r>
                    <a:r>
                      <a:rPr lang="en-US" sz="800" baseline="0"/>
                      <a:t> + 50719</a:t>
                    </a:r>
                    <a:r>
                      <a:rPr lang="en-US" sz="800" b="0" i="0" u="none" strike="noStrike" baseline="0">
                        <a:effectLst/>
                      </a:rPr>
                      <a:t>(STI)</a:t>
                    </a:r>
                    <a:r>
                      <a:rPr lang="en-US" sz="800" baseline="0"/>
                      <a:t> - 9564</a:t>
                    </a:r>
                    <a:br>
                      <a:rPr lang="en-US" sz="800" baseline="0"/>
                    </a:br>
                    <a:r>
                      <a:rPr lang="en-US" sz="800" baseline="0"/>
                      <a:t>R² = 0.4598</a:t>
                    </a:r>
                    <a:endParaRPr lang="en-US" sz="800"/>
                  </a:p>
                </c:rich>
              </c:tx>
              <c:numFmt formatCode="General" sourceLinked="0"/>
            </c:trendlineLbl>
          </c:trendline>
          <c:xVal>
            <c:numRef>
              <c:f>Sheet11!$L$2:$L$21</c:f>
              <c:numCache>
                <c:formatCode>0.00</c:formatCode>
                <c:ptCount val="20"/>
                <c:pt idx="0">
                  <c:v>0.49000000000000027</c:v>
                </c:pt>
                <c:pt idx="1">
                  <c:v>0.50666666666666649</c:v>
                </c:pt>
                <c:pt idx="2">
                  <c:v>0.5166666666666665</c:v>
                </c:pt>
                <c:pt idx="3">
                  <c:v>0.5166666666666665</c:v>
                </c:pt>
                <c:pt idx="4">
                  <c:v>0.5166666666666665</c:v>
                </c:pt>
                <c:pt idx="5">
                  <c:v>0.52333333333333332</c:v>
                </c:pt>
                <c:pt idx="6">
                  <c:v>0.53333333333333333</c:v>
                </c:pt>
                <c:pt idx="7">
                  <c:v>0.54666666666666652</c:v>
                </c:pt>
                <c:pt idx="8">
                  <c:v>0.57666666666666666</c:v>
                </c:pt>
                <c:pt idx="9">
                  <c:v>0.58333333333333337</c:v>
                </c:pt>
                <c:pt idx="10">
                  <c:v>0.58666666666666656</c:v>
                </c:pt>
                <c:pt idx="11">
                  <c:v>0.59</c:v>
                </c:pt>
                <c:pt idx="12">
                  <c:v>0.59</c:v>
                </c:pt>
                <c:pt idx="13">
                  <c:v>0.60000000000000053</c:v>
                </c:pt>
                <c:pt idx="14">
                  <c:v>0.60666666666666669</c:v>
                </c:pt>
                <c:pt idx="15">
                  <c:v>0.60666666666666669</c:v>
                </c:pt>
                <c:pt idx="16">
                  <c:v>0.61000000000000054</c:v>
                </c:pt>
                <c:pt idx="17">
                  <c:v>0.61000000000000054</c:v>
                </c:pt>
                <c:pt idx="18">
                  <c:v>0.62000000000000055</c:v>
                </c:pt>
                <c:pt idx="19">
                  <c:v>0.62666666666666671</c:v>
                </c:pt>
              </c:numCache>
            </c:numRef>
          </c:xVal>
          <c:yVal>
            <c:numRef>
              <c:f>Sheet11!$P$2:$P$21</c:f>
              <c:numCache>
                <c:formatCode>0.00</c:formatCode>
                <c:ptCount val="20"/>
                <c:pt idx="0">
                  <c:v>67</c:v>
                </c:pt>
                <c:pt idx="1">
                  <c:v>87</c:v>
                </c:pt>
                <c:pt idx="2">
                  <c:v>87</c:v>
                </c:pt>
                <c:pt idx="3">
                  <c:v>83</c:v>
                </c:pt>
                <c:pt idx="4">
                  <c:v>87</c:v>
                </c:pt>
                <c:pt idx="5">
                  <c:v>90</c:v>
                </c:pt>
                <c:pt idx="6">
                  <c:v>90</c:v>
                </c:pt>
                <c:pt idx="7">
                  <c:v>90</c:v>
                </c:pt>
                <c:pt idx="8">
                  <c:v>83</c:v>
                </c:pt>
                <c:pt idx="9">
                  <c:v>97</c:v>
                </c:pt>
                <c:pt idx="10">
                  <c:v>87</c:v>
                </c:pt>
                <c:pt idx="11">
                  <c:v>87</c:v>
                </c:pt>
                <c:pt idx="12">
                  <c:v>93</c:v>
                </c:pt>
                <c:pt idx="13">
                  <c:v>87</c:v>
                </c:pt>
                <c:pt idx="14">
                  <c:v>97</c:v>
                </c:pt>
                <c:pt idx="15">
                  <c:v>73</c:v>
                </c:pt>
                <c:pt idx="16">
                  <c:v>87</c:v>
                </c:pt>
                <c:pt idx="17">
                  <c:v>90</c:v>
                </c:pt>
                <c:pt idx="18">
                  <c:v>93</c:v>
                </c:pt>
                <c:pt idx="19">
                  <c:v>90</c:v>
                </c:pt>
              </c:numCache>
            </c:numRef>
          </c:yVal>
          <c:extLst xmlns:c16r2="http://schemas.microsoft.com/office/drawing/2015/06/chart">
            <c:ext xmlns:c16="http://schemas.microsoft.com/office/drawing/2014/chart" uri="{C3380CC4-5D6E-409C-BE32-E72D297353CC}">
              <c16:uniqueId val="{00000000-4226-4683-9433-0E7F8A332559}"/>
            </c:ext>
          </c:extLst>
        </c:ser>
        <c:ser>
          <c:idx val="1"/>
          <c:order val="1"/>
          <c:tx>
            <c:v>Predicted Exam %</c:v>
          </c:tx>
          <c:spPr>
            <a:ln w="19050">
              <a:noFill/>
            </a:ln>
          </c:spPr>
          <c:marker>
            <c:symbol val="none"/>
          </c:marker>
          <c:xVal>
            <c:numRef>
              <c:f>Sheet11!$L$2:$L$21</c:f>
              <c:numCache>
                <c:formatCode>0.00</c:formatCode>
                <c:ptCount val="20"/>
                <c:pt idx="0">
                  <c:v>0.49000000000000027</c:v>
                </c:pt>
                <c:pt idx="1">
                  <c:v>0.50666666666666649</c:v>
                </c:pt>
                <c:pt idx="2">
                  <c:v>0.5166666666666665</c:v>
                </c:pt>
                <c:pt idx="3">
                  <c:v>0.5166666666666665</c:v>
                </c:pt>
                <c:pt idx="4">
                  <c:v>0.5166666666666665</c:v>
                </c:pt>
                <c:pt idx="5">
                  <c:v>0.52333333333333332</c:v>
                </c:pt>
                <c:pt idx="6">
                  <c:v>0.53333333333333333</c:v>
                </c:pt>
                <c:pt idx="7">
                  <c:v>0.54666666666666652</c:v>
                </c:pt>
                <c:pt idx="8">
                  <c:v>0.57666666666666666</c:v>
                </c:pt>
                <c:pt idx="9">
                  <c:v>0.58333333333333337</c:v>
                </c:pt>
                <c:pt idx="10">
                  <c:v>0.58666666666666656</c:v>
                </c:pt>
                <c:pt idx="11">
                  <c:v>0.59</c:v>
                </c:pt>
                <c:pt idx="12">
                  <c:v>0.59</c:v>
                </c:pt>
                <c:pt idx="13">
                  <c:v>0.60000000000000053</c:v>
                </c:pt>
                <c:pt idx="14">
                  <c:v>0.60666666666666669</c:v>
                </c:pt>
                <c:pt idx="15">
                  <c:v>0.60666666666666669</c:v>
                </c:pt>
                <c:pt idx="16">
                  <c:v>0.61000000000000054</c:v>
                </c:pt>
                <c:pt idx="17">
                  <c:v>0.61000000000000054</c:v>
                </c:pt>
                <c:pt idx="18">
                  <c:v>0.62000000000000055</c:v>
                </c:pt>
                <c:pt idx="19">
                  <c:v>0.62666666666666671</c:v>
                </c:pt>
              </c:numCache>
            </c:numRef>
          </c:xVal>
          <c:yVal>
            <c:numRef>
              <c:f>OrangeSTIPAVExamMARK!$B$27:$B$46</c:f>
              <c:numCache>
                <c:formatCode>General</c:formatCode>
                <c:ptCount val="20"/>
                <c:pt idx="0">
                  <c:v>69.006212907458519</c:v>
                </c:pt>
                <c:pt idx="1">
                  <c:v>81.768390345259789</c:v>
                </c:pt>
                <c:pt idx="2">
                  <c:v>86.578311130675374</c:v>
                </c:pt>
                <c:pt idx="3">
                  <c:v>86.578311130675374</c:v>
                </c:pt>
                <c:pt idx="4">
                  <c:v>86.578311130675374</c:v>
                </c:pt>
                <c:pt idx="5">
                  <c:v>88.789282248672862</c:v>
                </c:pt>
                <c:pt idx="6">
                  <c:v>90.841196369145237</c:v>
                </c:pt>
                <c:pt idx="7">
                  <c:v>91.697337683272067</c:v>
                </c:pt>
                <c:pt idx="8">
                  <c:v>89.340186526738748</c:v>
                </c:pt>
                <c:pt idx="9">
                  <c:v>88.640470789654458</c:v>
                </c:pt>
                <c:pt idx="10">
                  <c:v>88.335302427280041</c:v>
                </c:pt>
                <c:pt idx="11">
                  <c:v>88.075188505814253</c:v>
                </c:pt>
                <c:pt idx="12">
                  <c:v>88.075188505814253</c:v>
                </c:pt>
                <c:pt idx="13">
                  <c:v>87.67963416276497</c:v>
                </c:pt>
                <c:pt idx="14">
                  <c:v>87.851048227832479</c:v>
                </c:pt>
                <c:pt idx="15">
                  <c:v>87.851048227832479</c:v>
                </c:pt>
                <c:pt idx="16">
                  <c:v>88.101628581278504</c:v>
                </c:pt>
                <c:pt idx="17">
                  <c:v>88.101628581278504</c:v>
                </c:pt>
                <c:pt idx="18">
                  <c:v>89.650215856403378</c:v>
                </c:pt>
                <c:pt idx="19">
                  <c:v>91.461106661425319</c:v>
                </c:pt>
              </c:numCache>
            </c:numRef>
          </c:yVal>
          <c:extLst xmlns:c16r2="http://schemas.microsoft.com/office/drawing/2015/06/chart">
            <c:ext xmlns:c16="http://schemas.microsoft.com/office/drawing/2014/chart" uri="{C3380CC4-5D6E-409C-BE32-E72D297353CC}">
              <c16:uniqueId val="{00000001-4226-4683-9433-0E7F8A332559}"/>
            </c:ext>
          </c:extLst>
        </c:ser>
        <c:dLbls/>
        <c:axId val="88589440"/>
        <c:axId val="88591360"/>
      </c:scatterChart>
      <c:valAx>
        <c:axId val="88589440"/>
        <c:scaling>
          <c:orientation val="minMax"/>
          <c:min val="0.49000000000000032"/>
        </c:scaling>
        <c:axPos val="b"/>
        <c:title>
          <c:tx>
            <c:rich>
              <a:bodyPr/>
              <a:lstStyle/>
              <a:p>
                <a:pPr>
                  <a:defRPr sz="800"/>
                </a:pPr>
                <a:r>
                  <a:rPr lang="en-US" sz="800"/>
                  <a:t>STI(PA)</a:t>
                </a:r>
              </a:p>
            </c:rich>
          </c:tx>
          <c:layout>
            <c:manualLayout>
              <c:xMode val="edge"/>
              <c:yMode val="edge"/>
              <c:x val="0.48259194321357601"/>
              <c:y val="0.70270125211904644"/>
            </c:manualLayout>
          </c:layout>
        </c:title>
        <c:numFmt formatCode="0.00" sourceLinked="1"/>
        <c:tickLblPos val="nextTo"/>
        <c:txPr>
          <a:bodyPr/>
          <a:lstStyle/>
          <a:p>
            <a:pPr>
              <a:defRPr sz="800"/>
            </a:pPr>
            <a:endParaRPr lang="en-US"/>
          </a:p>
        </c:txPr>
        <c:crossAx val="88591360"/>
        <c:crosses val="autoZero"/>
        <c:crossBetween val="midCat"/>
      </c:valAx>
      <c:valAx>
        <c:axId val="88591360"/>
        <c:scaling>
          <c:orientation val="minMax"/>
          <c:min val="60"/>
        </c:scaling>
        <c:axPos val="l"/>
        <c:title>
          <c:tx>
            <c:rich>
              <a:bodyPr/>
              <a:lstStyle/>
              <a:p>
                <a:pPr>
                  <a:defRPr sz="800"/>
                </a:pPr>
                <a:r>
                  <a:rPr lang="en-US" sz="800"/>
                  <a:t>Exam %</a:t>
                </a:r>
              </a:p>
            </c:rich>
          </c:tx>
          <c:layout/>
        </c:title>
        <c:numFmt formatCode="0.00" sourceLinked="1"/>
        <c:tickLblPos val="nextTo"/>
        <c:txPr>
          <a:bodyPr/>
          <a:lstStyle/>
          <a:p>
            <a:pPr>
              <a:defRPr sz="800"/>
            </a:pPr>
            <a:endParaRPr lang="en-US"/>
          </a:p>
        </c:txPr>
        <c:crossAx val="88589440"/>
        <c:crosses val="autoZero"/>
        <c:crossBetween val="midCat"/>
      </c:valAx>
    </c:plotArea>
    <c:legend>
      <c:legendPos val="b"/>
      <c:legendEntry>
        <c:idx val="1"/>
        <c:delete val="1"/>
      </c:legendEntry>
      <c:layout>
        <c:manualLayout>
          <c:xMode val="edge"/>
          <c:yMode val="edge"/>
          <c:x val="1.2119183482631472E-2"/>
          <c:y val="0.91077240344956889"/>
          <c:w val="0.98788071812660827"/>
          <c:h val="5.4796707229778203E-2"/>
        </c:manualLayout>
      </c:layout>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8.1603809223471616E-2"/>
          <c:y val="3.340948713527598E-2"/>
          <c:w val="0.88750548257064688"/>
          <c:h val="0.7728044715213519"/>
        </c:manualLayout>
      </c:layout>
      <c:scatterChart>
        <c:scatterStyle val="lineMarker"/>
        <c:ser>
          <c:idx val="0"/>
          <c:order val="0"/>
          <c:tx>
            <c:v>Correct Answers</c:v>
          </c:tx>
          <c:spPr>
            <a:ln w="19050">
              <a:noFill/>
            </a:ln>
          </c:spPr>
          <c:marker>
            <c:symbol val="circle"/>
            <c:size val="9"/>
            <c:spPr>
              <a:solidFill>
                <a:schemeClr val="bg2"/>
              </a:solidFill>
            </c:spPr>
          </c:marker>
          <c:trendline>
            <c:spPr>
              <a:ln>
                <a:prstDash val="sysDash"/>
              </a:ln>
            </c:spPr>
            <c:trendlineType val="linear"/>
            <c:dispRSqr val="1"/>
            <c:dispEq val="1"/>
            <c:trendlineLbl>
              <c:layout>
                <c:manualLayout>
                  <c:x val="3.1351458220658712E-2"/>
                  <c:y val="0.31455393028433121"/>
                </c:manualLayout>
              </c:layout>
              <c:tx>
                <c:rich>
                  <a:bodyPr/>
                  <a:lstStyle/>
                  <a:p>
                    <a:pPr>
                      <a:defRPr sz="900"/>
                    </a:pPr>
                    <a:r>
                      <a:rPr lang="en-US" sz="900" baseline="0"/>
                      <a:t>Correct Answers= 47.608(STI) - 17.325</a:t>
                    </a:r>
                    <a:br>
                      <a:rPr lang="en-US" sz="900" baseline="0"/>
                    </a:br>
                    <a:r>
                      <a:rPr lang="en-US" sz="900" baseline="0"/>
                      <a:t>R² = 0.6826</a:t>
                    </a:r>
                    <a:endParaRPr lang="en-US" sz="900"/>
                  </a:p>
                </c:rich>
              </c:tx>
              <c:numFmt formatCode="General" sourceLinked="0"/>
            </c:trendlineLbl>
          </c:trendline>
          <c:trendline>
            <c:spPr>
              <a:ln>
                <a:prstDash val="lgDash"/>
              </a:ln>
            </c:spPr>
            <c:trendlineType val="poly"/>
            <c:order val="3"/>
            <c:dispRSqr val="1"/>
            <c:dispEq val="1"/>
            <c:trendlineLbl>
              <c:layout>
                <c:manualLayout>
                  <c:x val="-0.18875644798394808"/>
                  <c:y val="-4.9048394567377369E-2"/>
                </c:manualLayout>
              </c:layout>
              <c:tx>
                <c:rich>
                  <a:bodyPr/>
                  <a:lstStyle/>
                  <a:p>
                    <a:pPr>
                      <a:defRPr sz="900"/>
                    </a:pPr>
                    <a:r>
                      <a:rPr lang="en-US" sz="900" baseline="0"/>
                      <a:t>Correct Answers = -2883.9(STI)</a:t>
                    </a:r>
                    <a:r>
                      <a:rPr lang="en-US" sz="900" baseline="30000"/>
                      <a:t>3</a:t>
                    </a:r>
                    <a:r>
                      <a:rPr lang="en-US" sz="900" baseline="0"/>
                      <a:t> + 4708.4(STI)</a:t>
                    </a:r>
                    <a:r>
                      <a:rPr lang="en-US" sz="900" baseline="30000"/>
                      <a:t>2</a:t>
                    </a:r>
                    <a:r>
                      <a:rPr lang="en-US" sz="900" baseline="0"/>
                      <a:t> - 2499.6(STI) + 439.39</a:t>
                    </a:r>
                    <a:br>
                      <a:rPr lang="en-US" sz="900" baseline="0"/>
                    </a:br>
                    <a:r>
                      <a:rPr lang="en-US" sz="900" baseline="0"/>
                      <a:t>R² = 0.6959</a:t>
                    </a:r>
                    <a:endParaRPr lang="en-US" sz="900"/>
                  </a:p>
                </c:rich>
              </c:tx>
              <c:numFmt formatCode="General" sourceLinked="0"/>
            </c:trendlineLbl>
          </c:trendline>
          <c:xVal>
            <c:numRef>
              <c:f>'[alldatawithnamesremoved.xlsx]PB&amp;STI'!$F$2:$F$37</c:f>
              <c:numCache>
                <c:formatCode>0.00</c:formatCode>
                <c:ptCount val="36"/>
                <c:pt idx="0">
                  <c:v>0.46666666666666667</c:v>
                </c:pt>
                <c:pt idx="1">
                  <c:v>0.46666666666666667</c:v>
                </c:pt>
                <c:pt idx="2">
                  <c:v>0.49000000000000005</c:v>
                </c:pt>
                <c:pt idx="3">
                  <c:v>0.49000000000000005</c:v>
                </c:pt>
                <c:pt idx="4">
                  <c:v>0.49000000000000005</c:v>
                </c:pt>
                <c:pt idx="5">
                  <c:v>0.49000000000000005</c:v>
                </c:pt>
                <c:pt idx="6">
                  <c:v>0.5066666666666666</c:v>
                </c:pt>
                <c:pt idx="7">
                  <c:v>0.5066666666666666</c:v>
                </c:pt>
                <c:pt idx="8">
                  <c:v>0.51666666666666661</c:v>
                </c:pt>
                <c:pt idx="9">
                  <c:v>0.51666666666666661</c:v>
                </c:pt>
                <c:pt idx="10">
                  <c:v>0.51666666666666661</c:v>
                </c:pt>
                <c:pt idx="11">
                  <c:v>0.51666666666666661</c:v>
                </c:pt>
                <c:pt idx="12">
                  <c:v>0.55000000000000004</c:v>
                </c:pt>
                <c:pt idx="13">
                  <c:v>0.55000000000000004</c:v>
                </c:pt>
                <c:pt idx="14">
                  <c:v>0.56666666666666654</c:v>
                </c:pt>
                <c:pt idx="15">
                  <c:v>0.56666666666666654</c:v>
                </c:pt>
                <c:pt idx="16">
                  <c:v>0.58000000000000007</c:v>
                </c:pt>
                <c:pt idx="17">
                  <c:v>0.58000000000000007</c:v>
                </c:pt>
                <c:pt idx="18">
                  <c:v>0.59</c:v>
                </c:pt>
                <c:pt idx="19">
                  <c:v>0.59</c:v>
                </c:pt>
                <c:pt idx="20">
                  <c:v>0.60666666666666669</c:v>
                </c:pt>
                <c:pt idx="21">
                  <c:v>0.60666666666666669</c:v>
                </c:pt>
                <c:pt idx="22">
                  <c:v>0.6100000000000001</c:v>
                </c:pt>
                <c:pt idx="23">
                  <c:v>0.6100000000000001</c:v>
                </c:pt>
                <c:pt idx="24">
                  <c:v>0.6133333333333334</c:v>
                </c:pt>
                <c:pt idx="25">
                  <c:v>0.6133333333333334</c:v>
                </c:pt>
                <c:pt idx="26">
                  <c:v>0.6166666666666667</c:v>
                </c:pt>
                <c:pt idx="27">
                  <c:v>0.6166666666666667</c:v>
                </c:pt>
                <c:pt idx="28">
                  <c:v>0.62000000000000011</c:v>
                </c:pt>
                <c:pt idx="29">
                  <c:v>0.62000000000000011</c:v>
                </c:pt>
                <c:pt idx="30">
                  <c:v>0.62666666666666671</c:v>
                </c:pt>
                <c:pt idx="31">
                  <c:v>0.62666666666666671</c:v>
                </c:pt>
                <c:pt idx="32">
                  <c:v>0.63333333333333341</c:v>
                </c:pt>
                <c:pt idx="33">
                  <c:v>0.63333333333333341</c:v>
                </c:pt>
                <c:pt idx="34">
                  <c:v>0.63666666666666671</c:v>
                </c:pt>
                <c:pt idx="35">
                  <c:v>0.63666666666666671</c:v>
                </c:pt>
              </c:numCache>
            </c:numRef>
          </c:xVal>
          <c:yVal>
            <c:numRef>
              <c:f>'[alldatawithnamesremoved.xlsx]PB&amp;STI'!$C$2:$C$37</c:f>
              <c:numCache>
                <c:formatCode>General</c:formatCode>
                <c:ptCount val="36"/>
                <c:pt idx="0">
                  <c:v>5</c:v>
                </c:pt>
                <c:pt idx="1">
                  <c:v>6</c:v>
                </c:pt>
                <c:pt idx="2">
                  <c:v>6</c:v>
                </c:pt>
                <c:pt idx="3">
                  <c:v>5</c:v>
                </c:pt>
                <c:pt idx="4">
                  <c:v>3</c:v>
                </c:pt>
                <c:pt idx="5">
                  <c:v>8</c:v>
                </c:pt>
                <c:pt idx="6">
                  <c:v>7</c:v>
                </c:pt>
                <c:pt idx="7">
                  <c:v>8</c:v>
                </c:pt>
                <c:pt idx="8">
                  <c:v>5</c:v>
                </c:pt>
                <c:pt idx="9">
                  <c:v>10</c:v>
                </c:pt>
                <c:pt idx="10">
                  <c:v>4</c:v>
                </c:pt>
                <c:pt idx="11">
                  <c:v>6</c:v>
                </c:pt>
                <c:pt idx="12">
                  <c:v>11</c:v>
                </c:pt>
                <c:pt idx="13">
                  <c:v>7</c:v>
                </c:pt>
                <c:pt idx="14">
                  <c:v>13</c:v>
                </c:pt>
                <c:pt idx="15">
                  <c:v>10</c:v>
                </c:pt>
                <c:pt idx="16">
                  <c:v>11</c:v>
                </c:pt>
                <c:pt idx="17">
                  <c:v>12</c:v>
                </c:pt>
                <c:pt idx="18">
                  <c:v>11</c:v>
                </c:pt>
                <c:pt idx="19">
                  <c:v>11</c:v>
                </c:pt>
                <c:pt idx="20">
                  <c:v>14</c:v>
                </c:pt>
                <c:pt idx="21">
                  <c:v>10</c:v>
                </c:pt>
                <c:pt idx="22">
                  <c:v>12</c:v>
                </c:pt>
                <c:pt idx="23">
                  <c:v>10</c:v>
                </c:pt>
                <c:pt idx="24">
                  <c:v>11</c:v>
                </c:pt>
                <c:pt idx="25">
                  <c:v>14</c:v>
                </c:pt>
                <c:pt idx="26">
                  <c:v>12</c:v>
                </c:pt>
                <c:pt idx="27">
                  <c:v>13</c:v>
                </c:pt>
                <c:pt idx="28">
                  <c:v>9</c:v>
                </c:pt>
                <c:pt idx="29">
                  <c:v>11</c:v>
                </c:pt>
                <c:pt idx="30">
                  <c:v>11</c:v>
                </c:pt>
                <c:pt idx="31">
                  <c:v>12</c:v>
                </c:pt>
                <c:pt idx="32">
                  <c:v>16</c:v>
                </c:pt>
                <c:pt idx="33">
                  <c:v>13</c:v>
                </c:pt>
                <c:pt idx="34">
                  <c:v>14</c:v>
                </c:pt>
                <c:pt idx="35">
                  <c:v>10</c:v>
                </c:pt>
              </c:numCache>
            </c:numRef>
          </c:yVal>
          <c:extLst xmlns:c16r2="http://schemas.microsoft.com/office/drawing/2015/06/chart">
            <c:ext xmlns:c16="http://schemas.microsoft.com/office/drawing/2014/chart" uri="{C3380CC4-5D6E-409C-BE32-E72D297353CC}">
              <c16:uniqueId val="{00000000-3C04-47A6-92A5-68244DB23F89}"/>
            </c:ext>
          </c:extLst>
        </c:ser>
        <c:ser>
          <c:idx val="1"/>
          <c:order val="1"/>
          <c:tx>
            <c:v>Predicted Correct Answers</c:v>
          </c:tx>
          <c:spPr>
            <a:ln w="19050">
              <a:noFill/>
            </a:ln>
          </c:spPr>
          <c:marker>
            <c:symbol val="none"/>
          </c:marker>
          <c:xVal>
            <c:numRef>
              <c:f>'[alldatawithnamesremoved.xlsx]PB&amp;STI'!$F$2:$F$37</c:f>
              <c:numCache>
                <c:formatCode>0.00</c:formatCode>
                <c:ptCount val="36"/>
                <c:pt idx="0">
                  <c:v>0.46666666666666667</c:v>
                </c:pt>
                <c:pt idx="1">
                  <c:v>0.46666666666666667</c:v>
                </c:pt>
                <c:pt idx="2">
                  <c:v>0.49000000000000005</c:v>
                </c:pt>
                <c:pt idx="3">
                  <c:v>0.49000000000000005</c:v>
                </c:pt>
                <c:pt idx="4">
                  <c:v>0.49000000000000005</c:v>
                </c:pt>
                <c:pt idx="5">
                  <c:v>0.49000000000000005</c:v>
                </c:pt>
                <c:pt idx="6">
                  <c:v>0.5066666666666666</c:v>
                </c:pt>
                <c:pt idx="7">
                  <c:v>0.5066666666666666</c:v>
                </c:pt>
                <c:pt idx="8">
                  <c:v>0.51666666666666661</c:v>
                </c:pt>
                <c:pt idx="9">
                  <c:v>0.51666666666666661</c:v>
                </c:pt>
                <c:pt idx="10">
                  <c:v>0.51666666666666661</c:v>
                </c:pt>
                <c:pt idx="11">
                  <c:v>0.51666666666666661</c:v>
                </c:pt>
                <c:pt idx="12">
                  <c:v>0.55000000000000004</c:v>
                </c:pt>
                <c:pt idx="13">
                  <c:v>0.55000000000000004</c:v>
                </c:pt>
                <c:pt idx="14">
                  <c:v>0.56666666666666654</c:v>
                </c:pt>
                <c:pt idx="15">
                  <c:v>0.56666666666666654</c:v>
                </c:pt>
                <c:pt idx="16">
                  <c:v>0.58000000000000007</c:v>
                </c:pt>
                <c:pt idx="17">
                  <c:v>0.58000000000000007</c:v>
                </c:pt>
                <c:pt idx="18">
                  <c:v>0.59</c:v>
                </c:pt>
                <c:pt idx="19">
                  <c:v>0.59</c:v>
                </c:pt>
                <c:pt idx="20">
                  <c:v>0.60666666666666669</c:v>
                </c:pt>
                <c:pt idx="21">
                  <c:v>0.60666666666666669</c:v>
                </c:pt>
                <c:pt idx="22">
                  <c:v>0.6100000000000001</c:v>
                </c:pt>
                <c:pt idx="23">
                  <c:v>0.6100000000000001</c:v>
                </c:pt>
                <c:pt idx="24">
                  <c:v>0.6133333333333334</c:v>
                </c:pt>
                <c:pt idx="25">
                  <c:v>0.6133333333333334</c:v>
                </c:pt>
                <c:pt idx="26">
                  <c:v>0.6166666666666667</c:v>
                </c:pt>
                <c:pt idx="27">
                  <c:v>0.6166666666666667</c:v>
                </c:pt>
                <c:pt idx="28">
                  <c:v>0.62000000000000011</c:v>
                </c:pt>
                <c:pt idx="29">
                  <c:v>0.62000000000000011</c:v>
                </c:pt>
                <c:pt idx="30">
                  <c:v>0.62666666666666671</c:v>
                </c:pt>
                <c:pt idx="31">
                  <c:v>0.62666666666666671</c:v>
                </c:pt>
                <c:pt idx="32">
                  <c:v>0.63333333333333341</c:v>
                </c:pt>
                <c:pt idx="33">
                  <c:v>0.63333333333333341</c:v>
                </c:pt>
                <c:pt idx="34">
                  <c:v>0.63666666666666671</c:v>
                </c:pt>
                <c:pt idx="35">
                  <c:v>0.63666666666666671</c:v>
                </c:pt>
              </c:numCache>
            </c:numRef>
          </c:xVal>
          <c:yVal>
            <c:numRef>
              <c:f>'[alldatawithnamesremoved.xlsx]PBandSTI (2)'!$B$25:$B$60</c:f>
              <c:numCache>
                <c:formatCode>General</c:formatCode>
                <c:ptCount val="36"/>
                <c:pt idx="0">
                  <c:v>4.8922204213938381</c:v>
                </c:pt>
                <c:pt idx="1">
                  <c:v>4.8922204213938381</c:v>
                </c:pt>
                <c:pt idx="2">
                  <c:v>6.0030738277538704</c:v>
                </c:pt>
                <c:pt idx="3">
                  <c:v>6.0030738277538704</c:v>
                </c:pt>
                <c:pt idx="4">
                  <c:v>6.0030738277538704</c:v>
                </c:pt>
                <c:pt idx="5">
                  <c:v>6.0030738277538704</c:v>
                </c:pt>
                <c:pt idx="6">
                  <c:v>6.7965405465824622</c:v>
                </c:pt>
                <c:pt idx="7">
                  <c:v>6.7965405465824622</c:v>
                </c:pt>
                <c:pt idx="8">
                  <c:v>7.2726205778796178</c:v>
                </c:pt>
                <c:pt idx="9">
                  <c:v>7.2726205778796178</c:v>
                </c:pt>
                <c:pt idx="10">
                  <c:v>7.2726205778796178</c:v>
                </c:pt>
                <c:pt idx="11">
                  <c:v>7.2726205778796178</c:v>
                </c:pt>
                <c:pt idx="12">
                  <c:v>8.8595540155368084</c:v>
                </c:pt>
                <c:pt idx="13">
                  <c:v>8.8595540155368084</c:v>
                </c:pt>
                <c:pt idx="14">
                  <c:v>9.6530207343653878</c:v>
                </c:pt>
                <c:pt idx="15">
                  <c:v>9.6530207343653878</c:v>
                </c:pt>
                <c:pt idx="16">
                  <c:v>10.287794109428267</c:v>
                </c:pt>
                <c:pt idx="17">
                  <c:v>10.287794109428267</c:v>
                </c:pt>
                <c:pt idx="18">
                  <c:v>10.763874140725418</c:v>
                </c:pt>
                <c:pt idx="19">
                  <c:v>10.763874140725418</c:v>
                </c:pt>
                <c:pt idx="20">
                  <c:v>11.557340859554012</c:v>
                </c:pt>
                <c:pt idx="21">
                  <c:v>11.557340859554012</c:v>
                </c:pt>
                <c:pt idx="22">
                  <c:v>11.716034203319735</c:v>
                </c:pt>
                <c:pt idx="23">
                  <c:v>11.716034203319735</c:v>
                </c:pt>
                <c:pt idx="24">
                  <c:v>11.874727547085451</c:v>
                </c:pt>
                <c:pt idx="25">
                  <c:v>11.874727547085451</c:v>
                </c:pt>
                <c:pt idx="26">
                  <c:v>12.03342089085117</c:v>
                </c:pt>
                <c:pt idx="27">
                  <c:v>12.03342089085117</c:v>
                </c:pt>
                <c:pt idx="28">
                  <c:v>12.19211423461689</c:v>
                </c:pt>
                <c:pt idx="29">
                  <c:v>12.19211423461689</c:v>
                </c:pt>
                <c:pt idx="30">
                  <c:v>12.509500922148325</c:v>
                </c:pt>
                <c:pt idx="31">
                  <c:v>12.509500922148325</c:v>
                </c:pt>
                <c:pt idx="32">
                  <c:v>12.826887609679764</c:v>
                </c:pt>
                <c:pt idx="33">
                  <c:v>12.826887609679764</c:v>
                </c:pt>
                <c:pt idx="34">
                  <c:v>12.985580953445488</c:v>
                </c:pt>
                <c:pt idx="35">
                  <c:v>12.985580953445488</c:v>
                </c:pt>
              </c:numCache>
            </c:numRef>
          </c:yVal>
          <c:extLst xmlns:c16r2="http://schemas.microsoft.com/office/drawing/2015/06/chart">
            <c:ext xmlns:c16="http://schemas.microsoft.com/office/drawing/2014/chart" uri="{C3380CC4-5D6E-409C-BE32-E72D297353CC}">
              <c16:uniqueId val="{00000001-3C04-47A6-92A5-68244DB23F89}"/>
            </c:ext>
          </c:extLst>
        </c:ser>
        <c:dLbls/>
        <c:axId val="88513536"/>
        <c:axId val="88519808"/>
      </c:scatterChart>
      <c:valAx>
        <c:axId val="88513536"/>
        <c:scaling>
          <c:orientation val="minMax"/>
          <c:min val="0.45"/>
        </c:scaling>
        <c:axPos val="b"/>
        <c:title>
          <c:tx>
            <c:rich>
              <a:bodyPr/>
              <a:lstStyle/>
              <a:p>
                <a:pPr>
                  <a:defRPr sz="900"/>
                </a:pPr>
                <a:r>
                  <a:rPr lang="en-US" sz="900"/>
                  <a:t>STI</a:t>
                </a:r>
              </a:p>
            </c:rich>
          </c:tx>
          <c:layout>
            <c:manualLayout>
              <c:xMode val="edge"/>
              <c:yMode val="edge"/>
              <c:x val="0.50088055104920914"/>
              <c:y val="0.7298093234193308"/>
            </c:manualLayout>
          </c:layout>
        </c:title>
        <c:numFmt formatCode="0.00" sourceLinked="1"/>
        <c:tickLblPos val="nextTo"/>
        <c:txPr>
          <a:bodyPr/>
          <a:lstStyle/>
          <a:p>
            <a:pPr>
              <a:defRPr sz="900"/>
            </a:pPr>
            <a:endParaRPr lang="en-US"/>
          </a:p>
        </c:txPr>
        <c:crossAx val="88519808"/>
        <c:crosses val="autoZero"/>
        <c:crossBetween val="midCat"/>
      </c:valAx>
      <c:valAx>
        <c:axId val="88519808"/>
        <c:scaling>
          <c:orientation val="minMax"/>
        </c:scaling>
        <c:axPos val="l"/>
        <c:title>
          <c:tx>
            <c:rich>
              <a:bodyPr/>
              <a:lstStyle/>
              <a:p>
                <a:pPr>
                  <a:defRPr sz="900"/>
                </a:pPr>
                <a:r>
                  <a:rPr lang="en-US" sz="900"/>
                  <a:t>Correct Answers</a:t>
                </a:r>
              </a:p>
            </c:rich>
          </c:tx>
          <c:layout/>
        </c:title>
        <c:numFmt formatCode="General" sourceLinked="1"/>
        <c:tickLblPos val="nextTo"/>
        <c:txPr>
          <a:bodyPr/>
          <a:lstStyle/>
          <a:p>
            <a:pPr>
              <a:defRPr sz="900"/>
            </a:pPr>
            <a:endParaRPr lang="en-US"/>
          </a:p>
        </c:txPr>
        <c:crossAx val="88513536"/>
        <c:crosses val="autoZero"/>
        <c:crossBetween val="midCat"/>
      </c:valAx>
    </c:plotArea>
    <c:legend>
      <c:legendPos val="b"/>
      <c:legendEntry>
        <c:idx val="1"/>
        <c:delete val="1"/>
      </c:legendEntry>
      <c:layout>
        <c:manualLayout>
          <c:xMode val="edge"/>
          <c:yMode val="edge"/>
          <c:x val="4.1624790619765484E-2"/>
          <c:y val="0.92131523373940749"/>
          <c:w val="0.93667692080933551"/>
          <c:h val="7.4723828715168292E-2"/>
        </c:manualLayout>
      </c:layout>
      <c:txPr>
        <a:bodyPr/>
        <a:lstStyle/>
        <a:p>
          <a:pPr>
            <a:defRPr sz="800"/>
          </a:pPr>
          <a:endParaRPr lang="en-US"/>
        </a:p>
      </c:txP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7.9984943742497303E-2"/>
          <c:y val="0.26361959618860875"/>
          <c:w val="0.8915912836476837"/>
          <c:h val="0.54818346150310981"/>
        </c:manualLayout>
      </c:layout>
      <c:barChart>
        <c:barDir val="col"/>
        <c:grouping val="clustered"/>
        <c:ser>
          <c:idx val="0"/>
          <c:order val="0"/>
          <c:tx>
            <c:strRef>
              <c:f>Sheet9!$U$2</c:f>
              <c:strCache>
                <c:ptCount val="1"/>
                <c:pt idx="0">
                  <c:v>K018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Sheet9!$V$1:$AA$1</c:f>
              <c:strCache>
                <c:ptCount val="6"/>
                <c:pt idx="0">
                  <c:v>Noise</c:v>
                </c:pt>
                <c:pt idx="1">
                  <c:v>Noise (dBA)</c:v>
                </c:pt>
                <c:pt idx="2">
                  <c:v>RT</c:v>
                </c:pt>
                <c:pt idx="3">
                  <c:v>RT(mf)</c:v>
                </c:pt>
                <c:pt idx="4">
                  <c:v>Speech</c:v>
                </c:pt>
                <c:pt idx="5">
                  <c:v>STI</c:v>
                </c:pt>
              </c:strCache>
            </c:strRef>
          </c:cat>
          <c:val>
            <c:numRef>
              <c:f>Sheet9!$V$2:$AA$2</c:f>
              <c:numCache>
                <c:formatCode>0</c:formatCode>
                <c:ptCount val="6"/>
                <c:pt idx="0">
                  <c:v>42.22222222222225</c:v>
                </c:pt>
                <c:pt idx="1">
                  <c:v>43</c:v>
                </c:pt>
                <c:pt idx="2">
                  <c:v>62.797619047619051</c:v>
                </c:pt>
                <c:pt idx="3">
                  <c:v>69.2</c:v>
                </c:pt>
                <c:pt idx="4">
                  <c:v>50.476190476190474</c:v>
                </c:pt>
                <c:pt idx="5">
                  <c:v>49.916666666666565</c:v>
                </c:pt>
              </c:numCache>
            </c:numRef>
          </c:val>
          <c:extLst xmlns:c16r2="http://schemas.microsoft.com/office/drawing/2015/06/chart">
            <c:ext xmlns:c16="http://schemas.microsoft.com/office/drawing/2014/chart" uri="{C3380CC4-5D6E-409C-BE32-E72D297353CC}">
              <c16:uniqueId val="{00000000-7B79-4268-A787-6562FA75FC0A}"/>
            </c:ext>
          </c:extLst>
        </c:ser>
        <c:ser>
          <c:idx val="1"/>
          <c:order val="1"/>
          <c:tx>
            <c:strRef>
              <c:f>Sheet9!$U$3</c:f>
              <c:strCache>
                <c:ptCount val="1"/>
                <c:pt idx="0">
                  <c:v>K4U.12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Sheet9!$V$1:$AA$1</c:f>
              <c:strCache>
                <c:ptCount val="6"/>
                <c:pt idx="0">
                  <c:v>Noise</c:v>
                </c:pt>
                <c:pt idx="1">
                  <c:v>Noise (dBA)</c:v>
                </c:pt>
                <c:pt idx="2">
                  <c:v>RT</c:v>
                </c:pt>
                <c:pt idx="3">
                  <c:v>RT(mf)</c:v>
                </c:pt>
                <c:pt idx="4">
                  <c:v>Speech</c:v>
                </c:pt>
                <c:pt idx="5">
                  <c:v>STI</c:v>
                </c:pt>
              </c:strCache>
            </c:strRef>
          </c:cat>
          <c:val>
            <c:numRef>
              <c:f>Sheet9!$V$3:$AA$3</c:f>
              <c:numCache>
                <c:formatCode>0</c:formatCode>
                <c:ptCount val="6"/>
                <c:pt idx="0">
                  <c:v>18.78787878787881</c:v>
                </c:pt>
                <c:pt idx="1">
                  <c:v>43</c:v>
                </c:pt>
                <c:pt idx="2">
                  <c:v>63.068181818181884</c:v>
                </c:pt>
                <c:pt idx="3">
                  <c:v>47.600000000000009</c:v>
                </c:pt>
                <c:pt idx="4">
                  <c:v>46.666666666666593</c:v>
                </c:pt>
                <c:pt idx="5">
                  <c:v>51.750000000000007</c:v>
                </c:pt>
              </c:numCache>
            </c:numRef>
          </c:val>
          <c:extLst xmlns:c16r2="http://schemas.microsoft.com/office/drawing/2015/06/chart">
            <c:ext xmlns:c16="http://schemas.microsoft.com/office/drawing/2014/chart" uri="{C3380CC4-5D6E-409C-BE32-E72D297353CC}">
              <c16:uniqueId val="{00000001-7B79-4268-A787-6562FA75FC0A}"/>
            </c:ext>
          </c:extLst>
        </c:ser>
        <c:ser>
          <c:idx val="2"/>
          <c:order val="2"/>
          <c:tx>
            <c:strRef>
              <c:f>Sheet9!$U$4</c:f>
              <c:strCache>
                <c:ptCount val="1"/>
                <c:pt idx="0">
                  <c:v>K0.20 (T)</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Sheet9!$V$1:$AA$1</c:f>
              <c:strCache>
                <c:ptCount val="6"/>
                <c:pt idx="0">
                  <c:v>Noise</c:v>
                </c:pt>
                <c:pt idx="1">
                  <c:v>Noise (dBA)</c:v>
                </c:pt>
                <c:pt idx="2">
                  <c:v>RT</c:v>
                </c:pt>
                <c:pt idx="3">
                  <c:v>RT(mf)</c:v>
                </c:pt>
                <c:pt idx="4">
                  <c:v>Speech</c:v>
                </c:pt>
                <c:pt idx="5">
                  <c:v>STI</c:v>
                </c:pt>
              </c:strCache>
            </c:strRef>
          </c:cat>
          <c:val>
            <c:numRef>
              <c:f>Sheet9!$V$4:$AA$4</c:f>
              <c:numCache>
                <c:formatCode>0</c:formatCode>
                <c:ptCount val="6"/>
                <c:pt idx="0">
                  <c:v>29.333333333333304</c:v>
                </c:pt>
                <c:pt idx="1">
                  <c:v>37</c:v>
                </c:pt>
                <c:pt idx="2">
                  <c:v>51.25</c:v>
                </c:pt>
                <c:pt idx="3">
                  <c:v>38.4</c:v>
                </c:pt>
                <c:pt idx="4">
                  <c:v>46</c:v>
                </c:pt>
                <c:pt idx="5">
                  <c:v>53.388888888888886</c:v>
                </c:pt>
              </c:numCache>
            </c:numRef>
          </c:val>
          <c:extLst xmlns:c16r2="http://schemas.microsoft.com/office/drawing/2015/06/chart">
            <c:ext xmlns:c16="http://schemas.microsoft.com/office/drawing/2014/chart" uri="{C3380CC4-5D6E-409C-BE32-E72D297353CC}">
              <c16:uniqueId val="{00000002-7B79-4268-A787-6562FA75FC0A}"/>
            </c:ext>
          </c:extLst>
        </c:ser>
        <c:ser>
          <c:idx val="3"/>
          <c:order val="3"/>
          <c:tx>
            <c:strRef>
              <c:f>Sheet9!$U$5</c:f>
              <c:strCache>
                <c:ptCount val="1"/>
                <c:pt idx="0">
                  <c:v>K020 (U)</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Sheet9!$V$1:$AA$1</c:f>
              <c:strCache>
                <c:ptCount val="6"/>
                <c:pt idx="0">
                  <c:v>Noise</c:v>
                </c:pt>
                <c:pt idx="1">
                  <c:v>Noise (dBA)</c:v>
                </c:pt>
                <c:pt idx="2">
                  <c:v>RT</c:v>
                </c:pt>
                <c:pt idx="3">
                  <c:v>RT(mf)</c:v>
                </c:pt>
                <c:pt idx="4">
                  <c:v>Speech</c:v>
                </c:pt>
                <c:pt idx="5">
                  <c:v>STI</c:v>
                </c:pt>
              </c:strCache>
            </c:strRef>
          </c:cat>
          <c:val>
            <c:numRef>
              <c:f>Sheet9!$V$5:$AA$5</c:f>
              <c:numCache>
                <c:formatCode>0</c:formatCode>
                <c:ptCount val="6"/>
                <c:pt idx="0">
                  <c:v>44</c:v>
                </c:pt>
                <c:pt idx="1">
                  <c:v>39</c:v>
                </c:pt>
                <c:pt idx="2">
                  <c:v>45.208333333333371</c:v>
                </c:pt>
                <c:pt idx="3">
                  <c:v>67.599999999999994</c:v>
                </c:pt>
                <c:pt idx="4">
                  <c:v>56.888888888888893</c:v>
                </c:pt>
                <c:pt idx="5">
                  <c:v>47.25</c:v>
                </c:pt>
              </c:numCache>
            </c:numRef>
          </c:val>
          <c:extLst xmlns:c16r2="http://schemas.microsoft.com/office/drawing/2015/06/chart">
            <c:ext xmlns:c16="http://schemas.microsoft.com/office/drawing/2014/chart" uri="{C3380CC4-5D6E-409C-BE32-E72D297353CC}">
              <c16:uniqueId val="{00000003-7B79-4268-A787-6562FA75FC0A}"/>
            </c:ext>
          </c:extLst>
        </c:ser>
        <c:ser>
          <c:idx val="4"/>
          <c:order val="4"/>
          <c:tx>
            <c:strRef>
              <c:f>Sheet9!$U$6</c:f>
              <c:strCache>
                <c:ptCount val="1"/>
                <c:pt idx="0">
                  <c:v>K0.16</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cat>
            <c:strRef>
              <c:f>Sheet9!$V$1:$AA$1</c:f>
              <c:strCache>
                <c:ptCount val="6"/>
                <c:pt idx="0">
                  <c:v>Noise</c:v>
                </c:pt>
                <c:pt idx="1">
                  <c:v>Noise (dBA)</c:v>
                </c:pt>
                <c:pt idx="2">
                  <c:v>RT</c:v>
                </c:pt>
                <c:pt idx="3">
                  <c:v>RT(mf)</c:v>
                </c:pt>
                <c:pt idx="4">
                  <c:v>Speech</c:v>
                </c:pt>
                <c:pt idx="5">
                  <c:v>STI</c:v>
                </c:pt>
              </c:strCache>
            </c:strRef>
          </c:cat>
          <c:val>
            <c:numRef>
              <c:f>Sheet9!$V$6:$AA$6</c:f>
              <c:numCache>
                <c:formatCode>0</c:formatCode>
                <c:ptCount val="6"/>
                <c:pt idx="0">
                  <c:v>46.25</c:v>
                </c:pt>
                <c:pt idx="1">
                  <c:v>45</c:v>
                </c:pt>
                <c:pt idx="2">
                  <c:v>52.1484375</c:v>
                </c:pt>
                <c:pt idx="3">
                  <c:v>65.599999999999994</c:v>
                </c:pt>
                <c:pt idx="4">
                  <c:v>52.5</c:v>
                </c:pt>
                <c:pt idx="5">
                  <c:v>50.222222222222257</c:v>
                </c:pt>
              </c:numCache>
            </c:numRef>
          </c:val>
          <c:extLst xmlns:c16r2="http://schemas.microsoft.com/office/drawing/2015/06/chart">
            <c:ext xmlns:c16="http://schemas.microsoft.com/office/drawing/2014/chart" uri="{C3380CC4-5D6E-409C-BE32-E72D297353CC}">
              <c16:uniqueId val="{00000004-7B79-4268-A787-6562FA75FC0A}"/>
            </c:ext>
          </c:extLst>
        </c:ser>
        <c:dLbls/>
        <c:gapWidth val="164"/>
        <c:overlap val="-22"/>
        <c:axId val="88662400"/>
        <c:axId val="88664320"/>
      </c:barChart>
      <c:catAx>
        <c:axId val="88662400"/>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Room</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64320"/>
        <c:crosses val="autoZero"/>
        <c:auto val="1"/>
        <c:lblAlgn val="ctr"/>
        <c:lblOffset val="100"/>
      </c:catAx>
      <c:valAx>
        <c:axId val="88664320"/>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Rel Value</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6240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0.5493</cdr:x>
      <cdr:y>0.00445</cdr:y>
    </cdr:from>
    <cdr:to>
      <cdr:x>0.55174</cdr:x>
      <cdr:y>0.98132</cdr:y>
    </cdr:to>
    <cdr:cxnSp macro="">
      <cdr:nvCxnSpPr>
        <cdr:cNvPr id="3" name="Straight Connector 2"/>
        <cdr:cNvCxnSpPr>
          <a:cxnSpLocks xmlns:a="http://schemas.openxmlformats.org/drawingml/2006/main" noChangeAspect="1"/>
        </cdr:cNvCxnSpPr>
      </cdr:nvCxnSpPr>
      <cdr:spPr>
        <a:xfrm xmlns:a="http://schemas.openxmlformats.org/drawingml/2006/main" flipH="1">
          <a:off x="2155607" y="9525"/>
          <a:ext cx="9575" cy="2091694"/>
        </a:xfrm>
        <a:prstGeom xmlns:a="http://schemas.openxmlformats.org/drawingml/2006/main" prst="line">
          <a:avLst/>
        </a:prstGeom>
        <a:ln xmlns:a="http://schemas.openxmlformats.org/drawingml/2006/main">
          <a:solidFill>
            <a:schemeClr val="accent3"/>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0.18592</cdr:x>
      <cdr:y>0.43641</cdr:y>
    </cdr:from>
    <cdr:to>
      <cdr:x>0.26023</cdr:x>
      <cdr:y>0.53659</cdr:y>
    </cdr:to>
    <cdr:cxnSp macro="">
      <cdr:nvCxnSpPr>
        <cdr:cNvPr id="3" name="Curved Connector 2"/>
        <cdr:cNvCxnSpPr/>
      </cdr:nvCxnSpPr>
      <cdr:spPr>
        <a:xfrm xmlns:a="http://schemas.openxmlformats.org/drawingml/2006/main" rot="10800000">
          <a:off x="1453516" y="1908810"/>
          <a:ext cx="581025" cy="438150"/>
        </a:xfrm>
        <a:prstGeom xmlns:a="http://schemas.openxmlformats.org/drawingml/2006/main" prst="curvedConnector3">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0.51178</cdr:x>
      <cdr:y>0.25257</cdr:y>
    </cdr:from>
    <cdr:to>
      <cdr:x>0.57777</cdr:x>
      <cdr:y>0.43018</cdr:y>
    </cdr:to>
    <cdr:cxnSp macro="">
      <cdr:nvCxnSpPr>
        <cdr:cNvPr id="3" name="Curved Connector 2"/>
        <cdr:cNvCxnSpPr/>
      </cdr:nvCxnSpPr>
      <cdr:spPr>
        <a:xfrm xmlns:a="http://schemas.openxmlformats.org/drawingml/2006/main" rot="16200000" flipH="1">
          <a:off x="2944591" y="523171"/>
          <a:ext cx="370826" cy="379139"/>
        </a:xfrm>
        <a:prstGeom xmlns:a="http://schemas.openxmlformats.org/drawingml/2006/main" prst="curvedConnector3">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0.66883</cdr:x>
      <cdr:y>0.41312</cdr:y>
    </cdr:from>
    <cdr:to>
      <cdr:x>0.71524</cdr:x>
      <cdr:y>0.56068</cdr:y>
    </cdr:to>
    <cdr:cxnSp macro="">
      <cdr:nvCxnSpPr>
        <cdr:cNvPr id="4" name="Curved Connector 3"/>
        <cdr:cNvCxnSpPr/>
      </cdr:nvCxnSpPr>
      <cdr:spPr>
        <a:xfrm xmlns:a="http://schemas.openxmlformats.org/drawingml/2006/main" rot="16200000" flipV="1">
          <a:off x="3822025" y="883271"/>
          <a:ext cx="308103" cy="266637"/>
        </a:xfrm>
        <a:prstGeom xmlns:a="http://schemas.openxmlformats.org/drawingml/2006/main" prst="curvedConnector3">
          <a:avLst>
            <a:gd name="adj1" fmla="val 46560"/>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1594C3CAF97418643921FD54D99F8" ma:contentTypeVersion="0" ma:contentTypeDescription="Create a new document." ma:contentTypeScope="" ma:versionID="d4d5ce730d548657b8a99c622854f6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b:Source>
    <b:Tag>Hod03</b:Tag>
    <b:SourceType>JournalArticle</b:SourceType>
    <b:Guid>{28663190-B9A0-4AFB-B02F-543E798C5705}</b:Guid>
    <b:Author>
      <b:Author>
        <b:NameList>
          <b:Person>
            <b:Last>Hodgson</b:Last>
            <b:First>Murray</b:First>
          </b:Person>
        </b:NameList>
      </b:Author>
    </b:Author>
    <b:Title>Case-study evaluations of the acoustical designs of renovated university classrooms</b:Title>
    <b:City>Vancouver</b:City>
    <b:Year>25 July 2003</b:Year>
    <b:JournalName>Applied Acoustics 65 (2004) 69–89</b:JournalName>
    <b:Pages>89</b:Pages>
    <b:RefOrder>1</b:RefOrder>
  </b:Source>
  <b:Source>
    <b:Tag>Pen14</b:Tag>
    <b:SourceType>JournalArticle</b:SourceType>
    <b:Guid>{5387C8A2-FF83-44DE-9F56-4AAD759E7A35}</b:Guid>
    <b:Author>
      <b:Author>
        <b:NameList>
          <b:Person>
            <b:Last>Peng</b:Last>
            <b:First>Jianxin</b:First>
          </b:Person>
          <b:Person>
            <b:Last> Wang</b:Last>
            <b:First> Dan</b:First>
          </b:Person>
          <b:Person>
            <b:Last>Lau</b:Last>
            <b:First>Siu-Kit</b:First>
          </b:Person>
          <b:Person>
            <b:Last>Yan</b:Last>
            <b:First>Nanjie</b:First>
          </b:Person>
          <b:Person>
            <b:Last>Jiang</b:Last>
            <b:First>Peng</b:First>
          </b:Person>
          <b:Person>
            <b:Last> Wu</b:Last>
            <b:First>Shengju</b:First>
          </b:Person>
        </b:NameList>
      </b:Author>
    </b:Author>
    <b:Title>An investigation of acoustic treatment for children in a classroom of an elementary school</b:Title>
    <b:JournalName>Applied Acoustics</b:JournalName>
    <b:Year>2014</b:Year>
    <b:Pages>42-45</b:Pages>
    <b:Issue>89</b:Issue>
    <b:RefOrder>2</b:RefOrder>
  </b:Source>
  <b:Source>
    <b:Tag>Mar14</b:Tag>
    <b:SourceType>JournalArticle</b:SourceType>
    <b:Guid>{B7DF7AB1-D60A-4298-98B7-FD1690FBE008}</b:Guid>
    <b:Author>
      <b:Author>
        <b:NameList>
          <b:Person>
            <b:Last>Marchand</b:Last>
            <b:First>Gwen</b:First>
            <b:Middle>C.</b:Middle>
          </b:Person>
          <b:Person>
            <b:Last>Nardi</b:Last>
            <b:First>Nicholas</b:First>
            <b:Middle>M.</b:Middle>
          </b:Person>
          <b:Person>
            <b:Last>Reynolds</b:Last>
            <b:First>Douglas</b:First>
          </b:Person>
          <b:Person>
            <b:Last>Pamoukov</b:Last>
            <b:First>Stoil</b:First>
          </b:Person>
        </b:NameList>
      </b:Author>
    </b:Author>
    <b:Title>The impact of the classroom built environment on student perceptions and learning</b:Title>
    <b:JournalName>Journal of Environmental Psychology</b:JournalName>
    <b:Year>2014</b:Year>
    <b:Pages>187-197</b:Pages>
    <b:Issue>40</b:Issue>
    <b:RefOrder>3</b:RefOrder>
  </b:Source>
  <b:Source>
    <b:Tag>VGó15</b:Tag>
    <b:SourceType>JournalArticle</b:SourceType>
    <b:Guid>{6D76348D-3985-4B34-90CF-4AC656451DAB}</b:Guid>
    <b:Author>
      <b:Author>
        <b:NameList>
          <b:Person>
            <b:Last>Escobar</b:Last>
            <b:First>V.</b:First>
            <b:Middle>Gómez</b:Middle>
          </b:Person>
          <b:Person>
            <b:Last>Morillas</b:Last>
            <b:First>J.M.</b:First>
            <b:Middle>Barrigón</b:Middle>
          </b:Person>
        </b:NameList>
      </b:Author>
    </b:Author>
    <b:Title>Analysis of intelligibility and reverberation time recommendations in educational rooms</b:Title>
    <b:JournalName>Applied Acoustics</b:JournalName>
    <b:Year>2015</b:Year>
    <b:Pages>1-10</b:Pages>
    <b:Issue>96</b:Issue>
    <b:RefOrder>4</b:RefOrder>
  </b:Source>
  <b:Source>
    <b:Tag>DfE93</b:Tag>
    <b:SourceType>ElectronicSource</b:SourceType>
    <b:Guid>{196C74FB-7552-471F-812E-EB7B1EB71FD0}</b:Guid>
    <b:Author>
      <b:Author>
        <b:Corporate>DfES</b:Corporate>
      </b:Author>
    </b:Author>
    <b:Title>Building Bulletin 93 Acoustic Design of Schools</b:Title>
    <b:City>London</b:City>
    <b:Publisher>DfES</b:Publisher>
    <b:Year>1993</b:Year>
    <b:RefOrder>5</b:RefOrder>
  </b:Source>
  <b:Source>
    <b:Tag>Zhe13</b:Tag>
    <b:SourceType>JournalArticle</b:SourceType>
    <b:Guid>{BC525935-8A4E-479E-BA46-312E5D1FD89D}</b:Guid>
    <b:Author>
      <b:Author>
        <b:NameList>
          <b:Person>
            <b:Last>Yang</b:Last>
            <b:First>Zheng</b:First>
          </b:Person>
          <b:Person>
            <b:Last>Becerik-Gerber</b:Last>
            <b:First>Burcin</b:First>
          </b:Person>
          <b:Person>
            <b:Last>Mino</b:Last>
            <b:First>Laura</b:First>
          </b:Person>
        </b:NameList>
      </b:Author>
    </b:Author>
    <b:Title>A study on student perceptions of higher education classrooms: Impact of classroom attributes on student satisfaction and performance</b:Title>
    <b:JournalName>Building and Environment</b:JournalName>
    <b:Year>2013</b:Year>
    <b:Pages>171-188</b:Pages>
    <b:Issue>70</b:Issue>
    <b:RefOrder>6</b:RefOrder>
  </b:Source>
  <b:Source>
    <b:Tag>BSI11</b:Tag>
    <b:SourceType>ElectronicSource</b:SourceType>
    <b:Guid>{2EDB8A3A-8F2D-4018-B2EC-71FB3D664049}</b:Guid>
    <b:Author>
      <b:Author>
        <b:Corporate>BSI</b:Corporate>
      </b:Author>
    </b:Author>
    <b:Title>Sound system equipment - Part 16: Objective rating of speech intelligibility by speech transmission index (IEC 60268-16:2011)</b:Title>
    <b:JournalName>BSI Standards Publication</b:JournalName>
    <b:Year>2011</b:Year>
    <b:Pages>71</b:Pages>
    <b:City>London</b:City>
    <b:Publisher>BSI</b:Publisher>
    <b:RefOrder>7</b:RefOrder>
  </b:Source>
  <b:Source>
    <b:Tag>Mor14</b:Tag>
    <b:SourceType>Report</b:SourceType>
    <b:Guid>{4CEBC070-350D-4850-8711-C94EB5E26F40}</b:Guid>
    <b:Author>
      <b:Author>
        <b:NameList>
          <b:Person>
            <b:Last>Morales</b:Last>
            <b:First>Lorenzo</b:First>
          </b:Person>
        </b:NameList>
      </b:Author>
    </b:Author>
    <b:Title>Validation and optimization of the Speech Transmission Index for the English Language</b:Title>
    <b:Year>2014</b:Year>
    <b:City>London</b:City>
    <b:Publisher>LSBU</b:Publisher>
    <b:RefOrder>8</b:RefOrder>
  </b:Source>
</b:Sources>
</file>

<file path=customXml/itemProps1.xml><?xml version="1.0" encoding="utf-8"?>
<ds:datastoreItem xmlns:ds="http://schemas.openxmlformats.org/officeDocument/2006/customXml" ds:itemID="{F3F45BE6-3ABC-49B4-A021-F341C8173705}">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DBB65B-014A-4FAB-AC82-4F2A813E441C}">
  <ds:schemaRefs>
    <ds:schemaRef ds:uri="http://schemas.microsoft.com/sharepoint/v3/contenttype/forms"/>
  </ds:schemaRefs>
</ds:datastoreItem>
</file>

<file path=customXml/itemProps3.xml><?xml version="1.0" encoding="utf-8"?>
<ds:datastoreItem xmlns:ds="http://schemas.openxmlformats.org/officeDocument/2006/customXml" ds:itemID="{BA43D252-7A54-4213-8A0C-14A51D003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7BB084-DAE7-478D-8D9A-015FE129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3038</Words>
  <Characters>17283</Characters>
  <Application>Microsoft Office Word</Application>
  <DocSecurity>0</DocSecurity>
  <Lines>144</Lines>
  <Paragraphs>40</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4" baseType="lpstr">
      <vt:lpstr>ICSV22 Template</vt:lpstr>
      <vt:lpstr>ICSV22 Template</vt:lpstr>
      <vt:lpstr>ICSV22 Template</vt:lpstr>
      <vt:lpstr>Test</vt:lpstr>
    </vt:vector>
  </TitlesOfParts>
  <Company>Politechnika Śląska</Company>
  <LinksUpToDate>false</LinksUpToDate>
  <CharactersWithSpaces>20281</CharactersWithSpaces>
  <SharedDoc>false</SharedDoc>
  <HLinks>
    <vt:vector size="12" baseType="variant">
      <vt:variant>
        <vt:i4>7798826</vt:i4>
      </vt:variant>
      <vt:variant>
        <vt:i4>12</vt:i4>
      </vt:variant>
      <vt:variant>
        <vt:i4>0</vt:i4>
      </vt:variant>
      <vt:variant>
        <vt:i4>5</vt:i4>
      </vt:variant>
      <vt:variant>
        <vt:lpwstr>http://www.fink.com/Kevin.html</vt:lpwstr>
      </vt:variant>
      <vt:variant>
        <vt:lpwstr/>
      </vt:variant>
      <vt:variant>
        <vt:i4>7077982</vt:i4>
      </vt:variant>
      <vt:variant>
        <vt:i4>0</vt:i4>
      </vt:variant>
      <vt:variant>
        <vt:i4>0</vt:i4>
      </vt:variant>
      <vt:variant>
        <vt:i4>5</vt:i4>
      </vt:variant>
      <vt:variant>
        <vt:lpwstr>mailto:.pedrielli@imamoter.cnr.it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ICSV22 Template</dc:title>
  <dc:subject>Manuscript preparation instructions</dc:subject>
  <dc:creator>Georges.KOUROUSSIS@umons.ac.be</dc:creator>
  <cp:lastModifiedBy>Dell</cp:lastModifiedBy>
  <cp:revision>7</cp:revision>
  <cp:lastPrinted>2015-07-03T09:57:00Z</cp:lastPrinted>
  <dcterms:created xsi:type="dcterms:W3CDTF">2017-01-24T16:00:00Z</dcterms:created>
  <dcterms:modified xsi:type="dcterms:W3CDTF">2017-01-25T10:34:00Z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0x010100AE01594C3CAF97418643921FD54D99F8</vt:lpwstr>
  </property>
</Properties>
</file>