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4B225" w14:textId="33CBA93D" w:rsidR="008A0C7B" w:rsidRPr="0027666F" w:rsidRDefault="00B53E71" w:rsidP="008A0C7B">
      <w:pPr>
        <w:jc w:val="center"/>
        <w:rPr>
          <w:rFonts w:ascii="Garamond" w:hAnsi="Garamond"/>
          <w:b/>
          <w:sz w:val="28"/>
          <w:szCs w:val="28"/>
        </w:rPr>
      </w:pPr>
      <w:r w:rsidRPr="0027666F">
        <w:rPr>
          <w:rFonts w:ascii="Garamond" w:hAnsi="Garamond"/>
          <w:b/>
          <w:sz w:val="28"/>
          <w:szCs w:val="28"/>
        </w:rPr>
        <w:t>Archiving Justice, Dr Henry Redwood, DRAFT</w:t>
      </w:r>
      <w:r w:rsidR="00C23C13" w:rsidRPr="0027666F">
        <w:rPr>
          <w:rFonts w:ascii="Garamond" w:hAnsi="Garamond"/>
          <w:b/>
          <w:sz w:val="28"/>
          <w:szCs w:val="28"/>
        </w:rPr>
        <w:t xml:space="preserve"> – 26/</w:t>
      </w:r>
      <w:r w:rsidR="00236F1F" w:rsidRPr="0027666F">
        <w:rPr>
          <w:rFonts w:ascii="Garamond" w:hAnsi="Garamond"/>
          <w:b/>
          <w:sz w:val="28"/>
          <w:szCs w:val="28"/>
        </w:rPr>
        <w:t>09/2020</w:t>
      </w:r>
      <w:r w:rsidRPr="0027666F">
        <w:rPr>
          <w:rFonts w:ascii="Garamond" w:hAnsi="Garamond"/>
          <w:b/>
          <w:sz w:val="28"/>
          <w:szCs w:val="28"/>
        </w:rPr>
        <w:t>.</w:t>
      </w:r>
    </w:p>
    <w:p w14:paraId="775192AB" w14:textId="19FA381C" w:rsidR="008A0C7B" w:rsidRPr="0027666F" w:rsidRDefault="008A0C7B" w:rsidP="008A0C7B">
      <w:pPr>
        <w:rPr>
          <w:rFonts w:ascii="Garamond" w:hAnsi="Garamond"/>
        </w:rPr>
      </w:pPr>
    </w:p>
    <w:p w14:paraId="2F474165" w14:textId="75328173" w:rsidR="00D058FF" w:rsidRPr="0027666F" w:rsidRDefault="00B53E71" w:rsidP="00B53E71">
      <w:pPr>
        <w:pStyle w:val="Heading1"/>
        <w:rPr>
          <w:rFonts w:ascii="Garamond" w:hAnsi="Garamond"/>
        </w:rPr>
      </w:pPr>
      <w:r w:rsidRPr="0027666F">
        <w:rPr>
          <w:rFonts w:ascii="Garamond" w:hAnsi="Garamond"/>
        </w:rPr>
        <w:t>Introduction</w:t>
      </w:r>
    </w:p>
    <w:p w14:paraId="4AD4CE6E" w14:textId="61002308" w:rsidR="00695B79" w:rsidRPr="0027666F" w:rsidRDefault="00695B79" w:rsidP="008A0C7B">
      <w:pPr>
        <w:rPr>
          <w:rFonts w:ascii="Garamond" w:hAnsi="Garamond"/>
          <w:u w:val="single"/>
        </w:rPr>
      </w:pPr>
    </w:p>
    <w:p w14:paraId="47C5E2A4" w14:textId="74659C69" w:rsidR="00695B79" w:rsidRPr="0027666F" w:rsidRDefault="00B53E71" w:rsidP="008A0C7B">
      <w:pPr>
        <w:rPr>
          <w:rFonts w:ascii="Garamond" w:hAnsi="Garamond"/>
          <w:lang w:val="en-US"/>
        </w:rPr>
      </w:pPr>
      <w:r w:rsidRPr="0027666F">
        <w:rPr>
          <w:rFonts w:ascii="Garamond" w:hAnsi="Garamond"/>
        </w:rPr>
        <w:t>Archives are sites of governance and power.</w:t>
      </w:r>
      <w:r w:rsidR="009B50A2" w:rsidRPr="0027666F">
        <w:rPr>
          <w:rFonts w:ascii="Garamond" w:hAnsi="Garamond"/>
          <w:color w:val="000000" w:themeColor="text1"/>
        </w:rPr>
        <w:t xml:space="preserve"> </w:t>
      </w:r>
      <w:r w:rsidR="009B50A2" w:rsidRPr="0027666F">
        <w:rPr>
          <w:rFonts w:ascii="Garamond" w:hAnsi="Garamond"/>
        </w:rPr>
        <w:t>The word</w:t>
      </w:r>
      <w:r w:rsidR="009B50A2" w:rsidRPr="0027666F">
        <w:rPr>
          <w:rFonts w:ascii="Garamond" w:hAnsi="Garamond"/>
          <w:lang w:val="en-US"/>
        </w:rPr>
        <w:t xml:space="preserve"> ‘archive’ first appeared in relation to the </w:t>
      </w:r>
      <w:r w:rsidR="009B50A2" w:rsidRPr="0027666F">
        <w:rPr>
          <w:rFonts w:ascii="Garamond" w:hAnsi="Garamond"/>
          <w:i/>
          <w:lang w:val="en-US"/>
        </w:rPr>
        <w:t>archons</w:t>
      </w:r>
      <w:r w:rsidR="009B50A2" w:rsidRPr="0027666F">
        <w:rPr>
          <w:rFonts w:ascii="Garamond" w:hAnsi="Garamond"/>
          <w:lang w:val="en-US"/>
        </w:rPr>
        <w:t xml:space="preserve"> (the magistrates) of ancient Greece: the archon’s house (the archive, or </w:t>
      </w:r>
      <w:r w:rsidR="009B50A2" w:rsidRPr="0027666F">
        <w:rPr>
          <w:rFonts w:ascii="Garamond" w:hAnsi="Garamond"/>
          <w:i/>
          <w:lang w:val="en-US"/>
        </w:rPr>
        <w:t>arkeion</w:t>
      </w:r>
      <w:r w:rsidR="009B50A2" w:rsidRPr="0027666F">
        <w:rPr>
          <w:rFonts w:ascii="Garamond" w:hAnsi="Garamond"/>
          <w:lang w:val="en-US"/>
        </w:rPr>
        <w:t>) was the place where records were kept, separated</w:t>
      </w:r>
      <w:r w:rsidR="00E75BB8" w:rsidRPr="0027666F">
        <w:rPr>
          <w:rFonts w:ascii="Garamond" w:hAnsi="Garamond"/>
          <w:lang w:val="en-US"/>
        </w:rPr>
        <w:t xml:space="preserve"> (and </w:t>
      </w:r>
      <w:r w:rsidR="002B621A" w:rsidRPr="0027666F">
        <w:rPr>
          <w:rFonts w:ascii="Garamond" w:hAnsi="Garamond"/>
          <w:lang w:val="en-US"/>
        </w:rPr>
        <w:t>guarded</w:t>
      </w:r>
      <w:r w:rsidR="00E75BB8" w:rsidRPr="0027666F">
        <w:rPr>
          <w:rFonts w:ascii="Garamond" w:hAnsi="Garamond"/>
          <w:lang w:val="en-US"/>
        </w:rPr>
        <w:t>)</w:t>
      </w:r>
      <w:r w:rsidR="009B50A2" w:rsidRPr="0027666F">
        <w:rPr>
          <w:rFonts w:ascii="Garamond" w:hAnsi="Garamond"/>
          <w:lang w:val="en-US"/>
        </w:rPr>
        <w:t xml:space="preserve"> from the rest of society. The magistrate was given the responsibility and authority to protect and interpret the records and therefore create law</w:t>
      </w:r>
      <w:r w:rsidR="005D5723" w:rsidRPr="0027666F">
        <w:rPr>
          <w:rFonts w:ascii="Garamond" w:hAnsi="Garamond"/>
          <w:lang w:val="en-US"/>
        </w:rPr>
        <w:t xml:space="preserve"> (</w:t>
      </w:r>
      <w:r w:rsidR="00BC23B6" w:rsidRPr="0027666F">
        <w:rPr>
          <w:rFonts w:ascii="Garamond" w:hAnsi="Garamond"/>
          <w:lang w:val="en-US"/>
        </w:rPr>
        <w:fldChar w:fldCharType="begin"/>
      </w:r>
      <w:r w:rsidR="00BC23B6" w:rsidRPr="0027666F">
        <w:rPr>
          <w:rFonts w:ascii="Garamond" w:hAnsi="Garamond"/>
          <w:lang w:val="en-US"/>
        </w:rPr>
        <w:instrText xml:space="preserve"> ADDIN EN.CITE &lt;EndNote&gt;&lt;Cite&gt;&lt;Author&gt;Derrida&lt;/Author&gt;&lt;Year&gt;1995&lt;/Year&gt;&lt;RecNum&gt;261&lt;/RecNum&gt;&lt;record&gt;&lt;rec-number&gt;261&lt;/rec-number&gt;&lt;foreign-keys&gt;&lt;key app="EN" db-id="0rewstxe3sdfepeps9f5xrt55srrdw2s5r9x" timestamp="1539181614"&gt;261&lt;/key&gt;&lt;/foreign-keys&gt;&lt;ref-type name="Journal Article"&gt;17&lt;/ref-type&gt;&lt;contributors&gt;&lt;authors&gt;&lt;author&gt;Derrida, Jacques&lt;/author&gt;&lt;/authors&gt;&lt;/contributors&gt;&lt;titles&gt;&lt;title&gt;Archive Fever: A Freudian Impression&lt;/title&gt;&lt;secondary-title&gt;Diacritics&lt;/secondary-title&gt;&lt;/titles&gt;&lt;periodical&gt;&lt;full-title&gt;Diacritics&lt;/full-title&gt;&lt;/periodical&gt;&lt;pages&gt;9-63&lt;/pages&gt;&lt;volume&gt;25&lt;/volume&gt;&lt;number&gt;2&lt;/number&gt;&lt;keywords&gt;&lt;keyword&gt;Derrida&lt;/keyword&gt;&lt;keyword&gt;Theory&lt;/keyword&gt;&lt;keyword&gt;Critical&lt;/keyword&gt;&lt;/keywords&gt;&lt;dates&gt;&lt;year&gt;1995&lt;/year&gt;&lt;/dates&gt;&lt;urls&gt;&lt;/urls&gt;&lt;/record&gt;&lt;/Cite&gt;&lt;/EndNote&gt;</w:instrText>
      </w:r>
      <w:r w:rsidR="00BC23B6" w:rsidRPr="0027666F">
        <w:rPr>
          <w:rFonts w:ascii="Garamond" w:hAnsi="Garamond"/>
          <w:lang w:val="en-US"/>
        </w:rPr>
        <w:fldChar w:fldCharType="end"/>
      </w:r>
      <w:r w:rsidR="00BC23B6" w:rsidRPr="0027666F">
        <w:rPr>
          <w:rFonts w:ascii="Garamond" w:hAnsi="Garamond"/>
          <w:lang w:val="en-US"/>
        </w:rPr>
        <w:t xml:space="preserve">Derrida 1995, </w:t>
      </w:r>
      <w:r w:rsidR="004D050C" w:rsidRPr="0027666F">
        <w:rPr>
          <w:rFonts w:ascii="Garamond" w:hAnsi="Garamond"/>
          <w:lang w:val="en-US"/>
        </w:rPr>
        <w:t>9-10</w:t>
      </w:r>
      <w:r w:rsidR="005D5723" w:rsidRPr="0027666F">
        <w:rPr>
          <w:rFonts w:ascii="Garamond" w:hAnsi="Garamond"/>
          <w:lang w:val="en-US"/>
        </w:rPr>
        <w:t>)</w:t>
      </w:r>
      <w:r w:rsidR="009B50A2" w:rsidRPr="0027666F">
        <w:rPr>
          <w:rFonts w:ascii="Garamond" w:hAnsi="Garamond"/>
          <w:lang w:val="en-US"/>
        </w:rPr>
        <w:t xml:space="preserve">. </w:t>
      </w:r>
      <w:r w:rsidR="00E75BB8" w:rsidRPr="0027666F">
        <w:rPr>
          <w:rFonts w:ascii="Garamond" w:hAnsi="Garamond"/>
          <w:lang w:val="en-US"/>
        </w:rPr>
        <w:t>T</w:t>
      </w:r>
      <w:r w:rsidR="009B50A2" w:rsidRPr="0027666F">
        <w:rPr>
          <w:rFonts w:ascii="Garamond" w:hAnsi="Garamond"/>
          <w:lang w:val="en-US"/>
        </w:rPr>
        <w:t>he archive, as Derrida notes, functioned as a site of commencement; as an ontology and history were created as real; and commandment, as the law was created and then declared so</w:t>
      </w:r>
      <w:r w:rsidR="005D5723" w:rsidRPr="0027666F">
        <w:rPr>
          <w:rFonts w:ascii="Garamond" w:hAnsi="Garamond"/>
          <w:lang w:val="en-US"/>
        </w:rPr>
        <w:t xml:space="preserve"> (</w:t>
      </w:r>
      <w:r w:rsidR="00BC23B6" w:rsidRPr="0027666F">
        <w:rPr>
          <w:rFonts w:ascii="Garamond" w:hAnsi="Garamond"/>
          <w:lang w:val="en-US"/>
        </w:rPr>
        <w:fldChar w:fldCharType="begin"/>
      </w:r>
      <w:r w:rsidR="00BC23B6" w:rsidRPr="0027666F">
        <w:rPr>
          <w:rFonts w:ascii="Garamond" w:hAnsi="Garamond"/>
          <w:lang w:val="en-US"/>
        </w:rPr>
        <w:instrText xml:space="preserve"> ADDIN EN.CITE &lt;EndNote&gt;&lt;Cite&gt;&lt;Author&gt;Velody&lt;/Author&gt;&lt;Year&gt;1998&lt;/Year&gt;&lt;RecNum&gt;289&lt;/RecNum&gt;&lt;record&gt;&lt;rec-number&gt;289&lt;/rec-number&gt;&lt;foreign-keys&gt;&lt;key app="EN" db-id="0rewstxe3sdfepeps9f5xrt55srrdw2s5r9x" timestamp="1543072230"&gt;289&lt;/key&gt;&lt;/foreign-keys&gt;&lt;ref-type name="Journal Article"&gt;17&lt;/ref-type&gt;&lt;contributors&gt;&lt;authors&gt;&lt;author&gt;Velody, Irving&lt;/author&gt;&lt;/authors&gt;&lt;/contributors&gt;&lt;titles&gt;&lt;title&gt;The Archive and the Human Sciences: Notes Towards a Theory of the Archive&lt;/title&gt;&lt;secondary-title&gt;History of the Human Sciences&lt;/secondary-title&gt;&lt;short-title&gt;Archive&lt;/short-title&gt;&lt;/titles&gt;&lt;periodical&gt;&lt;full-title&gt;History of the Human Sciences&lt;/full-title&gt;&lt;/periodical&gt;&lt;volume&gt;11&lt;/volume&gt;&lt;number&gt;4&lt;/number&gt;&lt;keywords&gt;&lt;keyword&gt;Archive&lt;/keyword&gt;&lt;keyword&gt;Theory&lt;/keyword&gt;&lt;/keywords&gt;&lt;dates&gt;&lt;year&gt;1998&lt;/year&gt;&lt;/dates&gt;&lt;urls&gt;&lt;/urls&gt;&lt;/record&gt;&lt;/Cite&gt;&lt;/EndNote&gt;</w:instrText>
      </w:r>
      <w:r w:rsidR="00BC23B6" w:rsidRPr="0027666F">
        <w:rPr>
          <w:rFonts w:ascii="Garamond" w:hAnsi="Garamond"/>
          <w:lang w:val="en-US"/>
        </w:rPr>
        <w:fldChar w:fldCharType="end"/>
      </w:r>
      <w:r w:rsidR="00BC23B6" w:rsidRPr="0027666F">
        <w:rPr>
          <w:rFonts w:ascii="Garamond" w:hAnsi="Garamond"/>
          <w:lang w:val="en-US"/>
        </w:rPr>
        <w:t>Velody 1998, 1-</w:t>
      </w:r>
      <w:r w:rsidR="00FE3248" w:rsidRPr="0027666F">
        <w:rPr>
          <w:rFonts w:ascii="Garamond" w:hAnsi="Garamond"/>
          <w:lang w:val="en-US"/>
        </w:rPr>
        <w:t>2).</w:t>
      </w:r>
      <w:r w:rsidR="009B50A2" w:rsidRPr="0027666F">
        <w:rPr>
          <w:rFonts w:ascii="Garamond" w:hAnsi="Garamond"/>
          <w:lang w:val="en-US"/>
        </w:rPr>
        <w:t xml:space="preserve"> </w:t>
      </w:r>
      <w:r w:rsidR="00E75BB8" w:rsidRPr="0027666F">
        <w:rPr>
          <w:rFonts w:ascii="Garamond" w:hAnsi="Garamond"/>
          <w:lang w:val="en-US"/>
        </w:rPr>
        <w:t xml:space="preserve"> On the surface, then, there is a close </w:t>
      </w:r>
      <w:r w:rsidR="00E75BB8" w:rsidRPr="0027666F">
        <w:rPr>
          <w:rFonts w:ascii="Garamond" w:hAnsi="Garamond"/>
        </w:rPr>
        <w:t xml:space="preserve">link between </w:t>
      </w:r>
      <w:r w:rsidR="00695B79" w:rsidRPr="0027666F">
        <w:rPr>
          <w:rFonts w:ascii="Garamond" w:hAnsi="Garamond"/>
        </w:rPr>
        <w:t>archive</w:t>
      </w:r>
      <w:r w:rsidR="00E75BB8" w:rsidRPr="0027666F">
        <w:rPr>
          <w:rFonts w:ascii="Garamond" w:hAnsi="Garamond"/>
        </w:rPr>
        <w:t xml:space="preserve">s and the </w:t>
      </w:r>
      <w:r w:rsidR="00695B79" w:rsidRPr="0027666F">
        <w:rPr>
          <w:rFonts w:ascii="Garamond" w:hAnsi="Garamond"/>
        </w:rPr>
        <w:t>practices</w:t>
      </w:r>
      <w:r w:rsidR="00A80A06">
        <w:rPr>
          <w:rFonts w:ascii="Garamond" w:hAnsi="Garamond"/>
        </w:rPr>
        <w:t xml:space="preserve"> and normative values</w:t>
      </w:r>
      <w:r w:rsidR="00695B79" w:rsidRPr="0027666F">
        <w:rPr>
          <w:rFonts w:ascii="Garamond" w:hAnsi="Garamond"/>
        </w:rPr>
        <w:t xml:space="preserve"> of transitional justice</w:t>
      </w:r>
      <w:r w:rsidR="008D61D2" w:rsidRPr="0027666F">
        <w:rPr>
          <w:rFonts w:ascii="Garamond" w:hAnsi="Garamond"/>
        </w:rPr>
        <w:t>.</w:t>
      </w:r>
      <w:r w:rsidR="00E75BB8" w:rsidRPr="0027666F">
        <w:rPr>
          <w:rFonts w:ascii="Garamond" w:hAnsi="Garamond"/>
        </w:rPr>
        <w:t xml:space="preserve"> T</w:t>
      </w:r>
      <w:r w:rsidR="00695B79" w:rsidRPr="0027666F">
        <w:rPr>
          <w:rFonts w:ascii="Garamond" w:hAnsi="Garamond"/>
        </w:rPr>
        <w:t xml:space="preserve">he archive is a site which both </w:t>
      </w:r>
      <w:r w:rsidR="001C1D0C" w:rsidRPr="0027666F">
        <w:rPr>
          <w:rFonts w:ascii="Garamond" w:hAnsi="Garamond"/>
        </w:rPr>
        <w:t>enacts law</w:t>
      </w:r>
      <w:r w:rsidRPr="0027666F">
        <w:rPr>
          <w:rFonts w:ascii="Garamond" w:hAnsi="Garamond"/>
        </w:rPr>
        <w:t xml:space="preserve"> (and enables law to be ‘decided</w:t>
      </w:r>
      <w:r w:rsidR="00E75BB8" w:rsidRPr="0027666F">
        <w:rPr>
          <w:rFonts w:ascii="Garamond" w:hAnsi="Garamond"/>
        </w:rPr>
        <w:t>’ and made real</w:t>
      </w:r>
      <w:r w:rsidRPr="0027666F">
        <w:rPr>
          <w:rFonts w:ascii="Garamond" w:hAnsi="Garamond"/>
        </w:rPr>
        <w:t>)</w:t>
      </w:r>
      <w:r w:rsidR="00695B79" w:rsidRPr="0027666F">
        <w:rPr>
          <w:rFonts w:ascii="Garamond" w:hAnsi="Garamond"/>
        </w:rPr>
        <w:t xml:space="preserve">, produces particular accounts of the community it is </w:t>
      </w:r>
      <w:r w:rsidR="001C1D0C" w:rsidRPr="0027666F">
        <w:rPr>
          <w:rFonts w:ascii="Garamond" w:hAnsi="Garamond"/>
        </w:rPr>
        <w:t>situated</w:t>
      </w:r>
      <w:r w:rsidR="00695B79" w:rsidRPr="0027666F">
        <w:rPr>
          <w:rFonts w:ascii="Garamond" w:hAnsi="Garamond"/>
        </w:rPr>
        <w:t xml:space="preserve"> in</w:t>
      </w:r>
      <w:r w:rsidR="005D5723" w:rsidRPr="0027666F">
        <w:rPr>
          <w:rFonts w:ascii="Garamond" w:hAnsi="Garamond"/>
        </w:rPr>
        <w:t xml:space="preserve">  (</w:t>
      </w:r>
      <w:r w:rsidR="00695B79" w:rsidRPr="0027666F">
        <w:rPr>
          <w:rFonts w:ascii="Garamond" w:hAnsi="Garamond"/>
        </w:rPr>
        <w:t>bringing that community to life</w:t>
      </w:r>
      <w:r w:rsidR="005D5723" w:rsidRPr="0027666F">
        <w:rPr>
          <w:rFonts w:ascii="Garamond" w:hAnsi="Garamond"/>
        </w:rPr>
        <w:t>)</w:t>
      </w:r>
      <w:r w:rsidR="00695B79" w:rsidRPr="0027666F">
        <w:rPr>
          <w:rFonts w:ascii="Garamond" w:hAnsi="Garamond"/>
        </w:rPr>
        <w:t xml:space="preserve">, and in so doing assists (and makes possible) the </w:t>
      </w:r>
      <w:r w:rsidR="001C1D0C" w:rsidRPr="0027666F">
        <w:rPr>
          <w:rFonts w:ascii="Garamond" w:hAnsi="Garamond"/>
        </w:rPr>
        <w:t>governance</w:t>
      </w:r>
      <w:r w:rsidR="00695B79" w:rsidRPr="0027666F">
        <w:rPr>
          <w:rFonts w:ascii="Garamond" w:hAnsi="Garamond"/>
        </w:rPr>
        <w:t xml:space="preserve"> of that community. </w:t>
      </w:r>
      <w:r w:rsidR="00E75BB8" w:rsidRPr="0027666F">
        <w:rPr>
          <w:rFonts w:ascii="Garamond" w:hAnsi="Garamond"/>
        </w:rPr>
        <w:t xml:space="preserve"> </w:t>
      </w:r>
    </w:p>
    <w:p w14:paraId="20F5B676" w14:textId="0D659939" w:rsidR="00695B79" w:rsidRPr="0027666F" w:rsidRDefault="00695B79" w:rsidP="008A0C7B">
      <w:pPr>
        <w:rPr>
          <w:rFonts w:ascii="Garamond" w:hAnsi="Garamond"/>
        </w:rPr>
      </w:pPr>
    </w:p>
    <w:p w14:paraId="0DB3D6B5" w14:textId="09BBE56A" w:rsidR="00695B79" w:rsidRPr="0027666F" w:rsidRDefault="00695B79" w:rsidP="008A0C7B">
      <w:pPr>
        <w:rPr>
          <w:rFonts w:ascii="Garamond" w:hAnsi="Garamond"/>
        </w:rPr>
      </w:pPr>
      <w:r w:rsidRPr="0027666F">
        <w:rPr>
          <w:rFonts w:ascii="Garamond" w:hAnsi="Garamond"/>
        </w:rPr>
        <w:t xml:space="preserve">This chapter interrogates this link between archives and </w:t>
      </w:r>
      <w:r w:rsidR="008D61D2" w:rsidRPr="0027666F">
        <w:rPr>
          <w:rFonts w:ascii="Garamond" w:hAnsi="Garamond"/>
        </w:rPr>
        <w:t xml:space="preserve">transitional </w:t>
      </w:r>
      <w:r w:rsidRPr="0027666F">
        <w:rPr>
          <w:rFonts w:ascii="Garamond" w:hAnsi="Garamond"/>
        </w:rPr>
        <w:t>justice</w:t>
      </w:r>
      <w:r w:rsidR="008D61D2" w:rsidRPr="0027666F">
        <w:rPr>
          <w:rFonts w:ascii="Garamond" w:hAnsi="Garamond"/>
        </w:rPr>
        <w:t>, and idea of justice more generally,</w:t>
      </w:r>
      <w:r w:rsidRPr="0027666F">
        <w:rPr>
          <w:rFonts w:ascii="Garamond" w:hAnsi="Garamond"/>
        </w:rPr>
        <w:t xml:space="preserve"> in three parts</w:t>
      </w:r>
      <w:r w:rsidR="00B002E2" w:rsidRPr="0027666F">
        <w:rPr>
          <w:rFonts w:ascii="Garamond" w:hAnsi="Garamond"/>
        </w:rPr>
        <w:t xml:space="preserve">. </w:t>
      </w:r>
      <w:r w:rsidR="001C1D0C" w:rsidRPr="0027666F">
        <w:rPr>
          <w:rFonts w:ascii="Garamond" w:hAnsi="Garamond"/>
        </w:rPr>
        <w:t>F</w:t>
      </w:r>
      <w:r w:rsidRPr="0027666F">
        <w:rPr>
          <w:rFonts w:ascii="Garamond" w:hAnsi="Garamond"/>
        </w:rPr>
        <w:t xml:space="preserve">irst </w:t>
      </w:r>
      <w:r w:rsidR="001C1D0C" w:rsidRPr="0027666F">
        <w:rPr>
          <w:rFonts w:ascii="Garamond" w:hAnsi="Garamond"/>
        </w:rPr>
        <w:t xml:space="preserve">I </w:t>
      </w:r>
      <w:r w:rsidRPr="0027666F">
        <w:rPr>
          <w:rFonts w:ascii="Garamond" w:hAnsi="Garamond"/>
        </w:rPr>
        <w:t>examine</w:t>
      </w:r>
      <w:r w:rsidR="001C1D0C" w:rsidRPr="0027666F">
        <w:rPr>
          <w:rFonts w:ascii="Garamond" w:hAnsi="Garamond"/>
        </w:rPr>
        <w:t xml:space="preserve"> </w:t>
      </w:r>
      <w:r w:rsidRPr="0027666F">
        <w:rPr>
          <w:rFonts w:ascii="Garamond" w:hAnsi="Garamond"/>
        </w:rPr>
        <w:t xml:space="preserve">the ways in which the archive reinforces core aspects of transitional justice as practice and </w:t>
      </w:r>
      <w:r w:rsidR="005D5723" w:rsidRPr="0027666F">
        <w:rPr>
          <w:rFonts w:ascii="Garamond" w:hAnsi="Garamond"/>
        </w:rPr>
        <w:t>a set of normative values</w:t>
      </w:r>
      <w:r w:rsidRPr="0027666F">
        <w:rPr>
          <w:rFonts w:ascii="Garamond" w:hAnsi="Garamond"/>
        </w:rPr>
        <w:t>. This does so by both focusing on the support role that archives play in rendering justice a possibility</w:t>
      </w:r>
      <w:r w:rsidR="001C1D0C" w:rsidRPr="0027666F">
        <w:rPr>
          <w:rFonts w:ascii="Garamond" w:hAnsi="Garamond"/>
        </w:rPr>
        <w:t xml:space="preserve"> (and in many cases beckoning a ‘justice to come’)</w:t>
      </w:r>
      <w:r w:rsidR="00B002E2" w:rsidRPr="0027666F">
        <w:rPr>
          <w:rFonts w:ascii="Garamond" w:hAnsi="Garamond"/>
        </w:rPr>
        <w:t>(</w:t>
      </w:r>
      <w:r w:rsidR="00FE3248" w:rsidRPr="0027666F">
        <w:rPr>
          <w:rFonts w:ascii="Garamond" w:hAnsi="Garamond"/>
        </w:rPr>
        <w:fldChar w:fldCharType="begin"/>
      </w:r>
      <w:r w:rsidR="00FE3248" w:rsidRPr="0027666F">
        <w:rPr>
          <w:rFonts w:ascii="Garamond" w:hAnsi="Garamond"/>
        </w:rPr>
        <w:instrText xml:space="preserve"> ADDIN EN.CITE &lt;EndNote&gt;&lt;Cite&gt;&lt;Author&gt;Derrida&lt;/Author&gt;&lt;Year&gt;1992&lt;/Year&gt;&lt;RecNum&gt;512&lt;/RecNum&gt;&lt;record&gt;&lt;rec-number&gt;512&lt;/rec-number&gt;&lt;foreign-keys&gt;&lt;key app="EN" db-id="0rewstxe3sdfepeps9f5xrt55srrdw2s5r9x" timestamp="1601040129"&gt;512&lt;/key&gt;&lt;/foreign-keys&gt;&lt;ref-type name="Book Section"&gt;5&lt;/ref-type&gt;&lt;contributors&gt;&lt;authors&gt;&lt;author&gt;Derrida, Jacques&lt;/author&gt;&lt;/authors&gt;&lt;secondary-authors&gt;&lt;author&gt;Cornell, Drucilla &lt;/author&gt;&lt;author&gt;Rosenfeld, Michel and &lt;/author&gt;&lt;author&gt;Carlson, David G.  &lt;/author&gt;&lt;/secondary-authors&gt;&lt;/contributors&gt;&lt;titles&gt;&lt;title&gt;Force of Law: The “Mystical Foundation of Authority&lt;/title&gt;&lt;secondary-title&gt;Deconstruction and the Possibility of Justice&lt;/secondary-title&gt;&lt;short-title&gt;Force of Law&lt;/short-title&gt;&lt;/titles&gt;&lt;pages&gt;3-68&lt;/pages&gt;&lt;keywords&gt;&lt;keyword&gt;Justice&lt;/keyword&gt;&lt;keyword&gt;Derrida&lt;/keyword&gt;&lt;keyword&gt;Deconstruction&lt;/keyword&gt;&lt;/keywords&gt;&lt;dates&gt;&lt;year&gt;1992&lt;/year&gt;&lt;/dates&gt;&lt;pub-location&gt;London&lt;/pub-location&gt;&lt;publisher&gt;Routledge&lt;/publisher&gt;&lt;urls&gt;&lt;/urls&gt;&lt;/record&gt;&lt;/Cite&gt;&lt;/EndNote&gt;</w:instrText>
      </w:r>
      <w:r w:rsidR="00FE3248" w:rsidRPr="0027666F">
        <w:rPr>
          <w:rFonts w:ascii="Garamond" w:hAnsi="Garamond"/>
        </w:rPr>
        <w:fldChar w:fldCharType="end"/>
      </w:r>
      <w:r w:rsidR="00FE3248" w:rsidRPr="0027666F">
        <w:rPr>
          <w:rFonts w:ascii="Garamond" w:hAnsi="Garamond"/>
        </w:rPr>
        <w:t xml:space="preserve">Derrida 1992; and </w:t>
      </w:r>
      <w:r w:rsidR="00FE3248" w:rsidRPr="0027666F">
        <w:rPr>
          <w:rFonts w:ascii="Garamond" w:hAnsi="Garamond"/>
        </w:rPr>
        <w:fldChar w:fldCharType="begin"/>
      </w:r>
      <w:r w:rsidR="00FE3248" w:rsidRPr="0027666F">
        <w:rPr>
          <w:rFonts w:ascii="Garamond" w:hAnsi="Garamond"/>
        </w:rPr>
        <w:instrText xml:space="preserve"> ADDIN EN.CITE &lt;EndNote&gt;&lt;Cite&gt;&lt;Author&gt;Derrida&lt;/Author&gt;&lt;Year&gt;2001&lt;/Year&gt;&lt;RecNum&gt;512&lt;/RecNum&gt;&lt;record&gt;&lt;rec-number&gt;512&lt;/rec-number&gt;&lt;foreign-keys&gt;&lt;key app="EN" db-id="0rewstxe3sdfepeps9f5xrt55srrdw2s5r9x" timestamp="1601040238"&gt;512&lt;/key&gt;&lt;/foreign-keys&gt;&lt;ref-type name="Book"&gt;6&lt;/ref-type&gt;&lt;contributors&gt;&lt;authors&gt;&lt;author&gt;Derrida, Jacques&lt;/author&gt;&lt;/authors&gt;&lt;/contributors&gt;&lt;titles&gt;&lt;title&gt;On Cosmopolitanism and Forgiveness&lt;/title&gt;&lt;/titles&gt;&lt;keywords&gt;&lt;keyword&gt;Derrida&lt;/keyword&gt;&lt;keyword&gt;Deconstruction&lt;/keyword&gt;&lt;keyword&gt;Forgiveness&lt;/keyword&gt;&lt;keyword&gt;South Africa&lt;/keyword&gt;&lt;keyword&gt;Justice&lt;/keyword&gt;&lt;/keywords&gt;&lt;dates&gt;&lt;year&gt;2001&lt;/year&gt;&lt;/dates&gt;&lt;pub-location&gt;London&lt;/pub-location&gt;&lt;publisher&gt;Routledge&lt;/publisher&gt;&lt;urls&gt;&lt;/urls&gt;&lt;/record&gt;&lt;/Cite&gt;&lt;/EndNote&gt;</w:instrText>
      </w:r>
      <w:r w:rsidR="00FE3248" w:rsidRPr="0027666F">
        <w:rPr>
          <w:rFonts w:ascii="Garamond" w:hAnsi="Garamond"/>
        </w:rPr>
        <w:fldChar w:fldCharType="end"/>
      </w:r>
      <w:r w:rsidR="00FE3248" w:rsidRPr="0027666F">
        <w:rPr>
          <w:rFonts w:ascii="Garamond" w:hAnsi="Garamond"/>
        </w:rPr>
        <w:t>2001</w:t>
      </w:r>
      <w:r w:rsidR="00B002E2" w:rsidRPr="0027666F">
        <w:rPr>
          <w:rFonts w:ascii="Garamond" w:hAnsi="Garamond"/>
        </w:rPr>
        <w:t>)</w:t>
      </w:r>
      <w:r w:rsidRPr="0027666F">
        <w:rPr>
          <w:rFonts w:ascii="Garamond" w:hAnsi="Garamond"/>
        </w:rPr>
        <w:t>, and second viewing the archive as itself a site of justice</w:t>
      </w:r>
      <w:r w:rsidR="005D5723" w:rsidRPr="0027666F">
        <w:rPr>
          <w:rFonts w:ascii="Garamond" w:hAnsi="Garamond"/>
        </w:rPr>
        <w:t xml:space="preserve"> in and of itself</w:t>
      </w:r>
      <w:r w:rsidRPr="0027666F">
        <w:rPr>
          <w:rFonts w:ascii="Garamond" w:hAnsi="Garamond"/>
        </w:rPr>
        <w:t xml:space="preserve">. The second section turns to a more critical assessment of </w:t>
      </w:r>
      <w:r w:rsidR="001C1D0C" w:rsidRPr="0027666F">
        <w:rPr>
          <w:rFonts w:ascii="Garamond" w:hAnsi="Garamond"/>
        </w:rPr>
        <w:t>the</w:t>
      </w:r>
      <w:r w:rsidRPr="0027666F">
        <w:rPr>
          <w:rFonts w:ascii="Garamond" w:hAnsi="Garamond"/>
        </w:rPr>
        <w:t xml:space="preserve"> relationship</w:t>
      </w:r>
      <w:r w:rsidR="001C1D0C" w:rsidRPr="0027666F">
        <w:rPr>
          <w:rFonts w:ascii="Garamond" w:hAnsi="Garamond"/>
        </w:rPr>
        <w:t xml:space="preserve"> between archives and justice</w:t>
      </w:r>
      <w:r w:rsidRPr="0027666F">
        <w:rPr>
          <w:rFonts w:ascii="Garamond" w:hAnsi="Garamond"/>
        </w:rPr>
        <w:t>, as</w:t>
      </w:r>
      <w:r w:rsidR="008D61D2" w:rsidRPr="0027666F">
        <w:rPr>
          <w:rFonts w:ascii="Garamond" w:hAnsi="Garamond"/>
        </w:rPr>
        <w:t xml:space="preserve"> I explore the archive’s logics, and drive</w:t>
      </w:r>
      <w:r w:rsidRPr="0027666F">
        <w:rPr>
          <w:rFonts w:ascii="Garamond" w:hAnsi="Garamond"/>
        </w:rPr>
        <w:t xml:space="preserve">. Ultimately, </w:t>
      </w:r>
      <w:r w:rsidR="005D5723" w:rsidRPr="0027666F">
        <w:rPr>
          <w:rFonts w:ascii="Garamond" w:hAnsi="Garamond"/>
        </w:rPr>
        <w:t xml:space="preserve">this points to the role that archives play in the governance – and disciplining – of community, and shows </w:t>
      </w:r>
      <w:r w:rsidRPr="0027666F">
        <w:rPr>
          <w:rFonts w:ascii="Garamond" w:hAnsi="Garamond"/>
        </w:rPr>
        <w:t xml:space="preserve">a concerning synergy between </w:t>
      </w:r>
      <w:r w:rsidR="008D61D2" w:rsidRPr="0027666F">
        <w:rPr>
          <w:rFonts w:ascii="Garamond" w:hAnsi="Garamond"/>
        </w:rPr>
        <w:t>archival practice</w:t>
      </w:r>
      <w:r w:rsidR="00A749D9" w:rsidRPr="0027666F">
        <w:rPr>
          <w:rFonts w:ascii="Garamond" w:hAnsi="Garamond"/>
        </w:rPr>
        <w:t xml:space="preserve"> </w:t>
      </w:r>
      <w:r w:rsidRPr="0027666F">
        <w:rPr>
          <w:rFonts w:ascii="Garamond" w:hAnsi="Garamond"/>
        </w:rPr>
        <w:t xml:space="preserve">and the very violence that transitional justice (claims to) confront. The final section looks at practices that might offer a way in which a more transformative vision of archive and community can emerge. This both focuses on what </w:t>
      </w:r>
      <w:r w:rsidR="005D5723" w:rsidRPr="0027666F">
        <w:rPr>
          <w:rFonts w:ascii="Garamond" w:hAnsi="Garamond"/>
        </w:rPr>
        <w:t>Stewart Motha</w:t>
      </w:r>
      <w:r w:rsidR="00FE3248" w:rsidRPr="0027666F">
        <w:rPr>
          <w:rFonts w:ascii="Garamond" w:hAnsi="Garamond"/>
        </w:rPr>
        <w:t xml:space="preserve"> and Honni van Rijswijk</w:t>
      </w:r>
      <w:r w:rsidR="005D5723" w:rsidRPr="0027666F">
        <w:rPr>
          <w:rFonts w:ascii="Garamond" w:hAnsi="Garamond"/>
        </w:rPr>
        <w:t xml:space="preserve"> (</w:t>
      </w:r>
      <w:r w:rsidR="00FE3248" w:rsidRPr="0027666F">
        <w:rPr>
          <w:rFonts w:ascii="Garamond" w:hAnsi="Garamond"/>
        </w:rPr>
        <w:t>2016</w:t>
      </w:r>
      <w:r w:rsidR="00FE3248" w:rsidRPr="0027666F">
        <w:rPr>
          <w:rFonts w:ascii="Garamond" w:hAnsi="Garamond"/>
        </w:rPr>
        <w:fldChar w:fldCharType="begin"/>
      </w:r>
      <w:r w:rsidR="00FE3248" w:rsidRPr="0027666F">
        <w:rPr>
          <w:rFonts w:ascii="Garamond" w:hAnsi="Garamond"/>
        </w:rPr>
        <w:instrText xml:space="preserve"> ADDIN EN.CITE &lt;EndNote&gt;&lt;Cite&gt;&lt;Author&gt;Motha&lt;/Author&gt;&lt;Year&gt;2016&lt;/Year&gt;&lt;RecNum&gt;513&lt;/RecNum&gt;&lt;record&gt;&lt;rec-number&gt;513&lt;/rec-number&gt;&lt;foreign-keys&gt;&lt;key app="EN" db-id="0rewstxe3sdfepeps9f5xrt55srrdw2s5r9x" timestamp="1601040478"&gt;513&lt;/key&gt;&lt;/foreign-keys&gt;&lt;ref-type name="Book Section"&gt;5&lt;/ref-type&gt;&lt;contributors&gt;&lt;authors&gt;&lt;author&gt;Motha, Stewart&lt;/author&gt;&lt;author&gt;van Rijswijk, Honni &lt;/author&gt;&lt;/authors&gt;&lt;secondary-authors&gt;&lt;author&gt;Motha, Stewart&lt;/author&gt;&lt;author&gt;van Rijswijk, Honni &lt;/author&gt;&lt;/secondary-authors&gt;&lt;/contributors&gt;&lt;titles&gt;&lt;title&gt;Introduction: Developing a Counter-archival Sense&lt;/title&gt;&lt;secondary-title&gt;Law, memory and violence: uncovering the counter archive &lt;/secondary-title&gt;&lt;short-title&gt;Introduction&lt;/short-title&gt;&lt;/titles&gt;&lt;pages&gt;1-16&lt;/pages&gt;&lt;keywords&gt;&lt;keyword&gt;Archives&lt;/keyword&gt;&lt;keyword&gt;Law&lt;/keyword&gt;&lt;keyword&gt;Justice&lt;/keyword&gt;&lt;keyword&gt;Deconstruction&lt;/keyword&gt;&lt;keyword&gt;Derrida&lt;/keyword&gt;&lt;keyword&gt;Counter-archive&lt;/keyword&gt;&lt;/keywords&gt;&lt;dates&gt;&lt;year&gt;2016&lt;/year&gt;&lt;/dates&gt;&lt;pub-location&gt;London&lt;/pub-location&gt;&lt;publisher&gt;Routledge&lt;/publisher&gt;&lt;urls&gt;&lt;/urls&gt;&lt;/record&gt;&lt;/Cite&gt;&lt;/EndNote&gt;</w:instrText>
      </w:r>
      <w:r w:rsidR="00FE3248" w:rsidRPr="0027666F">
        <w:rPr>
          <w:rFonts w:ascii="Garamond" w:hAnsi="Garamond"/>
        </w:rPr>
        <w:fldChar w:fldCharType="end"/>
      </w:r>
      <w:r w:rsidR="005D5723" w:rsidRPr="0027666F">
        <w:rPr>
          <w:rFonts w:ascii="Garamond" w:hAnsi="Garamond"/>
        </w:rPr>
        <w:t xml:space="preserve">) </w:t>
      </w:r>
      <w:r w:rsidR="008D61D2" w:rsidRPr="0027666F">
        <w:rPr>
          <w:rFonts w:ascii="Garamond" w:hAnsi="Garamond"/>
        </w:rPr>
        <w:t>have</w:t>
      </w:r>
      <w:r w:rsidRPr="0027666F">
        <w:rPr>
          <w:rFonts w:ascii="Garamond" w:hAnsi="Garamond"/>
        </w:rPr>
        <w:t xml:space="preserve"> called the ‘counter-archive’ and explicitly points to the possibility of alternative archival practices that drawn on an aesthetic approach to the production of knowledge, and community. </w:t>
      </w:r>
    </w:p>
    <w:p w14:paraId="23DA788F" w14:textId="0F4FBFB9" w:rsidR="00695B79" w:rsidRPr="0027666F" w:rsidRDefault="00695B79" w:rsidP="008A0C7B">
      <w:pPr>
        <w:rPr>
          <w:rFonts w:ascii="Garamond" w:hAnsi="Garamond"/>
        </w:rPr>
      </w:pPr>
    </w:p>
    <w:p w14:paraId="2E5B801E" w14:textId="54E9589F" w:rsidR="00FE3248" w:rsidRPr="0027666F" w:rsidRDefault="00695B79" w:rsidP="008A0C7B">
      <w:pPr>
        <w:rPr>
          <w:rFonts w:ascii="Garamond" w:hAnsi="Garamond"/>
        </w:rPr>
      </w:pPr>
      <w:r w:rsidRPr="0027666F">
        <w:rPr>
          <w:rFonts w:ascii="Garamond" w:hAnsi="Garamond"/>
        </w:rPr>
        <w:t xml:space="preserve">Overall, this </w:t>
      </w:r>
      <w:r w:rsidR="00A749D9" w:rsidRPr="0027666F">
        <w:rPr>
          <w:rFonts w:ascii="Garamond" w:hAnsi="Garamond"/>
        </w:rPr>
        <w:t xml:space="preserve">chapter </w:t>
      </w:r>
      <w:r w:rsidRPr="0027666F">
        <w:rPr>
          <w:rFonts w:ascii="Garamond" w:hAnsi="Garamond"/>
        </w:rPr>
        <w:t xml:space="preserve">argues that the archive is not a passive </w:t>
      </w:r>
      <w:r w:rsidR="00B002E2" w:rsidRPr="0027666F">
        <w:rPr>
          <w:rFonts w:ascii="Garamond" w:hAnsi="Garamond"/>
        </w:rPr>
        <w:t>facilitator</w:t>
      </w:r>
      <w:r w:rsidRPr="0027666F">
        <w:rPr>
          <w:rFonts w:ascii="Garamond" w:hAnsi="Garamond"/>
        </w:rPr>
        <w:t xml:space="preserve"> of transitional justice</w:t>
      </w:r>
      <w:r w:rsidR="00A749D9" w:rsidRPr="0027666F">
        <w:rPr>
          <w:rFonts w:ascii="Garamond" w:hAnsi="Garamond"/>
        </w:rPr>
        <w:t xml:space="preserve">, </w:t>
      </w:r>
      <w:r w:rsidR="008D61D2" w:rsidRPr="0027666F">
        <w:rPr>
          <w:rFonts w:ascii="Garamond" w:hAnsi="Garamond"/>
        </w:rPr>
        <w:t>n</w:t>
      </w:r>
      <w:r w:rsidR="00A749D9" w:rsidRPr="0027666F">
        <w:rPr>
          <w:rFonts w:ascii="Garamond" w:hAnsi="Garamond"/>
        </w:rPr>
        <w:t>or an innocent site where the past is recorded as wa</w:t>
      </w:r>
      <w:r w:rsidR="005D5723" w:rsidRPr="0027666F">
        <w:rPr>
          <w:rFonts w:ascii="Garamond" w:hAnsi="Garamond"/>
        </w:rPr>
        <w:t>s.</w:t>
      </w:r>
      <w:r w:rsidRPr="0027666F">
        <w:rPr>
          <w:rFonts w:ascii="Garamond" w:hAnsi="Garamond"/>
        </w:rPr>
        <w:t xml:space="preserve"> It is, rather, </w:t>
      </w:r>
      <w:r w:rsidR="008D61D2" w:rsidRPr="0027666F">
        <w:rPr>
          <w:rFonts w:ascii="Garamond" w:hAnsi="Garamond"/>
        </w:rPr>
        <w:t>a</w:t>
      </w:r>
      <w:r w:rsidRPr="0027666F">
        <w:rPr>
          <w:rFonts w:ascii="Garamond" w:hAnsi="Garamond"/>
        </w:rPr>
        <w:t xml:space="preserve"> site of governance where particular notions of community are generated. Paying attention to this, and the rules which produce, restrict and constrain community in particular ways, encourages a deeper reflection on what type of community is </w:t>
      </w:r>
      <w:r w:rsidR="008D61D2" w:rsidRPr="0027666F">
        <w:rPr>
          <w:rFonts w:ascii="Garamond" w:hAnsi="Garamond"/>
        </w:rPr>
        <w:t>desired</w:t>
      </w:r>
      <w:r w:rsidRPr="0027666F">
        <w:rPr>
          <w:rFonts w:ascii="Garamond" w:hAnsi="Garamond"/>
        </w:rPr>
        <w:t xml:space="preserve"> </w:t>
      </w:r>
      <w:r w:rsidR="008D61D2" w:rsidRPr="0027666F">
        <w:rPr>
          <w:rFonts w:ascii="Garamond" w:hAnsi="Garamond"/>
        </w:rPr>
        <w:t>as a result of ‘transition’</w:t>
      </w:r>
      <w:r w:rsidR="00B002E2" w:rsidRPr="0027666F">
        <w:rPr>
          <w:rFonts w:ascii="Garamond" w:hAnsi="Garamond"/>
        </w:rPr>
        <w:t>.</w:t>
      </w:r>
    </w:p>
    <w:p w14:paraId="46757DAC" w14:textId="6C561F07" w:rsidR="00D058FF" w:rsidRPr="0027666F" w:rsidRDefault="00D058FF" w:rsidP="008A0C7B">
      <w:pPr>
        <w:rPr>
          <w:rFonts w:ascii="Garamond" w:hAnsi="Garamond"/>
        </w:rPr>
      </w:pPr>
    </w:p>
    <w:p w14:paraId="3EF1457B" w14:textId="21C3D832" w:rsidR="001C0E29" w:rsidRPr="0027666F" w:rsidRDefault="001C0E29" w:rsidP="00260796">
      <w:pPr>
        <w:pStyle w:val="Heading1"/>
        <w:rPr>
          <w:rFonts w:ascii="Garamond" w:hAnsi="Garamond"/>
        </w:rPr>
      </w:pPr>
      <w:r w:rsidRPr="0027666F">
        <w:rPr>
          <w:rFonts w:ascii="Garamond" w:hAnsi="Garamond"/>
        </w:rPr>
        <w:t xml:space="preserve">Archives </w:t>
      </w:r>
      <w:r w:rsidR="005D5723" w:rsidRPr="0027666F">
        <w:rPr>
          <w:rFonts w:ascii="Garamond" w:hAnsi="Garamond"/>
        </w:rPr>
        <w:t>and</w:t>
      </w:r>
      <w:r w:rsidRPr="0027666F">
        <w:rPr>
          <w:rFonts w:ascii="Garamond" w:hAnsi="Garamond"/>
        </w:rPr>
        <w:t xml:space="preserve"> Transitional Justice </w:t>
      </w:r>
    </w:p>
    <w:p w14:paraId="6F2120C1" w14:textId="64F28C77" w:rsidR="007604FD" w:rsidRPr="0027666F" w:rsidRDefault="007604FD" w:rsidP="008A0C7B">
      <w:pPr>
        <w:rPr>
          <w:rFonts w:ascii="Garamond" w:hAnsi="Garamond"/>
          <w:u w:val="single"/>
        </w:rPr>
      </w:pPr>
    </w:p>
    <w:p w14:paraId="059CE28C" w14:textId="1E944ED0" w:rsidR="00D44695" w:rsidRPr="0027666F" w:rsidRDefault="008D61D2" w:rsidP="008A0C7B">
      <w:pPr>
        <w:rPr>
          <w:rFonts w:ascii="Garamond" w:hAnsi="Garamond"/>
        </w:rPr>
      </w:pPr>
      <w:r w:rsidRPr="0027666F">
        <w:rPr>
          <w:rFonts w:ascii="Garamond" w:hAnsi="Garamond"/>
        </w:rPr>
        <w:t>Transition</w:t>
      </w:r>
      <w:r w:rsidR="002B621A" w:rsidRPr="0027666F">
        <w:rPr>
          <w:rFonts w:ascii="Garamond" w:hAnsi="Garamond"/>
        </w:rPr>
        <w:t>al</w:t>
      </w:r>
      <w:r w:rsidRPr="0027666F">
        <w:rPr>
          <w:rFonts w:ascii="Garamond" w:hAnsi="Garamond"/>
        </w:rPr>
        <w:t xml:space="preserve"> </w:t>
      </w:r>
      <w:r w:rsidR="00186ECE" w:rsidRPr="0027666F">
        <w:rPr>
          <w:rFonts w:ascii="Garamond" w:hAnsi="Garamond"/>
        </w:rPr>
        <w:t>justice</w:t>
      </w:r>
      <w:r w:rsidR="00902B78" w:rsidRPr="0027666F">
        <w:rPr>
          <w:rFonts w:ascii="Garamond" w:hAnsi="Garamond"/>
        </w:rPr>
        <w:t xml:space="preserve"> scholars</w:t>
      </w:r>
      <w:r w:rsidRPr="0027666F">
        <w:rPr>
          <w:rFonts w:ascii="Garamond" w:hAnsi="Garamond"/>
        </w:rPr>
        <w:t>, and social scientists, are relatively late to find interest in the archive</w:t>
      </w:r>
      <w:r w:rsidR="002B621A" w:rsidRPr="0027666F">
        <w:rPr>
          <w:rFonts w:ascii="Garamond" w:hAnsi="Garamond"/>
        </w:rPr>
        <w:t xml:space="preserve"> as a site of empirical interest in and of themselves</w:t>
      </w:r>
      <w:r w:rsidRPr="0027666F">
        <w:rPr>
          <w:rFonts w:ascii="Garamond" w:hAnsi="Garamond"/>
        </w:rPr>
        <w:t xml:space="preserve">, with other neighbouring disciplines experiencing what some called an ‘archival turn’ in the 80s and 90s </w:t>
      </w:r>
      <w:r w:rsidR="00B002E2" w:rsidRPr="0027666F">
        <w:rPr>
          <w:rFonts w:ascii="Garamond" w:hAnsi="Garamond"/>
        </w:rPr>
        <w:t>(</w:t>
      </w:r>
      <w:r w:rsidR="00A312C9" w:rsidRPr="0027666F">
        <w:rPr>
          <w:rFonts w:ascii="Garamond" w:hAnsi="Garamond"/>
        </w:rPr>
        <w:fldChar w:fldCharType="begin">
          <w:fldData xml:space="preserve">PEVuZE5vdGU+PENpdGU+PEF1dGhvcj5Ccm93bjwvQXV0aG9yPjxZZWFyPjE5OTg8L1llYXI+PFJl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</w:fldData>
        </w:fldChar>
      </w:r>
      <w:r w:rsidR="00A312C9" w:rsidRPr="0027666F">
        <w:rPr>
          <w:rFonts w:ascii="Garamond" w:hAnsi="Garamond"/>
        </w:rPr>
        <w:instrText xml:space="preserve"> ADDIN EN.CITE </w:instrText>
      </w:r>
      <w:r w:rsidR="00A312C9" w:rsidRPr="0027666F">
        <w:rPr>
          <w:rFonts w:ascii="Garamond" w:hAnsi="Garamond"/>
        </w:rPr>
        <w:fldChar w:fldCharType="begin">
          <w:fldData xml:space="preserve">PEVuZE5vdGU+PENpdGU+PEF1dGhvcj5Ccm93bjwvQXV0aG9yPjxZZWFyPjE5OTg8L1llYXI+PFJl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</w:fldData>
        </w:fldChar>
      </w:r>
      <w:r w:rsidR="00A312C9" w:rsidRPr="0027666F">
        <w:rPr>
          <w:rFonts w:ascii="Garamond" w:hAnsi="Garamond"/>
        </w:rPr>
        <w:instrText xml:space="preserve"> ADDIN EN.CITE.DATA </w:instrText>
      </w:r>
      <w:r w:rsidR="00A312C9" w:rsidRPr="0027666F">
        <w:rPr>
          <w:rFonts w:ascii="Garamond" w:hAnsi="Garamond"/>
        </w:rPr>
      </w:r>
      <w:r w:rsidR="00A312C9" w:rsidRPr="0027666F">
        <w:rPr>
          <w:rFonts w:ascii="Garamond" w:hAnsi="Garamond"/>
        </w:rPr>
        <w:fldChar w:fldCharType="end"/>
      </w:r>
      <w:r w:rsidR="00A312C9" w:rsidRPr="0027666F">
        <w:rPr>
          <w:rFonts w:ascii="Garamond" w:hAnsi="Garamond"/>
        </w:rPr>
      </w:r>
      <w:r w:rsidR="00A312C9" w:rsidRPr="0027666F">
        <w:rPr>
          <w:rFonts w:ascii="Garamond" w:hAnsi="Garamond"/>
        </w:rPr>
        <w:fldChar w:fldCharType="end"/>
      </w:r>
      <w:r w:rsidR="00F359F6" w:rsidRPr="0027666F">
        <w:rPr>
          <w:rFonts w:ascii="Garamond" w:hAnsi="Garamond"/>
        </w:rPr>
        <w:t>Brown 1998; Foucault 1975; Derrida 1995; Farage</w:t>
      </w:r>
      <w:r w:rsidR="00A312C9" w:rsidRPr="0027666F">
        <w:rPr>
          <w:rFonts w:ascii="Garamond" w:hAnsi="Garamond"/>
        </w:rPr>
        <w:t xml:space="preserve"> </w:t>
      </w:r>
      <w:r w:rsidR="00F359F6" w:rsidRPr="0027666F">
        <w:rPr>
          <w:rFonts w:ascii="Garamond" w:hAnsi="Garamond"/>
        </w:rPr>
        <w:t>2013</w:t>
      </w:r>
      <w:r w:rsidR="00B002E2" w:rsidRPr="0027666F">
        <w:rPr>
          <w:rFonts w:ascii="Garamond" w:hAnsi="Garamond"/>
        </w:rPr>
        <w:t>)</w:t>
      </w:r>
      <w:r w:rsidR="00186ECE" w:rsidRPr="0027666F">
        <w:rPr>
          <w:rFonts w:ascii="Garamond" w:hAnsi="Garamond"/>
        </w:rPr>
        <w:t>.</w:t>
      </w:r>
      <w:r w:rsidR="00902B78" w:rsidRPr="0027666F">
        <w:rPr>
          <w:rFonts w:ascii="Garamond" w:hAnsi="Garamond"/>
        </w:rPr>
        <w:t xml:space="preserve"> </w:t>
      </w:r>
      <w:r w:rsidRPr="0027666F">
        <w:rPr>
          <w:rFonts w:ascii="Garamond" w:hAnsi="Garamond"/>
        </w:rPr>
        <w:t xml:space="preserve">Recently, however, this has started to change, as </w:t>
      </w:r>
      <w:r w:rsidR="00902B78" w:rsidRPr="0027666F">
        <w:rPr>
          <w:rFonts w:ascii="Garamond" w:hAnsi="Garamond"/>
        </w:rPr>
        <w:t xml:space="preserve">a number of the leading international transitional justice organisations that </w:t>
      </w:r>
      <w:r w:rsidR="00186ECE" w:rsidRPr="0027666F">
        <w:rPr>
          <w:rFonts w:ascii="Garamond" w:hAnsi="Garamond"/>
        </w:rPr>
        <w:t xml:space="preserve">constitute </w:t>
      </w:r>
      <w:r w:rsidR="00902B78" w:rsidRPr="0027666F">
        <w:rPr>
          <w:rFonts w:ascii="Garamond" w:hAnsi="Garamond"/>
        </w:rPr>
        <w:t xml:space="preserve">transitional justice as a meaningful – and still powerful - field of activity have turned their attention to archives. These include the </w:t>
      </w:r>
      <w:r w:rsidR="00F359F6" w:rsidRPr="0027666F">
        <w:rPr>
          <w:rFonts w:ascii="Garamond" w:hAnsi="Garamond"/>
        </w:rPr>
        <w:t>International</w:t>
      </w:r>
      <w:r w:rsidR="00902B78" w:rsidRPr="0027666F">
        <w:rPr>
          <w:rFonts w:ascii="Garamond" w:hAnsi="Garamond"/>
        </w:rPr>
        <w:t xml:space="preserve"> Centre for </w:t>
      </w:r>
      <w:r w:rsidR="00F359F6" w:rsidRPr="0027666F">
        <w:rPr>
          <w:rFonts w:ascii="Garamond" w:hAnsi="Garamond"/>
        </w:rPr>
        <w:t>Transitional</w:t>
      </w:r>
      <w:r w:rsidR="00902B78" w:rsidRPr="0027666F">
        <w:rPr>
          <w:rFonts w:ascii="Garamond" w:hAnsi="Garamond"/>
        </w:rPr>
        <w:t xml:space="preserve"> Justice, SWISSPEACE, and </w:t>
      </w:r>
      <w:r w:rsidR="002E7994" w:rsidRPr="0027666F">
        <w:rPr>
          <w:rFonts w:ascii="Garamond" w:hAnsi="Garamond"/>
        </w:rPr>
        <w:t>the UN.</w:t>
      </w:r>
      <w:r w:rsidR="002E7994" w:rsidRPr="0027666F">
        <w:rPr>
          <w:rStyle w:val="EndnoteReference"/>
          <w:rFonts w:ascii="Garamond" w:hAnsi="Garamond"/>
        </w:rPr>
        <w:endnoteReference w:id="1"/>
      </w:r>
      <w:r w:rsidR="00902B78" w:rsidRPr="0027666F">
        <w:rPr>
          <w:rFonts w:ascii="Garamond" w:hAnsi="Garamond"/>
        </w:rPr>
        <w:t xml:space="preserve"> From these, along with other </w:t>
      </w:r>
      <w:r w:rsidR="00186ECE" w:rsidRPr="0027666F">
        <w:rPr>
          <w:rFonts w:ascii="Garamond" w:hAnsi="Garamond"/>
        </w:rPr>
        <w:t xml:space="preserve">recent </w:t>
      </w:r>
      <w:r w:rsidR="00902B78" w:rsidRPr="0027666F">
        <w:rPr>
          <w:rFonts w:ascii="Garamond" w:hAnsi="Garamond"/>
        </w:rPr>
        <w:t>scholarly interventions</w:t>
      </w:r>
      <w:r w:rsidRPr="0027666F">
        <w:rPr>
          <w:rFonts w:ascii="Garamond" w:hAnsi="Garamond"/>
        </w:rPr>
        <w:t xml:space="preserve"> (e.g. Redwood </w:t>
      </w:r>
      <w:r w:rsidRPr="0027666F">
        <w:rPr>
          <w:rFonts w:ascii="Garamond" w:hAnsi="Garamond"/>
          <w:i/>
        </w:rPr>
        <w:t>forthcoming</w:t>
      </w:r>
      <w:r w:rsidRPr="0027666F">
        <w:rPr>
          <w:rFonts w:ascii="Garamond" w:hAnsi="Garamond"/>
        </w:rPr>
        <w:t>; el-</w:t>
      </w:r>
      <w:r w:rsidRPr="0027666F">
        <w:rPr>
          <w:rFonts w:ascii="Garamond" w:hAnsi="Garamond"/>
        </w:rPr>
        <w:fldChar w:fldCharType="begin"/>
      </w:r>
      <w:r w:rsidRPr="0027666F">
        <w:rPr>
          <w:rFonts w:ascii="Garamond" w:hAnsi="Garamond"/>
        </w:rPr>
        <w:instrText xml:space="preserve"> ADDIN EN.CITE &lt;EndNote&gt;&lt;Cite&gt;&lt;Author&gt;el-Malik&lt;/Author&gt;&lt;Year&gt;2017&lt;/Year&gt;&lt;RecNum&gt;516&lt;/RecNum&gt;&lt;record&gt;&lt;rec-number&gt;516&lt;/rec-number&gt;&lt;foreign-keys&gt;&lt;key app="EN" db-id="0rewstxe3sdfepeps9f5xrt55srrdw2s5r9x" timestamp="1601042047"&gt;516&lt;/key&gt;&lt;/foreign-keys&gt;&lt;ref-type name="Book"&gt;6&lt;/ref-type&gt;&lt;contributors&gt;&lt;authors&gt;&lt;author&gt; el-Malik,  Shiera S&lt;/author&gt;&lt;author&gt;Kamola, Isaac A. &lt;/author&gt;&lt;/authors&gt;&lt;/contributors&gt;&lt;titles&gt;&lt;title&gt;Politics of African Anticolonial Archive&lt;/title&gt;&lt;/titles&gt;&lt;keywords&gt;&lt;keyword&gt;Archives&lt;/keyword&gt;&lt;keyword&gt;Post-colonial&lt;/keyword&gt;&lt;keyword&gt;Anti-colonial&lt;/keyword&gt;&lt;keyword&gt;Colonialism&lt;/keyword&gt;&lt;keyword&gt;Africa&lt;/keyword&gt;&lt;/keywords&gt;&lt;dates&gt;&lt;year&gt;2017&lt;/year&gt;&lt;/dates&gt;&lt;pub-location&gt;Plymouth&lt;/pub-location&gt;&lt;publisher&gt;Rowman &amp;amp; Littlefield International&lt;/publisher&gt;&lt;urls&gt;&lt;/urls&gt;&lt;/record&gt;&lt;/Cite&gt;&lt;/EndNote&gt;</w:instrText>
      </w:r>
      <w:r w:rsidRPr="0027666F">
        <w:rPr>
          <w:rFonts w:ascii="Garamond" w:hAnsi="Garamond"/>
        </w:rPr>
        <w:fldChar w:fldCharType="end"/>
      </w:r>
      <w:r w:rsidRPr="0027666F">
        <w:rPr>
          <w:rFonts w:ascii="Garamond" w:hAnsi="Garamond"/>
        </w:rPr>
        <w:t xml:space="preserve">Malik and Kamola 2017; </w:t>
      </w:r>
      <w:r w:rsidRPr="0027666F">
        <w:rPr>
          <w:rFonts w:ascii="Garamond" w:hAnsi="Garamond"/>
        </w:rPr>
        <w:fldChar w:fldCharType="begin"/>
      </w:r>
      <w:r w:rsidRPr="0027666F">
        <w:rPr>
          <w:rFonts w:ascii="Garamond" w:hAnsi="Garamond"/>
        </w:rPr>
        <w:instrText xml:space="preserve"> ADDIN EN.CITE &lt;EndNote&gt;&lt;Cite&gt;&lt;Author&gt;Campbell&lt;/Author&gt;&lt;Year&gt;2013&lt;/Year&gt;&lt;RecNum&gt;205&lt;/RecNum&gt;&lt;record&gt;&lt;rec-number&gt;205&lt;/rec-number&gt;&lt;foreign-keys&gt;&lt;key app="EN" db-id="0rewstxe3sdfepeps9f5xrt55srrdw2s5r9x" timestamp="1535642433"&gt;205&lt;/key&gt;&lt;/foreign-keys&gt;&lt;ref-type name="Journal Article"&gt;17&lt;/ref-type&gt;&lt;contributors&gt;&lt;authors&gt;&lt;author&gt;Campbell, Kirsten&lt;/author&gt;&lt;/authors&gt;&lt;/contributors&gt;&lt;titles&gt;&lt;title&gt;The Laws of Memory: The ICTY, Archive, and Transitional Justice&lt;/title&gt;&lt;secondary-title&gt;Social and Legal Studies&lt;/secondary-title&gt;&lt;/titles&gt;&lt;periodical&gt;&lt;full-title&gt;Social and Legal Studies&lt;/full-title&gt;&lt;/periodical&gt;&lt;pages&gt;247-249&lt;/pages&gt;&lt;volume&gt;22&lt;/volume&gt;&lt;number&gt;2&lt;/number&gt;&lt;keywords&gt;&lt;keyword&gt;ICJ&lt;/keyword&gt;&lt;keyword&gt;International Law&lt;/keyword&gt;&lt;keyword&gt;Memory&lt;/keyword&gt;&lt;keyword&gt;Archive&lt;/keyword&gt;&lt;keyword&gt;Testimony&lt;/keyword&gt;&lt;/keywords&gt;&lt;dates&gt;&lt;year&gt;2013&lt;/year&gt;&lt;/dates&gt;&lt;urls&gt;&lt;/urls&gt;&lt;/record&gt;&lt;/Cite&gt;&lt;/EndNote&gt;</w:instrText>
      </w:r>
      <w:r w:rsidRPr="0027666F">
        <w:rPr>
          <w:rFonts w:ascii="Garamond" w:hAnsi="Garamond"/>
        </w:rPr>
        <w:fldChar w:fldCharType="end"/>
      </w:r>
      <w:r w:rsidRPr="0027666F">
        <w:rPr>
          <w:rFonts w:ascii="Garamond" w:hAnsi="Garamond"/>
        </w:rPr>
        <w:t xml:space="preserve">Campbell, 2013; </w:t>
      </w:r>
      <w:r w:rsidR="00F359F6" w:rsidRPr="0027666F">
        <w:rPr>
          <w:rFonts w:ascii="Garamond" w:hAnsi="Garamond"/>
        </w:rPr>
        <w:fldChar w:fldCharType="begin"/>
      </w:r>
      <w:r w:rsidR="00F359F6" w:rsidRPr="0027666F">
        <w:rPr>
          <w:rFonts w:ascii="Garamond" w:hAnsi="Garamond"/>
        </w:rPr>
        <w:instrText xml:space="preserve"> ADDIN EN.CITE &lt;EndNote&gt;&lt;Cite&gt;&lt;Author&gt;Caswell&lt;/Author&gt;&lt;Year&gt;2014&lt;/Year&gt;&lt;RecNum&gt;514&lt;/RecNum&gt;&lt;record&gt;&lt;rec-number&gt;514&lt;/rec-number&gt;&lt;foreign-keys&gt;&lt;key app="EN" db-id="0rewstxe3sdfepeps9f5xrt55srrdw2s5r9x" timestamp="1601041240"&gt;514&lt;/key&gt;&lt;/foreign-keys&gt;&lt;ref-type name="Journal Article"&gt;17&lt;/ref-type&gt;&lt;contributors&gt;&lt;authors&gt;&lt;author&gt;Caswell, Michelle&lt;/author&gt;&lt;/authors&gt;&lt;/contributors&gt;&lt;titles&gt;&lt;title&gt;Defining human rights archives: introduction to the special double issue on archives and human rights&lt;/title&gt;&lt;secondary-title&gt;Archival Science&lt;/secondary-title&gt;&lt;short-title&gt;Defining Human Rights Archives&lt;/short-title&gt;&lt;/titles&gt;&lt;periodical&gt;&lt;full-title&gt;Archival Science&lt;/full-title&gt;&lt;/periodical&gt;&lt;pages&gt;207–213&lt;/pages&gt;&lt;volume&gt;14&lt;/volume&gt;&lt;keywords&gt;&lt;keyword&gt;Human Rights&lt;/keyword&gt;&lt;keyword&gt;Archives&lt;/keyword&gt;&lt;/keywords&gt;&lt;dates&gt;&lt;year&gt;2014&lt;/year&gt;&lt;/dates&gt;&lt;urls&gt;&lt;/urls&gt;&lt;/record&gt;&lt;/Cite&gt;&lt;/EndNote&gt;</w:instrText>
      </w:r>
      <w:r w:rsidR="00F359F6" w:rsidRPr="0027666F">
        <w:rPr>
          <w:rFonts w:ascii="Garamond" w:hAnsi="Garamond"/>
        </w:rPr>
        <w:fldChar w:fldCharType="end"/>
      </w:r>
      <w:r w:rsidR="00F359F6" w:rsidRPr="0027666F">
        <w:rPr>
          <w:rFonts w:ascii="Garamond" w:hAnsi="Garamond"/>
        </w:rPr>
        <w:t xml:space="preserve">Caswell 2014; </w:t>
      </w:r>
      <w:r w:rsidR="00F359F6" w:rsidRPr="0027666F">
        <w:rPr>
          <w:rFonts w:ascii="Garamond" w:hAnsi="Garamond"/>
        </w:rPr>
        <w:fldChar w:fldCharType="begin"/>
      </w:r>
      <w:r w:rsidR="00F359F6" w:rsidRPr="0027666F">
        <w:rPr>
          <w:rFonts w:ascii="Garamond" w:hAnsi="Garamond"/>
        </w:rPr>
        <w:instrText xml:space="preserve"> ADDIN EN.CITE &lt;EndNote&gt;&lt;Cite&gt;&lt;Author&gt;Baumgartner&lt;/Author&gt;&lt;Year&gt;2016&lt;/Year&gt;&lt;RecNum&gt;515&lt;/RecNum&gt;&lt;record&gt;&lt;rec-number&gt;515&lt;/rec-number&gt;&lt;foreign-keys&gt;&lt;key app="EN" db-id="0rewstxe3sdfepeps9f5xrt55srrdw2s5r9x" timestamp="1601041567"&gt;515&lt;/key&gt;&lt;/foreign-keys&gt;&lt;ref-type name="Journal Article"&gt;17&lt;/ref-type&gt;&lt;contributors&gt;&lt;authors&gt;&lt;author&gt;Baumgartner,Elisabeth &lt;/author&gt;&lt;author&gt;Hamber, Brandon &lt;/author&gt;&lt;author&gt;Jones, Briony &lt;/author&gt;&lt;author&gt;Kelly, Gráinne &lt;/author&gt;&lt;author&gt;Oliveira, Ingrid &lt;/author&gt;&lt;/authors&gt;&lt;/contributors&gt;&lt;titles&gt;&lt;title&gt;Documentation, Human Rights and Transitional Justice&lt;/title&gt;&lt;secondary-title&gt;Journal of Human Rights Practice&lt;/secondary-title&gt;&lt;/titles&gt;&lt;periodical&gt;&lt;full-title&gt;Journal of Human Rights Practice&lt;/full-title&gt;&lt;/periodical&gt;&lt;pages&gt;1–5&lt;/pages&gt;&lt;volume&gt;8&lt;/volume&gt;&lt;number&gt;1&lt;/number&gt;&lt;keywords&gt;&lt;keyword&gt;Archives&lt;/keyword&gt;&lt;keyword&gt;Documentation&lt;/keyword&gt;&lt;keyword&gt;Human Rights&lt;/keyword&gt;&lt;keyword&gt;Transitional Justice&lt;/keyword&gt;&lt;/keywords&gt;&lt;dates&gt;&lt;year&gt;2016&lt;/year&gt;&lt;/dates&gt;&lt;urls&gt;&lt;/urls&gt;&lt;/record&gt;&lt;/Cite&gt;&lt;/EndNote&gt;</w:instrText>
      </w:r>
      <w:r w:rsidR="00F359F6" w:rsidRPr="0027666F">
        <w:rPr>
          <w:rFonts w:ascii="Garamond" w:hAnsi="Garamond"/>
        </w:rPr>
        <w:fldChar w:fldCharType="end"/>
      </w:r>
      <w:r w:rsidR="00F359F6" w:rsidRPr="0027666F">
        <w:rPr>
          <w:rFonts w:ascii="Garamond" w:hAnsi="Garamond"/>
        </w:rPr>
        <w:t xml:space="preserve">Baumgartner </w:t>
      </w:r>
      <w:r w:rsidR="00F359F6" w:rsidRPr="0027666F">
        <w:rPr>
          <w:rFonts w:ascii="Garamond" w:hAnsi="Garamond"/>
          <w:i/>
        </w:rPr>
        <w:t>et al</w:t>
      </w:r>
      <w:r w:rsidR="00F359F6" w:rsidRPr="0027666F">
        <w:rPr>
          <w:rFonts w:ascii="Garamond" w:hAnsi="Garamond"/>
        </w:rPr>
        <w:t xml:space="preserve"> 2016</w:t>
      </w:r>
      <w:r w:rsidR="00B002E2" w:rsidRPr="0027666F">
        <w:rPr>
          <w:rFonts w:ascii="Garamond" w:hAnsi="Garamond"/>
        </w:rPr>
        <w:t>)</w:t>
      </w:r>
      <w:r w:rsidR="00902B78" w:rsidRPr="0027666F">
        <w:rPr>
          <w:rFonts w:ascii="Garamond" w:hAnsi="Garamond"/>
        </w:rPr>
        <w:t>, it becomes clear that archives play an important</w:t>
      </w:r>
      <w:r w:rsidR="002B621A" w:rsidRPr="0027666F">
        <w:rPr>
          <w:rFonts w:ascii="Garamond" w:hAnsi="Garamond"/>
        </w:rPr>
        <w:t xml:space="preserve">, if not contentious, </w:t>
      </w:r>
      <w:r w:rsidR="00902B78" w:rsidRPr="0027666F">
        <w:rPr>
          <w:rFonts w:ascii="Garamond" w:hAnsi="Garamond"/>
        </w:rPr>
        <w:t xml:space="preserve">role in transitional justice. </w:t>
      </w:r>
      <w:r w:rsidR="00B75FC7" w:rsidRPr="0027666F">
        <w:rPr>
          <w:rFonts w:ascii="Garamond" w:hAnsi="Garamond"/>
        </w:rPr>
        <w:t xml:space="preserve">Anne Gilliland </w:t>
      </w:r>
      <w:r w:rsidR="00902B78" w:rsidRPr="0027666F">
        <w:rPr>
          <w:rFonts w:ascii="Garamond" w:hAnsi="Garamond"/>
        </w:rPr>
        <w:t xml:space="preserve">goes as </w:t>
      </w:r>
      <w:r w:rsidR="00902B78" w:rsidRPr="0027666F">
        <w:rPr>
          <w:rFonts w:ascii="Garamond" w:hAnsi="Garamond"/>
        </w:rPr>
        <w:lastRenderedPageBreak/>
        <w:t xml:space="preserve">far to claim that </w:t>
      </w:r>
      <w:r w:rsidR="00B75FC7" w:rsidRPr="0027666F">
        <w:rPr>
          <w:rFonts w:ascii="Garamond" w:hAnsi="Garamond"/>
        </w:rPr>
        <w:t>‘</w:t>
      </w:r>
      <w:r w:rsidR="00796CE7">
        <w:rPr>
          <w:rFonts w:ascii="Garamond" w:hAnsi="Garamond"/>
          <w:i/>
          <w:lang w:val="en-US"/>
        </w:rPr>
        <w:t>[a]</w:t>
      </w:r>
      <w:r w:rsidR="00B75FC7" w:rsidRPr="0027666F">
        <w:rPr>
          <w:rFonts w:ascii="Garamond" w:hAnsi="Garamond"/>
          <w:i/>
          <w:lang w:val="en-US"/>
        </w:rPr>
        <w:t>ll archives are human rights archives’</w:t>
      </w:r>
      <w:r w:rsidR="00B75FC7" w:rsidRPr="0027666F">
        <w:rPr>
          <w:rFonts w:ascii="Garamond" w:hAnsi="Garamond"/>
        </w:rPr>
        <w:t>(Caswell</w:t>
      </w:r>
      <w:r w:rsidR="00A52E68" w:rsidRPr="0027666F">
        <w:rPr>
          <w:rFonts w:ascii="Garamond" w:hAnsi="Garamond"/>
        </w:rPr>
        <w:t xml:space="preserve"> 2014, </w:t>
      </w:r>
      <w:r w:rsidR="00B75FC7" w:rsidRPr="0027666F">
        <w:rPr>
          <w:rFonts w:ascii="Garamond" w:hAnsi="Garamond"/>
        </w:rPr>
        <w:t>209</w:t>
      </w:r>
      <w:r w:rsidR="00796CE7">
        <w:rPr>
          <w:rFonts w:ascii="Garamond" w:hAnsi="Garamond"/>
        </w:rPr>
        <w:t xml:space="preserve"> – emphasis added</w:t>
      </w:r>
      <w:r w:rsidR="00B75FC7" w:rsidRPr="0027666F">
        <w:rPr>
          <w:rFonts w:ascii="Garamond" w:hAnsi="Garamond"/>
        </w:rPr>
        <w:t>)</w:t>
      </w:r>
      <w:r w:rsidR="00B75FC7" w:rsidRPr="0027666F">
        <w:rPr>
          <w:rFonts w:ascii="Garamond" w:hAnsi="Garamond"/>
          <w:i/>
          <w:lang w:val="en-US"/>
        </w:rPr>
        <w:t xml:space="preserve"> </w:t>
      </w:r>
      <w:r w:rsidR="00902B78" w:rsidRPr="0027666F">
        <w:rPr>
          <w:rFonts w:ascii="Garamond" w:hAnsi="Garamond"/>
        </w:rPr>
        <w:t>suggesting a close relationship between archival practices and the quest for justice. The archive play</w:t>
      </w:r>
      <w:r w:rsidR="00186ECE" w:rsidRPr="0027666F">
        <w:rPr>
          <w:rFonts w:ascii="Garamond" w:hAnsi="Garamond"/>
        </w:rPr>
        <w:t>s</w:t>
      </w:r>
      <w:r w:rsidR="00902B78" w:rsidRPr="0027666F">
        <w:rPr>
          <w:rFonts w:ascii="Garamond" w:hAnsi="Garamond"/>
        </w:rPr>
        <w:t xml:space="preserve"> two clear roles in this search for justice. The first is a, perhaps less glamorous, role of facilitating a justice to come. The second is acting as a site of justice, in and of itself</w:t>
      </w:r>
      <w:r w:rsidR="002606FC" w:rsidRPr="0027666F">
        <w:rPr>
          <w:rFonts w:ascii="Garamond" w:hAnsi="Garamond"/>
        </w:rPr>
        <w:t xml:space="preserve"> (</w:t>
      </w:r>
      <w:r w:rsidR="002606FC" w:rsidRPr="0027666F">
        <w:rPr>
          <w:rFonts w:ascii="Garamond" w:hAnsi="Garamond"/>
        </w:rPr>
        <w:fldChar w:fldCharType="begin"/>
      </w:r>
      <w:r w:rsidR="002606FC" w:rsidRPr="0027666F">
        <w:rPr>
          <w:rFonts w:ascii="Garamond" w:hAnsi="Garamond"/>
        </w:rPr>
        <w:instrText xml:space="preserve"> ADDIN EN.CITE &lt;EndNote&gt;&lt;Cite&gt;&lt;Author&gt;Aboueldahab&lt;/Author&gt;&lt;Year&gt;2018&lt;/Year&gt;&lt;RecNum&gt;518&lt;/RecNum&gt;&lt;record&gt;&lt;rec-number&gt;518&lt;/rec-number&gt;&lt;foreign-keys&gt;&lt;key app="EN" db-id="0rewstxe3sdfepeps9f5xrt55srrdw2s5r9x" timestamp="1601048928"&gt;518&lt;/key&gt;&lt;/foreign-keys&gt;&lt;ref-type name="Report"&gt;27&lt;/ref-type&gt;&lt;contributors&gt;&lt;authors&gt;&lt;author&gt;Aboueldahab, Noha&lt;/author&gt;&lt;/authors&gt;&lt;/contributors&gt;&lt;titles&gt;&lt;title&gt;Writing Atrocities: Syrian Civil Society and Transitional Justice&lt;/title&gt;&lt;/titles&gt;&lt;keywords&gt;&lt;keyword&gt;Archives&lt;/keyword&gt;&lt;keyword&gt;Civil Society&lt;/keyword&gt;&lt;keyword&gt;Syria&lt;/keyword&gt;&lt;keyword&gt;Transitional Justice&lt;/keyword&gt;&lt;/keywords&gt;&lt;dates&gt;&lt;year&gt;2018&lt;/year&gt;&lt;/dates&gt;&lt;pub-location&gt;Doha, Qatar&lt;/pub-location&gt;&lt;publisher&gt;Brookings Doha Centre&lt;/publisher&gt;&lt;urls&gt;&lt;/urls&gt;&lt;/record&gt;&lt;/Cite&gt;&lt;/EndNote&gt;</w:instrText>
      </w:r>
      <w:r w:rsidR="002606FC" w:rsidRPr="0027666F">
        <w:rPr>
          <w:rFonts w:ascii="Garamond" w:hAnsi="Garamond"/>
        </w:rPr>
        <w:fldChar w:fldCharType="end"/>
      </w:r>
      <w:r w:rsidR="002606FC" w:rsidRPr="0027666F">
        <w:rPr>
          <w:rFonts w:ascii="Garamond" w:hAnsi="Garamond" w:cs="Helvetica"/>
          <w:color w:val="000000"/>
          <w:lang w:val="en-US"/>
        </w:rPr>
        <w:t>Aboueldahab 2018, 3-5)</w:t>
      </w:r>
      <w:r w:rsidR="00902B78" w:rsidRPr="0027666F">
        <w:rPr>
          <w:rFonts w:ascii="Garamond" w:hAnsi="Garamond"/>
        </w:rPr>
        <w:t xml:space="preserve">. </w:t>
      </w:r>
    </w:p>
    <w:p w14:paraId="4A6F66F7" w14:textId="77777777" w:rsidR="007604FD" w:rsidRPr="0027666F" w:rsidRDefault="007604FD" w:rsidP="008A0C7B">
      <w:pPr>
        <w:rPr>
          <w:rFonts w:ascii="Garamond" w:hAnsi="Garamond"/>
        </w:rPr>
      </w:pPr>
    </w:p>
    <w:p w14:paraId="2AB6AA07" w14:textId="111C8F40" w:rsidR="007604FD" w:rsidRPr="0027666F" w:rsidRDefault="00053EA9" w:rsidP="00260796">
      <w:pPr>
        <w:pStyle w:val="Heading2"/>
      </w:pPr>
      <w:r w:rsidRPr="0027666F">
        <w:t>Archives and</w:t>
      </w:r>
      <w:r w:rsidR="00866CA4">
        <w:t xml:space="preserve"> J</w:t>
      </w:r>
      <w:r w:rsidRPr="0027666F">
        <w:t xml:space="preserve">ustice to </w:t>
      </w:r>
      <w:r w:rsidR="00866CA4">
        <w:t>C</w:t>
      </w:r>
      <w:r w:rsidRPr="0027666F">
        <w:t>ome</w:t>
      </w:r>
    </w:p>
    <w:p w14:paraId="082BCFDD" w14:textId="77777777" w:rsidR="00053EA9" w:rsidRPr="0027666F" w:rsidRDefault="00053EA9" w:rsidP="008A0C7B">
      <w:pPr>
        <w:rPr>
          <w:rFonts w:ascii="Garamond" w:hAnsi="Garamond"/>
        </w:rPr>
      </w:pPr>
    </w:p>
    <w:p w14:paraId="71F7C784" w14:textId="7BC2FEBA" w:rsidR="0076145C" w:rsidRPr="0027666F" w:rsidRDefault="00B75FC7" w:rsidP="008A0C7B">
      <w:pPr>
        <w:rPr>
          <w:rFonts w:ascii="Garamond" w:hAnsi="Garamond"/>
        </w:rPr>
      </w:pPr>
      <w:r w:rsidRPr="0027666F">
        <w:rPr>
          <w:rFonts w:ascii="Garamond" w:hAnsi="Garamond"/>
        </w:rPr>
        <w:t>The</w:t>
      </w:r>
      <w:r w:rsidR="00D63E31" w:rsidRPr="0027666F">
        <w:rPr>
          <w:rFonts w:ascii="Garamond" w:hAnsi="Garamond"/>
        </w:rPr>
        <w:t xml:space="preserve"> documentation of violenc</w:t>
      </w:r>
      <w:r w:rsidR="00B002E2" w:rsidRPr="0027666F">
        <w:rPr>
          <w:rFonts w:ascii="Garamond" w:hAnsi="Garamond"/>
        </w:rPr>
        <w:t xml:space="preserve">e, </w:t>
      </w:r>
      <w:r w:rsidR="00D63E31" w:rsidRPr="0027666F">
        <w:rPr>
          <w:rFonts w:ascii="Garamond" w:hAnsi="Garamond"/>
        </w:rPr>
        <w:t xml:space="preserve">and a </w:t>
      </w:r>
      <w:r w:rsidRPr="0027666F">
        <w:rPr>
          <w:rFonts w:ascii="Garamond" w:hAnsi="Garamond"/>
        </w:rPr>
        <w:t>faith</w:t>
      </w:r>
      <w:r w:rsidR="00D63E31" w:rsidRPr="0027666F">
        <w:rPr>
          <w:rFonts w:ascii="Garamond" w:hAnsi="Garamond"/>
        </w:rPr>
        <w:t xml:space="preserve"> in the power of this documentation </w:t>
      </w:r>
      <w:r w:rsidRPr="0027666F">
        <w:rPr>
          <w:rFonts w:ascii="Garamond" w:hAnsi="Garamond"/>
        </w:rPr>
        <w:t xml:space="preserve">to realise a new state of </w:t>
      </w:r>
      <w:r w:rsidR="004B4A6B" w:rsidRPr="0027666F">
        <w:rPr>
          <w:rFonts w:ascii="Garamond" w:hAnsi="Garamond"/>
        </w:rPr>
        <w:t>peace</w:t>
      </w:r>
      <w:r w:rsidRPr="0027666F">
        <w:rPr>
          <w:rFonts w:ascii="Garamond" w:hAnsi="Garamond"/>
        </w:rPr>
        <w:t xml:space="preserve"> after war, </w:t>
      </w:r>
      <w:r w:rsidR="0076145C" w:rsidRPr="0027666F">
        <w:rPr>
          <w:rFonts w:ascii="Garamond" w:hAnsi="Garamond"/>
        </w:rPr>
        <w:t>atrocity</w:t>
      </w:r>
      <w:r w:rsidRPr="0027666F">
        <w:rPr>
          <w:rFonts w:ascii="Garamond" w:hAnsi="Garamond"/>
        </w:rPr>
        <w:t xml:space="preserve"> or </w:t>
      </w:r>
      <w:r w:rsidR="004B4A6B" w:rsidRPr="0027666F">
        <w:rPr>
          <w:rFonts w:ascii="Garamond" w:hAnsi="Garamond"/>
        </w:rPr>
        <w:t>democratic transition</w:t>
      </w:r>
      <w:r w:rsidRPr="0027666F">
        <w:rPr>
          <w:rFonts w:ascii="Garamond" w:hAnsi="Garamond"/>
        </w:rPr>
        <w:t xml:space="preserve">, </w:t>
      </w:r>
      <w:r w:rsidR="00D63E31" w:rsidRPr="0027666F">
        <w:rPr>
          <w:rFonts w:ascii="Garamond" w:hAnsi="Garamond"/>
        </w:rPr>
        <w:t>remains central to the practice and discourse of transitional justice</w:t>
      </w:r>
      <w:r w:rsidRPr="0027666F">
        <w:rPr>
          <w:rFonts w:ascii="Garamond" w:hAnsi="Garamond"/>
        </w:rPr>
        <w:t xml:space="preserve"> (</w:t>
      </w:r>
      <w:r w:rsidR="00A63619" w:rsidRPr="0027666F">
        <w:rPr>
          <w:rFonts w:ascii="Garamond" w:hAnsi="Garamond"/>
        </w:rPr>
        <w:fldChar w:fldCharType="begin"/>
      </w:r>
      <w:r w:rsidR="00A63619" w:rsidRPr="0027666F">
        <w:rPr>
          <w:rFonts w:ascii="Garamond" w:hAnsi="Garamond"/>
        </w:rPr>
        <w:instrText xml:space="preserve"> ADDIN EN.CITE &lt;EndNote&gt;&lt;Cite&gt;&lt;Author&gt;Naftali&lt;/Author&gt;&lt;Year&gt;2016&lt;/Year&gt;&lt;RecNum&gt;517&lt;/RecNum&gt;&lt;record&gt;&lt;rec-number&gt;517&lt;/rec-number&gt;&lt;foreign-keys&gt;&lt;key app="EN" db-id="0rewstxe3sdfepeps9f5xrt55srrdw2s5r9x" timestamp="1601042534"&gt;517&lt;/key&gt;&lt;/foreign-keys&gt;&lt;ref-type name="Journal Article"&gt;17&lt;/ref-type&gt;&lt;contributors&gt;&lt;authors&gt;&lt;author&gt;Naftali, Patricia&lt;/author&gt;&lt;/authors&gt;&lt;/contributors&gt;&lt;titles&gt;&lt;title&gt;Crafting a “Right to Truth” in International Law: Converging Mobilizations, Diverging Agendas?&lt;/title&gt;&lt;secondary-title&gt;Champ Penal&lt;/secondary-title&gt;&lt;short-title&gt;Right to Truth&lt;/short-title&gt;&lt;/titles&gt;&lt;periodical&gt;&lt;full-title&gt;Champ Penal&lt;/full-title&gt;&lt;/periodical&gt;&lt;volume&gt;8&lt;/volume&gt;&lt;keywords&gt;&lt;keyword&gt;truth&lt;/keyword&gt;&lt;keyword&gt;Transitional Justice&lt;/keyword&gt;&lt;/keywords&gt;&lt;dates&gt;&lt;year&gt;2016&lt;/year&gt;&lt;/dates&gt;&lt;urls&gt;&lt;/urls&gt;&lt;/record&gt;&lt;/Cite&gt;&lt;/EndNote&gt;</w:instrText>
      </w:r>
      <w:r w:rsidR="00A63619" w:rsidRPr="0027666F">
        <w:rPr>
          <w:rFonts w:ascii="Garamond" w:hAnsi="Garamond"/>
        </w:rPr>
        <w:fldChar w:fldCharType="end"/>
      </w:r>
      <w:r w:rsidR="00A63619" w:rsidRPr="0027666F">
        <w:rPr>
          <w:rFonts w:ascii="Garamond" w:hAnsi="Garamond"/>
        </w:rPr>
        <w:t xml:space="preserve">Naftali 2016; </w:t>
      </w:r>
      <w:r w:rsidR="00A63619" w:rsidRPr="0027666F">
        <w:rPr>
          <w:rFonts w:ascii="Garamond" w:hAnsi="Garamond"/>
        </w:rPr>
        <w:fldChar w:fldCharType="begin"/>
      </w:r>
      <w:r w:rsidR="00A63619" w:rsidRPr="0027666F">
        <w:rPr>
          <w:rFonts w:ascii="Garamond" w:hAnsi="Garamond"/>
        </w:rPr>
        <w:instrText xml:space="preserve"> ADDIN EN.CITE &lt;EndNote&gt;&lt;Cite&gt;&lt;Author&gt;UNHCR&lt;/Author&gt;&lt;Year&gt;2006&lt;/Year&gt;&lt;RecNum&gt;518&lt;/RecNum&gt;&lt;record&gt;&lt;rec-number&gt;518&lt;/rec-number&gt;&lt;foreign-keys&gt;&lt;key app="EN" db-id="0rewstxe3sdfepeps9f5xrt55srrdw2s5r9x" timestamp="1601042690"&gt;518&lt;/key&gt;&lt;/foreign-keys&gt;&lt;ref-type name="Report"&gt;27&lt;/ref-type&gt;&lt;contributors&gt;&lt;authors&gt;&lt;author&gt;UNHCR&lt;/author&gt;&lt;/authors&gt;&lt;/contributors&gt;&lt;titles&gt;&lt;title&gt;Promotion and Protection of Human Rights: Study on the right to the truth&lt;/title&gt;&lt;/titles&gt;&lt;dates&gt;&lt;year&gt;2006&lt;/year&gt;&lt;/dates&gt;&lt;pub-location&gt;https://documents-dds-ny.un.org/doc/UNDOC/GEN/G06/106/56/PDF/G0610656.pdf?OpenElement&lt;/pub-location&gt;&lt;urls&gt;&lt;/urls&gt;&lt;/record&gt;&lt;/Cite&gt;&lt;/EndNote&gt;</w:instrText>
      </w:r>
      <w:r w:rsidR="00A63619" w:rsidRPr="0027666F">
        <w:rPr>
          <w:rFonts w:ascii="Garamond" w:hAnsi="Garamond"/>
        </w:rPr>
        <w:fldChar w:fldCharType="end"/>
      </w:r>
      <w:r w:rsidR="004B4A6B" w:rsidRPr="0027666F">
        <w:rPr>
          <w:rFonts w:ascii="Garamond" w:hAnsi="Garamond"/>
        </w:rPr>
        <w:t>UNHCR</w:t>
      </w:r>
      <w:r w:rsidRPr="0027666F">
        <w:rPr>
          <w:rFonts w:ascii="Garamond" w:hAnsi="Garamond"/>
        </w:rPr>
        <w:t xml:space="preserve"> </w:t>
      </w:r>
      <w:r w:rsidR="00A63619" w:rsidRPr="0027666F">
        <w:rPr>
          <w:rFonts w:ascii="Garamond" w:hAnsi="Garamond"/>
        </w:rPr>
        <w:t>2006</w:t>
      </w:r>
      <w:r w:rsidR="002046DA" w:rsidRPr="0027666F">
        <w:rPr>
          <w:rFonts w:ascii="Garamond" w:hAnsi="Garamond"/>
        </w:rPr>
        <w:t>; Accatino and Collins 2016, 85</w:t>
      </w:r>
      <w:r w:rsidRPr="0027666F">
        <w:rPr>
          <w:rFonts w:ascii="Garamond" w:hAnsi="Garamond"/>
        </w:rPr>
        <w:t>)</w:t>
      </w:r>
      <w:r w:rsidR="00D63E31" w:rsidRPr="0027666F">
        <w:rPr>
          <w:rFonts w:ascii="Garamond" w:hAnsi="Garamond"/>
        </w:rPr>
        <w:t>. From this perspective, it is</w:t>
      </w:r>
      <w:r w:rsidR="004B4A6B" w:rsidRPr="0027666F">
        <w:rPr>
          <w:rFonts w:ascii="Garamond" w:hAnsi="Garamond"/>
        </w:rPr>
        <w:t xml:space="preserve"> </w:t>
      </w:r>
      <w:r w:rsidR="00D63E31" w:rsidRPr="0027666F">
        <w:rPr>
          <w:rFonts w:ascii="Garamond" w:hAnsi="Garamond"/>
        </w:rPr>
        <w:t>perhaps</w:t>
      </w:r>
      <w:r w:rsidR="00186ECE" w:rsidRPr="0027666F">
        <w:rPr>
          <w:rFonts w:ascii="Garamond" w:hAnsi="Garamond"/>
        </w:rPr>
        <w:t xml:space="preserve"> </w:t>
      </w:r>
      <w:r w:rsidR="00053EA9" w:rsidRPr="0027666F">
        <w:rPr>
          <w:rFonts w:ascii="Garamond" w:hAnsi="Garamond"/>
        </w:rPr>
        <w:t>unsurprising</w:t>
      </w:r>
      <w:r w:rsidR="004B4A6B" w:rsidRPr="0027666F">
        <w:rPr>
          <w:rFonts w:ascii="Garamond" w:hAnsi="Garamond"/>
        </w:rPr>
        <w:t xml:space="preserve"> </w:t>
      </w:r>
      <w:r w:rsidR="00D63E31" w:rsidRPr="0027666F">
        <w:rPr>
          <w:rFonts w:ascii="Garamond" w:hAnsi="Garamond"/>
        </w:rPr>
        <w:t xml:space="preserve">that archives are </w:t>
      </w:r>
      <w:r w:rsidRPr="0027666F">
        <w:rPr>
          <w:rFonts w:ascii="Garamond" w:hAnsi="Garamond"/>
        </w:rPr>
        <w:t>often seen</w:t>
      </w:r>
      <w:r w:rsidR="00186ECE" w:rsidRPr="0027666F">
        <w:rPr>
          <w:rFonts w:ascii="Garamond" w:hAnsi="Garamond"/>
        </w:rPr>
        <w:t xml:space="preserve"> </w:t>
      </w:r>
      <w:r w:rsidR="00D63E31" w:rsidRPr="0027666F">
        <w:rPr>
          <w:rFonts w:ascii="Garamond" w:hAnsi="Garamond"/>
        </w:rPr>
        <w:t xml:space="preserve">as central to the very possibility of transitional justice. </w:t>
      </w:r>
      <w:r w:rsidRPr="0027666F">
        <w:rPr>
          <w:rFonts w:ascii="Garamond" w:hAnsi="Garamond"/>
        </w:rPr>
        <w:t>Indeed, i</w:t>
      </w:r>
      <w:r w:rsidR="00D63E31" w:rsidRPr="0027666F">
        <w:rPr>
          <w:rFonts w:ascii="Garamond" w:hAnsi="Garamond"/>
        </w:rPr>
        <w:t xml:space="preserve">n numerous contexts around the world, long before any possibility of justice has emerged, and often </w:t>
      </w:r>
      <w:r w:rsidR="004B4A6B" w:rsidRPr="0027666F">
        <w:rPr>
          <w:rFonts w:ascii="Garamond" w:hAnsi="Garamond"/>
        </w:rPr>
        <w:t>in</w:t>
      </w:r>
      <w:r w:rsidR="00D63E31" w:rsidRPr="0027666F">
        <w:rPr>
          <w:rFonts w:ascii="Garamond" w:hAnsi="Garamond"/>
        </w:rPr>
        <w:t xml:space="preserve"> the midst of violence, archives have been constructed in the hope that one day they will be able to facilitate the realisation of some form of justice – whether this maybe courts, truth commissions, or</w:t>
      </w:r>
      <w:r w:rsidR="00186ECE" w:rsidRPr="0027666F">
        <w:rPr>
          <w:rFonts w:ascii="Garamond" w:hAnsi="Garamond"/>
        </w:rPr>
        <w:t xml:space="preserve"> other</w:t>
      </w:r>
      <w:r w:rsidR="00D63E31" w:rsidRPr="0027666F">
        <w:rPr>
          <w:rFonts w:ascii="Garamond" w:hAnsi="Garamond"/>
        </w:rPr>
        <w:t xml:space="preserve"> official enquiries. </w:t>
      </w:r>
    </w:p>
    <w:p w14:paraId="336456D6" w14:textId="77777777" w:rsidR="0076145C" w:rsidRPr="0027666F" w:rsidRDefault="0076145C" w:rsidP="008A0C7B">
      <w:pPr>
        <w:rPr>
          <w:rFonts w:ascii="Garamond" w:hAnsi="Garamond"/>
        </w:rPr>
      </w:pPr>
    </w:p>
    <w:p w14:paraId="2D7165B1" w14:textId="0A5A9987" w:rsidR="00D63E31" w:rsidRPr="0027666F" w:rsidRDefault="00D63E31" w:rsidP="008A0C7B">
      <w:pPr>
        <w:rPr>
          <w:rFonts w:ascii="Garamond" w:hAnsi="Garamond"/>
        </w:rPr>
      </w:pPr>
      <w:r w:rsidRPr="0027666F">
        <w:rPr>
          <w:rFonts w:ascii="Garamond" w:hAnsi="Garamond"/>
        </w:rPr>
        <w:t xml:space="preserve">In Chile, </w:t>
      </w:r>
      <w:r w:rsidR="0076145C" w:rsidRPr="0027666F">
        <w:rPr>
          <w:rFonts w:ascii="Garamond" w:hAnsi="Garamond"/>
        </w:rPr>
        <w:t>for example</w:t>
      </w:r>
      <w:r w:rsidRPr="0027666F">
        <w:rPr>
          <w:rFonts w:ascii="Garamond" w:hAnsi="Garamond"/>
        </w:rPr>
        <w:t>,</w:t>
      </w:r>
      <w:r w:rsidR="004B4A6B" w:rsidRPr="0027666F">
        <w:rPr>
          <w:rFonts w:ascii="Garamond" w:hAnsi="Garamond"/>
        </w:rPr>
        <w:t xml:space="preserve"> throughout the 70s and 80s</w:t>
      </w:r>
      <w:r w:rsidRPr="0027666F">
        <w:rPr>
          <w:rFonts w:ascii="Garamond" w:hAnsi="Garamond"/>
        </w:rPr>
        <w:t xml:space="preserve"> </w:t>
      </w:r>
      <w:r w:rsidR="006D4FE2" w:rsidRPr="0027666F">
        <w:rPr>
          <w:rFonts w:ascii="Garamond" w:hAnsi="Garamond"/>
        </w:rPr>
        <w:t xml:space="preserve">Vicaría de la Solidarida, </w:t>
      </w:r>
      <w:r w:rsidR="00796CE7" w:rsidRPr="0027666F">
        <w:rPr>
          <w:rFonts w:ascii="Garamond" w:hAnsi="Garamond"/>
        </w:rPr>
        <w:t>a human rights organisation</w:t>
      </w:r>
      <w:r w:rsidR="00796CE7">
        <w:rPr>
          <w:rFonts w:ascii="Garamond" w:hAnsi="Garamond"/>
        </w:rPr>
        <w:t xml:space="preserve"> </w:t>
      </w:r>
      <w:r w:rsidR="006D4FE2" w:rsidRPr="0027666F">
        <w:rPr>
          <w:rFonts w:ascii="Garamond" w:hAnsi="Garamond"/>
        </w:rPr>
        <w:t xml:space="preserve">working through a </w:t>
      </w:r>
      <w:r w:rsidRPr="0027666F">
        <w:rPr>
          <w:rFonts w:ascii="Garamond" w:hAnsi="Garamond"/>
        </w:rPr>
        <w:t xml:space="preserve">network of </w:t>
      </w:r>
      <w:r w:rsidR="006D4FE2" w:rsidRPr="0027666F">
        <w:rPr>
          <w:rFonts w:ascii="Garamond" w:hAnsi="Garamond"/>
        </w:rPr>
        <w:t xml:space="preserve">Catholic churches, </w:t>
      </w:r>
      <w:r w:rsidR="004B4A6B" w:rsidRPr="0027666F">
        <w:rPr>
          <w:rFonts w:ascii="Garamond" w:hAnsi="Garamond"/>
        </w:rPr>
        <w:t>documented</w:t>
      </w:r>
      <w:r w:rsidRPr="0027666F">
        <w:rPr>
          <w:rFonts w:ascii="Garamond" w:hAnsi="Garamond"/>
        </w:rPr>
        <w:t xml:space="preserve"> the ongoing </w:t>
      </w:r>
      <w:r w:rsidR="006D4FE2" w:rsidRPr="0027666F">
        <w:rPr>
          <w:rFonts w:ascii="Garamond" w:hAnsi="Garamond"/>
        </w:rPr>
        <w:t>violence of the military dictatorship</w:t>
      </w:r>
      <w:r w:rsidR="004B4A6B" w:rsidRPr="0027666F">
        <w:rPr>
          <w:rFonts w:ascii="Garamond" w:hAnsi="Garamond"/>
        </w:rPr>
        <w:t>, recording 10s of 1000s of human rights violations</w:t>
      </w:r>
      <w:r w:rsidR="006D4FE2" w:rsidRPr="0027666F">
        <w:rPr>
          <w:rFonts w:ascii="Garamond" w:hAnsi="Garamond"/>
        </w:rPr>
        <w:t xml:space="preserve"> (</w:t>
      </w:r>
      <w:r w:rsidR="002046DA" w:rsidRPr="0027666F">
        <w:rPr>
          <w:rFonts w:ascii="Garamond" w:hAnsi="Garamond"/>
        </w:rPr>
        <w:fldChar w:fldCharType="begin"/>
      </w:r>
      <w:r w:rsidR="002046DA" w:rsidRPr="0027666F">
        <w:rPr>
          <w:rFonts w:ascii="Garamond" w:hAnsi="Garamond"/>
        </w:rPr>
        <w:instrText xml:space="preserve"> ADDIN EN.CITE &lt;EndNote&gt;&lt;Cite&gt;&lt;Author&gt;Accatino&lt;/Author&gt;&lt;Year&gt;2016&lt;/Year&gt;&lt;RecNum&gt;519&lt;/RecNum&gt;&lt;record&gt;&lt;rec-number&gt;519&lt;/rec-number&gt;&lt;foreign-keys&gt;&lt;key app="EN" db-id="0rewstxe3sdfepeps9f5xrt55srrdw2s5r9x" timestamp="1601042910"&gt;519&lt;/key&gt;&lt;/foreign-keys&gt;&lt;ref-type name="Journal Article"&gt;17&lt;/ref-type&gt;&lt;contributors&gt;&lt;authors&gt;&lt;author&gt;Accatino, Daniela&lt;/author&gt;&lt;author&gt;Collins, Cath&lt;/author&gt;&lt;/authors&gt;&lt;/contributors&gt;&lt;titles&gt;&lt;title&gt;Truth, evidence, truth: The deployment of testimony, archives and technical data in domestic human rights trials&lt;/title&gt;&lt;secondary-title&gt;Journal of Human Rights Practice &lt;/secondary-title&gt;&lt;short-title&gt;Truth, evidence, truth&lt;/short-title&gt;&lt;/titles&gt;&lt;pages&gt;81-100&lt;/pages&gt;&lt;volume&gt;8&lt;/volume&gt;&lt;number&gt;1&lt;/number&gt;&lt;keywords&gt;&lt;keyword&gt;Archives&lt;/keyword&gt;&lt;keyword&gt;Human Rights&lt;/keyword&gt;&lt;keyword&gt;Transitional Justice&lt;/keyword&gt;&lt;keyword&gt;Chile&lt;/keyword&gt;&lt;keyword&gt;TRC&lt;/keyword&gt;&lt;/keywords&gt;&lt;dates&gt;&lt;year&gt;2016&lt;/year&gt;&lt;/dates&gt;&lt;urls&gt;&lt;/urls&gt;&lt;/record&gt;&lt;/Cite&gt;&lt;/EndNote&gt;</w:instrText>
      </w:r>
      <w:r w:rsidR="002046DA" w:rsidRPr="0027666F">
        <w:rPr>
          <w:rFonts w:ascii="Garamond" w:hAnsi="Garamond"/>
        </w:rPr>
        <w:fldChar w:fldCharType="end"/>
      </w:r>
      <w:r w:rsidR="002046DA" w:rsidRPr="0027666F">
        <w:rPr>
          <w:rFonts w:ascii="Garamond" w:hAnsi="Garamond"/>
        </w:rPr>
        <w:t>Accatino and Collins 2016</w:t>
      </w:r>
      <w:r w:rsidR="006D4FE2" w:rsidRPr="0027666F">
        <w:rPr>
          <w:rFonts w:ascii="Garamond" w:hAnsi="Garamond"/>
        </w:rPr>
        <w:t>, 90</w:t>
      </w:r>
      <w:r w:rsidR="002046DA" w:rsidRPr="0027666F">
        <w:rPr>
          <w:rFonts w:ascii="Garamond" w:hAnsi="Garamond"/>
        </w:rPr>
        <w:t xml:space="preserve">; </w:t>
      </w:r>
      <w:r w:rsidR="009F1C39" w:rsidRPr="0027666F">
        <w:rPr>
          <w:rFonts w:ascii="Garamond" w:hAnsi="Garamond"/>
        </w:rPr>
        <w:t>Lira 2017, 189-194</w:t>
      </w:r>
      <w:r w:rsidR="002046DA" w:rsidRPr="0027666F">
        <w:rPr>
          <w:rFonts w:ascii="Garamond" w:hAnsi="Garamond"/>
        </w:rPr>
        <w:fldChar w:fldCharType="begin"/>
      </w:r>
      <w:r w:rsidR="002046DA" w:rsidRPr="0027666F">
        <w:rPr>
          <w:rFonts w:ascii="Garamond" w:hAnsi="Garamond"/>
        </w:rPr>
        <w:instrText xml:space="preserve"> ADDIN EN.CITE &lt;EndNote&gt;&lt;Cite&gt;&lt;Author&gt;Lira&lt;/Author&gt;&lt;Year&gt;2017&lt;/Year&gt;&lt;RecNum&gt;520&lt;/RecNum&gt;&lt;record&gt;&lt;rec-number&gt;520&lt;/rec-number&gt;&lt;foreign-keys&gt;&lt;key app="EN" db-id="0rewstxe3sdfepeps9f5xrt55srrdw2s5r9x" timestamp="1601043305"&gt;520&lt;/key&gt;&lt;/foreign-keys&gt;&lt;ref-type name="Journal Article"&gt;17&lt;/ref-type&gt;&lt;contributors&gt;&lt;authors&gt;&lt;author&gt;Lira, Elizabeth&lt;/author&gt;&lt;/authors&gt;&lt;/contributors&gt;&lt;titles&gt;&lt;title&gt;The Chilean Human Rights Archives and Moral Resistance to Dictatorship&lt;/title&gt;&lt;secondary-title&gt;International Journal of Transitional Justice&lt;/secondary-title&gt;&lt;short-title&gt;Chilean Human Rights Archive&lt;/short-title&gt;&lt;/titles&gt;&lt;periodical&gt;&lt;full-title&gt;International Journal of Transitional Justice&lt;/full-title&gt;&lt;/periodical&gt;&lt;pages&gt;189-196&lt;/pages&gt;&lt;volume&gt;11&lt;/volume&gt;&lt;number&gt;2&lt;/number&gt;&lt;keywords&gt;&lt;keyword&gt;Chile&lt;/keyword&gt;&lt;keyword&gt;Human Rights&lt;/keyword&gt;&lt;keyword&gt;Archives&lt;/keyword&gt;&lt;keyword&gt;Transitional Justice&lt;/keyword&gt;&lt;/keywords&gt;&lt;dates&gt;&lt;year&gt;2017&lt;/year&gt;&lt;/dates&gt;&lt;urls&gt;&lt;/urls&gt;&lt;/record&gt;&lt;/Cite&gt;&lt;/EndNote&gt;</w:instrText>
      </w:r>
      <w:r w:rsidR="002046DA" w:rsidRPr="0027666F">
        <w:rPr>
          <w:rFonts w:ascii="Garamond" w:hAnsi="Garamond"/>
        </w:rPr>
        <w:fldChar w:fldCharType="end"/>
      </w:r>
      <w:r w:rsidR="006D4FE2" w:rsidRPr="0027666F">
        <w:rPr>
          <w:rFonts w:ascii="Garamond" w:hAnsi="Garamond"/>
        </w:rPr>
        <w:t>)</w:t>
      </w:r>
      <w:r w:rsidRPr="0027666F">
        <w:rPr>
          <w:rFonts w:ascii="Garamond" w:hAnsi="Garamond"/>
        </w:rPr>
        <w:t xml:space="preserve">. At this point, </w:t>
      </w:r>
      <w:r w:rsidR="00186ECE" w:rsidRPr="0027666F">
        <w:rPr>
          <w:rFonts w:ascii="Garamond" w:hAnsi="Garamond"/>
        </w:rPr>
        <w:t>any</w:t>
      </w:r>
      <w:r w:rsidRPr="0027666F">
        <w:rPr>
          <w:rFonts w:ascii="Garamond" w:hAnsi="Garamond"/>
        </w:rPr>
        <w:t xml:space="preserve"> hope of justice </w:t>
      </w:r>
      <w:r w:rsidR="00186ECE" w:rsidRPr="0027666F">
        <w:rPr>
          <w:rFonts w:ascii="Garamond" w:hAnsi="Garamond"/>
        </w:rPr>
        <w:t xml:space="preserve">was </w:t>
      </w:r>
      <w:r w:rsidRPr="0027666F">
        <w:rPr>
          <w:rFonts w:ascii="Garamond" w:hAnsi="Garamond"/>
        </w:rPr>
        <w:t>almost non-existence, and yet a fait</w:t>
      </w:r>
      <w:r w:rsidR="00186ECE" w:rsidRPr="0027666F">
        <w:rPr>
          <w:rFonts w:ascii="Garamond" w:hAnsi="Garamond"/>
        </w:rPr>
        <w:t>h</w:t>
      </w:r>
      <w:r w:rsidRPr="0027666F">
        <w:rPr>
          <w:rFonts w:ascii="Garamond" w:hAnsi="Garamond"/>
        </w:rPr>
        <w:t xml:space="preserve"> that these could one-day facilitate a reckoning meant that they were kept, even at great risk to those in control of the archive</w:t>
      </w:r>
      <w:r w:rsidR="0076145C" w:rsidRPr="0027666F">
        <w:rPr>
          <w:rFonts w:ascii="Garamond" w:hAnsi="Garamond"/>
        </w:rPr>
        <w:t xml:space="preserve"> (</w:t>
      </w:r>
      <w:r w:rsidR="00687751" w:rsidRPr="0027666F">
        <w:rPr>
          <w:rFonts w:ascii="Garamond" w:hAnsi="Garamond"/>
        </w:rPr>
        <w:t>Lira 2017</w:t>
      </w:r>
      <w:r w:rsidR="0076145C" w:rsidRPr="0027666F">
        <w:rPr>
          <w:rFonts w:ascii="Garamond" w:hAnsi="Garamond"/>
        </w:rPr>
        <w:t>)</w:t>
      </w:r>
      <w:r w:rsidRPr="0027666F">
        <w:rPr>
          <w:rFonts w:ascii="Garamond" w:hAnsi="Garamond"/>
        </w:rPr>
        <w:t xml:space="preserve">. </w:t>
      </w:r>
      <w:r w:rsidR="004B4A6B" w:rsidRPr="0027666F">
        <w:rPr>
          <w:rFonts w:ascii="Garamond" w:hAnsi="Garamond"/>
        </w:rPr>
        <w:t>And, indeed, t</w:t>
      </w:r>
      <w:r w:rsidR="00186ECE" w:rsidRPr="0027666F">
        <w:rPr>
          <w:rFonts w:ascii="Garamond" w:hAnsi="Garamond"/>
        </w:rPr>
        <w:t xml:space="preserve">hese </w:t>
      </w:r>
      <w:r w:rsidR="004B4A6B" w:rsidRPr="0027666F">
        <w:rPr>
          <w:rFonts w:ascii="Garamond" w:hAnsi="Garamond"/>
        </w:rPr>
        <w:t xml:space="preserve">meticulously kept records </w:t>
      </w:r>
      <w:r w:rsidRPr="0027666F">
        <w:rPr>
          <w:rFonts w:ascii="Garamond" w:hAnsi="Garamond"/>
        </w:rPr>
        <w:t>were</w:t>
      </w:r>
      <w:r w:rsidRPr="0027666F">
        <w:rPr>
          <w:rFonts w:ascii="Garamond" w:hAnsi="Garamond"/>
          <w:i/>
        </w:rPr>
        <w:t xml:space="preserve"> </w:t>
      </w:r>
      <w:r w:rsidR="004B4A6B" w:rsidRPr="0027666F">
        <w:rPr>
          <w:rFonts w:ascii="Garamond" w:hAnsi="Garamond"/>
        </w:rPr>
        <w:t>later central</w:t>
      </w:r>
      <w:r w:rsidRPr="0027666F">
        <w:rPr>
          <w:rFonts w:ascii="Garamond" w:hAnsi="Garamond"/>
        </w:rPr>
        <w:t xml:space="preserve"> to the work of both </w:t>
      </w:r>
      <w:r w:rsidR="002B621A" w:rsidRPr="0027666F">
        <w:rPr>
          <w:rFonts w:ascii="Garamond" w:hAnsi="Garamond"/>
        </w:rPr>
        <w:t xml:space="preserve">Chile’s </w:t>
      </w:r>
      <w:r w:rsidRPr="0027666F">
        <w:rPr>
          <w:rFonts w:ascii="Garamond" w:hAnsi="Garamond"/>
        </w:rPr>
        <w:t xml:space="preserve">truth commissions: </w:t>
      </w:r>
      <w:r w:rsidR="006D4FE2" w:rsidRPr="0027666F">
        <w:rPr>
          <w:rFonts w:ascii="Garamond" w:hAnsi="Garamond"/>
        </w:rPr>
        <w:t>Rettig Commission</w:t>
      </w:r>
      <w:r w:rsidR="00565B0F" w:rsidRPr="0027666F">
        <w:rPr>
          <w:rFonts w:ascii="Garamond" w:hAnsi="Garamond"/>
        </w:rPr>
        <w:t xml:space="preserve"> (Comisión Nacional de Verdad y Reconciliación</w:t>
      </w:r>
      <w:r w:rsidR="004B4A6B" w:rsidRPr="0027666F">
        <w:rPr>
          <w:rFonts w:ascii="Garamond" w:hAnsi="Garamond"/>
        </w:rPr>
        <w:t xml:space="preserve"> - 1991</w:t>
      </w:r>
      <w:r w:rsidR="00565B0F" w:rsidRPr="0027666F">
        <w:rPr>
          <w:rFonts w:ascii="Garamond" w:hAnsi="Garamond"/>
        </w:rPr>
        <w:t xml:space="preserve">) </w:t>
      </w:r>
      <w:r w:rsidRPr="0027666F">
        <w:rPr>
          <w:rFonts w:ascii="Garamond" w:hAnsi="Garamond"/>
        </w:rPr>
        <w:t xml:space="preserve">and </w:t>
      </w:r>
      <w:r w:rsidR="00565B0F" w:rsidRPr="0027666F">
        <w:rPr>
          <w:rFonts w:ascii="Garamond" w:hAnsi="Garamond"/>
        </w:rPr>
        <w:t xml:space="preserve">Valech commission (Comisión Nacional sobre Prisión Política y Tortura - 2004 and 2011) </w:t>
      </w:r>
      <w:r w:rsidR="006D4FE2" w:rsidRPr="0027666F">
        <w:rPr>
          <w:rFonts w:ascii="Garamond" w:hAnsi="Garamond"/>
        </w:rPr>
        <w:t>(</w:t>
      </w:r>
      <w:r w:rsidR="00687751" w:rsidRPr="0027666F">
        <w:rPr>
          <w:rFonts w:ascii="Garamond" w:hAnsi="Garamond"/>
        </w:rPr>
        <w:t xml:space="preserve">Accatino and Collins 2016, </w:t>
      </w:r>
      <w:r w:rsidR="006D4FE2" w:rsidRPr="0027666F">
        <w:rPr>
          <w:rFonts w:ascii="Garamond" w:hAnsi="Garamond"/>
        </w:rPr>
        <w:t>89-91)</w:t>
      </w:r>
      <w:r w:rsidR="00CA3902" w:rsidRPr="0027666F">
        <w:rPr>
          <w:rFonts w:ascii="Garamond" w:hAnsi="Garamond"/>
        </w:rPr>
        <w:t xml:space="preserve">. </w:t>
      </w:r>
      <w:r w:rsidRPr="0027666F">
        <w:rPr>
          <w:rFonts w:ascii="Garamond" w:hAnsi="Garamond"/>
        </w:rPr>
        <w:t xml:space="preserve">In turn these records latter fed into criminal proceedings and so can be seen as supporting, and making possible, the work of numerous transitional justice </w:t>
      </w:r>
      <w:r w:rsidR="0076145C" w:rsidRPr="0027666F">
        <w:rPr>
          <w:rFonts w:ascii="Garamond" w:hAnsi="Garamond"/>
        </w:rPr>
        <w:t>mechanisms</w:t>
      </w:r>
      <w:r w:rsidR="00565B0F" w:rsidRPr="0027666F">
        <w:rPr>
          <w:rFonts w:ascii="Garamond" w:hAnsi="Garamond"/>
        </w:rPr>
        <w:t xml:space="preserve"> (Ibid 91-3)</w:t>
      </w:r>
      <w:r w:rsidRPr="0027666F">
        <w:rPr>
          <w:rFonts w:ascii="Garamond" w:hAnsi="Garamond"/>
        </w:rPr>
        <w:t xml:space="preserve">. </w:t>
      </w:r>
      <w:r w:rsidR="004B4A6B" w:rsidRPr="0027666F">
        <w:rPr>
          <w:rFonts w:ascii="Garamond" w:hAnsi="Garamond"/>
        </w:rPr>
        <w:t xml:space="preserve">Similar examples can be found from </w:t>
      </w:r>
      <w:r w:rsidR="002B621A" w:rsidRPr="0027666F">
        <w:rPr>
          <w:rFonts w:ascii="Garamond" w:hAnsi="Garamond"/>
        </w:rPr>
        <w:t xml:space="preserve">societies </w:t>
      </w:r>
      <w:r w:rsidR="004B4A6B" w:rsidRPr="0027666F">
        <w:rPr>
          <w:rFonts w:ascii="Garamond" w:hAnsi="Garamond"/>
        </w:rPr>
        <w:t>across the globe</w:t>
      </w:r>
      <w:r w:rsidR="0076145C" w:rsidRPr="0027666F">
        <w:rPr>
          <w:rFonts w:ascii="Garamond" w:hAnsi="Garamond"/>
        </w:rPr>
        <w:t xml:space="preserve"> </w:t>
      </w:r>
      <w:r w:rsidR="00D73A0E" w:rsidRPr="0027666F">
        <w:rPr>
          <w:rFonts w:ascii="Garamond" w:hAnsi="Garamond"/>
        </w:rPr>
        <w:t>(See Bickford et al, 5-7</w:t>
      </w:r>
      <w:r w:rsidR="00D34D39" w:rsidRPr="0027666F">
        <w:rPr>
          <w:rFonts w:ascii="Garamond" w:hAnsi="Garamond"/>
        </w:rPr>
        <w:t>; and Caswel 2010</w:t>
      </w:r>
      <w:r w:rsidR="00D34D39" w:rsidRPr="0027666F">
        <w:rPr>
          <w:rFonts w:ascii="Garamond" w:hAnsi="Garamond"/>
        </w:rPr>
        <w:fldChar w:fldCharType="begin"/>
      </w:r>
      <w:r w:rsidR="00D34D39" w:rsidRPr="0027666F">
        <w:rPr>
          <w:rFonts w:ascii="Garamond" w:hAnsi="Garamond"/>
        </w:rPr>
        <w:instrText xml:space="preserve"> ADDIN EN.CITE &lt;EndNote&gt;&lt;Cite&gt;&lt;Author&gt;Caswell&lt;/Author&gt;&lt;Year&gt;2010&lt;/Year&gt;&lt;RecNum&gt;515&lt;/RecNum&gt;&lt;record&gt;&lt;rec-number&gt;515&lt;/rec-number&gt;&lt;foreign-keys&gt;&lt;key app="EN" db-id="0rewstxe3sdfepeps9f5xrt55srrdw2s5r9x" timestamp="1601048091"&gt;515&lt;/key&gt;&lt;/foreign-keys&gt;&lt;ref-type name="Journal Article"&gt;17&lt;/ref-type&gt;&lt;contributors&gt;&lt;authors&gt;&lt;author&gt;Caswell, Michelle&lt;/author&gt;&lt;/authors&gt;&lt;/contributors&gt;&lt;titles&gt;&lt;title&gt;Khmer Rouge archives: accountability, truth, and memory in Cambodia&lt;/title&gt;&lt;secondary-title&gt;Archival Science&lt;/secondary-title&gt;&lt;/titles&gt;&lt;periodical&gt;&lt;full-title&gt;Archival Science&lt;/full-title&gt;&lt;/periodical&gt;&lt;pages&gt;25-44&lt;/pages&gt;&lt;volume&gt;10&lt;/volume&gt;&lt;keywords&gt;&lt;keyword&gt;Cambodia&lt;/keyword&gt;&lt;keyword&gt;Archives&lt;/keyword&gt;&lt;keyword&gt;Transitional Justice&lt;/keyword&gt;&lt;/keywords&gt;&lt;dates&gt;&lt;year&gt;2010&lt;/year&gt;&lt;/dates&gt;&lt;urls&gt;&lt;/urls&gt;&lt;/record&gt;&lt;/Cite&gt;&lt;/EndNote&gt;</w:instrText>
      </w:r>
      <w:r w:rsidR="00D34D39" w:rsidRPr="0027666F">
        <w:rPr>
          <w:rFonts w:ascii="Garamond" w:hAnsi="Garamond"/>
        </w:rPr>
        <w:fldChar w:fldCharType="end"/>
      </w:r>
      <w:r w:rsidR="00D73A0E" w:rsidRPr="0027666F">
        <w:rPr>
          <w:rFonts w:ascii="Garamond" w:hAnsi="Garamond"/>
        </w:rPr>
        <w:t>)</w:t>
      </w:r>
      <w:r w:rsidRPr="0027666F">
        <w:rPr>
          <w:rFonts w:ascii="Garamond" w:hAnsi="Garamond"/>
        </w:rPr>
        <w:t xml:space="preserve">. </w:t>
      </w:r>
    </w:p>
    <w:p w14:paraId="2FD3C462" w14:textId="77777777" w:rsidR="004B4A6B" w:rsidRPr="0027666F" w:rsidRDefault="004B4A6B" w:rsidP="008A0C7B">
      <w:pPr>
        <w:rPr>
          <w:rFonts w:ascii="Garamond" w:hAnsi="Garamond"/>
        </w:rPr>
      </w:pPr>
    </w:p>
    <w:p w14:paraId="3962E112" w14:textId="45610267" w:rsidR="007C6130" w:rsidRPr="0027666F" w:rsidRDefault="00D63E31" w:rsidP="007C6130">
      <w:pPr>
        <w:rPr>
          <w:rFonts w:ascii="Garamond" w:hAnsi="Garamond"/>
        </w:rPr>
      </w:pPr>
      <w:r w:rsidRPr="0027666F">
        <w:rPr>
          <w:rFonts w:ascii="Garamond" w:hAnsi="Garamond"/>
        </w:rPr>
        <w:t xml:space="preserve">Whilst </w:t>
      </w:r>
      <w:r w:rsidR="002B621A" w:rsidRPr="0027666F">
        <w:rPr>
          <w:rFonts w:ascii="Garamond" w:hAnsi="Garamond"/>
        </w:rPr>
        <w:t>the Chilean</w:t>
      </w:r>
      <w:r w:rsidRPr="0027666F">
        <w:rPr>
          <w:rFonts w:ascii="Garamond" w:hAnsi="Garamond"/>
        </w:rPr>
        <w:t xml:space="preserve"> archives resemble a more traditional form of human rights archive, the work of </w:t>
      </w:r>
      <w:r w:rsidR="00D73A0E" w:rsidRPr="0027666F">
        <w:rPr>
          <w:rFonts w:ascii="Garamond" w:hAnsi="Garamond"/>
        </w:rPr>
        <w:t>Marta Giraldo and Daniel Tobón (</w:t>
      </w:r>
      <w:r w:rsidR="00687751" w:rsidRPr="0027666F">
        <w:rPr>
          <w:rFonts w:ascii="Garamond" w:hAnsi="Garamond"/>
        </w:rPr>
        <w:fldChar w:fldCharType="begin"/>
      </w:r>
      <w:r w:rsidR="00687751" w:rsidRPr="0027666F">
        <w:rPr>
          <w:rFonts w:ascii="Garamond" w:hAnsi="Garamond"/>
        </w:rPr>
        <w:instrText xml:space="preserve"> ADDIN EN.CITE &lt;EndNote&gt;&lt;Cite&gt;&lt;Author&gt;Giraldo&lt;/Author&gt;&lt;Year&gt;2020&lt;/Year&gt;&lt;RecNum&gt;521&lt;/RecNum&gt;&lt;record&gt;&lt;rec-number&gt;521&lt;/rec-number&gt;&lt;foreign-keys&gt;&lt;key app="EN" db-id="0rewstxe3sdfepeps9f5xrt55srrdw2s5r9x" timestamp="1601043699"&gt;521&lt;/key&gt;&lt;/foreign-keys&gt;&lt;ref-type name="Journal Article"&gt;17&lt;/ref-type&gt;&lt;contributors&gt;&lt;authors&gt;&lt;author&gt; Giraldo, Marta Lucía &lt;/author&gt;&lt;author&gt;Tobón, Daniel Jerónimo &lt;/author&gt;&lt;/authors&gt;&lt;/contributors&gt;&lt;titles&gt;&lt;title&gt;Personal archives and transitional justice in Colombia: the Fonds of Fabiola Lalinde and Mario Agudelo&lt;/title&gt;&lt;secondary-title&gt;The International Journal of Human Rights&lt;/secondary-title&gt;&lt;short-title&gt;Personal archives and transitional justice&lt;/short-title&gt;&lt;/titles&gt;&lt;periodical&gt;&lt;full-title&gt;The International Journal of Human Rights&lt;/full-title&gt;&lt;/periodical&gt;&lt;pages&gt;1-21&lt;/pages&gt;&lt;volume&gt;Online First&lt;/volume&gt;&lt;keywords&gt;&lt;keyword&gt;Archives&lt;/keyword&gt;&lt;keyword&gt;Transitional Justice&lt;/keyword&gt;&lt;keyword&gt;Colombia&lt;/keyword&gt;&lt;keyword&gt;Personal&lt;/keyword&gt;&lt;/keywords&gt;&lt;dates&gt;&lt;year&gt;2020&lt;/year&gt;&lt;/dates&gt;&lt;urls&gt;&lt;/urls&gt;&lt;/record&gt;&lt;/Cite&gt;&lt;/EndNote&gt;</w:instrText>
      </w:r>
      <w:r w:rsidR="00687751" w:rsidRPr="0027666F">
        <w:rPr>
          <w:rFonts w:ascii="Garamond" w:hAnsi="Garamond"/>
        </w:rPr>
        <w:fldChar w:fldCharType="end"/>
      </w:r>
      <w:r w:rsidR="00D73A0E" w:rsidRPr="0027666F">
        <w:rPr>
          <w:rFonts w:ascii="Garamond" w:hAnsi="Garamond"/>
        </w:rPr>
        <w:t xml:space="preserve">2020) </w:t>
      </w:r>
      <w:r w:rsidRPr="0027666F">
        <w:rPr>
          <w:rFonts w:ascii="Garamond" w:hAnsi="Garamond"/>
        </w:rPr>
        <w:t xml:space="preserve">on Colombia’s transition shows that </w:t>
      </w:r>
      <w:r w:rsidR="0076145C" w:rsidRPr="0027666F">
        <w:rPr>
          <w:rFonts w:ascii="Garamond" w:hAnsi="Garamond"/>
        </w:rPr>
        <w:t xml:space="preserve">other types of archive, such as </w:t>
      </w:r>
      <w:r w:rsidRPr="0027666F">
        <w:rPr>
          <w:rFonts w:ascii="Garamond" w:hAnsi="Garamond"/>
        </w:rPr>
        <w:t>personal archives</w:t>
      </w:r>
      <w:r w:rsidR="0076145C" w:rsidRPr="0027666F">
        <w:rPr>
          <w:rFonts w:ascii="Garamond" w:hAnsi="Garamond"/>
        </w:rPr>
        <w:t xml:space="preserve">, </w:t>
      </w:r>
      <w:r w:rsidRPr="0027666F">
        <w:rPr>
          <w:rFonts w:ascii="Garamond" w:hAnsi="Garamond"/>
        </w:rPr>
        <w:t xml:space="preserve">can, and indeed are, also central to the transitional justice process. </w:t>
      </w:r>
      <w:r w:rsidR="0076145C" w:rsidRPr="0027666F">
        <w:rPr>
          <w:rFonts w:ascii="Garamond" w:hAnsi="Garamond"/>
        </w:rPr>
        <w:t xml:space="preserve">Focusing on the personal records of </w:t>
      </w:r>
      <w:r w:rsidR="007C6130" w:rsidRPr="0027666F">
        <w:rPr>
          <w:rFonts w:ascii="Garamond" w:hAnsi="Garamond"/>
        </w:rPr>
        <w:t>Fabiola Lalinde (the mother of a disappeared</w:t>
      </w:r>
      <w:r w:rsidR="002B621A" w:rsidRPr="0027666F">
        <w:rPr>
          <w:rFonts w:ascii="Garamond" w:hAnsi="Garamond"/>
        </w:rPr>
        <w:t xml:space="preserve"> activist</w:t>
      </w:r>
      <w:r w:rsidR="0076145C" w:rsidRPr="0027666F">
        <w:rPr>
          <w:rFonts w:ascii="Garamond" w:hAnsi="Garamond"/>
        </w:rPr>
        <w:t xml:space="preserve"> </w:t>
      </w:r>
      <w:r w:rsidR="004B4A6B" w:rsidRPr="0027666F">
        <w:rPr>
          <w:rFonts w:ascii="Garamond" w:hAnsi="Garamond"/>
        </w:rPr>
        <w:t>and activist</w:t>
      </w:r>
      <w:r w:rsidR="002B621A" w:rsidRPr="0027666F">
        <w:rPr>
          <w:rFonts w:ascii="Garamond" w:hAnsi="Garamond"/>
        </w:rPr>
        <w:t xml:space="preserve"> in her own right)</w:t>
      </w:r>
      <w:r w:rsidR="007C6130" w:rsidRPr="0027666F">
        <w:rPr>
          <w:rFonts w:ascii="Garamond" w:hAnsi="Garamond"/>
        </w:rPr>
        <w:t xml:space="preserve"> and Mario Agudelo (a former leftist militant who participated in the demobilisation of the Popular Liberation Army)</w:t>
      </w:r>
      <w:r w:rsidR="0076145C" w:rsidRPr="0027666F">
        <w:rPr>
          <w:rFonts w:ascii="Garamond" w:hAnsi="Garamond"/>
        </w:rPr>
        <w:t xml:space="preserve">, they show how </w:t>
      </w:r>
      <w:r w:rsidR="007C6130" w:rsidRPr="0027666F">
        <w:rPr>
          <w:rFonts w:ascii="Garamond" w:hAnsi="Garamond"/>
        </w:rPr>
        <w:t>what started out as personal collections of experiences of conflict and transition</w:t>
      </w:r>
      <w:r w:rsidR="0076145C" w:rsidRPr="0027666F">
        <w:rPr>
          <w:rFonts w:ascii="Garamond" w:hAnsi="Garamond"/>
        </w:rPr>
        <w:t xml:space="preserve"> were subsequently utilised in </w:t>
      </w:r>
      <w:r w:rsidR="007C6130" w:rsidRPr="0027666F">
        <w:rPr>
          <w:rFonts w:ascii="Garamond" w:hAnsi="Garamond"/>
        </w:rPr>
        <w:t xml:space="preserve">other transitional justice </w:t>
      </w:r>
      <w:r w:rsidR="0076145C" w:rsidRPr="0027666F">
        <w:rPr>
          <w:rFonts w:ascii="Garamond" w:hAnsi="Garamond"/>
        </w:rPr>
        <w:t>mechanisms and also other, often larger, memorial and archival projects</w:t>
      </w:r>
      <w:r w:rsidR="007C6130" w:rsidRPr="0027666F">
        <w:rPr>
          <w:rFonts w:ascii="Garamond" w:hAnsi="Garamond"/>
        </w:rPr>
        <w:t xml:space="preserve">. As </w:t>
      </w:r>
      <w:r w:rsidR="0076145C" w:rsidRPr="0027666F">
        <w:rPr>
          <w:rFonts w:ascii="Garamond" w:hAnsi="Garamond"/>
        </w:rPr>
        <w:t xml:space="preserve">Giraldo and Tobón </w:t>
      </w:r>
      <w:r w:rsidR="007C6130" w:rsidRPr="0027666F">
        <w:rPr>
          <w:rFonts w:ascii="Garamond" w:hAnsi="Garamond"/>
        </w:rPr>
        <w:t>argue, this, le</w:t>
      </w:r>
      <w:r w:rsidR="0076145C" w:rsidRPr="0027666F">
        <w:rPr>
          <w:rFonts w:ascii="Garamond" w:hAnsi="Garamond"/>
        </w:rPr>
        <w:t>d</w:t>
      </w:r>
      <w:r w:rsidR="007C6130" w:rsidRPr="0027666F">
        <w:rPr>
          <w:rFonts w:ascii="Garamond" w:hAnsi="Garamond"/>
        </w:rPr>
        <w:t xml:space="preserve"> to a </w:t>
      </w:r>
      <w:r w:rsidR="003F578E">
        <w:rPr>
          <w:rFonts w:ascii="Garamond" w:hAnsi="Garamond"/>
        </w:rPr>
        <w:t>‘</w:t>
      </w:r>
      <w:r w:rsidR="007C6130" w:rsidRPr="0027666F">
        <w:rPr>
          <w:rFonts w:ascii="Garamond" w:hAnsi="Garamond"/>
        </w:rPr>
        <w:t>virtuous circle</w:t>
      </w:r>
      <w:r w:rsidR="003F578E">
        <w:rPr>
          <w:rFonts w:ascii="Garamond" w:hAnsi="Garamond"/>
        </w:rPr>
        <w:t>’</w:t>
      </w:r>
      <w:r w:rsidR="004B4A6B" w:rsidRPr="0027666F">
        <w:rPr>
          <w:rFonts w:ascii="Garamond" w:hAnsi="Garamond"/>
        </w:rPr>
        <w:t xml:space="preserve"> as</w:t>
      </w:r>
      <w:r w:rsidR="007C6130" w:rsidRPr="0027666F">
        <w:rPr>
          <w:rFonts w:ascii="Garamond" w:hAnsi="Garamond"/>
        </w:rPr>
        <w:t>,</w:t>
      </w:r>
    </w:p>
    <w:p w14:paraId="7F88A2D4" w14:textId="13C75A0A" w:rsidR="00687751" w:rsidRPr="0027666F" w:rsidRDefault="00687751" w:rsidP="00687751">
      <w:pPr>
        <w:rPr>
          <w:rFonts w:ascii="Garamond" w:hAnsi="Garamond" w:cs="Times New Roman"/>
          <w:lang w:val="en-US"/>
        </w:rPr>
      </w:pPr>
    </w:p>
    <w:p w14:paraId="37DBA24A" w14:textId="5BDAE595" w:rsidR="00687751" w:rsidRPr="0027666F" w:rsidRDefault="00687751" w:rsidP="00687751">
      <w:pPr>
        <w:ind w:left="720"/>
        <w:rPr>
          <w:rFonts w:ascii="Garamond" w:hAnsi="Garamond" w:cs="Times New Roman"/>
          <w:lang w:val="en-US"/>
        </w:rPr>
      </w:pPr>
      <w:r w:rsidRPr="0027666F">
        <w:rPr>
          <w:rFonts w:ascii="Garamond" w:hAnsi="Garamond" w:cs="Times New Roman"/>
          <w:lang w:val="en-US"/>
        </w:rPr>
        <w:t>archives can pave the way for implementing transitional justice – for example, the</w:t>
      </w:r>
    </w:p>
    <w:p w14:paraId="381A15E6" w14:textId="0E8B5EFA" w:rsidR="007C6130" w:rsidRPr="0027666F" w:rsidRDefault="00687751" w:rsidP="00687751">
      <w:pPr>
        <w:ind w:left="720"/>
        <w:rPr>
          <w:rFonts w:ascii="Garamond" w:hAnsi="Garamond" w:cs="Times New Roman"/>
          <w:lang w:val="en-US"/>
        </w:rPr>
      </w:pPr>
      <w:r w:rsidRPr="0027666F">
        <w:rPr>
          <w:rFonts w:ascii="Garamond" w:hAnsi="Garamond" w:cs="Times New Roman"/>
          <w:lang w:val="en-US"/>
        </w:rPr>
        <w:t>documentary activism of Fabiola Lalinde and those who accompanied her contributed to the intervention of international human rights organisations. Also, archives are instrumental to several of the central objectives of transitional justice – reparation, historical memory and reconfiguration of social values. In turn, transitional justice encourages the creation of archives, gives them visibility and recognition, and can open them up to public use through transitional institutions. (</w:t>
      </w:r>
      <w:r w:rsidRPr="0027666F">
        <w:rPr>
          <w:rFonts w:ascii="Garamond" w:hAnsi="Garamond"/>
        </w:rPr>
        <w:t xml:space="preserve">Giraldo and Tobón </w:t>
      </w:r>
      <w:r w:rsidRPr="0027666F">
        <w:rPr>
          <w:rFonts w:ascii="Garamond" w:hAnsi="Garamond"/>
        </w:rPr>
        <w:fldChar w:fldCharType="begin"/>
      </w:r>
      <w:r w:rsidRPr="0027666F">
        <w:rPr>
          <w:rFonts w:ascii="Garamond" w:hAnsi="Garamond"/>
        </w:rPr>
        <w:instrText xml:space="preserve"> ADDIN EN.CITE &lt;EndNote&gt;&lt;Cite&gt;&lt;Author&gt;Giraldo&lt;/Author&gt;&lt;Year&gt;2020&lt;/Year&gt;&lt;RecNum&gt;521&lt;/RecNum&gt;&lt;record&gt;&lt;rec-number&gt;521&lt;/rec-number&gt;&lt;foreign-keys&gt;&lt;key app="EN" db-id="0rewstxe3sdfepeps9f5xrt55srrdw2s5r9x" timestamp="1601043699"&gt;521&lt;/key&gt;&lt;/foreign-keys&gt;&lt;ref-type name="Journal Article"&gt;17&lt;/ref-type&gt;&lt;contributors&gt;&lt;authors&gt;&lt;author&gt; Giraldo, Marta Lucía &lt;/author&gt;&lt;author&gt;Tobón, Daniel Jerónimo &lt;/author&gt;&lt;/authors&gt;&lt;/contributors&gt;&lt;titles&gt;&lt;title&gt;Personal archives and transitional justice in Colombia: the Fonds of Fabiola Lalinde and Mario Agudelo&lt;/title&gt;&lt;secondary-title&gt;The International Journal of Human Rights&lt;/secondary-title&gt;&lt;short-title&gt;Personal archives and transitional justice&lt;/short-title&gt;&lt;/titles&gt;&lt;periodical&gt;&lt;full-title&gt;The International Journal of Human Rights&lt;/full-title&gt;&lt;/periodical&gt;&lt;pages&gt;1-21&lt;/pages&gt;&lt;volume&gt;Online First&lt;/volume&gt;&lt;keywords&gt;&lt;keyword&gt;Archives&lt;/keyword&gt;&lt;keyword&gt;Transitional Justice&lt;/keyword&gt;&lt;keyword&gt;Colombia&lt;/keyword&gt;&lt;keyword&gt;Personal&lt;/keyword&gt;&lt;/keywords&gt;&lt;dates&gt;&lt;year&gt;2020&lt;/year&gt;&lt;/dates&gt;&lt;urls&gt;&lt;/urls&gt;&lt;/record&gt;&lt;/Cite&gt;&lt;/EndNote&gt;</w:instrText>
      </w:r>
      <w:r w:rsidRPr="0027666F">
        <w:rPr>
          <w:rFonts w:ascii="Garamond" w:hAnsi="Garamond"/>
        </w:rPr>
        <w:fldChar w:fldCharType="end"/>
      </w:r>
      <w:r w:rsidRPr="0027666F">
        <w:rPr>
          <w:rFonts w:ascii="Garamond" w:hAnsi="Garamond"/>
        </w:rPr>
        <w:t xml:space="preserve">2020, 12-13). </w:t>
      </w:r>
    </w:p>
    <w:p w14:paraId="7D8A8143" w14:textId="458DE55F" w:rsidR="00D63E31" w:rsidRPr="0027666F" w:rsidRDefault="00D63E31" w:rsidP="008A0C7B">
      <w:pPr>
        <w:rPr>
          <w:rFonts w:ascii="Garamond" w:hAnsi="Garamond"/>
        </w:rPr>
      </w:pPr>
    </w:p>
    <w:p w14:paraId="0A0FAE6B" w14:textId="0867F580" w:rsidR="008C3E3E" w:rsidRPr="0027666F" w:rsidRDefault="00716D4D" w:rsidP="008A0C7B">
      <w:pPr>
        <w:rPr>
          <w:rFonts w:ascii="Garamond" w:hAnsi="Garamond"/>
        </w:rPr>
      </w:pPr>
      <w:r w:rsidRPr="0027666F">
        <w:rPr>
          <w:rFonts w:ascii="Garamond" w:hAnsi="Garamond"/>
        </w:rPr>
        <w:t xml:space="preserve">The link between archives and a future state of justice is such that even archives </w:t>
      </w:r>
      <w:r w:rsidR="003F578E">
        <w:rPr>
          <w:rFonts w:ascii="Garamond" w:hAnsi="Garamond"/>
        </w:rPr>
        <w:t xml:space="preserve">belonging to the perpetrators </w:t>
      </w:r>
      <w:r w:rsidRPr="0027666F">
        <w:rPr>
          <w:rFonts w:ascii="Garamond" w:hAnsi="Garamond"/>
        </w:rPr>
        <w:t>contain this possible reckoning</w:t>
      </w:r>
      <w:r w:rsidR="004B4A6B" w:rsidRPr="0027666F">
        <w:rPr>
          <w:rFonts w:ascii="Garamond" w:hAnsi="Garamond"/>
        </w:rPr>
        <w:t xml:space="preserve"> within them</w:t>
      </w:r>
      <w:r w:rsidRPr="0027666F">
        <w:rPr>
          <w:rFonts w:ascii="Garamond" w:hAnsi="Garamond"/>
        </w:rPr>
        <w:t>. A commonality</w:t>
      </w:r>
      <w:r w:rsidR="0076145C" w:rsidRPr="0027666F">
        <w:rPr>
          <w:rFonts w:ascii="Garamond" w:hAnsi="Garamond"/>
        </w:rPr>
        <w:t xml:space="preserve"> </w:t>
      </w:r>
      <w:r w:rsidRPr="0027666F">
        <w:rPr>
          <w:rFonts w:ascii="Garamond" w:hAnsi="Garamond"/>
        </w:rPr>
        <w:t xml:space="preserve">that cuts across </w:t>
      </w:r>
      <w:r w:rsidRPr="0027666F">
        <w:rPr>
          <w:rFonts w:ascii="Garamond" w:hAnsi="Garamond"/>
        </w:rPr>
        <w:lastRenderedPageBreak/>
        <w:t xml:space="preserve">different totalitarian and violent regimes is that so often it is </w:t>
      </w:r>
      <w:r w:rsidR="0076145C" w:rsidRPr="0027666F">
        <w:rPr>
          <w:rFonts w:ascii="Garamond" w:hAnsi="Garamond"/>
        </w:rPr>
        <w:t>the state’s</w:t>
      </w:r>
      <w:r w:rsidRPr="0027666F">
        <w:rPr>
          <w:rFonts w:ascii="Garamond" w:hAnsi="Garamond"/>
        </w:rPr>
        <w:t xml:space="preserve"> own obsessive collection of records that forms the basis of future prosecutions. </w:t>
      </w:r>
      <w:r w:rsidR="004B4A6B" w:rsidRPr="0027666F">
        <w:rPr>
          <w:rFonts w:ascii="Garamond" w:hAnsi="Garamond"/>
        </w:rPr>
        <w:t>It</w:t>
      </w:r>
      <w:r w:rsidRPr="0027666F">
        <w:rPr>
          <w:rFonts w:ascii="Garamond" w:hAnsi="Garamond"/>
        </w:rPr>
        <w:t xml:space="preserve"> is perhaps within the </w:t>
      </w:r>
      <w:r w:rsidR="004B4A6B" w:rsidRPr="0027666F">
        <w:rPr>
          <w:rFonts w:ascii="Garamond" w:hAnsi="Garamond"/>
        </w:rPr>
        <w:t>totalitarian</w:t>
      </w:r>
      <w:r w:rsidRPr="0027666F">
        <w:rPr>
          <w:rFonts w:ascii="Garamond" w:hAnsi="Garamond"/>
        </w:rPr>
        <w:t xml:space="preserve"> state</w:t>
      </w:r>
      <w:r w:rsidR="003F578E">
        <w:rPr>
          <w:rFonts w:ascii="Garamond" w:hAnsi="Garamond"/>
        </w:rPr>
        <w:t>, or the state at war,</w:t>
      </w:r>
      <w:r w:rsidRPr="0027666F">
        <w:rPr>
          <w:rFonts w:ascii="Garamond" w:hAnsi="Garamond"/>
        </w:rPr>
        <w:t xml:space="preserve"> that archival power is at its optimum, as it </w:t>
      </w:r>
      <w:r w:rsidR="00CF7BB4" w:rsidRPr="0027666F">
        <w:rPr>
          <w:rFonts w:ascii="Garamond" w:hAnsi="Garamond"/>
        </w:rPr>
        <w:t xml:space="preserve">zealously </w:t>
      </w:r>
      <w:r w:rsidRPr="0027666F">
        <w:rPr>
          <w:rFonts w:ascii="Garamond" w:hAnsi="Garamond"/>
        </w:rPr>
        <w:t xml:space="preserve">classifies and records the lives of citizens </w:t>
      </w:r>
      <w:r w:rsidR="00CF7BB4" w:rsidRPr="0027666F">
        <w:rPr>
          <w:rFonts w:ascii="Garamond" w:hAnsi="Garamond"/>
        </w:rPr>
        <w:t xml:space="preserve">to facilitate the state’s </w:t>
      </w:r>
      <w:r w:rsidRPr="0027666F">
        <w:rPr>
          <w:rFonts w:ascii="Garamond" w:hAnsi="Garamond"/>
        </w:rPr>
        <w:t xml:space="preserve">total control of population.  This was the case at </w:t>
      </w:r>
      <w:r w:rsidR="00CF7BB4" w:rsidRPr="0027666F">
        <w:rPr>
          <w:rFonts w:ascii="Garamond" w:hAnsi="Garamond"/>
        </w:rPr>
        <w:t xml:space="preserve">the </w:t>
      </w:r>
      <w:r w:rsidRPr="0027666F">
        <w:rPr>
          <w:rFonts w:ascii="Garamond" w:hAnsi="Garamond"/>
          <w:i/>
        </w:rPr>
        <w:t>Nuremberg</w:t>
      </w:r>
      <w:r w:rsidR="00CF7BB4" w:rsidRPr="0027666F">
        <w:rPr>
          <w:rFonts w:ascii="Garamond" w:hAnsi="Garamond"/>
          <w:i/>
        </w:rPr>
        <w:t xml:space="preserve"> </w:t>
      </w:r>
      <w:r w:rsidR="00CF7BB4" w:rsidRPr="0027666F">
        <w:rPr>
          <w:rFonts w:ascii="Garamond" w:hAnsi="Garamond"/>
        </w:rPr>
        <w:t>trials</w:t>
      </w:r>
      <w:r w:rsidRPr="0027666F">
        <w:rPr>
          <w:rFonts w:ascii="Garamond" w:hAnsi="Garamond"/>
        </w:rPr>
        <w:t>, for instance, where</w:t>
      </w:r>
      <w:r w:rsidR="00CF7BB4" w:rsidRPr="0027666F">
        <w:rPr>
          <w:rFonts w:ascii="Garamond" w:hAnsi="Garamond"/>
        </w:rPr>
        <w:t xml:space="preserve"> the international military tribunal relied almost exclusively on the</w:t>
      </w:r>
      <w:r w:rsidRPr="0027666F">
        <w:rPr>
          <w:rFonts w:ascii="Garamond" w:hAnsi="Garamond"/>
        </w:rPr>
        <w:t xml:space="preserve"> Nazi’s extensive archives to establish </w:t>
      </w:r>
      <w:r w:rsidR="00CF7BB4" w:rsidRPr="0027666F">
        <w:rPr>
          <w:rFonts w:ascii="Garamond" w:hAnsi="Garamond"/>
        </w:rPr>
        <w:t>the defendant’s guilt</w:t>
      </w:r>
      <w:r w:rsidRPr="0027666F">
        <w:rPr>
          <w:rFonts w:ascii="Garamond" w:hAnsi="Garamond"/>
        </w:rPr>
        <w:t>.</w:t>
      </w:r>
      <w:r w:rsidR="0076145C" w:rsidRPr="0027666F">
        <w:rPr>
          <w:rStyle w:val="EndnoteReference"/>
          <w:rFonts w:ascii="Garamond" w:hAnsi="Garamond"/>
        </w:rPr>
        <w:endnoteReference w:id="2"/>
      </w:r>
      <w:r w:rsidRPr="0027666F">
        <w:rPr>
          <w:rFonts w:ascii="Garamond" w:hAnsi="Garamond"/>
        </w:rPr>
        <w:t xml:space="preserve"> </w:t>
      </w:r>
      <w:r w:rsidR="0076145C" w:rsidRPr="0027666F">
        <w:rPr>
          <w:rFonts w:ascii="Garamond" w:hAnsi="Garamond"/>
        </w:rPr>
        <w:t xml:space="preserve">Another example comes from the International Criminal Tribunal for the Former Yugoslavia (ICTY). In 2010, whilst searching the home of General Mladic’s wife, investigators found a series of war time diaries that </w:t>
      </w:r>
      <w:r w:rsidR="00CF7BB4" w:rsidRPr="0027666F">
        <w:rPr>
          <w:rFonts w:ascii="Garamond" w:hAnsi="Garamond"/>
        </w:rPr>
        <w:t xml:space="preserve">detailed </w:t>
      </w:r>
      <w:r w:rsidR="0076145C" w:rsidRPr="0027666F">
        <w:rPr>
          <w:rFonts w:ascii="Garamond" w:hAnsi="Garamond"/>
        </w:rPr>
        <w:t xml:space="preserve">Mladic’s war time activities, in what was, </w:t>
      </w:r>
      <w:r w:rsidR="00CF7BB4" w:rsidRPr="0027666F">
        <w:rPr>
          <w:rFonts w:ascii="Garamond" w:hAnsi="Garamond"/>
        </w:rPr>
        <w:t>at the time</w:t>
      </w:r>
      <w:r w:rsidR="0076145C" w:rsidRPr="0027666F">
        <w:rPr>
          <w:rFonts w:ascii="Garamond" w:hAnsi="Garamond"/>
        </w:rPr>
        <w:t xml:space="preserve"> an example of good military practic</w:t>
      </w:r>
      <w:r w:rsidR="00CF7BB4" w:rsidRPr="0027666F">
        <w:rPr>
          <w:rFonts w:ascii="Garamond" w:hAnsi="Garamond"/>
        </w:rPr>
        <w:t>e</w:t>
      </w:r>
      <w:r w:rsidR="0076145C" w:rsidRPr="0027666F">
        <w:rPr>
          <w:rFonts w:ascii="Garamond" w:hAnsi="Garamond"/>
        </w:rPr>
        <w:t>. These</w:t>
      </w:r>
      <w:r w:rsidR="00CF7BB4" w:rsidRPr="0027666F">
        <w:rPr>
          <w:rFonts w:ascii="Garamond" w:hAnsi="Garamond"/>
        </w:rPr>
        <w:t xml:space="preserve"> diaries</w:t>
      </w:r>
      <w:r w:rsidR="002B621A" w:rsidRPr="0027666F">
        <w:rPr>
          <w:rFonts w:ascii="Garamond" w:hAnsi="Garamond"/>
        </w:rPr>
        <w:t xml:space="preserve"> were</w:t>
      </w:r>
      <w:r w:rsidR="0076145C" w:rsidRPr="0027666F">
        <w:rPr>
          <w:rFonts w:ascii="Garamond" w:hAnsi="Garamond"/>
        </w:rPr>
        <w:t xml:space="preserve"> later used in the prosecution of five defendants across four trials, including Mladić himself.</w:t>
      </w:r>
      <w:r w:rsidR="0076145C" w:rsidRPr="0027666F">
        <w:rPr>
          <w:rFonts w:ascii="Garamond" w:hAnsi="Garamond"/>
          <w:vertAlign w:val="superscript"/>
        </w:rPr>
        <w:endnoteReference w:id="3"/>
      </w:r>
      <w:r w:rsidR="0076145C" w:rsidRPr="0027666F">
        <w:rPr>
          <w:rFonts w:ascii="Garamond" w:hAnsi="Garamond"/>
        </w:rPr>
        <w:t xml:space="preserve"> </w:t>
      </w:r>
    </w:p>
    <w:p w14:paraId="03DC1625" w14:textId="77777777" w:rsidR="008C3E3E" w:rsidRPr="0027666F" w:rsidRDefault="008C3E3E" w:rsidP="008A0C7B">
      <w:pPr>
        <w:rPr>
          <w:rFonts w:ascii="Garamond" w:hAnsi="Garamond"/>
        </w:rPr>
      </w:pPr>
    </w:p>
    <w:p w14:paraId="6FA53511" w14:textId="1D65DD34" w:rsidR="00D63E31" w:rsidRPr="0027666F" w:rsidRDefault="00D63E31" w:rsidP="008A0C7B">
      <w:pPr>
        <w:rPr>
          <w:rFonts w:ascii="Garamond" w:hAnsi="Garamond"/>
        </w:rPr>
      </w:pPr>
      <w:r w:rsidRPr="0027666F">
        <w:rPr>
          <w:rFonts w:ascii="Garamond" w:hAnsi="Garamond"/>
        </w:rPr>
        <w:t>The archive is</w:t>
      </w:r>
      <w:r w:rsidR="009410E2" w:rsidRPr="0027666F">
        <w:rPr>
          <w:rFonts w:ascii="Garamond" w:hAnsi="Garamond"/>
        </w:rPr>
        <w:t xml:space="preserve"> a site that</w:t>
      </w:r>
      <w:r w:rsidRPr="0027666F">
        <w:rPr>
          <w:rFonts w:ascii="Garamond" w:hAnsi="Garamond"/>
        </w:rPr>
        <w:t xml:space="preserve"> awaits, and in many respects makes possible, a future state of justice. </w:t>
      </w:r>
      <w:r w:rsidR="00DD4495" w:rsidRPr="0027666F">
        <w:rPr>
          <w:rFonts w:ascii="Garamond" w:hAnsi="Garamond"/>
        </w:rPr>
        <w:t xml:space="preserve">But it is possible to see an even more immediate link between archives and justice as they come to represent, and in some case stand in form, transitional justice in their own right. </w:t>
      </w:r>
    </w:p>
    <w:p w14:paraId="0F0206D1" w14:textId="5BCC4815" w:rsidR="00DD4495" w:rsidRPr="0027666F" w:rsidRDefault="00DD4495" w:rsidP="008A0C7B">
      <w:pPr>
        <w:rPr>
          <w:rFonts w:ascii="Garamond" w:hAnsi="Garamond"/>
        </w:rPr>
      </w:pPr>
    </w:p>
    <w:p w14:paraId="46F62465" w14:textId="7AE37BFD" w:rsidR="00DD4495" w:rsidRPr="0027666F" w:rsidRDefault="00DD4495" w:rsidP="00260796">
      <w:pPr>
        <w:pStyle w:val="Heading2"/>
      </w:pPr>
      <w:r w:rsidRPr="0027666F">
        <w:t xml:space="preserve">Monumental Justice </w:t>
      </w:r>
    </w:p>
    <w:p w14:paraId="084D3EE2" w14:textId="1587BA99" w:rsidR="003A3EC6" w:rsidRPr="0027666F" w:rsidRDefault="00DD4495" w:rsidP="00DD4495">
      <w:pPr>
        <w:tabs>
          <w:tab w:val="left" w:pos="1961"/>
        </w:tabs>
        <w:rPr>
          <w:rFonts w:ascii="Garamond" w:hAnsi="Garamond"/>
        </w:rPr>
      </w:pPr>
      <w:r w:rsidRPr="0027666F">
        <w:rPr>
          <w:rFonts w:ascii="Garamond" w:hAnsi="Garamond"/>
        </w:rPr>
        <w:tab/>
      </w:r>
    </w:p>
    <w:p w14:paraId="130E3A07" w14:textId="1741E6E0" w:rsidR="00DD4495" w:rsidRPr="0027666F" w:rsidRDefault="00DD4495" w:rsidP="00DD4495">
      <w:pPr>
        <w:tabs>
          <w:tab w:val="left" w:pos="1961"/>
        </w:tabs>
        <w:rPr>
          <w:rFonts w:ascii="Garamond" w:hAnsi="Garamond"/>
        </w:rPr>
      </w:pPr>
      <w:r w:rsidRPr="0027666F">
        <w:rPr>
          <w:rFonts w:ascii="Garamond" w:hAnsi="Garamond"/>
        </w:rPr>
        <w:t xml:space="preserve">As the above suggests, the acquisition of truth remains at the centre of </w:t>
      </w:r>
      <w:r w:rsidR="00547075" w:rsidRPr="0027666F">
        <w:rPr>
          <w:rFonts w:ascii="Garamond" w:hAnsi="Garamond"/>
        </w:rPr>
        <w:t>what</w:t>
      </w:r>
      <w:r w:rsidRPr="0027666F">
        <w:rPr>
          <w:rFonts w:ascii="Garamond" w:hAnsi="Garamond"/>
        </w:rPr>
        <w:t xml:space="preserve"> many transitional justice </w:t>
      </w:r>
      <w:r w:rsidR="00186ECE" w:rsidRPr="0027666F">
        <w:rPr>
          <w:rFonts w:ascii="Garamond" w:hAnsi="Garamond"/>
        </w:rPr>
        <w:t>practitioners and scholars</w:t>
      </w:r>
      <w:r w:rsidRPr="0027666F">
        <w:rPr>
          <w:rFonts w:ascii="Garamond" w:hAnsi="Garamond"/>
        </w:rPr>
        <w:t xml:space="preserve"> consider to be a just response to pas</w:t>
      </w:r>
      <w:r w:rsidR="00CF7BB4" w:rsidRPr="0027666F">
        <w:rPr>
          <w:rFonts w:ascii="Garamond" w:hAnsi="Garamond"/>
        </w:rPr>
        <w:t>t</w:t>
      </w:r>
      <w:r w:rsidRPr="0027666F">
        <w:rPr>
          <w:rFonts w:ascii="Garamond" w:hAnsi="Garamond"/>
        </w:rPr>
        <w:t xml:space="preserve"> violence. The importance of truth is such that there is now even a</w:t>
      </w:r>
      <w:r w:rsidR="00CF7BB4" w:rsidRPr="0027666F">
        <w:rPr>
          <w:rFonts w:ascii="Garamond" w:hAnsi="Garamond"/>
        </w:rPr>
        <w:t>n</w:t>
      </w:r>
      <w:r w:rsidRPr="0027666F">
        <w:rPr>
          <w:rFonts w:ascii="Garamond" w:hAnsi="Garamond"/>
        </w:rPr>
        <w:t xml:space="preserve"> ‘International Day for the Right to the Truth Concerning Gross Human Rights Violations and for the Dignity of Victims’ which takes place on the 24 March each year</w:t>
      </w:r>
      <w:r w:rsidR="00C45292" w:rsidRPr="0027666F">
        <w:rPr>
          <w:rFonts w:ascii="Garamond" w:hAnsi="Garamond"/>
        </w:rPr>
        <w:t xml:space="preserve"> (see also UNHCR 2009</w:t>
      </w:r>
      <w:r w:rsidR="00C45292" w:rsidRPr="0027666F">
        <w:rPr>
          <w:rFonts w:ascii="Garamond" w:hAnsi="Garamond"/>
        </w:rPr>
        <w:fldChar w:fldCharType="begin"/>
      </w:r>
      <w:r w:rsidR="00C45292" w:rsidRPr="0027666F">
        <w:rPr>
          <w:rFonts w:ascii="Garamond" w:hAnsi="Garamond"/>
        </w:rPr>
        <w:instrText xml:space="preserve"> ADDIN EN.CITE &lt;EndNote&gt;&lt;Cite&gt;&lt;Author&gt;UNHCR&lt;/Author&gt;&lt;Year&gt;2009&lt;/Year&gt;&lt;RecNum&gt;522&lt;/RecNum&gt;&lt;record&gt;&lt;rec-number&gt;522&lt;/rec-number&gt;&lt;foreign-keys&gt;&lt;key app="EN" db-id="0rewstxe3sdfepeps9f5xrt55srrdw2s5r9x" timestamp="1601047354"&gt;522&lt;/key&gt;&lt;/foreign-keys&gt;&lt;ref-type name="Report"&gt;27&lt;/ref-type&gt;&lt;contributors&gt;&lt;authors&gt;&lt;author&gt;UNHCR&lt;/author&gt;&lt;/authors&gt;&lt;/contributors&gt;&lt;titles&gt;&lt;title&gt;Right to Truth&lt;/title&gt;&lt;/titles&gt;&lt;dates&gt;&lt;year&gt;2009&lt;/year&gt;&lt;/dates&gt;&lt;pub-location&gt;http://undocs.org/A/HRC/12/19&lt;/pub-location&gt;&lt;urls&gt;&lt;/urls&gt;&lt;/record&gt;&lt;/Cite&gt;&lt;/EndNote&gt;</w:instrText>
      </w:r>
      <w:r w:rsidR="00C45292" w:rsidRPr="0027666F">
        <w:rPr>
          <w:rFonts w:ascii="Garamond" w:hAnsi="Garamond"/>
        </w:rPr>
        <w:fldChar w:fldCharType="end"/>
      </w:r>
      <w:r w:rsidR="00C45292" w:rsidRPr="0027666F">
        <w:rPr>
          <w:rFonts w:ascii="Garamond" w:hAnsi="Garamond"/>
        </w:rPr>
        <w:t>)</w:t>
      </w:r>
      <w:r w:rsidRPr="0027666F">
        <w:rPr>
          <w:rFonts w:ascii="Garamond" w:hAnsi="Garamond"/>
        </w:rPr>
        <w:t xml:space="preserve">. </w:t>
      </w:r>
      <w:r w:rsidR="002C719E" w:rsidRPr="0027666F">
        <w:rPr>
          <w:rFonts w:ascii="Garamond" w:hAnsi="Garamond"/>
        </w:rPr>
        <w:t xml:space="preserve">As </w:t>
      </w:r>
      <w:r w:rsidR="00547075" w:rsidRPr="0027666F">
        <w:rPr>
          <w:rFonts w:ascii="Garamond" w:hAnsi="Garamond"/>
        </w:rPr>
        <w:t xml:space="preserve">UN </w:t>
      </w:r>
      <w:r w:rsidR="002C719E" w:rsidRPr="0027666F">
        <w:rPr>
          <w:rFonts w:ascii="Garamond" w:hAnsi="Garamond"/>
        </w:rPr>
        <w:t>Secretary General António Guterres state</w:t>
      </w:r>
      <w:r w:rsidR="00186ECE" w:rsidRPr="0027666F">
        <w:rPr>
          <w:rFonts w:ascii="Garamond" w:hAnsi="Garamond"/>
        </w:rPr>
        <w:t>d at the 2020 celebration</w:t>
      </w:r>
      <w:r w:rsidR="002C719E" w:rsidRPr="0027666F">
        <w:rPr>
          <w:rFonts w:ascii="Garamond" w:hAnsi="Garamond"/>
        </w:rPr>
        <w:t>:</w:t>
      </w:r>
    </w:p>
    <w:p w14:paraId="09F81695" w14:textId="0D870BE7" w:rsidR="002C719E" w:rsidRPr="0027666F" w:rsidRDefault="002C719E" w:rsidP="00DD4495">
      <w:pPr>
        <w:tabs>
          <w:tab w:val="left" w:pos="1961"/>
        </w:tabs>
        <w:rPr>
          <w:rFonts w:ascii="Garamond" w:hAnsi="Garamond"/>
        </w:rPr>
      </w:pPr>
    </w:p>
    <w:p w14:paraId="10E0521F" w14:textId="193959A5" w:rsidR="002C719E" w:rsidRPr="0027666F" w:rsidRDefault="002C719E" w:rsidP="002C719E">
      <w:pPr>
        <w:tabs>
          <w:tab w:val="left" w:pos="1961"/>
        </w:tabs>
        <w:ind w:left="720"/>
        <w:rPr>
          <w:rFonts w:ascii="Garamond" w:hAnsi="Garamond"/>
        </w:rPr>
      </w:pPr>
      <w:r w:rsidRPr="0027666F">
        <w:rPr>
          <w:rFonts w:ascii="Garamond" w:hAnsi="Garamond"/>
        </w:rPr>
        <w:t>Truth opens the path to justice, reparation and healing. It helps us overcome prejudice, divisive narratives and extreme polarization. It also helps address the root causes of conflict and prevent its recurrence. This also why “The Highest Aspiration” -- my Call to Action for Human Rights – features efforts to promote justice and accountability for all</w:t>
      </w:r>
      <w:r w:rsidR="00C45292" w:rsidRPr="0027666F">
        <w:rPr>
          <w:rFonts w:ascii="Garamond" w:hAnsi="Garamond"/>
        </w:rPr>
        <w:t xml:space="preserve"> (UN 2020)</w:t>
      </w:r>
      <w:r w:rsidR="00C45292" w:rsidRPr="0027666F">
        <w:rPr>
          <w:rFonts w:ascii="Garamond" w:hAnsi="Garamond"/>
        </w:rPr>
        <w:fldChar w:fldCharType="begin"/>
      </w:r>
      <w:r w:rsidR="00B853A0" w:rsidRPr="0027666F">
        <w:rPr>
          <w:rFonts w:ascii="Garamond" w:hAnsi="Garamond"/>
        </w:rPr>
        <w:instrText xml:space="preserve"> ADDIN EN.CITE &lt;EndNote&gt;&lt;Cite&gt;&lt;Author&gt;UNCHR&lt;/Author&gt;&lt;Year&gt;2020&lt;/Year&gt;&lt;RecNum&gt;513&lt;/RecNum&gt;&lt;record&gt;&lt;rec-number&gt;513&lt;/rec-number&gt;&lt;foreign-keys&gt;&lt;key app="EN" db-id="0rewstxe3sdfepeps9f5xrt55srrdw2s5r9x" timestamp="1601047588"&gt;513&lt;/key&gt;&lt;/foreign-keys&gt;&lt;ref-type name="Web Page"&gt;12&lt;/ref-type&gt;&lt;contributors&gt;&lt;authors&gt;&lt;author&gt;UNCHR&lt;/author&gt;&lt;/authors&gt;&lt;/contributors&gt;&lt;titles&gt;&lt;title&gt;Right to Truth Day&lt;/title&gt;&lt;/titles&gt;&lt;number&gt;25 September 2020&lt;/number&gt;&lt;dates&gt;&lt;year&gt;2020&lt;/year&gt;&lt;/dates&gt;&lt;pub-location&gt;https://www.un.org/en/observances/right-to-truth-day&lt;/pub-location&gt;&lt;urls&gt;&lt;/urls&gt;&lt;/record&gt;&lt;/Cite&gt;&lt;/EndNote&gt;</w:instrText>
      </w:r>
      <w:r w:rsidR="00C45292" w:rsidRPr="0027666F">
        <w:rPr>
          <w:rFonts w:ascii="Garamond" w:hAnsi="Garamond"/>
        </w:rPr>
        <w:fldChar w:fldCharType="end"/>
      </w:r>
    </w:p>
    <w:p w14:paraId="6EC89FE0" w14:textId="77777777" w:rsidR="002C719E" w:rsidRPr="0027666F" w:rsidRDefault="002C719E" w:rsidP="002C719E">
      <w:pPr>
        <w:tabs>
          <w:tab w:val="left" w:pos="1961"/>
        </w:tabs>
        <w:rPr>
          <w:rFonts w:ascii="Garamond" w:hAnsi="Garamond"/>
        </w:rPr>
      </w:pPr>
    </w:p>
    <w:p w14:paraId="4F8EBD74" w14:textId="5642DBC4" w:rsidR="002C719E" w:rsidRPr="0027666F" w:rsidRDefault="002C719E" w:rsidP="002C719E">
      <w:pPr>
        <w:tabs>
          <w:tab w:val="left" w:pos="1961"/>
        </w:tabs>
        <w:rPr>
          <w:rFonts w:ascii="Garamond" w:hAnsi="Garamond"/>
        </w:rPr>
      </w:pPr>
      <w:r w:rsidRPr="0027666F">
        <w:rPr>
          <w:rFonts w:ascii="Garamond" w:hAnsi="Garamond"/>
        </w:rPr>
        <w:t xml:space="preserve">Here truth both ‘opens the path’ for </w:t>
      </w:r>
      <w:r w:rsidR="00547075" w:rsidRPr="0027666F">
        <w:rPr>
          <w:rFonts w:ascii="Garamond" w:hAnsi="Garamond"/>
        </w:rPr>
        <w:t>justice</w:t>
      </w:r>
      <w:r w:rsidRPr="0027666F">
        <w:rPr>
          <w:rFonts w:ascii="Garamond" w:hAnsi="Garamond"/>
        </w:rPr>
        <w:t xml:space="preserve">, but directly helps ‘overcome prejudice, divisive narratives and extreme </w:t>
      </w:r>
      <w:r w:rsidR="00186ECE" w:rsidRPr="0027666F">
        <w:rPr>
          <w:rFonts w:ascii="Garamond" w:hAnsi="Garamond"/>
        </w:rPr>
        <w:t>polarisation</w:t>
      </w:r>
      <w:r w:rsidRPr="0027666F">
        <w:rPr>
          <w:rFonts w:ascii="Garamond" w:hAnsi="Garamond"/>
        </w:rPr>
        <w:t>’</w:t>
      </w:r>
      <w:r w:rsidR="00A52E68" w:rsidRPr="0027666F">
        <w:rPr>
          <w:rFonts w:ascii="Garamond" w:hAnsi="Garamond"/>
        </w:rPr>
        <w:t xml:space="preserve"> (see also Baumgartner </w:t>
      </w:r>
      <w:r w:rsidR="00A52E68" w:rsidRPr="0027666F">
        <w:rPr>
          <w:rFonts w:ascii="Garamond" w:hAnsi="Garamond"/>
          <w:i/>
        </w:rPr>
        <w:t xml:space="preserve">et al </w:t>
      </w:r>
      <w:r w:rsidR="00A52E68" w:rsidRPr="0027666F">
        <w:rPr>
          <w:rFonts w:ascii="Garamond" w:hAnsi="Garamond"/>
        </w:rPr>
        <w:t>2016, 1)</w:t>
      </w:r>
      <w:r w:rsidR="007E5021" w:rsidRPr="0027666F">
        <w:rPr>
          <w:rFonts w:ascii="Garamond" w:hAnsi="Garamond"/>
        </w:rPr>
        <w:t xml:space="preserve">. This closely </w:t>
      </w:r>
      <w:r w:rsidR="00CF7BB4" w:rsidRPr="0027666F">
        <w:rPr>
          <w:rFonts w:ascii="Garamond" w:hAnsi="Garamond"/>
        </w:rPr>
        <w:t>aligns a</w:t>
      </w:r>
      <w:r w:rsidR="007E5021" w:rsidRPr="0027666F">
        <w:rPr>
          <w:rFonts w:ascii="Garamond" w:hAnsi="Garamond"/>
        </w:rPr>
        <w:t xml:space="preserve"> faith </w:t>
      </w:r>
      <w:r w:rsidR="00DF5395" w:rsidRPr="0027666F">
        <w:rPr>
          <w:rFonts w:ascii="Garamond" w:hAnsi="Garamond"/>
        </w:rPr>
        <w:t>that</w:t>
      </w:r>
      <w:r w:rsidR="007E5021" w:rsidRPr="0027666F">
        <w:rPr>
          <w:rFonts w:ascii="Garamond" w:hAnsi="Garamond"/>
        </w:rPr>
        <w:t xml:space="preserve"> archive</w:t>
      </w:r>
      <w:r w:rsidR="00DF5395" w:rsidRPr="0027666F">
        <w:rPr>
          <w:rFonts w:ascii="Garamond" w:hAnsi="Garamond"/>
        </w:rPr>
        <w:t>s</w:t>
      </w:r>
      <w:r w:rsidR="007E5021" w:rsidRPr="0027666F">
        <w:rPr>
          <w:rFonts w:ascii="Garamond" w:hAnsi="Garamond"/>
        </w:rPr>
        <w:t xml:space="preserve"> </w:t>
      </w:r>
      <w:r w:rsidR="00DF5395" w:rsidRPr="0027666F">
        <w:rPr>
          <w:rFonts w:ascii="Garamond" w:hAnsi="Garamond"/>
        </w:rPr>
        <w:t xml:space="preserve">are </w:t>
      </w:r>
      <w:r w:rsidR="007E5021" w:rsidRPr="0027666F">
        <w:rPr>
          <w:rFonts w:ascii="Garamond" w:hAnsi="Garamond"/>
        </w:rPr>
        <w:t>site</w:t>
      </w:r>
      <w:r w:rsidR="00DF5395" w:rsidRPr="0027666F">
        <w:rPr>
          <w:rFonts w:ascii="Garamond" w:hAnsi="Garamond"/>
        </w:rPr>
        <w:t>s</w:t>
      </w:r>
      <w:r w:rsidR="007E5021" w:rsidRPr="0027666F">
        <w:rPr>
          <w:rFonts w:ascii="Garamond" w:hAnsi="Garamond"/>
        </w:rPr>
        <w:t xml:space="preserve"> where a pure depiction of the past is recorded for posterity, and a vision of the archive as a site of monumental history</w:t>
      </w:r>
      <w:r w:rsidR="00E025F9" w:rsidRPr="0027666F">
        <w:rPr>
          <w:rFonts w:ascii="Garamond" w:hAnsi="Garamond"/>
        </w:rPr>
        <w:fldChar w:fldCharType="begin"/>
      </w:r>
      <w:r w:rsidR="00E025F9" w:rsidRPr="0027666F">
        <w:rPr>
          <w:rFonts w:ascii="Garamond" w:hAnsi="Garamond"/>
        </w:rPr>
        <w:instrText xml:space="preserve"> ADDIN EN.CITE &lt;EndNote&gt;&lt;Cite&gt;&lt;Author&gt;Mignolo&lt;/Author&gt;&lt;Year&gt;2007&lt;/Year&gt;&lt;RecNum&gt;536&lt;/RecNum&gt;&lt;record&gt;&lt;rec-number&gt;536&lt;/rec-number&gt;&lt;foreign-keys&gt;&lt;key app="EN" db-id="0rewstxe3sdfepeps9f5xrt55srrdw2s5r9x" timestamp="1601057819"&gt;536&lt;/key&gt;&lt;/foreign-keys&gt;&lt;ref-type name="Journal Article"&gt;17&lt;/ref-type&gt;&lt;contributors&gt;&lt;authors&gt;&lt;author&gt;Mignolo, Wlater&lt;/author&gt;&lt;/authors&gt;&lt;/contributors&gt;&lt;titles&gt;&lt;title&gt;Introduction&lt;/title&gt;&lt;secondary-title&gt;Cultural Studies&lt;/secondary-title&gt;&lt;/titles&gt;&lt;periodical&gt;&lt;full-title&gt;Cultural Studies&lt;/full-title&gt;&lt;/periodical&gt;&lt;pages&gt;155-167&lt;/pages&gt;&lt;volume&gt;21&lt;/volume&gt;&lt;number&gt;2-3&lt;/number&gt;&lt;keywords&gt;&lt;keyword&gt;Post-colonial&lt;/keyword&gt;&lt;keyword&gt;Archive&lt;/keyword&gt;&lt;/keywords&gt;&lt;dates&gt;&lt;year&gt;2007&lt;/year&gt;&lt;/dates&gt;&lt;urls&gt;&lt;/urls&gt;&lt;/record&gt;&lt;/Cite&gt;&lt;Cite&gt;&lt;Author&gt;Ní Shúilleabháin&lt;/Author&gt;&lt;Year&gt;2017&lt;/Year&gt;&lt;RecNum&gt;535&lt;/RecNum&gt;&lt;record&gt;&lt;rec-number&gt;535&lt;/rec-number&gt;&lt;foreign-keys&gt;&lt;key app="EN" db-id="0rewstxe3sdfepeps9f5xrt55srrdw2s5r9x" timestamp="1601057628"&gt;535&lt;/key&gt;&lt;/foreign-keys&gt;&lt;ref-type name="Book Section"&gt;5&lt;/ref-type&gt;&lt;contributors&gt;&lt;authors&gt;&lt;author&gt;Ní Shúilleabháin, Míde &lt;/author&gt;&lt;/authors&gt;&lt;secondary-authors&gt;&lt;author&gt;el-Malik, Shiera&lt;/author&gt;&lt;author&gt;Kamola, Isaac&lt;/author&gt;&lt;/secondary-authors&gt;&lt;/contributors&gt;&lt;titles&gt;&lt;title&gt;Inviting Marianne to Dance: Congolese Rumba Lingala as an Archive Against Monument’&lt;/title&gt;&lt;secondary-title&gt;Politics of African Colonial Archive&lt;/secondary-title&gt;&lt;/titles&gt;&lt;dates&gt;&lt;year&gt;2017&lt;/year&gt;&lt;/dates&gt;&lt;pub-location&gt;London&lt;/pub-location&gt;&lt;publisher&gt;Rowman and Littlefield&lt;/publisher&gt;&lt;urls&gt;&lt;/urls&gt;&lt;/record&gt;&lt;/Cite&gt;&lt;/EndNote&gt;</w:instrText>
      </w:r>
      <w:r w:rsidR="00E025F9" w:rsidRPr="0027666F">
        <w:rPr>
          <w:rFonts w:ascii="Garamond" w:hAnsi="Garamond"/>
        </w:rPr>
        <w:fldChar w:fldCharType="end"/>
      </w:r>
      <w:r w:rsidR="007E5021" w:rsidRPr="0027666F">
        <w:rPr>
          <w:rFonts w:ascii="Garamond" w:hAnsi="Garamond"/>
        </w:rPr>
        <w:t>:</w:t>
      </w:r>
      <w:r w:rsidR="00DF5395" w:rsidRPr="0027666F">
        <w:rPr>
          <w:rStyle w:val="EndnoteReference"/>
          <w:rFonts w:ascii="Garamond" w:hAnsi="Garamond"/>
        </w:rPr>
        <w:endnoteReference w:id="4"/>
      </w:r>
      <w:r w:rsidR="007E5021" w:rsidRPr="0027666F">
        <w:rPr>
          <w:rFonts w:ascii="Garamond" w:hAnsi="Garamond"/>
        </w:rPr>
        <w:t xml:space="preserve"> </w:t>
      </w:r>
      <w:r w:rsidR="00C441BA" w:rsidRPr="0027666F">
        <w:rPr>
          <w:rFonts w:ascii="Garamond" w:hAnsi="Garamond"/>
        </w:rPr>
        <w:t>where</w:t>
      </w:r>
      <w:r w:rsidR="007E5021" w:rsidRPr="0027666F">
        <w:rPr>
          <w:rFonts w:ascii="Garamond" w:hAnsi="Garamond"/>
        </w:rPr>
        <w:t xml:space="preserve"> shedding light on the past, opens up the possibility of a just form of community in the present</w:t>
      </w:r>
      <w:r w:rsidR="00C441BA" w:rsidRPr="0027666F">
        <w:rPr>
          <w:rFonts w:ascii="Garamond" w:hAnsi="Garamond"/>
        </w:rPr>
        <w:t xml:space="preserve"> and future</w:t>
      </w:r>
      <w:r w:rsidR="00DF5395" w:rsidRPr="0027666F">
        <w:rPr>
          <w:rFonts w:ascii="Garamond" w:hAnsi="Garamond"/>
        </w:rPr>
        <w:t xml:space="preserve"> (</w:t>
      </w:r>
      <w:r w:rsidR="00C45292" w:rsidRPr="0027666F">
        <w:rPr>
          <w:rFonts w:ascii="Garamond" w:hAnsi="Garamond"/>
        </w:rPr>
        <w:t>Jenkins 2014</w:t>
      </w:r>
      <w:r w:rsidR="00C45292" w:rsidRPr="0027666F">
        <w:rPr>
          <w:rFonts w:ascii="Garamond" w:hAnsi="Garamond"/>
        </w:rPr>
        <w:fldChar w:fldCharType="begin"/>
      </w:r>
      <w:r w:rsidR="00C45292" w:rsidRPr="0027666F">
        <w:rPr>
          <w:rFonts w:ascii="Garamond" w:hAnsi="Garamond"/>
        </w:rPr>
        <w:instrText xml:space="preserve"> ADDIN EN.CITE &lt;EndNote&gt;&lt;Cite&gt;&lt;Author&gt;Jenkins&lt;/Author&gt;&lt;Year&gt;2014&lt;/Year&gt;&lt;RecNum&gt;514&lt;/RecNum&gt;&lt;record&gt;&lt;rec-number&gt;514&lt;/rec-number&gt;&lt;foreign-keys&gt;&lt;key app="EN" db-id="0rewstxe3sdfepeps9f5xrt55srrdw2s5r9x" timestamp="1601047763"&gt;514&lt;/key&gt;&lt;/foreign-keys&gt;&lt;ref-type name="Journal Article"&gt;17&lt;/ref-type&gt;&lt;contributors&gt;&lt;authors&gt;&lt;author&gt;Jenkins, Scott&lt;/author&gt;&lt;/authors&gt;&lt;/contributors&gt;&lt;titles&gt;&lt;title&gt;Nietzsche&amp;apos;s Use of Monumental History&lt;/title&gt;&lt;secondary-title&gt;Journal of Nietzsche Studies&lt;/secondary-title&gt;&lt;/titles&gt;&lt;periodical&gt;&lt;full-title&gt;Journal of Nietzsche Studies&lt;/full-title&gt;&lt;/periodical&gt;&lt;pages&gt;169–181&lt;/pages&gt;&lt;volume&gt;45&lt;/volume&gt;&lt;number&gt;2&lt;/number&gt;&lt;keywords&gt;&lt;keyword&gt;Nietzsche&lt;/keyword&gt;&lt;/keywords&gt;&lt;dates&gt;&lt;year&gt;2014&lt;/year&gt;&lt;/dates&gt;&lt;urls&gt;&lt;/urls&gt;&lt;/record&gt;&lt;/Cite&gt;&lt;/EndNote&gt;</w:instrText>
      </w:r>
      <w:r w:rsidR="00C45292" w:rsidRPr="0027666F">
        <w:rPr>
          <w:rFonts w:ascii="Garamond" w:hAnsi="Garamond"/>
        </w:rPr>
        <w:fldChar w:fldCharType="end"/>
      </w:r>
      <w:r w:rsidR="00DF5395" w:rsidRPr="0027666F">
        <w:rPr>
          <w:rFonts w:ascii="Garamond" w:hAnsi="Garamond"/>
        </w:rPr>
        <w:t>)</w:t>
      </w:r>
      <w:r w:rsidR="00D34D39" w:rsidRPr="0027666F">
        <w:rPr>
          <w:rFonts w:ascii="Garamond" w:hAnsi="Garamond"/>
        </w:rPr>
        <w:t>.</w:t>
      </w:r>
      <w:r w:rsidR="00DF5395" w:rsidRPr="0027666F">
        <w:rPr>
          <w:rFonts w:ascii="Garamond" w:hAnsi="Garamond"/>
        </w:rPr>
        <w:t xml:space="preserve"> </w:t>
      </w:r>
      <w:r w:rsidR="007E5021" w:rsidRPr="0027666F">
        <w:rPr>
          <w:rFonts w:ascii="Garamond" w:hAnsi="Garamond"/>
        </w:rPr>
        <w:t xml:space="preserve">There is, then, </w:t>
      </w:r>
      <w:r w:rsidR="00DF5395" w:rsidRPr="0027666F">
        <w:rPr>
          <w:rFonts w:ascii="Garamond" w:hAnsi="Garamond"/>
        </w:rPr>
        <w:t>a sense that archives resemble a form of justice.</w:t>
      </w:r>
      <w:r w:rsidR="007E5021" w:rsidRPr="0027666F">
        <w:rPr>
          <w:rFonts w:ascii="Garamond" w:hAnsi="Garamond"/>
        </w:rPr>
        <w:t xml:space="preserve"> </w:t>
      </w:r>
    </w:p>
    <w:p w14:paraId="66E747F7" w14:textId="51C0C498" w:rsidR="007E5021" w:rsidRPr="0027666F" w:rsidRDefault="007E5021" w:rsidP="002C719E">
      <w:pPr>
        <w:tabs>
          <w:tab w:val="left" w:pos="1961"/>
        </w:tabs>
        <w:rPr>
          <w:rFonts w:ascii="Garamond" w:hAnsi="Garamond"/>
        </w:rPr>
      </w:pPr>
    </w:p>
    <w:p w14:paraId="1F9E5881" w14:textId="480810E9" w:rsidR="00DF5395" w:rsidRPr="0027666F" w:rsidRDefault="00DF5395" w:rsidP="00DF5395">
      <w:pPr>
        <w:tabs>
          <w:tab w:val="left" w:pos="1961"/>
        </w:tabs>
        <w:rPr>
          <w:rFonts w:ascii="Garamond" w:hAnsi="Garamond"/>
        </w:rPr>
      </w:pPr>
      <w:r w:rsidRPr="0027666F">
        <w:rPr>
          <w:rFonts w:ascii="Garamond" w:hAnsi="Garamond"/>
        </w:rPr>
        <w:t xml:space="preserve">This relationship becomes more heighted with archives produced by transitional justice mechanisms given the overt truth finding role that underpins these. As, </w:t>
      </w:r>
      <w:r w:rsidR="008C2EBF" w:rsidRPr="0027666F">
        <w:rPr>
          <w:rFonts w:ascii="Garamond" w:hAnsi="Garamond"/>
        </w:rPr>
        <w:t>Fabian Salvioli, the Special Rapporteur on the promotion of</w:t>
      </w:r>
      <w:r w:rsidR="00CF7BB4" w:rsidRPr="0027666F">
        <w:rPr>
          <w:rFonts w:ascii="Garamond" w:hAnsi="Garamond"/>
        </w:rPr>
        <w:t xml:space="preserve"> T</w:t>
      </w:r>
      <w:r w:rsidR="008C2EBF" w:rsidRPr="0027666F">
        <w:rPr>
          <w:rFonts w:ascii="Garamond" w:hAnsi="Garamond"/>
        </w:rPr>
        <w:t xml:space="preserve">ruth, </w:t>
      </w:r>
      <w:r w:rsidR="00CF7BB4" w:rsidRPr="0027666F">
        <w:rPr>
          <w:rFonts w:ascii="Garamond" w:hAnsi="Garamond"/>
        </w:rPr>
        <w:t>J</w:t>
      </w:r>
      <w:r w:rsidR="008C2EBF" w:rsidRPr="0027666F">
        <w:rPr>
          <w:rFonts w:ascii="Garamond" w:hAnsi="Garamond"/>
        </w:rPr>
        <w:t xml:space="preserve">ustice, </w:t>
      </w:r>
      <w:r w:rsidR="00CF7BB4" w:rsidRPr="0027666F">
        <w:rPr>
          <w:rFonts w:ascii="Garamond" w:hAnsi="Garamond"/>
        </w:rPr>
        <w:t>R</w:t>
      </w:r>
      <w:r w:rsidR="008C2EBF" w:rsidRPr="0027666F">
        <w:rPr>
          <w:rFonts w:ascii="Garamond" w:hAnsi="Garamond"/>
        </w:rPr>
        <w:t xml:space="preserve">eparation and </w:t>
      </w:r>
      <w:r w:rsidR="00CF7BB4" w:rsidRPr="0027666F">
        <w:rPr>
          <w:rFonts w:ascii="Garamond" w:hAnsi="Garamond"/>
        </w:rPr>
        <w:t>G</w:t>
      </w:r>
      <w:r w:rsidR="008C2EBF" w:rsidRPr="0027666F">
        <w:rPr>
          <w:rFonts w:ascii="Garamond" w:hAnsi="Garamond"/>
        </w:rPr>
        <w:t xml:space="preserve">uarantees of </w:t>
      </w:r>
      <w:r w:rsidR="00CF7BB4" w:rsidRPr="0027666F">
        <w:rPr>
          <w:rFonts w:ascii="Garamond" w:hAnsi="Garamond"/>
        </w:rPr>
        <w:t>N</w:t>
      </w:r>
      <w:r w:rsidR="008C2EBF" w:rsidRPr="0027666F">
        <w:rPr>
          <w:rFonts w:ascii="Garamond" w:hAnsi="Garamond"/>
        </w:rPr>
        <w:t>on-</w:t>
      </w:r>
      <w:r w:rsidR="00CF7BB4" w:rsidRPr="0027666F">
        <w:rPr>
          <w:rFonts w:ascii="Garamond" w:hAnsi="Garamond"/>
        </w:rPr>
        <w:t>R</w:t>
      </w:r>
      <w:r w:rsidR="008C2EBF" w:rsidRPr="0027666F">
        <w:rPr>
          <w:rFonts w:ascii="Garamond" w:hAnsi="Garamond"/>
        </w:rPr>
        <w:t>ecurrence</w:t>
      </w:r>
      <w:r w:rsidRPr="0027666F">
        <w:rPr>
          <w:rFonts w:ascii="Garamond" w:hAnsi="Garamond"/>
        </w:rPr>
        <w:t>, stated</w:t>
      </w:r>
      <w:r w:rsidR="00CF7BB4" w:rsidRPr="0027666F">
        <w:rPr>
          <w:rFonts w:ascii="Garamond" w:hAnsi="Garamond"/>
        </w:rPr>
        <w:t xml:space="preserve">, </w:t>
      </w:r>
      <w:r w:rsidRPr="0027666F">
        <w:rPr>
          <w:rFonts w:ascii="Garamond" w:hAnsi="Garamond"/>
        </w:rPr>
        <w:t>to realise the ‘right to truth’:</w:t>
      </w:r>
    </w:p>
    <w:p w14:paraId="18B5FF98" w14:textId="77777777" w:rsidR="00DF5395" w:rsidRPr="0027666F" w:rsidRDefault="00DF5395" w:rsidP="00DF5395">
      <w:pPr>
        <w:tabs>
          <w:tab w:val="left" w:pos="1961"/>
        </w:tabs>
        <w:rPr>
          <w:rFonts w:ascii="Garamond" w:hAnsi="Garamond"/>
        </w:rPr>
      </w:pPr>
    </w:p>
    <w:p w14:paraId="191B1C93" w14:textId="3CB91346" w:rsidR="00DF5395" w:rsidRPr="0027666F" w:rsidRDefault="00DF5395" w:rsidP="00DF5395">
      <w:pPr>
        <w:tabs>
          <w:tab w:val="left" w:pos="1961"/>
        </w:tabs>
        <w:ind w:left="720"/>
        <w:rPr>
          <w:rFonts w:ascii="Garamond" w:hAnsi="Garamond"/>
        </w:rPr>
      </w:pPr>
      <w:r w:rsidRPr="0027666F">
        <w:rPr>
          <w:rFonts w:ascii="Garamond" w:hAnsi="Garamond"/>
        </w:rPr>
        <w:t>…. States must establish institutions, mechanisms and procedures that enable them to search and reveal the truth, such as the establishment of truth commissions, the collection of victims' testimonies, the development of genetic banks and specialized forensic laboratories, and the development of related technical capacities.</w:t>
      </w:r>
    </w:p>
    <w:p w14:paraId="23252D0A" w14:textId="77777777" w:rsidR="00DF5395" w:rsidRPr="0027666F" w:rsidRDefault="00DF5395" w:rsidP="00DF5395">
      <w:pPr>
        <w:tabs>
          <w:tab w:val="left" w:pos="1961"/>
        </w:tabs>
        <w:ind w:left="720"/>
        <w:rPr>
          <w:rFonts w:ascii="Garamond" w:hAnsi="Garamond"/>
        </w:rPr>
      </w:pPr>
    </w:p>
    <w:p w14:paraId="39039EE6" w14:textId="77777777" w:rsidR="002B621A" w:rsidRPr="0027666F" w:rsidRDefault="00DF5395" w:rsidP="00DF5395">
      <w:pPr>
        <w:tabs>
          <w:tab w:val="left" w:pos="1961"/>
        </w:tabs>
        <w:rPr>
          <w:rFonts w:ascii="Garamond" w:hAnsi="Garamond"/>
        </w:rPr>
      </w:pPr>
      <w:r w:rsidRPr="0027666F">
        <w:rPr>
          <w:rFonts w:ascii="Garamond" w:hAnsi="Garamond"/>
        </w:rPr>
        <w:t>This is perhaps particularly true</w:t>
      </w:r>
      <w:r w:rsidR="002B621A" w:rsidRPr="0027666F">
        <w:rPr>
          <w:rFonts w:ascii="Garamond" w:hAnsi="Garamond"/>
        </w:rPr>
        <w:t xml:space="preserve">, as Guterres’ statement suggests, of </w:t>
      </w:r>
      <w:r w:rsidRPr="0027666F">
        <w:rPr>
          <w:rFonts w:ascii="Garamond" w:hAnsi="Garamond"/>
        </w:rPr>
        <w:t>legal archives</w:t>
      </w:r>
      <w:r w:rsidR="00CF7BB4" w:rsidRPr="0027666F">
        <w:rPr>
          <w:rFonts w:ascii="Garamond" w:hAnsi="Garamond"/>
        </w:rPr>
        <w:t xml:space="preserve">, </w:t>
      </w:r>
      <w:r w:rsidRPr="0027666F">
        <w:rPr>
          <w:rFonts w:ascii="Garamond" w:hAnsi="Garamond"/>
        </w:rPr>
        <w:t>which remain seen by many a</w:t>
      </w:r>
      <w:r w:rsidR="008C2EBF" w:rsidRPr="0027666F">
        <w:rPr>
          <w:rFonts w:ascii="Garamond" w:hAnsi="Garamond"/>
        </w:rPr>
        <w:t>s</w:t>
      </w:r>
      <w:r w:rsidRPr="0027666F">
        <w:rPr>
          <w:rFonts w:ascii="Garamond" w:hAnsi="Garamond"/>
        </w:rPr>
        <w:t xml:space="preserve"> site</w:t>
      </w:r>
      <w:r w:rsidR="008C2EBF" w:rsidRPr="0027666F">
        <w:rPr>
          <w:rFonts w:ascii="Garamond" w:hAnsi="Garamond"/>
        </w:rPr>
        <w:t>s</w:t>
      </w:r>
      <w:r w:rsidRPr="0027666F">
        <w:rPr>
          <w:rFonts w:ascii="Garamond" w:hAnsi="Garamond"/>
        </w:rPr>
        <w:t xml:space="preserve"> of </w:t>
      </w:r>
      <w:r w:rsidR="008C2EBF" w:rsidRPr="0027666F">
        <w:rPr>
          <w:rFonts w:ascii="Garamond" w:hAnsi="Garamond"/>
        </w:rPr>
        <w:t>unparalleled</w:t>
      </w:r>
      <w:r w:rsidRPr="0027666F">
        <w:rPr>
          <w:rFonts w:ascii="Garamond" w:hAnsi="Garamond"/>
        </w:rPr>
        <w:t xml:space="preserve"> truth</w:t>
      </w:r>
      <w:r w:rsidR="006D4FE2" w:rsidRPr="0027666F">
        <w:rPr>
          <w:rFonts w:ascii="Garamond" w:hAnsi="Garamond"/>
        </w:rPr>
        <w:t xml:space="preserve"> (</w:t>
      </w:r>
      <w:r w:rsidR="002046DA" w:rsidRPr="0027666F">
        <w:rPr>
          <w:rFonts w:ascii="Garamond" w:hAnsi="Garamond"/>
        </w:rPr>
        <w:t>Accatino and Collins 2016</w:t>
      </w:r>
      <w:r w:rsidR="006D4FE2" w:rsidRPr="0027666F">
        <w:rPr>
          <w:rFonts w:ascii="Garamond" w:hAnsi="Garamond"/>
        </w:rPr>
        <w:t>, 85)</w:t>
      </w:r>
      <w:r w:rsidR="00CB0D00" w:rsidRPr="0027666F">
        <w:rPr>
          <w:rFonts w:ascii="Garamond" w:hAnsi="Garamond"/>
        </w:rPr>
        <w:t xml:space="preserve">. </w:t>
      </w:r>
      <w:r w:rsidRPr="0027666F">
        <w:rPr>
          <w:rFonts w:ascii="Garamond" w:hAnsi="Garamond"/>
        </w:rPr>
        <w:t xml:space="preserve">The archives produced </w:t>
      </w:r>
      <w:r w:rsidR="008C2EBF" w:rsidRPr="0027666F">
        <w:rPr>
          <w:rFonts w:ascii="Garamond" w:hAnsi="Garamond"/>
        </w:rPr>
        <w:t xml:space="preserve">by transitional justice measures </w:t>
      </w:r>
      <w:r w:rsidR="00CF7BB4" w:rsidRPr="0027666F">
        <w:rPr>
          <w:rFonts w:ascii="Garamond" w:hAnsi="Garamond"/>
        </w:rPr>
        <w:t xml:space="preserve">are both </w:t>
      </w:r>
      <w:r w:rsidR="007E5021" w:rsidRPr="0027666F">
        <w:rPr>
          <w:rFonts w:ascii="Garamond" w:hAnsi="Garamond"/>
        </w:rPr>
        <w:t>symbolic of the realisation of justice</w:t>
      </w:r>
      <w:r w:rsidR="00CB0D00" w:rsidRPr="0027666F">
        <w:rPr>
          <w:rFonts w:ascii="Garamond" w:hAnsi="Garamond"/>
        </w:rPr>
        <w:t xml:space="preserve"> – a </w:t>
      </w:r>
      <w:r w:rsidR="00CB0D00" w:rsidRPr="0027666F">
        <w:rPr>
          <w:rFonts w:ascii="Garamond" w:hAnsi="Garamond"/>
        </w:rPr>
        <w:lastRenderedPageBreak/>
        <w:t xml:space="preserve">monument to that achievement </w:t>
      </w:r>
      <w:r w:rsidR="002B621A" w:rsidRPr="0027666F">
        <w:rPr>
          <w:rFonts w:ascii="Garamond" w:hAnsi="Garamond"/>
        </w:rPr>
        <w:t>(Stoler 2010, 90)</w:t>
      </w:r>
      <w:r w:rsidR="00CF7BB4" w:rsidRPr="0027666F">
        <w:rPr>
          <w:rFonts w:ascii="Garamond" w:hAnsi="Garamond"/>
        </w:rPr>
        <w:t>–</w:t>
      </w:r>
      <w:r w:rsidR="007E5021" w:rsidRPr="0027666F">
        <w:rPr>
          <w:rFonts w:ascii="Garamond" w:hAnsi="Garamond"/>
        </w:rPr>
        <w:t xml:space="preserve"> </w:t>
      </w:r>
      <w:r w:rsidR="00CF7BB4" w:rsidRPr="0027666F">
        <w:rPr>
          <w:rFonts w:ascii="Garamond" w:hAnsi="Garamond"/>
        </w:rPr>
        <w:t xml:space="preserve">contain the truthful records of past violence </w:t>
      </w:r>
      <w:r w:rsidR="007E5021" w:rsidRPr="0027666F">
        <w:rPr>
          <w:rFonts w:ascii="Garamond" w:hAnsi="Garamond"/>
        </w:rPr>
        <w:t xml:space="preserve">and, arguably, </w:t>
      </w:r>
      <w:r w:rsidR="00CF7BB4" w:rsidRPr="0027666F">
        <w:rPr>
          <w:rFonts w:ascii="Garamond" w:hAnsi="Garamond"/>
        </w:rPr>
        <w:t>as such form on</w:t>
      </w:r>
      <w:r w:rsidR="002B621A" w:rsidRPr="0027666F">
        <w:rPr>
          <w:rFonts w:ascii="Garamond" w:hAnsi="Garamond"/>
        </w:rPr>
        <w:t xml:space="preserve">e </w:t>
      </w:r>
      <w:r w:rsidR="00CF7BB4" w:rsidRPr="0027666F">
        <w:rPr>
          <w:rFonts w:ascii="Garamond" w:hAnsi="Garamond"/>
        </w:rPr>
        <w:t xml:space="preserve">of the </w:t>
      </w:r>
      <w:r w:rsidR="007E5021" w:rsidRPr="0027666F">
        <w:rPr>
          <w:rFonts w:ascii="Garamond" w:hAnsi="Garamond"/>
        </w:rPr>
        <w:t xml:space="preserve">central legacies of these </w:t>
      </w:r>
      <w:r w:rsidR="00CB0D00" w:rsidRPr="0027666F">
        <w:rPr>
          <w:rFonts w:ascii="Garamond" w:hAnsi="Garamond"/>
        </w:rPr>
        <w:t>interventions</w:t>
      </w:r>
      <w:r w:rsidR="007E5021" w:rsidRPr="0027666F">
        <w:rPr>
          <w:rFonts w:ascii="Garamond" w:hAnsi="Garamond"/>
        </w:rPr>
        <w:t xml:space="preserve">. </w:t>
      </w:r>
    </w:p>
    <w:p w14:paraId="536D8840" w14:textId="77777777" w:rsidR="002B621A" w:rsidRPr="0027666F" w:rsidRDefault="002B621A" w:rsidP="00DF5395">
      <w:pPr>
        <w:tabs>
          <w:tab w:val="left" w:pos="1961"/>
        </w:tabs>
        <w:rPr>
          <w:rFonts w:ascii="Garamond" w:hAnsi="Garamond"/>
        </w:rPr>
      </w:pPr>
    </w:p>
    <w:p w14:paraId="17023798" w14:textId="1DC65AB2" w:rsidR="007E5021" w:rsidRPr="0027666F" w:rsidRDefault="00CF7BB4" w:rsidP="002B621A">
      <w:pPr>
        <w:tabs>
          <w:tab w:val="left" w:pos="1961"/>
        </w:tabs>
        <w:rPr>
          <w:rFonts w:ascii="Garamond" w:hAnsi="Garamond"/>
        </w:rPr>
      </w:pPr>
      <w:r w:rsidRPr="0027666F">
        <w:rPr>
          <w:rFonts w:ascii="Garamond" w:hAnsi="Garamond"/>
        </w:rPr>
        <w:t>A number of transitional justice mechanisms have emphasised the importance of archives in this respect.</w:t>
      </w:r>
      <w:r w:rsidR="002B621A" w:rsidRPr="0027666F">
        <w:rPr>
          <w:rFonts w:ascii="Garamond" w:hAnsi="Garamond"/>
        </w:rPr>
        <w:t xml:space="preserve"> </w:t>
      </w:r>
      <w:r w:rsidRPr="0027666F">
        <w:rPr>
          <w:rFonts w:ascii="Garamond" w:hAnsi="Garamond"/>
        </w:rPr>
        <w:t>For instance, a</w:t>
      </w:r>
      <w:r w:rsidR="00DF5395" w:rsidRPr="0027666F">
        <w:rPr>
          <w:rFonts w:ascii="Garamond" w:hAnsi="Garamond"/>
        </w:rPr>
        <w:t xml:space="preserve">s the </w:t>
      </w:r>
      <w:r w:rsidR="007E5021" w:rsidRPr="0027666F">
        <w:rPr>
          <w:rFonts w:ascii="Garamond" w:hAnsi="Garamond"/>
        </w:rPr>
        <w:t>International Criminal Tribunal for Rwanda</w:t>
      </w:r>
      <w:r w:rsidR="00DF5395" w:rsidRPr="0027666F">
        <w:rPr>
          <w:rFonts w:ascii="Garamond" w:hAnsi="Garamond"/>
        </w:rPr>
        <w:t xml:space="preserve"> (ICTR) moved towards (slowly) closing down, the archive was increasingly seen as one of its most important legacies. Such was the archives significance, that one of the reasons that the UN decided to build a new facility to house the follow on mechanisms </w:t>
      </w:r>
      <w:r w:rsidRPr="0027666F">
        <w:rPr>
          <w:rFonts w:ascii="Garamond" w:hAnsi="Garamond"/>
        </w:rPr>
        <w:t xml:space="preserve">that took </w:t>
      </w:r>
      <w:r w:rsidR="00DF5395" w:rsidRPr="0027666F">
        <w:rPr>
          <w:rFonts w:ascii="Garamond" w:hAnsi="Garamond"/>
        </w:rPr>
        <w:t xml:space="preserve">over the ICTR’s residual functions, was because of a need for a revamped archive capable of storing the tribunals records </w:t>
      </w:r>
      <w:r w:rsidR="00DF5395" w:rsidRPr="0027666F">
        <w:rPr>
          <w:rFonts w:ascii="Garamond" w:hAnsi="Garamond"/>
          <w:i/>
        </w:rPr>
        <w:t>in perpetuity</w:t>
      </w:r>
      <w:r w:rsidR="008C2EBF" w:rsidRPr="0027666F">
        <w:rPr>
          <w:rFonts w:ascii="Garamond" w:hAnsi="Garamond"/>
        </w:rPr>
        <w:t xml:space="preserve"> (UN</w:t>
      </w:r>
      <w:r w:rsidR="003F578E">
        <w:rPr>
          <w:rFonts w:ascii="Garamond" w:hAnsi="Garamond"/>
        </w:rPr>
        <w:t>SG</w:t>
      </w:r>
      <w:r w:rsidR="008C2EBF" w:rsidRPr="0027666F">
        <w:rPr>
          <w:rFonts w:ascii="Garamond" w:hAnsi="Garamond"/>
        </w:rPr>
        <w:t xml:space="preserve"> 2009</w:t>
      </w:r>
      <w:r w:rsidR="008C2EBF" w:rsidRPr="0027666F">
        <w:rPr>
          <w:rFonts w:ascii="Garamond" w:hAnsi="Garamond"/>
        </w:rPr>
        <w:fldChar w:fldCharType="begin"/>
      </w:r>
      <w:r w:rsidR="00B853A0" w:rsidRPr="0027666F">
        <w:rPr>
          <w:rFonts w:ascii="Garamond" w:hAnsi="Garamond"/>
        </w:rPr>
        <w:instrText xml:space="preserve"> ADDIN EN.CITE &lt;EndNote&gt;&lt;Cite&gt;&lt;Author&gt;General&lt;/Author&gt;&lt;Year&gt;2009&lt;/Year&gt;&lt;RecNum&gt;516&lt;/RecNum&gt;&lt;record&gt;&lt;rec-number&gt;516&lt;/rec-number&gt;&lt;foreign-keys&gt;&lt;key app="EN" db-id="0rewstxe3sdfepeps9f5xrt55srrdw2s5r9x" timestamp="1601048491"&gt;516&lt;/key&gt;&lt;/foreign-keys&gt;&lt;ref-type name="Manuscript"&gt;36&lt;/ref-type&gt;&lt;contributors&gt;&lt;authors&gt;&lt;author&gt;UN Secretary General&lt;/author&gt;&lt;/authors&gt;&lt;/contributors&gt;&lt;titles&gt;&lt;title&gt;Report of the Secretary–General on the Administrative and Budgetary Aspects of the Options for Possible Locations for the Archives of the International Tribunal for the former Yugoslavia and the International Criminal Tribunal for Rwanda and the Seat of the Residual Mechanism(S) for the Tribunals&lt;/title&gt;&lt;/titles&gt;&lt;num-vols&gt;S/2009/258 &lt;/num-vols&gt;&lt;dates&gt;&lt;year&gt;2009&lt;/year&gt;&lt;pub-dates&gt;&lt;date&gt;21/05/2009&lt;/date&gt;&lt;/pub-dates&gt;&lt;/dates&gt;&lt;urls&gt;&lt;/urls&gt;&lt;/record&gt;&lt;/Cite&gt;&lt;Cite&gt;&lt;Author&gt;Tribunals&lt;/Author&gt;&lt;RecNum&gt;517&lt;/RecNum&gt;&lt;record&gt;&lt;rec-number&gt;517&lt;/rec-number&gt;&lt;foreign-keys&gt;&lt;key app="EN" db-id="0rewstxe3sdfepeps9f5xrt55srrdw2s5r9x" timestamp="1601048617"&gt;517&lt;/key&gt;&lt;/foreign-keys&gt;&lt;ref-type name="Web Page"&gt;12&lt;/ref-type&gt;&lt;contributors&gt;&lt;authors&gt;&lt;author&gt;International Residual Mechanism for Criminal Tribunals&lt;/author&gt;&lt;/authors&gt;&lt;/contributors&gt;&lt;titles&gt;&lt;title&gt;Archives&lt;/title&gt;&lt;/titles&gt;&lt;number&gt;18/10/2019&lt;/number&gt;&lt;dates&gt;&lt;/dates&gt;&lt;pub-location&gt;https://www.irmct.org/en/archives &lt;/pub-location&gt;&lt;urls&gt;&lt;/urls&gt;&lt;/record&gt;&lt;/Cite&gt;&lt;/EndNote&gt;</w:instrText>
      </w:r>
      <w:r w:rsidR="008C2EBF" w:rsidRPr="0027666F">
        <w:rPr>
          <w:rFonts w:ascii="Garamond" w:hAnsi="Garamond"/>
        </w:rPr>
        <w:fldChar w:fldCharType="end"/>
      </w:r>
      <w:r w:rsidR="008C2EBF" w:rsidRPr="0027666F">
        <w:rPr>
          <w:rFonts w:ascii="Garamond" w:hAnsi="Garamond"/>
        </w:rPr>
        <w:t>)</w:t>
      </w:r>
      <w:r w:rsidR="00DF5395" w:rsidRPr="0027666F">
        <w:rPr>
          <w:rFonts w:ascii="Garamond" w:hAnsi="Garamond"/>
        </w:rPr>
        <w:t>. Yet this was not only a memorial to a justice past. Rather, the archive was seen as a way in which the work of the tribunal could continue long into the future. On the archives website it claims</w:t>
      </w:r>
      <w:r w:rsidR="007E5021" w:rsidRPr="0027666F">
        <w:rPr>
          <w:rFonts w:ascii="Garamond" w:hAnsi="Garamond"/>
        </w:rPr>
        <w:t>:</w:t>
      </w:r>
    </w:p>
    <w:p w14:paraId="31EF7EED" w14:textId="4BE50C2F" w:rsidR="007E5021" w:rsidRPr="0027666F" w:rsidRDefault="007E5021" w:rsidP="007E5021">
      <w:pPr>
        <w:tabs>
          <w:tab w:val="left" w:pos="1961"/>
        </w:tabs>
        <w:rPr>
          <w:rFonts w:ascii="Garamond" w:hAnsi="Garamond"/>
        </w:rPr>
      </w:pPr>
    </w:p>
    <w:p w14:paraId="2E6BC0EB" w14:textId="74779D1C" w:rsidR="00DF5395" w:rsidRPr="0027666F" w:rsidRDefault="00DF5395" w:rsidP="00DF5395">
      <w:pPr>
        <w:ind w:left="850"/>
        <w:rPr>
          <w:rFonts w:ascii="Garamond" w:hAnsi="Garamond"/>
        </w:rPr>
      </w:pPr>
      <w:r w:rsidRPr="0027666F">
        <w:rPr>
          <w:rFonts w:ascii="Garamond" w:hAnsi="Garamond"/>
        </w:rPr>
        <w:t>The records related to the investigations and prosecutions provide insight into the motivations and causes that led to these atrocities, thereby having the potential to educate and inform in the interest of preventing the occurrence of future violations of international humanitarian law</w:t>
      </w:r>
      <w:r w:rsidR="00B853A0" w:rsidRPr="0027666F">
        <w:rPr>
          <w:rFonts w:ascii="Garamond" w:hAnsi="Garamond"/>
        </w:rPr>
        <w:t xml:space="preserve"> (MICT 2020)</w:t>
      </w:r>
      <w:r w:rsidRPr="0027666F">
        <w:rPr>
          <w:rFonts w:ascii="Garamond" w:hAnsi="Garamond"/>
        </w:rPr>
        <w:t>.</w:t>
      </w:r>
    </w:p>
    <w:p w14:paraId="5C519AAC" w14:textId="77777777" w:rsidR="00DF5395" w:rsidRPr="0027666F" w:rsidRDefault="00DF5395" w:rsidP="00DF5395">
      <w:pPr>
        <w:ind w:left="850"/>
        <w:rPr>
          <w:rFonts w:ascii="Garamond" w:hAnsi="Garamond"/>
        </w:rPr>
      </w:pPr>
    </w:p>
    <w:p w14:paraId="76D4C525" w14:textId="33B4D9F5" w:rsidR="00DF5395" w:rsidRPr="0027666F" w:rsidRDefault="00DF5395" w:rsidP="00DF5395">
      <w:pPr>
        <w:rPr>
          <w:rFonts w:ascii="Garamond" w:hAnsi="Garamond"/>
        </w:rPr>
      </w:pPr>
      <w:r w:rsidRPr="0027666F">
        <w:rPr>
          <w:rFonts w:ascii="Garamond" w:hAnsi="Garamond"/>
        </w:rPr>
        <w:t xml:space="preserve">As such, the archive, is in many respects, a continuation of the tribunal’s work; seeking to prevent future acts of violence and maintain international peace and security. </w:t>
      </w:r>
    </w:p>
    <w:p w14:paraId="527B2E28" w14:textId="5AA6A153" w:rsidR="007E5021" w:rsidRPr="0027666F" w:rsidRDefault="007E5021" w:rsidP="007E5021">
      <w:pPr>
        <w:tabs>
          <w:tab w:val="left" w:pos="1961"/>
        </w:tabs>
        <w:rPr>
          <w:rFonts w:ascii="Garamond" w:hAnsi="Garamond"/>
        </w:rPr>
      </w:pPr>
    </w:p>
    <w:p w14:paraId="4587E377" w14:textId="547881A7" w:rsidR="007E5021" w:rsidRPr="0027666F" w:rsidRDefault="007E5021" w:rsidP="007E5021">
      <w:pPr>
        <w:tabs>
          <w:tab w:val="left" w:pos="1961"/>
        </w:tabs>
        <w:rPr>
          <w:rFonts w:ascii="Garamond" w:hAnsi="Garamond"/>
        </w:rPr>
      </w:pPr>
      <w:r w:rsidRPr="0027666F">
        <w:rPr>
          <w:rFonts w:ascii="Garamond" w:hAnsi="Garamond"/>
        </w:rPr>
        <w:t>In some instances where the possibility of more official transitional justice mechanisms  appears remote, if not impossible, the archive can take on an even more immediate relationship with justice</w:t>
      </w:r>
      <w:r w:rsidR="00CB0D00" w:rsidRPr="0027666F">
        <w:rPr>
          <w:rFonts w:ascii="Garamond" w:hAnsi="Garamond"/>
        </w:rPr>
        <w:t xml:space="preserve">. In </w:t>
      </w:r>
      <w:r w:rsidR="00B3242F" w:rsidRPr="0027666F">
        <w:rPr>
          <w:rFonts w:ascii="Garamond" w:hAnsi="Garamond"/>
        </w:rPr>
        <w:t>this context</w:t>
      </w:r>
      <w:r w:rsidR="00CB0D00" w:rsidRPr="0027666F">
        <w:rPr>
          <w:rFonts w:ascii="Garamond" w:hAnsi="Garamond"/>
        </w:rPr>
        <w:t xml:space="preserve"> the archive can </w:t>
      </w:r>
      <w:r w:rsidR="00F02FAB" w:rsidRPr="0027666F">
        <w:rPr>
          <w:rFonts w:ascii="Garamond" w:hAnsi="Garamond"/>
          <w:i/>
        </w:rPr>
        <w:t>become</w:t>
      </w:r>
      <w:r w:rsidR="00CB0D00" w:rsidRPr="0027666F">
        <w:rPr>
          <w:rFonts w:ascii="Garamond" w:hAnsi="Garamond"/>
          <w:i/>
        </w:rPr>
        <w:t xml:space="preserve"> </w:t>
      </w:r>
      <w:r w:rsidR="00CB0D00" w:rsidRPr="0027666F">
        <w:rPr>
          <w:rFonts w:ascii="Garamond" w:hAnsi="Garamond"/>
        </w:rPr>
        <w:t xml:space="preserve">a transitional justice mechanism in its own right. This is perhaps </w:t>
      </w:r>
      <w:r w:rsidR="00CF7BB4" w:rsidRPr="0027666F">
        <w:rPr>
          <w:rFonts w:ascii="Garamond" w:hAnsi="Garamond"/>
        </w:rPr>
        <w:t>most</w:t>
      </w:r>
      <w:r w:rsidR="00CB0D00" w:rsidRPr="0027666F">
        <w:rPr>
          <w:rFonts w:ascii="Garamond" w:hAnsi="Garamond"/>
        </w:rPr>
        <w:t xml:space="preserve"> </w:t>
      </w:r>
      <w:r w:rsidR="00F02FAB" w:rsidRPr="0027666F">
        <w:rPr>
          <w:rFonts w:ascii="Garamond" w:hAnsi="Garamond"/>
        </w:rPr>
        <w:t>pertinent</w:t>
      </w:r>
      <w:r w:rsidR="00CB0D00" w:rsidRPr="0027666F">
        <w:rPr>
          <w:rFonts w:ascii="Garamond" w:hAnsi="Garamond"/>
        </w:rPr>
        <w:t xml:space="preserve"> </w:t>
      </w:r>
      <w:r w:rsidR="00CF7BB4" w:rsidRPr="0027666F">
        <w:rPr>
          <w:rFonts w:ascii="Garamond" w:hAnsi="Garamond"/>
        </w:rPr>
        <w:t xml:space="preserve">in </w:t>
      </w:r>
      <w:r w:rsidR="00CB0D00" w:rsidRPr="0027666F">
        <w:rPr>
          <w:rFonts w:ascii="Garamond" w:hAnsi="Garamond"/>
        </w:rPr>
        <w:t xml:space="preserve">ongoing and intractable conflicts, such as those presently taking place in Syria. </w:t>
      </w:r>
    </w:p>
    <w:p w14:paraId="0E971E4D" w14:textId="56723116" w:rsidR="00CB0D00" w:rsidRPr="0027666F" w:rsidRDefault="00CB0D00" w:rsidP="007E5021">
      <w:pPr>
        <w:tabs>
          <w:tab w:val="left" w:pos="1961"/>
        </w:tabs>
        <w:rPr>
          <w:rFonts w:ascii="Garamond" w:hAnsi="Garamond"/>
        </w:rPr>
      </w:pPr>
    </w:p>
    <w:p w14:paraId="6E9698AC" w14:textId="74DA5FB4" w:rsidR="00CB0D00" w:rsidRPr="0027666F" w:rsidRDefault="00B3242F" w:rsidP="007E5021">
      <w:pPr>
        <w:tabs>
          <w:tab w:val="left" w:pos="1961"/>
        </w:tabs>
        <w:rPr>
          <w:rFonts w:ascii="Garamond" w:hAnsi="Garamond"/>
        </w:rPr>
      </w:pPr>
      <w:r w:rsidRPr="0027666F">
        <w:rPr>
          <w:rFonts w:ascii="Garamond" w:hAnsi="Garamond"/>
        </w:rPr>
        <w:t xml:space="preserve">In Syria a complex array of international and civil society organisations have been judiciously collecting evidence of crimes committed throughout the devastating war (Aboueldahab 2018, 11). </w:t>
      </w:r>
      <w:r w:rsidR="00CB0D00" w:rsidRPr="0027666F">
        <w:rPr>
          <w:rFonts w:ascii="Garamond" w:hAnsi="Garamond"/>
        </w:rPr>
        <w:t xml:space="preserve">As </w:t>
      </w:r>
      <w:r w:rsidR="00F02FAB" w:rsidRPr="0027666F">
        <w:rPr>
          <w:rFonts w:ascii="Garamond" w:hAnsi="Garamond"/>
        </w:rPr>
        <w:t>Noha Aboueldahab (</w:t>
      </w:r>
      <w:r w:rsidR="00B853A0" w:rsidRPr="0027666F">
        <w:rPr>
          <w:rFonts w:ascii="Garamond" w:hAnsi="Garamond"/>
        </w:rPr>
        <w:t>2018</w:t>
      </w:r>
      <w:r w:rsidR="00B853A0" w:rsidRPr="0027666F">
        <w:rPr>
          <w:rFonts w:ascii="Garamond" w:hAnsi="Garamond"/>
        </w:rPr>
        <w:fldChar w:fldCharType="begin"/>
      </w:r>
      <w:r w:rsidR="00B853A0" w:rsidRPr="0027666F">
        <w:rPr>
          <w:rFonts w:ascii="Garamond" w:hAnsi="Garamond"/>
        </w:rPr>
        <w:instrText xml:space="preserve"> ADDIN EN.CITE &lt;EndNote&gt;&lt;Cite&gt;&lt;Author&gt;Aboueldahab&lt;/Author&gt;&lt;Year&gt;2018&lt;/Year&gt;&lt;RecNum&gt;518&lt;/RecNum&gt;&lt;record&gt;&lt;rec-number&gt;518&lt;/rec-number&gt;&lt;foreign-keys&gt;&lt;key app="EN" db-id="0rewstxe3sdfepeps9f5xrt55srrdw2s5r9x" timestamp="1601048928"&gt;518&lt;/key&gt;&lt;/foreign-keys&gt;&lt;ref-type name="Report"&gt;27&lt;/ref-type&gt;&lt;contributors&gt;&lt;authors&gt;&lt;author&gt;Aboueldahab, Noha&lt;/author&gt;&lt;/authors&gt;&lt;/contributors&gt;&lt;titles&gt;&lt;title&gt;Writing Atrocities: Syrian Civil Society and Transitional Justice&lt;/title&gt;&lt;/titles&gt;&lt;keywords&gt;&lt;keyword&gt;Archives&lt;/keyword&gt;&lt;keyword&gt;Civil Society&lt;/keyword&gt;&lt;keyword&gt;Syria&lt;/keyword&gt;&lt;keyword&gt;Transitional Justice&lt;/keyword&gt;&lt;/keywords&gt;&lt;dates&gt;&lt;year&gt;2018&lt;/year&gt;&lt;/dates&gt;&lt;pub-location&gt;Doha, Qatar&lt;/pub-location&gt;&lt;publisher&gt;Brookings Doha Centre&lt;/publisher&gt;&lt;urls&gt;&lt;/urls&gt;&lt;/record&gt;&lt;/Cite&gt;&lt;/EndNote&gt;</w:instrText>
      </w:r>
      <w:r w:rsidR="00B853A0" w:rsidRPr="0027666F">
        <w:rPr>
          <w:rFonts w:ascii="Garamond" w:hAnsi="Garamond"/>
        </w:rPr>
        <w:fldChar w:fldCharType="end"/>
      </w:r>
      <w:r w:rsidR="00F02FAB" w:rsidRPr="0027666F">
        <w:rPr>
          <w:rFonts w:ascii="Garamond" w:hAnsi="Garamond"/>
        </w:rPr>
        <w:t>)</w:t>
      </w:r>
      <w:r w:rsidR="00CB0D00" w:rsidRPr="0027666F">
        <w:rPr>
          <w:rFonts w:ascii="Garamond" w:hAnsi="Garamond"/>
        </w:rPr>
        <w:t xml:space="preserve"> notes, these archives are</w:t>
      </w:r>
      <w:r w:rsidR="00CB6F5E">
        <w:rPr>
          <w:rFonts w:ascii="Garamond" w:hAnsi="Garamond"/>
        </w:rPr>
        <w:t>, as discussed above,</w:t>
      </w:r>
      <w:r w:rsidR="00CB0D00" w:rsidRPr="0027666F">
        <w:rPr>
          <w:rFonts w:ascii="Garamond" w:hAnsi="Garamond"/>
        </w:rPr>
        <w:t xml:space="preserve"> very much aimed at ensuring justice</w:t>
      </w:r>
      <w:r w:rsidR="00CB6F5E">
        <w:rPr>
          <w:rFonts w:ascii="Garamond" w:hAnsi="Garamond"/>
        </w:rPr>
        <w:t>, in the traditional sense,</w:t>
      </w:r>
      <w:r w:rsidR="00CB0D00" w:rsidRPr="0027666F">
        <w:rPr>
          <w:rFonts w:ascii="Garamond" w:hAnsi="Garamond"/>
        </w:rPr>
        <w:t xml:space="preserve"> is secured at some point in the future</w:t>
      </w:r>
      <w:r w:rsidR="00CB6F5E">
        <w:rPr>
          <w:rFonts w:ascii="Garamond" w:hAnsi="Garamond"/>
        </w:rPr>
        <w:t xml:space="preserve"> – and </w:t>
      </w:r>
      <w:r w:rsidR="00F02FAB" w:rsidRPr="0027666F">
        <w:rPr>
          <w:rFonts w:ascii="Garamond" w:hAnsi="Garamond"/>
        </w:rPr>
        <w:t xml:space="preserve">some of the records are </w:t>
      </w:r>
      <w:r w:rsidR="00CF7BB4" w:rsidRPr="0027666F">
        <w:rPr>
          <w:rFonts w:ascii="Garamond" w:hAnsi="Garamond"/>
        </w:rPr>
        <w:t xml:space="preserve">in fact currently </w:t>
      </w:r>
      <w:r w:rsidR="00F02FAB" w:rsidRPr="0027666F">
        <w:rPr>
          <w:rFonts w:ascii="Garamond" w:hAnsi="Garamond"/>
        </w:rPr>
        <w:t>supporting criminal justice proceedings in other states</w:t>
      </w:r>
      <w:r w:rsidR="00B853A0" w:rsidRPr="0027666F">
        <w:rPr>
          <w:rFonts w:ascii="Garamond" w:hAnsi="Garamond"/>
        </w:rPr>
        <w:t xml:space="preserve"> (see also Roca 2017</w:t>
      </w:r>
      <w:r w:rsidR="00B853A0" w:rsidRPr="0027666F">
        <w:rPr>
          <w:rFonts w:ascii="Garamond" w:hAnsi="Garamond"/>
        </w:rPr>
        <w:fldChar w:fldCharType="begin"/>
      </w:r>
      <w:r w:rsidR="00B853A0" w:rsidRPr="0027666F">
        <w:rPr>
          <w:rFonts w:ascii="Garamond" w:hAnsi="Garamond"/>
        </w:rPr>
        <w:instrText xml:space="preserve"> ADDIN EN.CITE &lt;EndNote&gt;&lt;Cite&gt;&lt;Author&gt;Roca&lt;/Author&gt;&lt;Year&gt;2017&lt;/Year&gt;&lt;RecNum&gt;519&lt;/RecNum&gt;&lt;record&gt;&lt;rec-number&gt;519&lt;/rec-number&gt;&lt;foreign-keys&gt;&lt;key app="EN" db-id="0rewstxe3sdfepeps9f5xrt55srrdw2s5r9x" timestamp="1601049064"&gt;519&lt;/key&gt;&lt;/foreign-keys&gt;&lt;ref-type name="Web Page"&gt;12&lt;/ref-type&gt;&lt;contributors&gt;&lt;authors&gt;&lt;author&gt;Roca, Christina&lt;/author&gt;&lt;/authors&gt;&lt;/contributors&gt;&lt;titles&gt;&lt;title&gt;Long Read: How the Syrian War Changed How War Crimes Are Documented&lt;/title&gt;&lt;/titles&gt;&lt;number&gt;25/ 09/2020&lt;/number&gt;&lt;dates&gt;&lt;year&gt;2017&lt;/year&gt;&lt;/dates&gt;&lt;pub-location&gt;https://deeply.thenewhumanitarian.org/syria/articles/2017/06/01/long-read-how-the-syrian-war-changed-how-war-crimes-are-documented&lt;/pub-location&gt;&lt;publisher&gt;The New Humanitarian&lt;/publisher&gt;&lt;urls&gt;&lt;/urls&gt;&lt;/record&gt;&lt;/Cite&gt;&lt;/EndNote&gt;</w:instrText>
      </w:r>
      <w:r w:rsidR="00B853A0" w:rsidRPr="0027666F">
        <w:rPr>
          <w:rFonts w:ascii="Garamond" w:hAnsi="Garamond"/>
        </w:rPr>
        <w:fldChar w:fldCharType="end"/>
      </w:r>
      <w:r w:rsidR="00B853A0" w:rsidRPr="0027666F">
        <w:rPr>
          <w:rFonts w:ascii="Garamond" w:hAnsi="Garamond"/>
        </w:rPr>
        <w:t>)</w:t>
      </w:r>
      <w:r w:rsidR="00CB6F5E">
        <w:rPr>
          <w:rFonts w:ascii="Garamond" w:hAnsi="Garamond"/>
        </w:rPr>
        <w:t>.</w:t>
      </w:r>
      <w:r w:rsidR="00F02FAB" w:rsidRPr="0027666F">
        <w:rPr>
          <w:rStyle w:val="EndnoteReference"/>
          <w:rFonts w:ascii="Garamond" w:hAnsi="Garamond"/>
        </w:rPr>
        <w:endnoteReference w:id="5"/>
      </w:r>
      <w:r w:rsidR="00CB6F5E">
        <w:rPr>
          <w:rFonts w:ascii="Garamond" w:hAnsi="Garamond"/>
        </w:rPr>
        <w:t xml:space="preserve"> Yet,</w:t>
      </w:r>
      <w:r w:rsidR="00F02FAB" w:rsidRPr="0027666F">
        <w:rPr>
          <w:rFonts w:ascii="Garamond" w:hAnsi="Garamond"/>
        </w:rPr>
        <w:t xml:space="preserve"> </w:t>
      </w:r>
      <w:r w:rsidR="00CB0D00" w:rsidRPr="0027666F">
        <w:rPr>
          <w:rFonts w:ascii="Garamond" w:hAnsi="Garamond"/>
        </w:rPr>
        <w:t>for those colleting these records</w:t>
      </w:r>
      <w:r w:rsidR="00F02FAB" w:rsidRPr="0027666F">
        <w:rPr>
          <w:rFonts w:ascii="Garamond" w:hAnsi="Garamond"/>
        </w:rPr>
        <w:t xml:space="preserve"> </w:t>
      </w:r>
      <w:r w:rsidR="00CB0D00" w:rsidRPr="0027666F">
        <w:rPr>
          <w:rFonts w:ascii="Garamond" w:hAnsi="Garamond"/>
        </w:rPr>
        <w:t>they are</w:t>
      </w:r>
      <w:r w:rsidR="00CB6F5E">
        <w:rPr>
          <w:rFonts w:ascii="Garamond" w:hAnsi="Garamond"/>
        </w:rPr>
        <w:t xml:space="preserve"> also</w:t>
      </w:r>
      <w:r w:rsidR="00CB0D00" w:rsidRPr="0027666F">
        <w:rPr>
          <w:rFonts w:ascii="Garamond" w:hAnsi="Garamond"/>
        </w:rPr>
        <w:t xml:space="preserve"> in and of themselves an act of peaceful </w:t>
      </w:r>
      <w:r w:rsidR="00F02FAB" w:rsidRPr="0027666F">
        <w:rPr>
          <w:rFonts w:ascii="Garamond" w:hAnsi="Garamond"/>
        </w:rPr>
        <w:t>resistance</w:t>
      </w:r>
      <w:r w:rsidR="00CB0D00" w:rsidRPr="0027666F">
        <w:rPr>
          <w:rFonts w:ascii="Garamond" w:hAnsi="Garamond"/>
        </w:rPr>
        <w:t xml:space="preserve"> to the war, and an act of justice</w:t>
      </w:r>
      <w:r w:rsidR="002606FC" w:rsidRPr="0027666F">
        <w:rPr>
          <w:rFonts w:ascii="Garamond" w:hAnsi="Garamond"/>
        </w:rPr>
        <w:t xml:space="preserve"> (Aboueldahab 2018, 3)</w:t>
      </w:r>
      <w:r w:rsidR="00CB0D00" w:rsidRPr="0027666F">
        <w:rPr>
          <w:rFonts w:ascii="Garamond" w:hAnsi="Garamond"/>
        </w:rPr>
        <w:t xml:space="preserve">. More than this, in recording the experiences of victims they ensure that this is, much like </w:t>
      </w:r>
      <w:r w:rsidR="00F02FAB" w:rsidRPr="0027666F">
        <w:rPr>
          <w:rFonts w:ascii="Garamond" w:hAnsi="Garamond"/>
        </w:rPr>
        <w:t xml:space="preserve">claims about </w:t>
      </w:r>
      <w:r w:rsidR="00CB0D00" w:rsidRPr="0027666F">
        <w:rPr>
          <w:rFonts w:ascii="Garamond" w:hAnsi="Garamond"/>
        </w:rPr>
        <w:t>truth commissions, a victim centred justice</w:t>
      </w:r>
      <w:r w:rsidR="002606FC" w:rsidRPr="0027666F">
        <w:rPr>
          <w:rFonts w:ascii="Garamond" w:hAnsi="Garamond"/>
        </w:rPr>
        <w:t xml:space="preserve"> (Ibid</w:t>
      </w:r>
      <w:r w:rsidR="004B47AB" w:rsidRPr="0027666F">
        <w:rPr>
          <w:rFonts w:ascii="Garamond" w:hAnsi="Garamond"/>
        </w:rPr>
        <w:t>)</w:t>
      </w:r>
      <w:r w:rsidR="00CB0D00" w:rsidRPr="0027666F">
        <w:rPr>
          <w:rFonts w:ascii="Garamond" w:hAnsi="Garamond"/>
        </w:rPr>
        <w:t xml:space="preserve">. </w:t>
      </w:r>
    </w:p>
    <w:p w14:paraId="11B3FBC5" w14:textId="40CE766E" w:rsidR="00CB0D00" w:rsidRPr="0027666F" w:rsidRDefault="00CB0D00" w:rsidP="007E5021">
      <w:pPr>
        <w:tabs>
          <w:tab w:val="left" w:pos="1961"/>
        </w:tabs>
        <w:rPr>
          <w:rFonts w:ascii="Garamond" w:hAnsi="Garamond"/>
        </w:rPr>
      </w:pPr>
    </w:p>
    <w:p w14:paraId="0E143F5A" w14:textId="4E5AC85A" w:rsidR="007E5021" w:rsidRPr="0027666F" w:rsidRDefault="00F02FAB" w:rsidP="002C719E">
      <w:pPr>
        <w:tabs>
          <w:tab w:val="left" w:pos="1961"/>
        </w:tabs>
        <w:rPr>
          <w:rFonts w:ascii="Garamond" w:hAnsi="Garamond"/>
        </w:rPr>
      </w:pPr>
      <w:r w:rsidRPr="0027666F">
        <w:rPr>
          <w:rFonts w:ascii="Garamond" w:hAnsi="Garamond"/>
        </w:rPr>
        <w:t>Another example is the role of the Stasi archives in East Germany’s democratic transition</w:t>
      </w:r>
      <w:r w:rsidR="004B47AB" w:rsidRPr="0027666F">
        <w:rPr>
          <w:rFonts w:ascii="Garamond" w:hAnsi="Garamond"/>
        </w:rPr>
        <w:fldChar w:fldCharType="begin"/>
      </w:r>
      <w:r w:rsidR="004B47AB" w:rsidRPr="0027666F">
        <w:rPr>
          <w:rFonts w:ascii="Garamond" w:hAnsi="Garamond"/>
        </w:rPr>
        <w:instrText xml:space="preserve"> ADDIN EN.CITE &lt;EndNote&gt;&lt;Cite&gt;&lt;Author&gt;Bruce&lt;/Author&gt;&lt;Year&gt;2009&lt;/Year&gt;&lt;RecNum&gt;265&lt;/RecNum&gt;&lt;record&gt;&lt;rec-number&gt;265&lt;/rec-number&gt;&lt;foreign-keys&gt;&lt;key app="EN" db-id="0rewstxe3sdfepeps9f5xrt55srrdw2s5r9x" timestamp="1539182937"&gt;265&lt;/key&gt;&lt;/foreign-keys&gt;&lt;ref-type name="Book Section"&gt;5&lt;/ref-type&gt;&lt;contributors&gt;&lt;authors&gt;&lt;author&gt;Bruce, Gary&lt;/author&gt;&lt;/authors&gt;&lt;secondary-authors&gt;&lt;author&gt;Stan, Lavinia&lt;/author&gt;&lt;/secondary-authors&gt;&lt;/contributors&gt;&lt;titles&gt;&lt;title&gt;East Germany&lt;/title&gt;&lt;secondary-title&gt;Transitional Justice in Eastern Europe and the Former Soviet Union: Reckoning with the communist past&lt;/secondary-title&gt;&lt;/titles&gt;&lt;pages&gt;15-37&lt;/pages&gt;&lt;keywords&gt;&lt;keyword&gt;Stasi&lt;/keyword&gt;&lt;keyword&gt;Germany&lt;/keyword&gt;&lt;keyword&gt;Archives&lt;/keyword&gt;&lt;keyword&gt;Transitional Justice&lt;/keyword&gt;&lt;/keywords&gt;&lt;dates&gt;&lt;year&gt;2009&lt;/year&gt;&lt;/dates&gt;&lt;pub-location&gt;London&lt;/pub-location&gt;&lt;publisher&gt;Routledge&lt;/publisher&gt;&lt;urls&gt;&lt;/urls&gt;&lt;/record&gt;&lt;/Cite&gt;&lt;/EndNote&gt;</w:instrText>
      </w:r>
      <w:r w:rsidR="004B47AB" w:rsidRPr="0027666F">
        <w:rPr>
          <w:rFonts w:ascii="Garamond" w:hAnsi="Garamond"/>
        </w:rPr>
        <w:fldChar w:fldCharType="end"/>
      </w:r>
      <w:r w:rsidR="004B47AB" w:rsidRPr="0027666F">
        <w:rPr>
          <w:rFonts w:ascii="Garamond" w:hAnsi="Garamond"/>
        </w:rPr>
        <w:t xml:space="preserve"> (Bruce 2009, 15-37)</w:t>
      </w:r>
      <w:r w:rsidRPr="0027666F">
        <w:rPr>
          <w:rFonts w:ascii="Garamond" w:hAnsi="Garamond"/>
        </w:rPr>
        <w:t xml:space="preserve">. As </w:t>
      </w:r>
      <w:r w:rsidR="00CB0D00" w:rsidRPr="0027666F">
        <w:rPr>
          <w:rFonts w:ascii="Garamond" w:hAnsi="Garamond"/>
        </w:rPr>
        <w:t xml:space="preserve">the German Democratic </w:t>
      </w:r>
      <w:r w:rsidRPr="0027666F">
        <w:rPr>
          <w:rFonts w:ascii="Garamond" w:hAnsi="Garamond"/>
        </w:rPr>
        <w:t>R</w:t>
      </w:r>
      <w:r w:rsidR="00CB0D00" w:rsidRPr="0027666F">
        <w:rPr>
          <w:rFonts w:ascii="Garamond" w:hAnsi="Garamond"/>
        </w:rPr>
        <w:t>epublic</w:t>
      </w:r>
      <w:r w:rsidRPr="0027666F">
        <w:rPr>
          <w:rFonts w:ascii="Garamond" w:hAnsi="Garamond"/>
        </w:rPr>
        <w:t xml:space="preserve"> (GD</w:t>
      </w:r>
      <w:r w:rsidR="004B47AB" w:rsidRPr="0027666F">
        <w:rPr>
          <w:rFonts w:ascii="Garamond" w:hAnsi="Garamond"/>
        </w:rPr>
        <w:t>R)</w:t>
      </w:r>
      <w:r w:rsidR="00CB0D00" w:rsidRPr="0027666F">
        <w:rPr>
          <w:rFonts w:ascii="Garamond" w:hAnsi="Garamond"/>
        </w:rPr>
        <w:t xml:space="preserve"> collapsed in 19</w:t>
      </w:r>
      <w:r w:rsidR="008C3E3E" w:rsidRPr="0027666F">
        <w:rPr>
          <w:rFonts w:ascii="Garamond" w:hAnsi="Garamond"/>
        </w:rPr>
        <w:t xml:space="preserve">90, the opening of the archives of the East German state, and especially the Stasi’s archives, became symbolic of an other wise absent justice. </w:t>
      </w:r>
      <w:r w:rsidRPr="0027666F">
        <w:rPr>
          <w:rFonts w:ascii="Garamond" w:hAnsi="Garamond"/>
        </w:rPr>
        <w:t>Indeed,</w:t>
      </w:r>
      <w:r w:rsidR="008C3E3E" w:rsidRPr="0027666F">
        <w:rPr>
          <w:rFonts w:ascii="Garamond" w:hAnsi="Garamond"/>
        </w:rPr>
        <w:t xml:space="preserve"> one of the </w:t>
      </w:r>
      <w:r w:rsidRPr="0027666F">
        <w:rPr>
          <w:rFonts w:ascii="Garamond" w:hAnsi="Garamond"/>
        </w:rPr>
        <w:t xml:space="preserve">protestors </w:t>
      </w:r>
      <w:r w:rsidR="008C3E3E" w:rsidRPr="0027666F">
        <w:rPr>
          <w:rFonts w:ascii="Garamond" w:hAnsi="Garamond"/>
        </w:rPr>
        <w:t xml:space="preserve">first moves as it became apparent that the </w:t>
      </w:r>
      <w:r w:rsidRPr="0027666F">
        <w:rPr>
          <w:rFonts w:ascii="Garamond" w:hAnsi="Garamond"/>
        </w:rPr>
        <w:t>GDR</w:t>
      </w:r>
      <w:r w:rsidR="008C3E3E" w:rsidRPr="0027666F">
        <w:rPr>
          <w:rFonts w:ascii="Garamond" w:hAnsi="Garamond"/>
        </w:rPr>
        <w:t xml:space="preserve"> was at an end, was to occupy </w:t>
      </w:r>
      <w:r w:rsidRPr="0027666F">
        <w:rPr>
          <w:rFonts w:ascii="Garamond" w:hAnsi="Garamond"/>
        </w:rPr>
        <w:t>government</w:t>
      </w:r>
      <w:r w:rsidR="008C3E3E" w:rsidRPr="0027666F">
        <w:rPr>
          <w:rFonts w:ascii="Garamond" w:hAnsi="Garamond"/>
        </w:rPr>
        <w:t xml:space="preserve"> buildings to prevent the destruction of the archive. As Derrida notes, the physicality of the archive is key to its power, and so the occupation of the archive was important in the dismantling of the Stasi state and signified the </w:t>
      </w:r>
      <w:r w:rsidR="006B30FD" w:rsidRPr="0027666F">
        <w:rPr>
          <w:rFonts w:ascii="Garamond" w:hAnsi="Garamond"/>
        </w:rPr>
        <w:t>beginning</w:t>
      </w:r>
      <w:r w:rsidR="008C3E3E" w:rsidRPr="0027666F">
        <w:rPr>
          <w:rFonts w:ascii="Garamond" w:hAnsi="Garamond"/>
        </w:rPr>
        <w:t xml:space="preserve"> of a new form of community.  </w:t>
      </w:r>
      <w:r w:rsidR="00716D4D" w:rsidRPr="0027666F">
        <w:rPr>
          <w:rFonts w:ascii="Garamond" w:hAnsi="Garamond"/>
        </w:rPr>
        <w:t>In 1991</w:t>
      </w:r>
      <w:r w:rsidR="0006456F">
        <w:rPr>
          <w:rFonts w:ascii="Garamond" w:hAnsi="Garamond"/>
        </w:rPr>
        <w:t>,</w:t>
      </w:r>
      <w:r w:rsidR="00716D4D" w:rsidRPr="0027666F">
        <w:rPr>
          <w:rFonts w:ascii="Garamond" w:hAnsi="Garamond"/>
        </w:rPr>
        <w:t xml:space="preserve"> </w:t>
      </w:r>
      <w:r w:rsidR="00186ECE" w:rsidRPr="0027666F">
        <w:rPr>
          <w:rFonts w:ascii="Garamond" w:hAnsi="Garamond"/>
        </w:rPr>
        <w:t xml:space="preserve">the German Bundestag </w:t>
      </w:r>
      <w:r w:rsidR="00716D4D" w:rsidRPr="0027666F">
        <w:rPr>
          <w:rFonts w:ascii="Garamond" w:hAnsi="Garamond"/>
        </w:rPr>
        <w:t>passe</w:t>
      </w:r>
      <w:r w:rsidR="00186ECE" w:rsidRPr="0027666F">
        <w:rPr>
          <w:rFonts w:ascii="Garamond" w:hAnsi="Garamond"/>
        </w:rPr>
        <w:t>d</w:t>
      </w:r>
      <w:r w:rsidR="00716D4D" w:rsidRPr="0027666F">
        <w:rPr>
          <w:rFonts w:ascii="Garamond" w:hAnsi="Garamond"/>
        </w:rPr>
        <w:t xml:space="preserve"> the Stasi records act, allowing every citizen to access their own records</w:t>
      </w:r>
      <w:r w:rsidR="004B47AB" w:rsidRPr="0027666F">
        <w:rPr>
          <w:rFonts w:ascii="Garamond" w:hAnsi="Garamond"/>
        </w:rPr>
        <w:t xml:space="preserve"> (Knigge 2011</w:t>
      </w:r>
      <w:r w:rsidR="004B47AB" w:rsidRPr="0027666F">
        <w:rPr>
          <w:rFonts w:ascii="Garamond" w:hAnsi="Garamond"/>
        </w:rPr>
        <w:fldChar w:fldCharType="begin"/>
      </w:r>
      <w:r w:rsidR="004B47AB" w:rsidRPr="0027666F">
        <w:rPr>
          <w:rFonts w:ascii="Garamond" w:hAnsi="Garamond"/>
        </w:rPr>
        <w:instrText xml:space="preserve"> ADDIN EN.CITE &lt;EndNote&gt;&lt;Cite&gt;&lt;Author&gt;Knigge&lt;/Author&gt;&lt;Year&gt;2011&lt;/Year&gt;&lt;RecNum&gt;520&lt;/RecNum&gt;&lt;record&gt;&lt;rec-number&gt;520&lt;/rec-number&gt;&lt;foreign-keys&gt;&lt;key app="EN" db-id="0rewstxe3sdfepeps9f5xrt55srrdw2s5r9x" timestamp="1601049642"&gt;520&lt;/key&gt;&lt;/foreign-keys&gt;&lt;ref-type name="Film or Broadcast"&gt;21&lt;/ref-type&gt;&lt;contributors&gt;&lt;authors&gt;&lt;author&gt;Knigge, Jobst&lt;/author&gt;&lt;/authors&gt;&lt;/contributors&gt;&lt;titles&gt;&lt;title&gt;Experience the Past&lt;/title&gt;&lt;/titles&gt;&lt;dates&gt;&lt;year&gt;2011&lt;/year&gt;&lt;/dates&gt;&lt;pub-location&gt;Germany&lt;/pub-location&gt;&lt;publisher&gt;https://www.bstu.de/en/archives/about-the-archives/#c11883&lt;/publisher&gt;&lt;urls&gt;&lt;related-urls&gt;&lt;url&gt;https://www.bstu.de/en/archives/about-the-archives/#c11883&lt;/url&gt;&lt;/related-urls&gt;&lt;/urls&gt;&lt;/record&gt;&lt;/Cite&gt;&lt;/EndNote&gt;</w:instrText>
      </w:r>
      <w:r w:rsidR="004B47AB" w:rsidRPr="0027666F">
        <w:rPr>
          <w:rFonts w:ascii="Garamond" w:hAnsi="Garamond"/>
        </w:rPr>
        <w:fldChar w:fldCharType="end"/>
      </w:r>
      <w:r w:rsidR="004B47AB" w:rsidRPr="0027666F">
        <w:rPr>
          <w:rFonts w:ascii="Garamond" w:hAnsi="Garamond"/>
        </w:rPr>
        <w:t xml:space="preserve">) </w:t>
      </w:r>
      <w:r w:rsidR="00716D4D" w:rsidRPr="0027666F">
        <w:rPr>
          <w:rFonts w:ascii="Garamond" w:hAnsi="Garamond"/>
        </w:rPr>
        <w:t xml:space="preserve">. </w:t>
      </w:r>
      <w:r w:rsidR="008C3E3E" w:rsidRPr="0027666F">
        <w:rPr>
          <w:rFonts w:ascii="Garamond" w:hAnsi="Garamond"/>
        </w:rPr>
        <w:t xml:space="preserve">The opening of the formerly hidden archives of the secret totalitarian state marked </w:t>
      </w:r>
      <w:r w:rsidR="004B47AB" w:rsidRPr="0027666F">
        <w:rPr>
          <w:rFonts w:ascii="Garamond" w:hAnsi="Garamond"/>
        </w:rPr>
        <w:t>a</w:t>
      </w:r>
      <w:r w:rsidR="008C3E3E" w:rsidRPr="0027666F">
        <w:rPr>
          <w:rFonts w:ascii="Garamond" w:hAnsi="Garamond"/>
        </w:rPr>
        <w:t xml:space="preserve"> rupt</w:t>
      </w:r>
      <w:r w:rsidR="00CA3902" w:rsidRPr="0027666F">
        <w:rPr>
          <w:rFonts w:ascii="Garamond" w:hAnsi="Garamond"/>
        </w:rPr>
        <w:t>ure</w:t>
      </w:r>
      <w:r w:rsidR="008C3E3E" w:rsidRPr="0027666F">
        <w:rPr>
          <w:rFonts w:ascii="Garamond" w:hAnsi="Garamond"/>
        </w:rPr>
        <w:t xml:space="preserve"> in the relationship between citizen and state. </w:t>
      </w:r>
      <w:r w:rsidR="00CA3902" w:rsidRPr="0027666F">
        <w:rPr>
          <w:rFonts w:ascii="Garamond" w:hAnsi="Garamond"/>
        </w:rPr>
        <w:t xml:space="preserve">Interestingly, however, the archive </w:t>
      </w:r>
      <w:r w:rsidR="00071B3A" w:rsidRPr="0027666F">
        <w:rPr>
          <w:rFonts w:ascii="Garamond" w:hAnsi="Garamond"/>
        </w:rPr>
        <w:t>also evolve</w:t>
      </w:r>
      <w:r w:rsidRPr="0027666F">
        <w:rPr>
          <w:rFonts w:ascii="Garamond" w:hAnsi="Garamond"/>
        </w:rPr>
        <w:t>d</w:t>
      </w:r>
      <w:r w:rsidR="00071B3A" w:rsidRPr="0027666F">
        <w:rPr>
          <w:rFonts w:ascii="Garamond" w:hAnsi="Garamond"/>
        </w:rPr>
        <w:t xml:space="preserve"> as it </w:t>
      </w:r>
      <w:r w:rsidRPr="0027666F">
        <w:rPr>
          <w:rFonts w:ascii="Garamond" w:hAnsi="Garamond"/>
        </w:rPr>
        <w:t>became</w:t>
      </w:r>
      <w:r w:rsidR="00CA3902" w:rsidRPr="0027666F">
        <w:rPr>
          <w:rFonts w:ascii="Garamond" w:hAnsi="Garamond"/>
        </w:rPr>
        <w:t xml:space="preserve"> representative of this </w:t>
      </w:r>
      <w:r w:rsidR="00071B3A" w:rsidRPr="0027666F">
        <w:rPr>
          <w:rFonts w:ascii="Garamond" w:hAnsi="Garamond"/>
        </w:rPr>
        <w:t xml:space="preserve">new state. </w:t>
      </w:r>
      <w:r w:rsidR="0006456F">
        <w:rPr>
          <w:rFonts w:ascii="Garamond" w:hAnsi="Garamond"/>
        </w:rPr>
        <w:t>Now part</w:t>
      </w:r>
      <w:r w:rsidR="00CA3902" w:rsidRPr="0027666F">
        <w:rPr>
          <w:rFonts w:ascii="Garamond" w:hAnsi="Garamond"/>
        </w:rPr>
        <w:t xml:space="preserve"> of the new democratic German state,</w:t>
      </w:r>
      <w:r w:rsidR="00071B3A" w:rsidRPr="0027666F">
        <w:rPr>
          <w:rFonts w:ascii="Garamond" w:hAnsi="Garamond"/>
        </w:rPr>
        <w:t xml:space="preserve"> files are redacted to protect the anonymity of those it names</w:t>
      </w:r>
      <w:r w:rsidR="004B47AB" w:rsidRPr="0027666F">
        <w:rPr>
          <w:rFonts w:ascii="Garamond" w:hAnsi="Garamond"/>
        </w:rPr>
        <w:t xml:space="preserve"> (Ibid)</w:t>
      </w:r>
      <w:r w:rsidR="00071B3A" w:rsidRPr="0027666F">
        <w:rPr>
          <w:rFonts w:ascii="Garamond" w:hAnsi="Garamond"/>
        </w:rPr>
        <w:t xml:space="preserve">, </w:t>
      </w:r>
      <w:r w:rsidR="00A01869" w:rsidRPr="0027666F">
        <w:rPr>
          <w:rFonts w:ascii="Garamond" w:hAnsi="Garamond"/>
        </w:rPr>
        <w:t>marking</w:t>
      </w:r>
      <w:r w:rsidR="00071B3A" w:rsidRPr="0027666F">
        <w:rPr>
          <w:rFonts w:ascii="Garamond" w:hAnsi="Garamond"/>
        </w:rPr>
        <w:t xml:space="preserve"> a limit </w:t>
      </w:r>
      <w:r w:rsidR="006B30FD" w:rsidRPr="0027666F">
        <w:rPr>
          <w:rFonts w:ascii="Garamond" w:hAnsi="Garamond"/>
        </w:rPr>
        <w:t xml:space="preserve">to the state’s power to </w:t>
      </w:r>
      <w:r w:rsidR="00071B3A" w:rsidRPr="0027666F">
        <w:rPr>
          <w:rFonts w:ascii="Garamond" w:hAnsi="Garamond"/>
        </w:rPr>
        <w:t>survey and intervene in citizens</w:t>
      </w:r>
      <w:r w:rsidR="006B30FD" w:rsidRPr="0027666F">
        <w:rPr>
          <w:rFonts w:ascii="Garamond" w:hAnsi="Garamond"/>
        </w:rPr>
        <w:t xml:space="preserve">’ lives. </w:t>
      </w:r>
    </w:p>
    <w:p w14:paraId="71EF50B5" w14:textId="7290039D" w:rsidR="00CA3902" w:rsidRPr="0027666F" w:rsidRDefault="00CA3902" w:rsidP="002C719E">
      <w:pPr>
        <w:tabs>
          <w:tab w:val="left" w:pos="1961"/>
        </w:tabs>
        <w:rPr>
          <w:rFonts w:ascii="Garamond" w:hAnsi="Garamond"/>
        </w:rPr>
      </w:pPr>
    </w:p>
    <w:p w14:paraId="64F0A471" w14:textId="3FEA931A" w:rsidR="002A6643" w:rsidRPr="0027666F" w:rsidRDefault="002A6643" w:rsidP="002A6643">
      <w:pPr>
        <w:rPr>
          <w:rFonts w:ascii="Garamond" w:hAnsi="Garamond"/>
        </w:rPr>
      </w:pPr>
      <w:r w:rsidRPr="0027666F">
        <w:rPr>
          <w:rFonts w:ascii="Garamond" w:hAnsi="Garamond"/>
        </w:rPr>
        <w:t>The archive claims – and indeed relies – on its totalising account of the past</w:t>
      </w:r>
      <w:r w:rsidR="00F02FAB" w:rsidRPr="0027666F">
        <w:rPr>
          <w:rFonts w:ascii="Garamond" w:hAnsi="Garamond"/>
        </w:rPr>
        <w:t xml:space="preserve"> and its ability to guide </w:t>
      </w:r>
      <w:r w:rsidR="006B30FD" w:rsidRPr="0027666F">
        <w:rPr>
          <w:rFonts w:ascii="Garamond" w:hAnsi="Garamond"/>
        </w:rPr>
        <w:t>community</w:t>
      </w:r>
      <w:r w:rsidR="00F02FAB" w:rsidRPr="0027666F">
        <w:rPr>
          <w:rFonts w:ascii="Garamond" w:hAnsi="Garamond"/>
        </w:rPr>
        <w:t xml:space="preserve"> to a just state</w:t>
      </w:r>
      <w:r w:rsidRPr="0027666F">
        <w:rPr>
          <w:rFonts w:ascii="Garamond" w:hAnsi="Garamond"/>
        </w:rPr>
        <w:t>.</w:t>
      </w:r>
      <w:r w:rsidR="00F02FAB" w:rsidRPr="0027666F">
        <w:rPr>
          <w:rFonts w:ascii="Garamond" w:hAnsi="Garamond"/>
        </w:rPr>
        <w:t xml:space="preserve"> T</w:t>
      </w:r>
      <w:r w:rsidRPr="0027666F">
        <w:rPr>
          <w:rFonts w:ascii="Garamond" w:hAnsi="Garamond"/>
        </w:rPr>
        <w:t xml:space="preserve">his allure, this promise, of the truth is possibly one why, as the previous section argued, there remains such an affinity between archives and </w:t>
      </w:r>
      <w:r w:rsidR="00F02FAB" w:rsidRPr="0027666F">
        <w:rPr>
          <w:rFonts w:ascii="Garamond" w:hAnsi="Garamond"/>
        </w:rPr>
        <w:t>the processes and normative ideas of transitional justice.</w:t>
      </w:r>
      <w:r w:rsidRPr="0027666F">
        <w:rPr>
          <w:rFonts w:ascii="Garamond" w:hAnsi="Garamond"/>
        </w:rPr>
        <w:t xml:space="preserve"> </w:t>
      </w:r>
      <w:r w:rsidR="00F02FAB" w:rsidRPr="0027666F">
        <w:rPr>
          <w:rFonts w:ascii="Garamond" w:hAnsi="Garamond"/>
        </w:rPr>
        <w:t xml:space="preserve">However, </w:t>
      </w:r>
      <w:r w:rsidRPr="0027666F">
        <w:rPr>
          <w:rFonts w:ascii="Garamond" w:hAnsi="Garamond"/>
        </w:rPr>
        <w:t xml:space="preserve">as historians and archivists have long been </w:t>
      </w:r>
      <w:r w:rsidR="00F02FAB" w:rsidRPr="0027666F">
        <w:rPr>
          <w:rFonts w:ascii="Garamond" w:hAnsi="Garamond"/>
        </w:rPr>
        <w:t>aware</w:t>
      </w:r>
      <w:r w:rsidRPr="0027666F">
        <w:rPr>
          <w:rFonts w:ascii="Garamond" w:hAnsi="Garamond"/>
        </w:rPr>
        <w:t>, th</w:t>
      </w:r>
      <w:r w:rsidR="00A01869" w:rsidRPr="0027666F">
        <w:rPr>
          <w:rFonts w:ascii="Garamond" w:hAnsi="Garamond"/>
        </w:rPr>
        <w:t>is image of the</w:t>
      </w:r>
      <w:r w:rsidRPr="0027666F">
        <w:rPr>
          <w:rFonts w:ascii="Garamond" w:hAnsi="Garamond"/>
        </w:rPr>
        <w:t xml:space="preserve"> archive conceals the politics of </w:t>
      </w:r>
      <w:r w:rsidR="00A01869" w:rsidRPr="0027666F">
        <w:rPr>
          <w:rFonts w:ascii="Garamond" w:hAnsi="Garamond"/>
        </w:rPr>
        <w:t>archiving</w:t>
      </w:r>
      <w:r w:rsidRPr="0027666F">
        <w:rPr>
          <w:rFonts w:ascii="Garamond" w:hAnsi="Garamond"/>
        </w:rPr>
        <w:t xml:space="preserve"> and the archival drive which</w:t>
      </w:r>
      <w:r w:rsidRPr="0027666F">
        <w:rPr>
          <w:rFonts w:ascii="Garamond" w:hAnsi="Garamond"/>
          <w:i/>
        </w:rPr>
        <w:t xml:space="preserve"> </w:t>
      </w:r>
      <w:r w:rsidRPr="0027666F">
        <w:rPr>
          <w:rFonts w:ascii="Garamond" w:hAnsi="Garamond"/>
        </w:rPr>
        <w:t xml:space="preserve">is, first and foremost, to </w:t>
      </w:r>
      <w:r w:rsidRPr="0027666F">
        <w:rPr>
          <w:rFonts w:ascii="Garamond" w:hAnsi="Garamond"/>
          <w:i/>
        </w:rPr>
        <w:t>exclude</w:t>
      </w:r>
      <w:r w:rsidR="00F02FAB" w:rsidRPr="0027666F">
        <w:rPr>
          <w:rFonts w:ascii="Garamond" w:hAnsi="Garamond"/>
        </w:rPr>
        <w:t xml:space="preserve">, </w:t>
      </w:r>
      <w:r w:rsidR="00B3242F" w:rsidRPr="0027666F">
        <w:rPr>
          <w:rFonts w:ascii="Garamond" w:hAnsi="Garamond"/>
        </w:rPr>
        <w:t>categorise</w:t>
      </w:r>
      <w:r w:rsidR="00F02FAB" w:rsidRPr="0027666F">
        <w:rPr>
          <w:rFonts w:ascii="Garamond" w:hAnsi="Garamond"/>
        </w:rPr>
        <w:t xml:space="preserve">, and discipline. It is to this ‘darker-side’ that the chapter now turns. </w:t>
      </w:r>
    </w:p>
    <w:p w14:paraId="4BC4EC10" w14:textId="6E184599" w:rsidR="008A0C7B" w:rsidRPr="0027666F" w:rsidRDefault="008A0C7B" w:rsidP="008A0C7B">
      <w:pPr>
        <w:rPr>
          <w:rFonts w:ascii="Garamond" w:hAnsi="Garamond"/>
        </w:rPr>
      </w:pPr>
    </w:p>
    <w:p w14:paraId="3432DE44" w14:textId="483263A1" w:rsidR="001C0E29" w:rsidRPr="0027666F" w:rsidRDefault="001C0E29" w:rsidP="00260796">
      <w:pPr>
        <w:pStyle w:val="Heading1"/>
        <w:rPr>
          <w:rFonts w:ascii="Garamond" w:hAnsi="Garamond"/>
        </w:rPr>
      </w:pPr>
      <w:r w:rsidRPr="0027666F">
        <w:rPr>
          <w:rFonts w:ascii="Garamond" w:hAnsi="Garamond"/>
        </w:rPr>
        <w:t>Archives as</w:t>
      </w:r>
      <w:r w:rsidR="00BC7945" w:rsidRPr="0027666F">
        <w:rPr>
          <w:rFonts w:ascii="Garamond" w:hAnsi="Garamond"/>
        </w:rPr>
        <w:t xml:space="preserve"> Community and</w:t>
      </w:r>
      <w:r w:rsidRPr="0027666F">
        <w:rPr>
          <w:rFonts w:ascii="Garamond" w:hAnsi="Garamond"/>
        </w:rPr>
        <w:t xml:space="preserve"> Governance</w:t>
      </w:r>
    </w:p>
    <w:p w14:paraId="2E76CB1E" w14:textId="536592D6" w:rsidR="00DD16CE" w:rsidRPr="0027666F" w:rsidRDefault="00DD16CE" w:rsidP="005E2565">
      <w:pPr>
        <w:rPr>
          <w:rFonts w:ascii="Garamond" w:hAnsi="Garamond"/>
        </w:rPr>
      </w:pPr>
    </w:p>
    <w:p w14:paraId="5279D0FE" w14:textId="01807AF1" w:rsidR="002A6643" w:rsidRPr="0027666F" w:rsidRDefault="00E548B1" w:rsidP="00394892">
      <w:pPr>
        <w:rPr>
          <w:rFonts w:ascii="Garamond" w:hAnsi="Garamond"/>
        </w:rPr>
      </w:pPr>
      <w:r w:rsidRPr="0027666F">
        <w:rPr>
          <w:rFonts w:ascii="Garamond" w:hAnsi="Garamond"/>
        </w:rPr>
        <w:t xml:space="preserve">As this section demonstrates, archives have always </w:t>
      </w:r>
      <w:r w:rsidR="004C4FE3" w:rsidRPr="0027666F">
        <w:rPr>
          <w:rFonts w:ascii="Garamond" w:hAnsi="Garamond"/>
        </w:rPr>
        <w:t xml:space="preserve">played a role in the formation of community, and have </w:t>
      </w:r>
      <w:r w:rsidRPr="0027666F">
        <w:rPr>
          <w:rFonts w:ascii="Garamond" w:hAnsi="Garamond"/>
        </w:rPr>
        <w:t xml:space="preserve">maintained a close relationship with the state and </w:t>
      </w:r>
      <w:r w:rsidR="002A6643" w:rsidRPr="0027666F">
        <w:rPr>
          <w:rFonts w:ascii="Garamond" w:hAnsi="Garamond"/>
        </w:rPr>
        <w:t xml:space="preserve">practices of </w:t>
      </w:r>
      <w:r w:rsidRPr="0027666F">
        <w:rPr>
          <w:rFonts w:ascii="Garamond" w:hAnsi="Garamond"/>
        </w:rPr>
        <w:t>governance</w:t>
      </w:r>
      <w:r w:rsidR="004C4FE3" w:rsidRPr="0027666F">
        <w:rPr>
          <w:rFonts w:ascii="Garamond" w:hAnsi="Garamond"/>
        </w:rPr>
        <w:t xml:space="preserve">. This </w:t>
      </w:r>
      <w:r w:rsidRPr="0027666F">
        <w:rPr>
          <w:rFonts w:ascii="Garamond" w:hAnsi="Garamond"/>
        </w:rPr>
        <w:t xml:space="preserve">should perhaps bring a degree of caution </w:t>
      </w:r>
      <w:r w:rsidR="00751C3F" w:rsidRPr="0027666F">
        <w:rPr>
          <w:rFonts w:ascii="Garamond" w:hAnsi="Garamond"/>
        </w:rPr>
        <w:t>about</w:t>
      </w:r>
      <w:r w:rsidRPr="0027666F">
        <w:rPr>
          <w:rFonts w:ascii="Garamond" w:hAnsi="Garamond"/>
        </w:rPr>
        <w:t xml:space="preserve"> any assumed link between the archive and justice. </w:t>
      </w:r>
      <w:r w:rsidR="002A6643" w:rsidRPr="0027666F">
        <w:rPr>
          <w:rFonts w:ascii="Garamond" w:hAnsi="Garamond"/>
        </w:rPr>
        <w:t>Indeed, historian</w:t>
      </w:r>
      <w:r w:rsidR="00751C3F" w:rsidRPr="0027666F">
        <w:rPr>
          <w:rFonts w:ascii="Garamond" w:hAnsi="Garamond"/>
        </w:rPr>
        <w:t>s</w:t>
      </w:r>
      <w:r w:rsidR="002A6643" w:rsidRPr="0027666F">
        <w:rPr>
          <w:rFonts w:ascii="Garamond" w:hAnsi="Garamond"/>
        </w:rPr>
        <w:t xml:space="preserve">, archivists and post-colonial scholars have long been aware that </w:t>
      </w:r>
      <w:r w:rsidR="000E46F8" w:rsidRPr="0027666F">
        <w:rPr>
          <w:rFonts w:ascii="Garamond" w:hAnsi="Garamond"/>
        </w:rPr>
        <w:t>there is a</w:t>
      </w:r>
      <w:r w:rsidR="002A6643" w:rsidRPr="0027666F">
        <w:rPr>
          <w:rFonts w:ascii="Garamond" w:hAnsi="Garamond"/>
        </w:rPr>
        <w:t xml:space="preserve"> darker side</w:t>
      </w:r>
      <w:r w:rsidR="000E46F8" w:rsidRPr="0027666F">
        <w:rPr>
          <w:rFonts w:ascii="Garamond" w:hAnsi="Garamond"/>
        </w:rPr>
        <w:t xml:space="preserve"> to the archive</w:t>
      </w:r>
      <w:r w:rsidR="002A6643" w:rsidRPr="0027666F">
        <w:rPr>
          <w:rFonts w:ascii="Garamond" w:hAnsi="Garamond"/>
        </w:rPr>
        <w:t xml:space="preserve">, or as Derrida calls it, a </w:t>
      </w:r>
      <w:r w:rsidR="002A6643" w:rsidRPr="0027666F">
        <w:rPr>
          <w:rFonts w:ascii="Garamond" w:hAnsi="Garamond"/>
          <w:i/>
        </w:rPr>
        <w:t xml:space="preserve">sickness. </w:t>
      </w:r>
      <w:r w:rsidR="002A6643" w:rsidRPr="0027666F">
        <w:rPr>
          <w:rFonts w:ascii="Garamond" w:hAnsi="Garamond"/>
        </w:rPr>
        <w:t>This section examines these ideas as a way both of emphasising the importance of the archive as site in which community is produced</w:t>
      </w:r>
      <w:r w:rsidR="000E46F8" w:rsidRPr="0027666F">
        <w:rPr>
          <w:rFonts w:ascii="Garamond" w:hAnsi="Garamond"/>
        </w:rPr>
        <w:t xml:space="preserve"> and governed</w:t>
      </w:r>
      <w:r w:rsidR="00751C3F" w:rsidRPr="0027666F">
        <w:rPr>
          <w:rFonts w:ascii="Garamond" w:hAnsi="Garamond"/>
        </w:rPr>
        <w:t xml:space="preserve"> (and so potentially an ally to transition)</w:t>
      </w:r>
      <w:r w:rsidR="002A6643" w:rsidRPr="0027666F">
        <w:rPr>
          <w:rFonts w:ascii="Garamond" w:hAnsi="Garamond"/>
        </w:rPr>
        <w:t xml:space="preserve">, but also to bring caution to notion that archives are sites of justice. It does so in three parts. The first considers the archival drive as a tool of nationalist governance. The second considers the exclusionary nature of the archive and the effect this has on the transitional process and the third considers the question of voice in the archive, and asks </w:t>
      </w:r>
      <w:r w:rsidR="002A6643" w:rsidRPr="0027666F">
        <w:rPr>
          <w:rFonts w:ascii="Garamond" w:hAnsi="Garamond"/>
          <w:i/>
        </w:rPr>
        <w:t xml:space="preserve">whose voice </w:t>
      </w:r>
      <w:r w:rsidR="002A6643" w:rsidRPr="0027666F">
        <w:rPr>
          <w:rFonts w:ascii="Garamond" w:hAnsi="Garamond"/>
        </w:rPr>
        <w:t xml:space="preserve">is recorded. </w:t>
      </w:r>
    </w:p>
    <w:p w14:paraId="7AFCE5FD" w14:textId="531012CB" w:rsidR="002A6643" w:rsidRPr="0027666F" w:rsidRDefault="002A6643" w:rsidP="00394892">
      <w:pPr>
        <w:rPr>
          <w:rFonts w:ascii="Garamond" w:hAnsi="Garamond"/>
        </w:rPr>
      </w:pPr>
    </w:p>
    <w:p w14:paraId="2AADE790" w14:textId="799B5EF4" w:rsidR="002A6643" w:rsidRPr="0027666F" w:rsidRDefault="002A6643" w:rsidP="00260796">
      <w:pPr>
        <w:pStyle w:val="Heading2"/>
      </w:pPr>
      <w:r w:rsidRPr="0027666F">
        <w:t xml:space="preserve">Nationalism and the </w:t>
      </w:r>
      <w:r w:rsidR="00866CA4">
        <w:t>A</w:t>
      </w:r>
      <w:r w:rsidRPr="0027666F">
        <w:t>rchive.</w:t>
      </w:r>
    </w:p>
    <w:p w14:paraId="32391AEE" w14:textId="53CAE0DF" w:rsidR="002A6643" w:rsidRPr="0027666F" w:rsidRDefault="002A6643" w:rsidP="00394892">
      <w:pPr>
        <w:rPr>
          <w:rFonts w:ascii="Garamond" w:hAnsi="Garamond"/>
          <w:i/>
        </w:rPr>
      </w:pPr>
    </w:p>
    <w:p w14:paraId="3E81245B" w14:textId="30C46D9F" w:rsidR="00853DC4" w:rsidRPr="0027666F" w:rsidRDefault="00853DC4" w:rsidP="00853DC4">
      <w:pPr>
        <w:rPr>
          <w:rFonts w:ascii="Garamond" w:hAnsi="Garamond"/>
          <w:lang w:val="en-US"/>
        </w:rPr>
      </w:pPr>
      <w:r w:rsidRPr="0027666F">
        <w:rPr>
          <w:rFonts w:ascii="Garamond" w:hAnsi="Garamond"/>
        </w:rPr>
        <w:t xml:space="preserve">As the emergence of the archive with the magistrates of ancient Greece suggests, the archive has always been intimately connected to the governance of populations and the constitution of the state. </w:t>
      </w:r>
      <w:r w:rsidRPr="0027666F">
        <w:rPr>
          <w:rFonts w:ascii="Garamond" w:hAnsi="Garamond"/>
          <w:lang w:val="en-US"/>
        </w:rPr>
        <w:t xml:space="preserve">Turning to the institutional history of archives demonstrates this link further </w:t>
      </w:r>
      <w:r w:rsidR="00751C3F" w:rsidRPr="0027666F">
        <w:rPr>
          <w:rFonts w:ascii="Garamond" w:hAnsi="Garamond"/>
          <w:lang w:val="en-US"/>
        </w:rPr>
        <w:t>as</w:t>
      </w:r>
      <w:r w:rsidRPr="0027666F">
        <w:rPr>
          <w:rFonts w:ascii="Garamond" w:hAnsi="Garamond"/>
          <w:lang w:val="en-US"/>
        </w:rPr>
        <w:t>, especially from the eighteenth century onwards, archives</w:t>
      </w:r>
      <w:r w:rsidR="00751C3F" w:rsidRPr="0027666F">
        <w:rPr>
          <w:rFonts w:ascii="Garamond" w:hAnsi="Garamond"/>
          <w:lang w:val="en-US"/>
        </w:rPr>
        <w:t xml:space="preserve"> across Europe</w:t>
      </w:r>
      <w:r w:rsidRPr="0027666F">
        <w:rPr>
          <w:rFonts w:ascii="Garamond" w:hAnsi="Garamond"/>
          <w:lang w:val="en-US"/>
        </w:rPr>
        <w:t xml:space="preserve"> played a role in rendering populations governable and producing identities and norms – of the individual, collective and nation</w:t>
      </w:r>
      <w:r w:rsidR="005C5758" w:rsidRPr="0027666F">
        <w:rPr>
          <w:rFonts w:ascii="Garamond" w:hAnsi="Garamond"/>
          <w:lang w:val="en-US"/>
        </w:rPr>
        <w:t xml:space="preserve"> (Steedman 2001, 1159-63</w:t>
      </w:r>
      <w:r w:rsidR="005C5758" w:rsidRPr="0027666F">
        <w:rPr>
          <w:rFonts w:ascii="Garamond" w:hAnsi="Garamond"/>
          <w:lang w:val="en-US"/>
        </w:rPr>
        <w:fldChar w:fldCharType="begin"/>
      </w:r>
      <w:r w:rsidR="005C5758" w:rsidRPr="0027666F">
        <w:rPr>
          <w:rFonts w:ascii="Garamond" w:hAnsi="Garamond"/>
          <w:lang w:val="en-US"/>
        </w:rPr>
        <w:instrText xml:space="preserve"> ADDIN EN.CITE &lt;EndNote&gt;&lt;Cite&gt;&lt;Author&gt;Steedman&lt;/Author&gt;&lt;Year&gt;2001&lt;/Year&gt;&lt;RecNum&gt;242&lt;/RecNum&gt;&lt;record&gt;&lt;rec-number&gt;242&lt;/rec-number&gt;&lt;foreign-keys&gt;&lt;key app="EN" db-id="0rewstxe3sdfepeps9f5xrt55srrdw2s5r9x" timestamp="1538643642"&gt;242&lt;/key&gt;&lt;/foreign-keys&gt;&lt;ref-type name="Journal Article"&gt;17&lt;/ref-type&gt;&lt;contributors&gt;&lt;authors&gt;&lt;author&gt;Steedman, Carolyn&lt;/author&gt;&lt;/authors&gt;&lt;/contributors&gt;&lt;titles&gt;&lt;title&gt;Something She Called a Fever: Michelet, Derrida, and Dust&lt;/title&gt;&lt;secondary-title&gt;The American History Review &lt;/secondary-title&gt;&lt;short-title&gt;Something She Called a Fever&lt;/short-title&gt;&lt;/titles&gt;&lt;pages&gt;1159-1180&lt;/pages&gt;&lt;volume&gt;106&lt;/volume&gt;&lt;number&gt;4&lt;/number&gt;&lt;keywords&gt;&lt;keyword&gt;Critical&lt;/keyword&gt;&lt;keyword&gt;Theory&lt;/keyword&gt;&lt;keyword&gt;Archive&lt;/keyword&gt;&lt;keyword&gt;Derrida&lt;/keyword&gt;&lt;/keywords&gt;&lt;dates&gt;&lt;year&gt;2001&lt;/year&gt;&lt;/dates&gt;&lt;urls&gt;&lt;/urls&gt;&lt;/record&gt;&lt;/Cite&gt;&lt;/EndNote&gt;</w:instrText>
      </w:r>
      <w:r w:rsidR="005C5758" w:rsidRPr="0027666F">
        <w:rPr>
          <w:rFonts w:ascii="Garamond" w:hAnsi="Garamond"/>
          <w:lang w:val="en-US"/>
        </w:rPr>
        <w:fldChar w:fldCharType="end"/>
      </w:r>
      <w:r w:rsidR="005C5758" w:rsidRPr="0027666F">
        <w:rPr>
          <w:rFonts w:ascii="Garamond" w:hAnsi="Garamond"/>
          <w:lang w:val="en-US"/>
        </w:rPr>
        <w:t>)</w:t>
      </w:r>
      <w:r w:rsidRPr="0027666F">
        <w:rPr>
          <w:rFonts w:ascii="Garamond" w:hAnsi="Garamond"/>
          <w:lang w:val="en-US"/>
        </w:rPr>
        <w:t>.</w:t>
      </w:r>
      <w:r w:rsidR="00751C3F" w:rsidRPr="0027666F">
        <w:rPr>
          <w:rFonts w:ascii="Garamond" w:hAnsi="Garamond"/>
          <w:lang w:val="en-US"/>
        </w:rPr>
        <w:t xml:space="preserve"> </w:t>
      </w:r>
      <w:r w:rsidRPr="0027666F">
        <w:rPr>
          <w:rFonts w:ascii="Garamond" w:hAnsi="Garamond"/>
          <w:lang w:val="en-US"/>
        </w:rPr>
        <w:t xml:space="preserve">One of the problems for the modern European state throughout this time was how to control an ever-growing population </w:t>
      </w:r>
      <w:r w:rsidR="000E46F8" w:rsidRPr="0027666F">
        <w:rPr>
          <w:rFonts w:ascii="Garamond" w:hAnsi="Garamond"/>
          <w:lang w:val="en-US"/>
        </w:rPr>
        <w:t>that was increasingly both more inter-</w:t>
      </w:r>
      <w:r w:rsidRPr="0027666F">
        <w:rPr>
          <w:rFonts w:ascii="Garamond" w:hAnsi="Garamond"/>
          <w:lang w:val="en-US"/>
        </w:rPr>
        <w:t xml:space="preserve">connected </w:t>
      </w:r>
      <w:r w:rsidR="000E46F8" w:rsidRPr="0027666F">
        <w:rPr>
          <w:rFonts w:ascii="Garamond" w:hAnsi="Garamond"/>
          <w:lang w:val="en-US"/>
        </w:rPr>
        <w:t xml:space="preserve">and </w:t>
      </w:r>
      <w:r w:rsidRPr="0027666F">
        <w:rPr>
          <w:rFonts w:ascii="Garamond" w:hAnsi="Garamond"/>
          <w:lang w:val="en-US"/>
        </w:rPr>
        <w:t>secular</w:t>
      </w:r>
      <w:r w:rsidR="000E46F8" w:rsidRPr="0027666F">
        <w:rPr>
          <w:rFonts w:ascii="Garamond" w:hAnsi="Garamond"/>
          <w:lang w:val="en-US"/>
        </w:rPr>
        <w:t xml:space="preserve">, which meant that the </w:t>
      </w:r>
      <w:r w:rsidRPr="0027666F">
        <w:rPr>
          <w:rFonts w:ascii="Garamond" w:hAnsi="Garamond"/>
          <w:lang w:val="en-US"/>
        </w:rPr>
        <w:t xml:space="preserve">sovereign’s divinity no longer meant automatic loyalty to the state. Nationalism was an important technique in this respect, and archives played a </w:t>
      </w:r>
      <w:r w:rsidR="00751C3F" w:rsidRPr="0027666F">
        <w:rPr>
          <w:rFonts w:ascii="Garamond" w:hAnsi="Garamond"/>
          <w:lang w:val="en-US"/>
        </w:rPr>
        <w:t>crucial</w:t>
      </w:r>
      <w:r w:rsidRPr="0027666F">
        <w:rPr>
          <w:rFonts w:ascii="Garamond" w:hAnsi="Garamond"/>
          <w:lang w:val="en-US"/>
        </w:rPr>
        <w:t xml:space="preserve"> role in constructing a shared identity through the collection and consignation of objects that produced a sense of the nation’s past - its identity</w:t>
      </w:r>
      <w:r w:rsidR="005C5758" w:rsidRPr="0027666F">
        <w:rPr>
          <w:rFonts w:ascii="Garamond" w:hAnsi="Garamond"/>
          <w:lang w:val="en-US"/>
        </w:rPr>
        <w:t xml:space="preserve"> (Brown and Davis Brown 1998, 18-20</w:t>
      </w:r>
      <w:r w:rsidR="005C5758" w:rsidRPr="0027666F">
        <w:rPr>
          <w:rFonts w:ascii="Garamond" w:hAnsi="Garamond"/>
          <w:lang w:val="en-US"/>
        </w:rPr>
        <w:fldChar w:fldCharType="begin"/>
      </w:r>
      <w:r w:rsidR="005C5758" w:rsidRPr="0027666F">
        <w:rPr>
          <w:rFonts w:ascii="Garamond" w:hAnsi="Garamond"/>
          <w:lang w:val="en-US"/>
        </w:rPr>
        <w:instrText xml:space="preserve"> ADDIN EN.CITE &lt;EndNote&gt;&lt;Cite&gt;&lt;Author&gt;Brown&lt;/Author&gt;&lt;Year&gt;1998&lt;/Year&gt;&lt;RecNum&gt;328&lt;/RecNum&gt;&lt;record&gt;&lt;rec-number&gt;328&lt;/rec-number&gt;&lt;foreign-keys&gt;&lt;key app="EN" db-id="0rewstxe3sdfepeps9f5xrt55srrdw2s5r9x" timestamp="1546968323"&gt;328&lt;/key&gt;&lt;/foreign-keys&gt;&lt;ref-type name="Journal Article"&gt;17&lt;/ref-type&gt;&lt;contributors&gt;&lt;authors&gt;&lt;author&gt;Brown, Richard&lt;/author&gt;&lt;author&gt;Davis-Brown, Beth&lt;/author&gt;&lt;/authors&gt;&lt;/contributors&gt;&lt;titles&gt;&lt;title&gt;The Making of Memory: the Politics of the Archive, Libraries and Museums in the Construction of National Consciousness&lt;/title&gt;&lt;secondary-title&gt;History of Human Sciences&lt;/secondary-title&gt;&lt;/titles&gt;&lt;periodical&gt;&lt;full-title&gt;History of Human Sciences&lt;/full-title&gt;&lt;/periodical&gt;&lt;volume&gt;11&lt;/volume&gt;&lt;number&gt;4&lt;/number&gt;&lt;dates&gt;&lt;year&gt;1998&lt;/year&gt;&lt;/dates&gt;&lt;urls&gt;&lt;/urls&gt;&lt;/record&gt;&lt;/Cite&gt;&lt;/EndNote&gt;</w:instrText>
      </w:r>
      <w:r w:rsidR="005C5758" w:rsidRPr="0027666F">
        <w:rPr>
          <w:rFonts w:ascii="Garamond" w:hAnsi="Garamond"/>
          <w:lang w:val="en-US"/>
        </w:rPr>
        <w:fldChar w:fldCharType="end"/>
      </w:r>
      <w:r w:rsidR="005C5758" w:rsidRPr="0027666F">
        <w:rPr>
          <w:rFonts w:ascii="Garamond" w:hAnsi="Garamond"/>
          <w:lang w:val="en-US"/>
        </w:rPr>
        <w:t>; Kaplan 2000</w:t>
      </w:r>
      <w:r w:rsidR="005C5758" w:rsidRPr="0027666F">
        <w:rPr>
          <w:rFonts w:ascii="Garamond" w:hAnsi="Garamond"/>
          <w:lang w:val="en-US"/>
        </w:rPr>
        <w:fldChar w:fldCharType="begin"/>
      </w:r>
      <w:r w:rsidR="005C5758" w:rsidRPr="0027666F">
        <w:rPr>
          <w:rFonts w:ascii="Garamond" w:hAnsi="Garamond"/>
          <w:lang w:val="en-US"/>
        </w:rPr>
        <w:instrText xml:space="preserve"> ADDIN EN.CITE &lt;EndNote&gt;&lt;Cite&gt;&lt;Author&gt;Kaplan&lt;/Author&gt;&lt;Year&gt;2000&lt;/Year&gt;&lt;RecNum&gt;327&lt;/RecNum&gt;&lt;record&gt;&lt;rec-number&gt;327&lt;/rec-number&gt;&lt;foreign-keys&gt;&lt;key app="EN" db-id="0rewstxe3sdfepeps9f5xrt55srrdw2s5r9x" timestamp="1546968264"&gt;327&lt;/key&gt;&lt;/foreign-keys&gt;&lt;ref-type name="Journal Article"&gt;17&lt;/ref-type&gt;&lt;contributors&gt;&lt;authors&gt;&lt;author&gt;Kaplan, Elisabeth&lt;/author&gt;&lt;/authors&gt;&lt;/contributors&gt;&lt;titles&gt;&lt;title&gt;We Are What We Collect, We Collect What We Are: Archives and the Construction of Identit&lt;/title&gt;&lt;secondary-title&gt;The American Archivist&lt;/secondary-title&gt;&lt;/titles&gt;&lt;periodical&gt;&lt;full-title&gt;The American Archivist&lt;/full-title&gt;&lt;/periodical&gt;&lt;pages&gt;126-151&lt;/pages&gt;&lt;volume&gt;63&lt;/volume&gt;&lt;dates&gt;&lt;year&gt;2000&lt;/year&gt;&lt;/dates&gt;&lt;urls&gt;&lt;/urls&gt;&lt;/record&gt;&lt;/Cite&gt;&lt;/EndNote&gt;</w:instrText>
      </w:r>
      <w:r w:rsidR="005C5758" w:rsidRPr="0027666F">
        <w:rPr>
          <w:rFonts w:ascii="Garamond" w:hAnsi="Garamond"/>
          <w:lang w:val="en-US"/>
        </w:rPr>
        <w:fldChar w:fldCharType="end"/>
      </w:r>
      <w:r w:rsidR="005C5758" w:rsidRPr="0027666F">
        <w:rPr>
          <w:rFonts w:ascii="Garamond" w:hAnsi="Garamond"/>
          <w:lang w:val="en-US"/>
        </w:rPr>
        <w:t>)</w:t>
      </w:r>
      <w:r w:rsidRPr="0027666F">
        <w:rPr>
          <w:rFonts w:ascii="Garamond" w:hAnsi="Garamond"/>
          <w:lang w:val="en-US"/>
        </w:rPr>
        <w:t>.</w:t>
      </w:r>
      <w:r w:rsidRPr="0027666F">
        <w:rPr>
          <w:rFonts w:ascii="Garamond" w:hAnsi="Garamond"/>
          <w:vertAlign w:val="superscript"/>
          <w:lang w:val="en-US"/>
        </w:rPr>
        <w:t xml:space="preserve"> </w:t>
      </w:r>
      <w:r w:rsidRPr="0027666F">
        <w:rPr>
          <w:rFonts w:ascii="Garamond" w:hAnsi="Garamond"/>
          <w:lang w:val="en-US"/>
        </w:rPr>
        <w:t xml:space="preserve"> Nineteenth century historians, such as Jules Michelet in France, played a vital role here as they</w:t>
      </w:r>
      <w:r w:rsidR="0006456F">
        <w:rPr>
          <w:rFonts w:ascii="Garamond" w:hAnsi="Garamond"/>
          <w:lang w:val="en-US"/>
        </w:rPr>
        <w:t>, using these records,</w:t>
      </w:r>
      <w:r w:rsidRPr="0027666F">
        <w:rPr>
          <w:rFonts w:ascii="Garamond" w:hAnsi="Garamond"/>
          <w:lang w:val="en-US"/>
        </w:rPr>
        <w:t xml:space="preserve"> </w:t>
      </w:r>
      <w:r w:rsidR="0006456F">
        <w:rPr>
          <w:rFonts w:ascii="Garamond" w:hAnsi="Garamond"/>
          <w:lang w:val="en-US"/>
        </w:rPr>
        <w:t xml:space="preserve">wrote in the nationalist state by </w:t>
      </w:r>
      <w:r w:rsidRPr="0027666F">
        <w:rPr>
          <w:rFonts w:ascii="Garamond" w:hAnsi="Garamond"/>
          <w:lang w:val="en-US"/>
        </w:rPr>
        <w:t xml:space="preserve">constructing a </w:t>
      </w:r>
      <w:r w:rsidR="0006456F">
        <w:rPr>
          <w:rFonts w:ascii="Garamond" w:hAnsi="Garamond"/>
          <w:lang w:val="en-US"/>
        </w:rPr>
        <w:t xml:space="preserve">sense of a </w:t>
      </w:r>
      <w:r w:rsidRPr="0027666F">
        <w:rPr>
          <w:rFonts w:ascii="Garamond" w:hAnsi="Garamond"/>
          <w:lang w:val="en-US"/>
        </w:rPr>
        <w:t>shared (monolithic) past</w:t>
      </w:r>
      <w:r w:rsidR="005C5758" w:rsidRPr="0027666F">
        <w:rPr>
          <w:rFonts w:ascii="Garamond" w:hAnsi="Garamond"/>
          <w:lang w:val="en-US"/>
        </w:rPr>
        <w:t xml:space="preserve"> (Steedman 2001, 11-71-2; and 2011, 333-7)</w:t>
      </w:r>
      <w:r w:rsidR="005C5758" w:rsidRPr="0027666F">
        <w:rPr>
          <w:rFonts w:ascii="Garamond" w:hAnsi="Garamond"/>
          <w:lang w:val="en-US"/>
        </w:rPr>
        <w:fldChar w:fldCharType="begin"/>
      </w:r>
      <w:r w:rsidR="005C5758" w:rsidRPr="0027666F">
        <w:rPr>
          <w:rFonts w:ascii="Garamond" w:hAnsi="Garamond"/>
          <w:lang w:val="en-US"/>
        </w:rPr>
        <w:instrText xml:space="preserve"> ADDIN EN.CITE &lt;EndNote&gt;&lt;Cite&gt;&lt;Author&gt;Steedman&lt;/Author&gt;&lt;Year&gt;2011&lt;/Year&gt;&lt;RecNum&gt;244&lt;/RecNum&gt;&lt;record&gt;&lt;rec-number&gt;244&lt;/rec-number&gt;&lt;foreign-keys&gt;&lt;key app="EN" db-id="0rewstxe3sdfepeps9f5xrt55srrdw2s5r9x" timestamp="1538663805"&gt;244&lt;/key&gt;&lt;/foreign-keys&gt;&lt;ref-type name="Journal Article"&gt;17&lt;/ref-type&gt;&lt;contributors&gt;&lt;authors&gt;&lt;author&gt;Steedman, Carolyn&lt;/author&gt;&lt;/authors&gt;&lt;/contributors&gt;&lt;titles&gt;&lt;title&gt;After the Archive&lt;/title&gt;&lt;secondary-title&gt;Comparative Critical Studies&lt;/secondary-title&gt;&lt;/titles&gt;&lt;periodical&gt;&lt;full-title&gt;Comparative Critical Studies&lt;/full-title&gt;&lt;/periodical&gt;&lt;pages&gt;321-340&lt;/pages&gt;&lt;volume&gt;8&lt;/volume&gt;&lt;number&gt;2-3&lt;/number&gt;&lt;keywords&gt;&lt;keyword&gt;Archive&lt;/keyword&gt;&lt;keyword&gt;Foucault,&lt;/keyword&gt;&lt;keyword&gt;Theory&lt;/keyword&gt;&lt;keyword&gt;Critical&lt;/keyword&gt;&lt;/keywords&gt;&lt;dates&gt;&lt;year&gt;2011&lt;/year&gt;&lt;/dates&gt;&lt;urls&gt;&lt;/urls&gt;&lt;/record&gt;&lt;/Cite&gt;&lt;/EndNote&gt;</w:instrText>
      </w:r>
      <w:r w:rsidR="005C5758" w:rsidRPr="0027666F">
        <w:rPr>
          <w:rFonts w:ascii="Garamond" w:hAnsi="Garamond"/>
          <w:lang w:val="en-US"/>
        </w:rPr>
        <w:fldChar w:fldCharType="end"/>
      </w:r>
      <w:r w:rsidRPr="0027666F">
        <w:rPr>
          <w:rFonts w:ascii="Garamond" w:hAnsi="Garamond"/>
          <w:lang w:val="en-US"/>
        </w:rPr>
        <w:t xml:space="preserve">. </w:t>
      </w:r>
    </w:p>
    <w:p w14:paraId="1369514E" w14:textId="77777777" w:rsidR="009A6B94" w:rsidRPr="0027666F" w:rsidRDefault="009A6B94" w:rsidP="00853DC4">
      <w:pPr>
        <w:rPr>
          <w:rFonts w:ascii="Garamond" w:hAnsi="Garamond"/>
          <w:lang w:val="en-US"/>
        </w:rPr>
      </w:pPr>
    </w:p>
    <w:p w14:paraId="292EFCEC" w14:textId="6F2EADF9" w:rsidR="00853DC4" w:rsidRPr="0027666F" w:rsidRDefault="009A6B94" w:rsidP="00853DC4">
      <w:pPr>
        <w:rPr>
          <w:rFonts w:ascii="Garamond" w:hAnsi="Garamond"/>
        </w:rPr>
      </w:pPr>
      <w:r w:rsidRPr="0027666F">
        <w:rPr>
          <w:rFonts w:ascii="Garamond" w:hAnsi="Garamond"/>
          <w:lang w:val="en-US"/>
        </w:rPr>
        <w:t xml:space="preserve">The archive was also central to colonial expansion and </w:t>
      </w:r>
      <w:r w:rsidR="00853DC4" w:rsidRPr="0027666F">
        <w:rPr>
          <w:rFonts w:ascii="Garamond" w:hAnsi="Garamond"/>
          <w:lang w:val="en-US"/>
        </w:rPr>
        <w:t>helped produce the colonial state as a particular reality</w:t>
      </w:r>
      <w:r w:rsidR="005C5758" w:rsidRPr="0027666F">
        <w:rPr>
          <w:rFonts w:ascii="Garamond" w:hAnsi="Garamond"/>
          <w:lang w:val="en-US"/>
        </w:rPr>
        <w:t xml:space="preserve"> (Stoler 2010, 28-9</w:t>
      </w:r>
      <w:r w:rsidR="005C5758" w:rsidRPr="0027666F">
        <w:rPr>
          <w:rFonts w:ascii="Garamond" w:hAnsi="Garamond"/>
          <w:lang w:val="en-US"/>
        </w:rPr>
        <w:fldChar w:fldCharType="begin"/>
      </w:r>
      <w:r w:rsidR="005C5758" w:rsidRPr="0027666F">
        <w:rPr>
          <w:rFonts w:ascii="Garamond" w:hAnsi="Garamond"/>
          <w:lang w:val="en-US"/>
        </w:rPr>
        <w:instrText xml:space="preserve"> ADDIN EN.CITE &lt;EndNote&gt;&lt;Cite&gt;&lt;Author&gt;Stoler&lt;/Author&gt;&lt;Year&gt;2010&lt;/Year&gt;&lt;RecNum&gt;521&lt;/RecNum&gt;&lt;record&gt;&lt;rec-number&gt;521&lt;/rec-number&gt;&lt;foreign-keys&gt;&lt;key app="EN" db-id="0rewstxe3sdfepeps9f5xrt55srrdw2s5r9x" timestamp="1601050846"&gt;521&lt;/key&gt;&lt;/foreign-keys&gt;&lt;ref-type name="Book"&gt;6&lt;/ref-type&gt;&lt;contributors&gt;&lt;authors&gt;&lt;author&gt;Stoler, Ann&lt;/author&gt;&lt;/authors&gt;&lt;/contributors&gt;&lt;titles&gt;&lt;title&gt;Along the Archival Grain: Epistemic Anxiety and Colonial Common Sense&lt;/title&gt;&lt;short-title&gt;Along the Archival Grain&lt;/short-title&gt;&lt;/titles&gt;&lt;keywords&gt;&lt;keyword&gt;Archive&lt;/keyword&gt;&lt;keyword&gt;Colonialism&lt;/keyword&gt;&lt;keyword&gt;Post-colonial&lt;/keyword&gt;&lt;/keywords&gt;&lt;dates&gt;&lt;year&gt;2010&lt;/year&gt;&lt;/dates&gt;&lt;pub-location&gt;Princeton&lt;/pub-location&gt;&lt;publisher&gt;Princeton University Press&lt;/publisher&gt;&lt;urls&gt;&lt;/urls&gt;&lt;/record&gt;&lt;/Cite&gt;&lt;/EndNote&gt;</w:instrText>
      </w:r>
      <w:r w:rsidR="005C5758" w:rsidRPr="0027666F">
        <w:rPr>
          <w:rFonts w:ascii="Garamond" w:hAnsi="Garamond"/>
          <w:lang w:val="en-US"/>
        </w:rPr>
        <w:fldChar w:fldCharType="end"/>
      </w:r>
      <w:r w:rsidR="005C5758" w:rsidRPr="0027666F">
        <w:rPr>
          <w:rFonts w:ascii="Garamond" w:hAnsi="Garamond"/>
          <w:lang w:val="en-US"/>
        </w:rPr>
        <w:t>)</w:t>
      </w:r>
      <w:r w:rsidR="005807E1" w:rsidRPr="0027666F">
        <w:rPr>
          <w:rFonts w:ascii="Garamond" w:hAnsi="Garamond"/>
          <w:vertAlign w:val="superscript"/>
          <w:lang w:val="en-US"/>
        </w:rPr>
        <w:t>,</w:t>
      </w:r>
      <w:r w:rsidR="00853DC4" w:rsidRPr="0027666F">
        <w:rPr>
          <w:rFonts w:ascii="Garamond" w:hAnsi="Garamond"/>
          <w:lang w:val="en-US"/>
        </w:rPr>
        <w:t xml:space="preserve"> and render those that the </w:t>
      </w:r>
      <w:r w:rsidR="00853DC4" w:rsidRPr="0027666F">
        <w:rPr>
          <w:rFonts w:ascii="Garamond" w:hAnsi="Garamond"/>
        </w:rPr>
        <w:t>colonisers</w:t>
      </w:r>
      <w:r w:rsidR="00853DC4" w:rsidRPr="0027666F">
        <w:rPr>
          <w:rFonts w:ascii="Garamond" w:hAnsi="Garamond"/>
          <w:lang w:val="en-US"/>
        </w:rPr>
        <w:t xml:space="preserve"> ‘encountered’ as knowable and governable subjects</w:t>
      </w:r>
      <w:r w:rsidR="005C5758" w:rsidRPr="0027666F">
        <w:rPr>
          <w:rFonts w:ascii="Garamond" w:hAnsi="Garamond"/>
          <w:lang w:val="en-US"/>
        </w:rPr>
        <w:t xml:space="preserve"> (Ibid, 97-8; Osborne 1999, 51-64; Bastian 2006, 267-284</w:t>
      </w:r>
      <w:r w:rsidR="005807E1" w:rsidRPr="0027666F">
        <w:rPr>
          <w:rFonts w:ascii="Garamond" w:hAnsi="Garamond"/>
          <w:lang w:val="en-US"/>
        </w:rPr>
        <w:fldChar w:fldCharType="begin">
          <w:fldData xml:space="preserve">PEVuZE5vdGU+PENpdGU+PEF1dGhvcj5CYXN0aWFuPC9BdXRob3I+PFllYXI+MjAwNzwvWWVhcj48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</w:fldData>
        </w:fldChar>
      </w:r>
      <w:r w:rsidR="005807E1" w:rsidRPr="0027666F">
        <w:rPr>
          <w:rFonts w:ascii="Garamond" w:hAnsi="Garamond"/>
          <w:lang w:val="en-US"/>
        </w:rPr>
        <w:instrText xml:space="preserve"> ADDIN EN.CITE </w:instrText>
      </w:r>
      <w:r w:rsidR="005807E1" w:rsidRPr="0027666F">
        <w:rPr>
          <w:rFonts w:ascii="Garamond" w:hAnsi="Garamond"/>
          <w:lang w:val="en-US"/>
        </w:rPr>
        <w:fldChar w:fldCharType="begin">
          <w:fldData xml:space="preserve">PEVuZE5vdGU+PENpdGU+PEF1dGhvcj5CYXN0aWFuPC9BdXRob3I+PFllYXI+MjAwNzwvWWVhcj48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</w:fldData>
        </w:fldChar>
      </w:r>
      <w:r w:rsidR="005807E1" w:rsidRPr="0027666F">
        <w:rPr>
          <w:rFonts w:ascii="Garamond" w:hAnsi="Garamond"/>
          <w:lang w:val="en-US"/>
        </w:rPr>
        <w:instrText xml:space="preserve"> ADDIN EN.CITE.DATA </w:instrText>
      </w:r>
      <w:r w:rsidR="005807E1" w:rsidRPr="0027666F">
        <w:rPr>
          <w:rFonts w:ascii="Garamond" w:hAnsi="Garamond"/>
          <w:lang w:val="en-US"/>
        </w:rPr>
      </w:r>
      <w:r w:rsidR="005807E1" w:rsidRPr="0027666F">
        <w:rPr>
          <w:rFonts w:ascii="Garamond" w:hAnsi="Garamond"/>
          <w:lang w:val="en-US"/>
        </w:rPr>
        <w:fldChar w:fldCharType="end"/>
      </w:r>
      <w:r w:rsidR="005807E1" w:rsidRPr="0027666F">
        <w:rPr>
          <w:rFonts w:ascii="Garamond" w:hAnsi="Garamond"/>
          <w:lang w:val="en-US"/>
        </w:rPr>
      </w:r>
      <w:r w:rsidR="005807E1" w:rsidRPr="0027666F">
        <w:rPr>
          <w:rFonts w:ascii="Garamond" w:hAnsi="Garamond"/>
          <w:lang w:val="en-US"/>
        </w:rPr>
        <w:fldChar w:fldCharType="end"/>
      </w:r>
      <w:r w:rsidR="005C5758" w:rsidRPr="0027666F">
        <w:rPr>
          <w:rFonts w:ascii="Garamond" w:hAnsi="Garamond"/>
          <w:lang w:val="en-US"/>
        </w:rPr>
        <w:t>)</w:t>
      </w:r>
      <w:r w:rsidR="00853DC4" w:rsidRPr="0027666F">
        <w:rPr>
          <w:rFonts w:ascii="Garamond" w:hAnsi="Garamond"/>
          <w:i/>
          <w:lang w:val="en-US"/>
        </w:rPr>
        <w:t xml:space="preserve">. </w:t>
      </w:r>
      <w:r w:rsidRPr="0027666F">
        <w:rPr>
          <w:rFonts w:ascii="Garamond" w:hAnsi="Garamond"/>
        </w:rPr>
        <w:t xml:space="preserve"> </w:t>
      </w:r>
      <w:r w:rsidR="00853DC4" w:rsidRPr="0027666F">
        <w:rPr>
          <w:rFonts w:ascii="Garamond" w:hAnsi="Garamond"/>
          <w:lang w:val="en-US"/>
        </w:rPr>
        <w:t>Rwanda offers a good, if not extreme, example of the potential consequence of this form of archiving</w:t>
      </w:r>
      <w:r w:rsidR="00A33BB0" w:rsidRPr="0027666F">
        <w:rPr>
          <w:rFonts w:ascii="Garamond" w:hAnsi="Garamond"/>
          <w:lang w:val="en-US"/>
        </w:rPr>
        <w:t>.</w:t>
      </w:r>
      <w:r w:rsidR="00853DC4" w:rsidRPr="0027666F">
        <w:rPr>
          <w:rFonts w:ascii="Garamond" w:hAnsi="Garamond"/>
          <w:lang w:val="en-US"/>
        </w:rPr>
        <w:t xml:space="preserve"> In </w:t>
      </w:r>
      <w:r w:rsidR="000E46F8" w:rsidRPr="0027666F">
        <w:rPr>
          <w:rFonts w:ascii="Garamond" w:hAnsi="Garamond"/>
          <w:lang w:val="en-US"/>
        </w:rPr>
        <w:t>Rwanda, prior</w:t>
      </w:r>
      <w:r w:rsidR="00853DC4" w:rsidRPr="0027666F">
        <w:rPr>
          <w:rFonts w:ascii="Garamond" w:hAnsi="Garamond"/>
          <w:lang w:val="en-US"/>
        </w:rPr>
        <w:t xml:space="preserve"> to colonisation Hutus, Tutsis and Twas (the three main groups in Rwanda) reflected relative socio-economic standing, and so remained fluid identity categories. However, German and then Belgian colonisers viewed the Hutu, Tutsis and Twas as racially distinct groups</w:t>
      </w:r>
      <w:r w:rsidR="005807E1" w:rsidRPr="0027666F">
        <w:rPr>
          <w:rFonts w:ascii="Garamond" w:hAnsi="Garamond"/>
          <w:lang w:val="en-US"/>
        </w:rPr>
        <w:t xml:space="preserve"> (Eltringham 2006: 425-46</w:t>
      </w:r>
      <w:r w:rsidR="005807E1" w:rsidRPr="0027666F">
        <w:rPr>
          <w:rFonts w:ascii="Garamond" w:hAnsi="Garamond"/>
          <w:lang w:val="en-US"/>
        </w:rPr>
        <w:fldChar w:fldCharType="begin"/>
      </w:r>
      <w:r w:rsidR="005807E1" w:rsidRPr="0027666F">
        <w:rPr>
          <w:rFonts w:ascii="Garamond" w:hAnsi="Garamond"/>
          <w:lang w:val="en-US"/>
        </w:rPr>
        <w:instrText xml:space="preserve"> ADDIN EN.CITE &lt;EndNote&gt;&lt;Cite&gt;&lt;Author&gt;Eltringham&lt;/Author&gt;&lt;Year&gt;2006&lt;/Year&gt;&lt;RecNum&gt;523&lt;/RecNum&gt;&lt;record&gt;&lt;rec-number&gt;523&lt;/rec-number&gt;&lt;foreign-keys&gt;&lt;key app="EN" db-id="0rewstxe3sdfepeps9f5xrt55srrdw2s5r9x" timestamp="1601051245"&gt;523&lt;/key&gt;&lt;/foreign-keys&gt;&lt;ref-type name="Journal Article"&gt;17&lt;/ref-type&gt;&lt;contributors&gt;&lt;authors&gt;&lt;author&gt;Eltringham, Nigel&lt;/author&gt;&lt;/authors&gt;&lt;/contributors&gt;&lt;titles&gt;&lt;title&gt;‘Invaders who have stolen the country’: The Hamitic Hypothesis, Race and the Rwandan Genocide&lt;/title&gt;&lt;secondary-title&gt;Social Identities&lt;/secondary-title&gt;&lt;short-title&gt;‘Invaders who have stolen the country’&lt;/short-title&gt;&lt;/titles&gt;&lt;periodical&gt;&lt;full-title&gt;Social Identities&lt;/full-title&gt;&lt;/periodical&gt;&lt;pages&gt;425-446&lt;/pages&gt;&lt;volume&gt;12&lt;/volume&gt;&lt;number&gt;4&lt;/number&gt;&lt;keywords&gt;&lt;keyword&gt;Rwanda&lt;/keyword&gt;&lt;keyword&gt;Genocide&lt;/keyword&gt;&lt;keyword&gt;Identity&lt;/keyword&gt;&lt;/keywords&gt;&lt;dates&gt;&lt;year&gt;2006&lt;/year&gt;&lt;/dates&gt;&lt;urls&gt;&lt;/urls&gt;&lt;/record&gt;&lt;/Cite&gt;&lt;/EndNote&gt;</w:instrText>
      </w:r>
      <w:r w:rsidR="005807E1" w:rsidRPr="0027666F">
        <w:rPr>
          <w:rFonts w:ascii="Garamond" w:hAnsi="Garamond"/>
          <w:lang w:val="en-US"/>
        </w:rPr>
        <w:fldChar w:fldCharType="end"/>
      </w:r>
      <w:r w:rsidR="005807E1" w:rsidRPr="0027666F">
        <w:rPr>
          <w:rFonts w:ascii="Garamond" w:hAnsi="Garamond"/>
          <w:lang w:val="en-US"/>
        </w:rPr>
        <w:t>)</w:t>
      </w:r>
      <w:r w:rsidR="00853DC4" w:rsidRPr="0027666F">
        <w:rPr>
          <w:rFonts w:ascii="Garamond" w:hAnsi="Garamond"/>
          <w:lang w:val="en-US"/>
        </w:rPr>
        <w:t xml:space="preserve">. Drawing on the Hamitic myth, the colonisers determined that the Tutsis – the minority socio-economic group that wielded considerable power – originated from Ethiopia and were, as such, racially closer to white Europeans than </w:t>
      </w:r>
      <w:r w:rsidR="00853DC4" w:rsidRPr="0027666F">
        <w:rPr>
          <w:rFonts w:ascii="Garamond" w:hAnsi="Garamond"/>
          <w:lang w:val="en-US"/>
        </w:rPr>
        <w:lastRenderedPageBreak/>
        <w:t>Rwanda’s ‘natives’, the Hutus (the majority group) and Twas (the smallest group)</w:t>
      </w:r>
      <w:r w:rsidR="005807E1" w:rsidRPr="0027666F">
        <w:rPr>
          <w:rFonts w:ascii="Garamond" w:hAnsi="Garamond"/>
          <w:lang w:val="en-US"/>
        </w:rPr>
        <w:t>(Des Forges 1999, 34-5)</w:t>
      </w:r>
      <w:r w:rsidR="005807E1" w:rsidRPr="0027666F">
        <w:rPr>
          <w:rFonts w:ascii="Garamond" w:hAnsi="Garamond"/>
          <w:lang w:val="en-US"/>
        </w:rPr>
        <w:fldChar w:fldCharType="begin"/>
      </w:r>
      <w:r w:rsidR="005807E1" w:rsidRPr="0027666F">
        <w:rPr>
          <w:rFonts w:ascii="Garamond" w:hAnsi="Garamond"/>
          <w:lang w:val="en-US"/>
        </w:rPr>
        <w:instrText xml:space="preserve"> ADDIN EN.CITE &lt;EndNote&gt;&lt;Cite&gt;&lt;Author&gt;Des Forges&lt;/Author&gt;&lt;Year&gt;1999&lt;/Year&gt;&lt;RecNum&gt;367&lt;/RecNum&gt;&lt;record&gt;&lt;rec-number&gt;367&lt;/rec-number&gt;&lt;foreign-keys&gt;&lt;key app="EN" db-id="0rewstxe3sdfepeps9f5xrt55srrdw2s5r9x" timestamp="1549474679"&gt;367&lt;/key&gt;&lt;/foreign-keys&gt;&lt;ref-type name="Report"&gt;27&lt;/ref-type&gt;&lt;contributors&gt;&lt;authors&gt;&lt;author&gt;Des Forges, Alison&lt;/author&gt;&lt;/authors&gt;&lt;/contributors&gt;&lt;titles&gt;&lt;title&gt;Leave None to Tell the Story: Genocide in Rwanda&lt;/title&gt;&lt;/titles&gt;&lt;dates&gt;&lt;year&gt;1999&lt;/year&gt;&lt;/dates&gt;&lt;publisher&gt;Human Rights Watch&lt;/publisher&gt;&lt;urls&gt;&lt;/urls&gt;&lt;/record&gt;&lt;/Cite&gt;&lt;/EndNote&gt;</w:instrText>
      </w:r>
      <w:r w:rsidR="005807E1" w:rsidRPr="0027666F">
        <w:rPr>
          <w:rFonts w:ascii="Garamond" w:hAnsi="Garamond"/>
          <w:lang w:val="en-US"/>
        </w:rPr>
        <w:fldChar w:fldCharType="end"/>
      </w:r>
      <w:r w:rsidR="00853DC4" w:rsidRPr="0027666F">
        <w:rPr>
          <w:rFonts w:ascii="Garamond" w:hAnsi="Garamond"/>
          <w:lang w:val="en-US"/>
        </w:rPr>
        <w:t xml:space="preserve">. </w:t>
      </w:r>
      <w:r w:rsidRPr="0027666F">
        <w:rPr>
          <w:rFonts w:ascii="Garamond" w:hAnsi="Garamond"/>
          <w:lang w:val="en-US"/>
        </w:rPr>
        <w:t>T</w:t>
      </w:r>
      <w:r w:rsidR="00853DC4" w:rsidRPr="0027666F">
        <w:rPr>
          <w:rFonts w:ascii="Garamond" w:hAnsi="Garamond"/>
          <w:lang w:val="en-US"/>
        </w:rPr>
        <w:t xml:space="preserve">hese artificial demarcations became lived realities through the production of records, such as ID cards, </w:t>
      </w:r>
      <w:r w:rsidR="00A33BB0" w:rsidRPr="0027666F">
        <w:rPr>
          <w:rFonts w:ascii="Garamond" w:hAnsi="Garamond"/>
          <w:lang w:val="en-US"/>
        </w:rPr>
        <w:t>used to determine</w:t>
      </w:r>
      <w:r w:rsidR="00853DC4" w:rsidRPr="0027666F">
        <w:rPr>
          <w:rFonts w:ascii="Garamond" w:hAnsi="Garamond"/>
          <w:lang w:val="en-US"/>
        </w:rPr>
        <w:t xml:space="preserve"> which pathways through life would be available for the different groups. </w:t>
      </w:r>
      <w:r w:rsidRPr="0027666F">
        <w:rPr>
          <w:rFonts w:ascii="Garamond" w:hAnsi="Garamond"/>
        </w:rPr>
        <w:t xml:space="preserve"> </w:t>
      </w:r>
      <w:r w:rsidR="00853DC4" w:rsidRPr="0027666F">
        <w:rPr>
          <w:rFonts w:ascii="Garamond" w:hAnsi="Garamond"/>
          <w:lang w:val="en-US"/>
        </w:rPr>
        <w:t>The arbitrary determination that these catagories constituted distinct races became key during the genocide. For example, the genocidal discourse urged perpetrators to send the Tutsis back to Ethiopia via the Nyabarongo river (a code that Tutsis should be killed and thrown in the water), and victims were killed at roadblocks for ‘looking like a Tutsis’</w:t>
      </w:r>
      <w:r w:rsidR="000E46F8" w:rsidRPr="0027666F">
        <w:rPr>
          <w:rFonts w:ascii="Garamond" w:hAnsi="Garamond"/>
          <w:lang w:val="en-US"/>
        </w:rPr>
        <w:t xml:space="preserve"> – even when their ID cards said otherwise</w:t>
      </w:r>
      <w:r w:rsidR="00853DC4" w:rsidRPr="0027666F">
        <w:rPr>
          <w:rFonts w:ascii="Garamond" w:hAnsi="Garamond"/>
          <w:lang w:val="en-US"/>
        </w:rPr>
        <w:t xml:space="preserve">.  </w:t>
      </w:r>
      <w:r w:rsidRPr="0027666F">
        <w:rPr>
          <w:rFonts w:ascii="Garamond" w:hAnsi="Garamond"/>
          <w:lang w:val="en-US"/>
        </w:rPr>
        <w:t xml:space="preserve">The production of records, as such, can carry severe, and sometimes violent, consequences within the communities that they help to constitute. </w:t>
      </w:r>
      <w:r w:rsidR="00853DC4" w:rsidRPr="0027666F">
        <w:rPr>
          <w:rFonts w:ascii="Garamond" w:hAnsi="Garamond"/>
        </w:rPr>
        <w:t xml:space="preserve">As was stated at the 1936 Congress of German Archivists: </w:t>
      </w:r>
    </w:p>
    <w:p w14:paraId="4F7667B1" w14:textId="77777777" w:rsidR="009A6B94" w:rsidRPr="0027666F" w:rsidRDefault="009A6B94" w:rsidP="00853DC4">
      <w:pPr>
        <w:rPr>
          <w:rFonts w:ascii="Garamond" w:hAnsi="Garamond"/>
          <w:lang w:val="en-US"/>
        </w:rPr>
      </w:pPr>
    </w:p>
    <w:p w14:paraId="0AA9C06E" w14:textId="66458E22" w:rsidR="00853DC4" w:rsidRPr="0027666F" w:rsidRDefault="00853DC4" w:rsidP="00853DC4">
      <w:pPr>
        <w:ind w:left="850"/>
        <w:rPr>
          <w:rFonts w:ascii="Garamond" w:hAnsi="Garamond"/>
        </w:rPr>
      </w:pPr>
      <w:r w:rsidRPr="0027666F">
        <w:rPr>
          <w:rFonts w:ascii="Garamond" w:hAnsi="Garamond"/>
        </w:rPr>
        <w:t>There is no practice of racial politics without the mobilisation of source documents informing us on the origin and development of race and people… There is no racial politics without archives, without archivists</w:t>
      </w:r>
      <w:r w:rsidR="005807E1" w:rsidRPr="0027666F">
        <w:rPr>
          <w:rFonts w:ascii="Garamond" w:hAnsi="Garamond"/>
        </w:rPr>
        <w:t xml:space="preserve"> (Velody 1998, 5)</w:t>
      </w:r>
      <w:r w:rsidRPr="0027666F">
        <w:rPr>
          <w:rFonts w:ascii="Garamond" w:hAnsi="Garamond"/>
        </w:rPr>
        <w:t xml:space="preserve">. </w:t>
      </w:r>
    </w:p>
    <w:p w14:paraId="7B33D712" w14:textId="0ECEBB50" w:rsidR="00685D78" w:rsidRPr="0027666F" w:rsidRDefault="00685D78" w:rsidP="00853DC4">
      <w:pPr>
        <w:ind w:left="850"/>
        <w:rPr>
          <w:rFonts w:ascii="Garamond" w:hAnsi="Garamond"/>
        </w:rPr>
      </w:pPr>
    </w:p>
    <w:p w14:paraId="490B9E8C" w14:textId="064C1FC8" w:rsidR="000E46F8" w:rsidRPr="0027666F" w:rsidRDefault="00DD77AA" w:rsidP="00685D78">
      <w:pPr>
        <w:rPr>
          <w:rFonts w:ascii="Garamond" w:hAnsi="Garamond"/>
        </w:rPr>
      </w:pPr>
      <w:r w:rsidRPr="0027666F">
        <w:rPr>
          <w:rFonts w:ascii="Garamond" w:hAnsi="Garamond"/>
        </w:rPr>
        <w:t xml:space="preserve">The archive is not, then, ‘outside’ violence but is epistemologically and ontologically </w:t>
      </w:r>
      <w:r w:rsidR="000E46F8" w:rsidRPr="0027666F">
        <w:rPr>
          <w:rFonts w:ascii="Garamond" w:hAnsi="Garamond"/>
        </w:rPr>
        <w:t xml:space="preserve"> at the </w:t>
      </w:r>
      <w:r w:rsidRPr="0027666F">
        <w:rPr>
          <w:rFonts w:ascii="Garamond" w:hAnsi="Garamond"/>
        </w:rPr>
        <w:t xml:space="preserve">centre </w:t>
      </w:r>
      <w:r w:rsidR="000E46F8" w:rsidRPr="0027666F">
        <w:rPr>
          <w:rFonts w:ascii="Garamond" w:hAnsi="Garamond"/>
        </w:rPr>
        <w:t xml:space="preserve">of the </w:t>
      </w:r>
      <w:r w:rsidRPr="0027666F">
        <w:rPr>
          <w:rFonts w:ascii="Garamond" w:hAnsi="Garamond"/>
        </w:rPr>
        <w:t xml:space="preserve">exclusionary violent practices </w:t>
      </w:r>
      <w:r w:rsidR="000E46F8" w:rsidRPr="0027666F">
        <w:rPr>
          <w:rFonts w:ascii="Garamond" w:hAnsi="Garamond"/>
        </w:rPr>
        <w:t xml:space="preserve">such as </w:t>
      </w:r>
      <w:r w:rsidRPr="0027666F">
        <w:rPr>
          <w:rFonts w:ascii="Garamond" w:hAnsi="Garamond"/>
        </w:rPr>
        <w:t>colonialism and, indeed, genocide</w:t>
      </w:r>
      <w:r w:rsidR="00426352" w:rsidRPr="0027666F">
        <w:rPr>
          <w:rFonts w:ascii="Garamond" w:hAnsi="Garamond"/>
        </w:rPr>
        <w:fldChar w:fldCharType="begin"/>
      </w:r>
      <w:r w:rsidR="00426352" w:rsidRPr="0027666F">
        <w:rPr>
          <w:rFonts w:ascii="Garamond" w:hAnsi="Garamond"/>
        </w:rPr>
        <w:instrText xml:space="preserve"> ADDIN EN.CITE &lt;EndNote&gt;&lt;Cite&gt;&lt;Author&gt;Read&lt;/Author&gt;&lt;Year&gt;2016&lt;/Year&gt;&lt;RecNum&gt;537&lt;/RecNum&gt;&lt;record&gt;&lt;rec-number&gt;537&lt;/rec-number&gt;&lt;foreign-keys&gt;&lt;key app="EN" db-id="0rewstxe3sdfepeps9f5xrt55srrdw2s5r9x" timestamp="1601058135"&gt;537&lt;/key&gt;&lt;/foreign-keys&gt;&lt;ref-type name="Journal Article"&gt;17&lt;/ref-type&gt;&lt;contributors&gt;&lt;authors&gt;&lt;author&gt;Read, Róisín&lt;/author&gt;&lt;/authors&gt;&lt;/contributors&gt;&lt;titles&gt;&lt;title&gt;Tensions in UN information management: security, data and human rights monitoring in Darfur, Sudan.&lt;/title&gt;&lt;secondary-title&gt;Journal of Human Rights Practice &lt;/secondary-title&gt;&lt;short-title&gt;Tensions in UN information management&lt;/short-title&gt;&lt;/titles&gt;&lt;pages&gt;101-115&lt;/pages&gt;&lt;volume&gt;8&lt;/volume&gt;&lt;number&gt;1&lt;/number&gt;&lt;keywords&gt;&lt;keyword&gt;Sudan&lt;/keyword&gt;&lt;keyword&gt;Darfur&lt;/keyword&gt;&lt;keyword&gt;Archives&lt;/keyword&gt;&lt;keyword&gt;Peacekeeping&lt;/keyword&gt;&lt;keyword&gt;Africa&lt;/keyword&gt;&lt;/keywords&gt;&lt;dates&gt;&lt;year&gt;2016&lt;/year&gt;&lt;/dates&gt;&lt;urls&gt;&lt;/urls&gt;&lt;/record&gt;&lt;/Cite&gt;&lt;/EndNote&gt;</w:instrText>
      </w:r>
      <w:r w:rsidR="00426352" w:rsidRPr="0027666F">
        <w:rPr>
          <w:rFonts w:ascii="Garamond" w:hAnsi="Garamond"/>
        </w:rPr>
        <w:fldChar w:fldCharType="end"/>
      </w:r>
      <w:r w:rsidRPr="0027666F">
        <w:rPr>
          <w:rFonts w:ascii="Garamond" w:hAnsi="Garamond"/>
        </w:rPr>
        <w:t>.</w:t>
      </w:r>
      <w:r w:rsidR="000E46F8" w:rsidRPr="0027666F">
        <w:rPr>
          <w:rStyle w:val="EndnoteReference"/>
          <w:rFonts w:ascii="Garamond" w:hAnsi="Garamond"/>
        </w:rPr>
        <w:endnoteReference w:id="6"/>
      </w:r>
      <w:r w:rsidR="000E46F8" w:rsidRPr="0027666F">
        <w:rPr>
          <w:rFonts w:ascii="Garamond" w:hAnsi="Garamond"/>
        </w:rPr>
        <w:t xml:space="preserve"> </w:t>
      </w:r>
    </w:p>
    <w:p w14:paraId="06FD517E" w14:textId="77777777" w:rsidR="00DD77AA" w:rsidRPr="0027666F" w:rsidRDefault="00DD77AA" w:rsidP="00685D78">
      <w:pPr>
        <w:rPr>
          <w:rFonts w:ascii="Garamond" w:hAnsi="Garamond"/>
        </w:rPr>
      </w:pPr>
    </w:p>
    <w:p w14:paraId="2BF4A396" w14:textId="56A07321" w:rsidR="00685D78" w:rsidRPr="0027666F" w:rsidRDefault="00685D78" w:rsidP="00685D78">
      <w:pPr>
        <w:rPr>
          <w:rFonts w:ascii="Garamond" w:hAnsi="Garamond"/>
        </w:rPr>
      </w:pPr>
      <w:r w:rsidRPr="0027666F">
        <w:rPr>
          <w:rFonts w:ascii="Garamond" w:hAnsi="Garamond"/>
        </w:rPr>
        <w:t xml:space="preserve">The archive is about </w:t>
      </w:r>
      <w:r w:rsidR="00B3242F" w:rsidRPr="0027666F">
        <w:rPr>
          <w:rFonts w:ascii="Garamond" w:hAnsi="Garamond"/>
        </w:rPr>
        <w:t>categorising</w:t>
      </w:r>
      <w:r w:rsidRPr="0027666F">
        <w:rPr>
          <w:rFonts w:ascii="Garamond" w:hAnsi="Garamond"/>
        </w:rPr>
        <w:t xml:space="preserve">, dividing and fixing accounts of the social world </w:t>
      </w:r>
      <w:r w:rsidR="00B62BE2" w:rsidRPr="0027666F">
        <w:rPr>
          <w:rFonts w:ascii="Garamond" w:hAnsi="Garamond"/>
        </w:rPr>
        <w:t xml:space="preserve">and its subjects, </w:t>
      </w:r>
      <w:r w:rsidRPr="0027666F">
        <w:rPr>
          <w:rFonts w:ascii="Garamond" w:hAnsi="Garamond"/>
        </w:rPr>
        <w:t xml:space="preserve">and in doing so, making them ‘real’ and subject to governance. It is possible to see how these logics are also mirrored within those archives associated with transitional justice. Indeed, one of the long running </w:t>
      </w:r>
      <w:r w:rsidR="00B80E9A" w:rsidRPr="0027666F">
        <w:rPr>
          <w:rFonts w:ascii="Garamond" w:hAnsi="Garamond"/>
        </w:rPr>
        <w:t>critiques</w:t>
      </w:r>
      <w:r w:rsidRPr="0027666F">
        <w:rPr>
          <w:rFonts w:ascii="Garamond" w:hAnsi="Garamond"/>
        </w:rPr>
        <w:t xml:space="preserve"> of transitional justice is it, like the archive, becomes obsessed with dividing society</w:t>
      </w:r>
      <w:r w:rsidR="00A33BB0" w:rsidRPr="0027666F">
        <w:rPr>
          <w:rFonts w:ascii="Garamond" w:hAnsi="Garamond"/>
        </w:rPr>
        <w:t xml:space="preserve">, the case of transitional justice archives, </w:t>
      </w:r>
      <w:r w:rsidRPr="0027666F">
        <w:rPr>
          <w:rFonts w:ascii="Garamond" w:hAnsi="Garamond"/>
        </w:rPr>
        <w:t>into victims and perpetrators, and in doing so, often reproduces and reifies the very divisions that it claims to look to overcome</w:t>
      </w:r>
      <w:r w:rsidR="00B80E9A" w:rsidRPr="0027666F">
        <w:rPr>
          <w:rFonts w:ascii="Garamond" w:hAnsi="Garamond"/>
        </w:rPr>
        <w:t xml:space="preserve"> (Harris</w:t>
      </w:r>
      <w:r w:rsidR="00163782" w:rsidRPr="0027666F">
        <w:rPr>
          <w:rFonts w:ascii="Garamond" w:hAnsi="Garamond"/>
        </w:rPr>
        <w:t xml:space="preserve"> 2014</w:t>
      </w:r>
      <w:r w:rsidR="007B3B7D" w:rsidRPr="0027666F">
        <w:rPr>
          <w:rFonts w:ascii="Garamond" w:hAnsi="Garamond"/>
        </w:rPr>
        <w:t>, 226-228</w:t>
      </w:r>
      <w:r w:rsidR="00163782" w:rsidRPr="0027666F">
        <w:rPr>
          <w:rFonts w:ascii="Garamond" w:hAnsi="Garamond"/>
        </w:rPr>
        <w:fldChar w:fldCharType="begin"/>
      </w:r>
      <w:r w:rsidR="00163782" w:rsidRPr="0027666F">
        <w:rPr>
          <w:rFonts w:ascii="Garamond" w:hAnsi="Garamond"/>
        </w:rPr>
        <w:instrText xml:space="preserve"> ADDIN EN.CITE &lt;EndNote&gt;&lt;Cite&gt;&lt;Author&gt;Harris&lt;/Author&gt;&lt;Year&gt;2014&lt;/Year&gt;&lt;RecNum&gt;524&lt;/RecNum&gt;&lt;record&gt;&lt;rec-number&gt;524&lt;/rec-number&gt;&lt;foreign-keys&gt;&lt;key app="EN" db-id="0rewstxe3sdfepeps9f5xrt55srrdw2s5r9x" timestamp="1601051988"&gt;524&lt;/key&gt;&lt;/foreign-keys&gt;&lt;ref-type name="Journal Article"&gt;17&lt;/ref-type&gt;&lt;contributors&gt;&lt;authors&gt;&lt;author&gt;Harris, Verne&lt;/author&gt;&lt;/authors&gt;&lt;/contributors&gt;&lt;titles&gt;&lt;title&gt;Antonyms of our remembering&lt;/title&gt;&lt;secondary-title&gt;Archival science &lt;/secondary-title&gt;&lt;/titles&gt;&lt;pages&gt;215-229&lt;/pages&gt;&lt;volume&gt;14&lt;/volume&gt;&lt;number&gt;3-4&lt;/number&gt;&lt;keywords&gt;&lt;keyword&gt;Archives&lt;/keyword&gt;&lt;keyword&gt;Theory&lt;/keyword&gt;&lt;keyword&gt;Derrida&lt;/keyword&gt;&lt;/keywords&gt;&lt;dates&gt;&lt;year&gt;2014&lt;/year&gt;&lt;/dates&gt;&lt;urls&gt;&lt;/urls&gt;&lt;/record&gt;&lt;/Cite&gt;&lt;/EndNote&gt;</w:instrText>
      </w:r>
      <w:r w:rsidR="00163782" w:rsidRPr="0027666F">
        <w:rPr>
          <w:rFonts w:ascii="Garamond" w:hAnsi="Garamond"/>
        </w:rPr>
        <w:fldChar w:fldCharType="end"/>
      </w:r>
      <w:r w:rsidR="00B80E9A" w:rsidRPr="0027666F">
        <w:rPr>
          <w:rFonts w:ascii="Garamond" w:hAnsi="Garamond"/>
        </w:rPr>
        <w:t>)</w:t>
      </w:r>
      <w:r w:rsidRPr="0027666F">
        <w:rPr>
          <w:rFonts w:ascii="Garamond" w:hAnsi="Garamond"/>
        </w:rPr>
        <w:t xml:space="preserve">. This can be seen in relation, for example, </w:t>
      </w:r>
      <w:r w:rsidR="00B62BE2" w:rsidRPr="0027666F">
        <w:rPr>
          <w:rFonts w:ascii="Garamond" w:hAnsi="Garamond"/>
        </w:rPr>
        <w:t>to</w:t>
      </w:r>
      <w:r w:rsidRPr="0027666F">
        <w:rPr>
          <w:rFonts w:ascii="Garamond" w:hAnsi="Garamond"/>
        </w:rPr>
        <w:t xml:space="preserve"> the</w:t>
      </w:r>
      <w:r w:rsidR="00A33BB0" w:rsidRPr="0027666F">
        <w:rPr>
          <w:rFonts w:ascii="Garamond" w:hAnsi="Garamond"/>
        </w:rPr>
        <w:t xml:space="preserve"> ICTY’s</w:t>
      </w:r>
      <w:r w:rsidRPr="0027666F">
        <w:rPr>
          <w:rFonts w:ascii="Garamond" w:hAnsi="Garamond"/>
        </w:rPr>
        <w:t xml:space="preserve"> archive where its contents </w:t>
      </w:r>
      <w:r w:rsidR="00A33BB0" w:rsidRPr="0027666F">
        <w:rPr>
          <w:rFonts w:ascii="Garamond" w:hAnsi="Garamond"/>
        </w:rPr>
        <w:t>have</w:t>
      </w:r>
      <w:r w:rsidRPr="0027666F">
        <w:rPr>
          <w:rFonts w:ascii="Garamond" w:hAnsi="Garamond"/>
        </w:rPr>
        <w:t xml:space="preserve"> become a site through which the divisions so central to the wars in the 1990s are reproduced </w:t>
      </w:r>
      <w:r w:rsidR="00B80E9A" w:rsidRPr="0027666F">
        <w:rPr>
          <w:rFonts w:ascii="Garamond" w:hAnsi="Garamond"/>
        </w:rPr>
        <w:t xml:space="preserve">(Campbell </w:t>
      </w:r>
      <w:r w:rsidR="007B3B7D" w:rsidRPr="0027666F">
        <w:rPr>
          <w:rFonts w:ascii="Garamond" w:hAnsi="Garamond"/>
        </w:rPr>
        <w:t xml:space="preserve"> 2011, 257 – 8</w:t>
      </w:r>
      <w:r w:rsidR="00B80E9A" w:rsidRPr="0027666F">
        <w:rPr>
          <w:rFonts w:ascii="Garamond" w:hAnsi="Garamond"/>
        </w:rPr>
        <w:t>)</w:t>
      </w:r>
      <w:r w:rsidRPr="0027666F">
        <w:rPr>
          <w:rFonts w:ascii="Garamond" w:hAnsi="Garamond"/>
        </w:rPr>
        <w:t xml:space="preserve">. </w:t>
      </w:r>
    </w:p>
    <w:p w14:paraId="21D49710" w14:textId="77777777" w:rsidR="009A6B94" w:rsidRPr="0027666F" w:rsidRDefault="009A6B94" w:rsidP="00853DC4">
      <w:pPr>
        <w:ind w:left="850"/>
        <w:rPr>
          <w:rFonts w:ascii="Garamond" w:hAnsi="Garamond"/>
        </w:rPr>
      </w:pPr>
    </w:p>
    <w:p w14:paraId="73B3F7CF" w14:textId="65198960" w:rsidR="009A6B94" w:rsidRPr="0027666F" w:rsidRDefault="00685D78" w:rsidP="009A6B94">
      <w:pPr>
        <w:rPr>
          <w:rFonts w:ascii="Garamond" w:hAnsi="Garamond"/>
        </w:rPr>
      </w:pPr>
      <w:r w:rsidRPr="0027666F">
        <w:rPr>
          <w:rFonts w:ascii="Garamond" w:hAnsi="Garamond"/>
        </w:rPr>
        <w:t xml:space="preserve">This account </w:t>
      </w:r>
      <w:r w:rsidR="00B80E9A" w:rsidRPr="0027666F">
        <w:rPr>
          <w:rFonts w:ascii="Garamond" w:hAnsi="Garamond"/>
        </w:rPr>
        <w:t xml:space="preserve">of the archive </w:t>
      </w:r>
      <w:r w:rsidRPr="0027666F">
        <w:rPr>
          <w:rFonts w:ascii="Garamond" w:hAnsi="Garamond"/>
        </w:rPr>
        <w:t>raises questions, then, about the</w:t>
      </w:r>
      <w:r w:rsidR="009A6B94" w:rsidRPr="0027666F">
        <w:rPr>
          <w:rFonts w:ascii="Garamond" w:hAnsi="Garamond"/>
        </w:rPr>
        <w:t xml:space="preserve"> the archive as a </w:t>
      </w:r>
      <w:r w:rsidRPr="0027666F">
        <w:rPr>
          <w:rFonts w:ascii="Garamond" w:hAnsi="Garamond"/>
        </w:rPr>
        <w:t>nostalgic</w:t>
      </w:r>
      <w:r w:rsidR="009A6B94" w:rsidRPr="0027666F">
        <w:rPr>
          <w:rFonts w:ascii="Garamond" w:hAnsi="Garamond"/>
        </w:rPr>
        <w:t xml:space="preserve"> space where the past it recorded as was</w:t>
      </w:r>
      <w:r w:rsidR="00C862EF" w:rsidRPr="0027666F">
        <w:rPr>
          <w:rFonts w:ascii="Garamond" w:hAnsi="Garamond"/>
        </w:rPr>
        <w:t xml:space="preserve"> (Steedman 2001, 1162-3)</w:t>
      </w:r>
      <w:r w:rsidR="009A6B94" w:rsidRPr="0027666F">
        <w:rPr>
          <w:rFonts w:ascii="Garamond" w:hAnsi="Garamond"/>
          <w:lang w:val="en-US"/>
        </w:rPr>
        <w:t xml:space="preserve">. </w:t>
      </w:r>
      <w:r w:rsidRPr="0027666F">
        <w:rPr>
          <w:rFonts w:ascii="Garamond" w:hAnsi="Garamond"/>
          <w:lang w:val="en-US"/>
        </w:rPr>
        <w:t xml:space="preserve">Rather, if the archive is viewed as a site of </w:t>
      </w:r>
      <w:r w:rsidR="002B46B7" w:rsidRPr="0027666F">
        <w:rPr>
          <w:rFonts w:ascii="Garamond" w:hAnsi="Garamond"/>
          <w:lang w:val="en-US"/>
        </w:rPr>
        <w:t>governance</w:t>
      </w:r>
      <w:r w:rsidRPr="0027666F">
        <w:rPr>
          <w:rFonts w:ascii="Garamond" w:hAnsi="Garamond"/>
          <w:lang w:val="en-US"/>
        </w:rPr>
        <w:t xml:space="preserve">, and the logics of the </w:t>
      </w:r>
      <w:r w:rsidR="002B46B7" w:rsidRPr="0027666F">
        <w:rPr>
          <w:rFonts w:ascii="Garamond" w:hAnsi="Garamond"/>
          <w:lang w:val="en-US"/>
        </w:rPr>
        <w:t>archive</w:t>
      </w:r>
      <w:r w:rsidRPr="0027666F">
        <w:rPr>
          <w:rFonts w:ascii="Garamond" w:hAnsi="Garamond"/>
          <w:lang w:val="en-US"/>
        </w:rPr>
        <w:t xml:space="preserve"> are considered then, as </w:t>
      </w:r>
      <w:r w:rsidR="00B3242F" w:rsidRPr="0027666F">
        <w:rPr>
          <w:rFonts w:ascii="Garamond" w:hAnsi="Garamond"/>
          <w:lang w:val="en-US"/>
        </w:rPr>
        <w:t>Derrida warned</w:t>
      </w:r>
      <w:r w:rsidRPr="0027666F">
        <w:rPr>
          <w:rFonts w:ascii="Garamond" w:hAnsi="Garamond"/>
          <w:lang w:val="en-US"/>
        </w:rPr>
        <w:t xml:space="preserve">, it is possible to see a </w:t>
      </w:r>
      <w:r w:rsidR="009A6B94" w:rsidRPr="0027666F">
        <w:rPr>
          <w:rFonts w:ascii="Garamond" w:hAnsi="Garamond"/>
          <w:lang w:val="en-US"/>
        </w:rPr>
        <w:t>synergy between the archive and nationalism – as a technique of governance</w:t>
      </w:r>
      <w:r w:rsidR="00B80E9A" w:rsidRPr="0027666F">
        <w:rPr>
          <w:rFonts w:ascii="Garamond" w:hAnsi="Garamond"/>
          <w:lang w:val="en-US"/>
        </w:rPr>
        <w:t xml:space="preserve">. This </w:t>
      </w:r>
      <w:r w:rsidR="009A6B94" w:rsidRPr="0027666F">
        <w:rPr>
          <w:rFonts w:ascii="Garamond" w:hAnsi="Garamond"/>
          <w:lang w:val="en-US"/>
        </w:rPr>
        <w:t xml:space="preserve">goes beyond is practical utility in managing populations. </w:t>
      </w:r>
      <w:r w:rsidR="00B86EDE">
        <w:rPr>
          <w:rFonts w:ascii="Garamond" w:hAnsi="Garamond"/>
        </w:rPr>
        <w:t>T</w:t>
      </w:r>
      <w:r w:rsidR="009A6B94" w:rsidRPr="0027666F">
        <w:rPr>
          <w:rFonts w:ascii="Garamond" w:hAnsi="Garamond"/>
        </w:rPr>
        <w:t>he archival drive</w:t>
      </w:r>
      <w:r w:rsidRPr="0027666F">
        <w:rPr>
          <w:rFonts w:ascii="Garamond" w:hAnsi="Garamond"/>
        </w:rPr>
        <w:t xml:space="preserve"> as a</w:t>
      </w:r>
      <w:r w:rsidR="009A6B94" w:rsidRPr="0027666F">
        <w:rPr>
          <w:rFonts w:ascii="Garamond" w:hAnsi="Garamond"/>
        </w:rPr>
        <w:t xml:space="preserve"> process of producing, ordering, fixing, records for the archive, and reifying the existence of particular subjects and objects mirrors the very logics of nationalism. Underneath the clamours of this ‘total history’, lies a need to </w:t>
      </w:r>
      <w:r w:rsidR="00B3242F" w:rsidRPr="0027666F">
        <w:rPr>
          <w:rFonts w:ascii="Garamond" w:hAnsi="Garamond"/>
        </w:rPr>
        <w:t>categorise</w:t>
      </w:r>
      <w:r w:rsidR="009A6B94" w:rsidRPr="0027666F">
        <w:rPr>
          <w:rFonts w:ascii="Garamond" w:hAnsi="Garamond"/>
        </w:rPr>
        <w:t xml:space="preserve">, to name, and therefore also to exclude. At its extreme, these logics – an obsessiveness for categorising, ordering and excluding -  also unpin acts of violence such as genocide. It is for this reason that Derrida </w:t>
      </w:r>
      <w:r w:rsidR="00C862EF" w:rsidRPr="0027666F">
        <w:rPr>
          <w:rFonts w:ascii="Garamond" w:hAnsi="Garamond"/>
        </w:rPr>
        <w:t xml:space="preserve">(1995) </w:t>
      </w:r>
      <w:r w:rsidR="009A6B94" w:rsidRPr="0027666F">
        <w:rPr>
          <w:rFonts w:ascii="Garamond" w:hAnsi="Garamond"/>
        </w:rPr>
        <w:t>sees that there is a sort of sickness within the heart of the archive.</w:t>
      </w:r>
    </w:p>
    <w:p w14:paraId="274B015F" w14:textId="77777777" w:rsidR="002A6643" w:rsidRPr="0027666F" w:rsidRDefault="002A6643" w:rsidP="00394892">
      <w:pPr>
        <w:rPr>
          <w:rFonts w:ascii="Garamond" w:hAnsi="Garamond"/>
        </w:rPr>
      </w:pPr>
    </w:p>
    <w:p w14:paraId="6DDC8325" w14:textId="65F003D3" w:rsidR="002A6643" w:rsidRPr="0027666F" w:rsidRDefault="00B80E9A" w:rsidP="00260796">
      <w:pPr>
        <w:pStyle w:val="Heading2"/>
      </w:pPr>
      <w:r w:rsidRPr="0027666F">
        <w:t>Silence in the Archive</w:t>
      </w:r>
    </w:p>
    <w:p w14:paraId="3D04AA3E" w14:textId="7703D174" w:rsidR="00685D78" w:rsidRPr="0027666F" w:rsidRDefault="00685D78" w:rsidP="00394892">
      <w:pPr>
        <w:rPr>
          <w:rFonts w:ascii="Garamond" w:hAnsi="Garamond"/>
          <w:i/>
        </w:rPr>
      </w:pPr>
    </w:p>
    <w:p w14:paraId="68875389" w14:textId="26097ACF" w:rsidR="00685D78" w:rsidRPr="0027666F" w:rsidRDefault="00560C1B" w:rsidP="00394892">
      <w:pPr>
        <w:rPr>
          <w:rFonts w:ascii="Garamond" w:hAnsi="Garamond"/>
        </w:rPr>
      </w:pPr>
      <w:r w:rsidRPr="0027666F">
        <w:rPr>
          <w:rFonts w:ascii="Garamond" w:hAnsi="Garamond"/>
        </w:rPr>
        <w:t>As the above suggests, the archive</w:t>
      </w:r>
      <w:r w:rsidR="00B80E9A" w:rsidRPr="0027666F">
        <w:rPr>
          <w:rFonts w:ascii="Garamond" w:hAnsi="Garamond"/>
        </w:rPr>
        <w:t>’</w:t>
      </w:r>
      <w:r w:rsidRPr="0027666F">
        <w:rPr>
          <w:rFonts w:ascii="Garamond" w:hAnsi="Garamond"/>
        </w:rPr>
        <w:t xml:space="preserve">s claim to a totalising </w:t>
      </w:r>
      <w:r w:rsidR="00BD54DD" w:rsidRPr="0027666F">
        <w:rPr>
          <w:rFonts w:ascii="Garamond" w:hAnsi="Garamond"/>
        </w:rPr>
        <w:t xml:space="preserve">depiction of the past conceals the way in which the archive structures and ultimately excludes records. Indeed, the </w:t>
      </w:r>
      <w:r w:rsidR="00BD54DD" w:rsidRPr="0027666F">
        <w:rPr>
          <w:rFonts w:ascii="Garamond" w:hAnsi="Garamond"/>
          <w:i/>
        </w:rPr>
        <w:t xml:space="preserve">bounded </w:t>
      </w:r>
      <w:r w:rsidR="00BD54DD" w:rsidRPr="0027666F">
        <w:rPr>
          <w:rFonts w:ascii="Garamond" w:hAnsi="Garamond"/>
        </w:rPr>
        <w:t xml:space="preserve">nature of the archive is one </w:t>
      </w:r>
      <w:r w:rsidR="00B80E9A" w:rsidRPr="0027666F">
        <w:rPr>
          <w:rFonts w:ascii="Garamond" w:hAnsi="Garamond"/>
        </w:rPr>
        <w:t>it’s key features</w:t>
      </w:r>
      <w:r w:rsidR="00BD54DD" w:rsidRPr="0027666F">
        <w:rPr>
          <w:rFonts w:ascii="Garamond" w:hAnsi="Garamond"/>
        </w:rPr>
        <w:t xml:space="preserve">, and this means that it cannot – as is perhaps obvious – ever </w:t>
      </w:r>
      <w:r w:rsidR="00B80E9A" w:rsidRPr="0027666F">
        <w:rPr>
          <w:rFonts w:ascii="Garamond" w:hAnsi="Garamond"/>
        </w:rPr>
        <w:t>achieve</w:t>
      </w:r>
      <w:r w:rsidR="00BD54DD" w:rsidRPr="0027666F">
        <w:rPr>
          <w:rFonts w:ascii="Garamond" w:hAnsi="Garamond"/>
        </w:rPr>
        <w:t xml:space="preserve"> this total history (although it is perhaps more the aspiration towards this that is what leads to the </w:t>
      </w:r>
      <w:r w:rsidR="00A33BB0" w:rsidRPr="0027666F">
        <w:rPr>
          <w:rFonts w:ascii="Garamond" w:hAnsi="Garamond"/>
        </w:rPr>
        <w:t>s</w:t>
      </w:r>
      <w:r w:rsidR="00BD54DD" w:rsidRPr="0027666F">
        <w:rPr>
          <w:rFonts w:ascii="Garamond" w:hAnsi="Garamond"/>
        </w:rPr>
        <w:t>ickness Derrida points to). Indeed, within the archive, as Foucault reminds us, is a set of rules which determine what can be allowed in and in what form</w:t>
      </w:r>
      <w:r w:rsidR="00B80E9A" w:rsidRPr="0027666F">
        <w:rPr>
          <w:rFonts w:ascii="Garamond" w:hAnsi="Garamond"/>
        </w:rPr>
        <w:t xml:space="preserve"> (</w:t>
      </w:r>
      <w:r w:rsidR="00C862EF" w:rsidRPr="0027666F">
        <w:rPr>
          <w:rFonts w:ascii="Garamond" w:hAnsi="Garamond"/>
        </w:rPr>
        <w:t>1975</w:t>
      </w:r>
      <w:r w:rsidR="00B80E9A" w:rsidRPr="0027666F">
        <w:rPr>
          <w:rFonts w:ascii="Garamond" w:hAnsi="Garamond"/>
        </w:rPr>
        <w:t>)</w:t>
      </w:r>
      <w:r w:rsidR="00BD54DD" w:rsidRPr="0027666F">
        <w:rPr>
          <w:rFonts w:ascii="Garamond" w:hAnsi="Garamond"/>
        </w:rPr>
        <w:t xml:space="preserve">. If, as the above argues, the archive is also at the heart of the formation of community then what is allow in, and what is kept out, is crucial to understanding </w:t>
      </w:r>
      <w:r w:rsidR="00BD54DD" w:rsidRPr="0027666F">
        <w:rPr>
          <w:rFonts w:ascii="Garamond" w:hAnsi="Garamond"/>
          <w:i/>
        </w:rPr>
        <w:t xml:space="preserve">what </w:t>
      </w:r>
      <w:r w:rsidR="00BD54DD" w:rsidRPr="0027666F">
        <w:rPr>
          <w:rFonts w:ascii="Garamond" w:hAnsi="Garamond"/>
        </w:rPr>
        <w:t xml:space="preserve">community is formed. </w:t>
      </w:r>
    </w:p>
    <w:p w14:paraId="5B2E7C1F" w14:textId="215C9BE3" w:rsidR="00BD54DD" w:rsidRPr="0027666F" w:rsidRDefault="00BD54DD" w:rsidP="00394892">
      <w:pPr>
        <w:rPr>
          <w:rFonts w:ascii="Garamond" w:hAnsi="Garamond"/>
        </w:rPr>
      </w:pPr>
    </w:p>
    <w:p w14:paraId="61FB1EEF" w14:textId="3D29FFAF" w:rsidR="00B80E9A" w:rsidRPr="0027666F" w:rsidRDefault="00DD77AA" w:rsidP="00B80E9A">
      <w:pPr>
        <w:rPr>
          <w:rFonts w:ascii="Garamond" w:hAnsi="Garamond"/>
        </w:rPr>
      </w:pPr>
      <w:r w:rsidRPr="0027666F">
        <w:rPr>
          <w:rFonts w:ascii="Garamond" w:hAnsi="Garamond"/>
        </w:rPr>
        <w:lastRenderedPageBreak/>
        <w:t xml:space="preserve">Foucault </w:t>
      </w:r>
      <w:r w:rsidR="008F29B0" w:rsidRPr="0027666F">
        <w:rPr>
          <w:rFonts w:ascii="Garamond" w:hAnsi="Garamond"/>
        </w:rPr>
        <w:t xml:space="preserve">(1975, 127) </w:t>
      </w:r>
      <w:r w:rsidR="00B80E9A" w:rsidRPr="0027666F">
        <w:rPr>
          <w:rFonts w:ascii="Garamond" w:hAnsi="Garamond"/>
        </w:rPr>
        <w:t xml:space="preserve">describes the archive’s rules as the </w:t>
      </w:r>
      <w:r w:rsidRPr="0027666F">
        <w:rPr>
          <w:rFonts w:ascii="Garamond" w:hAnsi="Garamond"/>
        </w:rPr>
        <w:t>‘rules of formation’,</w:t>
      </w:r>
      <w:r w:rsidR="00B80E9A" w:rsidRPr="0027666F">
        <w:rPr>
          <w:rFonts w:ascii="Garamond" w:hAnsi="Garamond"/>
        </w:rPr>
        <w:t xml:space="preserve"> which </w:t>
      </w:r>
      <w:r w:rsidRPr="0027666F">
        <w:rPr>
          <w:rFonts w:ascii="Garamond" w:hAnsi="Garamond"/>
        </w:rPr>
        <w:t xml:space="preserve">offer a way in which to interrogate how are archive produces, and excludes, records in particular ways. </w:t>
      </w:r>
      <w:r w:rsidR="00B80E9A" w:rsidRPr="0027666F">
        <w:rPr>
          <w:rFonts w:ascii="Garamond" w:hAnsi="Garamond"/>
        </w:rPr>
        <w:t>Whilst each</w:t>
      </w:r>
      <w:r w:rsidR="008F29B0" w:rsidRPr="0027666F">
        <w:rPr>
          <w:rFonts w:ascii="Garamond" w:hAnsi="Garamond"/>
        </w:rPr>
        <w:t xml:space="preserve"> transitional justice</w:t>
      </w:r>
      <w:r w:rsidR="00B80E9A" w:rsidRPr="0027666F">
        <w:rPr>
          <w:rFonts w:ascii="Garamond" w:hAnsi="Garamond"/>
        </w:rPr>
        <w:t xml:space="preserve"> archive will have its own set of rule</w:t>
      </w:r>
      <w:r w:rsidR="008F29B0" w:rsidRPr="0027666F">
        <w:rPr>
          <w:rFonts w:ascii="Garamond" w:hAnsi="Garamond"/>
        </w:rPr>
        <w:t>s</w:t>
      </w:r>
      <w:r w:rsidR="00A33BB0" w:rsidRPr="0027666F">
        <w:rPr>
          <w:rFonts w:ascii="Garamond" w:hAnsi="Garamond"/>
        </w:rPr>
        <w:t xml:space="preserve"> (though </w:t>
      </w:r>
      <w:r w:rsidR="00B62BE2" w:rsidRPr="0027666F">
        <w:rPr>
          <w:rFonts w:ascii="Garamond" w:hAnsi="Garamond"/>
        </w:rPr>
        <w:t xml:space="preserve">likely </w:t>
      </w:r>
      <w:r w:rsidR="00A33BB0" w:rsidRPr="0027666F">
        <w:rPr>
          <w:rFonts w:ascii="Garamond" w:hAnsi="Garamond"/>
        </w:rPr>
        <w:t>anchored by the global discourse of transitional justice)</w:t>
      </w:r>
      <w:r w:rsidR="00B80E9A" w:rsidRPr="0027666F">
        <w:rPr>
          <w:rFonts w:ascii="Garamond" w:hAnsi="Garamond"/>
        </w:rPr>
        <w:t>, it is</w:t>
      </w:r>
      <w:r w:rsidRPr="0027666F">
        <w:rPr>
          <w:rFonts w:ascii="Garamond" w:hAnsi="Garamond"/>
        </w:rPr>
        <w:t xml:space="preserve"> possible </w:t>
      </w:r>
      <w:r w:rsidR="00A33BB0" w:rsidRPr="0027666F">
        <w:rPr>
          <w:rFonts w:ascii="Garamond" w:hAnsi="Garamond"/>
        </w:rPr>
        <w:t xml:space="preserve">even from a cursory glance </w:t>
      </w:r>
      <w:r w:rsidRPr="0027666F">
        <w:rPr>
          <w:rFonts w:ascii="Garamond" w:hAnsi="Garamond"/>
        </w:rPr>
        <w:t>to see how this affects transitional justice archives. To return to Chile</w:t>
      </w:r>
      <w:r w:rsidR="00B80E9A" w:rsidRPr="0027666F">
        <w:rPr>
          <w:rFonts w:ascii="Garamond" w:hAnsi="Garamond"/>
        </w:rPr>
        <w:t xml:space="preserve">, whilst </w:t>
      </w:r>
      <w:r w:rsidR="00A33BB0" w:rsidRPr="0027666F">
        <w:rPr>
          <w:rFonts w:ascii="Garamond" w:hAnsi="Garamond"/>
        </w:rPr>
        <w:t xml:space="preserve">the Vicaría de la Solidarida’s </w:t>
      </w:r>
      <w:r w:rsidR="00B80E9A" w:rsidRPr="0027666F">
        <w:rPr>
          <w:rFonts w:ascii="Garamond" w:hAnsi="Garamond"/>
        </w:rPr>
        <w:t>archives were of great importance</w:t>
      </w:r>
      <w:r w:rsidR="00A33BB0" w:rsidRPr="0027666F">
        <w:rPr>
          <w:rFonts w:ascii="Garamond" w:hAnsi="Garamond"/>
        </w:rPr>
        <w:t xml:space="preserve"> for the transitional process</w:t>
      </w:r>
      <w:r w:rsidR="00B80E9A" w:rsidRPr="0027666F">
        <w:rPr>
          <w:rFonts w:ascii="Garamond" w:hAnsi="Garamond"/>
        </w:rPr>
        <w:t xml:space="preserve">, they also excluded </w:t>
      </w:r>
      <w:r w:rsidR="008F29B0" w:rsidRPr="0027666F">
        <w:rPr>
          <w:rFonts w:ascii="Garamond" w:hAnsi="Garamond"/>
        </w:rPr>
        <w:t>certain aspects</w:t>
      </w:r>
      <w:r w:rsidR="00B80E9A" w:rsidRPr="0027666F">
        <w:rPr>
          <w:rFonts w:ascii="Garamond" w:hAnsi="Garamond"/>
        </w:rPr>
        <w:t xml:space="preserve"> of the violence. </w:t>
      </w:r>
      <w:r w:rsidR="00B62BE2" w:rsidRPr="0027666F">
        <w:rPr>
          <w:rFonts w:ascii="Garamond" w:hAnsi="Garamond"/>
        </w:rPr>
        <w:t>Records:</w:t>
      </w:r>
      <w:r w:rsidR="00B80E9A" w:rsidRPr="0027666F">
        <w:rPr>
          <w:rFonts w:ascii="Garamond" w:hAnsi="Garamond"/>
        </w:rPr>
        <w:t xml:space="preserve"> were limited by </w:t>
      </w:r>
      <w:r w:rsidR="00B62BE2" w:rsidRPr="0027666F">
        <w:rPr>
          <w:rFonts w:ascii="Garamond" w:hAnsi="Garamond"/>
        </w:rPr>
        <w:t>a</w:t>
      </w:r>
      <w:r w:rsidR="00B80E9A" w:rsidRPr="0027666F">
        <w:rPr>
          <w:rFonts w:ascii="Garamond" w:hAnsi="Garamond"/>
        </w:rPr>
        <w:t xml:space="preserve"> lack </w:t>
      </w:r>
      <w:r w:rsidR="00B62BE2" w:rsidRPr="0027666F">
        <w:rPr>
          <w:rFonts w:ascii="Garamond" w:hAnsi="Garamond"/>
        </w:rPr>
        <w:t>of information of</w:t>
      </w:r>
      <w:r w:rsidR="00B80E9A" w:rsidRPr="0027666F">
        <w:rPr>
          <w:rFonts w:ascii="Garamond" w:hAnsi="Garamond"/>
        </w:rPr>
        <w:t xml:space="preserve"> victims</w:t>
      </w:r>
      <w:r w:rsidR="008F29B0" w:rsidRPr="0027666F">
        <w:rPr>
          <w:rFonts w:ascii="Garamond" w:hAnsi="Garamond"/>
        </w:rPr>
        <w:t>’</w:t>
      </w:r>
      <w:r w:rsidR="00B80E9A" w:rsidRPr="0027666F">
        <w:rPr>
          <w:rFonts w:ascii="Garamond" w:hAnsi="Garamond"/>
        </w:rPr>
        <w:t xml:space="preserve"> political affiliation (which made them appear as passive apolitical actors); </w:t>
      </w:r>
      <w:r w:rsidR="008F29B0" w:rsidRPr="0027666F">
        <w:rPr>
          <w:rFonts w:ascii="Garamond" w:hAnsi="Garamond"/>
        </w:rPr>
        <w:t xml:space="preserve">failed to record evidence of the </w:t>
      </w:r>
      <w:r w:rsidR="00B80E9A" w:rsidRPr="0027666F">
        <w:rPr>
          <w:rFonts w:ascii="Garamond" w:hAnsi="Garamond"/>
        </w:rPr>
        <w:t xml:space="preserve">wide spread sexual violence that </w:t>
      </w:r>
      <w:r w:rsidR="00A33BB0" w:rsidRPr="0027666F">
        <w:rPr>
          <w:rFonts w:ascii="Garamond" w:hAnsi="Garamond"/>
        </w:rPr>
        <w:t>occurred</w:t>
      </w:r>
      <w:r w:rsidR="00B80E9A" w:rsidRPr="0027666F">
        <w:rPr>
          <w:rFonts w:ascii="Garamond" w:hAnsi="Garamond"/>
        </w:rPr>
        <w:t xml:space="preserve">; and </w:t>
      </w:r>
      <w:r w:rsidR="00A33BB0" w:rsidRPr="0027666F">
        <w:rPr>
          <w:rFonts w:ascii="Garamond" w:hAnsi="Garamond"/>
        </w:rPr>
        <w:t>were</w:t>
      </w:r>
      <w:r w:rsidR="00B80E9A" w:rsidRPr="0027666F">
        <w:rPr>
          <w:rFonts w:ascii="Garamond" w:hAnsi="Garamond"/>
        </w:rPr>
        <w:t xml:space="preserve"> geographically limited in scope to the area around the capital, Santiago (Lira</w:t>
      </w:r>
      <w:r w:rsidR="008F29B0" w:rsidRPr="0027666F">
        <w:rPr>
          <w:rFonts w:ascii="Garamond" w:hAnsi="Garamond"/>
        </w:rPr>
        <w:t xml:space="preserve"> 2017</w:t>
      </w:r>
      <w:r w:rsidR="00B80E9A" w:rsidRPr="0027666F">
        <w:rPr>
          <w:rFonts w:ascii="Garamond" w:hAnsi="Garamond"/>
        </w:rPr>
        <w:t>, 193-5). This is not</w:t>
      </w:r>
      <w:r w:rsidR="00B80E9A" w:rsidRPr="0027666F">
        <w:rPr>
          <w:rFonts w:ascii="Garamond" w:hAnsi="Garamond"/>
          <w:i/>
        </w:rPr>
        <w:t xml:space="preserve"> </w:t>
      </w:r>
      <w:r w:rsidR="00B80E9A" w:rsidRPr="0027666F">
        <w:rPr>
          <w:rFonts w:ascii="Garamond" w:hAnsi="Garamond"/>
        </w:rPr>
        <w:t>to criticis</w:t>
      </w:r>
      <w:r w:rsidR="00B62BE2" w:rsidRPr="0027666F">
        <w:rPr>
          <w:rFonts w:ascii="Garamond" w:hAnsi="Garamond"/>
        </w:rPr>
        <w:t>e</w:t>
      </w:r>
      <w:r w:rsidR="00B80E9A" w:rsidRPr="0027666F">
        <w:rPr>
          <w:rFonts w:ascii="Garamond" w:hAnsi="Garamond"/>
        </w:rPr>
        <w:t xml:space="preserve"> this work. But, rather, to suggest that the archive will always be limited, and so the rule</w:t>
      </w:r>
      <w:r w:rsidR="00B62BE2" w:rsidRPr="0027666F">
        <w:rPr>
          <w:rFonts w:ascii="Garamond" w:hAnsi="Garamond"/>
        </w:rPr>
        <w:t xml:space="preserve">s </w:t>
      </w:r>
      <w:r w:rsidR="00B80E9A" w:rsidRPr="0027666F">
        <w:rPr>
          <w:rFonts w:ascii="Garamond" w:hAnsi="Garamond"/>
        </w:rPr>
        <w:t>that determine what is allowed in</w:t>
      </w:r>
      <w:r w:rsidR="00B62BE2" w:rsidRPr="0027666F">
        <w:rPr>
          <w:rFonts w:ascii="Garamond" w:hAnsi="Garamond"/>
        </w:rPr>
        <w:t>/</w:t>
      </w:r>
      <w:r w:rsidR="00B80E9A" w:rsidRPr="0027666F">
        <w:rPr>
          <w:rFonts w:ascii="Garamond" w:hAnsi="Garamond"/>
        </w:rPr>
        <w:t xml:space="preserve"> kept out</w:t>
      </w:r>
      <w:r w:rsidR="00B62BE2" w:rsidRPr="0027666F">
        <w:rPr>
          <w:rFonts w:ascii="Garamond" w:hAnsi="Garamond"/>
        </w:rPr>
        <w:t xml:space="preserve"> </w:t>
      </w:r>
      <w:r w:rsidR="00B80E9A" w:rsidRPr="0027666F">
        <w:rPr>
          <w:rFonts w:ascii="Garamond" w:hAnsi="Garamond"/>
        </w:rPr>
        <w:t xml:space="preserve">need to be understood </w:t>
      </w:r>
      <w:r w:rsidR="00B62BE2" w:rsidRPr="0027666F">
        <w:rPr>
          <w:rFonts w:ascii="Garamond" w:hAnsi="Garamond"/>
        </w:rPr>
        <w:t xml:space="preserve">in order </w:t>
      </w:r>
      <w:r w:rsidR="00B80E9A" w:rsidRPr="0027666F">
        <w:rPr>
          <w:rFonts w:ascii="Garamond" w:hAnsi="Garamond"/>
        </w:rPr>
        <w:t>to understand what types are being brought into existence through them</w:t>
      </w:r>
      <w:r w:rsidR="008F29B0" w:rsidRPr="0027666F">
        <w:rPr>
          <w:rFonts w:ascii="Garamond" w:hAnsi="Garamond"/>
        </w:rPr>
        <w:t xml:space="preserve"> (see also Moon </w:t>
      </w:r>
      <w:r w:rsidR="008F29B0" w:rsidRPr="0027666F">
        <w:rPr>
          <w:rFonts w:ascii="Garamond" w:hAnsi="Garamond"/>
        </w:rPr>
        <w:fldChar w:fldCharType="begin"/>
      </w:r>
      <w:r w:rsidR="008F29B0" w:rsidRPr="0027666F">
        <w:rPr>
          <w:rFonts w:ascii="Garamond" w:hAnsi="Garamond"/>
        </w:rPr>
        <w:instrText xml:space="preserve"> ADDIN EN.CITE &lt;EndNote&gt;&lt;Cite&gt;&lt;Author&gt;Moon&lt;/Author&gt;&lt;Year&gt;2006&lt;/Year&gt;&lt;RecNum&gt;54&lt;/RecNum&gt;&lt;record&gt;&lt;rec-number&gt;54&lt;/rec-number&gt;&lt;foreign-keys&gt;&lt;key app="EN" db-id="0rewstxe3sdfepeps9f5xrt55srrdw2s5r9x" timestamp="1535463914"&gt;54&lt;/key&gt;&lt;/foreign-keys&gt;&lt;ref-type name="Journal Article"&gt;17&lt;/ref-type&gt;&lt;contributors&gt;&lt;authors&gt;&lt;author&gt;Moon, Claire&lt;/author&gt;&lt;/authors&gt;&lt;/contributors&gt;&lt;titles&gt;&lt;title&gt;Narrating Political reconciliation: Truth and Reconciliation in South Africa&lt;/title&gt;&lt;secondary-title&gt;Social Legal Studies&lt;/secondary-title&gt;&lt;/titles&gt;&lt;periodical&gt;&lt;full-title&gt;Social Legal Studies&lt;/full-title&gt;&lt;/periodical&gt;&lt;pages&gt;257-275&lt;/pages&gt;&lt;volume&gt;15&lt;/volume&gt;&lt;number&gt;2&lt;/number&gt;&lt;section&gt;257&lt;/section&gt;&lt;keywords&gt;&lt;keyword&gt;South Africa&lt;/keyword&gt;&lt;keyword&gt;Transitional Justice&lt;/keyword&gt;&lt;keyword&gt;Truth Commissions&lt;/keyword&gt;&lt;keyword&gt;Reconciliation&lt;/keyword&gt;&lt;keyword&gt;Critical&lt;/keyword&gt;&lt;/keywords&gt;&lt;dates&gt;&lt;year&gt;2006&lt;/year&gt;&lt;/dates&gt;&lt;urls&gt;&lt;/urls&gt;&lt;/record&gt;&lt;/Cite&gt;&lt;Cite&gt;&lt;Author&gt;Moon&lt;/Author&gt;&lt;Year&gt;2006&lt;/Year&gt;&lt;RecNum&gt;54&lt;/RecNum&gt;&lt;record&gt;&lt;rec-number&gt;54&lt;/rec-number&gt;&lt;foreign-keys&gt;&lt;key app="EN" db-id="0rewstxe3sdfepeps9f5xrt55srrdw2s5r9x" timestamp="1535463914"&gt;54&lt;/key&gt;&lt;/foreign-keys&gt;&lt;ref-type name="Journal Article"&gt;17&lt;/ref-type&gt;&lt;contributors&gt;&lt;authors&gt;&lt;author&gt;Moon, Claire&lt;/author&gt;&lt;/authors&gt;&lt;/contributors&gt;&lt;titles&gt;&lt;title&gt;Narrating Political reconciliation: Truth and Reconciliation in South Africa&lt;/title&gt;&lt;secondary-title&gt;Social Legal Studies&lt;/secondary-title&gt;&lt;/titles&gt;&lt;periodical&gt;&lt;full-title&gt;Social Legal Studies&lt;/full-title&gt;&lt;/periodical&gt;&lt;pages&gt;257-275&lt;/pages&gt;&lt;volume&gt;15&lt;/volume&gt;&lt;number&gt;2&lt;/number&gt;&lt;section&gt;257&lt;/section&gt;&lt;keywords&gt;&lt;keyword&gt;South Africa&lt;/keyword&gt;&lt;keyword&gt;Transitional Justice&lt;/keyword&gt;&lt;keyword&gt;Truth Commissions&lt;/keyword&gt;&lt;keyword&gt;Reconciliation&lt;/keyword&gt;&lt;keyword&gt;Critical&lt;/keyword&gt;&lt;/keywords&gt;&lt;dates&gt;&lt;year&gt;2006&lt;/year&gt;&lt;/dates&gt;&lt;urls&gt;&lt;/urls&gt;&lt;/record&gt;&lt;/Cite&gt;&lt;/EndNote&gt;</w:instrText>
      </w:r>
      <w:r w:rsidR="008F29B0" w:rsidRPr="0027666F">
        <w:rPr>
          <w:rFonts w:ascii="Garamond" w:hAnsi="Garamond"/>
        </w:rPr>
        <w:fldChar w:fldCharType="end"/>
      </w:r>
      <w:r w:rsidR="008F29B0" w:rsidRPr="0027666F">
        <w:rPr>
          <w:rFonts w:ascii="Garamond" w:hAnsi="Garamond"/>
        </w:rPr>
        <w:t>2006</w:t>
      </w:r>
      <w:r w:rsidR="00E7150F" w:rsidRPr="0027666F">
        <w:rPr>
          <w:rFonts w:ascii="Garamond" w:hAnsi="Garamond"/>
        </w:rPr>
        <w:t>; Kolia 2018</w:t>
      </w:r>
      <w:r w:rsidR="00E7150F" w:rsidRPr="0027666F">
        <w:rPr>
          <w:rFonts w:ascii="Garamond" w:hAnsi="Garamond"/>
        </w:rPr>
        <w:fldChar w:fldCharType="begin"/>
      </w:r>
      <w:r w:rsidR="00E7150F" w:rsidRPr="0027666F">
        <w:rPr>
          <w:rFonts w:ascii="Garamond" w:hAnsi="Garamond"/>
        </w:rPr>
        <w:instrText xml:space="preserve"> ADDIN EN.CITE &lt;EndNote&gt;&lt;Cite&gt;&lt;Author&gt;Kolia&lt;/Author&gt;&lt;Year&gt;2018&lt;/Year&gt;&lt;RecNum&gt;530&lt;/RecNum&gt;&lt;record&gt;&lt;rec-number&gt;530&lt;/rec-number&gt;&lt;foreign-keys&gt;&lt;key app="EN" db-id="0rewstxe3sdfepeps9f5xrt55srrdw2s5r9x" timestamp="1601055814"&gt;530&lt;/key&gt;&lt;/foreign-keys&gt;&lt;ref-type name="Book Section"&gt;5&lt;/ref-type&gt;&lt;contributors&gt;&lt;authors&gt;&lt;author&gt;Kolia, Zahir&lt;/author&gt;&lt;/authors&gt;&lt;secondary-authors&gt;&lt;author&gt;de Heredia, Marta Iñiguez &lt;/author&gt;&lt;author&gt;Wai, Zubairu &lt;/author&gt;&lt;/secondary-authors&gt;&lt;/contributors&gt;&lt;titles&gt;&lt;title&gt;Archiving Trauma and Amnesia: The Racialized Political Theologies of Reconciliation in South Africa&lt;/title&gt;&lt;secondary-title&gt;Recentering Africa in International Relations Beyond Lack, Peripherality, and Failure&lt;/secondary-title&gt;&lt;/titles&gt;&lt;pages&gt;145-165&lt;/pages&gt;&lt;dates&gt;&lt;year&gt;2018&lt;/year&gt;&lt;/dates&gt;&lt;pub-location&gt;Basingstoke&lt;/pub-location&gt;&lt;publisher&gt;Palgrave Macmillan&lt;/publisher&gt;&lt;urls&gt;&lt;/urls&gt;&lt;/record&gt;&lt;/Cite&gt;&lt;/EndNote&gt;</w:instrText>
      </w:r>
      <w:r w:rsidR="00E7150F" w:rsidRPr="0027666F">
        <w:rPr>
          <w:rFonts w:ascii="Garamond" w:hAnsi="Garamond"/>
        </w:rPr>
        <w:fldChar w:fldCharType="end"/>
      </w:r>
      <w:r w:rsidR="008F29B0" w:rsidRPr="0027666F">
        <w:rPr>
          <w:rFonts w:ascii="Garamond" w:hAnsi="Garamond"/>
        </w:rPr>
        <w:t>)</w:t>
      </w:r>
      <w:r w:rsidR="00B80E9A" w:rsidRPr="0027666F">
        <w:rPr>
          <w:rFonts w:ascii="Garamond" w:hAnsi="Garamond"/>
        </w:rPr>
        <w:t xml:space="preserve">. </w:t>
      </w:r>
    </w:p>
    <w:p w14:paraId="0FBEB00F" w14:textId="77777777" w:rsidR="00B80E9A" w:rsidRPr="0027666F" w:rsidRDefault="00B80E9A" w:rsidP="00B80E9A">
      <w:pPr>
        <w:rPr>
          <w:rFonts w:ascii="Garamond" w:hAnsi="Garamond"/>
        </w:rPr>
      </w:pPr>
    </w:p>
    <w:p w14:paraId="4079E1B5" w14:textId="21CD5D18" w:rsidR="00F76A82" w:rsidRPr="0027666F" w:rsidRDefault="00DD77AA" w:rsidP="00394892">
      <w:pPr>
        <w:rPr>
          <w:rFonts w:ascii="Garamond" w:hAnsi="Garamond"/>
        </w:rPr>
      </w:pPr>
      <w:r w:rsidRPr="0027666F">
        <w:rPr>
          <w:rFonts w:ascii="Garamond" w:hAnsi="Garamond"/>
        </w:rPr>
        <w:t xml:space="preserve"> Another example of this could be</w:t>
      </w:r>
      <w:r w:rsidR="00A33BB0" w:rsidRPr="0027666F">
        <w:rPr>
          <w:rFonts w:ascii="Garamond" w:hAnsi="Garamond"/>
        </w:rPr>
        <w:t xml:space="preserve"> the ICTR’s archive</w:t>
      </w:r>
      <w:r w:rsidRPr="0027666F">
        <w:rPr>
          <w:rFonts w:ascii="Garamond" w:hAnsi="Garamond"/>
        </w:rPr>
        <w:t xml:space="preserve">. Here, the </w:t>
      </w:r>
      <w:r w:rsidR="00A33BB0" w:rsidRPr="0027666F">
        <w:rPr>
          <w:rFonts w:ascii="Garamond" w:hAnsi="Garamond"/>
        </w:rPr>
        <w:t xml:space="preserve">tribunal’s </w:t>
      </w:r>
      <w:r w:rsidR="00B3242F" w:rsidRPr="0027666F">
        <w:rPr>
          <w:rFonts w:ascii="Garamond" w:hAnsi="Garamond"/>
        </w:rPr>
        <w:t>consistent</w:t>
      </w:r>
      <w:r w:rsidRPr="0027666F">
        <w:rPr>
          <w:rFonts w:ascii="Garamond" w:hAnsi="Garamond"/>
        </w:rPr>
        <w:t xml:space="preserve"> failure to adequately incorporate gender based violence into the investigation and trial strategies </w:t>
      </w:r>
      <w:r w:rsidR="00A33BB0" w:rsidRPr="0027666F">
        <w:rPr>
          <w:rFonts w:ascii="Garamond" w:hAnsi="Garamond"/>
        </w:rPr>
        <w:t>has</w:t>
      </w:r>
      <w:r w:rsidRPr="0027666F">
        <w:rPr>
          <w:rFonts w:ascii="Garamond" w:hAnsi="Garamond"/>
        </w:rPr>
        <w:t xml:space="preserve"> left a hole in the archive when it comes to violence committed against women. </w:t>
      </w:r>
      <w:r w:rsidR="000C02F0" w:rsidRPr="0027666F">
        <w:rPr>
          <w:rFonts w:ascii="Garamond" w:hAnsi="Garamond"/>
        </w:rPr>
        <w:t>Research has showed that this is not because evidence wasn’t there, but rather because patriarchal understandings of</w:t>
      </w:r>
      <w:r w:rsidR="00A33BB0" w:rsidRPr="0027666F">
        <w:rPr>
          <w:rFonts w:ascii="Garamond" w:hAnsi="Garamond"/>
        </w:rPr>
        <w:t xml:space="preserve"> violence and</w:t>
      </w:r>
      <w:r w:rsidR="000C02F0" w:rsidRPr="0027666F">
        <w:rPr>
          <w:rFonts w:ascii="Garamond" w:hAnsi="Garamond"/>
        </w:rPr>
        <w:t xml:space="preserve"> community meant that this evidence simply wasn’t valued in the same way as others (</w:t>
      </w:r>
      <w:r w:rsidR="005A70A3" w:rsidRPr="0027666F">
        <w:rPr>
          <w:rFonts w:ascii="Garamond" w:hAnsi="Garamond"/>
        </w:rPr>
        <w:t xml:space="preserve">Redwood </w:t>
      </w:r>
      <w:r w:rsidR="005A70A3" w:rsidRPr="0027666F">
        <w:rPr>
          <w:rFonts w:ascii="Garamond" w:hAnsi="Garamond"/>
          <w:i/>
        </w:rPr>
        <w:t>forthcoming</w:t>
      </w:r>
      <w:r w:rsidR="005A70A3" w:rsidRPr="0027666F">
        <w:rPr>
          <w:rFonts w:ascii="Garamond" w:hAnsi="Garamond"/>
        </w:rPr>
        <w:t xml:space="preserve">; </w:t>
      </w:r>
      <w:r w:rsidR="005A70A3" w:rsidRPr="0027666F">
        <w:rPr>
          <w:rFonts w:ascii="Garamond" w:hAnsi="Garamond" w:cs="Times New Roman"/>
          <w:color w:val="000000" w:themeColor="text1"/>
        </w:rPr>
        <w:t xml:space="preserve">Walsh 2009; MacKinnon 2007; </w:t>
      </w:r>
      <w:r w:rsidR="005A70A3" w:rsidRPr="0027666F">
        <w:rPr>
          <w:rFonts w:ascii="Garamond" w:hAnsi="Garamond" w:cs="Times New Roman"/>
          <w:color w:val="000000" w:themeColor="text1"/>
        </w:rPr>
        <w:fldChar w:fldCharType="begin"/>
      </w:r>
      <w:r w:rsidR="005A70A3" w:rsidRPr="0027666F">
        <w:rPr>
          <w:rFonts w:ascii="Garamond" w:hAnsi="Garamond" w:cs="Times New Roman"/>
          <w:color w:val="000000" w:themeColor="text1"/>
        </w:rPr>
        <w:instrText xml:space="preserve"> ADDIN EN.CITE &lt;EndNote&gt;&lt;Cite&gt;&lt;Author&gt;Nowrojee&lt;/Author&gt;&lt;Year&gt;2007&lt;/Year&gt;&lt;RecNum&gt;97&lt;/RecNum&gt;&lt;record&gt;&lt;rec-number&gt;97&lt;/rec-number&gt;&lt;foreign-keys&gt;&lt;key app="EN" db-id="0rewstxe3sdfepeps9f5xrt55srrdw2s5r9x" timestamp="1535472132"&gt;97&lt;/key&gt;&lt;/foreign-keys&gt;&lt;ref-type name="Book Section"&gt;5&lt;/ref-type&gt;&lt;contributors&gt;&lt;authors&gt;&lt;author&gt;Nowrojee, Binaifer&lt;/author&gt;&lt;/authors&gt;&lt;secondary-authors&gt;&lt;author&gt;Thompson, Alan&lt;/author&gt;&lt;/secondary-authors&gt;&lt;/contributors&gt;&lt;titles&gt;&lt;title&gt;A Lost Opportunity for Justice: Why Did the ICTR Not Prosecute Gender Propaganda&lt;/title&gt;&lt;secondary-title&gt;The Media and the Rwandan Genocide&lt;/secondary-title&gt;&lt;/titles&gt;&lt;pages&gt;362–74&lt;/pages&gt;&lt;keywords&gt;&lt;keyword&gt;Gender&lt;/keyword&gt;&lt;keyword&gt;ICTR&lt;/keyword&gt;&lt;keyword&gt;Sexual violence&lt;/keyword&gt;&lt;/keywords&gt;&lt;dates&gt;&lt;year&gt;2007&lt;/year&gt;&lt;/dates&gt;&lt;pub-location&gt;London&lt;/pub-location&gt;&lt;publisher&gt;Pluto Press&lt;/publisher&gt;&lt;urls&gt;&lt;/urls&gt;&lt;/record&gt;&lt;/Cite&gt;&lt;/EndNote&gt;</w:instrText>
      </w:r>
      <w:r w:rsidR="005A70A3" w:rsidRPr="0027666F">
        <w:rPr>
          <w:rFonts w:ascii="Garamond" w:hAnsi="Garamond" w:cs="Times New Roman"/>
          <w:color w:val="000000" w:themeColor="text1"/>
        </w:rPr>
        <w:fldChar w:fldCharType="end"/>
      </w:r>
      <w:r w:rsidR="005A70A3" w:rsidRPr="0027666F">
        <w:rPr>
          <w:rFonts w:ascii="Garamond" w:hAnsi="Garamond" w:cs="Times New Roman"/>
          <w:color w:val="000000" w:themeColor="text1"/>
        </w:rPr>
        <w:t>Nowrojee 2007</w:t>
      </w:r>
      <w:r w:rsidR="005A70A3" w:rsidRPr="0027666F">
        <w:rPr>
          <w:rFonts w:ascii="Garamond" w:hAnsi="Garamond" w:cs="Times New Roman"/>
          <w:color w:val="000000" w:themeColor="text1"/>
        </w:rPr>
        <w:fldChar w:fldCharType="begin"/>
      </w:r>
      <w:r w:rsidR="005A70A3" w:rsidRPr="0027666F">
        <w:rPr>
          <w:rFonts w:ascii="Garamond" w:hAnsi="Garamond" w:cs="Times New Roman"/>
          <w:color w:val="000000" w:themeColor="text1"/>
        </w:rPr>
        <w:instrText xml:space="preserve"> ADDIN EN.CITE &lt;EndNote&gt;&lt;Cite&gt;&lt;Author&gt;Walsh&lt;/Author&gt;&lt;Year&gt;2009&lt;/Year&gt;&lt;RecNum&gt;122&lt;/RecNum&gt;&lt;record&gt;&lt;rec-number&gt;122&lt;/rec-number&gt;&lt;foreign-keys&gt;&lt;key app="EN" db-id="0rewstxe3sdfepeps9f5xrt55srrdw2s5r9x" timestamp="1535474635"&gt;122&lt;/key&gt;&lt;/foreign-keys&gt;&lt;ref-type name="Book Section"&gt;5&lt;/ref-type&gt;&lt;contributors&gt;&lt;authors&gt;&lt;author&gt;Walsh, Martha&lt;/author&gt;&lt;/authors&gt;&lt;secondary-authors&gt;&lt;author&gt;Pankhurst, Donna&lt;/author&gt;&lt;/secondary-authors&gt;&lt;/contributors&gt;&lt;titles&gt;&lt;title&gt;Gendering International Justice: Progress and Pitfalls at International Criminal Tribunals&lt;/title&gt;&lt;secondary-title&gt;Gendered Peace: Women’s Struggle for Post–War Justice and Reconciliation&lt;/secondary-title&gt;&lt;/titles&gt;&lt;pages&gt;107-136&lt;/pages&gt;&lt;keywords&gt;&lt;keyword&gt;ICTR&lt;/keyword&gt;&lt;keyword&gt;Gender&lt;/keyword&gt;&lt;keyword&gt;Sexual violence&lt;/keyword&gt;&lt;/keywords&gt;&lt;dates&gt;&lt;year&gt;2009&lt;/year&gt;&lt;/dates&gt;&lt;pub-location&gt;Abindon&lt;/pub-location&gt;&lt;publisher&gt;Routledge&lt;/publisher&gt;&lt;urls&gt;&lt;/urls&gt;&lt;/record&gt;&lt;/Cite&gt;&lt;Cite&gt;&lt;Author&gt;MacKinnon&lt;/Author&gt;&lt;Year&gt;2007&lt;/Year&gt;&lt;RecNum&gt;124&lt;/RecNum&gt;&lt;record&gt;&lt;rec-number&gt;124&lt;/rec-number&gt;&lt;foreign-keys&gt;&lt;key app="EN" db-id="0rewstxe3sdfepeps9f5xrt55srrdw2s5r9x" timestamp="1535474757"&gt;124&lt;/key&gt;&lt;/foreign-keys&gt;&lt;ref-type name="Journal Article"&gt;17&lt;/ref-type&gt;&lt;contributors&gt;&lt;authors&gt;&lt;author&gt;MacKinnon, Catherine&lt;/author&gt;&lt;/authors&gt;&lt;/contributors&gt;&lt;titles&gt;&lt;title&gt;The ICTR’s Legacy on Sexual Violence&lt;/title&gt;&lt;secondary-title&gt;New England Journal of International and Comparative Law &lt;/secondary-title&gt;&lt;/titles&gt;&lt;pages&gt;211-221&lt;/pages&gt;&lt;volume&gt;14&lt;/volume&gt;&lt;number&gt;1&lt;/number&gt;&lt;section&gt;211&lt;/section&gt;&lt;keywords&gt;&lt;keyword&gt;ICTR&lt;/keyword&gt;&lt;keyword&gt;Sexual violence&lt;/keyword&gt;&lt;keyword&gt;Gender&lt;/keyword&gt;&lt;/keywords&gt;&lt;dates&gt;&lt;year&gt;2007&lt;/year&gt;&lt;/dates&gt;&lt;urls&gt;&lt;/urls&gt;&lt;/record&gt;&lt;/Cite&gt;&lt;/EndNote&gt;</w:instrText>
      </w:r>
      <w:r w:rsidR="005A70A3" w:rsidRPr="0027666F">
        <w:rPr>
          <w:rFonts w:ascii="Garamond" w:hAnsi="Garamond" w:cs="Times New Roman"/>
          <w:color w:val="000000" w:themeColor="text1"/>
        </w:rPr>
        <w:fldChar w:fldCharType="end"/>
      </w:r>
      <w:r w:rsidR="005A70A3" w:rsidRPr="0027666F">
        <w:rPr>
          <w:rFonts w:ascii="Garamond" w:hAnsi="Garamond" w:cs="Times New Roman"/>
          <w:color w:val="000000" w:themeColor="text1"/>
        </w:rPr>
        <w:t xml:space="preserve">). </w:t>
      </w:r>
      <w:r w:rsidRPr="0027666F">
        <w:rPr>
          <w:rFonts w:ascii="Garamond" w:hAnsi="Garamond"/>
        </w:rPr>
        <w:t xml:space="preserve">What is more, paying attention to this absence – and the </w:t>
      </w:r>
      <w:r w:rsidR="005A70A3" w:rsidRPr="0027666F">
        <w:rPr>
          <w:rFonts w:ascii="Garamond" w:hAnsi="Garamond"/>
        </w:rPr>
        <w:t>patriarchal</w:t>
      </w:r>
      <w:r w:rsidRPr="0027666F">
        <w:rPr>
          <w:rFonts w:ascii="Garamond" w:hAnsi="Garamond"/>
        </w:rPr>
        <w:t xml:space="preserve"> and gendered rules that produce this – helps critique the tribunal’s claims that one of its great achievements came in its handling of sexual violence cases</w:t>
      </w:r>
      <w:r w:rsidR="00B62BE2" w:rsidRPr="0027666F">
        <w:rPr>
          <w:rFonts w:ascii="Garamond" w:hAnsi="Garamond"/>
        </w:rPr>
        <w:t xml:space="preserve"> and is revealing of the type of community the archive was ushering into existence.</w:t>
      </w:r>
      <w:r w:rsidR="000C02F0" w:rsidRPr="0027666F">
        <w:rPr>
          <w:rStyle w:val="EndnoteReference"/>
          <w:rFonts w:ascii="Garamond" w:hAnsi="Garamond"/>
        </w:rPr>
        <w:endnoteReference w:id="7"/>
      </w:r>
      <w:r w:rsidR="000C02F0" w:rsidRPr="0027666F">
        <w:rPr>
          <w:rFonts w:ascii="Garamond" w:hAnsi="Garamond"/>
        </w:rPr>
        <w:t xml:space="preserve"> </w:t>
      </w:r>
      <w:r w:rsidR="000C02F0" w:rsidRPr="0027666F">
        <w:rPr>
          <w:rFonts w:ascii="Garamond" w:hAnsi="Garamond"/>
          <w:lang w:val="en-US"/>
        </w:rPr>
        <w:t>As Michel-Rolph Trouillot argues, archives are filled with silences produced by the limits of the archivist’s epistemology</w:t>
      </w:r>
      <w:r w:rsidR="0005325A" w:rsidRPr="0027666F">
        <w:rPr>
          <w:rFonts w:ascii="Garamond" w:hAnsi="Garamond"/>
          <w:lang w:val="en-US"/>
        </w:rPr>
        <w:t xml:space="preserve"> (Trouillot </w:t>
      </w:r>
      <w:r w:rsidR="00604CE8" w:rsidRPr="0027666F">
        <w:rPr>
          <w:rFonts w:ascii="Garamond" w:hAnsi="Garamond"/>
          <w:lang w:val="en-US"/>
        </w:rPr>
        <w:t xml:space="preserve">1995, </w:t>
      </w:r>
      <w:r w:rsidR="0005325A" w:rsidRPr="0027666F">
        <w:rPr>
          <w:rFonts w:ascii="Garamond" w:hAnsi="Garamond"/>
          <w:lang w:val="en-US"/>
        </w:rPr>
        <w:t>72-82</w:t>
      </w:r>
      <w:r w:rsidR="00064C77" w:rsidRPr="0027666F">
        <w:rPr>
          <w:rFonts w:ascii="Garamond" w:hAnsi="Garamond"/>
          <w:lang w:val="en-US"/>
        </w:rPr>
        <w:fldChar w:fldCharType="begin"/>
      </w:r>
      <w:r w:rsidR="00064C77" w:rsidRPr="0027666F">
        <w:rPr>
          <w:rFonts w:ascii="Garamond" w:hAnsi="Garamond"/>
          <w:lang w:val="en-US"/>
        </w:rPr>
        <w:instrText xml:space="preserve"> ADDIN EN.CITE &lt;EndNote&gt;&lt;Cite&gt;&lt;Author&gt;Trouillot&lt;/Author&gt;&lt;Year&gt;1995&lt;/Year&gt;&lt;RecNum&gt;525&lt;/RecNum&gt;&lt;record&gt;&lt;rec-number&gt;525&lt;/rec-number&gt;&lt;foreign-keys&gt;&lt;key app="EN" db-id="0rewstxe3sdfepeps9f5xrt55srrdw2s5r9x" timestamp="1601053722"&gt;525&lt;/key&gt;&lt;/foreign-keys&gt;&lt;ref-type name="Book"&gt;6&lt;/ref-type&gt;&lt;contributors&gt;&lt;authors&gt;&lt;author&gt;Trouillot, Michel-Rolph&lt;/author&gt;&lt;/authors&gt;&lt;/contributors&gt;&lt;titles&gt;&lt;title&gt;Power and the Production of History&lt;/title&gt;&lt;short-title&gt;Power&lt;/short-title&gt;&lt;/titles&gt;&lt;keywords&gt;&lt;keyword&gt;Archive&lt;/keyword&gt;&lt;keyword&gt;Power&lt;/keyword&gt;&lt;keyword&gt;History&lt;/keyword&gt;&lt;keyword&gt;Memory&lt;/keyword&gt;&lt;/keywords&gt;&lt;dates&gt;&lt;year&gt;1995&lt;/year&gt;&lt;/dates&gt;&lt;pub-location&gt;Boston&lt;/pub-location&gt;&lt;publisher&gt;Beacon Press&lt;/publisher&gt;&lt;urls&gt;&lt;/urls&gt;&lt;/record&gt;&lt;/Cite&gt;&lt;/EndNote&gt;</w:instrText>
      </w:r>
      <w:r w:rsidR="00064C77" w:rsidRPr="0027666F">
        <w:rPr>
          <w:rFonts w:ascii="Garamond" w:hAnsi="Garamond"/>
          <w:lang w:val="en-US"/>
        </w:rPr>
        <w:fldChar w:fldCharType="end"/>
      </w:r>
      <w:r w:rsidR="00064C77" w:rsidRPr="0027666F">
        <w:rPr>
          <w:rFonts w:ascii="Garamond" w:hAnsi="Garamond"/>
          <w:lang w:val="en-US"/>
        </w:rPr>
        <w:fldChar w:fldCharType="begin"/>
      </w:r>
      <w:r w:rsidR="00064C77" w:rsidRPr="0027666F">
        <w:rPr>
          <w:rFonts w:ascii="Garamond" w:hAnsi="Garamond"/>
          <w:lang w:val="en-US"/>
        </w:rPr>
        <w:instrText xml:space="preserve"> ADDIN EN.CITE &lt;EndNote&gt;&lt;Cite&gt;&lt;Author&gt;Arondekar&lt;/Author&gt;&lt;Year&gt;2005&lt;/Year&gt;&lt;RecNum&gt;526&lt;/RecNum&gt;&lt;record&gt;&lt;rec-number&gt;526&lt;/rec-number&gt;&lt;foreign-keys&gt;&lt;key app="EN" db-id="0rewstxe3sdfepeps9f5xrt55srrdw2s5r9x" timestamp="1601053826"&gt;526&lt;/key&gt;&lt;/foreign-keys&gt;&lt;ref-type name="Journal Article"&gt;17&lt;/ref-type&gt;&lt;contributors&gt;&lt;authors&gt;&lt;author&gt;Arondekar, Anjali&lt;/author&gt;&lt;/authors&gt;&lt;/contributors&gt;&lt;titles&gt;&lt;title&gt;Without a Trace: Sexuality and the Colonial Archive&lt;/title&gt;&lt;secondary-title&gt;Journal of the History of Sexuality&lt;/secondary-title&gt;&lt;short-title&gt;Without a Trace&lt;/short-title&gt;&lt;/titles&gt;&lt;periodical&gt;&lt;full-title&gt;Journal of the History of Sexuality&lt;/full-title&gt;&lt;/periodical&gt;&lt;pages&gt;27&lt;/pages&gt;&lt;volume&gt;14&lt;/volume&gt;&lt;number&gt;1/2&lt;/number&gt;&lt;keywords&gt;&lt;keyword&gt;Colonialism&lt;/keyword&gt;&lt;keyword&gt;Archive&lt;/keyword&gt;&lt;keyword&gt;Sexuality&lt;/keyword&gt;&lt;keyword&gt;India&lt;/keyword&gt;&lt;/keywords&gt;&lt;dates&gt;&lt;year&gt;2005&lt;/year&gt;&lt;/dates&gt;&lt;urls&gt;&lt;/urls&gt;&lt;/record&gt;&lt;/Cite&gt;&lt;/EndNote&gt;</w:instrText>
      </w:r>
      <w:r w:rsidR="00064C77" w:rsidRPr="0027666F">
        <w:rPr>
          <w:rFonts w:ascii="Garamond" w:hAnsi="Garamond"/>
          <w:lang w:val="en-US"/>
        </w:rPr>
        <w:fldChar w:fldCharType="end"/>
      </w:r>
      <w:r w:rsidR="0005325A" w:rsidRPr="0027666F">
        <w:rPr>
          <w:rFonts w:ascii="Garamond" w:hAnsi="Garamond"/>
          <w:lang w:val="en-US"/>
        </w:rPr>
        <w:t>)</w:t>
      </w:r>
      <w:r w:rsidR="000C02F0" w:rsidRPr="0027666F">
        <w:rPr>
          <w:rFonts w:ascii="Garamond" w:hAnsi="Garamond"/>
          <w:lang w:val="en-US"/>
        </w:rPr>
        <w:t xml:space="preserve">,  and the (im)materiality of archival records play an important role in defining </w:t>
      </w:r>
      <w:r w:rsidR="000C02F0" w:rsidRPr="0027666F">
        <w:rPr>
          <w:rFonts w:ascii="Garamond" w:hAnsi="Garamond"/>
          <w:i/>
          <w:lang w:val="en-US"/>
        </w:rPr>
        <w:t xml:space="preserve">which </w:t>
      </w:r>
      <w:r w:rsidR="000C02F0" w:rsidRPr="0027666F">
        <w:rPr>
          <w:rFonts w:ascii="Garamond" w:hAnsi="Garamond"/>
          <w:lang w:val="en-US"/>
        </w:rPr>
        <w:t>histories can be told</w:t>
      </w:r>
      <w:r w:rsidR="00604CE8" w:rsidRPr="0027666F">
        <w:rPr>
          <w:rFonts w:ascii="Garamond" w:hAnsi="Garamond"/>
          <w:lang w:val="en-US"/>
        </w:rPr>
        <w:t xml:space="preserve"> (</w:t>
      </w:r>
      <w:r w:rsidR="005F4006" w:rsidRPr="0027666F">
        <w:rPr>
          <w:rFonts w:ascii="Garamond" w:hAnsi="Garamond"/>
          <w:lang w:val="en-US"/>
        </w:rPr>
        <w:t>Ibid</w:t>
      </w:r>
      <w:r w:rsidR="00604CE8" w:rsidRPr="0027666F">
        <w:rPr>
          <w:rFonts w:ascii="Garamond" w:hAnsi="Garamond"/>
          <w:lang w:val="en-US"/>
        </w:rPr>
        <w:t>, 28-9 and 95-107</w:t>
      </w:r>
      <w:r w:rsidR="00B62BE2" w:rsidRPr="0027666F">
        <w:rPr>
          <w:rFonts w:ascii="Garamond" w:hAnsi="Garamond"/>
          <w:lang w:val="en-US"/>
        </w:rPr>
        <w:t>; Arondekar 2005, 27</w:t>
      </w:r>
      <w:r w:rsidR="00604CE8" w:rsidRPr="0027666F">
        <w:rPr>
          <w:rFonts w:ascii="Garamond" w:hAnsi="Garamond"/>
          <w:lang w:val="en-US"/>
        </w:rPr>
        <w:t>)</w:t>
      </w:r>
      <w:r w:rsidR="000C02F0" w:rsidRPr="0027666F">
        <w:rPr>
          <w:rFonts w:ascii="Garamond" w:hAnsi="Garamond"/>
          <w:lang w:val="en-US"/>
        </w:rPr>
        <w:t>.</w:t>
      </w:r>
    </w:p>
    <w:p w14:paraId="050A2537" w14:textId="714264C7" w:rsidR="000C02F0" w:rsidRPr="0027666F" w:rsidRDefault="000C02F0" w:rsidP="00394892">
      <w:pPr>
        <w:rPr>
          <w:rFonts w:ascii="Garamond" w:hAnsi="Garamond"/>
        </w:rPr>
      </w:pPr>
    </w:p>
    <w:p w14:paraId="1B21102B" w14:textId="594933AC" w:rsidR="000C02F0" w:rsidRPr="0027666F" w:rsidRDefault="000C02F0" w:rsidP="00394892">
      <w:pPr>
        <w:rPr>
          <w:rFonts w:ascii="Garamond" w:hAnsi="Garamond"/>
        </w:rPr>
      </w:pPr>
      <w:r w:rsidRPr="0027666F">
        <w:rPr>
          <w:rFonts w:ascii="Garamond" w:hAnsi="Garamond"/>
        </w:rPr>
        <w:t xml:space="preserve">Whilst, then, no archive can ever hope to contain a </w:t>
      </w:r>
      <w:r w:rsidRPr="0027666F">
        <w:rPr>
          <w:rFonts w:ascii="Garamond" w:hAnsi="Garamond"/>
          <w:i/>
        </w:rPr>
        <w:t xml:space="preserve">complete </w:t>
      </w:r>
      <w:r w:rsidRPr="0027666F">
        <w:rPr>
          <w:rFonts w:ascii="Garamond" w:hAnsi="Garamond"/>
        </w:rPr>
        <w:t xml:space="preserve">account of society, what stories are recorded matter. As the following section, a consideration of </w:t>
      </w:r>
      <w:r w:rsidRPr="0027666F">
        <w:rPr>
          <w:rFonts w:ascii="Garamond" w:hAnsi="Garamond"/>
          <w:i/>
        </w:rPr>
        <w:t xml:space="preserve">whose </w:t>
      </w:r>
      <w:r w:rsidRPr="0027666F">
        <w:rPr>
          <w:rFonts w:ascii="Garamond" w:hAnsi="Garamond"/>
        </w:rPr>
        <w:t xml:space="preserve">voices are recorded is equally important for understanding the politics of the archive and the way in which it imagines community. </w:t>
      </w:r>
    </w:p>
    <w:p w14:paraId="5501D8CB" w14:textId="42E6BF9C" w:rsidR="009A6B94" w:rsidRPr="0027666F" w:rsidRDefault="009A6B94" w:rsidP="00394892">
      <w:pPr>
        <w:rPr>
          <w:rFonts w:ascii="Garamond" w:hAnsi="Garamond"/>
          <w:i/>
        </w:rPr>
      </w:pPr>
    </w:p>
    <w:p w14:paraId="295191AD" w14:textId="782492B2" w:rsidR="009A6B94" w:rsidRPr="0027666F" w:rsidRDefault="00107FEE" w:rsidP="00260796">
      <w:pPr>
        <w:pStyle w:val="Heading2"/>
      </w:pPr>
      <w:r w:rsidRPr="0027666F">
        <w:t>Voices within the Archive</w:t>
      </w:r>
    </w:p>
    <w:p w14:paraId="11CAA760" w14:textId="77777777" w:rsidR="009A6B94" w:rsidRPr="0027666F" w:rsidRDefault="009A6B94" w:rsidP="00394892">
      <w:pPr>
        <w:rPr>
          <w:rFonts w:ascii="Garamond" w:hAnsi="Garamond"/>
          <w:i/>
        </w:rPr>
      </w:pPr>
    </w:p>
    <w:p w14:paraId="0E10123C" w14:textId="5C2B71F1" w:rsidR="001F57D6" w:rsidRPr="0027666F" w:rsidRDefault="00F76A82" w:rsidP="001F57D6">
      <w:pPr>
        <w:rPr>
          <w:rFonts w:ascii="Garamond" w:hAnsi="Garamond"/>
          <w:lang w:val="en-US"/>
        </w:rPr>
      </w:pPr>
      <w:r w:rsidRPr="0027666F">
        <w:rPr>
          <w:rFonts w:ascii="Garamond" w:hAnsi="Garamond"/>
          <w:lang w:val="en-US"/>
        </w:rPr>
        <w:t xml:space="preserve">Finally, when thinking about the </w:t>
      </w:r>
      <w:r w:rsidR="00D4473A" w:rsidRPr="0027666F">
        <w:rPr>
          <w:rFonts w:ascii="Garamond" w:hAnsi="Garamond"/>
          <w:lang w:val="en-US"/>
        </w:rPr>
        <w:t xml:space="preserve">politics of the </w:t>
      </w:r>
      <w:r w:rsidRPr="0027666F">
        <w:rPr>
          <w:rFonts w:ascii="Garamond" w:hAnsi="Garamond"/>
          <w:lang w:val="en-US"/>
        </w:rPr>
        <w:t>archive</w:t>
      </w:r>
      <w:r w:rsidR="00D4473A" w:rsidRPr="0027666F">
        <w:rPr>
          <w:rFonts w:ascii="Garamond" w:hAnsi="Garamond"/>
          <w:lang w:val="en-US"/>
        </w:rPr>
        <w:t xml:space="preserve">, and the archive </w:t>
      </w:r>
      <w:r w:rsidRPr="0027666F">
        <w:rPr>
          <w:rFonts w:ascii="Garamond" w:hAnsi="Garamond"/>
          <w:lang w:val="en-US"/>
        </w:rPr>
        <w:t>as a site of governance</w:t>
      </w:r>
      <w:r w:rsidR="005F4006" w:rsidRPr="0027666F">
        <w:rPr>
          <w:rFonts w:ascii="Garamond" w:hAnsi="Garamond"/>
          <w:lang w:val="en-US"/>
        </w:rPr>
        <w:t xml:space="preserve"> and transitional </w:t>
      </w:r>
      <w:r w:rsidR="00AB62CD" w:rsidRPr="0027666F">
        <w:rPr>
          <w:rFonts w:ascii="Garamond" w:hAnsi="Garamond"/>
          <w:lang w:val="en-US"/>
        </w:rPr>
        <w:t>justice</w:t>
      </w:r>
      <w:r w:rsidRPr="0027666F">
        <w:rPr>
          <w:rFonts w:ascii="Garamond" w:hAnsi="Garamond"/>
          <w:lang w:val="en-US"/>
        </w:rPr>
        <w:t xml:space="preserve">, it is important to understand </w:t>
      </w:r>
      <w:r w:rsidRPr="0027666F">
        <w:rPr>
          <w:rFonts w:ascii="Garamond" w:hAnsi="Garamond"/>
          <w:i/>
          <w:lang w:val="en-US"/>
        </w:rPr>
        <w:t xml:space="preserve">whose </w:t>
      </w:r>
      <w:r w:rsidRPr="0027666F">
        <w:rPr>
          <w:rFonts w:ascii="Garamond" w:hAnsi="Garamond"/>
          <w:lang w:val="en-US"/>
        </w:rPr>
        <w:t xml:space="preserve">voice shapes the archive. </w:t>
      </w:r>
      <w:r w:rsidR="001F57D6" w:rsidRPr="0027666F">
        <w:rPr>
          <w:rFonts w:ascii="Garamond" w:hAnsi="Garamond"/>
          <w:lang w:val="en-US"/>
        </w:rPr>
        <w:t>Again, the work of post-colonial schools on the effects of the colonial archive is important. Benedict Anderson has shown, for instance, how colonisers through the production of records invented sub-sections of colonial societies with specific ‘objectively’ identifiable identities through record keeping. Here the coloniser’s sentimentalities and lived experiences shaped these categories, whilst the local populations’ lived experiences were ignored. For example, whereas the Philippine’s census records fixated on class (e.g. noblemen) which the Spanish conquistadors mobilised wherever they landed, in the Indonesian archipelago the Dutch coloniser’s Asian trading networks led to seemingly more regionally specific, yet highly racialized, categories, such as ‘Chinees’</w:t>
      </w:r>
      <w:r w:rsidR="00107FEE" w:rsidRPr="0027666F">
        <w:rPr>
          <w:rFonts w:ascii="Garamond" w:hAnsi="Garamond"/>
          <w:lang w:val="en-US"/>
        </w:rPr>
        <w:t xml:space="preserve"> (Anderson 2006, 168-70</w:t>
      </w:r>
      <w:r w:rsidR="00107FEE" w:rsidRPr="0027666F">
        <w:rPr>
          <w:rFonts w:ascii="Garamond" w:hAnsi="Garamond"/>
          <w:lang w:val="en-US"/>
        </w:rPr>
        <w:fldChar w:fldCharType="begin"/>
      </w:r>
      <w:r w:rsidR="00107FEE" w:rsidRPr="0027666F">
        <w:rPr>
          <w:rFonts w:ascii="Garamond" w:hAnsi="Garamond"/>
          <w:lang w:val="en-US"/>
        </w:rPr>
        <w:instrText xml:space="preserve"> ADDIN EN.CITE &lt;EndNote&gt;&lt;Cite&gt;&lt;Author&gt;Anderson&lt;/Author&gt;&lt;Year&gt;2006&lt;/Year&gt;&lt;RecNum&gt;291&lt;/RecNum&gt;&lt;record&gt;&lt;rec-number&gt;291&lt;/rec-number&gt;&lt;foreign-keys&gt;&lt;key app="EN" db-id="0rewstxe3sdfepeps9f5xrt55srrdw2s5r9x" timestamp="1543072544"&gt;291&lt;/key&gt;&lt;/foreign-keys&gt;&lt;ref-type name="Book"&gt;6&lt;/ref-type&gt;&lt;contributors&gt;&lt;authors&gt;&lt;author&gt;Anderson, Bennedict&lt;/author&gt;&lt;/authors&gt;&lt;/contributors&gt;&lt;titles&gt;&lt;title&gt;Imagined Communities: Reflections on the Origin and Spread of Nationalism&lt;/title&gt;&lt;short-title&gt;Imagined Communities&lt;/short-title&gt;&lt;/titles&gt;&lt;keywords&gt;&lt;keyword&gt;Theory&lt;/keyword&gt;&lt;keyword&gt;Nationalism&lt;/keyword&gt;&lt;keyword&gt;Colonialism&lt;/keyword&gt;&lt;keyword&gt;Performative&lt;/keyword&gt;&lt;/keywords&gt;&lt;dates&gt;&lt;year&gt;2006&lt;/year&gt;&lt;/dates&gt;&lt;pub-location&gt;London&lt;/pub-location&gt;&lt;publisher&gt;Verso&lt;/publisher&gt;&lt;urls&gt;&lt;/urls&gt;&lt;/record&gt;&lt;/Cite&gt;&lt;/EndNote&gt;</w:instrText>
      </w:r>
      <w:r w:rsidR="00107FEE" w:rsidRPr="0027666F">
        <w:rPr>
          <w:rFonts w:ascii="Garamond" w:hAnsi="Garamond"/>
          <w:lang w:val="en-US"/>
        </w:rPr>
        <w:fldChar w:fldCharType="end"/>
      </w:r>
      <w:r w:rsidR="00107FEE" w:rsidRPr="0027666F">
        <w:rPr>
          <w:rFonts w:ascii="Garamond" w:hAnsi="Garamond"/>
          <w:lang w:val="en-US"/>
        </w:rPr>
        <w:t>)</w:t>
      </w:r>
      <w:r w:rsidR="001F57D6" w:rsidRPr="0027666F">
        <w:rPr>
          <w:rFonts w:ascii="Garamond" w:hAnsi="Garamond"/>
          <w:lang w:val="en-US"/>
        </w:rPr>
        <w:t>. Indeed, as Anne Stoler argues, colonial archives are</w:t>
      </w:r>
      <w:r w:rsidR="003C7483" w:rsidRPr="0027666F">
        <w:rPr>
          <w:rFonts w:ascii="Garamond" w:hAnsi="Garamond"/>
          <w:lang w:val="en-US"/>
        </w:rPr>
        <w:t xml:space="preserve"> </w:t>
      </w:r>
      <w:r w:rsidR="001F57D6" w:rsidRPr="0027666F">
        <w:rPr>
          <w:rFonts w:ascii="Garamond" w:hAnsi="Garamond"/>
          <w:lang w:val="en-US"/>
        </w:rPr>
        <w:t xml:space="preserve">sites where the </w:t>
      </w:r>
      <w:r w:rsidR="00D81CFB" w:rsidRPr="0027666F">
        <w:rPr>
          <w:rFonts w:ascii="Garamond" w:hAnsi="Garamond"/>
          <w:i/>
          <w:lang w:val="en-US"/>
        </w:rPr>
        <w:t>coloniser’s</w:t>
      </w:r>
      <w:r w:rsidR="001F57D6" w:rsidRPr="0027666F">
        <w:rPr>
          <w:rFonts w:ascii="Garamond" w:hAnsi="Garamond"/>
          <w:lang w:val="en-US"/>
        </w:rPr>
        <w:t xml:space="preserve"> fantasies and anxieties are lived out</w:t>
      </w:r>
      <w:r w:rsidR="00B12183" w:rsidRPr="0027666F">
        <w:rPr>
          <w:rFonts w:ascii="Garamond" w:hAnsi="Garamond"/>
          <w:lang w:val="en-US"/>
        </w:rPr>
        <w:t>. Analysing the archive is about:</w:t>
      </w:r>
    </w:p>
    <w:p w14:paraId="499EE027" w14:textId="6F0A0E68" w:rsidR="00F461BA" w:rsidRPr="0027666F" w:rsidRDefault="00F461BA" w:rsidP="001F57D6">
      <w:pPr>
        <w:rPr>
          <w:rFonts w:ascii="Garamond" w:hAnsi="Garamond"/>
          <w:lang w:val="en-US"/>
        </w:rPr>
      </w:pPr>
    </w:p>
    <w:p w14:paraId="6FD7AE9A" w14:textId="03AD4038" w:rsidR="00F461BA" w:rsidRPr="0027666F" w:rsidRDefault="00F461BA" w:rsidP="00F461BA">
      <w:pPr>
        <w:ind w:left="850"/>
        <w:rPr>
          <w:rFonts w:ascii="Garamond" w:hAnsi="Garamond"/>
          <w:lang w:val="en-US"/>
        </w:rPr>
      </w:pPr>
      <w:r w:rsidRPr="0027666F">
        <w:rPr>
          <w:rFonts w:ascii="Garamond" w:hAnsi="Garamond"/>
          <w:lang w:val="en-US"/>
        </w:rPr>
        <w:t xml:space="preserve">the force of writing and the feel of documents, about lettered governance and written traces of colonial lives. It is about the commitment to paper, and the political and personal work that such inscriptions perform. Not least about the colonial archive as </w:t>
      </w:r>
      <w:r w:rsidRPr="0027666F">
        <w:rPr>
          <w:rFonts w:ascii="Garamond" w:hAnsi="Garamond"/>
          <w:lang w:val="en-US"/>
        </w:rPr>
        <w:lastRenderedPageBreak/>
        <w:t>sites of the expectant and conjured – about dreams of comforting futures and foreboding future failures. (Stoler 2010, 1 and 97).</w:t>
      </w:r>
      <w:r w:rsidRPr="0027666F">
        <w:rPr>
          <w:rFonts w:ascii="Garamond" w:hAnsi="Garamond"/>
          <w:vertAlign w:val="superscript"/>
        </w:rPr>
        <w:t xml:space="preserve"> </w:t>
      </w:r>
    </w:p>
    <w:p w14:paraId="76CB751C" w14:textId="77777777" w:rsidR="001F57D6" w:rsidRPr="0027666F" w:rsidRDefault="001F57D6" w:rsidP="001F57D6">
      <w:pPr>
        <w:rPr>
          <w:rFonts w:ascii="Garamond" w:hAnsi="Garamond"/>
        </w:rPr>
      </w:pPr>
    </w:p>
    <w:p w14:paraId="5B5C849F" w14:textId="0E865E54" w:rsidR="009A6B94" w:rsidRPr="0027666F" w:rsidRDefault="00F461BA" w:rsidP="009A6B94">
      <w:pPr>
        <w:rPr>
          <w:rFonts w:ascii="Garamond" w:hAnsi="Garamond"/>
        </w:rPr>
      </w:pPr>
      <w:r w:rsidRPr="0027666F">
        <w:rPr>
          <w:rFonts w:ascii="Garamond" w:hAnsi="Garamond"/>
        </w:rPr>
        <w:t>Gayatri Spivak (1985, 271</w:t>
      </w:r>
      <w:r w:rsidRPr="0027666F">
        <w:rPr>
          <w:rFonts w:ascii="Garamond" w:hAnsi="Garamond"/>
        </w:rPr>
        <w:fldChar w:fldCharType="begin"/>
      </w:r>
      <w:r w:rsidRPr="0027666F">
        <w:rPr>
          <w:rFonts w:ascii="Garamond" w:hAnsi="Garamond"/>
        </w:rPr>
        <w:instrText xml:space="preserve"> ADDIN EN.CITE &lt;EndNote&gt;&lt;Cite&gt;&lt;Author&gt;Spivak&lt;/Author&gt;&lt;Year&gt;1985&lt;/Year&gt;&lt;RecNum&gt;527&lt;/RecNum&gt;&lt;record&gt;&lt;rec-number&gt;527&lt;/rec-number&gt;&lt;foreign-keys&gt;&lt;key app="EN" db-id="0rewstxe3sdfepeps9f5xrt55srrdw2s5r9x" timestamp="1601054402"&gt;527&lt;/key&gt;&lt;/foreign-keys&gt;&lt;ref-type name="Journal Article"&gt;17&lt;/ref-type&gt;&lt;contributors&gt;&lt;authors&gt;&lt;author&gt;Spivak, Gayatri &lt;/author&gt;&lt;/authors&gt;&lt;/contributors&gt;&lt;titles&gt;&lt;title&gt;The Rani of Sirmur: An Essay in Reading the Archives,&lt;/title&gt;&lt;secondary-title&gt;History and Theory &lt;/secondary-title&gt;&lt;short-title&gt;RTani of Sirmur&lt;/short-title&gt;&lt;/titles&gt;&lt;volume&gt;24&lt;/volume&gt;&lt;number&gt;3 &lt;/number&gt;&lt;keywords&gt;&lt;keyword&gt;Archive&lt;/keyword&gt;&lt;keyword&gt;Colonialism&lt;/keyword&gt;&lt;keyword&gt;Post-colonial&lt;/keyword&gt;&lt;keyword&gt;India&lt;/keyword&gt;&lt;keyword&gt;Theory&lt;/keyword&gt;&lt;/keywords&gt;&lt;dates&gt;&lt;year&gt;1985&lt;/year&gt;&lt;/dates&gt;&lt;urls&gt;&lt;/urls&gt;&lt;/record&gt;&lt;/Cite&gt;&lt;/EndNote&gt;</w:instrText>
      </w:r>
      <w:r w:rsidRPr="0027666F">
        <w:rPr>
          <w:rFonts w:ascii="Garamond" w:hAnsi="Garamond"/>
        </w:rPr>
        <w:fldChar w:fldCharType="end"/>
      </w:r>
      <w:r w:rsidRPr="0027666F">
        <w:rPr>
          <w:rFonts w:ascii="Garamond" w:hAnsi="Garamond"/>
        </w:rPr>
        <w:t xml:space="preserve">) argues that the archival force was such that attempting to find the agency of </w:t>
      </w:r>
      <w:r w:rsidR="00B12183" w:rsidRPr="0027666F">
        <w:rPr>
          <w:rFonts w:ascii="Garamond" w:hAnsi="Garamond"/>
        </w:rPr>
        <w:t>the subaltern within the colonial</w:t>
      </w:r>
      <w:r w:rsidRPr="0027666F">
        <w:rPr>
          <w:rFonts w:ascii="Garamond" w:hAnsi="Garamond"/>
        </w:rPr>
        <w:t xml:space="preserve"> archive was futile. </w:t>
      </w:r>
      <w:r w:rsidRPr="0027666F">
        <w:rPr>
          <w:rFonts w:ascii="Garamond" w:hAnsi="Garamond"/>
          <w:lang w:val="en-US"/>
        </w:rPr>
        <w:t xml:space="preserve">The consequence of this, for Stoler, </w:t>
      </w:r>
      <w:r w:rsidR="008913D6">
        <w:rPr>
          <w:rFonts w:ascii="Garamond" w:hAnsi="Garamond"/>
          <w:lang w:val="en-US"/>
        </w:rPr>
        <w:t>is</w:t>
      </w:r>
      <w:r w:rsidRPr="0027666F">
        <w:rPr>
          <w:rFonts w:ascii="Garamond" w:hAnsi="Garamond"/>
          <w:lang w:val="en-US"/>
        </w:rPr>
        <w:t xml:space="preserve"> that colonial archives (and arguably any archive) need to be read </w:t>
      </w:r>
      <w:r w:rsidRPr="0027666F">
        <w:rPr>
          <w:rFonts w:ascii="Garamond" w:hAnsi="Garamond"/>
          <w:i/>
          <w:lang w:val="en-US"/>
        </w:rPr>
        <w:t>along the grain</w:t>
      </w:r>
      <w:r w:rsidRPr="0027666F">
        <w:rPr>
          <w:rFonts w:ascii="Garamond" w:hAnsi="Garamond"/>
          <w:lang w:val="en-US"/>
        </w:rPr>
        <w:t>; analysed from an ethnographic perspective that examines the processes and politics through which ‘credible’ knowledge is produced and the effects that this has within particular societies (Stoler 2002, 87-109)</w:t>
      </w:r>
      <w:r w:rsidRPr="0027666F">
        <w:rPr>
          <w:rFonts w:ascii="Garamond" w:hAnsi="Garamond"/>
        </w:rPr>
        <w:t>.</w:t>
      </w:r>
    </w:p>
    <w:p w14:paraId="4DA05B8B" w14:textId="77777777" w:rsidR="00F461BA" w:rsidRPr="0027666F" w:rsidRDefault="00F461BA" w:rsidP="009A6B94">
      <w:pPr>
        <w:rPr>
          <w:rFonts w:ascii="Garamond" w:hAnsi="Garamond"/>
        </w:rPr>
      </w:pPr>
    </w:p>
    <w:p w14:paraId="433F1DBF" w14:textId="09317F4A" w:rsidR="00734607" w:rsidRPr="0027666F" w:rsidRDefault="006D2EBC" w:rsidP="001A4FB6">
      <w:pPr>
        <w:rPr>
          <w:rFonts w:ascii="Garamond" w:hAnsi="Garamond"/>
        </w:rPr>
      </w:pPr>
      <w:r w:rsidRPr="0027666F">
        <w:rPr>
          <w:rFonts w:ascii="Garamond" w:hAnsi="Garamond"/>
        </w:rPr>
        <w:t xml:space="preserve">The archive is, then, epistemologically limited in what it can claim to know, </w:t>
      </w:r>
      <w:r w:rsidR="001F57D6" w:rsidRPr="0027666F">
        <w:rPr>
          <w:rFonts w:ascii="Garamond" w:hAnsi="Garamond"/>
        </w:rPr>
        <w:t>and the ways in which it can know</w:t>
      </w:r>
      <w:r w:rsidRPr="0027666F">
        <w:rPr>
          <w:rFonts w:ascii="Garamond" w:hAnsi="Garamond"/>
        </w:rPr>
        <w:t xml:space="preserve">. Again, a cursory </w:t>
      </w:r>
      <w:r w:rsidR="001F57D6" w:rsidRPr="0027666F">
        <w:rPr>
          <w:rFonts w:ascii="Garamond" w:hAnsi="Garamond"/>
        </w:rPr>
        <w:t>glimpse</w:t>
      </w:r>
      <w:r w:rsidRPr="0027666F">
        <w:rPr>
          <w:rFonts w:ascii="Garamond" w:hAnsi="Garamond"/>
        </w:rPr>
        <w:t xml:space="preserve"> at transitional justice archives suggests that this has an important baring on how </w:t>
      </w:r>
      <w:r w:rsidR="001F57D6" w:rsidRPr="0027666F">
        <w:rPr>
          <w:rFonts w:ascii="Garamond" w:hAnsi="Garamond"/>
        </w:rPr>
        <w:t xml:space="preserve">transitional justice </w:t>
      </w:r>
      <w:r w:rsidRPr="0027666F">
        <w:rPr>
          <w:rFonts w:ascii="Garamond" w:hAnsi="Garamond"/>
        </w:rPr>
        <w:t xml:space="preserve">archives are produced, and the types of community that are realised as a result. </w:t>
      </w:r>
      <w:r w:rsidR="0046562D">
        <w:rPr>
          <w:rFonts w:ascii="Garamond" w:hAnsi="Garamond"/>
        </w:rPr>
        <w:t>Returning</w:t>
      </w:r>
      <w:r w:rsidR="001F57D6" w:rsidRPr="0027666F">
        <w:rPr>
          <w:rFonts w:ascii="Garamond" w:hAnsi="Garamond"/>
        </w:rPr>
        <w:t xml:space="preserve"> to the case of Syria, and the claim that these archives are </w:t>
      </w:r>
      <w:r w:rsidRPr="0027666F">
        <w:rPr>
          <w:rFonts w:ascii="Garamond" w:hAnsi="Garamond"/>
          <w:i/>
        </w:rPr>
        <w:t xml:space="preserve">victim </w:t>
      </w:r>
      <w:r w:rsidRPr="0027666F">
        <w:rPr>
          <w:rFonts w:ascii="Garamond" w:hAnsi="Garamond"/>
        </w:rPr>
        <w:t xml:space="preserve">centred. </w:t>
      </w:r>
      <w:r w:rsidR="001F57D6" w:rsidRPr="0027666F">
        <w:rPr>
          <w:rFonts w:ascii="Garamond" w:hAnsi="Garamond"/>
        </w:rPr>
        <w:t>Here</w:t>
      </w:r>
      <w:r w:rsidRPr="0027666F">
        <w:rPr>
          <w:rFonts w:ascii="Garamond" w:hAnsi="Garamond"/>
        </w:rPr>
        <w:t xml:space="preserve">, I would argue, this potentially confuses a focus on victims with these spaces </w:t>
      </w:r>
      <w:r w:rsidR="00B12183" w:rsidRPr="0027666F">
        <w:rPr>
          <w:rFonts w:ascii="Garamond" w:hAnsi="Garamond"/>
        </w:rPr>
        <w:t>privileging</w:t>
      </w:r>
      <w:r w:rsidRPr="0027666F">
        <w:rPr>
          <w:rFonts w:ascii="Garamond" w:hAnsi="Garamond"/>
        </w:rPr>
        <w:t xml:space="preserve"> </w:t>
      </w:r>
      <w:r w:rsidRPr="0027666F">
        <w:rPr>
          <w:rFonts w:ascii="Garamond" w:hAnsi="Garamond"/>
          <w:i/>
        </w:rPr>
        <w:t>their voice</w:t>
      </w:r>
      <w:r w:rsidRPr="0027666F">
        <w:rPr>
          <w:rFonts w:ascii="Garamond" w:hAnsi="Garamond"/>
        </w:rPr>
        <w:t xml:space="preserve">. </w:t>
      </w:r>
      <w:r w:rsidR="00B12183" w:rsidRPr="0027666F">
        <w:rPr>
          <w:rFonts w:ascii="Garamond" w:hAnsi="Garamond"/>
        </w:rPr>
        <w:t>It</w:t>
      </w:r>
      <w:r w:rsidRPr="0027666F">
        <w:rPr>
          <w:rFonts w:ascii="Garamond" w:hAnsi="Garamond"/>
        </w:rPr>
        <w:t xml:space="preserve"> becomes clear that</w:t>
      </w:r>
      <w:r w:rsidR="00B12183" w:rsidRPr="0027666F">
        <w:rPr>
          <w:rFonts w:ascii="Garamond" w:hAnsi="Garamond"/>
        </w:rPr>
        <w:t xml:space="preserve">, as with all transitional justice settings, </w:t>
      </w:r>
      <w:r w:rsidRPr="0027666F">
        <w:rPr>
          <w:rFonts w:ascii="Garamond" w:hAnsi="Garamond"/>
        </w:rPr>
        <w:t xml:space="preserve">these testimonies remain shaped, and therefore limited, by the discourse of </w:t>
      </w:r>
      <w:r w:rsidR="00B12183" w:rsidRPr="0027666F">
        <w:rPr>
          <w:rFonts w:ascii="Garamond" w:hAnsi="Garamond"/>
        </w:rPr>
        <w:t>transitional</w:t>
      </w:r>
      <w:r w:rsidR="00EF7750">
        <w:rPr>
          <w:rFonts w:ascii="Garamond" w:hAnsi="Garamond"/>
        </w:rPr>
        <w:t xml:space="preserve"> justice</w:t>
      </w:r>
      <w:r w:rsidRPr="0027666F">
        <w:rPr>
          <w:rFonts w:ascii="Garamond" w:hAnsi="Garamond"/>
        </w:rPr>
        <w:t xml:space="preserve">, which </w:t>
      </w:r>
      <w:r w:rsidR="001F57D6" w:rsidRPr="0027666F">
        <w:rPr>
          <w:rFonts w:ascii="Garamond" w:hAnsi="Garamond"/>
        </w:rPr>
        <w:t xml:space="preserve">continues to determine the ways in which violence is understood by </w:t>
      </w:r>
      <w:r w:rsidR="00B12183" w:rsidRPr="0027666F">
        <w:rPr>
          <w:rFonts w:ascii="Garamond" w:hAnsi="Garamond"/>
        </w:rPr>
        <w:t>privileging</w:t>
      </w:r>
      <w:r w:rsidR="001F57D6" w:rsidRPr="0027666F">
        <w:rPr>
          <w:rFonts w:ascii="Garamond" w:hAnsi="Garamond"/>
        </w:rPr>
        <w:t xml:space="preserve">, first and foremost, </w:t>
      </w:r>
      <w:r w:rsidR="00B12183" w:rsidRPr="0027666F">
        <w:rPr>
          <w:rFonts w:ascii="Garamond" w:hAnsi="Garamond"/>
        </w:rPr>
        <w:t xml:space="preserve">narratives that focus on </w:t>
      </w:r>
      <w:r w:rsidR="003D2A53" w:rsidRPr="0027666F">
        <w:rPr>
          <w:rFonts w:ascii="Garamond" w:hAnsi="Garamond"/>
        </w:rPr>
        <w:t>‘who did what to whom’ (</w:t>
      </w:r>
      <w:r w:rsidR="00735703" w:rsidRPr="0027666F">
        <w:rPr>
          <w:rFonts w:ascii="Garamond" w:hAnsi="Garamond"/>
        </w:rPr>
        <w:t>Accatino and Collins 2016, 84</w:t>
      </w:r>
      <w:r w:rsidR="003D2A53" w:rsidRPr="0027666F">
        <w:rPr>
          <w:rFonts w:ascii="Garamond" w:hAnsi="Garamond"/>
        </w:rPr>
        <w:t>)</w:t>
      </w:r>
      <w:r w:rsidR="001F57D6" w:rsidRPr="0027666F">
        <w:rPr>
          <w:rFonts w:ascii="Garamond" w:hAnsi="Garamond"/>
        </w:rPr>
        <w:t xml:space="preserve">. </w:t>
      </w:r>
      <w:r w:rsidR="00B12183" w:rsidRPr="0027666F">
        <w:rPr>
          <w:rFonts w:ascii="Garamond" w:hAnsi="Garamond"/>
        </w:rPr>
        <w:t xml:space="preserve">Moreover, in the Syrian case it </w:t>
      </w:r>
      <w:r w:rsidR="003C7483" w:rsidRPr="0027666F">
        <w:rPr>
          <w:rFonts w:ascii="Garamond" w:hAnsi="Garamond"/>
        </w:rPr>
        <w:t>is also</w:t>
      </w:r>
      <w:r w:rsidR="00B12183" w:rsidRPr="0027666F">
        <w:rPr>
          <w:rFonts w:ascii="Garamond" w:hAnsi="Garamond"/>
        </w:rPr>
        <w:t xml:space="preserve"> clear that it is still largely international organisations that are dictating how information is being collected – whether not it is by encouraging the use of particular human rights frames, or by only funding organisations which align with what the ‘international community’ sees as its priorities (Aboueldahab 2017, 17-20).  </w:t>
      </w:r>
      <w:r w:rsidR="00DD6E29" w:rsidRPr="0027666F">
        <w:rPr>
          <w:rFonts w:ascii="Garamond" w:hAnsi="Garamond"/>
        </w:rPr>
        <w:t xml:space="preserve">As Harris </w:t>
      </w:r>
      <w:r w:rsidR="00735703" w:rsidRPr="0027666F">
        <w:rPr>
          <w:rFonts w:ascii="Garamond" w:hAnsi="Garamond"/>
        </w:rPr>
        <w:t>(</w:t>
      </w:r>
      <w:r w:rsidR="009D00DF" w:rsidRPr="0027666F">
        <w:rPr>
          <w:rFonts w:ascii="Garamond" w:hAnsi="Garamond"/>
        </w:rPr>
        <w:t>2014, 216</w:t>
      </w:r>
      <w:r w:rsidR="00735703" w:rsidRPr="0027666F">
        <w:rPr>
          <w:rFonts w:ascii="Garamond" w:hAnsi="Garamond"/>
        </w:rPr>
        <w:t>)</w:t>
      </w:r>
      <w:r w:rsidR="00E7150F" w:rsidRPr="0027666F">
        <w:rPr>
          <w:rFonts w:ascii="Garamond" w:hAnsi="Garamond"/>
        </w:rPr>
        <w:t xml:space="preserve"> </w:t>
      </w:r>
      <w:r w:rsidR="00DD6E29" w:rsidRPr="0027666F">
        <w:rPr>
          <w:rFonts w:ascii="Garamond" w:hAnsi="Garamond"/>
        </w:rPr>
        <w:t>argues, this epistemological constraint means that the way practitioners, scholars and ‘beneficiaries’ think about transitional justice</w:t>
      </w:r>
      <w:r w:rsidR="00EF7750">
        <w:rPr>
          <w:rFonts w:ascii="Garamond" w:hAnsi="Garamond"/>
        </w:rPr>
        <w:t>,</w:t>
      </w:r>
      <w:r w:rsidR="00B12183" w:rsidRPr="0027666F">
        <w:rPr>
          <w:rFonts w:ascii="Garamond" w:hAnsi="Garamond"/>
        </w:rPr>
        <w:t xml:space="preserve"> and construct transitional archives</w:t>
      </w:r>
      <w:r w:rsidR="00EF7750">
        <w:rPr>
          <w:rFonts w:ascii="Garamond" w:hAnsi="Garamond"/>
        </w:rPr>
        <w:t>,</w:t>
      </w:r>
      <w:r w:rsidR="00DD6E29" w:rsidRPr="0027666F">
        <w:rPr>
          <w:rFonts w:ascii="Garamond" w:hAnsi="Garamond"/>
        </w:rPr>
        <w:t xml:space="preserve"> remains essentially </w:t>
      </w:r>
      <w:r w:rsidR="009D00DF" w:rsidRPr="0027666F">
        <w:rPr>
          <w:rFonts w:ascii="Garamond" w:hAnsi="Garamond"/>
        </w:rPr>
        <w:t>straitjacket</w:t>
      </w:r>
      <w:r w:rsidR="00EF7750">
        <w:rPr>
          <w:rFonts w:ascii="Garamond" w:hAnsi="Garamond"/>
        </w:rPr>
        <w:t>ed</w:t>
      </w:r>
      <w:r w:rsidR="00DD6E29" w:rsidRPr="0027666F">
        <w:rPr>
          <w:rFonts w:ascii="Garamond" w:hAnsi="Garamond"/>
        </w:rPr>
        <w:t>.</w:t>
      </w:r>
      <w:r w:rsidR="003C7483" w:rsidRPr="0027666F">
        <w:rPr>
          <w:rFonts w:ascii="Garamond" w:hAnsi="Garamond"/>
        </w:rPr>
        <w:t xml:space="preserve"> This also continues to constitute a particular, and problematic, relationship between the ‘international’ and ‘local’</w:t>
      </w:r>
      <w:r w:rsidR="00EF7750">
        <w:rPr>
          <w:rFonts w:ascii="Garamond" w:hAnsi="Garamond"/>
        </w:rPr>
        <w:t xml:space="preserve"> within the archive</w:t>
      </w:r>
      <w:r w:rsidR="003C7483" w:rsidRPr="0027666F">
        <w:rPr>
          <w:rFonts w:ascii="Garamond" w:hAnsi="Garamond"/>
        </w:rPr>
        <w:t xml:space="preserve">. </w:t>
      </w:r>
    </w:p>
    <w:p w14:paraId="0DB543C9" w14:textId="77777777" w:rsidR="00DD6E29" w:rsidRPr="0027666F" w:rsidRDefault="00DD6E29" w:rsidP="00394892">
      <w:pPr>
        <w:rPr>
          <w:rFonts w:ascii="Garamond" w:hAnsi="Garamond"/>
        </w:rPr>
      </w:pPr>
    </w:p>
    <w:p w14:paraId="3AF97889" w14:textId="0184798C" w:rsidR="006D2EBC" w:rsidRPr="0027666F" w:rsidRDefault="006D2EBC" w:rsidP="00394892">
      <w:pPr>
        <w:rPr>
          <w:rFonts w:ascii="Garamond" w:hAnsi="Garamond"/>
        </w:rPr>
      </w:pPr>
      <w:r w:rsidRPr="0027666F">
        <w:rPr>
          <w:rFonts w:ascii="Garamond" w:hAnsi="Garamond"/>
        </w:rPr>
        <w:t xml:space="preserve">There is, however, a need to question </w:t>
      </w:r>
      <w:r w:rsidR="00DD6E29" w:rsidRPr="0027666F">
        <w:rPr>
          <w:rFonts w:ascii="Garamond" w:hAnsi="Garamond"/>
        </w:rPr>
        <w:t xml:space="preserve">if the archive </w:t>
      </w:r>
      <w:r w:rsidR="00B12183" w:rsidRPr="0027666F">
        <w:rPr>
          <w:rFonts w:ascii="Garamond" w:hAnsi="Garamond"/>
        </w:rPr>
        <w:t xml:space="preserve">has to be seen as a site that </w:t>
      </w:r>
      <w:r w:rsidRPr="0027666F">
        <w:rPr>
          <w:rFonts w:ascii="Garamond" w:hAnsi="Garamond"/>
          <w:i/>
        </w:rPr>
        <w:t>either</w:t>
      </w:r>
      <w:r w:rsidRPr="0027666F">
        <w:rPr>
          <w:rFonts w:ascii="Garamond" w:hAnsi="Garamond"/>
        </w:rPr>
        <w:t xml:space="preserve"> capture</w:t>
      </w:r>
      <w:r w:rsidR="00EF7750">
        <w:rPr>
          <w:rFonts w:ascii="Garamond" w:hAnsi="Garamond"/>
        </w:rPr>
        <w:t>s</w:t>
      </w:r>
      <w:r w:rsidRPr="0027666F">
        <w:rPr>
          <w:rFonts w:ascii="Garamond" w:hAnsi="Garamond"/>
        </w:rPr>
        <w:t xml:space="preserve"> victims voice in </w:t>
      </w:r>
      <w:r w:rsidR="00EF7750">
        <w:rPr>
          <w:rFonts w:ascii="Garamond" w:hAnsi="Garamond"/>
        </w:rPr>
        <w:t>their</w:t>
      </w:r>
      <w:r w:rsidRPr="0027666F">
        <w:rPr>
          <w:rFonts w:ascii="Garamond" w:hAnsi="Garamond"/>
        </w:rPr>
        <w:t xml:space="preserve"> purity, or remain</w:t>
      </w:r>
      <w:r w:rsidR="00EF7750">
        <w:rPr>
          <w:rFonts w:ascii="Garamond" w:hAnsi="Garamond"/>
        </w:rPr>
        <w:t>s</w:t>
      </w:r>
      <w:r w:rsidRPr="0027666F">
        <w:rPr>
          <w:rFonts w:ascii="Garamond" w:hAnsi="Garamond"/>
        </w:rPr>
        <w:t xml:space="preserve"> a site of silence. </w:t>
      </w:r>
      <w:r w:rsidR="009D00DF" w:rsidRPr="0027666F">
        <w:rPr>
          <w:rFonts w:ascii="Garamond" w:hAnsi="Garamond"/>
        </w:rPr>
        <w:t>Transitional</w:t>
      </w:r>
      <w:r w:rsidRPr="0027666F">
        <w:rPr>
          <w:rFonts w:ascii="Garamond" w:hAnsi="Garamond"/>
        </w:rPr>
        <w:t xml:space="preserve"> justice mechanisms are not static in how they seek to realise a particular set of goals</w:t>
      </w:r>
      <w:r w:rsidR="00DD6E29" w:rsidRPr="0027666F">
        <w:rPr>
          <w:rFonts w:ascii="Garamond" w:hAnsi="Garamond"/>
        </w:rPr>
        <w:t xml:space="preserve"> (or indeed what the</w:t>
      </w:r>
      <w:r w:rsidR="001662D3">
        <w:rPr>
          <w:rFonts w:ascii="Garamond" w:hAnsi="Garamond"/>
        </w:rPr>
        <w:t xml:space="preserve">ir </w:t>
      </w:r>
      <w:r w:rsidR="00DD6E29" w:rsidRPr="0027666F">
        <w:rPr>
          <w:rFonts w:ascii="Garamond" w:hAnsi="Garamond"/>
        </w:rPr>
        <w:t>goals are)</w:t>
      </w:r>
      <w:r w:rsidRPr="0027666F">
        <w:rPr>
          <w:rFonts w:ascii="Garamond" w:hAnsi="Garamond"/>
        </w:rPr>
        <w:t>, but are subject to the regular and ongoing contestation by those that interact with them</w:t>
      </w:r>
      <w:r w:rsidR="00DD6E29" w:rsidRPr="0027666F">
        <w:rPr>
          <w:rFonts w:ascii="Garamond" w:hAnsi="Garamond"/>
        </w:rPr>
        <w:t xml:space="preserve"> (</w:t>
      </w:r>
      <w:r w:rsidR="009D00DF" w:rsidRPr="0027666F">
        <w:rPr>
          <w:rFonts w:ascii="Garamond" w:hAnsi="Garamond"/>
        </w:rPr>
        <w:t xml:space="preserve">Redwood </w:t>
      </w:r>
      <w:r w:rsidR="009D00DF" w:rsidRPr="0027666F">
        <w:rPr>
          <w:rFonts w:ascii="Garamond" w:hAnsi="Garamond"/>
          <w:i/>
        </w:rPr>
        <w:t>forthcoming</w:t>
      </w:r>
      <w:r w:rsidR="009D00DF" w:rsidRPr="0027666F">
        <w:rPr>
          <w:rFonts w:ascii="Garamond" w:hAnsi="Garamond"/>
        </w:rPr>
        <w:t xml:space="preserve">; </w:t>
      </w:r>
      <w:r w:rsidR="00CB2C12" w:rsidRPr="0027666F">
        <w:rPr>
          <w:rFonts w:ascii="Garamond" w:hAnsi="Garamond"/>
        </w:rPr>
        <w:t>Jones and Bernath 2018)</w:t>
      </w:r>
      <w:r w:rsidRPr="0027666F">
        <w:rPr>
          <w:rFonts w:ascii="Garamond" w:hAnsi="Garamond"/>
        </w:rPr>
        <w:t>. This much has been well examined in the ever growing literature on ‘hybridity’</w:t>
      </w:r>
      <w:r w:rsidR="00DD6E29" w:rsidRPr="0027666F">
        <w:rPr>
          <w:rFonts w:ascii="Garamond" w:hAnsi="Garamond"/>
        </w:rPr>
        <w:t xml:space="preserve"> in transitional justice and peacebuilding (</w:t>
      </w:r>
      <w:r w:rsidR="00CB2C12" w:rsidRPr="0027666F">
        <w:rPr>
          <w:rFonts w:ascii="Garamond" w:hAnsi="Garamond"/>
        </w:rPr>
        <w:t>e.g. Mac Ginty 2010</w:t>
      </w:r>
      <w:r w:rsidR="00CB2C12" w:rsidRPr="0027666F">
        <w:rPr>
          <w:rFonts w:ascii="Garamond" w:hAnsi="Garamond"/>
        </w:rPr>
        <w:fldChar w:fldCharType="begin"/>
      </w:r>
      <w:r w:rsidR="00CB2C12" w:rsidRPr="0027666F">
        <w:rPr>
          <w:rFonts w:ascii="Garamond" w:hAnsi="Garamond"/>
        </w:rPr>
        <w:instrText xml:space="preserve"> ADDIN EN.CITE &lt;EndNote&gt;&lt;Cite&gt;&lt;Author&gt;Mac Ginty&lt;/Author&gt;&lt;Year&gt;2010&lt;/Year&gt;&lt;RecNum&gt;404&lt;/RecNum&gt;&lt;record&gt;&lt;rec-number&gt;404&lt;/rec-number&gt;&lt;foreign-keys&gt;&lt;key app="EN" db-id="0rewstxe3sdfepeps9f5xrt55srrdw2s5r9x" timestamp="1549649336"&gt;404&lt;/key&gt;&lt;/foreign-keys&gt;&lt;ref-type name="Journal Article"&gt;17&lt;/ref-type&gt;&lt;contributors&gt;&lt;authors&gt;&lt;author&gt;Mac Ginty, Roger&lt;/author&gt;&lt;/authors&gt;&lt;/contributors&gt;&lt;titles&gt;&lt;title&gt;Hybrid Peace: The Interaction Between Top-Down and Bottom-Up Peace.&lt;/title&gt;&lt;secondary-title&gt;Security Dialogue&lt;/secondary-title&gt;&lt;/titles&gt;&lt;periodical&gt;&lt;full-title&gt;Security Dialogue&lt;/full-title&gt;&lt;/periodical&gt;&lt;pages&gt;391-412&lt;/pages&gt;&lt;volume&gt;41&lt;/volume&gt;&lt;number&gt;4&lt;/number&gt;&lt;dates&gt;&lt;year&gt;2010&lt;/year&gt;&lt;/dates&gt;&lt;urls&gt;&lt;/urls&gt;&lt;/record&gt;&lt;/Cite&gt;&lt;/EndNote&gt;</w:instrText>
      </w:r>
      <w:r w:rsidR="00CB2C12" w:rsidRPr="0027666F">
        <w:rPr>
          <w:rFonts w:ascii="Garamond" w:hAnsi="Garamond"/>
        </w:rPr>
        <w:fldChar w:fldCharType="end"/>
      </w:r>
      <w:r w:rsidR="00DD6E29" w:rsidRPr="0027666F">
        <w:rPr>
          <w:rFonts w:ascii="Garamond" w:hAnsi="Garamond"/>
        </w:rPr>
        <w:t>)</w:t>
      </w:r>
      <w:r w:rsidRPr="0027666F">
        <w:rPr>
          <w:rFonts w:ascii="Garamond" w:hAnsi="Garamond"/>
        </w:rPr>
        <w:t xml:space="preserve">. Indeed, it is worth remembering, returning to Foucault and one of his interlocutors, </w:t>
      </w:r>
      <w:r w:rsidR="003C7483" w:rsidRPr="0027666F">
        <w:rPr>
          <w:rFonts w:ascii="Garamond" w:hAnsi="Garamond"/>
        </w:rPr>
        <w:t xml:space="preserve">Arlette </w:t>
      </w:r>
      <w:r w:rsidRPr="0027666F">
        <w:rPr>
          <w:rFonts w:ascii="Garamond" w:hAnsi="Garamond"/>
        </w:rPr>
        <w:t>Farage</w:t>
      </w:r>
      <w:r w:rsidR="00CB2C12" w:rsidRPr="0027666F">
        <w:rPr>
          <w:rFonts w:ascii="Garamond" w:hAnsi="Garamond"/>
        </w:rPr>
        <w:t xml:space="preserve"> (2013)</w:t>
      </w:r>
      <w:r w:rsidRPr="0027666F">
        <w:rPr>
          <w:rFonts w:ascii="Garamond" w:hAnsi="Garamond"/>
        </w:rPr>
        <w:t xml:space="preserve">, </w:t>
      </w:r>
      <w:r w:rsidR="00DD6E29" w:rsidRPr="0027666F">
        <w:rPr>
          <w:rFonts w:ascii="Garamond" w:hAnsi="Garamond"/>
        </w:rPr>
        <w:t xml:space="preserve">that </w:t>
      </w:r>
      <w:r w:rsidRPr="0027666F">
        <w:rPr>
          <w:rFonts w:ascii="Garamond" w:hAnsi="Garamond"/>
        </w:rPr>
        <w:t>whilst the archive strives for total control over a particular se</w:t>
      </w:r>
      <w:r w:rsidR="00DD6E29" w:rsidRPr="0027666F">
        <w:rPr>
          <w:rFonts w:ascii="Garamond" w:hAnsi="Garamond"/>
        </w:rPr>
        <w:t>a</w:t>
      </w:r>
      <w:r w:rsidRPr="0027666F">
        <w:rPr>
          <w:rFonts w:ascii="Garamond" w:hAnsi="Garamond"/>
        </w:rPr>
        <w:t xml:space="preserve"> of objects and subjects, this is only ever</w:t>
      </w:r>
      <w:r w:rsidR="00DD6E29" w:rsidRPr="0027666F">
        <w:rPr>
          <w:rFonts w:ascii="Garamond" w:hAnsi="Garamond"/>
        </w:rPr>
        <w:t xml:space="preserve">, as Stoler suggests, </w:t>
      </w:r>
      <w:r w:rsidRPr="0027666F">
        <w:rPr>
          <w:rFonts w:ascii="Garamond" w:hAnsi="Garamond"/>
          <w:i/>
        </w:rPr>
        <w:t>a fantasy</w:t>
      </w:r>
      <w:r w:rsidRPr="0027666F">
        <w:rPr>
          <w:rFonts w:ascii="Garamond" w:hAnsi="Garamond"/>
        </w:rPr>
        <w:t xml:space="preserve">. As such, and despite the archive’s force, within the </w:t>
      </w:r>
      <w:r w:rsidR="00DD6E29" w:rsidRPr="0027666F">
        <w:rPr>
          <w:rFonts w:ascii="Garamond" w:hAnsi="Garamond"/>
        </w:rPr>
        <w:t>archive</w:t>
      </w:r>
      <w:r w:rsidRPr="0027666F">
        <w:rPr>
          <w:rFonts w:ascii="Garamond" w:hAnsi="Garamond"/>
        </w:rPr>
        <w:t xml:space="preserve"> there will be </w:t>
      </w:r>
      <w:r w:rsidR="00DD6E29" w:rsidRPr="0027666F">
        <w:rPr>
          <w:rFonts w:ascii="Garamond" w:hAnsi="Garamond"/>
        </w:rPr>
        <w:t>fragments</w:t>
      </w:r>
      <w:r w:rsidRPr="0027666F">
        <w:rPr>
          <w:rFonts w:ascii="Garamond" w:hAnsi="Garamond"/>
        </w:rPr>
        <w:t xml:space="preserve"> which sit beyond and push back against the </w:t>
      </w:r>
      <w:r w:rsidR="00DD6E29" w:rsidRPr="0027666F">
        <w:rPr>
          <w:rFonts w:ascii="Garamond" w:hAnsi="Garamond"/>
        </w:rPr>
        <w:t>archival</w:t>
      </w:r>
      <w:r w:rsidRPr="0027666F">
        <w:rPr>
          <w:rFonts w:ascii="Garamond" w:hAnsi="Garamond"/>
        </w:rPr>
        <w:t xml:space="preserve"> rules</w:t>
      </w:r>
      <w:r w:rsidR="006266A6" w:rsidRPr="0027666F">
        <w:rPr>
          <w:rFonts w:ascii="Garamond" w:hAnsi="Garamond"/>
        </w:rPr>
        <w:t>, that capture the subaltern</w:t>
      </w:r>
      <w:r w:rsidR="001662D3">
        <w:rPr>
          <w:rFonts w:ascii="Garamond" w:hAnsi="Garamond"/>
        </w:rPr>
        <w:t>’</w:t>
      </w:r>
      <w:r w:rsidR="006266A6" w:rsidRPr="0027666F">
        <w:rPr>
          <w:rFonts w:ascii="Garamond" w:hAnsi="Garamond"/>
        </w:rPr>
        <w:t xml:space="preserve">s voice. </w:t>
      </w:r>
    </w:p>
    <w:p w14:paraId="5246B32A" w14:textId="7D5441BF" w:rsidR="006266A6" w:rsidRPr="0027666F" w:rsidRDefault="006266A6" w:rsidP="00394892">
      <w:pPr>
        <w:rPr>
          <w:rFonts w:ascii="Garamond" w:hAnsi="Garamond"/>
        </w:rPr>
      </w:pPr>
    </w:p>
    <w:p w14:paraId="74F748B0" w14:textId="5237B0F9" w:rsidR="001C0E29" w:rsidRPr="0027666F" w:rsidRDefault="006266A6" w:rsidP="001C0E29">
      <w:pPr>
        <w:rPr>
          <w:rFonts w:ascii="Garamond" w:hAnsi="Garamond"/>
        </w:rPr>
      </w:pPr>
      <w:r w:rsidRPr="0027666F">
        <w:rPr>
          <w:rFonts w:ascii="Garamond" w:hAnsi="Garamond"/>
        </w:rPr>
        <w:t xml:space="preserve">Whilst this section has </w:t>
      </w:r>
      <w:r w:rsidR="00B12183" w:rsidRPr="0027666F">
        <w:rPr>
          <w:rFonts w:ascii="Garamond" w:hAnsi="Garamond"/>
        </w:rPr>
        <w:t>examined</w:t>
      </w:r>
      <w:r w:rsidRPr="0027666F">
        <w:rPr>
          <w:rFonts w:ascii="Garamond" w:hAnsi="Garamond"/>
        </w:rPr>
        <w:t xml:space="preserve"> </w:t>
      </w:r>
      <w:r w:rsidR="00B12183" w:rsidRPr="0027666F">
        <w:rPr>
          <w:rFonts w:ascii="Garamond" w:hAnsi="Garamond"/>
        </w:rPr>
        <w:t>the</w:t>
      </w:r>
      <w:r w:rsidRPr="0027666F">
        <w:rPr>
          <w:rFonts w:ascii="Garamond" w:hAnsi="Garamond"/>
        </w:rPr>
        <w:t xml:space="preserve"> archive </w:t>
      </w:r>
      <w:r w:rsidR="00B12183" w:rsidRPr="0027666F">
        <w:rPr>
          <w:rFonts w:ascii="Garamond" w:hAnsi="Garamond"/>
        </w:rPr>
        <w:t>as</w:t>
      </w:r>
      <w:r w:rsidRPr="0027666F">
        <w:rPr>
          <w:rFonts w:ascii="Garamond" w:hAnsi="Garamond"/>
        </w:rPr>
        <w:t xml:space="preserve"> a site of order, </w:t>
      </w:r>
      <w:r w:rsidR="006809CF" w:rsidRPr="0027666F">
        <w:rPr>
          <w:rFonts w:ascii="Garamond" w:hAnsi="Garamond"/>
        </w:rPr>
        <w:t>categorisation</w:t>
      </w:r>
      <w:r w:rsidRPr="0027666F">
        <w:rPr>
          <w:rFonts w:ascii="Garamond" w:hAnsi="Garamond"/>
        </w:rPr>
        <w:t xml:space="preserve"> and exclusion</w:t>
      </w:r>
      <w:r w:rsidR="00B12183" w:rsidRPr="0027666F">
        <w:rPr>
          <w:rFonts w:ascii="Garamond" w:hAnsi="Garamond"/>
        </w:rPr>
        <w:t xml:space="preserve">, which </w:t>
      </w:r>
      <w:r w:rsidRPr="0027666F">
        <w:rPr>
          <w:rFonts w:ascii="Garamond" w:hAnsi="Garamond"/>
        </w:rPr>
        <w:t xml:space="preserve">can have potentially negative </w:t>
      </w:r>
      <w:r w:rsidR="006809CF" w:rsidRPr="0027666F">
        <w:rPr>
          <w:rFonts w:ascii="Garamond" w:hAnsi="Garamond"/>
        </w:rPr>
        <w:t>repercussion</w:t>
      </w:r>
      <w:r w:rsidRPr="0027666F">
        <w:rPr>
          <w:rFonts w:ascii="Garamond" w:hAnsi="Garamond"/>
        </w:rPr>
        <w:t xml:space="preserve"> for those </w:t>
      </w:r>
      <w:r w:rsidR="006809CF" w:rsidRPr="0027666F">
        <w:rPr>
          <w:rFonts w:ascii="Garamond" w:hAnsi="Garamond"/>
        </w:rPr>
        <w:t>communities</w:t>
      </w:r>
      <w:r w:rsidRPr="0027666F">
        <w:rPr>
          <w:rFonts w:ascii="Garamond" w:hAnsi="Garamond"/>
        </w:rPr>
        <w:t xml:space="preserve"> it addresses – and brings into existence – as this final point shows, it is </w:t>
      </w:r>
      <w:r w:rsidR="00DD6E29" w:rsidRPr="0027666F">
        <w:rPr>
          <w:rFonts w:ascii="Garamond" w:hAnsi="Garamond"/>
        </w:rPr>
        <w:t xml:space="preserve">also possible that these rules and imaginings of community can be disrupted. </w:t>
      </w:r>
      <w:r w:rsidRPr="0027666F">
        <w:rPr>
          <w:rFonts w:ascii="Garamond" w:hAnsi="Garamond"/>
        </w:rPr>
        <w:t xml:space="preserve">The final section of this chapter </w:t>
      </w:r>
      <w:r w:rsidR="00DD6E29" w:rsidRPr="0027666F">
        <w:rPr>
          <w:rFonts w:ascii="Garamond" w:hAnsi="Garamond"/>
        </w:rPr>
        <w:t>examines</w:t>
      </w:r>
      <w:r w:rsidRPr="0027666F">
        <w:rPr>
          <w:rFonts w:ascii="Garamond" w:hAnsi="Garamond"/>
        </w:rPr>
        <w:t xml:space="preserve"> this idea more closely through the idea of the ‘counter-archive’. </w:t>
      </w:r>
    </w:p>
    <w:p w14:paraId="64275517" w14:textId="51FB1E17" w:rsidR="001C0E29" w:rsidRPr="0027666F" w:rsidRDefault="001C0E29" w:rsidP="00260796">
      <w:pPr>
        <w:pStyle w:val="Heading1"/>
        <w:rPr>
          <w:rFonts w:ascii="Garamond" w:hAnsi="Garamond"/>
        </w:rPr>
      </w:pPr>
      <w:r w:rsidRPr="0027666F">
        <w:rPr>
          <w:rFonts w:ascii="Garamond" w:hAnsi="Garamond"/>
        </w:rPr>
        <w:t>Archives as Resistance</w:t>
      </w:r>
    </w:p>
    <w:p w14:paraId="3949E917" w14:textId="77777777" w:rsidR="00DD6E29" w:rsidRPr="0027666F" w:rsidRDefault="00DD6E29" w:rsidP="001C0E29">
      <w:pPr>
        <w:rPr>
          <w:rFonts w:ascii="Garamond" w:hAnsi="Garamond"/>
          <w:u w:val="single"/>
        </w:rPr>
      </w:pPr>
    </w:p>
    <w:p w14:paraId="140D271E" w14:textId="05E6C90E" w:rsidR="006266A6" w:rsidRPr="0027666F" w:rsidRDefault="00DD6E29" w:rsidP="001C0E29">
      <w:pPr>
        <w:rPr>
          <w:rFonts w:ascii="Garamond" w:hAnsi="Garamond"/>
        </w:rPr>
      </w:pPr>
      <w:r w:rsidRPr="0027666F">
        <w:rPr>
          <w:rFonts w:ascii="Garamond" w:hAnsi="Garamond"/>
        </w:rPr>
        <w:t xml:space="preserve">Several </w:t>
      </w:r>
      <w:r w:rsidR="00734607" w:rsidRPr="0027666F">
        <w:rPr>
          <w:rFonts w:ascii="Garamond" w:hAnsi="Garamond"/>
        </w:rPr>
        <w:t xml:space="preserve">studies have begun to question if the archival drive </w:t>
      </w:r>
      <w:r w:rsidR="00734607" w:rsidRPr="0027666F">
        <w:rPr>
          <w:rFonts w:ascii="Garamond" w:hAnsi="Garamond"/>
          <w:i/>
        </w:rPr>
        <w:t xml:space="preserve">must </w:t>
      </w:r>
      <w:r w:rsidR="00734607" w:rsidRPr="0027666F">
        <w:rPr>
          <w:rFonts w:ascii="Garamond" w:hAnsi="Garamond"/>
        </w:rPr>
        <w:t>work in this way and how, in contrast, the archive can become a site of resistance and place where a more transformative and radical notion of community is imagined</w:t>
      </w:r>
      <w:r w:rsidRPr="0027666F">
        <w:rPr>
          <w:rFonts w:ascii="Garamond" w:hAnsi="Garamond"/>
        </w:rPr>
        <w:t xml:space="preserve"> (</w:t>
      </w:r>
      <w:r w:rsidR="00A52E68" w:rsidRPr="0027666F">
        <w:rPr>
          <w:rFonts w:ascii="Garamond" w:hAnsi="Garamond"/>
        </w:rPr>
        <w:t xml:space="preserve">Caswell 2014,  </w:t>
      </w:r>
      <w:r w:rsidR="00A52E68" w:rsidRPr="0027666F">
        <w:rPr>
          <w:rFonts w:ascii="Garamond" w:hAnsi="Garamond"/>
          <w:lang w:val="en-US"/>
        </w:rPr>
        <w:t>208-210</w:t>
      </w:r>
      <w:r w:rsidRPr="0027666F">
        <w:rPr>
          <w:rFonts w:ascii="Garamond" w:hAnsi="Garamond"/>
        </w:rPr>
        <w:t>)</w:t>
      </w:r>
      <w:r w:rsidR="00734607" w:rsidRPr="0027666F">
        <w:rPr>
          <w:rFonts w:ascii="Garamond" w:hAnsi="Garamond"/>
        </w:rPr>
        <w:t>. This final section consider</w:t>
      </w:r>
      <w:r w:rsidRPr="0027666F">
        <w:rPr>
          <w:rFonts w:ascii="Garamond" w:hAnsi="Garamond"/>
        </w:rPr>
        <w:t>s</w:t>
      </w:r>
      <w:r w:rsidR="00734607" w:rsidRPr="0027666F">
        <w:rPr>
          <w:rFonts w:ascii="Garamond" w:hAnsi="Garamond"/>
        </w:rPr>
        <w:t xml:space="preserve"> </w:t>
      </w:r>
      <w:r w:rsidR="00734607" w:rsidRPr="0027666F">
        <w:rPr>
          <w:rFonts w:ascii="Garamond" w:hAnsi="Garamond"/>
        </w:rPr>
        <w:lastRenderedPageBreak/>
        <w:t xml:space="preserve">this idea </w:t>
      </w:r>
      <w:r w:rsidRPr="0027666F">
        <w:rPr>
          <w:rFonts w:ascii="Garamond" w:hAnsi="Garamond"/>
        </w:rPr>
        <w:t xml:space="preserve">of the ‘counter-archive’ </w:t>
      </w:r>
      <w:r w:rsidR="00734607" w:rsidRPr="0027666F">
        <w:rPr>
          <w:rFonts w:ascii="Garamond" w:hAnsi="Garamond"/>
        </w:rPr>
        <w:t>before looking at one example of this more imaginative and creative enga</w:t>
      </w:r>
      <w:r w:rsidRPr="0027666F">
        <w:rPr>
          <w:rFonts w:ascii="Garamond" w:hAnsi="Garamond"/>
        </w:rPr>
        <w:t>ge</w:t>
      </w:r>
      <w:r w:rsidR="00734607" w:rsidRPr="0027666F">
        <w:rPr>
          <w:rFonts w:ascii="Garamond" w:hAnsi="Garamond"/>
        </w:rPr>
        <w:t>ment with the archive</w:t>
      </w:r>
      <w:r w:rsidR="002E50A9" w:rsidRPr="0027666F">
        <w:rPr>
          <w:rFonts w:ascii="Garamond" w:hAnsi="Garamond"/>
        </w:rPr>
        <w:t xml:space="preserve">, transitional justice </w:t>
      </w:r>
      <w:r w:rsidRPr="0027666F">
        <w:rPr>
          <w:rFonts w:ascii="Garamond" w:hAnsi="Garamond"/>
        </w:rPr>
        <w:t>and community</w:t>
      </w:r>
      <w:r w:rsidR="00462260">
        <w:rPr>
          <w:rFonts w:ascii="Garamond" w:hAnsi="Garamond"/>
        </w:rPr>
        <w:t>.</w:t>
      </w:r>
      <w:r w:rsidR="002E50A9" w:rsidRPr="0027666F">
        <w:rPr>
          <w:rFonts w:ascii="Garamond" w:hAnsi="Garamond"/>
        </w:rPr>
        <w:t xml:space="preserve"> </w:t>
      </w:r>
      <w:r w:rsidR="00734607" w:rsidRPr="0027666F">
        <w:rPr>
          <w:rFonts w:ascii="Garamond" w:hAnsi="Garamond"/>
        </w:rPr>
        <w:t xml:space="preserve"> </w:t>
      </w:r>
    </w:p>
    <w:p w14:paraId="32EB557C" w14:textId="093B3358" w:rsidR="00734607" w:rsidRPr="0027666F" w:rsidRDefault="00734607" w:rsidP="001C0E29">
      <w:pPr>
        <w:rPr>
          <w:rFonts w:ascii="Garamond" w:hAnsi="Garamond"/>
        </w:rPr>
      </w:pPr>
    </w:p>
    <w:p w14:paraId="3F2D5A69" w14:textId="06590EE9" w:rsidR="00734607" w:rsidRPr="0027666F" w:rsidRDefault="00734607" w:rsidP="00260796">
      <w:pPr>
        <w:pStyle w:val="Heading2"/>
      </w:pPr>
      <w:r w:rsidRPr="0027666F">
        <w:t xml:space="preserve">The Counter-Archive. </w:t>
      </w:r>
    </w:p>
    <w:p w14:paraId="219DC701" w14:textId="3CE83A58" w:rsidR="00734607" w:rsidRPr="0027666F" w:rsidRDefault="00734607" w:rsidP="001C0E29">
      <w:pPr>
        <w:rPr>
          <w:rFonts w:ascii="Garamond" w:hAnsi="Garamond"/>
          <w:i/>
        </w:rPr>
      </w:pPr>
    </w:p>
    <w:p w14:paraId="341318A9" w14:textId="45D9CFFA" w:rsidR="00734607" w:rsidRPr="0027666F" w:rsidRDefault="005F6AA9" w:rsidP="001C0E29">
      <w:pPr>
        <w:rPr>
          <w:rFonts w:ascii="Garamond" w:hAnsi="Garamond"/>
        </w:rPr>
      </w:pPr>
      <w:r w:rsidRPr="0027666F">
        <w:rPr>
          <w:rFonts w:ascii="Garamond" w:hAnsi="Garamond"/>
        </w:rPr>
        <w:t xml:space="preserve">In recent years, </w:t>
      </w:r>
      <w:r w:rsidR="00734607" w:rsidRPr="0027666F">
        <w:rPr>
          <w:rFonts w:ascii="Garamond" w:hAnsi="Garamond"/>
        </w:rPr>
        <w:t>international relations</w:t>
      </w:r>
      <w:r w:rsidR="00126AFB" w:rsidRPr="0027666F">
        <w:rPr>
          <w:rFonts w:ascii="Garamond" w:hAnsi="Garamond"/>
        </w:rPr>
        <w:t xml:space="preserve"> (IR), </w:t>
      </w:r>
      <w:r w:rsidR="00734607" w:rsidRPr="0027666F">
        <w:rPr>
          <w:rFonts w:ascii="Garamond" w:hAnsi="Garamond"/>
        </w:rPr>
        <w:t>post-colonial</w:t>
      </w:r>
      <w:r w:rsidR="00126AFB" w:rsidRPr="0027666F">
        <w:rPr>
          <w:rFonts w:ascii="Garamond" w:hAnsi="Garamond"/>
        </w:rPr>
        <w:t xml:space="preserve"> and archival science scholars </w:t>
      </w:r>
      <w:r w:rsidRPr="0027666F">
        <w:rPr>
          <w:rFonts w:ascii="Garamond" w:hAnsi="Garamond"/>
        </w:rPr>
        <w:t xml:space="preserve">have begun to consider </w:t>
      </w:r>
      <w:r w:rsidR="00734607" w:rsidRPr="0027666F">
        <w:rPr>
          <w:rFonts w:ascii="Garamond" w:hAnsi="Garamond"/>
        </w:rPr>
        <w:t xml:space="preserve">how the archive might be reimagined so that it becomes less a tool of </w:t>
      </w:r>
      <w:r w:rsidR="00126AFB" w:rsidRPr="0027666F">
        <w:rPr>
          <w:rFonts w:ascii="Garamond" w:hAnsi="Garamond"/>
        </w:rPr>
        <w:t xml:space="preserve">coercive </w:t>
      </w:r>
      <w:r w:rsidR="00734607" w:rsidRPr="0027666F">
        <w:rPr>
          <w:rFonts w:ascii="Garamond" w:hAnsi="Garamond"/>
        </w:rPr>
        <w:t>governance and more an site, or perhaps process, of emancipation</w:t>
      </w:r>
      <w:r w:rsidRPr="0027666F">
        <w:rPr>
          <w:rFonts w:ascii="Garamond" w:hAnsi="Garamond"/>
        </w:rPr>
        <w:t xml:space="preserve"> (</w:t>
      </w:r>
      <w:r w:rsidR="006809CF" w:rsidRPr="0027666F">
        <w:rPr>
          <w:rFonts w:ascii="Garamond" w:hAnsi="Garamond"/>
        </w:rPr>
        <w:t xml:space="preserve">Moth 2018; Caswell 2014; Harris 2014; Flinn 2009; Wallace </w:t>
      </w:r>
      <w:r w:rsidR="006809CF" w:rsidRPr="0027666F">
        <w:rPr>
          <w:rFonts w:ascii="Garamond" w:hAnsi="Garamond"/>
          <w:i/>
        </w:rPr>
        <w:t xml:space="preserve">et al </w:t>
      </w:r>
      <w:r w:rsidR="006809CF" w:rsidRPr="0027666F">
        <w:rPr>
          <w:rFonts w:ascii="Garamond" w:hAnsi="Garamond"/>
        </w:rPr>
        <w:t>2014</w:t>
      </w:r>
      <w:r w:rsidR="006809CF" w:rsidRPr="0027666F">
        <w:rPr>
          <w:rFonts w:ascii="Garamond" w:hAnsi="Garamond"/>
        </w:rPr>
        <w:fldChar w:fldCharType="begin"/>
      </w:r>
      <w:r w:rsidR="006809CF" w:rsidRPr="0027666F">
        <w:rPr>
          <w:rFonts w:ascii="Garamond" w:hAnsi="Garamond"/>
        </w:rPr>
        <w:instrText xml:space="preserve"> ADDIN EN.CITE &lt;EndNote&gt;&lt;Cite&gt;&lt;Author&gt;Wallace&lt;/Author&gt;&lt;Year&gt;2014&lt;/Year&gt;&lt;RecNum&gt;529&lt;/RecNum&gt;&lt;record&gt;&lt;rec-number&gt;529&lt;/rec-number&gt;&lt;foreign-keys&gt;&lt;key app="EN" db-id="0rewstxe3sdfepeps9f5xrt55srrdw2s5r9x" timestamp="1601055108"&gt;529&lt;/key&gt;&lt;/foreign-keys&gt;&lt;ref-type name="Journal Article"&gt;17&lt;/ref-type&gt;&lt;contributors&gt;&lt;authors&gt;&lt;author&gt;Wallace, David&lt;/author&gt;&lt;author&gt;Pasick, Patricia&lt;/author&gt;&lt;author&gt;Berman, Zoe&lt;/author&gt;&lt;author&gt;Weber, Ella&lt;/author&gt;&lt;/authors&gt;&lt;/contributors&gt;&lt;titles&gt;&lt;title&gt;Stories for Hope–Rwanda: a psychological–archival collaboration to promote healing and cultural continuity through intergenerational dialogue&lt;/title&gt;&lt;secondary-title&gt;Archival Science&lt;/secondary-title&gt;&lt;short-title&gt;Stories for Hope&lt;/short-title&gt;&lt;/titles&gt;&lt;periodical&gt;&lt;full-title&gt;Archival Science&lt;/full-title&gt;&lt;/periodical&gt;&lt;pages&gt;275–306&lt;/pages&gt;&lt;volume&gt;14&lt;/volume&gt;&lt;number&gt;1-2&lt;/number&gt;&lt;keywords&gt;&lt;keyword&gt;Archives&lt;/keyword&gt;&lt;keyword&gt;Rwanda&lt;/keyword&gt;&lt;keyword&gt;Community&lt;/keyword&gt;&lt;keyword&gt;Transitional Justice&lt;/keyword&gt;&lt;keyword&gt;Psychology&lt;/keyword&gt;&lt;/keywords&gt;&lt;dates&gt;&lt;year&gt;2014&lt;/year&gt;&lt;/dates&gt;&lt;urls&gt;&lt;/urls&gt;&lt;/record&gt;&lt;/Cite&gt;&lt;/EndNote&gt;</w:instrText>
      </w:r>
      <w:r w:rsidR="006809CF" w:rsidRPr="0027666F">
        <w:rPr>
          <w:rFonts w:ascii="Garamond" w:hAnsi="Garamond"/>
        </w:rPr>
        <w:fldChar w:fldCharType="end"/>
      </w:r>
      <w:r w:rsidRPr="0027666F">
        <w:rPr>
          <w:rFonts w:ascii="Garamond" w:hAnsi="Garamond"/>
        </w:rPr>
        <w:t>)</w:t>
      </w:r>
      <w:r w:rsidR="00734607" w:rsidRPr="0027666F">
        <w:rPr>
          <w:rFonts w:ascii="Garamond" w:hAnsi="Garamond"/>
        </w:rPr>
        <w:t xml:space="preserve">. </w:t>
      </w:r>
      <w:r w:rsidR="0015314D" w:rsidRPr="0027666F">
        <w:rPr>
          <w:rFonts w:ascii="Garamond" w:hAnsi="Garamond"/>
          <w:noProof/>
        </w:rPr>
        <w:t xml:space="preserve">Shiera </w:t>
      </w:r>
      <w:r w:rsidR="00126AFB" w:rsidRPr="0027666F">
        <w:rPr>
          <w:rFonts w:ascii="Garamond" w:hAnsi="Garamond"/>
          <w:lang w:val="en-US"/>
        </w:rPr>
        <w:t xml:space="preserve">el-Malik and Isaac Kamola’s recent volume, </w:t>
      </w:r>
      <w:r w:rsidRPr="0027666F">
        <w:rPr>
          <w:rFonts w:ascii="Garamond" w:hAnsi="Garamond"/>
          <w:lang w:val="en-US"/>
        </w:rPr>
        <w:t xml:space="preserve">for example, demonstrated that whilst the ability to rescue the subaltern’s voice from colonial archives might be in </w:t>
      </w:r>
      <w:r w:rsidR="0015314D" w:rsidRPr="0027666F">
        <w:rPr>
          <w:rFonts w:ascii="Garamond" w:hAnsi="Garamond"/>
          <w:lang w:val="en-US"/>
        </w:rPr>
        <w:t>question,</w:t>
      </w:r>
      <w:r w:rsidRPr="0027666F">
        <w:rPr>
          <w:rFonts w:ascii="Garamond" w:hAnsi="Garamond"/>
          <w:lang w:val="en-US"/>
        </w:rPr>
        <w:t xml:space="preserve"> it is possible to find ‘anti-colonial’ archives, which challenge colonialism (and the archival drive’s) orderings of society. Importantly, however, doing so requires reconceptualizing the archive, away from the bounded material site of state and colonial administrative centers, and towards a more amorphous, dynamic notion of the archive</w:t>
      </w:r>
      <w:r w:rsidR="00E7150F" w:rsidRPr="0027666F">
        <w:rPr>
          <w:rFonts w:ascii="Garamond" w:hAnsi="Garamond"/>
          <w:lang w:val="en-US"/>
        </w:rPr>
        <w:t xml:space="preserve"> (el-Malik and Kamola 2017</w:t>
      </w:r>
      <w:r w:rsidR="00E7150F" w:rsidRPr="0027666F">
        <w:rPr>
          <w:rFonts w:ascii="Garamond" w:hAnsi="Garamond"/>
          <w:lang w:val="en-US"/>
        </w:rPr>
        <w:fldChar w:fldCharType="begin"/>
      </w:r>
      <w:r w:rsidR="00E7150F" w:rsidRPr="0027666F">
        <w:rPr>
          <w:rFonts w:ascii="Garamond" w:hAnsi="Garamond"/>
          <w:lang w:val="en-US"/>
        </w:rPr>
        <w:instrText xml:space="preserve"> ADDIN EN.CITE &lt;EndNote&gt;&lt;Cite&gt;&lt;Author&gt;el-Malik&lt;/Author&gt;&lt;Year&gt;2017&lt;/Year&gt;&lt;RecNum&gt;531&lt;/RecNum&gt;&lt;record&gt;&lt;rec-number&gt;531&lt;/rec-number&gt;&lt;foreign-keys&gt;&lt;key app="EN" db-id="0rewstxe3sdfepeps9f5xrt55srrdw2s5r9x" timestamp="1601056089"&gt;531&lt;/key&gt;&lt;/foreign-keys&gt;&lt;ref-type name="Edited Book"&gt;28&lt;/ref-type&gt;&lt;contributors&gt;&lt;authors&gt;&lt;author&gt;el-Malik, Shiera &lt;/author&gt;&lt;author&gt;Kamola, Isaac&lt;/author&gt;&lt;/authors&gt;&lt;/contributors&gt;&lt;titles&gt;&lt;title&gt;Politics of African Anticolonial Archive&lt;/title&gt;&lt;/titles&gt;&lt;keywords&gt;&lt;keyword&gt;Archive&lt;/keyword&gt;&lt;keyword&gt;Anti-colonial&lt;/keyword&gt;&lt;keyword&gt;Post-colonial&lt;/keyword&gt;&lt;keyword&gt;Africa&lt;/keyword&gt;&lt;/keywords&gt;&lt;dates&gt;&lt;year&gt;2017&lt;/year&gt;&lt;/dates&gt;&lt;pub-location&gt;London&lt;/pub-location&gt;&lt;publisher&gt;Rowman &amp;amp; Littlefield International&lt;/publisher&gt;&lt;urls&gt;&lt;/urls&gt;&lt;/record&gt;&lt;/Cite&gt;&lt;/EndNote&gt;</w:instrText>
      </w:r>
      <w:r w:rsidR="00E7150F" w:rsidRPr="0027666F">
        <w:rPr>
          <w:rFonts w:ascii="Garamond" w:hAnsi="Garamond"/>
          <w:lang w:val="en-US"/>
        </w:rPr>
        <w:fldChar w:fldCharType="end"/>
      </w:r>
      <w:r w:rsidR="00E7150F" w:rsidRPr="0027666F">
        <w:rPr>
          <w:rFonts w:ascii="Garamond" w:hAnsi="Garamond"/>
          <w:lang w:val="en-US"/>
        </w:rPr>
        <w:t>)</w:t>
      </w:r>
      <w:r w:rsidR="00E7150F" w:rsidRPr="0027666F">
        <w:rPr>
          <w:rFonts w:ascii="Garamond" w:hAnsi="Garamond"/>
          <w:color w:val="000000" w:themeColor="text1"/>
        </w:rPr>
        <w:t>.</w:t>
      </w:r>
    </w:p>
    <w:p w14:paraId="4A9C9653" w14:textId="743FD82C" w:rsidR="00734607" w:rsidRPr="0027666F" w:rsidRDefault="00734607" w:rsidP="001C0E29">
      <w:pPr>
        <w:rPr>
          <w:rFonts w:ascii="Garamond" w:hAnsi="Garamond"/>
        </w:rPr>
      </w:pPr>
    </w:p>
    <w:p w14:paraId="24E45674" w14:textId="2A7CBFBE" w:rsidR="005A29E4" w:rsidRPr="0027666F" w:rsidRDefault="00734607" w:rsidP="001C0E29">
      <w:pPr>
        <w:rPr>
          <w:rFonts w:ascii="Garamond" w:hAnsi="Garamond"/>
        </w:rPr>
      </w:pPr>
      <w:r w:rsidRPr="0027666F">
        <w:rPr>
          <w:rFonts w:ascii="Garamond" w:hAnsi="Garamond"/>
        </w:rPr>
        <w:t>In a similar guise</w:t>
      </w:r>
      <w:r w:rsidR="002F6719" w:rsidRPr="0027666F">
        <w:rPr>
          <w:rFonts w:ascii="Garamond" w:hAnsi="Garamond"/>
        </w:rPr>
        <w:t>,</w:t>
      </w:r>
      <w:r w:rsidRPr="0027666F">
        <w:rPr>
          <w:rFonts w:ascii="Garamond" w:hAnsi="Garamond"/>
        </w:rPr>
        <w:t xml:space="preserve"> </w:t>
      </w:r>
      <w:r w:rsidR="00E7150F" w:rsidRPr="0027666F">
        <w:rPr>
          <w:rFonts w:ascii="Garamond" w:hAnsi="Garamond"/>
        </w:rPr>
        <w:t>Caswell</w:t>
      </w:r>
      <w:r w:rsidR="002B46B7" w:rsidRPr="0027666F">
        <w:rPr>
          <w:rFonts w:ascii="Garamond" w:hAnsi="Garamond"/>
        </w:rPr>
        <w:t xml:space="preserve"> (2014)</w:t>
      </w:r>
      <w:r w:rsidRPr="0027666F">
        <w:rPr>
          <w:rFonts w:ascii="Garamond" w:hAnsi="Garamond"/>
        </w:rPr>
        <w:t>, Harris</w:t>
      </w:r>
      <w:r w:rsidR="002B46B7" w:rsidRPr="0027666F">
        <w:rPr>
          <w:rFonts w:ascii="Garamond" w:hAnsi="Garamond"/>
        </w:rPr>
        <w:t xml:space="preserve"> (2014)</w:t>
      </w:r>
      <w:r w:rsidRPr="0027666F">
        <w:rPr>
          <w:rFonts w:ascii="Garamond" w:hAnsi="Garamond"/>
        </w:rPr>
        <w:t xml:space="preserve"> and Motha </w:t>
      </w:r>
      <w:r w:rsidR="002B46B7" w:rsidRPr="0027666F">
        <w:rPr>
          <w:rFonts w:ascii="Garamond" w:hAnsi="Garamond"/>
        </w:rPr>
        <w:t xml:space="preserve">(2017) </w:t>
      </w:r>
      <w:r w:rsidRPr="0027666F">
        <w:rPr>
          <w:rFonts w:ascii="Garamond" w:hAnsi="Garamond"/>
        </w:rPr>
        <w:t>have called for a rejection of traditional archival practice and</w:t>
      </w:r>
      <w:r w:rsidR="00B46B50">
        <w:rPr>
          <w:rFonts w:ascii="Garamond" w:hAnsi="Garamond"/>
        </w:rPr>
        <w:t xml:space="preserve"> </w:t>
      </w:r>
      <w:r w:rsidR="003C7483" w:rsidRPr="0027666F">
        <w:rPr>
          <w:rFonts w:ascii="Garamond" w:hAnsi="Garamond"/>
        </w:rPr>
        <w:t>urged activists, practitioners and scholars to find</w:t>
      </w:r>
      <w:r w:rsidRPr="0027666F">
        <w:rPr>
          <w:rFonts w:ascii="Garamond" w:hAnsi="Garamond"/>
        </w:rPr>
        <w:t xml:space="preserve"> alternative ways in which to imagin</w:t>
      </w:r>
      <w:r w:rsidR="00B46B50">
        <w:rPr>
          <w:rFonts w:ascii="Garamond" w:hAnsi="Garamond"/>
        </w:rPr>
        <w:t>e</w:t>
      </w:r>
      <w:r w:rsidRPr="0027666F">
        <w:rPr>
          <w:rFonts w:ascii="Garamond" w:hAnsi="Garamond"/>
        </w:rPr>
        <w:t xml:space="preserve"> the archive and engage with archival practice. Whilst the emphasis in each of these accounts shifts slightly, what unit</w:t>
      </w:r>
      <w:r w:rsidR="006E1363" w:rsidRPr="0027666F">
        <w:rPr>
          <w:rFonts w:ascii="Garamond" w:hAnsi="Garamond"/>
        </w:rPr>
        <w:t>e</w:t>
      </w:r>
      <w:r w:rsidRPr="0027666F">
        <w:rPr>
          <w:rFonts w:ascii="Garamond" w:hAnsi="Garamond"/>
        </w:rPr>
        <w:t xml:space="preserve">s them is that </w:t>
      </w:r>
      <w:r w:rsidR="006E1363" w:rsidRPr="0027666F">
        <w:rPr>
          <w:rFonts w:ascii="Garamond" w:hAnsi="Garamond"/>
        </w:rPr>
        <w:t xml:space="preserve">to resist the archive </w:t>
      </w:r>
      <w:r w:rsidRPr="0027666F">
        <w:rPr>
          <w:rFonts w:ascii="Garamond" w:hAnsi="Garamond"/>
        </w:rPr>
        <w:t xml:space="preserve">is it not simply </w:t>
      </w:r>
      <w:r w:rsidR="006E1363" w:rsidRPr="0027666F">
        <w:rPr>
          <w:rFonts w:ascii="Garamond" w:hAnsi="Garamond"/>
        </w:rPr>
        <w:t xml:space="preserve">about collecting </w:t>
      </w:r>
      <w:r w:rsidRPr="0027666F">
        <w:rPr>
          <w:rFonts w:ascii="Garamond" w:hAnsi="Garamond"/>
        </w:rPr>
        <w:t xml:space="preserve">or </w:t>
      </w:r>
      <w:r w:rsidR="006E1363" w:rsidRPr="0027666F">
        <w:rPr>
          <w:rFonts w:ascii="Garamond" w:hAnsi="Garamond"/>
        </w:rPr>
        <w:t xml:space="preserve">producing </w:t>
      </w:r>
      <w:r w:rsidRPr="0027666F">
        <w:rPr>
          <w:rFonts w:ascii="Garamond" w:hAnsi="Garamond"/>
        </w:rPr>
        <w:t xml:space="preserve">new and different records, but it means, more fundamentally, </w:t>
      </w:r>
      <w:r w:rsidR="006E1363" w:rsidRPr="0027666F">
        <w:rPr>
          <w:rFonts w:ascii="Garamond" w:hAnsi="Garamond"/>
        </w:rPr>
        <w:t>altering</w:t>
      </w:r>
      <w:r w:rsidR="005A29E4" w:rsidRPr="0027666F">
        <w:rPr>
          <w:rFonts w:ascii="Garamond" w:hAnsi="Garamond"/>
        </w:rPr>
        <w:t xml:space="preserve"> the very process through which an archive is formed. </w:t>
      </w:r>
      <w:r w:rsidR="003C7483" w:rsidRPr="0027666F">
        <w:rPr>
          <w:rFonts w:ascii="Garamond" w:hAnsi="Garamond"/>
        </w:rPr>
        <w:t>The counter-archive</w:t>
      </w:r>
      <w:r w:rsidR="005A29E4" w:rsidRPr="0027666F">
        <w:rPr>
          <w:rFonts w:ascii="Garamond" w:hAnsi="Garamond"/>
        </w:rPr>
        <w:t xml:space="preserve"> must reject a sense of </w:t>
      </w:r>
      <w:r w:rsidR="001653E7" w:rsidRPr="0027666F">
        <w:rPr>
          <w:rFonts w:ascii="Garamond" w:hAnsi="Garamond"/>
        </w:rPr>
        <w:t>the archive’s permeance</w:t>
      </w:r>
      <w:r w:rsidR="006E1363" w:rsidRPr="0027666F">
        <w:rPr>
          <w:rFonts w:ascii="Garamond" w:hAnsi="Garamond"/>
        </w:rPr>
        <w:t xml:space="preserve">, and so also the archives quest </w:t>
      </w:r>
      <w:r w:rsidR="001653E7" w:rsidRPr="0027666F">
        <w:rPr>
          <w:rFonts w:ascii="Garamond" w:hAnsi="Garamond"/>
        </w:rPr>
        <w:t xml:space="preserve">for </w:t>
      </w:r>
      <w:r w:rsidR="005A29E4" w:rsidRPr="0027666F">
        <w:rPr>
          <w:rFonts w:ascii="Garamond" w:hAnsi="Garamond"/>
        </w:rPr>
        <w:t xml:space="preserve">closure and </w:t>
      </w:r>
      <w:r w:rsidR="006E1363" w:rsidRPr="0027666F">
        <w:rPr>
          <w:rFonts w:ascii="Garamond" w:hAnsi="Garamond"/>
        </w:rPr>
        <w:t xml:space="preserve">the </w:t>
      </w:r>
      <w:r w:rsidR="005A29E4" w:rsidRPr="0027666F">
        <w:rPr>
          <w:rFonts w:ascii="Garamond" w:hAnsi="Garamond"/>
        </w:rPr>
        <w:t xml:space="preserve">clear </w:t>
      </w:r>
      <w:r w:rsidR="006E1363" w:rsidRPr="0027666F">
        <w:rPr>
          <w:rFonts w:ascii="Garamond" w:hAnsi="Garamond"/>
        </w:rPr>
        <w:t xml:space="preserve">demarcation of an </w:t>
      </w:r>
      <w:r w:rsidR="005A29E4" w:rsidRPr="0027666F">
        <w:rPr>
          <w:rFonts w:ascii="Garamond" w:hAnsi="Garamond"/>
        </w:rPr>
        <w:t xml:space="preserve">inside/ </w:t>
      </w:r>
      <w:r w:rsidR="001653E7" w:rsidRPr="0027666F">
        <w:rPr>
          <w:rFonts w:ascii="Garamond" w:hAnsi="Garamond"/>
        </w:rPr>
        <w:t>outside</w:t>
      </w:r>
      <w:r w:rsidR="006E1363" w:rsidRPr="0027666F">
        <w:rPr>
          <w:rFonts w:ascii="Garamond" w:hAnsi="Garamond"/>
        </w:rPr>
        <w:t xml:space="preserve">. It must </w:t>
      </w:r>
      <w:r w:rsidR="005A29E4" w:rsidRPr="0027666F">
        <w:rPr>
          <w:rFonts w:ascii="Garamond" w:hAnsi="Garamond"/>
        </w:rPr>
        <w:t>cease to be conceived of as a fixed bounded material site</w:t>
      </w:r>
      <w:r w:rsidR="006E1363" w:rsidRPr="0027666F">
        <w:rPr>
          <w:rFonts w:ascii="Garamond" w:hAnsi="Garamond"/>
        </w:rPr>
        <w:t>, but must instead remain open and constantly looking to expand</w:t>
      </w:r>
      <w:r w:rsidR="001653E7" w:rsidRPr="0027666F">
        <w:rPr>
          <w:rFonts w:ascii="Garamond" w:hAnsi="Garamond"/>
        </w:rPr>
        <w:t xml:space="preserve">. </w:t>
      </w:r>
      <w:r w:rsidR="003C7483" w:rsidRPr="0027666F">
        <w:rPr>
          <w:rFonts w:ascii="Garamond" w:hAnsi="Garamond"/>
        </w:rPr>
        <w:t>The</w:t>
      </w:r>
      <w:r w:rsidR="006E1363" w:rsidRPr="0027666F">
        <w:rPr>
          <w:rFonts w:ascii="Garamond" w:hAnsi="Garamond"/>
        </w:rPr>
        <w:t xml:space="preserve"> </w:t>
      </w:r>
      <w:r w:rsidR="003C7483" w:rsidRPr="0027666F">
        <w:rPr>
          <w:rFonts w:ascii="Garamond" w:hAnsi="Garamond"/>
        </w:rPr>
        <w:t>counter-</w:t>
      </w:r>
      <w:r w:rsidR="006E1363" w:rsidRPr="0027666F">
        <w:rPr>
          <w:rFonts w:ascii="Garamond" w:hAnsi="Garamond"/>
        </w:rPr>
        <w:t>archive</w:t>
      </w:r>
      <w:r w:rsidR="005A29E4" w:rsidRPr="0027666F">
        <w:rPr>
          <w:rFonts w:ascii="Garamond" w:hAnsi="Garamond"/>
        </w:rPr>
        <w:t xml:space="preserve"> should not look to fix,</w:t>
      </w:r>
      <w:r w:rsidR="001653E7" w:rsidRPr="0027666F">
        <w:rPr>
          <w:rFonts w:ascii="Garamond" w:hAnsi="Garamond"/>
        </w:rPr>
        <w:t xml:space="preserve"> and rather should constantly interrogate itself and its rules for how it might exclude and cause violence, and so </w:t>
      </w:r>
      <w:r w:rsidR="003C7483" w:rsidRPr="0027666F">
        <w:rPr>
          <w:rFonts w:ascii="Garamond" w:hAnsi="Garamond"/>
        </w:rPr>
        <w:t>must search</w:t>
      </w:r>
      <w:r w:rsidR="001653E7" w:rsidRPr="0027666F">
        <w:rPr>
          <w:rFonts w:ascii="Garamond" w:hAnsi="Garamond"/>
        </w:rPr>
        <w:t xml:space="preserve"> for records that unsettle the archives rules and assumptions.</w:t>
      </w:r>
      <w:r w:rsidR="00687751" w:rsidRPr="0027666F">
        <w:rPr>
          <w:rStyle w:val="EndnoteReference"/>
          <w:rFonts w:ascii="Garamond" w:hAnsi="Garamond"/>
        </w:rPr>
        <w:endnoteReference w:id="8"/>
      </w:r>
      <w:r w:rsidR="001653E7" w:rsidRPr="0027666F">
        <w:rPr>
          <w:rFonts w:ascii="Garamond" w:hAnsi="Garamond"/>
        </w:rPr>
        <w:t xml:space="preserve"> </w:t>
      </w:r>
      <w:r w:rsidR="005A29E4" w:rsidRPr="0027666F">
        <w:rPr>
          <w:rFonts w:ascii="Garamond" w:hAnsi="Garamond"/>
        </w:rPr>
        <w:t xml:space="preserve"> </w:t>
      </w:r>
      <w:r w:rsidR="006E1363" w:rsidRPr="0027666F">
        <w:rPr>
          <w:rFonts w:ascii="Garamond" w:hAnsi="Garamond"/>
        </w:rPr>
        <w:t xml:space="preserve">The </w:t>
      </w:r>
      <w:r w:rsidR="003C7483" w:rsidRPr="0027666F">
        <w:rPr>
          <w:rFonts w:ascii="Garamond" w:hAnsi="Garamond"/>
        </w:rPr>
        <w:t>counter-</w:t>
      </w:r>
      <w:r w:rsidR="006E1363" w:rsidRPr="0027666F">
        <w:rPr>
          <w:rFonts w:ascii="Garamond" w:hAnsi="Garamond"/>
        </w:rPr>
        <w:t>archive</w:t>
      </w:r>
      <w:r w:rsidR="005A29E4" w:rsidRPr="0027666F">
        <w:rPr>
          <w:rFonts w:ascii="Garamond" w:hAnsi="Garamond"/>
        </w:rPr>
        <w:t xml:space="preserve"> must not prioritise one vision of community, but must look to accommodate a multiplicity of voices and perspectives. </w:t>
      </w:r>
      <w:r w:rsidR="006E1363" w:rsidRPr="0027666F">
        <w:rPr>
          <w:rFonts w:ascii="Garamond" w:hAnsi="Garamond"/>
        </w:rPr>
        <w:t xml:space="preserve">The </w:t>
      </w:r>
      <w:r w:rsidR="003C7483" w:rsidRPr="0027666F">
        <w:rPr>
          <w:rFonts w:ascii="Garamond" w:hAnsi="Garamond"/>
        </w:rPr>
        <w:t>counter-</w:t>
      </w:r>
      <w:r w:rsidR="006E1363" w:rsidRPr="0027666F">
        <w:rPr>
          <w:rFonts w:ascii="Garamond" w:hAnsi="Garamond"/>
        </w:rPr>
        <w:t>archive</w:t>
      </w:r>
      <w:r w:rsidR="005A29E4" w:rsidRPr="0027666F">
        <w:rPr>
          <w:rFonts w:ascii="Garamond" w:hAnsi="Garamond"/>
        </w:rPr>
        <w:t xml:space="preserve"> needs to reject any claims of </w:t>
      </w:r>
      <w:r w:rsidR="002B46B7" w:rsidRPr="0027666F">
        <w:rPr>
          <w:rFonts w:ascii="Garamond" w:hAnsi="Garamond"/>
        </w:rPr>
        <w:t>neutrality</w:t>
      </w:r>
      <w:r w:rsidR="005A29E4" w:rsidRPr="0027666F">
        <w:rPr>
          <w:rFonts w:ascii="Garamond" w:hAnsi="Garamond"/>
        </w:rPr>
        <w:t xml:space="preserve"> and impartiality, and, rather, embrace the power that it holds to form communities of being and </w:t>
      </w:r>
      <w:r w:rsidR="006E1363" w:rsidRPr="0027666F">
        <w:rPr>
          <w:rFonts w:ascii="Garamond" w:hAnsi="Garamond"/>
        </w:rPr>
        <w:t>to</w:t>
      </w:r>
      <w:r w:rsidR="005A29E4" w:rsidRPr="0027666F">
        <w:rPr>
          <w:rFonts w:ascii="Garamond" w:hAnsi="Garamond"/>
        </w:rPr>
        <w:t xml:space="preserve"> do so without violence</w:t>
      </w:r>
      <w:r w:rsidR="001653E7" w:rsidRPr="0027666F">
        <w:rPr>
          <w:rFonts w:ascii="Garamond" w:hAnsi="Garamond"/>
        </w:rPr>
        <w:t xml:space="preserve">. </w:t>
      </w:r>
      <w:r w:rsidR="005A29E4" w:rsidRPr="0027666F">
        <w:rPr>
          <w:rFonts w:ascii="Garamond" w:hAnsi="Garamond"/>
        </w:rPr>
        <w:t xml:space="preserve">As becomes clear, there can be no </w:t>
      </w:r>
      <w:r w:rsidR="005A29E4" w:rsidRPr="0027666F">
        <w:rPr>
          <w:rFonts w:ascii="Garamond" w:hAnsi="Garamond"/>
          <w:i/>
        </w:rPr>
        <w:t xml:space="preserve">end point </w:t>
      </w:r>
      <w:r w:rsidR="005A29E4" w:rsidRPr="0027666F">
        <w:rPr>
          <w:rFonts w:ascii="Garamond" w:hAnsi="Garamond"/>
        </w:rPr>
        <w:t>t</w:t>
      </w:r>
      <w:r w:rsidR="003C7483" w:rsidRPr="0027666F">
        <w:rPr>
          <w:rFonts w:ascii="Garamond" w:hAnsi="Garamond"/>
        </w:rPr>
        <w:t xml:space="preserve">o </w:t>
      </w:r>
      <w:r w:rsidR="005A29E4" w:rsidRPr="0027666F">
        <w:rPr>
          <w:rFonts w:ascii="Garamond" w:hAnsi="Garamond"/>
        </w:rPr>
        <w:t xml:space="preserve">this process. It is in this guise that the archive becomes more closely related to a </w:t>
      </w:r>
      <w:r w:rsidR="002B46B7" w:rsidRPr="0027666F">
        <w:rPr>
          <w:rFonts w:ascii="Garamond" w:hAnsi="Garamond"/>
        </w:rPr>
        <w:t>Derridean</w:t>
      </w:r>
      <w:r w:rsidR="005A29E4" w:rsidRPr="0027666F">
        <w:rPr>
          <w:rFonts w:ascii="Garamond" w:hAnsi="Garamond"/>
        </w:rPr>
        <w:t xml:space="preserve"> understand</w:t>
      </w:r>
      <w:r w:rsidR="001653E7" w:rsidRPr="0027666F">
        <w:rPr>
          <w:rFonts w:ascii="Garamond" w:hAnsi="Garamond"/>
        </w:rPr>
        <w:t>ing</w:t>
      </w:r>
      <w:r w:rsidR="005A29E4" w:rsidRPr="0027666F">
        <w:rPr>
          <w:rFonts w:ascii="Garamond" w:hAnsi="Garamond"/>
        </w:rPr>
        <w:t xml:space="preserve"> of justice as a future state to come, as a promise to offer hospitality to that which threatens, and to embrace the new forms of community that can emerge in its place</w:t>
      </w:r>
      <w:r w:rsidR="002B46B7" w:rsidRPr="0027666F">
        <w:rPr>
          <w:rFonts w:ascii="Garamond" w:hAnsi="Garamond"/>
        </w:rPr>
        <w:t xml:space="preserve"> (Derrida 1992; and </w:t>
      </w:r>
      <w:r w:rsidR="002B46B7" w:rsidRPr="0027666F">
        <w:rPr>
          <w:rFonts w:ascii="Garamond" w:hAnsi="Garamond"/>
        </w:rPr>
        <w:fldChar w:fldCharType="begin"/>
      </w:r>
      <w:r w:rsidR="002B46B7" w:rsidRPr="0027666F">
        <w:rPr>
          <w:rFonts w:ascii="Garamond" w:hAnsi="Garamond"/>
        </w:rPr>
        <w:instrText xml:space="preserve"> ADDIN EN.CITE &lt;EndNote&gt;&lt;Cite&gt;&lt;Author&gt;Derrida&lt;/Author&gt;&lt;Year&gt;2001&lt;/Year&gt;&lt;RecNum&gt;512&lt;/RecNum&gt;&lt;record&gt;&lt;rec-number&gt;512&lt;/rec-number&gt;&lt;foreign-keys&gt;&lt;key app="EN" db-id="0rewstxe3sdfepeps9f5xrt55srrdw2s5r9x" timestamp="1601040238"&gt;512&lt;/key&gt;&lt;/foreign-keys&gt;&lt;ref-type name="Book"&gt;6&lt;/ref-type&gt;&lt;contributors&gt;&lt;authors&gt;&lt;author&gt;Derrida, Jacques&lt;/author&gt;&lt;/authors&gt;&lt;/contributors&gt;&lt;titles&gt;&lt;title&gt;On Cosmopolitanism and Forgiveness&lt;/title&gt;&lt;/titles&gt;&lt;keywords&gt;&lt;keyword&gt;Derrida&lt;/keyword&gt;&lt;keyword&gt;Deconstruction&lt;/keyword&gt;&lt;keyword&gt;Forgiveness&lt;/keyword&gt;&lt;keyword&gt;South Africa&lt;/keyword&gt;&lt;keyword&gt;Justice&lt;/keyword&gt;&lt;/keywords&gt;&lt;dates&gt;&lt;year&gt;2001&lt;/year&gt;&lt;/dates&gt;&lt;pub-location&gt;London&lt;/pub-location&gt;&lt;publisher&gt;Routledge&lt;/publisher&gt;&lt;urls&gt;&lt;/urls&gt;&lt;/record&gt;&lt;/Cite&gt;&lt;/EndNote&gt;</w:instrText>
      </w:r>
      <w:r w:rsidR="002B46B7" w:rsidRPr="0027666F">
        <w:rPr>
          <w:rFonts w:ascii="Garamond" w:hAnsi="Garamond"/>
        </w:rPr>
        <w:fldChar w:fldCharType="end"/>
      </w:r>
      <w:r w:rsidR="002B46B7" w:rsidRPr="0027666F">
        <w:rPr>
          <w:rFonts w:ascii="Garamond" w:hAnsi="Garamond"/>
        </w:rPr>
        <w:t>2001)</w:t>
      </w:r>
      <w:r w:rsidR="006E1363" w:rsidRPr="0027666F">
        <w:rPr>
          <w:rFonts w:ascii="Garamond" w:hAnsi="Garamond"/>
        </w:rPr>
        <w:t>.</w:t>
      </w:r>
    </w:p>
    <w:p w14:paraId="7952019C" w14:textId="77777777" w:rsidR="006E1363" w:rsidRPr="0027666F" w:rsidRDefault="006E1363" w:rsidP="001C0E29">
      <w:pPr>
        <w:rPr>
          <w:rFonts w:ascii="Garamond" w:hAnsi="Garamond"/>
        </w:rPr>
      </w:pPr>
    </w:p>
    <w:p w14:paraId="1DC03E5E" w14:textId="23B86833" w:rsidR="005A29E4" w:rsidRPr="0027666F" w:rsidRDefault="005A29E4" w:rsidP="001C0E29">
      <w:pPr>
        <w:rPr>
          <w:rFonts w:ascii="Garamond" w:hAnsi="Garamond"/>
        </w:rPr>
      </w:pPr>
      <w:r w:rsidRPr="0027666F">
        <w:rPr>
          <w:rFonts w:ascii="Garamond" w:hAnsi="Garamond"/>
        </w:rPr>
        <w:t>To examine this possibility of a counter-archiv</w:t>
      </w:r>
      <w:r w:rsidR="003C7483" w:rsidRPr="0027666F">
        <w:rPr>
          <w:rFonts w:ascii="Garamond" w:hAnsi="Garamond"/>
        </w:rPr>
        <w:t>e</w:t>
      </w:r>
      <w:r w:rsidRPr="0027666F">
        <w:rPr>
          <w:rFonts w:ascii="Garamond" w:hAnsi="Garamond"/>
        </w:rPr>
        <w:t xml:space="preserve"> I will now briefly explore the work of an artist, Vladimir </w:t>
      </w:r>
      <w:r w:rsidR="001653E7" w:rsidRPr="0027666F">
        <w:rPr>
          <w:rFonts w:ascii="Garamond" w:hAnsi="Garamond"/>
        </w:rPr>
        <w:t>Miladinović</w:t>
      </w:r>
      <w:r w:rsidRPr="0027666F">
        <w:rPr>
          <w:rFonts w:ascii="Garamond" w:hAnsi="Garamond"/>
        </w:rPr>
        <w:t>, who uses the ICTY’s archive as a base</w:t>
      </w:r>
      <w:r w:rsidR="00753254" w:rsidRPr="0027666F">
        <w:rPr>
          <w:rFonts w:ascii="Garamond" w:hAnsi="Garamond"/>
        </w:rPr>
        <w:t xml:space="preserve"> </w:t>
      </w:r>
      <w:r w:rsidRPr="0027666F">
        <w:rPr>
          <w:rFonts w:ascii="Garamond" w:hAnsi="Garamond"/>
        </w:rPr>
        <w:t xml:space="preserve">to imagine a new vision of </w:t>
      </w:r>
      <w:r w:rsidR="00753254" w:rsidRPr="0027666F">
        <w:rPr>
          <w:rFonts w:ascii="Garamond" w:hAnsi="Garamond"/>
        </w:rPr>
        <w:t>transitional justice</w:t>
      </w:r>
      <w:r w:rsidR="006E1363" w:rsidRPr="0027666F">
        <w:rPr>
          <w:rFonts w:ascii="Garamond" w:hAnsi="Garamond"/>
        </w:rPr>
        <w:t xml:space="preserve"> and community</w:t>
      </w:r>
      <w:r w:rsidR="00753254" w:rsidRPr="0027666F">
        <w:rPr>
          <w:rFonts w:ascii="Garamond" w:hAnsi="Garamond"/>
        </w:rPr>
        <w:t xml:space="preserve"> </w:t>
      </w:r>
      <w:r w:rsidRPr="0027666F">
        <w:rPr>
          <w:rFonts w:ascii="Garamond" w:hAnsi="Garamond"/>
        </w:rPr>
        <w:t xml:space="preserve">in the Western Balkans. </w:t>
      </w:r>
    </w:p>
    <w:p w14:paraId="75403239" w14:textId="77777777" w:rsidR="005A29E4" w:rsidRPr="0027666F" w:rsidRDefault="005A29E4" w:rsidP="00260796">
      <w:pPr>
        <w:pStyle w:val="Heading2"/>
      </w:pPr>
    </w:p>
    <w:p w14:paraId="265967FF" w14:textId="250BDB05" w:rsidR="005A29E4" w:rsidRPr="0027666F" w:rsidRDefault="005A29E4" w:rsidP="00260796">
      <w:pPr>
        <w:pStyle w:val="Heading2"/>
      </w:pPr>
      <w:r w:rsidRPr="0027666F">
        <w:t xml:space="preserve">Vladimir </w:t>
      </w:r>
      <w:r w:rsidR="00753254" w:rsidRPr="0027666F">
        <w:t>Miladinović</w:t>
      </w:r>
      <w:r w:rsidRPr="0027666F">
        <w:t xml:space="preserve"> and the ICTY’s </w:t>
      </w:r>
      <w:r w:rsidR="00866CA4">
        <w:t>A</w:t>
      </w:r>
      <w:bookmarkStart w:id="0" w:name="_GoBack"/>
      <w:bookmarkEnd w:id="0"/>
      <w:r w:rsidRPr="0027666F">
        <w:t>rchive</w:t>
      </w:r>
    </w:p>
    <w:p w14:paraId="4A41E657" w14:textId="51F8000A" w:rsidR="00A54C04" w:rsidRPr="0027666F" w:rsidRDefault="00A54C04" w:rsidP="00A54C04">
      <w:pPr>
        <w:rPr>
          <w:rFonts w:ascii="Garamond" w:hAnsi="Garamond"/>
        </w:rPr>
      </w:pPr>
    </w:p>
    <w:p w14:paraId="1AD8AD47" w14:textId="440BA03A" w:rsidR="00416031" w:rsidRPr="0027666F" w:rsidRDefault="00A54C04" w:rsidP="00A54C04">
      <w:pPr>
        <w:rPr>
          <w:rFonts w:ascii="Garamond" w:hAnsi="Garamond"/>
        </w:rPr>
      </w:pPr>
      <w:r w:rsidRPr="0027666F">
        <w:rPr>
          <w:rFonts w:ascii="Garamond" w:hAnsi="Garamond"/>
        </w:rPr>
        <w:t>Miladinović’s</w:t>
      </w:r>
      <w:r w:rsidR="00FC0A71" w:rsidRPr="0027666F">
        <w:rPr>
          <w:rFonts w:ascii="Garamond" w:hAnsi="Garamond"/>
        </w:rPr>
        <w:t xml:space="preserve"> artistic</w:t>
      </w:r>
      <w:r w:rsidRPr="0027666F">
        <w:rPr>
          <w:rFonts w:ascii="Garamond" w:hAnsi="Garamond"/>
        </w:rPr>
        <w:t xml:space="preserve"> practice revolves around </w:t>
      </w:r>
      <w:r w:rsidR="00753254" w:rsidRPr="0027666F">
        <w:rPr>
          <w:rFonts w:ascii="Garamond" w:hAnsi="Garamond"/>
        </w:rPr>
        <w:t>the</w:t>
      </w:r>
      <w:r w:rsidRPr="0027666F">
        <w:rPr>
          <w:rFonts w:ascii="Garamond" w:hAnsi="Garamond"/>
        </w:rPr>
        <w:t xml:space="preserve"> question of archival power</w:t>
      </w:r>
      <w:r w:rsidR="00ED49CC">
        <w:rPr>
          <w:rFonts w:ascii="Garamond" w:hAnsi="Garamond"/>
        </w:rPr>
        <w:t xml:space="preserve"> and can be interpreted as producing a ‘counter-archive’.</w:t>
      </w:r>
      <w:r w:rsidRPr="0027666F">
        <w:rPr>
          <w:rFonts w:ascii="Garamond" w:hAnsi="Garamond"/>
        </w:rPr>
        <w:t xml:space="preserve"> His work meticulously reproduces archival records of silenced or contested aspects of the former Yugoslavia’s past in ink wash. </w:t>
      </w:r>
      <w:r w:rsidR="00416031" w:rsidRPr="0027666F">
        <w:rPr>
          <w:rFonts w:ascii="Garamond" w:hAnsi="Garamond"/>
        </w:rPr>
        <w:t xml:space="preserve">His work has drawn on numerous archives, including newspaper archives and museums archives, and within these he has focused on different types of documents, such as lists, maps, posters, pamphlets and photographs. However, a reoccurring archive in Miladinović’s work is the ICTY’s archive. This has formed the basis of numerous exhibitions including </w:t>
      </w:r>
      <w:r w:rsidR="00416031" w:rsidRPr="0027666F">
        <w:rPr>
          <w:rFonts w:ascii="Garamond" w:hAnsi="Garamond"/>
          <w:i/>
        </w:rPr>
        <w:t>//</w:t>
      </w:r>
      <w:r w:rsidR="00267635" w:rsidRPr="0027666F">
        <w:rPr>
          <w:rFonts w:ascii="Garamond" w:hAnsi="Garamond"/>
          <w:i/>
        </w:rPr>
        <w:t>Undiscernible</w:t>
      </w:r>
      <w:r w:rsidR="00416031" w:rsidRPr="0027666F">
        <w:rPr>
          <w:rFonts w:ascii="Garamond" w:hAnsi="Garamond"/>
          <w:i/>
        </w:rPr>
        <w:t>//.,</w:t>
      </w:r>
      <w:r w:rsidR="00416031" w:rsidRPr="0027666F">
        <w:rPr>
          <w:rFonts w:ascii="Garamond" w:hAnsi="Garamond"/>
        </w:rPr>
        <w:t xml:space="preserve"> </w:t>
      </w:r>
      <w:r w:rsidR="00267635" w:rsidRPr="0027666F">
        <w:rPr>
          <w:rFonts w:ascii="Garamond" w:hAnsi="Garamond"/>
        </w:rPr>
        <w:t>(2019</w:t>
      </w:r>
      <w:r w:rsidR="00267635" w:rsidRPr="0027666F">
        <w:rPr>
          <w:rFonts w:ascii="Garamond" w:hAnsi="Garamond"/>
        </w:rPr>
        <w:fldChar w:fldCharType="begin"/>
      </w:r>
      <w:r w:rsidR="00267635" w:rsidRPr="0027666F">
        <w:rPr>
          <w:rFonts w:ascii="Garamond" w:hAnsi="Garamond"/>
        </w:rPr>
        <w:instrText xml:space="preserve"> ADDIN EN.CITE &lt;EndNote&gt;&lt;Cite&gt;&lt;Author&gt;Miladinović&lt;/Author&gt;&lt;Year&gt;2018&lt;/Year&gt;&lt;RecNum&gt;533&lt;/RecNum&gt;&lt;record&gt;&lt;rec-number&gt;533&lt;/rec-number&gt;&lt;foreign-keys&gt;&lt;key app="EN" db-id="0rewstxe3sdfepeps9f5xrt55srrdw2s5r9x" timestamp="1601056692"&gt;533&lt;/key&gt;&lt;/foreign-keys&gt;&lt;ref-type name="Web Page"&gt;12&lt;/ref-type&gt;&lt;contributors&gt;&lt;authors&gt;&lt;author&gt;Miladinović, Vladimir&lt;/author&gt;&lt;/authors&gt;&lt;/contributors&gt;&lt;titles&gt;&lt;title&gt;Undiscernible &lt;/title&gt;&lt;secondary-title&gt;VEM&lt;/secondary-title&gt;&lt;/titles&gt;&lt;volume&gt;2020&lt;/volume&gt;&lt;number&gt;25/09/2020&lt;/number&gt;&lt;dates&gt;&lt;year&gt;2018&lt;/year&gt;&lt;/dates&gt;&lt;pub-location&gt;https://artreconciliation.org/2019/11/03/vem/&lt;/pub-location&gt;&lt;urls&gt;&lt;/urls&gt;&lt;/record&gt;&lt;/Cite&gt;&lt;/EndNote&gt;</w:instrText>
      </w:r>
      <w:r w:rsidR="00267635" w:rsidRPr="0027666F">
        <w:rPr>
          <w:rFonts w:ascii="Garamond" w:hAnsi="Garamond"/>
        </w:rPr>
        <w:fldChar w:fldCharType="end"/>
      </w:r>
      <w:r w:rsidR="00267635" w:rsidRPr="0027666F">
        <w:rPr>
          <w:rFonts w:ascii="Garamond" w:hAnsi="Garamond"/>
        </w:rPr>
        <w:t xml:space="preserve">) (figure 1). </w:t>
      </w:r>
      <w:r w:rsidR="00416031" w:rsidRPr="0027666F">
        <w:rPr>
          <w:rFonts w:ascii="Garamond" w:hAnsi="Garamond"/>
        </w:rPr>
        <w:t xml:space="preserve">which draws on a series of intercepted cables documenting communications between leading Serbs, and most recently </w:t>
      </w:r>
      <w:r w:rsidR="00416031" w:rsidRPr="0027666F">
        <w:rPr>
          <w:rFonts w:ascii="Garamond" w:hAnsi="Garamond"/>
          <w:i/>
        </w:rPr>
        <w:t>The Notebook</w:t>
      </w:r>
      <w:r w:rsidR="00267635" w:rsidRPr="0027666F">
        <w:rPr>
          <w:rFonts w:ascii="Garamond" w:hAnsi="Garamond"/>
          <w:i/>
        </w:rPr>
        <w:t xml:space="preserve"> </w:t>
      </w:r>
      <w:r w:rsidR="00267635" w:rsidRPr="0027666F">
        <w:rPr>
          <w:rFonts w:ascii="Garamond" w:hAnsi="Garamond"/>
        </w:rPr>
        <w:t>(</w:t>
      </w:r>
      <w:r w:rsidR="00B3242F" w:rsidRPr="0027666F">
        <w:rPr>
          <w:rFonts w:ascii="Garamond" w:hAnsi="Garamond"/>
        </w:rPr>
        <w:t>Miladinović</w:t>
      </w:r>
      <w:r w:rsidR="00267635" w:rsidRPr="0027666F">
        <w:rPr>
          <w:rFonts w:ascii="Garamond" w:hAnsi="Garamond"/>
        </w:rPr>
        <w:t xml:space="preserve"> 2020</w:t>
      </w:r>
      <w:r w:rsidR="00267635" w:rsidRPr="0027666F">
        <w:rPr>
          <w:rFonts w:ascii="Garamond" w:hAnsi="Garamond"/>
        </w:rPr>
        <w:fldChar w:fldCharType="begin"/>
      </w:r>
      <w:r w:rsidR="00267635" w:rsidRPr="0027666F">
        <w:rPr>
          <w:rFonts w:ascii="Garamond" w:hAnsi="Garamond"/>
        </w:rPr>
        <w:instrText xml:space="preserve"> ADDIN EN.CITE &lt;EndNote&gt;&lt;Cite&gt;&lt;Author&gt;Miladinović&lt;/Author&gt;&lt;Year&gt;2020&lt;/Year&gt;&lt;RecNum&gt;532&lt;/RecNum&gt;&lt;record&gt;&lt;rec-number&gt;532&lt;/rec-number&gt;&lt;foreign-keys&gt;&lt;key app="EN" db-id="0rewstxe3sdfepeps9f5xrt55srrdw2s5r9x" timestamp="1601056590"&gt;532&lt;/key&gt;&lt;/foreign-keys&gt;&lt;ref-type name="Web Page"&gt;12&lt;/ref-type&gt;&lt;contributors&gt;&lt;authors&gt;&lt;author&gt;Miladinović, Vladimir&lt;/author&gt;&lt;/authors&gt;&lt;/contributors&gt;&lt;titles&gt;&lt;title&gt;The Notebook&lt;/title&gt;&lt;/titles&gt;&lt;volume&gt;2020&lt;/volume&gt;&lt;number&gt;25/09/2020&lt;/number&gt;&lt;dates&gt;&lt;year&gt;2020&lt;/year&gt;&lt;/dates&gt;&lt;pub-location&gt;https://www.eugster-belgrade.com/vladimir-miladinovic-notebook/&lt;/pub-location&gt;&lt;urls&gt;&lt;/urls&gt;&lt;/record&gt;&lt;/Cite&gt;&lt;/EndNote&gt;</w:instrText>
      </w:r>
      <w:r w:rsidR="00267635" w:rsidRPr="0027666F">
        <w:rPr>
          <w:rFonts w:ascii="Garamond" w:hAnsi="Garamond"/>
        </w:rPr>
        <w:fldChar w:fldCharType="end"/>
      </w:r>
      <w:r w:rsidR="00267635" w:rsidRPr="0027666F">
        <w:rPr>
          <w:rFonts w:ascii="Garamond" w:hAnsi="Garamond"/>
        </w:rPr>
        <w:t>)</w:t>
      </w:r>
      <w:r w:rsidR="00416031" w:rsidRPr="0027666F">
        <w:rPr>
          <w:rFonts w:ascii="Garamond" w:hAnsi="Garamond"/>
          <w:i/>
        </w:rPr>
        <w:t xml:space="preserve"> </w:t>
      </w:r>
      <w:r w:rsidR="00416031" w:rsidRPr="0027666F">
        <w:rPr>
          <w:rFonts w:ascii="Garamond" w:hAnsi="Garamond"/>
        </w:rPr>
        <w:t xml:space="preserve">which reproduces 400 pages from </w:t>
      </w:r>
      <w:r w:rsidR="00753254" w:rsidRPr="0027666F">
        <w:rPr>
          <w:rFonts w:ascii="Garamond" w:hAnsi="Garamond"/>
        </w:rPr>
        <w:t xml:space="preserve">one </w:t>
      </w:r>
      <w:r w:rsidR="00753254" w:rsidRPr="0027666F">
        <w:rPr>
          <w:rFonts w:ascii="Garamond" w:hAnsi="Garamond"/>
        </w:rPr>
        <w:lastRenderedPageBreak/>
        <w:t xml:space="preserve">of </w:t>
      </w:r>
      <w:r w:rsidR="00416031" w:rsidRPr="0027666F">
        <w:rPr>
          <w:rFonts w:ascii="Garamond" w:hAnsi="Garamond"/>
        </w:rPr>
        <w:t>General Mladic’s war time diar</w:t>
      </w:r>
      <w:r w:rsidR="00753254" w:rsidRPr="0027666F">
        <w:rPr>
          <w:rFonts w:ascii="Garamond" w:hAnsi="Garamond"/>
        </w:rPr>
        <w:t>ies</w:t>
      </w:r>
      <w:r w:rsidR="00267635" w:rsidRPr="0027666F">
        <w:rPr>
          <w:rFonts w:ascii="Garamond" w:hAnsi="Garamond"/>
        </w:rPr>
        <w:t xml:space="preserve"> (figure 2)</w:t>
      </w:r>
      <w:r w:rsidR="00753254" w:rsidRPr="0027666F">
        <w:rPr>
          <w:rFonts w:ascii="Garamond" w:hAnsi="Garamond"/>
        </w:rPr>
        <w:t>.</w:t>
      </w:r>
      <w:r w:rsidR="00FC0A71" w:rsidRPr="0027666F">
        <w:rPr>
          <w:rFonts w:ascii="Garamond" w:hAnsi="Garamond"/>
        </w:rPr>
        <w:t xml:space="preserve"> Both are important </w:t>
      </w:r>
      <w:r w:rsidR="00267635" w:rsidRPr="0027666F">
        <w:rPr>
          <w:rFonts w:ascii="Garamond" w:hAnsi="Garamond"/>
        </w:rPr>
        <w:t>artefact’s</w:t>
      </w:r>
      <w:r w:rsidR="00FC0A71" w:rsidRPr="0027666F">
        <w:rPr>
          <w:rFonts w:ascii="Garamond" w:hAnsi="Garamond"/>
        </w:rPr>
        <w:t xml:space="preserve"> in the ICTY’s archive which have also been used in the tribunal’s prosecutions. </w:t>
      </w:r>
    </w:p>
    <w:p w14:paraId="0EC3EDE8" w14:textId="0D8A9DB9" w:rsidR="003C7483" w:rsidRPr="0027666F" w:rsidRDefault="003C7483" w:rsidP="00A54C04">
      <w:pPr>
        <w:rPr>
          <w:rFonts w:ascii="Garamond" w:hAnsi="Garamond"/>
        </w:rPr>
      </w:pPr>
    </w:p>
    <w:p w14:paraId="19D17DC7" w14:textId="2062FC78" w:rsidR="003C7483" w:rsidRPr="0027666F" w:rsidRDefault="003C7483" w:rsidP="003C7483">
      <w:pPr>
        <w:jc w:val="center"/>
        <w:rPr>
          <w:rFonts w:ascii="Garamond" w:hAnsi="Garamond"/>
        </w:rPr>
      </w:pPr>
      <w:r w:rsidRPr="0027666F">
        <w:rPr>
          <w:rFonts w:ascii="Garamond" w:hAnsi="Garamond"/>
        </w:rPr>
        <w:t>[insert figure 1.]</w:t>
      </w:r>
    </w:p>
    <w:p w14:paraId="08065B4B" w14:textId="76E902B7" w:rsidR="00A54C04" w:rsidRPr="0027666F" w:rsidRDefault="00A54C04" w:rsidP="00A54C04">
      <w:pPr>
        <w:rPr>
          <w:rFonts w:ascii="Garamond" w:hAnsi="Garamond"/>
        </w:rPr>
      </w:pPr>
    </w:p>
    <w:p w14:paraId="6EA38BF3" w14:textId="51ACF84A" w:rsidR="00416031" w:rsidRPr="0027666F" w:rsidRDefault="00416031" w:rsidP="00A54C04">
      <w:pPr>
        <w:rPr>
          <w:rFonts w:ascii="Garamond" w:hAnsi="Garamond"/>
        </w:rPr>
      </w:pPr>
      <w:r w:rsidRPr="0027666F">
        <w:rPr>
          <w:rFonts w:ascii="Garamond" w:hAnsi="Garamond"/>
        </w:rPr>
        <w:t xml:space="preserve">A number of points </w:t>
      </w:r>
      <w:r w:rsidR="00A54C04" w:rsidRPr="0027666F">
        <w:rPr>
          <w:rFonts w:ascii="Garamond" w:hAnsi="Garamond"/>
        </w:rPr>
        <w:t xml:space="preserve">can be made about </w:t>
      </w:r>
      <w:r w:rsidRPr="0027666F">
        <w:rPr>
          <w:rFonts w:ascii="Garamond" w:hAnsi="Garamond"/>
        </w:rPr>
        <w:t>Miladinović’s</w:t>
      </w:r>
      <w:r w:rsidR="00A54C04" w:rsidRPr="0027666F">
        <w:rPr>
          <w:rFonts w:ascii="Garamond" w:hAnsi="Garamond"/>
        </w:rPr>
        <w:t xml:space="preserve"> work, which points to the disruptive potential of </w:t>
      </w:r>
      <w:r w:rsidR="00753254" w:rsidRPr="0027666F">
        <w:rPr>
          <w:rFonts w:ascii="Garamond" w:hAnsi="Garamond"/>
        </w:rPr>
        <w:t>the ‘counter-archive’</w:t>
      </w:r>
      <w:r w:rsidR="00A54C04" w:rsidRPr="0027666F">
        <w:rPr>
          <w:rFonts w:ascii="Garamond" w:hAnsi="Garamond"/>
        </w:rPr>
        <w:t xml:space="preserve">. </w:t>
      </w:r>
      <w:r w:rsidRPr="0027666F">
        <w:rPr>
          <w:rFonts w:ascii="Garamond" w:hAnsi="Garamond"/>
        </w:rPr>
        <w:t xml:space="preserve">First, in </w:t>
      </w:r>
      <w:r w:rsidR="00A54C04" w:rsidRPr="0027666F">
        <w:rPr>
          <w:rFonts w:ascii="Garamond" w:hAnsi="Garamond"/>
        </w:rPr>
        <w:t xml:space="preserve">Miladinović’s practice, process is as central to the work as outcome; in many respects, the process </w:t>
      </w:r>
      <w:r w:rsidR="00A54C04" w:rsidRPr="0027666F">
        <w:rPr>
          <w:rFonts w:ascii="Garamond" w:hAnsi="Garamond"/>
          <w:i/>
        </w:rPr>
        <w:t xml:space="preserve">is </w:t>
      </w:r>
      <w:r w:rsidR="00A54C04" w:rsidRPr="0027666F">
        <w:rPr>
          <w:rFonts w:ascii="Garamond" w:hAnsi="Garamond"/>
        </w:rPr>
        <w:t xml:space="preserve">the outcome. </w:t>
      </w:r>
      <w:r w:rsidR="00267635" w:rsidRPr="0027666F">
        <w:rPr>
          <w:rFonts w:ascii="Garamond" w:hAnsi="Garamond"/>
        </w:rPr>
        <w:t>Miladinović’s</w:t>
      </w:r>
      <w:r w:rsidRPr="0027666F">
        <w:rPr>
          <w:rFonts w:ascii="Garamond" w:hAnsi="Garamond"/>
        </w:rPr>
        <w:t xml:space="preserve"> work</w:t>
      </w:r>
      <w:r w:rsidR="00A54C04" w:rsidRPr="0027666F">
        <w:rPr>
          <w:rFonts w:ascii="Garamond" w:hAnsi="Garamond"/>
        </w:rPr>
        <w:t xml:space="preserve"> </w:t>
      </w:r>
      <w:r w:rsidR="00FC0A71" w:rsidRPr="0027666F">
        <w:rPr>
          <w:rFonts w:ascii="Garamond" w:hAnsi="Garamond"/>
        </w:rPr>
        <w:t xml:space="preserve">first and foremost </w:t>
      </w:r>
      <w:r w:rsidR="00A54C04" w:rsidRPr="0027666F">
        <w:rPr>
          <w:rFonts w:ascii="Garamond" w:hAnsi="Garamond"/>
        </w:rPr>
        <w:t xml:space="preserve">represents </w:t>
      </w:r>
      <w:r w:rsidRPr="0027666F">
        <w:rPr>
          <w:rFonts w:ascii="Garamond" w:hAnsi="Garamond"/>
        </w:rPr>
        <w:t>his</w:t>
      </w:r>
      <w:r w:rsidR="00A54C04" w:rsidRPr="0027666F">
        <w:rPr>
          <w:rFonts w:ascii="Garamond" w:hAnsi="Garamond"/>
        </w:rPr>
        <w:t xml:space="preserve"> personal process of interrogating how he</w:t>
      </w:r>
      <w:r w:rsidR="003C7483" w:rsidRPr="0027666F">
        <w:rPr>
          <w:rFonts w:ascii="Garamond" w:hAnsi="Garamond"/>
        </w:rPr>
        <w:t xml:space="preserve">, as someone that grew up in Serbia during the 1990s wars, </w:t>
      </w:r>
      <w:r w:rsidR="00A54C04" w:rsidRPr="0027666F">
        <w:rPr>
          <w:rFonts w:ascii="Garamond" w:hAnsi="Garamond"/>
        </w:rPr>
        <w:t>personally came to know (or not know) about various aspects of the conflict</w:t>
      </w:r>
      <w:r w:rsidR="003C7483" w:rsidRPr="0027666F">
        <w:rPr>
          <w:rFonts w:ascii="Garamond" w:hAnsi="Garamond"/>
        </w:rPr>
        <w:t xml:space="preserve"> </w:t>
      </w:r>
      <w:r w:rsidR="00A54C04" w:rsidRPr="0027666F">
        <w:rPr>
          <w:rFonts w:ascii="Garamond" w:hAnsi="Garamond"/>
        </w:rPr>
        <w:t xml:space="preserve">and to disturb that assumed knowledge. </w:t>
      </w:r>
      <w:r w:rsidR="003C7483" w:rsidRPr="0027666F">
        <w:rPr>
          <w:rFonts w:ascii="Garamond" w:hAnsi="Garamond"/>
        </w:rPr>
        <w:t>It is also,</w:t>
      </w:r>
      <w:r w:rsidR="00A54C04" w:rsidRPr="0027666F">
        <w:rPr>
          <w:rFonts w:ascii="Garamond" w:hAnsi="Garamond"/>
        </w:rPr>
        <w:t xml:space="preserve"> more generally, about exploring how the process of writing back in fragments of an archive concealed from view can draw attention to the processes, structures and ideologies that excluded these narratives in the first place. </w:t>
      </w:r>
      <w:r w:rsidRPr="0027666F">
        <w:rPr>
          <w:rFonts w:ascii="Garamond" w:hAnsi="Garamond"/>
        </w:rPr>
        <w:t xml:space="preserve">In this way, </w:t>
      </w:r>
      <w:r w:rsidR="00267635" w:rsidRPr="0027666F">
        <w:rPr>
          <w:rFonts w:ascii="Garamond" w:hAnsi="Garamond"/>
        </w:rPr>
        <w:t>Miladinović</w:t>
      </w:r>
      <w:r w:rsidRPr="0027666F">
        <w:rPr>
          <w:rFonts w:ascii="Garamond" w:hAnsi="Garamond"/>
        </w:rPr>
        <w:t xml:space="preserve"> is disruptive of both </w:t>
      </w:r>
      <w:r w:rsidR="00753254" w:rsidRPr="0027666F">
        <w:rPr>
          <w:rFonts w:ascii="Garamond" w:hAnsi="Garamond"/>
        </w:rPr>
        <w:t>h</w:t>
      </w:r>
      <w:r w:rsidRPr="0027666F">
        <w:rPr>
          <w:rFonts w:ascii="Garamond" w:hAnsi="Garamond"/>
        </w:rPr>
        <w:t>is self-identity and the identity of the collective he finds himself</w:t>
      </w:r>
      <w:r w:rsidR="00753254" w:rsidRPr="0027666F">
        <w:rPr>
          <w:rFonts w:ascii="Garamond" w:hAnsi="Garamond"/>
        </w:rPr>
        <w:t xml:space="preserve">. This, as such, looks to, following Ranciere, disrupt </w:t>
      </w:r>
      <w:r w:rsidRPr="0027666F">
        <w:rPr>
          <w:rFonts w:ascii="Garamond" w:hAnsi="Garamond"/>
        </w:rPr>
        <w:t>the ‘distribution of the sensible’</w:t>
      </w:r>
      <w:r w:rsidR="00267635" w:rsidRPr="0027666F">
        <w:rPr>
          <w:rFonts w:ascii="Garamond" w:hAnsi="Garamond"/>
        </w:rPr>
        <w:t xml:space="preserve"> (Ranciere </w:t>
      </w:r>
      <w:r w:rsidR="00267635" w:rsidRPr="0027666F">
        <w:rPr>
          <w:rFonts w:ascii="Garamond" w:hAnsi="Garamond"/>
        </w:rPr>
        <w:fldChar w:fldCharType="begin"/>
      </w:r>
      <w:r w:rsidR="00267635" w:rsidRPr="0027666F">
        <w:rPr>
          <w:rFonts w:ascii="Garamond" w:hAnsi="Garamond"/>
        </w:rPr>
        <w:instrText xml:space="preserve"> ADDIN EN.CITE &lt;EndNote&gt;&lt;Cite&gt;&lt;Author&gt;Rancière&lt;/Author&gt;&lt;Year&gt;2004&lt;/Year&gt;&lt;RecNum&gt;12&lt;/RecNum&gt;&lt;record&gt;&lt;rec-number&gt;12&lt;/rec-number&gt;&lt;foreign-keys&gt;&lt;key app="EN" db-id="0rewstxe3sdfepeps9f5xrt55srrdw2s5r9x" timestamp="1535459184"&gt;12&lt;/key&gt;&lt;/foreign-keys&gt;&lt;ref-type name="Book"&gt;6&lt;/ref-type&gt;&lt;contributors&gt;&lt;authors&gt;&lt;author&gt;Rancière, Jacques&lt;/author&gt;&lt;/authors&gt;&lt;/contributors&gt;&lt;titles&gt;&lt;title&gt;The Politics of Aesthetics&lt;/title&gt;&lt;/titles&gt;&lt;keywords&gt;&lt;keyword&gt;Theory&lt;/keyword&gt;&lt;keyword&gt;Aesthetics&lt;/keyword&gt;&lt;/keywords&gt;&lt;dates&gt;&lt;year&gt;2004&lt;/year&gt;&lt;/dates&gt;&lt;pub-location&gt;New York&lt;/pub-location&gt;&lt;publisher&gt;Gabriel Rockhill&lt;/publisher&gt;&lt;urls&gt;&lt;/urls&gt;&lt;/record&gt;&lt;/Cite&gt;&lt;/EndNote&gt;</w:instrText>
      </w:r>
      <w:r w:rsidR="00267635" w:rsidRPr="0027666F">
        <w:rPr>
          <w:rFonts w:ascii="Garamond" w:hAnsi="Garamond"/>
        </w:rPr>
        <w:fldChar w:fldCharType="end"/>
      </w:r>
      <w:r w:rsidR="00267635" w:rsidRPr="0027666F">
        <w:rPr>
          <w:rFonts w:ascii="Garamond" w:hAnsi="Garamond"/>
        </w:rPr>
        <w:t>2004)</w:t>
      </w:r>
      <w:r w:rsidR="00753254" w:rsidRPr="0027666F">
        <w:rPr>
          <w:rFonts w:ascii="Garamond" w:hAnsi="Garamond"/>
        </w:rPr>
        <w:t>, which renders some forms of knowledge common sense, whilst excluding others as ‘illegitimate</w:t>
      </w:r>
      <w:r w:rsidR="00FE06D8" w:rsidRPr="0027666F">
        <w:rPr>
          <w:rFonts w:ascii="Garamond" w:hAnsi="Garamond"/>
        </w:rPr>
        <w:t>.</w:t>
      </w:r>
      <w:r w:rsidR="00753254" w:rsidRPr="0027666F">
        <w:rPr>
          <w:rFonts w:ascii="Garamond" w:hAnsi="Garamond"/>
        </w:rPr>
        <w:t>’</w:t>
      </w:r>
    </w:p>
    <w:p w14:paraId="5BBEA617" w14:textId="3BF69506" w:rsidR="00416031" w:rsidRPr="0027666F" w:rsidRDefault="00416031" w:rsidP="00A54C04">
      <w:pPr>
        <w:rPr>
          <w:rFonts w:ascii="Garamond" w:hAnsi="Garamond"/>
        </w:rPr>
      </w:pPr>
    </w:p>
    <w:p w14:paraId="7DBFEAC2" w14:textId="26EEA2B2" w:rsidR="00416031" w:rsidRPr="0027666F" w:rsidRDefault="00B3242F" w:rsidP="00A54C04">
      <w:pPr>
        <w:rPr>
          <w:rFonts w:ascii="Garamond" w:hAnsi="Garamond"/>
        </w:rPr>
      </w:pPr>
      <w:r w:rsidRPr="0027666F">
        <w:rPr>
          <w:rFonts w:ascii="Garamond" w:hAnsi="Garamond"/>
        </w:rPr>
        <w:t xml:space="preserve">Second, the archive's rules are not concealed in this work but they are placed front and centre. </w:t>
      </w:r>
      <w:r w:rsidR="00416031" w:rsidRPr="0027666F">
        <w:rPr>
          <w:rFonts w:ascii="Garamond" w:hAnsi="Garamond"/>
        </w:rPr>
        <w:t xml:space="preserve">That is, in addition to questioning what it is </w:t>
      </w:r>
      <w:r w:rsidR="00B3595D" w:rsidRPr="0027666F">
        <w:rPr>
          <w:rFonts w:ascii="Garamond" w:hAnsi="Garamond"/>
        </w:rPr>
        <w:t>he and society</w:t>
      </w:r>
      <w:r w:rsidR="00416031" w:rsidRPr="0027666F">
        <w:rPr>
          <w:rFonts w:ascii="Garamond" w:hAnsi="Garamond"/>
        </w:rPr>
        <w:t xml:space="preserve"> remember</w:t>
      </w:r>
      <w:r w:rsidR="00B3595D" w:rsidRPr="0027666F">
        <w:rPr>
          <w:rFonts w:ascii="Garamond" w:hAnsi="Garamond"/>
        </w:rPr>
        <w:t>s</w:t>
      </w:r>
      <w:r w:rsidR="00416031" w:rsidRPr="0027666F">
        <w:rPr>
          <w:rFonts w:ascii="Garamond" w:hAnsi="Garamond"/>
        </w:rPr>
        <w:t xml:space="preserve"> from the past, </w:t>
      </w:r>
      <w:r w:rsidR="00267635" w:rsidRPr="0027666F">
        <w:rPr>
          <w:rFonts w:ascii="Garamond" w:hAnsi="Garamond"/>
        </w:rPr>
        <w:t>Miladinović</w:t>
      </w:r>
      <w:r w:rsidR="00416031" w:rsidRPr="0027666F">
        <w:rPr>
          <w:rFonts w:ascii="Garamond" w:hAnsi="Garamond"/>
        </w:rPr>
        <w:t xml:space="preserve"> also critiques </w:t>
      </w:r>
      <w:r w:rsidR="00416031" w:rsidRPr="0027666F">
        <w:rPr>
          <w:rFonts w:ascii="Garamond" w:hAnsi="Garamond"/>
          <w:i/>
        </w:rPr>
        <w:t xml:space="preserve">how </w:t>
      </w:r>
      <w:r w:rsidR="00416031" w:rsidRPr="0027666F">
        <w:rPr>
          <w:rFonts w:ascii="Garamond" w:hAnsi="Garamond"/>
        </w:rPr>
        <w:t xml:space="preserve">we know </w:t>
      </w:r>
      <w:r w:rsidR="00B3595D" w:rsidRPr="0027666F">
        <w:rPr>
          <w:rFonts w:ascii="Garamond" w:hAnsi="Garamond"/>
        </w:rPr>
        <w:t>that</w:t>
      </w:r>
      <w:r w:rsidR="00416031" w:rsidRPr="0027666F">
        <w:rPr>
          <w:rFonts w:ascii="Garamond" w:hAnsi="Garamond"/>
        </w:rPr>
        <w:t xml:space="preserve"> past. In doing so, </w:t>
      </w:r>
      <w:r w:rsidR="00267635" w:rsidRPr="0027666F">
        <w:rPr>
          <w:rFonts w:ascii="Garamond" w:hAnsi="Garamond"/>
        </w:rPr>
        <w:t>Miladinović</w:t>
      </w:r>
      <w:r w:rsidR="00416031" w:rsidRPr="0027666F">
        <w:rPr>
          <w:rFonts w:ascii="Garamond" w:hAnsi="Garamond"/>
        </w:rPr>
        <w:t xml:space="preserve"> under-cuts and challenges key aspects of the transitional justice discourse that underpins </w:t>
      </w:r>
      <w:r w:rsidR="00AC0EC2" w:rsidRPr="0027666F">
        <w:rPr>
          <w:rFonts w:ascii="Garamond" w:hAnsi="Garamond"/>
        </w:rPr>
        <w:t>post-conflict politics</w:t>
      </w:r>
      <w:r w:rsidR="00416031" w:rsidRPr="0027666F">
        <w:rPr>
          <w:rFonts w:ascii="Garamond" w:hAnsi="Garamond"/>
        </w:rPr>
        <w:t xml:space="preserve"> in the Western Balkans, and also </w:t>
      </w:r>
      <w:r w:rsidR="00AC0EC2" w:rsidRPr="0027666F">
        <w:rPr>
          <w:rFonts w:ascii="Garamond" w:hAnsi="Garamond"/>
        </w:rPr>
        <w:t xml:space="preserve">underpins </w:t>
      </w:r>
      <w:r w:rsidR="00416031" w:rsidRPr="0027666F">
        <w:rPr>
          <w:rFonts w:ascii="Garamond" w:hAnsi="Garamond"/>
        </w:rPr>
        <w:t>the very archives that he draws inspiration from, such as</w:t>
      </w:r>
      <w:r w:rsidR="00AC0EC2" w:rsidRPr="0027666F">
        <w:rPr>
          <w:rFonts w:ascii="Garamond" w:hAnsi="Garamond"/>
        </w:rPr>
        <w:t xml:space="preserve"> those of the ICTY</w:t>
      </w:r>
      <w:r w:rsidR="00416031" w:rsidRPr="0027666F">
        <w:rPr>
          <w:rFonts w:ascii="Garamond" w:hAnsi="Garamond"/>
        </w:rPr>
        <w:t xml:space="preserve">. </w:t>
      </w:r>
    </w:p>
    <w:p w14:paraId="5C7FC70E" w14:textId="2D044DE3" w:rsidR="00416031" w:rsidRPr="0027666F" w:rsidRDefault="00416031" w:rsidP="00A54C04">
      <w:pPr>
        <w:rPr>
          <w:rFonts w:ascii="Garamond" w:hAnsi="Garamond"/>
        </w:rPr>
      </w:pPr>
    </w:p>
    <w:p w14:paraId="192CC33A" w14:textId="51ED476B" w:rsidR="00416031" w:rsidRPr="0027666F" w:rsidRDefault="00416031" w:rsidP="00A54C04">
      <w:pPr>
        <w:rPr>
          <w:rFonts w:ascii="Garamond" w:hAnsi="Garamond"/>
        </w:rPr>
      </w:pPr>
      <w:r w:rsidRPr="0027666F">
        <w:rPr>
          <w:rFonts w:ascii="Garamond" w:hAnsi="Garamond"/>
        </w:rPr>
        <w:t xml:space="preserve">Two aspects are notable here. The first is undermining the archives claims to totality. In </w:t>
      </w:r>
      <w:r w:rsidRPr="0027666F">
        <w:rPr>
          <w:rFonts w:ascii="Garamond" w:hAnsi="Garamond"/>
          <w:i/>
        </w:rPr>
        <w:t>//</w:t>
      </w:r>
      <w:r w:rsidR="00267635" w:rsidRPr="0027666F">
        <w:rPr>
          <w:rFonts w:ascii="Garamond" w:hAnsi="Garamond"/>
          <w:i/>
        </w:rPr>
        <w:t>Undiscernible</w:t>
      </w:r>
      <w:r w:rsidRPr="0027666F">
        <w:rPr>
          <w:rFonts w:ascii="Garamond" w:hAnsi="Garamond"/>
          <w:i/>
        </w:rPr>
        <w:t xml:space="preserve">//. </w:t>
      </w:r>
      <w:r w:rsidRPr="0027666F">
        <w:rPr>
          <w:rFonts w:ascii="Garamond" w:hAnsi="Garamond"/>
        </w:rPr>
        <w:t xml:space="preserve">(figure 1.) </w:t>
      </w:r>
      <w:r w:rsidR="00267635" w:rsidRPr="0027666F">
        <w:rPr>
          <w:rFonts w:ascii="Garamond" w:hAnsi="Garamond"/>
        </w:rPr>
        <w:t>Miladinović</w:t>
      </w:r>
      <w:r w:rsidRPr="0027666F">
        <w:rPr>
          <w:rFonts w:ascii="Garamond" w:hAnsi="Garamond"/>
        </w:rPr>
        <w:t xml:space="preserve"> </w:t>
      </w:r>
      <w:r w:rsidR="00AC0EC2" w:rsidRPr="0027666F">
        <w:rPr>
          <w:rFonts w:ascii="Garamond" w:hAnsi="Garamond"/>
        </w:rPr>
        <w:t>draws attention to the frequency with which the intercepted cables read as ‘</w:t>
      </w:r>
      <w:r w:rsidR="00267635" w:rsidRPr="0027666F">
        <w:rPr>
          <w:rFonts w:ascii="Garamond" w:hAnsi="Garamond"/>
        </w:rPr>
        <w:t>undiscernible</w:t>
      </w:r>
      <w:r w:rsidRPr="0027666F">
        <w:rPr>
          <w:rFonts w:ascii="Garamond" w:hAnsi="Garamond"/>
        </w:rPr>
        <w:t>’</w:t>
      </w:r>
      <w:r w:rsidR="00AC0EC2" w:rsidRPr="0027666F">
        <w:rPr>
          <w:rFonts w:ascii="Garamond" w:hAnsi="Garamond"/>
        </w:rPr>
        <w:t xml:space="preserve">, which highlights the question of what is excluded from the </w:t>
      </w:r>
      <w:r w:rsidRPr="0027666F">
        <w:rPr>
          <w:rFonts w:ascii="Garamond" w:hAnsi="Garamond"/>
        </w:rPr>
        <w:t>archive. I</w:t>
      </w:r>
      <w:r w:rsidR="00267635" w:rsidRPr="0027666F">
        <w:rPr>
          <w:rFonts w:ascii="Garamond" w:hAnsi="Garamond"/>
        </w:rPr>
        <w:t>n</w:t>
      </w:r>
      <w:r w:rsidRPr="0027666F">
        <w:rPr>
          <w:rFonts w:ascii="Garamond" w:hAnsi="Garamond"/>
        </w:rPr>
        <w:t xml:space="preserve"> a similar way, </w:t>
      </w:r>
      <w:r w:rsidRPr="0027666F">
        <w:rPr>
          <w:rFonts w:ascii="Garamond" w:hAnsi="Garamond"/>
          <w:i/>
        </w:rPr>
        <w:t xml:space="preserve">The Notebook </w:t>
      </w:r>
      <w:r w:rsidR="00A939B4" w:rsidRPr="0027666F">
        <w:rPr>
          <w:rFonts w:ascii="Garamond" w:hAnsi="Garamond"/>
        </w:rPr>
        <w:t xml:space="preserve">(figure 2.) </w:t>
      </w:r>
      <w:r w:rsidR="006370AC" w:rsidRPr="0027666F">
        <w:rPr>
          <w:rFonts w:ascii="Garamond" w:hAnsi="Garamond"/>
        </w:rPr>
        <w:t>draws attention to the politics of translation</w:t>
      </w:r>
      <w:r w:rsidR="00AC0EC2" w:rsidRPr="0027666F">
        <w:rPr>
          <w:rFonts w:ascii="Garamond" w:hAnsi="Garamond"/>
        </w:rPr>
        <w:t xml:space="preserve"> at the ICTY</w:t>
      </w:r>
      <w:r w:rsidR="006370AC" w:rsidRPr="0027666F">
        <w:rPr>
          <w:rFonts w:ascii="Garamond" w:hAnsi="Garamond"/>
        </w:rPr>
        <w:t xml:space="preserve"> as </w:t>
      </w:r>
      <w:r w:rsidR="00267635" w:rsidRPr="0027666F">
        <w:rPr>
          <w:rFonts w:ascii="Garamond" w:hAnsi="Garamond"/>
        </w:rPr>
        <w:t>Miladinović</w:t>
      </w:r>
      <w:r w:rsidR="006370AC" w:rsidRPr="0027666F">
        <w:rPr>
          <w:rFonts w:ascii="Garamond" w:hAnsi="Garamond"/>
        </w:rPr>
        <w:t xml:space="preserve"> returns the </w:t>
      </w:r>
      <w:r w:rsidR="00AC0EC2" w:rsidRPr="0027666F">
        <w:rPr>
          <w:rFonts w:ascii="Garamond" w:hAnsi="Garamond"/>
        </w:rPr>
        <w:t>English</w:t>
      </w:r>
      <w:r w:rsidR="0067648A" w:rsidRPr="0027666F">
        <w:rPr>
          <w:rFonts w:ascii="Garamond" w:hAnsi="Garamond"/>
        </w:rPr>
        <w:t>-translated</w:t>
      </w:r>
      <w:r w:rsidR="00AC0EC2" w:rsidRPr="0027666F">
        <w:rPr>
          <w:rFonts w:ascii="Garamond" w:hAnsi="Garamond"/>
        </w:rPr>
        <w:t xml:space="preserve">, </w:t>
      </w:r>
      <w:r w:rsidR="006370AC" w:rsidRPr="0027666F">
        <w:rPr>
          <w:rFonts w:ascii="Garamond" w:hAnsi="Garamond"/>
        </w:rPr>
        <w:t>digitalised</w:t>
      </w:r>
      <w:r w:rsidR="00AC0EC2" w:rsidRPr="0027666F">
        <w:rPr>
          <w:rFonts w:ascii="Garamond" w:hAnsi="Garamond"/>
        </w:rPr>
        <w:t xml:space="preserve"> and in many respects sanitised </w:t>
      </w:r>
      <w:r w:rsidR="006370AC" w:rsidRPr="0027666F">
        <w:rPr>
          <w:rFonts w:ascii="Garamond" w:hAnsi="Garamond"/>
        </w:rPr>
        <w:t xml:space="preserve">version of Mladic’s </w:t>
      </w:r>
      <w:r w:rsidR="00FC0A71" w:rsidRPr="0027666F">
        <w:rPr>
          <w:rFonts w:ascii="Garamond" w:hAnsi="Garamond"/>
        </w:rPr>
        <w:t xml:space="preserve">handwritten </w:t>
      </w:r>
      <w:r w:rsidR="006370AC" w:rsidRPr="0027666F">
        <w:rPr>
          <w:rFonts w:ascii="Garamond" w:hAnsi="Garamond"/>
        </w:rPr>
        <w:t>diary</w:t>
      </w:r>
      <w:r w:rsidR="00AC0EC2" w:rsidRPr="0027666F">
        <w:rPr>
          <w:rFonts w:ascii="Garamond" w:hAnsi="Garamond"/>
        </w:rPr>
        <w:t xml:space="preserve"> </w:t>
      </w:r>
      <w:r w:rsidR="00FC0A71" w:rsidRPr="0027666F">
        <w:rPr>
          <w:rFonts w:ascii="Garamond" w:hAnsi="Garamond"/>
        </w:rPr>
        <w:t>(original</w:t>
      </w:r>
      <w:r w:rsidR="0067648A" w:rsidRPr="0027666F">
        <w:rPr>
          <w:rFonts w:ascii="Garamond" w:hAnsi="Garamond"/>
        </w:rPr>
        <w:t>ly</w:t>
      </w:r>
      <w:r w:rsidR="00FC0A71" w:rsidRPr="0027666F">
        <w:rPr>
          <w:rFonts w:ascii="Garamond" w:hAnsi="Garamond"/>
        </w:rPr>
        <w:t xml:space="preserve"> </w:t>
      </w:r>
      <w:r w:rsidR="0067648A" w:rsidRPr="0027666F">
        <w:rPr>
          <w:rFonts w:ascii="Garamond" w:hAnsi="Garamond"/>
        </w:rPr>
        <w:t xml:space="preserve">handwritten </w:t>
      </w:r>
      <w:r w:rsidR="00FC0A71" w:rsidRPr="0027666F">
        <w:rPr>
          <w:rFonts w:ascii="Garamond" w:hAnsi="Garamond"/>
        </w:rPr>
        <w:t xml:space="preserve">in Serbian Cyrillic) that </w:t>
      </w:r>
      <w:r w:rsidR="00AC0EC2" w:rsidRPr="0027666F">
        <w:rPr>
          <w:rFonts w:ascii="Garamond" w:hAnsi="Garamond"/>
        </w:rPr>
        <w:t>was used as evidence in court,</w:t>
      </w:r>
      <w:r w:rsidR="006370AC" w:rsidRPr="0027666F">
        <w:rPr>
          <w:rFonts w:ascii="Garamond" w:hAnsi="Garamond"/>
        </w:rPr>
        <w:t xml:space="preserve"> back into it ‘original state’ as hand</w:t>
      </w:r>
      <w:r w:rsidR="00FC0A71" w:rsidRPr="0027666F">
        <w:rPr>
          <w:rFonts w:ascii="Garamond" w:hAnsi="Garamond"/>
        </w:rPr>
        <w:t>-</w:t>
      </w:r>
      <w:r w:rsidR="006370AC" w:rsidRPr="0027666F">
        <w:rPr>
          <w:rFonts w:ascii="Garamond" w:hAnsi="Garamond"/>
        </w:rPr>
        <w:t xml:space="preserve">drawn, personal artefact. </w:t>
      </w:r>
      <w:r w:rsidR="00AC0EC2" w:rsidRPr="0027666F">
        <w:rPr>
          <w:rFonts w:ascii="Garamond" w:hAnsi="Garamond"/>
        </w:rPr>
        <w:t xml:space="preserve">Both of these interventions draw attention to the logics of the </w:t>
      </w:r>
      <w:r w:rsidR="00FC0A71" w:rsidRPr="0027666F">
        <w:rPr>
          <w:rFonts w:ascii="Garamond" w:hAnsi="Garamond"/>
        </w:rPr>
        <w:t xml:space="preserve">ICTY’s </w:t>
      </w:r>
      <w:r w:rsidR="00AC0EC2" w:rsidRPr="0027666F">
        <w:rPr>
          <w:rFonts w:ascii="Garamond" w:hAnsi="Garamond"/>
        </w:rPr>
        <w:t xml:space="preserve">archive to </w:t>
      </w:r>
      <w:r w:rsidR="006370AC" w:rsidRPr="0027666F">
        <w:rPr>
          <w:rFonts w:ascii="Garamond" w:hAnsi="Garamond"/>
        </w:rPr>
        <w:t xml:space="preserve">question what </w:t>
      </w:r>
      <w:r w:rsidR="00FC0A71" w:rsidRPr="0027666F">
        <w:rPr>
          <w:rFonts w:ascii="Garamond" w:hAnsi="Garamond"/>
        </w:rPr>
        <w:t xml:space="preserve">the tribunal understood as </w:t>
      </w:r>
      <w:r w:rsidR="006370AC" w:rsidRPr="0027666F">
        <w:rPr>
          <w:rFonts w:ascii="Garamond" w:hAnsi="Garamond"/>
        </w:rPr>
        <w:t xml:space="preserve">proof, and also </w:t>
      </w:r>
      <w:r w:rsidR="00AC0EC2" w:rsidRPr="0027666F">
        <w:rPr>
          <w:rFonts w:ascii="Garamond" w:hAnsi="Garamond"/>
        </w:rPr>
        <w:t>the tribunal’s</w:t>
      </w:r>
      <w:r w:rsidR="006370AC" w:rsidRPr="0027666F">
        <w:rPr>
          <w:rFonts w:ascii="Garamond" w:hAnsi="Garamond"/>
        </w:rPr>
        <w:t xml:space="preserve"> obsession (an archival obsession) with producing a verifiable account of the past</w:t>
      </w:r>
      <w:r w:rsidR="00FC0A71" w:rsidRPr="0027666F">
        <w:rPr>
          <w:rFonts w:ascii="Garamond" w:hAnsi="Garamond"/>
        </w:rPr>
        <w:t xml:space="preserve"> – something ultimately unobtainable</w:t>
      </w:r>
      <w:r w:rsidR="006370AC" w:rsidRPr="0027666F">
        <w:rPr>
          <w:rFonts w:ascii="Garamond" w:hAnsi="Garamond"/>
        </w:rPr>
        <w:t xml:space="preserve">. </w:t>
      </w:r>
    </w:p>
    <w:p w14:paraId="1B1B29B6" w14:textId="7C1BE6AF" w:rsidR="00A939B4" w:rsidRPr="0027666F" w:rsidRDefault="00A939B4" w:rsidP="00A54C04">
      <w:pPr>
        <w:rPr>
          <w:rFonts w:ascii="Garamond" w:hAnsi="Garamond"/>
        </w:rPr>
      </w:pPr>
    </w:p>
    <w:p w14:paraId="556DB0EC" w14:textId="63853C0D" w:rsidR="00A939B4" w:rsidRDefault="00A939B4" w:rsidP="00A939B4">
      <w:pPr>
        <w:jc w:val="center"/>
        <w:rPr>
          <w:rFonts w:ascii="Garamond" w:hAnsi="Garamond"/>
        </w:rPr>
      </w:pPr>
      <w:r w:rsidRPr="0027666F">
        <w:rPr>
          <w:rFonts w:ascii="Garamond" w:hAnsi="Garamond"/>
        </w:rPr>
        <w:t>[insert figure 2.].</w:t>
      </w:r>
    </w:p>
    <w:p w14:paraId="1FCFB874" w14:textId="77777777" w:rsidR="009E3877" w:rsidRPr="0027666F" w:rsidRDefault="009E3877" w:rsidP="009E3877">
      <w:pPr>
        <w:rPr>
          <w:rFonts w:ascii="Garamond" w:hAnsi="Garamond"/>
        </w:rPr>
      </w:pPr>
    </w:p>
    <w:p w14:paraId="5D560577" w14:textId="481C88C3" w:rsidR="006370AC" w:rsidRPr="0027666F" w:rsidRDefault="006370AC" w:rsidP="00A54C04">
      <w:pPr>
        <w:rPr>
          <w:rFonts w:ascii="Garamond" w:hAnsi="Garamond"/>
        </w:rPr>
      </w:pPr>
    </w:p>
    <w:p w14:paraId="7863947B" w14:textId="1D64CF42" w:rsidR="00A54C04" w:rsidRPr="0027666F" w:rsidRDefault="006370AC" w:rsidP="00A54C04">
      <w:pPr>
        <w:rPr>
          <w:rFonts w:ascii="Garamond" w:hAnsi="Garamond"/>
        </w:rPr>
      </w:pPr>
      <w:r w:rsidRPr="0027666F">
        <w:rPr>
          <w:rFonts w:ascii="Garamond" w:hAnsi="Garamond"/>
        </w:rPr>
        <w:t>But in reproducing these records a further, and arguably more fundamental</w:t>
      </w:r>
      <w:r w:rsidR="00DE681E" w:rsidRPr="0027666F">
        <w:rPr>
          <w:rFonts w:ascii="Garamond" w:hAnsi="Garamond"/>
        </w:rPr>
        <w:t xml:space="preserve">, </w:t>
      </w:r>
      <w:r w:rsidR="00753254" w:rsidRPr="0027666F">
        <w:rPr>
          <w:rFonts w:ascii="Garamond" w:hAnsi="Garamond"/>
        </w:rPr>
        <w:t xml:space="preserve">reinterpretation of the ICTY’s archive takes place. Like most </w:t>
      </w:r>
      <w:r w:rsidR="0067648A" w:rsidRPr="0027666F">
        <w:rPr>
          <w:rFonts w:ascii="Garamond" w:hAnsi="Garamond"/>
        </w:rPr>
        <w:t>transitional justice</w:t>
      </w:r>
      <w:r w:rsidR="00753254" w:rsidRPr="0027666F">
        <w:rPr>
          <w:rFonts w:ascii="Garamond" w:hAnsi="Garamond"/>
        </w:rPr>
        <w:t xml:space="preserve"> mechanisms, the ICTY was </w:t>
      </w:r>
      <w:r w:rsidR="00D5116E" w:rsidRPr="0027666F">
        <w:rPr>
          <w:rFonts w:ascii="Garamond" w:hAnsi="Garamond"/>
        </w:rPr>
        <w:t xml:space="preserve">concerned with </w:t>
      </w:r>
      <w:r w:rsidR="00753254" w:rsidRPr="0027666F">
        <w:rPr>
          <w:rFonts w:ascii="Garamond" w:hAnsi="Garamond"/>
        </w:rPr>
        <w:t xml:space="preserve">finding </w:t>
      </w:r>
      <w:r w:rsidR="00753254" w:rsidRPr="0027666F">
        <w:rPr>
          <w:rFonts w:ascii="Garamond" w:hAnsi="Garamond"/>
          <w:i/>
        </w:rPr>
        <w:t xml:space="preserve">the </w:t>
      </w:r>
      <w:r w:rsidR="00753254" w:rsidRPr="0027666F">
        <w:rPr>
          <w:rFonts w:ascii="Garamond" w:hAnsi="Garamond"/>
        </w:rPr>
        <w:t>truth about the past, a determining guilty perpetrator from innocent victim</w:t>
      </w:r>
      <w:r w:rsidR="00B46BE9" w:rsidRPr="0027666F">
        <w:rPr>
          <w:rFonts w:ascii="Garamond" w:hAnsi="Garamond"/>
        </w:rPr>
        <w:t xml:space="preserve">, in order to draw </w:t>
      </w:r>
      <w:r w:rsidR="00753254" w:rsidRPr="0027666F">
        <w:rPr>
          <w:rFonts w:ascii="Garamond" w:hAnsi="Garamond"/>
        </w:rPr>
        <w:t xml:space="preserve">a line under the past. </w:t>
      </w:r>
      <w:r w:rsidR="00267635" w:rsidRPr="0027666F">
        <w:rPr>
          <w:rFonts w:ascii="Garamond" w:hAnsi="Garamond"/>
        </w:rPr>
        <w:t>Miladinović’s</w:t>
      </w:r>
      <w:r w:rsidR="00753254" w:rsidRPr="0027666F">
        <w:rPr>
          <w:rFonts w:ascii="Garamond" w:hAnsi="Garamond"/>
        </w:rPr>
        <w:t xml:space="preserve"> work, however, fundamentally rejects such a vision</w:t>
      </w:r>
      <w:r w:rsidR="00B46BE9" w:rsidRPr="0027666F">
        <w:rPr>
          <w:rFonts w:ascii="Garamond" w:hAnsi="Garamond"/>
        </w:rPr>
        <w:t xml:space="preserve"> of justice</w:t>
      </w:r>
      <w:r w:rsidR="00753254" w:rsidRPr="0027666F">
        <w:rPr>
          <w:rFonts w:ascii="Garamond" w:hAnsi="Garamond"/>
        </w:rPr>
        <w:t xml:space="preserve">. It does this by opening up a </w:t>
      </w:r>
      <w:r w:rsidR="00E24821">
        <w:rPr>
          <w:rFonts w:ascii="Garamond" w:hAnsi="Garamond"/>
        </w:rPr>
        <w:t xml:space="preserve">space </w:t>
      </w:r>
      <w:r w:rsidR="00753254" w:rsidRPr="0027666F">
        <w:rPr>
          <w:rFonts w:ascii="Garamond" w:hAnsi="Garamond"/>
        </w:rPr>
        <w:t>between the</w:t>
      </w:r>
      <w:r w:rsidR="00A54C04" w:rsidRPr="0027666F">
        <w:rPr>
          <w:rFonts w:ascii="Garamond" w:hAnsi="Garamond"/>
        </w:rPr>
        <w:t xml:space="preserve"> original image </w:t>
      </w:r>
      <w:r w:rsidR="00A54C04" w:rsidRPr="0027666F">
        <w:rPr>
          <w:rFonts w:ascii="Garamond" w:hAnsi="Garamond"/>
          <w:i/>
        </w:rPr>
        <w:t xml:space="preserve">as proof </w:t>
      </w:r>
      <w:r w:rsidR="00A54C04" w:rsidRPr="0027666F">
        <w:rPr>
          <w:rFonts w:ascii="Garamond" w:hAnsi="Garamond"/>
        </w:rPr>
        <w:t>and the reproduction</w:t>
      </w:r>
      <w:r w:rsidR="00FC0A71" w:rsidRPr="0027666F">
        <w:rPr>
          <w:rFonts w:ascii="Garamond" w:hAnsi="Garamond"/>
        </w:rPr>
        <w:t xml:space="preserve"> of the image in his artwork</w:t>
      </w:r>
      <w:r w:rsidR="00E24821">
        <w:rPr>
          <w:rFonts w:ascii="Garamond" w:hAnsi="Garamond"/>
        </w:rPr>
        <w:t xml:space="preserve">. </w:t>
      </w:r>
      <w:r w:rsidR="00AC0EC2" w:rsidRPr="0027666F">
        <w:rPr>
          <w:rFonts w:ascii="Garamond" w:hAnsi="Garamond"/>
        </w:rPr>
        <w:t xml:space="preserve">That is, whilst on first look </w:t>
      </w:r>
      <w:r w:rsidR="00267635" w:rsidRPr="0027666F">
        <w:rPr>
          <w:rFonts w:ascii="Garamond" w:hAnsi="Garamond"/>
        </w:rPr>
        <w:t>Miladinović’s</w:t>
      </w:r>
      <w:r w:rsidR="00AC0EC2" w:rsidRPr="0027666F">
        <w:rPr>
          <w:rFonts w:ascii="Garamond" w:hAnsi="Garamond"/>
        </w:rPr>
        <w:t xml:space="preserve"> work appears to be an </w:t>
      </w:r>
      <w:r w:rsidR="00AC0EC2" w:rsidRPr="0027666F">
        <w:rPr>
          <w:rFonts w:ascii="Garamond" w:hAnsi="Garamond"/>
          <w:i/>
        </w:rPr>
        <w:t xml:space="preserve">exact </w:t>
      </w:r>
      <w:r w:rsidR="00AC0EC2" w:rsidRPr="0027666F">
        <w:rPr>
          <w:rFonts w:ascii="Garamond" w:hAnsi="Garamond"/>
        </w:rPr>
        <w:t xml:space="preserve">replica of the archive, on closer examination it becomes clear that this is, rather, an aesthetic reinterpretation of this record. This is not, and cannot, be an exact replica and when </w:t>
      </w:r>
      <w:r w:rsidR="00FC0A71" w:rsidRPr="0027666F">
        <w:rPr>
          <w:rFonts w:ascii="Garamond" w:hAnsi="Garamond"/>
        </w:rPr>
        <w:t>the viewer becomes aware of this</w:t>
      </w:r>
      <w:r w:rsidR="00AC0EC2" w:rsidRPr="0027666F">
        <w:rPr>
          <w:rFonts w:ascii="Garamond" w:hAnsi="Garamond"/>
        </w:rPr>
        <w:t xml:space="preserve"> a </w:t>
      </w:r>
      <w:r w:rsidR="00A54C04" w:rsidRPr="0027666F">
        <w:rPr>
          <w:rFonts w:ascii="Garamond" w:hAnsi="Garamond"/>
        </w:rPr>
        <w:t>space of imaginative contemplation</w:t>
      </w:r>
      <w:r w:rsidR="00AC0EC2" w:rsidRPr="0027666F">
        <w:rPr>
          <w:rFonts w:ascii="Garamond" w:hAnsi="Garamond"/>
        </w:rPr>
        <w:t xml:space="preserve"> is opened up</w:t>
      </w:r>
      <w:r w:rsidR="00FC0A71" w:rsidRPr="0027666F">
        <w:rPr>
          <w:rFonts w:ascii="Garamond" w:hAnsi="Garamond"/>
        </w:rPr>
        <w:t xml:space="preserve"> - </w:t>
      </w:r>
      <w:r w:rsidR="00A54C04" w:rsidRPr="0027666F">
        <w:rPr>
          <w:rFonts w:ascii="Garamond" w:hAnsi="Garamond"/>
        </w:rPr>
        <w:t xml:space="preserve"> the production of a ‘third image’</w:t>
      </w:r>
      <w:r w:rsidR="00267635" w:rsidRPr="0027666F">
        <w:rPr>
          <w:rFonts w:ascii="Garamond" w:hAnsi="Garamond"/>
        </w:rPr>
        <w:t xml:space="preserve"> (Mitchell, 1994)</w:t>
      </w:r>
      <w:r w:rsidR="00267635" w:rsidRPr="0027666F">
        <w:rPr>
          <w:rFonts w:ascii="Garamond" w:hAnsi="Garamond"/>
        </w:rPr>
        <w:fldChar w:fldCharType="begin"/>
      </w:r>
      <w:r w:rsidR="00267635" w:rsidRPr="0027666F">
        <w:rPr>
          <w:rFonts w:ascii="Garamond" w:hAnsi="Garamond"/>
        </w:rPr>
        <w:instrText xml:space="preserve"> ADDIN EN.CITE &lt;EndNote&gt;&lt;Cite&gt;&lt;Author&gt;Mitchell&lt;/Author&gt;&lt;Year&gt;1994&lt;/Year&gt;&lt;RecNum&gt;31&lt;/RecNum&gt;&lt;record&gt;&lt;rec-number&gt;31&lt;/rec-number&gt;&lt;foreign-keys&gt;&lt;key app="EN" db-id="0rewstxe3sdfepeps9f5xrt55srrdw2s5r9x" timestamp="1535461050"&gt;31&lt;/key&gt;&lt;/foreign-keys&gt;&lt;ref-type name="Book"&gt;6&lt;/ref-type&gt;&lt;contributors&gt;&lt;authors&gt;&lt;author&gt;Mitchell, W J T&lt;/author&gt;&lt;/authors&gt;&lt;/contributors&gt;&lt;titles&gt;&lt;title&gt;Picture Theory: Essays on Verbal and Visual Representation&lt;/title&gt;&lt;/titles&gt;&lt;keywords&gt;&lt;keyword&gt;Aesthetics&lt;/keyword&gt;&lt;keyword&gt;Theory&lt;/keyword&gt;&lt;keyword&gt;Visual&lt;/keyword&gt;&lt;/keywords&gt;&lt;dates&gt;&lt;year&gt;1994&lt;/year&gt;&lt;/dates&gt;&lt;pub-location&gt;Chicago&lt;/pub-location&gt;&lt;publisher&gt;The University of Chicago Press&lt;/publisher&gt;&lt;urls&gt;&lt;/urls&gt;&lt;/record&gt;&lt;/Cite&gt;&lt;/EndNote&gt;</w:instrText>
      </w:r>
      <w:r w:rsidR="00267635" w:rsidRPr="0027666F">
        <w:rPr>
          <w:rFonts w:ascii="Garamond" w:hAnsi="Garamond"/>
        </w:rPr>
        <w:fldChar w:fldCharType="end"/>
      </w:r>
      <w:r w:rsidR="00A54C04" w:rsidRPr="0027666F">
        <w:rPr>
          <w:rFonts w:ascii="Garamond" w:hAnsi="Garamond"/>
        </w:rPr>
        <w:t>.</w:t>
      </w:r>
      <w:r w:rsidR="00A54C04" w:rsidRPr="0027666F">
        <w:rPr>
          <w:rFonts w:ascii="Garamond" w:hAnsi="Garamond"/>
          <w:vertAlign w:val="superscript"/>
        </w:rPr>
        <w:t xml:space="preserve"> </w:t>
      </w:r>
      <w:r w:rsidR="00AC0EC2" w:rsidRPr="0027666F">
        <w:rPr>
          <w:rFonts w:ascii="Garamond" w:hAnsi="Garamond"/>
        </w:rPr>
        <w:t xml:space="preserve">Whilst, then, the word </w:t>
      </w:r>
      <w:r w:rsidR="00E24821">
        <w:rPr>
          <w:rFonts w:ascii="Garamond" w:hAnsi="Garamond"/>
        </w:rPr>
        <w:t>‘</w:t>
      </w:r>
      <w:r w:rsidR="00AC0EC2" w:rsidRPr="0027666F">
        <w:rPr>
          <w:rFonts w:ascii="Garamond" w:hAnsi="Garamond"/>
        </w:rPr>
        <w:t>undiscernible</w:t>
      </w:r>
      <w:r w:rsidR="00E24821">
        <w:rPr>
          <w:rFonts w:ascii="Garamond" w:hAnsi="Garamond"/>
        </w:rPr>
        <w:t xml:space="preserve">’ </w:t>
      </w:r>
      <w:r w:rsidR="00AC0EC2" w:rsidRPr="0027666F">
        <w:rPr>
          <w:rFonts w:ascii="Garamond" w:hAnsi="Garamond"/>
        </w:rPr>
        <w:t xml:space="preserve">draws attention to an absence, it is, down to the viewer to ‘fill this is’. The </w:t>
      </w:r>
      <w:r w:rsidR="00A54C04" w:rsidRPr="0027666F">
        <w:rPr>
          <w:rFonts w:ascii="Garamond" w:hAnsi="Garamond"/>
        </w:rPr>
        <w:t xml:space="preserve">image then encourages the viewer to embark on their </w:t>
      </w:r>
      <w:r w:rsidR="00A54C04" w:rsidRPr="0027666F">
        <w:rPr>
          <w:rFonts w:ascii="Garamond" w:hAnsi="Garamond"/>
          <w:i/>
        </w:rPr>
        <w:t xml:space="preserve">own process </w:t>
      </w:r>
      <w:r w:rsidR="00A54C04" w:rsidRPr="0027666F">
        <w:rPr>
          <w:rFonts w:ascii="Garamond" w:hAnsi="Garamond"/>
        </w:rPr>
        <w:t xml:space="preserve">of self-examination and continued exploration. </w:t>
      </w:r>
      <w:r w:rsidR="00753254" w:rsidRPr="0027666F">
        <w:rPr>
          <w:rFonts w:ascii="Garamond" w:hAnsi="Garamond"/>
        </w:rPr>
        <w:t xml:space="preserve">There is, as </w:t>
      </w:r>
      <w:r w:rsidR="00753254" w:rsidRPr="0027666F">
        <w:rPr>
          <w:rFonts w:ascii="Garamond" w:hAnsi="Garamond"/>
        </w:rPr>
        <w:lastRenderedPageBreak/>
        <w:t xml:space="preserve">such, a celebrated </w:t>
      </w:r>
      <w:r w:rsidR="00FC0A71" w:rsidRPr="0027666F">
        <w:rPr>
          <w:rFonts w:ascii="Garamond" w:hAnsi="Garamond"/>
        </w:rPr>
        <w:t>sense</w:t>
      </w:r>
      <w:r w:rsidR="00753254" w:rsidRPr="0027666F">
        <w:rPr>
          <w:rFonts w:ascii="Garamond" w:hAnsi="Garamond"/>
        </w:rPr>
        <w:t xml:space="preserve"> of </w:t>
      </w:r>
      <w:r w:rsidR="00A54C04" w:rsidRPr="0027666F">
        <w:rPr>
          <w:rFonts w:ascii="Garamond" w:hAnsi="Garamond"/>
        </w:rPr>
        <w:t xml:space="preserve">indeterminacy </w:t>
      </w:r>
      <w:r w:rsidR="00FC0A71" w:rsidRPr="0027666F">
        <w:rPr>
          <w:rFonts w:ascii="Garamond" w:hAnsi="Garamond"/>
        </w:rPr>
        <w:t>in</w:t>
      </w:r>
      <w:r w:rsidR="00A54C04" w:rsidRPr="0027666F">
        <w:rPr>
          <w:rFonts w:ascii="Garamond" w:hAnsi="Garamond"/>
        </w:rPr>
        <w:t xml:space="preserve"> </w:t>
      </w:r>
      <w:r w:rsidR="00267635" w:rsidRPr="0027666F">
        <w:rPr>
          <w:rFonts w:ascii="Garamond" w:hAnsi="Garamond"/>
        </w:rPr>
        <w:t>Miladinović’s</w:t>
      </w:r>
      <w:r w:rsidR="00753254" w:rsidRPr="0027666F">
        <w:rPr>
          <w:rFonts w:ascii="Garamond" w:hAnsi="Garamond"/>
        </w:rPr>
        <w:t xml:space="preserve"> work</w:t>
      </w:r>
      <w:r w:rsidR="00A54C04" w:rsidRPr="0027666F">
        <w:rPr>
          <w:rFonts w:ascii="Garamond" w:hAnsi="Garamond"/>
        </w:rPr>
        <w:t>. No one person will gain the same thing from the work, as they traverse the work in different ways,</w:t>
      </w:r>
      <w:r w:rsidR="00753254" w:rsidRPr="0027666F">
        <w:rPr>
          <w:rFonts w:ascii="Garamond" w:hAnsi="Garamond"/>
        </w:rPr>
        <w:t xml:space="preserve"> and fill in this ‘third image’ differently. This work </w:t>
      </w:r>
      <w:r w:rsidR="00A54C04" w:rsidRPr="0027666F">
        <w:rPr>
          <w:rFonts w:ascii="Garamond" w:hAnsi="Garamond"/>
        </w:rPr>
        <w:t xml:space="preserve">contains not one, but many narratives of the past; there is no truth to be found in this work. In this, </w:t>
      </w:r>
      <w:r w:rsidR="00A54C04" w:rsidRPr="0027666F">
        <w:rPr>
          <w:rFonts w:ascii="Garamond" w:hAnsi="Garamond"/>
          <w:i/>
        </w:rPr>
        <w:t xml:space="preserve">The Notebook </w:t>
      </w:r>
      <w:r w:rsidR="00B46BE9" w:rsidRPr="0027666F">
        <w:rPr>
          <w:rFonts w:ascii="Garamond" w:hAnsi="Garamond"/>
        </w:rPr>
        <w:t>constitutes a counter archive that works to undermine</w:t>
      </w:r>
      <w:r w:rsidR="00A54C04" w:rsidRPr="0027666F">
        <w:rPr>
          <w:rFonts w:ascii="Garamond" w:hAnsi="Garamond"/>
        </w:rPr>
        <w:t xml:space="preserve"> </w:t>
      </w:r>
      <w:r w:rsidR="00B46BE9" w:rsidRPr="0027666F">
        <w:rPr>
          <w:rFonts w:ascii="Garamond" w:hAnsi="Garamond"/>
        </w:rPr>
        <w:t xml:space="preserve">both </w:t>
      </w:r>
      <w:r w:rsidR="00A54C04" w:rsidRPr="0027666F">
        <w:rPr>
          <w:rFonts w:ascii="Garamond" w:hAnsi="Garamond"/>
        </w:rPr>
        <w:t>the ICTY’s archive</w:t>
      </w:r>
      <w:r w:rsidR="00B46BE9" w:rsidRPr="0027666F">
        <w:rPr>
          <w:rFonts w:ascii="Garamond" w:hAnsi="Garamond"/>
        </w:rPr>
        <w:t xml:space="preserve"> and </w:t>
      </w:r>
      <w:r w:rsidR="00A54C04" w:rsidRPr="0027666F">
        <w:rPr>
          <w:rFonts w:ascii="Garamond" w:hAnsi="Garamond"/>
        </w:rPr>
        <w:t>archival power per se.</w:t>
      </w:r>
    </w:p>
    <w:p w14:paraId="451C2425" w14:textId="63A3856B" w:rsidR="00AC0EC2" w:rsidRPr="0027666F" w:rsidRDefault="00AC0EC2" w:rsidP="00A54C04">
      <w:pPr>
        <w:rPr>
          <w:rFonts w:ascii="Garamond" w:hAnsi="Garamond"/>
        </w:rPr>
      </w:pPr>
    </w:p>
    <w:p w14:paraId="329D8239" w14:textId="1BEC22A7" w:rsidR="00233228" w:rsidRPr="0027666F" w:rsidRDefault="00AC0EC2" w:rsidP="00233228">
      <w:pPr>
        <w:rPr>
          <w:rFonts w:ascii="Garamond" w:hAnsi="Garamond"/>
        </w:rPr>
      </w:pPr>
      <w:r w:rsidRPr="0027666F">
        <w:rPr>
          <w:rFonts w:ascii="Garamond" w:hAnsi="Garamond"/>
        </w:rPr>
        <w:t xml:space="preserve">In disrupting the terms on which justice and community are imagined in the archive, and, importantly, disrupting the self, </w:t>
      </w:r>
      <w:r w:rsidR="0081320D" w:rsidRPr="0027666F">
        <w:rPr>
          <w:rFonts w:ascii="Garamond" w:hAnsi="Garamond"/>
        </w:rPr>
        <w:t>Miladinović’s</w:t>
      </w:r>
      <w:r w:rsidRPr="0027666F">
        <w:rPr>
          <w:rFonts w:ascii="Garamond" w:hAnsi="Garamond"/>
        </w:rPr>
        <w:t xml:space="preserve"> aesthetic engagement with the archive opens up the potential for a more radical form of community. On</w:t>
      </w:r>
      <w:r w:rsidR="0067648A" w:rsidRPr="0027666F">
        <w:rPr>
          <w:rFonts w:ascii="Garamond" w:hAnsi="Garamond"/>
        </w:rPr>
        <w:t>e</w:t>
      </w:r>
      <w:r w:rsidRPr="0027666F">
        <w:rPr>
          <w:rFonts w:ascii="Garamond" w:hAnsi="Garamond"/>
        </w:rPr>
        <w:t xml:space="preserve"> based on imagination, self-reflexive questioning and, in </w:t>
      </w:r>
      <w:r w:rsidR="00455EA3" w:rsidRPr="0027666F">
        <w:rPr>
          <w:rFonts w:ascii="Garamond" w:hAnsi="Garamond"/>
        </w:rPr>
        <w:t>jettisoning</w:t>
      </w:r>
      <w:r w:rsidRPr="0027666F">
        <w:rPr>
          <w:rFonts w:ascii="Garamond" w:hAnsi="Garamond"/>
        </w:rPr>
        <w:t xml:space="preserve"> the search for </w:t>
      </w:r>
      <w:r w:rsidRPr="0027666F">
        <w:rPr>
          <w:rFonts w:ascii="Garamond" w:hAnsi="Garamond"/>
          <w:i/>
        </w:rPr>
        <w:t xml:space="preserve">the </w:t>
      </w:r>
      <w:r w:rsidRPr="0027666F">
        <w:rPr>
          <w:rFonts w:ascii="Garamond" w:hAnsi="Garamond"/>
        </w:rPr>
        <w:t>truth</w:t>
      </w:r>
      <w:r w:rsidR="00B46BE9" w:rsidRPr="0027666F">
        <w:rPr>
          <w:rFonts w:ascii="Garamond" w:hAnsi="Garamond"/>
        </w:rPr>
        <w:t xml:space="preserve"> and blame</w:t>
      </w:r>
      <w:r w:rsidRPr="0027666F">
        <w:rPr>
          <w:rFonts w:ascii="Garamond" w:hAnsi="Garamond"/>
        </w:rPr>
        <w:t xml:space="preserve">, the constitution of a more inclusive form of community. </w:t>
      </w:r>
    </w:p>
    <w:p w14:paraId="57A101F7" w14:textId="157E9216" w:rsidR="005E2565" w:rsidRPr="0027666F" w:rsidRDefault="00233228" w:rsidP="00D56A43">
      <w:pPr>
        <w:pStyle w:val="Heading1"/>
        <w:rPr>
          <w:rFonts w:ascii="Garamond" w:hAnsi="Garamond"/>
        </w:rPr>
      </w:pPr>
      <w:r w:rsidRPr="0027666F">
        <w:rPr>
          <w:rFonts w:ascii="Garamond" w:hAnsi="Garamond"/>
        </w:rPr>
        <w:t>Conclusion</w:t>
      </w:r>
      <w:r w:rsidR="005E2565" w:rsidRPr="0027666F">
        <w:rPr>
          <w:rFonts w:ascii="Garamond" w:hAnsi="Garamond"/>
        </w:rPr>
        <w:t xml:space="preserve"> </w:t>
      </w:r>
    </w:p>
    <w:p w14:paraId="33B725A5" w14:textId="5C94F39E" w:rsidR="00D56A43" w:rsidRPr="0027666F" w:rsidRDefault="00D56A43" w:rsidP="00233228">
      <w:pPr>
        <w:rPr>
          <w:rFonts w:ascii="Garamond" w:hAnsi="Garamond"/>
        </w:rPr>
      </w:pPr>
    </w:p>
    <w:p w14:paraId="7CD16F2D" w14:textId="1D336D73" w:rsidR="00333C7F" w:rsidRPr="0027666F" w:rsidRDefault="00D56A43" w:rsidP="00233228">
      <w:pPr>
        <w:rPr>
          <w:rFonts w:ascii="Garamond" w:hAnsi="Garamond"/>
        </w:rPr>
      </w:pPr>
      <w:r w:rsidRPr="0027666F">
        <w:rPr>
          <w:rFonts w:ascii="Garamond" w:hAnsi="Garamond"/>
        </w:rPr>
        <w:t>This chapter has interrogated the relationship between the archive and justice</w:t>
      </w:r>
      <w:r w:rsidR="0067648A" w:rsidRPr="0027666F">
        <w:rPr>
          <w:rFonts w:ascii="Garamond" w:hAnsi="Garamond"/>
        </w:rPr>
        <w:t xml:space="preserve"> in transitional justice settings.</w:t>
      </w:r>
      <w:r w:rsidRPr="0027666F">
        <w:rPr>
          <w:rFonts w:ascii="Garamond" w:hAnsi="Garamond"/>
        </w:rPr>
        <w:t xml:space="preserve"> </w:t>
      </w:r>
      <w:r w:rsidR="00216F52" w:rsidRPr="0027666F">
        <w:rPr>
          <w:rFonts w:ascii="Garamond" w:hAnsi="Garamond"/>
        </w:rPr>
        <w:t>This has show</w:t>
      </w:r>
      <w:r w:rsidR="0067648A" w:rsidRPr="0027666F">
        <w:rPr>
          <w:rFonts w:ascii="Garamond" w:hAnsi="Garamond"/>
        </w:rPr>
        <w:t xml:space="preserve">n </w:t>
      </w:r>
      <w:r w:rsidR="00216F52" w:rsidRPr="0027666F">
        <w:rPr>
          <w:rFonts w:ascii="Garamond" w:hAnsi="Garamond"/>
        </w:rPr>
        <w:t xml:space="preserve">that the is archive not distinct </w:t>
      </w:r>
      <w:r w:rsidR="0067648A" w:rsidRPr="0027666F">
        <w:rPr>
          <w:rFonts w:ascii="Garamond" w:hAnsi="Garamond"/>
        </w:rPr>
        <w:t>to</w:t>
      </w:r>
      <w:r w:rsidR="00216F52" w:rsidRPr="0027666F">
        <w:rPr>
          <w:rFonts w:ascii="Garamond" w:hAnsi="Garamond"/>
        </w:rPr>
        <w:t xml:space="preserve"> </w:t>
      </w:r>
      <w:r w:rsidR="0067648A" w:rsidRPr="0027666F">
        <w:rPr>
          <w:rFonts w:ascii="Garamond" w:hAnsi="Garamond"/>
        </w:rPr>
        <w:t>the practice of transitional justice</w:t>
      </w:r>
      <w:r w:rsidR="00216F52" w:rsidRPr="0027666F">
        <w:rPr>
          <w:rFonts w:ascii="Garamond" w:hAnsi="Garamond"/>
        </w:rPr>
        <w:t>, or removed from the formation of a post-conflict/ authoritarian community</w:t>
      </w:r>
      <w:r w:rsidR="00B46BE9" w:rsidRPr="0027666F">
        <w:rPr>
          <w:rFonts w:ascii="Garamond" w:hAnsi="Garamond"/>
        </w:rPr>
        <w:t>. N</w:t>
      </w:r>
      <w:r w:rsidR="00216F52" w:rsidRPr="0027666F">
        <w:rPr>
          <w:rFonts w:ascii="Garamond" w:hAnsi="Garamond"/>
        </w:rPr>
        <w:t xml:space="preserve">or is it simply a stepping stone towards </w:t>
      </w:r>
      <w:r w:rsidR="0067648A" w:rsidRPr="0027666F">
        <w:rPr>
          <w:rFonts w:ascii="Garamond" w:hAnsi="Garamond"/>
        </w:rPr>
        <w:t xml:space="preserve">a future state of </w:t>
      </w:r>
      <w:r w:rsidR="00216F52" w:rsidRPr="0027666F">
        <w:rPr>
          <w:rFonts w:ascii="Garamond" w:hAnsi="Garamond"/>
        </w:rPr>
        <w:t xml:space="preserve">justice. Rather, it is something that is at the </w:t>
      </w:r>
      <w:r w:rsidR="00216F52" w:rsidRPr="0027666F">
        <w:rPr>
          <w:rFonts w:ascii="Garamond" w:hAnsi="Garamond"/>
          <w:i/>
        </w:rPr>
        <w:t xml:space="preserve">very heart </w:t>
      </w:r>
      <w:r w:rsidR="00216F52" w:rsidRPr="0027666F">
        <w:rPr>
          <w:rFonts w:ascii="Garamond" w:hAnsi="Garamond"/>
        </w:rPr>
        <w:t xml:space="preserve">of the pursuit of justice and the formation and governance of community. This latter point raises questions for the assumed affinity between the archive and </w:t>
      </w:r>
      <w:r w:rsidR="00B46BE9" w:rsidRPr="0027666F">
        <w:rPr>
          <w:rFonts w:ascii="Garamond" w:hAnsi="Garamond"/>
        </w:rPr>
        <w:t>transitional justice</w:t>
      </w:r>
      <w:r w:rsidR="00216F52" w:rsidRPr="0027666F">
        <w:rPr>
          <w:rFonts w:ascii="Garamond" w:hAnsi="Garamond"/>
        </w:rPr>
        <w:t xml:space="preserve">. </w:t>
      </w:r>
      <w:r w:rsidRPr="0027666F">
        <w:rPr>
          <w:rFonts w:ascii="Garamond" w:hAnsi="Garamond"/>
        </w:rPr>
        <w:t>I</w:t>
      </w:r>
      <w:r w:rsidR="00216F52" w:rsidRPr="0027666F">
        <w:rPr>
          <w:rFonts w:ascii="Garamond" w:hAnsi="Garamond"/>
        </w:rPr>
        <w:t>n</w:t>
      </w:r>
      <w:r w:rsidRPr="0027666F">
        <w:rPr>
          <w:rFonts w:ascii="Garamond" w:hAnsi="Garamond"/>
        </w:rPr>
        <w:t xml:space="preserve"> this respect,</w:t>
      </w:r>
      <w:r w:rsidR="00216F52" w:rsidRPr="0027666F">
        <w:rPr>
          <w:rFonts w:ascii="Garamond" w:hAnsi="Garamond"/>
        </w:rPr>
        <w:t xml:space="preserve"> in exploring the archive as a site of governance, </w:t>
      </w:r>
      <w:r w:rsidR="0067648A" w:rsidRPr="0027666F">
        <w:rPr>
          <w:rFonts w:ascii="Garamond" w:hAnsi="Garamond"/>
        </w:rPr>
        <w:t xml:space="preserve">the chapter </w:t>
      </w:r>
      <w:r w:rsidR="00216F52" w:rsidRPr="0027666F">
        <w:rPr>
          <w:rFonts w:ascii="Garamond" w:hAnsi="Garamond"/>
        </w:rPr>
        <w:t xml:space="preserve">revealed </w:t>
      </w:r>
      <w:r w:rsidRPr="0027666F">
        <w:rPr>
          <w:rFonts w:ascii="Garamond" w:hAnsi="Garamond"/>
        </w:rPr>
        <w:t xml:space="preserve">the </w:t>
      </w:r>
      <w:r w:rsidR="00B46BE9" w:rsidRPr="0027666F">
        <w:rPr>
          <w:rFonts w:ascii="Garamond" w:hAnsi="Garamond"/>
        </w:rPr>
        <w:t xml:space="preserve">darker side of the </w:t>
      </w:r>
      <w:r w:rsidR="00216F52" w:rsidRPr="0027666F">
        <w:rPr>
          <w:rFonts w:ascii="Garamond" w:hAnsi="Garamond"/>
        </w:rPr>
        <w:t xml:space="preserve">archival </w:t>
      </w:r>
      <w:r w:rsidR="00B46BE9" w:rsidRPr="0027666F">
        <w:rPr>
          <w:rFonts w:ascii="Garamond" w:hAnsi="Garamond"/>
        </w:rPr>
        <w:t>drive, with its drive</w:t>
      </w:r>
      <w:r w:rsidR="00216F52" w:rsidRPr="0027666F">
        <w:rPr>
          <w:rFonts w:ascii="Garamond" w:hAnsi="Garamond"/>
        </w:rPr>
        <w:t xml:space="preserve"> </w:t>
      </w:r>
      <w:r w:rsidRPr="0027666F">
        <w:rPr>
          <w:rFonts w:ascii="Garamond" w:hAnsi="Garamond"/>
        </w:rPr>
        <w:t xml:space="preserve">to </w:t>
      </w:r>
      <w:r w:rsidR="00216F52" w:rsidRPr="0027666F">
        <w:rPr>
          <w:rFonts w:ascii="Garamond" w:hAnsi="Garamond"/>
        </w:rPr>
        <w:t>categorise</w:t>
      </w:r>
      <w:r w:rsidRPr="0027666F">
        <w:rPr>
          <w:rFonts w:ascii="Garamond" w:hAnsi="Garamond"/>
        </w:rPr>
        <w:t>, order, fix and exclude</w:t>
      </w:r>
      <w:r w:rsidR="00216F52" w:rsidRPr="0027666F">
        <w:rPr>
          <w:rFonts w:ascii="Garamond" w:hAnsi="Garamond"/>
        </w:rPr>
        <w:t xml:space="preserve">. </w:t>
      </w:r>
    </w:p>
    <w:p w14:paraId="50D974E7" w14:textId="77777777" w:rsidR="00333C7F" w:rsidRPr="0027666F" w:rsidRDefault="00333C7F" w:rsidP="00233228">
      <w:pPr>
        <w:rPr>
          <w:rFonts w:ascii="Garamond" w:hAnsi="Garamond"/>
        </w:rPr>
      </w:pPr>
    </w:p>
    <w:p w14:paraId="5952D2BB" w14:textId="2066EA10" w:rsidR="00D56A43" w:rsidRPr="0027666F" w:rsidRDefault="0067648A" w:rsidP="00233228">
      <w:pPr>
        <w:rPr>
          <w:rFonts w:ascii="Garamond" w:hAnsi="Garamond"/>
        </w:rPr>
      </w:pPr>
      <w:r w:rsidRPr="0027666F">
        <w:rPr>
          <w:rFonts w:ascii="Garamond" w:hAnsi="Garamond"/>
        </w:rPr>
        <w:t>Turning</w:t>
      </w:r>
      <w:r w:rsidR="00D56A43" w:rsidRPr="0027666F">
        <w:rPr>
          <w:rFonts w:ascii="Garamond" w:hAnsi="Garamond"/>
        </w:rPr>
        <w:t xml:space="preserve"> to the archive highlights the need to consider what type of community is desired in as a result of transition. Still, and despite decades of </w:t>
      </w:r>
      <w:r w:rsidRPr="0027666F">
        <w:rPr>
          <w:rFonts w:ascii="Garamond" w:hAnsi="Garamond"/>
        </w:rPr>
        <w:t>astute</w:t>
      </w:r>
      <w:r w:rsidR="00D56A43" w:rsidRPr="0027666F">
        <w:rPr>
          <w:rFonts w:ascii="Garamond" w:hAnsi="Garamond"/>
        </w:rPr>
        <w:t xml:space="preserve"> critique, when confront</w:t>
      </w:r>
      <w:r w:rsidRPr="0027666F">
        <w:rPr>
          <w:rFonts w:ascii="Garamond" w:hAnsi="Garamond"/>
        </w:rPr>
        <w:t>ing</w:t>
      </w:r>
      <w:r w:rsidR="00D56A43" w:rsidRPr="0027666F">
        <w:rPr>
          <w:rFonts w:ascii="Garamond" w:hAnsi="Garamond"/>
        </w:rPr>
        <w:t xml:space="preserve"> violent legacies, practitioners continue to turn to the established tool kit of transitional justice without,  I would contend, due consideration for how these produce a particular, and essentially limited, vision of community. </w:t>
      </w:r>
      <w:r w:rsidR="00333C7F" w:rsidRPr="0027666F">
        <w:rPr>
          <w:rFonts w:ascii="Garamond" w:hAnsi="Garamond"/>
        </w:rPr>
        <w:t>In draw</w:t>
      </w:r>
      <w:r w:rsidR="00216F52" w:rsidRPr="0027666F">
        <w:rPr>
          <w:rFonts w:ascii="Garamond" w:hAnsi="Garamond"/>
        </w:rPr>
        <w:t>ing</w:t>
      </w:r>
      <w:r w:rsidR="00333C7F" w:rsidRPr="0027666F">
        <w:rPr>
          <w:rFonts w:ascii="Garamond" w:hAnsi="Garamond"/>
        </w:rPr>
        <w:t xml:space="preserve"> attention to the interrelationship between law, knowledge and community, the archive offers a prism through </w:t>
      </w:r>
      <w:r w:rsidR="00B5232C">
        <w:rPr>
          <w:rFonts w:ascii="Garamond" w:hAnsi="Garamond"/>
        </w:rPr>
        <w:t xml:space="preserve">the relationship between transitional justice and community </w:t>
      </w:r>
      <w:r w:rsidR="00333C7F" w:rsidRPr="0027666F">
        <w:rPr>
          <w:rFonts w:ascii="Garamond" w:hAnsi="Garamond"/>
        </w:rPr>
        <w:t>can be better understood</w:t>
      </w:r>
      <w:r w:rsidR="00216F52" w:rsidRPr="0027666F">
        <w:rPr>
          <w:rFonts w:ascii="Garamond" w:hAnsi="Garamond"/>
        </w:rPr>
        <w:t>, and</w:t>
      </w:r>
      <w:r w:rsidRPr="0027666F">
        <w:rPr>
          <w:rFonts w:ascii="Garamond" w:hAnsi="Garamond"/>
        </w:rPr>
        <w:t xml:space="preserve">, </w:t>
      </w:r>
      <w:r w:rsidR="00216F52" w:rsidRPr="0027666F">
        <w:rPr>
          <w:rFonts w:ascii="Garamond" w:hAnsi="Garamond"/>
        </w:rPr>
        <w:t>contested.</w:t>
      </w:r>
    </w:p>
    <w:p w14:paraId="18A66963" w14:textId="4325C42B" w:rsidR="00333C7F" w:rsidRPr="0027666F" w:rsidRDefault="00333C7F" w:rsidP="00233228">
      <w:pPr>
        <w:rPr>
          <w:rFonts w:ascii="Garamond" w:hAnsi="Garamond"/>
        </w:rPr>
      </w:pPr>
    </w:p>
    <w:p w14:paraId="2CCEAAB4" w14:textId="15880AE0" w:rsidR="00325E40" w:rsidRPr="00260796" w:rsidRDefault="00216F52" w:rsidP="00233228">
      <w:pPr>
        <w:rPr>
          <w:rFonts w:ascii="Garamond" w:hAnsi="Garamond"/>
        </w:rPr>
      </w:pPr>
      <w:r w:rsidRPr="0027666F">
        <w:rPr>
          <w:rFonts w:ascii="Garamond" w:hAnsi="Garamond"/>
        </w:rPr>
        <w:t>Indeed</w:t>
      </w:r>
      <w:r w:rsidR="00333C7F" w:rsidRPr="0027666F">
        <w:rPr>
          <w:rFonts w:ascii="Garamond" w:hAnsi="Garamond"/>
        </w:rPr>
        <w:t xml:space="preserve">, the archive need not, necessarily, function in this way – reproducing what might be considered a ‘hegemonic’ conception of transition and community. </w:t>
      </w:r>
      <w:r w:rsidR="00F76941" w:rsidRPr="0027666F">
        <w:rPr>
          <w:rFonts w:ascii="Garamond" w:hAnsi="Garamond"/>
        </w:rPr>
        <w:t>The final section of this chapter argued</w:t>
      </w:r>
      <w:r w:rsidR="00B46BE9" w:rsidRPr="0027666F">
        <w:rPr>
          <w:rFonts w:ascii="Garamond" w:hAnsi="Garamond"/>
        </w:rPr>
        <w:t xml:space="preserve"> that </w:t>
      </w:r>
      <w:r w:rsidR="00F76941" w:rsidRPr="0027666F">
        <w:rPr>
          <w:rFonts w:ascii="Garamond" w:hAnsi="Garamond"/>
        </w:rPr>
        <w:t xml:space="preserve">it is possible to produce a counter-archive which undercuts the archival drive. This dismisses the archive as a fixed and bounded </w:t>
      </w:r>
      <w:r w:rsidRPr="0027666F">
        <w:rPr>
          <w:rFonts w:ascii="Garamond" w:hAnsi="Garamond"/>
        </w:rPr>
        <w:t>site,</w:t>
      </w:r>
      <w:r w:rsidR="00F76941" w:rsidRPr="0027666F">
        <w:rPr>
          <w:rFonts w:ascii="Garamond" w:hAnsi="Garamond"/>
        </w:rPr>
        <w:t xml:space="preserve"> to allow for a pluralistic vision of history and community to emerge. It deliberately seeks to integrate records that disrupt its understanding of self, recognising, that difference is an essential part of both self and community</w:t>
      </w:r>
      <w:r w:rsidR="0091576F" w:rsidRPr="0027666F">
        <w:rPr>
          <w:rFonts w:ascii="Garamond" w:hAnsi="Garamond"/>
        </w:rPr>
        <w:t>(</w:t>
      </w:r>
      <w:r w:rsidR="0091576F">
        <w:rPr>
          <w:rFonts w:ascii="Garamond" w:hAnsi="Garamond"/>
        </w:rPr>
        <w:t xml:space="preserve"> Arendt </w:t>
      </w:r>
      <w:r w:rsidR="0091576F" w:rsidRPr="0027666F">
        <w:rPr>
          <w:rFonts w:ascii="Garamond" w:hAnsi="Garamond"/>
        </w:rPr>
        <w:t>1990, 80-4</w:t>
      </w:r>
      <w:r w:rsidR="0091576F" w:rsidRPr="0027666F">
        <w:rPr>
          <w:rFonts w:ascii="Garamond" w:hAnsi="Garamond"/>
        </w:rPr>
        <w:fldChar w:fldCharType="begin"/>
      </w:r>
      <w:r w:rsidR="0091576F" w:rsidRPr="0027666F">
        <w:rPr>
          <w:rFonts w:ascii="Garamond" w:hAnsi="Garamond"/>
        </w:rPr>
        <w:instrText xml:space="preserve"> ADDIN EN.CITE &lt;EndNote&gt;&lt;Cite&gt;&lt;Author&gt;Ardent&lt;/Author&gt;&lt;Year&gt;1990&lt;/Year&gt;&lt;RecNum&gt;59&lt;/RecNum&gt;&lt;record&gt;&lt;rec-number&gt;59&lt;/rec-number&gt;&lt;foreign-keys&gt;&lt;key app="EN" db-id="0rewstxe3sdfepeps9f5xrt55srrdw2s5r9x" timestamp="1535464707"&gt;59&lt;/key&gt;&lt;/foreign-keys&gt;&lt;ref-type name="Journal Article"&gt;17&lt;/ref-type&gt;&lt;contributors&gt;&lt;authors&gt;&lt;author&gt;Ardent, Hannah&lt;/author&gt;&lt;/authors&gt;&lt;/contributors&gt;&lt;titles&gt;&lt;title&gt;Philosophy and Politics&lt;/title&gt;&lt;secondary-title&gt;Social Research&lt;/secondary-title&gt;&lt;/titles&gt;&lt;periodical&gt;&lt;full-title&gt;Social Research&lt;/full-title&gt;&lt;/periodical&gt;&lt;pages&gt;73-103&lt;/pages&gt;&lt;volume&gt;57&lt;/volume&gt;&lt;number&gt;1&lt;/number&gt;&lt;section&gt;73&lt;/section&gt;&lt;keywords&gt;&lt;keyword&gt;Friendship&lt;/keyword&gt;&lt;keyword&gt;Politics&lt;/keyword&gt;&lt;keyword&gt;Theory&lt;/keyword&gt;&lt;keyword&gt;Critical&lt;/keyword&gt;&lt;/keywords&gt;&lt;dates&gt;&lt;year&gt;1990&lt;/year&gt;&lt;/dates&gt;&lt;urls&gt;&lt;/urls&gt;&lt;/record&gt;&lt;/Cite&gt;&lt;/EndNote&gt;</w:instrText>
      </w:r>
      <w:r w:rsidR="0091576F" w:rsidRPr="0027666F">
        <w:rPr>
          <w:rFonts w:ascii="Garamond" w:hAnsi="Garamond"/>
        </w:rPr>
        <w:fldChar w:fldCharType="end"/>
      </w:r>
      <w:r w:rsidR="0091576F" w:rsidRPr="0027666F">
        <w:rPr>
          <w:rFonts w:ascii="Garamond" w:hAnsi="Garamond"/>
        </w:rPr>
        <w:t>)</w:t>
      </w:r>
      <w:r w:rsidR="00F76941" w:rsidRPr="0027666F">
        <w:rPr>
          <w:rFonts w:ascii="Garamond" w:hAnsi="Garamond"/>
        </w:rPr>
        <w:t xml:space="preserve">. Within this vision, the archive (just like justice and community) is always in a state of becoming. </w:t>
      </w:r>
      <w:r w:rsidR="00325E40" w:rsidRPr="0027666F">
        <w:rPr>
          <w:rFonts w:ascii="Garamond" w:hAnsi="Garamond"/>
        </w:rPr>
        <w:t xml:space="preserve">The counter-archive is </w:t>
      </w:r>
      <w:r w:rsidR="0067648A" w:rsidRPr="0027666F">
        <w:rPr>
          <w:rFonts w:ascii="Garamond" w:hAnsi="Garamond"/>
        </w:rPr>
        <w:t>more than an idea</w:t>
      </w:r>
      <w:r w:rsidR="00325E40" w:rsidRPr="0027666F">
        <w:rPr>
          <w:rFonts w:ascii="Garamond" w:hAnsi="Garamond"/>
        </w:rPr>
        <w:t>, however</w:t>
      </w:r>
      <w:r w:rsidR="00F76941" w:rsidRPr="0027666F">
        <w:rPr>
          <w:rFonts w:ascii="Garamond" w:hAnsi="Garamond"/>
        </w:rPr>
        <w:t>.</w:t>
      </w:r>
      <w:r w:rsidR="00325E40" w:rsidRPr="0027666F">
        <w:rPr>
          <w:rFonts w:ascii="Garamond" w:hAnsi="Garamond"/>
        </w:rPr>
        <w:t xml:space="preserve"> As the </w:t>
      </w:r>
      <w:r w:rsidR="0067648A" w:rsidRPr="0027666F">
        <w:rPr>
          <w:rFonts w:ascii="Garamond" w:hAnsi="Garamond"/>
        </w:rPr>
        <w:t>discussion</w:t>
      </w:r>
      <w:r w:rsidR="00325E40" w:rsidRPr="0027666F">
        <w:rPr>
          <w:rFonts w:ascii="Garamond" w:hAnsi="Garamond"/>
        </w:rPr>
        <w:t xml:space="preserve"> of Miladinović’s work, and the work of</w:t>
      </w:r>
      <w:r w:rsidR="00F76941" w:rsidRPr="0027666F">
        <w:rPr>
          <w:rFonts w:ascii="Garamond" w:hAnsi="Garamond"/>
        </w:rPr>
        <w:t xml:space="preserve"> Harris and Caswell, amongst others, </w:t>
      </w:r>
      <w:r w:rsidR="00325E40" w:rsidRPr="0027666F">
        <w:rPr>
          <w:rFonts w:ascii="Garamond" w:hAnsi="Garamond"/>
        </w:rPr>
        <w:t>shows, counter-archive</w:t>
      </w:r>
      <w:r w:rsidR="00B46BE9" w:rsidRPr="0027666F">
        <w:rPr>
          <w:rFonts w:ascii="Garamond" w:hAnsi="Garamond"/>
        </w:rPr>
        <w:t>s</w:t>
      </w:r>
      <w:r w:rsidR="00325E40" w:rsidRPr="0027666F">
        <w:rPr>
          <w:rFonts w:ascii="Garamond" w:hAnsi="Garamond"/>
        </w:rPr>
        <w:t xml:space="preserve"> </w:t>
      </w:r>
      <w:r w:rsidR="00F76941" w:rsidRPr="0027666F">
        <w:rPr>
          <w:rFonts w:ascii="Garamond" w:hAnsi="Garamond"/>
        </w:rPr>
        <w:t xml:space="preserve">can be produced </w:t>
      </w:r>
      <w:r w:rsidR="00325E40" w:rsidRPr="0027666F">
        <w:rPr>
          <w:rFonts w:ascii="Garamond" w:hAnsi="Garamond"/>
        </w:rPr>
        <w:t xml:space="preserve">that support a more radical reimagining of community in the </w:t>
      </w:r>
      <w:r w:rsidR="00F76941" w:rsidRPr="0027666F">
        <w:rPr>
          <w:rFonts w:ascii="Garamond" w:hAnsi="Garamond"/>
        </w:rPr>
        <w:t xml:space="preserve">search for durable peace. </w:t>
      </w:r>
      <w:r w:rsidR="0067648A" w:rsidRPr="0027666F">
        <w:rPr>
          <w:rFonts w:ascii="Garamond" w:hAnsi="Garamond"/>
        </w:rPr>
        <w:t>The task for scholars and practitioners alike</w:t>
      </w:r>
      <w:r w:rsidR="0091576F">
        <w:rPr>
          <w:rFonts w:ascii="Garamond" w:hAnsi="Garamond"/>
        </w:rPr>
        <w:t xml:space="preserve"> </w:t>
      </w:r>
      <w:r w:rsidR="0067648A" w:rsidRPr="0027666F">
        <w:rPr>
          <w:rFonts w:ascii="Garamond" w:hAnsi="Garamond"/>
        </w:rPr>
        <w:t>is to fight for the inclusion of these ‘counter-archive’ within transitional justice practice, and indeed as a means to challenge what is imagined as transitional justice.</w:t>
      </w:r>
      <w:r w:rsidR="0067648A" w:rsidRPr="00260796">
        <w:rPr>
          <w:rFonts w:ascii="Garamond" w:hAnsi="Garamond"/>
        </w:rPr>
        <w:t xml:space="preserve"> </w:t>
      </w:r>
    </w:p>
    <w:p w14:paraId="31C98D52" w14:textId="77777777" w:rsidR="00BC23B6" w:rsidRPr="00260796" w:rsidRDefault="00BC23B6" w:rsidP="008A0C7B">
      <w:pPr>
        <w:rPr>
          <w:rFonts w:ascii="Garamond" w:hAnsi="Garamond"/>
        </w:rPr>
      </w:pPr>
    </w:p>
    <w:p w14:paraId="48A1D8BB" w14:textId="2D6094AF" w:rsidR="00B46BE9" w:rsidRDefault="00B46BE9" w:rsidP="00B46BE9"/>
    <w:p w14:paraId="3F7C969E" w14:textId="1B550180" w:rsidR="008A0C7B" w:rsidRPr="00260796" w:rsidRDefault="008A0C7B" w:rsidP="008A0C7B">
      <w:pPr>
        <w:rPr>
          <w:rFonts w:ascii="Garamond" w:hAnsi="Garamond"/>
        </w:rPr>
      </w:pPr>
    </w:p>
    <w:sectPr w:rsidR="008A0C7B" w:rsidRPr="00260796" w:rsidSect="00724EE7">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DD4BA" w14:textId="77777777" w:rsidR="00316679" w:rsidRDefault="00316679" w:rsidP="009B50A2">
      <w:r>
        <w:separator/>
      </w:r>
    </w:p>
  </w:endnote>
  <w:endnote w:type="continuationSeparator" w:id="0">
    <w:p w14:paraId="2B52FCB6" w14:textId="77777777" w:rsidR="00316679" w:rsidRDefault="00316679" w:rsidP="009B50A2">
      <w:r>
        <w:continuationSeparator/>
      </w:r>
    </w:p>
  </w:endnote>
  <w:endnote w:id="1">
    <w:p w14:paraId="283CB3F1" w14:textId="517229C1" w:rsidR="004B4A6B" w:rsidRPr="00260796" w:rsidRDefault="004B4A6B">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See ‘Documenting Truth’, </w:t>
      </w:r>
      <w:hyperlink r:id="rId1" w:history="1">
        <w:r w:rsidRPr="00260796">
          <w:rPr>
            <w:rStyle w:val="Hyperlink"/>
            <w:rFonts w:ascii="Garamond" w:hAnsi="Garamond"/>
          </w:rPr>
          <w:t>https://www.ictj.org/gallery-items/documentation</w:t>
        </w:r>
      </w:hyperlink>
      <w:r w:rsidRPr="00260796">
        <w:rPr>
          <w:rFonts w:ascii="Garamond" w:hAnsi="Garamond"/>
        </w:rPr>
        <w:t xml:space="preserve">; ‘Dealing with the past’ </w:t>
      </w:r>
      <w:hyperlink r:id="rId2" w:history="1">
        <w:r w:rsidRPr="00260796">
          <w:rPr>
            <w:rStyle w:val="Hyperlink"/>
            <w:rFonts w:ascii="Garamond" w:hAnsi="Garamond"/>
          </w:rPr>
          <w:t>http://archivesproject.swisspeace.ch/</w:t>
        </w:r>
      </w:hyperlink>
      <w:r w:rsidRPr="00260796">
        <w:rPr>
          <w:rFonts w:ascii="Garamond" w:hAnsi="Garamond"/>
        </w:rPr>
        <w:t xml:space="preserve">; ‘Right to Truth’, </w:t>
      </w:r>
      <w:hyperlink r:id="rId3" w:history="1">
        <w:r w:rsidRPr="00260796">
          <w:rPr>
            <w:rStyle w:val="Hyperlink"/>
            <w:rFonts w:ascii="Garamond" w:hAnsi="Garamond"/>
          </w:rPr>
          <w:t>https://www.ohchr.org/en/issues/truth/pages/truthIndex.aspx</w:t>
        </w:r>
      </w:hyperlink>
      <w:r w:rsidRPr="00260796">
        <w:rPr>
          <w:rFonts w:ascii="Garamond" w:hAnsi="Garamond"/>
        </w:rPr>
        <w:t xml:space="preserve">. </w:t>
      </w:r>
    </w:p>
  </w:endnote>
  <w:endnote w:id="2">
    <w:p w14:paraId="52456539" w14:textId="29CB9F24" w:rsidR="004B4A6B" w:rsidRPr="00B46BE9" w:rsidRDefault="004B4A6B">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w:t>
      </w:r>
      <w:r w:rsidRPr="00B46BE9">
        <w:rPr>
          <w:rFonts w:ascii="Garamond" w:hAnsi="Garamond"/>
        </w:rPr>
        <w:t>The same can be said of Chile (Accatino and Collins 2016, 89</w:t>
      </w:r>
      <w:r w:rsidR="00667406">
        <w:rPr>
          <w:rFonts w:ascii="Garamond" w:hAnsi="Garamond"/>
        </w:rPr>
        <w:t>.</w:t>
      </w:r>
    </w:p>
  </w:endnote>
  <w:endnote w:id="3">
    <w:p w14:paraId="7A8D97E1" w14:textId="112D0B7A" w:rsidR="004B4A6B" w:rsidRPr="00260796" w:rsidRDefault="004B4A6B" w:rsidP="0076145C">
      <w:pPr>
        <w:pStyle w:val="EndnoteText"/>
        <w:rPr>
          <w:rFonts w:ascii="Garamond" w:hAnsi="Garamond" w:cs="Times New Roman"/>
        </w:rPr>
      </w:pPr>
      <w:r w:rsidRPr="00B46BE9">
        <w:rPr>
          <w:rStyle w:val="EndnoteReference"/>
          <w:rFonts w:ascii="Garamond" w:hAnsi="Garamond" w:cs="Times New Roman"/>
        </w:rPr>
        <w:endnoteRef/>
      </w:r>
      <w:r w:rsidRPr="00B46BE9">
        <w:rPr>
          <w:rFonts w:ascii="Garamond" w:hAnsi="Garamond" w:cs="Times New Roman"/>
        </w:rPr>
        <w:t xml:space="preserve"> </w:t>
      </w:r>
      <w:r w:rsidRPr="00B46BE9">
        <w:rPr>
          <w:rFonts w:ascii="Garamond" w:hAnsi="Garamond"/>
        </w:rPr>
        <w:t>The</w:t>
      </w:r>
      <w:r w:rsidRPr="00B46BE9">
        <w:rPr>
          <w:rFonts w:ascii="Garamond" w:hAnsi="Garamond" w:cs="Times New Roman"/>
        </w:rPr>
        <w:t xml:space="preserve"> notebook has been used in: </w:t>
      </w:r>
      <w:r w:rsidRPr="00B46BE9">
        <w:rPr>
          <w:rFonts w:ascii="Garamond" w:hAnsi="Garamond" w:cs="Times New Roman"/>
          <w:i/>
        </w:rPr>
        <w:t xml:space="preserve">Prosecutor </w:t>
      </w:r>
      <w:r w:rsidRPr="00B46BE9">
        <w:rPr>
          <w:rFonts w:ascii="Garamond" w:hAnsi="Garamond" w:cs="Times New Roman"/>
        </w:rPr>
        <w:t>vs.</w:t>
      </w:r>
      <w:r w:rsidRPr="00B46BE9">
        <w:rPr>
          <w:rFonts w:ascii="Garamond" w:hAnsi="Garamond" w:cs="Times New Roman"/>
          <w:i/>
        </w:rPr>
        <w:t xml:space="preserve"> Karadžić</w:t>
      </w:r>
      <w:r w:rsidRPr="00B46BE9">
        <w:rPr>
          <w:rFonts w:ascii="Garamond" w:hAnsi="Garamond" w:cs="Times New Roman"/>
        </w:rPr>
        <w:t xml:space="preserve">  (IT-95-5/18); </w:t>
      </w:r>
      <w:r w:rsidRPr="00B46BE9">
        <w:rPr>
          <w:rFonts w:ascii="Garamond" w:hAnsi="Garamond" w:cs="Times New Roman"/>
          <w:i/>
        </w:rPr>
        <w:t xml:space="preserve">Prosecutor </w:t>
      </w:r>
      <w:r w:rsidRPr="00B46BE9">
        <w:rPr>
          <w:rFonts w:ascii="Garamond" w:hAnsi="Garamond" w:cs="Times New Roman"/>
        </w:rPr>
        <w:t>vs</w:t>
      </w:r>
      <w:r w:rsidRPr="00B46BE9">
        <w:rPr>
          <w:rFonts w:ascii="Garamond" w:hAnsi="Garamond" w:cs="Times New Roman"/>
          <w:i/>
        </w:rPr>
        <w:t>. Ratko Mladić</w:t>
      </w:r>
      <w:r w:rsidRPr="00B46BE9">
        <w:rPr>
          <w:rFonts w:ascii="Garamond" w:hAnsi="Garamond" w:cs="Times New Roman"/>
        </w:rPr>
        <w:t xml:space="preserve"> (IT-09-92); </w:t>
      </w:r>
      <w:r w:rsidRPr="00B46BE9">
        <w:rPr>
          <w:rFonts w:ascii="Garamond" w:hAnsi="Garamond" w:cs="Times New Roman"/>
          <w:i/>
        </w:rPr>
        <w:t xml:space="preserve">Prosecutor </w:t>
      </w:r>
      <w:r w:rsidRPr="00B46BE9">
        <w:rPr>
          <w:rFonts w:ascii="Garamond" w:hAnsi="Garamond" w:cs="Times New Roman"/>
        </w:rPr>
        <w:t>vs</w:t>
      </w:r>
      <w:r w:rsidRPr="00B46BE9">
        <w:rPr>
          <w:rFonts w:ascii="Garamond" w:hAnsi="Garamond" w:cs="Times New Roman"/>
          <w:i/>
        </w:rPr>
        <w:t>. Jovica Stanišić and Franko Simatović</w:t>
      </w:r>
      <w:r w:rsidRPr="00B46BE9">
        <w:rPr>
          <w:rFonts w:ascii="Garamond" w:hAnsi="Garamond" w:cs="Times New Roman"/>
        </w:rPr>
        <w:t xml:space="preserve"> (</w:t>
      </w:r>
      <w:r w:rsidRPr="00B46BE9">
        <w:rPr>
          <w:rFonts w:ascii="Garamond" w:hAnsi="Garamond" w:cs="Times New Roman"/>
          <w:bCs/>
        </w:rPr>
        <w:t>IT-03-69-T</w:t>
      </w:r>
      <w:r w:rsidRPr="00B46BE9">
        <w:rPr>
          <w:rFonts w:ascii="Garamond" w:hAnsi="Garamond" w:cs="Times New Roman"/>
        </w:rPr>
        <w:t>); and</w:t>
      </w:r>
      <w:r w:rsidRPr="00B46BE9">
        <w:rPr>
          <w:rFonts w:ascii="Garamond" w:hAnsi="Garamond" w:cs="Times New Roman"/>
          <w:i/>
        </w:rPr>
        <w:t xml:space="preserve"> Prosecutor </w:t>
      </w:r>
      <w:r w:rsidRPr="00B46BE9">
        <w:rPr>
          <w:rFonts w:ascii="Garamond" w:hAnsi="Garamond" w:cs="Times New Roman"/>
        </w:rPr>
        <w:t>vs.</w:t>
      </w:r>
      <w:r w:rsidRPr="00B46BE9">
        <w:rPr>
          <w:rFonts w:ascii="Garamond" w:hAnsi="Garamond" w:cs="Times New Roman"/>
          <w:i/>
        </w:rPr>
        <w:t xml:space="preserve"> </w:t>
      </w:r>
      <w:r w:rsidRPr="00B46BE9">
        <w:rPr>
          <w:rFonts w:ascii="Garamond" w:hAnsi="Garamond" w:cs="Times New Roman"/>
          <w:bCs/>
          <w:i/>
        </w:rPr>
        <w:t>Vojislav Šešelj</w:t>
      </w:r>
      <w:r w:rsidRPr="00B46BE9">
        <w:rPr>
          <w:rFonts w:ascii="Garamond" w:hAnsi="Garamond" w:cs="Times New Roman"/>
          <w:i/>
        </w:rPr>
        <w:t xml:space="preserve"> </w:t>
      </w:r>
      <w:r w:rsidRPr="00B46BE9">
        <w:rPr>
          <w:rFonts w:ascii="Garamond" w:hAnsi="Garamond" w:cs="Times New Roman"/>
        </w:rPr>
        <w:t>(IT-03-67)</w:t>
      </w:r>
      <w:r w:rsidRPr="00B46BE9">
        <w:rPr>
          <w:rFonts w:ascii="Garamond" w:hAnsi="Garamond" w:cs="Times New Roman"/>
          <w:bCs/>
        </w:rPr>
        <w:t>.</w:t>
      </w:r>
      <w:r w:rsidRPr="00B46BE9">
        <w:rPr>
          <w:rFonts w:ascii="Garamond" w:hAnsi="Garamond" w:cs="Times New Roman"/>
        </w:rPr>
        <w:t xml:space="preserve">  It is also the archive’s ability to hold the state to account that produces</w:t>
      </w:r>
      <w:r w:rsidRPr="00260796">
        <w:rPr>
          <w:rFonts w:ascii="Garamond" w:hAnsi="Garamond" w:cs="Times New Roman"/>
        </w:rPr>
        <w:t xml:space="preserve"> a paradoxical relationship between state and archive</w:t>
      </w:r>
      <w:r w:rsidR="008B6EF4" w:rsidRPr="00260796">
        <w:rPr>
          <w:rFonts w:ascii="Garamond" w:hAnsi="Garamond" w:cs="Times New Roman"/>
        </w:rPr>
        <w:t>, where the state both needs, but also wants to destroy the archive</w:t>
      </w:r>
      <w:r w:rsidRPr="00260796">
        <w:rPr>
          <w:rFonts w:ascii="Garamond" w:hAnsi="Garamond" w:cs="Times New Roman"/>
        </w:rPr>
        <w:t xml:space="preserve"> (Mbembe 2002</w:t>
      </w:r>
      <w:r w:rsidR="008B6EF4" w:rsidRPr="00260796">
        <w:rPr>
          <w:rFonts w:ascii="Garamond" w:hAnsi="Garamond" w:cs="Times New Roman"/>
        </w:rPr>
        <w:t>)</w:t>
      </w:r>
      <w:r w:rsidRPr="00260796">
        <w:rPr>
          <w:rFonts w:ascii="Garamond" w:hAnsi="Garamond" w:cs="Times New Roman"/>
        </w:rPr>
        <w:t>.</w:t>
      </w:r>
    </w:p>
  </w:endnote>
  <w:endnote w:id="4">
    <w:p w14:paraId="596E3C18" w14:textId="37EB75DC" w:rsidR="004B4A6B" w:rsidRPr="00260796" w:rsidRDefault="004B4A6B">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This way of thinking about the archive is, perhaps, more distinctly a Western phenomenon (</w:t>
      </w:r>
      <w:r w:rsidRPr="00260796">
        <w:rPr>
          <w:rFonts w:ascii="Garamond" w:hAnsi="Garamond" w:cs="Times New Roman"/>
          <w:color w:val="000000" w:themeColor="text1"/>
        </w:rPr>
        <w:t>Ní Shúilleabháin  2017; Mignolo 2007)</w:t>
      </w:r>
    </w:p>
  </w:endnote>
  <w:endnote w:id="5">
    <w:p w14:paraId="600C4297" w14:textId="65A40B5E" w:rsidR="004B4A6B" w:rsidRPr="00260796" w:rsidRDefault="004B4A6B">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This evidence has </w:t>
      </w:r>
      <w:r w:rsidR="009F1D09">
        <w:rPr>
          <w:rFonts w:ascii="Garamond" w:hAnsi="Garamond"/>
        </w:rPr>
        <w:t xml:space="preserve">been used </w:t>
      </w:r>
      <w:r w:rsidRPr="00260796">
        <w:rPr>
          <w:rFonts w:ascii="Garamond" w:hAnsi="Garamond"/>
        </w:rPr>
        <w:t xml:space="preserve">in the (albeit unsuccessful) prosecution of Syrians for war crimes in Sweden and Germany (Aboueldahab 2018, 21-22). </w:t>
      </w:r>
    </w:p>
  </w:endnote>
  <w:endnote w:id="6">
    <w:p w14:paraId="571D9A0B" w14:textId="7CE932EA" w:rsidR="004B4A6B" w:rsidRPr="00260796" w:rsidRDefault="004B4A6B">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Roisin Read (2016, 105-7) has, similarly, shown how the production of the archive can be implicated in violence, showing the contradiction that exists with peacekeeping forces in Sudan’s dual mandate to protect civilians and collect evidence of human rights abuse.</w:t>
      </w:r>
    </w:p>
  </w:endnote>
  <w:endnote w:id="7">
    <w:p w14:paraId="629150B8" w14:textId="3E31239F" w:rsidR="004B4A6B" w:rsidRPr="00260796" w:rsidRDefault="004B4A6B">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Read (2016, 106) points to a similar exclusion of gender based violence in the formation </w:t>
      </w:r>
      <w:r w:rsidR="003A434D" w:rsidRPr="00260796">
        <w:rPr>
          <w:rFonts w:ascii="Garamond" w:hAnsi="Garamond"/>
        </w:rPr>
        <w:t>peacekeeping archives in Sudan.</w:t>
      </w:r>
    </w:p>
  </w:endnote>
  <w:endnote w:id="8">
    <w:p w14:paraId="3191B43B" w14:textId="6D34D311" w:rsidR="004B4A6B" w:rsidRDefault="004B4A6B" w:rsidP="00687751">
      <w:pPr>
        <w:pStyle w:val="EndnoteText"/>
        <w:rPr>
          <w:rFonts w:ascii="Garamond" w:hAnsi="Garamond"/>
        </w:rPr>
      </w:pPr>
      <w:r w:rsidRPr="00260796">
        <w:rPr>
          <w:rStyle w:val="EndnoteReference"/>
          <w:rFonts w:ascii="Garamond" w:hAnsi="Garamond"/>
        </w:rPr>
        <w:endnoteRef/>
      </w:r>
      <w:r w:rsidRPr="00260796">
        <w:rPr>
          <w:rFonts w:ascii="Garamond" w:hAnsi="Garamond"/>
        </w:rPr>
        <w:t xml:space="preserve"> The archive of Fabiola Lalinde can also be seen in this way. She </w:t>
      </w:r>
      <w:r w:rsidR="003A434D" w:rsidRPr="00260796">
        <w:rPr>
          <w:rFonts w:ascii="Garamond" w:hAnsi="Garamond"/>
        </w:rPr>
        <w:t>calls for</w:t>
      </w:r>
      <w:r w:rsidRPr="00260796">
        <w:rPr>
          <w:rFonts w:ascii="Garamond" w:hAnsi="Garamond"/>
        </w:rPr>
        <w:t xml:space="preserve">: </w:t>
      </w:r>
      <w:r w:rsidR="003A434D" w:rsidRPr="00260796">
        <w:rPr>
          <w:rFonts w:ascii="Garamond" w:hAnsi="Garamond"/>
        </w:rPr>
        <w:t>‘</w:t>
      </w:r>
      <w:r w:rsidRPr="00260796">
        <w:rPr>
          <w:rFonts w:ascii="Garamond" w:hAnsi="Garamond"/>
        </w:rPr>
        <w:t>Young people, doubt, think, make the archive speak, do not let it remain silent (…) The archive of a ‘cirirí’ has to continue to be uncomfortable in an unjust and violent country like ours, I leave it to you as an opportunity for communion, solidarity and creation, not as a dead object of the past. (Giraldo and Tobón 2020, 9)</w:t>
      </w:r>
    </w:p>
    <w:p w14:paraId="1E9216AF" w14:textId="657CF371" w:rsidR="00B46BE9" w:rsidRDefault="00B46BE9" w:rsidP="00687751">
      <w:pPr>
        <w:pStyle w:val="EndnoteText"/>
        <w:rPr>
          <w:rFonts w:ascii="Garamond" w:hAnsi="Garamond"/>
        </w:rPr>
      </w:pPr>
    </w:p>
    <w:p w14:paraId="059414EA" w14:textId="1CF306D6" w:rsidR="00B46BE9" w:rsidRDefault="00B46BE9" w:rsidP="00687751">
      <w:pPr>
        <w:pStyle w:val="EndnoteText"/>
        <w:rPr>
          <w:rFonts w:ascii="Garamond" w:hAnsi="Garamond"/>
        </w:rPr>
      </w:pPr>
    </w:p>
    <w:p w14:paraId="4460A8A3" w14:textId="77777777" w:rsidR="00B46BE9" w:rsidRPr="00B46BE9" w:rsidRDefault="00B46BE9" w:rsidP="00B46BE9">
      <w:pPr>
        <w:rPr>
          <w:rFonts w:ascii="Garamond" w:hAnsi="Garamond"/>
        </w:rPr>
      </w:pPr>
    </w:p>
    <w:p w14:paraId="4B326190" w14:textId="77777777" w:rsidR="00B46BE9" w:rsidRPr="00B46BE9" w:rsidRDefault="00B46BE9" w:rsidP="00B46BE9">
      <w:pPr>
        <w:pStyle w:val="EndNoteBibliography"/>
        <w:ind w:left="720" w:hanging="720"/>
        <w:rPr>
          <w:rFonts w:ascii="Garamond" w:hAnsi="Garamond"/>
          <w:noProof/>
        </w:rPr>
      </w:pPr>
      <w:r w:rsidRPr="00B46BE9">
        <w:rPr>
          <w:rFonts w:ascii="Garamond" w:hAnsi="Garamond"/>
        </w:rPr>
        <w:fldChar w:fldCharType="begin"/>
      </w:r>
      <w:r w:rsidRPr="00B46BE9">
        <w:rPr>
          <w:rFonts w:ascii="Garamond" w:hAnsi="Garamond"/>
        </w:rPr>
        <w:instrText xml:space="preserve"> ADDIN EN.REFLIST </w:instrText>
      </w:r>
      <w:r w:rsidRPr="00B46BE9">
        <w:rPr>
          <w:rFonts w:ascii="Garamond" w:hAnsi="Garamond"/>
        </w:rPr>
        <w:fldChar w:fldCharType="separate"/>
      </w:r>
      <w:r w:rsidRPr="00B46BE9">
        <w:rPr>
          <w:rFonts w:ascii="Garamond" w:hAnsi="Garamond"/>
          <w:noProof/>
        </w:rPr>
        <w:t>Aboueldahab, N. 2018. "Writing Atrocities: Syrian Civil Society and Transitional Justice." Doha: Brookings Doha Centre.</w:t>
      </w:r>
    </w:p>
    <w:p w14:paraId="66D59DD0"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Accatino, D., and C Collins. 2016. "Truth, Evidence, Truth: The Deployment of Testimony, Archives and Technical Data in Domestic Human Rights Trials." </w:t>
      </w:r>
      <w:r w:rsidRPr="00B46BE9">
        <w:rPr>
          <w:rFonts w:ascii="Garamond" w:hAnsi="Garamond"/>
          <w:i/>
          <w:noProof/>
        </w:rPr>
        <w:t xml:space="preserve">Journal of Human Rights Practice </w:t>
      </w:r>
      <w:r w:rsidRPr="00B46BE9">
        <w:rPr>
          <w:rFonts w:ascii="Garamond" w:hAnsi="Garamond"/>
          <w:noProof/>
        </w:rPr>
        <w:t>8(1): 81-100.</w:t>
      </w:r>
    </w:p>
    <w:p w14:paraId="2C141FDD"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Anderson, B. 2006. </w:t>
      </w:r>
      <w:r w:rsidRPr="00B46BE9">
        <w:rPr>
          <w:rFonts w:ascii="Garamond" w:hAnsi="Garamond"/>
          <w:i/>
          <w:noProof/>
        </w:rPr>
        <w:t>Imagined Communities: Reflections on the Origin and Spread of Nationalism.</w:t>
      </w:r>
      <w:r w:rsidRPr="00B46BE9">
        <w:rPr>
          <w:rFonts w:ascii="Garamond" w:hAnsi="Garamond"/>
          <w:noProof/>
        </w:rPr>
        <w:t xml:space="preserve"> London: Verso.</w:t>
      </w:r>
    </w:p>
    <w:p w14:paraId="1B1718F6"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Ardent, H. 1990. "Philosophy and Politics." </w:t>
      </w:r>
      <w:r w:rsidRPr="00B46BE9">
        <w:rPr>
          <w:rFonts w:ascii="Garamond" w:hAnsi="Garamond"/>
          <w:i/>
          <w:noProof/>
        </w:rPr>
        <w:t xml:space="preserve">Social Research </w:t>
      </w:r>
      <w:r w:rsidRPr="00B46BE9">
        <w:rPr>
          <w:rFonts w:ascii="Garamond" w:hAnsi="Garamond"/>
          <w:noProof/>
        </w:rPr>
        <w:t>57(1): 73-103.</w:t>
      </w:r>
    </w:p>
    <w:p w14:paraId="60254745"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Arondekar, A. 2005. "Without a Trace: Sexuality and the Colonial Archive." </w:t>
      </w:r>
      <w:r w:rsidRPr="00B46BE9">
        <w:rPr>
          <w:rFonts w:ascii="Garamond" w:hAnsi="Garamond"/>
          <w:i/>
          <w:noProof/>
        </w:rPr>
        <w:t xml:space="preserve">Journal of the History of Sexuality </w:t>
      </w:r>
      <w:r w:rsidRPr="00B46BE9">
        <w:rPr>
          <w:rFonts w:ascii="Garamond" w:hAnsi="Garamond"/>
          <w:noProof/>
        </w:rPr>
        <w:t>14(1/2): 10-27.</w:t>
      </w:r>
    </w:p>
    <w:p w14:paraId="112BFADC"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Bastian, J. 2007. "Reading Colonial Records through an Archival Lens: The Provenance of Place, Space and Creation’." </w:t>
      </w:r>
      <w:r w:rsidRPr="00B46BE9">
        <w:rPr>
          <w:rFonts w:ascii="Garamond" w:hAnsi="Garamond"/>
          <w:i/>
          <w:noProof/>
        </w:rPr>
        <w:t xml:space="preserve">Archival Science </w:t>
      </w:r>
      <w:r w:rsidRPr="00B46BE9">
        <w:rPr>
          <w:rFonts w:ascii="Garamond" w:hAnsi="Garamond"/>
          <w:noProof/>
        </w:rPr>
        <w:t>6: 267–84.</w:t>
      </w:r>
    </w:p>
    <w:p w14:paraId="5F4386C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Baumgartner, E., Hamber, B., Jones, B., Kelly, G., and Oliveira, I. 2016 "Documentation, Human Rights and Transitional Justice." </w:t>
      </w:r>
      <w:r w:rsidRPr="00B46BE9">
        <w:rPr>
          <w:rFonts w:ascii="Garamond" w:hAnsi="Garamond"/>
          <w:i/>
          <w:noProof/>
        </w:rPr>
        <w:t xml:space="preserve">Journal of Human Rights Practice </w:t>
      </w:r>
      <w:r w:rsidRPr="00B46BE9">
        <w:rPr>
          <w:rFonts w:ascii="Garamond" w:hAnsi="Garamond"/>
          <w:noProof/>
        </w:rPr>
        <w:t>8(1): 1–5.</w:t>
      </w:r>
    </w:p>
    <w:p w14:paraId="3C95D390"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Brown, R., and Davis-Brown, B. 1998. "The Making of Memory: The Politics of the Archive, Libraries and Museums in the Construction of National Consciousness." </w:t>
      </w:r>
      <w:r w:rsidRPr="00B46BE9">
        <w:rPr>
          <w:rFonts w:ascii="Garamond" w:hAnsi="Garamond"/>
          <w:i/>
          <w:noProof/>
        </w:rPr>
        <w:t xml:space="preserve">History of Human Sciences </w:t>
      </w:r>
      <w:r w:rsidRPr="00B46BE9">
        <w:rPr>
          <w:rFonts w:ascii="Garamond" w:hAnsi="Garamond"/>
          <w:noProof/>
        </w:rPr>
        <w:t>11(4): 17-32.</w:t>
      </w:r>
    </w:p>
    <w:p w14:paraId="5AE2044B"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Bruce, G. 2009. "East Germany." In </w:t>
      </w:r>
      <w:r w:rsidRPr="00B46BE9">
        <w:rPr>
          <w:rFonts w:ascii="Garamond" w:hAnsi="Garamond"/>
          <w:i/>
          <w:noProof/>
        </w:rPr>
        <w:t>Transitional Justice in Eastern Europe and the Former Soviet Union: Reckoning with the Communist Past</w:t>
      </w:r>
      <w:r w:rsidRPr="00B46BE9">
        <w:rPr>
          <w:rFonts w:ascii="Garamond" w:hAnsi="Garamond"/>
          <w:noProof/>
        </w:rPr>
        <w:t>, ed. L. Stan. London: Routledge, 15-37.</w:t>
      </w:r>
    </w:p>
    <w:p w14:paraId="2BCB87F1"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Campbell, K. 2013. "The Laws of Memory: The ICTY, Archive, and Transitional Justice." </w:t>
      </w:r>
      <w:r w:rsidRPr="00B46BE9">
        <w:rPr>
          <w:rFonts w:ascii="Garamond" w:hAnsi="Garamond"/>
          <w:i/>
          <w:noProof/>
        </w:rPr>
        <w:t xml:space="preserve">Social and Legal Studies </w:t>
      </w:r>
      <w:r w:rsidRPr="00B46BE9">
        <w:rPr>
          <w:rFonts w:ascii="Garamond" w:hAnsi="Garamond"/>
          <w:noProof/>
        </w:rPr>
        <w:t>22(2): 247-49.</w:t>
      </w:r>
    </w:p>
    <w:p w14:paraId="3A2AE219"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Caswell, M. 2014. "Defining Human Rights Archives: Introduction to the Special Double Issue on Archives and Human Rights." </w:t>
      </w:r>
      <w:r w:rsidRPr="00B46BE9">
        <w:rPr>
          <w:rFonts w:ascii="Garamond" w:hAnsi="Garamond"/>
          <w:i/>
          <w:noProof/>
        </w:rPr>
        <w:t xml:space="preserve">Archival Science </w:t>
      </w:r>
      <w:r w:rsidRPr="00B46BE9">
        <w:rPr>
          <w:rFonts w:ascii="Garamond" w:hAnsi="Garamond"/>
          <w:noProof/>
        </w:rPr>
        <w:t>14: 207–13.</w:t>
      </w:r>
    </w:p>
    <w:p w14:paraId="1A309FBE"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 2010 "Khmer Rouge Archives: Accountability, Truth, and Memory in Cambodia." </w:t>
      </w:r>
      <w:r w:rsidRPr="00B46BE9">
        <w:rPr>
          <w:rFonts w:ascii="Garamond" w:hAnsi="Garamond"/>
          <w:i/>
          <w:noProof/>
        </w:rPr>
        <w:t xml:space="preserve">Archival Science </w:t>
      </w:r>
      <w:r w:rsidRPr="00B46BE9">
        <w:rPr>
          <w:rFonts w:ascii="Garamond" w:hAnsi="Garamond"/>
          <w:noProof/>
        </w:rPr>
        <w:t>10: 25-44.</w:t>
      </w:r>
    </w:p>
    <w:p w14:paraId="566CFA8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Derrida, J. 1995 "Archive Fever: A Freudian Impression." </w:t>
      </w:r>
      <w:r w:rsidRPr="00B46BE9">
        <w:rPr>
          <w:rFonts w:ascii="Garamond" w:hAnsi="Garamond"/>
          <w:i/>
          <w:noProof/>
        </w:rPr>
        <w:t xml:space="preserve">Diacritics </w:t>
      </w:r>
      <w:r w:rsidRPr="00B46BE9">
        <w:rPr>
          <w:rFonts w:ascii="Garamond" w:hAnsi="Garamond"/>
          <w:noProof/>
        </w:rPr>
        <w:t>25(2): 9-63.</w:t>
      </w:r>
    </w:p>
    <w:p w14:paraId="2DD3602A"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 1992 "Force of Law: The “Mystical Foundation of Authority." In </w:t>
      </w:r>
      <w:r w:rsidRPr="00B46BE9">
        <w:rPr>
          <w:rFonts w:ascii="Garamond" w:hAnsi="Garamond"/>
          <w:i/>
          <w:noProof/>
        </w:rPr>
        <w:t>Deconstruction and the Possibility of Justice</w:t>
      </w:r>
      <w:r w:rsidRPr="00B46BE9">
        <w:rPr>
          <w:rFonts w:ascii="Garamond" w:hAnsi="Garamond"/>
          <w:noProof/>
        </w:rPr>
        <w:t>, ed. M Cornell and D Carlson. London: Routledge, 3-68.</w:t>
      </w:r>
    </w:p>
    <w:p w14:paraId="211CE64E"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 2001 </w:t>
      </w:r>
      <w:r w:rsidRPr="00B46BE9">
        <w:rPr>
          <w:rFonts w:ascii="Garamond" w:hAnsi="Garamond"/>
          <w:i/>
          <w:noProof/>
        </w:rPr>
        <w:t>On Cosmopolitanism and Forgiveness.</w:t>
      </w:r>
      <w:r w:rsidRPr="00B46BE9">
        <w:rPr>
          <w:rFonts w:ascii="Garamond" w:hAnsi="Garamond"/>
          <w:noProof/>
        </w:rPr>
        <w:t xml:space="preserve"> London: Routledge.</w:t>
      </w:r>
    </w:p>
    <w:p w14:paraId="6CBBF6E8"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Des Forges, A. 1999. "Leave None to Tell the Story: Genocide in Rwanda." Human Rights Watch.</w:t>
      </w:r>
    </w:p>
    <w:p w14:paraId="01FC0172"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el-Malik, S. , and Kamola, I (eds). 2017. </w:t>
      </w:r>
      <w:r w:rsidRPr="00B46BE9">
        <w:rPr>
          <w:rFonts w:ascii="Garamond" w:hAnsi="Garamond"/>
          <w:i/>
          <w:noProof/>
        </w:rPr>
        <w:t>Politics of African Anticolonial Archive</w:t>
      </w:r>
      <w:r w:rsidRPr="00B46BE9">
        <w:rPr>
          <w:rFonts w:ascii="Garamond" w:hAnsi="Garamond"/>
          <w:noProof/>
        </w:rPr>
        <w:t>. London: Rowman &amp; Littlefield International.</w:t>
      </w:r>
    </w:p>
    <w:p w14:paraId="3BD019E7"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Eltringham, N. 2006. "‘Invaders Who Have Stolen the Country’: The Hamitic Hypothesis, Race and the Rwandan Genocide." </w:t>
      </w:r>
      <w:r w:rsidRPr="00B46BE9">
        <w:rPr>
          <w:rFonts w:ascii="Garamond" w:hAnsi="Garamond"/>
          <w:i/>
          <w:noProof/>
        </w:rPr>
        <w:t xml:space="preserve">Social Identities </w:t>
      </w:r>
      <w:r w:rsidRPr="00B46BE9">
        <w:rPr>
          <w:rFonts w:ascii="Garamond" w:hAnsi="Garamond"/>
          <w:noProof/>
        </w:rPr>
        <w:t>12(4): 425-46.</w:t>
      </w:r>
    </w:p>
    <w:p w14:paraId="4555896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Farge, A. 2013. </w:t>
      </w:r>
      <w:r w:rsidRPr="00B46BE9">
        <w:rPr>
          <w:rFonts w:ascii="Garamond" w:hAnsi="Garamond"/>
          <w:i/>
          <w:noProof/>
        </w:rPr>
        <w:t>The Allure of the Archive.</w:t>
      </w:r>
      <w:r w:rsidRPr="00B46BE9">
        <w:rPr>
          <w:rFonts w:ascii="Garamond" w:hAnsi="Garamond"/>
          <w:noProof/>
        </w:rPr>
        <w:t xml:space="preserve"> Translated by Thomas Scott-Railton. London: Yale University Press.</w:t>
      </w:r>
    </w:p>
    <w:p w14:paraId="7D8470E7"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Foucault, M. </w:t>
      </w:r>
      <w:r w:rsidRPr="00B46BE9">
        <w:rPr>
          <w:rFonts w:ascii="Garamond" w:hAnsi="Garamond"/>
          <w:i/>
          <w:noProof/>
        </w:rPr>
        <w:t>The Archaeology of Knowledge and the Discourse on Language.</w:t>
      </w:r>
      <w:r w:rsidRPr="00B46BE9">
        <w:rPr>
          <w:rFonts w:ascii="Garamond" w:hAnsi="Garamond"/>
          <w:noProof/>
        </w:rPr>
        <w:t xml:space="preserve"> Translated by Alan Sheridan. New York: Pantheon Books.</w:t>
      </w:r>
    </w:p>
    <w:p w14:paraId="5CEC5B3B"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UN Secretary Generaly. 2009. "Report of the Secretary–General on the Administrative and Budgetary Aspects of the Options for Possible Locations for the Archives of the International Tribunal for the Former Yugoslavia and the International Criminal Tribunal for Rwanda and the Seat of the Residual Mechanism(S) for the Tribunals." 2009. S/2009/258. 21/05/2009.</w:t>
      </w:r>
    </w:p>
    <w:p w14:paraId="7274D67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Giraldo, M and Tobón, D. 2020 "Personal Archives and Transitional Justice in Colombia: The Fonds of Fabiola Lalinde and Mario Agudelo." </w:t>
      </w:r>
      <w:r w:rsidRPr="00B46BE9">
        <w:rPr>
          <w:rFonts w:ascii="Garamond" w:hAnsi="Garamond"/>
          <w:i/>
          <w:noProof/>
        </w:rPr>
        <w:t xml:space="preserve">The International Journal of Human Rights </w:t>
      </w:r>
      <w:r w:rsidRPr="00B46BE9">
        <w:rPr>
          <w:rFonts w:ascii="Garamond" w:hAnsi="Garamond"/>
          <w:noProof/>
        </w:rPr>
        <w:t>Online First: 1-21.</w:t>
      </w:r>
    </w:p>
    <w:p w14:paraId="0753E8D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Harris, V. 2014. "Antonyms of Our Remembering." </w:t>
      </w:r>
      <w:r w:rsidRPr="00B46BE9">
        <w:rPr>
          <w:rFonts w:ascii="Garamond" w:hAnsi="Garamond"/>
          <w:i/>
          <w:noProof/>
        </w:rPr>
        <w:t xml:space="preserve">Archival science </w:t>
      </w:r>
      <w:r w:rsidRPr="00B46BE9">
        <w:rPr>
          <w:rFonts w:ascii="Garamond" w:hAnsi="Garamond"/>
          <w:noProof/>
        </w:rPr>
        <w:t>14(3-4): 215-29.</w:t>
      </w:r>
    </w:p>
    <w:p w14:paraId="3917A19F"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Jenkins, S. 2014. "Nietzsche's Use of Monumental History." </w:t>
      </w:r>
      <w:r w:rsidRPr="00B46BE9">
        <w:rPr>
          <w:rFonts w:ascii="Garamond" w:hAnsi="Garamond"/>
          <w:i/>
          <w:noProof/>
        </w:rPr>
        <w:t xml:space="preserve">Journal of Nietzsche Studies </w:t>
      </w:r>
      <w:r w:rsidRPr="00B46BE9">
        <w:rPr>
          <w:rFonts w:ascii="Garamond" w:hAnsi="Garamond"/>
          <w:noProof/>
        </w:rPr>
        <w:t>45(2): 169–81.</w:t>
      </w:r>
    </w:p>
    <w:p w14:paraId="5AA028BA"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Kaplan, E. 2000. "We Are What We Collect, We Collect What We Are: Archives and the Construction of Identit." </w:t>
      </w:r>
      <w:r w:rsidRPr="00B46BE9">
        <w:rPr>
          <w:rFonts w:ascii="Garamond" w:hAnsi="Garamond"/>
          <w:i/>
          <w:noProof/>
        </w:rPr>
        <w:t xml:space="preserve">The American Archivist </w:t>
      </w:r>
      <w:r w:rsidRPr="00B46BE9">
        <w:rPr>
          <w:rFonts w:ascii="Garamond" w:hAnsi="Garamond"/>
          <w:noProof/>
        </w:rPr>
        <w:t>63: 126-51.</w:t>
      </w:r>
    </w:p>
    <w:p w14:paraId="4D474ADA"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Knigge, J. 2011. "Documentary: Experience the Past." Germany: </w:t>
      </w:r>
      <w:hyperlink r:id="rId4" w:anchor="c11883" w:history="1">
        <w:r w:rsidRPr="00B46BE9">
          <w:rPr>
            <w:rStyle w:val="Hyperlink"/>
            <w:rFonts w:ascii="Garamond" w:hAnsi="Garamond"/>
            <w:noProof/>
          </w:rPr>
          <w:t>https://www.bstu.de/en/archives/about-the-archives/#c11883</w:t>
        </w:r>
      </w:hyperlink>
      <w:r w:rsidRPr="00B46BE9">
        <w:rPr>
          <w:rFonts w:ascii="Garamond" w:hAnsi="Garamond"/>
          <w:noProof/>
        </w:rPr>
        <w:t>. Last Accessed 25 September, 2020.</w:t>
      </w:r>
    </w:p>
    <w:p w14:paraId="430F5A85"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Kolia, Z. 2018. "Archiving Trauma and Amnesia: The Racialized Political Theologies of Reconciliation in South Africa." In </w:t>
      </w:r>
      <w:r w:rsidRPr="00B46BE9">
        <w:rPr>
          <w:rFonts w:ascii="Garamond" w:hAnsi="Garamond"/>
          <w:i/>
          <w:noProof/>
        </w:rPr>
        <w:t>Recentering Africa in International Relations Beyond Lack, Peripherality, and Failure</w:t>
      </w:r>
      <w:r w:rsidRPr="00B46BE9">
        <w:rPr>
          <w:rFonts w:ascii="Garamond" w:hAnsi="Garamond"/>
          <w:noProof/>
        </w:rPr>
        <w:t>, ed. M. de Heredia and Z. Wai. Basingstoke: Palgrave Macmillan, 145-65.</w:t>
      </w:r>
    </w:p>
    <w:p w14:paraId="3F108B8A"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Lira, E. 2017. "The Chilean Human Rights Archives and Moral Resistance to Dictatorship." </w:t>
      </w:r>
      <w:r w:rsidRPr="00B46BE9">
        <w:rPr>
          <w:rFonts w:ascii="Garamond" w:hAnsi="Garamond"/>
          <w:i/>
          <w:noProof/>
        </w:rPr>
        <w:t xml:space="preserve">International Journal of Transitional Justice </w:t>
      </w:r>
      <w:r w:rsidRPr="00B46BE9">
        <w:rPr>
          <w:rFonts w:ascii="Garamond" w:hAnsi="Garamond"/>
          <w:noProof/>
        </w:rPr>
        <w:t>11(2): 189-96.</w:t>
      </w:r>
    </w:p>
    <w:p w14:paraId="78C60432"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Mac Ginty, R. 2010 "Hybrid Peace: The Interaction between Top-Down and Bottom-up Peace.". </w:t>
      </w:r>
      <w:r w:rsidRPr="00B46BE9">
        <w:rPr>
          <w:rFonts w:ascii="Garamond" w:hAnsi="Garamond"/>
          <w:i/>
          <w:noProof/>
        </w:rPr>
        <w:t xml:space="preserve">Security Dialogue </w:t>
      </w:r>
      <w:r w:rsidRPr="00B46BE9">
        <w:rPr>
          <w:rFonts w:ascii="Garamond" w:hAnsi="Garamond"/>
          <w:noProof/>
        </w:rPr>
        <w:t>41(4): 391-412.</w:t>
      </w:r>
    </w:p>
    <w:p w14:paraId="5F9BF4EA"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MacKinnon, C. 2007. "The Ictr’s Legacy on Sexual Violence." </w:t>
      </w:r>
      <w:r w:rsidRPr="00B46BE9">
        <w:rPr>
          <w:rFonts w:ascii="Garamond" w:hAnsi="Garamond"/>
          <w:i/>
          <w:noProof/>
        </w:rPr>
        <w:t xml:space="preserve">New England Journal of International and Comparative Law </w:t>
      </w:r>
      <w:r w:rsidRPr="00B46BE9">
        <w:rPr>
          <w:rFonts w:ascii="Garamond" w:hAnsi="Garamond"/>
          <w:noProof/>
        </w:rPr>
        <w:t>14(1): 211-21.</w:t>
      </w:r>
    </w:p>
    <w:p w14:paraId="7D0F8D7F" w14:textId="5D9211EA" w:rsidR="00B46BE9" w:rsidRDefault="00B46BE9" w:rsidP="00B46BE9">
      <w:pPr>
        <w:pStyle w:val="EndNoteBibliography"/>
        <w:ind w:left="720" w:hanging="720"/>
        <w:rPr>
          <w:rFonts w:ascii="Garamond" w:hAnsi="Garamond"/>
          <w:noProof/>
        </w:rPr>
      </w:pPr>
      <w:r w:rsidRPr="00B46BE9">
        <w:rPr>
          <w:rFonts w:ascii="Garamond" w:hAnsi="Garamond"/>
          <w:noProof/>
        </w:rPr>
        <w:t xml:space="preserve">Mbembe, A. 2002. "The Power of the Archive and Its Limits." In </w:t>
      </w:r>
      <w:r w:rsidRPr="00B46BE9">
        <w:rPr>
          <w:rFonts w:ascii="Garamond" w:hAnsi="Garamond"/>
          <w:i/>
          <w:noProof/>
        </w:rPr>
        <w:t>Refiguring the Archive</w:t>
      </w:r>
      <w:r w:rsidRPr="00B46BE9">
        <w:rPr>
          <w:rFonts w:ascii="Garamond" w:hAnsi="Garamond"/>
          <w:noProof/>
        </w:rPr>
        <w:t>, eds. C. Hamilton, V. Harris and G. Reid. Berlin: Springer-Science+Business Media, B.V. , 19-29.</w:t>
      </w:r>
    </w:p>
    <w:p w14:paraId="47C62123" w14:textId="46D1940A" w:rsidR="003F578E" w:rsidRPr="003F578E" w:rsidRDefault="003F578E" w:rsidP="00B46BE9">
      <w:pPr>
        <w:pStyle w:val="EndNoteBibliography"/>
        <w:ind w:left="720" w:hanging="720"/>
        <w:rPr>
          <w:rFonts w:ascii="Garamond" w:hAnsi="Garamond"/>
          <w:noProof/>
        </w:rPr>
      </w:pPr>
      <w:r>
        <w:rPr>
          <w:rFonts w:ascii="Garamond" w:hAnsi="Garamond"/>
          <w:noProof/>
        </w:rPr>
        <w:t xml:space="preserve">MICT. 'The Archive'. </w:t>
      </w:r>
      <w:r>
        <w:rPr>
          <w:rFonts w:ascii="Garamond" w:hAnsi="Garamond"/>
          <w:i/>
          <w:noProof/>
        </w:rPr>
        <w:t>http://</w:t>
      </w:r>
      <w:r>
        <w:rPr>
          <w:rFonts w:ascii="Garamond" w:hAnsi="Garamond"/>
          <w:noProof/>
        </w:rPr>
        <w:t>mict.org/thearchive. Last access 19 October 2019.</w:t>
      </w:r>
    </w:p>
    <w:p w14:paraId="58B42ED5"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Mignolo, W. 2007. "Introduction." </w:t>
      </w:r>
      <w:r w:rsidRPr="00B46BE9">
        <w:rPr>
          <w:rFonts w:ascii="Garamond" w:hAnsi="Garamond"/>
          <w:i/>
          <w:noProof/>
        </w:rPr>
        <w:t xml:space="preserve">Cultural Studies </w:t>
      </w:r>
      <w:r w:rsidRPr="00B46BE9">
        <w:rPr>
          <w:rFonts w:ascii="Garamond" w:hAnsi="Garamond"/>
          <w:noProof/>
        </w:rPr>
        <w:t>21(2-3): 155-67.</w:t>
      </w:r>
    </w:p>
    <w:p w14:paraId="13757839"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Miladinović, V. 2020. "The Notebook." https://www.eugster-belgrade.com/vladimir-miladinovic-notebook/. Last accessed 25 September, 2020.</w:t>
      </w:r>
    </w:p>
    <w:p w14:paraId="1C91EA31"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2019. "Undiscernible ".https://artreconciliation.org/2019/11/03/vem/ Last access 25 September, 2020.</w:t>
      </w:r>
    </w:p>
    <w:p w14:paraId="24D21838"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Mitchell, W J T. 1994. </w:t>
      </w:r>
      <w:r w:rsidRPr="00B46BE9">
        <w:rPr>
          <w:rFonts w:ascii="Garamond" w:hAnsi="Garamond"/>
          <w:i/>
          <w:noProof/>
        </w:rPr>
        <w:t>Picture Theory: Essays on Verbal and Visual Representation.</w:t>
      </w:r>
      <w:r w:rsidRPr="00B46BE9">
        <w:rPr>
          <w:rFonts w:ascii="Garamond" w:hAnsi="Garamond"/>
          <w:noProof/>
        </w:rPr>
        <w:t xml:space="preserve"> Chicago: The University of Chicago Press.</w:t>
      </w:r>
    </w:p>
    <w:p w14:paraId="2AF7DB96"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Moon, C. 2006. "Narrating Political Reconciliation: Truth and Reconciliation in South Africa." </w:t>
      </w:r>
      <w:r w:rsidRPr="00B46BE9">
        <w:rPr>
          <w:rFonts w:ascii="Garamond" w:hAnsi="Garamond"/>
          <w:i/>
          <w:noProof/>
        </w:rPr>
        <w:t xml:space="preserve">Social Legal Studies </w:t>
      </w:r>
      <w:r w:rsidRPr="00B46BE9">
        <w:rPr>
          <w:rFonts w:ascii="Garamond" w:hAnsi="Garamond"/>
          <w:noProof/>
        </w:rPr>
        <w:t>15(2): 257-75.</w:t>
      </w:r>
    </w:p>
    <w:p w14:paraId="01AFC8A9"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Motha, S., and van Rijswijk, H. 2016. "Introduction: Developing a Counter-Archival Sense." In </w:t>
      </w:r>
      <w:r w:rsidRPr="00B46BE9">
        <w:rPr>
          <w:rFonts w:ascii="Garamond" w:hAnsi="Garamond"/>
          <w:i/>
          <w:noProof/>
        </w:rPr>
        <w:t xml:space="preserve">Law, Memory and Violence: Uncovering the Counter Archive </w:t>
      </w:r>
      <w:r w:rsidRPr="00B46BE9">
        <w:rPr>
          <w:rFonts w:ascii="Garamond" w:hAnsi="Garamond"/>
          <w:noProof/>
        </w:rPr>
        <w:t>eds S. Motha and H.  van Rijswijk, 1-16. London: Routledge.</w:t>
      </w:r>
    </w:p>
    <w:p w14:paraId="4FB1B397"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Naftali, P. "Crafting a “Right to Truth” in International Law: Converging Mobilizations, Diverging Agendas?". </w:t>
      </w:r>
      <w:r w:rsidRPr="00B46BE9">
        <w:rPr>
          <w:rFonts w:ascii="Garamond" w:hAnsi="Garamond"/>
          <w:i/>
          <w:noProof/>
        </w:rPr>
        <w:t xml:space="preserve">Champ Penal </w:t>
      </w:r>
      <w:r w:rsidRPr="00B46BE9">
        <w:rPr>
          <w:rFonts w:ascii="Garamond" w:hAnsi="Garamond"/>
          <w:noProof/>
        </w:rPr>
        <w:t>8 (2016).</w:t>
      </w:r>
    </w:p>
    <w:p w14:paraId="6F438A89"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Ní Shúilleabháin, M. 2017. "Inviting Marianne to Dance: Congolese Rumba Lingala as an Archive against Monument’." In </w:t>
      </w:r>
      <w:r w:rsidRPr="00B46BE9">
        <w:rPr>
          <w:rFonts w:ascii="Garamond" w:hAnsi="Garamond"/>
          <w:i/>
          <w:noProof/>
        </w:rPr>
        <w:t>Politics of African Colonial Archive</w:t>
      </w:r>
      <w:r w:rsidRPr="00B46BE9">
        <w:rPr>
          <w:rFonts w:ascii="Garamond" w:hAnsi="Garamond"/>
          <w:noProof/>
        </w:rPr>
        <w:t>, eds. S el-Malik and I Kamola. London: Rowman and Littlefield.</w:t>
      </w:r>
    </w:p>
    <w:p w14:paraId="0D26A315"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Nowrojee, B. 2005. ‘“Your Justice is too Slow”: Will the ICTR Fail Rwanda’s Rape Victims?’, United Nations Research Institute for Social Development (November).</w:t>
      </w:r>
    </w:p>
    <w:p w14:paraId="1E4B131B"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Osbourne, T. 1999. "The Ordinariness of the Archives ". </w:t>
      </w:r>
      <w:r w:rsidRPr="00B46BE9">
        <w:rPr>
          <w:rFonts w:ascii="Garamond" w:hAnsi="Garamond"/>
          <w:i/>
          <w:noProof/>
        </w:rPr>
        <w:t xml:space="preserve">History of Human Sciences </w:t>
      </w:r>
      <w:r w:rsidRPr="00B46BE9">
        <w:rPr>
          <w:rFonts w:ascii="Garamond" w:hAnsi="Garamond"/>
          <w:noProof/>
        </w:rPr>
        <w:t>12(2): 51-64.</w:t>
      </w:r>
    </w:p>
    <w:p w14:paraId="4128A84F"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Rancière, J. 2004. </w:t>
      </w:r>
      <w:r w:rsidRPr="00B46BE9">
        <w:rPr>
          <w:rFonts w:ascii="Garamond" w:hAnsi="Garamond"/>
          <w:i/>
          <w:noProof/>
        </w:rPr>
        <w:t>The Politics of Aesthetics.</w:t>
      </w:r>
      <w:r w:rsidRPr="00B46BE9">
        <w:rPr>
          <w:rFonts w:ascii="Garamond" w:hAnsi="Garamond"/>
          <w:noProof/>
        </w:rPr>
        <w:t xml:space="preserve"> New York: Gabriel Rockhill.</w:t>
      </w:r>
    </w:p>
    <w:p w14:paraId="4FCDACB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Read, R. 2016. "Tensions in Un Information Management: Security, Data and Human Rights Monitoring in Darfur, Sudan." </w:t>
      </w:r>
      <w:r w:rsidRPr="00B46BE9">
        <w:rPr>
          <w:rFonts w:ascii="Garamond" w:hAnsi="Garamond"/>
          <w:i/>
          <w:noProof/>
        </w:rPr>
        <w:t xml:space="preserve">Journal of Human Rights Practice </w:t>
      </w:r>
      <w:r w:rsidRPr="00B46BE9">
        <w:rPr>
          <w:rFonts w:ascii="Garamond" w:hAnsi="Garamond"/>
          <w:noProof/>
        </w:rPr>
        <w:t>8(1): 101-15.</w:t>
      </w:r>
    </w:p>
    <w:p w14:paraId="20672C3E"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Roca, C. "Long Read: How the Syrian War Changed How War Crimes Are Documented." </w:t>
      </w:r>
      <w:r w:rsidRPr="00B46BE9">
        <w:rPr>
          <w:rFonts w:ascii="Garamond" w:hAnsi="Garamond"/>
          <w:i/>
          <w:noProof/>
        </w:rPr>
        <w:t>The New Humanitarian</w:t>
      </w:r>
      <w:r w:rsidRPr="00B46BE9">
        <w:rPr>
          <w:rFonts w:ascii="Garamond" w:hAnsi="Garamond"/>
          <w:noProof/>
        </w:rPr>
        <w:t xml:space="preserve"> https://deeply.thenewhumanitarian.org/syria/articles/2017/06/01/long-read-how-the-syrian-war-changed-how-war-crimes-are-documented. Last accessed 25/09/2020.</w:t>
      </w:r>
    </w:p>
    <w:p w14:paraId="3118F880"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Spivak, G. 1985.  "The Rani of Sirmur: An Essay in Reading the Archives,." </w:t>
      </w:r>
      <w:r w:rsidRPr="00B46BE9">
        <w:rPr>
          <w:rFonts w:ascii="Garamond" w:hAnsi="Garamond"/>
          <w:i/>
          <w:noProof/>
        </w:rPr>
        <w:t xml:space="preserve">History and Theory </w:t>
      </w:r>
      <w:r w:rsidRPr="00B46BE9">
        <w:rPr>
          <w:rFonts w:ascii="Garamond" w:hAnsi="Garamond"/>
          <w:noProof/>
        </w:rPr>
        <w:t>24(3): 247-272.</w:t>
      </w:r>
    </w:p>
    <w:p w14:paraId="2602264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Steedman, C. 2011. "After the Archive." </w:t>
      </w:r>
      <w:r w:rsidRPr="00B46BE9">
        <w:rPr>
          <w:rFonts w:ascii="Garamond" w:hAnsi="Garamond"/>
          <w:i/>
          <w:noProof/>
        </w:rPr>
        <w:t xml:space="preserve">Comparative Critical Studies </w:t>
      </w:r>
      <w:r w:rsidRPr="00B46BE9">
        <w:rPr>
          <w:rFonts w:ascii="Garamond" w:hAnsi="Garamond"/>
          <w:noProof/>
        </w:rPr>
        <w:t>8(2-3): 321-40.</w:t>
      </w:r>
    </w:p>
    <w:p w14:paraId="3B829110"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 2001. "Something She Called a Fever: Michelet, Derrida, and Dust." </w:t>
      </w:r>
      <w:r w:rsidRPr="00B46BE9">
        <w:rPr>
          <w:rFonts w:ascii="Garamond" w:hAnsi="Garamond"/>
          <w:i/>
          <w:noProof/>
        </w:rPr>
        <w:t xml:space="preserve">The American History Review </w:t>
      </w:r>
      <w:r w:rsidRPr="00B46BE9">
        <w:rPr>
          <w:rFonts w:ascii="Garamond" w:hAnsi="Garamond"/>
          <w:noProof/>
        </w:rPr>
        <w:t>106(4): 1159-80.</w:t>
      </w:r>
    </w:p>
    <w:p w14:paraId="1B03D98C"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Stoler, A. 2010. </w:t>
      </w:r>
      <w:r w:rsidRPr="00B46BE9">
        <w:rPr>
          <w:rFonts w:ascii="Garamond" w:hAnsi="Garamond"/>
          <w:i/>
          <w:noProof/>
        </w:rPr>
        <w:t>Along the Archival Grain: Epistemic Anxiety and Colonial Common Sense.</w:t>
      </w:r>
      <w:r w:rsidRPr="00B46BE9">
        <w:rPr>
          <w:rFonts w:ascii="Garamond" w:hAnsi="Garamond"/>
          <w:noProof/>
        </w:rPr>
        <w:t xml:space="preserve"> Princeton: Princeton University Press.</w:t>
      </w:r>
    </w:p>
    <w:p w14:paraId="7DBD9551"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International Residual Mechanism for Criminal Tribunals, "Archives." mict.org/archives. Last accessed, 19 October, 2019. </w:t>
      </w:r>
    </w:p>
    <w:p w14:paraId="6D162CE0"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Trouillot, M. 1995 </w:t>
      </w:r>
      <w:r w:rsidRPr="00B46BE9">
        <w:rPr>
          <w:rFonts w:ascii="Garamond" w:hAnsi="Garamond"/>
          <w:i/>
          <w:noProof/>
        </w:rPr>
        <w:t>Power and the Production of History.</w:t>
      </w:r>
      <w:r w:rsidRPr="00B46BE9">
        <w:rPr>
          <w:rFonts w:ascii="Garamond" w:hAnsi="Garamond"/>
          <w:noProof/>
        </w:rPr>
        <w:t xml:space="preserve"> Boston: Beacon Press, 1995.</w:t>
      </w:r>
    </w:p>
    <w:p w14:paraId="06C46F4F"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UNCHR. "Right to Truth Day." https://www.un.org/en/observances/right-to-truth-day. Last accessed, 25 Septermber, 2019.</w:t>
      </w:r>
    </w:p>
    <w:p w14:paraId="38EEECC3"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UN General Assembly, </w:t>
      </w:r>
      <w:r w:rsidRPr="00B46BE9">
        <w:rPr>
          <w:rFonts w:ascii="Garamond" w:hAnsi="Garamond"/>
          <w:i/>
          <w:noProof/>
        </w:rPr>
        <w:t>Resolution 21/7: Right to Truth</w:t>
      </w:r>
      <w:r w:rsidRPr="00B46BE9">
        <w:rPr>
          <w:rFonts w:ascii="Garamond" w:hAnsi="Garamond"/>
          <w:noProof/>
        </w:rPr>
        <w:t>, (A/HRC/RES/21/7), 10 October, 2012.</w:t>
      </w:r>
    </w:p>
    <w:p w14:paraId="40FDBE1F"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UNHCR. "Promotion and Protection of Human Rights: Study on the Right to the Truth." E/CN.4/2006/91, 08/02/2006.</w:t>
      </w:r>
    </w:p>
    <w:p w14:paraId="61737776"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"Right to Truth."</w:t>
      </w:r>
      <w:r w:rsidRPr="00B46BE9">
        <w:rPr>
          <w:rFonts w:ascii="Garamond" w:hAnsi="Garamond"/>
        </w:rPr>
        <w:t xml:space="preserve"> </w:t>
      </w:r>
      <w:r w:rsidRPr="00B46BE9">
        <w:rPr>
          <w:rFonts w:ascii="Garamond" w:hAnsi="Garamond"/>
          <w:noProof/>
        </w:rPr>
        <w:t>A/HRC/12/19, 21 August, 2009.</w:t>
      </w:r>
    </w:p>
    <w:p w14:paraId="0D22F831"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Velody, I. 1998. "The Archive and the Human Sciences: Notes Towards a Theory of the Archive." </w:t>
      </w:r>
      <w:r w:rsidRPr="00B46BE9">
        <w:rPr>
          <w:rFonts w:ascii="Garamond" w:hAnsi="Garamond"/>
          <w:i/>
          <w:noProof/>
        </w:rPr>
        <w:t xml:space="preserve">History of the Human Sciences </w:t>
      </w:r>
      <w:r w:rsidRPr="00B46BE9">
        <w:rPr>
          <w:rFonts w:ascii="Garamond" w:hAnsi="Garamond"/>
          <w:noProof/>
        </w:rPr>
        <w:t>11(4): 1-16.</w:t>
      </w:r>
    </w:p>
    <w:p w14:paraId="11982035" w14:textId="77777777" w:rsidR="00B46BE9" w:rsidRPr="00B46BE9" w:rsidRDefault="00B46BE9" w:rsidP="00B46BE9">
      <w:pPr>
        <w:pStyle w:val="EndNoteBibliography"/>
        <w:ind w:left="720" w:hanging="720"/>
        <w:rPr>
          <w:rFonts w:ascii="Garamond" w:hAnsi="Garamond"/>
          <w:noProof/>
        </w:rPr>
      </w:pPr>
      <w:r w:rsidRPr="00B46BE9">
        <w:rPr>
          <w:rFonts w:ascii="Garamond" w:hAnsi="Garamond"/>
          <w:noProof/>
        </w:rPr>
        <w:t xml:space="preserve">Wallace, D </w:t>
      </w:r>
      <w:r w:rsidRPr="00B46BE9">
        <w:rPr>
          <w:rFonts w:ascii="Garamond" w:hAnsi="Garamond"/>
          <w:i/>
          <w:noProof/>
        </w:rPr>
        <w:t>et al</w:t>
      </w:r>
      <w:r w:rsidRPr="00B46BE9">
        <w:rPr>
          <w:rFonts w:ascii="Garamond" w:hAnsi="Garamond"/>
          <w:noProof/>
        </w:rPr>
        <w:t xml:space="preserve">. 2014. "Stories for Hope–Rwanda: A Psychological–Archival Collaboration to Promote Healing and Cultural Continuity through Intergenerational Dialogue." </w:t>
      </w:r>
      <w:r w:rsidRPr="00B46BE9">
        <w:rPr>
          <w:rFonts w:ascii="Garamond" w:hAnsi="Garamond"/>
          <w:i/>
          <w:noProof/>
        </w:rPr>
        <w:t xml:space="preserve">Archival Science </w:t>
      </w:r>
      <w:r w:rsidRPr="00B46BE9">
        <w:rPr>
          <w:rFonts w:ascii="Garamond" w:hAnsi="Garamond"/>
          <w:noProof/>
        </w:rPr>
        <w:t>14(1-2): 275–306.</w:t>
      </w:r>
    </w:p>
    <w:p w14:paraId="325A1191" w14:textId="0405B51B" w:rsidR="00B46BE9" w:rsidRPr="00260796" w:rsidRDefault="00B46BE9" w:rsidP="00B46BE9">
      <w:pPr>
        <w:pStyle w:val="EndnoteText"/>
        <w:rPr>
          <w:rFonts w:ascii="Garamond" w:hAnsi="Garamond"/>
        </w:rPr>
      </w:pPr>
      <w:r w:rsidRPr="00B46BE9">
        <w:rPr>
          <w:rFonts w:ascii="Garamond" w:hAnsi="Garamond"/>
        </w:rPr>
        <w:fldChar w:fldCharType="end"/>
      </w:r>
    </w:p>
    <w:p w14:paraId="51B6447F" w14:textId="34CBBFC4" w:rsidR="004B4A6B" w:rsidRDefault="004B4A6B" w:rsidP="00687751">
      <w:pPr>
        <w:pStyle w:val="EndnoteText"/>
        <w:rPr>
          <w:rFonts w:ascii="Garamond" w:hAnsi="Garamond"/>
        </w:rPr>
      </w:pPr>
    </w:p>
    <w:p w14:paraId="0788862B" w14:textId="1B8FC96F" w:rsidR="00324CF1" w:rsidRDefault="00324CF1" w:rsidP="00687751">
      <w:pPr>
        <w:pStyle w:val="EndnoteText"/>
        <w:rPr>
          <w:rFonts w:ascii="Garamond" w:hAnsi="Garamond"/>
        </w:rPr>
      </w:pPr>
    </w:p>
    <w:p w14:paraId="762F686F" w14:textId="13C6649C" w:rsidR="00324CF1" w:rsidRDefault="00324CF1" w:rsidP="00687751">
      <w:pPr>
        <w:pStyle w:val="EndnoteText"/>
        <w:rPr>
          <w:rFonts w:ascii="Garamond" w:hAnsi="Garamond"/>
        </w:rPr>
      </w:pPr>
    </w:p>
    <w:p w14:paraId="3D0E78EF" w14:textId="6F422E81" w:rsidR="00324CF1" w:rsidRDefault="00324CF1" w:rsidP="00687751">
      <w:pPr>
        <w:pStyle w:val="EndnoteText"/>
        <w:rPr>
          <w:rFonts w:ascii="Garamond" w:hAnsi="Garamond"/>
        </w:rPr>
      </w:pPr>
    </w:p>
    <w:p w14:paraId="58FF0838" w14:textId="4AEB21D6" w:rsidR="00324CF1" w:rsidRDefault="00324CF1" w:rsidP="00687751">
      <w:pPr>
        <w:pStyle w:val="EndnoteText"/>
        <w:rPr>
          <w:rFonts w:ascii="Garamond" w:hAnsi="Garamond"/>
        </w:rPr>
      </w:pPr>
    </w:p>
    <w:p w14:paraId="397DF23F" w14:textId="2FC33D1E" w:rsidR="00324CF1" w:rsidRDefault="00324CF1" w:rsidP="00687751">
      <w:pPr>
        <w:pStyle w:val="EndnoteText"/>
        <w:rPr>
          <w:rFonts w:ascii="Garamond" w:hAnsi="Garamond"/>
        </w:rPr>
      </w:pPr>
    </w:p>
    <w:p w14:paraId="700C86C1" w14:textId="2B9A98AB" w:rsidR="00324CF1" w:rsidRDefault="00324CF1" w:rsidP="00687751">
      <w:pPr>
        <w:pStyle w:val="EndnoteText"/>
        <w:rPr>
          <w:rFonts w:ascii="Garamond" w:hAnsi="Garamond"/>
        </w:rPr>
      </w:pPr>
    </w:p>
    <w:p w14:paraId="64DFAA04" w14:textId="738A49BF" w:rsidR="00324CF1" w:rsidRDefault="00324CF1" w:rsidP="00687751">
      <w:pPr>
        <w:pStyle w:val="EndnoteText"/>
        <w:rPr>
          <w:rFonts w:ascii="Garamond" w:hAnsi="Garamond"/>
        </w:rPr>
      </w:pPr>
    </w:p>
    <w:p w14:paraId="1B3C0C9D" w14:textId="69BCAFFC" w:rsidR="00324CF1" w:rsidRDefault="00324CF1" w:rsidP="00687751">
      <w:pPr>
        <w:pStyle w:val="EndnoteText"/>
        <w:rPr>
          <w:rFonts w:ascii="Garamond" w:hAnsi="Garamond"/>
        </w:rPr>
      </w:pPr>
    </w:p>
    <w:p w14:paraId="06B8454B" w14:textId="6647138E" w:rsidR="00324CF1" w:rsidRDefault="00324CF1" w:rsidP="00687751">
      <w:pPr>
        <w:pStyle w:val="EndnoteText"/>
        <w:rPr>
          <w:rFonts w:ascii="Garamond" w:hAnsi="Garamond"/>
        </w:rPr>
      </w:pPr>
    </w:p>
    <w:p w14:paraId="4FC60919" w14:textId="7B57EE1A" w:rsidR="00324CF1" w:rsidRDefault="00324CF1" w:rsidP="00687751">
      <w:pPr>
        <w:pStyle w:val="EndnoteText"/>
        <w:rPr>
          <w:rFonts w:ascii="Garamond" w:hAnsi="Garamond"/>
        </w:rPr>
      </w:pPr>
    </w:p>
    <w:p w14:paraId="77565C78" w14:textId="47265FB4" w:rsidR="00324CF1" w:rsidRDefault="00324CF1" w:rsidP="00687751">
      <w:pPr>
        <w:pStyle w:val="EndnoteText"/>
        <w:rPr>
          <w:rFonts w:ascii="Garamond" w:hAnsi="Garamond"/>
        </w:rPr>
      </w:pPr>
    </w:p>
    <w:p w14:paraId="26325CD3" w14:textId="751FDBB9" w:rsidR="00324CF1" w:rsidRDefault="00324CF1" w:rsidP="00687751">
      <w:pPr>
        <w:pStyle w:val="EndnoteText"/>
        <w:rPr>
          <w:rFonts w:ascii="Garamond" w:hAnsi="Garamond"/>
        </w:rPr>
      </w:pPr>
    </w:p>
    <w:p w14:paraId="623D3693" w14:textId="616394AB" w:rsidR="00324CF1" w:rsidRDefault="00324CF1" w:rsidP="00687751">
      <w:pPr>
        <w:pStyle w:val="EndnoteText"/>
        <w:rPr>
          <w:rFonts w:ascii="Garamond" w:hAnsi="Garamond"/>
        </w:rPr>
      </w:pPr>
    </w:p>
    <w:p w14:paraId="444B5A35" w14:textId="19D08749" w:rsidR="00324CF1" w:rsidRDefault="00324CF1" w:rsidP="00687751">
      <w:pPr>
        <w:pStyle w:val="EndnoteText"/>
        <w:rPr>
          <w:rFonts w:ascii="Garamond" w:hAnsi="Garamond"/>
        </w:rPr>
      </w:pPr>
    </w:p>
    <w:p w14:paraId="6FE2C1CD" w14:textId="6931BDD8" w:rsidR="00324CF1" w:rsidRDefault="00324CF1" w:rsidP="00687751">
      <w:pPr>
        <w:pStyle w:val="EndnoteText"/>
        <w:rPr>
          <w:rFonts w:ascii="Garamond" w:hAnsi="Garamond"/>
        </w:rPr>
      </w:pPr>
    </w:p>
    <w:p w14:paraId="344D08B9" w14:textId="0A546159" w:rsidR="00324CF1" w:rsidRDefault="00324CF1" w:rsidP="00687751">
      <w:pPr>
        <w:pStyle w:val="EndnoteText"/>
        <w:rPr>
          <w:rFonts w:ascii="Garamond" w:hAnsi="Garamond"/>
        </w:rPr>
      </w:pPr>
    </w:p>
    <w:p w14:paraId="62275963" w14:textId="77777777" w:rsidR="00324CF1" w:rsidRPr="00260796" w:rsidRDefault="00324CF1" w:rsidP="00687751">
      <w:pPr>
        <w:pStyle w:val="EndnoteText"/>
        <w:rPr>
          <w:rFonts w:ascii="Garamond" w:hAnsi="Garamond"/>
        </w:rPr>
      </w:pPr>
    </w:p>
    <w:p w14:paraId="27D80E56" w14:textId="26AABD34" w:rsidR="004B4A6B" w:rsidRPr="00260796" w:rsidRDefault="004B4A6B" w:rsidP="00687751">
      <w:pPr>
        <w:pStyle w:val="EndnoteText"/>
        <w:rPr>
          <w:rFonts w:ascii="Garamond" w:hAnsi="Garamond"/>
        </w:rPr>
      </w:pPr>
    </w:p>
    <w:p w14:paraId="7F29440F" w14:textId="6D250149" w:rsidR="004B4A6B" w:rsidRPr="00260796" w:rsidRDefault="004B4A6B" w:rsidP="00687751">
      <w:pPr>
        <w:pStyle w:val="EndnoteText"/>
        <w:rPr>
          <w:rFonts w:ascii="Garamond" w:hAnsi="Garamond"/>
        </w:rPr>
      </w:pPr>
    </w:p>
    <w:p w14:paraId="19998D4A" w14:textId="38DCB1C5" w:rsidR="00324CF1" w:rsidRPr="00324CF1" w:rsidRDefault="00324CF1" w:rsidP="00324CF1">
      <w:pPr>
        <w:pStyle w:val="Heading1"/>
        <w:rPr>
          <w:rFonts w:ascii="Garamond" w:hAnsi="Garamond"/>
        </w:rPr>
      </w:pPr>
      <w:r w:rsidRPr="00324CF1">
        <w:rPr>
          <w:rFonts w:ascii="Garamond" w:hAnsi="Garamond"/>
        </w:rPr>
        <w:t>Figures/ Illustrations</w:t>
      </w:r>
    </w:p>
    <w:p w14:paraId="25130A35" w14:textId="77777777" w:rsidR="00324CF1" w:rsidRDefault="00324CF1" w:rsidP="00687751">
      <w:pPr>
        <w:pStyle w:val="EndnoteText"/>
        <w:rPr>
          <w:rFonts w:ascii="Garamond" w:hAnsi="Garamond"/>
          <w:sz w:val="24"/>
          <w:szCs w:val="24"/>
        </w:rPr>
      </w:pPr>
    </w:p>
    <w:p w14:paraId="3FAF47E1" w14:textId="32CE07EE" w:rsidR="004B4A6B" w:rsidRDefault="009E3877" w:rsidP="00687751">
      <w:pPr>
        <w:pStyle w:val="EndnoteText"/>
        <w:rPr>
          <w:rFonts w:ascii="Garamond" w:hAnsi="Garamond"/>
          <w:i/>
          <w:sz w:val="24"/>
          <w:szCs w:val="24"/>
        </w:rPr>
      </w:pPr>
      <w:r>
        <w:rPr>
          <w:rFonts w:ascii="Garamond" w:hAnsi="Garamond"/>
          <w:sz w:val="24"/>
          <w:szCs w:val="24"/>
        </w:rPr>
        <w:t xml:space="preserve">Figure 1. Vladimir Miladinović </w:t>
      </w:r>
      <w:r>
        <w:rPr>
          <w:rFonts w:ascii="Garamond" w:hAnsi="Garamond"/>
          <w:i/>
          <w:sz w:val="24"/>
          <w:szCs w:val="24"/>
        </w:rPr>
        <w:t>//Undiscernible//.</w:t>
      </w:r>
    </w:p>
    <w:p w14:paraId="6FF60ABE" w14:textId="4D0718D4" w:rsidR="00E71358" w:rsidRDefault="00E71358" w:rsidP="00687751">
      <w:pPr>
        <w:pStyle w:val="EndnoteText"/>
        <w:rPr>
          <w:rFonts w:ascii="Garamond" w:hAnsi="Garamond"/>
          <w:i/>
          <w:sz w:val="24"/>
          <w:szCs w:val="24"/>
        </w:rPr>
      </w:pPr>
    </w:p>
    <w:p w14:paraId="12207723" w14:textId="1A333C11" w:rsidR="00E71358" w:rsidRDefault="00E71358" w:rsidP="00E71358">
      <w:pPr>
        <w:pStyle w:val="EndnoteText"/>
        <w:jc w:val="center"/>
        <w:rPr>
          <w:rFonts w:ascii="Garamond" w:hAnsi="Garamond"/>
          <w:i/>
          <w:sz w:val="24"/>
          <w:szCs w:val="24"/>
        </w:rPr>
      </w:pPr>
      <w:r>
        <w:rPr>
          <w:rFonts w:ascii="Garamond" w:hAnsi="Garamond"/>
          <w:i/>
          <w:noProof/>
          <w:sz w:val="24"/>
          <w:szCs w:val="24"/>
        </w:rPr>
        <w:drawing>
          <wp:inline distT="0" distB="0" distL="0" distR="0" wp14:anchorId="3A940EE0" wp14:editId="23283549">
            <wp:extent cx="2510990" cy="364639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iscernable 2.png"/>
                    <pic:cNvPicPr/>
                  </pic:nvPicPr>
                  <pic:blipFill>
                    <a:blip r:embed="rId5">
                      <a:extLst>
                        <a:ext uri="{28A0092B-C50C-407E-A947-70E740481C1C}">
                          <a14:useLocalDpi xmlns:a14="http://schemas.microsoft.com/office/drawing/2010/main" val="0"/>
                        </a:ext>
                      </a:extLst>
                    </a:blip>
                    <a:stretch>
                      <a:fillRect/>
                    </a:stretch>
                  </pic:blipFill>
                  <pic:spPr>
                    <a:xfrm>
                      <a:off x="0" y="0"/>
                      <a:ext cx="2521479" cy="3661626"/>
                    </a:xfrm>
                    <a:prstGeom prst="rect">
                      <a:avLst/>
                    </a:prstGeom>
                  </pic:spPr>
                </pic:pic>
              </a:graphicData>
            </a:graphic>
          </wp:inline>
        </w:drawing>
      </w:r>
    </w:p>
    <w:p w14:paraId="59E0B389" w14:textId="1C54720D" w:rsidR="009E3877" w:rsidRDefault="009E3877" w:rsidP="00687751">
      <w:pPr>
        <w:pStyle w:val="EndnoteText"/>
        <w:rPr>
          <w:rFonts w:ascii="Garamond" w:hAnsi="Garamond"/>
          <w:i/>
          <w:sz w:val="24"/>
          <w:szCs w:val="24"/>
        </w:rPr>
      </w:pPr>
    </w:p>
    <w:p w14:paraId="7DB0A044" w14:textId="4A4C9551" w:rsidR="009E3877" w:rsidRDefault="009E3877" w:rsidP="00687751">
      <w:pPr>
        <w:pStyle w:val="EndnoteText"/>
        <w:rPr>
          <w:rFonts w:ascii="Garamond" w:hAnsi="Garamond"/>
          <w:i/>
          <w:sz w:val="24"/>
          <w:szCs w:val="24"/>
        </w:rPr>
      </w:pPr>
      <w:r>
        <w:rPr>
          <w:rFonts w:ascii="Garamond" w:hAnsi="Garamond"/>
          <w:sz w:val="24"/>
          <w:szCs w:val="24"/>
        </w:rPr>
        <w:t xml:space="preserve">Figure 2. Vladimir Miladinović </w:t>
      </w:r>
      <w:r>
        <w:rPr>
          <w:rFonts w:ascii="Garamond" w:hAnsi="Garamond"/>
          <w:i/>
          <w:sz w:val="24"/>
          <w:szCs w:val="24"/>
        </w:rPr>
        <w:t>The notebook.</w:t>
      </w:r>
    </w:p>
    <w:p w14:paraId="77091499" w14:textId="3268190F" w:rsidR="009E3877" w:rsidRDefault="009E3877" w:rsidP="00687751">
      <w:pPr>
        <w:pStyle w:val="EndnoteText"/>
        <w:rPr>
          <w:rFonts w:ascii="Garamond" w:hAnsi="Garamond"/>
          <w:i/>
          <w:sz w:val="24"/>
          <w:szCs w:val="24"/>
        </w:rPr>
      </w:pPr>
    </w:p>
    <w:p w14:paraId="42F84CE2" w14:textId="1CEFB4CF" w:rsidR="009E3877" w:rsidRPr="009E3877" w:rsidRDefault="009E3877" w:rsidP="009E3877">
      <w:pPr>
        <w:rPr>
          <w:rFonts w:ascii="Times New Roman" w:eastAsia="Times New Roman" w:hAnsi="Times New Roman" w:cs="Times New Roman"/>
        </w:rPr>
      </w:pPr>
      <w:r w:rsidRPr="009E3877">
        <w:rPr>
          <w:rFonts w:ascii="Times New Roman" w:eastAsia="Times New Roman" w:hAnsi="Times New Roman" w:cs="Times New Roman"/>
        </w:rPr>
        <w:fldChar w:fldCharType="begin"/>
      </w:r>
      <w:r w:rsidRPr="009E3877">
        <w:rPr>
          <w:rFonts w:ascii="Times New Roman" w:eastAsia="Times New Roman" w:hAnsi="Times New Roman" w:cs="Times New Roman"/>
        </w:rPr>
        <w:instrText xml:space="preserve"> INCLUDEPICTURE "blob:https://web.whatsapp.com/65ef11e2-0695-43c2-98f0-52f89c87e8d5" \* MERGEFORMATINET </w:instrText>
      </w:r>
      <w:r w:rsidRPr="009E3877">
        <w:rPr>
          <w:rFonts w:ascii="Times New Roman" w:eastAsia="Times New Roman" w:hAnsi="Times New Roman" w:cs="Times New Roman"/>
        </w:rPr>
        <w:fldChar w:fldCharType="separate"/>
      </w:r>
      <w:r w:rsidR="00316679">
        <w:rPr>
          <w:rFonts w:ascii="Times New Roman" w:eastAsia="Times New Roman" w:hAnsi="Times New Roman" w:cs="Times New Roman"/>
          <w:noProof/>
        </w:rPr>
        <w:fldChar w:fldCharType="begin"/>
      </w:r>
      <w:r w:rsidR="00316679">
        <w:rPr>
          <w:rFonts w:ascii="Times New Roman" w:eastAsia="Times New Roman" w:hAnsi="Times New Roman" w:cs="Times New Roman"/>
          <w:noProof/>
        </w:rPr>
        <w:instrText xml:space="preserve"> </w:instrText>
      </w:r>
      <w:r w:rsidR="00316679">
        <w:rPr>
          <w:rFonts w:ascii="Times New Roman" w:eastAsia="Times New Roman" w:hAnsi="Times New Roman" w:cs="Times New Roman"/>
          <w:noProof/>
        </w:rPr>
        <w:instrText>INCLUDEPICTURE  "blob:https://web.whatsapp.com/65ef11e2-0695-43c2-98f0-52f89c87e8d5" \* MERGEFORMATINET</w:instrText>
      </w:r>
      <w:r w:rsidR="00316679">
        <w:rPr>
          <w:rFonts w:ascii="Times New Roman" w:eastAsia="Times New Roman" w:hAnsi="Times New Roman" w:cs="Times New Roman"/>
          <w:noProof/>
        </w:rPr>
        <w:instrText xml:space="preserve"> </w:instrText>
      </w:r>
      <w:r w:rsidR="00316679">
        <w:rPr>
          <w:rFonts w:ascii="Times New Roman" w:eastAsia="Times New Roman" w:hAnsi="Times New Roman" w:cs="Times New Roman"/>
          <w:noProof/>
        </w:rPr>
        <w:fldChar w:fldCharType="separate"/>
      </w:r>
      <w:r w:rsidR="00316679">
        <w:rPr>
          <w:rFonts w:ascii="Times New Roman" w:eastAsia="Times New Roman" w:hAnsi="Times New Roman" w:cs="Times New Roman"/>
          <w:noProof/>
        </w:rPr>
        <w:pict w14:anchorId="39D55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blob:https://web.whatsapp.com/65ef11e2-0695-43c2-98f0-52f89c87e8d5" style="width:23.75pt;height:23.75pt;visibility:visible;mso-wrap-style:square;mso-width-percent:0;mso-height-percent:0;mso-width-percent:0;mso-height-percent:0">
            <v:imagedata r:id="rId6" r:href="rId7"/>
          </v:shape>
        </w:pict>
      </w:r>
      <w:r w:rsidR="00316679">
        <w:rPr>
          <w:rFonts w:ascii="Times New Roman" w:eastAsia="Times New Roman" w:hAnsi="Times New Roman" w:cs="Times New Roman"/>
          <w:noProof/>
        </w:rPr>
        <w:fldChar w:fldCharType="end"/>
      </w:r>
      <w:r w:rsidRPr="009E3877">
        <w:rPr>
          <w:rFonts w:ascii="Times New Roman" w:eastAsia="Times New Roman" w:hAnsi="Times New Roman" w:cs="Times New Roman"/>
        </w:rPr>
        <w:fldChar w:fldCharType="end"/>
      </w:r>
    </w:p>
    <w:p w14:paraId="5E962871" w14:textId="7EAA7F41" w:rsidR="009E3877" w:rsidRPr="009E3877" w:rsidRDefault="000E474E" w:rsidP="00687751">
      <w:pPr>
        <w:pStyle w:val="EndnoteText"/>
        <w:rPr>
          <w:rFonts w:ascii="Garamond" w:hAnsi="Garamond"/>
          <w:i/>
          <w:sz w:val="24"/>
          <w:szCs w:val="24"/>
        </w:rPr>
      </w:pPr>
      <w:r>
        <w:rPr>
          <w:rFonts w:ascii="Garamond" w:hAnsi="Garamond"/>
          <w:i/>
          <w:noProof/>
          <w:sz w:val="24"/>
          <w:szCs w:val="24"/>
        </w:rPr>
        <w:drawing>
          <wp:inline distT="0" distB="0" distL="0" distR="0" wp14:anchorId="6DE0DE1E" wp14:editId="4A17940D">
            <wp:extent cx="1921906" cy="24805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book 1.jpeg"/>
                    <pic:cNvPicPr/>
                  </pic:nvPicPr>
                  <pic:blipFill rotWithShape="1">
                    <a:blip r:embed="rId8">
                      <a:extLst>
                        <a:ext uri="{28A0092B-C50C-407E-A947-70E740481C1C}">
                          <a14:useLocalDpi xmlns:a14="http://schemas.microsoft.com/office/drawing/2010/main" val="0"/>
                        </a:ext>
                      </a:extLst>
                    </a:blip>
                    <a:srcRect l="6624" t="9298" r="17965" b="17704"/>
                    <a:stretch/>
                  </pic:blipFill>
                  <pic:spPr bwMode="auto">
                    <a:xfrm>
                      <a:off x="0" y="0"/>
                      <a:ext cx="1969996" cy="2542621"/>
                    </a:xfrm>
                    <a:prstGeom prst="rect">
                      <a:avLst/>
                    </a:prstGeom>
                    <a:ln>
                      <a:noFill/>
                    </a:ln>
                    <a:extLst>
                      <a:ext uri="{53640926-AAD7-44D8-BBD7-CCE9431645EC}">
                        <a14:shadowObscured xmlns:a14="http://schemas.microsoft.com/office/drawing/2010/main"/>
                      </a:ext>
                    </a:extLst>
                  </pic:spPr>
                </pic:pic>
              </a:graphicData>
            </a:graphic>
          </wp:inline>
        </w:drawing>
      </w:r>
      <w:r w:rsidR="00E71358">
        <w:rPr>
          <w:rFonts w:ascii="Garamond" w:hAnsi="Garamond"/>
          <w:i/>
          <w:noProof/>
          <w:sz w:val="24"/>
          <w:szCs w:val="24"/>
        </w:rPr>
        <w:drawing>
          <wp:inline distT="0" distB="0" distL="0" distR="0" wp14:anchorId="7E36D02F" wp14:editId="2ACCAA48">
            <wp:extent cx="3693057" cy="2461901"/>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tebook 2.jpeg"/>
                    <pic:cNvPicPr/>
                  </pic:nvPicPr>
                  <pic:blipFill>
                    <a:blip r:embed="rId9">
                      <a:extLst>
                        <a:ext uri="{28A0092B-C50C-407E-A947-70E740481C1C}">
                          <a14:useLocalDpi xmlns:a14="http://schemas.microsoft.com/office/drawing/2010/main" val="0"/>
                        </a:ext>
                      </a:extLst>
                    </a:blip>
                    <a:stretch>
                      <a:fillRect/>
                    </a:stretch>
                  </pic:blipFill>
                  <pic:spPr>
                    <a:xfrm>
                      <a:off x="0" y="0"/>
                      <a:ext cx="3748785" cy="2499051"/>
                    </a:xfrm>
                    <a:prstGeom prst="rect">
                      <a:avLst/>
                    </a:prstGeom>
                  </pic:spPr>
                </pic:pic>
              </a:graphicData>
            </a:graphic>
          </wp:inline>
        </w:drawing>
      </w:r>
    </w:p>
    <w:p w14:paraId="436FC487" w14:textId="77777777" w:rsidR="004B4A6B" w:rsidRPr="00260796" w:rsidRDefault="004B4A6B" w:rsidP="00687751">
      <w:pPr>
        <w:pStyle w:val="EndnoteText"/>
        <w:rPr>
          <w:rFonts w:ascii="Garamond" w:hAnsi="Garamond"/>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160543"/>
      <w:docPartObj>
        <w:docPartGallery w:val="Page Numbers (Bottom of Page)"/>
        <w:docPartUnique/>
      </w:docPartObj>
    </w:sdtPr>
    <w:sdtEndPr>
      <w:rPr>
        <w:rStyle w:val="PageNumber"/>
      </w:rPr>
    </w:sdtEndPr>
    <w:sdtContent>
      <w:p w14:paraId="310889BB" w14:textId="0B1BF274" w:rsidR="005F4006" w:rsidRDefault="005F4006" w:rsidP="00A54E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8FB51F" w14:textId="77777777" w:rsidR="004B4A6B" w:rsidRDefault="004B4A6B" w:rsidP="005F40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aramond" w:hAnsi="Garamond"/>
      </w:rPr>
      <w:id w:val="365956350"/>
      <w:docPartObj>
        <w:docPartGallery w:val="Page Numbers (Bottom of Page)"/>
        <w:docPartUnique/>
      </w:docPartObj>
    </w:sdtPr>
    <w:sdtEndPr>
      <w:rPr>
        <w:rStyle w:val="PageNumber"/>
      </w:rPr>
    </w:sdtEndPr>
    <w:sdtContent>
      <w:p w14:paraId="1BD5DACF" w14:textId="2A5FFE26" w:rsidR="005F4006" w:rsidRPr="005F4006" w:rsidRDefault="005F4006" w:rsidP="00A54E79">
        <w:pPr>
          <w:pStyle w:val="Footer"/>
          <w:framePr w:wrap="none" w:vAnchor="text" w:hAnchor="margin" w:xAlign="right" w:y="1"/>
          <w:rPr>
            <w:rStyle w:val="PageNumber"/>
            <w:rFonts w:ascii="Garamond" w:hAnsi="Garamond"/>
          </w:rPr>
        </w:pPr>
        <w:r w:rsidRPr="005F4006">
          <w:rPr>
            <w:rStyle w:val="PageNumber"/>
            <w:rFonts w:ascii="Garamond" w:hAnsi="Garamond"/>
          </w:rPr>
          <w:fldChar w:fldCharType="begin"/>
        </w:r>
        <w:r w:rsidRPr="005F4006">
          <w:rPr>
            <w:rStyle w:val="PageNumber"/>
            <w:rFonts w:ascii="Garamond" w:hAnsi="Garamond"/>
          </w:rPr>
          <w:instrText xml:space="preserve"> PAGE </w:instrText>
        </w:r>
        <w:r w:rsidRPr="005F4006">
          <w:rPr>
            <w:rStyle w:val="PageNumber"/>
            <w:rFonts w:ascii="Garamond" w:hAnsi="Garamond"/>
          </w:rPr>
          <w:fldChar w:fldCharType="separate"/>
        </w:r>
        <w:r w:rsidRPr="005F4006">
          <w:rPr>
            <w:rStyle w:val="PageNumber"/>
            <w:rFonts w:ascii="Garamond" w:hAnsi="Garamond"/>
            <w:noProof/>
          </w:rPr>
          <w:t>8</w:t>
        </w:r>
        <w:r w:rsidRPr="005F4006">
          <w:rPr>
            <w:rStyle w:val="PageNumber"/>
            <w:rFonts w:ascii="Garamond" w:hAnsi="Garamond"/>
          </w:rPr>
          <w:fldChar w:fldCharType="end"/>
        </w:r>
      </w:p>
    </w:sdtContent>
  </w:sdt>
  <w:p w14:paraId="1510AF73" w14:textId="77777777" w:rsidR="004B4A6B" w:rsidRPr="005F4006" w:rsidRDefault="004B4A6B" w:rsidP="005F4006">
    <w:pPr>
      <w:pStyle w:val="Footer"/>
      <w:ind w:right="360"/>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D2777" w14:textId="77777777" w:rsidR="000E474E" w:rsidRDefault="000E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6866D" w14:textId="77777777" w:rsidR="00316679" w:rsidRDefault="00316679" w:rsidP="009B50A2">
      <w:r>
        <w:separator/>
      </w:r>
    </w:p>
  </w:footnote>
  <w:footnote w:type="continuationSeparator" w:id="0">
    <w:p w14:paraId="17A9AC4E" w14:textId="77777777" w:rsidR="00316679" w:rsidRDefault="00316679" w:rsidP="009B5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D8BC" w14:textId="77777777" w:rsidR="004B4A6B" w:rsidRDefault="004B4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E1C5" w14:textId="77777777" w:rsidR="004B4A6B" w:rsidRDefault="004B4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44719" w14:textId="77777777" w:rsidR="004B4A6B" w:rsidRDefault="004B4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C788E"/>
    <w:multiLevelType w:val="hybridMultilevel"/>
    <w:tmpl w:val="1D6C336E"/>
    <w:lvl w:ilvl="0" w:tplc="7092FDB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6th Footno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A0C7B"/>
    <w:rsid w:val="000044CF"/>
    <w:rsid w:val="0002678F"/>
    <w:rsid w:val="00041344"/>
    <w:rsid w:val="00052EE5"/>
    <w:rsid w:val="0005325A"/>
    <w:rsid w:val="00053EA9"/>
    <w:rsid w:val="00054FCC"/>
    <w:rsid w:val="0006456F"/>
    <w:rsid w:val="00064C77"/>
    <w:rsid w:val="0006747E"/>
    <w:rsid w:val="00071B3A"/>
    <w:rsid w:val="000842D6"/>
    <w:rsid w:val="00091554"/>
    <w:rsid w:val="000A32EE"/>
    <w:rsid w:val="000B6275"/>
    <w:rsid w:val="000C02F0"/>
    <w:rsid w:val="000C0314"/>
    <w:rsid w:val="000E0B45"/>
    <w:rsid w:val="000E46F8"/>
    <w:rsid w:val="000E474E"/>
    <w:rsid w:val="000F4201"/>
    <w:rsid w:val="00107FEE"/>
    <w:rsid w:val="00126AFB"/>
    <w:rsid w:val="0012711C"/>
    <w:rsid w:val="00132BE5"/>
    <w:rsid w:val="0015314D"/>
    <w:rsid w:val="00163782"/>
    <w:rsid w:val="001653E7"/>
    <w:rsid w:val="001662D3"/>
    <w:rsid w:val="00166AE7"/>
    <w:rsid w:val="001709EE"/>
    <w:rsid w:val="00186ECE"/>
    <w:rsid w:val="00194DC2"/>
    <w:rsid w:val="001A1DC0"/>
    <w:rsid w:val="001A3DD5"/>
    <w:rsid w:val="001A4FB6"/>
    <w:rsid w:val="001B2FF1"/>
    <w:rsid w:val="001C0E29"/>
    <w:rsid w:val="001C1D0C"/>
    <w:rsid w:val="001E0CEC"/>
    <w:rsid w:val="001E13F4"/>
    <w:rsid w:val="001F54D9"/>
    <w:rsid w:val="001F57D6"/>
    <w:rsid w:val="002046DA"/>
    <w:rsid w:val="00207051"/>
    <w:rsid w:val="0021189A"/>
    <w:rsid w:val="00216F52"/>
    <w:rsid w:val="0022247D"/>
    <w:rsid w:val="00233228"/>
    <w:rsid w:val="0023481F"/>
    <w:rsid w:val="00236F1F"/>
    <w:rsid w:val="00237523"/>
    <w:rsid w:val="00241594"/>
    <w:rsid w:val="00242DDB"/>
    <w:rsid w:val="002441FB"/>
    <w:rsid w:val="00252C83"/>
    <w:rsid w:val="002606FC"/>
    <w:rsid w:val="00260796"/>
    <w:rsid w:val="00267635"/>
    <w:rsid w:val="00267CC2"/>
    <w:rsid w:val="0027666F"/>
    <w:rsid w:val="002975F7"/>
    <w:rsid w:val="002A6643"/>
    <w:rsid w:val="002B46B7"/>
    <w:rsid w:val="002B621A"/>
    <w:rsid w:val="002C4B7D"/>
    <w:rsid w:val="002C5A0B"/>
    <w:rsid w:val="002C719E"/>
    <w:rsid w:val="002D04CC"/>
    <w:rsid w:val="002E1C19"/>
    <w:rsid w:val="002E4AF0"/>
    <w:rsid w:val="002E50A9"/>
    <w:rsid w:val="002E7994"/>
    <w:rsid w:val="002F07F4"/>
    <w:rsid w:val="002F6719"/>
    <w:rsid w:val="00300E84"/>
    <w:rsid w:val="00301285"/>
    <w:rsid w:val="00305EB2"/>
    <w:rsid w:val="00316679"/>
    <w:rsid w:val="003228E4"/>
    <w:rsid w:val="00324CF1"/>
    <w:rsid w:val="00325E40"/>
    <w:rsid w:val="00333C7F"/>
    <w:rsid w:val="003350A5"/>
    <w:rsid w:val="00343F09"/>
    <w:rsid w:val="00361948"/>
    <w:rsid w:val="003644D5"/>
    <w:rsid w:val="00387DFD"/>
    <w:rsid w:val="00394892"/>
    <w:rsid w:val="003A3EC6"/>
    <w:rsid w:val="003A434D"/>
    <w:rsid w:val="003B2DEA"/>
    <w:rsid w:val="003B51C9"/>
    <w:rsid w:val="003C7483"/>
    <w:rsid w:val="003D2A53"/>
    <w:rsid w:val="003F578E"/>
    <w:rsid w:val="00416031"/>
    <w:rsid w:val="00417E70"/>
    <w:rsid w:val="00422301"/>
    <w:rsid w:val="00426352"/>
    <w:rsid w:val="00447936"/>
    <w:rsid w:val="00455EA3"/>
    <w:rsid w:val="00462260"/>
    <w:rsid w:val="0046562D"/>
    <w:rsid w:val="00482FA7"/>
    <w:rsid w:val="004911F4"/>
    <w:rsid w:val="004A0C88"/>
    <w:rsid w:val="004A60D3"/>
    <w:rsid w:val="004B47AB"/>
    <w:rsid w:val="004B4A6B"/>
    <w:rsid w:val="004C4FE3"/>
    <w:rsid w:val="004D050C"/>
    <w:rsid w:val="004D4867"/>
    <w:rsid w:val="004D6BE5"/>
    <w:rsid w:val="00516EF5"/>
    <w:rsid w:val="005206C8"/>
    <w:rsid w:val="00545001"/>
    <w:rsid w:val="00547075"/>
    <w:rsid w:val="0055310B"/>
    <w:rsid w:val="00557B2E"/>
    <w:rsid w:val="00560C1B"/>
    <w:rsid w:val="00562E59"/>
    <w:rsid w:val="00565B0F"/>
    <w:rsid w:val="00565C15"/>
    <w:rsid w:val="00577C68"/>
    <w:rsid w:val="005807E1"/>
    <w:rsid w:val="005A29E4"/>
    <w:rsid w:val="005A70A3"/>
    <w:rsid w:val="005B73A7"/>
    <w:rsid w:val="005C5758"/>
    <w:rsid w:val="005D5723"/>
    <w:rsid w:val="005D69C4"/>
    <w:rsid w:val="005E2565"/>
    <w:rsid w:val="005F202E"/>
    <w:rsid w:val="005F4006"/>
    <w:rsid w:val="005F6AA9"/>
    <w:rsid w:val="00601A15"/>
    <w:rsid w:val="00603287"/>
    <w:rsid w:val="00604CE8"/>
    <w:rsid w:val="00607464"/>
    <w:rsid w:val="00617876"/>
    <w:rsid w:val="006266A6"/>
    <w:rsid w:val="00632529"/>
    <w:rsid w:val="006370AC"/>
    <w:rsid w:val="00662F98"/>
    <w:rsid w:val="00667406"/>
    <w:rsid w:val="0067648A"/>
    <w:rsid w:val="006809CF"/>
    <w:rsid w:val="00685D78"/>
    <w:rsid w:val="00686394"/>
    <w:rsid w:val="00687751"/>
    <w:rsid w:val="00695B79"/>
    <w:rsid w:val="006B30FD"/>
    <w:rsid w:val="006B3C71"/>
    <w:rsid w:val="006D225B"/>
    <w:rsid w:val="006D2EBC"/>
    <w:rsid w:val="006D4FE2"/>
    <w:rsid w:val="006E025B"/>
    <w:rsid w:val="006E1363"/>
    <w:rsid w:val="007073CC"/>
    <w:rsid w:val="007137EA"/>
    <w:rsid w:val="00716D4D"/>
    <w:rsid w:val="00724EE7"/>
    <w:rsid w:val="007266E0"/>
    <w:rsid w:val="00734607"/>
    <w:rsid w:val="00735703"/>
    <w:rsid w:val="00751C3F"/>
    <w:rsid w:val="00753254"/>
    <w:rsid w:val="007604FD"/>
    <w:rsid w:val="0076145C"/>
    <w:rsid w:val="007711BA"/>
    <w:rsid w:val="00792E98"/>
    <w:rsid w:val="00796CE7"/>
    <w:rsid w:val="007A71CF"/>
    <w:rsid w:val="007B3B7D"/>
    <w:rsid w:val="007B71CF"/>
    <w:rsid w:val="007C6130"/>
    <w:rsid w:val="007D661B"/>
    <w:rsid w:val="007E5021"/>
    <w:rsid w:val="007E511D"/>
    <w:rsid w:val="007F27EB"/>
    <w:rsid w:val="007F6F29"/>
    <w:rsid w:val="008030ED"/>
    <w:rsid w:val="0081320D"/>
    <w:rsid w:val="008214C1"/>
    <w:rsid w:val="0084242D"/>
    <w:rsid w:val="0085103B"/>
    <w:rsid w:val="00853DC4"/>
    <w:rsid w:val="00861297"/>
    <w:rsid w:val="00866CA4"/>
    <w:rsid w:val="00867FF5"/>
    <w:rsid w:val="008913D6"/>
    <w:rsid w:val="008A04D5"/>
    <w:rsid w:val="008A0C7B"/>
    <w:rsid w:val="008B06DA"/>
    <w:rsid w:val="008B6EF4"/>
    <w:rsid w:val="008C2EBF"/>
    <w:rsid w:val="008C3E3E"/>
    <w:rsid w:val="008D61D2"/>
    <w:rsid w:val="008F29B0"/>
    <w:rsid w:val="00902B78"/>
    <w:rsid w:val="0091576F"/>
    <w:rsid w:val="00916503"/>
    <w:rsid w:val="009271D6"/>
    <w:rsid w:val="009410E2"/>
    <w:rsid w:val="009638D1"/>
    <w:rsid w:val="00977E81"/>
    <w:rsid w:val="009A6B94"/>
    <w:rsid w:val="009B50A2"/>
    <w:rsid w:val="009D00DF"/>
    <w:rsid w:val="009E3877"/>
    <w:rsid w:val="009F1C39"/>
    <w:rsid w:val="009F1D09"/>
    <w:rsid w:val="00A01869"/>
    <w:rsid w:val="00A26EBA"/>
    <w:rsid w:val="00A312C9"/>
    <w:rsid w:val="00A3225F"/>
    <w:rsid w:val="00A33BB0"/>
    <w:rsid w:val="00A42E87"/>
    <w:rsid w:val="00A478C0"/>
    <w:rsid w:val="00A52E68"/>
    <w:rsid w:val="00A54C04"/>
    <w:rsid w:val="00A63619"/>
    <w:rsid w:val="00A6617A"/>
    <w:rsid w:val="00A749D9"/>
    <w:rsid w:val="00A75C6A"/>
    <w:rsid w:val="00A75FCC"/>
    <w:rsid w:val="00A80A06"/>
    <w:rsid w:val="00A939B4"/>
    <w:rsid w:val="00AA177A"/>
    <w:rsid w:val="00AB62CD"/>
    <w:rsid w:val="00AC0EC2"/>
    <w:rsid w:val="00AD1FBE"/>
    <w:rsid w:val="00AD2FA6"/>
    <w:rsid w:val="00B002E2"/>
    <w:rsid w:val="00B0384C"/>
    <w:rsid w:val="00B12183"/>
    <w:rsid w:val="00B3242F"/>
    <w:rsid w:val="00B3595D"/>
    <w:rsid w:val="00B41C91"/>
    <w:rsid w:val="00B46B50"/>
    <w:rsid w:val="00B46BE9"/>
    <w:rsid w:val="00B5232C"/>
    <w:rsid w:val="00B53E71"/>
    <w:rsid w:val="00B627DE"/>
    <w:rsid w:val="00B62BE2"/>
    <w:rsid w:val="00B62EDE"/>
    <w:rsid w:val="00B72789"/>
    <w:rsid w:val="00B75FC7"/>
    <w:rsid w:val="00B80E9A"/>
    <w:rsid w:val="00B80EB7"/>
    <w:rsid w:val="00B853A0"/>
    <w:rsid w:val="00B86EDE"/>
    <w:rsid w:val="00B91818"/>
    <w:rsid w:val="00BA2222"/>
    <w:rsid w:val="00BA7E3A"/>
    <w:rsid w:val="00BC23B6"/>
    <w:rsid w:val="00BC7945"/>
    <w:rsid w:val="00BC7B03"/>
    <w:rsid w:val="00BD31C0"/>
    <w:rsid w:val="00BD54DD"/>
    <w:rsid w:val="00BE77A9"/>
    <w:rsid w:val="00C16D94"/>
    <w:rsid w:val="00C23C13"/>
    <w:rsid w:val="00C41659"/>
    <w:rsid w:val="00C441BA"/>
    <w:rsid w:val="00C45292"/>
    <w:rsid w:val="00C466B9"/>
    <w:rsid w:val="00C75108"/>
    <w:rsid w:val="00C77174"/>
    <w:rsid w:val="00C862EF"/>
    <w:rsid w:val="00C979B9"/>
    <w:rsid w:val="00CA3902"/>
    <w:rsid w:val="00CA6B4A"/>
    <w:rsid w:val="00CB0D00"/>
    <w:rsid w:val="00CB2C12"/>
    <w:rsid w:val="00CB6F5E"/>
    <w:rsid w:val="00CD2660"/>
    <w:rsid w:val="00CF690A"/>
    <w:rsid w:val="00CF7BB4"/>
    <w:rsid w:val="00D058FF"/>
    <w:rsid w:val="00D0606F"/>
    <w:rsid w:val="00D102D1"/>
    <w:rsid w:val="00D34D39"/>
    <w:rsid w:val="00D44695"/>
    <w:rsid w:val="00D446FB"/>
    <w:rsid w:val="00D4473A"/>
    <w:rsid w:val="00D5116E"/>
    <w:rsid w:val="00D53ECA"/>
    <w:rsid w:val="00D56A43"/>
    <w:rsid w:val="00D63E31"/>
    <w:rsid w:val="00D739C2"/>
    <w:rsid w:val="00D73A0E"/>
    <w:rsid w:val="00D75EE3"/>
    <w:rsid w:val="00D81CFB"/>
    <w:rsid w:val="00DC13C3"/>
    <w:rsid w:val="00DD16CE"/>
    <w:rsid w:val="00DD4495"/>
    <w:rsid w:val="00DD6E29"/>
    <w:rsid w:val="00DD77AA"/>
    <w:rsid w:val="00DD7D31"/>
    <w:rsid w:val="00DE681E"/>
    <w:rsid w:val="00DE6D16"/>
    <w:rsid w:val="00DF5395"/>
    <w:rsid w:val="00E025F9"/>
    <w:rsid w:val="00E153F7"/>
    <w:rsid w:val="00E24821"/>
    <w:rsid w:val="00E41EEB"/>
    <w:rsid w:val="00E548B1"/>
    <w:rsid w:val="00E65D3C"/>
    <w:rsid w:val="00E71358"/>
    <w:rsid w:val="00E7150F"/>
    <w:rsid w:val="00E75BB8"/>
    <w:rsid w:val="00E77D01"/>
    <w:rsid w:val="00E837E8"/>
    <w:rsid w:val="00ED49CC"/>
    <w:rsid w:val="00ED4E5F"/>
    <w:rsid w:val="00ED54D6"/>
    <w:rsid w:val="00EF7750"/>
    <w:rsid w:val="00F02FAB"/>
    <w:rsid w:val="00F15C41"/>
    <w:rsid w:val="00F25948"/>
    <w:rsid w:val="00F359F6"/>
    <w:rsid w:val="00F461BA"/>
    <w:rsid w:val="00F46CE6"/>
    <w:rsid w:val="00F543CD"/>
    <w:rsid w:val="00F54CE3"/>
    <w:rsid w:val="00F6073C"/>
    <w:rsid w:val="00F670BD"/>
    <w:rsid w:val="00F76443"/>
    <w:rsid w:val="00F76941"/>
    <w:rsid w:val="00F76A82"/>
    <w:rsid w:val="00F960AE"/>
    <w:rsid w:val="00FA427E"/>
    <w:rsid w:val="00FC0A71"/>
    <w:rsid w:val="00FD34C6"/>
    <w:rsid w:val="00FE06D8"/>
    <w:rsid w:val="00FE3248"/>
    <w:rsid w:val="00FF21F6"/>
    <w:rsid w:val="00FF3107"/>
    <w:rsid w:val="00FF3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12A99"/>
  <w15:chartTrackingRefBased/>
  <w15:docId w15:val="{3154A51E-5D51-F641-BC82-4AFFB156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E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260796"/>
    <w:pPr>
      <w:keepNext/>
      <w:keepLines/>
      <w:spacing w:before="40"/>
      <w:outlineLvl w:val="1"/>
    </w:pPr>
    <w:rPr>
      <w:rFonts w:ascii="Garamond" w:eastAsiaTheme="majorEastAsia" w:hAnsi="Garamond" w:cstheme="majorBidi"/>
      <w: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565"/>
    <w:pPr>
      <w:ind w:left="720"/>
      <w:contextualSpacing/>
    </w:pPr>
  </w:style>
  <w:style w:type="paragraph" w:styleId="FootnoteText">
    <w:name w:val="footnote text"/>
    <w:aliases w:val="Footnote Text Char Char Char Char,FA,FA Fußnotentext,Footnote Text Char Char Char Char Char Char Char Char Char Char Char Char Char Char Char Char Char Char Char Char Char Char,Footnote Text Char Char Char Char Char,FA3,Char,Cha,Ch,F, Char"/>
    <w:basedOn w:val="Normal"/>
    <w:link w:val="FootnoteTextChar"/>
    <w:uiPriority w:val="99"/>
    <w:unhideWhenUsed/>
    <w:rsid w:val="009B50A2"/>
    <w:rPr>
      <w:sz w:val="20"/>
      <w:szCs w:val="20"/>
    </w:rPr>
  </w:style>
  <w:style w:type="character" w:customStyle="1" w:styleId="FootnoteTextChar">
    <w:name w:val="Footnote Text Char"/>
    <w:aliases w:val="Footnote Text Char Char Char Char Char1,FA Char,FA Fußnotentext Char,Footnote Text Char Char Char Char Char Char Char Char Char Char Char Char Char Char Char Char Char Char Char Char Char Char Char,FA3 Char,Char Char,Cha Char,Ch Char"/>
    <w:basedOn w:val="DefaultParagraphFont"/>
    <w:link w:val="FootnoteText"/>
    <w:uiPriority w:val="99"/>
    <w:rsid w:val="009B50A2"/>
    <w:rPr>
      <w:sz w:val="20"/>
      <w:szCs w:val="20"/>
    </w:rPr>
  </w:style>
  <w:style w:type="character" w:styleId="FootnoteReference">
    <w:name w:val="footnote reference"/>
    <w:aliases w:val="Appel note de bas de page,Appel note de bas de page Char Char1 Char Char Char,Appel note de bas de page Char1 Char Char Char2 Char Char,Marque note bas de page Char1 Char Char1 Char Char1 Char,Appel note de bas de page Char3 Char1"/>
    <w:basedOn w:val="DefaultParagraphFont"/>
    <w:link w:val="AppelnotedebasdepageCharChar1CharChar"/>
    <w:uiPriority w:val="99"/>
    <w:unhideWhenUsed/>
    <w:rsid w:val="009B50A2"/>
    <w:rPr>
      <w:vertAlign w:val="superscript"/>
    </w:rPr>
  </w:style>
  <w:style w:type="paragraph" w:styleId="Header">
    <w:name w:val="header"/>
    <w:basedOn w:val="Normal"/>
    <w:link w:val="HeaderChar"/>
    <w:uiPriority w:val="99"/>
    <w:unhideWhenUsed/>
    <w:rsid w:val="007604FD"/>
    <w:pPr>
      <w:tabs>
        <w:tab w:val="center" w:pos="4513"/>
        <w:tab w:val="right" w:pos="9026"/>
      </w:tabs>
    </w:pPr>
  </w:style>
  <w:style w:type="character" w:customStyle="1" w:styleId="HeaderChar">
    <w:name w:val="Header Char"/>
    <w:basedOn w:val="DefaultParagraphFont"/>
    <w:link w:val="Header"/>
    <w:uiPriority w:val="99"/>
    <w:rsid w:val="007604FD"/>
  </w:style>
  <w:style w:type="paragraph" w:styleId="Footer">
    <w:name w:val="footer"/>
    <w:basedOn w:val="Normal"/>
    <w:link w:val="FooterChar"/>
    <w:uiPriority w:val="99"/>
    <w:unhideWhenUsed/>
    <w:rsid w:val="007604FD"/>
    <w:pPr>
      <w:tabs>
        <w:tab w:val="center" w:pos="4513"/>
        <w:tab w:val="right" w:pos="9026"/>
      </w:tabs>
    </w:pPr>
  </w:style>
  <w:style w:type="character" w:customStyle="1" w:styleId="FooterChar">
    <w:name w:val="Footer Char"/>
    <w:basedOn w:val="DefaultParagraphFont"/>
    <w:link w:val="Footer"/>
    <w:uiPriority w:val="99"/>
    <w:rsid w:val="007604FD"/>
  </w:style>
  <w:style w:type="paragraph" w:customStyle="1" w:styleId="AppelnotedebasdepageCharChar1CharChar">
    <w:name w:val="Appel note de bas de page Char Char1 Char Char"/>
    <w:aliases w:val="Appel note de bas de page Char1 Char Char Char2 Char,Marque note bas de page Char1 Char Char1 Char Char1,Appel note de bas de page Char2 Char Char Char1 Char Char Char Char"/>
    <w:basedOn w:val="Normal"/>
    <w:link w:val="FootnoteReference"/>
    <w:uiPriority w:val="99"/>
    <w:rsid w:val="00853DC4"/>
    <w:rPr>
      <w:vertAlign w:val="superscript"/>
    </w:rPr>
  </w:style>
  <w:style w:type="character" w:styleId="Hyperlink">
    <w:name w:val="Hyperlink"/>
    <w:basedOn w:val="DefaultParagraphFont"/>
    <w:uiPriority w:val="99"/>
    <w:unhideWhenUsed/>
    <w:rsid w:val="00A54C04"/>
    <w:rPr>
      <w:color w:val="0563C1" w:themeColor="hyperlink"/>
      <w:u w:val="single"/>
    </w:rPr>
  </w:style>
  <w:style w:type="paragraph" w:styleId="Caption">
    <w:name w:val="caption"/>
    <w:basedOn w:val="Normal"/>
    <w:next w:val="Normal"/>
    <w:uiPriority w:val="35"/>
    <w:unhideWhenUsed/>
    <w:qFormat/>
    <w:rsid w:val="00A54C04"/>
    <w:pPr>
      <w:spacing w:after="200"/>
    </w:pPr>
    <w:rPr>
      <w:rFonts w:eastAsiaTheme="minorEastAsia"/>
      <w:i/>
      <w:iCs/>
      <w:color w:val="44546A" w:themeColor="text2"/>
      <w:sz w:val="18"/>
      <w:szCs w:val="18"/>
    </w:rPr>
  </w:style>
  <w:style w:type="paragraph" w:styleId="EndnoteText">
    <w:name w:val="endnote text"/>
    <w:basedOn w:val="Normal"/>
    <w:link w:val="EndnoteTextChar"/>
    <w:uiPriority w:val="99"/>
    <w:semiHidden/>
    <w:unhideWhenUsed/>
    <w:rsid w:val="00A54C04"/>
    <w:rPr>
      <w:sz w:val="20"/>
      <w:szCs w:val="20"/>
    </w:rPr>
  </w:style>
  <w:style w:type="character" w:customStyle="1" w:styleId="EndnoteTextChar">
    <w:name w:val="Endnote Text Char"/>
    <w:basedOn w:val="DefaultParagraphFont"/>
    <w:link w:val="EndnoteText"/>
    <w:uiPriority w:val="99"/>
    <w:semiHidden/>
    <w:rsid w:val="00A54C04"/>
    <w:rPr>
      <w:sz w:val="20"/>
      <w:szCs w:val="20"/>
    </w:rPr>
  </w:style>
  <w:style w:type="character" w:styleId="EndnoteReference">
    <w:name w:val="endnote reference"/>
    <w:basedOn w:val="DefaultParagraphFont"/>
    <w:uiPriority w:val="99"/>
    <w:semiHidden/>
    <w:unhideWhenUsed/>
    <w:rsid w:val="00A54C04"/>
    <w:rPr>
      <w:vertAlign w:val="superscript"/>
    </w:rPr>
  </w:style>
  <w:style w:type="character" w:styleId="CommentReference">
    <w:name w:val="annotation reference"/>
    <w:basedOn w:val="DefaultParagraphFont"/>
    <w:uiPriority w:val="99"/>
    <w:semiHidden/>
    <w:unhideWhenUsed/>
    <w:rsid w:val="00A54C04"/>
    <w:rPr>
      <w:sz w:val="16"/>
      <w:szCs w:val="16"/>
    </w:rPr>
  </w:style>
  <w:style w:type="paragraph" w:styleId="CommentText">
    <w:name w:val="annotation text"/>
    <w:basedOn w:val="Normal"/>
    <w:link w:val="CommentTextChar"/>
    <w:uiPriority w:val="99"/>
    <w:semiHidden/>
    <w:unhideWhenUsed/>
    <w:rsid w:val="00A54C04"/>
    <w:rPr>
      <w:sz w:val="20"/>
      <w:szCs w:val="20"/>
    </w:rPr>
  </w:style>
  <w:style w:type="character" w:customStyle="1" w:styleId="CommentTextChar">
    <w:name w:val="Comment Text Char"/>
    <w:basedOn w:val="DefaultParagraphFont"/>
    <w:link w:val="CommentText"/>
    <w:uiPriority w:val="99"/>
    <w:semiHidden/>
    <w:rsid w:val="00A54C04"/>
    <w:rPr>
      <w:sz w:val="20"/>
      <w:szCs w:val="20"/>
    </w:rPr>
  </w:style>
  <w:style w:type="paragraph" w:styleId="BalloonText">
    <w:name w:val="Balloon Text"/>
    <w:basedOn w:val="Normal"/>
    <w:link w:val="BalloonTextChar"/>
    <w:uiPriority w:val="99"/>
    <w:semiHidden/>
    <w:unhideWhenUsed/>
    <w:rsid w:val="00A54C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4C04"/>
    <w:rPr>
      <w:rFonts w:ascii="Times New Roman" w:hAnsi="Times New Roman" w:cs="Times New Roman"/>
      <w:sz w:val="18"/>
      <w:szCs w:val="18"/>
    </w:rPr>
  </w:style>
  <w:style w:type="character" w:customStyle="1" w:styleId="Heading1Char">
    <w:name w:val="Heading 1 Char"/>
    <w:basedOn w:val="DefaultParagraphFont"/>
    <w:link w:val="Heading1"/>
    <w:uiPriority w:val="9"/>
    <w:rsid w:val="00B53E7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E7994"/>
    <w:rPr>
      <w:color w:val="605E5C"/>
      <w:shd w:val="clear" w:color="auto" w:fill="E1DFDD"/>
    </w:rPr>
  </w:style>
  <w:style w:type="paragraph" w:customStyle="1" w:styleId="EndNoteBibliographyTitle">
    <w:name w:val="EndNote Bibliography Title"/>
    <w:basedOn w:val="Normal"/>
    <w:link w:val="EndNoteBibliographyTitleChar"/>
    <w:rsid w:val="00BC23B6"/>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BC23B6"/>
    <w:rPr>
      <w:rFonts w:ascii="Calibri" w:hAnsi="Calibri" w:cs="Calibri"/>
      <w:lang w:val="en-US"/>
    </w:rPr>
  </w:style>
  <w:style w:type="paragraph" w:customStyle="1" w:styleId="EndNoteBibliography">
    <w:name w:val="EndNote Bibliography"/>
    <w:basedOn w:val="Normal"/>
    <w:link w:val="EndNoteBibliographyChar"/>
    <w:rsid w:val="00BC23B6"/>
    <w:rPr>
      <w:rFonts w:ascii="Calibri" w:hAnsi="Calibri" w:cs="Calibri"/>
      <w:lang w:val="en-US"/>
    </w:rPr>
  </w:style>
  <w:style w:type="character" w:customStyle="1" w:styleId="EndNoteBibliographyChar">
    <w:name w:val="EndNote Bibliography Char"/>
    <w:basedOn w:val="DefaultParagraphFont"/>
    <w:link w:val="EndNoteBibliography"/>
    <w:rsid w:val="00BC23B6"/>
    <w:rPr>
      <w:rFonts w:ascii="Calibri" w:hAnsi="Calibri" w:cs="Calibri"/>
      <w:lang w:val="en-US"/>
    </w:rPr>
  </w:style>
  <w:style w:type="character" w:customStyle="1" w:styleId="Heading2Char">
    <w:name w:val="Heading 2 Char"/>
    <w:basedOn w:val="DefaultParagraphFont"/>
    <w:link w:val="Heading2"/>
    <w:uiPriority w:val="9"/>
    <w:rsid w:val="00260796"/>
    <w:rPr>
      <w:rFonts w:ascii="Garamond" w:eastAsiaTheme="majorEastAsia" w:hAnsi="Garamond" w:cstheme="majorBidi"/>
      <w:i/>
      <w:color w:val="2F5496" w:themeColor="accent1" w:themeShade="BF"/>
      <w:sz w:val="26"/>
      <w:szCs w:val="26"/>
    </w:rPr>
  </w:style>
  <w:style w:type="character" w:styleId="PageNumber">
    <w:name w:val="page number"/>
    <w:basedOn w:val="DefaultParagraphFont"/>
    <w:uiPriority w:val="99"/>
    <w:semiHidden/>
    <w:unhideWhenUsed/>
    <w:rsid w:val="005F4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7984">
      <w:bodyDiv w:val="1"/>
      <w:marLeft w:val="0"/>
      <w:marRight w:val="0"/>
      <w:marTop w:val="0"/>
      <w:marBottom w:val="0"/>
      <w:divBdr>
        <w:top w:val="none" w:sz="0" w:space="0" w:color="auto"/>
        <w:left w:val="none" w:sz="0" w:space="0" w:color="auto"/>
        <w:bottom w:val="none" w:sz="0" w:space="0" w:color="auto"/>
        <w:right w:val="none" w:sz="0" w:space="0" w:color="auto"/>
      </w:divBdr>
    </w:div>
    <w:div w:id="107239294">
      <w:bodyDiv w:val="1"/>
      <w:marLeft w:val="0"/>
      <w:marRight w:val="0"/>
      <w:marTop w:val="0"/>
      <w:marBottom w:val="0"/>
      <w:divBdr>
        <w:top w:val="none" w:sz="0" w:space="0" w:color="auto"/>
        <w:left w:val="none" w:sz="0" w:space="0" w:color="auto"/>
        <w:bottom w:val="none" w:sz="0" w:space="0" w:color="auto"/>
        <w:right w:val="none" w:sz="0" w:space="0" w:color="auto"/>
      </w:divBdr>
    </w:div>
    <w:div w:id="243148783">
      <w:bodyDiv w:val="1"/>
      <w:marLeft w:val="0"/>
      <w:marRight w:val="0"/>
      <w:marTop w:val="0"/>
      <w:marBottom w:val="0"/>
      <w:divBdr>
        <w:top w:val="none" w:sz="0" w:space="0" w:color="auto"/>
        <w:left w:val="none" w:sz="0" w:space="0" w:color="auto"/>
        <w:bottom w:val="none" w:sz="0" w:space="0" w:color="auto"/>
        <w:right w:val="none" w:sz="0" w:space="0" w:color="auto"/>
      </w:divBdr>
    </w:div>
    <w:div w:id="354311579">
      <w:bodyDiv w:val="1"/>
      <w:marLeft w:val="0"/>
      <w:marRight w:val="0"/>
      <w:marTop w:val="0"/>
      <w:marBottom w:val="0"/>
      <w:divBdr>
        <w:top w:val="none" w:sz="0" w:space="0" w:color="auto"/>
        <w:left w:val="none" w:sz="0" w:space="0" w:color="auto"/>
        <w:bottom w:val="none" w:sz="0" w:space="0" w:color="auto"/>
        <w:right w:val="none" w:sz="0" w:space="0" w:color="auto"/>
      </w:divBdr>
    </w:div>
    <w:div w:id="459155905">
      <w:bodyDiv w:val="1"/>
      <w:marLeft w:val="0"/>
      <w:marRight w:val="0"/>
      <w:marTop w:val="0"/>
      <w:marBottom w:val="0"/>
      <w:divBdr>
        <w:top w:val="none" w:sz="0" w:space="0" w:color="auto"/>
        <w:left w:val="none" w:sz="0" w:space="0" w:color="auto"/>
        <w:bottom w:val="none" w:sz="0" w:space="0" w:color="auto"/>
        <w:right w:val="none" w:sz="0" w:space="0" w:color="auto"/>
      </w:divBdr>
    </w:div>
    <w:div w:id="512573271">
      <w:bodyDiv w:val="1"/>
      <w:marLeft w:val="0"/>
      <w:marRight w:val="0"/>
      <w:marTop w:val="0"/>
      <w:marBottom w:val="0"/>
      <w:divBdr>
        <w:top w:val="none" w:sz="0" w:space="0" w:color="auto"/>
        <w:left w:val="none" w:sz="0" w:space="0" w:color="auto"/>
        <w:bottom w:val="none" w:sz="0" w:space="0" w:color="auto"/>
        <w:right w:val="none" w:sz="0" w:space="0" w:color="auto"/>
      </w:divBdr>
    </w:div>
    <w:div w:id="549847297">
      <w:bodyDiv w:val="1"/>
      <w:marLeft w:val="0"/>
      <w:marRight w:val="0"/>
      <w:marTop w:val="0"/>
      <w:marBottom w:val="0"/>
      <w:divBdr>
        <w:top w:val="none" w:sz="0" w:space="0" w:color="auto"/>
        <w:left w:val="none" w:sz="0" w:space="0" w:color="auto"/>
        <w:bottom w:val="none" w:sz="0" w:space="0" w:color="auto"/>
        <w:right w:val="none" w:sz="0" w:space="0" w:color="auto"/>
      </w:divBdr>
    </w:div>
    <w:div w:id="553852623">
      <w:bodyDiv w:val="1"/>
      <w:marLeft w:val="0"/>
      <w:marRight w:val="0"/>
      <w:marTop w:val="0"/>
      <w:marBottom w:val="0"/>
      <w:divBdr>
        <w:top w:val="none" w:sz="0" w:space="0" w:color="auto"/>
        <w:left w:val="none" w:sz="0" w:space="0" w:color="auto"/>
        <w:bottom w:val="none" w:sz="0" w:space="0" w:color="auto"/>
        <w:right w:val="none" w:sz="0" w:space="0" w:color="auto"/>
      </w:divBdr>
    </w:div>
    <w:div w:id="880244577">
      <w:bodyDiv w:val="1"/>
      <w:marLeft w:val="0"/>
      <w:marRight w:val="0"/>
      <w:marTop w:val="0"/>
      <w:marBottom w:val="0"/>
      <w:divBdr>
        <w:top w:val="none" w:sz="0" w:space="0" w:color="auto"/>
        <w:left w:val="none" w:sz="0" w:space="0" w:color="auto"/>
        <w:bottom w:val="none" w:sz="0" w:space="0" w:color="auto"/>
        <w:right w:val="none" w:sz="0" w:space="0" w:color="auto"/>
      </w:divBdr>
    </w:div>
    <w:div w:id="1069887797">
      <w:bodyDiv w:val="1"/>
      <w:marLeft w:val="0"/>
      <w:marRight w:val="0"/>
      <w:marTop w:val="0"/>
      <w:marBottom w:val="0"/>
      <w:divBdr>
        <w:top w:val="none" w:sz="0" w:space="0" w:color="auto"/>
        <w:left w:val="none" w:sz="0" w:space="0" w:color="auto"/>
        <w:bottom w:val="none" w:sz="0" w:space="0" w:color="auto"/>
        <w:right w:val="none" w:sz="0" w:space="0" w:color="auto"/>
      </w:divBdr>
      <w:divsChild>
        <w:div w:id="125700653">
          <w:marLeft w:val="0"/>
          <w:marRight w:val="150"/>
          <w:marTop w:val="0"/>
          <w:marBottom w:val="150"/>
          <w:divBdr>
            <w:top w:val="none" w:sz="0" w:space="0" w:color="auto"/>
            <w:left w:val="none" w:sz="0" w:space="0" w:color="auto"/>
            <w:bottom w:val="none" w:sz="0" w:space="0" w:color="auto"/>
            <w:right w:val="none" w:sz="0" w:space="0" w:color="auto"/>
          </w:divBdr>
          <w:divsChild>
            <w:div w:id="475608692">
              <w:marLeft w:val="60"/>
              <w:marRight w:val="0"/>
              <w:marTop w:val="0"/>
              <w:marBottom w:val="0"/>
              <w:divBdr>
                <w:top w:val="none" w:sz="0" w:space="0" w:color="auto"/>
                <w:left w:val="none" w:sz="0" w:space="0" w:color="auto"/>
                <w:bottom w:val="none" w:sz="0" w:space="0" w:color="auto"/>
                <w:right w:val="none" w:sz="0" w:space="0" w:color="auto"/>
              </w:divBdr>
              <w:divsChild>
                <w:div w:id="264271184">
                  <w:marLeft w:val="0"/>
                  <w:marRight w:val="0"/>
                  <w:marTop w:val="0"/>
                  <w:marBottom w:val="0"/>
                  <w:divBdr>
                    <w:top w:val="none" w:sz="0" w:space="0" w:color="auto"/>
                    <w:left w:val="none" w:sz="0" w:space="0" w:color="auto"/>
                    <w:bottom w:val="none" w:sz="0" w:space="0" w:color="auto"/>
                    <w:right w:val="none" w:sz="0" w:space="0" w:color="auto"/>
                  </w:divBdr>
                  <w:divsChild>
                    <w:div w:id="1306273732">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0737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66879">
          <w:marLeft w:val="0"/>
          <w:marRight w:val="150"/>
          <w:marTop w:val="0"/>
          <w:marBottom w:val="150"/>
          <w:divBdr>
            <w:top w:val="none" w:sz="0" w:space="0" w:color="auto"/>
            <w:left w:val="none" w:sz="0" w:space="0" w:color="auto"/>
            <w:bottom w:val="none" w:sz="0" w:space="0" w:color="auto"/>
            <w:right w:val="none" w:sz="0" w:space="0" w:color="auto"/>
          </w:divBdr>
          <w:divsChild>
            <w:div w:id="1822189292">
              <w:marLeft w:val="60"/>
              <w:marRight w:val="0"/>
              <w:marTop w:val="0"/>
              <w:marBottom w:val="0"/>
              <w:divBdr>
                <w:top w:val="none" w:sz="0" w:space="0" w:color="auto"/>
                <w:left w:val="none" w:sz="0" w:space="0" w:color="auto"/>
                <w:bottom w:val="none" w:sz="0" w:space="0" w:color="auto"/>
                <w:right w:val="none" w:sz="0" w:space="0" w:color="auto"/>
              </w:divBdr>
              <w:divsChild>
                <w:div w:id="42338317">
                  <w:marLeft w:val="0"/>
                  <w:marRight w:val="0"/>
                  <w:marTop w:val="0"/>
                  <w:marBottom w:val="0"/>
                  <w:divBdr>
                    <w:top w:val="none" w:sz="0" w:space="0" w:color="auto"/>
                    <w:left w:val="none" w:sz="0" w:space="0" w:color="auto"/>
                    <w:bottom w:val="none" w:sz="0" w:space="0" w:color="auto"/>
                    <w:right w:val="none" w:sz="0" w:space="0" w:color="auto"/>
                  </w:divBdr>
                  <w:divsChild>
                    <w:div w:id="1636794015">
                      <w:marLeft w:val="0"/>
                      <w:marRight w:val="0"/>
                      <w:marTop w:val="0"/>
                      <w:marBottom w:val="0"/>
                      <w:divBdr>
                        <w:top w:val="none" w:sz="0" w:space="0" w:color="auto"/>
                        <w:left w:val="none" w:sz="0" w:space="0" w:color="auto"/>
                        <w:bottom w:val="none" w:sz="0" w:space="0" w:color="auto"/>
                        <w:right w:val="none" w:sz="0" w:space="0" w:color="auto"/>
                      </w:divBdr>
                    </w:div>
                    <w:div w:id="1464810760">
                      <w:marLeft w:val="0"/>
                      <w:marRight w:val="0"/>
                      <w:marTop w:val="0"/>
                      <w:marBottom w:val="0"/>
                      <w:divBdr>
                        <w:top w:val="none" w:sz="0" w:space="0" w:color="auto"/>
                        <w:left w:val="none" w:sz="0" w:space="0" w:color="auto"/>
                        <w:bottom w:val="none" w:sz="0" w:space="0" w:color="auto"/>
                        <w:right w:val="none" w:sz="0" w:space="0" w:color="auto"/>
                      </w:divBdr>
                    </w:div>
                  </w:divsChild>
                </w:div>
                <w:div w:id="1058749344">
                  <w:marLeft w:val="0"/>
                  <w:marRight w:val="0"/>
                  <w:marTop w:val="0"/>
                  <w:marBottom w:val="0"/>
                  <w:divBdr>
                    <w:top w:val="none" w:sz="0" w:space="0" w:color="auto"/>
                    <w:left w:val="none" w:sz="0" w:space="0" w:color="auto"/>
                    <w:bottom w:val="none" w:sz="0" w:space="0" w:color="auto"/>
                    <w:right w:val="none" w:sz="0" w:space="0" w:color="auto"/>
                  </w:divBdr>
                  <w:divsChild>
                    <w:div w:id="1296330414">
                      <w:marLeft w:val="0"/>
                      <w:marRight w:val="0"/>
                      <w:marTop w:val="0"/>
                      <w:marBottom w:val="0"/>
                      <w:divBdr>
                        <w:top w:val="none" w:sz="0" w:space="0" w:color="auto"/>
                        <w:left w:val="none" w:sz="0" w:space="0" w:color="auto"/>
                        <w:bottom w:val="none" w:sz="0" w:space="0" w:color="auto"/>
                        <w:right w:val="none" w:sz="0" w:space="0" w:color="auto"/>
                      </w:divBdr>
                      <w:divsChild>
                        <w:div w:id="1641494080">
                          <w:marLeft w:val="0"/>
                          <w:marRight w:val="0"/>
                          <w:marTop w:val="0"/>
                          <w:marBottom w:val="0"/>
                          <w:divBdr>
                            <w:top w:val="none" w:sz="0" w:space="0" w:color="auto"/>
                            <w:left w:val="none" w:sz="0" w:space="0" w:color="auto"/>
                            <w:bottom w:val="none" w:sz="0" w:space="0" w:color="auto"/>
                            <w:right w:val="none" w:sz="0" w:space="0" w:color="auto"/>
                          </w:divBdr>
                          <w:divsChild>
                            <w:div w:id="1462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2906">
                  <w:marLeft w:val="0"/>
                  <w:marRight w:val="0"/>
                  <w:marTop w:val="0"/>
                  <w:marBottom w:val="0"/>
                  <w:divBdr>
                    <w:top w:val="none" w:sz="0" w:space="0" w:color="auto"/>
                    <w:left w:val="none" w:sz="0" w:space="0" w:color="auto"/>
                    <w:bottom w:val="none" w:sz="0" w:space="0" w:color="auto"/>
                    <w:right w:val="none" w:sz="0" w:space="0" w:color="auto"/>
                  </w:divBdr>
                  <w:divsChild>
                    <w:div w:id="1036732813">
                      <w:marLeft w:val="0"/>
                      <w:marRight w:val="0"/>
                      <w:marTop w:val="0"/>
                      <w:marBottom w:val="0"/>
                      <w:divBdr>
                        <w:top w:val="none" w:sz="0" w:space="0" w:color="auto"/>
                        <w:left w:val="none" w:sz="0" w:space="0" w:color="auto"/>
                        <w:bottom w:val="none" w:sz="0" w:space="0" w:color="auto"/>
                        <w:right w:val="none" w:sz="0" w:space="0" w:color="auto"/>
                      </w:divBdr>
                      <w:divsChild>
                        <w:div w:id="638920501">
                          <w:marLeft w:val="0"/>
                          <w:marRight w:val="0"/>
                          <w:marTop w:val="0"/>
                          <w:marBottom w:val="0"/>
                          <w:divBdr>
                            <w:top w:val="none" w:sz="0" w:space="0" w:color="auto"/>
                            <w:left w:val="none" w:sz="0" w:space="0" w:color="auto"/>
                            <w:bottom w:val="none" w:sz="0" w:space="0" w:color="auto"/>
                            <w:right w:val="none" w:sz="0" w:space="0" w:color="auto"/>
                          </w:divBdr>
                          <w:divsChild>
                            <w:div w:id="1689521247">
                              <w:marLeft w:val="0"/>
                              <w:marRight w:val="0"/>
                              <w:marTop w:val="0"/>
                              <w:marBottom w:val="0"/>
                              <w:divBdr>
                                <w:top w:val="none" w:sz="0" w:space="0" w:color="auto"/>
                                <w:left w:val="none" w:sz="0" w:space="0" w:color="auto"/>
                                <w:bottom w:val="none" w:sz="0" w:space="0" w:color="auto"/>
                                <w:right w:val="none" w:sz="0" w:space="0" w:color="auto"/>
                              </w:divBdr>
                              <w:divsChild>
                                <w:div w:id="44070303">
                                  <w:marLeft w:val="0"/>
                                  <w:marRight w:val="0"/>
                                  <w:marTop w:val="0"/>
                                  <w:marBottom w:val="0"/>
                                  <w:divBdr>
                                    <w:top w:val="none" w:sz="0" w:space="0" w:color="auto"/>
                                    <w:left w:val="none" w:sz="0" w:space="0" w:color="auto"/>
                                    <w:bottom w:val="none" w:sz="0" w:space="0" w:color="auto"/>
                                    <w:right w:val="none" w:sz="0" w:space="0" w:color="auto"/>
                                  </w:divBdr>
                                </w:div>
                                <w:div w:id="2022775973">
                                  <w:marLeft w:val="0"/>
                                  <w:marRight w:val="0"/>
                                  <w:marTop w:val="0"/>
                                  <w:marBottom w:val="0"/>
                                  <w:divBdr>
                                    <w:top w:val="none" w:sz="0" w:space="0" w:color="auto"/>
                                    <w:left w:val="none" w:sz="0" w:space="0" w:color="auto"/>
                                    <w:bottom w:val="none" w:sz="0" w:space="0" w:color="auto"/>
                                    <w:right w:val="none" w:sz="0" w:space="0" w:color="auto"/>
                                  </w:divBdr>
                                </w:div>
                                <w:div w:id="1849826405">
                                  <w:marLeft w:val="0"/>
                                  <w:marRight w:val="0"/>
                                  <w:marTop w:val="0"/>
                                  <w:marBottom w:val="0"/>
                                  <w:divBdr>
                                    <w:top w:val="none" w:sz="0" w:space="0" w:color="auto"/>
                                    <w:left w:val="none" w:sz="0" w:space="0" w:color="auto"/>
                                    <w:bottom w:val="none" w:sz="0" w:space="0" w:color="auto"/>
                                    <w:right w:val="none" w:sz="0" w:space="0" w:color="auto"/>
                                  </w:divBdr>
                                </w:div>
                                <w:div w:id="1590771471">
                                  <w:marLeft w:val="0"/>
                                  <w:marRight w:val="0"/>
                                  <w:marTop w:val="0"/>
                                  <w:marBottom w:val="0"/>
                                  <w:divBdr>
                                    <w:top w:val="none" w:sz="0" w:space="0" w:color="auto"/>
                                    <w:left w:val="none" w:sz="0" w:space="0" w:color="auto"/>
                                    <w:bottom w:val="none" w:sz="0" w:space="0" w:color="auto"/>
                                    <w:right w:val="none" w:sz="0" w:space="0" w:color="auto"/>
                                  </w:divBdr>
                                </w:div>
                                <w:div w:id="863447650">
                                  <w:marLeft w:val="0"/>
                                  <w:marRight w:val="0"/>
                                  <w:marTop w:val="0"/>
                                  <w:marBottom w:val="0"/>
                                  <w:divBdr>
                                    <w:top w:val="none" w:sz="0" w:space="0" w:color="auto"/>
                                    <w:left w:val="none" w:sz="0" w:space="0" w:color="auto"/>
                                    <w:bottom w:val="none" w:sz="0" w:space="0" w:color="auto"/>
                                    <w:right w:val="none" w:sz="0" w:space="0" w:color="auto"/>
                                  </w:divBdr>
                                </w:div>
                                <w:div w:id="21317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330375">
          <w:marLeft w:val="0"/>
          <w:marRight w:val="150"/>
          <w:marTop w:val="0"/>
          <w:marBottom w:val="150"/>
          <w:divBdr>
            <w:top w:val="none" w:sz="0" w:space="0" w:color="auto"/>
            <w:left w:val="none" w:sz="0" w:space="0" w:color="auto"/>
            <w:bottom w:val="none" w:sz="0" w:space="0" w:color="auto"/>
            <w:right w:val="none" w:sz="0" w:space="0" w:color="auto"/>
          </w:divBdr>
          <w:divsChild>
            <w:div w:id="745811050">
              <w:marLeft w:val="60"/>
              <w:marRight w:val="0"/>
              <w:marTop w:val="0"/>
              <w:marBottom w:val="0"/>
              <w:divBdr>
                <w:top w:val="none" w:sz="0" w:space="0" w:color="auto"/>
                <w:left w:val="none" w:sz="0" w:space="0" w:color="auto"/>
                <w:bottom w:val="none" w:sz="0" w:space="0" w:color="auto"/>
                <w:right w:val="none" w:sz="0" w:space="0" w:color="auto"/>
              </w:divBdr>
              <w:divsChild>
                <w:div w:id="904024022">
                  <w:marLeft w:val="0"/>
                  <w:marRight w:val="0"/>
                  <w:marTop w:val="0"/>
                  <w:marBottom w:val="0"/>
                  <w:divBdr>
                    <w:top w:val="none" w:sz="0" w:space="0" w:color="auto"/>
                    <w:left w:val="none" w:sz="0" w:space="0" w:color="auto"/>
                    <w:bottom w:val="none" w:sz="0" w:space="0" w:color="auto"/>
                    <w:right w:val="none" w:sz="0" w:space="0" w:color="auto"/>
                  </w:divBdr>
                  <w:divsChild>
                    <w:div w:id="1318876780">
                      <w:marLeft w:val="0"/>
                      <w:marRight w:val="0"/>
                      <w:marTop w:val="0"/>
                      <w:marBottom w:val="0"/>
                      <w:divBdr>
                        <w:top w:val="none" w:sz="0" w:space="0" w:color="auto"/>
                        <w:left w:val="none" w:sz="0" w:space="0" w:color="auto"/>
                        <w:bottom w:val="none" w:sz="0" w:space="0" w:color="auto"/>
                        <w:right w:val="none" w:sz="0" w:space="0" w:color="auto"/>
                      </w:divBdr>
                    </w:div>
                    <w:div w:id="1171526872">
                      <w:marLeft w:val="0"/>
                      <w:marRight w:val="0"/>
                      <w:marTop w:val="0"/>
                      <w:marBottom w:val="0"/>
                      <w:divBdr>
                        <w:top w:val="none" w:sz="0" w:space="0" w:color="auto"/>
                        <w:left w:val="none" w:sz="0" w:space="0" w:color="auto"/>
                        <w:bottom w:val="none" w:sz="0" w:space="0" w:color="auto"/>
                        <w:right w:val="none" w:sz="0" w:space="0" w:color="auto"/>
                      </w:divBdr>
                    </w:div>
                  </w:divsChild>
                </w:div>
                <w:div w:id="1437943023">
                  <w:marLeft w:val="0"/>
                  <w:marRight w:val="0"/>
                  <w:marTop w:val="0"/>
                  <w:marBottom w:val="0"/>
                  <w:divBdr>
                    <w:top w:val="none" w:sz="0" w:space="0" w:color="auto"/>
                    <w:left w:val="none" w:sz="0" w:space="0" w:color="auto"/>
                    <w:bottom w:val="none" w:sz="0" w:space="0" w:color="auto"/>
                    <w:right w:val="none" w:sz="0" w:space="0" w:color="auto"/>
                  </w:divBdr>
                  <w:divsChild>
                    <w:div w:id="1406339759">
                      <w:marLeft w:val="0"/>
                      <w:marRight w:val="0"/>
                      <w:marTop w:val="0"/>
                      <w:marBottom w:val="0"/>
                      <w:divBdr>
                        <w:top w:val="none" w:sz="0" w:space="0" w:color="auto"/>
                        <w:left w:val="none" w:sz="0" w:space="0" w:color="auto"/>
                        <w:bottom w:val="none" w:sz="0" w:space="0" w:color="auto"/>
                        <w:right w:val="none" w:sz="0" w:space="0" w:color="auto"/>
                      </w:divBdr>
                      <w:divsChild>
                        <w:div w:id="439839607">
                          <w:marLeft w:val="0"/>
                          <w:marRight w:val="0"/>
                          <w:marTop w:val="0"/>
                          <w:marBottom w:val="0"/>
                          <w:divBdr>
                            <w:top w:val="none" w:sz="0" w:space="0" w:color="auto"/>
                            <w:left w:val="none" w:sz="0" w:space="0" w:color="auto"/>
                            <w:bottom w:val="none" w:sz="0" w:space="0" w:color="auto"/>
                            <w:right w:val="none" w:sz="0" w:space="0" w:color="auto"/>
                          </w:divBdr>
                          <w:divsChild>
                            <w:div w:id="19823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0858">
                  <w:marLeft w:val="0"/>
                  <w:marRight w:val="0"/>
                  <w:marTop w:val="0"/>
                  <w:marBottom w:val="0"/>
                  <w:divBdr>
                    <w:top w:val="none" w:sz="0" w:space="0" w:color="auto"/>
                    <w:left w:val="none" w:sz="0" w:space="0" w:color="auto"/>
                    <w:bottom w:val="none" w:sz="0" w:space="0" w:color="auto"/>
                    <w:right w:val="none" w:sz="0" w:space="0" w:color="auto"/>
                  </w:divBdr>
                  <w:divsChild>
                    <w:div w:id="1289626033">
                      <w:marLeft w:val="0"/>
                      <w:marRight w:val="0"/>
                      <w:marTop w:val="0"/>
                      <w:marBottom w:val="0"/>
                      <w:divBdr>
                        <w:top w:val="none" w:sz="0" w:space="0" w:color="auto"/>
                        <w:left w:val="none" w:sz="0" w:space="0" w:color="auto"/>
                        <w:bottom w:val="none" w:sz="0" w:space="0" w:color="auto"/>
                        <w:right w:val="none" w:sz="0" w:space="0" w:color="auto"/>
                      </w:divBdr>
                      <w:divsChild>
                        <w:div w:id="1726752619">
                          <w:marLeft w:val="0"/>
                          <w:marRight w:val="0"/>
                          <w:marTop w:val="0"/>
                          <w:marBottom w:val="0"/>
                          <w:divBdr>
                            <w:top w:val="none" w:sz="0" w:space="0" w:color="auto"/>
                            <w:left w:val="none" w:sz="0" w:space="0" w:color="auto"/>
                            <w:bottom w:val="none" w:sz="0" w:space="0" w:color="auto"/>
                            <w:right w:val="none" w:sz="0" w:space="0" w:color="auto"/>
                          </w:divBdr>
                          <w:divsChild>
                            <w:div w:id="183134682">
                              <w:marLeft w:val="0"/>
                              <w:marRight w:val="0"/>
                              <w:marTop w:val="0"/>
                              <w:marBottom w:val="0"/>
                              <w:divBdr>
                                <w:top w:val="none" w:sz="0" w:space="0" w:color="auto"/>
                                <w:left w:val="none" w:sz="0" w:space="0" w:color="auto"/>
                                <w:bottom w:val="none" w:sz="0" w:space="0" w:color="auto"/>
                                <w:right w:val="none" w:sz="0" w:space="0" w:color="auto"/>
                              </w:divBdr>
                              <w:divsChild>
                                <w:div w:id="2773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476786">
      <w:bodyDiv w:val="1"/>
      <w:marLeft w:val="0"/>
      <w:marRight w:val="0"/>
      <w:marTop w:val="0"/>
      <w:marBottom w:val="0"/>
      <w:divBdr>
        <w:top w:val="none" w:sz="0" w:space="0" w:color="auto"/>
        <w:left w:val="none" w:sz="0" w:space="0" w:color="auto"/>
        <w:bottom w:val="none" w:sz="0" w:space="0" w:color="auto"/>
        <w:right w:val="none" w:sz="0" w:space="0" w:color="auto"/>
      </w:divBdr>
    </w:div>
    <w:div w:id="1521238166">
      <w:bodyDiv w:val="1"/>
      <w:marLeft w:val="0"/>
      <w:marRight w:val="0"/>
      <w:marTop w:val="0"/>
      <w:marBottom w:val="0"/>
      <w:divBdr>
        <w:top w:val="none" w:sz="0" w:space="0" w:color="auto"/>
        <w:left w:val="none" w:sz="0" w:space="0" w:color="auto"/>
        <w:bottom w:val="none" w:sz="0" w:space="0" w:color="auto"/>
        <w:right w:val="none" w:sz="0" w:space="0" w:color="auto"/>
      </w:divBdr>
    </w:div>
    <w:div w:id="1901280902">
      <w:bodyDiv w:val="1"/>
      <w:marLeft w:val="0"/>
      <w:marRight w:val="0"/>
      <w:marTop w:val="0"/>
      <w:marBottom w:val="0"/>
      <w:divBdr>
        <w:top w:val="none" w:sz="0" w:space="0" w:color="auto"/>
        <w:left w:val="none" w:sz="0" w:space="0" w:color="auto"/>
        <w:bottom w:val="none" w:sz="0" w:space="0" w:color="auto"/>
        <w:right w:val="none" w:sz="0" w:space="0" w:color="auto"/>
      </w:divBdr>
    </w:div>
    <w:div w:id="193871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hyperlink" Target="https://www.ohchr.org/en/issues/truth/pages/truthIndex.aspx" TargetMode="External"/><Relationship Id="rId7" Type="http://schemas.openxmlformats.org/officeDocument/2006/relationships/image" Target="blob:https://web.whatsapp.com/65ef11e2-0695-43c2-98f0-52f89c87e8d5" TargetMode="External"/><Relationship Id="rId2" Type="http://schemas.openxmlformats.org/officeDocument/2006/relationships/hyperlink" Target="http://archivesproject.swisspeace.ch/" TargetMode="External"/><Relationship Id="rId1" Type="http://schemas.openxmlformats.org/officeDocument/2006/relationships/hyperlink" Target="https://www.ictj.org/gallery-items/documentation"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bstu.de/en/archives/about-the-archives/"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4A0B1-407F-0446-B576-5837E197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13160</Words>
  <Characters>75018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Redwood, Henry</dc:creator>
  <cp:keywords/>
  <dc:description/>
  <cp:lastModifiedBy>Redwood, Henry</cp:lastModifiedBy>
  <cp:revision>4</cp:revision>
  <cp:lastPrinted>2020-09-27T10:21:00Z</cp:lastPrinted>
  <dcterms:created xsi:type="dcterms:W3CDTF">2020-09-27T10:21:00Z</dcterms:created>
  <dcterms:modified xsi:type="dcterms:W3CDTF">2020-09-27T10:22:00Z</dcterms:modified>
</cp:coreProperties>
</file>