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2921" w:rsidRDefault="00392921">
      <w:pPr>
        <w:spacing w:line="200" w:lineRule="exact"/>
        <w:rPr>
          <w:rFonts w:ascii="Arial" w:eastAsia="Arial" w:hAnsi="Arial" w:cs="Arial"/>
          <w:color w:val="0000FF"/>
        </w:rPr>
      </w:pPr>
    </w:p>
    <w:p w:rsidR="00392921" w:rsidRDefault="00392921">
      <w:pPr>
        <w:sectPr w:rsidR="00392921">
          <w:type w:val="continuous"/>
          <w:pgSz w:w="11900" w:h="15862"/>
          <w:pgMar w:top="349" w:right="1340" w:bottom="0" w:left="1340" w:header="0" w:footer="0" w:gutter="0"/>
          <w:cols w:space="720" w:equalWidth="0">
            <w:col w:w="9220"/>
          </w:cols>
        </w:sectPr>
      </w:pPr>
    </w:p>
    <w:p w:rsidR="00392921" w:rsidRDefault="00DA308A">
      <w:pPr>
        <w:spacing w:line="273" w:lineRule="exact"/>
        <w:rPr>
          <w:sz w:val="20"/>
          <w:szCs w:val="20"/>
        </w:rPr>
      </w:pPr>
      <w:bookmarkStart w:id="0" w:name="page2"/>
      <w:bookmarkEnd w:id="0"/>
      <w:r>
        <w:rPr>
          <w:noProof/>
          <w:sz w:val="20"/>
          <w:szCs w:val="20"/>
        </w:rPr>
        <w:lastRenderedPageBreak/>
        <mc:AlternateContent>
          <mc:Choice Requires="wps">
            <w:drawing>
              <wp:anchor distT="0" distB="0" distL="114300" distR="114300" simplePos="0" relativeHeight="251654144" behindDoc="1" locked="0" layoutInCell="0" allowOverlap="1">
                <wp:simplePos x="0" y="0"/>
                <wp:positionH relativeFrom="page">
                  <wp:posOffset>629920</wp:posOffset>
                </wp:positionH>
                <wp:positionV relativeFrom="page">
                  <wp:posOffset>624205</wp:posOffset>
                </wp:positionV>
                <wp:extent cx="613791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4763"/>
                        </a:xfrm>
                        <a:prstGeom prst="line">
                          <a:avLst/>
                        </a:prstGeom>
                        <a:solidFill>
                          <a:srgbClr val="FFFFFF"/>
                        </a:solidFill>
                        <a:ln w="6479">
                          <a:solidFill>
                            <a:srgbClr val="000000"/>
                          </a:solidFill>
                          <a:miter lim="800000"/>
                          <a:headEnd/>
                          <a:tailEnd/>
                        </a:ln>
                      </wps:spPr>
                      <wps:bodyPr/>
                    </wps:wsp>
                  </a:graphicData>
                </a:graphic>
              </wp:anchor>
            </w:drawing>
          </mc:Choice>
          <mc:Fallback>
            <w:pict>
              <v:line w14:anchorId="304BEB1F" id="Shape 4"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49.6pt,49.15pt" to="532.9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" o:allowincell="f" filled="t" strokeweight=".17997mm">
                <v:stroke joinstyle="miter"/>
                <o:lock v:ext="edit" shapetype="f"/>
                <w10:wrap anchorx="page" anchory="page"/>
              </v:line>
            </w:pict>
          </mc:Fallback>
        </mc:AlternateContent>
      </w:r>
    </w:p>
    <w:p w:rsidR="00392921" w:rsidRDefault="00DA308A">
      <w:pPr>
        <w:spacing w:line="224" w:lineRule="auto"/>
        <w:ind w:right="450"/>
        <w:rPr>
          <w:sz w:val="20"/>
          <w:szCs w:val="20"/>
        </w:rPr>
      </w:pPr>
      <w:r>
        <w:rPr>
          <w:rFonts w:ascii="Arial" w:eastAsia="Arial" w:hAnsi="Arial" w:cs="Arial"/>
          <w:sz w:val="36"/>
          <w:szCs w:val="36"/>
        </w:rPr>
        <w:t xml:space="preserve">Treatment with folic acid ameliorated the histopathological alterations caused by </w:t>
      </w:r>
      <w:r>
        <w:rPr>
          <w:rFonts w:ascii="Arial" w:eastAsia="Arial" w:hAnsi="Arial" w:cs="Arial"/>
          <w:sz w:val="36"/>
          <w:szCs w:val="36"/>
        </w:rPr>
        <w:t>propylthiouracil-induced hypothyroid rat testes</w:t>
      </w: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31" w:lineRule="exact"/>
        <w:rPr>
          <w:sz w:val="20"/>
          <w:szCs w:val="20"/>
        </w:rPr>
      </w:pPr>
    </w:p>
    <w:p w:rsidR="00392921" w:rsidRDefault="00DA308A">
      <w:pPr>
        <w:spacing w:line="198" w:lineRule="auto"/>
        <w:ind w:right="470"/>
        <w:rPr>
          <w:sz w:val="20"/>
          <w:szCs w:val="20"/>
        </w:rPr>
      </w:pPr>
      <w:r>
        <w:rPr>
          <w:rFonts w:ascii="Arial" w:eastAsia="Arial" w:hAnsi="Arial" w:cs="Arial"/>
          <w:sz w:val="26"/>
          <w:szCs w:val="26"/>
        </w:rPr>
        <w:t>Ehab Tousson</w:t>
      </w:r>
      <w:r>
        <w:rPr>
          <w:rFonts w:ascii="Arial" w:eastAsia="Arial" w:hAnsi="Arial" w:cs="Arial"/>
          <w:sz w:val="34"/>
          <w:szCs w:val="34"/>
          <w:vertAlign w:val="superscript"/>
        </w:rPr>
        <w:t>1</w:t>
      </w:r>
      <w:r>
        <w:rPr>
          <w:rFonts w:ascii="Arial" w:eastAsia="Arial" w:hAnsi="Arial" w:cs="Arial"/>
          <w:sz w:val="26"/>
          <w:szCs w:val="26"/>
        </w:rPr>
        <w:t>, Ehab MM Ali</w:t>
      </w:r>
      <w:r>
        <w:rPr>
          <w:rFonts w:ascii="Arial" w:eastAsia="Arial" w:hAnsi="Arial" w:cs="Arial"/>
          <w:sz w:val="34"/>
          <w:szCs w:val="34"/>
          <w:vertAlign w:val="superscript"/>
        </w:rPr>
        <w:t>2</w:t>
      </w:r>
      <w:r>
        <w:rPr>
          <w:rFonts w:ascii="Arial" w:eastAsia="Arial" w:hAnsi="Arial" w:cs="Arial"/>
          <w:sz w:val="26"/>
          <w:szCs w:val="26"/>
        </w:rPr>
        <w:t>, Wafaa Ibrahim</w:t>
      </w:r>
      <w:r>
        <w:rPr>
          <w:rFonts w:ascii="Arial" w:eastAsia="Arial" w:hAnsi="Arial" w:cs="Arial"/>
          <w:sz w:val="34"/>
          <w:szCs w:val="34"/>
          <w:vertAlign w:val="superscript"/>
        </w:rPr>
        <w:t>3</w:t>
      </w:r>
      <w:r>
        <w:rPr>
          <w:rFonts w:ascii="Arial" w:eastAsia="Arial" w:hAnsi="Arial" w:cs="Arial"/>
          <w:sz w:val="26"/>
          <w:szCs w:val="26"/>
        </w:rPr>
        <w:t>, and Mohammed A Mansour</w:t>
      </w:r>
      <w:r>
        <w:rPr>
          <w:rFonts w:ascii="Arial" w:eastAsia="Arial" w:hAnsi="Arial" w:cs="Arial"/>
          <w:sz w:val="34"/>
          <w:szCs w:val="34"/>
          <w:vertAlign w:val="superscript"/>
        </w:rPr>
        <w:t>2</w:t>
      </w:r>
    </w:p>
    <w:p w:rsidR="00392921" w:rsidRDefault="00DA308A" w:rsidP="003803CD">
      <w:pPr>
        <w:spacing w:line="20" w:lineRule="exact"/>
        <w:rPr>
          <w:sz w:val="20"/>
          <w:szCs w:val="20"/>
        </w:rPr>
      </w:pPr>
      <w:r>
        <w:rPr>
          <w:sz w:val="20"/>
          <w:szCs w:val="20"/>
        </w:rPr>
        <w:br w:type="column"/>
      </w:r>
    </w:p>
    <w:p w:rsidR="00392921" w:rsidRDefault="00392921">
      <w:pPr>
        <w:sectPr w:rsidR="00392921">
          <w:pgSz w:w="11900" w:h="15876"/>
          <w:pgMar w:top="1127" w:right="1246" w:bottom="0" w:left="1000" w:header="0" w:footer="0" w:gutter="0"/>
          <w:cols w:num="2" w:space="720" w:equalWidth="0">
            <w:col w:w="6750" w:space="720"/>
            <w:col w:w="2190"/>
          </w:cols>
        </w:sectPr>
      </w:pPr>
    </w:p>
    <w:p w:rsidR="00392921" w:rsidRDefault="00392921">
      <w:pPr>
        <w:spacing w:line="200" w:lineRule="exact"/>
        <w:rPr>
          <w:sz w:val="20"/>
          <w:szCs w:val="20"/>
        </w:rPr>
      </w:pPr>
    </w:p>
    <w:p w:rsidR="00392921" w:rsidRDefault="00392921">
      <w:pPr>
        <w:spacing w:line="254" w:lineRule="exact"/>
        <w:rPr>
          <w:sz w:val="20"/>
          <w:szCs w:val="20"/>
        </w:rPr>
      </w:pPr>
    </w:p>
    <w:p w:rsidR="00392921" w:rsidRDefault="00DA308A">
      <w:pPr>
        <w:rPr>
          <w:sz w:val="20"/>
          <w:szCs w:val="20"/>
        </w:rPr>
      </w:pPr>
      <w:r>
        <w:rPr>
          <w:rFonts w:ascii="Arial" w:eastAsia="Arial" w:hAnsi="Arial" w:cs="Arial"/>
        </w:rPr>
        <w:t>Abstract</w:t>
      </w:r>
    </w:p>
    <w:p w:rsidR="00392921" w:rsidRDefault="00392921">
      <w:pPr>
        <w:spacing w:line="44" w:lineRule="exact"/>
        <w:rPr>
          <w:sz w:val="20"/>
          <w:szCs w:val="20"/>
        </w:rPr>
      </w:pPr>
    </w:p>
    <w:p w:rsidR="00392921" w:rsidRDefault="00DA308A">
      <w:pPr>
        <w:spacing w:line="269" w:lineRule="auto"/>
        <w:jc w:val="both"/>
        <w:rPr>
          <w:sz w:val="20"/>
          <w:szCs w:val="20"/>
        </w:rPr>
      </w:pPr>
      <w:r>
        <w:rPr>
          <w:rFonts w:ascii="Arial" w:eastAsia="Arial" w:hAnsi="Arial" w:cs="Arial"/>
          <w:sz w:val="20"/>
          <w:szCs w:val="20"/>
        </w:rPr>
        <w:t xml:space="preserve">Hypothyroidism is an underactive thyroid gland that cannot make enough thyroid hormone to keep the body running normally. Here we studied the </w:t>
      </w:r>
      <w:r>
        <w:rPr>
          <w:rFonts w:ascii="Arial" w:eastAsia="Arial" w:hAnsi="Arial" w:cs="Arial"/>
          <w:sz w:val="20"/>
          <w:szCs w:val="20"/>
        </w:rPr>
        <w:t>histopathological, immunohistochemical, and ultrastructural changes in the hypothyroid rat testes at the postpubertal stage, in addition to the ameliorating role of folic acid in enhancing spermatogenesis, boosting sperm concentration and building up the a</w:t>
      </w:r>
      <w:r>
        <w:rPr>
          <w:rFonts w:ascii="Arial" w:eastAsia="Arial" w:hAnsi="Arial" w:cs="Arial"/>
          <w:sz w:val="20"/>
          <w:szCs w:val="20"/>
        </w:rPr>
        <w:t>ntioxidant status against the oxidants. A total of 50 male albino rats were equally divided into 5 groups; the first and second groups comprised the control and folic acid groups, respectively; while the third group comprised the hypothyroid group in which</w:t>
      </w:r>
      <w:r>
        <w:rPr>
          <w:rFonts w:ascii="Arial" w:eastAsia="Arial" w:hAnsi="Arial" w:cs="Arial"/>
          <w:sz w:val="20"/>
          <w:szCs w:val="20"/>
        </w:rPr>
        <w:t xml:space="preserve"> rats received 6-n-propyl-2-thiouracil in drinking water for 6 weeks to induce hypothyroidism. The fourth and fifth groups comprised hypothyroid rats treated with folic acid for 4 weeks and dissected after 6 and 10 weeks, respectively. Testes in the hypoth</w:t>
      </w:r>
      <w:r>
        <w:rPr>
          <w:rFonts w:ascii="Arial" w:eastAsia="Arial" w:hAnsi="Arial" w:cs="Arial"/>
          <w:sz w:val="20"/>
          <w:szCs w:val="20"/>
        </w:rPr>
        <w:t>yroid rats showed marked morphological and histological changes in the seminiferous tubules with a reduction in sperm count. Our results indicate that hypothyroidism adversely affects spermatogenesis, suggesting that thyroid hormone might play an important</w:t>
      </w:r>
      <w:r>
        <w:rPr>
          <w:rFonts w:ascii="Arial" w:eastAsia="Arial" w:hAnsi="Arial" w:cs="Arial"/>
          <w:sz w:val="20"/>
          <w:szCs w:val="20"/>
        </w:rPr>
        <w:t xml:space="preserve"> role not only in controlling normal testicular development but also in maintaining normal testicular function and spermatogen-esis. Further, we suggested an ameliorating role of folic acid in the relief of testicular tissue from changes due to hypothyroid</w:t>
      </w:r>
      <w:r>
        <w:rPr>
          <w:rFonts w:ascii="Arial" w:eastAsia="Arial" w:hAnsi="Arial" w:cs="Arial"/>
          <w:sz w:val="20"/>
          <w:szCs w:val="20"/>
        </w:rPr>
        <w:t>ism. However, we found that the best results were found in cases where folic acid was used as an adjuvant therapy for returning to the euthyroid state.</w:t>
      </w:r>
    </w:p>
    <w:p w:rsidR="00392921" w:rsidRDefault="00392921">
      <w:pPr>
        <w:sectPr w:rsidR="00392921">
          <w:type w:val="continuous"/>
          <w:pgSz w:w="11900" w:h="15876"/>
          <w:pgMar w:top="1127" w:right="1246" w:bottom="0" w:left="1000" w:header="0" w:footer="0" w:gutter="0"/>
          <w:cols w:space="720" w:equalWidth="0">
            <w:col w:w="9660"/>
          </w:cols>
        </w:sectPr>
      </w:pPr>
    </w:p>
    <w:p w:rsidR="00392921" w:rsidRDefault="00392921">
      <w:pPr>
        <w:spacing w:line="320" w:lineRule="exact"/>
        <w:rPr>
          <w:sz w:val="20"/>
          <w:szCs w:val="20"/>
        </w:rPr>
      </w:pPr>
    </w:p>
    <w:p w:rsidR="00392921" w:rsidRDefault="00DA308A">
      <w:pPr>
        <w:rPr>
          <w:sz w:val="20"/>
          <w:szCs w:val="20"/>
        </w:rPr>
      </w:pPr>
      <w:r>
        <w:rPr>
          <w:rFonts w:ascii="Arial" w:eastAsia="Arial" w:hAnsi="Arial" w:cs="Arial"/>
        </w:rPr>
        <w:t>Keywords</w:t>
      </w:r>
    </w:p>
    <w:p w:rsidR="00392921" w:rsidRDefault="00392921">
      <w:pPr>
        <w:spacing w:line="40" w:lineRule="exact"/>
        <w:rPr>
          <w:sz w:val="20"/>
          <w:szCs w:val="20"/>
        </w:rPr>
      </w:pPr>
    </w:p>
    <w:p w:rsidR="00392921" w:rsidRDefault="00DA308A">
      <w:pPr>
        <w:rPr>
          <w:sz w:val="20"/>
          <w:szCs w:val="20"/>
        </w:rPr>
      </w:pPr>
      <w:r>
        <w:rPr>
          <w:rFonts w:ascii="Arial" w:eastAsia="Arial" w:hAnsi="Arial" w:cs="Arial"/>
          <w:sz w:val="19"/>
          <w:szCs w:val="19"/>
        </w:rPr>
        <w:t>Hypothyroidism, PTU, testes, spermatogenesis, TEM</w:t>
      </w:r>
    </w:p>
    <w:p w:rsidR="00392921" w:rsidRDefault="00392921">
      <w:pPr>
        <w:spacing w:line="200" w:lineRule="exact"/>
        <w:rPr>
          <w:sz w:val="20"/>
          <w:szCs w:val="20"/>
        </w:rPr>
      </w:pPr>
    </w:p>
    <w:p w:rsidR="00392921" w:rsidRDefault="00392921">
      <w:pPr>
        <w:spacing w:line="247" w:lineRule="exact"/>
        <w:rPr>
          <w:sz w:val="20"/>
          <w:szCs w:val="20"/>
        </w:rPr>
      </w:pPr>
    </w:p>
    <w:p w:rsidR="00392921" w:rsidRDefault="00DA308A">
      <w:pPr>
        <w:rPr>
          <w:sz w:val="20"/>
          <w:szCs w:val="20"/>
        </w:rPr>
      </w:pPr>
      <w:r>
        <w:rPr>
          <w:rFonts w:ascii="Arial" w:eastAsia="Arial" w:hAnsi="Arial" w:cs="Arial"/>
          <w:sz w:val="26"/>
          <w:szCs w:val="26"/>
        </w:rPr>
        <w:t>Introduction</w:t>
      </w:r>
    </w:p>
    <w:p w:rsidR="00392921" w:rsidRDefault="00392921">
      <w:pPr>
        <w:spacing w:line="122" w:lineRule="exact"/>
        <w:rPr>
          <w:sz w:val="20"/>
          <w:szCs w:val="20"/>
        </w:rPr>
      </w:pPr>
    </w:p>
    <w:p w:rsidR="00392921" w:rsidRDefault="00DA308A">
      <w:pPr>
        <w:spacing w:line="248" w:lineRule="auto"/>
        <w:jc w:val="both"/>
        <w:rPr>
          <w:sz w:val="20"/>
          <w:szCs w:val="20"/>
        </w:rPr>
      </w:pPr>
      <w:r>
        <w:rPr>
          <w:rFonts w:eastAsia="Times New Roman"/>
          <w:sz w:val="21"/>
          <w:szCs w:val="21"/>
        </w:rPr>
        <w:t>Hyp</w:t>
      </w:r>
      <w:r>
        <w:rPr>
          <w:rFonts w:eastAsia="Times New Roman"/>
          <w:sz w:val="21"/>
          <w:szCs w:val="21"/>
        </w:rPr>
        <w:t>othyroidism is an underactive thyroid gland that cannot make enough thyroid hormone to keep the body running normally. Appropriate level of thyroid hormone is essential for normal development and metabolism in most vertebrate tissues and altered thyroid st</w:t>
      </w:r>
      <w:r>
        <w:rPr>
          <w:rFonts w:eastAsia="Times New Roman"/>
          <w:sz w:val="21"/>
          <w:szCs w:val="21"/>
        </w:rPr>
        <w:t>atus has adverse impacts on them (Toshi-hiro, 2009). People are hypothyroid if they have too little thyroid hormone in the blood. Common causes are autoimmune disease, surgical removal of the thyr-oid, and radiation treatment. It is now established that tr</w:t>
      </w:r>
      <w:r>
        <w:rPr>
          <w:rFonts w:eastAsia="Times New Roman"/>
          <w:sz w:val="21"/>
          <w:szCs w:val="21"/>
        </w:rPr>
        <w:t>iiodothyronine (T</w:t>
      </w:r>
      <w:r>
        <w:rPr>
          <w:rFonts w:eastAsia="Times New Roman"/>
          <w:sz w:val="28"/>
          <w:szCs w:val="28"/>
          <w:vertAlign w:val="subscript"/>
        </w:rPr>
        <w:t>3</w:t>
      </w:r>
      <w:r>
        <w:rPr>
          <w:rFonts w:eastAsia="Times New Roman"/>
          <w:sz w:val="21"/>
          <w:szCs w:val="21"/>
        </w:rPr>
        <w:t>) regulates the maturation and growth of testis, in rats and other mammal species, by inhibiting the proliferation of immature Sertoli cells and stimulating their functional differentiation (Gereben et al., 2008; Jansen et al., 2007; Taru</w:t>
      </w:r>
      <w:r>
        <w:rPr>
          <w:rFonts w:eastAsia="Times New Roman"/>
          <w:sz w:val="21"/>
          <w:szCs w:val="21"/>
        </w:rPr>
        <w:t>lli</w:t>
      </w:r>
    </w:p>
    <w:p w:rsidR="00392921" w:rsidRDefault="00DA308A">
      <w:pPr>
        <w:spacing w:line="20" w:lineRule="exact"/>
        <w:rPr>
          <w:sz w:val="20"/>
          <w:szCs w:val="20"/>
        </w:rPr>
      </w:pPr>
      <w:r>
        <w:rPr>
          <w:sz w:val="20"/>
          <w:szCs w:val="20"/>
        </w:rPr>
        <w:br w:type="column"/>
      </w: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01" w:lineRule="exact"/>
        <w:rPr>
          <w:sz w:val="20"/>
          <w:szCs w:val="20"/>
        </w:rPr>
      </w:pPr>
    </w:p>
    <w:p w:rsidR="00392921" w:rsidRDefault="00DA308A">
      <w:pPr>
        <w:spacing w:line="247" w:lineRule="auto"/>
        <w:jc w:val="both"/>
        <w:rPr>
          <w:sz w:val="20"/>
          <w:szCs w:val="20"/>
        </w:rPr>
      </w:pPr>
      <w:r>
        <w:rPr>
          <w:rFonts w:eastAsia="Times New Roman"/>
          <w:sz w:val="21"/>
          <w:szCs w:val="21"/>
        </w:rPr>
        <w:t xml:space="preserve">et al., 2006; Toshihiro, 2009; Van Haaster et al., 1993). Also, thyroid hormone has been shown to play a critical role in the onset of Leydig cell differentiation and stimulation of steroidogenesis in postnatal rat testis (Lin et al., </w:t>
      </w:r>
      <w:r>
        <w:rPr>
          <w:rFonts w:eastAsia="Times New Roman"/>
          <w:sz w:val="21"/>
          <w:szCs w:val="21"/>
        </w:rPr>
        <w:t>2009; Mendis-Handagama and Ariyaratne,</w:t>
      </w:r>
    </w:p>
    <w:p w:rsidR="00392921" w:rsidRDefault="00DA308A">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3175</wp:posOffset>
            </wp:positionH>
            <wp:positionV relativeFrom="paragraph">
              <wp:posOffset>286385</wp:posOffset>
            </wp:positionV>
            <wp:extent cx="2992755" cy="57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992755" cy="5715"/>
                    </a:xfrm>
                    <a:prstGeom prst="rect">
                      <a:avLst/>
                    </a:prstGeom>
                    <a:noFill/>
                  </pic:spPr>
                </pic:pic>
              </a:graphicData>
            </a:graphic>
          </wp:anchor>
        </w:drawing>
      </w:r>
    </w:p>
    <w:p w:rsidR="00392921" w:rsidRDefault="00392921">
      <w:pPr>
        <w:spacing w:line="200" w:lineRule="exact"/>
        <w:rPr>
          <w:sz w:val="20"/>
          <w:szCs w:val="20"/>
        </w:rPr>
      </w:pPr>
    </w:p>
    <w:p w:rsidR="00392921" w:rsidRDefault="00392921">
      <w:pPr>
        <w:spacing w:line="361" w:lineRule="exact"/>
        <w:rPr>
          <w:sz w:val="20"/>
          <w:szCs w:val="20"/>
        </w:rPr>
      </w:pPr>
    </w:p>
    <w:p w:rsidR="00392921" w:rsidRDefault="00DA308A">
      <w:pPr>
        <w:spacing w:line="218" w:lineRule="auto"/>
        <w:jc w:val="both"/>
        <w:rPr>
          <w:sz w:val="20"/>
          <w:szCs w:val="20"/>
        </w:rPr>
      </w:pPr>
      <w:r>
        <w:rPr>
          <w:rFonts w:ascii="Arial" w:eastAsia="Arial" w:hAnsi="Arial" w:cs="Arial"/>
          <w:sz w:val="23"/>
          <w:szCs w:val="23"/>
          <w:vertAlign w:val="superscript"/>
        </w:rPr>
        <w:t>1</w:t>
      </w:r>
      <w:r>
        <w:rPr>
          <w:rFonts w:ascii="Arial" w:eastAsia="Arial" w:hAnsi="Arial" w:cs="Arial"/>
          <w:sz w:val="18"/>
          <w:szCs w:val="18"/>
        </w:rPr>
        <w:t>Department of Zoology, Faculty of Science, Tanta University, Tanta, Egypt</w:t>
      </w:r>
    </w:p>
    <w:p w:rsidR="00392921" w:rsidRDefault="00392921">
      <w:pPr>
        <w:spacing w:line="9" w:lineRule="exact"/>
        <w:rPr>
          <w:sz w:val="20"/>
          <w:szCs w:val="20"/>
        </w:rPr>
      </w:pPr>
    </w:p>
    <w:p w:rsidR="00392921" w:rsidRDefault="00DA308A">
      <w:pPr>
        <w:spacing w:line="218" w:lineRule="auto"/>
        <w:jc w:val="both"/>
        <w:rPr>
          <w:sz w:val="20"/>
          <w:szCs w:val="20"/>
        </w:rPr>
      </w:pPr>
      <w:r>
        <w:rPr>
          <w:rFonts w:ascii="Arial" w:eastAsia="Arial" w:hAnsi="Arial" w:cs="Arial"/>
          <w:sz w:val="23"/>
          <w:szCs w:val="23"/>
          <w:vertAlign w:val="superscript"/>
        </w:rPr>
        <w:t>2</w:t>
      </w:r>
      <w:r>
        <w:rPr>
          <w:rFonts w:ascii="Arial" w:eastAsia="Arial" w:hAnsi="Arial" w:cs="Arial"/>
          <w:sz w:val="18"/>
          <w:szCs w:val="18"/>
        </w:rPr>
        <w:t>Department of Medical Biochemistry, Faculty of Medicine, Tanta University, Tanta, Egypt</w:t>
      </w:r>
    </w:p>
    <w:p w:rsidR="00392921" w:rsidRDefault="00392921">
      <w:pPr>
        <w:spacing w:line="11" w:lineRule="exact"/>
        <w:rPr>
          <w:sz w:val="20"/>
          <w:szCs w:val="20"/>
        </w:rPr>
      </w:pPr>
    </w:p>
    <w:p w:rsidR="00392921" w:rsidRDefault="00DA308A">
      <w:pPr>
        <w:spacing w:line="218" w:lineRule="auto"/>
        <w:jc w:val="both"/>
        <w:rPr>
          <w:sz w:val="20"/>
          <w:szCs w:val="20"/>
        </w:rPr>
      </w:pPr>
      <w:r>
        <w:rPr>
          <w:rFonts w:ascii="Arial" w:eastAsia="Arial" w:hAnsi="Arial" w:cs="Arial"/>
          <w:sz w:val="23"/>
          <w:szCs w:val="23"/>
          <w:vertAlign w:val="superscript"/>
        </w:rPr>
        <w:t>3</w:t>
      </w:r>
      <w:r>
        <w:rPr>
          <w:rFonts w:ascii="Arial" w:eastAsia="Arial" w:hAnsi="Arial" w:cs="Arial"/>
          <w:sz w:val="18"/>
          <w:szCs w:val="18"/>
        </w:rPr>
        <w:t>Biochemistry Section, Department of Chemistry,</w:t>
      </w:r>
      <w:r>
        <w:rPr>
          <w:rFonts w:ascii="Arial" w:eastAsia="Arial" w:hAnsi="Arial" w:cs="Arial"/>
          <w:sz w:val="18"/>
          <w:szCs w:val="18"/>
        </w:rPr>
        <w:t xml:space="preserve"> Faculty of Science, Tanta University, Tanta, Egypt</w:t>
      </w:r>
    </w:p>
    <w:p w:rsidR="00392921" w:rsidRDefault="00392921">
      <w:pPr>
        <w:spacing w:line="212" w:lineRule="exact"/>
        <w:rPr>
          <w:sz w:val="20"/>
          <w:szCs w:val="20"/>
        </w:rPr>
      </w:pPr>
    </w:p>
    <w:p w:rsidR="00392921" w:rsidRDefault="00DA308A">
      <w:pPr>
        <w:rPr>
          <w:sz w:val="20"/>
          <w:szCs w:val="20"/>
        </w:rPr>
      </w:pPr>
      <w:r>
        <w:rPr>
          <w:rFonts w:ascii="Arial" w:eastAsia="Arial" w:hAnsi="Arial" w:cs="Arial"/>
          <w:sz w:val="18"/>
          <w:szCs w:val="18"/>
        </w:rPr>
        <w:t>Corresponding author:</w:t>
      </w:r>
    </w:p>
    <w:p w:rsidR="00392921" w:rsidRDefault="00392921">
      <w:pPr>
        <w:spacing w:line="36" w:lineRule="exact"/>
        <w:rPr>
          <w:sz w:val="20"/>
          <w:szCs w:val="20"/>
        </w:rPr>
      </w:pPr>
    </w:p>
    <w:p w:rsidR="00392921" w:rsidRDefault="00DA308A">
      <w:pPr>
        <w:rPr>
          <w:sz w:val="20"/>
          <w:szCs w:val="20"/>
        </w:rPr>
      </w:pPr>
      <w:r>
        <w:rPr>
          <w:rFonts w:ascii="Arial" w:eastAsia="Arial" w:hAnsi="Arial" w:cs="Arial"/>
          <w:sz w:val="16"/>
          <w:szCs w:val="16"/>
        </w:rPr>
        <w:t>Ehab Tousson, Department of Zoology, Faculty of Science, Tanta</w:t>
      </w:r>
    </w:p>
    <w:p w:rsidR="00392921" w:rsidRDefault="00392921">
      <w:pPr>
        <w:spacing w:line="12" w:lineRule="exact"/>
        <w:rPr>
          <w:sz w:val="20"/>
          <w:szCs w:val="20"/>
        </w:rPr>
      </w:pPr>
    </w:p>
    <w:p w:rsidR="00392921" w:rsidRDefault="00DA308A">
      <w:pPr>
        <w:rPr>
          <w:sz w:val="20"/>
          <w:szCs w:val="20"/>
        </w:rPr>
      </w:pPr>
      <w:r>
        <w:rPr>
          <w:rFonts w:ascii="Arial" w:eastAsia="Arial" w:hAnsi="Arial" w:cs="Arial"/>
          <w:sz w:val="18"/>
          <w:szCs w:val="18"/>
        </w:rPr>
        <w:t>University, Tanta 002040, Egypt</w:t>
      </w:r>
    </w:p>
    <w:p w:rsidR="00392921" w:rsidRDefault="00392921">
      <w:pPr>
        <w:spacing w:line="12" w:lineRule="exact"/>
        <w:rPr>
          <w:sz w:val="20"/>
          <w:szCs w:val="20"/>
        </w:rPr>
      </w:pPr>
    </w:p>
    <w:p w:rsidR="00392921" w:rsidRDefault="00DA308A">
      <w:pPr>
        <w:rPr>
          <w:sz w:val="20"/>
          <w:szCs w:val="20"/>
        </w:rPr>
      </w:pPr>
      <w:r>
        <w:rPr>
          <w:rFonts w:ascii="Arial" w:eastAsia="Arial" w:hAnsi="Arial" w:cs="Arial"/>
          <w:sz w:val="18"/>
          <w:szCs w:val="18"/>
        </w:rPr>
        <w:t>Email: toussonehab@yahoo.com</w:t>
      </w:r>
    </w:p>
    <w:p w:rsidR="00392921" w:rsidRDefault="00392921">
      <w:pPr>
        <w:spacing w:line="200" w:lineRule="exact"/>
        <w:rPr>
          <w:sz w:val="20"/>
          <w:szCs w:val="20"/>
        </w:rPr>
      </w:pPr>
    </w:p>
    <w:p w:rsidR="00392921" w:rsidRDefault="00392921">
      <w:pPr>
        <w:sectPr w:rsidR="00392921">
          <w:type w:val="continuous"/>
          <w:pgSz w:w="11900" w:h="15876"/>
          <w:pgMar w:top="1127" w:right="1246" w:bottom="0" w:left="1000" w:header="0" w:footer="0" w:gutter="0"/>
          <w:cols w:num="2" w:space="720" w:equalWidth="0">
            <w:col w:w="470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ectPr w:rsidR="00392921">
          <w:type w:val="continuous"/>
          <w:pgSz w:w="11900" w:h="15876"/>
          <w:pgMar w:top="1127" w:right="1246" w:bottom="0" w:left="1000" w:header="0" w:footer="0" w:gutter="0"/>
          <w:cols w:space="720" w:equalWidth="0">
            <w:col w:w="9660"/>
          </w:cols>
        </w:sectPr>
      </w:pPr>
    </w:p>
    <w:p w:rsidR="00392921" w:rsidRDefault="00392921">
      <w:pPr>
        <w:spacing w:line="2" w:lineRule="exact"/>
        <w:rPr>
          <w:sz w:val="20"/>
          <w:szCs w:val="20"/>
        </w:rPr>
      </w:pPr>
      <w:bookmarkStart w:id="1" w:name="page3"/>
      <w:bookmarkEnd w:id="1"/>
    </w:p>
    <w:tbl>
      <w:tblPr>
        <w:tblW w:w="9680" w:type="dxa"/>
        <w:tblLayout w:type="fixed"/>
        <w:tblCellMar>
          <w:left w:w="0" w:type="dxa"/>
          <w:right w:w="0" w:type="dxa"/>
        </w:tblCellMar>
        <w:tblLook w:val="04A0" w:firstRow="1" w:lastRow="0" w:firstColumn="1" w:lastColumn="0" w:noHBand="0" w:noVBand="1"/>
      </w:tblPr>
      <w:tblGrid>
        <w:gridCol w:w="5220"/>
        <w:gridCol w:w="4460"/>
      </w:tblGrid>
      <w:tr w:rsidR="00392921" w:rsidTr="003803CD">
        <w:trPr>
          <w:trHeight w:val="24"/>
        </w:trPr>
        <w:tc>
          <w:tcPr>
            <w:tcW w:w="5220" w:type="dxa"/>
            <w:tcBorders>
              <w:bottom w:val="single" w:sz="8" w:space="0" w:color="auto"/>
            </w:tcBorders>
            <w:vAlign w:val="bottom"/>
          </w:tcPr>
          <w:p w:rsidR="00392921" w:rsidRDefault="00392921">
            <w:pPr>
              <w:rPr>
                <w:sz w:val="2"/>
                <w:szCs w:val="2"/>
              </w:rPr>
            </w:pPr>
          </w:p>
        </w:tc>
        <w:tc>
          <w:tcPr>
            <w:tcW w:w="4460" w:type="dxa"/>
            <w:tcBorders>
              <w:bottom w:val="single" w:sz="8" w:space="0" w:color="auto"/>
            </w:tcBorders>
            <w:vAlign w:val="bottom"/>
          </w:tcPr>
          <w:p w:rsidR="00392921" w:rsidRDefault="00392921">
            <w:pPr>
              <w:rPr>
                <w:sz w:val="2"/>
                <w:szCs w:val="2"/>
              </w:rPr>
            </w:pPr>
          </w:p>
        </w:tc>
      </w:tr>
    </w:tbl>
    <w:p w:rsidR="00392921" w:rsidRDefault="00392921">
      <w:pPr>
        <w:spacing w:line="200" w:lineRule="exact"/>
        <w:rPr>
          <w:sz w:val="20"/>
          <w:szCs w:val="20"/>
        </w:rPr>
      </w:pPr>
    </w:p>
    <w:p w:rsidR="00392921" w:rsidRDefault="00392921">
      <w:pPr>
        <w:sectPr w:rsidR="00392921">
          <w:pgSz w:w="11900" w:h="15876"/>
          <w:pgMar w:top="732" w:right="986" w:bottom="0" w:left="1240" w:header="0" w:footer="0" w:gutter="0"/>
          <w:cols w:space="720" w:equalWidth="0">
            <w:col w:w="9680"/>
          </w:cols>
        </w:sectPr>
      </w:pPr>
    </w:p>
    <w:p w:rsidR="00392921" w:rsidRDefault="00392921">
      <w:pPr>
        <w:spacing w:line="202" w:lineRule="exact"/>
        <w:rPr>
          <w:sz w:val="20"/>
          <w:szCs w:val="20"/>
        </w:rPr>
      </w:pPr>
    </w:p>
    <w:p w:rsidR="00392921" w:rsidRDefault="00DA308A">
      <w:pPr>
        <w:spacing w:line="251" w:lineRule="auto"/>
        <w:jc w:val="both"/>
        <w:rPr>
          <w:sz w:val="20"/>
          <w:szCs w:val="20"/>
        </w:rPr>
      </w:pPr>
      <w:r>
        <w:rPr>
          <w:rFonts w:eastAsia="Times New Roman"/>
          <w:sz w:val="21"/>
          <w:szCs w:val="21"/>
        </w:rPr>
        <w:t>2005). Altered thyroid status, experimentally induc</w:t>
      </w:r>
      <w:r>
        <w:rPr>
          <w:rFonts w:eastAsia="Times New Roman"/>
          <w:sz w:val="21"/>
          <w:szCs w:val="21"/>
        </w:rPr>
        <w:t>ed or occurring in adult life, is frequently associated with some kind of sexual dysfunction and/or morphological testicular degeneration (Krassas et al., 2008a,b). Most experimental studies to date have focused on thyroid hormone effects on the developing</w:t>
      </w:r>
      <w:r>
        <w:rPr>
          <w:rFonts w:eastAsia="Times New Roman"/>
          <w:sz w:val="21"/>
          <w:szCs w:val="21"/>
        </w:rPr>
        <w:t xml:space="preserve"> testes, only limited data are available on its role in prepubertal rat testis function especially spermatogenesis.</w:t>
      </w:r>
    </w:p>
    <w:p w:rsidR="00392921" w:rsidRDefault="00392921">
      <w:pPr>
        <w:spacing w:line="51" w:lineRule="exact"/>
        <w:rPr>
          <w:sz w:val="20"/>
          <w:szCs w:val="20"/>
        </w:rPr>
      </w:pPr>
    </w:p>
    <w:p w:rsidR="00392921" w:rsidRDefault="00DA308A">
      <w:pPr>
        <w:spacing w:line="255" w:lineRule="auto"/>
        <w:ind w:firstLine="239"/>
        <w:jc w:val="both"/>
        <w:rPr>
          <w:sz w:val="20"/>
          <w:szCs w:val="20"/>
        </w:rPr>
      </w:pPr>
      <w:r>
        <w:rPr>
          <w:rFonts w:eastAsia="Times New Roman"/>
          <w:sz w:val="21"/>
          <w:szCs w:val="21"/>
        </w:rPr>
        <w:t xml:space="preserve">Spermatogenesis is influenced by a combination of endocrine, genetic, and environmental factors, includ-ing nutrition and </w:t>
      </w:r>
      <w:r>
        <w:rPr>
          <w:rFonts w:eastAsia="Times New Roman"/>
          <w:sz w:val="21"/>
          <w:szCs w:val="21"/>
        </w:rPr>
        <w:t>lifestyle (Kuroki et al., 1999; Wong et al., 2000). Evidence is increasing that nutritional factors are important in reproduction and thus in spermatogenesis as well. Of main interest are the B vitamins folate, cobalamin, and pyridoxine, which are involved</w:t>
      </w:r>
      <w:r>
        <w:rPr>
          <w:rFonts w:eastAsia="Times New Roman"/>
          <w:sz w:val="21"/>
          <w:szCs w:val="21"/>
        </w:rPr>
        <w:t xml:space="preserve"> in homocysteine metabolism. Folic acid (vitamin B9 or folacin) is essential for numerous bod-ily functions ranging from nucleotide biosynthesis to the remethylation of homocysteine. The human body needs folate to synthesize DNA, repair DNA, and methylate </w:t>
      </w:r>
      <w:r>
        <w:rPr>
          <w:rFonts w:eastAsia="Times New Roman"/>
          <w:sz w:val="21"/>
          <w:szCs w:val="21"/>
        </w:rPr>
        <w:t>DNA as well as to act as a cofactor in bio-logical reactions involving folate. It is especially important during the periods of rapid cell division and growth (Lucock, 2000). The efficiency of spermato-genesis depends on the proliferative activity of sper-</w:t>
      </w:r>
      <w:r>
        <w:rPr>
          <w:rFonts w:eastAsia="Times New Roman"/>
          <w:sz w:val="21"/>
          <w:szCs w:val="21"/>
        </w:rPr>
        <w:t>matogonia and the loss of germ cells during meiosis and spermatogenesis (Toshihiro, 2009).</w:t>
      </w:r>
    </w:p>
    <w:p w:rsidR="00392921" w:rsidRDefault="00392921">
      <w:pPr>
        <w:spacing w:line="47" w:lineRule="exact"/>
        <w:rPr>
          <w:sz w:val="20"/>
          <w:szCs w:val="20"/>
        </w:rPr>
      </w:pPr>
    </w:p>
    <w:p w:rsidR="00392921" w:rsidRDefault="00DA308A">
      <w:pPr>
        <w:spacing w:line="254" w:lineRule="auto"/>
        <w:ind w:firstLine="239"/>
        <w:jc w:val="both"/>
        <w:rPr>
          <w:sz w:val="20"/>
          <w:szCs w:val="20"/>
        </w:rPr>
      </w:pPr>
      <w:r>
        <w:rPr>
          <w:rFonts w:eastAsia="Times New Roman"/>
          <w:sz w:val="21"/>
          <w:szCs w:val="21"/>
        </w:rPr>
        <w:t>Folic acid has been reported to have an antioxidant power against reactive oxygen species (ROS) and an alleviating role in hyperhomocysteinemia and the associated e</w:t>
      </w:r>
      <w:r>
        <w:rPr>
          <w:rFonts w:eastAsia="Times New Roman"/>
          <w:sz w:val="21"/>
          <w:szCs w:val="21"/>
        </w:rPr>
        <w:t>ndothelial dysfunction. Also, progressive folate deficiency was suggested to develop with hypothyroidism (Diekman et al., 2001). This defi-ciency may be responsible for reduced sperm concen-tration (Wallock et al., 2001). Supporting this assumption, a high</w:t>
      </w:r>
      <w:r>
        <w:rPr>
          <w:rFonts w:eastAsia="Times New Roman"/>
          <w:sz w:val="21"/>
          <w:szCs w:val="21"/>
        </w:rPr>
        <w:t xml:space="preserve">-affinity folate-binding protein has been identified in human semen and prostate gland (Holm et al., 1991). This finding supports the connec-tion between folate status and male reproductive func-tion. This further illustrates the need for an intact folate </w:t>
      </w:r>
      <w:r>
        <w:rPr>
          <w:rFonts w:eastAsia="Times New Roman"/>
          <w:sz w:val="21"/>
          <w:szCs w:val="21"/>
        </w:rPr>
        <w:t>cycle to maintain normal spermatogenesis and the positive effect of folic acid on sperm parameters (Forges et al., 2007).</w:t>
      </w:r>
    </w:p>
    <w:p w:rsidR="00392921" w:rsidRDefault="00392921">
      <w:pPr>
        <w:spacing w:line="55" w:lineRule="exact"/>
        <w:rPr>
          <w:sz w:val="20"/>
          <w:szCs w:val="20"/>
        </w:rPr>
      </w:pPr>
    </w:p>
    <w:p w:rsidR="00392921" w:rsidRDefault="00DA308A">
      <w:pPr>
        <w:ind w:firstLine="239"/>
        <w:jc w:val="both"/>
        <w:rPr>
          <w:sz w:val="20"/>
          <w:szCs w:val="20"/>
        </w:rPr>
      </w:pPr>
      <w:r>
        <w:rPr>
          <w:rFonts w:eastAsia="Times New Roman"/>
          <w:sz w:val="21"/>
          <w:szCs w:val="21"/>
        </w:rPr>
        <w:t>The reversible goitrogen (6-n-propyl-2-thiouracil [PTU]) is known to inhibit thyroid hormone biosynth-esis and decrease the conversio</w:t>
      </w:r>
      <w:r>
        <w:rPr>
          <w:rFonts w:eastAsia="Times New Roman"/>
          <w:sz w:val="21"/>
          <w:szCs w:val="21"/>
        </w:rPr>
        <w:t>n of peripheral thyroxine (T</w:t>
      </w:r>
      <w:r>
        <w:rPr>
          <w:rFonts w:eastAsia="Times New Roman"/>
          <w:sz w:val="28"/>
          <w:szCs w:val="28"/>
          <w:vertAlign w:val="subscript"/>
        </w:rPr>
        <w:t>4</w:t>
      </w:r>
      <w:r>
        <w:rPr>
          <w:rFonts w:eastAsia="Times New Roman"/>
          <w:sz w:val="21"/>
          <w:szCs w:val="21"/>
        </w:rPr>
        <w:t>) into T</w:t>
      </w:r>
      <w:r>
        <w:rPr>
          <w:rFonts w:eastAsia="Times New Roman"/>
          <w:sz w:val="28"/>
          <w:szCs w:val="28"/>
          <w:vertAlign w:val="subscript"/>
        </w:rPr>
        <w:t>3</w:t>
      </w:r>
      <w:r>
        <w:rPr>
          <w:rFonts w:eastAsia="Times New Roman"/>
          <w:sz w:val="21"/>
          <w:szCs w:val="21"/>
        </w:rPr>
        <w:t xml:space="preserve"> and thereby reduces serum T</w:t>
      </w:r>
      <w:r>
        <w:rPr>
          <w:rFonts w:eastAsia="Times New Roman"/>
          <w:sz w:val="28"/>
          <w:szCs w:val="28"/>
          <w:vertAlign w:val="subscript"/>
        </w:rPr>
        <w:t>3</w:t>
      </w:r>
      <w:r>
        <w:rPr>
          <w:rFonts w:eastAsia="Times New Roman"/>
          <w:sz w:val="21"/>
          <w:szCs w:val="21"/>
        </w:rPr>
        <w:t xml:space="preserve"> concentra-tion. Folic acid was suggested to enhance spermatogen-esis, boost sperm concentration, and build up the antioxidant status against the oxidants in our study. So, we investigated these changes with folic acid</w:t>
      </w:r>
    </w:p>
    <w:p w:rsidR="00392921" w:rsidRDefault="00DA308A">
      <w:pPr>
        <w:spacing w:line="20" w:lineRule="exact"/>
        <w:rPr>
          <w:sz w:val="20"/>
          <w:szCs w:val="20"/>
        </w:rPr>
      </w:pPr>
      <w:r>
        <w:rPr>
          <w:sz w:val="20"/>
          <w:szCs w:val="20"/>
        </w:rPr>
        <w:br w:type="column"/>
      </w:r>
    </w:p>
    <w:p w:rsidR="00392921" w:rsidRDefault="00392921">
      <w:pPr>
        <w:spacing w:line="182" w:lineRule="exact"/>
        <w:rPr>
          <w:sz w:val="20"/>
          <w:szCs w:val="20"/>
        </w:rPr>
      </w:pPr>
    </w:p>
    <w:p w:rsidR="00392921" w:rsidRDefault="00DA308A">
      <w:pPr>
        <w:spacing w:line="237" w:lineRule="auto"/>
        <w:jc w:val="both"/>
        <w:rPr>
          <w:sz w:val="20"/>
          <w:szCs w:val="20"/>
        </w:rPr>
      </w:pPr>
      <w:r>
        <w:rPr>
          <w:rFonts w:eastAsia="Times New Roman"/>
          <w:sz w:val="21"/>
          <w:szCs w:val="21"/>
        </w:rPr>
        <w:t>treatment as a co- and posttreatme</w:t>
      </w:r>
      <w:r>
        <w:rPr>
          <w:rFonts w:eastAsia="Times New Roman"/>
          <w:sz w:val="21"/>
          <w:szCs w:val="21"/>
        </w:rPr>
        <w:t>nt with hypothyroid state and as an adjuvant therapy after returning to the euthyroid state. This depended on the fact that PTU is a reversible goitrogen and that if it is withdrawn after the dose period the animal will return to the euthyroid state direct</w:t>
      </w:r>
      <w:r>
        <w:rPr>
          <w:rFonts w:eastAsia="Times New Roman"/>
          <w:sz w:val="21"/>
          <w:szCs w:val="21"/>
        </w:rPr>
        <w:t>ly and serum T</w:t>
      </w:r>
      <w:r>
        <w:rPr>
          <w:rFonts w:eastAsia="Times New Roman"/>
          <w:sz w:val="28"/>
          <w:szCs w:val="28"/>
          <w:vertAlign w:val="subscript"/>
        </w:rPr>
        <w:t>3</w:t>
      </w:r>
      <w:r>
        <w:rPr>
          <w:rFonts w:eastAsia="Times New Roman"/>
          <w:sz w:val="21"/>
          <w:szCs w:val="21"/>
        </w:rPr>
        <w:t xml:space="preserve"> concentration will return to its normal range (Tousson et al., 2011).</w:t>
      </w:r>
    </w:p>
    <w:p w:rsidR="00392921" w:rsidRDefault="00392921">
      <w:pPr>
        <w:spacing w:line="200" w:lineRule="exact"/>
        <w:rPr>
          <w:sz w:val="20"/>
          <w:szCs w:val="20"/>
        </w:rPr>
      </w:pPr>
    </w:p>
    <w:p w:rsidR="00392921" w:rsidRDefault="00392921">
      <w:pPr>
        <w:spacing w:line="314" w:lineRule="exact"/>
        <w:rPr>
          <w:sz w:val="20"/>
          <w:szCs w:val="20"/>
        </w:rPr>
      </w:pPr>
    </w:p>
    <w:p w:rsidR="00392921" w:rsidRDefault="00DA308A">
      <w:pPr>
        <w:rPr>
          <w:sz w:val="20"/>
          <w:szCs w:val="20"/>
        </w:rPr>
      </w:pPr>
      <w:r>
        <w:rPr>
          <w:rFonts w:ascii="Arial" w:eastAsia="Arial" w:hAnsi="Arial" w:cs="Arial"/>
          <w:sz w:val="26"/>
          <w:szCs w:val="26"/>
        </w:rPr>
        <w:t>Materials and methods</w:t>
      </w:r>
    </w:p>
    <w:p w:rsidR="00392921" w:rsidRDefault="00392921">
      <w:pPr>
        <w:spacing w:line="124" w:lineRule="exact"/>
        <w:rPr>
          <w:sz w:val="20"/>
          <w:szCs w:val="20"/>
        </w:rPr>
      </w:pPr>
    </w:p>
    <w:p w:rsidR="00392921" w:rsidRDefault="00DA308A">
      <w:pPr>
        <w:spacing w:line="242" w:lineRule="auto"/>
        <w:jc w:val="both"/>
        <w:rPr>
          <w:sz w:val="20"/>
          <w:szCs w:val="20"/>
        </w:rPr>
      </w:pPr>
      <w:r>
        <w:rPr>
          <w:rFonts w:eastAsia="Times New Roman"/>
        </w:rPr>
        <w:t>The experiments were performed on 50 male albino rats (Rattus norvigicus) weighing 120 + 10 g and of 6–7 weeks of age. They were obtained from ou</w:t>
      </w:r>
      <w:r>
        <w:rPr>
          <w:rFonts w:eastAsia="Times New Roman"/>
        </w:rPr>
        <w:t>r laboratory farms, Zoology Department, Faculty of Science, Tanta University, Egypt. The rats were kept in the laboratory for 1 week before the experimental work and maintained on a standard rodent diet (20% casein, 15% corn oil, 55% corn starch, 5% salt m</w:t>
      </w:r>
      <w:r>
        <w:rPr>
          <w:rFonts w:eastAsia="Times New Roman"/>
        </w:rPr>
        <w:t xml:space="preserve">ix-ture, and 5% vitaminized starch; Egyptian Company of Oils and Soap Kafr-Elzayat, Egypt) and water available ad libitum. The temperature in the animal room was maintained at 23 + 2 C with a relative humidity of 55 + 5%, with a 12-h light–dark cycle. The </w:t>
      </w:r>
      <w:r>
        <w:rPr>
          <w:rFonts w:eastAsia="Times New Roman"/>
        </w:rPr>
        <w:t>experimental protocol was approved by Local Ethics Committee and Animals Research. The rats were randomly and equally divided into 5 groups (10 animals each).</w:t>
      </w:r>
    </w:p>
    <w:p w:rsidR="00392921" w:rsidRDefault="00392921">
      <w:pPr>
        <w:spacing w:line="181" w:lineRule="exact"/>
        <w:rPr>
          <w:sz w:val="20"/>
          <w:szCs w:val="20"/>
        </w:rPr>
      </w:pPr>
    </w:p>
    <w:p w:rsidR="00392921" w:rsidRDefault="00DA308A">
      <w:pPr>
        <w:spacing w:line="215" w:lineRule="auto"/>
        <w:ind w:left="460" w:hanging="238"/>
        <w:jc w:val="both"/>
        <w:rPr>
          <w:sz w:val="20"/>
          <w:szCs w:val="20"/>
        </w:rPr>
      </w:pPr>
      <w:r>
        <w:rPr>
          <w:rFonts w:eastAsia="Times New Roman"/>
        </w:rPr>
        <w:t>Group I (G</w:t>
      </w:r>
      <w:r>
        <w:rPr>
          <w:rFonts w:eastAsia="Times New Roman"/>
          <w:sz w:val="29"/>
          <w:szCs w:val="29"/>
          <w:vertAlign w:val="subscript"/>
        </w:rPr>
        <w:t>1</w:t>
      </w:r>
      <w:r>
        <w:rPr>
          <w:rFonts w:eastAsia="Times New Roman"/>
        </w:rPr>
        <w:t>): control group in which the animals never received any treatment.</w:t>
      </w:r>
    </w:p>
    <w:p w:rsidR="00392921" w:rsidRDefault="00392921">
      <w:pPr>
        <w:spacing w:line="1" w:lineRule="exact"/>
        <w:rPr>
          <w:sz w:val="20"/>
          <w:szCs w:val="20"/>
        </w:rPr>
      </w:pPr>
    </w:p>
    <w:p w:rsidR="00392921" w:rsidRDefault="00DA308A">
      <w:pPr>
        <w:spacing w:line="230" w:lineRule="auto"/>
        <w:ind w:left="460" w:hanging="238"/>
        <w:jc w:val="both"/>
        <w:rPr>
          <w:sz w:val="20"/>
          <w:szCs w:val="20"/>
        </w:rPr>
      </w:pPr>
      <w:r>
        <w:rPr>
          <w:rFonts w:eastAsia="Times New Roman"/>
        </w:rPr>
        <w:t>Group II (G</w:t>
      </w:r>
      <w:r>
        <w:rPr>
          <w:rFonts w:eastAsia="Times New Roman"/>
          <w:sz w:val="29"/>
          <w:szCs w:val="29"/>
          <w:vertAlign w:val="subscript"/>
        </w:rPr>
        <w:t>2</w:t>
      </w:r>
      <w:r>
        <w:rPr>
          <w:rFonts w:eastAsia="Times New Roman"/>
        </w:rPr>
        <w:t xml:space="preserve">): </w:t>
      </w:r>
      <w:r>
        <w:rPr>
          <w:rFonts w:eastAsia="Times New Roman"/>
        </w:rPr>
        <w:t>folic acid group in which the animals received folic acid (orally by stomach tube; El Nasr Pharmaceutical Chemicals Co.; 0.011 mmol/g of body weight) daily for 4 weeks (from 2nd week to 6th week).</w:t>
      </w:r>
    </w:p>
    <w:p w:rsidR="00392921" w:rsidRDefault="00392921">
      <w:pPr>
        <w:spacing w:line="6" w:lineRule="exact"/>
        <w:rPr>
          <w:sz w:val="20"/>
          <w:szCs w:val="20"/>
        </w:rPr>
      </w:pPr>
    </w:p>
    <w:p w:rsidR="00392921" w:rsidRDefault="00DA308A">
      <w:pPr>
        <w:spacing w:line="237" w:lineRule="auto"/>
        <w:ind w:left="460" w:hanging="238"/>
        <w:jc w:val="both"/>
        <w:rPr>
          <w:sz w:val="20"/>
          <w:szCs w:val="20"/>
        </w:rPr>
      </w:pPr>
      <w:r>
        <w:rPr>
          <w:rFonts w:eastAsia="Times New Roman"/>
          <w:sz w:val="21"/>
          <w:szCs w:val="21"/>
        </w:rPr>
        <w:t>Group III (G</w:t>
      </w:r>
      <w:r>
        <w:rPr>
          <w:rFonts w:eastAsia="Times New Roman"/>
          <w:sz w:val="28"/>
          <w:szCs w:val="28"/>
          <w:vertAlign w:val="subscript"/>
        </w:rPr>
        <w:t>3</w:t>
      </w:r>
      <w:r>
        <w:rPr>
          <w:rFonts w:eastAsia="Times New Roman"/>
          <w:sz w:val="21"/>
          <w:szCs w:val="21"/>
        </w:rPr>
        <w:t>): hypothyroid group in which the rats receiv</w:t>
      </w:r>
      <w:r>
        <w:rPr>
          <w:rFonts w:eastAsia="Times New Roman"/>
          <w:sz w:val="21"/>
          <w:szCs w:val="21"/>
        </w:rPr>
        <w:t>ed 0.05% PTU in drinking water daily for 6 weeks (Sahoo et al., 2008) to cover a complete spermatogenic cycle in rats (de Kretser, 1982).</w:t>
      </w:r>
    </w:p>
    <w:p w:rsidR="00392921" w:rsidRDefault="00392921">
      <w:pPr>
        <w:spacing w:line="3" w:lineRule="exact"/>
        <w:rPr>
          <w:sz w:val="20"/>
          <w:szCs w:val="20"/>
        </w:rPr>
      </w:pPr>
    </w:p>
    <w:p w:rsidR="00392921" w:rsidRDefault="00DA308A">
      <w:pPr>
        <w:spacing w:line="237" w:lineRule="auto"/>
        <w:ind w:left="460" w:hanging="238"/>
        <w:jc w:val="both"/>
        <w:rPr>
          <w:sz w:val="20"/>
          <w:szCs w:val="20"/>
        </w:rPr>
      </w:pPr>
      <w:r>
        <w:rPr>
          <w:rFonts w:eastAsia="Times New Roman"/>
        </w:rPr>
        <w:t>Group IV</w:t>
      </w:r>
      <w:r>
        <w:rPr>
          <w:sz w:val="20"/>
          <w:szCs w:val="20"/>
        </w:rPr>
        <w:t xml:space="preserve"> </w:t>
      </w:r>
      <w:r>
        <w:rPr>
          <w:rFonts w:eastAsia="Times New Roman"/>
        </w:rPr>
        <w:t>(G</w:t>
      </w:r>
      <w:r>
        <w:rPr>
          <w:rFonts w:eastAsia="Times New Roman"/>
          <w:sz w:val="29"/>
          <w:szCs w:val="29"/>
          <w:vertAlign w:val="subscript"/>
        </w:rPr>
        <w:t>4</w:t>
      </w:r>
      <w:r>
        <w:rPr>
          <w:rFonts w:eastAsia="Times New Roman"/>
        </w:rPr>
        <w:t>): Cotreatment group in which the animals received 0.05% PTU daily in drinking water and folic acid simul</w:t>
      </w:r>
      <w:r>
        <w:rPr>
          <w:rFonts w:eastAsia="Times New Roman"/>
        </w:rPr>
        <w:t>taneously, according to Lalonde et al. (1993) and Matte et al. (2007). The dose period of PTU was 6 weeks as in hypothyroid group. However, folic acid was administered orally for 4 weeks from the 2nd to 6th week after evidence of hypothyroidism had been es</w:t>
      </w:r>
      <w:r>
        <w:rPr>
          <w:rFonts w:eastAsia="Times New Roman"/>
        </w:rPr>
        <w:t>tablished at the end of the 2nd week.</w:t>
      </w:r>
    </w:p>
    <w:p w:rsidR="00392921" w:rsidRDefault="00392921">
      <w:pPr>
        <w:spacing w:line="3" w:lineRule="exact"/>
        <w:rPr>
          <w:sz w:val="20"/>
          <w:szCs w:val="20"/>
        </w:rPr>
      </w:pPr>
    </w:p>
    <w:p w:rsidR="00392921" w:rsidRDefault="00DA308A">
      <w:pPr>
        <w:spacing w:line="222" w:lineRule="auto"/>
        <w:ind w:left="460" w:hanging="238"/>
        <w:jc w:val="both"/>
        <w:rPr>
          <w:sz w:val="20"/>
          <w:szCs w:val="20"/>
        </w:rPr>
      </w:pPr>
      <w:r>
        <w:rPr>
          <w:rFonts w:eastAsia="Times New Roman"/>
        </w:rPr>
        <w:t>Group V (G</w:t>
      </w:r>
      <w:r>
        <w:rPr>
          <w:rFonts w:eastAsia="Times New Roman"/>
          <w:sz w:val="29"/>
          <w:szCs w:val="29"/>
          <w:vertAlign w:val="subscript"/>
        </w:rPr>
        <w:t>5</w:t>
      </w:r>
      <w:r>
        <w:rPr>
          <w:rFonts w:eastAsia="Times New Roman"/>
        </w:rPr>
        <w:t>): Posttreatment group in which the rats received 0.05% PTU daily in drinking water for 6 weeks as in hypothyroid group.</w:t>
      </w: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num="2" w:space="720" w:equalWidth="0">
            <w:col w:w="472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95" w:lineRule="exact"/>
        <w:rPr>
          <w:sz w:val="20"/>
          <w:szCs w:val="20"/>
        </w:rPr>
      </w:pPr>
    </w:p>
    <w:p w:rsidR="00392921" w:rsidRDefault="00392921">
      <w:pPr>
        <w:sectPr w:rsidR="00392921">
          <w:type w:val="continuous"/>
          <w:pgSz w:w="11900" w:h="15876"/>
          <w:pgMar w:top="732" w:right="986" w:bottom="0" w:left="1240" w:header="0" w:footer="0" w:gutter="0"/>
          <w:cols w:space="720" w:equalWidth="0">
            <w:col w:w="9680"/>
          </w:cols>
        </w:sectPr>
      </w:pPr>
    </w:p>
    <w:p w:rsidR="00392921" w:rsidRDefault="00392921">
      <w:pPr>
        <w:spacing w:line="2" w:lineRule="exact"/>
        <w:rPr>
          <w:sz w:val="20"/>
          <w:szCs w:val="20"/>
        </w:rPr>
      </w:pPr>
      <w:bookmarkStart w:id="2" w:name="page4"/>
      <w:bookmarkEnd w:id="2"/>
    </w:p>
    <w:p w:rsidR="00392921" w:rsidRDefault="00DA308A">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-4445</wp:posOffset>
                </wp:positionH>
                <wp:positionV relativeFrom="paragraph">
                  <wp:posOffset>18415</wp:posOffset>
                </wp:positionV>
                <wp:extent cx="613727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275" cy="4763"/>
                        </a:xfrm>
                        <a:prstGeom prst="line">
                          <a:avLst/>
                        </a:prstGeom>
                        <a:solidFill>
                          <a:srgbClr val="FFFFFF"/>
                        </a:solidFill>
                        <a:ln w="6479">
                          <a:solidFill>
                            <a:srgbClr val="000000"/>
                          </a:solidFill>
                          <a:miter lim="800000"/>
                          <a:headEnd/>
                          <a:tailEnd/>
                        </a:ln>
                      </wps:spPr>
                      <wps:bodyPr/>
                    </wps:wsp>
                  </a:graphicData>
                </a:graphic>
              </wp:anchor>
            </w:drawing>
          </mc:Choice>
          <mc:Fallback>
            <w:pict>
              <v:line w14:anchorId="2F0D2E7B" id="Shape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pt,1.45pt" to="482.9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" o:allowincell="f" filled="t" strokeweight=".17997mm">
                <v:stroke joinstyle="miter"/>
                <o:lock v:ext="edit" shapetype="f"/>
              </v:line>
            </w:pict>
          </mc:Fallback>
        </mc:AlternateContent>
      </w:r>
    </w:p>
    <w:p w:rsidR="00392921" w:rsidRDefault="00392921">
      <w:pPr>
        <w:sectPr w:rsidR="00392921">
          <w:pgSz w:w="11900" w:h="15876"/>
          <w:pgMar w:top="766" w:right="1246" w:bottom="0" w:left="1000" w:header="0" w:footer="0" w:gutter="0"/>
          <w:cols w:space="720" w:equalWidth="0">
            <w:col w:w="9660"/>
          </w:cols>
        </w:sectPr>
      </w:pPr>
    </w:p>
    <w:p w:rsidR="00392921" w:rsidRDefault="00392921">
      <w:pPr>
        <w:spacing w:line="200" w:lineRule="exact"/>
        <w:rPr>
          <w:sz w:val="20"/>
          <w:szCs w:val="20"/>
        </w:rPr>
      </w:pPr>
    </w:p>
    <w:p w:rsidR="00392921" w:rsidRDefault="00392921">
      <w:pPr>
        <w:spacing w:line="237" w:lineRule="exact"/>
        <w:rPr>
          <w:sz w:val="20"/>
          <w:szCs w:val="20"/>
        </w:rPr>
      </w:pPr>
    </w:p>
    <w:p w:rsidR="00392921" w:rsidRDefault="00DA308A">
      <w:pPr>
        <w:spacing w:line="231" w:lineRule="auto"/>
        <w:ind w:left="460"/>
        <w:jc w:val="both"/>
        <w:rPr>
          <w:sz w:val="20"/>
          <w:szCs w:val="20"/>
        </w:rPr>
      </w:pPr>
      <w:r>
        <w:rPr>
          <w:rFonts w:eastAsia="Times New Roman"/>
        </w:rPr>
        <w:t xml:space="preserve">Additionally, folic acid was </w:t>
      </w:r>
      <w:r>
        <w:rPr>
          <w:rFonts w:eastAsia="Times New Roman"/>
        </w:rPr>
        <w:t>administered for another 4 weeks (from 7th week to 10th week), while PTU was withdrawn after the 6th week to return to the euthyroid state.</w:t>
      </w:r>
    </w:p>
    <w:p w:rsidR="00392921" w:rsidRDefault="00392921">
      <w:pPr>
        <w:spacing w:line="242" w:lineRule="exact"/>
        <w:rPr>
          <w:sz w:val="20"/>
          <w:szCs w:val="20"/>
        </w:rPr>
      </w:pPr>
    </w:p>
    <w:p w:rsidR="00392921" w:rsidRDefault="00DA308A">
      <w:pPr>
        <w:spacing w:line="243" w:lineRule="auto"/>
        <w:jc w:val="both"/>
        <w:rPr>
          <w:sz w:val="20"/>
          <w:szCs w:val="20"/>
        </w:rPr>
      </w:pPr>
      <w:r>
        <w:rPr>
          <w:rFonts w:eastAsia="Times New Roman"/>
          <w:sz w:val="21"/>
          <w:szCs w:val="21"/>
        </w:rPr>
        <w:t>At the end of the experimental period, five rats from each group were euthanized using sodium pentobarbi-tal intrav</w:t>
      </w:r>
      <w:r>
        <w:rPr>
          <w:rFonts w:eastAsia="Times New Roman"/>
          <w:sz w:val="21"/>
          <w:szCs w:val="21"/>
        </w:rPr>
        <w:t xml:space="preserve">enously and subjected to a complete necropsy. Blood samples were individually collected from the inferior vena cava of each rat in nonhepari-nized glass tubes to estimate the blood parameters. Blood serum was separated by centrifugation at 3000 rpm for 15 </w:t>
      </w:r>
      <w:r>
        <w:rPr>
          <w:rFonts w:eastAsia="Times New Roman"/>
          <w:sz w:val="21"/>
          <w:szCs w:val="21"/>
        </w:rPr>
        <w:t>min. The collected serum was stored at 18 C until analysis. Blood serum was analyzed to determine the T</w:t>
      </w:r>
      <w:r>
        <w:rPr>
          <w:rFonts w:eastAsia="Times New Roman"/>
          <w:sz w:val="28"/>
          <w:szCs w:val="28"/>
          <w:vertAlign w:val="subscript"/>
        </w:rPr>
        <w:t>3</w:t>
      </w:r>
      <w:r>
        <w:rPr>
          <w:rFonts w:eastAsia="Times New Roman"/>
          <w:sz w:val="21"/>
          <w:szCs w:val="21"/>
        </w:rPr>
        <w:t xml:space="preserve"> and thyroid-stimulating hormone (TSH) levels. Serum T</w:t>
      </w:r>
      <w:r>
        <w:rPr>
          <w:rFonts w:eastAsia="Times New Roman"/>
          <w:sz w:val="28"/>
          <w:szCs w:val="28"/>
          <w:vertAlign w:val="subscript"/>
        </w:rPr>
        <w:t>3</w:t>
      </w:r>
      <w:r>
        <w:rPr>
          <w:rFonts w:eastAsia="Times New Roman"/>
          <w:sz w:val="21"/>
          <w:szCs w:val="21"/>
        </w:rPr>
        <w:t xml:space="preserve"> was assayed using commer-cial test supplied by the Diagnostic systems Labora-tories (DSL), TX, U</w:t>
      </w:r>
      <w:r>
        <w:rPr>
          <w:rFonts w:eastAsia="Times New Roman"/>
          <w:sz w:val="21"/>
          <w:szCs w:val="21"/>
        </w:rPr>
        <w:t>SA. Serum TSH was assayed using commercial kit supplied by Coat-A-Count TSH IRMA, Los Angeles, USA.</w:t>
      </w:r>
    </w:p>
    <w:p w:rsidR="00392921" w:rsidRDefault="00392921">
      <w:pPr>
        <w:spacing w:line="200" w:lineRule="exact"/>
        <w:rPr>
          <w:sz w:val="20"/>
          <w:szCs w:val="20"/>
        </w:rPr>
      </w:pPr>
    </w:p>
    <w:p w:rsidR="00392921" w:rsidRDefault="00392921">
      <w:pPr>
        <w:spacing w:line="303" w:lineRule="exact"/>
        <w:rPr>
          <w:sz w:val="20"/>
          <w:szCs w:val="20"/>
        </w:rPr>
      </w:pPr>
    </w:p>
    <w:p w:rsidR="00392921" w:rsidRDefault="00DA308A">
      <w:pPr>
        <w:rPr>
          <w:sz w:val="20"/>
          <w:szCs w:val="20"/>
        </w:rPr>
      </w:pPr>
      <w:r>
        <w:rPr>
          <w:rFonts w:ascii="Arial" w:eastAsia="Arial" w:hAnsi="Arial" w:cs="Arial"/>
          <w:sz w:val="26"/>
          <w:szCs w:val="26"/>
        </w:rPr>
        <w:t>Histological investigation</w:t>
      </w:r>
    </w:p>
    <w:p w:rsidR="00392921" w:rsidRDefault="00392921">
      <w:pPr>
        <w:spacing w:line="124" w:lineRule="exact"/>
        <w:rPr>
          <w:sz w:val="20"/>
          <w:szCs w:val="20"/>
        </w:rPr>
      </w:pPr>
    </w:p>
    <w:p w:rsidR="00392921" w:rsidRDefault="00DA308A">
      <w:pPr>
        <w:spacing w:line="256" w:lineRule="auto"/>
        <w:jc w:val="both"/>
        <w:rPr>
          <w:sz w:val="20"/>
          <w:szCs w:val="20"/>
        </w:rPr>
      </w:pPr>
      <w:r>
        <w:rPr>
          <w:rFonts w:eastAsia="Times New Roman"/>
          <w:sz w:val="21"/>
          <w:szCs w:val="21"/>
        </w:rPr>
        <w:t>The other five rats from each group were anaesthe-tized with thiopental. The thorax was opened with surgical incision on the s</w:t>
      </w:r>
      <w:r>
        <w:rPr>
          <w:rFonts w:eastAsia="Times New Roman"/>
          <w:sz w:val="21"/>
          <w:szCs w:val="21"/>
        </w:rPr>
        <w:t>ternum and the perfusion was done from left ventricle and right atrium. A rinsing solution was perfused before the fixation solution (Bouin’s fluid). Due to the narrow testicular artery branches from the abdominal aorta near the renal artery, it is probabl</w:t>
      </w:r>
      <w:r>
        <w:rPr>
          <w:rFonts w:eastAsia="Times New Roman"/>
          <w:sz w:val="21"/>
          <w:szCs w:val="21"/>
        </w:rPr>
        <w:t>y constricted and occluded during the perfusion process. Perfusion with rinsing solution helped overcome this problem. To prepare rinsing solution 9.0 g sodium chloride (NaCl), 25 g polyvinyl pyrrolidone, 0.25 g heparin, and 5.0 g procain-hydrochloric acid</w:t>
      </w:r>
      <w:r>
        <w:rPr>
          <w:rFonts w:eastAsia="Times New Roman"/>
          <w:sz w:val="21"/>
          <w:szCs w:val="21"/>
        </w:rPr>
        <w:t xml:space="preserve"> (HCl) were dissolved in 1 L of water by thorough stirring. The pH was adjusted to 7.35 with 1 N NaOH and filtered twice through Milli-pore filters of 3.0 mm or less pore size. The perfusion of both solutions was performed using a scalp vein attached to a </w:t>
      </w:r>
      <w:r>
        <w:rPr>
          <w:rFonts w:eastAsia="Times New Roman"/>
          <w:sz w:val="21"/>
          <w:szCs w:val="21"/>
        </w:rPr>
        <w:t xml:space="preserve">50-cc syringe. Testes were immediately removed, taking care to handle the specimens gently to minimize trauma to the delicate seminiferous tubules prior to placement of each testis into the fixa-tive solution. The tunica albuginea was shallowly pierced at </w:t>
      </w:r>
      <w:r>
        <w:rPr>
          <w:rFonts w:eastAsia="Times New Roman"/>
          <w:sz w:val="21"/>
          <w:szCs w:val="21"/>
        </w:rPr>
        <w:t>each pole 5 times with a 21-gauge needle to aid in the penetration of the fixative solution. Fixa-tion time was limited to 24 hours and tissues were transferred to 70% ethyl alcohol. Alcohol was chan-ged 3 times daily for 2 days before transferring the spe</w:t>
      </w:r>
      <w:r>
        <w:rPr>
          <w:rFonts w:eastAsia="Times New Roman"/>
          <w:sz w:val="21"/>
          <w:szCs w:val="21"/>
        </w:rPr>
        <w:t>cimens to a saturated solution of 70% ethyl alcohol</w:t>
      </w:r>
    </w:p>
    <w:p w:rsidR="00392921" w:rsidRDefault="00DA308A">
      <w:pPr>
        <w:spacing w:line="20" w:lineRule="exact"/>
        <w:rPr>
          <w:sz w:val="20"/>
          <w:szCs w:val="20"/>
        </w:rPr>
      </w:pPr>
      <w:r>
        <w:rPr>
          <w:sz w:val="20"/>
          <w:szCs w:val="20"/>
        </w:rPr>
        <w:br w:type="column"/>
      </w:r>
    </w:p>
    <w:p w:rsidR="00392921" w:rsidRDefault="00392921">
      <w:pPr>
        <w:spacing w:line="200" w:lineRule="exact"/>
        <w:rPr>
          <w:sz w:val="20"/>
          <w:szCs w:val="20"/>
        </w:rPr>
      </w:pPr>
    </w:p>
    <w:p w:rsidR="00392921" w:rsidRDefault="00392921">
      <w:pPr>
        <w:spacing w:line="217" w:lineRule="exact"/>
        <w:rPr>
          <w:sz w:val="20"/>
          <w:szCs w:val="20"/>
        </w:rPr>
      </w:pPr>
    </w:p>
    <w:p w:rsidR="00392921" w:rsidRDefault="00DA308A">
      <w:pPr>
        <w:spacing w:line="241" w:lineRule="auto"/>
        <w:jc w:val="both"/>
        <w:rPr>
          <w:sz w:val="20"/>
          <w:szCs w:val="20"/>
        </w:rPr>
      </w:pPr>
      <w:r>
        <w:rPr>
          <w:rFonts w:eastAsia="Times New Roman"/>
        </w:rPr>
        <w:t>and lithium carbonate to neutralize the picric acid in Bouin’s fluid. The ethyl alcohol–lithium carbonate solution was changed three or more times until the yellow colour of Bouin’s fluid was almost c</w:t>
      </w:r>
      <w:r>
        <w:rPr>
          <w:rFonts w:eastAsia="Times New Roman"/>
        </w:rPr>
        <w:t>om-pletely depleted from the tissue. Testes were stored in 70% ethyl alcohol until they were processed. The fixed testis were dehydrated through a graded series of ethanol and embedded in paraffin according to the standard procedures. Paraffin sections (5-</w:t>
      </w:r>
      <w:r>
        <w:rPr>
          <w:rFonts w:eastAsia="Times New Roman"/>
        </w:rPr>
        <w:t>mm thick) were mounted on gelatin chromalum-coated glass slides and stored at room temperature until further processing. Some paraffin sections were used for haematoxylin and eosin stains as a routine method, according to Bancroft and Stevens (1990).</w:t>
      </w:r>
    </w:p>
    <w:p w:rsidR="00392921" w:rsidRDefault="00392921">
      <w:pPr>
        <w:spacing w:line="297" w:lineRule="exact"/>
        <w:rPr>
          <w:sz w:val="20"/>
          <w:szCs w:val="20"/>
        </w:rPr>
      </w:pPr>
    </w:p>
    <w:p w:rsidR="00392921" w:rsidRDefault="00DA308A">
      <w:pPr>
        <w:rPr>
          <w:sz w:val="20"/>
          <w:szCs w:val="20"/>
        </w:rPr>
      </w:pPr>
      <w:r>
        <w:rPr>
          <w:rFonts w:ascii="Arial" w:eastAsia="Arial" w:hAnsi="Arial" w:cs="Arial"/>
          <w:sz w:val="25"/>
          <w:szCs w:val="25"/>
        </w:rPr>
        <w:t>Tran</w:t>
      </w:r>
      <w:r>
        <w:rPr>
          <w:rFonts w:ascii="Arial" w:eastAsia="Arial" w:hAnsi="Arial" w:cs="Arial"/>
          <w:sz w:val="25"/>
          <w:szCs w:val="25"/>
        </w:rPr>
        <w:t>smission electron microscopic studies</w:t>
      </w:r>
    </w:p>
    <w:p w:rsidR="00392921" w:rsidRDefault="00392921">
      <w:pPr>
        <w:spacing w:line="124" w:lineRule="exact"/>
        <w:rPr>
          <w:sz w:val="20"/>
          <w:szCs w:val="20"/>
        </w:rPr>
      </w:pPr>
    </w:p>
    <w:p w:rsidR="00392921" w:rsidRDefault="00DA308A">
      <w:pPr>
        <w:spacing w:line="241" w:lineRule="auto"/>
        <w:jc w:val="both"/>
        <w:rPr>
          <w:sz w:val="20"/>
          <w:szCs w:val="20"/>
        </w:rPr>
      </w:pPr>
      <w:r>
        <w:rPr>
          <w:rFonts w:eastAsia="Times New Roman"/>
        </w:rPr>
        <w:t xml:space="preserve">Small pieces (1 mm) of control and treated tissues were freshly cut and fixed in 3% glutaraldehyde (pH 7.4) in phosphate buffer and postfixed in 2% osmium tetroxide in phosphate buffer. Following fixation, the </w:t>
      </w:r>
      <w:r>
        <w:rPr>
          <w:rFonts w:eastAsia="Times New Roman"/>
        </w:rPr>
        <w:t>tissues were dehydrated at increasing concentrations of ethanol. They were then embedded in araldite resin. Ultrathin sections were cut using an ultratome and stained by uranyl acetate saturated in 70% ethanol and lead citrate. Ultrathin sections of rat te</w:t>
      </w:r>
      <w:r>
        <w:rPr>
          <w:rFonts w:eastAsia="Times New Roman"/>
        </w:rPr>
        <w:t>stes were performed in the faculty of medicine, Tanta Univer-sity using a JEOL transmission electron microscope (TEM) JEM-1200, Ex, Japan.</w:t>
      </w:r>
    </w:p>
    <w:p w:rsidR="00392921" w:rsidRDefault="00392921">
      <w:pPr>
        <w:spacing w:line="275" w:lineRule="exact"/>
        <w:rPr>
          <w:sz w:val="20"/>
          <w:szCs w:val="20"/>
        </w:rPr>
      </w:pPr>
    </w:p>
    <w:p w:rsidR="00392921" w:rsidRDefault="00DA308A">
      <w:pPr>
        <w:rPr>
          <w:sz w:val="20"/>
          <w:szCs w:val="20"/>
        </w:rPr>
      </w:pPr>
      <w:r>
        <w:rPr>
          <w:rFonts w:ascii="Arial" w:eastAsia="Arial" w:hAnsi="Arial" w:cs="Arial"/>
          <w:sz w:val="26"/>
          <w:szCs w:val="26"/>
        </w:rPr>
        <w:t>Statistical and image analyses</w:t>
      </w:r>
    </w:p>
    <w:p w:rsidR="00392921" w:rsidRDefault="00392921">
      <w:pPr>
        <w:spacing w:line="99" w:lineRule="exact"/>
        <w:rPr>
          <w:sz w:val="20"/>
          <w:szCs w:val="20"/>
        </w:rPr>
      </w:pPr>
    </w:p>
    <w:p w:rsidR="00392921" w:rsidRDefault="00DA308A">
      <w:pPr>
        <w:spacing w:line="238" w:lineRule="auto"/>
        <w:jc w:val="both"/>
        <w:rPr>
          <w:sz w:val="20"/>
          <w:szCs w:val="20"/>
        </w:rPr>
      </w:pPr>
      <w:r>
        <w:rPr>
          <w:rFonts w:eastAsia="Times New Roman"/>
        </w:rPr>
        <w:t xml:space="preserve">Data were expressed as mean values + SD, and statistical analysis was </w:t>
      </w:r>
      <w:r>
        <w:rPr>
          <w:rFonts w:eastAsia="Times New Roman"/>
        </w:rPr>
        <w:t>performed using one-way analysis of variance (ANOVA) to assess significant differences among treatment groups. The criterion for statistical significance was set at p &lt; 0.05. All statis-tical analyses were performed using SPSS statistical version 16 softwa</w:t>
      </w:r>
      <w:r>
        <w:rPr>
          <w:rFonts w:eastAsia="Times New Roman"/>
        </w:rPr>
        <w:t>re package (SPSS</w:t>
      </w:r>
      <w:r>
        <w:rPr>
          <w:rFonts w:eastAsia="Times New Roman"/>
          <w:sz w:val="29"/>
          <w:szCs w:val="29"/>
          <w:vertAlign w:val="superscript"/>
        </w:rPr>
        <w:t>1</w:t>
      </w:r>
      <w:r>
        <w:rPr>
          <w:rFonts w:eastAsia="Times New Roman"/>
        </w:rPr>
        <w:t xml:space="preserve"> Inc., USA). All stained slides were viewed using Olympus micro-scope and images were captured by a digital camera (Cannon 620). Brightness and contrast were adjusted using Adobe Photoshop software (version 4.0.1; Adobe Systems, Mountain V</w:t>
      </w:r>
      <w:r>
        <w:rPr>
          <w:rFonts w:eastAsia="Times New Roman"/>
        </w:rPr>
        <w:t>iew, CA, USA) and the analysis of the images was adjusted using PAX-it image analysis software.</w:t>
      </w:r>
    </w:p>
    <w:p w:rsidR="00392921" w:rsidRDefault="00392921">
      <w:pPr>
        <w:spacing w:line="200" w:lineRule="exact"/>
        <w:rPr>
          <w:sz w:val="20"/>
          <w:szCs w:val="20"/>
        </w:rPr>
      </w:pPr>
    </w:p>
    <w:p w:rsidR="00392921" w:rsidRDefault="00392921">
      <w:pPr>
        <w:spacing w:line="248" w:lineRule="exact"/>
        <w:rPr>
          <w:sz w:val="20"/>
          <w:szCs w:val="20"/>
        </w:rPr>
      </w:pPr>
    </w:p>
    <w:p w:rsidR="00392921" w:rsidRDefault="00DA308A">
      <w:pPr>
        <w:rPr>
          <w:sz w:val="20"/>
          <w:szCs w:val="20"/>
        </w:rPr>
      </w:pPr>
      <w:r>
        <w:rPr>
          <w:rFonts w:ascii="Arial" w:eastAsia="Arial" w:hAnsi="Arial" w:cs="Arial"/>
          <w:sz w:val="26"/>
          <w:szCs w:val="26"/>
        </w:rPr>
        <w:t>Results</w:t>
      </w:r>
    </w:p>
    <w:p w:rsidR="00392921" w:rsidRDefault="00392921">
      <w:pPr>
        <w:spacing w:line="58" w:lineRule="exact"/>
        <w:rPr>
          <w:sz w:val="20"/>
          <w:szCs w:val="20"/>
        </w:rPr>
      </w:pPr>
    </w:p>
    <w:p w:rsidR="00392921" w:rsidRDefault="00DA308A">
      <w:pPr>
        <w:spacing w:line="224" w:lineRule="auto"/>
        <w:jc w:val="both"/>
        <w:rPr>
          <w:sz w:val="20"/>
          <w:szCs w:val="20"/>
        </w:rPr>
      </w:pPr>
      <w:r>
        <w:rPr>
          <w:rFonts w:eastAsia="Times New Roman"/>
        </w:rPr>
        <w:t>Table 1 shows that the serum T</w:t>
      </w:r>
      <w:r>
        <w:rPr>
          <w:rFonts w:eastAsia="Times New Roman"/>
          <w:sz w:val="29"/>
          <w:szCs w:val="29"/>
          <w:vertAlign w:val="subscript"/>
        </w:rPr>
        <w:t>3</w:t>
      </w:r>
      <w:r>
        <w:rPr>
          <w:rFonts w:eastAsia="Times New Roman"/>
        </w:rPr>
        <w:t xml:space="preserve"> levels were signifi-cantly (p &lt; 0.05) lower in hypothyroid rats compared with the control, folic acid, and posttreatm</w:t>
      </w:r>
      <w:r>
        <w:rPr>
          <w:rFonts w:eastAsia="Times New Roman"/>
        </w:rPr>
        <w:t>ent groups</w:t>
      </w:r>
    </w:p>
    <w:p w:rsidR="00392921" w:rsidRDefault="00392921">
      <w:pPr>
        <w:spacing w:line="218" w:lineRule="exact"/>
        <w:rPr>
          <w:sz w:val="20"/>
          <w:szCs w:val="20"/>
        </w:rPr>
      </w:pPr>
    </w:p>
    <w:p w:rsidR="00392921" w:rsidRDefault="00392921">
      <w:pPr>
        <w:sectPr w:rsidR="00392921">
          <w:type w:val="continuous"/>
          <w:pgSz w:w="11900" w:h="15876"/>
          <w:pgMar w:top="766" w:right="1246" w:bottom="0" w:left="1000" w:header="0" w:footer="0" w:gutter="0"/>
          <w:cols w:num="2" w:space="720" w:equalWidth="0">
            <w:col w:w="470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78" w:lineRule="exact"/>
        <w:rPr>
          <w:sz w:val="20"/>
          <w:szCs w:val="20"/>
        </w:rPr>
      </w:pPr>
    </w:p>
    <w:p w:rsidR="00392921" w:rsidRDefault="00392921">
      <w:pPr>
        <w:sectPr w:rsidR="00392921">
          <w:type w:val="continuous"/>
          <w:pgSz w:w="11900" w:h="15876"/>
          <w:pgMar w:top="766" w:right="1246" w:bottom="0" w:left="1000" w:header="0" w:footer="0" w:gutter="0"/>
          <w:cols w:space="720" w:equalWidth="0">
            <w:col w:w="9660"/>
          </w:cols>
        </w:sectPr>
      </w:pPr>
    </w:p>
    <w:p w:rsidR="00392921" w:rsidRDefault="00392921">
      <w:pPr>
        <w:spacing w:line="2" w:lineRule="exact"/>
        <w:rPr>
          <w:sz w:val="20"/>
          <w:szCs w:val="20"/>
        </w:rPr>
      </w:pPr>
      <w:bookmarkStart w:id="3" w:name="page5"/>
      <w:bookmarkEnd w:id="3"/>
    </w:p>
    <w:tbl>
      <w:tblPr>
        <w:tblW w:w="9680" w:type="dxa"/>
        <w:tblLayout w:type="fixed"/>
        <w:tblCellMar>
          <w:left w:w="0" w:type="dxa"/>
          <w:right w:w="0" w:type="dxa"/>
        </w:tblCellMar>
        <w:tblLook w:val="04A0" w:firstRow="1" w:lastRow="0" w:firstColumn="1" w:lastColumn="0" w:noHBand="0" w:noVBand="1"/>
      </w:tblPr>
      <w:tblGrid>
        <w:gridCol w:w="1580"/>
        <w:gridCol w:w="1000"/>
        <w:gridCol w:w="1420"/>
        <w:gridCol w:w="1160"/>
        <w:gridCol w:w="1840"/>
        <w:gridCol w:w="1320"/>
        <w:gridCol w:w="1360"/>
      </w:tblGrid>
      <w:tr w:rsidR="00392921" w:rsidTr="003803CD">
        <w:trPr>
          <w:trHeight w:val="24"/>
        </w:trPr>
        <w:tc>
          <w:tcPr>
            <w:tcW w:w="7000" w:type="dxa"/>
            <w:gridSpan w:val="5"/>
            <w:tcBorders>
              <w:bottom w:val="single" w:sz="8" w:space="0" w:color="auto"/>
            </w:tcBorders>
            <w:vAlign w:val="bottom"/>
          </w:tcPr>
          <w:p w:rsidR="00392921" w:rsidRDefault="00392921">
            <w:pPr>
              <w:rPr>
                <w:sz w:val="2"/>
                <w:szCs w:val="2"/>
              </w:rPr>
            </w:pPr>
          </w:p>
        </w:tc>
        <w:tc>
          <w:tcPr>
            <w:tcW w:w="1320" w:type="dxa"/>
            <w:tcBorders>
              <w:bottom w:val="single" w:sz="8" w:space="0" w:color="auto"/>
            </w:tcBorders>
            <w:vAlign w:val="bottom"/>
          </w:tcPr>
          <w:p w:rsidR="00392921" w:rsidRDefault="00392921">
            <w:pPr>
              <w:rPr>
                <w:sz w:val="2"/>
                <w:szCs w:val="2"/>
              </w:rPr>
            </w:pPr>
          </w:p>
        </w:tc>
        <w:tc>
          <w:tcPr>
            <w:tcW w:w="1360" w:type="dxa"/>
            <w:tcBorders>
              <w:bottom w:val="single" w:sz="8" w:space="0" w:color="auto"/>
            </w:tcBorders>
            <w:vAlign w:val="bottom"/>
          </w:tcPr>
          <w:p w:rsidR="00392921" w:rsidRDefault="00392921">
            <w:pPr>
              <w:rPr>
                <w:sz w:val="2"/>
                <w:szCs w:val="2"/>
              </w:rPr>
            </w:pPr>
          </w:p>
        </w:tc>
      </w:tr>
      <w:tr w:rsidR="00392921" w:rsidTr="003803CD">
        <w:trPr>
          <w:trHeight w:val="621"/>
        </w:trPr>
        <w:tc>
          <w:tcPr>
            <w:tcW w:w="7000" w:type="dxa"/>
            <w:gridSpan w:val="5"/>
            <w:vAlign w:val="bottom"/>
          </w:tcPr>
          <w:p w:rsidR="00392921" w:rsidRDefault="00DA308A">
            <w:pPr>
              <w:rPr>
                <w:sz w:val="20"/>
                <w:szCs w:val="20"/>
              </w:rPr>
            </w:pPr>
            <w:r>
              <w:rPr>
                <w:rFonts w:ascii="Arial" w:eastAsia="Arial" w:hAnsi="Arial" w:cs="Arial"/>
                <w:w w:val="97"/>
                <w:sz w:val="20"/>
                <w:szCs w:val="20"/>
              </w:rPr>
              <w:t>Table 1. Serum T</w:t>
            </w:r>
            <w:r>
              <w:rPr>
                <w:rFonts w:ascii="Arial" w:eastAsia="Arial" w:hAnsi="Arial" w:cs="Arial"/>
                <w:w w:val="97"/>
                <w:sz w:val="26"/>
                <w:szCs w:val="26"/>
                <w:vertAlign w:val="subscript"/>
              </w:rPr>
              <w:t>3</w:t>
            </w:r>
            <w:r>
              <w:rPr>
                <w:rFonts w:ascii="Arial" w:eastAsia="Arial" w:hAnsi="Arial" w:cs="Arial"/>
                <w:w w:val="97"/>
                <w:sz w:val="20"/>
                <w:szCs w:val="20"/>
              </w:rPr>
              <w:t xml:space="preserve">, </w:t>
            </w:r>
            <w:r>
              <w:rPr>
                <w:rFonts w:ascii="Arial" w:eastAsia="Arial" w:hAnsi="Arial" w:cs="Arial"/>
                <w:w w:val="97"/>
                <w:sz w:val="20"/>
                <w:szCs w:val="20"/>
              </w:rPr>
              <w:t>TSH levels, and sperm count in different groups under study</w:t>
            </w:r>
            <w:r>
              <w:rPr>
                <w:rFonts w:ascii="Arial" w:eastAsia="Arial" w:hAnsi="Arial" w:cs="Arial"/>
                <w:w w:val="97"/>
                <w:sz w:val="26"/>
                <w:szCs w:val="26"/>
                <w:vertAlign w:val="superscript"/>
              </w:rPr>
              <w:t>a</w:t>
            </w:r>
          </w:p>
        </w:tc>
        <w:tc>
          <w:tcPr>
            <w:tcW w:w="1320" w:type="dxa"/>
            <w:vAlign w:val="bottom"/>
          </w:tcPr>
          <w:p w:rsidR="00392921" w:rsidRDefault="00392921">
            <w:pPr>
              <w:rPr>
                <w:sz w:val="24"/>
                <w:szCs w:val="24"/>
              </w:rPr>
            </w:pPr>
          </w:p>
        </w:tc>
        <w:tc>
          <w:tcPr>
            <w:tcW w:w="1360" w:type="dxa"/>
            <w:vAlign w:val="bottom"/>
          </w:tcPr>
          <w:p w:rsidR="00392921" w:rsidRDefault="00392921">
            <w:pPr>
              <w:rPr>
                <w:sz w:val="24"/>
                <w:szCs w:val="24"/>
              </w:rPr>
            </w:pPr>
          </w:p>
        </w:tc>
      </w:tr>
      <w:tr w:rsidR="00392921" w:rsidTr="003803CD">
        <w:trPr>
          <w:trHeight w:val="42"/>
        </w:trPr>
        <w:tc>
          <w:tcPr>
            <w:tcW w:w="1580" w:type="dxa"/>
            <w:tcBorders>
              <w:bottom w:val="single" w:sz="8" w:space="0" w:color="auto"/>
            </w:tcBorders>
            <w:vAlign w:val="bottom"/>
          </w:tcPr>
          <w:p w:rsidR="00392921" w:rsidRDefault="00392921">
            <w:pPr>
              <w:rPr>
                <w:sz w:val="3"/>
                <w:szCs w:val="3"/>
              </w:rPr>
            </w:pPr>
          </w:p>
        </w:tc>
        <w:tc>
          <w:tcPr>
            <w:tcW w:w="1000" w:type="dxa"/>
            <w:tcBorders>
              <w:bottom w:val="single" w:sz="8" w:space="0" w:color="auto"/>
            </w:tcBorders>
            <w:vAlign w:val="bottom"/>
          </w:tcPr>
          <w:p w:rsidR="00392921" w:rsidRDefault="00392921">
            <w:pPr>
              <w:rPr>
                <w:sz w:val="3"/>
                <w:szCs w:val="3"/>
              </w:rPr>
            </w:pPr>
          </w:p>
        </w:tc>
        <w:tc>
          <w:tcPr>
            <w:tcW w:w="1420" w:type="dxa"/>
            <w:tcBorders>
              <w:bottom w:val="single" w:sz="8" w:space="0" w:color="auto"/>
            </w:tcBorders>
            <w:vAlign w:val="bottom"/>
          </w:tcPr>
          <w:p w:rsidR="00392921" w:rsidRDefault="00392921">
            <w:pPr>
              <w:rPr>
                <w:sz w:val="3"/>
                <w:szCs w:val="3"/>
              </w:rPr>
            </w:pPr>
          </w:p>
        </w:tc>
        <w:tc>
          <w:tcPr>
            <w:tcW w:w="1160" w:type="dxa"/>
            <w:tcBorders>
              <w:bottom w:val="single" w:sz="8" w:space="0" w:color="auto"/>
            </w:tcBorders>
            <w:vAlign w:val="bottom"/>
          </w:tcPr>
          <w:p w:rsidR="00392921" w:rsidRDefault="00392921">
            <w:pPr>
              <w:rPr>
                <w:sz w:val="3"/>
                <w:szCs w:val="3"/>
              </w:rPr>
            </w:pPr>
          </w:p>
        </w:tc>
        <w:tc>
          <w:tcPr>
            <w:tcW w:w="1840" w:type="dxa"/>
            <w:tcBorders>
              <w:bottom w:val="single" w:sz="8" w:space="0" w:color="auto"/>
            </w:tcBorders>
            <w:vAlign w:val="bottom"/>
          </w:tcPr>
          <w:p w:rsidR="00392921" w:rsidRDefault="00392921">
            <w:pPr>
              <w:rPr>
                <w:sz w:val="3"/>
                <w:szCs w:val="3"/>
              </w:rPr>
            </w:pPr>
          </w:p>
        </w:tc>
        <w:tc>
          <w:tcPr>
            <w:tcW w:w="2680" w:type="dxa"/>
            <w:gridSpan w:val="2"/>
            <w:tcBorders>
              <w:bottom w:val="single" w:sz="8" w:space="0" w:color="auto"/>
            </w:tcBorders>
            <w:vAlign w:val="bottom"/>
          </w:tcPr>
          <w:p w:rsidR="00392921" w:rsidRDefault="00392921">
            <w:pPr>
              <w:rPr>
                <w:sz w:val="3"/>
                <w:szCs w:val="3"/>
              </w:rPr>
            </w:pPr>
          </w:p>
        </w:tc>
      </w:tr>
      <w:tr w:rsidR="00392921" w:rsidTr="003803CD">
        <w:trPr>
          <w:trHeight w:val="293"/>
        </w:trPr>
        <w:tc>
          <w:tcPr>
            <w:tcW w:w="1580" w:type="dxa"/>
            <w:vAlign w:val="bottom"/>
          </w:tcPr>
          <w:p w:rsidR="00392921" w:rsidRDefault="00392921">
            <w:pPr>
              <w:rPr>
                <w:sz w:val="24"/>
                <w:szCs w:val="24"/>
              </w:rPr>
            </w:pPr>
          </w:p>
        </w:tc>
        <w:tc>
          <w:tcPr>
            <w:tcW w:w="1000" w:type="dxa"/>
            <w:vAlign w:val="bottom"/>
          </w:tcPr>
          <w:p w:rsidR="00392921" w:rsidRDefault="00392921">
            <w:pPr>
              <w:rPr>
                <w:sz w:val="24"/>
                <w:szCs w:val="24"/>
              </w:rPr>
            </w:pPr>
          </w:p>
        </w:tc>
        <w:tc>
          <w:tcPr>
            <w:tcW w:w="1420" w:type="dxa"/>
            <w:vAlign w:val="bottom"/>
          </w:tcPr>
          <w:p w:rsidR="00392921" w:rsidRDefault="00392921">
            <w:pPr>
              <w:rPr>
                <w:sz w:val="24"/>
                <w:szCs w:val="24"/>
              </w:rPr>
            </w:pPr>
          </w:p>
        </w:tc>
        <w:tc>
          <w:tcPr>
            <w:tcW w:w="1160" w:type="dxa"/>
            <w:vAlign w:val="bottom"/>
          </w:tcPr>
          <w:p w:rsidR="00392921" w:rsidRDefault="00392921">
            <w:pPr>
              <w:rPr>
                <w:sz w:val="24"/>
                <w:szCs w:val="24"/>
              </w:rPr>
            </w:pPr>
          </w:p>
        </w:tc>
        <w:tc>
          <w:tcPr>
            <w:tcW w:w="1840" w:type="dxa"/>
            <w:vAlign w:val="bottom"/>
          </w:tcPr>
          <w:p w:rsidR="00392921" w:rsidRDefault="00392921">
            <w:pPr>
              <w:rPr>
                <w:sz w:val="24"/>
                <w:szCs w:val="24"/>
              </w:rPr>
            </w:pPr>
          </w:p>
        </w:tc>
        <w:tc>
          <w:tcPr>
            <w:tcW w:w="2680" w:type="dxa"/>
            <w:gridSpan w:val="2"/>
            <w:vAlign w:val="bottom"/>
          </w:tcPr>
          <w:p w:rsidR="00392921" w:rsidRDefault="00DA308A">
            <w:pPr>
              <w:ind w:left="320"/>
              <w:rPr>
                <w:sz w:val="20"/>
                <w:szCs w:val="20"/>
              </w:rPr>
            </w:pPr>
            <w:r>
              <w:rPr>
                <w:rFonts w:ascii="Arial" w:eastAsia="Arial" w:hAnsi="Arial" w:cs="Arial"/>
                <w:w w:val="93"/>
                <w:sz w:val="20"/>
                <w:szCs w:val="20"/>
              </w:rPr>
              <w:t>Mean sperm count (sperm/g</w:t>
            </w:r>
          </w:p>
        </w:tc>
      </w:tr>
      <w:tr w:rsidR="00392921" w:rsidTr="003803CD">
        <w:trPr>
          <w:trHeight w:val="266"/>
        </w:trPr>
        <w:tc>
          <w:tcPr>
            <w:tcW w:w="1580" w:type="dxa"/>
            <w:vAlign w:val="bottom"/>
          </w:tcPr>
          <w:p w:rsidR="00392921" w:rsidRDefault="00DA308A">
            <w:pPr>
              <w:rPr>
                <w:sz w:val="20"/>
                <w:szCs w:val="20"/>
              </w:rPr>
            </w:pPr>
            <w:r>
              <w:rPr>
                <w:rFonts w:ascii="Arial" w:eastAsia="Arial" w:hAnsi="Arial" w:cs="Arial"/>
                <w:sz w:val="20"/>
                <w:szCs w:val="20"/>
              </w:rPr>
              <w:t>Groups</w:t>
            </w:r>
          </w:p>
        </w:tc>
        <w:tc>
          <w:tcPr>
            <w:tcW w:w="2420" w:type="dxa"/>
            <w:gridSpan w:val="2"/>
            <w:vAlign w:val="bottom"/>
          </w:tcPr>
          <w:p w:rsidR="00392921" w:rsidRDefault="00DA308A">
            <w:pPr>
              <w:spacing w:line="266" w:lineRule="exact"/>
              <w:ind w:left="740"/>
              <w:rPr>
                <w:sz w:val="20"/>
                <w:szCs w:val="20"/>
              </w:rPr>
            </w:pPr>
            <w:r>
              <w:rPr>
                <w:rFonts w:ascii="Arial" w:eastAsia="Arial" w:hAnsi="Arial" w:cs="Arial"/>
                <w:sz w:val="20"/>
                <w:szCs w:val="20"/>
              </w:rPr>
              <w:t>T</w:t>
            </w:r>
            <w:r>
              <w:rPr>
                <w:rFonts w:ascii="Arial" w:eastAsia="Arial" w:hAnsi="Arial" w:cs="Arial"/>
                <w:sz w:val="26"/>
                <w:szCs w:val="26"/>
                <w:vertAlign w:val="subscript"/>
              </w:rPr>
              <w:t>3</w:t>
            </w:r>
            <w:r>
              <w:rPr>
                <w:rFonts w:ascii="Arial" w:eastAsia="Arial" w:hAnsi="Arial" w:cs="Arial"/>
                <w:sz w:val="20"/>
                <w:szCs w:val="20"/>
              </w:rPr>
              <w:t xml:space="preserve"> (ng/dl)</w:t>
            </w:r>
          </w:p>
        </w:tc>
        <w:tc>
          <w:tcPr>
            <w:tcW w:w="3000" w:type="dxa"/>
            <w:gridSpan w:val="2"/>
            <w:vAlign w:val="bottom"/>
          </w:tcPr>
          <w:p w:rsidR="00392921" w:rsidRDefault="00DA308A">
            <w:pPr>
              <w:ind w:left="780"/>
              <w:rPr>
                <w:sz w:val="20"/>
                <w:szCs w:val="20"/>
              </w:rPr>
            </w:pPr>
            <w:r>
              <w:rPr>
                <w:rFonts w:ascii="Arial" w:eastAsia="Arial" w:hAnsi="Arial" w:cs="Arial"/>
                <w:sz w:val="20"/>
                <w:szCs w:val="20"/>
              </w:rPr>
              <w:t>TSH (</w:t>
            </w:r>
            <w:r>
              <w:rPr>
                <w:rFonts w:eastAsia="Times New Roman"/>
                <w:sz w:val="20"/>
                <w:szCs w:val="20"/>
              </w:rPr>
              <w:t>m</w:t>
            </w:r>
            <w:r>
              <w:rPr>
                <w:rFonts w:ascii="Arial" w:eastAsia="Arial" w:hAnsi="Arial" w:cs="Arial"/>
                <w:sz w:val="20"/>
                <w:szCs w:val="20"/>
              </w:rPr>
              <w:t>IU/ml)</w:t>
            </w:r>
          </w:p>
        </w:tc>
        <w:tc>
          <w:tcPr>
            <w:tcW w:w="2680" w:type="dxa"/>
            <w:gridSpan w:val="2"/>
            <w:vAlign w:val="bottom"/>
          </w:tcPr>
          <w:p w:rsidR="00392921" w:rsidRDefault="00DA308A">
            <w:pPr>
              <w:spacing w:line="266" w:lineRule="exact"/>
              <w:ind w:left="340"/>
              <w:rPr>
                <w:sz w:val="20"/>
                <w:szCs w:val="20"/>
              </w:rPr>
            </w:pPr>
            <w:r>
              <w:rPr>
                <w:rFonts w:ascii="Arial" w:eastAsia="Arial" w:hAnsi="Arial" w:cs="Arial"/>
                <w:sz w:val="20"/>
                <w:szCs w:val="20"/>
              </w:rPr>
              <w:t>epididymis wt)   10</w:t>
            </w:r>
            <w:r>
              <w:rPr>
                <w:rFonts w:ascii="Arial" w:eastAsia="Arial" w:hAnsi="Arial" w:cs="Arial"/>
                <w:sz w:val="26"/>
                <w:szCs w:val="26"/>
                <w:vertAlign w:val="superscript"/>
              </w:rPr>
              <w:t>6</w:t>
            </w:r>
            <w:r>
              <w:rPr>
                <w:rFonts w:ascii="Arial" w:eastAsia="Arial" w:hAnsi="Arial" w:cs="Arial"/>
                <w:sz w:val="20"/>
                <w:szCs w:val="20"/>
              </w:rPr>
              <w:t xml:space="preserve"> </w:t>
            </w:r>
            <w:r>
              <w:rPr>
                <w:rFonts w:eastAsia="Times New Roman"/>
                <w:sz w:val="20"/>
                <w:szCs w:val="20"/>
              </w:rPr>
              <w:t>+</w:t>
            </w:r>
            <w:r>
              <w:rPr>
                <w:rFonts w:ascii="Arial" w:eastAsia="Arial" w:hAnsi="Arial" w:cs="Arial"/>
                <w:sz w:val="20"/>
                <w:szCs w:val="20"/>
              </w:rPr>
              <w:t xml:space="preserve"> SD</w:t>
            </w:r>
          </w:p>
        </w:tc>
      </w:tr>
      <w:tr w:rsidR="00392921" w:rsidTr="003803CD">
        <w:trPr>
          <w:trHeight w:val="42"/>
        </w:trPr>
        <w:tc>
          <w:tcPr>
            <w:tcW w:w="1580" w:type="dxa"/>
            <w:tcBorders>
              <w:bottom w:val="single" w:sz="8" w:space="0" w:color="auto"/>
            </w:tcBorders>
            <w:vAlign w:val="bottom"/>
          </w:tcPr>
          <w:p w:rsidR="00392921" w:rsidRDefault="00392921">
            <w:pPr>
              <w:rPr>
                <w:sz w:val="3"/>
                <w:szCs w:val="3"/>
              </w:rPr>
            </w:pPr>
          </w:p>
        </w:tc>
        <w:tc>
          <w:tcPr>
            <w:tcW w:w="1000" w:type="dxa"/>
            <w:tcBorders>
              <w:bottom w:val="single" w:sz="8" w:space="0" w:color="auto"/>
            </w:tcBorders>
            <w:vAlign w:val="bottom"/>
          </w:tcPr>
          <w:p w:rsidR="00392921" w:rsidRDefault="00392921">
            <w:pPr>
              <w:rPr>
                <w:sz w:val="3"/>
                <w:szCs w:val="3"/>
              </w:rPr>
            </w:pPr>
          </w:p>
        </w:tc>
        <w:tc>
          <w:tcPr>
            <w:tcW w:w="1420" w:type="dxa"/>
            <w:tcBorders>
              <w:bottom w:val="single" w:sz="8" w:space="0" w:color="auto"/>
            </w:tcBorders>
            <w:vAlign w:val="bottom"/>
          </w:tcPr>
          <w:p w:rsidR="00392921" w:rsidRDefault="00392921">
            <w:pPr>
              <w:rPr>
                <w:sz w:val="3"/>
                <w:szCs w:val="3"/>
              </w:rPr>
            </w:pPr>
          </w:p>
        </w:tc>
        <w:tc>
          <w:tcPr>
            <w:tcW w:w="1160" w:type="dxa"/>
            <w:tcBorders>
              <w:bottom w:val="single" w:sz="8" w:space="0" w:color="auto"/>
            </w:tcBorders>
            <w:vAlign w:val="bottom"/>
          </w:tcPr>
          <w:p w:rsidR="00392921" w:rsidRDefault="00392921">
            <w:pPr>
              <w:rPr>
                <w:sz w:val="3"/>
                <w:szCs w:val="3"/>
              </w:rPr>
            </w:pPr>
          </w:p>
        </w:tc>
        <w:tc>
          <w:tcPr>
            <w:tcW w:w="1840" w:type="dxa"/>
            <w:tcBorders>
              <w:bottom w:val="single" w:sz="8" w:space="0" w:color="auto"/>
            </w:tcBorders>
            <w:vAlign w:val="bottom"/>
          </w:tcPr>
          <w:p w:rsidR="00392921" w:rsidRDefault="00392921">
            <w:pPr>
              <w:rPr>
                <w:sz w:val="3"/>
                <w:szCs w:val="3"/>
              </w:rPr>
            </w:pPr>
          </w:p>
        </w:tc>
        <w:tc>
          <w:tcPr>
            <w:tcW w:w="1320" w:type="dxa"/>
            <w:tcBorders>
              <w:bottom w:val="single" w:sz="8" w:space="0" w:color="auto"/>
            </w:tcBorders>
            <w:vAlign w:val="bottom"/>
          </w:tcPr>
          <w:p w:rsidR="00392921" w:rsidRDefault="00392921">
            <w:pPr>
              <w:rPr>
                <w:sz w:val="3"/>
                <w:szCs w:val="3"/>
              </w:rPr>
            </w:pPr>
          </w:p>
        </w:tc>
        <w:tc>
          <w:tcPr>
            <w:tcW w:w="1360" w:type="dxa"/>
            <w:tcBorders>
              <w:bottom w:val="single" w:sz="8" w:space="0" w:color="auto"/>
            </w:tcBorders>
            <w:vAlign w:val="bottom"/>
          </w:tcPr>
          <w:p w:rsidR="00392921" w:rsidRDefault="00392921">
            <w:pPr>
              <w:rPr>
                <w:sz w:val="3"/>
                <w:szCs w:val="3"/>
              </w:rPr>
            </w:pPr>
          </w:p>
        </w:tc>
      </w:tr>
      <w:tr w:rsidR="00392921" w:rsidTr="003803CD">
        <w:trPr>
          <w:trHeight w:val="318"/>
        </w:trPr>
        <w:tc>
          <w:tcPr>
            <w:tcW w:w="1580" w:type="dxa"/>
            <w:vAlign w:val="bottom"/>
          </w:tcPr>
          <w:p w:rsidR="00392921" w:rsidRDefault="00DA308A">
            <w:pPr>
              <w:rPr>
                <w:sz w:val="20"/>
                <w:szCs w:val="20"/>
              </w:rPr>
            </w:pPr>
            <w:r>
              <w:rPr>
                <w:rFonts w:ascii="Arial" w:eastAsia="Arial" w:hAnsi="Arial" w:cs="Arial"/>
                <w:sz w:val="20"/>
                <w:szCs w:val="20"/>
              </w:rPr>
              <w:t>G</w:t>
            </w:r>
            <w:r>
              <w:rPr>
                <w:rFonts w:ascii="Arial" w:eastAsia="Arial" w:hAnsi="Arial" w:cs="Arial"/>
                <w:sz w:val="26"/>
                <w:szCs w:val="26"/>
                <w:vertAlign w:val="subscript"/>
              </w:rPr>
              <w:t>1</w:t>
            </w:r>
          </w:p>
        </w:tc>
        <w:tc>
          <w:tcPr>
            <w:tcW w:w="1000" w:type="dxa"/>
            <w:vAlign w:val="bottom"/>
          </w:tcPr>
          <w:p w:rsidR="00392921" w:rsidRDefault="00DA308A">
            <w:pPr>
              <w:jc w:val="right"/>
              <w:rPr>
                <w:sz w:val="20"/>
                <w:szCs w:val="20"/>
              </w:rPr>
            </w:pPr>
            <w:r>
              <w:rPr>
                <w:rFonts w:ascii="Arial" w:eastAsia="Arial" w:hAnsi="Arial" w:cs="Arial"/>
                <w:sz w:val="20"/>
                <w:szCs w:val="20"/>
              </w:rPr>
              <w:t>147</w:t>
            </w:r>
          </w:p>
        </w:tc>
        <w:tc>
          <w:tcPr>
            <w:tcW w:w="1420" w:type="dxa"/>
            <w:vAlign w:val="bottom"/>
          </w:tcPr>
          <w:p w:rsidR="00392921" w:rsidRDefault="00DA308A">
            <w:pPr>
              <w:ind w:left="40"/>
              <w:rPr>
                <w:sz w:val="20"/>
                <w:szCs w:val="20"/>
              </w:rPr>
            </w:pPr>
            <w:r>
              <w:rPr>
                <w:rFonts w:eastAsia="Times New Roman"/>
                <w:sz w:val="20"/>
                <w:szCs w:val="20"/>
              </w:rPr>
              <w:t xml:space="preserve">+ </w:t>
            </w:r>
            <w:r>
              <w:rPr>
                <w:rFonts w:ascii="Arial" w:eastAsia="Arial" w:hAnsi="Arial" w:cs="Arial"/>
                <w:sz w:val="20"/>
                <w:szCs w:val="20"/>
              </w:rPr>
              <w:t>22.37</w:t>
            </w:r>
          </w:p>
        </w:tc>
        <w:tc>
          <w:tcPr>
            <w:tcW w:w="1160" w:type="dxa"/>
            <w:vAlign w:val="bottom"/>
          </w:tcPr>
          <w:p w:rsidR="00392921" w:rsidRDefault="00DA308A">
            <w:pPr>
              <w:jc w:val="right"/>
              <w:rPr>
                <w:sz w:val="20"/>
                <w:szCs w:val="20"/>
              </w:rPr>
            </w:pPr>
            <w:r>
              <w:rPr>
                <w:rFonts w:ascii="Arial" w:eastAsia="Arial" w:hAnsi="Arial" w:cs="Arial"/>
                <w:sz w:val="20"/>
                <w:szCs w:val="20"/>
              </w:rPr>
              <w:t>0.014</w:t>
            </w:r>
          </w:p>
        </w:tc>
        <w:tc>
          <w:tcPr>
            <w:tcW w:w="1840" w:type="dxa"/>
            <w:vAlign w:val="bottom"/>
          </w:tcPr>
          <w:p w:rsidR="00392921" w:rsidRDefault="00DA308A">
            <w:pPr>
              <w:ind w:left="20"/>
              <w:rPr>
                <w:sz w:val="20"/>
                <w:szCs w:val="20"/>
              </w:rPr>
            </w:pPr>
            <w:r>
              <w:rPr>
                <w:rFonts w:eastAsia="Times New Roman"/>
                <w:sz w:val="20"/>
                <w:szCs w:val="20"/>
              </w:rPr>
              <w:t xml:space="preserve">+ </w:t>
            </w:r>
            <w:r>
              <w:rPr>
                <w:rFonts w:ascii="Arial" w:eastAsia="Arial" w:hAnsi="Arial" w:cs="Arial"/>
                <w:sz w:val="20"/>
                <w:szCs w:val="20"/>
              </w:rPr>
              <w:t>0.003</w:t>
            </w:r>
          </w:p>
        </w:tc>
        <w:tc>
          <w:tcPr>
            <w:tcW w:w="1320" w:type="dxa"/>
            <w:vAlign w:val="bottom"/>
          </w:tcPr>
          <w:p w:rsidR="00392921" w:rsidRDefault="00DA308A">
            <w:pPr>
              <w:jc w:val="right"/>
              <w:rPr>
                <w:sz w:val="20"/>
                <w:szCs w:val="20"/>
              </w:rPr>
            </w:pPr>
            <w:r>
              <w:rPr>
                <w:rFonts w:ascii="Arial" w:eastAsia="Arial" w:hAnsi="Arial" w:cs="Arial"/>
                <w:sz w:val="20"/>
                <w:szCs w:val="20"/>
              </w:rPr>
              <w:t>250.36</w:t>
            </w:r>
          </w:p>
        </w:tc>
        <w:tc>
          <w:tcPr>
            <w:tcW w:w="1360" w:type="dxa"/>
            <w:vAlign w:val="bottom"/>
          </w:tcPr>
          <w:p w:rsidR="00392921" w:rsidRDefault="00DA308A">
            <w:pPr>
              <w:ind w:left="40"/>
              <w:rPr>
                <w:sz w:val="20"/>
                <w:szCs w:val="20"/>
              </w:rPr>
            </w:pPr>
            <w:r>
              <w:rPr>
                <w:rFonts w:eastAsia="Times New Roman"/>
                <w:sz w:val="20"/>
                <w:szCs w:val="20"/>
              </w:rPr>
              <w:t xml:space="preserve">+ </w:t>
            </w:r>
            <w:r>
              <w:rPr>
                <w:rFonts w:ascii="Arial" w:eastAsia="Arial" w:hAnsi="Arial" w:cs="Arial"/>
                <w:sz w:val="20"/>
                <w:szCs w:val="20"/>
              </w:rPr>
              <w:t>25.94</w:t>
            </w:r>
          </w:p>
        </w:tc>
      </w:tr>
      <w:tr w:rsidR="00392921" w:rsidTr="003803CD">
        <w:trPr>
          <w:trHeight w:val="206"/>
        </w:trPr>
        <w:tc>
          <w:tcPr>
            <w:tcW w:w="1580" w:type="dxa"/>
            <w:vAlign w:val="bottom"/>
          </w:tcPr>
          <w:p w:rsidR="00392921" w:rsidRDefault="00DA308A">
            <w:pPr>
              <w:spacing w:line="207" w:lineRule="exact"/>
              <w:rPr>
                <w:sz w:val="20"/>
                <w:szCs w:val="20"/>
              </w:rPr>
            </w:pPr>
            <w:r>
              <w:rPr>
                <w:rFonts w:ascii="Arial" w:eastAsia="Arial" w:hAnsi="Arial" w:cs="Arial"/>
                <w:sz w:val="23"/>
                <w:szCs w:val="23"/>
                <w:vertAlign w:val="superscript"/>
              </w:rPr>
              <w:t>G</w:t>
            </w:r>
            <w:r>
              <w:rPr>
                <w:rFonts w:ascii="Arial" w:eastAsia="Arial" w:hAnsi="Arial" w:cs="Arial"/>
                <w:sz w:val="11"/>
                <w:szCs w:val="11"/>
              </w:rPr>
              <w:t>2</w:t>
            </w:r>
          </w:p>
        </w:tc>
        <w:tc>
          <w:tcPr>
            <w:tcW w:w="1000" w:type="dxa"/>
            <w:vAlign w:val="bottom"/>
          </w:tcPr>
          <w:p w:rsidR="00392921" w:rsidRDefault="00DA308A">
            <w:pPr>
              <w:spacing w:line="207" w:lineRule="exact"/>
              <w:jc w:val="right"/>
              <w:rPr>
                <w:sz w:val="20"/>
                <w:szCs w:val="20"/>
              </w:rPr>
            </w:pPr>
            <w:r>
              <w:rPr>
                <w:rFonts w:ascii="Arial" w:eastAsia="Arial" w:hAnsi="Arial" w:cs="Arial"/>
                <w:sz w:val="20"/>
                <w:szCs w:val="20"/>
              </w:rPr>
              <w:t>148</w:t>
            </w:r>
          </w:p>
        </w:tc>
        <w:tc>
          <w:tcPr>
            <w:tcW w:w="1420" w:type="dxa"/>
            <w:vAlign w:val="bottom"/>
          </w:tcPr>
          <w:p w:rsidR="00392921" w:rsidRDefault="00DA308A">
            <w:pPr>
              <w:spacing w:line="206" w:lineRule="exact"/>
              <w:ind w:left="40"/>
              <w:rPr>
                <w:sz w:val="20"/>
                <w:szCs w:val="20"/>
              </w:rPr>
            </w:pPr>
            <w:r>
              <w:rPr>
                <w:rFonts w:eastAsia="Times New Roman"/>
                <w:sz w:val="20"/>
                <w:szCs w:val="20"/>
              </w:rPr>
              <w:t xml:space="preserve">+ </w:t>
            </w:r>
            <w:r>
              <w:rPr>
                <w:rFonts w:ascii="Arial" w:eastAsia="Arial" w:hAnsi="Arial" w:cs="Arial"/>
                <w:sz w:val="20"/>
                <w:szCs w:val="20"/>
              </w:rPr>
              <w:t>23.52</w:t>
            </w:r>
          </w:p>
        </w:tc>
        <w:tc>
          <w:tcPr>
            <w:tcW w:w="1160" w:type="dxa"/>
            <w:vAlign w:val="bottom"/>
          </w:tcPr>
          <w:p w:rsidR="00392921" w:rsidRDefault="00DA308A">
            <w:pPr>
              <w:spacing w:line="207" w:lineRule="exact"/>
              <w:jc w:val="right"/>
              <w:rPr>
                <w:sz w:val="20"/>
                <w:szCs w:val="20"/>
              </w:rPr>
            </w:pPr>
            <w:r>
              <w:rPr>
                <w:rFonts w:ascii="Arial" w:eastAsia="Arial" w:hAnsi="Arial" w:cs="Arial"/>
                <w:sz w:val="20"/>
                <w:szCs w:val="20"/>
              </w:rPr>
              <w:t>0.152</w:t>
            </w:r>
          </w:p>
        </w:tc>
        <w:tc>
          <w:tcPr>
            <w:tcW w:w="1840" w:type="dxa"/>
            <w:vAlign w:val="bottom"/>
          </w:tcPr>
          <w:p w:rsidR="00392921" w:rsidRDefault="00DA308A">
            <w:pPr>
              <w:spacing w:line="206" w:lineRule="exact"/>
              <w:ind w:left="20"/>
              <w:rPr>
                <w:sz w:val="20"/>
                <w:szCs w:val="20"/>
              </w:rPr>
            </w:pPr>
            <w:r>
              <w:rPr>
                <w:rFonts w:eastAsia="Times New Roman"/>
                <w:sz w:val="20"/>
                <w:szCs w:val="20"/>
              </w:rPr>
              <w:t xml:space="preserve">+ </w:t>
            </w:r>
            <w:r>
              <w:rPr>
                <w:rFonts w:ascii="Arial" w:eastAsia="Arial" w:hAnsi="Arial" w:cs="Arial"/>
                <w:sz w:val="20"/>
                <w:szCs w:val="20"/>
              </w:rPr>
              <w:t>0.124</w:t>
            </w:r>
          </w:p>
        </w:tc>
        <w:tc>
          <w:tcPr>
            <w:tcW w:w="1320" w:type="dxa"/>
            <w:vAlign w:val="bottom"/>
          </w:tcPr>
          <w:p w:rsidR="00392921" w:rsidRDefault="00DA308A">
            <w:pPr>
              <w:spacing w:line="207" w:lineRule="exact"/>
              <w:jc w:val="right"/>
              <w:rPr>
                <w:sz w:val="20"/>
                <w:szCs w:val="20"/>
              </w:rPr>
            </w:pPr>
            <w:r>
              <w:rPr>
                <w:rFonts w:ascii="Arial" w:eastAsia="Arial" w:hAnsi="Arial" w:cs="Arial"/>
                <w:sz w:val="20"/>
                <w:szCs w:val="20"/>
              </w:rPr>
              <w:t>233.60</w:t>
            </w:r>
          </w:p>
        </w:tc>
        <w:tc>
          <w:tcPr>
            <w:tcW w:w="1360" w:type="dxa"/>
            <w:vAlign w:val="bottom"/>
          </w:tcPr>
          <w:p w:rsidR="00392921" w:rsidRDefault="00DA308A">
            <w:pPr>
              <w:spacing w:line="206" w:lineRule="exact"/>
              <w:ind w:left="40"/>
              <w:rPr>
                <w:sz w:val="20"/>
                <w:szCs w:val="20"/>
              </w:rPr>
            </w:pPr>
            <w:r>
              <w:rPr>
                <w:rFonts w:eastAsia="Times New Roman"/>
                <w:sz w:val="20"/>
                <w:szCs w:val="20"/>
              </w:rPr>
              <w:t xml:space="preserve">+ </w:t>
            </w:r>
            <w:r>
              <w:rPr>
                <w:rFonts w:ascii="Arial" w:eastAsia="Arial" w:hAnsi="Arial" w:cs="Arial"/>
                <w:sz w:val="20"/>
                <w:szCs w:val="20"/>
              </w:rPr>
              <w:t>25.85</w:t>
            </w:r>
          </w:p>
        </w:tc>
      </w:tr>
      <w:tr w:rsidR="00392921" w:rsidTr="003803CD">
        <w:trPr>
          <w:trHeight w:val="229"/>
        </w:trPr>
        <w:tc>
          <w:tcPr>
            <w:tcW w:w="1580" w:type="dxa"/>
            <w:vAlign w:val="bottom"/>
          </w:tcPr>
          <w:p w:rsidR="00392921" w:rsidRDefault="00DA308A">
            <w:pPr>
              <w:spacing w:line="228" w:lineRule="exact"/>
              <w:rPr>
                <w:sz w:val="20"/>
                <w:szCs w:val="20"/>
              </w:rPr>
            </w:pPr>
            <w:r>
              <w:rPr>
                <w:rFonts w:ascii="Arial" w:eastAsia="Arial" w:hAnsi="Arial" w:cs="Arial"/>
                <w:sz w:val="20"/>
                <w:szCs w:val="20"/>
              </w:rPr>
              <w:t>G</w:t>
            </w:r>
            <w:r>
              <w:rPr>
                <w:rFonts w:ascii="Arial" w:eastAsia="Arial" w:hAnsi="Arial" w:cs="Arial"/>
                <w:sz w:val="26"/>
                <w:szCs w:val="26"/>
                <w:vertAlign w:val="subscript"/>
              </w:rPr>
              <w:t>3</w:t>
            </w:r>
          </w:p>
        </w:tc>
        <w:tc>
          <w:tcPr>
            <w:tcW w:w="1000" w:type="dxa"/>
            <w:vAlign w:val="bottom"/>
          </w:tcPr>
          <w:p w:rsidR="00392921" w:rsidRDefault="00DA308A">
            <w:pPr>
              <w:jc w:val="right"/>
              <w:rPr>
                <w:sz w:val="20"/>
                <w:szCs w:val="20"/>
              </w:rPr>
            </w:pPr>
            <w:r>
              <w:rPr>
                <w:rFonts w:ascii="Arial" w:eastAsia="Arial" w:hAnsi="Arial" w:cs="Arial"/>
                <w:sz w:val="20"/>
                <w:szCs w:val="20"/>
              </w:rPr>
              <w:t>57.7</w:t>
            </w:r>
          </w:p>
        </w:tc>
        <w:tc>
          <w:tcPr>
            <w:tcW w:w="1420" w:type="dxa"/>
            <w:vAlign w:val="bottom"/>
          </w:tcPr>
          <w:p w:rsidR="00392921" w:rsidRDefault="00DA308A">
            <w:pPr>
              <w:spacing w:line="229" w:lineRule="exact"/>
              <w:ind w:left="40"/>
              <w:rPr>
                <w:sz w:val="20"/>
                <w:szCs w:val="20"/>
              </w:rPr>
            </w:pPr>
            <w:r>
              <w:rPr>
                <w:rFonts w:eastAsia="Times New Roman"/>
                <w:sz w:val="20"/>
                <w:szCs w:val="20"/>
              </w:rPr>
              <w:t xml:space="preserve">+ </w:t>
            </w:r>
            <w:r>
              <w:rPr>
                <w:rFonts w:ascii="Arial" w:eastAsia="Arial" w:hAnsi="Arial" w:cs="Arial"/>
                <w:sz w:val="20"/>
                <w:szCs w:val="20"/>
              </w:rPr>
              <w:t>6.89</w:t>
            </w:r>
            <w:r>
              <w:rPr>
                <w:rFonts w:ascii="Arial" w:eastAsia="Arial" w:hAnsi="Arial" w:cs="Arial"/>
                <w:sz w:val="26"/>
                <w:szCs w:val="26"/>
                <w:vertAlign w:val="superscript"/>
              </w:rPr>
              <w:t>b</w:t>
            </w:r>
          </w:p>
        </w:tc>
        <w:tc>
          <w:tcPr>
            <w:tcW w:w="1160" w:type="dxa"/>
            <w:vAlign w:val="bottom"/>
          </w:tcPr>
          <w:p w:rsidR="00392921" w:rsidRDefault="00DA308A">
            <w:pPr>
              <w:jc w:val="right"/>
              <w:rPr>
                <w:sz w:val="20"/>
                <w:szCs w:val="20"/>
              </w:rPr>
            </w:pPr>
            <w:r>
              <w:rPr>
                <w:rFonts w:ascii="Arial" w:eastAsia="Arial" w:hAnsi="Arial" w:cs="Arial"/>
                <w:sz w:val="20"/>
                <w:szCs w:val="20"/>
              </w:rPr>
              <w:t>3.900</w:t>
            </w:r>
          </w:p>
        </w:tc>
        <w:tc>
          <w:tcPr>
            <w:tcW w:w="1840" w:type="dxa"/>
            <w:vAlign w:val="bottom"/>
          </w:tcPr>
          <w:p w:rsidR="00392921" w:rsidRDefault="00DA308A">
            <w:pPr>
              <w:spacing w:line="229" w:lineRule="exact"/>
              <w:ind w:left="20"/>
              <w:rPr>
                <w:sz w:val="20"/>
                <w:szCs w:val="20"/>
              </w:rPr>
            </w:pPr>
            <w:r>
              <w:rPr>
                <w:rFonts w:eastAsia="Times New Roman"/>
                <w:sz w:val="20"/>
                <w:szCs w:val="20"/>
              </w:rPr>
              <w:t xml:space="preserve">+ </w:t>
            </w:r>
            <w:r>
              <w:rPr>
                <w:rFonts w:ascii="Arial" w:eastAsia="Arial" w:hAnsi="Arial" w:cs="Arial"/>
                <w:sz w:val="20"/>
                <w:szCs w:val="20"/>
              </w:rPr>
              <w:t>0.513</w:t>
            </w:r>
            <w:r>
              <w:rPr>
                <w:rFonts w:ascii="Arial" w:eastAsia="Arial" w:hAnsi="Arial" w:cs="Arial"/>
                <w:sz w:val="26"/>
                <w:szCs w:val="26"/>
                <w:vertAlign w:val="superscript"/>
              </w:rPr>
              <w:t>b</w:t>
            </w:r>
          </w:p>
        </w:tc>
        <w:tc>
          <w:tcPr>
            <w:tcW w:w="1320" w:type="dxa"/>
            <w:vAlign w:val="bottom"/>
          </w:tcPr>
          <w:p w:rsidR="00392921" w:rsidRDefault="00DA308A">
            <w:pPr>
              <w:jc w:val="right"/>
              <w:rPr>
                <w:sz w:val="20"/>
                <w:szCs w:val="20"/>
              </w:rPr>
            </w:pPr>
            <w:r>
              <w:rPr>
                <w:rFonts w:ascii="Arial" w:eastAsia="Arial" w:hAnsi="Arial" w:cs="Arial"/>
                <w:sz w:val="20"/>
                <w:szCs w:val="20"/>
              </w:rPr>
              <w:t>134.18</w:t>
            </w:r>
          </w:p>
        </w:tc>
        <w:tc>
          <w:tcPr>
            <w:tcW w:w="1360" w:type="dxa"/>
            <w:vAlign w:val="bottom"/>
          </w:tcPr>
          <w:p w:rsidR="00392921" w:rsidRDefault="00DA308A">
            <w:pPr>
              <w:spacing w:line="229" w:lineRule="exact"/>
              <w:ind w:left="40"/>
              <w:rPr>
                <w:sz w:val="20"/>
                <w:szCs w:val="20"/>
              </w:rPr>
            </w:pPr>
            <w:r>
              <w:rPr>
                <w:rFonts w:eastAsia="Times New Roman"/>
                <w:sz w:val="20"/>
                <w:szCs w:val="20"/>
              </w:rPr>
              <w:t xml:space="preserve">+ </w:t>
            </w:r>
            <w:r>
              <w:rPr>
                <w:rFonts w:ascii="Arial" w:eastAsia="Arial" w:hAnsi="Arial" w:cs="Arial"/>
                <w:sz w:val="20"/>
                <w:szCs w:val="20"/>
              </w:rPr>
              <w:t>28.78</w:t>
            </w:r>
            <w:r>
              <w:rPr>
                <w:rFonts w:ascii="Arial" w:eastAsia="Arial" w:hAnsi="Arial" w:cs="Arial"/>
                <w:sz w:val="26"/>
                <w:szCs w:val="26"/>
                <w:vertAlign w:val="superscript"/>
              </w:rPr>
              <w:t>b</w:t>
            </w:r>
          </w:p>
        </w:tc>
      </w:tr>
      <w:tr w:rsidR="00392921" w:rsidTr="003803CD">
        <w:trPr>
          <w:trHeight w:val="255"/>
        </w:trPr>
        <w:tc>
          <w:tcPr>
            <w:tcW w:w="1580" w:type="dxa"/>
            <w:vAlign w:val="bottom"/>
          </w:tcPr>
          <w:p w:rsidR="00392921" w:rsidRDefault="00DA308A">
            <w:pPr>
              <w:spacing w:line="255" w:lineRule="exact"/>
              <w:rPr>
                <w:sz w:val="20"/>
                <w:szCs w:val="20"/>
              </w:rPr>
            </w:pPr>
            <w:r>
              <w:rPr>
                <w:rFonts w:ascii="Arial" w:eastAsia="Arial" w:hAnsi="Arial" w:cs="Arial"/>
                <w:sz w:val="20"/>
                <w:szCs w:val="20"/>
              </w:rPr>
              <w:t>G</w:t>
            </w:r>
            <w:r>
              <w:rPr>
                <w:rFonts w:ascii="Arial" w:eastAsia="Arial" w:hAnsi="Arial" w:cs="Arial"/>
                <w:sz w:val="26"/>
                <w:szCs w:val="26"/>
                <w:vertAlign w:val="subscript"/>
              </w:rPr>
              <w:t>4</w:t>
            </w:r>
          </w:p>
        </w:tc>
        <w:tc>
          <w:tcPr>
            <w:tcW w:w="1000" w:type="dxa"/>
            <w:vAlign w:val="bottom"/>
          </w:tcPr>
          <w:p w:rsidR="00392921" w:rsidRDefault="00DA308A">
            <w:pPr>
              <w:jc w:val="right"/>
              <w:rPr>
                <w:sz w:val="20"/>
                <w:szCs w:val="20"/>
              </w:rPr>
            </w:pPr>
            <w:r>
              <w:rPr>
                <w:rFonts w:ascii="Arial" w:eastAsia="Arial" w:hAnsi="Arial" w:cs="Arial"/>
                <w:sz w:val="20"/>
                <w:szCs w:val="20"/>
              </w:rPr>
              <w:t>40</w:t>
            </w:r>
          </w:p>
        </w:tc>
        <w:tc>
          <w:tcPr>
            <w:tcW w:w="1420" w:type="dxa"/>
            <w:vAlign w:val="bottom"/>
          </w:tcPr>
          <w:p w:rsidR="00392921" w:rsidRDefault="00DA308A">
            <w:pPr>
              <w:spacing w:line="254" w:lineRule="exact"/>
              <w:ind w:left="40"/>
              <w:rPr>
                <w:sz w:val="20"/>
                <w:szCs w:val="20"/>
              </w:rPr>
            </w:pPr>
            <w:r>
              <w:rPr>
                <w:rFonts w:eastAsia="Times New Roman"/>
                <w:sz w:val="20"/>
                <w:szCs w:val="20"/>
              </w:rPr>
              <w:t xml:space="preserve">+ </w:t>
            </w:r>
            <w:r>
              <w:rPr>
                <w:rFonts w:ascii="Arial" w:eastAsia="Arial" w:hAnsi="Arial" w:cs="Arial"/>
                <w:sz w:val="20"/>
                <w:szCs w:val="20"/>
              </w:rPr>
              <w:t>6.89</w:t>
            </w:r>
            <w:r>
              <w:rPr>
                <w:rFonts w:ascii="Arial" w:eastAsia="Arial" w:hAnsi="Arial" w:cs="Arial"/>
                <w:sz w:val="26"/>
                <w:szCs w:val="26"/>
                <w:vertAlign w:val="superscript"/>
              </w:rPr>
              <w:t>b</w:t>
            </w:r>
          </w:p>
        </w:tc>
        <w:tc>
          <w:tcPr>
            <w:tcW w:w="1160" w:type="dxa"/>
            <w:vAlign w:val="bottom"/>
          </w:tcPr>
          <w:p w:rsidR="00392921" w:rsidRDefault="00DA308A">
            <w:pPr>
              <w:jc w:val="right"/>
              <w:rPr>
                <w:sz w:val="20"/>
                <w:szCs w:val="20"/>
              </w:rPr>
            </w:pPr>
            <w:r>
              <w:rPr>
                <w:rFonts w:ascii="Arial" w:eastAsia="Arial" w:hAnsi="Arial" w:cs="Arial"/>
                <w:sz w:val="20"/>
                <w:szCs w:val="20"/>
              </w:rPr>
              <w:t>5.367</w:t>
            </w:r>
          </w:p>
        </w:tc>
        <w:tc>
          <w:tcPr>
            <w:tcW w:w="1840" w:type="dxa"/>
            <w:vAlign w:val="bottom"/>
          </w:tcPr>
          <w:p w:rsidR="00392921" w:rsidRDefault="00DA308A">
            <w:pPr>
              <w:spacing w:line="254" w:lineRule="exact"/>
              <w:ind w:left="20"/>
              <w:rPr>
                <w:sz w:val="20"/>
                <w:szCs w:val="20"/>
              </w:rPr>
            </w:pPr>
            <w:r>
              <w:rPr>
                <w:rFonts w:eastAsia="Times New Roman"/>
                <w:sz w:val="20"/>
                <w:szCs w:val="20"/>
              </w:rPr>
              <w:t xml:space="preserve">+ </w:t>
            </w:r>
            <w:r>
              <w:rPr>
                <w:rFonts w:ascii="Arial" w:eastAsia="Arial" w:hAnsi="Arial" w:cs="Arial"/>
                <w:sz w:val="20"/>
                <w:szCs w:val="20"/>
              </w:rPr>
              <w:t>0.462</w:t>
            </w:r>
            <w:r>
              <w:rPr>
                <w:rFonts w:ascii="Arial" w:eastAsia="Arial" w:hAnsi="Arial" w:cs="Arial"/>
                <w:sz w:val="26"/>
                <w:szCs w:val="26"/>
                <w:vertAlign w:val="superscript"/>
              </w:rPr>
              <w:t>b</w:t>
            </w:r>
          </w:p>
        </w:tc>
        <w:tc>
          <w:tcPr>
            <w:tcW w:w="1320" w:type="dxa"/>
            <w:vAlign w:val="bottom"/>
          </w:tcPr>
          <w:p w:rsidR="00392921" w:rsidRDefault="00DA308A">
            <w:pPr>
              <w:jc w:val="right"/>
              <w:rPr>
                <w:sz w:val="20"/>
                <w:szCs w:val="20"/>
              </w:rPr>
            </w:pPr>
            <w:r>
              <w:rPr>
                <w:rFonts w:ascii="Arial" w:eastAsia="Arial" w:hAnsi="Arial" w:cs="Arial"/>
                <w:sz w:val="20"/>
                <w:szCs w:val="20"/>
              </w:rPr>
              <w:t>192.10</w:t>
            </w:r>
          </w:p>
        </w:tc>
        <w:tc>
          <w:tcPr>
            <w:tcW w:w="1360" w:type="dxa"/>
            <w:vAlign w:val="bottom"/>
          </w:tcPr>
          <w:p w:rsidR="00392921" w:rsidRDefault="00DA308A">
            <w:pPr>
              <w:spacing w:line="254" w:lineRule="exact"/>
              <w:ind w:left="40"/>
              <w:rPr>
                <w:sz w:val="20"/>
                <w:szCs w:val="20"/>
              </w:rPr>
            </w:pPr>
            <w:r>
              <w:rPr>
                <w:rFonts w:eastAsia="Times New Roman"/>
                <w:sz w:val="20"/>
                <w:szCs w:val="20"/>
              </w:rPr>
              <w:t xml:space="preserve">+ </w:t>
            </w:r>
            <w:r>
              <w:rPr>
                <w:rFonts w:ascii="Arial" w:eastAsia="Arial" w:hAnsi="Arial" w:cs="Arial"/>
                <w:sz w:val="20"/>
                <w:szCs w:val="20"/>
              </w:rPr>
              <w:t>28.46</w:t>
            </w:r>
            <w:r>
              <w:rPr>
                <w:rFonts w:ascii="Arial" w:eastAsia="Arial" w:hAnsi="Arial" w:cs="Arial"/>
                <w:sz w:val="26"/>
                <w:szCs w:val="26"/>
                <w:vertAlign w:val="superscript"/>
              </w:rPr>
              <w:t>b</w:t>
            </w:r>
          </w:p>
        </w:tc>
      </w:tr>
      <w:tr w:rsidR="00392921" w:rsidTr="003803CD">
        <w:trPr>
          <w:trHeight w:val="274"/>
        </w:trPr>
        <w:tc>
          <w:tcPr>
            <w:tcW w:w="1580" w:type="dxa"/>
            <w:tcBorders>
              <w:bottom w:val="single" w:sz="8" w:space="0" w:color="auto"/>
            </w:tcBorders>
            <w:vAlign w:val="bottom"/>
          </w:tcPr>
          <w:p w:rsidR="00392921" w:rsidRDefault="00DA308A">
            <w:pPr>
              <w:spacing w:line="266" w:lineRule="exact"/>
              <w:rPr>
                <w:sz w:val="20"/>
                <w:szCs w:val="20"/>
              </w:rPr>
            </w:pPr>
            <w:r>
              <w:rPr>
                <w:rFonts w:ascii="Arial" w:eastAsia="Arial" w:hAnsi="Arial" w:cs="Arial"/>
                <w:sz w:val="20"/>
                <w:szCs w:val="20"/>
              </w:rPr>
              <w:t>G</w:t>
            </w:r>
            <w:r>
              <w:rPr>
                <w:rFonts w:ascii="Arial" w:eastAsia="Arial" w:hAnsi="Arial" w:cs="Arial"/>
                <w:sz w:val="26"/>
                <w:szCs w:val="26"/>
                <w:vertAlign w:val="subscript"/>
              </w:rPr>
              <w:t>5</w:t>
            </w:r>
          </w:p>
        </w:tc>
        <w:tc>
          <w:tcPr>
            <w:tcW w:w="1000" w:type="dxa"/>
            <w:tcBorders>
              <w:bottom w:val="single" w:sz="8" w:space="0" w:color="auto"/>
            </w:tcBorders>
            <w:vAlign w:val="bottom"/>
          </w:tcPr>
          <w:p w:rsidR="00392921" w:rsidRDefault="00DA308A">
            <w:pPr>
              <w:spacing w:line="209" w:lineRule="exact"/>
              <w:jc w:val="right"/>
              <w:rPr>
                <w:sz w:val="20"/>
                <w:szCs w:val="20"/>
              </w:rPr>
            </w:pPr>
            <w:r>
              <w:rPr>
                <w:rFonts w:ascii="Arial" w:eastAsia="Arial" w:hAnsi="Arial" w:cs="Arial"/>
                <w:sz w:val="20"/>
                <w:szCs w:val="20"/>
              </w:rPr>
              <w:t>142.7</w:t>
            </w:r>
          </w:p>
        </w:tc>
        <w:tc>
          <w:tcPr>
            <w:tcW w:w="1420" w:type="dxa"/>
            <w:tcBorders>
              <w:bottom w:val="single" w:sz="8" w:space="0" w:color="auto"/>
            </w:tcBorders>
            <w:vAlign w:val="bottom"/>
          </w:tcPr>
          <w:p w:rsidR="00392921" w:rsidRDefault="00DA308A">
            <w:pPr>
              <w:spacing w:line="228" w:lineRule="exact"/>
              <w:ind w:left="40"/>
              <w:rPr>
                <w:sz w:val="20"/>
                <w:szCs w:val="20"/>
              </w:rPr>
            </w:pPr>
            <w:r>
              <w:rPr>
                <w:rFonts w:eastAsia="Times New Roman"/>
                <w:sz w:val="20"/>
                <w:szCs w:val="20"/>
              </w:rPr>
              <w:t xml:space="preserve">+ </w:t>
            </w:r>
            <w:r>
              <w:rPr>
                <w:rFonts w:ascii="Arial" w:eastAsia="Arial" w:hAnsi="Arial" w:cs="Arial"/>
                <w:sz w:val="20"/>
                <w:szCs w:val="20"/>
              </w:rPr>
              <w:t>22.11</w:t>
            </w:r>
          </w:p>
        </w:tc>
        <w:tc>
          <w:tcPr>
            <w:tcW w:w="1160" w:type="dxa"/>
            <w:tcBorders>
              <w:bottom w:val="single" w:sz="8" w:space="0" w:color="auto"/>
            </w:tcBorders>
            <w:vAlign w:val="bottom"/>
          </w:tcPr>
          <w:p w:rsidR="00392921" w:rsidRDefault="00DA308A">
            <w:pPr>
              <w:spacing w:line="209" w:lineRule="exact"/>
              <w:jc w:val="right"/>
              <w:rPr>
                <w:sz w:val="20"/>
                <w:szCs w:val="20"/>
              </w:rPr>
            </w:pPr>
            <w:r>
              <w:rPr>
                <w:rFonts w:ascii="Arial" w:eastAsia="Arial" w:hAnsi="Arial" w:cs="Arial"/>
                <w:sz w:val="20"/>
                <w:szCs w:val="20"/>
              </w:rPr>
              <w:t>0.060</w:t>
            </w:r>
          </w:p>
        </w:tc>
        <w:tc>
          <w:tcPr>
            <w:tcW w:w="1840" w:type="dxa"/>
            <w:tcBorders>
              <w:bottom w:val="single" w:sz="8" w:space="0" w:color="auto"/>
            </w:tcBorders>
            <w:vAlign w:val="bottom"/>
          </w:tcPr>
          <w:p w:rsidR="00392921" w:rsidRDefault="00DA308A">
            <w:pPr>
              <w:spacing w:line="228" w:lineRule="exact"/>
              <w:ind w:left="20"/>
              <w:rPr>
                <w:sz w:val="20"/>
                <w:szCs w:val="20"/>
              </w:rPr>
            </w:pPr>
            <w:r>
              <w:rPr>
                <w:rFonts w:eastAsia="Times New Roman"/>
                <w:sz w:val="20"/>
                <w:szCs w:val="20"/>
              </w:rPr>
              <w:t xml:space="preserve">+ </w:t>
            </w:r>
            <w:r>
              <w:rPr>
                <w:rFonts w:ascii="Arial" w:eastAsia="Arial" w:hAnsi="Arial" w:cs="Arial"/>
                <w:sz w:val="20"/>
                <w:szCs w:val="20"/>
              </w:rPr>
              <w:t>0.026</w:t>
            </w:r>
          </w:p>
        </w:tc>
        <w:tc>
          <w:tcPr>
            <w:tcW w:w="1320" w:type="dxa"/>
            <w:tcBorders>
              <w:bottom w:val="single" w:sz="8" w:space="0" w:color="auto"/>
            </w:tcBorders>
            <w:vAlign w:val="bottom"/>
          </w:tcPr>
          <w:p w:rsidR="00392921" w:rsidRDefault="00DA308A">
            <w:pPr>
              <w:spacing w:line="209" w:lineRule="exact"/>
              <w:jc w:val="right"/>
              <w:rPr>
                <w:sz w:val="20"/>
                <w:szCs w:val="20"/>
              </w:rPr>
            </w:pPr>
            <w:r>
              <w:rPr>
                <w:rFonts w:ascii="Arial" w:eastAsia="Arial" w:hAnsi="Arial" w:cs="Arial"/>
                <w:sz w:val="20"/>
                <w:szCs w:val="20"/>
              </w:rPr>
              <w:t>229.93</w:t>
            </w:r>
          </w:p>
        </w:tc>
        <w:tc>
          <w:tcPr>
            <w:tcW w:w="1360" w:type="dxa"/>
            <w:tcBorders>
              <w:bottom w:val="single" w:sz="8" w:space="0" w:color="auto"/>
            </w:tcBorders>
            <w:vAlign w:val="bottom"/>
          </w:tcPr>
          <w:p w:rsidR="00392921" w:rsidRDefault="00DA308A">
            <w:pPr>
              <w:spacing w:line="228" w:lineRule="exact"/>
              <w:ind w:left="40"/>
              <w:rPr>
                <w:sz w:val="20"/>
                <w:szCs w:val="20"/>
              </w:rPr>
            </w:pPr>
            <w:r>
              <w:rPr>
                <w:rFonts w:eastAsia="Times New Roman"/>
                <w:sz w:val="20"/>
                <w:szCs w:val="20"/>
              </w:rPr>
              <w:t xml:space="preserve">+ </w:t>
            </w:r>
            <w:r>
              <w:rPr>
                <w:rFonts w:ascii="Arial" w:eastAsia="Arial" w:hAnsi="Arial" w:cs="Arial"/>
                <w:sz w:val="20"/>
                <w:szCs w:val="20"/>
              </w:rPr>
              <w:t>14.44</w:t>
            </w:r>
          </w:p>
        </w:tc>
      </w:tr>
    </w:tbl>
    <w:p w:rsidR="00392921" w:rsidRDefault="00392921">
      <w:pPr>
        <w:spacing w:line="65" w:lineRule="exact"/>
        <w:rPr>
          <w:sz w:val="20"/>
          <w:szCs w:val="20"/>
        </w:rPr>
      </w:pPr>
    </w:p>
    <w:p w:rsidR="00392921" w:rsidRDefault="00DA308A">
      <w:pPr>
        <w:rPr>
          <w:sz w:val="20"/>
          <w:szCs w:val="20"/>
        </w:rPr>
      </w:pPr>
      <w:r>
        <w:rPr>
          <w:rFonts w:ascii="Arial" w:eastAsia="Arial" w:hAnsi="Arial" w:cs="Arial"/>
          <w:sz w:val="16"/>
          <w:szCs w:val="16"/>
        </w:rPr>
        <w:t>G</w:t>
      </w:r>
      <w:r>
        <w:rPr>
          <w:rFonts w:ascii="Arial" w:eastAsia="Arial" w:hAnsi="Arial" w:cs="Arial"/>
          <w:sz w:val="21"/>
          <w:szCs w:val="21"/>
          <w:vertAlign w:val="subscript"/>
        </w:rPr>
        <w:t>1</w:t>
      </w:r>
      <w:r>
        <w:rPr>
          <w:rFonts w:ascii="Arial" w:eastAsia="Arial" w:hAnsi="Arial" w:cs="Arial"/>
          <w:sz w:val="16"/>
          <w:szCs w:val="16"/>
        </w:rPr>
        <w:t>: control group, G</w:t>
      </w:r>
      <w:r>
        <w:rPr>
          <w:rFonts w:ascii="Arial" w:eastAsia="Arial" w:hAnsi="Arial" w:cs="Arial"/>
          <w:sz w:val="21"/>
          <w:szCs w:val="21"/>
          <w:vertAlign w:val="subscript"/>
        </w:rPr>
        <w:t>2</w:t>
      </w:r>
      <w:r>
        <w:rPr>
          <w:rFonts w:ascii="Arial" w:eastAsia="Arial" w:hAnsi="Arial" w:cs="Arial"/>
          <w:sz w:val="16"/>
          <w:szCs w:val="16"/>
        </w:rPr>
        <w:t>: folic acid group, G</w:t>
      </w:r>
      <w:r>
        <w:rPr>
          <w:rFonts w:ascii="Arial" w:eastAsia="Arial" w:hAnsi="Arial" w:cs="Arial"/>
          <w:sz w:val="21"/>
          <w:szCs w:val="21"/>
          <w:vertAlign w:val="subscript"/>
        </w:rPr>
        <w:t>3</w:t>
      </w:r>
      <w:r>
        <w:rPr>
          <w:rFonts w:ascii="Arial" w:eastAsia="Arial" w:hAnsi="Arial" w:cs="Arial"/>
          <w:sz w:val="16"/>
          <w:szCs w:val="16"/>
        </w:rPr>
        <w:t>: hypothyroid rats group, G</w:t>
      </w:r>
      <w:r>
        <w:rPr>
          <w:rFonts w:ascii="Arial" w:eastAsia="Arial" w:hAnsi="Arial" w:cs="Arial"/>
          <w:sz w:val="21"/>
          <w:szCs w:val="21"/>
          <w:vertAlign w:val="subscript"/>
        </w:rPr>
        <w:t>4</w:t>
      </w:r>
      <w:r>
        <w:rPr>
          <w:rFonts w:ascii="Arial" w:eastAsia="Arial" w:hAnsi="Arial" w:cs="Arial"/>
          <w:sz w:val="16"/>
          <w:szCs w:val="16"/>
        </w:rPr>
        <w:t>: cotreatment group, G</w:t>
      </w:r>
      <w:r>
        <w:rPr>
          <w:rFonts w:ascii="Arial" w:eastAsia="Arial" w:hAnsi="Arial" w:cs="Arial"/>
          <w:sz w:val="21"/>
          <w:szCs w:val="21"/>
          <w:vertAlign w:val="subscript"/>
        </w:rPr>
        <w:t>5</w:t>
      </w:r>
      <w:r>
        <w:rPr>
          <w:rFonts w:ascii="Arial" w:eastAsia="Arial" w:hAnsi="Arial" w:cs="Arial"/>
          <w:sz w:val="16"/>
          <w:szCs w:val="16"/>
        </w:rPr>
        <w:t xml:space="preserve">: </w:t>
      </w:r>
      <w:r>
        <w:rPr>
          <w:rFonts w:ascii="Arial" w:eastAsia="Arial" w:hAnsi="Arial" w:cs="Arial"/>
          <w:sz w:val="16"/>
          <w:szCs w:val="16"/>
        </w:rPr>
        <w:t>posttreatment group, T</w:t>
      </w:r>
      <w:r>
        <w:rPr>
          <w:rFonts w:ascii="Arial" w:eastAsia="Arial" w:hAnsi="Arial" w:cs="Arial"/>
          <w:sz w:val="21"/>
          <w:szCs w:val="21"/>
          <w:vertAlign w:val="subscript"/>
        </w:rPr>
        <w:t>3</w:t>
      </w:r>
      <w:r>
        <w:rPr>
          <w:rFonts w:ascii="Arial" w:eastAsia="Arial" w:hAnsi="Arial" w:cs="Arial"/>
          <w:sz w:val="16"/>
          <w:szCs w:val="16"/>
        </w:rPr>
        <w:t>: triiodothyr-</w:t>
      </w:r>
    </w:p>
    <w:p w:rsidR="00392921" w:rsidRDefault="00DA308A">
      <w:pPr>
        <w:spacing w:line="223" w:lineRule="auto"/>
        <w:rPr>
          <w:sz w:val="20"/>
          <w:szCs w:val="20"/>
        </w:rPr>
      </w:pPr>
      <w:r>
        <w:rPr>
          <w:rFonts w:ascii="Arial" w:eastAsia="Arial" w:hAnsi="Arial" w:cs="Arial"/>
          <w:sz w:val="18"/>
          <w:szCs w:val="18"/>
        </w:rPr>
        <w:t>onine, TSH: thyroid-stimulating hormone.</w:t>
      </w:r>
    </w:p>
    <w:p w:rsidR="00392921" w:rsidRDefault="00DA308A">
      <w:pPr>
        <w:spacing w:line="202" w:lineRule="auto"/>
        <w:rPr>
          <w:sz w:val="20"/>
          <w:szCs w:val="20"/>
        </w:rPr>
      </w:pPr>
      <w:r>
        <w:rPr>
          <w:rFonts w:ascii="Arial" w:eastAsia="Arial" w:hAnsi="Arial" w:cs="Arial"/>
          <w:sz w:val="23"/>
          <w:szCs w:val="23"/>
          <w:vertAlign w:val="superscript"/>
        </w:rPr>
        <w:t>a</w:t>
      </w:r>
      <w:r>
        <w:rPr>
          <w:rFonts w:ascii="Arial" w:eastAsia="Arial" w:hAnsi="Arial" w:cs="Arial"/>
          <w:sz w:val="18"/>
          <w:szCs w:val="18"/>
        </w:rPr>
        <w:t xml:space="preserve">Value are mean </w:t>
      </w:r>
      <w:r>
        <w:rPr>
          <w:rFonts w:eastAsia="Times New Roman"/>
          <w:sz w:val="18"/>
          <w:szCs w:val="18"/>
        </w:rPr>
        <w:t>+</w:t>
      </w:r>
      <w:r>
        <w:rPr>
          <w:rFonts w:ascii="Arial" w:eastAsia="Arial" w:hAnsi="Arial" w:cs="Arial"/>
          <w:sz w:val="18"/>
          <w:szCs w:val="18"/>
        </w:rPr>
        <w:t xml:space="preserve"> SD for 10 rats.</w:t>
      </w:r>
    </w:p>
    <w:p w:rsidR="00392921" w:rsidRDefault="00DA308A">
      <w:pPr>
        <w:spacing w:line="186" w:lineRule="auto"/>
        <w:rPr>
          <w:sz w:val="20"/>
          <w:szCs w:val="20"/>
        </w:rPr>
      </w:pPr>
      <w:r>
        <w:rPr>
          <w:rFonts w:ascii="Arial" w:eastAsia="Arial" w:hAnsi="Arial" w:cs="Arial"/>
          <w:vertAlign w:val="superscript"/>
        </w:rPr>
        <w:t>b</w:t>
      </w:r>
      <w:r>
        <w:rPr>
          <w:rFonts w:ascii="Arial" w:eastAsia="Arial" w:hAnsi="Arial" w:cs="Arial"/>
          <w:sz w:val="17"/>
          <w:szCs w:val="17"/>
        </w:rPr>
        <w:t>Significantly different from control at p &lt; 0.05.</w:t>
      </w:r>
    </w:p>
    <w:p w:rsidR="00392921" w:rsidRDefault="00392921">
      <w:pPr>
        <w:sectPr w:rsidR="00392921">
          <w:pgSz w:w="11900" w:h="15876"/>
          <w:pgMar w:top="732" w:right="986" w:bottom="0" w:left="1240" w:header="0" w:footer="0" w:gutter="0"/>
          <w:cols w:space="720" w:equalWidth="0">
            <w:col w:w="9680"/>
          </w:cols>
        </w:sectPr>
      </w:pPr>
    </w:p>
    <w:p w:rsidR="00392921" w:rsidRDefault="00392921">
      <w:pPr>
        <w:spacing w:line="200" w:lineRule="exact"/>
        <w:rPr>
          <w:sz w:val="20"/>
          <w:szCs w:val="20"/>
        </w:rPr>
      </w:pPr>
    </w:p>
    <w:p w:rsidR="00392921" w:rsidRDefault="00392921">
      <w:pPr>
        <w:spacing w:line="361" w:lineRule="exact"/>
        <w:rPr>
          <w:sz w:val="20"/>
          <w:szCs w:val="20"/>
        </w:rPr>
      </w:pPr>
    </w:p>
    <w:p w:rsidR="00392921" w:rsidRDefault="00DA308A">
      <w:pPr>
        <w:spacing w:line="236" w:lineRule="auto"/>
        <w:jc w:val="both"/>
        <w:rPr>
          <w:sz w:val="20"/>
          <w:szCs w:val="20"/>
        </w:rPr>
      </w:pPr>
      <w:r>
        <w:rPr>
          <w:rFonts w:eastAsia="Times New Roman"/>
        </w:rPr>
        <w:t xml:space="preserve">and significantly higher than those found in the cotreated </w:t>
      </w:r>
      <w:r>
        <w:rPr>
          <w:rFonts w:eastAsia="Times New Roman"/>
        </w:rPr>
        <w:t>folic acid group. On the other hand, serum TSH levels in hypothyroid rats were significantly higher than those found in the control, folic acid, and posttreated folic acid groups and significantly lower than those found in the cotreated folic acid group.</w:t>
      </w:r>
    </w:p>
    <w:p w:rsidR="00392921" w:rsidRDefault="00392921">
      <w:pPr>
        <w:spacing w:line="366" w:lineRule="exact"/>
        <w:rPr>
          <w:sz w:val="20"/>
          <w:szCs w:val="20"/>
        </w:rPr>
      </w:pPr>
    </w:p>
    <w:p w:rsidR="00392921" w:rsidRDefault="00DA308A">
      <w:pPr>
        <w:rPr>
          <w:sz w:val="20"/>
          <w:szCs w:val="20"/>
        </w:rPr>
      </w:pPr>
      <w:r>
        <w:rPr>
          <w:rFonts w:ascii="Arial" w:eastAsia="Arial" w:hAnsi="Arial" w:cs="Arial"/>
          <w:sz w:val="26"/>
          <w:szCs w:val="26"/>
        </w:rPr>
        <w:t>Light microscopic examination</w:t>
      </w:r>
    </w:p>
    <w:p w:rsidR="00392921" w:rsidRDefault="00392921">
      <w:pPr>
        <w:spacing w:line="124" w:lineRule="exact"/>
        <w:rPr>
          <w:sz w:val="20"/>
          <w:szCs w:val="20"/>
        </w:rPr>
      </w:pPr>
    </w:p>
    <w:p w:rsidR="00392921" w:rsidRDefault="00DA308A">
      <w:pPr>
        <w:spacing w:line="242" w:lineRule="auto"/>
        <w:jc w:val="both"/>
        <w:rPr>
          <w:sz w:val="20"/>
          <w:szCs w:val="20"/>
        </w:rPr>
      </w:pPr>
      <w:r>
        <w:rPr>
          <w:rFonts w:eastAsia="Times New Roman"/>
        </w:rPr>
        <w:t>Histopathological study showed the cycle of sperma-togenesis was regular in all male rats in the control group and folic acid group that were orally treated with folic acid (Figure 1A–C). The structural compo-nents of the tes</w:t>
      </w:r>
      <w:r>
        <w:rPr>
          <w:rFonts w:eastAsia="Times New Roman"/>
        </w:rPr>
        <w:t>tis are the seminiferous tubules and interstitial tissues (Leydig cells). Two types of cells are identified in rat seminiferous tubules, the Sertoli cells and the spermatogenic cells (spermatogonia, primary spermatocytes, secondary spermatocytes, spermatid</w:t>
      </w:r>
      <w:r>
        <w:rPr>
          <w:rFonts w:eastAsia="Times New Roman"/>
        </w:rPr>
        <w:t>s, and sperms). The Sertoli cells rest on the thin basal lamina (basement membrane), while the spermatogenic cells are arranged in many layers, namely, the spermatogonia, primary and secondary spermatocytes; spermatoids and finally mature sper-matozoa (Fig</w:t>
      </w:r>
      <w:r>
        <w:rPr>
          <w:rFonts w:eastAsia="Times New Roman"/>
        </w:rPr>
        <w:t>ure 1B and C).</w:t>
      </w:r>
    </w:p>
    <w:p w:rsidR="00392921" w:rsidRDefault="00392921">
      <w:pPr>
        <w:spacing w:line="60" w:lineRule="exact"/>
        <w:rPr>
          <w:sz w:val="20"/>
          <w:szCs w:val="20"/>
        </w:rPr>
      </w:pPr>
    </w:p>
    <w:p w:rsidR="00392921" w:rsidRDefault="00DA308A">
      <w:pPr>
        <w:spacing w:line="241" w:lineRule="auto"/>
        <w:ind w:firstLine="239"/>
        <w:jc w:val="both"/>
        <w:rPr>
          <w:sz w:val="20"/>
          <w:szCs w:val="20"/>
        </w:rPr>
      </w:pPr>
      <w:r>
        <w:rPr>
          <w:rFonts w:eastAsia="Times New Roman"/>
        </w:rPr>
        <w:t>However, the light microscopic examination of the testis of the rats receiving PTU for 6 weeks resulted in a significant decrease in the number of spermatogenic cells in the seminiferous tubules (Figure 1D and E). The seminiferous tubules h</w:t>
      </w:r>
      <w:r>
        <w:rPr>
          <w:rFonts w:eastAsia="Times New Roman"/>
        </w:rPr>
        <w:t>ad been thickened in basement membrane together with focal areas of vacuolar degenerative changes appeared in the cytoplasm of the spermatogenic epithelium and in the Sertoli cells (Figure 1D and E). Further, abnormal distribution of spermatozoa was seen i</w:t>
      </w:r>
      <w:r>
        <w:rPr>
          <w:rFonts w:eastAsia="Times New Roman"/>
        </w:rPr>
        <w:t>n the lumina of the seminiferous tubules and a number of little Leydig cells were also found (Figure 1D). Intertubular space and vein congestion</w:t>
      </w:r>
    </w:p>
    <w:p w:rsidR="00392921" w:rsidRDefault="00DA308A">
      <w:pPr>
        <w:spacing w:line="20" w:lineRule="exact"/>
        <w:rPr>
          <w:sz w:val="20"/>
          <w:szCs w:val="20"/>
        </w:rPr>
      </w:pPr>
      <w:r>
        <w:rPr>
          <w:sz w:val="20"/>
          <w:szCs w:val="20"/>
        </w:rPr>
        <w:br w:type="column"/>
      </w:r>
    </w:p>
    <w:p w:rsidR="00392921" w:rsidRDefault="00392921">
      <w:pPr>
        <w:spacing w:line="200" w:lineRule="exact"/>
        <w:rPr>
          <w:sz w:val="20"/>
          <w:szCs w:val="20"/>
        </w:rPr>
      </w:pPr>
    </w:p>
    <w:p w:rsidR="00392921" w:rsidRDefault="00392921">
      <w:pPr>
        <w:spacing w:line="341" w:lineRule="exact"/>
        <w:rPr>
          <w:sz w:val="20"/>
          <w:szCs w:val="20"/>
        </w:rPr>
      </w:pPr>
    </w:p>
    <w:p w:rsidR="00392921" w:rsidRDefault="00DA308A">
      <w:pPr>
        <w:spacing w:line="243" w:lineRule="auto"/>
        <w:jc w:val="both"/>
        <w:rPr>
          <w:sz w:val="20"/>
          <w:szCs w:val="20"/>
        </w:rPr>
      </w:pPr>
      <w:r>
        <w:rPr>
          <w:rFonts w:eastAsia="Times New Roman"/>
        </w:rPr>
        <w:t xml:space="preserve">increased in the hypothyroid rat group as compared with those seen in the control and folic acid </w:t>
      </w:r>
      <w:r>
        <w:rPr>
          <w:rFonts w:eastAsia="Times New Roman"/>
        </w:rPr>
        <w:t>groups. Marked morphological changes such as degeneration of germinal epithelium and sloughing of germ cells into the tubular lumen were also seen in the hypothyroid rat group (Figure 1E). A significant decrease in primary spermatogonia and round sper-mati</w:t>
      </w:r>
      <w:r>
        <w:rPr>
          <w:rFonts w:eastAsia="Times New Roman"/>
        </w:rPr>
        <w:t>d number was recorded by histological analysis of testis of hypothyroid rat group without significant change in number of spermatocytes. On the other hand, seminiferous lumen diameter was increased in hypothyroid rat group and decreased in co- and posttrea</w:t>
      </w:r>
      <w:r>
        <w:rPr>
          <w:rFonts w:eastAsia="Times New Roman"/>
        </w:rPr>
        <w:t>tment groups in comparison to the control group (Figure 1). Treating the hypothyroid rats with folic acid during or after receiving PTU for 4 weeks showed more exaggerated features of focal areas of spermatogenesis, arrest at the spermatid level, in the fo</w:t>
      </w:r>
      <w:r>
        <w:rPr>
          <w:rFonts w:eastAsia="Times New Roman"/>
        </w:rPr>
        <w:t>rm of degenerative changes in the germinal cells together with few fragmented sperms in the lumen and acquired a thick, irregular basement membrane (Figure 1E–H). Histological study showed that the accumulation of spermatogenic and Leydig cells increased i</w:t>
      </w:r>
      <w:r>
        <w:rPr>
          <w:rFonts w:eastAsia="Times New Roman"/>
        </w:rPr>
        <w:t>n hypothyroid rats treated with folic acid (co- and posttreatment groups) when compared with the hypothyroid rat group (Figure 1C–H). Also the lumen of the seminiferous tubules was fully packed with sperms (Figure 1C–H).</w:t>
      </w:r>
    </w:p>
    <w:p w:rsidR="00392921" w:rsidRDefault="00392921">
      <w:pPr>
        <w:spacing w:line="383" w:lineRule="exact"/>
        <w:rPr>
          <w:sz w:val="20"/>
          <w:szCs w:val="20"/>
        </w:rPr>
      </w:pPr>
    </w:p>
    <w:p w:rsidR="00392921" w:rsidRDefault="00DA308A">
      <w:pPr>
        <w:rPr>
          <w:sz w:val="20"/>
          <w:szCs w:val="20"/>
        </w:rPr>
      </w:pPr>
      <w:r>
        <w:rPr>
          <w:rFonts w:ascii="Arial" w:eastAsia="Arial" w:hAnsi="Arial" w:cs="Arial"/>
          <w:sz w:val="26"/>
          <w:szCs w:val="26"/>
        </w:rPr>
        <w:t>Sperm count and morphology</w:t>
      </w:r>
    </w:p>
    <w:p w:rsidR="00392921" w:rsidRDefault="00392921">
      <w:pPr>
        <w:spacing w:line="124" w:lineRule="exact"/>
        <w:rPr>
          <w:sz w:val="20"/>
          <w:szCs w:val="20"/>
        </w:rPr>
      </w:pPr>
    </w:p>
    <w:p w:rsidR="00392921" w:rsidRDefault="00DA308A">
      <w:pPr>
        <w:spacing w:line="250" w:lineRule="auto"/>
        <w:jc w:val="both"/>
        <w:rPr>
          <w:sz w:val="20"/>
          <w:szCs w:val="20"/>
        </w:rPr>
      </w:pPr>
      <w:r>
        <w:rPr>
          <w:rFonts w:eastAsia="Times New Roman"/>
          <w:sz w:val="21"/>
          <w:szCs w:val="21"/>
        </w:rPr>
        <w:t>Admini</w:t>
      </w:r>
      <w:r>
        <w:rPr>
          <w:rFonts w:eastAsia="Times New Roman"/>
          <w:sz w:val="21"/>
          <w:szCs w:val="21"/>
        </w:rPr>
        <w:t>stration of PTU orally for 42 consecutive days significantly reduced the sperm count in experimental group as compared with the control group (p &lt; 0.05; Table 1). Moreover, sperm viability was significantly declined in the hypothyroid group when compared t</w:t>
      </w:r>
      <w:r>
        <w:rPr>
          <w:rFonts w:eastAsia="Times New Roman"/>
          <w:sz w:val="21"/>
          <w:szCs w:val="21"/>
        </w:rPr>
        <w:t>o the control group (p &lt; 0.05; data not shown). Treat-ment of hypothyroid rats with folic acid as in co- and</w:t>
      </w: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num="2" w:space="720" w:equalWidth="0">
            <w:col w:w="472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space="720" w:equalWidth="0">
            <w:col w:w="9680"/>
          </w:cols>
        </w:sectPr>
      </w:pPr>
    </w:p>
    <w:p w:rsidR="00392921" w:rsidRDefault="00392921">
      <w:pPr>
        <w:spacing w:line="2" w:lineRule="exact"/>
        <w:rPr>
          <w:sz w:val="20"/>
          <w:szCs w:val="20"/>
        </w:rPr>
      </w:pPr>
      <w:bookmarkStart w:id="4" w:name="page6"/>
      <w:bookmarkEnd w:id="4"/>
    </w:p>
    <w:p w:rsidR="00392921" w:rsidRDefault="00DA308A">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15240</wp:posOffset>
            </wp:positionV>
            <wp:extent cx="6137910" cy="62566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6137910" cy="6256655"/>
                    </a:xfrm>
                    <a:prstGeom prst="rect">
                      <a:avLst/>
                    </a:prstGeom>
                    <a:noFill/>
                  </pic:spPr>
                </pic:pic>
              </a:graphicData>
            </a:graphic>
          </wp:anchor>
        </w:drawing>
      </w: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52" w:lineRule="exact"/>
        <w:rPr>
          <w:sz w:val="20"/>
          <w:szCs w:val="20"/>
        </w:rPr>
      </w:pPr>
    </w:p>
    <w:p w:rsidR="00392921" w:rsidRDefault="00DA308A">
      <w:pPr>
        <w:spacing w:line="281" w:lineRule="auto"/>
        <w:ind w:left="8"/>
        <w:jc w:val="both"/>
        <w:rPr>
          <w:sz w:val="20"/>
          <w:szCs w:val="20"/>
        </w:rPr>
      </w:pPr>
      <w:r>
        <w:rPr>
          <w:rFonts w:ascii="Arial" w:eastAsia="Arial" w:hAnsi="Arial" w:cs="Arial"/>
          <w:sz w:val="17"/>
          <w:szCs w:val="17"/>
        </w:rPr>
        <w:t xml:space="preserve">Figure 1. Photomicrographs of rat testes stained by haematoxylin–eosin (HE). (A and B) </w:t>
      </w:r>
      <w:r>
        <w:rPr>
          <w:rFonts w:ascii="Arial" w:eastAsia="Arial" w:hAnsi="Arial" w:cs="Arial"/>
          <w:sz w:val="17"/>
          <w:szCs w:val="17"/>
        </w:rPr>
        <w:t>Photomicrographs of control rat testes showing normal seminiferous tubules (arrows). The cycle of spermatogenesis was regular and the lumen of semi-niferous tubules was fully packed with sperms (stars). (C) Photomicrograph of rat testes in folic acid group</w:t>
      </w:r>
      <w:r>
        <w:rPr>
          <w:rFonts w:ascii="Arial" w:eastAsia="Arial" w:hAnsi="Arial" w:cs="Arial"/>
          <w:sz w:val="17"/>
          <w:szCs w:val="17"/>
        </w:rPr>
        <w:t xml:space="preserve"> showing nor-mal seminiferous tubules and their lumen was fully packed with sperms (stars). (D and E) Photomicrographs of hypothyroid rat testes showed marked morphological changes as degeneration of germinal epithelium and sloughing of germ cells into the</w:t>
      </w:r>
      <w:r>
        <w:rPr>
          <w:rFonts w:ascii="Arial" w:eastAsia="Arial" w:hAnsi="Arial" w:cs="Arial"/>
          <w:sz w:val="17"/>
          <w:szCs w:val="17"/>
        </w:rPr>
        <w:t xml:space="preserve"> tubular lumen. The lumen of the seminiferous tubules was increased and showing lack of sperms (stars).</w:t>
      </w:r>
    </w:p>
    <w:p w:rsidR="00392921" w:rsidRDefault="00392921">
      <w:pPr>
        <w:spacing w:line="2" w:lineRule="exact"/>
        <w:rPr>
          <w:sz w:val="20"/>
          <w:szCs w:val="20"/>
        </w:rPr>
      </w:pPr>
    </w:p>
    <w:p w:rsidR="00392921" w:rsidRDefault="00DA308A">
      <w:pPr>
        <w:numPr>
          <w:ilvl w:val="0"/>
          <w:numId w:val="3"/>
        </w:numPr>
        <w:tabs>
          <w:tab w:val="left" w:pos="272"/>
        </w:tabs>
        <w:spacing w:line="262" w:lineRule="auto"/>
        <w:ind w:left="8" w:hanging="8"/>
        <w:jc w:val="both"/>
        <w:rPr>
          <w:rFonts w:ascii="Arial" w:eastAsia="Arial" w:hAnsi="Arial" w:cs="Arial"/>
          <w:sz w:val="18"/>
          <w:szCs w:val="18"/>
        </w:rPr>
      </w:pPr>
      <w:r>
        <w:rPr>
          <w:rFonts w:ascii="Arial" w:eastAsia="Arial" w:hAnsi="Arial" w:cs="Arial"/>
          <w:sz w:val="18"/>
          <w:szCs w:val="18"/>
        </w:rPr>
        <w:t>Photomicrograph of hypothyroid rat testes cotreated with folic acid showing normal distribution of the spermatogenic cells and an increase of sperms (a</w:t>
      </w:r>
      <w:r>
        <w:rPr>
          <w:rFonts w:ascii="Arial" w:eastAsia="Arial" w:hAnsi="Arial" w:cs="Arial"/>
          <w:sz w:val="18"/>
          <w:szCs w:val="18"/>
        </w:rPr>
        <w:t>rrows head) and decrease in the seminiferous tubules lumen, in addition to increased number of Leydig cells (arrows). (H and G) Photomicrographs of hypothyroid rat testes posttreated with folic acid stained with HE showing normal count of Leydig cells (arr</w:t>
      </w:r>
      <w:r>
        <w:rPr>
          <w:rFonts w:ascii="Arial" w:eastAsia="Arial" w:hAnsi="Arial" w:cs="Arial"/>
          <w:sz w:val="18"/>
          <w:szCs w:val="18"/>
        </w:rPr>
        <w:t>ows) and normal structure of seminiferous tubules with regular cycle of spermatogenesis and their lumen was fully packed with sperms (arrows head).</w:t>
      </w:r>
    </w:p>
    <w:p w:rsidR="00392921" w:rsidRDefault="00392921">
      <w:pPr>
        <w:sectPr w:rsidR="00392921">
          <w:pgSz w:w="11900" w:h="15876"/>
          <w:pgMar w:top="766" w:right="1246" w:bottom="0" w:left="992" w:header="0" w:footer="0" w:gutter="0"/>
          <w:cols w:space="720" w:equalWidth="0">
            <w:col w:w="9668"/>
          </w:cols>
        </w:sectPr>
      </w:pPr>
    </w:p>
    <w:p w:rsidR="00392921" w:rsidRDefault="00392921">
      <w:pPr>
        <w:spacing w:line="298" w:lineRule="exact"/>
        <w:rPr>
          <w:sz w:val="20"/>
          <w:szCs w:val="20"/>
        </w:rPr>
      </w:pPr>
    </w:p>
    <w:p w:rsidR="00392921" w:rsidRDefault="00DA308A">
      <w:pPr>
        <w:spacing w:line="238" w:lineRule="auto"/>
        <w:ind w:left="8"/>
        <w:jc w:val="both"/>
        <w:rPr>
          <w:sz w:val="20"/>
          <w:szCs w:val="20"/>
        </w:rPr>
      </w:pPr>
      <w:r>
        <w:rPr>
          <w:rFonts w:eastAsia="Times New Roman"/>
          <w:sz w:val="21"/>
          <w:szCs w:val="21"/>
        </w:rPr>
        <w:t xml:space="preserve">posttreatment groups significantly increased sperm count as compared with the </w:t>
      </w:r>
      <w:r>
        <w:rPr>
          <w:rFonts w:eastAsia="Times New Roman"/>
          <w:sz w:val="21"/>
          <w:szCs w:val="21"/>
        </w:rPr>
        <w:t>hypothyroid rats (Table 1). Four different abnormalities in sperm morphology</w:t>
      </w:r>
    </w:p>
    <w:p w:rsidR="00392921" w:rsidRDefault="00DA308A">
      <w:pPr>
        <w:spacing w:line="20" w:lineRule="exact"/>
        <w:rPr>
          <w:sz w:val="20"/>
          <w:szCs w:val="20"/>
        </w:rPr>
      </w:pPr>
      <w:r>
        <w:rPr>
          <w:sz w:val="20"/>
          <w:szCs w:val="20"/>
        </w:rPr>
        <w:br w:type="column"/>
      </w:r>
    </w:p>
    <w:p w:rsidR="00392921" w:rsidRDefault="00392921">
      <w:pPr>
        <w:spacing w:line="278" w:lineRule="exact"/>
        <w:rPr>
          <w:sz w:val="20"/>
          <w:szCs w:val="20"/>
        </w:rPr>
      </w:pPr>
    </w:p>
    <w:p w:rsidR="00392921" w:rsidRDefault="00DA308A">
      <w:pPr>
        <w:spacing w:line="227" w:lineRule="auto"/>
        <w:jc w:val="both"/>
        <w:rPr>
          <w:sz w:val="20"/>
          <w:szCs w:val="20"/>
        </w:rPr>
      </w:pPr>
      <w:r>
        <w:rPr>
          <w:rFonts w:eastAsia="Times New Roman"/>
        </w:rPr>
        <w:t>were found with a high percentage in hypothyroid rats, these abnormalities were bent and coiled tail, bent neck, and double-head sperms (Figure 2A–E).</w:t>
      </w:r>
    </w:p>
    <w:p w:rsidR="00392921" w:rsidRDefault="00392921">
      <w:pPr>
        <w:spacing w:line="200" w:lineRule="exact"/>
        <w:rPr>
          <w:sz w:val="20"/>
          <w:szCs w:val="20"/>
        </w:rPr>
      </w:pPr>
    </w:p>
    <w:p w:rsidR="00392921" w:rsidRDefault="00392921">
      <w:pPr>
        <w:sectPr w:rsidR="00392921">
          <w:type w:val="continuous"/>
          <w:pgSz w:w="11900" w:h="15876"/>
          <w:pgMar w:top="766" w:right="1246" w:bottom="0" w:left="992" w:header="0" w:footer="0" w:gutter="0"/>
          <w:cols w:num="2" w:space="720" w:equalWidth="0">
            <w:col w:w="4708"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ectPr w:rsidR="00392921">
          <w:type w:val="continuous"/>
          <w:pgSz w:w="11900" w:h="15876"/>
          <w:pgMar w:top="766" w:right="1246" w:bottom="0" w:left="992" w:header="0" w:footer="0" w:gutter="0"/>
          <w:cols w:space="720" w:equalWidth="0">
            <w:col w:w="9668"/>
          </w:cols>
        </w:sectPr>
      </w:pPr>
    </w:p>
    <w:p w:rsidR="00392921" w:rsidRDefault="00392921">
      <w:pPr>
        <w:spacing w:line="2" w:lineRule="exact"/>
        <w:rPr>
          <w:sz w:val="20"/>
          <w:szCs w:val="20"/>
        </w:rPr>
      </w:pPr>
      <w:bookmarkStart w:id="5" w:name="page7"/>
      <w:bookmarkEnd w:id="5"/>
    </w:p>
    <w:tbl>
      <w:tblPr>
        <w:tblW w:w="9680" w:type="dxa"/>
        <w:tblInd w:w="10" w:type="dxa"/>
        <w:tblLayout w:type="fixed"/>
        <w:tblCellMar>
          <w:left w:w="0" w:type="dxa"/>
          <w:right w:w="0" w:type="dxa"/>
        </w:tblCellMar>
        <w:tblLook w:val="04A0" w:firstRow="1" w:lastRow="0" w:firstColumn="1" w:lastColumn="0" w:noHBand="0" w:noVBand="1"/>
      </w:tblPr>
      <w:tblGrid>
        <w:gridCol w:w="5220"/>
        <w:gridCol w:w="4460"/>
      </w:tblGrid>
      <w:tr w:rsidR="00392921" w:rsidTr="003803CD">
        <w:trPr>
          <w:trHeight w:val="24"/>
        </w:trPr>
        <w:tc>
          <w:tcPr>
            <w:tcW w:w="5220" w:type="dxa"/>
            <w:tcBorders>
              <w:bottom w:val="single" w:sz="8" w:space="0" w:color="auto"/>
            </w:tcBorders>
            <w:vAlign w:val="bottom"/>
          </w:tcPr>
          <w:p w:rsidR="00392921" w:rsidRDefault="00392921">
            <w:pPr>
              <w:rPr>
                <w:sz w:val="2"/>
                <w:szCs w:val="2"/>
              </w:rPr>
            </w:pPr>
          </w:p>
        </w:tc>
        <w:tc>
          <w:tcPr>
            <w:tcW w:w="4460" w:type="dxa"/>
            <w:tcBorders>
              <w:bottom w:val="single" w:sz="8" w:space="0" w:color="auto"/>
            </w:tcBorders>
            <w:vAlign w:val="bottom"/>
          </w:tcPr>
          <w:p w:rsidR="00392921" w:rsidRDefault="00392921">
            <w:pPr>
              <w:rPr>
                <w:sz w:val="2"/>
                <w:szCs w:val="2"/>
              </w:rPr>
            </w:pPr>
          </w:p>
        </w:tc>
      </w:tr>
      <w:tr w:rsidR="00392921" w:rsidTr="003803CD">
        <w:trPr>
          <w:trHeight w:val="403"/>
        </w:trPr>
        <w:tc>
          <w:tcPr>
            <w:tcW w:w="5220" w:type="dxa"/>
            <w:tcBorders>
              <w:bottom w:val="single" w:sz="8" w:space="0" w:color="auto"/>
            </w:tcBorders>
            <w:vAlign w:val="bottom"/>
          </w:tcPr>
          <w:p w:rsidR="00392921" w:rsidRDefault="00392921">
            <w:pPr>
              <w:rPr>
                <w:sz w:val="24"/>
                <w:szCs w:val="24"/>
              </w:rPr>
            </w:pPr>
          </w:p>
        </w:tc>
        <w:tc>
          <w:tcPr>
            <w:tcW w:w="4460" w:type="dxa"/>
            <w:tcBorders>
              <w:bottom w:val="single" w:sz="8" w:space="0" w:color="auto"/>
            </w:tcBorders>
            <w:vAlign w:val="bottom"/>
          </w:tcPr>
          <w:p w:rsidR="00392921" w:rsidRDefault="00392921">
            <w:pPr>
              <w:rPr>
                <w:sz w:val="24"/>
                <w:szCs w:val="24"/>
              </w:rPr>
            </w:pPr>
          </w:p>
        </w:tc>
      </w:tr>
      <w:tr w:rsidR="00392921" w:rsidTr="003803CD">
        <w:trPr>
          <w:trHeight w:val="5940"/>
        </w:trPr>
        <w:tc>
          <w:tcPr>
            <w:tcW w:w="5220" w:type="dxa"/>
            <w:tcBorders>
              <w:left w:val="single" w:sz="8" w:space="0" w:color="auto"/>
              <w:bottom w:val="single" w:sz="8" w:space="0" w:color="auto"/>
            </w:tcBorders>
            <w:vAlign w:val="bottom"/>
          </w:tcPr>
          <w:p w:rsidR="00392921" w:rsidRDefault="00392921">
            <w:pPr>
              <w:rPr>
                <w:sz w:val="24"/>
                <w:szCs w:val="24"/>
              </w:rPr>
            </w:pPr>
          </w:p>
        </w:tc>
        <w:tc>
          <w:tcPr>
            <w:tcW w:w="4460" w:type="dxa"/>
            <w:tcBorders>
              <w:bottom w:val="single" w:sz="8" w:space="0" w:color="auto"/>
              <w:right w:val="single" w:sz="8" w:space="0" w:color="auto"/>
            </w:tcBorders>
            <w:vAlign w:val="bottom"/>
          </w:tcPr>
          <w:p w:rsidR="00392921" w:rsidRDefault="00392921">
            <w:pPr>
              <w:rPr>
                <w:sz w:val="24"/>
                <w:szCs w:val="24"/>
              </w:rPr>
            </w:pPr>
          </w:p>
        </w:tc>
      </w:tr>
    </w:tbl>
    <w:p w:rsidR="00392921" w:rsidRDefault="00DA308A">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147955</wp:posOffset>
            </wp:positionH>
            <wp:positionV relativeFrom="paragraph">
              <wp:posOffset>-3707130</wp:posOffset>
            </wp:positionV>
            <wp:extent cx="5851525" cy="3625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851525" cy="3625850"/>
                    </a:xfrm>
                    <a:prstGeom prst="rect">
                      <a:avLst/>
                    </a:prstGeom>
                    <a:noFill/>
                  </pic:spPr>
                </pic:pic>
              </a:graphicData>
            </a:graphic>
          </wp:anchor>
        </w:drawing>
      </w:r>
    </w:p>
    <w:p w:rsidR="00392921" w:rsidRDefault="00392921">
      <w:pPr>
        <w:spacing w:line="174" w:lineRule="exact"/>
        <w:rPr>
          <w:sz w:val="20"/>
          <w:szCs w:val="20"/>
        </w:rPr>
      </w:pPr>
    </w:p>
    <w:p w:rsidR="00392921" w:rsidRDefault="00DA308A">
      <w:pPr>
        <w:spacing w:line="221" w:lineRule="auto"/>
        <w:jc w:val="both"/>
        <w:rPr>
          <w:sz w:val="20"/>
          <w:szCs w:val="20"/>
        </w:rPr>
      </w:pPr>
      <w:r>
        <w:rPr>
          <w:rFonts w:ascii="Arial" w:eastAsia="Arial" w:hAnsi="Arial" w:cs="Arial"/>
          <w:sz w:val="20"/>
          <w:szCs w:val="20"/>
        </w:rPr>
        <w:t xml:space="preserve">Figures 2. Normal and </w:t>
      </w:r>
      <w:r>
        <w:rPr>
          <w:rFonts w:ascii="Arial" w:eastAsia="Arial" w:hAnsi="Arial" w:cs="Arial"/>
          <w:sz w:val="20"/>
          <w:szCs w:val="20"/>
        </w:rPr>
        <w:t>abnormal sperm morphology. (A) Normal form, (B and C) bent neck, (D) double head, and (E) coiled and bent tail.</w:t>
      </w:r>
    </w:p>
    <w:p w:rsidR="00392921" w:rsidRDefault="00392921">
      <w:pPr>
        <w:sectPr w:rsidR="00392921">
          <w:pgSz w:w="11900" w:h="15876"/>
          <w:pgMar w:top="732" w:right="986" w:bottom="0" w:left="1240" w:header="0" w:footer="0" w:gutter="0"/>
          <w:cols w:space="720" w:equalWidth="0">
            <w:col w:w="9680"/>
          </w:cols>
        </w:sectPr>
      </w:pPr>
    </w:p>
    <w:p w:rsidR="00392921" w:rsidRDefault="00392921">
      <w:pPr>
        <w:spacing w:line="345" w:lineRule="exact"/>
        <w:rPr>
          <w:sz w:val="20"/>
          <w:szCs w:val="20"/>
        </w:rPr>
      </w:pPr>
    </w:p>
    <w:p w:rsidR="00392921" w:rsidRDefault="00DA308A">
      <w:pPr>
        <w:rPr>
          <w:sz w:val="20"/>
          <w:szCs w:val="20"/>
        </w:rPr>
      </w:pPr>
      <w:r>
        <w:rPr>
          <w:rFonts w:ascii="Arial" w:eastAsia="Arial" w:hAnsi="Arial" w:cs="Arial"/>
          <w:sz w:val="26"/>
          <w:szCs w:val="26"/>
        </w:rPr>
        <w:t>Electron microscopic examination</w:t>
      </w:r>
    </w:p>
    <w:p w:rsidR="00392921" w:rsidRDefault="00392921">
      <w:pPr>
        <w:spacing w:line="124" w:lineRule="exact"/>
        <w:rPr>
          <w:sz w:val="20"/>
          <w:szCs w:val="20"/>
        </w:rPr>
      </w:pPr>
    </w:p>
    <w:p w:rsidR="00392921" w:rsidRDefault="00DA308A">
      <w:pPr>
        <w:spacing w:line="242" w:lineRule="auto"/>
        <w:jc w:val="both"/>
        <w:rPr>
          <w:sz w:val="20"/>
          <w:szCs w:val="20"/>
        </w:rPr>
      </w:pPr>
      <w:r>
        <w:rPr>
          <w:rFonts w:eastAsia="Times New Roman"/>
        </w:rPr>
        <w:t xml:space="preserve">The electron micrographs of control rat testis showed normal structure </w:t>
      </w:r>
      <w:r>
        <w:rPr>
          <w:rFonts w:eastAsia="Times New Roman"/>
        </w:rPr>
        <w:t>completely enveloped by a thick capsule, tunica albuginea, which is composed mainly of dense collagenous fibrous connective tissue. The structural components of the testis are the semi-niferous tubules and interstitial tissues. The parench-yma is made up o</w:t>
      </w:r>
      <w:r>
        <w:rPr>
          <w:rFonts w:eastAsia="Times New Roman"/>
        </w:rPr>
        <w:t>f seminiferous tubules. Among the tubules are located the interstitial cells of Leydig in contact with few thin-walled capillaries. The semini-ferous tubules of control rats showed all stages of spermatogenic cells and the lumen of seminiferous tubules are</w:t>
      </w:r>
      <w:r>
        <w:rPr>
          <w:rFonts w:eastAsia="Times New Roman"/>
        </w:rPr>
        <w:t xml:space="preserve"> full of mature spermatozoa (Figure 3A– D). Two types of cells are identified in the rat seminiferous tubules, the Sertoli cells (Figure 3A) and the spermatogenic cells (spermatogonia, primary spermatocytes, secondary spermatocytes, sperma-tids, and sperms</w:t>
      </w:r>
      <w:r>
        <w:rPr>
          <w:rFonts w:eastAsia="Times New Roman"/>
        </w:rPr>
        <w:t>).</w:t>
      </w:r>
    </w:p>
    <w:p w:rsidR="00392921" w:rsidRDefault="00392921">
      <w:pPr>
        <w:spacing w:line="68" w:lineRule="exact"/>
        <w:rPr>
          <w:sz w:val="20"/>
          <w:szCs w:val="20"/>
        </w:rPr>
      </w:pPr>
    </w:p>
    <w:p w:rsidR="00392921" w:rsidRDefault="00DA308A">
      <w:pPr>
        <w:spacing w:line="247" w:lineRule="auto"/>
        <w:ind w:firstLine="239"/>
        <w:jc w:val="both"/>
        <w:rPr>
          <w:sz w:val="20"/>
          <w:szCs w:val="20"/>
        </w:rPr>
      </w:pPr>
      <w:r>
        <w:rPr>
          <w:rFonts w:eastAsia="Times New Roman"/>
          <w:sz w:val="21"/>
          <w:szCs w:val="21"/>
        </w:rPr>
        <w:t>The Sertoli cells rest on the thin basal lamina (base-ment membrane), while the spermatogenic cells are formed of many layers, namely, the spermatogonia, primary and secondary spermatocytes, spermatoids, and finally mature spermatozoa. The spermatogoni</w:t>
      </w:r>
      <w:r>
        <w:rPr>
          <w:rFonts w:eastAsia="Times New Roman"/>
          <w:sz w:val="21"/>
          <w:szCs w:val="21"/>
        </w:rPr>
        <w:t>a</w:t>
      </w:r>
    </w:p>
    <w:p w:rsidR="00392921" w:rsidRDefault="00DA308A">
      <w:pPr>
        <w:spacing w:line="20" w:lineRule="exact"/>
        <w:rPr>
          <w:sz w:val="20"/>
          <w:szCs w:val="20"/>
        </w:rPr>
      </w:pPr>
      <w:r>
        <w:rPr>
          <w:sz w:val="20"/>
          <w:szCs w:val="20"/>
        </w:rPr>
        <w:br w:type="column"/>
      </w:r>
    </w:p>
    <w:p w:rsidR="00392921" w:rsidRDefault="00392921">
      <w:pPr>
        <w:spacing w:line="383" w:lineRule="exact"/>
        <w:rPr>
          <w:sz w:val="20"/>
          <w:szCs w:val="20"/>
        </w:rPr>
      </w:pPr>
    </w:p>
    <w:p w:rsidR="00392921" w:rsidRDefault="00DA308A">
      <w:pPr>
        <w:spacing w:line="255" w:lineRule="auto"/>
        <w:jc w:val="both"/>
        <w:rPr>
          <w:sz w:val="20"/>
          <w:szCs w:val="20"/>
        </w:rPr>
      </w:pPr>
      <w:r>
        <w:rPr>
          <w:rFonts w:eastAsia="Times New Roman"/>
          <w:sz w:val="21"/>
          <w:szCs w:val="21"/>
        </w:rPr>
        <w:t>are large diploid cells which lie against the boundary tissue of the seminiferous tubules and divide mitoti-cally. Two types of spermatocytes (primary and sec-ondary spermatocytes) are identified in the testes of control rats (Figure 3B and C). The pr</w:t>
      </w:r>
      <w:r>
        <w:rPr>
          <w:rFonts w:eastAsia="Times New Roman"/>
          <w:sz w:val="21"/>
          <w:szCs w:val="21"/>
        </w:rPr>
        <w:t>imary sperma-tocytes are characterized by the presence of intercel-lular bridges between these cells, spherical nuclei with finely granular nucleoplasm and chromatin accu-mulation, while the secondary spermatocytes are smaller in size than the late primary</w:t>
      </w:r>
      <w:r>
        <w:rPr>
          <w:rFonts w:eastAsia="Times New Roman"/>
          <w:sz w:val="21"/>
          <w:szCs w:val="21"/>
        </w:rPr>
        <w:t xml:space="preserve"> spermatocytes and are rarely seen among the germinal cells of rat, their lifespan is short and enter into the second meio-tic division producing the spermatids; also the lumen of the seminiferous tubules was fully packed with sperms. The electron microgra</w:t>
      </w:r>
      <w:r>
        <w:rPr>
          <w:rFonts w:eastAsia="Times New Roman"/>
          <w:sz w:val="21"/>
          <w:szCs w:val="21"/>
        </w:rPr>
        <w:t>phs of the seminiferous tubules in hypothyroid rat testis as in hypothyroid rat group showed cellular alteration of cells than those in the control group (Figures 3E, F and 4A, B). The seminiferous tubules of rats showed moderate dam-aged tubules displayin</w:t>
      </w:r>
      <w:r>
        <w:rPr>
          <w:rFonts w:eastAsia="Times New Roman"/>
          <w:sz w:val="21"/>
          <w:szCs w:val="21"/>
        </w:rPr>
        <w:t>g advanced stage of injury in cells and a thick, irregular tubular basement mem-brane (Figure 3E). Spermatogonia are less affected, while the primary and secondary spermatocytes were clearly affected; the cells are compact and are reduced</w:t>
      </w: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num="2" w:space="720" w:equalWidth="0">
            <w:col w:w="472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space="720" w:equalWidth="0">
            <w:col w:w="9680"/>
          </w:cols>
        </w:sectPr>
      </w:pPr>
    </w:p>
    <w:p w:rsidR="00392921" w:rsidRDefault="00392921">
      <w:pPr>
        <w:spacing w:line="2" w:lineRule="exact"/>
        <w:rPr>
          <w:sz w:val="20"/>
          <w:szCs w:val="20"/>
        </w:rPr>
      </w:pPr>
      <w:bookmarkStart w:id="6" w:name="page8"/>
      <w:bookmarkEnd w:id="6"/>
    </w:p>
    <w:p w:rsidR="00392921" w:rsidRDefault="00DA308A">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-4445</wp:posOffset>
            </wp:positionH>
            <wp:positionV relativeFrom="paragraph">
              <wp:posOffset>15240</wp:posOffset>
            </wp:positionV>
            <wp:extent cx="6137910" cy="6375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137910" cy="6375400"/>
                    </a:xfrm>
                    <a:prstGeom prst="rect">
                      <a:avLst/>
                    </a:prstGeom>
                    <a:noFill/>
                  </pic:spPr>
                </pic:pic>
              </a:graphicData>
            </a:graphic>
          </wp:anchor>
        </w:drawing>
      </w: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39" w:lineRule="exact"/>
        <w:rPr>
          <w:sz w:val="20"/>
          <w:szCs w:val="20"/>
        </w:rPr>
      </w:pPr>
    </w:p>
    <w:p w:rsidR="00392921" w:rsidRDefault="00DA308A">
      <w:pPr>
        <w:spacing w:line="264" w:lineRule="auto"/>
        <w:jc w:val="both"/>
        <w:rPr>
          <w:sz w:val="20"/>
          <w:szCs w:val="20"/>
        </w:rPr>
      </w:pPr>
      <w:r>
        <w:rPr>
          <w:rFonts w:ascii="Arial" w:eastAsia="Arial" w:hAnsi="Arial" w:cs="Arial"/>
          <w:sz w:val="18"/>
          <w:szCs w:val="18"/>
        </w:rPr>
        <w:t xml:space="preserve">Figure 3. Photoelectron micrographs (transmission electron microscopy [TEM]) of the rat testis. (A) TEM of control rat testis showing the basement tubular membrane of the seminiferous tubules and Sertoli cell (S). (B) </w:t>
      </w:r>
      <w:r>
        <w:rPr>
          <w:rFonts w:ascii="Arial" w:eastAsia="Arial" w:hAnsi="Arial" w:cs="Arial"/>
          <w:sz w:val="18"/>
          <w:szCs w:val="18"/>
        </w:rPr>
        <w:t>TEM of control rat testis showing normal primary spermatocytes (1ry sp), Golgi complex (Gx) and large number of mitochondria (M). (C) TEM of control rat testis showing secondary spermatocytes nucleus (N) and mitochondria (M). (D) TEM of rat testis in folic</w:t>
      </w:r>
      <w:r>
        <w:rPr>
          <w:rFonts w:ascii="Arial" w:eastAsia="Arial" w:hAnsi="Arial" w:cs="Arial"/>
          <w:sz w:val="18"/>
          <w:szCs w:val="18"/>
        </w:rPr>
        <w:t xml:space="preserve"> acid group showing large number of spermatozoa in the lumen of the seminiferous tubule. (E) TEM of hypothyroid rat testis showing a thick, irregular tubular basement membrane and damaged Sertoli cells (S). (F) TEM of hypothyroid rat testis showing more da</w:t>
      </w:r>
      <w:r>
        <w:rPr>
          <w:rFonts w:ascii="Arial" w:eastAsia="Arial" w:hAnsi="Arial" w:cs="Arial"/>
          <w:sz w:val="18"/>
          <w:szCs w:val="18"/>
        </w:rPr>
        <w:t xml:space="preserve">maged spermatocytes with cytoplasmic vacuolation, degenerative mitochondria, dilation endoplas-mic reticulum, and lipid droplets. Also, primary spermatocytes with irregular, damaged nuclear membrane (N), cytoplas-mic vacuoles (V), and damaged mitochondria </w:t>
      </w:r>
      <w:r>
        <w:rPr>
          <w:rFonts w:ascii="Arial" w:eastAsia="Arial" w:hAnsi="Arial" w:cs="Arial"/>
          <w:sz w:val="18"/>
          <w:szCs w:val="18"/>
        </w:rPr>
        <w:t>(M).</w:t>
      </w:r>
    </w:p>
    <w:p w:rsidR="00392921" w:rsidRDefault="00392921">
      <w:pPr>
        <w:sectPr w:rsidR="00392921">
          <w:pgSz w:w="11900" w:h="15876"/>
          <w:pgMar w:top="766" w:right="1246" w:bottom="0" w:left="1000" w:header="0" w:footer="0" w:gutter="0"/>
          <w:cols w:space="720" w:equalWidth="0">
            <w:col w:w="9660"/>
          </w:cols>
        </w:sectPr>
      </w:pPr>
    </w:p>
    <w:p w:rsidR="00392921" w:rsidRDefault="00392921">
      <w:pPr>
        <w:spacing w:line="311" w:lineRule="exact"/>
        <w:rPr>
          <w:sz w:val="20"/>
          <w:szCs w:val="20"/>
        </w:rPr>
      </w:pPr>
    </w:p>
    <w:p w:rsidR="00392921" w:rsidRDefault="00DA308A">
      <w:pPr>
        <w:spacing w:line="244" w:lineRule="auto"/>
        <w:jc w:val="both"/>
        <w:rPr>
          <w:sz w:val="20"/>
          <w:szCs w:val="20"/>
        </w:rPr>
      </w:pPr>
      <w:r>
        <w:rPr>
          <w:rFonts w:eastAsia="Times New Roman"/>
          <w:sz w:val="21"/>
          <w:szCs w:val="21"/>
        </w:rPr>
        <w:t>in sizes in comparison to the control group, with flat-tened nucleus and cytoplasm (Figures 3F and 4A). The basement membranes of the seminiferous tubules were more thickened and irregular with fibrous</w:t>
      </w:r>
    </w:p>
    <w:p w:rsidR="00392921" w:rsidRDefault="00DA308A">
      <w:pPr>
        <w:spacing w:line="20" w:lineRule="exact"/>
        <w:rPr>
          <w:sz w:val="20"/>
          <w:szCs w:val="20"/>
        </w:rPr>
      </w:pPr>
      <w:r>
        <w:rPr>
          <w:sz w:val="20"/>
          <w:szCs w:val="20"/>
        </w:rPr>
        <w:br w:type="column"/>
      </w:r>
    </w:p>
    <w:p w:rsidR="00392921" w:rsidRDefault="00392921">
      <w:pPr>
        <w:spacing w:line="291" w:lineRule="exact"/>
        <w:rPr>
          <w:sz w:val="20"/>
          <w:szCs w:val="20"/>
        </w:rPr>
      </w:pPr>
    </w:p>
    <w:p w:rsidR="00392921" w:rsidRDefault="00DA308A">
      <w:pPr>
        <w:spacing w:line="244" w:lineRule="auto"/>
        <w:jc w:val="both"/>
        <w:rPr>
          <w:sz w:val="20"/>
          <w:szCs w:val="20"/>
        </w:rPr>
      </w:pPr>
      <w:r>
        <w:rPr>
          <w:rFonts w:eastAsia="Times New Roman"/>
          <w:sz w:val="21"/>
          <w:szCs w:val="21"/>
        </w:rPr>
        <w:t xml:space="preserve">connective tissue </w:t>
      </w:r>
      <w:r>
        <w:rPr>
          <w:rFonts w:eastAsia="Times New Roman"/>
          <w:sz w:val="21"/>
          <w:szCs w:val="21"/>
        </w:rPr>
        <w:t>than that of the control group (Figure 3E). The smooth endoplasmic reticulum and Golgi apparatus are dilated, the mitochondria are con-densed and appeared darkly outlined and the nucleus</w:t>
      </w:r>
    </w:p>
    <w:p w:rsidR="00392921" w:rsidRDefault="00392921">
      <w:pPr>
        <w:spacing w:line="200" w:lineRule="exact"/>
        <w:rPr>
          <w:sz w:val="20"/>
          <w:szCs w:val="20"/>
        </w:rPr>
      </w:pPr>
    </w:p>
    <w:p w:rsidR="00392921" w:rsidRDefault="00392921">
      <w:pPr>
        <w:sectPr w:rsidR="00392921">
          <w:type w:val="continuous"/>
          <w:pgSz w:w="11900" w:h="15876"/>
          <w:pgMar w:top="766" w:right="1246" w:bottom="0" w:left="1000" w:header="0" w:footer="0" w:gutter="0"/>
          <w:cols w:num="2" w:space="720" w:equalWidth="0">
            <w:col w:w="470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98" w:lineRule="exact"/>
        <w:rPr>
          <w:sz w:val="20"/>
          <w:szCs w:val="20"/>
        </w:rPr>
      </w:pPr>
    </w:p>
    <w:p w:rsidR="00392921" w:rsidRDefault="00392921">
      <w:pPr>
        <w:sectPr w:rsidR="00392921">
          <w:type w:val="continuous"/>
          <w:pgSz w:w="11900" w:h="15876"/>
          <w:pgMar w:top="766" w:right="1246" w:bottom="0" w:left="1000" w:header="0" w:footer="0" w:gutter="0"/>
          <w:cols w:space="720" w:equalWidth="0">
            <w:col w:w="9660"/>
          </w:cols>
        </w:sectPr>
      </w:pPr>
    </w:p>
    <w:tbl>
      <w:tblPr>
        <w:tblW w:w="9680" w:type="dxa"/>
        <w:tblInd w:w="10" w:type="dxa"/>
        <w:tblLayout w:type="fixed"/>
        <w:tblCellMar>
          <w:left w:w="0" w:type="dxa"/>
          <w:right w:w="0" w:type="dxa"/>
        </w:tblCellMar>
        <w:tblLook w:val="04A0" w:firstRow="1" w:lastRow="0" w:firstColumn="1" w:lastColumn="0" w:noHBand="0" w:noVBand="1"/>
      </w:tblPr>
      <w:tblGrid>
        <w:gridCol w:w="5220"/>
        <w:gridCol w:w="4460"/>
      </w:tblGrid>
      <w:tr w:rsidR="00392921" w:rsidTr="003803CD">
        <w:trPr>
          <w:trHeight w:val="24"/>
        </w:trPr>
        <w:tc>
          <w:tcPr>
            <w:tcW w:w="5220" w:type="dxa"/>
            <w:tcBorders>
              <w:bottom w:val="single" w:sz="8" w:space="0" w:color="auto"/>
            </w:tcBorders>
            <w:vAlign w:val="bottom"/>
          </w:tcPr>
          <w:p w:rsidR="00392921" w:rsidRDefault="00392921" w:rsidP="003803CD">
            <w:pPr>
              <w:rPr>
                <w:sz w:val="2"/>
                <w:szCs w:val="2"/>
              </w:rPr>
            </w:pPr>
            <w:bookmarkStart w:id="7" w:name="page9"/>
            <w:bookmarkEnd w:id="7"/>
          </w:p>
        </w:tc>
        <w:tc>
          <w:tcPr>
            <w:tcW w:w="4460" w:type="dxa"/>
            <w:tcBorders>
              <w:bottom w:val="single" w:sz="8" w:space="0" w:color="auto"/>
            </w:tcBorders>
            <w:vAlign w:val="bottom"/>
          </w:tcPr>
          <w:p w:rsidR="00392921" w:rsidRDefault="00392921">
            <w:pPr>
              <w:rPr>
                <w:sz w:val="2"/>
                <w:szCs w:val="2"/>
              </w:rPr>
            </w:pPr>
          </w:p>
        </w:tc>
      </w:tr>
      <w:tr w:rsidR="00392921" w:rsidTr="003803CD">
        <w:trPr>
          <w:trHeight w:val="403"/>
        </w:trPr>
        <w:tc>
          <w:tcPr>
            <w:tcW w:w="5220" w:type="dxa"/>
            <w:tcBorders>
              <w:bottom w:val="single" w:sz="8" w:space="0" w:color="auto"/>
            </w:tcBorders>
            <w:vAlign w:val="bottom"/>
          </w:tcPr>
          <w:p w:rsidR="00392921" w:rsidRDefault="00392921">
            <w:pPr>
              <w:rPr>
                <w:sz w:val="24"/>
                <w:szCs w:val="24"/>
              </w:rPr>
            </w:pPr>
          </w:p>
        </w:tc>
        <w:tc>
          <w:tcPr>
            <w:tcW w:w="4460" w:type="dxa"/>
            <w:tcBorders>
              <w:bottom w:val="single" w:sz="8" w:space="0" w:color="auto"/>
            </w:tcBorders>
            <w:vAlign w:val="bottom"/>
          </w:tcPr>
          <w:p w:rsidR="00392921" w:rsidRDefault="00392921">
            <w:pPr>
              <w:rPr>
                <w:sz w:val="24"/>
                <w:szCs w:val="24"/>
              </w:rPr>
            </w:pPr>
          </w:p>
        </w:tc>
      </w:tr>
      <w:tr w:rsidR="00392921" w:rsidTr="003803CD">
        <w:trPr>
          <w:trHeight w:val="9587"/>
        </w:trPr>
        <w:tc>
          <w:tcPr>
            <w:tcW w:w="5220" w:type="dxa"/>
            <w:tcBorders>
              <w:left w:val="single" w:sz="8" w:space="0" w:color="auto"/>
              <w:bottom w:val="single" w:sz="8" w:space="0" w:color="auto"/>
            </w:tcBorders>
            <w:vAlign w:val="bottom"/>
          </w:tcPr>
          <w:p w:rsidR="00392921" w:rsidRDefault="00392921">
            <w:pPr>
              <w:rPr>
                <w:sz w:val="24"/>
                <w:szCs w:val="24"/>
              </w:rPr>
            </w:pPr>
          </w:p>
        </w:tc>
        <w:tc>
          <w:tcPr>
            <w:tcW w:w="4460" w:type="dxa"/>
            <w:tcBorders>
              <w:bottom w:val="single" w:sz="8" w:space="0" w:color="auto"/>
              <w:right w:val="single" w:sz="8" w:space="0" w:color="auto"/>
            </w:tcBorders>
            <w:vAlign w:val="bottom"/>
          </w:tcPr>
          <w:p w:rsidR="00392921" w:rsidRDefault="00392921">
            <w:pPr>
              <w:rPr>
                <w:sz w:val="24"/>
                <w:szCs w:val="24"/>
              </w:rPr>
            </w:pPr>
          </w:p>
        </w:tc>
      </w:tr>
    </w:tbl>
    <w:p w:rsidR="00392921" w:rsidRDefault="00DA308A">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1189990</wp:posOffset>
            </wp:positionH>
            <wp:positionV relativeFrom="paragraph">
              <wp:posOffset>-6023610</wp:posOffset>
            </wp:positionV>
            <wp:extent cx="3767455" cy="59423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767455" cy="5942330"/>
                    </a:xfrm>
                    <a:prstGeom prst="rect">
                      <a:avLst/>
                    </a:prstGeom>
                    <a:noFill/>
                  </pic:spPr>
                </pic:pic>
              </a:graphicData>
            </a:graphic>
          </wp:anchor>
        </w:drawing>
      </w:r>
    </w:p>
    <w:p w:rsidR="00392921" w:rsidRDefault="00392921">
      <w:pPr>
        <w:spacing w:line="174" w:lineRule="exact"/>
        <w:rPr>
          <w:sz w:val="20"/>
          <w:szCs w:val="20"/>
        </w:rPr>
      </w:pPr>
    </w:p>
    <w:p w:rsidR="00392921" w:rsidRDefault="00DA308A">
      <w:pPr>
        <w:spacing w:line="234" w:lineRule="auto"/>
        <w:jc w:val="both"/>
        <w:rPr>
          <w:sz w:val="20"/>
          <w:szCs w:val="20"/>
        </w:rPr>
      </w:pPr>
      <w:r>
        <w:rPr>
          <w:rFonts w:ascii="Arial" w:eastAsia="Arial" w:hAnsi="Arial" w:cs="Arial"/>
          <w:sz w:val="20"/>
          <w:szCs w:val="20"/>
        </w:rPr>
        <w:t xml:space="preserve">Figure 4. Transmission electron microscopy (TEM) of the rat testis. (A) TEM of </w:t>
      </w:r>
      <w:r>
        <w:rPr>
          <w:rFonts w:ascii="Arial" w:eastAsia="Arial" w:hAnsi="Arial" w:cs="Arial"/>
          <w:sz w:val="20"/>
          <w:szCs w:val="20"/>
        </w:rPr>
        <w:t>hypothyroid rat testis co-treated with folic acid showing moderate damage in the spermatocytes with minimal cytoplasmic vacuolation. (B) TEM of hypothyroid rat testis showing little number of spermatozoa in the lumen of seminiferous tubule. (C and D) TEM o</w:t>
      </w:r>
      <w:r>
        <w:rPr>
          <w:rFonts w:ascii="Arial" w:eastAsia="Arial" w:hAnsi="Arial" w:cs="Arial"/>
          <w:sz w:val="20"/>
          <w:szCs w:val="20"/>
        </w:rPr>
        <w:t xml:space="preserve">f hypothyroid rat testis cotreated with folic acid showing an increase in sperm count and decrease in the lumen of seminiferous tubule. M: mitochondria, N: spermatocytes nucleus. (E) TEM of hypothyroid rat testis posttreated with folic acid showing normal </w:t>
      </w:r>
      <w:r>
        <w:rPr>
          <w:rFonts w:ascii="Arial" w:eastAsia="Arial" w:hAnsi="Arial" w:cs="Arial"/>
          <w:sz w:val="20"/>
          <w:szCs w:val="20"/>
        </w:rPr>
        <w:t>structure of basement membrane and Sertoli cells. (F) TEM of hypothyroid rat testis posttreated with folic acid showing normal structure of spermatogenic cells (spermatogonia and spermatocytes) with minimal cytoplasmic vacuolation. S: Sertoli cells.</w:t>
      </w:r>
    </w:p>
    <w:p w:rsidR="00392921" w:rsidRDefault="00392921">
      <w:pPr>
        <w:sectPr w:rsidR="00392921">
          <w:pgSz w:w="11900" w:h="15876"/>
          <w:pgMar w:top="732" w:right="986" w:bottom="0" w:left="1240" w:header="0" w:footer="0" w:gutter="0"/>
          <w:cols w:space="720" w:equalWidth="0">
            <w:col w:w="9680"/>
          </w:cols>
        </w:sectPr>
      </w:pPr>
    </w:p>
    <w:p w:rsidR="00392921" w:rsidRDefault="00392921">
      <w:pPr>
        <w:spacing w:line="308" w:lineRule="exact"/>
        <w:rPr>
          <w:sz w:val="20"/>
          <w:szCs w:val="20"/>
        </w:rPr>
      </w:pPr>
    </w:p>
    <w:p w:rsidR="00392921" w:rsidRDefault="00DA308A">
      <w:pPr>
        <w:spacing w:line="234" w:lineRule="auto"/>
        <w:jc w:val="both"/>
        <w:rPr>
          <w:sz w:val="20"/>
          <w:szCs w:val="20"/>
        </w:rPr>
      </w:pPr>
      <w:r>
        <w:rPr>
          <w:rFonts w:eastAsia="Times New Roman"/>
        </w:rPr>
        <w:t>is less damaged and has chromatin condensation at periphery of the nuclear membrane which is irregular in some area. The Sertoli cells showed more damage as the spermatocytes in cytoplasmic vacuolation, degenerative mitochondria, di</w:t>
      </w:r>
      <w:r>
        <w:rPr>
          <w:rFonts w:eastAsia="Times New Roman"/>
        </w:rPr>
        <w:t>lation endoplasmic</w:t>
      </w:r>
    </w:p>
    <w:p w:rsidR="00392921" w:rsidRDefault="00DA308A">
      <w:pPr>
        <w:spacing w:line="20" w:lineRule="exact"/>
        <w:rPr>
          <w:sz w:val="20"/>
          <w:szCs w:val="20"/>
        </w:rPr>
      </w:pPr>
      <w:r>
        <w:rPr>
          <w:sz w:val="20"/>
          <w:szCs w:val="20"/>
        </w:rPr>
        <w:br w:type="column"/>
      </w:r>
    </w:p>
    <w:p w:rsidR="00392921" w:rsidRDefault="00392921">
      <w:pPr>
        <w:spacing w:line="288" w:lineRule="exact"/>
        <w:rPr>
          <w:sz w:val="20"/>
          <w:szCs w:val="20"/>
        </w:rPr>
      </w:pPr>
    </w:p>
    <w:p w:rsidR="00392921" w:rsidRDefault="00DA308A">
      <w:pPr>
        <w:spacing w:line="234" w:lineRule="auto"/>
        <w:jc w:val="both"/>
        <w:rPr>
          <w:sz w:val="20"/>
          <w:szCs w:val="20"/>
        </w:rPr>
      </w:pPr>
      <w:r>
        <w:rPr>
          <w:rFonts w:eastAsia="Times New Roman"/>
        </w:rPr>
        <w:t xml:space="preserve">reticulum, and lipid droplets (Figure 3E). The lumen of the seminiferous tubules in hypothyroid rat group had lack of sperms (Figure 4B). The spermatocytes in the hypothyroid rats showed clear degeneration in all cytoplasm, and the </w:t>
      </w:r>
      <w:r>
        <w:rPr>
          <w:rFonts w:eastAsia="Times New Roman"/>
        </w:rPr>
        <w:t>mitochondria are darkly</w:t>
      </w: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num="2" w:space="720" w:equalWidth="0">
            <w:col w:w="4720" w:space="240"/>
            <w:col w:w="472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5" w:lineRule="exact"/>
        <w:rPr>
          <w:sz w:val="20"/>
          <w:szCs w:val="20"/>
        </w:rPr>
      </w:pPr>
    </w:p>
    <w:p w:rsidR="00392921" w:rsidRDefault="00392921">
      <w:pPr>
        <w:sectPr w:rsidR="00392921">
          <w:type w:val="continuous"/>
          <w:pgSz w:w="11900" w:h="15876"/>
          <w:pgMar w:top="732" w:right="986" w:bottom="0" w:left="1240" w:header="0" w:footer="0" w:gutter="0"/>
          <w:cols w:space="720" w:equalWidth="0">
            <w:col w:w="9680"/>
          </w:cols>
        </w:sectPr>
      </w:pPr>
    </w:p>
    <w:p w:rsidR="00392921" w:rsidRDefault="00392921">
      <w:pPr>
        <w:spacing w:line="2" w:lineRule="exact"/>
        <w:rPr>
          <w:sz w:val="20"/>
          <w:szCs w:val="20"/>
        </w:rPr>
      </w:pPr>
      <w:bookmarkStart w:id="8" w:name="page10"/>
      <w:bookmarkEnd w:id="8"/>
    </w:p>
    <w:p w:rsidR="00392921" w:rsidRDefault="00DA308A">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-4445</wp:posOffset>
                </wp:positionH>
                <wp:positionV relativeFrom="paragraph">
                  <wp:posOffset>18415</wp:posOffset>
                </wp:positionV>
                <wp:extent cx="613727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275" cy="4763"/>
                        </a:xfrm>
                        <a:prstGeom prst="line">
                          <a:avLst/>
                        </a:prstGeom>
                        <a:solidFill>
                          <a:srgbClr val="FFFFFF"/>
                        </a:solidFill>
                        <a:ln w="6479">
                          <a:solidFill>
                            <a:srgbClr val="000000"/>
                          </a:solidFill>
                          <a:miter lim="800000"/>
                          <a:headEnd/>
                          <a:tailEnd/>
                        </a:ln>
                      </wps:spPr>
                      <wps:bodyPr/>
                    </wps:wsp>
                  </a:graphicData>
                </a:graphic>
              </wp:anchor>
            </w:drawing>
          </mc:Choice>
          <mc:Fallback>
            <w:pict>
              <v:line w14:anchorId="46A07BED" id="Shape 1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5pt,1.45pt" to="482.9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" o:allowincell="f" filled="t" strokeweight=".17997mm">
                <v:stroke joinstyle="miter"/>
                <o:lock v:ext="edit" shapetype="f"/>
              </v:line>
            </w:pict>
          </mc:Fallback>
        </mc:AlternateContent>
      </w:r>
    </w:p>
    <w:p w:rsidR="00392921" w:rsidRDefault="00392921">
      <w:pPr>
        <w:sectPr w:rsidR="00392921">
          <w:pgSz w:w="11900" w:h="15876"/>
          <w:pgMar w:top="766" w:right="1246" w:bottom="0" w:left="1000" w:header="0" w:footer="0" w:gutter="0"/>
          <w:cols w:space="720" w:equalWidth="0">
            <w:col w:w="9660"/>
          </w:cols>
        </w:sectPr>
      </w:pPr>
    </w:p>
    <w:p w:rsidR="00392921" w:rsidRDefault="00392921">
      <w:pPr>
        <w:spacing w:line="200" w:lineRule="exact"/>
        <w:rPr>
          <w:sz w:val="20"/>
          <w:szCs w:val="20"/>
        </w:rPr>
      </w:pPr>
    </w:p>
    <w:p w:rsidR="00392921" w:rsidRDefault="00392921">
      <w:pPr>
        <w:spacing w:line="237" w:lineRule="exact"/>
        <w:rPr>
          <w:sz w:val="20"/>
          <w:szCs w:val="20"/>
        </w:rPr>
      </w:pPr>
    </w:p>
    <w:p w:rsidR="00392921" w:rsidRDefault="00DA308A">
      <w:pPr>
        <w:spacing w:line="234" w:lineRule="auto"/>
        <w:jc w:val="both"/>
        <w:rPr>
          <w:sz w:val="20"/>
          <w:szCs w:val="20"/>
        </w:rPr>
      </w:pPr>
      <w:r>
        <w:rPr>
          <w:rFonts w:eastAsia="Times New Roman"/>
        </w:rPr>
        <w:t xml:space="preserve">outlined and condensed, the cytoplasmic organelles are vacuolated, the nucleus has irregular nuclear membrane and clamped chromatin. The Golgi appara-tus and the endoplasmic reticulum are dilated and fragmented (Figure </w:t>
      </w:r>
      <w:r>
        <w:rPr>
          <w:rFonts w:eastAsia="Times New Roman"/>
        </w:rPr>
        <w:t>4B).</w:t>
      </w:r>
    </w:p>
    <w:p w:rsidR="00392921" w:rsidRDefault="00392921">
      <w:pPr>
        <w:spacing w:line="62" w:lineRule="exact"/>
        <w:rPr>
          <w:sz w:val="20"/>
          <w:szCs w:val="20"/>
        </w:rPr>
      </w:pPr>
    </w:p>
    <w:p w:rsidR="00392921" w:rsidRDefault="00DA308A">
      <w:pPr>
        <w:spacing w:line="254" w:lineRule="auto"/>
        <w:ind w:firstLine="239"/>
        <w:jc w:val="both"/>
        <w:rPr>
          <w:sz w:val="20"/>
          <w:szCs w:val="20"/>
        </w:rPr>
      </w:pPr>
      <w:r>
        <w:rPr>
          <w:rFonts w:eastAsia="Times New Roman"/>
          <w:sz w:val="21"/>
          <w:szCs w:val="21"/>
        </w:rPr>
        <w:t>The electron micrographs of the seminiferous tubules in hypothyroid rat testis treated with folic acid during hypothyroidism showed minimal damaged tubules displaying advanced stage of injury in cells where the basement membrane of the seminiferous t</w:t>
      </w:r>
      <w:r>
        <w:rPr>
          <w:rFonts w:eastAsia="Times New Roman"/>
          <w:sz w:val="21"/>
          <w:szCs w:val="21"/>
        </w:rPr>
        <w:t>ubules were more thickened with fibrous connective tissue than in control groups. The Sertoli cells were less affected (Figure 4C and D). The electron micro-graphs of the seminiferous tubules in hypothyroid rat testis treated with folic acid after hypothyr</w:t>
      </w:r>
      <w:r>
        <w:rPr>
          <w:rFonts w:eastAsia="Times New Roman"/>
          <w:sz w:val="21"/>
          <w:szCs w:val="21"/>
        </w:rPr>
        <w:t>oidism as in posttreatment group showed normal distribution of spermatogenic cells and normal structure of sper-matocytes only the Sertoli cells were less affected and the lumen of the seminiferous tubules was fully packed with sperms (Figure 4E and F).</w:t>
      </w:r>
    </w:p>
    <w:p w:rsidR="00392921" w:rsidRDefault="00392921">
      <w:pPr>
        <w:spacing w:line="200" w:lineRule="exact"/>
        <w:rPr>
          <w:sz w:val="20"/>
          <w:szCs w:val="20"/>
        </w:rPr>
      </w:pPr>
    </w:p>
    <w:p w:rsidR="00392921" w:rsidRDefault="00392921">
      <w:pPr>
        <w:spacing w:line="221" w:lineRule="exact"/>
        <w:rPr>
          <w:sz w:val="20"/>
          <w:szCs w:val="20"/>
        </w:rPr>
      </w:pPr>
    </w:p>
    <w:p w:rsidR="00392921" w:rsidRDefault="00DA308A">
      <w:pPr>
        <w:rPr>
          <w:sz w:val="20"/>
          <w:szCs w:val="20"/>
        </w:rPr>
      </w:pPr>
      <w:r>
        <w:rPr>
          <w:rFonts w:ascii="Arial" w:eastAsia="Arial" w:hAnsi="Arial" w:cs="Arial"/>
          <w:sz w:val="26"/>
          <w:szCs w:val="26"/>
        </w:rPr>
        <w:t>Discussion</w:t>
      </w:r>
    </w:p>
    <w:p w:rsidR="00392921" w:rsidRDefault="00DA308A">
      <w:pPr>
        <w:spacing w:line="20" w:lineRule="exact"/>
        <w:rPr>
          <w:sz w:val="20"/>
          <w:szCs w:val="20"/>
        </w:rPr>
      </w:pPr>
      <w:r>
        <w:rPr>
          <w:sz w:val="20"/>
          <w:szCs w:val="20"/>
        </w:rPr>
        <w:br w:type="column"/>
      </w:r>
    </w:p>
    <w:p w:rsidR="00392921" w:rsidRDefault="00392921">
      <w:pPr>
        <w:spacing w:line="200" w:lineRule="exact"/>
        <w:rPr>
          <w:sz w:val="20"/>
          <w:szCs w:val="20"/>
        </w:rPr>
      </w:pPr>
    </w:p>
    <w:p w:rsidR="00392921" w:rsidRDefault="00392921">
      <w:pPr>
        <w:spacing w:line="217" w:lineRule="exact"/>
        <w:rPr>
          <w:sz w:val="20"/>
          <w:szCs w:val="20"/>
        </w:rPr>
      </w:pPr>
    </w:p>
    <w:p w:rsidR="00392921" w:rsidRDefault="00DA308A">
      <w:pPr>
        <w:spacing w:line="236" w:lineRule="auto"/>
        <w:jc w:val="both"/>
        <w:rPr>
          <w:sz w:val="20"/>
          <w:szCs w:val="20"/>
        </w:rPr>
      </w:pPr>
      <w:r>
        <w:rPr>
          <w:rFonts w:eastAsia="Times New Roman"/>
        </w:rPr>
        <w:t>hypothyroid rats treated with folic acid when com-pared with the control. The seminiferous lumen dia-meter was increased in hypothyroid group and decreased in folic acid-treated group. This finding confirmed the statements of Cooke and Meisa</w:t>
      </w:r>
      <w:r>
        <w:rPr>
          <w:rFonts w:eastAsia="Times New Roman"/>
        </w:rPr>
        <w:t>mi (1991), Van Haaster et al. (1993), Tarulli et al.</w:t>
      </w:r>
    </w:p>
    <w:p w:rsidR="00392921" w:rsidRDefault="00392921">
      <w:pPr>
        <w:spacing w:line="62" w:lineRule="exact"/>
        <w:rPr>
          <w:sz w:val="20"/>
          <w:szCs w:val="20"/>
        </w:rPr>
      </w:pPr>
    </w:p>
    <w:p w:rsidR="00392921" w:rsidRDefault="00DA308A">
      <w:pPr>
        <w:jc w:val="both"/>
        <w:rPr>
          <w:sz w:val="20"/>
          <w:szCs w:val="20"/>
        </w:rPr>
      </w:pPr>
      <w:r>
        <w:rPr>
          <w:rFonts w:eastAsia="Times New Roman"/>
        </w:rPr>
        <w:t>(2006), Jansen et al. (2007), and Lin et al. (2009) about the role of thyroid hormone in regulating the maturation and growth of testis in rats and other mam-mals, by inhibiting the proliferation of imm</w:t>
      </w:r>
      <w:r>
        <w:rPr>
          <w:rFonts w:eastAsia="Times New Roman"/>
        </w:rPr>
        <w:t>ature Ser-toli cell and stimulating their functional differentiation. Moreover, the histoarchitectural dis-turbances leading to the accumulation of germ cells and debris in the lumen might cause a disturbance in the normal sperm release from the Sertoli ce</w:t>
      </w:r>
      <w:r>
        <w:rPr>
          <w:rFonts w:eastAsia="Times New Roman"/>
        </w:rPr>
        <w:t>ll and thereby a dip in the sperm counts in experimental groups.</w:t>
      </w:r>
    </w:p>
    <w:p w:rsidR="00392921" w:rsidRDefault="00392921">
      <w:pPr>
        <w:spacing w:line="67" w:lineRule="exact"/>
        <w:rPr>
          <w:sz w:val="20"/>
          <w:szCs w:val="20"/>
        </w:rPr>
      </w:pPr>
    </w:p>
    <w:p w:rsidR="00392921" w:rsidRDefault="00DA308A">
      <w:pPr>
        <w:spacing w:line="234" w:lineRule="auto"/>
        <w:ind w:firstLine="239"/>
        <w:jc w:val="both"/>
        <w:rPr>
          <w:sz w:val="20"/>
          <w:szCs w:val="20"/>
        </w:rPr>
      </w:pPr>
      <w:r>
        <w:rPr>
          <w:rFonts w:eastAsia="Times New Roman"/>
          <w:sz w:val="21"/>
          <w:szCs w:val="21"/>
        </w:rPr>
        <w:t>Also, several reports emphasize the regulatory effect of thyroid hormone on early testis development by affecting T</w:t>
      </w:r>
      <w:r>
        <w:rPr>
          <w:rFonts w:eastAsia="Times New Roman"/>
          <w:sz w:val="28"/>
          <w:szCs w:val="28"/>
          <w:vertAlign w:val="subscript"/>
        </w:rPr>
        <w:t>3</w:t>
      </w:r>
      <w:r>
        <w:rPr>
          <w:rFonts w:eastAsia="Times New Roman"/>
          <w:sz w:val="21"/>
          <w:szCs w:val="21"/>
        </w:rPr>
        <w:t xml:space="preserve"> receptors particularly in Sertoli cells, which play a critical role in spermatogenesis (Palmero et al., 1989; Rao et al., 2003). Simorangkir et al. (1997) showed an impairment in spermatogenesis in</w:t>
      </w:r>
    </w:p>
    <w:p w:rsidR="00392921" w:rsidRDefault="00392921">
      <w:pPr>
        <w:spacing w:line="10" w:lineRule="exact"/>
        <w:rPr>
          <w:sz w:val="20"/>
          <w:szCs w:val="20"/>
        </w:rPr>
      </w:pPr>
    </w:p>
    <w:p w:rsidR="00392921" w:rsidRDefault="00392921">
      <w:pPr>
        <w:sectPr w:rsidR="00392921">
          <w:type w:val="continuous"/>
          <w:pgSz w:w="11900" w:h="15876"/>
          <w:pgMar w:top="766" w:right="1246" w:bottom="0" w:left="1000" w:header="0" w:footer="0" w:gutter="0"/>
          <w:cols w:num="2" w:space="720" w:equalWidth="0">
            <w:col w:w="4700" w:space="240"/>
            <w:col w:w="4720"/>
          </w:cols>
        </w:sectPr>
      </w:pPr>
    </w:p>
    <w:tbl>
      <w:tblPr>
        <w:tblW w:w="0" w:type="auto"/>
        <w:tblLayout w:type="fixed"/>
        <w:tblCellMar>
          <w:left w:w="0" w:type="dxa"/>
          <w:right w:w="0" w:type="dxa"/>
        </w:tblCellMar>
        <w:tblLook w:val="04A0" w:firstRow="1" w:lastRow="0" w:firstColumn="1" w:lastColumn="0" w:noHBand="0" w:noVBand="1"/>
      </w:tblPr>
      <w:tblGrid>
        <w:gridCol w:w="4820"/>
        <w:gridCol w:w="4840"/>
      </w:tblGrid>
      <w:tr w:rsidR="00392921">
        <w:trPr>
          <w:trHeight w:val="268"/>
        </w:trPr>
        <w:tc>
          <w:tcPr>
            <w:tcW w:w="4820" w:type="dxa"/>
            <w:vAlign w:val="bottom"/>
          </w:tcPr>
          <w:p w:rsidR="00392921" w:rsidRDefault="00DA308A">
            <w:pPr>
              <w:rPr>
                <w:sz w:val="20"/>
                <w:szCs w:val="20"/>
              </w:rPr>
            </w:pPr>
            <w:r>
              <w:rPr>
                <w:rFonts w:eastAsia="Times New Roman"/>
              </w:rPr>
              <w:t>The thyroid hormone is es</w:t>
            </w:r>
            <w:r>
              <w:rPr>
                <w:rFonts w:eastAsia="Times New Roman"/>
              </w:rPr>
              <w:t>sential for the development</w:t>
            </w:r>
          </w:p>
        </w:tc>
        <w:tc>
          <w:tcPr>
            <w:tcW w:w="4840" w:type="dxa"/>
            <w:vAlign w:val="bottom"/>
          </w:tcPr>
          <w:p w:rsidR="00392921" w:rsidRDefault="00DA308A">
            <w:pPr>
              <w:ind w:left="120"/>
              <w:rPr>
                <w:sz w:val="20"/>
                <w:szCs w:val="20"/>
              </w:rPr>
            </w:pPr>
            <w:r>
              <w:rPr>
                <w:rFonts w:eastAsia="Times New Roman"/>
              </w:rPr>
              <w:t>hypothyroid rats. They reported absence of round</w:t>
            </w:r>
          </w:p>
        </w:tc>
      </w:tr>
      <w:tr w:rsidR="00392921">
        <w:trPr>
          <w:trHeight w:val="260"/>
        </w:trPr>
        <w:tc>
          <w:tcPr>
            <w:tcW w:w="4820" w:type="dxa"/>
            <w:vAlign w:val="bottom"/>
          </w:tcPr>
          <w:p w:rsidR="00392921" w:rsidRDefault="00DA308A">
            <w:pPr>
              <w:rPr>
                <w:sz w:val="20"/>
                <w:szCs w:val="20"/>
              </w:rPr>
            </w:pPr>
            <w:r>
              <w:rPr>
                <w:rFonts w:eastAsia="Times New Roman"/>
              </w:rPr>
              <w:t>and maintenance of the testes. The thyroid hormone</w:t>
            </w:r>
          </w:p>
        </w:tc>
        <w:tc>
          <w:tcPr>
            <w:tcW w:w="4840" w:type="dxa"/>
            <w:vAlign w:val="bottom"/>
          </w:tcPr>
          <w:p w:rsidR="00392921" w:rsidRDefault="00DA308A">
            <w:pPr>
              <w:spacing w:line="245" w:lineRule="exact"/>
              <w:ind w:left="120"/>
              <w:rPr>
                <w:sz w:val="20"/>
                <w:szCs w:val="20"/>
              </w:rPr>
            </w:pPr>
            <w:r>
              <w:rPr>
                <w:rFonts w:eastAsia="Times New Roman"/>
              </w:rPr>
              <w:t>spermatids in the 30-day hypothyroid testis and the</w:t>
            </w:r>
          </w:p>
        </w:tc>
      </w:tr>
      <w:tr w:rsidR="00392921">
        <w:trPr>
          <w:trHeight w:val="259"/>
        </w:trPr>
        <w:tc>
          <w:tcPr>
            <w:tcW w:w="4820" w:type="dxa"/>
            <w:vAlign w:val="bottom"/>
          </w:tcPr>
          <w:p w:rsidR="00392921" w:rsidRDefault="00DA308A">
            <w:pPr>
              <w:rPr>
                <w:sz w:val="20"/>
                <w:szCs w:val="20"/>
              </w:rPr>
            </w:pPr>
            <w:r>
              <w:rPr>
                <w:rFonts w:eastAsia="Times New Roman"/>
              </w:rPr>
              <w:t>has few serious effects on the testes except during the</w:t>
            </w:r>
          </w:p>
        </w:tc>
        <w:tc>
          <w:tcPr>
            <w:tcW w:w="4840" w:type="dxa"/>
            <w:vAlign w:val="bottom"/>
          </w:tcPr>
          <w:p w:rsidR="00392921" w:rsidRDefault="00DA308A">
            <w:pPr>
              <w:spacing w:line="244" w:lineRule="exact"/>
              <w:ind w:left="120"/>
              <w:rPr>
                <w:sz w:val="20"/>
                <w:szCs w:val="20"/>
              </w:rPr>
            </w:pPr>
            <w:r>
              <w:rPr>
                <w:rFonts w:eastAsia="Times New Roman"/>
                <w:w w:val="98"/>
              </w:rPr>
              <w:t xml:space="preserve">inability of </w:t>
            </w:r>
            <w:r>
              <w:rPr>
                <w:rFonts w:eastAsia="Times New Roman"/>
                <w:w w:val="98"/>
              </w:rPr>
              <w:t>the spermatogenic cells to complete meio-</w:t>
            </w:r>
          </w:p>
        </w:tc>
      </w:tr>
      <w:tr w:rsidR="00392921">
        <w:trPr>
          <w:trHeight w:val="260"/>
        </w:trPr>
        <w:tc>
          <w:tcPr>
            <w:tcW w:w="4820" w:type="dxa"/>
            <w:vAlign w:val="bottom"/>
          </w:tcPr>
          <w:p w:rsidR="00392921" w:rsidRDefault="00DA308A">
            <w:pPr>
              <w:rPr>
                <w:sz w:val="20"/>
                <w:szCs w:val="20"/>
              </w:rPr>
            </w:pPr>
            <w:r>
              <w:rPr>
                <w:rFonts w:eastAsia="Times New Roman"/>
              </w:rPr>
              <w:t>neonatal stage when the thyroid hormone receptor is</w:t>
            </w:r>
          </w:p>
        </w:tc>
        <w:tc>
          <w:tcPr>
            <w:tcW w:w="4840" w:type="dxa"/>
            <w:vAlign w:val="bottom"/>
          </w:tcPr>
          <w:p w:rsidR="00392921" w:rsidRDefault="00DA308A">
            <w:pPr>
              <w:spacing w:line="245" w:lineRule="exact"/>
              <w:ind w:left="120"/>
              <w:rPr>
                <w:sz w:val="20"/>
                <w:szCs w:val="20"/>
              </w:rPr>
            </w:pPr>
            <w:r>
              <w:rPr>
                <w:rFonts w:eastAsia="Times New Roman"/>
              </w:rPr>
              <w:t>sis. Decrease in seminiferous lumen diameter is con-</w:t>
            </w:r>
          </w:p>
        </w:tc>
      </w:tr>
      <w:tr w:rsidR="00392921">
        <w:trPr>
          <w:trHeight w:val="259"/>
        </w:trPr>
        <w:tc>
          <w:tcPr>
            <w:tcW w:w="4820" w:type="dxa"/>
            <w:vAlign w:val="bottom"/>
          </w:tcPr>
          <w:p w:rsidR="00392921" w:rsidRDefault="00DA308A">
            <w:pPr>
              <w:rPr>
                <w:sz w:val="20"/>
                <w:szCs w:val="20"/>
              </w:rPr>
            </w:pPr>
            <w:r>
              <w:rPr>
                <w:rFonts w:eastAsia="Times New Roman"/>
              </w:rPr>
              <w:t>mainly present. Any deficiency of thyroid hormone</w:t>
            </w:r>
          </w:p>
        </w:tc>
        <w:tc>
          <w:tcPr>
            <w:tcW w:w="4840" w:type="dxa"/>
            <w:vAlign w:val="bottom"/>
          </w:tcPr>
          <w:p w:rsidR="00392921" w:rsidRDefault="00DA308A">
            <w:pPr>
              <w:spacing w:line="244" w:lineRule="exact"/>
              <w:ind w:left="120"/>
              <w:rPr>
                <w:sz w:val="20"/>
                <w:szCs w:val="20"/>
              </w:rPr>
            </w:pPr>
            <w:r>
              <w:rPr>
                <w:rFonts w:eastAsia="Times New Roman"/>
              </w:rPr>
              <w:t xml:space="preserve">sistent with the increase in Sertoli cell and germ </w:t>
            </w:r>
            <w:r>
              <w:rPr>
                <w:rFonts w:eastAsia="Times New Roman"/>
              </w:rPr>
              <w:t>cell</w:t>
            </w:r>
          </w:p>
        </w:tc>
      </w:tr>
      <w:tr w:rsidR="00392921">
        <w:trPr>
          <w:trHeight w:val="259"/>
        </w:trPr>
        <w:tc>
          <w:tcPr>
            <w:tcW w:w="4820" w:type="dxa"/>
            <w:vAlign w:val="bottom"/>
          </w:tcPr>
          <w:p w:rsidR="00392921" w:rsidRDefault="00DA308A">
            <w:pPr>
              <w:rPr>
                <w:sz w:val="20"/>
                <w:szCs w:val="20"/>
              </w:rPr>
            </w:pPr>
            <w:r>
              <w:rPr>
                <w:rFonts w:eastAsia="Times New Roman"/>
              </w:rPr>
              <w:t>during early developmental stage affects testicular</w:t>
            </w:r>
          </w:p>
        </w:tc>
        <w:tc>
          <w:tcPr>
            <w:tcW w:w="4840" w:type="dxa"/>
            <w:vAlign w:val="bottom"/>
          </w:tcPr>
          <w:p w:rsidR="00392921" w:rsidRDefault="00DA308A">
            <w:pPr>
              <w:spacing w:line="244" w:lineRule="exact"/>
              <w:ind w:left="120"/>
              <w:rPr>
                <w:sz w:val="20"/>
                <w:szCs w:val="20"/>
              </w:rPr>
            </w:pPr>
            <w:r>
              <w:rPr>
                <w:rFonts w:eastAsia="Times New Roman"/>
              </w:rPr>
              <w:t>numbers in the testes after treatment with folic acid.</w:t>
            </w:r>
          </w:p>
        </w:tc>
      </w:tr>
      <w:tr w:rsidR="00392921">
        <w:trPr>
          <w:trHeight w:val="260"/>
        </w:trPr>
        <w:tc>
          <w:tcPr>
            <w:tcW w:w="4820" w:type="dxa"/>
            <w:vAlign w:val="bottom"/>
          </w:tcPr>
          <w:p w:rsidR="00392921" w:rsidRDefault="00DA308A">
            <w:pPr>
              <w:rPr>
                <w:sz w:val="20"/>
                <w:szCs w:val="20"/>
              </w:rPr>
            </w:pPr>
            <w:r>
              <w:rPr>
                <w:rFonts w:eastAsia="Times New Roman"/>
              </w:rPr>
              <w:t>maturation and reproduction later in life. Induction</w:t>
            </w:r>
          </w:p>
        </w:tc>
        <w:tc>
          <w:tcPr>
            <w:tcW w:w="4840" w:type="dxa"/>
            <w:vAlign w:val="bottom"/>
          </w:tcPr>
          <w:p w:rsidR="00392921" w:rsidRDefault="00DA308A">
            <w:pPr>
              <w:spacing w:line="245" w:lineRule="exact"/>
              <w:ind w:left="120"/>
              <w:rPr>
                <w:sz w:val="20"/>
                <w:szCs w:val="20"/>
              </w:rPr>
            </w:pPr>
            <w:r>
              <w:rPr>
                <w:rFonts w:eastAsia="Times New Roman"/>
              </w:rPr>
              <w:t>Treatment of hypothyroid rats with folic acid signifi-</w:t>
            </w:r>
          </w:p>
        </w:tc>
      </w:tr>
      <w:tr w:rsidR="00392921">
        <w:trPr>
          <w:trHeight w:val="259"/>
        </w:trPr>
        <w:tc>
          <w:tcPr>
            <w:tcW w:w="4820" w:type="dxa"/>
            <w:vAlign w:val="bottom"/>
          </w:tcPr>
          <w:p w:rsidR="00392921" w:rsidRDefault="00DA308A">
            <w:pPr>
              <w:rPr>
                <w:sz w:val="20"/>
                <w:szCs w:val="20"/>
              </w:rPr>
            </w:pPr>
            <w:r>
              <w:rPr>
                <w:rFonts w:eastAsia="Times New Roman"/>
              </w:rPr>
              <w:t>of hypothyroidism in the PTU-trea</w:t>
            </w:r>
            <w:r>
              <w:rPr>
                <w:rFonts w:eastAsia="Times New Roman"/>
              </w:rPr>
              <w:t>ted group was con-</w:t>
            </w:r>
          </w:p>
        </w:tc>
        <w:tc>
          <w:tcPr>
            <w:tcW w:w="4840" w:type="dxa"/>
            <w:vAlign w:val="bottom"/>
          </w:tcPr>
          <w:p w:rsidR="00392921" w:rsidRDefault="00DA308A">
            <w:pPr>
              <w:spacing w:line="244" w:lineRule="exact"/>
              <w:ind w:left="120"/>
              <w:rPr>
                <w:sz w:val="20"/>
                <w:szCs w:val="20"/>
              </w:rPr>
            </w:pPr>
            <w:r>
              <w:rPr>
                <w:rFonts w:eastAsia="Times New Roman"/>
              </w:rPr>
              <w:t>cantly increased the sperm count as compared with</w:t>
            </w:r>
          </w:p>
        </w:tc>
      </w:tr>
      <w:tr w:rsidR="00392921">
        <w:trPr>
          <w:trHeight w:val="288"/>
        </w:trPr>
        <w:tc>
          <w:tcPr>
            <w:tcW w:w="4820" w:type="dxa"/>
            <w:vAlign w:val="bottom"/>
          </w:tcPr>
          <w:p w:rsidR="00392921" w:rsidRDefault="00DA308A">
            <w:pPr>
              <w:spacing w:line="288" w:lineRule="exact"/>
              <w:rPr>
                <w:sz w:val="20"/>
                <w:szCs w:val="20"/>
              </w:rPr>
            </w:pPr>
            <w:r>
              <w:rPr>
                <w:rFonts w:eastAsia="Times New Roman"/>
              </w:rPr>
              <w:t>firmed by the reduction of serum T</w:t>
            </w:r>
            <w:r>
              <w:rPr>
                <w:rFonts w:eastAsia="Times New Roman"/>
                <w:sz w:val="29"/>
                <w:szCs w:val="29"/>
                <w:vertAlign w:val="subscript"/>
              </w:rPr>
              <w:t>3</w:t>
            </w:r>
            <w:r>
              <w:rPr>
                <w:rFonts w:eastAsia="Times New Roman"/>
              </w:rPr>
              <w:t xml:space="preserve"> concentration in</w:t>
            </w:r>
          </w:p>
        </w:tc>
        <w:tc>
          <w:tcPr>
            <w:tcW w:w="4840" w:type="dxa"/>
            <w:vAlign w:val="bottom"/>
          </w:tcPr>
          <w:p w:rsidR="00392921" w:rsidRDefault="00DA308A">
            <w:pPr>
              <w:spacing w:line="245" w:lineRule="exact"/>
              <w:ind w:left="120"/>
              <w:rPr>
                <w:sz w:val="20"/>
                <w:szCs w:val="20"/>
              </w:rPr>
            </w:pPr>
            <w:r>
              <w:rPr>
                <w:rFonts w:eastAsia="Times New Roman"/>
                <w:w w:val="98"/>
              </w:rPr>
              <w:t>hypothyroid rats. However, significant decrease in the</w:t>
            </w:r>
          </w:p>
        </w:tc>
      </w:tr>
      <w:tr w:rsidR="00392921">
        <w:trPr>
          <w:trHeight w:val="274"/>
        </w:trPr>
        <w:tc>
          <w:tcPr>
            <w:tcW w:w="4820" w:type="dxa"/>
            <w:vAlign w:val="bottom"/>
          </w:tcPr>
          <w:p w:rsidR="00392921" w:rsidRDefault="00DA308A">
            <w:pPr>
              <w:spacing w:line="274" w:lineRule="exact"/>
              <w:rPr>
                <w:sz w:val="20"/>
                <w:szCs w:val="20"/>
              </w:rPr>
            </w:pPr>
            <w:r>
              <w:rPr>
                <w:rFonts w:eastAsia="Times New Roman"/>
                <w:w w:val="98"/>
              </w:rPr>
              <w:t>the present study. The effect of PTU on T</w:t>
            </w:r>
            <w:r>
              <w:rPr>
                <w:rFonts w:eastAsia="Times New Roman"/>
                <w:w w:val="98"/>
                <w:sz w:val="29"/>
                <w:szCs w:val="29"/>
                <w:vertAlign w:val="subscript"/>
              </w:rPr>
              <w:t>3</w:t>
            </w:r>
            <w:r>
              <w:rPr>
                <w:rFonts w:eastAsia="Times New Roman"/>
                <w:w w:val="98"/>
              </w:rPr>
              <w:t xml:space="preserve"> seems to be</w:t>
            </w:r>
          </w:p>
        </w:tc>
        <w:tc>
          <w:tcPr>
            <w:tcW w:w="4840" w:type="dxa"/>
            <w:vAlign w:val="bottom"/>
          </w:tcPr>
          <w:p w:rsidR="00392921" w:rsidRDefault="00DA308A">
            <w:pPr>
              <w:spacing w:line="216" w:lineRule="exact"/>
              <w:ind w:left="120"/>
              <w:rPr>
                <w:sz w:val="20"/>
                <w:szCs w:val="20"/>
              </w:rPr>
            </w:pPr>
            <w:r>
              <w:rPr>
                <w:rFonts w:eastAsia="Times New Roman"/>
                <w:w w:val="98"/>
              </w:rPr>
              <w:t xml:space="preserve">percentage of live </w:t>
            </w:r>
            <w:r>
              <w:rPr>
                <w:rFonts w:eastAsia="Times New Roman"/>
                <w:w w:val="98"/>
              </w:rPr>
              <w:t>sperms in both transient and persis-</w:t>
            </w:r>
          </w:p>
        </w:tc>
      </w:tr>
      <w:tr w:rsidR="00392921">
        <w:trPr>
          <w:trHeight w:val="216"/>
        </w:trPr>
        <w:tc>
          <w:tcPr>
            <w:tcW w:w="4820" w:type="dxa"/>
            <w:vAlign w:val="bottom"/>
          </w:tcPr>
          <w:p w:rsidR="00392921" w:rsidRDefault="00DA308A">
            <w:pPr>
              <w:spacing w:line="217" w:lineRule="exact"/>
              <w:rPr>
                <w:sz w:val="20"/>
                <w:szCs w:val="20"/>
              </w:rPr>
            </w:pPr>
            <w:r>
              <w:rPr>
                <w:rFonts w:eastAsia="Times New Roman"/>
              </w:rPr>
              <w:t>reversed in adult rats when the treatment was with-</w:t>
            </w:r>
          </w:p>
        </w:tc>
        <w:tc>
          <w:tcPr>
            <w:tcW w:w="4840" w:type="dxa"/>
            <w:vAlign w:val="bottom"/>
          </w:tcPr>
          <w:p w:rsidR="00392921" w:rsidRDefault="00DA308A">
            <w:pPr>
              <w:spacing w:line="202" w:lineRule="exact"/>
              <w:ind w:left="120"/>
              <w:rPr>
                <w:sz w:val="20"/>
                <w:szCs w:val="20"/>
              </w:rPr>
            </w:pPr>
            <w:r>
              <w:rPr>
                <w:rFonts w:eastAsia="Times New Roman"/>
              </w:rPr>
              <w:t>tent hypothyroid rats indicate the damaging effect of</w:t>
            </w:r>
          </w:p>
        </w:tc>
      </w:tr>
      <w:tr w:rsidR="00392921">
        <w:trPr>
          <w:trHeight w:val="288"/>
        </w:trPr>
        <w:tc>
          <w:tcPr>
            <w:tcW w:w="4820" w:type="dxa"/>
            <w:vAlign w:val="bottom"/>
          </w:tcPr>
          <w:p w:rsidR="00392921" w:rsidRDefault="00DA308A">
            <w:pPr>
              <w:spacing w:line="288" w:lineRule="exact"/>
              <w:rPr>
                <w:sz w:val="20"/>
                <w:szCs w:val="20"/>
              </w:rPr>
            </w:pPr>
            <w:r>
              <w:rPr>
                <w:rFonts w:eastAsia="Times New Roman"/>
              </w:rPr>
              <w:t>drawn after 30 days as the levels of the T</w:t>
            </w:r>
            <w:r>
              <w:rPr>
                <w:rFonts w:eastAsia="Times New Roman"/>
                <w:sz w:val="29"/>
                <w:szCs w:val="29"/>
                <w:vertAlign w:val="subscript"/>
              </w:rPr>
              <w:t>3</w:t>
            </w:r>
            <w:r>
              <w:rPr>
                <w:rFonts w:eastAsia="Times New Roman"/>
              </w:rPr>
              <w:t xml:space="preserve"> and TSH</w:t>
            </w:r>
          </w:p>
        </w:tc>
        <w:tc>
          <w:tcPr>
            <w:tcW w:w="4840" w:type="dxa"/>
            <w:vAlign w:val="bottom"/>
          </w:tcPr>
          <w:p w:rsidR="00392921" w:rsidRDefault="00DA308A">
            <w:pPr>
              <w:spacing w:line="244" w:lineRule="exact"/>
              <w:ind w:left="120"/>
              <w:rPr>
                <w:sz w:val="20"/>
                <w:szCs w:val="20"/>
              </w:rPr>
            </w:pPr>
            <w:r>
              <w:rPr>
                <w:rFonts w:eastAsia="Times New Roman"/>
                <w:w w:val="97"/>
              </w:rPr>
              <w:t>PTU on normal spermatogenesis, which is further con-</w:t>
            </w:r>
          </w:p>
        </w:tc>
      </w:tr>
      <w:tr w:rsidR="00392921">
        <w:trPr>
          <w:trHeight w:val="230"/>
        </w:trPr>
        <w:tc>
          <w:tcPr>
            <w:tcW w:w="4820" w:type="dxa"/>
            <w:vAlign w:val="bottom"/>
          </w:tcPr>
          <w:p w:rsidR="00392921" w:rsidRDefault="00DA308A">
            <w:pPr>
              <w:spacing w:line="230" w:lineRule="exact"/>
              <w:rPr>
                <w:sz w:val="20"/>
                <w:szCs w:val="20"/>
              </w:rPr>
            </w:pPr>
            <w:r>
              <w:rPr>
                <w:rFonts w:eastAsia="Times New Roman"/>
              </w:rPr>
              <w:t>tend to be nearing the normal levels. Our results indi-</w:t>
            </w:r>
          </w:p>
        </w:tc>
        <w:tc>
          <w:tcPr>
            <w:tcW w:w="4840" w:type="dxa"/>
            <w:vAlign w:val="bottom"/>
          </w:tcPr>
          <w:p w:rsidR="00392921" w:rsidRDefault="00DA308A">
            <w:pPr>
              <w:spacing w:line="216" w:lineRule="exact"/>
              <w:ind w:left="120"/>
              <w:rPr>
                <w:sz w:val="20"/>
                <w:szCs w:val="20"/>
              </w:rPr>
            </w:pPr>
            <w:r>
              <w:rPr>
                <w:rFonts w:eastAsia="Times New Roman"/>
              </w:rPr>
              <w:t>firmed by the accompanying low serum testosterone</w:t>
            </w:r>
          </w:p>
        </w:tc>
      </w:tr>
      <w:tr w:rsidR="00392921">
        <w:trPr>
          <w:trHeight w:val="259"/>
        </w:trPr>
        <w:tc>
          <w:tcPr>
            <w:tcW w:w="4820" w:type="dxa"/>
            <w:vAlign w:val="bottom"/>
          </w:tcPr>
          <w:p w:rsidR="00392921" w:rsidRDefault="00DA308A">
            <w:pPr>
              <w:rPr>
                <w:sz w:val="20"/>
                <w:szCs w:val="20"/>
              </w:rPr>
            </w:pPr>
            <w:r>
              <w:rPr>
                <w:rFonts w:eastAsia="Times New Roman"/>
              </w:rPr>
              <w:t>cate that hypothyroidism adversely affects spermato-</w:t>
            </w:r>
          </w:p>
        </w:tc>
        <w:tc>
          <w:tcPr>
            <w:tcW w:w="4840" w:type="dxa"/>
            <w:vAlign w:val="bottom"/>
          </w:tcPr>
          <w:p w:rsidR="00392921" w:rsidRDefault="00DA308A">
            <w:pPr>
              <w:spacing w:line="244" w:lineRule="exact"/>
              <w:ind w:left="120"/>
              <w:rPr>
                <w:sz w:val="20"/>
                <w:szCs w:val="20"/>
              </w:rPr>
            </w:pPr>
            <w:r>
              <w:rPr>
                <w:rFonts w:eastAsia="Times New Roman"/>
              </w:rPr>
              <w:t>levels in the hypothyroid group.</w:t>
            </w:r>
          </w:p>
        </w:tc>
      </w:tr>
      <w:tr w:rsidR="00392921">
        <w:trPr>
          <w:trHeight w:val="259"/>
        </w:trPr>
        <w:tc>
          <w:tcPr>
            <w:tcW w:w="4820" w:type="dxa"/>
            <w:vAlign w:val="bottom"/>
          </w:tcPr>
          <w:p w:rsidR="00392921" w:rsidRDefault="00DA308A">
            <w:pPr>
              <w:rPr>
                <w:sz w:val="20"/>
                <w:szCs w:val="20"/>
              </w:rPr>
            </w:pPr>
            <w:r>
              <w:rPr>
                <w:rFonts w:eastAsia="Times New Roman"/>
              </w:rPr>
              <w:t>genesis, suggesting that thyroid hormone might play</w:t>
            </w:r>
          </w:p>
        </w:tc>
        <w:tc>
          <w:tcPr>
            <w:tcW w:w="4840" w:type="dxa"/>
            <w:vAlign w:val="bottom"/>
          </w:tcPr>
          <w:p w:rsidR="00392921" w:rsidRDefault="00DA308A">
            <w:pPr>
              <w:spacing w:line="245" w:lineRule="exact"/>
              <w:ind w:left="360"/>
              <w:rPr>
                <w:sz w:val="20"/>
                <w:szCs w:val="20"/>
              </w:rPr>
            </w:pPr>
            <w:r>
              <w:rPr>
                <w:rFonts w:eastAsia="Times New Roman"/>
              </w:rPr>
              <w:t>During  normal  spermatogenesis  controlled  cell</w:t>
            </w:r>
          </w:p>
        </w:tc>
      </w:tr>
      <w:tr w:rsidR="00392921">
        <w:trPr>
          <w:trHeight w:val="260"/>
        </w:trPr>
        <w:tc>
          <w:tcPr>
            <w:tcW w:w="4820" w:type="dxa"/>
            <w:vAlign w:val="bottom"/>
          </w:tcPr>
          <w:p w:rsidR="00392921" w:rsidRDefault="00DA308A">
            <w:pPr>
              <w:rPr>
                <w:sz w:val="20"/>
                <w:szCs w:val="20"/>
              </w:rPr>
            </w:pPr>
            <w:r>
              <w:rPr>
                <w:rFonts w:eastAsia="Times New Roman"/>
              </w:rPr>
              <w:t>an important role not only in controlling normal testi-</w:t>
            </w:r>
          </w:p>
        </w:tc>
        <w:tc>
          <w:tcPr>
            <w:tcW w:w="4840" w:type="dxa"/>
            <w:vAlign w:val="bottom"/>
          </w:tcPr>
          <w:p w:rsidR="00392921" w:rsidRDefault="00DA308A">
            <w:pPr>
              <w:spacing w:line="245" w:lineRule="exact"/>
              <w:ind w:left="120"/>
              <w:rPr>
                <w:sz w:val="20"/>
                <w:szCs w:val="20"/>
              </w:rPr>
            </w:pPr>
            <w:r>
              <w:rPr>
                <w:rFonts w:eastAsia="Times New Roman"/>
              </w:rPr>
              <w:t>proliferation is of fundamental importance, assuming</w:t>
            </w:r>
          </w:p>
        </w:tc>
      </w:tr>
      <w:tr w:rsidR="00392921">
        <w:trPr>
          <w:trHeight w:val="259"/>
        </w:trPr>
        <w:tc>
          <w:tcPr>
            <w:tcW w:w="4820" w:type="dxa"/>
            <w:vAlign w:val="bottom"/>
          </w:tcPr>
          <w:p w:rsidR="00392921" w:rsidRDefault="00DA308A">
            <w:pPr>
              <w:rPr>
                <w:sz w:val="20"/>
                <w:szCs w:val="20"/>
              </w:rPr>
            </w:pPr>
            <w:r>
              <w:rPr>
                <w:rFonts w:eastAsia="Times New Roman"/>
              </w:rPr>
              <w:t>cular development but also in maintaining normal tes-</w:t>
            </w:r>
          </w:p>
        </w:tc>
        <w:tc>
          <w:tcPr>
            <w:tcW w:w="4840" w:type="dxa"/>
            <w:vAlign w:val="bottom"/>
          </w:tcPr>
          <w:p w:rsidR="00392921" w:rsidRDefault="00DA308A">
            <w:pPr>
              <w:spacing w:line="244" w:lineRule="exact"/>
              <w:ind w:left="120"/>
              <w:rPr>
                <w:sz w:val="20"/>
                <w:szCs w:val="20"/>
              </w:rPr>
            </w:pPr>
            <w:r>
              <w:rPr>
                <w:rFonts w:eastAsia="Times New Roman"/>
              </w:rPr>
              <w:t>highly coordinated mechanisms between the</w:t>
            </w:r>
            <w:r>
              <w:rPr>
                <w:rFonts w:eastAsia="Times New Roman"/>
              </w:rPr>
              <w:t xml:space="preserve"> mito-</w:t>
            </w:r>
          </w:p>
        </w:tc>
      </w:tr>
      <w:tr w:rsidR="00392921">
        <w:trPr>
          <w:trHeight w:val="260"/>
        </w:trPr>
        <w:tc>
          <w:tcPr>
            <w:tcW w:w="4820" w:type="dxa"/>
            <w:vAlign w:val="bottom"/>
          </w:tcPr>
          <w:p w:rsidR="00392921" w:rsidRDefault="00DA308A">
            <w:pPr>
              <w:rPr>
                <w:sz w:val="20"/>
                <w:szCs w:val="20"/>
              </w:rPr>
            </w:pPr>
            <w:r>
              <w:rPr>
                <w:rFonts w:eastAsia="Times New Roman"/>
              </w:rPr>
              <w:t>ticular   function   and   spermatogenesis.   Also,</w:t>
            </w:r>
          </w:p>
        </w:tc>
        <w:tc>
          <w:tcPr>
            <w:tcW w:w="4840" w:type="dxa"/>
            <w:vAlign w:val="bottom"/>
          </w:tcPr>
          <w:p w:rsidR="00392921" w:rsidRDefault="00DA308A">
            <w:pPr>
              <w:spacing w:line="245" w:lineRule="exact"/>
              <w:ind w:left="120"/>
              <w:rPr>
                <w:sz w:val="20"/>
                <w:szCs w:val="20"/>
              </w:rPr>
            </w:pPr>
            <w:r>
              <w:rPr>
                <w:rFonts w:eastAsia="Times New Roman"/>
              </w:rPr>
              <w:t>tically  inactive  Sertoli  cells  and  the  germ  cells</w:t>
            </w:r>
          </w:p>
        </w:tc>
      </w:tr>
      <w:tr w:rsidR="00392921">
        <w:trPr>
          <w:trHeight w:val="259"/>
        </w:trPr>
        <w:tc>
          <w:tcPr>
            <w:tcW w:w="4820" w:type="dxa"/>
            <w:vAlign w:val="bottom"/>
          </w:tcPr>
          <w:p w:rsidR="00392921" w:rsidRDefault="00DA308A">
            <w:pPr>
              <w:rPr>
                <w:sz w:val="20"/>
                <w:szCs w:val="20"/>
              </w:rPr>
            </w:pPr>
            <w:r>
              <w:rPr>
                <w:rFonts w:eastAsia="Times New Roman"/>
              </w:rPr>
              <w:t>hypothyroidism in rat testes showed marked morpho-</w:t>
            </w:r>
          </w:p>
        </w:tc>
        <w:tc>
          <w:tcPr>
            <w:tcW w:w="4840" w:type="dxa"/>
            <w:vAlign w:val="bottom"/>
          </w:tcPr>
          <w:p w:rsidR="00392921" w:rsidRDefault="00DA308A">
            <w:pPr>
              <w:spacing w:line="244" w:lineRule="exact"/>
              <w:ind w:left="120"/>
              <w:rPr>
                <w:sz w:val="20"/>
                <w:szCs w:val="20"/>
              </w:rPr>
            </w:pPr>
            <w:r>
              <w:rPr>
                <w:rFonts w:eastAsia="Times New Roman"/>
              </w:rPr>
              <w:t>undergoing mitosis and meiosis. Efficiency of sper-</w:t>
            </w:r>
          </w:p>
        </w:tc>
      </w:tr>
      <w:tr w:rsidR="00392921">
        <w:trPr>
          <w:trHeight w:val="260"/>
        </w:trPr>
        <w:tc>
          <w:tcPr>
            <w:tcW w:w="4820" w:type="dxa"/>
            <w:vAlign w:val="bottom"/>
          </w:tcPr>
          <w:p w:rsidR="00392921" w:rsidRDefault="00DA308A">
            <w:pPr>
              <w:rPr>
                <w:sz w:val="20"/>
                <w:szCs w:val="20"/>
              </w:rPr>
            </w:pPr>
            <w:r>
              <w:rPr>
                <w:rFonts w:eastAsia="Times New Roman"/>
              </w:rPr>
              <w:t xml:space="preserve">logical changes in the </w:t>
            </w:r>
            <w:r>
              <w:rPr>
                <w:rFonts w:eastAsia="Times New Roman"/>
              </w:rPr>
              <w:t>seminiferous tubules such as</w:t>
            </w:r>
          </w:p>
        </w:tc>
        <w:tc>
          <w:tcPr>
            <w:tcW w:w="4840" w:type="dxa"/>
            <w:vAlign w:val="bottom"/>
          </w:tcPr>
          <w:p w:rsidR="00392921" w:rsidRDefault="00DA308A">
            <w:pPr>
              <w:spacing w:line="245" w:lineRule="exact"/>
              <w:ind w:left="120"/>
              <w:rPr>
                <w:sz w:val="20"/>
                <w:szCs w:val="20"/>
              </w:rPr>
            </w:pPr>
            <w:r>
              <w:rPr>
                <w:rFonts w:eastAsia="Times New Roman"/>
              </w:rPr>
              <w:t>matogenesis depends on the proliferative activity of</w:t>
            </w:r>
          </w:p>
        </w:tc>
      </w:tr>
      <w:tr w:rsidR="00392921">
        <w:trPr>
          <w:trHeight w:val="259"/>
        </w:trPr>
        <w:tc>
          <w:tcPr>
            <w:tcW w:w="4820" w:type="dxa"/>
            <w:vAlign w:val="bottom"/>
          </w:tcPr>
          <w:p w:rsidR="00392921" w:rsidRDefault="00DA308A">
            <w:pPr>
              <w:rPr>
                <w:sz w:val="20"/>
                <w:szCs w:val="20"/>
              </w:rPr>
            </w:pPr>
            <w:r>
              <w:rPr>
                <w:rFonts w:eastAsia="Times New Roman"/>
              </w:rPr>
              <w:t>thickened in basement membrane together with focal</w:t>
            </w:r>
          </w:p>
        </w:tc>
        <w:tc>
          <w:tcPr>
            <w:tcW w:w="4840" w:type="dxa"/>
            <w:vAlign w:val="bottom"/>
          </w:tcPr>
          <w:p w:rsidR="00392921" w:rsidRDefault="00DA308A">
            <w:pPr>
              <w:spacing w:line="244" w:lineRule="exact"/>
              <w:ind w:left="120"/>
              <w:rPr>
                <w:sz w:val="20"/>
                <w:szCs w:val="20"/>
              </w:rPr>
            </w:pPr>
            <w:r>
              <w:rPr>
                <w:rFonts w:eastAsia="Times New Roman"/>
                <w:w w:val="98"/>
              </w:rPr>
              <w:t>spermatogonia and the loss of germ cells during meio-</w:t>
            </w:r>
          </w:p>
        </w:tc>
      </w:tr>
      <w:tr w:rsidR="00392921">
        <w:trPr>
          <w:trHeight w:val="260"/>
        </w:trPr>
        <w:tc>
          <w:tcPr>
            <w:tcW w:w="4820" w:type="dxa"/>
            <w:vAlign w:val="bottom"/>
          </w:tcPr>
          <w:p w:rsidR="00392921" w:rsidRDefault="00DA308A">
            <w:pPr>
              <w:rPr>
                <w:sz w:val="20"/>
                <w:szCs w:val="20"/>
              </w:rPr>
            </w:pPr>
            <w:r>
              <w:rPr>
                <w:rFonts w:eastAsia="Times New Roman"/>
              </w:rPr>
              <w:t>areas of vacuolar degenerative changes appeared in</w:t>
            </w:r>
          </w:p>
        </w:tc>
        <w:tc>
          <w:tcPr>
            <w:tcW w:w="4840" w:type="dxa"/>
            <w:vAlign w:val="bottom"/>
          </w:tcPr>
          <w:p w:rsidR="00392921" w:rsidRDefault="00DA308A">
            <w:pPr>
              <w:spacing w:line="245" w:lineRule="exact"/>
              <w:ind w:left="120"/>
              <w:rPr>
                <w:sz w:val="20"/>
                <w:szCs w:val="20"/>
              </w:rPr>
            </w:pPr>
            <w:r>
              <w:rPr>
                <w:rFonts w:eastAsia="Times New Roman"/>
              </w:rPr>
              <w:t xml:space="preserve">sis and </w:t>
            </w:r>
            <w:r>
              <w:rPr>
                <w:rFonts w:eastAsia="Times New Roman"/>
              </w:rPr>
              <w:t>spermatogenesis. Van Haaster et al. (1992)</w:t>
            </w:r>
          </w:p>
        </w:tc>
      </w:tr>
      <w:tr w:rsidR="00392921">
        <w:trPr>
          <w:trHeight w:val="259"/>
        </w:trPr>
        <w:tc>
          <w:tcPr>
            <w:tcW w:w="4820" w:type="dxa"/>
            <w:vAlign w:val="bottom"/>
          </w:tcPr>
          <w:p w:rsidR="00392921" w:rsidRDefault="00DA308A">
            <w:pPr>
              <w:rPr>
                <w:sz w:val="20"/>
                <w:szCs w:val="20"/>
              </w:rPr>
            </w:pPr>
            <w:r>
              <w:rPr>
                <w:rFonts w:eastAsia="Times New Roman"/>
              </w:rPr>
              <w:t>the cytoplasm of the spermatogenic epithelium and</w:t>
            </w:r>
          </w:p>
        </w:tc>
        <w:tc>
          <w:tcPr>
            <w:tcW w:w="4840" w:type="dxa"/>
            <w:vAlign w:val="bottom"/>
          </w:tcPr>
          <w:p w:rsidR="00392921" w:rsidRDefault="00DA308A">
            <w:pPr>
              <w:spacing w:line="244" w:lineRule="exact"/>
              <w:ind w:left="120"/>
              <w:rPr>
                <w:sz w:val="20"/>
                <w:szCs w:val="20"/>
              </w:rPr>
            </w:pPr>
            <w:r>
              <w:rPr>
                <w:rFonts w:eastAsia="Times New Roman"/>
              </w:rPr>
              <w:t>and Holsberger and Cooke (2005) reported that neo-</w:t>
            </w:r>
          </w:p>
        </w:tc>
      </w:tr>
      <w:tr w:rsidR="00392921">
        <w:trPr>
          <w:trHeight w:val="260"/>
        </w:trPr>
        <w:tc>
          <w:tcPr>
            <w:tcW w:w="4820" w:type="dxa"/>
            <w:vAlign w:val="bottom"/>
          </w:tcPr>
          <w:p w:rsidR="00392921" w:rsidRDefault="00DA308A">
            <w:pPr>
              <w:rPr>
                <w:sz w:val="20"/>
                <w:szCs w:val="20"/>
              </w:rPr>
            </w:pPr>
            <w:r>
              <w:rPr>
                <w:rFonts w:eastAsia="Times New Roman"/>
              </w:rPr>
              <w:t>in the Sertoli cells, degeneration of germinal epithe-</w:t>
            </w:r>
          </w:p>
        </w:tc>
        <w:tc>
          <w:tcPr>
            <w:tcW w:w="4840" w:type="dxa"/>
            <w:vAlign w:val="bottom"/>
          </w:tcPr>
          <w:p w:rsidR="00392921" w:rsidRDefault="00DA308A">
            <w:pPr>
              <w:spacing w:line="245" w:lineRule="exact"/>
              <w:ind w:left="120"/>
              <w:rPr>
                <w:sz w:val="20"/>
                <w:szCs w:val="20"/>
              </w:rPr>
            </w:pPr>
            <w:r>
              <w:rPr>
                <w:rFonts w:eastAsia="Times New Roman"/>
                <w:w w:val="99"/>
              </w:rPr>
              <w:t xml:space="preserve">natal hypothyroidism might increase adult </w:t>
            </w:r>
            <w:r>
              <w:rPr>
                <w:rFonts w:eastAsia="Times New Roman"/>
                <w:w w:val="99"/>
              </w:rPr>
              <w:t>Sertoli cell</w:t>
            </w:r>
          </w:p>
        </w:tc>
      </w:tr>
      <w:tr w:rsidR="00392921">
        <w:trPr>
          <w:trHeight w:val="259"/>
        </w:trPr>
        <w:tc>
          <w:tcPr>
            <w:tcW w:w="4820" w:type="dxa"/>
            <w:vAlign w:val="bottom"/>
          </w:tcPr>
          <w:p w:rsidR="00392921" w:rsidRDefault="00DA308A">
            <w:pPr>
              <w:rPr>
                <w:sz w:val="20"/>
                <w:szCs w:val="20"/>
              </w:rPr>
            </w:pPr>
            <w:r>
              <w:rPr>
                <w:rFonts w:eastAsia="Times New Roman"/>
              </w:rPr>
              <w:t>lium with abnormal distribution of spermatozoa and</w:t>
            </w:r>
          </w:p>
        </w:tc>
        <w:tc>
          <w:tcPr>
            <w:tcW w:w="4840" w:type="dxa"/>
            <w:vAlign w:val="bottom"/>
          </w:tcPr>
          <w:p w:rsidR="00392921" w:rsidRDefault="00DA308A">
            <w:pPr>
              <w:spacing w:line="244" w:lineRule="exact"/>
              <w:ind w:left="120"/>
              <w:rPr>
                <w:sz w:val="20"/>
                <w:szCs w:val="20"/>
              </w:rPr>
            </w:pPr>
            <w:r>
              <w:rPr>
                <w:rFonts w:eastAsia="Times New Roman"/>
              </w:rPr>
              <w:t>populations by extending Sertoli cell proliferation.</w:t>
            </w:r>
          </w:p>
        </w:tc>
      </w:tr>
      <w:tr w:rsidR="00392921">
        <w:trPr>
          <w:trHeight w:val="259"/>
        </w:trPr>
        <w:tc>
          <w:tcPr>
            <w:tcW w:w="4820" w:type="dxa"/>
            <w:vAlign w:val="bottom"/>
          </w:tcPr>
          <w:p w:rsidR="00392921" w:rsidRDefault="00DA308A">
            <w:pPr>
              <w:rPr>
                <w:sz w:val="20"/>
                <w:szCs w:val="20"/>
              </w:rPr>
            </w:pPr>
            <w:r>
              <w:rPr>
                <w:rFonts w:eastAsia="Times New Roman"/>
              </w:rPr>
              <w:t>sloughing of germ cells into the tubular lumen were</w:t>
            </w:r>
          </w:p>
        </w:tc>
        <w:tc>
          <w:tcPr>
            <w:tcW w:w="4840" w:type="dxa"/>
            <w:vAlign w:val="bottom"/>
          </w:tcPr>
          <w:p w:rsidR="00392921" w:rsidRDefault="00DA308A">
            <w:pPr>
              <w:spacing w:line="244" w:lineRule="exact"/>
              <w:ind w:left="120"/>
              <w:rPr>
                <w:sz w:val="20"/>
                <w:szCs w:val="20"/>
              </w:rPr>
            </w:pPr>
            <w:r>
              <w:rPr>
                <w:rFonts w:eastAsia="Times New Roman"/>
                <w:w w:val="97"/>
              </w:rPr>
              <w:t>Moreover, hypothyroidism is reported to be associated</w:t>
            </w:r>
          </w:p>
        </w:tc>
      </w:tr>
      <w:tr w:rsidR="00392921">
        <w:trPr>
          <w:trHeight w:val="260"/>
        </w:trPr>
        <w:tc>
          <w:tcPr>
            <w:tcW w:w="4820" w:type="dxa"/>
            <w:vAlign w:val="bottom"/>
          </w:tcPr>
          <w:p w:rsidR="00392921" w:rsidRDefault="00DA308A">
            <w:pPr>
              <w:rPr>
                <w:sz w:val="20"/>
                <w:szCs w:val="20"/>
              </w:rPr>
            </w:pPr>
            <w:r>
              <w:rPr>
                <w:rFonts w:eastAsia="Times New Roman"/>
              </w:rPr>
              <w:t>also seen. Accumulation of spe</w:t>
            </w:r>
            <w:r>
              <w:rPr>
                <w:rFonts w:eastAsia="Times New Roman"/>
              </w:rPr>
              <w:t>rmatogenic cells and</w:t>
            </w:r>
          </w:p>
        </w:tc>
        <w:tc>
          <w:tcPr>
            <w:tcW w:w="4840" w:type="dxa"/>
            <w:vAlign w:val="bottom"/>
          </w:tcPr>
          <w:p w:rsidR="00392921" w:rsidRDefault="00DA308A">
            <w:pPr>
              <w:spacing w:line="245" w:lineRule="exact"/>
              <w:ind w:left="120"/>
              <w:rPr>
                <w:sz w:val="20"/>
                <w:szCs w:val="20"/>
              </w:rPr>
            </w:pPr>
            <w:r>
              <w:rPr>
                <w:rFonts w:eastAsia="Times New Roman"/>
              </w:rPr>
              <w:t>with delayed structural and functional maturity of</w:t>
            </w:r>
          </w:p>
        </w:tc>
      </w:tr>
      <w:tr w:rsidR="00392921">
        <w:trPr>
          <w:trHeight w:val="259"/>
        </w:trPr>
        <w:tc>
          <w:tcPr>
            <w:tcW w:w="4820" w:type="dxa"/>
            <w:vAlign w:val="bottom"/>
          </w:tcPr>
          <w:p w:rsidR="00392921" w:rsidRDefault="00DA308A">
            <w:pPr>
              <w:rPr>
                <w:sz w:val="20"/>
                <w:szCs w:val="20"/>
              </w:rPr>
            </w:pPr>
            <w:r>
              <w:rPr>
                <w:rFonts w:eastAsia="Times New Roman"/>
              </w:rPr>
              <w:t>Leydig cells in seminiferous tubules increased in</w:t>
            </w:r>
          </w:p>
        </w:tc>
        <w:tc>
          <w:tcPr>
            <w:tcW w:w="4840" w:type="dxa"/>
            <w:vAlign w:val="bottom"/>
          </w:tcPr>
          <w:p w:rsidR="00392921" w:rsidRDefault="00DA308A">
            <w:pPr>
              <w:spacing w:line="244" w:lineRule="exact"/>
              <w:ind w:left="120"/>
              <w:rPr>
                <w:sz w:val="20"/>
                <w:szCs w:val="20"/>
              </w:rPr>
            </w:pPr>
            <w:r>
              <w:rPr>
                <w:rFonts w:eastAsia="Times New Roman"/>
              </w:rPr>
              <w:t>Sertoli cells in rat testis and may be directly resulting</w:t>
            </w:r>
          </w:p>
        </w:tc>
      </w:tr>
    </w:tbl>
    <w:p w:rsidR="00392921" w:rsidRDefault="00392921">
      <w:pPr>
        <w:spacing w:line="200" w:lineRule="exact"/>
        <w:rPr>
          <w:sz w:val="20"/>
          <w:szCs w:val="20"/>
        </w:rPr>
      </w:pPr>
    </w:p>
    <w:p w:rsidR="00392921" w:rsidRDefault="00392921">
      <w:pPr>
        <w:sectPr w:rsidR="00392921">
          <w:type w:val="continuous"/>
          <w:pgSz w:w="11900" w:h="15876"/>
          <w:pgMar w:top="766" w:right="1246" w:bottom="0" w:left="1000" w:header="0" w:footer="0" w:gutter="0"/>
          <w:cols w:space="720" w:equalWidth="0">
            <w:col w:w="966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95" w:lineRule="exact"/>
        <w:rPr>
          <w:sz w:val="20"/>
          <w:szCs w:val="20"/>
        </w:rPr>
      </w:pPr>
    </w:p>
    <w:p w:rsidR="00392921" w:rsidRDefault="00392921">
      <w:pPr>
        <w:sectPr w:rsidR="00392921">
          <w:type w:val="continuous"/>
          <w:pgSz w:w="11900" w:h="15876"/>
          <w:pgMar w:top="766" w:right="1246" w:bottom="0" w:left="1000" w:header="0" w:footer="0" w:gutter="0"/>
          <w:cols w:space="720" w:equalWidth="0">
            <w:col w:w="9660"/>
          </w:cols>
        </w:sectPr>
      </w:pPr>
    </w:p>
    <w:tbl>
      <w:tblPr>
        <w:tblW w:w="9680" w:type="dxa"/>
        <w:tblLayout w:type="fixed"/>
        <w:tblCellMar>
          <w:left w:w="0" w:type="dxa"/>
          <w:right w:w="0" w:type="dxa"/>
        </w:tblCellMar>
        <w:tblLook w:val="04A0" w:firstRow="1" w:lastRow="0" w:firstColumn="1" w:lastColumn="0" w:noHBand="0" w:noVBand="1"/>
      </w:tblPr>
      <w:tblGrid>
        <w:gridCol w:w="5220"/>
        <w:gridCol w:w="4460"/>
      </w:tblGrid>
      <w:tr w:rsidR="00392921" w:rsidTr="003803CD">
        <w:trPr>
          <w:trHeight w:val="24"/>
        </w:trPr>
        <w:tc>
          <w:tcPr>
            <w:tcW w:w="5220" w:type="dxa"/>
            <w:tcBorders>
              <w:bottom w:val="single" w:sz="8" w:space="0" w:color="auto"/>
            </w:tcBorders>
            <w:vAlign w:val="bottom"/>
          </w:tcPr>
          <w:p w:rsidR="00392921" w:rsidRDefault="00392921" w:rsidP="003803CD">
            <w:pPr>
              <w:rPr>
                <w:sz w:val="2"/>
                <w:szCs w:val="2"/>
              </w:rPr>
            </w:pPr>
            <w:bookmarkStart w:id="9" w:name="page11"/>
            <w:bookmarkEnd w:id="9"/>
          </w:p>
        </w:tc>
        <w:tc>
          <w:tcPr>
            <w:tcW w:w="4460" w:type="dxa"/>
            <w:tcBorders>
              <w:bottom w:val="single" w:sz="8" w:space="0" w:color="auto"/>
            </w:tcBorders>
            <w:vAlign w:val="bottom"/>
          </w:tcPr>
          <w:p w:rsidR="00392921" w:rsidRDefault="00392921">
            <w:pPr>
              <w:rPr>
                <w:sz w:val="2"/>
                <w:szCs w:val="2"/>
              </w:rPr>
            </w:pPr>
          </w:p>
        </w:tc>
      </w:tr>
    </w:tbl>
    <w:p w:rsidR="00392921" w:rsidRDefault="00392921">
      <w:pPr>
        <w:spacing w:line="200" w:lineRule="exact"/>
        <w:rPr>
          <w:sz w:val="20"/>
          <w:szCs w:val="20"/>
        </w:rPr>
      </w:pPr>
    </w:p>
    <w:p w:rsidR="00392921" w:rsidRDefault="00392921">
      <w:pPr>
        <w:sectPr w:rsidR="00392921">
          <w:pgSz w:w="11900" w:h="15876"/>
          <w:pgMar w:top="732" w:right="986" w:bottom="0" w:left="1240" w:header="0" w:footer="0" w:gutter="0"/>
          <w:cols w:space="720" w:equalWidth="0">
            <w:col w:w="9680"/>
          </w:cols>
        </w:sectPr>
      </w:pPr>
    </w:p>
    <w:p w:rsidR="00392921" w:rsidRDefault="00392921">
      <w:pPr>
        <w:spacing w:line="202" w:lineRule="exact"/>
        <w:rPr>
          <w:sz w:val="20"/>
          <w:szCs w:val="20"/>
        </w:rPr>
      </w:pPr>
    </w:p>
    <w:p w:rsidR="00392921" w:rsidRDefault="00DA308A">
      <w:pPr>
        <w:spacing w:line="254" w:lineRule="auto"/>
        <w:jc w:val="both"/>
        <w:rPr>
          <w:sz w:val="20"/>
          <w:szCs w:val="20"/>
        </w:rPr>
      </w:pPr>
      <w:r>
        <w:rPr>
          <w:rFonts w:eastAsia="Times New Roman"/>
          <w:sz w:val="21"/>
          <w:szCs w:val="21"/>
        </w:rPr>
        <w:t xml:space="preserve">from the action of thyroxine whose receptor mRNAs are </w:t>
      </w:r>
      <w:r>
        <w:rPr>
          <w:rFonts w:eastAsia="Times New Roman"/>
          <w:sz w:val="21"/>
          <w:szCs w:val="21"/>
        </w:rPr>
        <w:t>identified in Sertoli cells (Bunick et al., 1994). Therefore, regulation of interstitial fluid volume by Sertoli cells warrants attention, especially as neonatal hypothyroidism prolongs Sertoli cell proliferation (Sharpe and Cooper, 1983; Sharpe et al., 19</w:t>
      </w:r>
      <w:r>
        <w:rPr>
          <w:rFonts w:eastAsia="Times New Roman"/>
          <w:sz w:val="21"/>
          <w:szCs w:val="21"/>
        </w:rPr>
        <w:t>91). According to these combined results, we showed that PTU-induced hypothyroidism at the postpubertal stage had made a number of histoarchitectural changes in the testes as compared to the controls. Further, we sug-gested an ameliorating role for folic a</w:t>
      </w:r>
      <w:r>
        <w:rPr>
          <w:rFonts w:eastAsia="Times New Roman"/>
          <w:sz w:val="21"/>
          <w:szCs w:val="21"/>
        </w:rPr>
        <w:t>cid in the relief of testicular tissue changes developed due to hypothyr-oidism. However, we found that the best results were found in case of using the folic acid as an adjuvant ther-apy after returning to the euthyroid state.</w:t>
      </w:r>
    </w:p>
    <w:p w:rsidR="00392921" w:rsidRDefault="00392921">
      <w:pPr>
        <w:spacing w:line="330" w:lineRule="exact"/>
        <w:rPr>
          <w:sz w:val="20"/>
          <w:szCs w:val="20"/>
        </w:rPr>
      </w:pPr>
    </w:p>
    <w:p w:rsidR="00392921" w:rsidRDefault="00DA308A">
      <w:pPr>
        <w:rPr>
          <w:sz w:val="20"/>
          <w:szCs w:val="20"/>
        </w:rPr>
      </w:pPr>
      <w:r>
        <w:rPr>
          <w:rFonts w:ascii="Arial" w:eastAsia="Arial" w:hAnsi="Arial" w:cs="Arial"/>
        </w:rPr>
        <w:t>Funding</w:t>
      </w:r>
    </w:p>
    <w:p w:rsidR="00392921" w:rsidRDefault="00392921">
      <w:pPr>
        <w:spacing w:line="112" w:lineRule="exact"/>
        <w:rPr>
          <w:sz w:val="20"/>
          <w:szCs w:val="20"/>
        </w:rPr>
      </w:pPr>
    </w:p>
    <w:p w:rsidR="00392921" w:rsidRDefault="00DA308A">
      <w:pPr>
        <w:spacing w:line="227" w:lineRule="auto"/>
        <w:jc w:val="both"/>
        <w:rPr>
          <w:sz w:val="20"/>
          <w:szCs w:val="20"/>
        </w:rPr>
      </w:pPr>
      <w:r>
        <w:rPr>
          <w:rFonts w:eastAsia="Times New Roman"/>
        </w:rPr>
        <w:t>This research rece</w:t>
      </w:r>
      <w:r>
        <w:rPr>
          <w:rFonts w:eastAsia="Times New Roman"/>
        </w:rPr>
        <w:t>ived no specific grant from any funding agency in the public, commercial, or not-for-profit sectors.</w:t>
      </w:r>
    </w:p>
    <w:p w:rsidR="00392921" w:rsidRDefault="00392921">
      <w:pPr>
        <w:spacing w:line="338" w:lineRule="exact"/>
        <w:rPr>
          <w:sz w:val="20"/>
          <w:szCs w:val="20"/>
        </w:rPr>
      </w:pPr>
    </w:p>
    <w:p w:rsidR="00392921" w:rsidRDefault="00DA308A">
      <w:pPr>
        <w:rPr>
          <w:sz w:val="20"/>
          <w:szCs w:val="20"/>
        </w:rPr>
      </w:pPr>
      <w:r>
        <w:rPr>
          <w:rFonts w:ascii="Arial" w:eastAsia="Arial" w:hAnsi="Arial" w:cs="Arial"/>
        </w:rPr>
        <w:t>References</w:t>
      </w:r>
    </w:p>
    <w:p w:rsidR="00392921" w:rsidRDefault="00392921">
      <w:pPr>
        <w:spacing w:line="125" w:lineRule="exact"/>
        <w:rPr>
          <w:sz w:val="20"/>
          <w:szCs w:val="20"/>
        </w:rPr>
      </w:pPr>
    </w:p>
    <w:p w:rsidR="00392921" w:rsidRDefault="00DA308A">
      <w:pPr>
        <w:spacing w:line="246" w:lineRule="auto"/>
        <w:ind w:left="240" w:hanging="238"/>
        <w:jc w:val="both"/>
        <w:rPr>
          <w:sz w:val="20"/>
          <w:szCs w:val="20"/>
        </w:rPr>
      </w:pPr>
      <w:r>
        <w:rPr>
          <w:rFonts w:eastAsia="Times New Roman"/>
          <w:sz w:val="20"/>
          <w:szCs w:val="20"/>
        </w:rPr>
        <w:t>Bancroft JD, Stevens GA (1990) Theory and Practice of Histological Techniques 2nd Ed. London: Churchill Livingstone.</w:t>
      </w:r>
    </w:p>
    <w:p w:rsidR="00392921" w:rsidRDefault="00392921">
      <w:pPr>
        <w:spacing w:line="69" w:lineRule="exact"/>
        <w:rPr>
          <w:sz w:val="20"/>
          <w:szCs w:val="20"/>
        </w:rPr>
      </w:pPr>
    </w:p>
    <w:p w:rsidR="00392921" w:rsidRDefault="00DA308A">
      <w:pPr>
        <w:spacing w:line="258" w:lineRule="auto"/>
        <w:ind w:left="240" w:hanging="238"/>
        <w:jc w:val="both"/>
        <w:rPr>
          <w:sz w:val="20"/>
          <w:szCs w:val="20"/>
        </w:rPr>
      </w:pPr>
      <w:r>
        <w:rPr>
          <w:rFonts w:eastAsia="Times New Roman"/>
          <w:sz w:val="20"/>
          <w:szCs w:val="20"/>
        </w:rPr>
        <w:t xml:space="preserve">Bunick D, Kirby J, </w:t>
      </w:r>
      <w:r>
        <w:rPr>
          <w:rFonts w:eastAsia="Times New Roman"/>
          <w:sz w:val="20"/>
          <w:szCs w:val="20"/>
        </w:rPr>
        <w:t>Hess RA, and Cooke PS (1994) Development expression of testis messenger ribonucleic acids in the rat following propylthiouracil-induced neonatal hypothyroidism. Biology of Reproduction 51(4): 706-713.</w:t>
      </w:r>
    </w:p>
    <w:p w:rsidR="00392921" w:rsidRDefault="00392921">
      <w:pPr>
        <w:spacing w:line="59" w:lineRule="exact"/>
        <w:rPr>
          <w:sz w:val="20"/>
          <w:szCs w:val="20"/>
        </w:rPr>
      </w:pPr>
    </w:p>
    <w:p w:rsidR="00392921" w:rsidRDefault="00DA308A">
      <w:pPr>
        <w:spacing w:line="254" w:lineRule="auto"/>
        <w:ind w:left="240" w:hanging="238"/>
        <w:jc w:val="both"/>
        <w:rPr>
          <w:sz w:val="20"/>
          <w:szCs w:val="20"/>
        </w:rPr>
      </w:pPr>
      <w:r>
        <w:rPr>
          <w:rFonts w:eastAsia="Times New Roman"/>
          <w:sz w:val="20"/>
          <w:szCs w:val="20"/>
        </w:rPr>
        <w:t>Cooke PS, Meisami E (1991) Early hypothyroidism in rat</w:t>
      </w:r>
      <w:r>
        <w:rPr>
          <w:rFonts w:eastAsia="Times New Roman"/>
          <w:sz w:val="20"/>
          <w:szCs w:val="20"/>
        </w:rPr>
        <w:t xml:space="preserve"> causes increased adult testis and reproductive organ size but does not change testosterone levels. Endocrinology 129(1): 237-243.</w:t>
      </w:r>
    </w:p>
    <w:p w:rsidR="00392921" w:rsidRDefault="00392921">
      <w:pPr>
        <w:spacing w:line="63" w:lineRule="exact"/>
        <w:rPr>
          <w:sz w:val="20"/>
          <w:szCs w:val="20"/>
        </w:rPr>
      </w:pPr>
    </w:p>
    <w:p w:rsidR="00392921" w:rsidRDefault="00DA308A">
      <w:pPr>
        <w:spacing w:line="246" w:lineRule="auto"/>
        <w:ind w:left="240" w:hanging="238"/>
        <w:jc w:val="both"/>
        <w:rPr>
          <w:sz w:val="20"/>
          <w:szCs w:val="20"/>
        </w:rPr>
      </w:pPr>
      <w:r>
        <w:rPr>
          <w:rFonts w:eastAsia="Times New Roman"/>
          <w:sz w:val="20"/>
          <w:szCs w:val="20"/>
        </w:rPr>
        <w:t>de Kretser DM (1982) Sertoli cell–Leydig cell interaction in the regulation of testicular function. International Journal of</w:t>
      </w:r>
      <w:r>
        <w:rPr>
          <w:rFonts w:eastAsia="Times New Roman"/>
          <w:sz w:val="20"/>
          <w:szCs w:val="20"/>
        </w:rPr>
        <w:t xml:space="preserve"> Andrology 5: 11-17.</w:t>
      </w:r>
    </w:p>
    <w:p w:rsidR="00392921" w:rsidRDefault="00392921">
      <w:pPr>
        <w:spacing w:line="71" w:lineRule="exact"/>
        <w:rPr>
          <w:sz w:val="20"/>
          <w:szCs w:val="20"/>
        </w:rPr>
      </w:pPr>
    </w:p>
    <w:p w:rsidR="00392921" w:rsidRDefault="00DA308A">
      <w:pPr>
        <w:spacing w:line="271" w:lineRule="auto"/>
        <w:ind w:left="240" w:hanging="238"/>
        <w:jc w:val="both"/>
        <w:rPr>
          <w:sz w:val="20"/>
          <w:szCs w:val="20"/>
        </w:rPr>
      </w:pPr>
      <w:r>
        <w:rPr>
          <w:rFonts w:eastAsia="Times New Roman"/>
          <w:sz w:val="19"/>
          <w:szCs w:val="19"/>
        </w:rPr>
        <w:t>Diekman MJ, van der Put NM, Blom HJ, Tijssen JP, and Wiersinga WM (2001) Determinants of changes in plasma homocysteine in hyperthyroidism and hypothyr-oidism. Clinical Endocrinology 54(2): 197-204.</w:t>
      </w:r>
    </w:p>
    <w:p w:rsidR="00392921" w:rsidRDefault="00392921">
      <w:pPr>
        <w:spacing w:line="48" w:lineRule="exact"/>
        <w:rPr>
          <w:sz w:val="20"/>
          <w:szCs w:val="20"/>
        </w:rPr>
      </w:pPr>
    </w:p>
    <w:p w:rsidR="00392921" w:rsidRDefault="00DA308A">
      <w:pPr>
        <w:spacing w:line="258" w:lineRule="auto"/>
        <w:ind w:left="240" w:hanging="238"/>
        <w:jc w:val="both"/>
        <w:rPr>
          <w:sz w:val="20"/>
          <w:szCs w:val="20"/>
        </w:rPr>
      </w:pPr>
      <w:r>
        <w:rPr>
          <w:rFonts w:eastAsia="Times New Roman"/>
          <w:sz w:val="20"/>
          <w:szCs w:val="20"/>
        </w:rPr>
        <w:t>Forges T, Monnier-Barbarino P, Alb</w:t>
      </w:r>
      <w:r>
        <w:rPr>
          <w:rFonts w:eastAsia="Times New Roman"/>
          <w:sz w:val="20"/>
          <w:szCs w:val="20"/>
        </w:rPr>
        <w:t>erto JM, Gue´ant-Rodriguez RM, Daval JL, and Gue´ant JL (2007) Impact of folate and homocysteine metabolism on human repro-ductive health. Human Reproduction Update 13(3): 225-238.</w:t>
      </w:r>
    </w:p>
    <w:p w:rsidR="00392921" w:rsidRDefault="00392921">
      <w:pPr>
        <w:spacing w:line="60" w:lineRule="exact"/>
        <w:rPr>
          <w:sz w:val="20"/>
          <w:szCs w:val="20"/>
        </w:rPr>
      </w:pPr>
    </w:p>
    <w:p w:rsidR="00392921" w:rsidRDefault="00DA308A">
      <w:pPr>
        <w:spacing w:line="253" w:lineRule="auto"/>
        <w:ind w:left="240" w:hanging="238"/>
        <w:jc w:val="both"/>
        <w:rPr>
          <w:sz w:val="20"/>
          <w:szCs w:val="20"/>
        </w:rPr>
      </w:pPr>
      <w:r>
        <w:rPr>
          <w:rFonts w:eastAsia="Times New Roman"/>
          <w:sz w:val="20"/>
          <w:szCs w:val="20"/>
        </w:rPr>
        <w:t>Gereben B, Zavacki AM, Ribich S, Kim BW, Huang SA, Simonides WS, et al. (2</w:t>
      </w:r>
      <w:r>
        <w:rPr>
          <w:rFonts w:eastAsia="Times New Roman"/>
          <w:sz w:val="20"/>
          <w:szCs w:val="20"/>
        </w:rPr>
        <w:t>008) Cellular and molecular basis of deiodinase-regulated thyroid hormone signal-ing. Endocrine Reviews 29(7): 898-938.</w:t>
      </w:r>
    </w:p>
    <w:p w:rsidR="00392921" w:rsidRDefault="00DA308A">
      <w:pPr>
        <w:spacing w:line="20" w:lineRule="exact"/>
        <w:rPr>
          <w:sz w:val="20"/>
          <w:szCs w:val="20"/>
        </w:rPr>
      </w:pPr>
      <w:r>
        <w:rPr>
          <w:sz w:val="20"/>
          <w:szCs w:val="20"/>
        </w:rPr>
        <w:br w:type="column"/>
      </w:r>
    </w:p>
    <w:p w:rsidR="00392921" w:rsidRDefault="00392921">
      <w:pPr>
        <w:spacing w:line="183" w:lineRule="exact"/>
        <w:rPr>
          <w:sz w:val="20"/>
          <w:szCs w:val="20"/>
        </w:rPr>
      </w:pPr>
    </w:p>
    <w:p w:rsidR="00392921" w:rsidRDefault="00DA308A">
      <w:pPr>
        <w:spacing w:line="246" w:lineRule="auto"/>
        <w:ind w:hanging="238"/>
        <w:jc w:val="both"/>
        <w:rPr>
          <w:sz w:val="20"/>
          <w:szCs w:val="20"/>
        </w:rPr>
      </w:pPr>
      <w:r>
        <w:rPr>
          <w:rFonts w:eastAsia="Times New Roman"/>
          <w:sz w:val="20"/>
          <w:szCs w:val="20"/>
        </w:rPr>
        <w:t xml:space="preserve">Holm J, Hansen SI, and Hoier-Madsen M (1991) A high-affinity folate binding protein in human semen. Bioscience Reports 11(5): </w:t>
      </w:r>
      <w:r>
        <w:rPr>
          <w:rFonts w:eastAsia="Times New Roman"/>
          <w:sz w:val="20"/>
          <w:szCs w:val="20"/>
        </w:rPr>
        <w:t>237-242.</w:t>
      </w:r>
    </w:p>
    <w:p w:rsidR="00392921" w:rsidRDefault="00392921">
      <w:pPr>
        <w:spacing w:line="71" w:lineRule="exact"/>
        <w:rPr>
          <w:sz w:val="20"/>
          <w:szCs w:val="20"/>
        </w:rPr>
      </w:pPr>
    </w:p>
    <w:p w:rsidR="00392921" w:rsidRDefault="00DA308A">
      <w:pPr>
        <w:spacing w:line="253" w:lineRule="auto"/>
        <w:ind w:hanging="238"/>
        <w:jc w:val="both"/>
        <w:rPr>
          <w:sz w:val="20"/>
          <w:szCs w:val="20"/>
        </w:rPr>
      </w:pPr>
      <w:r>
        <w:rPr>
          <w:rFonts w:eastAsia="Times New Roman"/>
          <w:sz w:val="20"/>
          <w:szCs w:val="20"/>
        </w:rPr>
        <w:t>Holsberger DR, Cooke PS (2005) Understanding the role of thyroid hormone in Sertoli cell development: a mechan-istic hypothesis. Cell and Tissue Research 322(1): 133-140.</w:t>
      </w:r>
    </w:p>
    <w:p w:rsidR="00392921" w:rsidRDefault="00392921">
      <w:pPr>
        <w:spacing w:line="65" w:lineRule="exact"/>
        <w:rPr>
          <w:sz w:val="20"/>
          <w:szCs w:val="20"/>
        </w:rPr>
      </w:pPr>
    </w:p>
    <w:p w:rsidR="00392921" w:rsidRDefault="00DA308A">
      <w:pPr>
        <w:spacing w:line="254" w:lineRule="auto"/>
        <w:ind w:hanging="238"/>
        <w:jc w:val="both"/>
        <w:rPr>
          <w:sz w:val="20"/>
          <w:szCs w:val="20"/>
        </w:rPr>
      </w:pPr>
      <w:r>
        <w:rPr>
          <w:rFonts w:eastAsia="Times New Roman"/>
          <w:sz w:val="20"/>
          <w:szCs w:val="20"/>
        </w:rPr>
        <w:t xml:space="preserve">Jansen HT, Kirby J, Cooke PS, Arambepola N, and Iwa-moto G (2007) </w:t>
      </w:r>
      <w:r>
        <w:rPr>
          <w:rFonts w:eastAsia="Times New Roman"/>
          <w:sz w:val="20"/>
          <w:szCs w:val="20"/>
        </w:rPr>
        <w:t>Impact of neonatal hypothyroidism on reproduction in the male hamster, Mesocricetus auratus. Physiology &amp; Behavior 90(5): 771-781.</w:t>
      </w:r>
    </w:p>
    <w:p w:rsidR="00392921" w:rsidRDefault="00392921">
      <w:pPr>
        <w:spacing w:line="63" w:lineRule="exact"/>
        <w:rPr>
          <w:sz w:val="20"/>
          <w:szCs w:val="20"/>
        </w:rPr>
      </w:pPr>
    </w:p>
    <w:p w:rsidR="00392921" w:rsidRDefault="00DA308A">
      <w:pPr>
        <w:spacing w:line="254" w:lineRule="auto"/>
        <w:ind w:hanging="238"/>
        <w:jc w:val="both"/>
        <w:rPr>
          <w:sz w:val="20"/>
          <w:szCs w:val="20"/>
        </w:rPr>
      </w:pPr>
      <w:r>
        <w:rPr>
          <w:rFonts w:eastAsia="Times New Roman"/>
          <w:sz w:val="20"/>
          <w:szCs w:val="20"/>
        </w:rPr>
        <w:t>Krassas GE, Papadopoulou F, Tziomalos K, Zeginiadou T, and Pontikides N (2008a) Hypothyroidism has an adverse effect on huma</w:t>
      </w:r>
      <w:r>
        <w:rPr>
          <w:rFonts w:eastAsia="Times New Roman"/>
          <w:sz w:val="20"/>
          <w:szCs w:val="20"/>
        </w:rPr>
        <w:t>n spermatogenesis: a prospec-tive, controlled study. Thyroid 18(12): 1255-1259.</w:t>
      </w:r>
    </w:p>
    <w:p w:rsidR="00392921" w:rsidRDefault="00392921">
      <w:pPr>
        <w:spacing w:line="63" w:lineRule="exact"/>
        <w:rPr>
          <w:sz w:val="20"/>
          <w:szCs w:val="20"/>
        </w:rPr>
      </w:pPr>
    </w:p>
    <w:p w:rsidR="00392921" w:rsidRDefault="00DA308A">
      <w:pPr>
        <w:spacing w:line="258" w:lineRule="auto"/>
        <w:ind w:hanging="238"/>
        <w:jc w:val="both"/>
        <w:rPr>
          <w:sz w:val="20"/>
          <w:szCs w:val="20"/>
        </w:rPr>
      </w:pPr>
      <w:r>
        <w:rPr>
          <w:rFonts w:eastAsia="Times New Roman"/>
          <w:sz w:val="20"/>
          <w:szCs w:val="20"/>
        </w:rPr>
        <w:t>Krassas GE, Papadopoulou F, Tziomalos K, Zeginiadou T, and Pontikides N (2008b) Erectile dysfunction in patients with hyper- and hypothyroidism: how common and should we treat</w:t>
      </w:r>
      <w:r>
        <w:rPr>
          <w:rFonts w:eastAsia="Times New Roman"/>
          <w:sz w:val="20"/>
          <w:szCs w:val="20"/>
        </w:rPr>
        <w:t>? The Journal of Clinical Endocri-nology and Metabolism 93(5): 1815-1819.</w:t>
      </w:r>
    </w:p>
    <w:p w:rsidR="00392921" w:rsidRDefault="00392921">
      <w:pPr>
        <w:spacing w:line="59" w:lineRule="exact"/>
        <w:rPr>
          <w:sz w:val="20"/>
          <w:szCs w:val="20"/>
        </w:rPr>
      </w:pPr>
    </w:p>
    <w:p w:rsidR="00392921" w:rsidRDefault="00DA308A">
      <w:pPr>
        <w:spacing w:line="254" w:lineRule="auto"/>
        <w:ind w:hanging="238"/>
        <w:jc w:val="both"/>
        <w:rPr>
          <w:sz w:val="20"/>
          <w:szCs w:val="20"/>
        </w:rPr>
      </w:pPr>
      <w:r>
        <w:rPr>
          <w:rFonts w:eastAsia="Times New Roman"/>
          <w:sz w:val="20"/>
          <w:szCs w:val="20"/>
        </w:rPr>
        <w:t>Kuroki Y, Iwamoto T, Lee W, Yoshiike M, Nozawa S, Nishida T, et al. (1999) Spermatogenic ability is differ-ent among males in different Y chromosome lineage. Journal of Human Geneti</w:t>
      </w:r>
      <w:r>
        <w:rPr>
          <w:rFonts w:eastAsia="Times New Roman"/>
          <w:sz w:val="20"/>
          <w:szCs w:val="20"/>
        </w:rPr>
        <w:t>cs 44(5): 289-292.</w:t>
      </w:r>
    </w:p>
    <w:p w:rsidR="00392921" w:rsidRDefault="00392921">
      <w:pPr>
        <w:spacing w:line="63" w:lineRule="exact"/>
        <w:rPr>
          <w:sz w:val="20"/>
          <w:szCs w:val="20"/>
        </w:rPr>
      </w:pPr>
    </w:p>
    <w:p w:rsidR="00392921" w:rsidRDefault="00DA308A">
      <w:pPr>
        <w:spacing w:line="253" w:lineRule="auto"/>
        <w:ind w:hanging="238"/>
        <w:jc w:val="both"/>
        <w:rPr>
          <w:sz w:val="20"/>
          <w:szCs w:val="20"/>
        </w:rPr>
      </w:pPr>
      <w:r>
        <w:rPr>
          <w:rFonts w:eastAsia="Times New Roman"/>
          <w:sz w:val="20"/>
          <w:szCs w:val="20"/>
        </w:rPr>
        <w:t>Lalonde R, Joyal CC, and Botez MI (1993) Effects of folic acid and folinic acid on cognitive and motor behaviors in 20-month-old rats. Pharmacology, Biochemistry, and Behavior 44(5): 703-707.</w:t>
      </w:r>
    </w:p>
    <w:p w:rsidR="00392921" w:rsidRDefault="00392921">
      <w:pPr>
        <w:spacing w:line="67" w:lineRule="exact"/>
        <w:rPr>
          <w:sz w:val="20"/>
          <w:szCs w:val="20"/>
        </w:rPr>
      </w:pPr>
    </w:p>
    <w:p w:rsidR="00392921" w:rsidRDefault="00DA308A">
      <w:pPr>
        <w:spacing w:line="258" w:lineRule="auto"/>
        <w:ind w:hanging="238"/>
        <w:jc w:val="both"/>
        <w:rPr>
          <w:sz w:val="20"/>
          <w:szCs w:val="20"/>
        </w:rPr>
      </w:pPr>
      <w:r>
        <w:rPr>
          <w:rFonts w:eastAsia="Times New Roman"/>
          <w:sz w:val="20"/>
          <w:szCs w:val="20"/>
        </w:rPr>
        <w:t xml:space="preserve">Lin H, Hu G, Dong L, Dong Q, Mukai M, Chen </w:t>
      </w:r>
      <w:r>
        <w:rPr>
          <w:rFonts w:eastAsia="Times New Roman"/>
          <w:sz w:val="20"/>
          <w:szCs w:val="20"/>
        </w:rPr>
        <w:t>B, et al. (2009) Increased proliferation but decreased steroido-genic capacity in Leydig cells from mice lacking cyclin-dependent kinase inhibitor 1B1. Biology of Reproduction 80(6): 1232-1238.</w:t>
      </w:r>
    </w:p>
    <w:p w:rsidR="00392921" w:rsidRDefault="00392921">
      <w:pPr>
        <w:spacing w:line="59" w:lineRule="exact"/>
        <w:rPr>
          <w:sz w:val="20"/>
          <w:szCs w:val="20"/>
        </w:rPr>
      </w:pPr>
    </w:p>
    <w:p w:rsidR="00392921" w:rsidRDefault="00DA308A">
      <w:pPr>
        <w:spacing w:line="246" w:lineRule="auto"/>
        <w:ind w:hanging="238"/>
        <w:jc w:val="both"/>
        <w:rPr>
          <w:sz w:val="20"/>
          <w:szCs w:val="20"/>
        </w:rPr>
      </w:pPr>
      <w:r>
        <w:rPr>
          <w:rFonts w:eastAsia="Times New Roman"/>
          <w:sz w:val="20"/>
          <w:szCs w:val="20"/>
        </w:rPr>
        <w:t>Lucock M (2000) Folic acid: nutritional biochemistry, molecul</w:t>
      </w:r>
      <w:r>
        <w:rPr>
          <w:rFonts w:eastAsia="Times New Roman"/>
          <w:sz w:val="20"/>
          <w:szCs w:val="20"/>
        </w:rPr>
        <w:t>ar biology, and role in disease processes. Mole-cular Genetics and Metabolism 71(1-2): 121-138.</w:t>
      </w:r>
    </w:p>
    <w:p w:rsidR="00392921" w:rsidRDefault="00392921">
      <w:pPr>
        <w:spacing w:line="69" w:lineRule="exact"/>
        <w:rPr>
          <w:sz w:val="20"/>
          <w:szCs w:val="20"/>
        </w:rPr>
      </w:pPr>
    </w:p>
    <w:p w:rsidR="00392921" w:rsidRDefault="00DA308A">
      <w:pPr>
        <w:spacing w:line="276" w:lineRule="auto"/>
        <w:ind w:hanging="238"/>
        <w:jc w:val="both"/>
        <w:rPr>
          <w:sz w:val="20"/>
          <w:szCs w:val="20"/>
        </w:rPr>
      </w:pPr>
      <w:r>
        <w:rPr>
          <w:rFonts w:eastAsia="Times New Roman"/>
          <w:sz w:val="19"/>
          <w:szCs w:val="19"/>
        </w:rPr>
        <w:t>Matte C, Scherer EB, Stefanello FM, Barschak AG, Vargas CR, Netto CA, et al. (2007) Concurrent folate treatment prevents Na</w:t>
      </w:r>
      <w:r>
        <w:rPr>
          <w:rFonts w:ascii="Arial" w:eastAsia="Arial" w:hAnsi="Arial" w:cs="Arial"/>
          <w:sz w:val="19"/>
          <w:szCs w:val="19"/>
        </w:rPr>
        <w:t>þ</w:t>
      </w:r>
      <w:r>
        <w:rPr>
          <w:rFonts w:eastAsia="Times New Roman"/>
          <w:sz w:val="19"/>
          <w:szCs w:val="19"/>
        </w:rPr>
        <w:t>, K</w:t>
      </w:r>
      <w:r>
        <w:rPr>
          <w:rFonts w:ascii="Arial" w:eastAsia="Arial" w:hAnsi="Arial" w:cs="Arial"/>
          <w:sz w:val="19"/>
          <w:szCs w:val="19"/>
        </w:rPr>
        <w:t>þ</w:t>
      </w:r>
      <w:r>
        <w:rPr>
          <w:rFonts w:eastAsia="Times New Roman"/>
          <w:sz w:val="19"/>
          <w:szCs w:val="19"/>
        </w:rPr>
        <w:t>- ATPase activity inhibition an</w:t>
      </w:r>
      <w:r>
        <w:rPr>
          <w:rFonts w:eastAsia="Times New Roman"/>
          <w:sz w:val="19"/>
          <w:szCs w:val="19"/>
        </w:rPr>
        <w:t>d memory impairments caused by chronic hyperhomocys-teinemia during rat development. International Journal of Developmental Neuroscience 25(8): 545-552.</w:t>
      </w:r>
    </w:p>
    <w:p w:rsidR="00392921" w:rsidRDefault="00392921">
      <w:pPr>
        <w:spacing w:line="47" w:lineRule="exact"/>
        <w:rPr>
          <w:sz w:val="20"/>
          <w:szCs w:val="20"/>
        </w:rPr>
      </w:pPr>
    </w:p>
    <w:p w:rsidR="00392921" w:rsidRDefault="00DA308A">
      <w:pPr>
        <w:spacing w:line="265" w:lineRule="auto"/>
        <w:ind w:hanging="238"/>
        <w:jc w:val="both"/>
        <w:rPr>
          <w:sz w:val="20"/>
          <w:szCs w:val="20"/>
        </w:rPr>
      </w:pPr>
      <w:r>
        <w:rPr>
          <w:rFonts w:eastAsia="Times New Roman"/>
          <w:sz w:val="19"/>
          <w:szCs w:val="19"/>
        </w:rPr>
        <w:t xml:space="preserve">Mendis-Handagama SM, Siril Ariyaratne HB (2005) Leydig cells, thyroid hormones and </w:t>
      </w:r>
      <w:r>
        <w:rPr>
          <w:rFonts w:eastAsia="Times New Roman"/>
          <w:sz w:val="19"/>
          <w:szCs w:val="19"/>
        </w:rPr>
        <w:t>steroidogenesis. Indian Jour-nal of Experimental Biology 43(11): 939-962.</w:t>
      </w:r>
    </w:p>
    <w:p w:rsidR="00392921" w:rsidRDefault="00392921">
      <w:pPr>
        <w:spacing w:line="54" w:lineRule="exact"/>
        <w:rPr>
          <w:sz w:val="20"/>
          <w:szCs w:val="20"/>
        </w:rPr>
      </w:pPr>
    </w:p>
    <w:p w:rsidR="00392921" w:rsidRDefault="00DA308A">
      <w:pPr>
        <w:spacing w:line="253" w:lineRule="auto"/>
        <w:ind w:hanging="238"/>
        <w:jc w:val="both"/>
        <w:rPr>
          <w:sz w:val="20"/>
          <w:szCs w:val="20"/>
        </w:rPr>
      </w:pPr>
      <w:r>
        <w:rPr>
          <w:rFonts w:eastAsia="Times New Roman"/>
          <w:sz w:val="20"/>
          <w:szCs w:val="20"/>
        </w:rPr>
        <w:t>Palmero S, de Marchis M, Gallo G, and Fugassa E (1989) Thyroid hormone affects the development of Sertoli cell function in the rat. Journal of Endocrinology 123(1): 105-111.</w:t>
      </w:r>
    </w:p>
    <w:p w:rsidR="00392921" w:rsidRDefault="00392921">
      <w:pPr>
        <w:spacing w:line="65" w:lineRule="exact"/>
        <w:rPr>
          <w:sz w:val="20"/>
          <w:szCs w:val="20"/>
        </w:rPr>
      </w:pPr>
    </w:p>
    <w:p w:rsidR="00392921" w:rsidRDefault="00DA308A">
      <w:pPr>
        <w:spacing w:line="273" w:lineRule="auto"/>
        <w:ind w:hanging="238"/>
        <w:jc w:val="both"/>
        <w:rPr>
          <w:sz w:val="20"/>
          <w:szCs w:val="20"/>
        </w:rPr>
      </w:pPr>
      <w:r>
        <w:rPr>
          <w:rFonts w:eastAsia="Times New Roman"/>
          <w:sz w:val="18"/>
          <w:szCs w:val="18"/>
        </w:rPr>
        <w:t>Rao JN</w:t>
      </w:r>
      <w:r>
        <w:rPr>
          <w:rFonts w:eastAsia="Times New Roman"/>
          <w:sz w:val="18"/>
          <w:szCs w:val="18"/>
        </w:rPr>
        <w:t>, Liang JY, Chakraborti P, and Feng P (2003) Effect of thyroid hormone on the development and gene expression</w:t>
      </w:r>
    </w:p>
    <w:p w:rsidR="00392921" w:rsidRDefault="00392921">
      <w:pPr>
        <w:spacing w:line="200" w:lineRule="exact"/>
        <w:rPr>
          <w:sz w:val="20"/>
          <w:szCs w:val="20"/>
        </w:rPr>
      </w:pPr>
    </w:p>
    <w:p w:rsidR="00392921" w:rsidRDefault="00392921">
      <w:pPr>
        <w:sectPr w:rsidR="00392921">
          <w:type w:val="continuous"/>
          <w:pgSz w:w="11900" w:h="15876"/>
          <w:pgMar w:top="732" w:right="986" w:bottom="0" w:left="1240" w:header="0" w:footer="0" w:gutter="0"/>
          <w:cols w:num="2" w:space="720" w:equalWidth="0">
            <w:col w:w="4720" w:space="480"/>
            <w:col w:w="448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398" w:lineRule="exact"/>
        <w:rPr>
          <w:sz w:val="20"/>
          <w:szCs w:val="20"/>
        </w:rPr>
      </w:pPr>
    </w:p>
    <w:p w:rsidR="00392921" w:rsidRDefault="00392921">
      <w:pPr>
        <w:sectPr w:rsidR="00392921">
          <w:type w:val="continuous"/>
          <w:pgSz w:w="11900" w:h="15876"/>
          <w:pgMar w:top="732" w:right="986" w:bottom="0" w:left="1240" w:header="0" w:footer="0" w:gutter="0"/>
          <w:cols w:space="720" w:equalWidth="0">
            <w:col w:w="9680"/>
          </w:cols>
        </w:sectPr>
      </w:pPr>
    </w:p>
    <w:p w:rsidR="00392921" w:rsidRDefault="00392921">
      <w:pPr>
        <w:spacing w:line="2" w:lineRule="exact"/>
        <w:rPr>
          <w:sz w:val="20"/>
          <w:szCs w:val="20"/>
        </w:rPr>
      </w:pPr>
      <w:bookmarkStart w:id="10" w:name="page12"/>
      <w:bookmarkEnd w:id="10"/>
    </w:p>
    <w:p w:rsidR="00392921" w:rsidRDefault="00DA308A">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-4445</wp:posOffset>
                </wp:positionH>
                <wp:positionV relativeFrom="paragraph">
                  <wp:posOffset>18415</wp:posOffset>
                </wp:positionV>
                <wp:extent cx="613727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275" cy="4763"/>
                        </a:xfrm>
                        <a:prstGeom prst="line">
                          <a:avLst/>
                        </a:prstGeom>
                        <a:solidFill>
                          <a:srgbClr val="FFFFFF"/>
                        </a:solidFill>
                        <a:ln w="6479">
                          <a:solidFill>
                            <a:srgbClr val="000000"/>
                          </a:solidFill>
                          <a:miter lim="800000"/>
                          <a:headEnd/>
                          <a:tailEnd/>
                        </a:ln>
                      </wps:spPr>
                      <wps:bodyPr/>
                    </wps:wsp>
                  </a:graphicData>
                </a:graphic>
              </wp:anchor>
            </w:drawing>
          </mc:Choice>
          <mc:Fallback>
            <w:pict>
              <v:line w14:anchorId="6443DA3F" id="Shape 1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5pt,1.45pt" to="482.9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" o:allowincell="f" filled="t" strokeweight=".17997mm">
                <v:stroke joinstyle="miter"/>
                <o:lock v:ext="edit" shapetype="f"/>
              </v:line>
            </w:pict>
          </mc:Fallback>
        </mc:AlternateContent>
      </w:r>
    </w:p>
    <w:p w:rsidR="00392921" w:rsidRDefault="00392921">
      <w:pPr>
        <w:sectPr w:rsidR="00392921">
          <w:pgSz w:w="11900" w:h="15876"/>
          <w:pgMar w:top="766" w:right="1246" w:bottom="0" w:left="1000" w:header="0" w:footer="0" w:gutter="0"/>
          <w:cols w:space="720" w:equalWidth="0">
            <w:col w:w="9660"/>
          </w:cols>
        </w:sectPr>
      </w:pPr>
    </w:p>
    <w:p w:rsidR="00392921" w:rsidRDefault="00392921">
      <w:pPr>
        <w:spacing w:line="200" w:lineRule="exact"/>
        <w:rPr>
          <w:sz w:val="20"/>
          <w:szCs w:val="20"/>
        </w:rPr>
      </w:pPr>
    </w:p>
    <w:p w:rsidR="00392921" w:rsidRDefault="00392921">
      <w:pPr>
        <w:spacing w:line="238" w:lineRule="exact"/>
        <w:rPr>
          <w:sz w:val="20"/>
          <w:szCs w:val="20"/>
        </w:rPr>
      </w:pPr>
    </w:p>
    <w:p w:rsidR="00392921" w:rsidRDefault="00DA308A">
      <w:pPr>
        <w:spacing w:line="231" w:lineRule="auto"/>
        <w:ind w:left="240"/>
        <w:rPr>
          <w:sz w:val="20"/>
          <w:szCs w:val="20"/>
        </w:rPr>
      </w:pPr>
      <w:r>
        <w:rPr>
          <w:rFonts w:eastAsia="Times New Roman"/>
          <w:sz w:val="20"/>
          <w:szCs w:val="20"/>
        </w:rPr>
        <w:t>of hormone receptors in rat testis in vivo. Journal of Endocrinological Investigation 26(5): 435-443.</w:t>
      </w:r>
    </w:p>
    <w:p w:rsidR="00392921" w:rsidRDefault="00392921">
      <w:pPr>
        <w:spacing w:line="75" w:lineRule="exact"/>
        <w:rPr>
          <w:sz w:val="20"/>
          <w:szCs w:val="20"/>
        </w:rPr>
      </w:pPr>
    </w:p>
    <w:p w:rsidR="00392921" w:rsidRDefault="00DA308A">
      <w:pPr>
        <w:spacing w:line="271" w:lineRule="auto"/>
        <w:ind w:left="240" w:hanging="238"/>
        <w:jc w:val="both"/>
        <w:rPr>
          <w:sz w:val="20"/>
          <w:szCs w:val="20"/>
        </w:rPr>
      </w:pPr>
      <w:r>
        <w:rPr>
          <w:rFonts w:eastAsia="Times New Roman"/>
          <w:sz w:val="19"/>
          <w:szCs w:val="19"/>
        </w:rPr>
        <w:t xml:space="preserve">Sahoo D, Roy A, Bhanja S, and </w:t>
      </w:r>
      <w:r>
        <w:rPr>
          <w:rFonts w:eastAsia="Times New Roman"/>
          <w:sz w:val="19"/>
          <w:szCs w:val="19"/>
        </w:rPr>
        <w:t>Chainy G (2008) Hypothyr-oidism impairs antioxidant defence system and testicular physiology during development and maturation. General and Comparative Endocrinology 156(1): 63-70.</w:t>
      </w:r>
    </w:p>
    <w:p w:rsidR="00392921" w:rsidRDefault="00392921">
      <w:pPr>
        <w:spacing w:line="50" w:lineRule="exact"/>
        <w:rPr>
          <w:sz w:val="20"/>
          <w:szCs w:val="20"/>
        </w:rPr>
      </w:pPr>
    </w:p>
    <w:p w:rsidR="00392921" w:rsidRDefault="00DA308A">
      <w:pPr>
        <w:spacing w:line="253" w:lineRule="auto"/>
        <w:ind w:left="240" w:hanging="238"/>
        <w:jc w:val="both"/>
        <w:rPr>
          <w:sz w:val="20"/>
          <w:szCs w:val="20"/>
        </w:rPr>
      </w:pPr>
      <w:r>
        <w:rPr>
          <w:rFonts w:eastAsia="Times New Roman"/>
          <w:sz w:val="20"/>
          <w:szCs w:val="20"/>
        </w:rPr>
        <w:t>Sharpe RM, Bartlett JM, and Allenby G (1991) Evidence for the control of t</w:t>
      </w:r>
      <w:r>
        <w:rPr>
          <w:rFonts w:eastAsia="Times New Roman"/>
          <w:sz w:val="20"/>
          <w:szCs w:val="20"/>
        </w:rPr>
        <w:t>esticular interstitial fluid volume in the rat by specific germ cell types. Journal of Endocri-nology 128(3): 359-367.</w:t>
      </w:r>
    </w:p>
    <w:p w:rsidR="00392921" w:rsidRDefault="00392921">
      <w:pPr>
        <w:spacing w:line="67" w:lineRule="exact"/>
        <w:rPr>
          <w:sz w:val="20"/>
          <w:szCs w:val="20"/>
        </w:rPr>
      </w:pPr>
    </w:p>
    <w:p w:rsidR="00392921" w:rsidRDefault="00DA308A">
      <w:pPr>
        <w:spacing w:line="254" w:lineRule="auto"/>
        <w:ind w:left="240" w:hanging="238"/>
        <w:jc w:val="both"/>
        <w:rPr>
          <w:sz w:val="20"/>
          <w:szCs w:val="20"/>
        </w:rPr>
      </w:pPr>
      <w:r>
        <w:rPr>
          <w:rFonts w:eastAsia="Times New Roman"/>
          <w:sz w:val="20"/>
          <w:szCs w:val="20"/>
        </w:rPr>
        <w:t>Sharpe RM, Cooper I (1983) Testicular interstitial fluid as a monitor for changes in the intratesticular environment in the rat. Journal</w:t>
      </w:r>
      <w:r>
        <w:rPr>
          <w:rFonts w:eastAsia="Times New Roman"/>
          <w:sz w:val="20"/>
          <w:szCs w:val="20"/>
        </w:rPr>
        <w:t xml:space="preserve"> of Reproduction and Fertility 69(1): 125-135.</w:t>
      </w:r>
    </w:p>
    <w:p w:rsidR="00392921" w:rsidRDefault="00392921">
      <w:pPr>
        <w:spacing w:line="63" w:lineRule="exact"/>
        <w:rPr>
          <w:sz w:val="20"/>
          <w:szCs w:val="20"/>
        </w:rPr>
      </w:pPr>
    </w:p>
    <w:p w:rsidR="00392921" w:rsidRDefault="00DA308A">
      <w:pPr>
        <w:spacing w:line="253" w:lineRule="auto"/>
        <w:ind w:left="240" w:hanging="238"/>
        <w:jc w:val="both"/>
        <w:rPr>
          <w:sz w:val="20"/>
          <w:szCs w:val="20"/>
        </w:rPr>
      </w:pPr>
      <w:r>
        <w:rPr>
          <w:rFonts w:eastAsia="Times New Roman"/>
          <w:sz w:val="20"/>
          <w:szCs w:val="20"/>
        </w:rPr>
        <w:t>Simorangkir DR, Wreford NG, and De Kretser DM (1997) Impaired germ cell development in the testes of imma-ture rats with neonatal hypothyroidism. Journal of Andrology 18(2): 186-193.</w:t>
      </w:r>
    </w:p>
    <w:p w:rsidR="00392921" w:rsidRDefault="00392921">
      <w:pPr>
        <w:spacing w:line="65" w:lineRule="exact"/>
        <w:rPr>
          <w:sz w:val="20"/>
          <w:szCs w:val="20"/>
        </w:rPr>
      </w:pPr>
    </w:p>
    <w:p w:rsidR="00392921" w:rsidRDefault="00DA308A">
      <w:pPr>
        <w:spacing w:line="258" w:lineRule="auto"/>
        <w:ind w:left="240" w:hanging="238"/>
        <w:jc w:val="both"/>
        <w:rPr>
          <w:sz w:val="20"/>
          <w:szCs w:val="20"/>
        </w:rPr>
      </w:pPr>
      <w:r>
        <w:rPr>
          <w:rFonts w:eastAsia="Times New Roman"/>
          <w:sz w:val="20"/>
          <w:szCs w:val="20"/>
        </w:rPr>
        <w:t>Tarulli G, Stanton P, Le</w:t>
      </w:r>
      <w:r>
        <w:rPr>
          <w:rFonts w:eastAsia="Times New Roman"/>
          <w:sz w:val="20"/>
          <w:szCs w:val="20"/>
        </w:rPr>
        <w:t>rchl A, and Meachem S (2006) Adult Sertoli cells are not terminally differentiated in the djungarian hamster. Effect of FSH on proliferation and junction protein organization. Biology of Reproduc-tion 74(5): 798-806.</w:t>
      </w:r>
    </w:p>
    <w:p w:rsidR="00392921" w:rsidRDefault="00392921">
      <w:pPr>
        <w:spacing w:line="13" w:lineRule="exact"/>
        <w:rPr>
          <w:sz w:val="20"/>
          <w:szCs w:val="20"/>
        </w:rPr>
      </w:pPr>
    </w:p>
    <w:p w:rsidR="00392921" w:rsidRDefault="00DA308A">
      <w:pPr>
        <w:rPr>
          <w:sz w:val="20"/>
          <w:szCs w:val="20"/>
        </w:rPr>
      </w:pPr>
      <w:r>
        <w:rPr>
          <w:rFonts w:eastAsia="Times New Roman"/>
          <w:sz w:val="20"/>
          <w:szCs w:val="20"/>
        </w:rPr>
        <w:t>Toshihiro I (2009) Thyroid hormone and</w:t>
      </w:r>
      <w:r>
        <w:rPr>
          <w:rFonts w:eastAsia="Times New Roman"/>
          <w:sz w:val="20"/>
          <w:szCs w:val="20"/>
        </w:rPr>
        <w:t xml:space="preserve"> atherosclerosis.</w:t>
      </w:r>
    </w:p>
    <w:p w:rsidR="00392921" w:rsidRDefault="00392921">
      <w:pPr>
        <w:spacing w:line="40" w:lineRule="exact"/>
        <w:rPr>
          <w:sz w:val="20"/>
          <w:szCs w:val="20"/>
        </w:rPr>
      </w:pPr>
    </w:p>
    <w:p w:rsidR="00392921" w:rsidRDefault="00DA308A">
      <w:pPr>
        <w:ind w:left="240"/>
        <w:rPr>
          <w:sz w:val="20"/>
          <w:szCs w:val="20"/>
        </w:rPr>
      </w:pPr>
      <w:r>
        <w:rPr>
          <w:rFonts w:eastAsia="Times New Roman"/>
          <w:sz w:val="19"/>
          <w:szCs w:val="19"/>
        </w:rPr>
        <w:t>Vascular Pharmacology. doi:10.1016/j.vph.2009.09.004.</w:t>
      </w:r>
    </w:p>
    <w:p w:rsidR="00392921" w:rsidRDefault="00DA308A">
      <w:pPr>
        <w:spacing w:line="20" w:lineRule="exact"/>
        <w:rPr>
          <w:sz w:val="20"/>
          <w:szCs w:val="20"/>
        </w:rPr>
      </w:pPr>
      <w:r>
        <w:rPr>
          <w:sz w:val="20"/>
          <w:szCs w:val="20"/>
        </w:rPr>
        <w:br w:type="column"/>
      </w:r>
    </w:p>
    <w:p w:rsidR="00392921" w:rsidRDefault="00392921">
      <w:pPr>
        <w:spacing w:line="200" w:lineRule="exact"/>
        <w:rPr>
          <w:sz w:val="20"/>
          <w:szCs w:val="20"/>
        </w:rPr>
      </w:pPr>
    </w:p>
    <w:p w:rsidR="00392921" w:rsidRDefault="00392921">
      <w:pPr>
        <w:spacing w:line="217" w:lineRule="exact"/>
        <w:rPr>
          <w:sz w:val="20"/>
          <w:szCs w:val="20"/>
        </w:rPr>
      </w:pPr>
    </w:p>
    <w:p w:rsidR="00392921" w:rsidRDefault="00DA308A">
      <w:pPr>
        <w:spacing w:line="260" w:lineRule="auto"/>
        <w:ind w:hanging="238"/>
        <w:jc w:val="both"/>
        <w:rPr>
          <w:sz w:val="20"/>
          <w:szCs w:val="20"/>
        </w:rPr>
      </w:pPr>
      <w:r>
        <w:rPr>
          <w:rFonts w:eastAsia="Times New Roman"/>
          <w:sz w:val="20"/>
          <w:szCs w:val="20"/>
        </w:rPr>
        <w:t xml:space="preserve">Tousson E, Ibrahim W, Arafa N, and Akela MA (2011) Monoamine concentrations changes in the PTU induced hypothyroid rat brain and the ameliorating role of folic acid. Human &amp; </w:t>
      </w:r>
      <w:r>
        <w:rPr>
          <w:rFonts w:eastAsia="Times New Roman"/>
          <w:sz w:val="20"/>
          <w:szCs w:val="20"/>
        </w:rPr>
        <w:t>Experimental Toxicology. Published online on 8 April 2011. doi:10.1177/0960327111405 863.</w:t>
      </w:r>
    </w:p>
    <w:p w:rsidR="00392921" w:rsidRDefault="00392921">
      <w:pPr>
        <w:spacing w:line="60" w:lineRule="exact"/>
        <w:rPr>
          <w:sz w:val="20"/>
          <w:szCs w:val="20"/>
        </w:rPr>
      </w:pPr>
    </w:p>
    <w:p w:rsidR="00392921" w:rsidRDefault="00DA308A">
      <w:pPr>
        <w:spacing w:line="258" w:lineRule="auto"/>
        <w:ind w:hanging="238"/>
        <w:jc w:val="both"/>
        <w:rPr>
          <w:sz w:val="20"/>
          <w:szCs w:val="20"/>
        </w:rPr>
      </w:pPr>
      <w:r>
        <w:rPr>
          <w:rFonts w:eastAsia="Times New Roman"/>
          <w:sz w:val="20"/>
          <w:szCs w:val="20"/>
        </w:rPr>
        <w:t>Van Haaster LH, de Jong FH, Docter R, and De Rooij DG (1992) The effect of hypothyroidism on Sertoli cell pro-liferation and differentiation and hormone levels durin</w:t>
      </w:r>
      <w:r>
        <w:rPr>
          <w:rFonts w:eastAsia="Times New Roman"/>
          <w:sz w:val="20"/>
          <w:szCs w:val="20"/>
        </w:rPr>
        <w:t>g testicular development in the rat. Endocrinology 131(3): 1574-1576.</w:t>
      </w:r>
    </w:p>
    <w:p w:rsidR="00392921" w:rsidRDefault="00392921">
      <w:pPr>
        <w:spacing w:line="59" w:lineRule="exact"/>
        <w:rPr>
          <w:sz w:val="20"/>
          <w:szCs w:val="20"/>
        </w:rPr>
      </w:pPr>
    </w:p>
    <w:p w:rsidR="00392921" w:rsidRDefault="00DA308A">
      <w:pPr>
        <w:spacing w:line="258" w:lineRule="auto"/>
        <w:ind w:hanging="238"/>
        <w:jc w:val="both"/>
        <w:rPr>
          <w:sz w:val="20"/>
          <w:szCs w:val="20"/>
        </w:rPr>
      </w:pPr>
      <w:r>
        <w:rPr>
          <w:rFonts w:eastAsia="Times New Roman"/>
          <w:sz w:val="20"/>
          <w:szCs w:val="20"/>
        </w:rPr>
        <w:t>Van Haaster LH, de Jong FH, Docter R, and de Rooij DG (1993) High neonatal triiodothyronine levels reduce the period of Sertoli cell proliferation and accelerate tubular lumen formation</w:t>
      </w:r>
      <w:r>
        <w:rPr>
          <w:rFonts w:eastAsia="Times New Roman"/>
          <w:sz w:val="20"/>
          <w:szCs w:val="20"/>
        </w:rPr>
        <w:t xml:space="preserve"> in the rat testis and increase serum inhibin levels. Endocrinology 133(2): 755-760.</w:t>
      </w:r>
    </w:p>
    <w:p w:rsidR="00392921" w:rsidRDefault="00392921">
      <w:pPr>
        <w:spacing w:line="59" w:lineRule="exact"/>
        <w:rPr>
          <w:sz w:val="20"/>
          <w:szCs w:val="20"/>
        </w:rPr>
      </w:pPr>
    </w:p>
    <w:p w:rsidR="00392921" w:rsidRDefault="00DA308A">
      <w:pPr>
        <w:spacing w:line="258" w:lineRule="auto"/>
        <w:ind w:hanging="238"/>
        <w:jc w:val="both"/>
        <w:rPr>
          <w:sz w:val="20"/>
          <w:szCs w:val="20"/>
        </w:rPr>
      </w:pPr>
      <w:r>
        <w:rPr>
          <w:rFonts w:eastAsia="Times New Roman"/>
          <w:sz w:val="20"/>
          <w:szCs w:val="20"/>
        </w:rPr>
        <w:t xml:space="preserve">Wallock LM, Tamura T, Mayr CA, Johnston KE, Ames BN, and Jacob RA (2001) Low seminal plasma folate concentrations are associated with low sperm density and count in male </w:t>
      </w:r>
      <w:r>
        <w:rPr>
          <w:rFonts w:eastAsia="Times New Roman"/>
          <w:sz w:val="20"/>
          <w:szCs w:val="20"/>
        </w:rPr>
        <w:t>smokers and nonsmokers. Fertility and Sterility 75(2): 252-259.</w:t>
      </w:r>
    </w:p>
    <w:p w:rsidR="00392921" w:rsidRDefault="00392921">
      <w:pPr>
        <w:spacing w:line="60" w:lineRule="exact"/>
        <w:rPr>
          <w:sz w:val="20"/>
          <w:szCs w:val="20"/>
        </w:rPr>
      </w:pPr>
    </w:p>
    <w:p w:rsidR="00392921" w:rsidRDefault="00DA308A">
      <w:pPr>
        <w:spacing w:line="271" w:lineRule="auto"/>
        <w:ind w:hanging="238"/>
        <w:jc w:val="both"/>
        <w:rPr>
          <w:sz w:val="20"/>
          <w:szCs w:val="20"/>
        </w:rPr>
      </w:pPr>
      <w:r>
        <w:rPr>
          <w:rFonts w:eastAsia="Times New Roman"/>
          <w:sz w:val="19"/>
          <w:szCs w:val="19"/>
        </w:rPr>
        <w:t>Wong WY, Thomas CM, Merkus JM, Zielhuis GA, and Steegers-Theunissen RP (2000) Male factor subfertility: possible causes and the impact of nutritional factors. Fertility and Sterility 73(3): 4</w:t>
      </w:r>
      <w:r>
        <w:rPr>
          <w:rFonts w:eastAsia="Times New Roman"/>
          <w:sz w:val="19"/>
          <w:szCs w:val="19"/>
        </w:rPr>
        <w:t>35-442.</w:t>
      </w:r>
    </w:p>
    <w:p w:rsidR="00392921" w:rsidRDefault="00392921">
      <w:pPr>
        <w:spacing w:line="200" w:lineRule="exact"/>
        <w:rPr>
          <w:sz w:val="20"/>
          <w:szCs w:val="20"/>
        </w:rPr>
      </w:pPr>
    </w:p>
    <w:p w:rsidR="00392921" w:rsidRDefault="00392921">
      <w:pPr>
        <w:sectPr w:rsidR="00392921">
          <w:type w:val="continuous"/>
          <w:pgSz w:w="11900" w:h="15876"/>
          <w:pgMar w:top="766" w:right="1246" w:bottom="0" w:left="1000" w:header="0" w:footer="0" w:gutter="0"/>
          <w:cols w:num="2" w:space="720" w:equalWidth="0">
            <w:col w:w="4700" w:space="480"/>
            <w:col w:w="4480"/>
          </w:cols>
        </w:sect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spacing w:line="200" w:lineRule="exact"/>
        <w:rPr>
          <w:sz w:val="20"/>
          <w:szCs w:val="20"/>
        </w:rPr>
      </w:pPr>
    </w:p>
    <w:p w:rsidR="00392921" w:rsidRDefault="00392921">
      <w:pPr>
        <w:ind w:right="-239"/>
        <w:jc w:val="center"/>
        <w:rPr>
          <w:rFonts w:ascii="Arial" w:eastAsia="Arial" w:hAnsi="Arial" w:cs="Arial"/>
          <w:sz w:val="10"/>
          <w:szCs w:val="10"/>
        </w:rPr>
      </w:pPr>
    </w:p>
    <w:sectPr w:rsidR="00392921">
      <w:type w:val="continuous"/>
      <w:pgSz w:w="11900" w:h="15876"/>
      <w:pgMar w:top="766" w:right="1246" w:bottom="0" w:left="1000" w:header="0" w:footer="0" w:gutter="0"/>
      <w:cols w:space="720" w:equalWidth="0">
        <w:col w:w="96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95CFF"/>
    <w:multiLevelType w:val="hybridMultilevel"/>
    <w:tmpl w:val="41D86CC6"/>
    <w:lvl w:ilvl="0" w:tplc="75523EC6">
      <w:start w:val="6"/>
      <w:numFmt w:val="upperLetter"/>
      <w:lvlText w:val="(%1)"/>
      <w:lvlJc w:val="left"/>
    </w:lvl>
    <w:lvl w:ilvl="1" w:tplc="B894BDAA">
      <w:numFmt w:val="decimal"/>
      <w:lvlText w:val=""/>
      <w:lvlJc w:val="left"/>
    </w:lvl>
    <w:lvl w:ilvl="2" w:tplc="96B63676">
      <w:numFmt w:val="decimal"/>
      <w:lvlText w:val=""/>
      <w:lvlJc w:val="left"/>
    </w:lvl>
    <w:lvl w:ilvl="3" w:tplc="A3C89D5C">
      <w:numFmt w:val="decimal"/>
      <w:lvlText w:val=""/>
      <w:lvlJc w:val="left"/>
    </w:lvl>
    <w:lvl w:ilvl="4" w:tplc="46688B5C">
      <w:numFmt w:val="decimal"/>
      <w:lvlText w:val=""/>
      <w:lvlJc w:val="left"/>
    </w:lvl>
    <w:lvl w:ilvl="5" w:tplc="A86A5B52">
      <w:numFmt w:val="decimal"/>
      <w:lvlText w:val=""/>
      <w:lvlJc w:val="left"/>
    </w:lvl>
    <w:lvl w:ilvl="6" w:tplc="BF3CDD82">
      <w:numFmt w:val="decimal"/>
      <w:lvlText w:val=""/>
      <w:lvlJc w:val="left"/>
    </w:lvl>
    <w:lvl w:ilvl="7" w:tplc="68D4EFB6">
      <w:numFmt w:val="decimal"/>
      <w:lvlText w:val=""/>
      <w:lvlJc w:val="left"/>
    </w:lvl>
    <w:lvl w:ilvl="8" w:tplc="D60AC804">
      <w:numFmt w:val="decimal"/>
      <w:lvlText w:val=""/>
      <w:lvlJc w:val="left"/>
    </w:lvl>
  </w:abstractNum>
  <w:abstractNum w:abstractNumId="1" w15:restartNumberingAfterBreak="0">
    <w:nsid w:val="66334873"/>
    <w:multiLevelType w:val="hybridMultilevel"/>
    <w:tmpl w:val="B07056DA"/>
    <w:lvl w:ilvl="0" w:tplc="48925FE0">
      <w:start w:val="1"/>
      <w:numFmt w:val="bullet"/>
      <w:lvlText w:val="&gt;&gt;"/>
      <w:lvlJc w:val="left"/>
    </w:lvl>
    <w:lvl w:ilvl="1" w:tplc="9C6A3F4A">
      <w:numFmt w:val="decimal"/>
      <w:lvlText w:val=""/>
      <w:lvlJc w:val="left"/>
    </w:lvl>
    <w:lvl w:ilvl="2" w:tplc="7BDE7E3C">
      <w:numFmt w:val="decimal"/>
      <w:lvlText w:val=""/>
      <w:lvlJc w:val="left"/>
    </w:lvl>
    <w:lvl w:ilvl="3" w:tplc="5964C4E6">
      <w:numFmt w:val="decimal"/>
      <w:lvlText w:val=""/>
      <w:lvlJc w:val="left"/>
    </w:lvl>
    <w:lvl w:ilvl="4" w:tplc="42A62768">
      <w:numFmt w:val="decimal"/>
      <w:lvlText w:val=""/>
      <w:lvlJc w:val="left"/>
    </w:lvl>
    <w:lvl w:ilvl="5" w:tplc="1C5E86C6">
      <w:numFmt w:val="decimal"/>
      <w:lvlText w:val=""/>
      <w:lvlJc w:val="left"/>
    </w:lvl>
    <w:lvl w:ilvl="6" w:tplc="F67C83E2">
      <w:numFmt w:val="decimal"/>
      <w:lvlText w:val=""/>
      <w:lvlJc w:val="left"/>
    </w:lvl>
    <w:lvl w:ilvl="7" w:tplc="F7760E4A">
      <w:numFmt w:val="decimal"/>
      <w:lvlText w:val=""/>
      <w:lvlJc w:val="left"/>
    </w:lvl>
    <w:lvl w:ilvl="8" w:tplc="84CC2B3E">
      <w:numFmt w:val="decimal"/>
      <w:lvlText w:val=""/>
      <w:lvlJc w:val="left"/>
    </w:lvl>
  </w:abstractNum>
  <w:abstractNum w:abstractNumId="2" w15:restartNumberingAfterBreak="0">
    <w:nsid w:val="74B0DC51"/>
    <w:multiLevelType w:val="hybridMultilevel"/>
    <w:tmpl w:val="468CECF6"/>
    <w:lvl w:ilvl="0" w:tplc="2B7CBD0C">
      <w:start w:val="1"/>
      <w:numFmt w:val="bullet"/>
      <w:lvlText w:val="ª"/>
      <w:lvlJc w:val="left"/>
    </w:lvl>
    <w:lvl w:ilvl="1" w:tplc="F648EF80">
      <w:numFmt w:val="decimal"/>
      <w:lvlText w:val=""/>
      <w:lvlJc w:val="left"/>
    </w:lvl>
    <w:lvl w:ilvl="2" w:tplc="B35EA7A2">
      <w:numFmt w:val="decimal"/>
      <w:lvlText w:val=""/>
      <w:lvlJc w:val="left"/>
    </w:lvl>
    <w:lvl w:ilvl="3" w:tplc="879E4D46">
      <w:numFmt w:val="decimal"/>
      <w:lvlText w:val=""/>
      <w:lvlJc w:val="left"/>
    </w:lvl>
    <w:lvl w:ilvl="4" w:tplc="D632EF06">
      <w:numFmt w:val="decimal"/>
      <w:lvlText w:val=""/>
      <w:lvlJc w:val="left"/>
    </w:lvl>
    <w:lvl w:ilvl="5" w:tplc="71902524">
      <w:numFmt w:val="decimal"/>
      <w:lvlText w:val=""/>
      <w:lvlJc w:val="left"/>
    </w:lvl>
    <w:lvl w:ilvl="6" w:tplc="2C261ADA">
      <w:numFmt w:val="decimal"/>
      <w:lvlText w:val=""/>
      <w:lvlJc w:val="left"/>
    </w:lvl>
    <w:lvl w:ilvl="7" w:tplc="9E640B62">
      <w:numFmt w:val="decimal"/>
      <w:lvlText w:val=""/>
      <w:lvlJc w:val="left"/>
    </w:lvl>
    <w:lvl w:ilvl="8" w:tplc="2896886C">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921"/>
    <w:rsid w:val="003803CD"/>
    <w:rsid w:val="00392921"/>
    <w:rsid w:val="00DA30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FA491D4"/>
  <w15:docId w15:val="{93DDAB65-3D2D-4248-B9CE-ADA90458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5435</Words>
  <Characters>30982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Mansour M.A.M.</cp:lastModifiedBy>
  <cp:revision>2</cp:revision>
  <dcterms:created xsi:type="dcterms:W3CDTF">2020-08-07T23:10:00Z</dcterms:created>
  <dcterms:modified xsi:type="dcterms:W3CDTF">2020-08-07T23:10:00Z</dcterms:modified>
</cp:coreProperties>
</file>