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E33" w:rsidRPr="009B4B6B" w:rsidRDefault="00C51E33" w:rsidP="003568EC">
      <w:pPr>
        <w:spacing w:line="240" w:lineRule="auto"/>
        <w:rPr>
          <w:rFonts w:ascii="Arial" w:hAnsi="Arial" w:cs="Arial"/>
          <w:b/>
        </w:rPr>
      </w:pPr>
      <w:bookmarkStart w:id="0" w:name="_GoBack"/>
      <w:bookmarkEnd w:id="0"/>
      <w:r w:rsidRPr="009B4B6B">
        <w:rPr>
          <w:rFonts w:ascii="Arial" w:hAnsi="Arial" w:cs="Arial"/>
          <w:b/>
        </w:rPr>
        <w:t>Editorial</w:t>
      </w:r>
    </w:p>
    <w:p w:rsidR="00C51E33" w:rsidRDefault="00C51E33" w:rsidP="003568EC">
      <w:pPr>
        <w:spacing w:line="240" w:lineRule="auto"/>
        <w:rPr>
          <w:rFonts w:ascii="Arial" w:hAnsi="Arial" w:cs="Arial"/>
        </w:rPr>
      </w:pPr>
      <w:r>
        <w:rPr>
          <w:rFonts w:ascii="Arial" w:hAnsi="Arial" w:cs="Arial"/>
        </w:rPr>
        <w:t>Lesley Baillie, Visiting Professor, London South Bank University</w:t>
      </w:r>
    </w:p>
    <w:p w:rsidR="00C51E33" w:rsidRDefault="00C51E33" w:rsidP="003568EC">
      <w:pPr>
        <w:spacing w:line="240" w:lineRule="auto"/>
        <w:rPr>
          <w:rFonts w:ascii="Arial" w:hAnsi="Arial" w:cs="Arial"/>
        </w:rPr>
      </w:pPr>
    </w:p>
    <w:p w:rsidR="003568EC" w:rsidRDefault="009B4B6B" w:rsidP="003568EC">
      <w:pPr>
        <w:spacing w:line="240" w:lineRule="auto"/>
        <w:rPr>
          <w:rFonts w:ascii="Arial" w:hAnsi="Arial" w:cs="Arial"/>
        </w:rPr>
      </w:pPr>
      <w:r>
        <w:rPr>
          <w:rFonts w:ascii="Arial" w:hAnsi="Arial" w:cs="Arial"/>
        </w:rPr>
        <w:t>The quality and quantity of the nursing workforce is central to care quality and effective healthcare services. Therefore, h</w:t>
      </w:r>
      <w:r w:rsidR="00C51E33">
        <w:rPr>
          <w:rFonts w:ascii="Arial" w:hAnsi="Arial" w:cs="Arial"/>
        </w:rPr>
        <w:t xml:space="preserve">ow we prepare students during initial nurse education, and </w:t>
      </w:r>
      <w:r>
        <w:rPr>
          <w:rFonts w:ascii="Arial" w:hAnsi="Arial" w:cs="Arial"/>
        </w:rPr>
        <w:t xml:space="preserve">the </w:t>
      </w:r>
      <w:r w:rsidR="00C51E33">
        <w:rPr>
          <w:rFonts w:ascii="Arial" w:hAnsi="Arial" w:cs="Arial"/>
        </w:rPr>
        <w:t xml:space="preserve">continuing education </w:t>
      </w:r>
      <w:r>
        <w:rPr>
          <w:rFonts w:ascii="Arial" w:hAnsi="Arial" w:cs="Arial"/>
        </w:rPr>
        <w:t xml:space="preserve">of </w:t>
      </w:r>
      <w:r w:rsidR="00C51E33">
        <w:rPr>
          <w:rFonts w:ascii="Arial" w:hAnsi="Arial" w:cs="Arial"/>
        </w:rPr>
        <w:t>the nursing workforce, is a critical issue</w:t>
      </w:r>
      <w:r>
        <w:rPr>
          <w:rFonts w:ascii="Arial" w:hAnsi="Arial" w:cs="Arial"/>
        </w:rPr>
        <w:t>.</w:t>
      </w:r>
      <w:r w:rsidR="00C51E33">
        <w:rPr>
          <w:rFonts w:ascii="Arial" w:hAnsi="Arial" w:cs="Arial"/>
        </w:rPr>
        <w:t xml:space="preserve">  </w:t>
      </w:r>
      <w:r w:rsidR="003568EC" w:rsidRPr="0091758F">
        <w:rPr>
          <w:rFonts w:ascii="Arial" w:hAnsi="Arial" w:cs="Arial"/>
        </w:rPr>
        <w:t xml:space="preserve">This </w:t>
      </w:r>
      <w:r w:rsidR="000268D2">
        <w:rPr>
          <w:rFonts w:ascii="Arial" w:hAnsi="Arial" w:cs="Arial"/>
        </w:rPr>
        <w:t>focus</w:t>
      </w:r>
      <w:r w:rsidR="003568EC">
        <w:rPr>
          <w:rFonts w:ascii="Arial" w:hAnsi="Arial" w:cs="Arial"/>
        </w:rPr>
        <w:t xml:space="preserve"> </w:t>
      </w:r>
      <w:r w:rsidR="003568EC" w:rsidRPr="0091758F">
        <w:rPr>
          <w:rFonts w:ascii="Arial" w:hAnsi="Arial" w:cs="Arial"/>
        </w:rPr>
        <w:t xml:space="preserve">edition </w:t>
      </w:r>
      <w:r w:rsidR="003568EC">
        <w:rPr>
          <w:rFonts w:ascii="Arial" w:hAnsi="Arial" w:cs="Arial"/>
        </w:rPr>
        <w:t>on nurse education</w:t>
      </w:r>
      <w:r w:rsidR="000268D2">
        <w:rPr>
          <w:rFonts w:ascii="Arial" w:hAnsi="Arial" w:cs="Arial"/>
        </w:rPr>
        <w:t xml:space="preserve"> includes</w:t>
      </w:r>
      <w:r w:rsidR="003568EC">
        <w:rPr>
          <w:rFonts w:ascii="Arial" w:hAnsi="Arial" w:cs="Arial"/>
        </w:rPr>
        <w:t xml:space="preserve"> papers </w:t>
      </w:r>
      <w:r w:rsidR="00764C8E">
        <w:rPr>
          <w:rFonts w:ascii="Arial" w:hAnsi="Arial" w:cs="Arial"/>
        </w:rPr>
        <w:t xml:space="preserve">that </w:t>
      </w:r>
      <w:r w:rsidR="003568EC">
        <w:rPr>
          <w:rFonts w:ascii="Arial" w:hAnsi="Arial" w:cs="Arial"/>
        </w:rPr>
        <w:t>provid</w:t>
      </w:r>
      <w:r w:rsidR="00764C8E">
        <w:rPr>
          <w:rFonts w:ascii="Arial" w:hAnsi="Arial" w:cs="Arial"/>
        </w:rPr>
        <w:t>e</w:t>
      </w:r>
      <w:r w:rsidR="003568EC">
        <w:rPr>
          <w:rFonts w:ascii="Arial" w:hAnsi="Arial" w:cs="Arial"/>
        </w:rPr>
        <w:t xml:space="preserve"> critical perspectives, report</w:t>
      </w:r>
      <w:r w:rsidR="00005477">
        <w:rPr>
          <w:rFonts w:ascii="Arial" w:hAnsi="Arial" w:cs="Arial"/>
        </w:rPr>
        <w:t>s of</w:t>
      </w:r>
      <w:r w:rsidR="003568EC">
        <w:rPr>
          <w:rFonts w:ascii="Arial" w:hAnsi="Arial" w:cs="Arial"/>
        </w:rPr>
        <w:t xml:space="preserve"> </w:t>
      </w:r>
      <w:r w:rsidR="00764C8E">
        <w:rPr>
          <w:rFonts w:ascii="Arial" w:hAnsi="Arial" w:cs="Arial"/>
        </w:rPr>
        <w:t xml:space="preserve">nursing curricula </w:t>
      </w:r>
      <w:r w:rsidR="003568EC">
        <w:rPr>
          <w:rFonts w:ascii="Arial" w:hAnsi="Arial" w:cs="Arial"/>
        </w:rPr>
        <w:t>initiatives</w:t>
      </w:r>
      <w:r w:rsidR="00764C8E">
        <w:rPr>
          <w:rFonts w:ascii="Arial" w:hAnsi="Arial" w:cs="Arial"/>
        </w:rPr>
        <w:t>,</w:t>
      </w:r>
      <w:r w:rsidR="003568EC">
        <w:rPr>
          <w:rFonts w:ascii="Arial" w:hAnsi="Arial" w:cs="Arial"/>
        </w:rPr>
        <w:t xml:space="preserve"> and </w:t>
      </w:r>
      <w:r w:rsidR="00764C8E">
        <w:rPr>
          <w:rFonts w:ascii="Arial" w:hAnsi="Arial" w:cs="Arial"/>
        </w:rPr>
        <w:t xml:space="preserve">evaluations of approaches </w:t>
      </w:r>
      <w:r w:rsidR="00005477">
        <w:rPr>
          <w:rFonts w:ascii="Arial" w:hAnsi="Arial" w:cs="Arial"/>
        </w:rPr>
        <w:t>for</w:t>
      </w:r>
      <w:r w:rsidR="003568EC">
        <w:rPr>
          <w:rFonts w:ascii="Arial" w:hAnsi="Arial" w:cs="Arial"/>
        </w:rPr>
        <w:t xml:space="preserve"> teaching and learning, </w:t>
      </w:r>
      <w:r w:rsidR="00764C8E">
        <w:rPr>
          <w:rFonts w:ascii="Arial" w:hAnsi="Arial" w:cs="Arial"/>
        </w:rPr>
        <w:t xml:space="preserve">using different research approaches. </w:t>
      </w:r>
    </w:p>
    <w:p w:rsidR="00C5050C" w:rsidRDefault="0091758F" w:rsidP="00B07FCC">
      <w:pPr>
        <w:spacing w:line="240" w:lineRule="auto"/>
        <w:rPr>
          <w:rFonts w:ascii="Arial" w:hAnsi="Arial" w:cs="Arial"/>
        </w:rPr>
      </w:pPr>
      <w:r>
        <w:rPr>
          <w:rFonts w:ascii="Arial" w:hAnsi="Arial" w:cs="Arial"/>
        </w:rPr>
        <w:t>Nurs</w:t>
      </w:r>
      <w:r w:rsidR="00F173D7">
        <w:rPr>
          <w:rFonts w:ascii="Arial" w:hAnsi="Arial" w:cs="Arial"/>
        </w:rPr>
        <w:t>e</w:t>
      </w:r>
      <w:r>
        <w:rPr>
          <w:rFonts w:ascii="Arial" w:hAnsi="Arial" w:cs="Arial"/>
        </w:rPr>
        <w:t xml:space="preserve"> education has </w:t>
      </w:r>
      <w:r w:rsidR="003568EC">
        <w:rPr>
          <w:rFonts w:ascii="Arial" w:hAnsi="Arial" w:cs="Arial"/>
        </w:rPr>
        <w:t>been transformed</w:t>
      </w:r>
      <w:r>
        <w:rPr>
          <w:rFonts w:ascii="Arial" w:hAnsi="Arial" w:cs="Arial"/>
        </w:rPr>
        <w:t xml:space="preserve"> over the last few decades, driven by  changes in society, higher education and healthcare policy</w:t>
      </w:r>
      <w:r w:rsidR="00D033DC">
        <w:rPr>
          <w:rFonts w:ascii="Arial" w:hAnsi="Arial" w:cs="Arial"/>
        </w:rPr>
        <w:t xml:space="preserve">, including funding </w:t>
      </w:r>
      <w:r w:rsidR="003568EC">
        <w:rPr>
          <w:rFonts w:ascii="Arial" w:hAnsi="Arial" w:cs="Arial"/>
        </w:rPr>
        <w:t>arrangements</w:t>
      </w:r>
      <w:r>
        <w:rPr>
          <w:rFonts w:ascii="Arial" w:hAnsi="Arial" w:cs="Arial"/>
        </w:rPr>
        <w:t xml:space="preserve">. </w:t>
      </w:r>
      <w:r w:rsidR="00764C8E">
        <w:rPr>
          <w:rFonts w:ascii="Arial" w:hAnsi="Arial" w:cs="Arial"/>
        </w:rPr>
        <w:t>I’ve observed that, i</w:t>
      </w:r>
      <w:r w:rsidR="00855282">
        <w:rPr>
          <w:rFonts w:ascii="Arial" w:hAnsi="Arial" w:cs="Arial"/>
        </w:rPr>
        <w:t xml:space="preserve">n the UK, changes to nurse education </w:t>
      </w:r>
      <w:r>
        <w:rPr>
          <w:rFonts w:ascii="Arial" w:hAnsi="Arial" w:cs="Arial"/>
        </w:rPr>
        <w:t>often attract interest</w:t>
      </w:r>
      <w:r w:rsidR="00D033DC">
        <w:rPr>
          <w:rFonts w:ascii="Arial" w:hAnsi="Arial" w:cs="Arial"/>
        </w:rPr>
        <w:t xml:space="preserve"> </w:t>
      </w:r>
      <w:r>
        <w:rPr>
          <w:rFonts w:ascii="Arial" w:hAnsi="Arial" w:cs="Arial"/>
        </w:rPr>
        <w:t xml:space="preserve">from </w:t>
      </w:r>
      <w:r w:rsidR="00855282">
        <w:rPr>
          <w:rFonts w:ascii="Arial" w:hAnsi="Arial" w:cs="Arial"/>
        </w:rPr>
        <w:t xml:space="preserve">politicians, </w:t>
      </w:r>
      <w:r>
        <w:rPr>
          <w:rFonts w:ascii="Arial" w:hAnsi="Arial" w:cs="Arial"/>
        </w:rPr>
        <w:t>the public</w:t>
      </w:r>
      <w:r w:rsidR="00855282">
        <w:rPr>
          <w:rFonts w:ascii="Arial" w:hAnsi="Arial" w:cs="Arial"/>
        </w:rPr>
        <w:t xml:space="preserve">, and the </w:t>
      </w:r>
      <w:r>
        <w:rPr>
          <w:rFonts w:ascii="Arial" w:hAnsi="Arial" w:cs="Arial"/>
        </w:rPr>
        <w:t>media</w:t>
      </w:r>
      <w:r w:rsidR="00120960">
        <w:rPr>
          <w:rFonts w:ascii="Arial" w:hAnsi="Arial" w:cs="Arial"/>
        </w:rPr>
        <w:t xml:space="preserve">. </w:t>
      </w:r>
      <w:r w:rsidR="00764C8E">
        <w:rPr>
          <w:rFonts w:ascii="Arial" w:hAnsi="Arial" w:cs="Arial"/>
        </w:rPr>
        <w:t>It seems that</w:t>
      </w:r>
      <w:r w:rsidR="00120960">
        <w:rPr>
          <w:rFonts w:ascii="Arial" w:hAnsi="Arial" w:cs="Arial"/>
        </w:rPr>
        <w:t xml:space="preserve"> some commentators </w:t>
      </w:r>
      <w:r w:rsidR="00855282">
        <w:rPr>
          <w:rFonts w:ascii="Arial" w:hAnsi="Arial" w:cs="Arial"/>
        </w:rPr>
        <w:t xml:space="preserve">expect </w:t>
      </w:r>
      <w:r w:rsidR="003568EC">
        <w:rPr>
          <w:rFonts w:ascii="Arial" w:hAnsi="Arial" w:cs="Arial"/>
        </w:rPr>
        <w:t>nurse education</w:t>
      </w:r>
      <w:r w:rsidR="00855282">
        <w:rPr>
          <w:rFonts w:ascii="Arial" w:hAnsi="Arial" w:cs="Arial"/>
        </w:rPr>
        <w:t xml:space="preserve"> to </w:t>
      </w:r>
      <w:r w:rsidR="00764C8E">
        <w:rPr>
          <w:rFonts w:ascii="Arial" w:hAnsi="Arial" w:cs="Arial"/>
        </w:rPr>
        <w:t>continue</w:t>
      </w:r>
      <w:r w:rsidR="00855282">
        <w:rPr>
          <w:rFonts w:ascii="Arial" w:hAnsi="Arial" w:cs="Arial"/>
        </w:rPr>
        <w:t xml:space="preserve"> </w:t>
      </w:r>
      <w:r w:rsidR="00120960">
        <w:rPr>
          <w:rFonts w:ascii="Arial" w:hAnsi="Arial" w:cs="Arial"/>
        </w:rPr>
        <w:t>unchanged</w:t>
      </w:r>
      <w:r>
        <w:rPr>
          <w:rFonts w:ascii="Arial" w:hAnsi="Arial" w:cs="Arial"/>
        </w:rPr>
        <w:t xml:space="preserve"> </w:t>
      </w:r>
      <w:r w:rsidR="00120960">
        <w:rPr>
          <w:rFonts w:ascii="Arial" w:hAnsi="Arial" w:cs="Arial"/>
        </w:rPr>
        <w:t>an</w:t>
      </w:r>
      <w:r w:rsidR="008C1648">
        <w:rPr>
          <w:rFonts w:ascii="Arial" w:hAnsi="Arial" w:cs="Arial"/>
        </w:rPr>
        <w:t xml:space="preserve">d </w:t>
      </w:r>
      <w:r w:rsidR="00120960">
        <w:rPr>
          <w:rFonts w:ascii="Arial" w:hAnsi="Arial" w:cs="Arial"/>
        </w:rPr>
        <w:t>n</w:t>
      </w:r>
      <w:r>
        <w:rPr>
          <w:rFonts w:ascii="Arial" w:hAnsi="Arial" w:cs="Arial"/>
        </w:rPr>
        <w:t xml:space="preserve">urses themselves </w:t>
      </w:r>
      <w:r w:rsidR="008C1648">
        <w:rPr>
          <w:rFonts w:ascii="Arial" w:hAnsi="Arial" w:cs="Arial"/>
        </w:rPr>
        <w:t>often</w:t>
      </w:r>
      <w:r>
        <w:rPr>
          <w:rFonts w:ascii="Arial" w:hAnsi="Arial" w:cs="Arial"/>
        </w:rPr>
        <w:t xml:space="preserve"> look back at their own </w:t>
      </w:r>
      <w:r w:rsidR="00D033DC">
        <w:rPr>
          <w:rFonts w:ascii="Arial" w:hAnsi="Arial" w:cs="Arial"/>
        </w:rPr>
        <w:t xml:space="preserve">initial </w:t>
      </w:r>
      <w:r>
        <w:rPr>
          <w:rFonts w:ascii="Arial" w:hAnsi="Arial" w:cs="Arial"/>
        </w:rPr>
        <w:t xml:space="preserve">education through </w:t>
      </w:r>
      <w:r w:rsidR="009B4B6B">
        <w:rPr>
          <w:rFonts w:ascii="Arial" w:hAnsi="Arial" w:cs="Arial"/>
        </w:rPr>
        <w:t>‘</w:t>
      </w:r>
      <w:r>
        <w:rPr>
          <w:rFonts w:ascii="Arial" w:hAnsi="Arial" w:cs="Arial"/>
        </w:rPr>
        <w:t>rose-coloured spectacles</w:t>
      </w:r>
      <w:r w:rsidR="009B4B6B">
        <w:rPr>
          <w:rFonts w:ascii="Arial" w:hAnsi="Arial" w:cs="Arial"/>
        </w:rPr>
        <w:t>’</w:t>
      </w:r>
      <w:r w:rsidR="00764C8E">
        <w:rPr>
          <w:rFonts w:ascii="Arial" w:hAnsi="Arial" w:cs="Arial"/>
        </w:rPr>
        <w:t>,</w:t>
      </w:r>
      <w:r>
        <w:rPr>
          <w:rFonts w:ascii="Arial" w:hAnsi="Arial" w:cs="Arial"/>
        </w:rPr>
        <w:t xml:space="preserve"> </w:t>
      </w:r>
      <w:r w:rsidR="00120960">
        <w:rPr>
          <w:rFonts w:ascii="Arial" w:hAnsi="Arial" w:cs="Arial"/>
        </w:rPr>
        <w:t>without</w:t>
      </w:r>
      <w:r w:rsidR="00D033DC">
        <w:rPr>
          <w:rFonts w:ascii="Arial" w:hAnsi="Arial" w:cs="Arial"/>
        </w:rPr>
        <w:t xml:space="preserve"> </w:t>
      </w:r>
      <w:r w:rsidR="00855282">
        <w:rPr>
          <w:rFonts w:ascii="Arial" w:hAnsi="Arial" w:cs="Arial"/>
        </w:rPr>
        <w:t>acknowledging</w:t>
      </w:r>
      <w:r w:rsidR="00D033DC">
        <w:rPr>
          <w:rFonts w:ascii="Arial" w:hAnsi="Arial" w:cs="Arial"/>
        </w:rPr>
        <w:t xml:space="preserve"> </w:t>
      </w:r>
      <w:r w:rsidR="00764C8E">
        <w:rPr>
          <w:rFonts w:ascii="Arial" w:hAnsi="Arial" w:cs="Arial"/>
        </w:rPr>
        <w:t>differences in</w:t>
      </w:r>
      <w:r w:rsidR="00D033DC">
        <w:rPr>
          <w:rFonts w:ascii="Arial" w:hAnsi="Arial" w:cs="Arial"/>
        </w:rPr>
        <w:t xml:space="preserve"> healthcare at that time. My own </w:t>
      </w:r>
      <w:r w:rsidR="003568EC">
        <w:rPr>
          <w:rFonts w:ascii="Arial" w:hAnsi="Arial" w:cs="Arial"/>
        </w:rPr>
        <w:t>nurse education</w:t>
      </w:r>
      <w:r w:rsidR="00D033DC">
        <w:rPr>
          <w:rFonts w:ascii="Arial" w:hAnsi="Arial" w:cs="Arial"/>
        </w:rPr>
        <w:t xml:space="preserve"> started in 1974, following a standard apprenticeship</w:t>
      </w:r>
      <w:r w:rsidR="00120960">
        <w:rPr>
          <w:rFonts w:ascii="Arial" w:hAnsi="Arial" w:cs="Arial"/>
        </w:rPr>
        <w:t>-</w:t>
      </w:r>
      <w:r w:rsidR="003568EC">
        <w:rPr>
          <w:rFonts w:ascii="Arial" w:hAnsi="Arial" w:cs="Arial"/>
        </w:rPr>
        <w:t xml:space="preserve">style </w:t>
      </w:r>
      <w:r w:rsidR="00D033DC">
        <w:rPr>
          <w:rFonts w:ascii="Arial" w:hAnsi="Arial" w:cs="Arial"/>
        </w:rPr>
        <w:t>route</w:t>
      </w:r>
      <w:r w:rsidR="00120960">
        <w:rPr>
          <w:rFonts w:ascii="Arial" w:hAnsi="Arial" w:cs="Arial"/>
        </w:rPr>
        <w:t>:</w:t>
      </w:r>
      <w:r w:rsidR="00D033DC">
        <w:rPr>
          <w:rFonts w:ascii="Arial" w:hAnsi="Arial" w:cs="Arial"/>
        </w:rPr>
        <w:t xml:space="preserve"> learning while working</w:t>
      </w:r>
      <w:r w:rsidR="00764C8E">
        <w:rPr>
          <w:rFonts w:ascii="Arial" w:hAnsi="Arial" w:cs="Arial"/>
        </w:rPr>
        <w:t xml:space="preserve"> in practice</w:t>
      </w:r>
      <w:r w:rsidR="00D033DC">
        <w:rPr>
          <w:rFonts w:ascii="Arial" w:hAnsi="Arial" w:cs="Arial"/>
        </w:rPr>
        <w:t xml:space="preserve">, </w:t>
      </w:r>
      <w:r w:rsidR="00764C8E">
        <w:rPr>
          <w:rFonts w:ascii="Arial" w:hAnsi="Arial" w:cs="Arial"/>
        </w:rPr>
        <w:t xml:space="preserve">with </w:t>
      </w:r>
      <w:r w:rsidR="00D033DC">
        <w:rPr>
          <w:rFonts w:ascii="Arial" w:hAnsi="Arial" w:cs="Arial"/>
        </w:rPr>
        <w:t xml:space="preserve">minimal supervision, </w:t>
      </w:r>
      <w:r w:rsidR="00764C8E">
        <w:rPr>
          <w:rFonts w:ascii="Arial" w:hAnsi="Arial" w:cs="Arial"/>
        </w:rPr>
        <w:t xml:space="preserve">interspersed with </w:t>
      </w:r>
      <w:r w:rsidR="00D033DC">
        <w:rPr>
          <w:rFonts w:ascii="Arial" w:hAnsi="Arial" w:cs="Arial"/>
        </w:rPr>
        <w:t xml:space="preserve">blocks of lectures. </w:t>
      </w:r>
      <w:r w:rsidR="001A6A95">
        <w:rPr>
          <w:rFonts w:ascii="Arial" w:hAnsi="Arial" w:cs="Arial"/>
        </w:rPr>
        <w:t>A</w:t>
      </w:r>
      <w:r w:rsidR="00D033DC">
        <w:rPr>
          <w:rFonts w:ascii="Arial" w:hAnsi="Arial" w:cs="Arial"/>
        </w:rPr>
        <w:t>s student nurses</w:t>
      </w:r>
      <w:r w:rsidR="001A6A95">
        <w:rPr>
          <w:rFonts w:ascii="Arial" w:hAnsi="Arial" w:cs="Arial"/>
        </w:rPr>
        <w:t xml:space="preserve">, we </w:t>
      </w:r>
      <w:r w:rsidR="00D033DC">
        <w:rPr>
          <w:rFonts w:ascii="Arial" w:hAnsi="Arial" w:cs="Arial"/>
        </w:rPr>
        <w:t>provide</w:t>
      </w:r>
      <w:r w:rsidR="001A6A95">
        <w:rPr>
          <w:rFonts w:ascii="Arial" w:hAnsi="Arial" w:cs="Arial"/>
        </w:rPr>
        <w:t>d</w:t>
      </w:r>
      <w:r w:rsidR="00D033DC">
        <w:rPr>
          <w:rFonts w:ascii="Arial" w:hAnsi="Arial" w:cs="Arial"/>
        </w:rPr>
        <w:t xml:space="preserve"> </w:t>
      </w:r>
      <w:r w:rsidR="001A6A95">
        <w:rPr>
          <w:rFonts w:ascii="Arial" w:hAnsi="Arial" w:cs="Arial"/>
        </w:rPr>
        <w:t xml:space="preserve">most of </w:t>
      </w:r>
      <w:r w:rsidR="00D033DC">
        <w:rPr>
          <w:rFonts w:ascii="Arial" w:hAnsi="Arial" w:cs="Arial"/>
        </w:rPr>
        <w:t xml:space="preserve">the </w:t>
      </w:r>
      <w:r w:rsidR="00855282">
        <w:rPr>
          <w:rFonts w:ascii="Arial" w:hAnsi="Arial" w:cs="Arial"/>
        </w:rPr>
        <w:t xml:space="preserve">nursing </w:t>
      </w:r>
      <w:r w:rsidR="00D033DC">
        <w:rPr>
          <w:rFonts w:ascii="Arial" w:hAnsi="Arial" w:cs="Arial"/>
        </w:rPr>
        <w:t xml:space="preserve">workforce and our training was based </w:t>
      </w:r>
      <w:r w:rsidR="00120960">
        <w:rPr>
          <w:rFonts w:ascii="Arial" w:hAnsi="Arial" w:cs="Arial"/>
        </w:rPr>
        <w:t>mainly</w:t>
      </w:r>
      <w:r w:rsidR="00D033DC">
        <w:rPr>
          <w:rFonts w:ascii="Arial" w:hAnsi="Arial" w:cs="Arial"/>
        </w:rPr>
        <w:t xml:space="preserve"> in hospitals, where healthcare </w:t>
      </w:r>
      <w:r w:rsidR="00C5050C">
        <w:rPr>
          <w:rFonts w:ascii="Arial" w:hAnsi="Arial" w:cs="Arial"/>
        </w:rPr>
        <w:t xml:space="preserve">delivery largely </w:t>
      </w:r>
      <w:r w:rsidR="003568EC">
        <w:rPr>
          <w:rFonts w:ascii="Arial" w:hAnsi="Arial" w:cs="Arial"/>
        </w:rPr>
        <w:t>happened</w:t>
      </w:r>
      <w:r w:rsidR="00D033DC">
        <w:rPr>
          <w:rFonts w:ascii="Arial" w:hAnsi="Arial" w:cs="Arial"/>
        </w:rPr>
        <w:t>. There were many more hospital beds</w:t>
      </w:r>
      <w:r w:rsidR="00764C8E">
        <w:rPr>
          <w:rFonts w:ascii="Arial" w:hAnsi="Arial" w:cs="Arial"/>
        </w:rPr>
        <w:t xml:space="preserve"> in those days</w:t>
      </w:r>
      <w:r w:rsidR="00D033DC">
        <w:rPr>
          <w:rFonts w:ascii="Arial" w:hAnsi="Arial" w:cs="Arial"/>
        </w:rPr>
        <w:t>, patients stayed in much longer but were often less ill</w:t>
      </w:r>
      <w:r w:rsidR="003568EC">
        <w:rPr>
          <w:rFonts w:ascii="Arial" w:hAnsi="Arial" w:cs="Arial"/>
        </w:rPr>
        <w:t>, and the complexity of today’s patients, who have multiple co-morbidities, was rarely encountered</w:t>
      </w:r>
      <w:r w:rsidR="00D033DC">
        <w:rPr>
          <w:rFonts w:ascii="Arial" w:hAnsi="Arial" w:cs="Arial"/>
        </w:rPr>
        <w:t xml:space="preserve">. Indeed, many of us from those days will remember that recovering patients helped with teas and breakfasts in the wards! </w:t>
      </w:r>
      <w:r w:rsidR="001A6A95">
        <w:rPr>
          <w:rFonts w:ascii="Arial" w:hAnsi="Arial" w:cs="Arial"/>
        </w:rPr>
        <w:t xml:space="preserve">The contrast with healthcare today </w:t>
      </w:r>
      <w:r w:rsidR="00C5050C">
        <w:rPr>
          <w:rFonts w:ascii="Arial" w:hAnsi="Arial" w:cs="Arial"/>
        </w:rPr>
        <w:t>could not be greater</w:t>
      </w:r>
      <w:r w:rsidR="00855282">
        <w:rPr>
          <w:rFonts w:ascii="Arial" w:hAnsi="Arial" w:cs="Arial"/>
        </w:rPr>
        <w:t xml:space="preserve"> and my initial nursing education</w:t>
      </w:r>
      <w:r w:rsidR="003568EC">
        <w:rPr>
          <w:rFonts w:ascii="Arial" w:hAnsi="Arial" w:cs="Arial"/>
        </w:rPr>
        <w:t>, though adequate at the time,</w:t>
      </w:r>
      <w:r w:rsidR="00855282">
        <w:rPr>
          <w:rFonts w:ascii="Arial" w:hAnsi="Arial" w:cs="Arial"/>
        </w:rPr>
        <w:t xml:space="preserve"> would certainly not have prepared me for today’s challenges</w:t>
      </w:r>
      <w:r w:rsidR="008C1648">
        <w:rPr>
          <w:rFonts w:ascii="Arial" w:hAnsi="Arial" w:cs="Arial"/>
        </w:rPr>
        <w:t xml:space="preserve">.  </w:t>
      </w:r>
      <w:r w:rsidR="00C5050C">
        <w:rPr>
          <w:rFonts w:ascii="Arial" w:hAnsi="Arial" w:cs="Arial"/>
        </w:rPr>
        <w:t xml:space="preserve">So, nurse education must continue to evolve and be proactive, not just reactive, about providing programmes that meet contemporary and future healthcare needs. </w:t>
      </w:r>
    </w:p>
    <w:p w:rsidR="009B4B6B" w:rsidRDefault="001A6A95" w:rsidP="00DF1B2A">
      <w:pPr>
        <w:spacing w:line="240" w:lineRule="auto"/>
        <w:rPr>
          <w:rFonts w:ascii="Arial" w:hAnsi="Arial" w:cs="Arial"/>
        </w:rPr>
      </w:pPr>
      <w:r>
        <w:rPr>
          <w:rFonts w:ascii="Arial" w:hAnsi="Arial" w:cs="Arial"/>
        </w:rPr>
        <w:t>Th</w:t>
      </w:r>
      <w:r w:rsidR="00C5050C">
        <w:rPr>
          <w:rFonts w:ascii="Arial" w:hAnsi="Arial" w:cs="Arial"/>
        </w:rPr>
        <w:t>e</w:t>
      </w:r>
      <w:r>
        <w:rPr>
          <w:rFonts w:ascii="Arial" w:hAnsi="Arial" w:cs="Arial"/>
        </w:rPr>
        <w:t xml:space="preserve"> importance of </w:t>
      </w:r>
      <w:r w:rsidR="00120960">
        <w:rPr>
          <w:rFonts w:ascii="Arial" w:hAnsi="Arial" w:cs="Arial"/>
        </w:rPr>
        <w:t xml:space="preserve">ensuring that </w:t>
      </w:r>
      <w:r>
        <w:rPr>
          <w:rFonts w:ascii="Arial" w:hAnsi="Arial" w:cs="Arial"/>
        </w:rPr>
        <w:t xml:space="preserve">nurse education </w:t>
      </w:r>
      <w:r w:rsidR="003568EC">
        <w:rPr>
          <w:rFonts w:ascii="Arial" w:hAnsi="Arial" w:cs="Arial"/>
        </w:rPr>
        <w:t xml:space="preserve">prepares </w:t>
      </w:r>
      <w:r w:rsidR="00855282">
        <w:rPr>
          <w:rFonts w:ascii="Arial" w:hAnsi="Arial" w:cs="Arial"/>
        </w:rPr>
        <w:t>students for current and future</w:t>
      </w:r>
      <w:r>
        <w:rPr>
          <w:rFonts w:ascii="Arial" w:hAnsi="Arial" w:cs="Arial"/>
        </w:rPr>
        <w:t xml:space="preserve"> healthcare </w:t>
      </w:r>
      <w:r w:rsidR="00C5050C">
        <w:rPr>
          <w:rFonts w:ascii="Arial" w:hAnsi="Arial" w:cs="Arial"/>
        </w:rPr>
        <w:t xml:space="preserve">needs </w:t>
      </w:r>
      <w:r>
        <w:rPr>
          <w:rFonts w:ascii="Arial" w:hAnsi="Arial" w:cs="Arial"/>
        </w:rPr>
        <w:t xml:space="preserve">is picked up well by Carol Hall and colleagues, </w:t>
      </w:r>
      <w:r w:rsidR="009B4B6B">
        <w:rPr>
          <w:rFonts w:ascii="Arial" w:hAnsi="Arial" w:cs="Arial"/>
        </w:rPr>
        <w:t>as they</w:t>
      </w:r>
      <w:r>
        <w:rPr>
          <w:rFonts w:ascii="Arial" w:hAnsi="Arial" w:cs="Arial"/>
        </w:rPr>
        <w:t xml:space="preserve"> report on their </w:t>
      </w:r>
      <w:r w:rsidR="00855282">
        <w:rPr>
          <w:rFonts w:ascii="Arial" w:hAnsi="Arial" w:cs="Arial"/>
        </w:rPr>
        <w:t>perspectives of</w:t>
      </w:r>
      <w:r>
        <w:rPr>
          <w:rFonts w:ascii="Arial" w:hAnsi="Arial" w:cs="Arial"/>
        </w:rPr>
        <w:t xml:space="preserve"> the 2018 </w:t>
      </w:r>
      <w:r w:rsidR="00855282" w:rsidRPr="00B07FCC">
        <w:rPr>
          <w:rFonts w:ascii="Arial" w:hAnsi="Arial" w:cs="Arial"/>
        </w:rPr>
        <w:t xml:space="preserve">Federation of European Nurse Educators </w:t>
      </w:r>
      <w:r w:rsidR="003568EC">
        <w:rPr>
          <w:rFonts w:ascii="Arial" w:hAnsi="Arial" w:cs="Arial"/>
        </w:rPr>
        <w:t xml:space="preserve">(FINE) </w:t>
      </w:r>
      <w:r>
        <w:rPr>
          <w:rFonts w:ascii="Arial" w:hAnsi="Arial" w:cs="Arial"/>
        </w:rPr>
        <w:t>conference</w:t>
      </w:r>
      <w:r w:rsidR="00855282">
        <w:rPr>
          <w:rFonts w:ascii="Arial" w:hAnsi="Arial" w:cs="Arial"/>
        </w:rPr>
        <w:t xml:space="preserve">, held in Malta. Here, </w:t>
      </w:r>
      <w:r>
        <w:rPr>
          <w:rFonts w:ascii="Arial" w:hAnsi="Arial" w:cs="Arial"/>
        </w:rPr>
        <w:t xml:space="preserve">nurse educators from across </w:t>
      </w:r>
      <w:r w:rsidR="00855282">
        <w:rPr>
          <w:rFonts w:ascii="Arial" w:hAnsi="Arial" w:cs="Arial"/>
        </w:rPr>
        <w:t>the world</w:t>
      </w:r>
      <w:r>
        <w:rPr>
          <w:rFonts w:ascii="Arial" w:hAnsi="Arial" w:cs="Arial"/>
        </w:rPr>
        <w:t xml:space="preserve"> presented on contemporary challenges impacting on nurse education</w:t>
      </w:r>
      <w:r w:rsidR="009B4B6B">
        <w:rPr>
          <w:rFonts w:ascii="Arial" w:hAnsi="Arial" w:cs="Arial"/>
        </w:rPr>
        <w:t>,</w:t>
      </w:r>
      <w:r w:rsidR="00855282">
        <w:rPr>
          <w:rFonts w:ascii="Arial" w:hAnsi="Arial" w:cs="Arial"/>
        </w:rPr>
        <w:t xml:space="preserve"> along with sharing </w:t>
      </w:r>
      <w:r w:rsidR="009B4B6B">
        <w:rPr>
          <w:rFonts w:ascii="Arial" w:hAnsi="Arial" w:cs="Arial"/>
        </w:rPr>
        <w:t xml:space="preserve">innovations and </w:t>
      </w:r>
      <w:r w:rsidR="00855282">
        <w:rPr>
          <w:rFonts w:ascii="Arial" w:hAnsi="Arial" w:cs="Arial"/>
        </w:rPr>
        <w:t xml:space="preserve">advances in education, best practice and research. The authors note </w:t>
      </w:r>
      <w:r w:rsidR="00D82555">
        <w:rPr>
          <w:rFonts w:ascii="Arial" w:hAnsi="Arial" w:cs="Arial"/>
        </w:rPr>
        <w:t xml:space="preserve">common themes that impact on nurse education globally, including </w:t>
      </w:r>
      <w:r w:rsidR="00D82555" w:rsidRPr="00B07FCC">
        <w:rPr>
          <w:rFonts w:ascii="Arial" w:hAnsi="Arial" w:cs="Arial"/>
        </w:rPr>
        <w:t xml:space="preserve">recruitment and retention of </w:t>
      </w:r>
      <w:r w:rsidR="00D82555">
        <w:rPr>
          <w:rFonts w:ascii="Arial" w:hAnsi="Arial" w:cs="Arial"/>
        </w:rPr>
        <w:t xml:space="preserve">a </w:t>
      </w:r>
      <w:r w:rsidR="00D82555" w:rsidRPr="00B07FCC">
        <w:rPr>
          <w:rFonts w:ascii="Arial" w:hAnsi="Arial" w:cs="Arial"/>
        </w:rPr>
        <w:t xml:space="preserve">high quality </w:t>
      </w:r>
      <w:r w:rsidR="00D82555">
        <w:rPr>
          <w:rFonts w:ascii="Arial" w:hAnsi="Arial" w:cs="Arial"/>
        </w:rPr>
        <w:t xml:space="preserve">nursing </w:t>
      </w:r>
      <w:r w:rsidR="00D82555" w:rsidRPr="00B07FCC">
        <w:rPr>
          <w:rFonts w:ascii="Arial" w:hAnsi="Arial" w:cs="Arial"/>
        </w:rPr>
        <w:t>workforce</w:t>
      </w:r>
      <w:r w:rsidR="00D82555">
        <w:rPr>
          <w:rFonts w:ascii="Arial" w:hAnsi="Arial" w:cs="Arial"/>
        </w:rPr>
        <w:t xml:space="preserve"> and the changing demographics of populations. </w:t>
      </w:r>
      <w:r w:rsidR="003568EC">
        <w:rPr>
          <w:rFonts w:ascii="Arial" w:hAnsi="Arial" w:cs="Arial"/>
        </w:rPr>
        <w:t>It</w:t>
      </w:r>
      <w:r w:rsidR="00B54437">
        <w:rPr>
          <w:rFonts w:ascii="Arial" w:hAnsi="Arial" w:cs="Arial"/>
        </w:rPr>
        <w:t xml:space="preserve"> is</w:t>
      </w:r>
      <w:r w:rsidR="003568EC">
        <w:rPr>
          <w:rFonts w:ascii="Arial" w:hAnsi="Arial" w:cs="Arial"/>
        </w:rPr>
        <w:t xml:space="preserve"> pertinent for nurse educators to be mindful that the challenges we face are global, and not just confined to our own country, and </w:t>
      </w:r>
      <w:r w:rsidR="00D82555">
        <w:rPr>
          <w:rFonts w:ascii="Arial" w:hAnsi="Arial" w:cs="Arial"/>
        </w:rPr>
        <w:t xml:space="preserve">Carol Hall </w:t>
      </w:r>
      <w:r w:rsidR="009B4B6B">
        <w:rPr>
          <w:rFonts w:ascii="Arial" w:hAnsi="Arial" w:cs="Arial"/>
        </w:rPr>
        <w:t>et al.</w:t>
      </w:r>
      <w:r w:rsidR="00D82555">
        <w:rPr>
          <w:rFonts w:ascii="Arial" w:hAnsi="Arial" w:cs="Arial"/>
        </w:rPr>
        <w:t xml:space="preserve"> highlight the benefits of collaborating on nurse education across different countries. </w:t>
      </w:r>
      <w:r w:rsidR="009B4B6B">
        <w:rPr>
          <w:rFonts w:ascii="Arial" w:hAnsi="Arial" w:cs="Arial"/>
        </w:rPr>
        <w:t>I</w:t>
      </w:r>
      <w:r w:rsidR="00D82555">
        <w:rPr>
          <w:rFonts w:ascii="Arial" w:hAnsi="Arial" w:cs="Arial"/>
        </w:rPr>
        <w:t xml:space="preserve">n this </w:t>
      </w:r>
      <w:r w:rsidR="000268D2">
        <w:rPr>
          <w:rFonts w:ascii="Arial" w:hAnsi="Arial" w:cs="Arial"/>
        </w:rPr>
        <w:t xml:space="preserve">focus </w:t>
      </w:r>
      <w:r w:rsidR="00D82555">
        <w:rPr>
          <w:rFonts w:ascii="Arial" w:hAnsi="Arial" w:cs="Arial"/>
        </w:rPr>
        <w:t>edition, Steven and colleagues from across Europe report on an innovative example of a</w:t>
      </w:r>
      <w:r w:rsidR="00DF1B2A">
        <w:rPr>
          <w:rFonts w:ascii="Arial" w:hAnsi="Arial" w:cs="Arial"/>
        </w:rPr>
        <w:t>n Erasmus-funded</w:t>
      </w:r>
      <w:r w:rsidR="00D82555">
        <w:rPr>
          <w:rFonts w:ascii="Arial" w:hAnsi="Arial" w:cs="Arial"/>
        </w:rPr>
        <w:t xml:space="preserve"> project to enhance </w:t>
      </w:r>
      <w:r w:rsidR="00DF1B2A">
        <w:rPr>
          <w:rFonts w:ascii="Arial" w:hAnsi="Arial" w:cs="Arial"/>
        </w:rPr>
        <w:t xml:space="preserve">education about </w:t>
      </w:r>
      <w:r w:rsidR="00D82555">
        <w:rPr>
          <w:rFonts w:ascii="Arial" w:hAnsi="Arial" w:cs="Arial"/>
        </w:rPr>
        <w:t>patient safety</w:t>
      </w:r>
      <w:r w:rsidR="00DF1B2A">
        <w:rPr>
          <w:rFonts w:ascii="Arial" w:hAnsi="Arial" w:cs="Arial"/>
        </w:rPr>
        <w:t xml:space="preserve">: the </w:t>
      </w:r>
      <w:r w:rsidR="00DF1B2A" w:rsidRPr="00B07FCC">
        <w:rPr>
          <w:rFonts w:ascii="Arial" w:hAnsi="Arial" w:cs="Arial"/>
        </w:rPr>
        <w:t>Shared LearnIng from Practice to</w:t>
      </w:r>
      <w:r w:rsidR="00DF1B2A">
        <w:rPr>
          <w:rFonts w:ascii="Arial" w:hAnsi="Arial" w:cs="Arial"/>
        </w:rPr>
        <w:t xml:space="preserve"> </w:t>
      </w:r>
      <w:r w:rsidR="00DF1B2A" w:rsidRPr="00B07FCC">
        <w:rPr>
          <w:rFonts w:ascii="Arial" w:hAnsi="Arial" w:cs="Arial"/>
        </w:rPr>
        <w:t>improve Patient Safety (SLIPPS)</w:t>
      </w:r>
      <w:r w:rsidR="00EA3501">
        <w:rPr>
          <w:rFonts w:ascii="Arial" w:hAnsi="Arial" w:cs="Arial"/>
        </w:rPr>
        <w:t xml:space="preserve">. </w:t>
      </w:r>
      <w:r w:rsidR="00DF1B2A">
        <w:rPr>
          <w:rFonts w:ascii="Arial" w:hAnsi="Arial" w:cs="Arial"/>
        </w:rPr>
        <w:t xml:space="preserve">The project is bringing together nursing students and educators from across Europe and is developing a tool to collect safety incidents from students, that will be used as the basis for educational activities. In her commentary, Maxwell </w:t>
      </w:r>
      <w:r w:rsidR="00B54437">
        <w:rPr>
          <w:rFonts w:ascii="Arial" w:hAnsi="Arial" w:cs="Arial"/>
        </w:rPr>
        <w:t>suggests</w:t>
      </w:r>
      <w:r w:rsidR="00DF1B2A">
        <w:rPr>
          <w:rFonts w:ascii="Arial" w:hAnsi="Arial" w:cs="Arial"/>
        </w:rPr>
        <w:t xml:space="preserve"> that the project </w:t>
      </w:r>
      <w:r w:rsidR="005919DE">
        <w:rPr>
          <w:rFonts w:ascii="Arial" w:hAnsi="Arial" w:cs="Arial"/>
        </w:rPr>
        <w:t xml:space="preserve">should </w:t>
      </w:r>
      <w:r w:rsidR="00DF1B2A">
        <w:rPr>
          <w:rFonts w:ascii="Arial" w:hAnsi="Arial" w:cs="Arial"/>
        </w:rPr>
        <w:t>help students to understand the complexity of patient safety</w:t>
      </w:r>
      <w:r w:rsidR="005919DE">
        <w:rPr>
          <w:rFonts w:ascii="Arial" w:hAnsi="Arial" w:cs="Arial"/>
        </w:rPr>
        <w:t xml:space="preserve">, though she also </w:t>
      </w:r>
      <w:r w:rsidR="008F365A">
        <w:rPr>
          <w:rFonts w:ascii="Arial" w:hAnsi="Arial" w:cs="Arial"/>
        </w:rPr>
        <w:t>queries how</w:t>
      </w:r>
      <w:r w:rsidR="005919DE">
        <w:rPr>
          <w:rFonts w:ascii="Arial" w:hAnsi="Arial" w:cs="Arial"/>
        </w:rPr>
        <w:t xml:space="preserve"> the </w:t>
      </w:r>
      <w:r w:rsidR="00C312BE">
        <w:rPr>
          <w:rFonts w:ascii="Arial" w:hAnsi="Arial" w:cs="Arial"/>
        </w:rPr>
        <w:t xml:space="preserve">new approach will be evaluated, which </w:t>
      </w:r>
      <w:r w:rsidR="00C5050C">
        <w:rPr>
          <w:rFonts w:ascii="Arial" w:hAnsi="Arial" w:cs="Arial"/>
        </w:rPr>
        <w:t>must</w:t>
      </w:r>
      <w:r w:rsidR="00C312BE">
        <w:rPr>
          <w:rFonts w:ascii="Arial" w:hAnsi="Arial" w:cs="Arial"/>
        </w:rPr>
        <w:t xml:space="preserve"> be considered </w:t>
      </w:r>
      <w:r w:rsidR="009B4B6B">
        <w:rPr>
          <w:rFonts w:ascii="Arial" w:hAnsi="Arial" w:cs="Arial"/>
        </w:rPr>
        <w:t xml:space="preserve">for any educational innovation. </w:t>
      </w:r>
    </w:p>
    <w:p w:rsidR="00150650" w:rsidRDefault="00C312BE" w:rsidP="00DF1B2A">
      <w:pPr>
        <w:spacing w:line="240" w:lineRule="auto"/>
        <w:rPr>
          <w:rFonts w:ascii="Arial" w:hAnsi="Arial" w:cs="Arial"/>
        </w:rPr>
      </w:pPr>
      <w:r w:rsidRPr="00C312BE">
        <w:rPr>
          <w:rFonts w:ascii="Arial" w:hAnsi="Arial" w:cs="Arial"/>
        </w:rPr>
        <w:t xml:space="preserve">This </w:t>
      </w:r>
      <w:r w:rsidR="000268D2">
        <w:rPr>
          <w:rFonts w:ascii="Arial" w:hAnsi="Arial" w:cs="Arial"/>
        </w:rPr>
        <w:t>focus</w:t>
      </w:r>
      <w:r w:rsidRPr="00C312BE">
        <w:rPr>
          <w:rFonts w:ascii="Arial" w:hAnsi="Arial" w:cs="Arial"/>
        </w:rPr>
        <w:t xml:space="preserve"> edition includes </w:t>
      </w:r>
      <w:r w:rsidR="00B54437">
        <w:rPr>
          <w:rFonts w:ascii="Arial" w:hAnsi="Arial" w:cs="Arial"/>
        </w:rPr>
        <w:t xml:space="preserve">two </w:t>
      </w:r>
      <w:r w:rsidRPr="00C312BE">
        <w:rPr>
          <w:rFonts w:ascii="Arial" w:hAnsi="Arial" w:cs="Arial"/>
        </w:rPr>
        <w:t xml:space="preserve">examples of teaching and learning innovations </w:t>
      </w:r>
      <w:r w:rsidR="00524EC5">
        <w:rPr>
          <w:rFonts w:ascii="Arial" w:hAnsi="Arial" w:cs="Arial"/>
        </w:rPr>
        <w:t>with</w:t>
      </w:r>
      <w:r>
        <w:rPr>
          <w:rFonts w:ascii="Arial" w:hAnsi="Arial" w:cs="Arial"/>
        </w:rPr>
        <w:t xml:space="preserve"> papers </w:t>
      </w:r>
      <w:r w:rsidR="00524EC5">
        <w:rPr>
          <w:rFonts w:ascii="Arial" w:hAnsi="Arial" w:cs="Arial"/>
        </w:rPr>
        <w:t>reporting on</w:t>
      </w:r>
      <w:r>
        <w:rPr>
          <w:rFonts w:ascii="Arial" w:hAnsi="Arial" w:cs="Arial"/>
        </w:rPr>
        <w:t xml:space="preserve"> </w:t>
      </w:r>
      <w:r w:rsidRPr="00C312BE">
        <w:rPr>
          <w:rFonts w:ascii="Arial" w:hAnsi="Arial" w:cs="Arial"/>
        </w:rPr>
        <w:t>student evaluations</w:t>
      </w:r>
      <w:r w:rsidR="00B54437">
        <w:rPr>
          <w:rFonts w:ascii="Arial" w:hAnsi="Arial" w:cs="Arial"/>
        </w:rPr>
        <w:t xml:space="preserve"> </w:t>
      </w:r>
      <w:r w:rsidR="009B4B6B">
        <w:rPr>
          <w:rFonts w:ascii="Arial" w:hAnsi="Arial" w:cs="Arial"/>
        </w:rPr>
        <w:t xml:space="preserve">that have used </w:t>
      </w:r>
      <w:r>
        <w:rPr>
          <w:rFonts w:ascii="Arial" w:hAnsi="Arial" w:cs="Arial"/>
        </w:rPr>
        <w:t>survey</w:t>
      </w:r>
      <w:r w:rsidR="00B54437">
        <w:rPr>
          <w:rFonts w:ascii="Arial" w:hAnsi="Arial" w:cs="Arial"/>
        </w:rPr>
        <w:t>s.</w:t>
      </w:r>
      <w:r w:rsidR="00C50157">
        <w:rPr>
          <w:rFonts w:ascii="Arial" w:hAnsi="Arial" w:cs="Arial"/>
        </w:rPr>
        <w:t xml:space="preserve"> The importance of evaluating new approaches cannot be overemphasised, as a means of providing evidence for effectiveness as well as highlighting areas for improvement. Surveys </w:t>
      </w:r>
      <w:r>
        <w:rPr>
          <w:rFonts w:ascii="Arial" w:hAnsi="Arial" w:cs="Arial"/>
        </w:rPr>
        <w:t xml:space="preserve">have the advantage of enabling students to </w:t>
      </w:r>
      <w:r w:rsidRPr="004B37D5">
        <w:rPr>
          <w:rFonts w:ascii="Arial" w:hAnsi="Arial" w:cs="Arial"/>
        </w:rPr>
        <w:t xml:space="preserve">respond anonymously and </w:t>
      </w:r>
      <w:r w:rsidR="00692E08" w:rsidRPr="004B37D5">
        <w:rPr>
          <w:rFonts w:ascii="Arial" w:hAnsi="Arial" w:cs="Arial"/>
        </w:rPr>
        <w:t xml:space="preserve">they </w:t>
      </w:r>
      <w:r w:rsidRPr="004B37D5">
        <w:rPr>
          <w:rFonts w:ascii="Arial" w:hAnsi="Arial" w:cs="Arial"/>
        </w:rPr>
        <w:t>can include large numbers of participants</w:t>
      </w:r>
      <w:r w:rsidR="00692E08" w:rsidRPr="004B37D5">
        <w:rPr>
          <w:rFonts w:ascii="Arial" w:hAnsi="Arial" w:cs="Arial"/>
        </w:rPr>
        <w:t>, particularly if electronically delivered</w:t>
      </w:r>
      <w:r w:rsidRPr="004B37D5">
        <w:rPr>
          <w:rFonts w:ascii="Arial" w:hAnsi="Arial" w:cs="Arial"/>
        </w:rPr>
        <w:t xml:space="preserve">. </w:t>
      </w:r>
      <w:r w:rsidR="00150650" w:rsidRPr="004B37D5">
        <w:rPr>
          <w:rFonts w:ascii="Arial" w:hAnsi="Arial" w:cs="Arial"/>
        </w:rPr>
        <w:t xml:space="preserve">From Australia, </w:t>
      </w:r>
      <w:r w:rsidR="00692E08" w:rsidRPr="004B37D5">
        <w:rPr>
          <w:rFonts w:ascii="Arial" w:hAnsi="Arial" w:cs="Arial"/>
        </w:rPr>
        <w:t xml:space="preserve">Peddle’s evaluation of virtual </w:t>
      </w:r>
      <w:r w:rsidR="00692E08" w:rsidRPr="004B37D5">
        <w:rPr>
          <w:rFonts w:ascii="Arial" w:hAnsi="Arial" w:cs="Arial"/>
        </w:rPr>
        <w:lastRenderedPageBreak/>
        <w:t xml:space="preserve">simulation for developing non-technical skills, used an online survey, linked to  completion of </w:t>
      </w:r>
      <w:r w:rsidR="00150650" w:rsidRPr="004B37D5">
        <w:rPr>
          <w:rFonts w:ascii="Arial" w:hAnsi="Arial" w:cs="Arial"/>
        </w:rPr>
        <w:t xml:space="preserve">the simulations. Evaluations of traditional face-to-face simulation are consistently positive but </w:t>
      </w:r>
      <w:r w:rsidR="004B37D5" w:rsidRPr="004B37D5">
        <w:rPr>
          <w:rFonts w:ascii="Arial" w:hAnsi="Arial" w:cs="Arial"/>
        </w:rPr>
        <w:t>delivery is</w:t>
      </w:r>
      <w:r w:rsidR="00150650" w:rsidRPr="004B37D5">
        <w:rPr>
          <w:rFonts w:ascii="Arial" w:hAnsi="Arial" w:cs="Arial"/>
        </w:rPr>
        <w:t xml:space="preserve"> highly resource intensive</w:t>
      </w:r>
      <w:r w:rsidR="004B37D5" w:rsidRPr="004B37D5">
        <w:rPr>
          <w:rFonts w:ascii="Arial" w:hAnsi="Arial" w:cs="Arial"/>
        </w:rPr>
        <w:t xml:space="preserve"> (Efstathiou and Walker, 2014), </w:t>
      </w:r>
      <w:r w:rsidR="00150650" w:rsidRPr="004B37D5">
        <w:rPr>
          <w:rFonts w:ascii="Arial" w:hAnsi="Arial" w:cs="Arial"/>
        </w:rPr>
        <w:t xml:space="preserve">which </w:t>
      </w:r>
      <w:r w:rsidR="009B4B6B">
        <w:rPr>
          <w:rFonts w:ascii="Arial" w:hAnsi="Arial" w:cs="Arial"/>
        </w:rPr>
        <w:t>can</w:t>
      </w:r>
      <w:r w:rsidR="00150650" w:rsidRPr="004B37D5">
        <w:rPr>
          <w:rFonts w:ascii="Arial" w:hAnsi="Arial" w:cs="Arial"/>
        </w:rPr>
        <w:t xml:space="preserve"> present a barrier in today’s financially challenged environment.</w:t>
      </w:r>
      <w:r w:rsidR="00150650">
        <w:rPr>
          <w:rFonts w:ascii="Arial" w:hAnsi="Arial" w:cs="Arial"/>
        </w:rPr>
        <w:t xml:space="preserve"> Therefore, Peddle’s paper contributes important insights into how these skills can be developed through virtual simulation. Whilst development of effective resource</w:t>
      </w:r>
      <w:r w:rsidR="00120960">
        <w:rPr>
          <w:rFonts w:ascii="Arial" w:hAnsi="Arial" w:cs="Arial"/>
        </w:rPr>
        <w:t>s</w:t>
      </w:r>
      <w:r w:rsidR="00150650">
        <w:rPr>
          <w:rFonts w:ascii="Arial" w:hAnsi="Arial" w:cs="Arial"/>
        </w:rPr>
        <w:t xml:space="preserve"> </w:t>
      </w:r>
      <w:r w:rsidR="0055740C">
        <w:rPr>
          <w:rFonts w:ascii="Arial" w:hAnsi="Arial" w:cs="Arial"/>
        </w:rPr>
        <w:t xml:space="preserve">for virtual simulation </w:t>
      </w:r>
      <w:r w:rsidR="00120960">
        <w:rPr>
          <w:rFonts w:ascii="Arial" w:hAnsi="Arial" w:cs="Arial"/>
        </w:rPr>
        <w:t xml:space="preserve">requires </w:t>
      </w:r>
      <w:r w:rsidR="00150650">
        <w:rPr>
          <w:rFonts w:ascii="Arial" w:hAnsi="Arial" w:cs="Arial"/>
        </w:rPr>
        <w:t xml:space="preserve">significant initial investment, </w:t>
      </w:r>
      <w:r w:rsidR="00120960">
        <w:rPr>
          <w:rFonts w:ascii="Arial" w:hAnsi="Arial" w:cs="Arial"/>
        </w:rPr>
        <w:t>u</w:t>
      </w:r>
      <w:r w:rsidR="00150650">
        <w:rPr>
          <w:rFonts w:ascii="Arial" w:hAnsi="Arial" w:cs="Arial"/>
        </w:rPr>
        <w:t xml:space="preserve">nlimited numbers of students </w:t>
      </w:r>
      <w:r w:rsidR="00464456">
        <w:rPr>
          <w:rFonts w:ascii="Arial" w:hAnsi="Arial" w:cs="Arial"/>
        </w:rPr>
        <w:t xml:space="preserve">from a wide geographical area </w:t>
      </w:r>
      <w:r w:rsidR="00150650">
        <w:rPr>
          <w:rFonts w:ascii="Arial" w:hAnsi="Arial" w:cs="Arial"/>
        </w:rPr>
        <w:t>can access the materials, and students can learn at their own pace at a time that suits them, repeat</w:t>
      </w:r>
      <w:r w:rsidR="0055740C">
        <w:rPr>
          <w:rFonts w:ascii="Arial" w:hAnsi="Arial" w:cs="Arial"/>
        </w:rPr>
        <w:t xml:space="preserve">ing </w:t>
      </w:r>
      <w:r w:rsidR="00150650">
        <w:rPr>
          <w:rFonts w:ascii="Arial" w:hAnsi="Arial" w:cs="Arial"/>
        </w:rPr>
        <w:t xml:space="preserve">the </w:t>
      </w:r>
      <w:r w:rsidR="00464456">
        <w:rPr>
          <w:rFonts w:ascii="Arial" w:hAnsi="Arial" w:cs="Arial"/>
        </w:rPr>
        <w:t>simulations as ne</w:t>
      </w:r>
      <w:r w:rsidR="0055740C">
        <w:rPr>
          <w:rFonts w:ascii="Arial" w:hAnsi="Arial" w:cs="Arial"/>
        </w:rPr>
        <w:t>cessary</w:t>
      </w:r>
      <w:r w:rsidR="00524EC5">
        <w:rPr>
          <w:rFonts w:ascii="Arial" w:hAnsi="Arial" w:cs="Arial"/>
        </w:rPr>
        <w:t xml:space="preserve">. </w:t>
      </w:r>
    </w:p>
    <w:p w:rsidR="00524EC5" w:rsidRDefault="00150650" w:rsidP="00DF1B2A">
      <w:pPr>
        <w:spacing w:line="240" w:lineRule="auto"/>
        <w:rPr>
          <w:rFonts w:ascii="Arial" w:hAnsi="Arial" w:cs="Arial"/>
        </w:rPr>
      </w:pPr>
      <w:r>
        <w:rPr>
          <w:rFonts w:ascii="Arial" w:hAnsi="Arial" w:cs="Arial"/>
        </w:rPr>
        <w:t xml:space="preserve">In a further paper </w:t>
      </w:r>
      <w:r w:rsidR="00464456">
        <w:rPr>
          <w:rFonts w:ascii="Arial" w:hAnsi="Arial" w:cs="Arial"/>
        </w:rPr>
        <w:t xml:space="preserve">that </w:t>
      </w:r>
      <w:r>
        <w:rPr>
          <w:rFonts w:ascii="Arial" w:hAnsi="Arial" w:cs="Arial"/>
        </w:rPr>
        <w:t>present</w:t>
      </w:r>
      <w:r w:rsidR="00464456">
        <w:rPr>
          <w:rFonts w:ascii="Arial" w:hAnsi="Arial" w:cs="Arial"/>
        </w:rPr>
        <w:t>s</w:t>
      </w:r>
      <w:r>
        <w:rPr>
          <w:rFonts w:ascii="Arial" w:hAnsi="Arial" w:cs="Arial"/>
        </w:rPr>
        <w:t xml:space="preserve"> students’ perceptions of a teaching and learning initiative, </w:t>
      </w:r>
      <w:r w:rsidR="00B54437">
        <w:rPr>
          <w:rFonts w:ascii="Arial" w:hAnsi="Arial" w:cs="Arial"/>
        </w:rPr>
        <w:t>Kuti and Houghton</w:t>
      </w:r>
      <w:r w:rsidR="00524EC5">
        <w:rPr>
          <w:rFonts w:ascii="Arial" w:hAnsi="Arial" w:cs="Arial"/>
        </w:rPr>
        <w:t xml:space="preserve"> </w:t>
      </w:r>
      <w:r w:rsidR="00B54437">
        <w:rPr>
          <w:rFonts w:ascii="Arial" w:hAnsi="Arial" w:cs="Arial"/>
        </w:rPr>
        <w:t>explain</w:t>
      </w:r>
      <w:r w:rsidR="00C50157">
        <w:rPr>
          <w:rFonts w:ascii="Arial" w:hAnsi="Arial" w:cs="Arial"/>
        </w:rPr>
        <w:t xml:space="preserve"> </w:t>
      </w:r>
      <w:r w:rsidR="00B54437">
        <w:rPr>
          <w:rFonts w:ascii="Arial" w:hAnsi="Arial" w:cs="Arial"/>
        </w:rPr>
        <w:t xml:space="preserve">one </w:t>
      </w:r>
      <w:r w:rsidR="008C1648">
        <w:rPr>
          <w:rFonts w:ascii="Arial" w:hAnsi="Arial" w:cs="Arial"/>
        </w:rPr>
        <w:t xml:space="preserve">UK </w:t>
      </w:r>
      <w:r w:rsidR="00B54437">
        <w:rPr>
          <w:rFonts w:ascii="Arial" w:hAnsi="Arial" w:cs="Arial"/>
        </w:rPr>
        <w:t xml:space="preserve">university’s approach to </w:t>
      </w:r>
      <w:r w:rsidR="00524EC5">
        <w:rPr>
          <w:rFonts w:ascii="Arial" w:hAnsi="Arial" w:cs="Arial"/>
        </w:rPr>
        <w:t xml:space="preserve">involving </w:t>
      </w:r>
      <w:r w:rsidR="00B54437">
        <w:rPr>
          <w:rFonts w:ascii="Arial" w:hAnsi="Arial" w:cs="Arial"/>
        </w:rPr>
        <w:t>service user</w:t>
      </w:r>
      <w:r w:rsidR="00524EC5">
        <w:rPr>
          <w:rFonts w:ascii="Arial" w:hAnsi="Arial" w:cs="Arial"/>
        </w:rPr>
        <w:t>s</w:t>
      </w:r>
      <w:r w:rsidR="00B54437">
        <w:rPr>
          <w:rFonts w:ascii="Arial" w:hAnsi="Arial" w:cs="Arial"/>
        </w:rPr>
        <w:t xml:space="preserve"> in nurse education</w:t>
      </w:r>
      <w:r w:rsidR="00C50157">
        <w:rPr>
          <w:rFonts w:ascii="Arial" w:hAnsi="Arial" w:cs="Arial"/>
        </w:rPr>
        <w:t xml:space="preserve">, </w:t>
      </w:r>
      <w:r w:rsidR="00524EC5">
        <w:rPr>
          <w:rFonts w:ascii="Arial" w:hAnsi="Arial" w:cs="Arial"/>
        </w:rPr>
        <w:t xml:space="preserve">during </w:t>
      </w:r>
      <w:r w:rsidR="00C50157">
        <w:rPr>
          <w:rFonts w:ascii="Arial" w:hAnsi="Arial" w:cs="Arial"/>
        </w:rPr>
        <w:t xml:space="preserve">which service users </w:t>
      </w:r>
      <w:r w:rsidR="00524EC5">
        <w:rPr>
          <w:rFonts w:ascii="Arial" w:hAnsi="Arial" w:cs="Arial"/>
        </w:rPr>
        <w:t>worked with students a</w:t>
      </w:r>
      <w:r w:rsidR="00C50157">
        <w:rPr>
          <w:rFonts w:ascii="Arial" w:hAnsi="Arial" w:cs="Arial"/>
        </w:rPr>
        <w:t xml:space="preserve">s coaches, linking experiences, values </w:t>
      </w:r>
      <w:r w:rsidR="00B54437">
        <w:rPr>
          <w:rFonts w:ascii="Arial" w:hAnsi="Arial" w:cs="Arial"/>
        </w:rPr>
        <w:t xml:space="preserve">and </w:t>
      </w:r>
      <w:r w:rsidR="00C50157">
        <w:rPr>
          <w:rFonts w:ascii="Arial" w:hAnsi="Arial" w:cs="Arial"/>
        </w:rPr>
        <w:t xml:space="preserve">reflection. The analysis of the students’ free text comments, along with results from the structured questions, </w:t>
      </w:r>
      <w:r w:rsidR="007352A6">
        <w:rPr>
          <w:rFonts w:ascii="Arial" w:hAnsi="Arial" w:cs="Arial"/>
        </w:rPr>
        <w:t>indicated</w:t>
      </w:r>
      <w:r w:rsidR="00C50157">
        <w:rPr>
          <w:rFonts w:ascii="Arial" w:hAnsi="Arial" w:cs="Arial"/>
        </w:rPr>
        <w:t xml:space="preserve"> </w:t>
      </w:r>
      <w:r w:rsidR="007352A6">
        <w:rPr>
          <w:rFonts w:ascii="Arial" w:hAnsi="Arial" w:cs="Arial"/>
        </w:rPr>
        <w:t>overwhelming support from students for the initiative</w:t>
      </w:r>
      <w:r w:rsidR="00464456">
        <w:rPr>
          <w:rFonts w:ascii="Arial" w:hAnsi="Arial" w:cs="Arial"/>
        </w:rPr>
        <w:t>.</w:t>
      </w:r>
      <w:r w:rsidR="00C50157">
        <w:rPr>
          <w:rFonts w:ascii="Arial" w:hAnsi="Arial" w:cs="Arial"/>
        </w:rPr>
        <w:t xml:space="preserve"> </w:t>
      </w:r>
      <w:r w:rsidR="00464456">
        <w:rPr>
          <w:rFonts w:ascii="Arial" w:hAnsi="Arial" w:cs="Arial"/>
        </w:rPr>
        <w:t>T</w:t>
      </w:r>
      <w:r w:rsidR="00692E08">
        <w:rPr>
          <w:rFonts w:ascii="Arial" w:hAnsi="Arial" w:cs="Arial"/>
        </w:rPr>
        <w:t>he approach enabled students to listen to service users’ experience</w:t>
      </w:r>
      <w:r w:rsidR="00464456">
        <w:rPr>
          <w:rFonts w:ascii="Arial" w:hAnsi="Arial" w:cs="Arial"/>
        </w:rPr>
        <w:t>s</w:t>
      </w:r>
      <w:r w:rsidR="00692E08">
        <w:rPr>
          <w:rFonts w:ascii="Arial" w:hAnsi="Arial" w:cs="Arial"/>
        </w:rPr>
        <w:t xml:space="preserve"> in a relaxed, small group setting, away from the high-pressured healthcare environment. </w:t>
      </w:r>
      <w:r w:rsidR="0055740C">
        <w:rPr>
          <w:rFonts w:ascii="Arial" w:hAnsi="Arial" w:cs="Arial"/>
        </w:rPr>
        <w:t xml:space="preserve">The students’ free text comments indicated </w:t>
      </w:r>
      <w:r w:rsidR="007352A6">
        <w:rPr>
          <w:rFonts w:ascii="Arial" w:hAnsi="Arial" w:cs="Arial"/>
        </w:rPr>
        <w:t>that they were able to u</w:t>
      </w:r>
      <w:r w:rsidR="00692E08">
        <w:rPr>
          <w:rFonts w:ascii="Arial" w:hAnsi="Arial" w:cs="Arial"/>
        </w:rPr>
        <w:t>nderstand</w:t>
      </w:r>
      <w:r w:rsidR="007352A6">
        <w:rPr>
          <w:rFonts w:ascii="Arial" w:hAnsi="Arial" w:cs="Arial"/>
        </w:rPr>
        <w:t xml:space="preserve"> the service users’ perspectives, which is a key principle for</w:t>
      </w:r>
      <w:r w:rsidR="00692E08">
        <w:rPr>
          <w:rFonts w:ascii="Arial" w:hAnsi="Arial" w:cs="Arial"/>
        </w:rPr>
        <w:t xml:space="preserve"> person-centred care (</w:t>
      </w:r>
      <w:r w:rsidR="0055740C">
        <w:rPr>
          <w:rFonts w:ascii="Arial" w:hAnsi="Arial" w:cs="Arial"/>
        </w:rPr>
        <w:t>Brooker, 2003)</w:t>
      </w:r>
      <w:r w:rsidR="007352A6">
        <w:rPr>
          <w:rFonts w:ascii="Arial" w:hAnsi="Arial" w:cs="Arial"/>
        </w:rPr>
        <w:t>.</w:t>
      </w:r>
      <w:r w:rsidR="00692E08">
        <w:rPr>
          <w:rFonts w:ascii="Arial" w:hAnsi="Arial" w:cs="Arial"/>
        </w:rPr>
        <w:t xml:space="preserve"> </w:t>
      </w:r>
      <w:r w:rsidR="007352A6">
        <w:rPr>
          <w:rFonts w:ascii="Arial" w:hAnsi="Arial" w:cs="Arial"/>
        </w:rPr>
        <w:t xml:space="preserve">In her commentary on the paper, Baillie highlights the importance of nurse educators supporting service users who are sharing personal experiences with students.  </w:t>
      </w:r>
      <w:r w:rsidR="00524EC5">
        <w:rPr>
          <w:rFonts w:ascii="Arial" w:hAnsi="Arial" w:cs="Arial"/>
        </w:rPr>
        <w:t xml:space="preserve">Both evaluations included in this </w:t>
      </w:r>
      <w:r w:rsidR="000268D2">
        <w:rPr>
          <w:rFonts w:ascii="Arial" w:hAnsi="Arial" w:cs="Arial"/>
        </w:rPr>
        <w:t>focus</w:t>
      </w:r>
      <w:r w:rsidR="00524EC5">
        <w:rPr>
          <w:rFonts w:ascii="Arial" w:hAnsi="Arial" w:cs="Arial"/>
        </w:rPr>
        <w:t xml:space="preserve"> edition demonstrate how students’ perspectives of their learning can be elicited without too much additional resource, </w:t>
      </w:r>
      <w:r w:rsidR="007352A6">
        <w:rPr>
          <w:rFonts w:ascii="Arial" w:hAnsi="Arial" w:cs="Arial"/>
        </w:rPr>
        <w:t xml:space="preserve">As with many other </w:t>
      </w:r>
      <w:r w:rsidR="00692E08">
        <w:rPr>
          <w:rFonts w:ascii="Arial" w:hAnsi="Arial" w:cs="Arial"/>
        </w:rPr>
        <w:t>educational evaluations</w:t>
      </w:r>
      <w:r w:rsidR="00524EC5">
        <w:rPr>
          <w:rFonts w:ascii="Arial" w:hAnsi="Arial" w:cs="Arial"/>
        </w:rPr>
        <w:t xml:space="preserve">, </w:t>
      </w:r>
      <w:r w:rsidR="007352A6">
        <w:rPr>
          <w:rFonts w:ascii="Arial" w:hAnsi="Arial" w:cs="Arial"/>
        </w:rPr>
        <w:t xml:space="preserve">neither study includes </w:t>
      </w:r>
      <w:r w:rsidR="00F873B9">
        <w:rPr>
          <w:rFonts w:ascii="Arial" w:hAnsi="Arial" w:cs="Arial"/>
        </w:rPr>
        <w:t>any data about subsequent</w:t>
      </w:r>
      <w:r w:rsidR="00692E08">
        <w:rPr>
          <w:rFonts w:ascii="Arial" w:hAnsi="Arial" w:cs="Arial"/>
        </w:rPr>
        <w:t xml:space="preserve"> impact on students’ actual practice</w:t>
      </w:r>
      <w:r w:rsidR="007352A6">
        <w:rPr>
          <w:rFonts w:ascii="Arial" w:hAnsi="Arial" w:cs="Arial"/>
        </w:rPr>
        <w:t xml:space="preserve"> but </w:t>
      </w:r>
      <w:r w:rsidR="00524EC5">
        <w:rPr>
          <w:rFonts w:ascii="Arial" w:hAnsi="Arial" w:cs="Arial"/>
        </w:rPr>
        <w:t>longitudinal studies</w:t>
      </w:r>
      <w:r w:rsidR="00F873B9">
        <w:rPr>
          <w:rFonts w:ascii="Arial" w:hAnsi="Arial" w:cs="Arial"/>
        </w:rPr>
        <w:t xml:space="preserve"> of this type</w:t>
      </w:r>
      <w:r w:rsidR="00524EC5">
        <w:rPr>
          <w:rFonts w:ascii="Arial" w:hAnsi="Arial" w:cs="Arial"/>
        </w:rPr>
        <w:t xml:space="preserve"> need considerable additional resources. </w:t>
      </w:r>
    </w:p>
    <w:p w:rsidR="00987F08" w:rsidRPr="00812976" w:rsidRDefault="00987F08" w:rsidP="00035D01">
      <w:pPr>
        <w:spacing w:line="240" w:lineRule="auto"/>
        <w:rPr>
          <w:rFonts w:ascii="Arial" w:eastAsia="Times New Roman" w:hAnsi="Arial" w:cs="Arial"/>
          <w:color w:val="000000"/>
          <w:lang w:eastAsia="en-GB"/>
        </w:rPr>
      </w:pPr>
      <w:r w:rsidRPr="00812976">
        <w:rPr>
          <w:rFonts w:ascii="Arial" w:hAnsi="Arial" w:cs="Arial"/>
        </w:rPr>
        <w:t xml:space="preserve">In Europe, </w:t>
      </w:r>
      <w:r w:rsidR="006F6FA3" w:rsidRPr="00812976">
        <w:rPr>
          <w:rFonts w:ascii="Arial" w:hAnsi="Arial" w:cs="Arial"/>
        </w:rPr>
        <w:t xml:space="preserve">in line with </w:t>
      </w:r>
      <w:r w:rsidR="00736BCB" w:rsidRPr="00812976">
        <w:rPr>
          <w:rFonts w:ascii="Arial" w:hAnsi="Arial" w:cs="Arial"/>
        </w:rPr>
        <w:t xml:space="preserve">Article 31(3) of Directive 2005/36/EC, </w:t>
      </w:r>
      <w:r w:rsidRPr="00812976">
        <w:rPr>
          <w:rFonts w:ascii="Arial" w:hAnsi="Arial" w:cs="Arial"/>
        </w:rPr>
        <w:t xml:space="preserve">50% of </w:t>
      </w:r>
      <w:r w:rsidR="006F6FA3" w:rsidRPr="00812976">
        <w:rPr>
          <w:rFonts w:ascii="Arial" w:hAnsi="Arial" w:cs="Arial"/>
        </w:rPr>
        <w:t xml:space="preserve">nursing </w:t>
      </w:r>
      <w:r w:rsidRPr="00812976">
        <w:rPr>
          <w:rFonts w:ascii="Arial" w:hAnsi="Arial" w:cs="Arial"/>
        </w:rPr>
        <w:t>curriculum hours are</w:t>
      </w:r>
      <w:r w:rsidR="00524EC5" w:rsidRPr="00812976">
        <w:rPr>
          <w:rFonts w:ascii="Arial" w:hAnsi="Arial" w:cs="Arial"/>
        </w:rPr>
        <w:t xml:space="preserve"> assigned to</w:t>
      </w:r>
      <w:r w:rsidR="006F6FA3" w:rsidRPr="00812976">
        <w:rPr>
          <w:rFonts w:ascii="Arial" w:hAnsi="Arial" w:cs="Arial"/>
        </w:rPr>
        <w:t xml:space="preserve"> learning in practice</w:t>
      </w:r>
      <w:r w:rsidR="00524EC5" w:rsidRPr="00812976">
        <w:rPr>
          <w:rFonts w:ascii="Arial" w:hAnsi="Arial" w:cs="Arial"/>
        </w:rPr>
        <w:t xml:space="preserve">, </w:t>
      </w:r>
      <w:r w:rsidR="006F6FA3" w:rsidRPr="00812976">
        <w:rPr>
          <w:rFonts w:ascii="Arial" w:hAnsi="Arial" w:cs="Arial"/>
        </w:rPr>
        <w:t>where</w:t>
      </w:r>
      <w:r w:rsidR="009716B9" w:rsidRPr="00812976">
        <w:rPr>
          <w:rFonts w:ascii="Arial" w:hAnsi="Arial" w:cs="Arial"/>
        </w:rPr>
        <w:t xml:space="preserve"> we expect students to develop a range of competencies as they progress towards becoming qualified nurses. </w:t>
      </w:r>
      <w:r w:rsidR="006F6FA3" w:rsidRPr="00812976">
        <w:rPr>
          <w:rFonts w:ascii="Arial" w:hAnsi="Arial" w:cs="Arial"/>
        </w:rPr>
        <w:t>T</w:t>
      </w:r>
      <w:r w:rsidR="009716B9" w:rsidRPr="00812976">
        <w:rPr>
          <w:rFonts w:ascii="Arial" w:hAnsi="Arial" w:cs="Arial"/>
        </w:rPr>
        <w:t>here is</w:t>
      </w:r>
      <w:r w:rsidR="006F6FA3" w:rsidRPr="00812976">
        <w:rPr>
          <w:rFonts w:ascii="Arial" w:hAnsi="Arial" w:cs="Arial"/>
        </w:rPr>
        <w:t xml:space="preserve"> </w:t>
      </w:r>
      <w:r w:rsidR="009716B9" w:rsidRPr="00812976">
        <w:rPr>
          <w:rFonts w:ascii="Arial" w:hAnsi="Arial" w:cs="Arial"/>
        </w:rPr>
        <w:t>increasing recognition</w:t>
      </w:r>
      <w:r w:rsidR="006F6FA3" w:rsidRPr="00812976">
        <w:rPr>
          <w:rFonts w:ascii="Arial" w:hAnsi="Arial" w:cs="Arial"/>
        </w:rPr>
        <w:t xml:space="preserve"> that</w:t>
      </w:r>
      <w:r w:rsidR="009716B9" w:rsidRPr="00812976">
        <w:rPr>
          <w:rFonts w:ascii="Arial" w:hAnsi="Arial" w:cs="Arial"/>
        </w:rPr>
        <w:t xml:space="preserve"> </w:t>
      </w:r>
      <w:r w:rsidR="006F6FA3" w:rsidRPr="00812976">
        <w:rPr>
          <w:rFonts w:ascii="Arial" w:hAnsi="Arial" w:cs="Arial"/>
        </w:rPr>
        <w:t>student nurses</w:t>
      </w:r>
      <w:r w:rsidR="009716B9" w:rsidRPr="00812976">
        <w:rPr>
          <w:rFonts w:ascii="Arial" w:hAnsi="Arial" w:cs="Arial"/>
        </w:rPr>
        <w:t xml:space="preserve"> need to develop </w:t>
      </w:r>
      <w:r w:rsidR="00CA5FDE" w:rsidRPr="00812976">
        <w:rPr>
          <w:rFonts w:ascii="Arial" w:hAnsi="Arial" w:cs="Arial"/>
        </w:rPr>
        <w:t xml:space="preserve">emotional </w:t>
      </w:r>
      <w:r w:rsidR="009716B9" w:rsidRPr="00812976">
        <w:rPr>
          <w:rFonts w:ascii="Arial" w:hAnsi="Arial" w:cs="Arial"/>
        </w:rPr>
        <w:t>resilience</w:t>
      </w:r>
      <w:r w:rsidR="0069040A" w:rsidRPr="00812976">
        <w:rPr>
          <w:rFonts w:ascii="Arial" w:hAnsi="Arial" w:cs="Arial"/>
        </w:rPr>
        <w:t xml:space="preserve">, a requirement now included in the </w:t>
      </w:r>
      <w:r w:rsidR="008C1648" w:rsidRPr="00812976">
        <w:rPr>
          <w:rFonts w:ascii="Arial" w:hAnsi="Arial" w:cs="Arial"/>
        </w:rPr>
        <w:t xml:space="preserve">UK’s </w:t>
      </w:r>
      <w:r w:rsidR="0069040A" w:rsidRPr="00812976">
        <w:rPr>
          <w:rFonts w:ascii="Arial" w:hAnsi="Arial" w:cs="Arial"/>
        </w:rPr>
        <w:t>Nursing and Midwifery Council’s (2018) standards for nurse education</w:t>
      </w:r>
      <w:r w:rsidR="006F6FA3" w:rsidRPr="00812976">
        <w:rPr>
          <w:rFonts w:ascii="Arial" w:hAnsi="Arial" w:cs="Arial"/>
        </w:rPr>
        <w:t>. Therefore</w:t>
      </w:r>
      <w:r w:rsidR="005E1146" w:rsidRPr="00812976">
        <w:rPr>
          <w:rFonts w:ascii="Arial" w:hAnsi="Arial" w:cs="Arial"/>
        </w:rPr>
        <w:t xml:space="preserve"> w</w:t>
      </w:r>
      <w:r w:rsidR="009716B9" w:rsidRPr="00812976">
        <w:rPr>
          <w:rFonts w:ascii="Arial" w:hAnsi="Arial" w:cs="Arial"/>
        </w:rPr>
        <w:t xml:space="preserve">e must consider how </w:t>
      </w:r>
      <w:r w:rsidR="0069040A" w:rsidRPr="00812976">
        <w:rPr>
          <w:rFonts w:ascii="Arial" w:hAnsi="Arial" w:cs="Arial"/>
        </w:rPr>
        <w:t>to</w:t>
      </w:r>
      <w:r w:rsidR="009716B9" w:rsidRPr="00812976">
        <w:rPr>
          <w:rFonts w:ascii="Arial" w:hAnsi="Arial" w:cs="Arial"/>
        </w:rPr>
        <w:t xml:space="preserve"> enabl</w:t>
      </w:r>
      <w:r w:rsidR="0069040A" w:rsidRPr="00812976">
        <w:rPr>
          <w:rFonts w:ascii="Arial" w:hAnsi="Arial" w:cs="Arial"/>
        </w:rPr>
        <w:t>e</w:t>
      </w:r>
      <w:r w:rsidR="009716B9" w:rsidRPr="00812976">
        <w:rPr>
          <w:rFonts w:ascii="Arial" w:hAnsi="Arial" w:cs="Arial"/>
        </w:rPr>
        <w:t xml:space="preserve"> students to deal with the emotions</w:t>
      </w:r>
      <w:r w:rsidR="0069040A" w:rsidRPr="00812976">
        <w:rPr>
          <w:rFonts w:ascii="Arial" w:hAnsi="Arial" w:cs="Arial"/>
        </w:rPr>
        <w:t xml:space="preserve"> they experience during practice learning</w:t>
      </w:r>
      <w:r w:rsidR="005E1146" w:rsidRPr="00812976">
        <w:rPr>
          <w:rFonts w:ascii="Arial" w:hAnsi="Arial" w:cs="Arial"/>
        </w:rPr>
        <w:t xml:space="preserve">. </w:t>
      </w:r>
      <w:r w:rsidR="0069040A" w:rsidRPr="00812976">
        <w:rPr>
          <w:rFonts w:ascii="Arial" w:hAnsi="Arial" w:cs="Arial"/>
        </w:rPr>
        <w:t xml:space="preserve"> </w:t>
      </w:r>
      <w:r w:rsidR="009716B9" w:rsidRPr="00812976">
        <w:rPr>
          <w:rFonts w:ascii="Arial" w:hAnsi="Arial" w:cs="Arial"/>
        </w:rPr>
        <w:t>Kinsella Frost</w:t>
      </w:r>
      <w:r w:rsidR="0069040A" w:rsidRPr="00812976">
        <w:rPr>
          <w:rFonts w:ascii="Arial" w:hAnsi="Arial" w:cs="Arial"/>
        </w:rPr>
        <w:t xml:space="preserve"> provides an important contribution</w:t>
      </w:r>
      <w:r w:rsidR="006F6FA3" w:rsidRPr="00812976">
        <w:rPr>
          <w:rFonts w:ascii="Arial" w:hAnsi="Arial" w:cs="Arial"/>
        </w:rPr>
        <w:t xml:space="preserve"> to this </w:t>
      </w:r>
      <w:r w:rsidR="000268D2">
        <w:rPr>
          <w:rFonts w:ascii="Arial" w:hAnsi="Arial" w:cs="Arial"/>
        </w:rPr>
        <w:t>focus</w:t>
      </w:r>
      <w:r w:rsidR="006F6FA3" w:rsidRPr="00812976">
        <w:rPr>
          <w:rFonts w:ascii="Arial" w:hAnsi="Arial" w:cs="Arial"/>
        </w:rPr>
        <w:t xml:space="preserve"> edition on nurse education</w:t>
      </w:r>
      <w:r w:rsidR="00CA5FDE" w:rsidRPr="00812976">
        <w:rPr>
          <w:rFonts w:ascii="Arial" w:hAnsi="Arial" w:cs="Arial"/>
        </w:rPr>
        <w:t>, with a p</w:t>
      </w:r>
      <w:r w:rsidR="0069040A" w:rsidRPr="00812976">
        <w:rPr>
          <w:rFonts w:ascii="Arial" w:hAnsi="Arial" w:cs="Arial"/>
        </w:rPr>
        <w:t xml:space="preserve">aper </w:t>
      </w:r>
      <w:r w:rsidR="005E1146" w:rsidRPr="00812976">
        <w:rPr>
          <w:rFonts w:ascii="Arial" w:hAnsi="Arial" w:cs="Arial"/>
        </w:rPr>
        <w:t xml:space="preserve">explaining </w:t>
      </w:r>
      <w:r w:rsidR="009716B9" w:rsidRPr="00812976">
        <w:rPr>
          <w:rFonts w:ascii="Arial" w:hAnsi="Arial" w:cs="Arial"/>
        </w:rPr>
        <w:t xml:space="preserve">the use of art as a creative way </w:t>
      </w:r>
      <w:r w:rsidR="006F6FA3" w:rsidRPr="00812976">
        <w:rPr>
          <w:rFonts w:ascii="Arial" w:hAnsi="Arial" w:cs="Arial"/>
        </w:rPr>
        <w:t>to</w:t>
      </w:r>
      <w:r w:rsidR="009716B9" w:rsidRPr="00812976">
        <w:rPr>
          <w:rFonts w:ascii="Arial" w:hAnsi="Arial" w:cs="Arial"/>
        </w:rPr>
        <w:t xml:space="preserve"> enabl</w:t>
      </w:r>
      <w:r w:rsidR="006F6FA3" w:rsidRPr="00812976">
        <w:rPr>
          <w:rFonts w:ascii="Arial" w:hAnsi="Arial" w:cs="Arial"/>
        </w:rPr>
        <w:t>e</w:t>
      </w:r>
      <w:r w:rsidR="009716B9" w:rsidRPr="00812976">
        <w:rPr>
          <w:rFonts w:ascii="Arial" w:hAnsi="Arial" w:cs="Arial"/>
        </w:rPr>
        <w:t xml:space="preserve"> emotional debriefing</w:t>
      </w:r>
      <w:r w:rsidR="005E1146" w:rsidRPr="00812976">
        <w:rPr>
          <w:rFonts w:ascii="Arial" w:hAnsi="Arial" w:cs="Arial"/>
        </w:rPr>
        <w:t>, and how</w:t>
      </w:r>
      <w:r w:rsidR="009716B9" w:rsidRPr="00812976">
        <w:rPr>
          <w:rFonts w:ascii="Arial" w:hAnsi="Arial" w:cs="Arial"/>
        </w:rPr>
        <w:t xml:space="preserve"> a narrative inquiry </w:t>
      </w:r>
      <w:r w:rsidR="005E1146" w:rsidRPr="00812976">
        <w:rPr>
          <w:rFonts w:ascii="Arial" w:hAnsi="Arial" w:cs="Arial"/>
        </w:rPr>
        <w:t>provided</w:t>
      </w:r>
      <w:r w:rsidR="009716B9" w:rsidRPr="00812976">
        <w:rPr>
          <w:rFonts w:ascii="Arial" w:hAnsi="Arial" w:cs="Arial"/>
        </w:rPr>
        <w:t xml:space="preserve"> an in-depth understanding of the students’ experiences</w:t>
      </w:r>
      <w:r w:rsidR="005E1146" w:rsidRPr="00812976">
        <w:rPr>
          <w:rFonts w:ascii="Arial" w:hAnsi="Arial" w:cs="Arial"/>
        </w:rPr>
        <w:t xml:space="preserve">. </w:t>
      </w:r>
      <w:r w:rsidR="00CA5FDE" w:rsidRPr="00812976">
        <w:rPr>
          <w:rFonts w:ascii="Arial" w:hAnsi="Arial" w:cs="Arial"/>
        </w:rPr>
        <w:t>Kinsella Frost suggests that there could be wider inclusion of art in nurse education</w:t>
      </w:r>
      <w:r w:rsidR="005E1146" w:rsidRPr="00812976">
        <w:rPr>
          <w:rFonts w:ascii="Arial" w:hAnsi="Arial" w:cs="Arial"/>
        </w:rPr>
        <w:t xml:space="preserve"> and</w:t>
      </w:r>
      <w:r w:rsidR="00812976">
        <w:rPr>
          <w:rFonts w:ascii="Arial" w:hAnsi="Arial" w:cs="Arial"/>
        </w:rPr>
        <w:t>,</w:t>
      </w:r>
      <w:r w:rsidR="005E1146" w:rsidRPr="00812976">
        <w:rPr>
          <w:rFonts w:ascii="Arial" w:hAnsi="Arial" w:cs="Arial"/>
        </w:rPr>
        <w:t xml:space="preserve"> i</w:t>
      </w:r>
      <w:r w:rsidR="00CA5FDE" w:rsidRPr="00812976">
        <w:rPr>
          <w:rFonts w:ascii="Arial" w:hAnsi="Arial" w:cs="Arial"/>
        </w:rPr>
        <w:t xml:space="preserve">n her commentary, Huet </w:t>
      </w:r>
      <w:r w:rsidR="005E1146" w:rsidRPr="00812976">
        <w:rPr>
          <w:rFonts w:ascii="Arial" w:hAnsi="Arial" w:cs="Arial"/>
        </w:rPr>
        <w:t>argu</w:t>
      </w:r>
      <w:r w:rsidR="006F6FA3" w:rsidRPr="00812976">
        <w:rPr>
          <w:rFonts w:ascii="Arial" w:hAnsi="Arial" w:cs="Arial"/>
        </w:rPr>
        <w:t>es</w:t>
      </w:r>
      <w:r w:rsidR="005E1146" w:rsidRPr="00812976">
        <w:rPr>
          <w:rFonts w:ascii="Arial" w:hAnsi="Arial" w:cs="Arial"/>
        </w:rPr>
        <w:t xml:space="preserve"> that</w:t>
      </w:r>
      <w:r w:rsidR="00CA5FDE" w:rsidRPr="00812976">
        <w:rPr>
          <w:rFonts w:ascii="Arial" w:hAnsi="Arial" w:cs="Arial"/>
        </w:rPr>
        <w:t xml:space="preserve"> </w:t>
      </w:r>
      <w:r w:rsidR="005E1146" w:rsidRPr="00812976">
        <w:rPr>
          <w:rFonts w:ascii="Arial" w:hAnsi="Arial" w:cs="Arial"/>
        </w:rPr>
        <w:t xml:space="preserve">embedding </w:t>
      </w:r>
      <w:r w:rsidR="00CA5FDE" w:rsidRPr="00812976">
        <w:rPr>
          <w:rFonts w:ascii="Arial" w:hAnsi="Arial" w:cs="Arial"/>
        </w:rPr>
        <w:t xml:space="preserve">art </w:t>
      </w:r>
      <w:r w:rsidR="00CA5FDE" w:rsidRPr="00812976">
        <w:rPr>
          <w:rFonts w:ascii="Arial" w:eastAsia="Times New Roman" w:hAnsi="Arial" w:cs="Arial"/>
          <w:color w:val="000000"/>
          <w:lang w:eastAsia="en-GB"/>
        </w:rPr>
        <w:t>helps to develop resilience</w:t>
      </w:r>
      <w:r w:rsidR="005E1146" w:rsidRPr="00812976">
        <w:rPr>
          <w:rFonts w:ascii="Arial" w:eastAsia="Times New Roman" w:hAnsi="Arial" w:cs="Arial"/>
          <w:color w:val="000000"/>
          <w:lang w:eastAsia="en-GB"/>
        </w:rPr>
        <w:t>, which should be a priority given that healthcare professionals are at such high risk of work-related stress.</w:t>
      </w:r>
      <w:r w:rsidR="00035D01" w:rsidRPr="00812976">
        <w:rPr>
          <w:rFonts w:ascii="Arial" w:eastAsia="Times New Roman" w:hAnsi="Arial" w:cs="Arial"/>
          <w:color w:val="000000"/>
          <w:lang w:eastAsia="en-GB"/>
        </w:rPr>
        <w:t xml:space="preserve"> </w:t>
      </w:r>
    </w:p>
    <w:p w:rsidR="00035D01" w:rsidRPr="00E83D01" w:rsidRDefault="00812976" w:rsidP="006A574E">
      <w:pPr>
        <w:spacing w:line="240" w:lineRule="auto"/>
        <w:rPr>
          <w:rFonts w:ascii="Arial" w:hAnsi="Arial" w:cs="Arial"/>
          <w:sz w:val="24"/>
          <w:szCs w:val="24"/>
          <w:lang w:eastAsia="en-GB"/>
        </w:rPr>
      </w:pPr>
      <w:r w:rsidRPr="00271663">
        <w:rPr>
          <w:rFonts w:ascii="Arial" w:eastAsia="Times New Roman" w:hAnsi="Arial" w:cs="Arial"/>
          <w:color w:val="000000"/>
          <w:lang w:eastAsia="en-GB"/>
        </w:rPr>
        <w:t xml:space="preserve">One of the global challenges for healthcare, and therefore nursing education, is the increasing numbers of people who are living with dementia. </w:t>
      </w:r>
      <w:r w:rsidR="00271663" w:rsidRPr="00271663">
        <w:rPr>
          <w:rFonts w:ascii="Arial" w:eastAsia="Times New Roman" w:hAnsi="Arial" w:cs="Arial"/>
          <w:color w:val="000000"/>
          <w:lang w:eastAsia="en-GB"/>
        </w:rPr>
        <w:t>A</w:t>
      </w:r>
      <w:r w:rsidR="00271663" w:rsidRPr="00271663">
        <w:rPr>
          <w:rFonts w:ascii="Arial" w:hAnsi="Arial" w:cs="Arial"/>
        </w:rPr>
        <w:t>n estimated third of hospital inpatients in high income countries have dementia (Alzheimer’s Disease International, 2016)</w:t>
      </w:r>
      <w:r w:rsidR="00271663">
        <w:rPr>
          <w:rFonts w:ascii="Arial" w:hAnsi="Arial" w:cs="Arial"/>
        </w:rPr>
        <w:t xml:space="preserve"> but </w:t>
      </w:r>
      <w:r w:rsidR="00271663" w:rsidRPr="00271663">
        <w:rPr>
          <w:rFonts w:ascii="Arial" w:hAnsi="Arial" w:cs="Arial"/>
        </w:rPr>
        <w:t xml:space="preserve">hospital staff have been found to lack </w:t>
      </w:r>
      <w:r w:rsidR="00271663">
        <w:rPr>
          <w:rFonts w:ascii="Arial" w:hAnsi="Arial" w:cs="Arial"/>
        </w:rPr>
        <w:t xml:space="preserve">the necessary </w:t>
      </w:r>
      <w:r w:rsidR="00271663" w:rsidRPr="00271663">
        <w:rPr>
          <w:rFonts w:ascii="Arial" w:hAnsi="Arial" w:cs="Arial"/>
        </w:rPr>
        <w:t>knowledge and skills</w:t>
      </w:r>
      <w:r w:rsidR="009B4B6B">
        <w:rPr>
          <w:rFonts w:ascii="Arial" w:hAnsi="Arial" w:cs="Arial"/>
        </w:rPr>
        <w:t>,</w:t>
      </w:r>
      <w:r w:rsidR="00271663" w:rsidRPr="00271663">
        <w:rPr>
          <w:rFonts w:ascii="Arial" w:hAnsi="Arial" w:cs="Arial"/>
        </w:rPr>
        <w:t xml:space="preserve"> </w:t>
      </w:r>
      <w:r w:rsidR="00271663">
        <w:rPr>
          <w:rFonts w:ascii="Arial" w:hAnsi="Arial" w:cs="Arial"/>
        </w:rPr>
        <w:t>and</w:t>
      </w:r>
      <w:r w:rsidR="00271663" w:rsidRPr="00271663">
        <w:rPr>
          <w:rFonts w:ascii="Arial" w:hAnsi="Arial" w:cs="Arial"/>
        </w:rPr>
        <w:t xml:space="preserve"> so improved education is necessary (Calnan et al., 2013; Clissett et al., 2014). I</w:t>
      </w:r>
      <w:r w:rsidR="00035D01" w:rsidRPr="00271663">
        <w:rPr>
          <w:rFonts w:ascii="Arial" w:eastAsia="Times New Roman" w:hAnsi="Arial" w:cs="Arial"/>
          <w:color w:val="000000"/>
          <w:lang w:eastAsia="en-GB"/>
        </w:rPr>
        <w:t xml:space="preserve">n a second perspectives paper in this special edition, </w:t>
      </w:r>
      <w:r w:rsidRPr="00271663">
        <w:rPr>
          <w:rFonts w:ascii="Arial" w:eastAsia="Times New Roman" w:hAnsi="Arial" w:cs="Arial"/>
          <w:color w:val="000000"/>
          <w:lang w:eastAsia="en-GB"/>
        </w:rPr>
        <w:t xml:space="preserve">Knifton and colleagues from </w:t>
      </w:r>
      <w:r w:rsidR="006F6FA3" w:rsidRPr="00271663">
        <w:rPr>
          <w:rFonts w:ascii="Arial" w:eastAsia="Times New Roman" w:hAnsi="Arial" w:cs="Arial"/>
          <w:color w:val="000000"/>
          <w:lang w:eastAsia="en-GB"/>
        </w:rPr>
        <w:t>the</w:t>
      </w:r>
      <w:r w:rsidR="00035D01" w:rsidRPr="00271663">
        <w:rPr>
          <w:rFonts w:ascii="Arial" w:eastAsia="Times New Roman" w:hAnsi="Arial" w:cs="Arial"/>
          <w:color w:val="000000"/>
          <w:lang w:eastAsia="en-GB"/>
        </w:rPr>
        <w:t xml:space="preserve"> UK-wide Higher Education Dement</w:t>
      </w:r>
      <w:r w:rsidR="006A574E" w:rsidRPr="00271663">
        <w:rPr>
          <w:rFonts w:ascii="Arial" w:eastAsia="Times New Roman" w:hAnsi="Arial" w:cs="Arial"/>
          <w:color w:val="000000"/>
          <w:lang w:eastAsia="en-GB"/>
        </w:rPr>
        <w:t>ia Network (HEDN) argue for a comprehensive and consistent approach to educating</w:t>
      </w:r>
      <w:r w:rsidR="006A574E">
        <w:rPr>
          <w:rFonts w:ascii="Arial" w:eastAsia="Times New Roman" w:hAnsi="Arial" w:cs="Arial"/>
          <w:color w:val="000000"/>
          <w:lang w:eastAsia="en-GB"/>
        </w:rPr>
        <w:t xml:space="preserve"> the healthcare workforce to care for people who are living with dementia. </w:t>
      </w:r>
      <w:r w:rsidR="003F3C73">
        <w:rPr>
          <w:rFonts w:ascii="Arial" w:eastAsia="Times New Roman" w:hAnsi="Arial" w:cs="Arial"/>
          <w:color w:val="000000"/>
          <w:lang w:eastAsia="en-GB"/>
        </w:rPr>
        <w:t xml:space="preserve">The </w:t>
      </w:r>
      <w:r w:rsidR="006A574E">
        <w:rPr>
          <w:rFonts w:ascii="Arial" w:eastAsia="Times New Roman" w:hAnsi="Arial" w:cs="Arial"/>
          <w:color w:val="000000"/>
          <w:lang w:eastAsia="en-GB"/>
        </w:rPr>
        <w:t xml:space="preserve">paper identifies that there are sound frameworks for dementia education produced by all four UK </w:t>
      </w:r>
      <w:r>
        <w:rPr>
          <w:rFonts w:ascii="Arial" w:eastAsia="Times New Roman" w:hAnsi="Arial" w:cs="Arial"/>
          <w:color w:val="000000"/>
          <w:lang w:eastAsia="en-GB"/>
        </w:rPr>
        <w:t>nations</w:t>
      </w:r>
      <w:r w:rsidR="006A574E">
        <w:rPr>
          <w:rFonts w:ascii="Arial" w:eastAsia="Times New Roman" w:hAnsi="Arial" w:cs="Arial"/>
          <w:color w:val="000000"/>
          <w:lang w:eastAsia="en-GB"/>
        </w:rPr>
        <w:t xml:space="preserve"> but </w:t>
      </w:r>
      <w:r>
        <w:rPr>
          <w:rFonts w:ascii="Arial" w:eastAsia="Times New Roman" w:hAnsi="Arial" w:cs="Arial"/>
          <w:color w:val="000000"/>
          <w:lang w:eastAsia="en-GB"/>
        </w:rPr>
        <w:t xml:space="preserve">the implementation of these, </w:t>
      </w:r>
      <w:r w:rsidR="006A574E">
        <w:rPr>
          <w:rFonts w:ascii="Arial" w:eastAsia="Times New Roman" w:hAnsi="Arial" w:cs="Arial"/>
          <w:color w:val="000000"/>
          <w:lang w:eastAsia="en-GB"/>
        </w:rPr>
        <w:t xml:space="preserve">in each university, </w:t>
      </w:r>
      <w:r w:rsidR="006F6FA3">
        <w:rPr>
          <w:rFonts w:ascii="Arial" w:eastAsia="Times New Roman" w:hAnsi="Arial" w:cs="Arial"/>
          <w:color w:val="000000"/>
          <w:lang w:eastAsia="en-GB"/>
        </w:rPr>
        <w:t>varies</w:t>
      </w:r>
      <w:r w:rsidR="006A574E">
        <w:rPr>
          <w:rFonts w:ascii="Arial" w:eastAsia="Times New Roman" w:hAnsi="Arial" w:cs="Arial"/>
          <w:color w:val="000000"/>
          <w:lang w:eastAsia="en-GB"/>
        </w:rPr>
        <w:t xml:space="preserve"> widely. </w:t>
      </w:r>
      <w:r>
        <w:rPr>
          <w:rFonts w:ascii="Arial" w:eastAsia="Times New Roman" w:hAnsi="Arial" w:cs="Arial"/>
          <w:color w:val="000000"/>
          <w:lang w:eastAsia="en-GB"/>
        </w:rPr>
        <w:t xml:space="preserve">The authors make recommendations for how we can ensure that dementia education is prioritised within nursing curricula, highlighting that </w:t>
      </w:r>
      <w:r w:rsidR="006A574E">
        <w:rPr>
          <w:rFonts w:ascii="Arial" w:eastAsia="Times New Roman" w:hAnsi="Arial" w:cs="Arial"/>
          <w:color w:val="000000"/>
          <w:lang w:eastAsia="en-GB"/>
        </w:rPr>
        <w:t>the professional regulatory bodies</w:t>
      </w:r>
      <w:r>
        <w:rPr>
          <w:rFonts w:ascii="Arial" w:eastAsia="Times New Roman" w:hAnsi="Arial" w:cs="Arial"/>
          <w:color w:val="000000"/>
          <w:lang w:eastAsia="en-GB"/>
        </w:rPr>
        <w:t>, which approve healthcare curricula,</w:t>
      </w:r>
      <w:r w:rsidR="006A574E">
        <w:rPr>
          <w:rFonts w:ascii="Arial" w:eastAsia="Times New Roman" w:hAnsi="Arial" w:cs="Arial"/>
          <w:color w:val="000000"/>
          <w:lang w:eastAsia="en-GB"/>
        </w:rPr>
        <w:t xml:space="preserve"> </w:t>
      </w:r>
      <w:r>
        <w:rPr>
          <w:rFonts w:ascii="Arial" w:eastAsia="Times New Roman" w:hAnsi="Arial" w:cs="Arial"/>
          <w:color w:val="000000"/>
          <w:lang w:eastAsia="en-GB"/>
        </w:rPr>
        <w:t>could trigger more consistent</w:t>
      </w:r>
      <w:r w:rsidR="00271663">
        <w:rPr>
          <w:rFonts w:ascii="Arial" w:eastAsia="Times New Roman" w:hAnsi="Arial" w:cs="Arial"/>
          <w:color w:val="000000"/>
          <w:lang w:eastAsia="en-GB"/>
        </w:rPr>
        <w:t xml:space="preserve">, comprehensive </w:t>
      </w:r>
      <w:r>
        <w:rPr>
          <w:rFonts w:ascii="Arial" w:eastAsia="Times New Roman" w:hAnsi="Arial" w:cs="Arial"/>
          <w:color w:val="000000"/>
          <w:lang w:eastAsia="en-GB"/>
        </w:rPr>
        <w:t>approaches to dementia education</w:t>
      </w:r>
      <w:r w:rsidR="00271663">
        <w:rPr>
          <w:rFonts w:ascii="Arial" w:eastAsia="Times New Roman" w:hAnsi="Arial" w:cs="Arial"/>
          <w:color w:val="000000"/>
          <w:lang w:eastAsia="en-GB"/>
        </w:rPr>
        <w:t xml:space="preserve"> by requiring universities to implement the expert standards</w:t>
      </w:r>
      <w:r w:rsidR="006A574E">
        <w:rPr>
          <w:rFonts w:ascii="Arial" w:eastAsia="Times New Roman" w:hAnsi="Arial" w:cs="Arial"/>
          <w:color w:val="000000"/>
          <w:lang w:eastAsia="en-GB"/>
        </w:rPr>
        <w:t xml:space="preserve">. </w:t>
      </w:r>
      <w:r w:rsidR="003F3C73">
        <w:rPr>
          <w:rFonts w:ascii="Arial" w:eastAsia="Times New Roman" w:hAnsi="Arial" w:cs="Arial"/>
          <w:color w:val="000000"/>
          <w:lang w:eastAsia="en-GB"/>
        </w:rPr>
        <w:t xml:space="preserve">Whilst this paper originates from the UK, </w:t>
      </w:r>
      <w:r w:rsidR="00151CE1">
        <w:rPr>
          <w:rFonts w:ascii="Arial" w:eastAsia="Times New Roman" w:hAnsi="Arial" w:cs="Arial"/>
          <w:color w:val="000000"/>
          <w:lang w:eastAsia="en-GB"/>
        </w:rPr>
        <w:t>the perspectives expressed</w:t>
      </w:r>
      <w:r w:rsidR="003F3C73">
        <w:rPr>
          <w:rFonts w:ascii="Arial" w:eastAsia="Times New Roman" w:hAnsi="Arial" w:cs="Arial"/>
          <w:color w:val="000000"/>
          <w:lang w:eastAsia="en-GB"/>
        </w:rPr>
        <w:t xml:space="preserve"> could prompt nurse educators in other countries to examine how dementia education is approached</w:t>
      </w:r>
      <w:r w:rsidR="00271663">
        <w:rPr>
          <w:rFonts w:ascii="Arial" w:eastAsia="Times New Roman" w:hAnsi="Arial" w:cs="Arial"/>
          <w:color w:val="000000"/>
          <w:lang w:eastAsia="en-GB"/>
        </w:rPr>
        <w:t xml:space="preserve">, </w:t>
      </w:r>
      <w:r w:rsidR="003F3C73">
        <w:rPr>
          <w:rFonts w:ascii="Arial" w:eastAsia="Times New Roman" w:hAnsi="Arial" w:cs="Arial"/>
          <w:color w:val="000000"/>
          <w:lang w:eastAsia="en-GB"/>
        </w:rPr>
        <w:t xml:space="preserve">from a national perspective. </w:t>
      </w:r>
    </w:p>
    <w:p w:rsidR="00035D01" w:rsidRPr="005008C9" w:rsidRDefault="003F3C73" w:rsidP="00035D01">
      <w:pPr>
        <w:spacing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 xml:space="preserve">In a second paper addressing the important area of dementia education, Knifton and </w:t>
      </w:r>
      <w:r w:rsidR="00B50EBC">
        <w:rPr>
          <w:rFonts w:ascii="Arial" w:eastAsia="Times New Roman" w:hAnsi="Arial" w:cs="Arial"/>
          <w:color w:val="000000"/>
          <w:lang w:eastAsia="en-GB"/>
        </w:rPr>
        <w:t xml:space="preserve">Yates </w:t>
      </w:r>
      <w:r>
        <w:rPr>
          <w:rFonts w:ascii="Arial" w:eastAsia="Times New Roman" w:hAnsi="Arial" w:cs="Arial"/>
          <w:color w:val="000000"/>
          <w:lang w:eastAsia="en-GB"/>
        </w:rPr>
        <w:t xml:space="preserve">present a Foucaudian approach to understanding the framing of dementia and the implications for nurse education. </w:t>
      </w:r>
      <w:r w:rsidR="00B50EBC">
        <w:rPr>
          <w:rFonts w:ascii="Arial" w:eastAsia="Times New Roman" w:hAnsi="Arial" w:cs="Arial"/>
          <w:color w:val="000000"/>
          <w:lang w:eastAsia="en-GB"/>
        </w:rPr>
        <w:t>T</w:t>
      </w:r>
      <w:r>
        <w:rPr>
          <w:rFonts w:ascii="Arial" w:eastAsia="Times New Roman" w:hAnsi="Arial" w:cs="Arial"/>
          <w:color w:val="000000"/>
          <w:lang w:eastAsia="en-GB"/>
        </w:rPr>
        <w:t>he paper provides a unique contribution to our thinking about dementia education</w:t>
      </w:r>
      <w:r w:rsidR="00B50EBC">
        <w:rPr>
          <w:rFonts w:ascii="Arial" w:eastAsia="Times New Roman" w:hAnsi="Arial" w:cs="Arial"/>
          <w:color w:val="000000"/>
          <w:lang w:eastAsia="en-GB"/>
        </w:rPr>
        <w:t>, whil</w:t>
      </w:r>
      <w:r w:rsidR="00151CE1">
        <w:rPr>
          <w:rFonts w:ascii="Arial" w:eastAsia="Times New Roman" w:hAnsi="Arial" w:cs="Arial"/>
          <w:color w:val="000000"/>
          <w:lang w:eastAsia="en-GB"/>
        </w:rPr>
        <w:t>st</w:t>
      </w:r>
      <w:r w:rsidR="00B50EBC">
        <w:rPr>
          <w:rFonts w:ascii="Arial" w:eastAsia="Times New Roman" w:hAnsi="Arial" w:cs="Arial"/>
          <w:color w:val="000000"/>
          <w:lang w:eastAsia="en-GB"/>
        </w:rPr>
        <w:t xml:space="preserve"> </w:t>
      </w:r>
      <w:r>
        <w:rPr>
          <w:rFonts w:ascii="Arial" w:eastAsia="Times New Roman" w:hAnsi="Arial" w:cs="Arial"/>
          <w:color w:val="000000"/>
          <w:lang w:eastAsia="en-GB"/>
        </w:rPr>
        <w:t xml:space="preserve">also </w:t>
      </w:r>
      <w:r w:rsidR="00B50EBC">
        <w:rPr>
          <w:rFonts w:ascii="Arial" w:eastAsia="Times New Roman" w:hAnsi="Arial" w:cs="Arial"/>
          <w:color w:val="000000"/>
          <w:lang w:eastAsia="en-GB"/>
        </w:rPr>
        <w:t>reminding us t</w:t>
      </w:r>
      <w:r>
        <w:rPr>
          <w:rFonts w:ascii="Arial" w:eastAsia="Times New Roman" w:hAnsi="Arial" w:cs="Arial"/>
          <w:color w:val="000000"/>
          <w:lang w:eastAsia="en-GB"/>
        </w:rPr>
        <w:t xml:space="preserve">hat nurse education does not exist in a vacuum. </w:t>
      </w:r>
      <w:r w:rsidR="00B8028A">
        <w:rPr>
          <w:rFonts w:ascii="Arial" w:eastAsia="Times New Roman" w:hAnsi="Arial" w:cs="Arial"/>
          <w:color w:val="000000"/>
          <w:lang w:eastAsia="en-GB"/>
        </w:rPr>
        <w:t>N</w:t>
      </w:r>
      <w:r>
        <w:rPr>
          <w:rFonts w:ascii="Arial" w:eastAsia="Times New Roman" w:hAnsi="Arial" w:cs="Arial"/>
          <w:color w:val="000000"/>
          <w:lang w:eastAsia="en-GB"/>
        </w:rPr>
        <w:t xml:space="preserve">urse educators might reflect on how the framing of other conditions </w:t>
      </w:r>
      <w:r w:rsidR="008C1648">
        <w:rPr>
          <w:rFonts w:ascii="Arial" w:eastAsia="Times New Roman" w:hAnsi="Arial" w:cs="Arial"/>
          <w:color w:val="000000"/>
          <w:lang w:eastAsia="en-GB"/>
        </w:rPr>
        <w:t xml:space="preserve">could </w:t>
      </w:r>
      <w:r w:rsidR="006F6FA3">
        <w:rPr>
          <w:rFonts w:ascii="Arial" w:eastAsia="Times New Roman" w:hAnsi="Arial" w:cs="Arial"/>
          <w:color w:val="000000"/>
          <w:lang w:eastAsia="en-GB"/>
        </w:rPr>
        <w:t xml:space="preserve">impact on </w:t>
      </w:r>
      <w:r>
        <w:rPr>
          <w:rFonts w:ascii="Arial" w:eastAsia="Times New Roman" w:hAnsi="Arial" w:cs="Arial"/>
          <w:color w:val="000000"/>
          <w:lang w:eastAsia="en-GB"/>
        </w:rPr>
        <w:t>how the</w:t>
      </w:r>
      <w:r w:rsidR="00B8028A">
        <w:rPr>
          <w:rFonts w:ascii="Arial" w:eastAsia="Times New Roman" w:hAnsi="Arial" w:cs="Arial"/>
          <w:color w:val="000000"/>
          <w:lang w:eastAsia="en-GB"/>
        </w:rPr>
        <w:t>y address these i</w:t>
      </w:r>
      <w:r>
        <w:rPr>
          <w:rFonts w:ascii="Arial" w:eastAsia="Times New Roman" w:hAnsi="Arial" w:cs="Arial"/>
          <w:color w:val="000000"/>
          <w:lang w:eastAsia="en-GB"/>
        </w:rPr>
        <w:t>n the curriculum</w:t>
      </w:r>
      <w:r w:rsidR="00B50EBC">
        <w:rPr>
          <w:rFonts w:ascii="Arial" w:eastAsia="Times New Roman" w:hAnsi="Arial" w:cs="Arial"/>
          <w:color w:val="000000"/>
          <w:lang w:eastAsia="en-GB"/>
        </w:rPr>
        <w:t xml:space="preserve"> too</w:t>
      </w:r>
      <w:r>
        <w:rPr>
          <w:rFonts w:ascii="Arial" w:eastAsia="Times New Roman" w:hAnsi="Arial" w:cs="Arial"/>
          <w:color w:val="000000"/>
          <w:lang w:eastAsia="en-GB"/>
        </w:rPr>
        <w:t>. In her commentary</w:t>
      </w:r>
      <w:r w:rsidR="006F6FA3">
        <w:rPr>
          <w:rFonts w:ascii="Arial" w:eastAsia="Times New Roman" w:hAnsi="Arial" w:cs="Arial"/>
          <w:color w:val="000000"/>
          <w:lang w:eastAsia="en-GB"/>
        </w:rPr>
        <w:t>,</w:t>
      </w:r>
      <w:r>
        <w:rPr>
          <w:rFonts w:ascii="Arial" w:eastAsia="Times New Roman" w:hAnsi="Arial" w:cs="Arial"/>
          <w:color w:val="000000"/>
          <w:lang w:eastAsia="en-GB"/>
        </w:rPr>
        <w:t xml:space="preserve"> Traynor suggests that Knifton and </w:t>
      </w:r>
      <w:r w:rsidR="00B50EBC">
        <w:rPr>
          <w:rFonts w:ascii="Arial" w:eastAsia="Times New Roman" w:hAnsi="Arial" w:cs="Arial"/>
          <w:color w:val="000000"/>
          <w:lang w:eastAsia="en-GB"/>
        </w:rPr>
        <w:t xml:space="preserve">Yates’s </w:t>
      </w:r>
      <w:r>
        <w:rPr>
          <w:rFonts w:ascii="Arial" w:eastAsia="Times New Roman" w:hAnsi="Arial" w:cs="Arial"/>
          <w:color w:val="000000"/>
          <w:lang w:eastAsia="en-GB"/>
        </w:rPr>
        <w:t xml:space="preserve">paper </w:t>
      </w:r>
      <w:r w:rsidR="00C46421">
        <w:rPr>
          <w:rFonts w:ascii="Arial" w:eastAsia="Times New Roman" w:hAnsi="Arial" w:cs="Arial"/>
          <w:color w:val="000000"/>
          <w:lang w:eastAsia="en-GB"/>
        </w:rPr>
        <w:t>might prompt nurse educators to examine how they approach dementia in the curriculum and to evolve from a focus on dementia</w:t>
      </w:r>
      <w:r w:rsidR="005008C9">
        <w:rPr>
          <w:rFonts w:ascii="Arial" w:eastAsia="Times New Roman" w:hAnsi="Arial" w:cs="Arial"/>
          <w:color w:val="000000"/>
          <w:lang w:eastAsia="en-GB"/>
        </w:rPr>
        <w:t xml:space="preserve"> as a medical condition</w:t>
      </w:r>
      <w:r w:rsidR="00C46421">
        <w:rPr>
          <w:rFonts w:ascii="Arial" w:eastAsia="Times New Roman" w:hAnsi="Arial" w:cs="Arial"/>
          <w:color w:val="000000"/>
          <w:lang w:eastAsia="en-GB"/>
        </w:rPr>
        <w:t>, to approaches that help students to understand the meaning of living with dementia</w:t>
      </w:r>
      <w:r w:rsidR="005008C9">
        <w:rPr>
          <w:rFonts w:ascii="Arial" w:eastAsia="Times New Roman" w:hAnsi="Arial" w:cs="Arial"/>
          <w:color w:val="000000"/>
          <w:lang w:eastAsia="en-GB"/>
        </w:rPr>
        <w:t xml:space="preserve"> and how they can approach care in an empowering, rather than disabling, manner</w:t>
      </w:r>
      <w:r w:rsidR="00C46421">
        <w:rPr>
          <w:rFonts w:ascii="Arial" w:eastAsia="Times New Roman" w:hAnsi="Arial" w:cs="Arial"/>
          <w:color w:val="000000"/>
          <w:lang w:eastAsia="en-GB"/>
        </w:rPr>
        <w:t xml:space="preserve">. As Traynor highlights, this Foucauldian analysis has wide relevance across pre-and post registration education for healthcare professionals. </w:t>
      </w:r>
    </w:p>
    <w:p w:rsidR="00035D01" w:rsidRPr="00B07FCC" w:rsidRDefault="00035D01" w:rsidP="00035D01">
      <w:pPr>
        <w:spacing w:line="240" w:lineRule="auto"/>
        <w:rPr>
          <w:rFonts w:ascii="Arial" w:hAnsi="Arial" w:cs="Arial"/>
        </w:rPr>
      </w:pPr>
      <w:r w:rsidRPr="00C312BE">
        <w:rPr>
          <w:rFonts w:ascii="Arial" w:hAnsi="Arial" w:cs="Arial"/>
        </w:rPr>
        <w:t xml:space="preserve">Nursing students are investing in their careers and employability is an important </w:t>
      </w:r>
      <w:r w:rsidR="00B8028A">
        <w:rPr>
          <w:rFonts w:ascii="Arial" w:hAnsi="Arial" w:cs="Arial"/>
        </w:rPr>
        <w:t xml:space="preserve">goal </w:t>
      </w:r>
      <w:r w:rsidRPr="00C312BE">
        <w:rPr>
          <w:rFonts w:ascii="Arial" w:hAnsi="Arial" w:cs="Arial"/>
        </w:rPr>
        <w:t xml:space="preserve">of any pre-registration nursing programme. In a </w:t>
      </w:r>
      <w:r>
        <w:rPr>
          <w:rFonts w:ascii="Arial" w:hAnsi="Arial" w:cs="Arial"/>
        </w:rPr>
        <w:t xml:space="preserve">pre-test post-test quasi-experimental </w:t>
      </w:r>
      <w:r w:rsidRPr="00C312BE">
        <w:rPr>
          <w:rFonts w:ascii="Arial" w:hAnsi="Arial" w:cs="Arial"/>
        </w:rPr>
        <w:t xml:space="preserve">study based in Egypt, </w:t>
      </w:r>
      <w:r w:rsidRPr="00B07FCC">
        <w:rPr>
          <w:rFonts w:ascii="Arial" w:hAnsi="Arial" w:cs="Arial"/>
        </w:rPr>
        <w:t>Hashis</w:t>
      </w:r>
      <w:r>
        <w:rPr>
          <w:rFonts w:ascii="Arial" w:hAnsi="Arial" w:cs="Arial"/>
        </w:rPr>
        <w:t>h and colleagues</w:t>
      </w:r>
      <w:r>
        <w:rPr>
          <w:rFonts w:ascii="Arial" w:hAnsi="Arial" w:cs="Arial"/>
          <w:b/>
        </w:rPr>
        <w:t xml:space="preserve"> </w:t>
      </w:r>
      <w:r w:rsidRPr="00B07FCC">
        <w:rPr>
          <w:rFonts w:ascii="Arial" w:hAnsi="Arial" w:cs="Arial"/>
        </w:rPr>
        <w:t>investigate</w:t>
      </w:r>
      <w:r>
        <w:rPr>
          <w:rFonts w:ascii="Arial" w:hAnsi="Arial" w:cs="Arial"/>
        </w:rPr>
        <w:t>d</w:t>
      </w:r>
      <w:r w:rsidRPr="00B07FCC">
        <w:rPr>
          <w:rFonts w:ascii="Arial" w:hAnsi="Arial" w:cs="Arial"/>
        </w:rPr>
        <w:t xml:space="preserve"> the effect of career-awareness</w:t>
      </w:r>
      <w:r>
        <w:rPr>
          <w:rFonts w:ascii="Arial" w:hAnsi="Arial" w:cs="Arial"/>
        </w:rPr>
        <w:t xml:space="preserve"> sessions with nursing students, as well </w:t>
      </w:r>
      <w:r w:rsidR="00B8028A">
        <w:rPr>
          <w:rFonts w:ascii="Arial" w:hAnsi="Arial" w:cs="Arial"/>
        </w:rPr>
        <w:t xml:space="preserve">as </w:t>
      </w:r>
      <w:r>
        <w:rPr>
          <w:rFonts w:ascii="Arial" w:hAnsi="Arial" w:cs="Arial"/>
        </w:rPr>
        <w:t xml:space="preserve">the </w:t>
      </w:r>
      <w:r w:rsidRPr="00B07FCC">
        <w:rPr>
          <w:rFonts w:ascii="Arial" w:hAnsi="Arial" w:cs="Arial"/>
        </w:rPr>
        <w:t>relationship between career and talent</w:t>
      </w:r>
      <w:r>
        <w:rPr>
          <w:rFonts w:ascii="Arial" w:hAnsi="Arial" w:cs="Arial"/>
        </w:rPr>
        <w:t xml:space="preserve"> </w:t>
      </w:r>
      <w:r w:rsidRPr="00B07FCC">
        <w:rPr>
          <w:rFonts w:ascii="Arial" w:hAnsi="Arial" w:cs="Arial"/>
        </w:rPr>
        <w:t>development self-efficacy and career barriers.</w:t>
      </w:r>
      <w:r>
        <w:rPr>
          <w:rFonts w:ascii="Arial" w:hAnsi="Arial" w:cs="Arial"/>
        </w:rPr>
        <w:t xml:space="preserve"> The results indicated that the sessions had a positive impact on students, with career barriers decreasing and </w:t>
      </w:r>
      <w:r w:rsidRPr="00B07FCC">
        <w:rPr>
          <w:rFonts w:ascii="Arial" w:hAnsi="Arial" w:cs="Arial"/>
        </w:rPr>
        <w:t>career and talent development</w:t>
      </w:r>
      <w:r>
        <w:rPr>
          <w:rFonts w:ascii="Arial" w:hAnsi="Arial" w:cs="Arial"/>
        </w:rPr>
        <w:t xml:space="preserve"> </w:t>
      </w:r>
      <w:r w:rsidRPr="00B07FCC">
        <w:rPr>
          <w:rFonts w:ascii="Arial" w:hAnsi="Arial" w:cs="Arial"/>
        </w:rPr>
        <w:t>self-efficacy score</w:t>
      </w:r>
      <w:r>
        <w:rPr>
          <w:rFonts w:ascii="Arial" w:hAnsi="Arial" w:cs="Arial"/>
        </w:rPr>
        <w:t>s</w:t>
      </w:r>
      <w:r w:rsidRPr="00B07FCC">
        <w:rPr>
          <w:rFonts w:ascii="Arial" w:hAnsi="Arial" w:cs="Arial"/>
        </w:rPr>
        <w:t xml:space="preserve"> </w:t>
      </w:r>
      <w:r>
        <w:rPr>
          <w:rFonts w:ascii="Arial" w:hAnsi="Arial" w:cs="Arial"/>
        </w:rPr>
        <w:t xml:space="preserve">increasing </w:t>
      </w:r>
      <w:r w:rsidRPr="00B07FCC">
        <w:rPr>
          <w:rFonts w:ascii="Arial" w:hAnsi="Arial" w:cs="Arial"/>
        </w:rPr>
        <w:t>significantly</w:t>
      </w:r>
      <w:r>
        <w:rPr>
          <w:rFonts w:ascii="Arial" w:hAnsi="Arial" w:cs="Arial"/>
        </w:rPr>
        <w:t>. In her commentary on the paper, Coverdale highlights how, particularly with the current crisis in recruitment and retention of nurses, it is so important that nurses entering the profession have career awareness</w:t>
      </w:r>
      <w:r w:rsidR="00B8028A">
        <w:rPr>
          <w:rFonts w:ascii="Arial" w:hAnsi="Arial" w:cs="Arial"/>
        </w:rPr>
        <w:t>. Therefore, H</w:t>
      </w:r>
      <w:r>
        <w:rPr>
          <w:rFonts w:ascii="Arial" w:hAnsi="Arial" w:cs="Arial"/>
        </w:rPr>
        <w:t>ashish et al.‘s paper provides important evidence</w:t>
      </w:r>
      <w:r w:rsidR="00B8028A">
        <w:rPr>
          <w:rFonts w:ascii="Arial" w:hAnsi="Arial" w:cs="Arial"/>
        </w:rPr>
        <w:t xml:space="preserve"> for </w:t>
      </w:r>
      <w:r>
        <w:rPr>
          <w:rFonts w:ascii="Arial" w:hAnsi="Arial" w:cs="Arial"/>
        </w:rPr>
        <w:t xml:space="preserve">the impact of sessions focused on career awareness during nurse education. </w:t>
      </w:r>
    </w:p>
    <w:p w:rsidR="00035D01" w:rsidRDefault="00035D01" w:rsidP="00035D01">
      <w:pPr>
        <w:spacing w:line="240" w:lineRule="auto"/>
        <w:rPr>
          <w:rFonts w:ascii="Arial" w:hAnsi="Arial" w:cs="Arial"/>
          <w:color w:val="000000"/>
        </w:rPr>
      </w:pPr>
      <w:r>
        <w:rPr>
          <w:rFonts w:ascii="Arial" w:hAnsi="Arial" w:cs="Arial"/>
        </w:rPr>
        <w:t xml:space="preserve">Whilst many of this </w:t>
      </w:r>
      <w:r w:rsidR="000268D2">
        <w:rPr>
          <w:rFonts w:ascii="Arial" w:hAnsi="Arial" w:cs="Arial"/>
        </w:rPr>
        <w:t xml:space="preserve">focus </w:t>
      </w:r>
      <w:r>
        <w:rPr>
          <w:rFonts w:ascii="Arial" w:hAnsi="Arial" w:cs="Arial"/>
        </w:rPr>
        <w:t xml:space="preserve">edition’s papers </w:t>
      </w:r>
      <w:r w:rsidR="000268D2">
        <w:rPr>
          <w:rFonts w:ascii="Arial" w:hAnsi="Arial" w:cs="Arial"/>
        </w:rPr>
        <w:t>concern mainly</w:t>
      </w:r>
      <w:r>
        <w:rPr>
          <w:rFonts w:ascii="Arial" w:hAnsi="Arial" w:cs="Arial"/>
        </w:rPr>
        <w:t xml:space="preserve"> initial nurse education, Markey et al.’ s paper explores a different aspect: the experiences of internationally prepared nurses who are undertaking post-graduate study in a different country, in this case, Ireland. As Darch notes in her commentary, many universities are striving to recruit international students but the focus tends to be on the curriculum and not necessarily student experiences. Many universities</w:t>
      </w:r>
      <w:r w:rsidR="00B8028A">
        <w:rPr>
          <w:rFonts w:ascii="Arial" w:hAnsi="Arial" w:cs="Arial"/>
        </w:rPr>
        <w:t xml:space="preserve"> are</w:t>
      </w:r>
      <w:r>
        <w:rPr>
          <w:rFonts w:ascii="Arial" w:hAnsi="Arial" w:cs="Arial"/>
        </w:rPr>
        <w:t xml:space="preserve"> recruiting international students from varying subject disciplines, including nursing, and </w:t>
      </w:r>
      <w:r w:rsidR="00B8028A">
        <w:rPr>
          <w:rFonts w:ascii="Arial" w:hAnsi="Arial" w:cs="Arial"/>
        </w:rPr>
        <w:t>we need to</w:t>
      </w:r>
      <w:r>
        <w:rPr>
          <w:rFonts w:ascii="Arial" w:hAnsi="Arial" w:cs="Arial"/>
        </w:rPr>
        <w:t xml:space="preserve"> understand these students’ experiences. Markey et al. used a qualitative approach and the interviews revealed the complexities and challenges international nursing students encountered during MSc studies, as they dealt with the </w:t>
      </w:r>
      <w:r w:rsidRPr="00B07FCC">
        <w:rPr>
          <w:rFonts w:ascii="Arial" w:hAnsi="Arial" w:cs="Arial"/>
          <w:color w:val="000000"/>
        </w:rPr>
        <w:t>differing realities</w:t>
      </w:r>
      <w:r>
        <w:rPr>
          <w:rFonts w:ascii="Arial" w:hAnsi="Arial" w:cs="Arial"/>
          <w:color w:val="000000"/>
        </w:rPr>
        <w:t xml:space="preserve"> and learnt new ways. Markey et al. raise the importance of </w:t>
      </w:r>
      <w:r w:rsidRPr="00B07FCC">
        <w:rPr>
          <w:rFonts w:ascii="Arial" w:hAnsi="Arial" w:cs="Arial"/>
          <w:color w:val="000000"/>
        </w:rPr>
        <w:t>focus</w:t>
      </w:r>
      <w:r>
        <w:rPr>
          <w:rFonts w:ascii="Arial" w:hAnsi="Arial" w:cs="Arial"/>
          <w:color w:val="000000"/>
        </w:rPr>
        <w:t xml:space="preserve">ing not just </w:t>
      </w:r>
      <w:r w:rsidR="00B8028A">
        <w:rPr>
          <w:rFonts w:ascii="Arial" w:hAnsi="Arial" w:cs="Arial"/>
          <w:color w:val="000000"/>
        </w:rPr>
        <w:t xml:space="preserve">on </w:t>
      </w:r>
      <w:r>
        <w:rPr>
          <w:rFonts w:ascii="Arial" w:hAnsi="Arial" w:cs="Arial"/>
          <w:color w:val="000000"/>
        </w:rPr>
        <w:t xml:space="preserve">international </w:t>
      </w:r>
      <w:r w:rsidRPr="00B07FCC">
        <w:rPr>
          <w:rFonts w:ascii="Arial" w:hAnsi="Arial" w:cs="Arial"/>
          <w:color w:val="000000"/>
        </w:rPr>
        <w:t xml:space="preserve">recruitment </w:t>
      </w:r>
      <w:r>
        <w:rPr>
          <w:rFonts w:ascii="Arial" w:hAnsi="Arial" w:cs="Arial"/>
          <w:color w:val="000000"/>
        </w:rPr>
        <w:t>but the</w:t>
      </w:r>
      <w:r w:rsidRPr="00B07FCC">
        <w:rPr>
          <w:rFonts w:ascii="Arial" w:hAnsi="Arial" w:cs="Arial"/>
          <w:color w:val="000000"/>
        </w:rPr>
        <w:t xml:space="preserve"> structures and processes to nurture intercultural learning.</w:t>
      </w:r>
    </w:p>
    <w:p w:rsidR="00B8028A" w:rsidRDefault="00B8028A" w:rsidP="00035D01">
      <w:pPr>
        <w:spacing w:line="240" w:lineRule="auto"/>
        <w:rPr>
          <w:rFonts w:ascii="Arial" w:hAnsi="Arial" w:cs="Arial"/>
        </w:rPr>
      </w:pPr>
      <w:r>
        <w:rPr>
          <w:rFonts w:ascii="Arial" w:hAnsi="Arial" w:cs="Arial"/>
          <w:color w:val="000000"/>
        </w:rPr>
        <w:t xml:space="preserve">The authors contributing to this </w:t>
      </w:r>
      <w:r w:rsidR="000268D2">
        <w:rPr>
          <w:rFonts w:ascii="Arial" w:hAnsi="Arial" w:cs="Arial"/>
          <w:color w:val="000000"/>
        </w:rPr>
        <w:t>focus</w:t>
      </w:r>
      <w:r>
        <w:rPr>
          <w:rFonts w:ascii="Arial" w:hAnsi="Arial" w:cs="Arial"/>
          <w:color w:val="000000"/>
        </w:rPr>
        <w:t xml:space="preserve"> edition, and the commentators, are based in different countries and so offer global perspectives, highlighting the common challenges nurse educators encounter when preparing nursing students for contemporary healthcare. In most papers, we gain perspectives from key stakeholders: the students themselves. As we continue through the 21</w:t>
      </w:r>
      <w:r w:rsidRPr="00B8028A">
        <w:rPr>
          <w:rFonts w:ascii="Arial" w:hAnsi="Arial" w:cs="Arial"/>
          <w:color w:val="000000"/>
          <w:vertAlign w:val="superscript"/>
        </w:rPr>
        <w:t>st</w:t>
      </w:r>
      <w:r>
        <w:rPr>
          <w:rFonts w:ascii="Arial" w:hAnsi="Arial" w:cs="Arial"/>
          <w:color w:val="000000"/>
        </w:rPr>
        <w:t xml:space="preserve"> century, it is essential </w:t>
      </w:r>
      <w:r w:rsidR="00A92AA9">
        <w:rPr>
          <w:rFonts w:ascii="Arial" w:hAnsi="Arial" w:cs="Arial"/>
          <w:color w:val="000000"/>
        </w:rPr>
        <w:t>for nurse educators to reflect critically on the impact of societal and healthcare changes and for nurse education to continue to evolve, to meet future challenges.</w:t>
      </w:r>
    </w:p>
    <w:p w:rsidR="004B37D5" w:rsidRPr="00151CE1" w:rsidRDefault="004B37D5" w:rsidP="00035D01">
      <w:pPr>
        <w:spacing w:line="240" w:lineRule="auto"/>
        <w:rPr>
          <w:rFonts w:ascii="Arial" w:hAnsi="Arial" w:cs="Arial"/>
          <w:b/>
        </w:rPr>
      </w:pPr>
      <w:r w:rsidRPr="00151CE1">
        <w:rPr>
          <w:rFonts w:ascii="Arial" w:hAnsi="Arial" w:cs="Arial"/>
          <w:b/>
        </w:rPr>
        <w:t>References</w:t>
      </w:r>
    </w:p>
    <w:p w:rsidR="0055740C" w:rsidRPr="0080533B" w:rsidRDefault="0055740C" w:rsidP="00736BCB">
      <w:pPr>
        <w:autoSpaceDE w:val="0"/>
        <w:autoSpaceDN w:val="0"/>
        <w:adjustRightInd w:val="0"/>
        <w:spacing w:after="0" w:line="240" w:lineRule="auto"/>
        <w:rPr>
          <w:rFonts w:ascii="Arial" w:hAnsi="Arial" w:cs="Arial"/>
        </w:rPr>
      </w:pPr>
      <w:r w:rsidRPr="0080533B">
        <w:rPr>
          <w:rFonts w:ascii="Arial" w:hAnsi="Arial" w:cs="Arial"/>
        </w:rPr>
        <w:t>Brooker, D. (2003)</w:t>
      </w:r>
      <w:r w:rsidR="00736BCB" w:rsidRPr="0080533B">
        <w:rPr>
          <w:rFonts w:ascii="Arial" w:hAnsi="Arial" w:cs="Arial"/>
        </w:rPr>
        <w:t xml:space="preserve"> </w:t>
      </w:r>
      <w:r w:rsidRPr="0080533B">
        <w:rPr>
          <w:rFonts w:ascii="Arial" w:hAnsi="Arial" w:cs="Arial"/>
        </w:rPr>
        <w:t xml:space="preserve">What is person-centred care in dementia? </w:t>
      </w:r>
      <w:r w:rsidRPr="00151CE1">
        <w:rPr>
          <w:rFonts w:ascii="Arial" w:hAnsi="Arial" w:cs="Arial"/>
          <w:i/>
        </w:rPr>
        <w:t>Reviews in Clinical Gerontology</w:t>
      </w:r>
      <w:r w:rsidR="00736BCB" w:rsidRPr="0080533B">
        <w:rPr>
          <w:rFonts w:ascii="Arial" w:hAnsi="Arial" w:cs="Arial"/>
        </w:rPr>
        <w:t xml:space="preserve">. </w:t>
      </w:r>
      <w:r w:rsidRPr="0080533B">
        <w:rPr>
          <w:rFonts w:ascii="Arial" w:hAnsi="Arial" w:cs="Arial"/>
        </w:rPr>
        <w:t>13</w:t>
      </w:r>
      <w:r w:rsidR="00736BCB" w:rsidRPr="0080533B">
        <w:rPr>
          <w:rFonts w:ascii="Arial" w:hAnsi="Arial" w:cs="Arial"/>
        </w:rPr>
        <w:t xml:space="preserve">(3): </w:t>
      </w:r>
      <w:r w:rsidRPr="0080533B">
        <w:rPr>
          <w:rFonts w:ascii="Arial" w:hAnsi="Arial" w:cs="Arial"/>
        </w:rPr>
        <w:t>215-22.</w:t>
      </w:r>
    </w:p>
    <w:p w:rsidR="00271663" w:rsidRPr="0080533B" w:rsidRDefault="00271663" w:rsidP="00736BCB">
      <w:pPr>
        <w:autoSpaceDE w:val="0"/>
        <w:autoSpaceDN w:val="0"/>
        <w:adjustRightInd w:val="0"/>
        <w:spacing w:after="0" w:line="240" w:lineRule="auto"/>
        <w:rPr>
          <w:rFonts w:ascii="Arial" w:hAnsi="Arial" w:cs="Arial"/>
        </w:rPr>
      </w:pPr>
    </w:p>
    <w:p w:rsidR="00271663" w:rsidRPr="0080533B" w:rsidRDefault="00271663" w:rsidP="00271663">
      <w:pPr>
        <w:autoSpaceDE w:val="0"/>
        <w:autoSpaceDN w:val="0"/>
        <w:adjustRightInd w:val="0"/>
        <w:spacing w:after="0" w:line="240" w:lineRule="auto"/>
        <w:rPr>
          <w:rFonts w:ascii="Arial" w:hAnsi="Arial" w:cs="Arial"/>
        </w:rPr>
      </w:pPr>
      <w:r w:rsidRPr="0080533B">
        <w:rPr>
          <w:rFonts w:ascii="Arial" w:hAnsi="Arial" w:cs="Arial"/>
        </w:rPr>
        <w:t>Calnan, M.W., Tadd, W., Calnan, S., Hillman, A., Read, S. and Bayer, A. (2013)</w:t>
      </w:r>
      <w:r w:rsidR="00151CE1">
        <w:rPr>
          <w:rFonts w:ascii="Arial" w:hAnsi="Arial" w:cs="Arial"/>
        </w:rPr>
        <w:t xml:space="preserve"> </w:t>
      </w:r>
      <w:r w:rsidRPr="0080533B">
        <w:rPr>
          <w:rFonts w:ascii="Arial" w:hAnsi="Arial" w:cs="Arial"/>
        </w:rPr>
        <w:t>‘I often worry about the older</w:t>
      </w:r>
      <w:r w:rsidR="0080533B">
        <w:rPr>
          <w:rFonts w:ascii="Arial" w:hAnsi="Arial" w:cs="Arial"/>
        </w:rPr>
        <w:t xml:space="preserve"> </w:t>
      </w:r>
      <w:r w:rsidRPr="0080533B">
        <w:rPr>
          <w:rFonts w:ascii="Arial" w:hAnsi="Arial" w:cs="Arial"/>
        </w:rPr>
        <w:t>person being in that system’: exploring the key influences on the provision of dignified care for older people in</w:t>
      </w:r>
      <w:r w:rsidR="00546B70">
        <w:rPr>
          <w:rFonts w:ascii="Arial" w:hAnsi="Arial" w:cs="Arial"/>
        </w:rPr>
        <w:t xml:space="preserve"> </w:t>
      </w:r>
      <w:r w:rsidRPr="0080533B">
        <w:rPr>
          <w:rFonts w:ascii="Arial" w:hAnsi="Arial" w:cs="Arial"/>
        </w:rPr>
        <w:t>acute hospitals</w:t>
      </w:r>
      <w:r w:rsidR="00151CE1">
        <w:rPr>
          <w:rFonts w:ascii="Arial" w:hAnsi="Arial" w:cs="Arial"/>
        </w:rPr>
        <w:t>.</w:t>
      </w:r>
      <w:r w:rsidRPr="0080533B">
        <w:rPr>
          <w:rFonts w:ascii="Arial" w:hAnsi="Arial" w:cs="Arial"/>
        </w:rPr>
        <w:t xml:space="preserve"> </w:t>
      </w:r>
      <w:r w:rsidRPr="00151CE1">
        <w:rPr>
          <w:rFonts w:ascii="Arial" w:hAnsi="Arial" w:cs="Arial"/>
          <w:i/>
        </w:rPr>
        <w:t>Ageing and Society</w:t>
      </w:r>
      <w:r w:rsidRPr="0080533B">
        <w:rPr>
          <w:rFonts w:ascii="Arial" w:hAnsi="Arial" w:cs="Arial"/>
        </w:rPr>
        <w:t xml:space="preserve"> 33</w:t>
      </w:r>
      <w:r w:rsidR="00151CE1">
        <w:rPr>
          <w:rFonts w:ascii="Arial" w:hAnsi="Arial" w:cs="Arial"/>
        </w:rPr>
        <w:t>(</w:t>
      </w:r>
      <w:r w:rsidRPr="0080533B">
        <w:rPr>
          <w:rFonts w:ascii="Arial" w:hAnsi="Arial" w:cs="Arial"/>
        </w:rPr>
        <w:t>3</w:t>
      </w:r>
      <w:r w:rsidR="00151CE1">
        <w:rPr>
          <w:rFonts w:ascii="Arial" w:hAnsi="Arial" w:cs="Arial"/>
        </w:rPr>
        <w:t>):</w:t>
      </w:r>
      <w:r w:rsidRPr="0080533B">
        <w:rPr>
          <w:rFonts w:ascii="Arial" w:hAnsi="Arial" w:cs="Arial"/>
        </w:rPr>
        <w:t xml:space="preserve"> 465-85.</w:t>
      </w:r>
    </w:p>
    <w:p w:rsidR="00736BCB" w:rsidRPr="0080533B" w:rsidRDefault="00736BCB" w:rsidP="00736BCB">
      <w:pPr>
        <w:autoSpaceDE w:val="0"/>
        <w:autoSpaceDN w:val="0"/>
        <w:adjustRightInd w:val="0"/>
        <w:spacing w:after="0" w:line="240" w:lineRule="auto"/>
        <w:rPr>
          <w:rFonts w:ascii="Arial" w:hAnsi="Arial" w:cs="Arial"/>
        </w:rPr>
      </w:pPr>
    </w:p>
    <w:p w:rsidR="00271663" w:rsidRPr="0080533B" w:rsidRDefault="00271663" w:rsidP="00271663">
      <w:pPr>
        <w:autoSpaceDE w:val="0"/>
        <w:autoSpaceDN w:val="0"/>
        <w:adjustRightInd w:val="0"/>
        <w:spacing w:after="0" w:line="240" w:lineRule="auto"/>
        <w:rPr>
          <w:rFonts w:ascii="Arial" w:hAnsi="Arial" w:cs="Arial"/>
        </w:rPr>
      </w:pPr>
      <w:r w:rsidRPr="0080533B">
        <w:rPr>
          <w:rFonts w:ascii="Arial" w:hAnsi="Arial" w:cs="Arial"/>
        </w:rPr>
        <w:lastRenderedPageBreak/>
        <w:t>Clissett, P., Porock, D., Harwood, R.H. and Gladman, J.R.F. (2014)</w:t>
      </w:r>
      <w:r w:rsidR="00151CE1">
        <w:rPr>
          <w:rFonts w:ascii="Arial" w:hAnsi="Arial" w:cs="Arial"/>
        </w:rPr>
        <w:t xml:space="preserve"> </w:t>
      </w:r>
      <w:r w:rsidRPr="0080533B">
        <w:rPr>
          <w:rFonts w:ascii="Arial" w:hAnsi="Arial" w:cs="Arial"/>
        </w:rPr>
        <w:t>The responses of health care</w:t>
      </w:r>
      <w:r w:rsidR="00151CE1">
        <w:rPr>
          <w:rFonts w:ascii="Arial" w:hAnsi="Arial" w:cs="Arial"/>
        </w:rPr>
        <w:t xml:space="preserve"> </w:t>
      </w:r>
      <w:r w:rsidRPr="0080533B">
        <w:rPr>
          <w:rFonts w:ascii="Arial" w:hAnsi="Arial" w:cs="Arial"/>
        </w:rPr>
        <w:t>professionals to the admission of people with cognitive impairment to acute hospital settings: an observational</w:t>
      </w:r>
      <w:r w:rsidR="00151CE1">
        <w:rPr>
          <w:rFonts w:ascii="Arial" w:hAnsi="Arial" w:cs="Arial"/>
        </w:rPr>
        <w:t xml:space="preserve"> </w:t>
      </w:r>
      <w:r w:rsidRPr="0080533B">
        <w:rPr>
          <w:rFonts w:ascii="Arial" w:hAnsi="Arial" w:cs="Arial"/>
        </w:rPr>
        <w:t>and interview study</w:t>
      </w:r>
      <w:r w:rsidR="00151CE1">
        <w:rPr>
          <w:rFonts w:ascii="Arial" w:hAnsi="Arial" w:cs="Arial"/>
        </w:rPr>
        <w:t>.</w:t>
      </w:r>
      <w:r w:rsidRPr="0080533B">
        <w:rPr>
          <w:rFonts w:ascii="Arial" w:hAnsi="Arial" w:cs="Arial"/>
        </w:rPr>
        <w:t xml:space="preserve"> </w:t>
      </w:r>
      <w:r w:rsidRPr="00151CE1">
        <w:rPr>
          <w:rFonts w:ascii="Arial" w:hAnsi="Arial" w:cs="Arial"/>
          <w:i/>
        </w:rPr>
        <w:t>Journal of Clinical Nursing</w:t>
      </w:r>
      <w:r w:rsidRPr="0080533B">
        <w:rPr>
          <w:rFonts w:ascii="Arial" w:hAnsi="Arial" w:cs="Arial"/>
        </w:rPr>
        <w:t xml:space="preserve"> 23</w:t>
      </w:r>
      <w:r w:rsidR="00151CE1">
        <w:rPr>
          <w:rFonts w:ascii="Arial" w:hAnsi="Arial" w:cs="Arial"/>
        </w:rPr>
        <w:t>(</w:t>
      </w:r>
      <w:r w:rsidRPr="0080533B">
        <w:rPr>
          <w:rFonts w:ascii="Arial" w:hAnsi="Arial" w:cs="Arial"/>
        </w:rPr>
        <w:t>13/14</w:t>
      </w:r>
      <w:r w:rsidR="00151CE1">
        <w:rPr>
          <w:rFonts w:ascii="Arial" w:hAnsi="Arial" w:cs="Arial"/>
        </w:rPr>
        <w:t xml:space="preserve">): </w:t>
      </w:r>
      <w:r w:rsidRPr="0080533B">
        <w:rPr>
          <w:rFonts w:ascii="Arial" w:hAnsi="Arial" w:cs="Arial"/>
        </w:rPr>
        <w:t>1820-9.</w:t>
      </w:r>
    </w:p>
    <w:p w:rsidR="00B50EBC" w:rsidRPr="0080533B" w:rsidRDefault="00B50EBC" w:rsidP="00271663">
      <w:pPr>
        <w:autoSpaceDE w:val="0"/>
        <w:autoSpaceDN w:val="0"/>
        <w:adjustRightInd w:val="0"/>
        <w:spacing w:after="0" w:line="240" w:lineRule="auto"/>
        <w:rPr>
          <w:rFonts w:ascii="Arial" w:hAnsi="Arial" w:cs="Arial"/>
        </w:rPr>
      </w:pPr>
    </w:p>
    <w:p w:rsidR="00736BCB" w:rsidRPr="0080533B" w:rsidRDefault="00736BCB" w:rsidP="0055740C">
      <w:pPr>
        <w:spacing w:line="240" w:lineRule="auto"/>
        <w:rPr>
          <w:rFonts w:ascii="Arial" w:hAnsi="Arial" w:cs="Arial"/>
        </w:rPr>
      </w:pPr>
      <w:r w:rsidRPr="0080533B">
        <w:rPr>
          <w:rFonts w:ascii="Arial" w:hAnsi="Arial" w:cs="Arial"/>
        </w:rPr>
        <w:t xml:space="preserve">DIRECTIVE 2005/36/EC OF THE EUROPEAN PARLIAMENT AND OF THE COUNCIL on the recognition of professional qualifications (as amended by Directive 2013/55/EU) Available from: </w:t>
      </w:r>
      <w:hyperlink r:id="rId6" w:history="1">
        <w:r w:rsidRPr="0080533B">
          <w:rPr>
            <w:rStyle w:val="Hyperlink"/>
            <w:rFonts w:ascii="Arial" w:hAnsi="Arial" w:cs="Arial"/>
          </w:rPr>
          <w:t>https://eur-lex.europa.eu/legal-content/EN/ALL/?uri=celex%3A32013L0055</w:t>
        </w:r>
      </w:hyperlink>
    </w:p>
    <w:p w:rsidR="004B37D5" w:rsidRPr="0080533B" w:rsidRDefault="004B37D5" w:rsidP="00736BCB">
      <w:pPr>
        <w:spacing w:line="240" w:lineRule="auto"/>
        <w:rPr>
          <w:rFonts w:ascii="Arial" w:hAnsi="Arial" w:cs="Arial"/>
        </w:rPr>
      </w:pPr>
      <w:r w:rsidRPr="0080533B">
        <w:rPr>
          <w:rFonts w:ascii="Arial" w:hAnsi="Arial" w:cs="Arial"/>
        </w:rPr>
        <w:t>Efstathiou</w:t>
      </w:r>
      <w:r w:rsidR="00151CE1">
        <w:rPr>
          <w:rFonts w:ascii="Arial" w:hAnsi="Arial" w:cs="Arial"/>
        </w:rPr>
        <w:t>,</w:t>
      </w:r>
      <w:r w:rsidRPr="0080533B">
        <w:rPr>
          <w:rFonts w:ascii="Arial" w:hAnsi="Arial" w:cs="Arial"/>
        </w:rPr>
        <w:t xml:space="preserve"> N</w:t>
      </w:r>
      <w:r w:rsidR="00151CE1">
        <w:rPr>
          <w:rFonts w:ascii="Arial" w:hAnsi="Arial" w:cs="Arial"/>
        </w:rPr>
        <w:t>.</w:t>
      </w:r>
      <w:r w:rsidRPr="0080533B">
        <w:rPr>
          <w:rFonts w:ascii="Arial" w:hAnsi="Arial" w:cs="Arial"/>
        </w:rPr>
        <w:t>, Walker</w:t>
      </w:r>
      <w:r w:rsidR="00151CE1">
        <w:rPr>
          <w:rFonts w:ascii="Arial" w:hAnsi="Arial" w:cs="Arial"/>
        </w:rPr>
        <w:t>,</w:t>
      </w:r>
      <w:r w:rsidRPr="0080533B">
        <w:rPr>
          <w:rFonts w:ascii="Arial" w:hAnsi="Arial" w:cs="Arial"/>
        </w:rPr>
        <w:t xml:space="preserve"> W</w:t>
      </w:r>
      <w:r w:rsidR="00151CE1">
        <w:rPr>
          <w:rFonts w:ascii="Arial" w:hAnsi="Arial" w:cs="Arial"/>
        </w:rPr>
        <w:t>.</w:t>
      </w:r>
      <w:r w:rsidRPr="0080533B">
        <w:rPr>
          <w:rFonts w:ascii="Arial" w:hAnsi="Arial" w:cs="Arial"/>
        </w:rPr>
        <w:t xml:space="preserve">M. </w:t>
      </w:r>
      <w:r w:rsidR="00812976" w:rsidRPr="0080533B">
        <w:rPr>
          <w:rFonts w:ascii="Arial" w:hAnsi="Arial" w:cs="Arial"/>
        </w:rPr>
        <w:t xml:space="preserve">(2014) </w:t>
      </w:r>
      <w:r w:rsidRPr="0080533B">
        <w:rPr>
          <w:rFonts w:ascii="Arial" w:hAnsi="Arial" w:cs="Arial"/>
        </w:rPr>
        <w:t xml:space="preserve">Interprofessional, simulation-based training in end of life care communication: a pilot study. </w:t>
      </w:r>
      <w:r w:rsidRPr="00151CE1">
        <w:rPr>
          <w:rFonts w:ascii="Arial" w:hAnsi="Arial" w:cs="Arial"/>
          <w:i/>
        </w:rPr>
        <w:t>Journal of Interprofessional Care</w:t>
      </w:r>
      <w:r w:rsidR="00812976" w:rsidRPr="0080533B">
        <w:rPr>
          <w:rFonts w:ascii="Arial" w:hAnsi="Arial" w:cs="Arial"/>
        </w:rPr>
        <w:t xml:space="preserve">. </w:t>
      </w:r>
      <w:r w:rsidRPr="0080533B">
        <w:rPr>
          <w:rFonts w:ascii="Arial" w:hAnsi="Arial" w:cs="Arial"/>
        </w:rPr>
        <w:t>28(1): 8-70.</w:t>
      </w:r>
    </w:p>
    <w:p w:rsidR="00812976" w:rsidRPr="0080533B" w:rsidRDefault="00812976" w:rsidP="00736BCB">
      <w:pPr>
        <w:spacing w:line="240" w:lineRule="auto"/>
        <w:rPr>
          <w:rFonts w:ascii="Arial" w:hAnsi="Arial" w:cs="Arial"/>
        </w:rPr>
      </w:pPr>
      <w:r w:rsidRPr="0080533B">
        <w:rPr>
          <w:rFonts w:ascii="Arial" w:hAnsi="Arial" w:cs="Arial"/>
        </w:rPr>
        <w:t xml:space="preserve">Nursing and Midwifery Council (2018) </w:t>
      </w:r>
      <w:r w:rsidRPr="00151CE1">
        <w:rPr>
          <w:rFonts w:ascii="Arial" w:hAnsi="Arial" w:cs="Arial"/>
          <w:i/>
        </w:rPr>
        <w:t>Future Nurse: standards of proficiency for registered nurses</w:t>
      </w:r>
      <w:r w:rsidRPr="0080533B">
        <w:rPr>
          <w:rFonts w:ascii="Arial" w:hAnsi="Arial" w:cs="Arial"/>
        </w:rPr>
        <w:t xml:space="preserve">. Available from: </w:t>
      </w:r>
      <w:hyperlink r:id="rId7" w:history="1">
        <w:r w:rsidRPr="0080533B">
          <w:rPr>
            <w:rStyle w:val="Hyperlink"/>
            <w:rFonts w:ascii="Arial" w:hAnsi="Arial" w:cs="Arial"/>
          </w:rPr>
          <w:t>https://www.nmc.org.uk/standards/standards-for-nurses/standards-of-proficiency-for-registered-nurses/</w:t>
        </w:r>
      </w:hyperlink>
    </w:p>
    <w:p w:rsidR="00812976" w:rsidRPr="0080533B" w:rsidRDefault="00812976" w:rsidP="00736BCB">
      <w:pPr>
        <w:spacing w:line="240" w:lineRule="auto"/>
        <w:rPr>
          <w:rFonts w:ascii="Arial" w:hAnsi="Arial" w:cs="Arial"/>
        </w:rPr>
      </w:pPr>
    </w:p>
    <w:sectPr w:rsidR="00812976" w:rsidRPr="0080533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73F" w:rsidRDefault="0084073F" w:rsidP="00B07FCC">
      <w:pPr>
        <w:spacing w:after="0" w:line="240" w:lineRule="auto"/>
      </w:pPr>
      <w:r>
        <w:separator/>
      </w:r>
    </w:p>
  </w:endnote>
  <w:endnote w:type="continuationSeparator" w:id="0">
    <w:p w:rsidR="0084073F" w:rsidRDefault="0084073F" w:rsidP="00B0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555873"/>
      <w:docPartObj>
        <w:docPartGallery w:val="Page Numbers (Bottom of Page)"/>
        <w:docPartUnique/>
      </w:docPartObj>
    </w:sdtPr>
    <w:sdtEndPr>
      <w:rPr>
        <w:noProof/>
      </w:rPr>
    </w:sdtEndPr>
    <w:sdtContent>
      <w:p w:rsidR="00B07FCC" w:rsidRDefault="00B07FCC">
        <w:pPr>
          <w:pStyle w:val="Footer"/>
          <w:jc w:val="right"/>
        </w:pPr>
        <w:r>
          <w:fldChar w:fldCharType="begin"/>
        </w:r>
        <w:r>
          <w:instrText xml:space="preserve"> PAGE   \* MERGEFORMAT </w:instrText>
        </w:r>
        <w:r>
          <w:fldChar w:fldCharType="separate"/>
        </w:r>
        <w:r w:rsidR="009A1315">
          <w:rPr>
            <w:noProof/>
          </w:rPr>
          <w:t>1</w:t>
        </w:r>
        <w:r>
          <w:rPr>
            <w:noProof/>
          </w:rPr>
          <w:fldChar w:fldCharType="end"/>
        </w:r>
      </w:p>
    </w:sdtContent>
  </w:sdt>
  <w:p w:rsidR="00B07FCC" w:rsidRDefault="00B07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73F" w:rsidRDefault="0084073F" w:rsidP="00B07FCC">
      <w:pPr>
        <w:spacing w:after="0" w:line="240" w:lineRule="auto"/>
      </w:pPr>
      <w:r>
        <w:separator/>
      </w:r>
    </w:p>
  </w:footnote>
  <w:footnote w:type="continuationSeparator" w:id="0">
    <w:p w:rsidR="0084073F" w:rsidRDefault="0084073F" w:rsidP="00B07F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BC"/>
    <w:rsid w:val="00005477"/>
    <w:rsid w:val="000268D2"/>
    <w:rsid w:val="00030EEC"/>
    <w:rsid w:val="00035D01"/>
    <w:rsid w:val="000C563C"/>
    <w:rsid w:val="000E3371"/>
    <w:rsid w:val="00120960"/>
    <w:rsid w:val="00150650"/>
    <w:rsid w:val="00151CE1"/>
    <w:rsid w:val="001A6A95"/>
    <w:rsid w:val="00271663"/>
    <w:rsid w:val="0030794B"/>
    <w:rsid w:val="003568EC"/>
    <w:rsid w:val="00364EDA"/>
    <w:rsid w:val="00392C53"/>
    <w:rsid w:val="003B5206"/>
    <w:rsid w:val="003E720A"/>
    <w:rsid w:val="003F3C73"/>
    <w:rsid w:val="00464456"/>
    <w:rsid w:val="00474503"/>
    <w:rsid w:val="004977E5"/>
    <w:rsid w:val="004B37D5"/>
    <w:rsid w:val="005008C9"/>
    <w:rsid w:val="00524EC5"/>
    <w:rsid w:val="00546B70"/>
    <w:rsid w:val="0055740C"/>
    <w:rsid w:val="005919DE"/>
    <w:rsid w:val="005E1146"/>
    <w:rsid w:val="0069040A"/>
    <w:rsid w:val="00692E08"/>
    <w:rsid w:val="006A574E"/>
    <w:rsid w:val="006C4B0C"/>
    <w:rsid w:val="006F6FA3"/>
    <w:rsid w:val="007352A6"/>
    <w:rsid w:val="00736BCB"/>
    <w:rsid w:val="00764C8E"/>
    <w:rsid w:val="0080533B"/>
    <w:rsid w:val="00812976"/>
    <w:rsid w:val="00833FF8"/>
    <w:rsid w:val="0084073F"/>
    <w:rsid w:val="00855282"/>
    <w:rsid w:val="00895E64"/>
    <w:rsid w:val="008C1648"/>
    <w:rsid w:val="008E49FF"/>
    <w:rsid w:val="008F365A"/>
    <w:rsid w:val="0091758F"/>
    <w:rsid w:val="009716B9"/>
    <w:rsid w:val="00987F08"/>
    <w:rsid w:val="009A1315"/>
    <w:rsid w:val="009B4B6B"/>
    <w:rsid w:val="009C3FBC"/>
    <w:rsid w:val="009D3143"/>
    <w:rsid w:val="00A92AA9"/>
    <w:rsid w:val="00AA238A"/>
    <w:rsid w:val="00B07FCC"/>
    <w:rsid w:val="00B50EBC"/>
    <w:rsid w:val="00B54437"/>
    <w:rsid w:val="00B8028A"/>
    <w:rsid w:val="00C312BE"/>
    <w:rsid w:val="00C46421"/>
    <w:rsid w:val="00C50157"/>
    <w:rsid w:val="00C5050C"/>
    <w:rsid w:val="00C51E33"/>
    <w:rsid w:val="00CA5FDE"/>
    <w:rsid w:val="00D033DC"/>
    <w:rsid w:val="00D82555"/>
    <w:rsid w:val="00DF1B2A"/>
    <w:rsid w:val="00E86F59"/>
    <w:rsid w:val="00EA3501"/>
    <w:rsid w:val="00F173D7"/>
    <w:rsid w:val="00F75CA7"/>
    <w:rsid w:val="00F87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3C73FD-2D87-4004-88DA-D44879D1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563C"/>
    <w:pPr>
      <w:keepNext/>
      <w:keepLines/>
      <w:spacing w:before="240" w:after="0"/>
      <w:outlineLvl w:val="0"/>
    </w:pPr>
    <w:rPr>
      <w:rFonts w:asciiTheme="majorHAnsi" w:eastAsiaTheme="majorEastAsia" w:hAnsiTheme="majorHAnsi" w:cstheme="majorBidi"/>
      <w:color w:val="2F5496"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563C"/>
    <w:rPr>
      <w:rFonts w:asciiTheme="majorHAnsi" w:eastAsiaTheme="majorEastAsia" w:hAnsiTheme="majorHAnsi" w:cstheme="majorBidi"/>
      <w:color w:val="2F5496" w:themeColor="accent1" w:themeShade="BF"/>
      <w:sz w:val="32"/>
      <w:szCs w:val="32"/>
      <w:lang w:val="en-AU"/>
    </w:rPr>
  </w:style>
  <w:style w:type="character" w:styleId="CommentReference">
    <w:name w:val="annotation reference"/>
    <w:basedOn w:val="DefaultParagraphFont"/>
    <w:uiPriority w:val="99"/>
    <w:semiHidden/>
    <w:unhideWhenUsed/>
    <w:rsid w:val="000C563C"/>
    <w:rPr>
      <w:sz w:val="16"/>
      <w:szCs w:val="16"/>
    </w:rPr>
  </w:style>
  <w:style w:type="paragraph" w:styleId="Title">
    <w:name w:val="Title"/>
    <w:basedOn w:val="Normal"/>
    <w:next w:val="Normal"/>
    <w:link w:val="TitleChar"/>
    <w:uiPriority w:val="10"/>
    <w:qFormat/>
    <w:rsid w:val="000C563C"/>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0C563C"/>
    <w:rPr>
      <w:rFonts w:asciiTheme="majorHAnsi" w:eastAsiaTheme="majorEastAsia" w:hAnsiTheme="majorHAnsi" w:cstheme="majorBidi"/>
      <w:spacing w:val="-10"/>
      <w:kern w:val="28"/>
      <w:sz w:val="56"/>
      <w:szCs w:val="56"/>
      <w:lang w:val="en-AU"/>
    </w:rPr>
  </w:style>
  <w:style w:type="paragraph" w:styleId="BalloonText">
    <w:name w:val="Balloon Text"/>
    <w:basedOn w:val="Normal"/>
    <w:link w:val="BalloonTextChar"/>
    <w:uiPriority w:val="99"/>
    <w:semiHidden/>
    <w:unhideWhenUsed/>
    <w:rsid w:val="000C5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63C"/>
    <w:rPr>
      <w:rFonts w:ascii="Segoe UI" w:hAnsi="Segoe UI" w:cs="Segoe UI"/>
      <w:sz w:val="18"/>
      <w:szCs w:val="18"/>
    </w:rPr>
  </w:style>
  <w:style w:type="paragraph" w:styleId="BodyText2">
    <w:name w:val="Body Text 2"/>
    <w:basedOn w:val="Normal"/>
    <w:link w:val="BodyText2Char"/>
    <w:unhideWhenUsed/>
    <w:rsid w:val="003E720A"/>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3E720A"/>
    <w:rPr>
      <w:rFonts w:ascii="Arial" w:eastAsia="Times New Roman" w:hAnsi="Arial" w:cs="Times New Roman"/>
      <w:sz w:val="20"/>
      <w:szCs w:val="20"/>
    </w:rPr>
  </w:style>
  <w:style w:type="paragraph" w:styleId="Header">
    <w:name w:val="header"/>
    <w:basedOn w:val="Normal"/>
    <w:link w:val="HeaderChar"/>
    <w:uiPriority w:val="99"/>
    <w:unhideWhenUsed/>
    <w:rsid w:val="00B07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FCC"/>
  </w:style>
  <w:style w:type="paragraph" w:styleId="Footer">
    <w:name w:val="footer"/>
    <w:basedOn w:val="Normal"/>
    <w:link w:val="FooterChar"/>
    <w:uiPriority w:val="99"/>
    <w:unhideWhenUsed/>
    <w:rsid w:val="00B07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FCC"/>
  </w:style>
  <w:style w:type="character" w:styleId="Hyperlink">
    <w:name w:val="Hyperlink"/>
    <w:basedOn w:val="DefaultParagraphFont"/>
    <w:uiPriority w:val="99"/>
    <w:unhideWhenUsed/>
    <w:rsid w:val="00736BCB"/>
    <w:rPr>
      <w:color w:val="0563C1" w:themeColor="hyperlink"/>
      <w:u w:val="single"/>
    </w:rPr>
  </w:style>
  <w:style w:type="character" w:customStyle="1" w:styleId="UnresolvedMention">
    <w:name w:val="Unresolved Mention"/>
    <w:basedOn w:val="DefaultParagraphFont"/>
    <w:uiPriority w:val="99"/>
    <w:semiHidden/>
    <w:unhideWhenUsed/>
    <w:rsid w:val="00736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32995">
      <w:bodyDiv w:val="1"/>
      <w:marLeft w:val="0"/>
      <w:marRight w:val="0"/>
      <w:marTop w:val="0"/>
      <w:marBottom w:val="0"/>
      <w:divBdr>
        <w:top w:val="none" w:sz="0" w:space="0" w:color="auto"/>
        <w:left w:val="none" w:sz="0" w:space="0" w:color="auto"/>
        <w:bottom w:val="none" w:sz="0" w:space="0" w:color="auto"/>
        <w:right w:val="none" w:sz="0" w:space="0" w:color="auto"/>
      </w:divBdr>
    </w:div>
    <w:div w:id="1681929169">
      <w:bodyDiv w:val="1"/>
      <w:marLeft w:val="0"/>
      <w:marRight w:val="0"/>
      <w:marTop w:val="0"/>
      <w:marBottom w:val="0"/>
      <w:divBdr>
        <w:top w:val="none" w:sz="0" w:space="0" w:color="auto"/>
        <w:left w:val="none" w:sz="0" w:space="0" w:color="auto"/>
        <w:bottom w:val="none" w:sz="0" w:space="0" w:color="auto"/>
        <w:right w:val="none" w:sz="0" w:space="0" w:color="auto"/>
      </w:divBdr>
    </w:div>
    <w:div w:id="212449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nmc.org.uk/standards/standards-for-nurses/standards-of-proficiency-for-registered-nur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EN/ALL/?uri=celex%3A32013L005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Baillie</dc:creator>
  <cp:keywords/>
  <dc:description/>
  <cp:lastModifiedBy>Bowman, Cassandra 3</cp:lastModifiedBy>
  <cp:revision>2</cp:revision>
  <dcterms:created xsi:type="dcterms:W3CDTF">2019-08-22T11:01:00Z</dcterms:created>
  <dcterms:modified xsi:type="dcterms:W3CDTF">2019-08-22T11:01:00Z</dcterms:modified>
</cp:coreProperties>
</file>